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Lines="0" w:after="0" w:afterLines="0"/>
        <w:rPr>
          <w:rFonts w:hint="eastAsia" w:ascii="宋体" w:hAnsi="宋体" w:eastAsia="宋体" w:cs="宋体"/>
          <w:color w:val="auto"/>
          <w:sz w:val="32"/>
          <w:szCs w:val="32"/>
        </w:rPr>
      </w:pPr>
      <w:bookmarkStart w:id="0" w:name="_Toc22595"/>
      <w:bookmarkStart w:id="1" w:name="_Toc2280"/>
      <w:r>
        <w:rPr>
          <w:rFonts w:hint="eastAsia" w:ascii="宋体" w:hAnsi="宋体" w:eastAsia="宋体" w:cs="宋体"/>
          <w:color w:val="auto"/>
          <w:sz w:val="32"/>
          <w:szCs w:val="32"/>
        </w:rPr>
        <w:t>第四章</w:t>
      </w:r>
      <w:bookmarkEnd w:id="0"/>
      <w:r>
        <w:rPr>
          <w:rFonts w:hint="eastAsia" w:ascii="宋体" w:hAnsi="宋体" w:eastAsia="宋体" w:cs="宋体"/>
          <w:color w:val="auto"/>
          <w:sz w:val="32"/>
          <w:szCs w:val="32"/>
        </w:rPr>
        <w:t xml:space="preserve">  采购需求</w:t>
      </w:r>
      <w:bookmarkEnd w:id="1"/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一、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项目概况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上级补助资金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为132万元，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农机深松整地作业补助面积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4.4万亩、辐射带动面积3.6万亩，具体乡镇（办事处）和面积详见下表。</w:t>
      </w: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2021年全县农机深松整地作业计划任务表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2"/>
        <w:gridCol w:w="2854"/>
        <w:gridCol w:w="28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乡镇办事处</w:t>
            </w:r>
          </w:p>
        </w:tc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补助面积（万亩）</w:t>
            </w:r>
          </w:p>
        </w:tc>
        <w:tc>
          <w:tcPr>
            <w:tcW w:w="3172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辐射带动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面积（万亩）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木城</w:t>
            </w:r>
          </w:p>
        </w:tc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0.02</w:t>
            </w:r>
          </w:p>
        </w:tc>
        <w:tc>
          <w:tcPr>
            <w:tcW w:w="3172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木栾</w:t>
            </w:r>
          </w:p>
        </w:tc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0.04</w:t>
            </w:r>
          </w:p>
        </w:tc>
        <w:tc>
          <w:tcPr>
            <w:tcW w:w="3172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龙源</w:t>
            </w:r>
          </w:p>
        </w:tc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0.05</w:t>
            </w:r>
          </w:p>
        </w:tc>
        <w:tc>
          <w:tcPr>
            <w:tcW w:w="3172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龙泉</w:t>
            </w:r>
          </w:p>
        </w:tc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0.1</w:t>
            </w:r>
          </w:p>
        </w:tc>
        <w:tc>
          <w:tcPr>
            <w:tcW w:w="3172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三阳</w:t>
            </w:r>
          </w:p>
        </w:tc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0.2</w:t>
            </w:r>
          </w:p>
        </w:tc>
        <w:tc>
          <w:tcPr>
            <w:tcW w:w="3172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小董</w:t>
            </w:r>
          </w:p>
        </w:tc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0.2</w:t>
            </w:r>
          </w:p>
        </w:tc>
        <w:tc>
          <w:tcPr>
            <w:tcW w:w="3172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西陶</w:t>
            </w:r>
          </w:p>
        </w:tc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0.3</w:t>
            </w:r>
          </w:p>
        </w:tc>
        <w:tc>
          <w:tcPr>
            <w:tcW w:w="3172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大封</w:t>
            </w:r>
          </w:p>
        </w:tc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0.6</w:t>
            </w:r>
          </w:p>
        </w:tc>
        <w:tc>
          <w:tcPr>
            <w:tcW w:w="3172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大虹桥</w:t>
            </w:r>
          </w:p>
        </w:tc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0.6</w:t>
            </w:r>
          </w:p>
        </w:tc>
        <w:tc>
          <w:tcPr>
            <w:tcW w:w="3172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北郭</w:t>
            </w:r>
          </w:p>
        </w:tc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0.79</w:t>
            </w:r>
          </w:p>
        </w:tc>
        <w:tc>
          <w:tcPr>
            <w:tcW w:w="3172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嘉应观</w:t>
            </w:r>
          </w:p>
        </w:tc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0.4</w:t>
            </w:r>
          </w:p>
        </w:tc>
        <w:tc>
          <w:tcPr>
            <w:tcW w:w="3172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詹店</w:t>
            </w:r>
          </w:p>
        </w:tc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0.5</w:t>
            </w:r>
          </w:p>
        </w:tc>
        <w:tc>
          <w:tcPr>
            <w:tcW w:w="3172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乔庙</w:t>
            </w:r>
          </w:p>
        </w:tc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0.2</w:t>
            </w:r>
          </w:p>
        </w:tc>
        <w:tc>
          <w:tcPr>
            <w:tcW w:w="3172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圪垱店</w:t>
            </w:r>
          </w:p>
        </w:tc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0.3</w:t>
            </w:r>
          </w:p>
        </w:tc>
        <w:tc>
          <w:tcPr>
            <w:tcW w:w="3172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谢旗营</w:t>
            </w:r>
          </w:p>
        </w:tc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0.1</w:t>
            </w:r>
          </w:p>
        </w:tc>
        <w:tc>
          <w:tcPr>
            <w:tcW w:w="3172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合计：</w:t>
            </w:r>
          </w:p>
        </w:tc>
        <w:tc>
          <w:tcPr>
            <w:tcW w:w="3171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4.4</w:t>
            </w:r>
          </w:p>
        </w:tc>
        <w:tc>
          <w:tcPr>
            <w:tcW w:w="3172" w:type="dxa"/>
            <w:noWrap w:val="0"/>
            <w:vAlign w:val="top"/>
          </w:tcPr>
          <w:p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3.6</w:t>
            </w:r>
          </w:p>
        </w:tc>
      </w:tr>
    </w:tbl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二、商务要求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</w:rPr>
        <w:t>1.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合同履行期限</w:t>
      </w:r>
      <w:r>
        <w:rPr>
          <w:rFonts w:hint="eastAsia" w:ascii="宋体" w:hAnsi="宋体" w:eastAsia="宋体" w:cs="宋体"/>
          <w:color w:val="auto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2021年12月10日前完成。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 xml:space="preserve">2.质量标准： 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深松作业应能打破犁底层，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深度大于25厘米，不超过40厘米；如果采用凿（铲）式深松机，相邻两铲间距不得大于2.5倍深松深度；深松后要合墒弥平，做到田面平整，土壤细碎，没有漏耕，深浅基本一致，适宜播种作业。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Cs w:val="21"/>
        </w:rPr>
        <w:t>.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服务地点</w:t>
      </w:r>
      <w:r>
        <w:rPr>
          <w:rFonts w:hint="eastAsia" w:ascii="宋体" w:hAnsi="宋体" w:eastAsia="宋体" w:cs="宋体"/>
          <w:color w:val="auto"/>
          <w:szCs w:val="21"/>
        </w:rPr>
        <w:t>：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武陟县区域内。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Cs w:val="21"/>
          <w:highlight w:val="yellow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Cs w:val="21"/>
        </w:rPr>
        <w:t>.履约担保：成交供应商与采购人签订合同前，需向采购人交纳成交金额的</w:t>
      </w:r>
      <w:r>
        <w:rPr>
          <w:rFonts w:hint="eastAsia" w:ascii="宋体" w:hAnsi="宋体" w:eastAsia="宋体" w:cs="宋体"/>
          <w:color w:val="auto"/>
          <w:szCs w:val="21"/>
          <w:u w:val="single"/>
          <w:lang w:val="en-US" w:eastAsia="zh-CN"/>
        </w:rPr>
        <w:t xml:space="preserve"> 5 </w:t>
      </w:r>
      <w:r>
        <w:rPr>
          <w:rFonts w:hint="eastAsia" w:ascii="宋体" w:hAnsi="宋体" w:eastAsia="宋体" w:cs="宋体"/>
          <w:color w:val="auto"/>
          <w:szCs w:val="21"/>
        </w:rPr>
        <w:t>%作为履约保证金，合同履行结束，经验收合格后退还。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.付款方式：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今年作业补助工作，每台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深松机械设备安装有卫星定位终端和深松监测仪，深松整地作业监测系统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eastAsia="zh-CN"/>
        </w:rPr>
        <w:t>必须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与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eastAsia="zh-CN"/>
        </w:rPr>
        <w:t>武陟县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农机深松作业信息化监管平台对接，并能够将作业时间、地点、作业面积、作业深度等监测指标数据实时上传。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监测数据作为兑付作业补助的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主要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依据。作业补助凭服务发票到县财政报账，原则上本年度12月31日前完成补助资金的兑付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、技术服务要求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 xml:space="preserve">      （一）实施范围</w:t>
      </w:r>
    </w:p>
    <w:p>
      <w:pPr>
        <w:pStyle w:val="14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满足高标准农田需要，设置农机深松整地作业补助区域，受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水灾影响，减收绝收地块优先实施。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分别是县东黄河大堤两侧以及詹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郇路两侧、S309获轵线公路两侧、S104公路两侧黏土区、武陟国营农场周边、阳魁线两侧及滩区适宜深松的地块。</w:t>
      </w:r>
    </w:p>
    <w:p>
      <w:pPr>
        <w:pStyle w:val="14"/>
        <w:numPr>
          <w:ilvl w:val="0"/>
          <w:numId w:val="1"/>
        </w:numPr>
        <w:spacing w:line="360" w:lineRule="auto"/>
        <w:ind w:left="900" w:leftChars="375" w:firstLine="0" w:firstLineChars="0"/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作业模式</w:t>
      </w:r>
    </w:p>
    <w:p>
      <w:pPr>
        <w:pStyle w:val="14"/>
        <w:numPr>
          <w:ilvl w:val="0"/>
          <w:numId w:val="0"/>
        </w:numPr>
        <w:spacing w:line="360" w:lineRule="auto"/>
        <w:ind w:firstLine="481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根据我县土壤类型、耕作制度和机具配备情况，农机深松整地作业主要采用“单一深松”或“深松+旋耕”模式，原则上同一块地三年深松一次。</w:t>
      </w:r>
    </w:p>
    <w:p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C5806F"/>
    <w:multiLevelType w:val="singleLevel"/>
    <w:tmpl w:val="C1C5806F"/>
    <w:lvl w:ilvl="0" w:tentative="0">
      <w:start w:val="2"/>
      <w:numFmt w:val="chineseCounting"/>
      <w:suff w:val="nothing"/>
      <w:lvlText w:val="（%1）"/>
      <w:lvlJc w:val="left"/>
      <w:pPr>
        <w:ind w:left="796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B84CF1"/>
    <w:rsid w:val="3BD60C22"/>
    <w:rsid w:val="4AE950CD"/>
    <w:rsid w:val="5A4038D8"/>
    <w:rsid w:val="5E0D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Book Antiqua" w:hAnsi="Book Antiqua" w:eastAsia="宋体" w:cs="宋体"/>
      <w:kern w:val="2"/>
      <w:sz w:val="24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500" w:beforeLines="0" w:after="500" w:afterLines="0" w:line="578" w:lineRule="auto"/>
      <w:jc w:val="center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after="120" w:afterLines="0"/>
      <w:ind w:left="420" w:leftChars="200" w:firstLine="420"/>
    </w:pPr>
  </w:style>
  <w:style w:type="paragraph" w:styleId="3">
    <w:name w:val="Body Text Indent"/>
    <w:basedOn w:val="1"/>
    <w:uiPriority w:val="0"/>
    <w:pPr>
      <w:ind w:firstLine="560" w:firstLineChars="200"/>
    </w:pPr>
    <w:rPr>
      <w:rFonts w:ascii="仿宋_GB2312" w:eastAsia="仿宋_GB2312"/>
      <w:kern w:val="2"/>
      <w:sz w:val="28"/>
    </w:rPr>
  </w:style>
  <w:style w:type="paragraph" w:styleId="5">
    <w:name w:val="Body Text"/>
    <w:basedOn w:val="1"/>
    <w:next w:val="6"/>
    <w:uiPriority w:val="0"/>
    <w:pPr>
      <w:spacing w:after="120" w:afterLines="0"/>
    </w:pPr>
  </w:style>
  <w:style w:type="paragraph" w:styleId="6">
    <w:name w:val="Body Text 2"/>
    <w:basedOn w:val="1"/>
    <w:next w:val="5"/>
    <w:qFormat/>
    <w:uiPriority w:val="0"/>
    <w:pPr>
      <w:spacing w:after="120" w:afterLines="0" w:line="480" w:lineRule="auto"/>
    </w:pPr>
  </w:style>
  <w:style w:type="paragraph" w:styleId="7">
    <w:name w:val="Title"/>
    <w:basedOn w:val="1"/>
    <w:qFormat/>
    <w:uiPriority w:val="0"/>
    <w:pPr>
      <w:spacing w:before="240" w:beforeLines="0" w:after="60" w:afterLines="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font31"/>
    <w:basedOn w:val="10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2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  <w:vertAlign w:val="superscript"/>
    </w:rPr>
  </w:style>
  <w:style w:type="paragraph" w:customStyle="1" w:styleId="13">
    <w:name w:val="无间隔1"/>
    <w:basedOn w:val="1"/>
    <w:qFormat/>
    <w:uiPriority w:val="0"/>
    <w:pPr>
      <w:spacing w:line="400" w:lineRule="exact"/>
    </w:pPr>
    <w:rPr>
      <w:rFonts w:eastAsia="宋体"/>
      <w:sz w:val="24"/>
    </w:rPr>
  </w:style>
  <w:style w:type="paragraph" w:customStyle="1" w:styleId="14">
    <w:name w:val="Default"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NTKO</cp:lastModifiedBy>
  <dcterms:modified xsi:type="dcterms:W3CDTF">2021-09-15T00:14:31Z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2052-11.1.0.10650</vt:lpwstr>
  </property>
  <property fmtid="{D5CDD505-2E9C-101B-9397-08002B2CF9AE}" pid="3" name="ICV">
    <vt:lpwstr>C33760F89A344C67B5FDB0E5BBE63B7F</vt:lpwstr>
  </property>
</Properties>
</file>