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80" w:lineRule="exact"/>
        <w:ind w:right="-72" w:rightChars="-30"/>
        <w:rPr>
          <w:rFonts w:hint="eastAsia" w:ascii="宋体" w:hAnsi="宋体"/>
          <w:b w:val="0"/>
          <w:color w:val="000000" w:themeColor="text1"/>
          <w:kern w:val="0"/>
          <w:sz w:val="21"/>
          <w:szCs w:val="21"/>
          <w:lang w:eastAsia="zh-CN"/>
          <w14:textFill>
            <w14:solidFill>
              <w14:schemeClr w14:val="tx1"/>
            </w14:solidFill>
          </w14:textFill>
        </w:rPr>
      </w:pPr>
      <w:r>
        <w:rPr>
          <w:rFonts w:hint="eastAsia" w:ascii="宋体" w:hAnsi="宋体" w:cs="宋体"/>
          <w:color w:val="000000" w:themeColor="text1"/>
          <w14:textFill>
            <w14:solidFill>
              <w14:schemeClr w14:val="tx1"/>
            </w14:solidFill>
          </w14:textFill>
        </w:rPr>
        <w:t>第四章 采购需求</w:t>
      </w:r>
    </w:p>
    <w:p>
      <w:pPr>
        <w:widowControl/>
        <w:adjustRightInd w:val="0"/>
        <w:spacing w:line="360" w:lineRule="auto"/>
        <w:rPr>
          <w:rFonts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一、</w:t>
      </w:r>
      <w:r>
        <w:rPr>
          <w:rFonts w:ascii="宋体" w:hAnsi="宋体"/>
          <w:b/>
          <w:color w:val="000000" w:themeColor="text1"/>
          <w:kern w:val="0"/>
          <w:sz w:val="21"/>
          <w:szCs w:val="21"/>
          <w14:textFill>
            <w14:solidFill>
              <w14:schemeClr w14:val="tx1"/>
            </w14:solidFill>
          </w14:textFill>
        </w:rPr>
        <w:t>相关说明</w:t>
      </w:r>
    </w:p>
    <w:p>
      <w:pPr>
        <w:widowControl/>
        <w:numPr>
          <w:ilvl w:val="2"/>
          <w:numId w:val="1"/>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ascii="宋体" w:hAnsi="宋体"/>
          <w:bCs/>
          <w:color w:val="000000" w:themeColor="text1"/>
          <w:kern w:val="0"/>
          <w:sz w:val="21"/>
          <w:szCs w:val="21"/>
          <w14:textFill>
            <w14:solidFill>
              <w14:schemeClr w14:val="tx1"/>
            </w14:solidFill>
          </w14:textFill>
        </w:rPr>
        <w:t>招标文件中</w:t>
      </w:r>
      <w:r>
        <w:rPr>
          <w:rFonts w:hint="eastAsia" w:ascii="宋体" w:hAnsi="宋体"/>
          <w:bCs/>
          <w:color w:val="000000" w:themeColor="text1"/>
          <w:kern w:val="0"/>
          <w:sz w:val="21"/>
          <w:szCs w:val="21"/>
          <w14:textFill>
            <w14:solidFill>
              <w14:schemeClr w14:val="tx1"/>
            </w14:solidFill>
          </w14:textFill>
        </w:rPr>
        <w:t>列出</w:t>
      </w:r>
      <w:r>
        <w:rPr>
          <w:rFonts w:ascii="宋体" w:hAnsi="宋体"/>
          <w:bCs/>
          <w:color w:val="000000" w:themeColor="text1"/>
          <w:kern w:val="0"/>
          <w:sz w:val="21"/>
          <w:szCs w:val="21"/>
          <w14:textFill>
            <w14:solidFill>
              <w14:schemeClr w14:val="tx1"/>
            </w14:solidFill>
          </w14:textFill>
        </w:rPr>
        <w:t>的质</w:t>
      </w:r>
      <w:r>
        <w:rPr>
          <w:rFonts w:hint="eastAsia" w:ascii="宋体" w:hAnsi="宋体"/>
          <w:bCs/>
          <w:color w:val="000000" w:themeColor="text1"/>
          <w:kern w:val="0"/>
          <w:sz w:val="21"/>
          <w:szCs w:val="21"/>
          <w14:textFill>
            <w14:solidFill>
              <w14:schemeClr w14:val="tx1"/>
            </w14:solidFill>
          </w14:textFill>
        </w:rPr>
        <w:t>量技术参数</w:t>
      </w:r>
      <w:r>
        <w:rPr>
          <w:rFonts w:ascii="宋体" w:hAnsi="宋体"/>
          <w:bCs/>
          <w:color w:val="000000" w:themeColor="text1"/>
          <w:kern w:val="0"/>
          <w:sz w:val="21"/>
          <w:szCs w:val="21"/>
          <w14:textFill>
            <w14:solidFill>
              <w14:schemeClr w14:val="tx1"/>
            </w14:solidFill>
          </w14:textFill>
        </w:rPr>
        <w:t>或</w:t>
      </w:r>
      <w:r>
        <w:rPr>
          <w:rFonts w:hint="eastAsia" w:ascii="宋体" w:hAnsi="宋体"/>
          <w:bCs/>
          <w:color w:val="000000" w:themeColor="text1"/>
          <w:kern w:val="0"/>
          <w:sz w:val="21"/>
          <w:szCs w:val="21"/>
          <w14:textFill>
            <w14:solidFill>
              <w14:schemeClr w14:val="tx1"/>
            </w14:solidFill>
          </w14:textFill>
        </w:rPr>
        <w:t>型号</w:t>
      </w:r>
      <w:r>
        <w:rPr>
          <w:rFonts w:ascii="宋体" w:hAnsi="宋体"/>
          <w:bCs/>
          <w:color w:val="000000" w:themeColor="text1"/>
          <w:kern w:val="0"/>
          <w:sz w:val="21"/>
          <w:szCs w:val="21"/>
          <w14:textFill>
            <w14:solidFill>
              <w14:schemeClr w14:val="tx1"/>
            </w14:solidFill>
          </w14:textFill>
        </w:rPr>
        <w:t>与某产品相同</w:t>
      </w:r>
      <w:r>
        <w:rPr>
          <w:rFonts w:hint="eastAsia" w:ascii="宋体" w:hAnsi="宋体"/>
          <w:bCs/>
          <w:color w:val="000000" w:themeColor="text1"/>
          <w:kern w:val="0"/>
          <w:sz w:val="21"/>
          <w:szCs w:val="21"/>
          <w14:textFill>
            <w14:solidFill>
              <w14:schemeClr w14:val="tx1"/>
            </w14:solidFill>
          </w14:textFill>
        </w:rPr>
        <w:t>时</w:t>
      </w:r>
      <w:r>
        <w:rPr>
          <w:rFonts w:ascii="宋体" w:hAnsi="宋体"/>
          <w:bCs/>
          <w:color w:val="000000" w:themeColor="text1"/>
          <w:kern w:val="0"/>
          <w:sz w:val="21"/>
          <w:szCs w:val="21"/>
          <w14:textFill>
            <w14:solidFill>
              <w14:schemeClr w14:val="tx1"/>
            </w14:solidFill>
          </w14:textFill>
        </w:rPr>
        <w:t>仅</w:t>
      </w:r>
      <w:r>
        <w:rPr>
          <w:rFonts w:hint="eastAsia" w:ascii="宋体" w:hAnsi="宋体"/>
          <w:bCs/>
          <w:color w:val="000000" w:themeColor="text1"/>
          <w:kern w:val="0"/>
          <w:sz w:val="21"/>
          <w:szCs w:val="21"/>
          <w14:textFill>
            <w14:solidFill>
              <w14:schemeClr w14:val="tx1"/>
            </w14:solidFill>
          </w14:textFill>
        </w:rPr>
        <w:t>作为</w:t>
      </w:r>
      <w:r>
        <w:rPr>
          <w:rFonts w:ascii="宋体" w:hAnsi="宋体"/>
          <w:bCs/>
          <w:color w:val="000000" w:themeColor="text1"/>
          <w:kern w:val="0"/>
          <w:sz w:val="21"/>
          <w:szCs w:val="21"/>
          <w14:textFill>
            <w14:solidFill>
              <w14:schemeClr w14:val="tx1"/>
            </w14:solidFill>
          </w14:textFill>
        </w:rPr>
        <w:t>投标人选择</w:t>
      </w:r>
      <w:r>
        <w:rPr>
          <w:rFonts w:hint="eastAsia" w:ascii="宋体" w:hAnsi="宋体"/>
          <w:bCs/>
          <w:color w:val="000000" w:themeColor="text1"/>
          <w:kern w:val="0"/>
          <w:sz w:val="21"/>
          <w:szCs w:val="21"/>
          <w14:textFill>
            <w14:solidFill>
              <w14:schemeClr w14:val="tx1"/>
            </w14:solidFill>
          </w14:textFill>
        </w:rPr>
        <w:t>投标产品</w:t>
      </w:r>
      <w:r>
        <w:rPr>
          <w:rFonts w:ascii="宋体" w:hAnsi="宋体"/>
          <w:bCs/>
          <w:color w:val="000000" w:themeColor="text1"/>
          <w:kern w:val="0"/>
          <w:sz w:val="21"/>
          <w:szCs w:val="21"/>
          <w14:textFill>
            <w14:solidFill>
              <w14:schemeClr w14:val="tx1"/>
            </w14:solidFill>
          </w14:textFill>
        </w:rPr>
        <w:t>时在质量水平上</w:t>
      </w:r>
      <w:r>
        <w:rPr>
          <w:rFonts w:hint="eastAsia" w:ascii="宋体" w:hAnsi="宋体"/>
          <w:bCs/>
          <w:color w:val="000000" w:themeColor="text1"/>
          <w:kern w:val="0"/>
          <w:sz w:val="21"/>
          <w:szCs w:val="21"/>
          <w14:textFill>
            <w14:solidFill>
              <w14:schemeClr w14:val="tx1"/>
            </w14:solidFill>
          </w14:textFill>
        </w:rPr>
        <w:t>的</w:t>
      </w:r>
      <w:r>
        <w:rPr>
          <w:rFonts w:ascii="宋体" w:hAnsi="宋体"/>
          <w:bCs/>
          <w:color w:val="000000" w:themeColor="text1"/>
          <w:kern w:val="0"/>
          <w:sz w:val="21"/>
          <w:szCs w:val="21"/>
          <w14:textFill>
            <w14:solidFill>
              <w14:schemeClr w14:val="tx1"/>
            </w14:solidFill>
          </w14:textFill>
        </w:rPr>
        <w:t>参考，不</w:t>
      </w:r>
      <w:r>
        <w:rPr>
          <w:rFonts w:hint="eastAsia" w:ascii="宋体" w:hAnsi="宋体"/>
          <w:bCs/>
          <w:color w:val="000000" w:themeColor="text1"/>
          <w:kern w:val="0"/>
          <w:sz w:val="21"/>
          <w:szCs w:val="21"/>
          <w14:textFill>
            <w14:solidFill>
              <w14:schemeClr w14:val="tx1"/>
            </w14:solidFill>
          </w14:textFill>
        </w:rPr>
        <w:t>强</w:t>
      </w:r>
      <w:r>
        <w:rPr>
          <w:rFonts w:ascii="宋体" w:hAnsi="宋体"/>
          <w:bCs/>
          <w:color w:val="000000" w:themeColor="text1"/>
          <w:kern w:val="0"/>
          <w:sz w:val="21"/>
          <w:szCs w:val="21"/>
          <w14:textFill>
            <w14:solidFill>
              <w14:schemeClr w14:val="tx1"/>
            </w14:solidFill>
          </w14:textFill>
        </w:rPr>
        <w:t>制</w:t>
      </w:r>
      <w:r>
        <w:rPr>
          <w:rFonts w:hint="eastAsia" w:ascii="宋体" w:hAnsi="宋体"/>
          <w:bCs/>
          <w:color w:val="000000" w:themeColor="text1"/>
          <w:kern w:val="0"/>
          <w:sz w:val="21"/>
          <w:szCs w:val="21"/>
          <w14:textFill>
            <w14:solidFill>
              <w14:schemeClr w14:val="tx1"/>
            </w14:solidFill>
          </w14:textFill>
        </w:rPr>
        <w:t>采购某一特定产品</w:t>
      </w:r>
      <w:r>
        <w:rPr>
          <w:rFonts w:ascii="宋体" w:hAnsi="宋体"/>
          <w:bCs/>
          <w:color w:val="000000" w:themeColor="text1"/>
          <w:kern w:val="0"/>
          <w:sz w:val="21"/>
          <w:szCs w:val="21"/>
          <w14:textFill>
            <w14:solidFill>
              <w14:schemeClr w14:val="tx1"/>
            </w14:solidFill>
          </w14:textFill>
        </w:rPr>
        <w:t>，投标人可提供</w:t>
      </w:r>
      <w:r>
        <w:rPr>
          <w:rFonts w:hint="eastAsia" w:ascii="宋体" w:hAnsi="宋体"/>
          <w:bCs/>
          <w:color w:val="000000" w:themeColor="text1"/>
          <w:kern w:val="0"/>
          <w:sz w:val="21"/>
          <w:szCs w:val="21"/>
          <w14:textFill>
            <w14:solidFill>
              <w14:schemeClr w14:val="tx1"/>
            </w14:solidFill>
          </w14:textFill>
        </w:rPr>
        <w:t>符合采购需求</w:t>
      </w:r>
      <w:r>
        <w:rPr>
          <w:rFonts w:ascii="宋体" w:hAnsi="宋体"/>
          <w:bCs/>
          <w:color w:val="000000" w:themeColor="text1"/>
          <w:kern w:val="0"/>
          <w:sz w:val="21"/>
          <w:szCs w:val="21"/>
          <w14:textFill>
            <w14:solidFill>
              <w14:schemeClr w14:val="tx1"/>
            </w14:solidFill>
          </w14:textFill>
        </w:rPr>
        <w:t>或</w:t>
      </w:r>
      <w:r>
        <w:rPr>
          <w:rFonts w:hint="eastAsia" w:ascii="宋体" w:hAnsi="宋体"/>
          <w:bCs/>
          <w:color w:val="000000" w:themeColor="text1"/>
          <w:kern w:val="0"/>
          <w:sz w:val="21"/>
          <w:szCs w:val="21"/>
          <w14:textFill>
            <w14:solidFill>
              <w14:schemeClr w14:val="tx1"/>
            </w14:solidFill>
          </w14:textFill>
        </w:rPr>
        <w:t>更</w:t>
      </w:r>
      <w:r>
        <w:rPr>
          <w:rFonts w:ascii="宋体" w:hAnsi="宋体"/>
          <w:bCs/>
          <w:color w:val="000000" w:themeColor="text1"/>
          <w:kern w:val="0"/>
          <w:sz w:val="21"/>
          <w:szCs w:val="21"/>
          <w14:textFill>
            <w14:solidFill>
              <w14:schemeClr w14:val="tx1"/>
            </w14:solidFill>
          </w14:textFill>
        </w:rPr>
        <w:t>优</w:t>
      </w:r>
      <w:r>
        <w:rPr>
          <w:rFonts w:hint="eastAsia" w:ascii="宋体" w:hAnsi="宋体"/>
          <w:bCs/>
          <w:color w:val="000000" w:themeColor="text1"/>
          <w:kern w:val="0"/>
          <w:sz w:val="21"/>
          <w:szCs w:val="21"/>
          <w14:textFill>
            <w14:solidFill>
              <w14:schemeClr w14:val="tx1"/>
            </w14:solidFill>
          </w14:textFill>
        </w:rPr>
        <w:t>的产品及</w:t>
      </w:r>
      <w:r>
        <w:rPr>
          <w:rFonts w:ascii="宋体" w:hAnsi="宋体"/>
          <w:bCs/>
          <w:color w:val="000000" w:themeColor="text1"/>
          <w:kern w:val="0"/>
          <w:sz w:val="21"/>
          <w:szCs w:val="21"/>
          <w14:textFill>
            <w14:solidFill>
              <w14:schemeClr w14:val="tx1"/>
            </w14:solidFill>
          </w14:textFill>
        </w:rPr>
        <w:t>方案</w:t>
      </w:r>
      <w:r>
        <w:rPr>
          <w:rFonts w:ascii="宋体" w:hAnsi="宋体"/>
          <w:color w:val="000000" w:themeColor="text1"/>
          <w:kern w:val="0"/>
          <w:sz w:val="21"/>
          <w:szCs w:val="21"/>
          <w14:textFill>
            <w14:solidFill>
              <w14:schemeClr w14:val="tx1"/>
            </w14:solidFill>
          </w14:textFill>
        </w:rPr>
        <w:t>。</w:t>
      </w:r>
    </w:p>
    <w:p>
      <w:pPr>
        <w:widowControl/>
        <w:numPr>
          <w:ilvl w:val="2"/>
          <w:numId w:val="1"/>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本次采购内容如果要求的某些技术标准低于国家标准，均以最新的国家标准为准。招标技术要求中未明确的技术标准也均不得低于国家标准；</w:t>
      </w:r>
    </w:p>
    <w:p>
      <w:pPr>
        <w:pStyle w:val="2"/>
        <w:ind w:left="0" w:leftChars="0" w:firstLine="422" w:firstLineChars="200"/>
        <w:rPr>
          <w:rFonts w:hint="eastAsia"/>
          <w:b/>
          <w:bCs/>
          <w:color w:val="000000" w:themeColor="text1"/>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本次采购产品如在国家强制性认证范围内的必须取得国家强制性CCC认证（提供CCC认证证书）。</w:t>
      </w:r>
    </w:p>
    <w:p>
      <w:pPr>
        <w:widowControl/>
        <w:numPr>
          <w:ilvl w:val="2"/>
          <w:numId w:val="1"/>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ascii="宋体" w:hAnsi="宋体"/>
          <w:color w:val="000000" w:themeColor="text1"/>
          <w:kern w:val="0"/>
          <w:sz w:val="21"/>
          <w:szCs w:val="21"/>
          <w14:textFill>
            <w14:solidFill>
              <w14:schemeClr w14:val="tx1"/>
            </w14:solidFill>
          </w14:textFill>
        </w:rPr>
        <w:t>本采购项目为交钥匙项目，</w:t>
      </w:r>
      <w:r>
        <w:rPr>
          <w:rFonts w:hint="eastAsia" w:ascii="宋体" w:hAnsi="宋体"/>
          <w:color w:val="000000" w:themeColor="text1"/>
          <w:kern w:val="0"/>
          <w:sz w:val="21"/>
          <w:szCs w:val="21"/>
          <w14:textFill>
            <w14:solidFill>
              <w14:schemeClr w14:val="tx1"/>
            </w14:solidFill>
          </w14:textFill>
        </w:rPr>
        <w:t>验收合格前</w:t>
      </w:r>
      <w:r>
        <w:rPr>
          <w:rFonts w:ascii="宋体" w:hAnsi="宋体"/>
          <w:color w:val="000000" w:themeColor="text1"/>
          <w:kern w:val="0"/>
          <w:sz w:val="21"/>
          <w:szCs w:val="21"/>
          <w14:textFill>
            <w14:solidFill>
              <w14:schemeClr w14:val="tx1"/>
            </w14:solidFill>
          </w14:textFill>
        </w:rPr>
        <w:t>所需的一切费用</w:t>
      </w:r>
      <w:r>
        <w:rPr>
          <w:rFonts w:hint="eastAsia" w:ascii="宋体" w:hAnsi="宋体"/>
          <w:color w:val="000000" w:themeColor="text1"/>
          <w:kern w:val="0"/>
          <w:sz w:val="21"/>
          <w:szCs w:val="21"/>
          <w14:textFill>
            <w14:solidFill>
              <w14:schemeClr w14:val="tx1"/>
            </w14:solidFill>
          </w14:textFill>
        </w:rPr>
        <w:t>均</w:t>
      </w:r>
      <w:r>
        <w:rPr>
          <w:rFonts w:ascii="宋体" w:hAnsi="宋体"/>
          <w:color w:val="000000" w:themeColor="text1"/>
          <w:kern w:val="0"/>
          <w:sz w:val="21"/>
          <w:szCs w:val="21"/>
          <w14:textFill>
            <w14:solidFill>
              <w14:schemeClr w14:val="tx1"/>
            </w14:solidFill>
          </w14:textFill>
        </w:rPr>
        <w:t>包含在报价之中，采购人不</w:t>
      </w:r>
      <w:r>
        <w:rPr>
          <w:rFonts w:hint="eastAsia" w:ascii="宋体" w:hAnsi="宋体"/>
          <w:color w:val="000000" w:themeColor="text1"/>
          <w:kern w:val="0"/>
          <w:sz w:val="21"/>
          <w:szCs w:val="21"/>
          <w14:textFill>
            <w14:solidFill>
              <w14:schemeClr w14:val="tx1"/>
            </w14:solidFill>
          </w14:textFill>
        </w:rPr>
        <w:t>承担成交价格以外的</w:t>
      </w:r>
      <w:r>
        <w:rPr>
          <w:rFonts w:ascii="宋体" w:hAnsi="宋体"/>
          <w:color w:val="000000" w:themeColor="text1"/>
          <w:kern w:val="0"/>
          <w:sz w:val="21"/>
          <w:szCs w:val="21"/>
          <w14:textFill>
            <w14:solidFill>
              <w14:schemeClr w14:val="tx1"/>
            </w14:solidFill>
          </w14:textFill>
        </w:rPr>
        <w:t>任何费用。</w:t>
      </w:r>
    </w:p>
    <w:p>
      <w:pPr>
        <w:widowControl/>
        <w:adjustRightInd w:val="0"/>
        <w:spacing w:line="360" w:lineRule="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二、商务要求：</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合同履行期限：</w:t>
      </w:r>
      <w:r>
        <w:rPr>
          <w:rFonts w:hint="eastAsia" w:ascii="宋体" w:hAnsi="宋体"/>
          <w:color w:val="000000" w:themeColor="text1"/>
          <w:sz w:val="21"/>
          <w:szCs w:val="21"/>
          <w:lang w:val="en-US" w:eastAsia="zh-CN"/>
          <w14:textFill>
            <w14:solidFill>
              <w14:schemeClr w14:val="tx1"/>
            </w14:solidFill>
          </w14:textFill>
        </w:rPr>
        <w:t>30天</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供货地点：</w:t>
      </w:r>
      <w:r>
        <w:rPr>
          <w:rFonts w:hint="eastAsia" w:ascii="宋体" w:hAnsi="宋体"/>
          <w:color w:val="000000" w:themeColor="text1"/>
          <w:sz w:val="21"/>
          <w:szCs w:val="21"/>
          <w:highlight w:val="none"/>
          <w:lang w:eastAsia="zh-CN"/>
          <w14:textFill>
            <w14:solidFill>
              <w14:schemeClr w14:val="tx1"/>
            </w14:solidFill>
          </w14:textFill>
        </w:rPr>
        <w:t>武陟县农业农村局</w:t>
      </w:r>
      <w:r>
        <w:rPr>
          <w:rFonts w:hint="eastAsia" w:ascii="宋体" w:hAnsi="宋体"/>
          <w:color w:val="000000" w:themeColor="text1"/>
          <w:sz w:val="21"/>
          <w:szCs w:val="21"/>
          <w:lang w:val="en-US" w:eastAsia="zh-CN"/>
          <w14:textFill>
            <w14:solidFill>
              <w14:schemeClr w14:val="tx1"/>
            </w14:solidFill>
          </w14:textFill>
        </w:rPr>
        <w:t>。</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质量标准：</w:t>
      </w:r>
      <w:r>
        <w:rPr>
          <w:rFonts w:hint="eastAsia" w:ascii="宋体" w:hAnsi="宋体"/>
          <w:color w:val="000000" w:themeColor="text1"/>
          <w:sz w:val="21"/>
          <w:szCs w:val="21"/>
          <w:lang w:val="en-US" w:eastAsia="zh-CN"/>
          <w14:textFill>
            <w14:solidFill>
              <w14:schemeClr w14:val="tx1"/>
            </w14:solidFill>
          </w14:textFill>
        </w:rPr>
        <w:t>符合国家及行业有关标准。</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质量保证期：</w:t>
      </w:r>
      <w:r>
        <w:rPr>
          <w:rFonts w:hint="eastAsia" w:ascii="宋体" w:hAnsi="宋体"/>
          <w:color w:val="000000" w:themeColor="text1"/>
          <w:sz w:val="21"/>
          <w:szCs w:val="21"/>
          <w:lang w:val="en-US" w:eastAsia="zh-CN"/>
          <w14:textFill>
            <w14:solidFill>
              <w14:schemeClr w14:val="tx1"/>
            </w14:solidFill>
          </w14:textFill>
        </w:rPr>
        <w:t>一年</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付款方式：</w:t>
      </w:r>
      <w:r>
        <w:rPr>
          <w:rFonts w:hint="eastAsia" w:ascii="宋体" w:hAnsi="宋体"/>
          <w:color w:val="000000" w:themeColor="text1"/>
          <w:sz w:val="21"/>
          <w:szCs w:val="21"/>
          <w:lang w:val="en-US" w:eastAsia="zh-CN"/>
          <w14:textFill>
            <w14:solidFill>
              <w14:schemeClr w14:val="tx1"/>
            </w14:solidFill>
          </w14:textFill>
        </w:rPr>
        <w:t>项目货物送到指定地点,全部安装完成并验收合格后，三个月内付合同款的95%；剩余5%作为质量保证金。自项目验收合格之日起，经一年使用后，</w:t>
      </w:r>
      <w:r>
        <w:rPr>
          <w:rFonts w:hint="eastAsia" w:ascii="宋体" w:hAnsi="宋体"/>
          <w:color w:val="000000" w:themeColor="text1"/>
          <w:sz w:val="21"/>
          <w:szCs w:val="21"/>
          <w14:textFill>
            <w14:solidFill>
              <w14:schemeClr w14:val="tx1"/>
            </w14:solidFill>
          </w14:textFill>
        </w:rPr>
        <w:t>实施效果达到项目设计要求的，</w:t>
      </w:r>
      <w:r>
        <w:rPr>
          <w:rFonts w:hint="eastAsia" w:ascii="宋体" w:hAnsi="宋体"/>
          <w:color w:val="000000" w:themeColor="text1"/>
          <w:sz w:val="21"/>
          <w:szCs w:val="21"/>
          <w:lang w:val="en-US" w:eastAsia="zh-CN"/>
          <w14:textFill>
            <w14:solidFill>
              <w14:schemeClr w14:val="tx1"/>
            </w14:solidFill>
          </w14:textFill>
        </w:rPr>
        <w:t>无质量问题，付总货款5%质保金（无息）。</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履约保证金：中标人与采购人签订合同前，需向采购人交纳中标金额的</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3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作为履约保证金，合同履行结束，经验收合格后退还。</w:t>
      </w:r>
    </w:p>
    <w:p>
      <w:pPr>
        <w:widowControl/>
        <w:numPr>
          <w:ilvl w:val="0"/>
          <w:numId w:val="0"/>
        </w:numPr>
        <w:adjustRightInd w:val="0"/>
        <w:spacing w:line="360" w:lineRule="auto"/>
        <w:ind w:leftChars="200"/>
        <w:jc w:val="left"/>
        <w:rPr>
          <w:rFonts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lang w:val="en-US" w:eastAsia="zh-CN"/>
          <w14:textFill>
            <w14:solidFill>
              <w14:schemeClr w14:val="tx1"/>
            </w14:solidFill>
          </w14:textFill>
        </w:rPr>
        <w:t>7、</w:t>
      </w:r>
      <w:r>
        <w:rPr>
          <w:rFonts w:hint="eastAsia" w:ascii="宋体" w:hAnsi="宋体"/>
          <w:color w:val="000000" w:themeColor="text1"/>
          <w:kern w:val="0"/>
          <w:sz w:val="21"/>
          <w:szCs w:val="21"/>
          <w14:textFill>
            <w14:solidFill>
              <w14:schemeClr w14:val="tx1"/>
            </w14:solidFill>
          </w14:textFill>
        </w:rPr>
        <w:t>商品包装要求：</w:t>
      </w:r>
    </w:p>
    <w:p>
      <w:pPr>
        <w:widowControl/>
        <w:spacing w:line="360" w:lineRule="auto"/>
        <w:rPr>
          <w:rFonts w:hint="eastAsia" w:ascii="宋体" w:hAnsi="宋体"/>
          <w:color w:val="000000" w:themeColor="text1"/>
          <w:kern w:val="0"/>
          <w:sz w:val="21"/>
          <w:szCs w:val="21"/>
          <w:lang w:bidi="ar"/>
          <w14:textFill>
            <w14:solidFill>
              <w14:schemeClr w14:val="tx1"/>
            </w14:solidFill>
          </w14:textFill>
        </w:rPr>
      </w:pPr>
      <w:r>
        <w:rPr>
          <w:rFonts w:hint="eastAsia" w:ascii="黑体" w:hAnsi="宋体" w:eastAsia="黑体" w:cs="黑体"/>
          <w:color w:val="000000" w:themeColor="text1"/>
          <w:kern w:val="0"/>
          <w:sz w:val="21"/>
          <w:szCs w:val="21"/>
          <w:lang w:bidi="ar"/>
          <w14:textFill>
            <w14:solidFill>
              <w14:schemeClr w14:val="tx1"/>
            </w14:solidFill>
          </w14:textFill>
        </w:rPr>
        <w:t xml:space="preserve">    </w:t>
      </w:r>
      <w:r>
        <w:rPr>
          <w:rFonts w:hint="eastAsia" w:ascii="黑体" w:hAnsi="宋体" w:eastAsia="黑体" w:cs="黑体"/>
          <w:color w:val="000000" w:themeColor="text1"/>
          <w:kern w:val="0"/>
          <w:sz w:val="21"/>
          <w:szCs w:val="21"/>
          <w:lang w:val="en-US" w:eastAsia="zh-CN" w:bidi="ar"/>
          <w14:textFill>
            <w14:solidFill>
              <w14:schemeClr w14:val="tx1"/>
            </w14:solidFill>
          </w14:textFill>
        </w:rPr>
        <w:t>7.1</w:t>
      </w:r>
      <w:r>
        <w:rPr>
          <w:rFonts w:hint="eastAsia" w:ascii="宋体" w:hAnsi="宋体"/>
          <w:color w:val="000000" w:themeColor="text1"/>
          <w:kern w:val="0"/>
          <w:sz w:val="21"/>
          <w:szCs w:val="21"/>
          <w:lang w:bidi="ar"/>
          <w14:textFill>
            <w14:solidFill>
              <w14:schemeClr w14:val="tx1"/>
            </w14:solidFill>
          </w14:textFill>
        </w:rPr>
        <w:t xml:space="preserve">适用范围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本标准规定了商品使用的塑料、纸质、木质等包装材料的环保要求。 </w:t>
      </w:r>
    </w:p>
    <w:p>
      <w:pPr>
        <w:widowControl/>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    </w:t>
      </w:r>
      <w:r>
        <w:rPr>
          <w:rFonts w:hint="eastAsia" w:ascii="宋体" w:hAnsi="宋体"/>
          <w:color w:val="000000" w:themeColor="text1"/>
          <w:kern w:val="0"/>
          <w:sz w:val="21"/>
          <w:szCs w:val="21"/>
          <w:lang w:val="en-US" w:eastAsia="zh-CN" w:bidi="ar"/>
          <w14:textFill>
            <w14:solidFill>
              <w14:schemeClr w14:val="tx1"/>
            </w14:solidFill>
          </w14:textFill>
        </w:rPr>
        <w:t>7.2</w:t>
      </w:r>
      <w:r>
        <w:rPr>
          <w:rFonts w:hint="eastAsia" w:ascii="宋体" w:hAnsi="宋体"/>
          <w:color w:val="000000" w:themeColor="text1"/>
          <w:kern w:val="0"/>
          <w:sz w:val="21"/>
          <w:szCs w:val="21"/>
          <w:lang w:bidi="ar"/>
          <w14:textFill>
            <w14:solidFill>
              <w14:schemeClr w14:val="tx1"/>
            </w14:solidFill>
          </w14:textFill>
        </w:rPr>
        <w:t xml:space="preserve">商品包装环保要求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（1）商品包装层数不得超过 3 层，空隙率不大于 40%；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（3）商品包装中铅、汞、镉、六价铬的总含量应不大于100mg/kg；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（4）商品包装印刷使用的油墨中挥发性有机化合物(VOCs)含量应不大于 5%（以重量计）；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（5）塑料材质商品包装上呈现的印刷颜色不得超过6色；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（6）纸质商品包装应使用75%以上的可再生纤维原料生产； </w:t>
      </w:r>
    </w:p>
    <w:p>
      <w:pPr>
        <w:widowControl/>
        <w:spacing w:line="360" w:lineRule="auto"/>
        <w:ind w:firstLine="420" w:firstLineChars="200"/>
        <w:rPr>
          <w:color w:val="000000" w:themeColor="text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（7）木质商品包装的原料应来源于可持续性森林。 </w:t>
      </w:r>
    </w:p>
    <w:p>
      <w:pPr>
        <w:widowControl/>
        <w:adjustRightInd w:val="0"/>
        <w:spacing w:line="360" w:lineRule="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lang w:eastAsia="zh-CN"/>
          <w14:textFill>
            <w14:solidFill>
              <w14:schemeClr w14:val="tx1"/>
            </w14:solidFill>
          </w14:textFill>
        </w:rPr>
        <w:t>三</w:t>
      </w:r>
      <w:r>
        <w:rPr>
          <w:rFonts w:hint="eastAsia" w:ascii="宋体" w:hAnsi="宋体"/>
          <w:b/>
          <w:color w:val="000000" w:themeColor="text1"/>
          <w:kern w:val="0"/>
          <w:sz w:val="21"/>
          <w:szCs w:val="21"/>
          <w14:textFill>
            <w14:solidFill>
              <w14:schemeClr w14:val="tx1"/>
            </w14:solidFill>
          </w14:textFill>
        </w:rPr>
        <w:t>、采购内容及技术要求</w:t>
      </w:r>
    </w:p>
    <w:p>
      <w:pPr>
        <w:spacing w:line="360" w:lineRule="auto"/>
        <w:ind w:firstLine="420" w:firstLineChars="200"/>
        <w:jc w:val="left"/>
        <w:rPr>
          <w:rFonts w:hint="eastAsia" w:ascii="宋体" w:hAnsi="宋体"/>
          <w:color w:val="000000" w:themeColor="text1"/>
          <w:sz w:val="21"/>
          <w:szCs w:val="21"/>
          <w:highlight w:val="none"/>
          <w:shd w:val="clear" w:color="auto" w:fill="FFFF00"/>
          <w:lang w:eastAsia="zh-CN"/>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1.本项目的核心产品为：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bCs/>
          <w:color w:val="000000" w:themeColor="text1"/>
          <w:kern w:val="0"/>
          <w:sz w:val="21"/>
          <w:szCs w:val="21"/>
          <w:u w:val="single"/>
          <w14:textFill>
            <w14:solidFill>
              <w14:schemeClr w14:val="tx1"/>
            </w14:solidFill>
          </w14:textFill>
        </w:rPr>
        <w:t>视频会议</w:t>
      </w:r>
      <w:r>
        <w:rPr>
          <w:rFonts w:hint="eastAsia" w:ascii="宋体" w:hAnsi="宋体"/>
          <w:bCs/>
          <w:color w:val="000000" w:themeColor="text1"/>
          <w:kern w:val="0"/>
          <w:sz w:val="21"/>
          <w:szCs w:val="21"/>
          <w:u w:val="single"/>
          <w:lang w:eastAsia="zh-CN"/>
          <w14:textFill>
            <w14:solidFill>
              <w14:schemeClr w14:val="tx1"/>
            </w14:solidFill>
          </w14:textFill>
        </w:rPr>
        <w:t>终端</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（核</w:t>
      </w:r>
      <w:r>
        <w:rPr>
          <w:rFonts w:hint="eastAsia" w:ascii="宋体" w:hAnsi="宋体"/>
          <w:color w:val="000000" w:themeColor="text1"/>
          <w:sz w:val="21"/>
          <w:szCs w:val="21"/>
          <w:highlight w:val="none"/>
          <w14:textFill>
            <w14:solidFill>
              <w14:schemeClr w14:val="tx1"/>
            </w14:solidFill>
          </w14:textFill>
        </w:rPr>
        <w:t>心产品仅适用于本项目同一品牌的认定，同一品牌的认定详见投标人须</w:t>
      </w:r>
      <w:r>
        <w:rPr>
          <w:rFonts w:hint="eastAsia" w:ascii="宋体" w:hAnsi="宋体"/>
          <w:color w:val="000000" w:themeColor="text1"/>
          <w:sz w:val="21"/>
          <w:szCs w:val="21"/>
          <w:highlight w:val="none"/>
          <w:shd w:val="clear" w:color="auto" w:fill="auto"/>
          <w14:textFill>
            <w14:solidFill>
              <w14:schemeClr w14:val="tx1"/>
            </w14:solidFill>
          </w14:textFill>
        </w:rPr>
        <w:t>知）</w:t>
      </w:r>
      <w:r>
        <w:rPr>
          <w:rFonts w:hint="eastAsia" w:ascii="宋体" w:hAnsi="宋体"/>
          <w:color w:val="000000" w:themeColor="text1"/>
          <w:sz w:val="21"/>
          <w:szCs w:val="21"/>
          <w:highlight w:val="none"/>
          <w:shd w:val="clear" w:color="auto" w:fill="auto"/>
          <w:lang w:eastAsia="zh-CN"/>
          <w14:textFill>
            <w14:solidFill>
              <w14:schemeClr w14:val="tx1"/>
            </w14:solidFill>
          </w14:textFill>
        </w:rPr>
        <w:t>。</w:t>
      </w:r>
    </w:p>
    <w:tbl>
      <w:tblPr>
        <w:tblStyle w:val="7"/>
        <w:tblW w:w="93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6"/>
        <w:gridCol w:w="1281"/>
        <w:gridCol w:w="5781"/>
        <w:gridCol w:w="784"/>
        <w:gridCol w:w="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序号</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设备名称</w:t>
            </w:r>
          </w:p>
        </w:tc>
        <w:tc>
          <w:tcPr>
            <w:tcW w:w="57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技术参数</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数量/</w:t>
            </w:r>
            <w:r>
              <w:rPr>
                <w:rFonts w:hint="eastAsia" w:ascii="宋体" w:hAnsi="宋体"/>
                <w:bCs/>
                <w:color w:val="000000" w:themeColor="text1"/>
                <w:kern w:val="0"/>
                <w:sz w:val="21"/>
                <w:szCs w:val="21"/>
                <w:u w:val="none"/>
                <w14:textFill>
                  <w14:solidFill>
                    <w14:schemeClr w14:val="tx1"/>
                  </w14:solidFill>
                </w14:textFill>
              </w:rPr>
              <w:t>单位</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29" w:type="dxa"/>
            <w:gridSpan w:val="5"/>
            <w:vAlign w:val="center"/>
          </w:tcPr>
          <w:p>
            <w:pPr>
              <w:widowControl/>
              <w:adjustRightInd w:val="0"/>
              <w:spacing w:line="360" w:lineRule="auto"/>
              <w:jc w:val="left"/>
              <w:rPr>
                <w:color w:val="000000" w:themeColor="text1"/>
                <w:u w:val="none"/>
                <w14:textFill>
                  <w14:solidFill>
                    <w14:schemeClr w14:val="tx1"/>
                  </w14:solidFill>
                </w14:textFill>
              </w:rPr>
            </w:pPr>
            <w:r>
              <w:rPr>
                <w:rFonts w:hint="eastAsia" w:ascii="宋体" w:hAnsi="宋体"/>
                <w:b/>
                <w:color w:val="000000" w:themeColor="text1"/>
                <w:kern w:val="0"/>
                <w:sz w:val="21"/>
                <w:szCs w:val="21"/>
                <w:u w:val="none"/>
                <w14:textFill>
                  <w14:solidFill>
                    <w14:schemeClr w14:val="tx1"/>
                  </w14:solidFill>
                </w14:textFill>
              </w:rPr>
              <w:t>A、渔业信息化建设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ascii="宋体" w:hAnsi="宋体"/>
                <w:bCs/>
                <w:color w:val="000000" w:themeColor="text1"/>
                <w:kern w:val="0"/>
                <w:sz w:val="21"/>
                <w:szCs w:val="21"/>
                <w:u w:val="none"/>
                <w14:textFill>
                  <w14:solidFill>
                    <w14:schemeClr w14:val="tx1"/>
                  </w14:solidFill>
                </w14:textFill>
              </w:rPr>
              <w:t>LED显示器</w:t>
            </w:r>
          </w:p>
        </w:tc>
        <w:tc>
          <w:tcPr>
            <w:tcW w:w="5781" w:type="dxa"/>
            <w:vAlign w:val="center"/>
          </w:tcPr>
          <w:p>
            <w:pPr>
              <w:widowControl/>
              <w:numPr>
                <w:ilvl w:val="0"/>
                <w:numId w:val="3"/>
              </w:numPr>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室内单色显示屏</w:t>
            </w:r>
          </w:p>
          <w:p>
            <w:pPr>
              <w:widowControl/>
              <w:numPr>
                <w:ilvl w:val="0"/>
                <w:numId w:val="3"/>
              </w:numPr>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像素点间距:≤5.0mm；像素密度:≥17200Dots/m；模组分辨率:≥64*32=2048Dots；</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3、供电系统保护功能:过载/短路保护 输入电压/输入频率:176-264VAC/47-63HZ 漏电流&lt;3.5mA/240VAC 浪涌电流冷启动60A/230VAC 110～165% rated 打嗝模式，消除过载后可自动恢复正常工作，</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4、工作温度及湿度：-20～70℃ 20%～95% RH不凝露；</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5、储存温湿度：-30℃～85℃，10%～95% RH不凝露；</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6、振动频率范围：10～500Hz,</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7、加速度：2G</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8、海拔高度：2000mtrs (2000m以上，每升高100 m，环境温度降低 0.6℃)</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9、25℃环境下:250000Hrs，MIL-217 Method 台 800 45 36000；</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10、尺寸：根据现场情况定制。</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76"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w:t>
            </w:r>
          </w:p>
        </w:tc>
        <w:tc>
          <w:tcPr>
            <w:tcW w:w="1281"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拼接屏</w:t>
            </w:r>
          </w:p>
        </w:tc>
        <w:tc>
          <w:tcPr>
            <w:tcW w:w="57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LCD显示单元为：≥46″液晶屏；物理分辨率达到1920×1080，响应时间≤8ms。LCD显示单元物理拼缝≤3.5mm，亮度达到≥500cd/㎡，对比度≤1200:1，亮度均匀性≥85%，色彩均匀性≥95%，可视角度：水平可视视角≥178度，垂直可视视角≥178度。待机功耗≤0.5W。内置MPEG,JPEG和REAL MEDIA解码器，支持点播U盘，移动硬盘中的视频，图片，音频或文字本资源。屏幕支持防灼烧功能。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（2）LCD显示单元具备智能温控功能，温度过高提醒功能；温度超过60℃，屏幕会进入休眠状态;温度降至50℃以下会被唤醒或者通过遥控器主动唤醒。</w:t>
            </w:r>
          </w:p>
          <w:p>
            <w:pPr>
              <w:widowControl/>
              <w:wordWrap w:val="0"/>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（3）LCD显示单元具备输入输出接口VGA×1，HDMI×1，DVI×1，USB*1,RS232,IN*1,RS232OUT*1,IR*1。</w:t>
            </w:r>
          </w:p>
          <w:p>
            <w:pPr>
              <w:widowControl/>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（4）液晶拼接屏必须采用整机设计，严禁使用飞线屏，显示屏具备完整后壳，不得以支架或挡板替代，无任何裸露在外的电路线。</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（5）用户可以选择显示默认开机LOGO、不显示LOGO。而且具有LOGO拼接技术，能实现开机LOGO拼接及开机高清底图拼接。</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9/块</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trPr>
        <w:tc>
          <w:tcPr>
            <w:tcW w:w="676"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大屏拼接专用控制软件</w:t>
            </w:r>
          </w:p>
        </w:tc>
        <w:tc>
          <w:tcPr>
            <w:tcW w:w="57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可实现视频信号、RGB信号等多种信号源的定义、管理、选择调用和切换显示；可以设定、存储和管理预案。</w:t>
            </w:r>
          </w:p>
        </w:tc>
        <w:tc>
          <w:tcPr>
            <w:tcW w:w="784"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1/套</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4</w:t>
            </w:r>
          </w:p>
        </w:tc>
        <w:tc>
          <w:tcPr>
            <w:tcW w:w="1281"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解码器</w:t>
            </w:r>
          </w:p>
        </w:tc>
        <w:tc>
          <w:tcPr>
            <w:tcW w:w="57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支持HDMI、BNC输出口解码输出；支持H.265、H.264、MPEG4、MJPEG、SmartH264、SmartH265等多种编码码流解码，解码性能强劲，最高支持1200W及以下分辨率的H.265/H.264码流解码，支持4K超高清输出，</w:t>
            </w:r>
          </w:p>
        </w:tc>
        <w:tc>
          <w:tcPr>
            <w:tcW w:w="784" w:type="dxa"/>
            <w:vAlign w:val="center"/>
          </w:tcPr>
          <w:p>
            <w:pPr>
              <w:widowControl/>
              <w:adjustRightInd w:val="0"/>
              <w:rPr>
                <w:rFonts w:hint="eastAsia"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676"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5</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固定支架</w:t>
            </w:r>
          </w:p>
        </w:tc>
        <w:tc>
          <w:tcPr>
            <w:tcW w:w="5781" w:type="dxa"/>
            <w:vAlign w:val="center"/>
          </w:tcPr>
          <w:p>
            <w:pPr>
              <w:widowControl/>
              <w:adjustRightInd w:val="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材料承重件采用车标1.5冷轧钢板，覆盖件全部采用国标1.2冷轧钢板，表面处理；采用酸洗，磷化 静电喷塑喷涂工艺，尺寸结合现场量身定作。</w:t>
            </w:r>
          </w:p>
        </w:tc>
        <w:tc>
          <w:tcPr>
            <w:tcW w:w="784"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9/单元</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trPr>
        <w:tc>
          <w:tcPr>
            <w:tcW w:w="676"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6</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配套电缆、视频线材及固件辅材</w:t>
            </w:r>
          </w:p>
        </w:tc>
        <w:tc>
          <w:tcPr>
            <w:tcW w:w="57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传导性强，可有效减少数据传输流失，避免产生错误信号。导体采用美观绞合镀锡铜，三基色信号线独立屏蔽结构，减少干扰，保证数据高速传输。</w:t>
            </w:r>
          </w:p>
        </w:tc>
        <w:tc>
          <w:tcPr>
            <w:tcW w:w="784"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1/批</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7</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高清摄像机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（1）采用一体化72.5°广角镜，≥12光学变焦。</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（2）采用高质量CMOS图像传感器，独具超高信噪比（≥55dB）</w:t>
            </w:r>
          </w:p>
          <w:p>
            <w:pPr>
              <w:widowControl/>
              <w:adjustRightInd w:val="0"/>
              <w:ind w:firstLine="420" w:firstLineChars="200"/>
              <w:rPr>
                <w:rFonts w:ascii="宋体" w:hAnsi="宋体"/>
                <w:bCs/>
                <w:color w:val="000000" w:themeColor="text1"/>
                <w:kern w:val="0"/>
                <w:sz w:val="21"/>
                <w:szCs w:val="21"/>
                <w:highlight w:val="yellow"/>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（3）分辨率1920×1080, 输出帧频最高60/50帧/秒。</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（4）提供DVI-I（兼容数字HDMI+模拟YPbPr色差分量）接口、3G-SDI接口，三路高清可同时输出。</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台</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8</w:t>
            </w:r>
          </w:p>
        </w:tc>
        <w:tc>
          <w:tcPr>
            <w:tcW w:w="1281"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会议话筒主机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（1）8路平衡式线路输出； 提供24bit/48kHz的杰出音质；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（2）优化的前级增益，具有0、6、30、36、42dB多级调节；支持自适应反馈消除（AFC）功能；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w:t>
            </w:r>
            <w:r>
              <w:rPr>
                <w:rFonts w:ascii="宋体" w:hAnsi="宋体"/>
                <w:bCs/>
                <w:color w:val="000000" w:themeColor="text1"/>
                <w:kern w:val="0"/>
                <w:sz w:val="21"/>
                <w:szCs w:val="21"/>
                <w:u w:val="none"/>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）支持以太网口轻松连接电脑及其他网络设备； RS-232双向串行控制接口、GPIO控制接口：</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（4）8路逻辑输入/输出，4路电压输入控制（可接 电位器或CLEAR CV4）；</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 支持TENDZONE全系列的RC面板，采用TCP/IP连接；采样频率：48kHz；输入到输出动态范围：106dB；</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（6）幻像供电：DC 48V；</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（7）输入共模抑制：75dBu @ +20dBu , 60Hz；</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（8）通道隔离度：106dB；频率响应：20Hz～20kHz (±0.5dB)；</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（9）最大输入增益:42dB；</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（10）输入阻抗:10KΩbalance；输出阻抗:100 ohm；最大输出电平:20dBu；</w:t>
            </w:r>
          </w:p>
          <w:p>
            <w:pPr>
              <w:widowControl/>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（11）工作电压：220VAC/50Hz；功率：60W。</w:t>
            </w:r>
          </w:p>
        </w:tc>
        <w:tc>
          <w:tcPr>
            <w:tcW w:w="784" w:type="dxa"/>
            <w:vAlign w:val="center"/>
          </w:tcPr>
          <w:p>
            <w:pPr>
              <w:widowControl/>
              <w:adjustRightInd w:val="0"/>
              <w:spacing w:line="360" w:lineRule="auto"/>
              <w:jc w:val="center"/>
              <w:rPr>
                <w:rFonts w:hint="eastAsia"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台</w:t>
            </w: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9</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eastAsia="宋体" w:cs="宋体"/>
                <w:bCs/>
                <w:color w:val="000000" w:themeColor="text1"/>
                <w:kern w:val="0"/>
                <w:sz w:val="21"/>
                <w:szCs w:val="21"/>
                <w:u w:val="none"/>
                <w:lang w:val="en-US" w:eastAsia="zh-CN"/>
                <w14:textFill>
                  <w14:solidFill>
                    <w14:schemeClr w14:val="tx1"/>
                  </w14:solidFill>
                </w14:textFill>
              </w:rPr>
              <w:t>有线阵列麦克风</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（1）内置≥6个麦克风阵列，波束成型，清晰采集发言人声音；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（2）采集范围：≥8米360度采音范围；</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（3）标准网口连接，支持PoE供电，简化布线，接口参数 网口 百兆，IEEE 802.3at PoE （麦克风）；</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（4）音频输入接口 Line In × 1，RJ45 × 2（转接盒）；音频输出接口 Line Out × 1（转接盒） ，传输线缆超五类网线，支持1～30米；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（5）工作温度 0～40℃；</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台</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10</w:t>
            </w:r>
          </w:p>
        </w:tc>
        <w:tc>
          <w:tcPr>
            <w:tcW w:w="1281"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视频会议</w:t>
            </w:r>
            <w:r>
              <w:rPr>
                <w:rFonts w:hint="eastAsia" w:ascii="宋体" w:hAnsi="宋体"/>
                <w:bCs/>
                <w:color w:val="000000" w:themeColor="text1"/>
                <w:kern w:val="0"/>
                <w:sz w:val="21"/>
                <w:szCs w:val="21"/>
                <w:u w:val="none"/>
                <w:lang w:eastAsia="zh-CN"/>
                <w14:textFill>
                  <w14:solidFill>
                    <w14:schemeClr w14:val="tx1"/>
                  </w14:solidFill>
                </w14:textFill>
              </w:rPr>
              <w:t>终端</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（1）分体式6进5出终端 (输出1个同源)，多路分体式视频会议终端，采用分体式设计，支持6路视频输入和5路视频输出，支持6路音频输入和5路音频输出，支持4K高清和H.265编解码。</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（2）视频输入支持不少于：2个HDMI音视频输入接口，2个DVI-I视音频输入接口，2个3G-SDI视频输入接口；输出不少于：2个HDMI视音频输出接口，2个DVI-I视音频输出接口/1个3G-SDI视频输出接口。</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（3）支持H.323、SIP等通讯协议的设置。</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（4）支持低带宽处理能力，在1.5Mbps带宽下支持4K@30fp格式的视频，在768Kbps带宽下支持1080P@60fps格式的视频，在 384Kbps带宽下支持1080P@30fps格式的视频，在192Kbps带宽下支持720P@30fps格式的视频。</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（5）设备在正常工作条件下，连续工作168h,不应出现电、机械或操作系统的故障。</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（6）视频会议系统需保证与省厅视频会议系统对接（</w:t>
            </w:r>
            <w:r>
              <w:rPr>
                <w:rFonts w:hint="eastAsia" w:ascii="宋体" w:hAnsi="宋体"/>
                <w:bCs/>
                <w:color w:val="000000" w:themeColor="text1"/>
                <w:kern w:val="0"/>
                <w:sz w:val="21"/>
                <w:szCs w:val="21"/>
                <w:u w:val="none"/>
                <w:lang w:val="en-US" w:eastAsia="zh-CN"/>
                <w14:textFill>
                  <w14:solidFill>
                    <w14:schemeClr w14:val="tx1"/>
                  </w14:solidFill>
                </w14:textFill>
              </w:rPr>
              <w:t>投标文件中附承诺函</w:t>
            </w:r>
            <w:r>
              <w:rPr>
                <w:rFonts w:hint="eastAsia" w:ascii="宋体" w:hAnsi="宋体"/>
                <w:bCs/>
                <w:color w:val="000000" w:themeColor="text1"/>
                <w:kern w:val="0"/>
                <w:sz w:val="21"/>
                <w:szCs w:val="21"/>
                <w:u w:val="none"/>
                <w14:textFill>
                  <w14:solidFill>
                    <w14:schemeClr w14:val="tx1"/>
                  </w14:solidFill>
                </w14:textFill>
              </w:rPr>
              <w:t>）。</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11</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多点控制终端</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1、私有云基础服务。</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2、系统采用H.264 SVC网络视频编解码技术，采用防马赛克技术，实现画面的无拖影、无撕</w:t>
            </w:r>
            <w:r>
              <w:rPr>
                <w:rFonts w:hint="eastAsia" w:ascii="宋体" w:hAnsi="宋体"/>
                <w:bCs/>
                <w:color w:val="000000" w:themeColor="text1"/>
                <w:kern w:val="0"/>
                <w:sz w:val="21"/>
                <w:szCs w:val="21"/>
                <w:u w:val="none"/>
                <w:lang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裂，图像清晰流畅。系统所提供的超高清晰的画面质量、同步音效和最低延时，为视频会议提供高效、高质量的视频应用体验。</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系统实现了端到端全高清视频图像采集、传输、显示、存储和控制，并通过在用户真实环境大规模实际测试，采用高效承载转发技术及自动负载均衡技术，有效地提高转发能力和效率，实现最优质的音视频交互应用。</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4、支持主持人对参会人员进行管理：“全部静音”、“解除全部静音”、“设为焦点视频”、“移出”、“改名”、“邀请”、“共享屏幕”等功能。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5、支持多级人员权限管理。</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6、支持多样会议形式：即时会议、预约会议、分组会议。</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7、支持多样会议模式：演讲者模式、画廊模式和轮巡模式。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8、支持PC端和移动端的共享屏幕，共享批注。</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9、支持WebRTC会议，参会端无需下载客户端。</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10、支持与第三方标准H.323/SIP协议的视频会议系统之间的互联互通。</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11、支持AES/国密加密协议。</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12</w:t>
            </w:r>
          </w:p>
        </w:tc>
        <w:tc>
          <w:tcPr>
            <w:tcW w:w="1281"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电源时序器</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1、有8路大功率电源输出，一键控制电源时序动作，可选通电即启和手动功能。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2、输入电压：AC220V/50Hz。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3、额定功率：总容量 16A。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4、输出功率：每路插座最大输出电流 10A。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5、输入方式：3*2.5 平方交流电源线，不带插头，与空气开关连接。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6、输出方式：8 路电源输出，标准通用三芯插座。  </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7、开关/指示：船型开关，面板电源指示灯，每路通电后指示。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8、机柜：标准机柜，满足设备放置需求。</w:t>
            </w:r>
          </w:p>
          <w:p>
            <w:pPr>
              <w:widowControl/>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9、线材：网线、音频线、视频线等。</w:t>
            </w:r>
          </w:p>
        </w:tc>
        <w:tc>
          <w:tcPr>
            <w:tcW w:w="784" w:type="dxa"/>
            <w:vAlign w:val="center"/>
          </w:tcPr>
          <w:p>
            <w:pPr>
              <w:widowControl/>
              <w:adjustRightInd w:val="0"/>
              <w:spacing w:line="360" w:lineRule="auto"/>
              <w:jc w:val="center"/>
              <w:rPr>
                <w:rFonts w:hint="eastAsia"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台</w:t>
            </w: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13</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打印机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1、涵盖功能：双面复印、网络打印、网络彩色扫描、文件归档、自动输稿器，标配落地式复印一体机。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2、复印速度：≥40张/分钟，纸张尺寸：A3-A5。</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3、供纸容量：≥1100张（500张纸盒*2+100张旁路送纸）</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4、预热时间：≤10秒首张出纸时间：彩色≤6.7秒、黑白≤4.7秒。</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5、标配人体感应，机器自动唤醒功能。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6、内存：内存5GB、500G硬盘，SSD卡16GB连续复印：9999张，分辨率：600dpi*600dpi，缩放范围：25%-400%。</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7、双面器：标配，内置式。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8、操作面板：10.1英寸彩色液晶触摸屏；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9、自动输稿器：≥100张原稿供纸容量，双面自动输稿器打印要求：双面打印：标配网络打印：标配*打印分辨率：1200dpi*1200dpi。</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10、打印语言：标配PCL6、PS3。</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11、打印接口：标配千兆网卡标配无线打印U盘打印：标配前置USB打印接口，支持图片打印。</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12、USB扫描：支持USB直接扫描、必须有前置USB接口其他要求：支持USB直接打印、标配前置USB接口。</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台</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14</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音响</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1、2.1声道有源音箱，</w:t>
            </w:r>
          </w:p>
          <w:p>
            <w:pPr>
              <w:widowControl/>
              <w:numPr>
                <w:ilvl w:val="0"/>
                <w:numId w:val="4"/>
              </w:numPr>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内置功率放大器</w:t>
            </w:r>
          </w:p>
          <w:p>
            <w:pPr>
              <w:widowControl/>
              <w:numPr>
                <w:ilvl w:val="0"/>
                <w:numId w:val="4"/>
              </w:numPr>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6寸低音喇叭、3寸高音喇叭；</w:t>
            </w:r>
          </w:p>
          <w:p>
            <w:pPr>
              <w:widowControl/>
              <w:numPr>
                <w:ilvl w:val="0"/>
                <w:numId w:val="4"/>
              </w:numPr>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一路3.5头线路输入，两路话筒输入一路输出，输出能接一只同等功率定阻音箱；</w:t>
            </w:r>
          </w:p>
          <w:p>
            <w:pPr>
              <w:widowControl/>
              <w:numPr>
                <w:ilvl w:val="0"/>
                <w:numId w:val="4"/>
              </w:numPr>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功率:50W。</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15</w:t>
            </w:r>
          </w:p>
        </w:tc>
        <w:tc>
          <w:tcPr>
            <w:tcW w:w="1281"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计算机</w:t>
            </w:r>
          </w:p>
        </w:tc>
        <w:tc>
          <w:tcPr>
            <w:tcW w:w="5781" w:type="dxa"/>
            <w:vAlign w:val="center"/>
          </w:tcPr>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CPU</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lang w:eastAsia="zh-CN"/>
                <w14:textFill>
                  <w14:solidFill>
                    <w14:schemeClr w14:val="tx1"/>
                  </w14:solidFill>
                </w14:textFill>
              </w:rPr>
              <w:t>单颗CPU物理核心数≥8核，CPU主频≥2.3GHz；</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配置内存≥8GB，提供≥2个内存插槽，速率≥2666MT/S；支持扩展至≥32GB；</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配置≥256GB SSD；提供3个SATA接口；支持≥1个M.2 SATA硬盘；</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配置独立显卡，显存≥1GB，支持VGA、HDMI接口；</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配置≥1个千兆网络接口；</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支持≥3个PCIe3.0 插槽；其中不低于1个PCIe3.0 x16 插槽；</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机箱前部配置≥4个USB3.0 接口；机箱后部配置≥4个USB3.0 接口；</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提供≥1个RS232串口；提供≥2组音频接口（耳机、麦克风）；</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配置≥23.8英寸显示器</w:t>
            </w:r>
          </w:p>
          <w:p>
            <w:pPr>
              <w:widowControl/>
              <w:adjustRightInd w:val="0"/>
              <w:ind w:firstLine="420" w:firstLineChars="200"/>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配置USB鼠标、键盘及超薄刻录光驱；</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配置≤200W电源；</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16</w:t>
            </w:r>
          </w:p>
        </w:tc>
        <w:tc>
          <w:tcPr>
            <w:tcW w:w="1281" w:type="dxa"/>
            <w:vAlign w:val="center"/>
          </w:tcPr>
          <w:p>
            <w:pPr>
              <w:widowControl/>
              <w:adjustRightInd w:val="0"/>
              <w:jc w:val="center"/>
              <w:rPr>
                <w:rFonts w:hint="eastAsia" w:ascii="宋体" w:hAnsi="宋体"/>
                <w:bCs/>
                <w:color w:val="000000" w:themeColor="text1"/>
                <w:kern w:val="0"/>
                <w:sz w:val="21"/>
                <w:szCs w:val="21"/>
                <w:u w:val="none"/>
                <w14:textFill>
                  <w14:solidFill>
                    <w14:schemeClr w14:val="tx1"/>
                  </w14:solidFill>
                </w14:textFill>
              </w:rPr>
            </w:pPr>
          </w:p>
          <w:p>
            <w:pPr>
              <w:widowControl/>
              <w:adjustRightInd w:val="0"/>
              <w:jc w:val="both"/>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无线投屏器</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（1）Airplay：支持苹果iOS、MacOS设备自带的Airplay投屏功能、无需安装任何软件；支持Airplay多路投屏；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（2）Miracast协议：支持Android设备（手机、Pad）系统自带的无线投屏功能、无需安装任何软件；支持miracast多路投屏；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（3）WiDi协议：支持Windows8/10电脑自带的无线投屏功能、无需安装任何软件；支持WiDi多路投屏；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（4）BJCast协议：支持Windows、Mac、Android、iOS设备安装软件客户端方式进行无线投屏；提供Android、iOS、MacOS、Windows 4套发射端软件；</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（5）USB按键投屏：支持Windows/Mac电脑插上USB发射器投屏、提供访客投屏解决方案；同时投屏显示：2对1投屏；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（6）投屏触摸反控：支持BJCast投屏反控、USB投屏反控、Miracast投屏反控、WiDi投屏反控；</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（7）扫码投屏：支持二维码扫码投屏；投屏码投屏：支持直接输入投屏码投屏；投屏时延：≤200ms；投屏距离（无阻挡）：30m；投屏PIN码：支持投屏安全加密，兼容Miracast PIN码功能。</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17</w:t>
            </w:r>
          </w:p>
        </w:tc>
        <w:tc>
          <w:tcPr>
            <w:tcW w:w="12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不良信息过滤系统</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5781" w:type="dxa"/>
            <w:vAlign w:val="center"/>
          </w:tcPr>
          <w:p>
            <w:pPr>
              <w:widowControl/>
              <w:numPr>
                <w:ilvl w:val="0"/>
                <w:numId w:val="5"/>
              </w:numPr>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产品具备网址过滤、图像过滤、网址库升级、网页内容信息过滤、网页内容信息过滤扩展、预定义网址库自动添加、传输文件过滤、邮件编码过滤、邮件内容信息过滤、服务命令过滤、在线游戏过滤、定时抓屏等功能；</w:t>
            </w:r>
          </w:p>
          <w:p>
            <w:pPr>
              <w:widowControl/>
              <w:numPr>
                <w:ilvl w:val="0"/>
                <w:numId w:val="5"/>
              </w:numPr>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（2）该系统的技术完全符合国家工业和信息化部制定的基于PC终端的互联网内容过滤软件技术要求YDN138-2006；</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（3）通过设置主动识别的判决门限，针对不同上网的人群，实现人性化高、中、低级别设置，浏览内容分级管理；</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（4）产品具备对设备使用时间进行管理的功能，管理员可以根据需要设定使用设备的时间表，在设定的允许使用设备的时间区间使用设备，不允许使用设备的时候设备直接锁屏并关闭设备；</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（5）产品提供日志管理功能，详细记录操作者每次浏览的网上内容和上网时间，以及拦截黄色图像的次数和时间，可随时记录用户上网浏览内容和时间；</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（6）实时屏幕拍照，详细上网记录一览无遗，便于事后监督；安全密钥掌控完全隐形过滤，方便热键激活，有效防止非授权卸载；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（7）产品自身包含黑、白名单及关键字资源，不低于10万条策略，并支持自定义过滤策略；</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（8）产品支持用户手动设置黑白名单及关键字，用户自定义的资源过滤时优先级最高；</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（9）软件自身模块及识别模块、黑/白名单IP地址库、关键字库、图像检测算法库能够在线自动/手动升级；</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（10）能提供对不良信息及设备监管平台上层管理接口的对接并提供需要的所有内容；</w:t>
            </w:r>
          </w:p>
        </w:tc>
        <w:tc>
          <w:tcPr>
            <w:tcW w:w="784"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18</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400万智能筒型摄像机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（1）具有400万像素 CMOS传感器；</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（2）内置GPU芯片，内置麦克风和喇叭；</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（3）最低照度彩色：0.005 lx，黑白:0.001 lx，最大亮度鉴别等级（灰度等级）不小于11级；</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（4）红外补光距离不小于80米；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（5）支持快捷配置功能，可在预览画面开启/关闭“快捷配置”页面，对曝光参数、OSD、智能资源分配模式等参数进行配置，并可一键恢复为默认设置。</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（6）支持像素显示功能，可实时显示监控画面上选定区域的水平像素大小和垂直像素大小。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（7）不低于IP66防尘防水等级。</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19</w:t>
            </w:r>
          </w:p>
        </w:tc>
        <w:tc>
          <w:tcPr>
            <w:tcW w:w="1281"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支架</w:t>
            </w:r>
          </w:p>
        </w:tc>
        <w:tc>
          <w:tcPr>
            <w:tcW w:w="5781" w:type="dxa"/>
            <w:vAlign w:val="center"/>
          </w:tcPr>
          <w:p>
            <w:pPr>
              <w:widowControl/>
              <w:adjustRightInd w:val="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壁装支架；适用范围：适合枪型、筒型、一体型摄像机壁装；材料：铝合金；调整角度：水平：360°，垂直：-45°～45°。</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4"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20</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400万像素球机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（1）摄像机靶面尺寸不小于1/1.8英寸，内置GPU芯片；</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（2）摄像机内置镜头，支持不小于32倍光学变倍，镜头最大焦距不小于192mm；</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（3）支持最低照度可达彩色0.0005 lx，黑白0.0001 lx；</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（4）红外距离不小于200米；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（5）具有三种滤光片，在白天、夜晚及有雾情况下可自动切换不同的滤光片进行成像，滤光片透过率不小于95%；</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（6）支持快速聚焦功能，当设备跟踪行人或机动车等移动目标并录像时，单帧回放录像文件，每1帧画面均应清晰可见；</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（7）设备具备偏移自动校正功能。设备运动结束静止时，其水平和垂直角度方向受到外力作用发生偏移时，水平和垂直角度方向均可以自动恢复到偏移前的位置。</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6" w:hRule="atLeast"/>
        </w:trPr>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21</w:t>
            </w:r>
          </w:p>
        </w:tc>
        <w:tc>
          <w:tcPr>
            <w:tcW w:w="1281"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球机</w:t>
            </w:r>
            <w:r>
              <w:rPr>
                <w:rFonts w:hint="eastAsia" w:ascii="宋体" w:hAnsi="宋体"/>
                <w:bCs/>
                <w:color w:val="000000" w:themeColor="text1"/>
                <w:kern w:val="0"/>
                <w:sz w:val="21"/>
                <w:szCs w:val="21"/>
                <w:u w:val="none"/>
                <w14:textFill>
                  <w14:solidFill>
                    <w14:schemeClr w14:val="tx1"/>
                  </w14:solidFill>
                </w14:textFill>
              </w:rPr>
              <w:t>支架</w:t>
            </w:r>
          </w:p>
        </w:tc>
        <w:tc>
          <w:tcPr>
            <w:tcW w:w="5781" w:type="dxa"/>
            <w:vAlign w:val="center"/>
          </w:tcPr>
          <w:p>
            <w:pPr>
              <w:widowControl/>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立杆装</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铝合金。</w:t>
            </w:r>
          </w:p>
        </w:tc>
        <w:tc>
          <w:tcPr>
            <w:tcW w:w="784" w:type="dxa"/>
            <w:vAlign w:val="center"/>
          </w:tcPr>
          <w:p>
            <w:pPr>
              <w:widowControl/>
              <w:adjustRightInd w:val="0"/>
              <w:spacing w:line="360" w:lineRule="auto"/>
              <w:jc w:val="both"/>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676" w:type="dxa"/>
            <w:vAlign w:val="center"/>
          </w:tcPr>
          <w:p>
            <w:pPr>
              <w:widowControl/>
              <w:adjustRightInd w:val="0"/>
              <w:spacing w:line="360" w:lineRule="auto"/>
              <w:jc w:val="center"/>
              <w:rPr>
                <w:rFonts w:hint="default" w:ascii="宋体" w:hAnsi="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22</w:t>
            </w:r>
          </w:p>
        </w:tc>
        <w:tc>
          <w:tcPr>
            <w:tcW w:w="1281" w:type="dxa"/>
            <w:vAlign w:val="center"/>
          </w:tcPr>
          <w:p>
            <w:pPr>
              <w:widowControl/>
              <w:adjustRightInd w:val="0"/>
              <w:spacing w:line="360" w:lineRule="auto"/>
              <w:jc w:val="center"/>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监控立杆</w:t>
            </w:r>
          </w:p>
        </w:tc>
        <w:tc>
          <w:tcPr>
            <w:tcW w:w="5781" w:type="dxa"/>
            <w:vAlign w:val="center"/>
          </w:tcPr>
          <w:p>
            <w:pPr>
              <w:widowControl/>
              <w:adjustRightInd w:val="0"/>
              <w:ind w:firstLine="420" w:firstLineChars="200"/>
              <w:rPr>
                <w:rFonts w:hint="eastAsia"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4.5米立杆，带抱杆箱，包含基础施工。</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3/</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23</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智能硬盘录像机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（1）支持1.5U标准机架式；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（2）设备的视频输出口HDMI1、HDMI2和VGA1、VGA2均可以显示系统主菜单</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（3）支持内置4块4T硬盘；</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（4）输入带宽支持160Mbps；</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（5）输出带宽支持256Mbps；</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（6）支持16路H.264、H.265混合接入；</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（7）可获取设备网卡吞吐量、MTU（最大传输单元）、网络接入带宽、网络输出带宽等信息，并支持图形化显示发送速率、接收速率；</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（8）开启视频流智能分析，NVR网络发送带宽不会降低；</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（9）开启视频流智能分析，NVR解码性能不会降低。</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24</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服务器 </w:t>
            </w:r>
          </w:p>
        </w:tc>
        <w:tc>
          <w:tcPr>
            <w:tcW w:w="5781" w:type="dxa"/>
            <w:vAlign w:val="center"/>
          </w:tcPr>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CPU：64核，2.2GHz</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内存：16G*2 DDR4，8根内存插槽，最大支持扩展至512G内存</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硬盘：1块240G SSD，2块4T 7.2K 3.5寸SATA硬盘</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阵列卡：8口SAS_HBA卡, 支持RAID 0/1/10</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PCIE扩展：最大可支持7个PCIE扩展插槽</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网口：2个千兆电口</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其他接口：1个千兆RJ-45管理接口，位于机箱后部</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前置2个USB2.0接口，后置2个USB3.0接口，2个USB2.0接口</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1个VGA接口，位于机箱后部</w:t>
            </w:r>
          </w:p>
          <w:p>
            <w:pPr>
              <w:widowControl/>
              <w:adjustRightInd w:val="0"/>
              <w:ind w:firstLine="420" w:firstLineChars="200"/>
              <w:jc w:val="left"/>
              <w:rPr>
                <w:rFonts w:hint="eastAsia" w:ascii="宋体" w:hAnsi="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一个com串口</w:t>
            </w:r>
          </w:p>
          <w:p>
            <w:pPr>
              <w:widowControl/>
              <w:adjustRightInd w:val="0"/>
              <w:ind w:firstLine="420" w:firstLineChars="200"/>
              <w:jc w:val="left"/>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电源：标配550W电源</w:t>
            </w:r>
          </w:p>
        </w:tc>
        <w:tc>
          <w:tcPr>
            <w:tcW w:w="784"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1/套</w:t>
            </w: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5" w:hRule="atLeast"/>
        </w:trPr>
        <w:tc>
          <w:tcPr>
            <w:tcW w:w="676" w:type="dxa"/>
            <w:vAlign w:val="center"/>
          </w:tcPr>
          <w:p>
            <w:pPr>
              <w:widowControl/>
              <w:adjustRightInd w:val="0"/>
              <w:spacing w:line="360" w:lineRule="auto"/>
              <w:jc w:val="center"/>
              <w:rPr>
                <w:rFonts w:hint="default" w:ascii="宋体" w:hAnsi="宋体" w:eastAsia="宋体"/>
                <w:bCs/>
                <w:color w:val="000000" w:themeColor="text1"/>
                <w:kern w:val="0"/>
                <w:sz w:val="21"/>
                <w:szCs w:val="21"/>
                <w:u w:val="none"/>
                <w:lang w:val="en-US" w:eastAsia="zh-CN"/>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25</w:t>
            </w:r>
          </w:p>
        </w:tc>
        <w:tc>
          <w:tcPr>
            <w:tcW w:w="1281"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 xml:space="preserve">安全生产管理平台 </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5781" w:type="dxa"/>
            <w:vAlign w:val="center"/>
          </w:tcPr>
          <w:p>
            <w:pPr>
              <w:widowControl/>
              <w:adjustRightInd w:val="0"/>
              <w:ind w:left="480" w:left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基础包：</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系统基础包，提供业务应用依赖的基础资源信息及基础服务能力，包括系统基础信息管理、地图应用服务、事件联动应用服务。系统基础信息管理：系统基础信息管理提供了系统业务应用依赖的基础资源，包括安保用户管理、安保基础数据管理、安保区域管理、安保系统配置、物联设备管理，统一管理了组织、区域、人员、卡片、车辆和物联设备等资源，并提供人车、人卡的关联关系配置能力。</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（1）组织资源管理：支持组织基础信息的增删改查、导入、导出等功能。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（2）区域资源管理：支持区域基础信息的增删改查、导入、导出等功能。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（3）人员信息管理：支持人员信息的增删改查、导入、导出，包括人脸、指纹采集；支持人员基础信息自定义扩展。</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（4）卡片信息管理：支持卡片基本信息的增删改查、导入、导出；支持人员开卡、退卡、挂失、解挂、换卡及卡扇区加密。</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（5）车辆信息管理：支持车辆基本信息的增删改查、导入、导出。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（6）设备信息管理：提供设备统一接入管理，包括：视频设备、出入口设备、门禁设备、梯控设备、可视对讲设备、食堂消费设备、寻车诱导设备、卡口设备、车载设备、报警设备等。</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系统用户管理：支持账户基本信息和角色信息的增删改查；支持配置不同角色权限，包括菜单权限、组织权限、区域权限、资源权限、功能控制权限；支持用户组权限分配；支持用户安全管理，可绑定用户mac地址及IP，可自行修改用户密码或者管理员重置密码；支持从Windows域同步用户信息，用于域账户进行平台登录。</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（8）核心参数配置：支持首页菜单自定义展示设置；支持所有设备统一校时；提供账户安全设置，支持账户密码有效期设置。</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图上监控：</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图上监控应用以地图可视化模式为各类设备资源提供可视化展示及控制操作，在地图上可展示各类资源点的地理位置，通过接收资源点报警事件，实现报警信息可视化展示。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（1）支持地图配置能力，包含在线</w:t>
            </w:r>
            <w:r>
              <w:rPr>
                <w:rFonts w:hint="eastAsia" w:ascii="宋体" w:hAnsi="宋体"/>
                <w:bCs/>
                <w:color w:val="000000" w:themeColor="text1"/>
                <w:kern w:val="0"/>
                <w:sz w:val="21"/>
                <w:szCs w:val="21"/>
                <w:highlight w:val="none"/>
                <w:u w:val="none"/>
                <w:lang w:val="en-US" w:eastAsia="zh-CN"/>
                <w14:textFill>
                  <w14:solidFill>
                    <w14:schemeClr w14:val="tx1"/>
                  </w14:solidFill>
                </w14:textFill>
              </w:rPr>
              <w:t>地图</w:t>
            </w:r>
            <w:r>
              <w:rPr>
                <w:rFonts w:hint="eastAsia" w:ascii="宋体" w:hAnsi="宋体"/>
                <w:bCs/>
                <w:color w:val="000000" w:themeColor="text1"/>
                <w:kern w:val="0"/>
                <w:sz w:val="21"/>
                <w:szCs w:val="21"/>
                <w:u w:val="none"/>
                <w14:textFill>
                  <w14:solidFill>
                    <w14:schemeClr w14:val="tx1"/>
                  </w14:solidFill>
                </w14:textFill>
              </w:rPr>
              <w:t>、离线GIS地图（自定义）；</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支持资源上图配置能力，实现资源的地图可视化展示及控制操作，资源类型包含监控点、报警输出、报警输入、门禁点、出入口、停车场、传感器、手持视频终端、园区卡口资源、防区、报警输入、报警输出、报警主机IO输出、消防设备；</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（3）支持事件可视化监控能力，实时展示报警事件，支持历史报警事件查询；</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（4）支持针对移动GPS设备的轨迹回放能力，如单兵设备。</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事件联动：</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事件联动提供系统报警事件接收、事件处理、事件联动、事件检索能力，提供场景化的事件联动应用（在“特定条件”下执行“特定动作”），报警事件产生时，可以通过多种方式、多种联动场景提醒安保人员，保障报警事件通知的及时性，包括多种联动方式：视频弹窗、视频上墙、录像联动、云台联动、短信联动、邮箱联动、IO联动、抓图联动、门禁反控联动等。</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事件联动管理：支持事件联动规则配置管理，包括规则增删改查；支持事件规则计划模板，包括全天候模式、工作日模式、周末模式及自定义模式；支持多种报警事件配置联动，包括：14种触发事件类型（包含：视频事件、入侵报警事件、IO事件、门禁事件、停车场事件、可视对讲事件、行车监控事件、梯控事件、动环事件、紧急报警事件、人脸识别事件、卡口事件、消防事件、测温事件）和21种事件联动动作配置；提供7种高级联动规则模版配置，支持配置满足在指定时间段存在多个触发事件类型而联动多个并发动作的场景。</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事件检索管理：</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支持报警事件自定义时间存储，最长支持36个月存储；支持多种维度检索报警事件，包括：区域、位置、事件源、事件等级、时间、状态等维度；支持事件详情查看，包括抓图、录像等；支持对报警事件进行标记、处理以及导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视频监控：</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视频监控应用提供视频管理服务，支持编码设备通过设备网络SDK协议、Ehome协议、ISUP5.0协议、GB28181协议、ONVIF协议接入平台，实现视频预览、录像回放、视频上墙、视频事件监控服务能力，并且在网络带宽不足、有流量限制的网络环境下可以通过以图片替代视频的模式提供监控服务。</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视频预览：支持视频实时预览能力，实现预览窗口布局切换、预览画面自适应及全屏切换；支持云台控制、实时抓图、紧急录像、即时回放、主子码流切换、声音开启\关闭、辅屏预览（1个辅屏）、对讲、广播、报警输出控制的能力；支持智能规则展示的能力（如：针对热成像设备温度信息实时展示）；支持资源视图管理能力，以视图形式管理监控点、视频预览轮巡等自定义资源组，其中视图类型包含公有视图和私有视图；支持全景视频监控预览能力，支持球型鹰眼、全景摄像机的全景模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录像回放：支持录像计划管理能力，支持实时录像计划、录像回传计划；支持录像回放能力，支持多画面同步回放和异步回放切换、超高倍速回放、分段回放、录像下载、录像剪辑、录像标签、录像锁定、录像抓图。</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图片监控：支持视频预览与图片实时监控模式切换能力，实现图片监控模式；支持图片查询回放能力，实现按监控点、时间段展示抓拍图片；支持图片自动播放能力，支持图片自动播放速度可设置；支持图片下载能力。</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（5）视频上墙：支持电视墙场景管理能力，实现场景窗口配置、场景切换计划配置以及轮巡计划的管理；支持上墙控制能力，实现场景一键上墙、场景切换、电视墙切换、监控点上下墙、轮巡控制操作。</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（6）视频事件：支持视频事件布撤防能力，可按计划模版进行布防，事件类型包括移动侦测、视频丢失、视频遮挡、报警输入、报警输出。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视频质量诊断：</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视频质量诊断应用，提供视频图像诊断和监测服务。</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（1）支持监控点通道的图像质量诊断结果统计和查看。</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（2）支持图像模糊、图像过亮、图像偏色、图像过暗、图像过亮、视频抖动、视频丢帧、场景变换、视频遮挡、对比度、条纹干扰、噪声干扰、信号丢失、黑白图像指标诊断。</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（3）支持码流分辨率、编码格式指标采集。</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（4）支持诊断对比图查看和诊断结果矫正功能。</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（5）支持巡检计划配置，可以按照类型和资源以及自定义的巡检周期进行巡检计划配置。</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（6）支持监控点图像质量统计报表，展现各类诊断故障数量。</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（7）支持SDK、ehome、isup5.0、GB28181、部标808、Open Network Video Interface、ISAPI</w:t>
            </w:r>
            <w:r>
              <w:rPr>
                <w:rFonts w:hint="eastAsia" w:ascii="宋体" w:hAnsi="宋体"/>
                <w:bCs/>
                <w:color w:val="000000" w:themeColor="text1"/>
                <w:kern w:val="0"/>
                <w:sz w:val="21"/>
                <w:szCs w:val="21"/>
                <w:u w:val="none"/>
                <w:lang w:val="en-US" w:eastAsia="zh-CN"/>
                <w14:textFill>
                  <w14:solidFill>
                    <w14:schemeClr w14:val="tx1"/>
                  </w14:solidFill>
                </w14:textFill>
              </w:rPr>
              <w:t>等</w:t>
            </w:r>
            <w:r>
              <w:rPr>
                <w:rFonts w:hint="eastAsia" w:ascii="宋体" w:hAnsi="宋体"/>
                <w:bCs/>
                <w:color w:val="000000" w:themeColor="text1"/>
                <w:kern w:val="0"/>
                <w:sz w:val="21"/>
                <w:szCs w:val="21"/>
                <w:u w:val="none"/>
                <w14:textFill>
                  <w14:solidFill>
                    <w14:schemeClr w14:val="tx1"/>
                  </w14:solidFill>
                </w14:textFill>
              </w:rPr>
              <w:t>协议。</w:t>
            </w:r>
          </w:p>
          <w:p>
            <w:pPr>
              <w:widowControl/>
              <w:adjustRightInd w:val="0"/>
              <w:ind w:firstLine="420" w:firstLineChars="200"/>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（8）出具软件系统软件著作登记证书</w:t>
            </w:r>
            <w:r>
              <w:rPr>
                <w:rFonts w:hint="eastAsia" w:ascii="宋体" w:hAnsi="宋体"/>
                <w:bCs/>
                <w:color w:val="000000" w:themeColor="text1"/>
                <w:kern w:val="0"/>
                <w:sz w:val="21"/>
                <w:szCs w:val="21"/>
                <w:u w:val="none"/>
                <w:lang w:eastAsia="zh-CN"/>
                <w14:textFill>
                  <w14:solidFill>
                    <w14:schemeClr w14:val="tx1"/>
                  </w14:solidFill>
                </w14:textFill>
              </w:rPr>
              <w:t>。</w:t>
            </w:r>
          </w:p>
        </w:tc>
        <w:tc>
          <w:tcPr>
            <w:tcW w:w="784" w:type="dxa"/>
            <w:vAlign w:val="center"/>
          </w:tcPr>
          <w:p>
            <w:pPr>
              <w:widowControl/>
              <w:adjustRightInd w:val="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p>
        </w:tc>
        <w:tc>
          <w:tcPr>
            <w:tcW w:w="807"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9329" w:type="dxa"/>
            <w:gridSpan w:val="5"/>
            <w:vAlign w:val="center"/>
          </w:tcPr>
          <w:p>
            <w:pPr>
              <w:widowControl/>
              <w:adjustRightInd w:val="0"/>
              <w:spacing w:line="360" w:lineRule="auto"/>
              <w:ind w:firstLine="422"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
                <w:color w:val="000000" w:themeColor="text1"/>
                <w:kern w:val="0"/>
                <w:sz w:val="21"/>
                <w:szCs w:val="21"/>
                <w:u w:val="none"/>
                <w14:textFill>
                  <w14:solidFill>
                    <w14:schemeClr w14:val="tx1"/>
                  </w14:solidFill>
                </w14:textFill>
              </w:rPr>
              <w:t>B、渔政执法装备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676"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执法冲锋舟</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1、材料要求：PVC复合材料。</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2、外层皮料厚度：≧1.2MM超厚夹网皮料；涂层要求：双面涂层超强气密手工粘合高强度贴合防撞耐磨耐用；耐腐蚀要求：耐盐碱和日光照射高强度抗老化耐腐蚀。</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3、底板要求：硬底铝合金底板(多片拆装)V型底(龙骨气室)。</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4、气室气囊直径：≧3+1多个独立气室(自动平衡气压)；气囊直径(个数)≧3+1。</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5、船长≧330(厘米)，船宽内长≧230(厘米)，≧内宽150(厘米)；气室乘员(个数)≧6人。</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6、发动机：二冲程 15马力 短轴。</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其它：有前进-空档-倒挡,油门无极变速,水冷系统,铝合金螺旋浆,配≥24升防爆外置油箱。</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w:t>
            </w:r>
            <w:r>
              <w:rPr>
                <w:rFonts w:hint="eastAsia" w:ascii="宋体" w:hAnsi="宋体"/>
                <w:bCs/>
                <w:color w:val="000000" w:themeColor="text1"/>
                <w:kern w:val="0"/>
                <w:sz w:val="21"/>
                <w:szCs w:val="21"/>
                <w:u w:val="none"/>
                <w:lang w:val="en-US" w:eastAsia="zh-CN"/>
                <w14:textFill>
                  <w14:solidFill>
                    <w14:schemeClr w14:val="tx1"/>
                  </w14:solidFill>
                </w14:textFill>
              </w:rPr>
              <w:t>/</w:t>
            </w:r>
            <w:r>
              <w:rPr>
                <w:rFonts w:hint="eastAsia" w:ascii="宋体" w:hAnsi="宋体"/>
                <w:bCs/>
                <w:color w:val="000000" w:themeColor="text1"/>
                <w:kern w:val="0"/>
                <w:sz w:val="21"/>
                <w:szCs w:val="21"/>
                <w:u w:val="none"/>
                <w14:textFill>
                  <w14:solidFill>
                    <w14:schemeClr w14:val="tx1"/>
                  </w14:solidFill>
                </w14:textFill>
              </w:rPr>
              <w:t>套</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trPr>
        <w:tc>
          <w:tcPr>
            <w:tcW w:w="676"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w:t>
            </w:r>
          </w:p>
        </w:tc>
        <w:tc>
          <w:tcPr>
            <w:tcW w:w="1281"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执法无人机</w:t>
            </w:r>
          </w:p>
        </w:tc>
        <w:tc>
          <w:tcPr>
            <w:tcW w:w="5781" w:type="dxa"/>
            <w:vAlign w:val="center"/>
          </w:tcPr>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1、起飞重量（无配件）：≤910g；尺寸（长×宽×高）：≤250×100×100mm；对角线轴距：≤360 mm；</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2、最大上升速度：≥5 m/s；最大下降速度：≥3 m/s；最大水平飞行速度：≥72km/h；最大飞行海拔高度：≥6000 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3、最大信号有效距离（无干扰、无遮挡）：≥8km；最长飞行时间：≥31 分钟；最大可抗风速：≥5级风；工作环境温度：范围≥-10℃至40℃</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4、GNSS：支持GPS+GLONASS；GPS定位悬停精度：垂直≤0.5 m，水平≤1.5 m；视觉定位悬停精度：垂直≤0.1 m，水平≤0.3 m；机载内存：≥24GB；</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5、降落地形检测功能：支持；飞行器自检功能：支持；低电量自动返航：支持；信号丢失自动返航：支持；全向感知系统：支持；</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6、前方最大可探测范围：≥40 m；后方最大可探测范围：≥32 m；上方最大可探测范围：≥8 m；下方最大可探测范围：≥22 m；左右最大可探测范围：≥10 m</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7、红外：照片分辨率：≥160*120；灵敏度：≥50mK(0.050℃)；录像分辨率：≥640*360；场景动态范围：高增益模式：- 10°to +140℃，低增益模式：- 10°to +400℃；测温方式：全局测温，区域测温。</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8、可见光：影像传感器：1/2.3英寸CMOS，有效像素≥1200万；镜头：等效焦距：24mm，光圈：f/2.8；最大照片尺寸：≥4056×3040；录像分辨率：≥3840×2160；视频最大码流：≥100Mbps。</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9、软件功能：最大实时图传质量：≥1080p；实时图传最大码率：≥40Mbps；密码保护：支持；时间戳水印：支持；GPS位置水印：支持；ADS-B功能：支持。</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10、智能飞行电池；容量：≥3850 mAh；工作温度：范围≥-10℃到40℃；电池自动加热：支持；加热温度：范围≥-20℃到6℃。</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11、探照灯：外形尺寸：≤68×60×41mm；工作范围：≥30 m；最大功率：≥26W；最大照度：≥11lux。</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12、夜航灯：外形尺寸：≤68mm×40mm×27.8mm；功率：≥1.6W；最大工作范围：≥5000 米。</w:t>
            </w:r>
          </w:p>
          <w:p>
            <w:pPr>
              <w:widowControl/>
              <w:adjustRightInd w:val="0"/>
              <w:ind w:firstLine="420" w:firstLineChars="200"/>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14:textFill>
                  <w14:solidFill>
                    <w14:schemeClr w14:val="tx1"/>
                  </w14:solidFill>
                </w14:textFill>
              </w:rPr>
              <w:t>13、喊话器：外形尺寸：≤68×55×65 mm；最大功率：≥10W；分贝：≥100dB；码流：≥16kbps。</w:t>
            </w:r>
          </w:p>
        </w:tc>
        <w:tc>
          <w:tcPr>
            <w:tcW w:w="784" w:type="dxa"/>
            <w:vAlign w:val="center"/>
          </w:tcPr>
          <w:p>
            <w:pPr>
              <w:widowControl/>
              <w:adjustRightInd w:val="0"/>
              <w:spacing w:line="360" w:lineRule="auto"/>
              <w:jc w:val="center"/>
              <w:rPr>
                <w:rFonts w:ascii="宋体" w:hAnsi="宋体"/>
                <w:bCs/>
                <w:color w:val="000000" w:themeColor="text1"/>
                <w:kern w:val="0"/>
                <w:sz w:val="21"/>
                <w:szCs w:val="21"/>
                <w:u w:val="none"/>
                <w14:textFill>
                  <w14:solidFill>
                    <w14:schemeClr w14:val="tx1"/>
                  </w14:solidFill>
                </w14:textFill>
              </w:rPr>
            </w:pPr>
            <w:r>
              <w:rPr>
                <w:rFonts w:hint="eastAsia" w:ascii="宋体" w:hAnsi="宋体"/>
                <w:bCs/>
                <w:color w:val="000000" w:themeColor="text1"/>
                <w:kern w:val="0"/>
                <w:sz w:val="21"/>
                <w:szCs w:val="21"/>
                <w:u w:val="none"/>
                <w:lang w:val="en-US" w:eastAsia="zh-CN"/>
                <w14:textFill>
                  <w14:solidFill>
                    <w14:schemeClr w14:val="tx1"/>
                  </w14:solidFill>
                </w14:textFill>
              </w:rPr>
              <w:t>1/</w:t>
            </w:r>
            <w:r>
              <w:rPr>
                <w:rFonts w:hint="eastAsia" w:ascii="宋体" w:hAnsi="宋体"/>
                <w:bCs/>
                <w:color w:val="000000" w:themeColor="text1"/>
                <w:kern w:val="0"/>
                <w:sz w:val="21"/>
                <w:szCs w:val="21"/>
                <w:u w:val="none"/>
                <w14:textFill>
                  <w14:solidFill>
                    <w14:schemeClr w14:val="tx1"/>
                  </w14:solidFill>
                </w14:textFill>
              </w:rPr>
              <w:t>架</w:t>
            </w:r>
          </w:p>
        </w:tc>
        <w:tc>
          <w:tcPr>
            <w:tcW w:w="807" w:type="dxa"/>
            <w:vAlign w:val="center"/>
          </w:tcPr>
          <w:p>
            <w:pPr>
              <w:widowControl/>
              <w:adjustRightInd w:val="0"/>
              <w:spacing w:line="360" w:lineRule="auto"/>
              <w:jc w:val="center"/>
              <w:rPr>
                <w:rFonts w:hint="eastAsia" w:ascii="宋体" w:hAnsi="宋体" w:eastAsia="宋体"/>
                <w:bCs/>
                <w:color w:val="000000" w:themeColor="text1"/>
                <w:kern w:val="0"/>
                <w:sz w:val="21"/>
                <w:szCs w:val="21"/>
                <w:u w:val="none"/>
                <w:lang w:eastAsia="zh-CN"/>
                <w14:textFill>
                  <w14:solidFill>
                    <w14:schemeClr w14:val="tx1"/>
                  </w14:solidFill>
                </w14:textFill>
              </w:rPr>
            </w:pPr>
            <w:r>
              <w:rPr>
                <w:rFonts w:hint="eastAsia" w:ascii="宋体" w:hAnsi="宋体"/>
                <w:bCs/>
                <w:color w:val="000000" w:themeColor="text1"/>
                <w:kern w:val="0"/>
                <w:sz w:val="21"/>
                <w:szCs w:val="21"/>
                <w:u w:val="none"/>
                <w:lang w:eastAsia="zh-CN"/>
                <w14:textFill>
                  <w14:solidFill>
                    <w14:schemeClr w14:val="tx1"/>
                  </w14:solidFill>
                </w14:textFill>
              </w:rPr>
              <w:t>制造业</w:t>
            </w:r>
          </w:p>
        </w:tc>
      </w:tr>
    </w:tbl>
    <w:p>
      <w:pPr>
        <w:widowControl/>
        <w:adjustRightInd w:val="0"/>
        <w:spacing w:line="500" w:lineRule="exact"/>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lang w:eastAsia="zh-CN"/>
          <w14:textFill>
            <w14:solidFill>
              <w14:schemeClr w14:val="tx1"/>
            </w14:solidFill>
          </w14:textFill>
        </w:rPr>
        <w:t>四</w:t>
      </w:r>
      <w:r>
        <w:rPr>
          <w:rFonts w:hint="eastAsia" w:ascii="宋体" w:hAnsi="宋体"/>
          <w:b/>
          <w:color w:val="000000" w:themeColor="text1"/>
          <w:kern w:val="0"/>
          <w:sz w:val="21"/>
          <w:szCs w:val="21"/>
          <w14:textFill>
            <w14:solidFill>
              <w14:schemeClr w14:val="tx1"/>
            </w14:solidFill>
          </w14:textFill>
        </w:rPr>
        <w:t>、需要落实的政府采购政策</w:t>
      </w:r>
    </w:p>
    <w:p>
      <w:pPr>
        <w:numPr>
          <w:ilvl w:val="1"/>
          <w:numId w:val="6"/>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促进中小企业、监狱企业和残疾人福利性单位发展扶持政策</w:t>
      </w:r>
    </w:p>
    <w:p>
      <w:pPr>
        <w:spacing w:line="500" w:lineRule="exact"/>
        <w:ind w:firstLine="422" w:firstLineChars="200"/>
        <w:rPr>
          <w:rFonts w:hint="eastAsia" w:ascii="宋体" w:hAnsi="宋体"/>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促进中小企业发展扶持政策</w:t>
      </w:r>
      <w:r>
        <w:rPr>
          <w:rFonts w:hint="eastAsia" w:ascii="宋体" w:hAnsi="宋体"/>
          <w:bCs/>
          <w:color w:val="000000" w:themeColor="text1"/>
          <w:sz w:val="21"/>
          <w:szCs w:val="21"/>
          <w14:textFill>
            <w14:solidFill>
              <w14:schemeClr w14:val="tx1"/>
            </w14:solidFill>
          </w14:textFill>
        </w:rPr>
        <w:t>：</w:t>
      </w:r>
    </w:p>
    <w:p>
      <w:pPr>
        <w:numPr>
          <w:ilvl w:val="0"/>
          <w:numId w:val="7"/>
        </w:numPr>
        <w:spacing w:line="500" w:lineRule="exact"/>
        <w:ind w:firstLine="424" w:firstLineChars="202"/>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（2）</w:t>
      </w:r>
      <w:r>
        <w:rPr>
          <w:rFonts w:hint="eastAsia" w:ascii="宋体" w:hAnsi="宋体"/>
          <w:bCs/>
          <w:color w:val="000000" w:themeColor="text1"/>
          <w:sz w:val="21"/>
          <w:szCs w:val="21"/>
          <w14:textFill>
            <w14:solidFill>
              <w14:schemeClr w14:val="tx1"/>
            </w14:solidFill>
          </w14:textFill>
        </w:rPr>
        <w:t>在货物采购项目中，货物由中小企业制造，即货物由中小企业生产且使用该中小企业商号或者注册商标</w:t>
      </w:r>
      <w:r>
        <w:rPr>
          <w:rFonts w:hint="eastAsia" w:ascii="宋体" w:hAnsi="宋体"/>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在货物采购项目中，</w:t>
      </w:r>
      <w:r>
        <w:rPr>
          <w:rFonts w:hint="eastAsia" w:ascii="宋体" w:hAnsi="宋体"/>
          <w:bCs/>
          <w:color w:val="000000" w:themeColor="text1"/>
          <w:sz w:val="21"/>
          <w:szCs w:val="21"/>
          <w:lang w:eastAsia="zh-CN"/>
          <w14:textFill>
            <w14:solidFill>
              <w14:schemeClr w14:val="tx1"/>
            </w14:solidFill>
          </w14:textFill>
        </w:rPr>
        <w:t>投标人</w:t>
      </w:r>
      <w:r>
        <w:rPr>
          <w:rFonts w:hint="eastAsia" w:ascii="宋体" w:hAnsi="宋体"/>
          <w:bCs/>
          <w:color w:val="000000" w:themeColor="text1"/>
          <w:sz w:val="21"/>
          <w:szCs w:val="21"/>
          <w14:textFill>
            <w14:solidFill>
              <w14:schemeClr w14:val="tx1"/>
            </w14:solidFill>
          </w14:textFill>
        </w:rPr>
        <w:t>提供的货物既有中小企业制造货物，也有大型企业制造货物的，不享受本</w:t>
      </w:r>
      <w:r>
        <w:rPr>
          <w:rFonts w:hint="eastAsia" w:ascii="宋体" w:hAnsi="宋体"/>
          <w:bCs/>
          <w:color w:val="000000" w:themeColor="text1"/>
          <w:sz w:val="21"/>
          <w:szCs w:val="21"/>
          <w:lang w:eastAsia="zh-CN"/>
          <w14:textFill>
            <w14:solidFill>
              <w14:schemeClr w14:val="tx1"/>
            </w14:solidFill>
          </w14:textFill>
        </w:rPr>
        <w:t>招标文件</w:t>
      </w:r>
      <w:r>
        <w:rPr>
          <w:rFonts w:hint="eastAsia" w:ascii="宋体" w:hAnsi="宋体"/>
          <w:bCs/>
          <w:color w:val="000000" w:themeColor="text1"/>
          <w:sz w:val="21"/>
          <w:szCs w:val="21"/>
          <w14:textFill>
            <w14:solidFill>
              <w14:schemeClr w14:val="tx1"/>
            </w14:solidFill>
          </w14:textFill>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lang w:eastAsia="zh-CN"/>
          <w14:textFill>
            <w14:solidFill>
              <w14:schemeClr w14:val="tx1"/>
            </w14:solidFill>
          </w14:textFill>
        </w:rPr>
        <w:t>投标人当按照招标文件规定出具《中小企业声明函》，否则不享受相关扶持政策；</w:t>
      </w:r>
    </w:p>
    <w:p>
      <w:pPr>
        <w:spacing w:line="50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3.根据财库〔2014〕68号《财政部司法部关于政府采购支持监狱企业发展有关问题的通知》，监狱企业视同小微企业。提供由省级以上监狱管理局、戒毒管理局(含新疆生产建设兵团)出具的属于监狱企业的证明文件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，不再提供《中小企业声明函》，投标人出具的监狱企业证明文件如有虚假，其成交资格将被取消，并根据相关规定进行处罚。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bCs/>
          <w:color w:val="000000" w:themeColor="text1"/>
          <w:sz w:val="21"/>
          <w:szCs w:val="21"/>
          <w:lang w:eastAsia="zh-CN"/>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r>
        <w:rPr>
          <w:rFonts w:hint="eastAsia" w:ascii="宋体" w:hAnsi="宋体"/>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color w:val="000000" w:themeColor="text1"/>
          <w:sz w:val="21"/>
          <w:szCs w:val="21"/>
          <w:lang w:eastAsia="zh-CN"/>
          <w14:textFill>
            <w14:solidFill>
              <w14:schemeClr w14:val="tx1"/>
            </w14:solidFill>
          </w14:textFill>
        </w:rPr>
      </w:pPr>
      <w:r>
        <w:rPr>
          <w:rFonts w:hint="eastAsia" w:ascii="宋体" w:hAnsi="宋体" w:eastAsia="宋体"/>
          <w:b/>
          <w:bCs w:val="0"/>
          <w:color w:val="000000" w:themeColor="text1"/>
          <w:sz w:val="21"/>
          <w:szCs w:val="21"/>
          <w14:textFill>
            <w14:solidFill>
              <w14:schemeClr w14:val="tx1"/>
            </w14:solidFill>
          </w14:textFill>
        </w:rPr>
        <w:t>投投标人同时为小型、微型企业、监狱企业、残疾人福利性单位任两种或以上情况的，评审中只享受一次价格扣除，不重复进行价格扣除。</w:t>
      </w:r>
    </w:p>
    <w:p>
      <w:pPr>
        <w:spacing w:line="500" w:lineRule="exact"/>
        <w:ind w:firstLine="422" w:firstLineChars="200"/>
        <w:rPr>
          <w:rFonts w:hint="eastAsia" w:ascii="宋体" w:hAnsi="宋体"/>
          <w:bCs/>
          <w:color w:val="000000" w:themeColor="text1"/>
          <w:sz w:val="21"/>
          <w:szCs w:val="21"/>
          <w14:textFill>
            <w14:solidFill>
              <w14:schemeClr w14:val="tx1"/>
            </w14:solidFill>
          </w14:textFill>
        </w:rPr>
      </w:pPr>
      <w:r>
        <w:rPr>
          <w:rFonts w:hint="eastAsia" w:ascii="宋体" w:hAnsi="宋体" w:eastAsia="宋体"/>
          <w:b/>
          <w:bCs w:val="0"/>
          <w:color w:val="000000" w:themeColor="text1"/>
          <w:sz w:val="21"/>
          <w:szCs w:val="21"/>
          <w:lang w:eastAsia="zh-CN"/>
          <w14:textFill>
            <w14:solidFill>
              <w14:schemeClr w14:val="tx1"/>
            </w14:solidFill>
          </w14:textFill>
        </w:rPr>
        <w:t>评标委员会根据投标人提供的《</w:t>
      </w:r>
      <w:r>
        <w:rPr>
          <w:rFonts w:hint="eastAsia" w:ascii="宋体" w:hAnsi="宋体" w:eastAsia="宋体"/>
          <w:b/>
          <w:bCs w:val="0"/>
          <w:color w:val="000000" w:themeColor="text1"/>
          <w:sz w:val="21"/>
          <w:szCs w:val="21"/>
          <w14:textFill>
            <w14:solidFill>
              <w14:schemeClr w14:val="tx1"/>
            </w14:solidFill>
          </w14:textFill>
        </w:rPr>
        <w:t>中小企业声明函</w:t>
      </w:r>
      <w:r>
        <w:rPr>
          <w:rFonts w:hint="eastAsia" w:ascii="宋体" w:hAnsi="宋体" w:eastAsia="宋体"/>
          <w:b/>
          <w:bCs w:val="0"/>
          <w:color w:val="000000" w:themeColor="text1"/>
          <w:sz w:val="21"/>
          <w:szCs w:val="21"/>
          <w:lang w:eastAsia="zh-CN"/>
          <w14:textFill>
            <w14:solidFill>
              <w14:schemeClr w14:val="tx1"/>
            </w14:solidFill>
          </w14:textFill>
        </w:rPr>
        <w:t>》认定该投标人是否属于</w:t>
      </w:r>
      <w:r>
        <w:rPr>
          <w:rFonts w:hint="eastAsia" w:ascii="宋体" w:hAnsi="宋体" w:eastAsia="宋体"/>
          <w:b/>
          <w:bCs w:val="0"/>
          <w:color w:val="000000" w:themeColor="text1"/>
          <w:sz w:val="21"/>
          <w:szCs w:val="21"/>
          <w14:textFill>
            <w14:solidFill>
              <w14:schemeClr w14:val="tx1"/>
            </w14:solidFill>
          </w14:textFill>
        </w:rPr>
        <w:t>小型或微型企业</w:t>
      </w:r>
      <w:r>
        <w:rPr>
          <w:rFonts w:hint="eastAsia" w:ascii="宋体" w:hAnsi="宋体" w:eastAsia="宋体"/>
          <w:b/>
          <w:bCs w:val="0"/>
          <w:color w:val="000000" w:themeColor="text1"/>
          <w:sz w:val="21"/>
          <w:szCs w:val="21"/>
          <w:lang w:eastAsia="zh-CN"/>
          <w14:textFill>
            <w14:solidFill>
              <w14:schemeClr w14:val="tx1"/>
            </w14:solidFill>
          </w14:textFill>
        </w:rPr>
        <w:t>，被认定为</w:t>
      </w:r>
      <w:r>
        <w:rPr>
          <w:rFonts w:hint="eastAsia" w:ascii="宋体" w:hAnsi="宋体" w:eastAsia="宋体"/>
          <w:b/>
          <w:bCs w:val="0"/>
          <w:color w:val="000000" w:themeColor="text1"/>
          <w:sz w:val="21"/>
          <w:szCs w:val="21"/>
          <w14:textFill>
            <w14:solidFill>
              <w14:schemeClr w14:val="tx1"/>
            </w14:solidFill>
          </w14:textFill>
        </w:rPr>
        <w:t>小型或微型企业</w:t>
      </w:r>
      <w:r>
        <w:rPr>
          <w:rFonts w:hint="eastAsia" w:ascii="宋体" w:hAnsi="宋体" w:eastAsia="宋体"/>
          <w:b/>
          <w:bCs w:val="0"/>
          <w:color w:val="000000" w:themeColor="text1"/>
          <w:sz w:val="21"/>
          <w:szCs w:val="21"/>
          <w:lang w:eastAsia="zh-CN"/>
          <w14:textFill>
            <w14:solidFill>
              <w14:schemeClr w14:val="tx1"/>
            </w14:solidFill>
          </w14:textFill>
        </w:rPr>
        <w:t>的方可</w:t>
      </w:r>
      <w:r>
        <w:rPr>
          <w:rFonts w:hint="eastAsia" w:ascii="宋体" w:hAnsi="宋体" w:eastAsia="宋体"/>
          <w:b/>
          <w:bCs w:val="0"/>
          <w:color w:val="000000" w:themeColor="text1"/>
          <w:sz w:val="21"/>
          <w:szCs w:val="21"/>
          <w14:textFill>
            <w14:solidFill>
              <w14:schemeClr w14:val="tx1"/>
            </w14:solidFill>
          </w14:textFill>
        </w:rPr>
        <w:t>享受价格优惠。</w:t>
      </w:r>
    </w:p>
    <w:p>
      <w:pPr>
        <w:numPr>
          <w:ilvl w:val="1"/>
          <w:numId w:val="6"/>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节能产品、环境标志产品</w:t>
      </w:r>
    </w:p>
    <w:p>
      <w:pPr>
        <w:spacing w:line="50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，否则不予认定。</w:t>
      </w:r>
    </w:p>
    <w:p>
      <w:pPr>
        <w:numPr>
          <w:ilvl w:val="1"/>
          <w:numId w:val="6"/>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信息安全产品</w:t>
      </w:r>
    </w:p>
    <w:p>
      <w:r>
        <w:rPr>
          <w:rFonts w:hint="eastAsia" w:ascii="宋体" w:hAnsi="宋体"/>
          <w:bCs/>
          <w:color w:val="000000" w:themeColor="text1"/>
          <w:sz w:val="21"/>
          <w:szCs w:val="21"/>
          <w14:textFill>
            <w14:solidFill>
              <w14:schemeClr w14:val="tx1"/>
            </w14:solidFill>
          </w14:textFill>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Book Antiqua">
    <w:panose1 w:val="02040602050305030304"/>
    <w:charset w:val="00"/>
    <w:family w:val="roman"/>
    <w:pitch w:val="default"/>
    <w:sig w:usb0="00000287"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B3DF5E90"/>
    <w:multiLevelType w:val="singleLevel"/>
    <w:tmpl w:val="B3DF5E90"/>
    <w:lvl w:ilvl="0" w:tentative="0">
      <w:start w:val="2"/>
      <w:numFmt w:val="decimal"/>
      <w:suff w:val="nothing"/>
      <w:lvlText w:val="%1、"/>
      <w:lvlJc w:val="left"/>
    </w:lvl>
  </w:abstractNum>
  <w:abstractNum w:abstractNumId="2">
    <w:nsid w:val="CB381780"/>
    <w:multiLevelType w:val="singleLevel"/>
    <w:tmpl w:val="CB381780"/>
    <w:lvl w:ilvl="0" w:tentative="0">
      <w:start w:val="1"/>
      <w:numFmt w:val="decimal"/>
      <w:suff w:val="nothing"/>
      <w:lvlText w:val="%1、"/>
      <w:lvlJc w:val="left"/>
    </w:lvl>
  </w:abstractNum>
  <w:abstractNum w:abstractNumId="3">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4">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6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6288428E"/>
    <w:multiLevelType w:val="singleLevel"/>
    <w:tmpl w:val="6288428E"/>
    <w:lvl w:ilvl="0" w:tentative="0">
      <w:start w:val="1"/>
      <w:numFmt w:val="decimal"/>
      <w:suff w:val="nothing"/>
      <w:lvlText w:val="（%1）"/>
      <w:lvlJc w:val="left"/>
    </w:lvl>
  </w:abstractNum>
  <w:num w:numId="1">
    <w:abstractNumId w:val="5"/>
  </w:num>
  <w:num w:numId="2">
    <w:abstractNumId w:val="4"/>
  </w:num>
  <w:num w:numId="3">
    <w:abstractNumId w:val="2"/>
  </w:num>
  <w:num w:numId="4">
    <w:abstractNumId w:val="1"/>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2A46C6"/>
    <w:rsid w:val="732A46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qFormat/>
    <w:uiPriority w:val="0"/>
    <w:pPr>
      <w:ind w:firstLine="560" w:firstLineChars="200"/>
    </w:pPr>
    <w:rPr>
      <w:rFonts w:ascii="仿宋_GB2312" w:eastAsia="仿宋_GB2312"/>
      <w:kern w:val="2"/>
      <w:sz w:val="28"/>
    </w:rPr>
  </w:style>
  <w:style w:type="paragraph" w:styleId="4">
    <w:name w:val="envelope return"/>
    <w:basedOn w:val="1"/>
    <w:unhideWhenUsed/>
    <w:qFormat/>
    <w:uiPriority w:val="99"/>
    <w:pPr>
      <w:snapToGrid w:val="0"/>
    </w:pPr>
    <w:rPr>
      <w:rFonts w:ascii="Arial" w:hAnsi="Arial"/>
    </w:rPr>
  </w:style>
  <w:style w:type="paragraph" w:styleId="5">
    <w:name w:val="Title"/>
    <w:basedOn w:val="1"/>
    <w:qFormat/>
    <w:uiPriority w:val="0"/>
    <w:pPr>
      <w:spacing w:before="240" w:beforeLines="0" w:after="60" w:afterLines="0"/>
      <w:jc w:val="center"/>
      <w:outlineLvl w:val="0"/>
    </w:pPr>
    <w:rPr>
      <w:rFonts w:ascii="Arial" w:hAnsi="Arial" w:eastAsia="宋体" w:cs="Arial"/>
      <w:b/>
      <w:bCs/>
      <w:sz w:val="32"/>
      <w:szCs w:val="3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2021-12-21T09:28:00Z</dcterms:created>
  <dc:creator>李昆录</dc:creator>
  <cp:lastModifiedBy>李昆录</cp:lastModifiedBy>
  <dcterms:modified xsi:type="dcterms:W3CDTF">2021-12-21T09:29:27Z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3A19E2F0F35342018E45CB5E301E3F98</vt:lpwstr>
  </property>
</Properties>
</file>