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480" w:lineRule="exact"/>
        <w:ind w:right="-72" w:rightChars="-30"/>
        <w:rPr>
          <w:rFonts w:ascii="宋体" w:hAnsi="宋体"/>
          <w:b w:val="0"/>
          <w:color w:val="auto"/>
          <w:kern w:val="0"/>
          <w:sz w:val="21"/>
          <w:szCs w:val="21"/>
          <w:highlight w:val="none"/>
        </w:rPr>
      </w:pPr>
      <w:r>
        <w:rPr>
          <w:rFonts w:hint="eastAsia" w:ascii="宋体" w:hAnsi="宋体" w:cs="宋体"/>
          <w:color w:val="auto"/>
          <w:highlight w:val="none"/>
        </w:rPr>
        <w:t>第四章 采购需求</w:t>
      </w:r>
    </w:p>
    <w:p>
      <w:pPr>
        <w:widowControl/>
        <w:adjustRightInd w:val="0"/>
        <w:spacing w:line="360" w:lineRule="auto"/>
        <w:rPr>
          <w:rFonts w:ascii="宋体" w:hAnsi="宋体"/>
          <w:b/>
          <w:color w:val="auto"/>
          <w:kern w:val="0"/>
          <w:sz w:val="21"/>
          <w:szCs w:val="21"/>
          <w:highlight w:val="none"/>
        </w:rPr>
      </w:pPr>
      <w:r>
        <w:rPr>
          <w:rFonts w:hint="eastAsia" w:ascii="宋体" w:hAnsi="宋体"/>
          <w:b/>
          <w:color w:val="auto"/>
          <w:kern w:val="0"/>
          <w:sz w:val="21"/>
          <w:szCs w:val="21"/>
          <w:highlight w:val="none"/>
        </w:rPr>
        <w:t>一、</w:t>
      </w:r>
      <w:r>
        <w:rPr>
          <w:rFonts w:ascii="宋体" w:hAnsi="宋体"/>
          <w:b/>
          <w:color w:val="auto"/>
          <w:kern w:val="0"/>
          <w:sz w:val="21"/>
          <w:szCs w:val="21"/>
          <w:highlight w:val="none"/>
        </w:rPr>
        <w:t>相关说明</w:t>
      </w:r>
    </w:p>
    <w:p>
      <w:pPr>
        <w:widowControl/>
        <w:numPr>
          <w:ilvl w:val="2"/>
          <w:numId w:val="1"/>
        </w:numPr>
        <w:adjustRightInd w:val="0"/>
        <w:spacing w:line="360" w:lineRule="auto"/>
        <w:ind w:firstLine="420" w:firstLineChars="200"/>
        <w:jc w:val="left"/>
        <w:rPr>
          <w:rFonts w:ascii="宋体" w:hAnsi="宋体"/>
          <w:color w:val="auto"/>
          <w:kern w:val="0"/>
          <w:sz w:val="21"/>
          <w:szCs w:val="21"/>
          <w:highlight w:val="none"/>
        </w:rPr>
      </w:pPr>
      <w:r>
        <w:rPr>
          <w:rFonts w:ascii="宋体" w:hAnsi="宋体"/>
          <w:bCs/>
          <w:color w:val="auto"/>
          <w:kern w:val="0"/>
          <w:sz w:val="21"/>
          <w:szCs w:val="21"/>
          <w:highlight w:val="none"/>
        </w:rPr>
        <w:t>招标文件中</w:t>
      </w:r>
      <w:r>
        <w:rPr>
          <w:rFonts w:hint="eastAsia" w:ascii="宋体" w:hAnsi="宋体"/>
          <w:bCs/>
          <w:color w:val="auto"/>
          <w:kern w:val="0"/>
          <w:sz w:val="21"/>
          <w:szCs w:val="21"/>
          <w:highlight w:val="none"/>
        </w:rPr>
        <w:t>列出</w:t>
      </w:r>
      <w:r>
        <w:rPr>
          <w:rFonts w:ascii="宋体" w:hAnsi="宋体"/>
          <w:bCs/>
          <w:color w:val="auto"/>
          <w:kern w:val="0"/>
          <w:sz w:val="21"/>
          <w:szCs w:val="21"/>
          <w:highlight w:val="none"/>
        </w:rPr>
        <w:t>的质</w:t>
      </w:r>
      <w:r>
        <w:rPr>
          <w:rFonts w:hint="eastAsia" w:ascii="宋体" w:hAnsi="宋体"/>
          <w:bCs/>
          <w:color w:val="auto"/>
          <w:kern w:val="0"/>
          <w:sz w:val="21"/>
          <w:szCs w:val="21"/>
          <w:highlight w:val="none"/>
        </w:rPr>
        <w:t>量技术参数</w:t>
      </w:r>
      <w:r>
        <w:rPr>
          <w:rFonts w:ascii="宋体" w:hAnsi="宋体"/>
          <w:bCs/>
          <w:color w:val="auto"/>
          <w:kern w:val="0"/>
          <w:sz w:val="21"/>
          <w:szCs w:val="21"/>
          <w:highlight w:val="none"/>
        </w:rPr>
        <w:t>或</w:t>
      </w:r>
      <w:r>
        <w:rPr>
          <w:rFonts w:hint="eastAsia" w:ascii="宋体" w:hAnsi="宋体"/>
          <w:bCs/>
          <w:color w:val="auto"/>
          <w:kern w:val="0"/>
          <w:sz w:val="21"/>
          <w:szCs w:val="21"/>
          <w:highlight w:val="none"/>
        </w:rPr>
        <w:t>型号</w:t>
      </w:r>
      <w:r>
        <w:rPr>
          <w:rFonts w:ascii="宋体" w:hAnsi="宋体"/>
          <w:bCs/>
          <w:color w:val="auto"/>
          <w:kern w:val="0"/>
          <w:sz w:val="21"/>
          <w:szCs w:val="21"/>
          <w:highlight w:val="none"/>
        </w:rPr>
        <w:t>与某产品相同</w:t>
      </w:r>
      <w:r>
        <w:rPr>
          <w:rFonts w:hint="eastAsia" w:ascii="宋体" w:hAnsi="宋体"/>
          <w:bCs/>
          <w:color w:val="auto"/>
          <w:kern w:val="0"/>
          <w:sz w:val="21"/>
          <w:szCs w:val="21"/>
          <w:highlight w:val="none"/>
        </w:rPr>
        <w:t>时</w:t>
      </w:r>
      <w:r>
        <w:rPr>
          <w:rFonts w:ascii="宋体" w:hAnsi="宋体"/>
          <w:bCs/>
          <w:color w:val="auto"/>
          <w:kern w:val="0"/>
          <w:sz w:val="21"/>
          <w:szCs w:val="21"/>
          <w:highlight w:val="none"/>
        </w:rPr>
        <w:t>仅</w:t>
      </w:r>
      <w:r>
        <w:rPr>
          <w:rFonts w:hint="eastAsia" w:ascii="宋体" w:hAnsi="宋体"/>
          <w:bCs/>
          <w:color w:val="auto"/>
          <w:kern w:val="0"/>
          <w:sz w:val="21"/>
          <w:szCs w:val="21"/>
          <w:highlight w:val="none"/>
        </w:rPr>
        <w:t>作为</w:t>
      </w:r>
      <w:r>
        <w:rPr>
          <w:rFonts w:ascii="宋体" w:hAnsi="宋体"/>
          <w:bCs/>
          <w:color w:val="auto"/>
          <w:kern w:val="0"/>
          <w:sz w:val="21"/>
          <w:szCs w:val="21"/>
          <w:highlight w:val="none"/>
        </w:rPr>
        <w:t>投标人选择</w:t>
      </w:r>
      <w:r>
        <w:rPr>
          <w:rFonts w:hint="eastAsia" w:ascii="宋体" w:hAnsi="宋体"/>
          <w:bCs/>
          <w:color w:val="auto"/>
          <w:kern w:val="0"/>
          <w:sz w:val="21"/>
          <w:szCs w:val="21"/>
          <w:highlight w:val="none"/>
        </w:rPr>
        <w:t>投标产品</w:t>
      </w:r>
      <w:r>
        <w:rPr>
          <w:rFonts w:ascii="宋体" w:hAnsi="宋体"/>
          <w:bCs/>
          <w:color w:val="auto"/>
          <w:kern w:val="0"/>
          <w:sz w:val="21"/>
          <w:szCs w:val="21"/>
          <w:highlight w:val="none"/>
        </w:rPr>
        <w:t>时在质量水平上</w:t>
      </w:r>
      <w:r>
        <w:rPr>
          <w:rFonts w:hint="eastAsia" w:ascii="宋体" w:hAnsi="宋体"/>
          <w:bCs/>
          <w:color w:val="auto"/>
          <w:kern w:val="0"/>
          <w:sz w:val="21"/>
          <w:szCs w:val="21"/>
          <w:highlight w:val="none"/>
        </w:rPr>
        <w:t>的</w:t>
      </w:r>
      <w:r>
        <w:rPr>
          <w:rFonts w:ascii="宋体" w:hAnsi="宋体"/>
          <w:bCs/>
          <w:color w:val="auto"/>
          <w:kern w:val="0"/>
          <w:sz w:val="21"/>
          <w:szCs w:val="21"/>
          <w:highlight w:val="none"/>
        </w:rPr>
        <w:t>参考，不</w:t>
      </w:r>
      <w:r>
        <w:rPr>
          <w:rFonts w:hint="eastAsia" w:ascii="宋体" w:hAnsi="宋体"/>
          <w:bCs/>
          <w:color w:val="auto"/>
          <w:kern w:val="0"/>
          <w:sz w:val="21"/>
          <w:szCs w:val="21"/>
          <w:highlight w:val="none"/>
        </w:rPr>
        <w:t>强</w:t>
      </w:r>
      <w:r>
        <w:rPr>
          <w:rFonts w:ascii="宋体" w:hAnsi="宋体"/>
          <w:bCs/>
          <w:color w:val="auto"/>
          <w:kern w:val="0"/>
          <w:sz w:val="21"/>
          <w:szCs w:val="21"/>
          <w:highlight w:val="none"/>
        </w:rPr>
        <w:t>制</w:t>
      </w:r>
      <w:r>
        <w:rPr>
          <w:rFonts w:hint="eastAsia" w:ascii="宋体" w:hAnsi="宋体"/>
          <w:bCs/>
          <w:color w:val="auto"/>
          <w:kern w:val="0"/>
          <w:sz w:val="21"/>
          <w:szCs w:val="21"/>
          <w:highlight w:val="none"/>
        </w:rPr>
        <w:t>采购某一特定产品</w:t>
      </w:r>
      <w:r>
        <w:rPr>
          <w:rFonts w:ascii="宋体" w:hAnsi="宋体"/>
          <w:bCs/>
          <w:color w:val="auto"/>
          <w:kern w:val="0"/>
          <w:sz w:val="21"/>
          <w:szCs w:val="21"/>
          <w:highlight w:val="none"/>
        </w:rPr>
        <w:t>，投标人可提供</w:t>
      </w:r>
      <w:r>
        <w:rPr>
          <w:rFonts w:hint="eastAsia" w:ascii="宋体" w:hAnsi="宋体"/>
          <w:bCs/>
          <w:color w:val="auto"/>
          <w:kern w:val="0"/>
          <w:sz w:val="21"/>
          <w:szCs w:val="21"/>
          <w:highlight w:val="none"/>
        </w:rPr>
        <w:t>符合采购需求</w:t>
      </w:r>
      <w:r>
        <w:rPr>
          <w:rFonts w:ascii="宋体" w:hAnsi="宋体"/>
          <w:bCs/>
          <w:color w:val="auto"/>
          <w:kern w:val="0"/>
          <w:sz w:val="21"/>
          <w:szCs w:val="21"/>
          <w:highlight w:val="none"/>
        </w:rPr>
        <w:t>或</w:t>
      </w:r>
      <w:r>
        <w:rPr>
          <w:rFonts w:hint="eastAsia" w:ascii="宋体" w:hAnsi="宋体"/>
          <w:bCs/>
          <w:color w:val="auto"/>
          <w:kern w:val="0"/>
          <w:sz w:val="21"/>
          <w:szCs w:val="21"/>
          <w:highlight w:val="none"/>
        </w:rPr>
        <w:t>更</w:t>
      </w:r>
      <w:r>
        <w:rPr>
          <w:rFonts w:ascii="宋体" w:hAnsi="宋体"/>
          <w:bCs/>
          <w:color w:val="auto"/>
          <w:kern w:val="0"/>
          <w:sz w:val="21"/>
          <w:szCs w:val="21"/>
          <w:highlight w:val="none"/>
        </w:rPr>
        <w:t>优</w:t>
      </w:r>
      <w:r>
        <w:rPr>
          <w:rFonts w:hint="eastAsia" w:ascii="宋体" w:hAnsi="宋体"/>
          <w:bCs/>
          <w:color w:val="auto"/>
          <w:kern w:val="0"/>
          <w:sz w:val="21"/>
          <w:szCs w:val="21"/>
          <w:highlight w:val="none"/>
        </w:rPr>
        <w:t>的产品及</w:t>
      </w:r>
      <w:r>
        <w:rPr>
          <w:rFonts w:ascii="宋体" w:hAnsi="宋体"/>
          <w:bCs/>
          <w:color w:val="auto"/>
          <w:kern w:val="0"/>
          <w:sz w:val="21"/>
          <w:szCs w:val="21"/>
          <w:highlight w:val="none"/>
        </w:rPr>
        <w:t>方案</w:t>
      </w:r>
      <w:r>
        <w:rPr>
          <w:rFonts w:ascii="宋体" w:hAnsi="宋体"/>
          <w:color w:val="auto"/>
          <w:kern w:val="0"/>
          <w:sz w:val="21"/>
          <w:szCs w:val="21"/>
          <w:highlight w:val="none"/>
        </w:rPr>
        <w:t>。</w:t>
      </w:r>
    </w:p>
    <w:p>
      <w:pPr>
        <w:widowControl/>
        <w:numPr>
          <w:ilvl w:val="2"/>
          <w:numId w:val="1"/>
        </w:numPr>
        <w:adjustRightInd w:val="0"/>
        <w:spacing w:line="360" w:lineRule="auto"/>
        <w:ind w:firstLine="420" w:firstLineChars="200"/>
        <w:jc w:val="left"/>
        <w:rPr>
          <w:rFonts w:ascii="宋体" w:hAnsi="宋体"/>
          <w:color w:val="auto"/>
          <w:kern w:val="0"/>
          <w:sz w:val="21"/>
          <w:szCs w:val="21"/>
          <w:highlight w:val="none"/>
        </w:rPr>
      </w:pPr>
      <w:r>
        <w:rPr>
          <w:rFonts w:hint="eastAsia" w:ascii="宋体" w:hAnsi="宋体"/>
          <w:color w:val="auto"/>
          <w:kern w:val="0"/>
          <w:sz w:val="21"/>
          <w:szCs w:val="21"/>
          <w:highlight w:val="none"/>
        </w:rPr>
        <w:t>本次采购内容如果要求的某些技术标准低于国家标准，均以最新的国家标准为准。招标技术要求中未明确的技术标准也均不得低于国家标准；</w:t>
      </w:r>
    </w:p>
    <w:p>
      <w:pPr>
        <w:pStyle w:val="2"/>
        <w:ind w:left="0" w:leftChars="0" w:firstLine="422"/>
        <w:rPr>
          <w:b/>
          <w:bCs/>
          <w:color w:val="auto"/>
          <w:highlight w:val="none"/>
        </w:rPr>
      </w:pPr>
      <w:r>
        <w:rPr>
          <w:rFonts w:hint="eastAsia" w:ascii="宋体" w:hAnsi="宋体" w:eastAsia="宋体"/>
          <w:b/>
          <w:bCs/>
          <w:color w:val="auto"/>
          <w:kern w:val="0"/>
          <w:sz w:val="21"/>
          <w:szCs w:val="21"/>
          <w:highlight w:val="none"/>
        </w:rPr>
        <w:t>本次采购产品如在国家强制性认证范围内的必须取得国家强制性CCC认证（</w:t>
      </w:r>
      <w:r>
        <w:rPr>
          <w:rFonts w:hint="eastAsia" w:ascii="宋体" w:hAnsi="宋体" w:eastAsia="宋体"/>
          <w:b/>
          <w:bCs/>
          <w:color w:val="auto"/>
          <w:kern w:val="0"/>
          <w:sz w:val="21"/>
          <w:szCs w:val="21"/>
          <w:highlight w:val="none"/>
          <w:lang w:val="en-US" w:eastAsia="zh-CN"/>
        </w:rPr>
        <w:t>投标文件中</w:t>
      </w:r>
      <w:r>
        <w:rPr>
          <w:rFonts w:hint="eastAsia" w:ascii="宋体" w:hAnsi="宋体" w:eastAsia="宋体"/>
          <w:b/>
          <w:bCs/>
          <w:color w:val="auto"/>
          <w:kern w:val="0"/>
          <w:sz w:val="21"/>
          <w:szCs w:val="21"/>
          <w:highlight w:val="none"/>
        </w:rPr>
        <w:t>提供CCC认证证书</w:t>
      </w:r>
      <w:r>
        <w:rPr>
          <w:rFonts w:hint="eastAsia" w:ascii="宋体" w:hAnsi="宋体" w:eastAsia="宋体"/>
          <w:b/>
          <w:bCs/>
          <w:color w:val="auto"/>
          <w:kern w:val="0"/>
          <w:sz w:val="21"/>
          <w:szCs w:val="21"/>
          <w:highlight w:val="none"/>
          <w:lang w:val="en-US" w:eastAsia="zh-CN"/>
        </w:rPr>
        <w:t>复印件或扫描件</w:t>
      </w:r>
      <w:r>
        <w:rPr>
          <w:rFonts w:hint="eastAsia" w:ascii="宋体" w:hAnsi="宋体" w:eastAsia="宋体"/>
          <w:b/>
          <w:bCs/>
          <w:color w:val="auto"/>
          <w:kern w:val="0"/>
          <w:sz w:val="21"/>
          <w:szCs w:val="21"/>
          <w:highlight w:val="none"/>
        </w:rPr>
        <w:t>）。</w:t>
      </w:r>
    </w:p>
    <w:p>
      <w:pPr>
        <w:widowControl/>
        <w:numPr>
          <w:ilvl w:val="2"/>
          <w:numId w:val="1"/>
        </w:numPr>
        <w:adjustRightInd w:val="0"/>
        <w:spacing w:line="360" w:lineRule="auto"/>
        <w:ind w:firstLine="420" w:firstLineChars="200"/>
        <w:jc w:val="left"/>
        <w:rPr>
          <w:rFonts w:ascii="宋体" w:hAnsi="宋体"/>
          <w:color w:val="auto"/>
          <w:kern w:val="0"/>
          <w:sz w:val="21"/>
          <w:szCs w:val="21"/>
          <w:highlight w:val="none"/>
        </w:rPr>
      </w:pPr>
      <w:r>
        <w:rPr>
          <w:rFonts w:ascii="宋体" w:hAnsi="宋体"/>
          <w:color w:val="auto"/>
          <w:kern w:val="0"/>
          <w:sz w:val="21"/>
          <w:szCs w:val="21"/>
          <w:highlight w:val="none"/>
        </w:rPr>
        <w:t>本采购项目为交钥匙项目，</w:t>
      </w:r>
      <w:r>
        <w:rPr>
          <w:rFonts w:hint="eastAsia" w:ascii="宋体" w:hAnsi="宋体"/>
          <w:color w:val="auto"/>
          <w:kern w:val="0"/>
          <w:sz w:val="21"/>
          <w:szCs w:val="21"/>
          <w:highlight w:val="none"/>
        </w:rPr>
        <w:t>验收合格前</w:t>
      </w:r>
      <w:r>
        <w:rPr>
          <w:rFonts w:ascii="宋体" w:hAnsi="宋体"/>
          <w:color w:val="auto"/>
          <w:kern w:val="0"/>
          <w:sz w:val="21"/>
          <w:szCs w:val="21"/>
          <w:highlight w:val="none"/>
        </w:rPr>
        <w:t>所需的一切费用</w:t>
      </w:r>
      <w:r>
        <w:rPr>
          <w:rFonts w:hint="eastAsia" w:ascii="宋体" w:hAnsi="宋体"/>
          <w:color w:val="auto"/>
          <w:kern w:val="0"/>
          <w:sz w:val="21"/>
          <w:szCs w:val="21"/>
          <w:highlight w:val="none"/>
        </w:rPr>
        <w:t>均</w:t>
      </w:r>
      <w:r>
        <w:rPr>
          <w:rFonts w:ascii="宋体" w:hAnsi="宋体"/>
          <w:color w:val="auto"/>
          <w:kern w:val="0"/>
          <w:sz w:val="21"/>
          <w:szCs w:val="21"/>
          <w:highlight w:val="none"/>
        </w:rPr>
        <w:t>包含在报价之中，采购人不</w:t>
      </w:r>
      <w:r>
        <w:rPr>
          <w:rFonts w:hint="eastAsia" w:ascii="宋体" w:hAnsi="宋体"/>
          <w:color w:val="auto"/>
          <w:kern w:val="0"/>
          <w:sz w:val="21"/>
          <w:szCs w:val="21"/>
          <w:highlight w:val="none"/>
        </w:rPr>
        <w:t>承担成交价格以外的</w:t>
      </w:r>
      <w:r>
        <w:rPr>
          <w:rFonts w:ascii="宋体" w:hAnsi="宋体"/>
          <w:color w:val="auto"/>
          <w:kern w:val="0"/>
          <w:sz w:val="21"/>
          <w:szCs w:val="21"/>
          <w:highlight w:val="none"/>
        </w:rPr>
        <w:t>任何费用。</w:t>
      </w:r>
    </w:p>
    <w:p>
      <w:pPr>
        <w:widowControl/>
        <w:adjustRightInd w:val="0"/>
        <w:spacing w:line="360" w:lineRule="auto"/>
        <w:rPr>
          <w:rFonts w:ascii="宋体" w:hAnsi="宋体"/>
          <w:b/>
          <w:color w:val="auto"/>
          <w:kern w:val="0"/>
          <w:sz w:val="21"/>
          <w:szCs w:val="21"/>
          <w:highlight w:val="none"/>
        </w:rPr>
      </w:pPr>
      <w:r>
        <w:rPr>
          <w:rFonts w:hint="eastAsia" w:ascii="宋体" w:hAnsi="宋体"/>
          <w:b/>
          <w:color w:val="auto"/>
          <w:kern w:val="0"/>
          <w:sz w:val="21"/>
          <w:szCs w:val="21"/>
          <w:highlight w:val="none"/>
        </w:rPr>
        <w:t>二、商务要求：</w:t>
      </w:r>
    </w:p>
    <w:p>
      <w:pPr>
        <w:numPr>
          <w:ilvl w:val="2"/>
          <w:numId w:val="2"/>
        </w:numPr>
        <w:spacing w:line="360" w:lineRule="auto"/>
        <w:ind w:firstLine="420"/>
        <w:rPr>
          <w:rFonts w:ascii="宋体" w:hAnsi="宋体"/>
          <w:color w:val="auto"/>
          <w:sz w:val="21"/>
          <w:szCs w:val="21"/>
          <w:highlight w:val="none"/>
        </w:rPr>
      </w:pPr>
      <w:r>
        <w:rPr>
          <w:rFonts w:hint="eastAsia" w:ascii="宋体" w:hAnsi="宋体"/>
          <w:color w:val="auto"/>
          <w:sz w:val="21"/>
          <w:szCs w:val="21"/>
          <w:highlight w:val="none"/>
        </w:rPr>
        <w:t>合同履行期限：30天</w:t>
      </w:r>
    </w:p>
    <w:p>
      <w:pPr>
        <w:numPr>
          <w:ilvl w:val="2"/>
          <w:numId w:val="2"/>
        </w:numPr>
        <w:spacing w:line="360" w:lineRule="auto"/>
        <w:ind w:firstLine="420"/>
        <w:rPr>
          <w:rFonts w:ascii="宋体" w:hAnsi="宋体"/>
          <w:color w:val="auto"/>
          <w:sz w:val="21"/>
          <w:szCs w:val="21"/>
          <w:highlight w:val="none"/>
        </w:rPr>
      </w:pPr>
      <w:r>
        <w:rPr>
          <w:rFonts w:hint="eastAsia" w:ascii="宋体" w:hAnsi="宋体"/>
          <w:color w:val="auto"/>
          <w:sz w:val="21"/>
          <w:szCs w:val="21"/>
          <w:highlight w:val="none"/>
        </w:rPr>
        <w:t>供货</w:t>
      </w:r>
      <w:r>
        <w:rPr>
          <w:rFonts w:hint="eastAsia" w:ascii="宋体" w:hAnsi="宋体"/>
          <w:color w:val="auto"/>
          <w:sz w:val="21"/>
          <w:szCs w:val="21"/>
          <w:highlight w:val="none"/>
          <w:lang w:val="en-US" w:eastAsia="zh-CN"/>
        </w:rPr>
        <w:t>及安装</w:t>
      </w:r>
      <w:r>
        <w:rPr>
          <w:rFonts w:hint="eastAsia" w:ascii="宋体" w:hAnsi="宋体"/>
          <w:color w:val="auto"/>
          <w:sz w:val="21"/>
          <w:szCs w:val="21"/>
          <w:highlight w:val="none"/>
        </w:rPr>
        <w:t>地点：</w:t>
      </w:r>
      <w:r>
        <w:rPr>
          <w:rFonts w:hint="eastAsia" w:ascii="宋体" w:hAnsi="宋体"/>
          <w:color w:val="auto"/>
          <w:sz w:val="21"/>
          <w:szCs w:val="21"/>
          <w:highlight w:val="none"/>
          <w:lang w:val="en-US" w:eastAsia="zh-CN"/>
        </w:rPr>
        <w:t>武陟县青龙宫</w:t>
      </w:r>
    </w:p>
    <w:p>
      <w:pPr>
        <w:numPr>
          <w:ilvl w:val="2"/>
          <w:numId w:val="2"/>
        </w:numPr>
        <w:spacing w:line="360" w:lineRule="auto"/>
        <w:ind w:firstLine="420"/>
        <w:rPr>
          <w:rFonts w:ascii="宋体" w:hAnsi="宋体"/>
          <w:color w:val="auto"/>
          <w:sz w:val="21"/>
          <w:szCs w:val="21"/>
          <w:highlight w:val="none"/>
        </w:rPr>
      </w:pPr>
      <w:r>
        <w:rPr>
          <w:rFonts w:hint="eastAsia" w:ascii="宋体" w:hAnsi="宋体"/>
          <w:color w:val="auto"/>
          <w:sz w:val="21"/>
          <w:szCs w:val="21"/>
          <w:highlight w:val="none"/>
        </w:rPr>
        <w:t>质量标准：符合国家及行业有关标准。</w:t>
      </w:r>
    </w:p>
    <w:p>
      <w:pPr>
        <w:numPr>
          <w:ilvl w:val="2"/>
          <w:numId w:val="2"/>
        </w:numPr>
        <w:spacing w:line="360" w:lineRule="auto"/>
        <w:ind w:firstLine="420"/>
        <w:rPr>
          <w:rFonts w:ascii="宋体" w:hAnsi="宋体"/>
          <w:color w:val="auto"/>
          <w:sz w:val="21"/>
          <w:szCs w:val="21"/>
          <w:highlight w:val="none"/>
        </w:rPr>
      </w:pPr>
      <w:r>
        <w:rPr>
          <w:rFonts w:hint="eastAsia" w:ascii="宋体" w:hAnsi="宋体"/>
          <w:color w:val="auto"/>
          <w:sz w:val="21"/>
          <w:szCs w:val="21"/>
          <w:highlight w:val="none"/>
        </w:rPr>
        <w:t>质量保证期：一年</w:t>
      </w:r>
    </w:p>
    <w:p>
      <w:pPr>
        <w:numPr>
          <w:ilvl w:val="2"/>
          <w:numId w:val="2"/>
        </w:numPr>
        <w:spacing w:line="360" w:lineRule="auto"/>
        <w:ind w:firstLine="420"/>
        <w:rPr>
          <w:rFonts w:ascii="宋体" w:hAnsi="宋体"/>
          <w:color w:val="auto"/>
          <w:sz w:val="21"/>
          <w:szCs w:val="21"/>
          <w:highlight w:val="none"/>
        </w:rPr>
      </w:pPr>
      <w:r>
        <w:rPr>
          <w:rFonts w:hint="eastAsia" w:ascii="宋体" w:hAnsi="宋体"/>
          <w:color w:val="auto"/>
          <w:sz w:val="21"/>
          <w:szCs w:val="21"/>
          <w:highlight w:val="none"/>
        </w:rPr>
        <w:t>付款方式：项目货物送到指定地点,全部安装完成并验收合格后，三个月内付合同款的95%；剩余5%作为质量保证金。自项目验收合格之日起，经一年使用后，实施效果达到项目设计要求的，无质量问题，付总货款5%质保金（无息）。</w:t>
      </w:r>
    </w:p>
    <w:p>
      <w:pPr>
        <w:numPr>
          <w:ilvl w:val="2"/>
          <w:numId w:val="2"/>
        </w:numPr>
        <w:spacing w:line="360" w:lineRule="auto"/>
        <w:ind w:firstLine="420"/>
        <w:rPr>
          <w:rFonts w:ascii="宋体" w:hAnsi="宋体"/>
          <w:color w:val="auto"/>
          <w:sz w:val="21"/>
          <w:szCs w:val="21"/>
          <w:highlight w:val="none"/>
        </w:rPr>
      </w:pPr>
      <w:r>
        <w:rPr>
          <w:rFonts w:hint="eastAsia" w:ascii="宋体" w:hAnsi="宋体"/>
          <w:color w:val="auto"/>
          <w:sz w:val="21"/>
          <w:szCs w:val="21"/>
          <w:highlight w:val="none"/>
        </w:rPr>
        <w:t>履约保证金：中标人与采购人签订合同前，需向采购人交纳中标金额的</w:t>
      </w:r>
      <w:r>
        <w:rPr>
          <w:rFonts w:hint="eastAsia" w:ascii="宋体" w:hAnsi="宋体"/>
          <w:color w:val="auto"/>
          <w:sz w:val="21"/>
          <w:szCs w:val="21"/>
          <w:highlight w:val="none"/>
          <w:u w:val="single"/>
        </w:rPr>
        <w:t xml:space="preserve">  3  </w:t>
      </w:r>
      <w:r>
        <w:rPr>
          <w:rFonts w:hint="eastAsia" w:ascii="宋体" w:hAnsi="宋体"/>
          <w:color w:val="auto"/>
          <w:sz w:val="21"/>
          <w:szCs w:val="21"/>
          <w:highlight w:val="none"/>
        </w:rPr>
        <w:t>%作为履约保证金，合同履行结束，经验收合格后退还。</w:t>
      </w:r>
    </w:p>
    <w:p>
      <w:pPr>
        <w:widowControl/>
        <w:spacing w:line="360" w:lineRule="auto"/>
        <w:ind w:firstLine="420" w:firstLineChars="200"/>
        <w:rPr>
          <w:rFonts w:ascii="宋体" w:hAnsi="宋体"/>
          <w:color w:val="auto"/>
          <w:kern w:val="0"/>
          <w:sz w:val="21"/>
          <w:szCs w:val="21"/>
          <w:highlight w:val="none"/>
          <w:lang w:bidi="ar"/>
        </w:rPr>
      </w:pPr>
      <w:r>
        <w:rPr>
          <w:rFonts w:hint="eastAsia" w:ascii="宋体" w:hAnsi="宋体"/>
          <w:color w:val="auto"/>
          <w:kern w:val="0"/>
          <w:sz w:val="21"/>
          <w:szCs w:val="21"/>
          <w:highlight w:val="none"/>
          <w:lang w:val="en-US" w:eastAsia="zh-CN" w:bidi="ar"/>
        </w:rPr>
        <w:t>7</w:t>
      </w:r>
      <w:r>
        <w:rPr>
          <w:rFonts w:hint="eastAsia" w:ascii="宋体" w:hAnsi="宋体"/>
          <w:color w:val="auto"/>
          <w:kern w:val="0"/>
          <w:sz w:val="21"/>
          <w:szCs w:val="21"/>
          <w:highlight w:val="none"/>
          <w:lang w:bidi="ar"/>
        </w:rPr>
        <w:t>.商品包装要求：</w:t>
      </w:r>
    </w:p>
    <w:p>
      <w:pPr>
        <w:widowControl/>
        <w:spacing w:line="360" w:lineRule="auto"/>
        <w:ind w:firstLine="420" w:firstLineChars="200"/>
        <w:rPr>
          <w:rFonts w:ascii="宋体" w:hAnsi="宋体"/>
          <w:color w:val="auto"/>
          <w:kern w:val="0"/>
          <w:sz w:val="21"/>
          <w:szCs w:val="21"/>
          <w:highlight w:val="none"/>
          <w:lang w:bidi="ar"/>
        </w:rPr>
      </w:pPr>
      <w:r>
        <w:rPr>
          <w:rFonts w:hint="eastAsia" w:ascii="宋体" w:hAnsi="宋体"/>
          <w:color w:val="auto"/>
          <w:kern w:val="0"/>
          <w:sz w:val="21"/>
          <w:szCs w:val="21"/>
          <w:highlight w:val="none"/>
          <w:lang w:val="en-US" w:eastAsia="zh-CN" w:bidi="ar"/>
        </w:rPr>
        <w:t>7</w:t>
      </w:r>
      <w:r>
        <w:rPr>
          <w:rFonts w:hint="eastAsia" w:ascii="宋体" w:hAnsi="宋体"/>
          <w:color w:val="auto"/>
          <w:kern w:val="0"/>
          <w:sz w:val="21"/>
          <w:szCs w:val="21"/>
          <w:highlight w:val="none"/>
          <w:lang w:bidi="ar"/>
        </w:rPr>
        <w:t xml:space="preserve">.1适用范围 </w:t>
      </w:r>
    </w:p>
    <w:p>
      <w:pPr>
        <w:widowControl/>
        <w:spacing w:line="360" w:lineRule="auto"/>
        <w:ind w:firstLine="420" w:firstLineChars="200"/>
        <w:rPr>
          <w:rFonts w:ascii="宋体" w:hAnsi="宋体"/>
          <w:color w:val="auto"/>
          <w:kern w:val="0"/>
          <w:sz w:val="21"/>
          <w:szCs w:val="21"/>
          <w:highlight w:val="none"/>
          <w:lang w:bidi="ar"/>
        </w:rPr>
      </w:pPr>
      <w:r>
        <w:rPr>
          <w:rFonts w:hint="eastAsia" w:ascii="宋体" w:hAnsi="宋体"/>
          <w:color w:val="auto"/>
          <w:kern w:val="0"/>
          <w:sz w:val="21"/>
          <w:szCs w:val="21"/>
          <w:highlight w:val="none"/>
          <w:lang w:bidi="ar"/>
        </w:rPr>
        <w:t xml:space="preserve">本标准规定了商品使用的塑料、纸质、木质等包装材料的环保要求。 </w:t>
      </w:r>
    </w:p>
    <w:p>
      <w:pPr>
        <w:widowControl/>
        <w:spacing w:line="360" w:lineRule="auto"/>
        <w:ind w:firstLine="420" w:firstLineChars="200"/>
        <w:rPr>
          <w:rFonts w:ascii="宋体" w:hAnsi="宋体"/>
          <w:color w:val="auto"/>
          <w:kern w:val="0"/>
          <w:sz w:val="21"/>
          <w:szCs w:val="21"/>
          <w:highlight w:val="none"/>
          <w:lang w:bidi="ar"/>
        </w:rPr>
      </w:pPr>
      <w:r>
        <w:rPr>
          <w:rFonts w:hint="eastAsia" w:ascii="宋体" w:hAnsi="宋体"/>
          <w:color w:val="auto"/>
          <w:kern w:val="0"/>
          <w:sz w:val="21"/>
          <w:szCs w:val="21"/>
          <w:highlight w:val="none"/>
          <w:lang w:val="en-US" w:eastAsia="zh-CN" w:bidi="ar"/>
        </w:rPr>
        <w:t>7</w:t>
      </w:r>
      <w:r>
        <w:rPr>
          <w:rFonts w:hint="eastAsia" w:ascii="宋体" w:hAnsi="宋体"/>
          <w:color w:val="auto"/>
          <w:kern w:val="0"/>
          <w:sz w:val="21"/>
          <w:szCs w:val="21"/>
          <w:highlight w:val="none"/>
          <w:lang w:bidi="ar"/>
        </w:rPr>
        <w:t xml:space="preserve">.2商品包装环保要求 </w:t>
      </w:r>
    </w:p>
    <w:p>
      <w:pPr>
        <w:widowControl/>
        <w:spacing w:line="360" w:lineRule="auto"/>
        <w:ind w:firstLine="420" w:firstLineChars="200"/>
        <w:rPr>
          <w:rFonts w:ascii="宋体" w:hAnsi="宋体"/>
          <w:color w:val="auto"/>
          <w:kern w:val="0"/>
          <w:sz w:val="21"/>
          <w:szCs w:val="21"/>
          <w:highlight w:val="none"/>
          <w:lang w:bidi="ar"/>
        </w:rPr>
      </w:pPr>
      <w:r>
        <w:rPr>
          <w:rFonts w:hint="eastAsia" w:ascii="宋体" w:hAnsi="宋体"/>
          <w:color w:val="auto"/>
          <w:kern w:val="0"/>
          <w:sz w:val="21"/>
          <w:szCs w:val="21"/>
          <w:highlight w:val="none"/>
          <w:lang w:bidi="ar"/>
        </w:rPr>
        <w:t xml:space="preserve">（1）商品包装层数不得超过 3 层，空隙率不大于 40%； </w:t>
      </w:r>
    </w:p>
    <w:p>
      <w:pPr>
        <w:widowControl/>
        <w:spacing w:line="360" w:lineRule="auto"/>
        <w:ind w:firstLine="420" w:firstLineChars="200"/>
        <w:rPr>
          <w:rFonts w:ascii="宋体" w:hAnsi="宋体"/>
          <w:color w:val="auto"/>
          <w:kern w:val="0"/>
          <w:sz w:val="21"/>
          <w:szCs w:val="21"/>
          <w:highlight w:val="none"/>
          <w:lang w:bidi="ar"/>
        </w:rPr>
      </w:pPr>
      <w:r>
        <w:rPr>
          <w:rFonts w:hint="eastAsia" w:ascii="宋体" w:hAnsi="宋体"/>
          <w:color w:val="auto"/>
          <w:kern w:val="0"/>
          <w:sz w:val="21"/>
          <w:szCs w:val="21"/>
          <w:highlight w:val="none"/>
          <w:lang w:bidi="ar"/>
        </w:rPr>
        <w:t xml:space="preserve">（2）商品包装尽可能使用单一材质的包装材料，如因功能需求必需使用不同材质，不同材质间应便于分离； </w:t>
      </w:r>
    </w:p>
    <w:p>
      <w:pPr>
        <w:widowControl/>
        <w:spacing w:line="360" w:lineRule="auto"/>
        <w:ind w:firstLine="420" w:firstLineChars="200"/>
        <w:rPr>
          <w:rFonts w:ascii="宋体" w:hAnsi="宋体"/>
          <w:color w:val="auto"/>
          <w:kern w:val="0"/>
          <w:sz w:val="21"/>
          <w:szCs w:val="21"/>
          <w:highlight w:val="none"/>
          <w:lang w:bidi="ar"/>
        </w:rPr>
      </w:pPr>
      <w:r>
        <w:rPr>
          <w:rFonts w:hint="eastAsia" w:ascii="宋体" w:hAnsi="宋体"/>
          <w:color w:val="auto"/>
          <w:kern w:val="0"/>
          <w:sz w:val="21"/>
          <w:szCs w:val="21"/>
          <w:highlight w:val="none"/>
          <w:lang w:bidi="ar"/>
        </w:rPr>
        <w:t xml:space="preserve">（3）商品包装中铅、汞、镉、六价铬的总含量应不大于100mg/kg； </w:t>
      </w:r>
    </w:p>
    <w:p>
      <w:pPr>
        <w:widowControl/>
        <w:spacing w:line="360" w:lineRule="auto"/>
        <w:ind w:firstLine="420" w:firstLineChars="200"/>
        <w:rPr>
          <w:rFonts w:ascii="宋体" w:hAnsi="宋体"/>
          <w:color w:val="auto"/>
          <w:sz w:val="21"/>
          <w:szCs w:val="21"/>
          <w:highlight w:val="none"/>
        </w:rPr>
      </w:pPr>
      <w:r>
        <w:rPr>
          <w:rFonts w:hint="eastAsia" w:ascii="宋体" w:hAnsi="宋体"/>
          <w:color w:val="auto"/>
          <w:kern w:val="0"/>
          <w:sz w:val="21"/>
          <w:szCs w:val="21"/>
          <w:highlight w:val="none"/>
          <w:lang w:bidi="ar"/>
        </w:rPr>
        <w:t xml:space="preserve">（4）商品包装印刷使用的油墨中挥发性有机化合物(VOCs)含量应不大于 5%（以重量计）； </w:t>
      </w:r>
    </w:p>
    <w:p>
      <w:pPr>
        <w:widowControl/>
        <w:spacing w:line="360" w:lineRule="auto"/>
        <w:ind w:firstLine="420" w:firstLineChars="200"/>
        <w:rPr>
          <w:rFonts w:ascii="宋体" w:hAnsi="宋体"/>
          <w:color w:val="auto"/>
          <w:sz w:val="21"/>
          <w:szCs w:val="21"/>
          <w:highlight w:val="none"/>
        </w:rPr>
      </w:pPr>
      <w:r>
        <w:rPr>
          <w:rFonts w:hint="eastAsia" w:ascii="宋体" w:hAnsi="宋体"/>
          <w:color w:val="auto"/>
          <w:kern w:val="0"/>
          <w:sz w:val="21"/>
          <w:szCs w:val="21"/>
          <w:highlight w:val="none"/>
          <w:lang w:bidi="ar"/>
        </w:rPr>
        <w:t xml:space="preserve">（5）塑料材质商品包装上呈现的印刷颜色不得超过6色； </w:t>
      </w:r>
    </w:p>
    <w:p>
      <w:pPr>
        <w:widowControl/>
        <w:spacing w:line="360" w:lineRule="auto"/>
        <w:ind w:firstLine="420" w:firstLineChars="200"/>
        <w:rPr>
          <w:rFonts w:ascii="宋体" w:hAnsi="宋体"/>
          <w:color w:val="auto"/>
          <w:sz w:val="21"/>
          <w:szCs w:val="21"/>
          <w:highlight w:val="none"/>
        </w:rPr>
      </w:pPr>
      <w:r>
        <w:rPr>
          <w:rFonts w:hint="eastAsia" w:ascii="宋体" w:hAnsi="宋体"/>
          <w:color w:val="auto"/>
          <w:kern w:val="0"/>
          <w:sz w:val="21"/>
          <w:szCs w:val="21"/>
          <w:highlight w:val="none"/>
          <w:lang w:bidi="ar"/>
        </w:rPr>
        <w:t xml:space="preserve">（6）纸质商品包装应使用75%以上的可再生纤维原料生产； </w:t>
      </w:r>
    </w:p>
    <w:p>
      <w:pPr>
        <w:widowControl/>
        <w:spacing w:line="360" w:lineRule="auto"/>
        <w:ind w:firstLine="420" w:firstLineChars="200"/>
        <w:rPr>
          <w:rFonts w:hint="eastAsia" w:ascii="宋体" w:hAnsi="宋体"/>
          <w:color w:val="auto"/>
          <w:kern w:val="0"/>
          <w:sz w:val="21"/>
          <w:szCs w:val="21"/>
          <w:highlight w:val="none"/>
          <w:lang w:bidi="ar"/>
        </w:rPr>
      </w:pPr>
      <w:r>
        <w:rPr>
          <w:rFonts w:hint="eastAsia" w:ascii="宋体" w:hAnsi="宋体"/>
          <w:color w:val="auto"/>
          <w:kern w:val="0"/>
          <w:sz w:val="21"/>
          <w:szCs w:val="21"/>
          <w:highlight w:val="none"/>
          <w:lang w:bidi="ar"/>
        </w:rPr>
        <w:t>（7）木质商品包装的原料应来源于可持续性森林。</w:t>
      </w:r>
    </w:p>
    <w:p>
      <w:pPr>
        <w:widowControl/>
        <w:adjustRightInd w:val="0"/>
        <w:spacing w:line="360" w:lineRule="auto"/>
        <w:rPr>
          <w:rFonts w:ascii="宋体" w:hAnsi="宋体"/>
          <w:b/>
          <w:color w:val="auto"/>
          <w:kern w:val="0"/>
          <w:sz w:val="21"/>
          <w:szCs w:val="21"/>
          <w:highlight w:val="none"/>
        </w:rPr>
      </w:pPr>
      <w:r>
        <w:rPr>
          <w:rFonts w:hint="eastAsia" w:ascii="宋体" w:hAnsi="宋体"/>
          <w:b/>
          <w:color w:val="auto"/>
          <w:kern w:val="0"/>
          <w:sz w:val="21"/>
          <w:szCs w:val="21"/>
          <w:highlight w:val="none"/>
        </w:rPr>
        <w:t>三、采购内容及技术要求</w:t>
      </w:r>
    </w:p>
    <w:p>
      <w:pPr>
        <w:spacing w:line="360" w:lineRule="auto"/>
        <w:ind w:firstLine="420" w:firstLineChars="200"/>
        <w:jc w:val="left"/>
        <w:rPr>
          <w:rFonts w:ascii="宋体" w:hAnsi="宋体"/>
          <w:color w:val="auto"/>
          <w:sz w:val="21"/>
          <w:szCs w:val="21"/>
          <w:highlight w:val="none"/>
        </w:rPr>
      </w:pPr>
      <w:r>
        <w:rPr>
          <w:rFonts w:hint="eastAsia" w:ascii="宋体" w:hAnsi="宋体"/>
          <w:color w:val="auto"/>
          <w:sz w:val="21"/>
          <w:szCs w:val="21"/>
          <w:highlight w:val="none"/>
        </w:rPr>
        <w:t>1.本项目的核心产品为：</w:t>
      </w:r>
      <w:r>
        <w:rPr>
          <w:rFonts w:hint="eastAsia" w:ascii="宋体" w:hAnsi="宋体"/>
          <w:color w:val="auto"/>
          <w:sz w:val="21"/>
          <w:szCs w:val="21"/>
          <w:highlight w:val="none"/>
          <w:u w:val="single"/>
        </w:rPr>
        <w:t xml:space="preserve"> 热成像报警摄像机  </w:t>
      </w:r>
      <w:r>
        <w:rPr>
          <w:rFonts w:hint="eastAsia" w:ascii="宋体" w:hAnsi="宋体"/>
          <w:color w:val="auto"/>
          <w:sz w:val="21"/>
          <w:szCs w:val="21"/>
          <w:highlight w:val="none"/>
        </w:rPr>
        <w:t>（核心产品仅适用于本项目同一品牌的认定，同一品牌的认定详见投标人须知）。</w:t>
      </w:r>
    </w:p>
    <w:tbl>
      <w:tblPr>
        <w:tblStyle w:val="6"/>
        <w:tblW w:w="9654" w:type="dxa"/>
        <w:jc w:val="center"/>
        <w:tblLayout w:type="autofit"/>
        <w:tblCellMar>
          <w:top w:w="0" w:type="dxa"/>
          <w:left w:w="108" w:type="dxa"/>
          <w:bottom w:w="0" w:type="dxa"/>
          <w:right w:w="108" w:type="dxa"/>
        </w:tblCellMar>
      </w:tblPr>
      <w:tblGrid>
        <w:gridCol w:w="453"/>
        <w:gridCol w:w="848"/>
        <w:gridCol w:w="6634"/>
        <w:gridCol w:w="447"/>
        <w:gridCol w:w="636"/>
        <w:gridCol w:w="636"/>
      </w:tblGrid>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序号</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标的名称</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参数</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单位</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数量</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color w:val="auto"/>
                <w:kern w:val="0"/>
                <w:sz w:val="21"/>
                <w:szCs w:val="21"/>
                <w:highlight w:val="none"/>
                <w:lang w:val="en-US" w:eastAsia="zh-CN" w:bidi="ar"/>
              </w:rPr>
            </w:pPr>
            <w:r>
              <w:rPr>
                <w:rFonts w:hint="eastAsia" w:asciiTheme="minorEastAsia" w:hAnsiTheme="minorEastAsia" w:eastAsiaTheme="minorEastAsia" w:cstheme="minorEastAsia"/>
                <w:color w:val="auto"/>
                <w:kern w:val="0"/>
                <w:sz w:val="21"/>
                <w:szCs w:val="21"/>
                <w:highlight w:val="none"/>
                <w:lang w:val="en-US" w:eastAsia="zh-CN" w:bidi="ar"/>
              </w:rPr>
              <w:t>所属行业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高清红外摄像机</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 xml:space="preserve">筒型网络摄像机像素：400万 1/1.8" CMOS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最低照度 彩色：0.0005 Lux @（F1.0，AGC ON），0 Lux with Light</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宽动态: 120 dB</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补光灯类型: 柔光灯</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内置不低于6颗暖白光补光灯，当照度降低至一定值时，可自动开启补光灯补光，在白天夜晚均可输出彩色视频图像（</w:t>
            </w:r>
            <w:r>
              <w:rPr>
                <w:rFonts w:hint="eastAsia" w:asciiTheme="minorEastAsia" w:hAnsiTheme="minorEastAsia" w:eastAsiaTheme="minorEastAsia" w:cstheme="minorEastAsia"/>
                <w:b/>
                <w:bCs/>
                <w:color w:val="auto"/>
                <w:kern w:val="0"/>
                <w:sz w:val="21"/>
                <w:szCs w:val="21"/>
                <w:highlight w:val="none"/>
                <w:lang w:val="en-US" w:eastAsia="zh-CN" w:bidi="ar"/>
              </w:rPr>
              <w:t>投标文件中提供加盖厂家公章的检测报告复印件或扫描件</w:t>
            </w:r>
            <w:r>
              <w:rPr>
                <w:rFonts w:hint="eastAsia" w:asciiTheme="minorEastAsia" w:hAnsiTheme="minorEastAsia" w:eastAsiaTheme="minorEastAsia" w:cstheme="minorEastAsia"/>
                <w:color w:val="auto"/>
                <w:kern w:val="0"/>
                <w:sz w:val="21"/>
                <w:szCs w:val="21"/>
                <w:highlight w:val="none"/>
                <w:lang w:bidi="ar"/>
              </w:rPr>
              <w:t>）</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补光距离: 最远可达50m</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防补光过曝: 支持</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最大图像尺寸: 2560 × 1440</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视频压缩标准: 主码流：H.265/H.264</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网络存储: 支持NAS（NFS，SMB/CIFS均支持）</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音频: 1个内置麦克风</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网络: 1个RJ45 10 M/100 M自适应以太网口</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启动及工作温湿度: -30 ℃~60 ℃，湿度小于95%（无凝结）</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供电方式: DC：12 V ± 25%，支持防反接保护；PoE：802.3af，Class 3</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电流及功耗: DC： 12 V，0.45 A，最大功耗：5.4 W；PoE：36 V~57 V，0.18 A~0.11 A，最大功耗：6.5 W</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防护: IP66</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44</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val="en-US" w:eastAsia="zh-CN"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2</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热成像报警摄像机</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bidi="ar"/>
              </w:rPr>
              <w:t>★ 设备适应环境能力强，支持在-50℃-85℃范围内正常工作；支持外接温湿度传感器，可在预览画面中显示温湿度信息</w:t>
            </w:r>
          </w:p>
          <w:p>
            <w:pPr>
              <w:widowControl/>
              <w:jc w:val="left"/>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bidi="ar"/>
              </w:rPr>
              <w:t>★ 可对监控画面中由目标发生镜面反射而产生的报警进行过滤</w:t>
            </w:r>
          </w:p>
          <w:p>
            <w:pPr>
              <w:widowControl/>
              <w:jc w:val="left"/>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bidi="ar"/>
              </w:rPr>
              <w:t>★ 热成像视频图像具有白热、黑热、融合1、融合2、彩虹1、铁红2、深褐色等不少于40种显示模式</w:t>
            </w:r>
          </w:p>
          <w:p>
            <w:pPr>
              <w:widowControl/>
              <w:jc w:val="left"/>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bidi="ar"/>
              </w:rPr>
              <w:t>★ 可通过IE浏览器开启或关闭畸变校正功能，开启后样机视场角应较小，开启畸变校正功能后，样机几何失真率应≤2%</w:t>
            </w:r>
          </w:p>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热成像双光谱网络筒型摄像机</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热成像：分辨率：256×192；焦距：10mm；视场角：18°× 13.5°</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可见光：分辨率：2688×1520，400万像素；焦距：8mm；视场角：39.4° × 22.1°</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测温精度：±8℃或量程的±8% ℃ （取最大值）</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测温范围：-20℃~150℃；</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人员周界最远报警距离（以1.8米*0.5米为准）：100m</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车辆周界最远报警距离（以4米*1.4米为准）：300m</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目标物最远测温距离（以0.1米*0.1米为准）：15m</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火点最远报警距离（以0.1米*0.1米为准）：60m</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吸烟检测最远报警距离：15m</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支持30米红外补光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电源：DC 12 V（±25%）或PoE (802.3af, class 3)</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工作温度和湿度：-40℃~70℃，湿度小于95%</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防护等级：IP67</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34</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3</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半球型高清红外网络摄像机</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半球型网络摄像机像素：400万 星光级 1/1.8"CMOS</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最低照度彩色不大于0.0002 lx，黑白不大于0.0001 lx（</w:t>
            </w:r>
            <w:r>
              <w:rPr>
                <w:rFonts w:hint="eastAsia" w:asciiTheme="minorEastAsia" w:hAnsiTheme="minorEastAsia" w:eastAsiaTheme="minorEastAsia" w:cstheme="minorEastAsia"/>
                <w:b/>
                <w:bCs/>
                <w:color w:val="auto"/>
                <w:kern w:val="0"/>
                <w:sz w:val="21"/>
                <w:szCs w:val="21"/>
                <w:highlight w:val="none"/>
                <w:lang w:eastAsia="zh-CN" w:bidi="ar"/>
              </w:rPr>
              <w:t>投标文件中提供加盖厂家公章的检测报告复印件或扫描件</w:t>
            </w:r>
            <w:r>
              <w:rPr>
                <w:rFonts w:hint="eastAsia" w:asciiTheme="minorEastAsia" w:hAnsiTheme="minorEastAsia" w:eastAsiaTheme="minorEastAsia" w:cstheme="minorEastAsia"/>
                <w:color w:val="auto"/>
                <w:kern w:val="0"/>
                <w:sz w:val="21"/>
                <w:szCs w:val="21"/>
                <w:highlight w:val="none"/>
                <w:lang w:bidi="ar"/>
              </w:rPr>
              <w:t>）</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支持周界防范功能，当区域入侵、越界侦测、进入区域、离开区域报警布防开启后，出现行人、非机动车、机动车目标时能触发报警，当检测区域中篮球滚动、小狗移动、树叶晃动及光线明暗变化时不会触发报警（</w:t>
            </w:r>
            <w:r>
              <w:rPr>
                <w:rFonts w:hint="eastAsia" w:asciiTheme="minorEastAsia" w:hAnsiTheme="minorEastAsia" w:eastAsiaTheme="minorEastAsia" w:cstheme="minorEastAsia"/>
                <w:b/>
                <w:bCs/>
                <w:color w:val="auto"/>
                <w:kern w:val="0"/>
                <w:sz w:val="21"/>
                <w:szCs w:val="21"/>
                <w:highlight w:val="none"/>
                <w:lang w:eastAsia="zh-CN" w:bidi="ar"/>
              </w:rPr>
              <w:t>投标文件中提供加盖厂家公章的检测报告复印件或扫描件</w:t>
            </w:r>
            <w:r>
              <w:rPr>
                <w:rFonts w:hint="eastAsia" w:asciiTheme="minorEastAsia" w:hAnsiTheme="minorEastAsia" w:eastAsiaTheme="minorEastAsia" w:cstheme="minorEastAsia"/>
                <w:color w:val="auto"/>
                <w:kern w:val="0"/>
                <w:sz w:val="21"/>
                <w:szCs w:val="21"/>
                <w:highlight w:val="none"/>
                <w:lang w:bidi="ar"/>
              </w:rPr>
              <w:t>）</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调节角度: 水平：0~355°，垂直：0~75°，旋转：0~355°</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宽动态: 120 dB</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焦距&amp;视场角:2.8~12 mm：水平视场角：107°~39.8°，垂直视场角：56°~22.4°，对角线视场角：130.1°~45.7°</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补光灯类型: 红外，850 nm</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最大图像尺寸: 2560 × 1440</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视频压缩标准: H.265/H.264/MJPEG</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网络存储: 支持Micro SD(即TF卡)/Micro SDHC/Micro SDXC卡（最大256 GB）断网本地存储及断网续传，NAS</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网络: 1个RJ45 10 M/100 M自适应以太网口</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音频: 2 路输入（Line in），1路输出（Line out），2个内置麦克风，1个内置扬声器</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报警: 3路输入，2路输出（报警输入支持开关量，报警输出最大支持DC12 V，30 mA）</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RS-485: 1路RS485接口</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复位: 支持</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电源输出: 支持DC12 V，100 mA</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存储温湿度: -30 ℃~60 ℃，湿度小于95%（无凝结）</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启动和工作温湿度: -30 ℃~60 ℃，湿度小于95%（无凝结）</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电流及功耗: DC：12 V，0.93 A，最大功耗：11.2 W；AC：24 V，0.73 A，最大功耗：10.5 W； PoE：802.3at，42.5 V~57 V，0.26 A~0.2 A，最大功耗：11.2 W</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供电方式: DC：12 V ± 20%，支持防反接保护； AC：24 V ± 20%； PoE：802.3at，Type 2 Class 4</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防护: IP67</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4</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高清智能球型摄像机</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bidi="ar"/>
              </w:rPr>
              <w:t>★ 支持快捷配置功能，可在预览画面开启/关闭“快捷配置”页面，对曝光参数、OSD、智能资源分配模式等参数进行配置，并可一键恢复为默认设置</w:t>
            </w:r>
          </w:p>
          <w:p>
            <w:pPr>
              <w:widowControl/>
              <w:jc w:val="left"/>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bidi="ar"/>
              </w:rPr>
              <w:t>★ 支持跟踪报警功能，可对监视画面中的多个目标进行跟踪，并可显示移动目标的属性（人、车、其他）；当移动目标进入监视画面时可报警上传，离开监视画面5s后解除报警</w:t>
            </w:r>
          </w:p>
          <w:p>
            <w:pPr>
              <w:widowControl/>
              <w:jc w:val="left"/>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bidi="ar"/>
              </w:rPr>
              <w:t>★ 支持双路智能行为分析功能，全景通道和细节通道均支持区域入侵、越界侦测、进入区域、离开区域等SMART智能行为分析功能</w:t>
            </w:r>
          </w:p>
          <w:p>
            <w:pPr>
              <w:widowControl/>
              <w:jc w:val="left"/>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bidi="ar"/>
              </w:rPr>
              <w:t>★ 支持定位联动功能，可自动标定全景视频图像与细节视频图像，使通过客户端软件或IE浏览器在全景视频图像中点击或框选任意区域后，在细节视频图像旋转角度范围允许的条件下，可将该区域处于细节视频图像中央，标定点数量不少于6个，且标定用时不大于1s</w:t>
            </w:r>
          </w:p>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内置加热玻璃，有效除雾</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支持高效补光阵列，细节红外照射距离最远可达150 m，白光30 m，全景照射距离最远可达30 m</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传感器类型: 【全景】1/1.8＂progressive scan CMOS，【细节】1/2.8＂progressive scan CMOS</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最低照度: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【细节】彩色：0.005 Lux @（F1.5，AGC ON），黑白：0.001 Lux @（F1.5，AGC ON），0 Lux with IR</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【全景】0.0005 Lux @（F1.0，AGC ON），0 Lux with light</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宽动态: 120 dB超宽动态</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焦距: 【全景】4 mm；【细节】5.9 mm~188.8 mm，32倍光学变倍</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视场角: 【全景】水平视场角：88.7°，垂直视场角：44.7°，【细节】水平视场角：60.2°~2.3°（广角~望远）</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水平范围: 360°</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垂直范围: -15°~90°（自动翻转）</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水平速度: 水平键控速度：0.1°~160°/s，速度可设；水平预置点速度：240°/s</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垂直速度: 垂直键控速度：0.1°~120°/s，速度可设；垂直预置点速度：200°/s</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主码流帧率分辨率: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【全景】50 Hz：25 fps（2560 × 1440）；60 Hz：30 fps（2560 × 1440）</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【细节】50 Hz：25 fps（2560 × 1440）；60 Hz：30 fps（2560 × 1440）</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视频压缩标准: H.265，H.264，MJPEG</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网络存储: NAS（NFS，SMB/CIFS），ANR</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网络接口: RJ45网口，自适应10 M/100 M网络数据</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SD卡扩展: 内置MicroSD卡插槽，支持MicroSD(即TF卡)/MicroSDHC/MicroSDXC卡，最大支持256 GB</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报警输入: 2路报警输入</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报警输出: 1路报警输出</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音频输入: 1路音频输入</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音频输出: 1路音频输出</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补光: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白光照射距离: 【细节】30 m；【全景】30 m</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红外照射距离: 【细节】150 m</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报警灯: 30 m</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供电方式: DC36 V ± 25%</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设备功耗: 最大功耗：60 W</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工作温湿度: -30 ℃~65 ℃；湿度小于90%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防护:IP66</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18</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5</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半球型摄像机电源</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输入电压：220-240V，50/60HZ   输出电压 12VDC  最大功率 12V/2.0A</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6</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智能球机电源</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输入电压：220-240V，50/60HZ   输出电压 36VDC  最大功率 36V/2.0A</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18</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7</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球机支架</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壁装支架</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19</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8</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摄像机支架</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 xml:space="preserve">壁装支架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材料 铝合金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调整角度 水平：360°，垂直：-45°~45°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可配支架 DS-1275ZJ（竖杆装）</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78</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9</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摄像机电源</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输入电压：220-240V，50/60HZ   输出电压 12VDC  最大功率 12V/2.0A</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78</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10</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网线</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国标阻燃，六类网线</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米</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7500</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11</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电源线</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国标RVV 2*1.0</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米</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3000</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12</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电源线</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国标RVV 2*2.5</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米</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2000</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13</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光纤</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单模光纤4芯</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米</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3000</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14</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光纤收发器</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工作模式（全双工/半双工）；工作速率（10/100M),4个网络电口，一个光纤口</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对</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10</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15</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核心交换机</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全网管三层交换机，机架式，可用千兆电接口数量≥24，复用的千兆光口数量≥8，非复用万兆光接口数量≥4，支持一个端口扩展槽位；2个电源模块槽位，2个风扇模块槽位，交换容量：756Gbps/7.56Tbps，包转发率：222Mpps/396Mpps，1U高度，19英寸宽，工作温度：0℃～45℃，支持交直流供电，满负荷功耗87W（单交流电源情况下）；支持RIP/OSPF/BGP/IS-IS/VRRP，IPv6，VLAN，流量控制，ACL，QoS，端口镜像，环网RRPP/ERPS、支持SNMP V1/V2c/V3网管。采用专业的内置防雷技术，支持10KV业务端口防雷能力。</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16</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8口交换机</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8口千兆二层非网管型交换机</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机架式</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提供8个10/100/1000M自适应RJ45电口</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1个千兆SFP光口</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支持IEEE802.3、IEEE802.3u、IEEE802.3x</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全千兆网络设计</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线速转发、无阻塞设计</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存储转发交换方式</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超过10万小时的平均无故障时间</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-10~45℃宽温工作范围</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坚固式高强度金属外壳</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 无风扇设计</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可靠性高</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4</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17</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16口交换机</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16口千兆二层非网管型交换机</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机架式</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提供16个10/100/1000M自适应RJ45电口</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1个千兆SFP光口</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支持IEEE802.3、IEEE802.3u、IEEE802.3x</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全千兆网络设计</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线速转发、无阻塞设计</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存储转发交换方式</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超过10万小时的平均无故障时间</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-10~45℃宽温工作范围</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坚固式高强度金属外壳</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无风扇设计</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可靠性高</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9</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18</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24口交换机</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 xml:space="preserve">24口千兆交换机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机架式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可用千兆电接口数量≥24，非复用千兆光接口数量≥4</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支持通过console口管理。交换容量：336Gbps/3.36Tbps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包转发率：42Mpps/96Mpps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1U高度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19英寸宽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工作温度：0℃～40℃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支持220v交流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满负荷功耗23W；支持VLAN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流量控制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ACL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QOS支持SNMP V1/V2c/V3网管。</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19</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bidi="ar"/>
              </w:rPr>
              <w:t>视频管理一体机</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主频：≥2.</w:t>
            </w:r>
            <w:r>
              <w:rPr>
                <w:rFonts w:hint="eastAsia" w:asciiTheme="minorEastAsia" w:hAnsiTheme="minorEastAsia" w:eastAsiaTheme="minorEastAsia" w:cstheme="minorEastAsia"/>
                <w:color w:val="auto"/>
                <w:kern w:val="0"/>
                <w:sz w:val="21"/>
                <w:szCs w:val="21"/>
                <w:highlight w:val="none"/>
                <w:lang w:val="en-US" w:eastAsia="zh-CN" w:bidi="ar"/>
              </w:rPr>
              <w:t>7</w:t>
            </w:r>
            <w:r>
              <w:rPr>
                <w:rFonts w:hint="eastAsia" w:asciiTheme="minorEastAsia" w:hAnsiTheme="minorEastAsia" w:eastAsiaTheme="minorEastAsia" w:cstheme="minorEastAsia"/>
                <w:color w:val="auto"/>
                <w:kern w:val="0"/>
                <w:sz w:val="21"/>
                <w:szCs w:val="21"/>
                <w:highlight w:val="none"/>
                <w:lang w:bidi="ar"/>
              </w:rPr>
              <w:t>GHz；</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8GB</w:t>
            </w:r>
            <w:r>
              <w:rPr>
                <w:rFonts w:hint="eastAsia" w:asciiTheme="minorEastAsia" w:hAnsiTheme="minorEastAsia" w:eastAsiaTheme="minorEastAsia" w:cstheme="minorEastAsia"/>
                <w:color w:val="auto"/>
                <w:kern w:val="0"/>
                <w:sz w:val="21"/>
                <w:szCs w:val="21"/>
                <w:highlight w:val="none"/>
                <w:lang w:val="en-US" w:eastAsia="zh-CN" w:bidi="ar"/>
              </w:rPr>
              <w:t xml:space="preserve"> DDR4</w:t>
            </w:r>
            <w:r>
              <w:rPr>
                <w:rFonts w:hint="eastAsia" w:asciiTheme="minorEastAsia" w:hAnsiTheme="minorEastAsia" w:eastAsiaTheme="minorEastAsia" w:cstheme="minorEastAsia"/>
                <w:color w:val="auto"/>
                <w:kern w:val="0"/>
                <w:sz w:val="21"/>
                <w:szCs w:val="21"/>
                <w:highlight w:val="none"/>
                <w:lang w:bidi="ar"/>
              </w:rPr>
              <w:t>；</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val="en-US" w:eastAsia="zh-CN" w:bidi="ar"/>
              </w:rPr>
              <w:t>256GB SSD</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3</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bidi="ar"/>
              </w:rPr>
              <w:t>20</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46寸液晶拼接屏</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LCD液晶显示单元；</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尺寸:46英寸；拼缝：3.5mm</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分辨率：1920 × 1080@60 Hz（向下兼容）；</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视角：垂直上下178°,水平左右178°(CR≥10)；</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响应时间：8ms(G to G)；</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对比度：1200:1；</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亮度：500cd/㎡；</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输入接口：HDMI × 1, DVI × 1, VGA × 1, CVBS × 1, USB × 1</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输出接口：HDMI × 1, VGA × 1, CVBS × 1</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控制接口：RS232 IN × 1, RS232 OUT × 1</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功耗：≤ 160 W；</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电源要求：100～240 VAC, 50/60 Hz；</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寿命：≥60000 小时；</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9</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bidi="ar"/>
              </w:rPr>
              <w:t>21</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电视墙</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冷轧板 ≥3060×1710×600mm，SPCC 优质冷轧钢板； 厚度：方孔条 2.0mm、其它 1.2mm;表面处理:脱脂、酸洗、磷化、静电喷塑</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bidi="ar"/>
              </w:rPr>
              <w:t>22</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硬盘录像机</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硬件规格：</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3U标准机架式</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2个HDMI，2个VGA,HDMI+VGA组内同源</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16盘位，可满配8T、10T硬盘 ，已内置16块8TB AI硬盘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2个千兆网口</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2个USB2.0接口、1个USB3.0接口</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1个eSATA接口</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报警IO：16进8出</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支持RAID0、1、5、10，支持全局热备盘</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软件性能：</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输入带宽：320M</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32路H.264、H.265混合接入</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最大支持16×1080P解码</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支持H.265、H.264解码</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Smart 2.0/整机热备/ANR/智能检索/智能回放/车牌检索/人脸检索/热度图/客流量统计/分时段回放/超高倍速回放/双系统备份</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3</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bidi="ar"/>
              </w:rPr>
              <w:t>23</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硬盘录像机</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硬件规格：</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1.5U标准机架式</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1个HDMI，1个VGA</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已内置4块4T硬盘</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2个千兆网口</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2个USB2.0接口、1个USB3.0接口</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1个eSATA接口</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报警IO：16进4出（选配16进8出）</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软件性能：</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输入带宽：80M</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输出带宽：256Mbps</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8路H.264、H.265混合接入</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最大支持8×1080P解码</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支持H.265、H.264解码</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Smart 2.0/ANR/智能检索/智能回放/车牌检索/人脸检索/热度图/客流量统计/分时段回放/超高倍速回放/双系统备份</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bidi="ar"/>
              </w:rPr>
              <w:t>24</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综合安防管理平台</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bidi="ar"/>
              </w:rPr>
              <w:t>提供业务应用依赖的基础资源信息及基础服务能力，包括系统基础信息管理、地图应用服务、事件联动应用服务。</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系统基础信息管理：</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系统基础信息管理提供了系统业务应用依赖的基础资源，包括安保用户管理、安保基础数据管理、安保区域管理、安保系统配置、物联设备管理，统一管理了组织、区域、人员、卡片、车辆和物联设备等资源，并提供人车、人卡的关联关系配置能力。</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一、组织资源管理</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1、支持组织基础信息的增删改查、导入、导出等功能；</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二、区域资源管理</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1、支持区域基础信息的增删改查、导入、导出等功能；</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三、人员信息管理</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1、支持人员信息的增删改查、导入、导出，包括人脸、指纹采集；</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2、支持人员基础信息自定义扩展；</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四、卡片信息管理</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1、支持卡片基本信息的增删改查、导入、导出；</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2、支持人员开卡、退卡、挂失、解挂、换卡及卡扇区加密；</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五、车辆信息管理</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1、支持车辆基本信息的增删改查、导入、导出；</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六、设备信息管理</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1、提供设备统一接入管理，包括：视频设备、出入口设备、门禁设备、梯控设备、可视对讲设备、食堂消费设备、寻车诱导设备、卡口设备、车载设备、报警设备等。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七、系统用户管理</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1、支持账户基本信息和角色信息的增删改查；</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2、支持配置不同角色权限，包括菜单权限、组织权限、区域权限、资源权限、功能控制权限；</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3、支持用户组权限分配；</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4、支持用户安全管理，可绑定用户mac地址及IP，可自行修改用户密码或者管理员重置密码；</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5、支持从Windows域同步用户信息，用于域账户进行平台登录；</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八、核心参数配置</w:t>
            </w:r>
          </w:p>
          <w:p>
            <w:pPr>
              <w:widowControl/>
              <w:jc w:val="left"/>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bidi="ar"/>
              </w:rPr>
              <w:t>核数≥10核，主频≥2.2GHz</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32G*2 DDR4，</w:t>
            </w:r>
          </w:p>
          <w:p>
            <w:pPr>
              <w:widowControl/>
              <w:jc w:val="left"/>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bidi="ar"/>
              </w:rPr>
              <w:t>4块600G 10K 2.5寸 SAS</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1、支持首页菜单自定义展示设置；</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2、支持所有设备统一校时；</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3、提供账户安全设置，支持账户密码有效期设置。</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图上监控：</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图上监控应用以地图可视化模式为各类设备资源提供可视化展示及控制操作，在地图上可展示各类资源点的地理位置，通过接收资源点报警事件，实现报警信息可视化展示。</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1、支持地图配置能力</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2、支持资源上图配置能力，实现资源的地图可视化展示及控制操作，资源类型包含监控点、报警输出、报警输入、门禁点、出入口、停车场、传感器、手持视频终端、园区卡口资源、防区、报警输入、报警输出、报警主机IO输出、消防设备；</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3、支持事件可视化监控能力，实时展示报警事件，支持历史报警事件查询；</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4、支持针对移动GPS设备的轨迹回放能力，如单兵设备；</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事件联动：</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事件联动提供系统报警事件接收、事件处理、事件联动、事件检索能力，提供场景化的事件联动应用（在“特定条件”下执行“特定动作”），报警事件产生时，可以通过多种方式、多种联动场景提醒安保人员，保障报警事件通知的及时性，包括多种联动方式：视频弹窗、视频上墙、录像联动、云台联动、短信联动、邮箱联动、IO联动、抓图联动、门禁反控联动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一、事件联动管理</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1、支持事件联动规则配置管理，包括规则增删改查；</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2、支持事件规则计划模板，包括全天候模式、工作日模式、周末模式及自定义模式；</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3、支持多种报警事件配置联动，包括：14种触发事件类型（包含：视频事件、入侵报警事件、IO事件、门禁事件、停车场事件、可视对讲事件、行车监控事件、梯控事件、动环事件、紧急报警事件、人脸识别事件、卡口事件、消防事件、测温事件）和21种事件联动动作配置；</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4、提供7种高级联动规则模版配置，支持配置满足在指定时间段存在多个触发事件类型而联动多个并发动作的场景。</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二、事件检索管理</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1、支持报警事件自定义时间存储，最长支持36个月存储；</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2、支持多种维度检索报警事件，包括：区域、位置、事件源、事件等级、时间、状态等维度；</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3、支持事件详情查看，包括抓图、录像等；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4、支持对报警事件进行标记、处理以及导出。</w:t>
            </w:r>
          </w:p>
          <w:p>
            <w:pPr>
              <w:widowControl/>
              <w:jc w:val="left"/>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bidi="ar"/>
              </w:rPr>
              <w:t>★ 运行管理中心提供统一的认证、授权管理机制，支持HTTPS以及密码安全加密访问认证；支持验证码、连续登陆尝试次数、用户IP地址限制等多种验证方式；支持用户密码有效时间段进行设置管理，支持用户IP绑定，指定IP地址用户才能登陆平台；支持身份认证和信息防篡改校验，供内部程序对授权信息的访问，避免外部程序破解授权文件；支持加密传输，包括但不限于：服务接口调用采用DH共享秘钥交互加密传输、外部网络或者公网WEB请求采用HTTPS协议传输、敏感数据采用RSA非对称加密2048位加密传输；</w:t>
            </w:r>
          </w:p>
          <w:p>
            <w:pPr>
              <w:widowControl/>
              <w:jc w:val="left"/>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bidi="ar"/>
              </w:rPr>
              <w:t>★ 支持组件集群高可用，包括但不限于：设备接入服务和智能设备接入服务集群高可用、媒体网关服务集群高可用、视频联网网关服务集群高可用、视频点播服务集群高可用</w:t>
            </w:r>
          </w:p>
          <w:p>
            <w:pPr>
              <w:widowControl/>
              <w:jc w:val="left"/>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bidi="ar"/>
              </w:rPr>
              <w:t>★ 支持对组织架构及信息查看、查询、添加、删除、修改、导入、导出；支持对人员信息查看、添加、删除、批量导入；支持对用户人员查看、添加、注销，支持对用户密码修改，账号启用、禁用；支持以中心管理服务为核心的网络拓扑结构，支持对系统中的分组、服务器、组件等统计概览、查看；支持多色彩（红、橙、黄）展示运行告警状态，支持告警统计、概览、处理，支持告警记录查看、查询，支持告警单条、批量处理；支持系统最近7天每日告警数统计，支持评分量化系统监控指数，显示系统运行状态</w:t>
            </w:r>
          </w:p>
          <w:p>
            <w:pPr>
              <w:widowControl/>
              <w:jc w:val="left"/>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bidi="ar"/>
              </w:rPr>
              <w:t>★ 支持导航视图管理，对系统内各节点进行查看、增加、删除、修改，展示、查找；支持对系统内所有服务器进行监控，包括名称、IP地址、状态、未处理告警数、CPU使用率、内存使用率、磁盘容量、主机代理等；支持对系统内所有组件信息进行监控，组件信息包含：组件名称、未处理告警数、所属服务器、最近操作时间、授权状态、维保期限、使用期限等；支持软件包（组件包、设备驱动包、语言包、皮肤包）上传、搜索查询、移除、更新、查看；支持对服务的参数配置进行查看、修改、下发、查询；支持告警策略配置查看、设置、修改、启用；支持校时配置、启用、停止功能；支持集群管理，支持集群信息查看、添加、删除；支持授权查看管理，支持导入、移除授权文件；支持在线授权激活，支持离线授权激活；支持在线、离线授权反激活</w:t>
            </w:r>
          </w:p>
          <w:p>
            <w:pPr>
              <w:widowControl/>
              <w:jc w:val="left"/>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bidi="ar"/>
              </w:rPr>
              <w:t>★ 支持国标协议上下级平台级联，支持流媒体集群配置；支持BS客户端、CS客户端、移动客户端（Android、iOS）视频预览，支持多浏览器实时预览；支持客户端预览记忆功能，包括当前预览的监控点和当前分屏状态；支持热成像相机接入，预览回放、热成像温度、烟火识别报警联动等功能；支持自动在1/2/3/4/6/8/9/10/13/14/16/17/24/25画面分隔模式间进行监控点轮巡预览，轮巡时间可设置，支持全屏显示；预览画面支持亮度、对比度、色调、饱和度参数调节；支持自动在1/2/3/4/6/8/9/10/13/14/16/17/24/25画面分隔模式间进行监控点轮巡预览，轮巡时间可设置，支持全屏显示；支持视频画面叠加水印，包括视频预览、录像回放、即时回放、录像剪辑、紧急录像和录像下载时叠加；支持录像标签功能，支持搜索、修改、删除标签，并可通过标签定位录像并回放；支持通过车牌搜索定位录像并回放；支持设备录像回传至中心存储，可以支持计划回传和手动回传两种模式；</w:t>
            </w:r>
          </w:p>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 支持获取报警主机所有防区信息，包括扩展防区；支持对扩展防区进行布防、撤防、旁路、旁路恢复操作；支持接收扩展防区上报事件；支持CS客户端对入侵报警设备子系统状态展示、布撤防、消警，报警防区展示、旁路、旁路恢复等操作；支持通过客户端对报警子系统进行布/撤防、消警操作，支持报警子系统批量进行布/撤防，支持防区布/撤防；支持接收紧急报警事件，并通过事件联动实现联动预览、对讲、开箱（仅报警柱支持）、开警灯（报警箱、报警柱支持）操作</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套</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bidi="ar"/>
              </w:rPr>
              <w:t>25</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监控中心供电电源</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12V30A</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bidi="ar"/>
              </w:rPr>
              <w:t>26</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机柜</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尺寸：≥高2米*深1米*宽0.6米</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bidi="ar"/>
              </w:rPr>
              <w:t>27</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五联操作台</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定制≥2900*900*750</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套</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bidi="ar"/>
              </w:rPr>
              <w:t>28</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bidi="ar"/>
              </w:rPr>
              <w:t>柜式空调</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匹数：≥3 匹；电辅加热：支持 ；制冷面积：30-40 平方米； 制热面积：30-40 平方米 ；扫风方式：上下/左右扫风</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bidi="ar"/>
              </w:rPr>
              <w:t>29</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bidi="ar"/>
              </w:rPr>
              <w:t>UPS电源</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主机容量:≥20KVA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双转换在线式UPS；</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三相输入/单相输出；</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输入线数 单相两线(L,N)+保护地 或三相四线(L1,L2,L3,N)+保护地；</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输入电压范围 单相零火相电压: 90~300VAC /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三相线电压: 150~500VAC;</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输入频率范围 40Hz-70Hz;</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输入功率因素 ≥0.9;</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输出线数 单相两线（L,N)+保护地;</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额定电压 208/220/230/240VAC;</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输出电压精度 ±1%;</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输出频率 50/60±4Hz(锁相模式)</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50/60Hz±0.1%(定频模式);</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输出波形 纯正弦波;</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电池数量：≥32块;</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电池类型：阀控式铅酸免维护蓄电池12V/100ah;</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电池柜：标准A32;</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附带连接线。</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套</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bidi="ar"/>
              </w:rPr>
              <w:t>30</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紧急求助报警产品中心管理机</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 xml:space="preserve">10.1寸触摸屏紧急报警管理机；集成视频查看、双向对讲、呼叫前端等功能，用于管理前端一键求助报警产品。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支持1080P视频显示，支持H.264/H.265解码，支持最大256G Micro SD卡存储；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 支持4路开关量输入，4路继电器输出；支持VGA、HDMI同源输出；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支持1路3.5mm音频输入，1路3.5mm音频输出；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话柄、鹅颈话筒杆可拆卸，支持DC12V、PoE(IEEE 802.3 at/af)供电。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当管理前端紧急报警设备数量超过128路，或者需多中心分级管理，加配sip服务对讲管理软件DS-PEA-TS（代码312300105）</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bidi="ar"/>
              </w:rPr>
              <w:t>31</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可视化紧急报警一体机</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旗舰款紧急报警箱；</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采用嵌入式Linux操作系统, 高性能嵌入式SOC处理器，系统运行稳定可靠</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支持网络自适应、音视频自适应功能，在网络丢包情况下，实现音视频低延迟</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支持语音对讲功能，内置高灵敏度麦克风，可实现5米对讲</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支持视频采集功能，内置200W 自动红外超广角高清摄像头，实现全天候24小时实时监控</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支持H.264、 H.264SVC和H.265视频编码格式，支持G.711U和G.726音频压缩标准，支持宽动态、强光抑制，场景适应性好</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音频接口：1个音频输入、1个音频输出接口</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警灯输出：1个红蓝双色警灯，可独立控制；报警输出：2路；警号输出：1个声音110分贝，可独立控制</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报警输入：2路；扬声器：内置1路3W扬声器</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补光方式：红外补光；视频压缩标准：H.264;H.265；日夜转换模式：ICR红外滤片式自动切换；镜头视场角：水平视场角:128°；帧率：帧率25fps</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IP等级：IP65</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安装方式：抱箍或者壁挂</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工作温度：-40℃-70℃，</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工作湿度：10％-90％</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15</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bidi="ar"/>
              </w:rPr>
              <w:t>3</w:t>
            </w:r>
            <w:r>
              <w:rPr>
                <w:rFonts w:hint="eastAsia" w:asciiTheme="minorEastAsia" w:hAnsiTheme="minorEastAsia" w:eastAsiaTheme="minorEastAsia" w:cstheme="minorEastAsia"/>
                <w:color w:val="auto"/>
                <w:kern w:val="0"/>
                <w:sz w:val="21"/>
                <w:szCs w:val="21"/>
                <w:highlight w:val="none"/>
                <w:lang w:val="en-US" w:eastAsia="zh-CN" w:bidi="ar"/>
              </w:rPr>
              <w:t>2</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开门按钮</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 xml:space="preserve">结构：塑料面板；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性能：最大耐电流1.25A，电压250V；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输出：常开；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类型：适合埋入式电器盒使用； </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bidi="ar"/>
              </w:rPr>
              <w:t>3</w:t>
            </w:r>
            <w:r>
              <w:rPr>
                <w:rFonts w:hint="eastAsia" w:asciiTheme="minorEastAsia" w:hAnsiTheme="minorEastAsia" w:eastAsiaTheme="minorEastAsia" w:cstheme="minorEastAsia"/>
                <w:color w:val="auto"/>
                <w:kern w:val="0"/>
                <w:sz w:val="21"/>
                <w:szCs w:val="21"/>
                <w:highlight w:val="none"/>
                <w:lang w:val="en-US" w:eastAsia="zh-CN" w:bidi="ar"/>
              </w:rPr>
              <w:t>3</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门禁一体机</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操作系统：嵌入式Linux操作系统；</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屏幕参数： ≥7英寸触摸显示屏，屏幕比例9:16，屏幕分辨率600*1024；</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摄像头参数：采用宽动态200万双目摄像头；</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应支持 IC 卡识读；支持识读模块的扩展功能，模块支持热插拔连接，形成一体化识别终端；应支持人脸、刷卡、指纹、二维码、蓝牙和密码认证；蓝牙识读区域直径范围应≥3 米，基于蓝牙识读的开门时间应≤1 秒；二维码模块应支持静态及动态二维码识读，应能对由 512 字符生成的二维码进行识读，支持格式应包括：QR Code、Micro QR、Code128、Code39、Codabar；应支持配置防卡第三方卡片或复制卡片可屏蔽识读；应支持刷卡+密码、指纹+密码、指纹+刷卡、人脸+指纹、人脸+密码、人脸+刷卡、指纹+刷卡+密码、人脸+二维码+蓝牙、人脸+指纹+刷卡、人脸+密码+指纹的复合认证；（</w:t>
            </w:r>
            <w:r>
              <w:rPr>
                <w:rFonts w:hint="eastAsia" w:asciiTheme="minorEastAsia" w:hAnsiTheme="minorEastAsia" w:eastAsiaTheme="minorEastAsia" w:cstheme="minorEastAsia"/>
                <w:b/>
                <w:bCs/>
                <w:color w:val="auto"/>
                <w:kern w:val="0"/>
                <w:sz w:val="21"/>
                <w:szCs w:val="21"/>
                <w:highlight w:val="none"/>
                <w:lang w:eastAsia="zh-CN" w:bidi="ar"/>
              </w:rPr>
              <w:t>投标文件中提供加盖厂家公章的检测报告复印件或扫描件</w:t>
            </w:r>
            <w:r>
              <w:rPr>
                <w:rFonts w:hint="eastAsia" w:asciiTheme="minorEastAsia" w:hAnsiTheme="minorEastAsia" w:eastAsiaTheme="minorEastAsia" w:cstheme="minorEastAsia"/>
                <w:color w:val="auto"/>
                <w:kern w:val="0"/>
                <w:sz w:val="21"/>
                <w:szCs w:val="21"/>
                <w:highlight w:val="none"/>
                <w:lang w:bidi="ar"/>
              </w:rPr>
              <w:t>）</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人脸识别：采用深度学习算法，支持单人或多人识别（最多5人同时认证）功能；支持照片、视频防假；1:N人脸识别速度≤0.2s，人脸验证准确率≥99%；</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存储容量：本地支持10000人脸库、50000张卡，15万条事件记录；</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硬件接口：LAN*1、RS485*1、Wiegand * 1(支持双向)、typeC类型USB接口*1、电锁*1、门磁*1、报警输入*2、报警输出*1、开门按钮*1、SD卡槽*1（最大支持512GB）、3.5mm音频输出接口*1；</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通信方式及网络协议：有线网络；</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使用环境：IP65，室内外环境；</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安装方式：壁挂安装；</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工作电压： DC12V~24V/2A；</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bidi="ar"/>
              </w:rPr>
              <w:t>3</w:t>
            </w:r>
            <w:r>
              <w:rPr>
                <w:rFonts w:hint="eastAsia" w:asciiTheme="minorEastAsia" w:hAnsiTheme="minorEastAsia" w:eastAsiaTheme="minorEastAsia" w:cstheme="minorEastAsia"/>
                <w:color w:val="auto"/>
                <w:kern w:val="0"/>
                <w:sz w:val="21"/>
                <w:szCs w:val="21"/>
                <w:highlight w:val="none"/>
                <w:lang w:val="en-US" w:eastAsia="zh-CN" w:bidi="ar"/>
              </w:rPr>
              <w:t>4</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可视对讲主机</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功能特性：</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钢化玻璃面板，铝合金金属边框和电容触摸按键设计；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信息发布功能，7寸高清显示屏，分辨率1024*600；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设备采用深度学习算法，支持10000人脸库，识别距离：0.3-2m，人脸比对时间≤0.5s/人，人脸验证准确率≥99%，支持手机照片、视频防假，识别速度快，准确率高；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采用星光级图像传感器，无需白光补光灯，在暗光或无光环境下人脸识别效果不受影响；</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夜间全彩，支持低照度场景下显示全彩图像；</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设备支持红外自动补光；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监控功能，采用200W高清监控级摄像头，具有120度超广角镜头，可作为安防监控点7*24全天候预览、录像；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单机操作功能，可本地发卡、录入指纹及人脸信息，实现免平台、免中心管理；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设备支持数据网络上传功能，可将设备比对结果及联动抓拍照片实时上传给平台；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断网续传功能，可支持认证事件本地存储1W条（含抓图）；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Web管理功能，支持参数配置、系统维护、视频预览、人员信息查询等功能；</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二维码功能，门口机可通过摄像机识别二维码识别，匹配后开锁。</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对讲功能，支持与室内机或中心管理机之间双向对讲；</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支持戴口罩人脸识别和未戴口罩检测（语音、文字提醒）功能；</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关键词识别和智能语音播报功能，设备可通过语音识别进行自动交互，用户可自定义配置权限验证时语音播报内容；</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门禁功能，可直接控制电锁，实现门禁管理；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支持外接一个RS485或韦根读卡器，作为出门读卡器使用；</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报警功能，设备具有防拆报警、门磁检测报警、门被外力强开报警功能；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设备具有消防报警输入联动门锁常开功能；</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电梯联动功能，可与梯控设备对接，实现呼梯联动功能；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支持一台主机带多台副机管理，同单元最多支持1主8副共9台门口机；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具有防尘、防水（IP65）设计，适应室外恶劣环境；</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维护方便，支持中心远程升级、本地U盘升级，批量刷机。</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技术参数：</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摄像头：CMOS低照度200W像素双目摄像机；</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视频压缩标准:H.264，分辨率：1920×1080；</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用户数量：20000个，合法卡数量：100000张；</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显示屏：7寸彩色非触摸 TFT LCD，分别率：1024*600；</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操作方式：电容触摸按键； </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只</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bidi="ar"/>
              </w:rPr>
              <w:t>3</w:t>
            </w:r>
            <w:r>
              <w:rPr>
                <w:rFonts w:hint="eastAsia" w:asciiTheme="minorEastAsia" w:hAnsiTheme="minorEastAsia" w:eastAsiaTheme="minorEastAsia" w:cstheme="minorEastAsia"/>
                <w:color w:val="auto"/>
                <w:kern w:val="0"/>
                <w:sz w:val="21"/>
                <w:szCs w:val="21"/>
                <w:highlight w:val="none"/>
                <w:lang w:val="en-US" w:eastAsia="zh-CN" w:bidi="ar"/>
              </w:rPr>
              <w:t>5</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可视对讲分机</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功能特性：</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 室内机与单元门口机、室内机与中心管理机之间可双向对讲；</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支持室内机之间的户户语音对讲与户内语音对讲；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 同一房号支持多室内机，同户最多支持6台室内机；</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 支持主动查看门口机画面并发起与门口机进行双向对讲，可进行一键远程开门；</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 支持直接向管理机注册（无需门口机），室内机与管理机可进行双向呼叫对讲；</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支持实时查看权限范围内的公共摄像头图像；</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支持接收中心下发的图文信息，信息有分类处理；</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支持自动应答与免打扰功能；</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采用先进的噪声抑制与回声消除技术，保证话音质量清晰明亮；</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支持通过Web端在门口机上批量导入房号和IP地址，实现批量激活；</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支持门口机呼叫时留言，带抓拍照片；</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支持用户自定义开门密码、胁迫密码设置；</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设备支持报警接入功能（8路有线防区接入），第8防区可作为叮咚门铃功能使用；</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室内机对讲专用交换机网线供电时支持输出一路12V 200mA电源用于探测器供电；</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技术参数：</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显示屏：7寸彩色TFT LCD</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分辨率：1024×600</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操作方式：电容式触摸屏</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bidi="ar"/>
              </w:rPr>
              <w:t>3</w:t>
            </w:r>
            <w:r>
              <w:rPr>
                <w:rFonts w:hint="eastAsia" w:asciiTheme="minorEastAsia" w:hAnsiTheme="minorEastAsia" w:eastAsiaTheme="minorEastAsia" w:cstheme="minorEastAsia"/>
                <w:color w:val="auto"/>
                <w:kern w:val="0"/>
                <w:sz w:val="21"/>
                <w:szCs w:val="21"/>
                <w:highlight w:val="none"/>
                <w:lang w:val="en-US" w:eastAsia="zh-CN" w:bidi="ar"/>
              </w:rPr>
              <w:t>6</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无线对讲机</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频段区间 ：VHF：136－174MHz； UHF: 350-400MHz, 400－470MHz</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信道容量 :256信道（16分区*16信道）</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信道间隔 :模拟：12.5KHz /20KHz /25KHz</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数字：12.5KHz</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电池（标准配置） DC 7.4V±20%</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电池工作时间（5-5-90工作循环，高功率发射） 模拟/数字：18/20小时 (2000mAh)</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8</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bidi="ar"/>
              </w:rPr>
              <w:t>37</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巡更主机</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bidi="ar"/>
              </w:rPr>
              <w:t>双色注塑外壳；感应距离3-5CM；密封防水，防震；摔机报警；LED聚光照明，全天候使用；</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存贮容量：≥20000条</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防护等级：IP67</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提示方式：显示器中文提示+震动</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工作温度：-20℃到70℃</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电 池：≥3.7V聚合物电池</w:t>
            </w:r>
          </w:p>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存储介质：FLASH闪存</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存储容量： ≥16Mbit</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接口类型： USB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读卡方式：开机自动探测读卡</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读卡频率：125K</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系统静态功耗：100uA</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系统正常工作电压范围：3.3－4.2V</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理论读卡次数：750mAH的锂电池，20000次；USB线直接传输，无需通讯座，更方便使用；预留指纹、GPRS等多个插口</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2</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bidi="ar"/>
              </w:rPr>
              <w:t>38</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巡更点</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材质：工程塑料 聚碳酸酯</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频率：125K</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形状：菱形、内置国际唯一ID码</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环境温度：-25℃至65℃</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19</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bidi="ar"/>
              </w:rPr>
              <w:t>39</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巡更软件</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提供云巡平台的基础设置（参数、单位、地点、线路、人员、事件、地点事关联、棒号、计划等功能）、各类报表查询（月历报表、考核记录、事件报表、巡检记录、上传日志、历史轨迹、实时监测等功能）、用户管理、我的服务、通知、消息管理以及手机注册、联系人管理等基础功能。</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2、提供后台所有数据专人管理，包括巡检端和管理端的数据安全、数据的推送等。</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bidi="ar"/>
              </w:rPr>
              <w:t>40</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入侵报警主机</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1、采用 32位ARM处理器</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2、具有自动旁路和故障检测提示功能，稳定性好,防止死机。</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3、多种联网方式可选，联网安全更有保障，支持GSM和IP网络扩展，支持固话、GSM、GPRS、IP网络任意3种方式组网联网使用。</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4、主机具有32个子系统，1个公共系统，可外接32个报警主机控制键盘，每个键盘可独立控制任意1个或多个分区。</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5、支持光纤联网使用，可电话/485转光纤联网使用</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6、支持1500条历史报警记录可查，自动保存历史报警信息。</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7、支持64组定时布防/撤防时间表，全天候自动布防功能。</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8、支持485扩展外接240台双防区电子围栏主机，无需外接防区地址模块。</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9、支持系统联动打印功能，可做到布防、撤防、报警实时打印功能。</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10、支持报警联动大型LED电子联动显示屏功能，且联动显示信息可自定义修改。</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11、支持IP网络上传到2个云接警平台。</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12、支持设备掉线和恢复提示功能，每2秒钟自动检测485总线上面的设备是否在线、故障等。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13、支持手机APP远程控制和接警功能。</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14、支持240个总线扩展设备，最大可扩展1960个总线制防区，主机自带8个防区，总共可支持1968个有线防区。</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15、支持电话线故障检测和报警功能</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16、支持后备电池过压过流和过度放电保护功能，最大限度延长后备电池使用寿命。</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17、支持64组密码，做到独立分权限密码控制功能。</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18、支持IP网络对网络终端设备进行远程IP控制功能。</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19、支持2个485总线通讯接口，每个通讯接口总线通讯距离可达1.2km,且每条总线最多可扩展6个485中继器进行485信号延长和分支，每增加1个中继器可延长485信号1.2km。</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20、485通讯总线上可直接外挂报警主机控制键盘，即防区模块和控制键盘可共用一条485总线，方便施工安装和管理</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21、支持防区故障旁路提示功能，快速锁定问题所在，也可以手动关闭防区旁路功能，简单实用。</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22、支持防区模块带线尾电阻功能，以防剪线报警用，安全等级最高。</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23、支持防区多种智能可编程联动功能，可做到任意一个防区的“一对一、一对多、多对一”的智能联动，可通过编程设置自定义联动关系，可满足多种复杂智能联动功能。</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bidi="ar"/>
              </w:rPr>
              <w:t>41</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入侵报警扩展模块</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总线网络报警主机双防区扩展模块/2个扩展防区数/</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套</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49</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bidi="ar"/>
              </w:rPr>
              <w:t>42</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振动报警探测器</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工作电压：DC9V～16V</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报警输出负载:DC28V 0.5A</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工作温度:-10℃～+50℃</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防拆保护:有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静态耗电:≤25mA</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报警输出:默认常闭</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报警输出持续时间:≥5S</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储存温度:-30℃～+70℃</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灵敏度:有</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23</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bidi="ar"/>
              </w:rPr>
              <w:t>4</w:t>
            </w:r>
            <w:r>
              <w:rPr>
                <w:rFonts w:hint="eastAsia" w:asciiTheme="minorEastAsia" w:hAnsiTheme="minorEastAsia" w:eastAsiaTheme="minorEastAsia" w:cstheme="minorEastAsia"/>
                <w:color w:val="auto"/>
                <w:kern w:val="0"/>
                <w:sz w:val="21"/>
                <w:szCs w:val="21"/>
                <w:highlight w:val="none"/>
                <w:lang w:val="en-US" w:eastAsia="zh-CN" w:bidi="ar"/>
              </w:rPr>
              <w:t>3</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智能光幕探测器</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探测方式:四元红外</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透镜类型:幕帘</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探测距离及角度:8m/15°</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可探测速度:0.3～3m/s</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安装方式:壁挂</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安装高度:2m</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工作电压:DC9～16V</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工作电流:≤30mA</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抗EMI/RFI干扰:有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双向数字温度补偿:有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动态阀值技术:有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人工智能技术:有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报警输出:常闭、常开可选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防拆开关:常闭</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脉冲计数:无</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报警延时功能:5S</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工作温度:- 10℃～＋50℃</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抗白光等级:6500Lux</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3</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bidi="ar"/>
              </w:rPr>
              <w:t>4</w:t>
            </w:r>
            <w:r>
              <w:rPr>
                <w:rFonts w:hint="eastAsia" w:asciiTheme="minorEastAsia" w:hAnsiTheme="minorEastAsia" w:eastAsiaTheme="minorEastAsia" w:cstheme="minorEastAsia"/>
                <w:color w:val="auto"/>
                <w:kern w:val="0"/>
                <w:sz w:val="21"/>
                <w:szCs w:val="21"/>
                <w:highlight w:val="none"/>
                <w:lang w:val="en-US" w:eastAsia="zh-CN" w:bidi="ar"/>
              </w:rPr>
              <w:t>4</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主动红外电子光栅探测器</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工作电压:DC12∽18V</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工作电流：140mA</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光栅高度：≥172cm</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报警周期:≥1.5S（可定制及时恢复）</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感应速度：40ms（可定制感应速度）</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探测方式：相邻两光束遮挡报警</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报警输出：无源继电器输出，（常闭、常开可选），接点容量AC\DC30V 1.0Amax；</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防拆输出：常闭，当外壳被移去时打开</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防护等级：IP65</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光轴角度：180°（水平）(垂直不可调)</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工作湿度:-30℃∽＋70℃</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对</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bidi="ar"/>
              </w:rPr>
              <w:t>4</w:t>
            </w:r>
            <w:r>
              <w:rPr>
                <w:rFonts w:hint="eastAsia" w:asciiTheme="minorEastAsia" w:hAnsiTheme="minorEastAsia" w:eastAsiaTheme="minorEastAsia" w:cstheme="minorEastAsia"/>
                <w:color w:val="auto"/>
                <w:kern w:val="0"/>
                <w:sz w:val="21"/>
                <w:szCs w:val="21"/>
                <w:highlight w:val="none"/>
                <w:lang w:val="en-US" w:eastAsia="zh-CN" w:bidi="ar"/>
              </w:rPr>
              <w:t>5</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壁装红外/微波双鉴探测器</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探测方式:红外+微波</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透镜类型:广角</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探测距离及角度:12m/90°</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可探测速度:0.3～3m/s</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安装方式:壁挂</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安装高度:2.2m</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工作电压:DC9～16V</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工作电流:≤35mA</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抗EMI/RFI干扰:有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双向数字温度补偿:有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下视窗技术:有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动态阀值技术:有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人工智能技术:有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报警输出:常闭、常开可选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防拆开关:常闭</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脉冲计数:有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报警延时功能:5S</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工作温度:- 10℃～＋50℃</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微波频率:10.525GHz</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抗白光等级：6500Lux</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21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bidi="ar"/>
              </w:rPr>
              <w:t>4</w:t>
            </w:r>
            <w:r>
              <w:rPr>
                <w:rFonts w:hint="eastAsia" w:asciiTheme="minorEastAsia" w:hAnsiTheme="minorEastAsia" w:eastAsiaTheme="minorEastAsia" w:cstheme="minorEastAsia"/>
                <w:color w:val="auto"/>
                <w:kern w:val="0"/>
                <w:sz w:val="21"/>
                <w:szCs w:val="21"/>
                <w:highlight w:val="none"/>
                <w:lang w:val="en-US" w:eastAsia="zh-CN" w:bidi="ar"/>
              </w:rPr>
              <w:t>6</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壁装红外探测器</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探测方式：红外</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透镜类型：广角</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探测距离及角度：12m/90°</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可探测速度：0.3～3m/s</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安装方式：壁挂</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安装高度：2.2m</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工作电压：DC9～16V</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工作电流：≤20mA</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抗EMI/RFI干扰：有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双向数字温度补偿：有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动态阀值技术：有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人工智能技术：有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报警输出：常闭、常开可选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防拆开关：常闭</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脉冲计数：有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报警延时功能：5S</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工作温度：- 10℃～＋50℃</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抗白光等级：6500Lux</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21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bidi="ar"/>
              </w:rPr>
              <w:t>47</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探测器信号线</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国标RVVP 2*1.5</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米</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5000</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bidi="ar"/>
              </w:rPr>
              <w:t>48</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探测器电源线</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国标RVV 2*1.0</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米</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3000</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bidi="ar"/>
              </w:rPr>
              <w:t>49</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机房装修</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机房（50平米）实施：铺设静电地板，吊顶，安装防盗门，布线，墙体粉白等。</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套</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bidi="ar"/>
              </w:rPr>
              <w:t>5</w:t>
            </w:r>
            <w:r>
              <w:rPr>
                <w:rFonts w:hint="eastAsia" w:asciiTheme="minorEastAsia" w:hAnsiTheme="minorEastAsia" w:eastAsiaTheme="minorEastAsia" w:cstheme="minorEastAsia"/>
                <w:color w:val="auto"/>
                <w:kern w:val="0"/>
                <w:sz w:val="21"/>
                <w:szCs w:val="21"/>
                <w:highlight w:val="none"/>
                <w:lang w:val="en-US" w:eastAsia="zh-CN" w:bidi="ar"/>
              </w:rPr>
              <w:t>0</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辅材</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防水箱、线管</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批</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bidi="ar"/>
              </w:rPr>
              <w:t>5</w:t>
            </w:r>
            <w:r>
              <w:rPr>
                <w:rFonts w:hint="eastAsia" w:asciiTheme="minorEastAsia" w:hAnsiTheme="minorEastAsia" w:eastAsiaTheme="minorEastAsia" w:cstheme="minorEastAsia"/>
                <w:color w:val="auto"/>
                <w:kern w:val="0"/>
                <w:sz w:val="21"/>
                <w:szCs w:val="21"/>
                <w:highlight w:val="none"/>
                <w:lang w:val="en-US" w:eastAsia="zh-CN" w:bidi="ar"/>
              </w:rPr>
              <w:t>1</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工程施工费</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设备的安装调试及地埋线挖沟、弱电井等</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批</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bl>
    <w:p>
      <w:pPr>
        <w:spacing w:line="360" w:lineRule="auto"/>
        <w:ind w:left="480"/>
        <w:jc w:val="center"/>
        <w:rPr>
          <w:rFonts w:ascii="宋体" w:hAnsi="宋体"/>
          <w:b/>
          <w:bCs/>
          <w:color w:val="auto"/>
          <w:sz w:val="21"/>
          <w:szCs w:val="21"/>
          <w:highlight w:val="none"/>
        </w:rPr>
      </w:pPr>
    </w:p>
    <w:p>
      <w:pPr>
        <w:widowControl/>
        <w:adjustRightInd w:val="0"/>
        <w:spacing w:line="500" w:lineRule="exact"/>
        <w:rPr>
          <w:rFonts w:ascii="宋体" w:hAnsi="宋体"/>
          <w:b/>
          <w:color w:val="auto"/>
          <w:kern w:val="0"/>
          <w:sz w:val="21"/>
          <w:szCs w:val="21"/>
          <w:highlight w:val="none"/>
        </w:rPr>
      </w:pPr>
      <w:r>
        <w:rPr>
          <w:rFonts w:hint="eastAsia" w:ascii="宋体" w:hAnsi="宋体"/>
          <w:b/>
          <w:color w:val="auto"/>
          <w:kern w:val="0"/>
          <w:sz w:val="21"/>
          <w:szCs w:val="21"/>
          <w:highlight w:val="none"/>
        </w:rPr>
        <w:t>四、需要落实的政府采购政策</w:t>
      </w:r>
    </w:p>
    <w:p>
      <w:pPr>
        <w:numPr>
          <w:ilvl w:val="1"/>
          <w:numId w:val="3"/>
        </w:numPr>
        <w:spacing w:line="500" w:lineRule="exact"/>
        <w:ind w:firstLine="422" w:firstLineChars="200"/>
        <w:rPr>
          <w:rFonts w:ascii="宋体" w:hAnsi="宋体"/>
          <w:b/>
          <w:bCs/>
          <w:color w:val="auto"/>
          <w:sz w:val="21"/>
          <w:szCs w:val="21"/>
          <w:highlight w:val="none"/>
        </w:rPr>
      </w:pPr>
      <w:r>
        <w:rPr>
          <w:rFonts w:hint="eastAsia" w:ascii="宋体" w:hAnsi="宋体"/>
          <w:b/>
          <w:bCs/>
          <w:color w:val="auto"/>
          <w:sz w:val="21"/>
          <w:szCs w:val="21"/>
          <w:highlight w:val="none"/>
        </w:rPr>
        <w:t>促进中小企业、监狱企业和残疾人福利性单位发展扶持政策</w:t>
      </w:r>
    </w:p>
    <w:p>
      <w:pPr>
        <w:spacing w:line="500" w:lineRule="exact"/>
        <w:ind w:firstLine="422" w:firstLineChars="200"/>
        <w:rPr>
          <w:rFonts w:ascii="宋体" w:hAnsi="宋体"/>
          <w:bCs/>
          <w:color w:val="auto"/>
          <w:sz w:val="21"/>
          <w:szCs w:val="21"/>
          <w:highlight w:val="none"/>
        </w:rPr>
      </w:pPr>
      <w:r>
        <w:rPr>
          <w:rFonts w:hint="eastAsia" w:ascii="宋体" w:hAnsi="宋体"/>
          <w:b/>
          <w:bCs/>
          <w:color w:val="auto"/>
          <w:sz w:val="21"/>
          <w:szCs w:val="21"/>
          <w:highlight w:val="none"/>
        </w:rPr>
        <w:t>促进中小企业发展扶持政策</w:t>
      </w:r>
      <w:r>
        <w:rPr>
          <w:rFonts w:hint="eastAsia" w:ascii="宋体" w:hAnsi="宋体"/>
          <w:bCs/>
          <w:color w:val="auto"/>
          <w:sz w:val="21"/>
          <w:szCs w:val="21"/>
          <w:highlight w:val="none"/>
        </w:rPr>
        <w:t>：</w:t>
      </w:r>
    </w:p>
    <w:p>
      <w:pPr>
        <w:numPr>
          <w:ilvl w:val="0"/>
          <w:numId w:val="4"/>
        </w:numPr>
        <w:spacing w:line="500" w:lineRule="exact"/>
        <w:ind w:firstLine="424" w:firstLineChars="202"/>
        <w:rPr>
          <w:rFonts w:ascii="宋体" w:hAnsi="宋体"/>
          <w:bCs/>
          <w:color w:val="auto"/>
          <w:sz w:val="21"/>
          <w:szCs w:val="21"/>
          <w:highlight w:val="none"/>
        </w:rPr>
      </w:pPr>
      <w:r>
        <w:rPr>
          <w:rFonts w:hint="eastAsia" w:ascii="宋体" w:hAnsi="宋体"/>
          <w:bCs/>
          <w:color w:val="auto"/>
          <w:sz w:val="21"/>
          <w:szCs w:val="21"/>
          <w:highlight w:val="none"/>
        </w:rPr>
        <w:t>中小企业认定：</w:t>
      </w:r>
    </w:p>
    <w:p>
      <w:pPr>
        <w:spacing w:line="500" w:lineRule="exact"/>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spacing w:line="500" w:lineRule="exact"/>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符合中小企业划分标准的个体工商户，在政府采购活动中视同中小企业。</w:t>
      </w:r>
    </w:p>
    <w:p>
      <w:pPr>
        <w:spacing w:line="500" w:lineRule="exact"/>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中小企业划分标准见《关于印发中小企业划型标准规定的通知》（工信部联企业〔2011〕300号）</w:t>
      </w:r>
    </w:p>
    <w:p>
      <w:pPr>
        <w:spacing w:line="500" w:lineRule="exact"/>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（2）在货物采购项目中，货物由中小企业制造，即货物由中小企业生产且使用该中小企业商号或者注册商标；</w:t>
      </w:r>
    </w:p>
    <w:p>
      <w:pPr>
        <w:spacing w:line="500" w:lineRule="exact"/>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在货物采购项目中，投标人提供的货物既有中小企业制造货物，也有大型企业制造货物的，不享受本招标文件规定的中小企业扶持政策。</w:t>
      </w:r>
    </w:p>
    <w:p>
      <w:pPr>
        <w:spacing w:line="500" w:lineRule="exact"/>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投标人当按照招标文件规定出具《中小企业声明函》，否则不享受相关扶持政策；</w:t>
      </w:r>
    </w:p>
    <w:p>
      <w:pPr>
        <w:spacing w:line="500" w:lineRule="exact"/>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3.根据财库〔2014〕68号《财政部司法部关于政府采购支持监狱企业发展有关问题的通知》，监狱企业视同小微企业。提供由省级以上监狱管理局、戒毒管理局(含新疆生产建设兵团)出具的属于监狱企业的证明文件</w:t>
      </w:r>
      <w:r>
        <w:rPr>
          <w:rFonts w:hint="eastAsia" w:ascii="宋体" w:hAnsi="宋体"/>
          <w:b/>
          <w:bCs/>
          <w:color w:val="auto"/>
          <w:sz w:val="21"/>
          <w:szCs w:val="21"/>
          <w:highlight w:val="none"/>
        </w:rPr>
        <w:t>（</w:t>
      </w:r>
      <w:r>
        <w:rPr>
          <w:rFonts w:hint="eastAsia" w:ascii="宋体" w:hAnsi="宋体"/>
          <w:b/>
          <w:bCs/>
          <w:color w:val="auto"/>
          <w:kern w:val="0"/>
          <w:sz w:val="21"/>
          <w:szCs w:val="21"/>
          <w:highlight w:val="none"/>
        </w:rPr>
        <w:t>投标文件中附</w:t>
      </w:r>
      <w:r>
        <w:rPr>
          <w:rFonts w:hint="eastAsia" w:ascii="宋体" w:hAnsi="宋体"/>
          <w:b/>
          <w:bCs/>
          <w:color w:val="auto"/>
          <w:kern w:val="0"/>
          <w:sz w:val="21"/>
          <w:szCs w:val="21"/>
          <w:highlight w:val="none"/>
          <w:lang w:val="en-US" w:eastAsia="zh-CN"/>
        </w:rPr>
        <w:t>复印件或</w:t>
      </w:r>
      <w:r>
        <w:rPr>
          <w:rFonts w:hint="eastAsia" w:ascii="宋体" w:hAnsi="宋体"/>
          <w:b/>
          <w:bCs/>
          <w:color w:val="auto"/>
          <w:kern w:val="0"/>
          <w:sz w:val="21"/>
          <w:szCs w:val="21"/>
          <w:highlight w:val="none"/>
        </w:rPr>
        <w:t>扫描件</w:t>
      </w:r>
      <w:r>
        <w:rPr>
          <w:rFonts w:hint="eastAsia" w:ascii="宋体" w:hAnsi="宋体"/>
          <w:b/>
          <w:bCs/>
          <w:color w:val="auto"/>
          <w:sz w:val="21"/>
          <w:szCs w:val="21"/>
          <w:highlight w:val="none"/>
        </w:rPr>
        <w:t>）</w:t>
      </w:r>
      <w:r>
        <w:rPr>
          <w:rFonts w:hint="eastAsia" w:ascii="宋体" w:hAnsi="宋体"/>
          <w:bCs/>
          <w:color w:val="auto"/>
          <w:sz w:val="21"/>
          <w:szCs w:val="21"/>
          <w:highlight w:val="none"/>
        </w:rPr>
        <w:t>，不再提供《中小企业声明函》，投标人出具的监狱企业证明文件如有虚假，其成交资格将被取消，并根据相关规定进行处罚。</w:t>
      </w:r>
    </w:p>
    <w:p>
      <w:pPr>
        <w:spacing w:line="500" w:lineRule="exact"/>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4.根据财库〔2017〕141号《三部门联合发布关于促进残疾人就业政府采购政策的通知》残疾人福利性单位视同小型、微型企业，残疾人福利性单位在参加政府采购活动时提供《残疾人福利性单位声明函》，不再提供《中小企业声明函》，投标人在《残疾人福利性单位声明函》中的承诺如有虚假，其成交资格将被取消，并根据相关规定进行处罚。</w:t>
      </w:r>
    </w:p>
    <w:p>
      <w:pPr>
        <w:keepNext w:val="0"/>
        <w:keepLines w:val="0"/>
        <w:pageBreakBefore w:val="0"/>
        <w:widowControl w:val="0"/>
        <w:kinsoku/>
        <w:wordWrap/>
        <w:overflowPunct/>
        <w:topLinePunct w:val="0"/>
        <w:autoSpaceDE/>
        <w:autoSpaceDN/>
        <w:bidi w:val="0"/>
        <w:adjustRightInd/>
        <w:snapToGrid/>
        <w:spacing w:line="500" w:lineRule="exact"/>
        <w:ind w:firstLine="422" w:firstLineChars="200"/>
        <w:textAlignment w:val="auto"/>
        <w:rPr>
          <w:rFonts w:hint="eastAsia" w:ascii="宋体" w:hAnsi="宋体" w:eastAsia="宋体"/>
          <w:b/>
          <w:bCs w:val="0"/>
          <w:color w:val="auto"/>
          <w:sz w:val="21"/>
          <w:szCs w:val="21"/>
          <w:highlight w:val="none"/>
          <w:lang w:eastAsia="zh-CN"/>
        </w:rPr>
      </w:pPr>
      <w:r>
        <w:rPr>
          <w:rFonts w:hint="eastAsia" w:ascii="宋体" w:hAnsi="宋体" w:eastAsia="宋体"/>
          <w:b/>
          <w:bCs w:val="0"/>
          <w:color w:val="auto"/>
          <w:sz w:val="21"/>
          <w:szCs w:val="21"/>
          <w:highlight w:val="none"/>
        </w:rPr>
        <w:t>投标人同时为小型、微型企业、监狱企业、残疾人福利性单位任两种或以上情况的，评审中只享受一次价格扣除，不重复进行价格扣除。</w:t>
      </w:r>
    </w:p>
    <w:p>
      <w:pPr>
        <w:keepNext w:val="0"/>
        <w:keepLines w:val="0"/>
        <w:pageBreakBefore w:val="0"/>
        <w:widowControl w:val="0"/>
        <w:kinsoku/>
        <w:wordWrap/>
        <w:overflowPunct/>
        <w:topLinePunct w:val="0"/>
        <w:autoSpaceDE/>
        <w:autoSpaceDN/>
        <w:bidi w:val="0"/>
        <w:adjustRightInd/>
        <w:snapToGrid/>
        <w:spacing w:line="500" w:lineRule="exact"/>
        <w:ind w:firstLine="422" w:firstLineChars="200"/>
        <w:textAlignment w:val="auto"/>
        <w:rPr>
          <w:rFonts w:hint="eastAsia" w:ascii="宋体" w:hAnsi="宋体" w:eastAsia="宋体"/>
          <w:b/>
          <w:bCs w:val="0"/>
          <w:color w:val="auto"/>
          <w:sz w:val="21"/>
          <w:szCs w:val="21"/>
          <w:highlight w:val="none"/>
          <w:lang w:eastAsia="zh-CN"/>
        </w:rPr>
      </w:pPr>
      <w:r>
        <w:rPr>
          <w:rFonts w:hint="eastAsia" w:ascii="宋体" w:hAnsi="宋体" w:eastAsia="宋体"/>
          <w:b/>
          <w:bCs w:val="0"/>
          <w:color w:val="auto"/>
          <w:sz w:val="21"/>
          <w:szCs w:val="21"/>
          <w:highlight w:val="none"/>
          <w:lang w:eastAsia="zh-CN"/>
        </w:rPr>
        <w:t>评标委员会根据投标人提供的《</w:t>
      </w:r>
      <w:r>
        <w:rPr>
          <w:rFonts w:hint="eastAsia" w:ascii="宋体" w:hAnsi="宋体" w:eastAsia="宋体"/>
          <w:b/>
          <w:bCs w:val="0"/>
          <w:color w:val="auto"/>
          <w:sz w:val="21"/>
          <w:szCs w:val="21"/>
          <w:highlight w:val="none"/>
        </w:rPr>
        <w:t>中小企业声明函</w:t>
      </w:r>
      <w:r>
        <w:rPr>
          <w:rFonts w:hint="eastAsia" w:ascii="宋体" w:hAnsi="宋体" w:eastAsia="宋体"/>
          <w:b/>
          <w:bCs w:val="0"/>
          <w:color w:val="auto"/>
          <w:sz w:val="21"/>
          <w:szCs w:val="21"/>
          <w:highlight w:val="none"/>
          <w:lang w:eastAsia="zh-CN"/>
        </w:rPr>
        <w:t>》认定该投标人是否属于</w:t>
      </w:r>
      <w:r>
        <w:rPr>
          <w:rFonts w:hint="eastAsia" w:ascii="宋体" w:hAnsi="宋体" w:eastAsia="宋体"/>
          <w:b/>
          <w:bCs w:val="0"/>
          <w:color w:val="auto"/>
          <w:sz w:val="21"/>
          <w:szCs w:val="21"/>
          <w:highlight w:val="none"/>
        </w:rPr>
        <w:t>小型或微型企业</w:t>
      </w:r>
      <w:r>
        <w:rPr>
          <w:rFonts w:hint="eastAsia" w:ascii="宋体" w:hAnsi="宋体" w:eastAsia="宋体"/>
          <w:b/>
          <w:bCs w:val="0"/>
          <w:color w:val="auto"/>
          <w:sz w:val="21"/>
          <w:szCs w:val="21"/>
          <w:highlight w:val="none"/>
          <w:lang w:eastAsia="zh-CN"/>
        </w:rPr>
        <w:t>，被认定为</w:t>
      </w:r>
      <w:r>
        <w:rPr>
          <w:rFonts w:hint="eastAsia" w:ascii="宋体" w:hAnsi="宋体" w:eastAsia="宋体"/>
          <w:b/>
          <w:bCs w:val="0"/>
          <w:color w:val="auto"/>
          <w:sz w:val="21"/>
          <w:szCs w:val="21"/>
          <w:highlight w:val="none"/>
        </w:rPr>
        <w:t>小型或微型企业</w:t>
      </w:r>
      <w:r>
        <w:rPr>
          <w:rFonts w:hint="eastAsia" w:ascii="宋体" w:hAnsi="宋体" w:eastAsia="宋体"/>
          <w:b/>
          <w:bCs w:val="0"/>
          <w:color w:val="auto"/>
          <w:sz w:val="21"/>
          <w:szCs w:val="21"/>
          <w:highlight w:val="none"/>
          <w:lang w:eastAsia="zh-CN"/>
        </w:rPr>
        <w:t>的方可</w:t>
      </w:r>
      <w:r>
        <w:rPr>
          <w:rFonts w:hint="eastAsia" w:ascii="宋体" w:hAnsi="宋体" w:eastAsia="宋体"/>
          <w:b/>
          <w:bCs w:val="0"/>
          <w:color w:val="auto"/>
          <w:sz w:val="21"/>
          <w:szCs w:val="21"/>
          <w:highlight w:val="none"/>
        </w:rPr>
        <w:t>享受价格优惠。</w:t>
      </w:r>
    </w:p>
    <w:p>
      <w:pPr>
        <w:numPr>
          <w:ilvl w:val="1"/>
          <w:numId w:val="3"/>
        </w:numPr>
        <w:spacing w:line="500" w:lineRule="exact"/>
        <w:ind w:firstLine="422" w:firstLineChars="200"/>
        <w:rPr>
          <w:rFonts w:ascii="宋体" w:hAnsi="宋体"/>
          <w:b/>
          <w:bCs/>
          <w:color w:val="auto"/>
          <w:sz w:val="21"/>
          <w:szCs w:val="21"/>
          <w:highlight w:val="none"/>
        </w:rPr>
      </w:pPr>
      <w:r>
        <w:rPr>
          <w:rFonts w:hint="eastAsia" w:ascii="宋体" w:hAnsi="宋体"/>
          <w:b/>
          <w:bCs/>
          <w:color w:val="auto"/>
          <w:sz w:val="21"/>
          <w:szCs w:val="21"/>
          <w:highlight w:val="none"/>
        </w:rPr>
        <w:t>节能产品、环境标志产品</w:t>
      </w:r>
    </w:p>
    <w:p>
      <w:pPr>
        <w:spacing w:line="500" w:lineRule="exact"/>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书</w:t>
      </w:r>
      <w:r>
        <w:rPr>
          <w:rFonts w:hint="eastAsia" w:ascii="宋体" w:hAnsi="宋体"/>
          <w:b/>
          <w:bCs/>
          <w:color w:val="auto"/>
          <w:sz w:val="21"/>
          <w:szCs w:val="21"/>
          <w:highlight w:val="none"/>
        </w:rPr>
        <w:t>（</w:t>
      </w:r>
      <w:r>
        <w:rPr>
          <w:rFonts w:hint="eastAsia" w:ascii="宋体" w:hAnsi="宋体"/>
          <w:b/>
          <w:bCs/>
          <w:color w:val="auto"/>
          <w:kern w:val="0"/>
          <w:sz w:val="21"/>
          <w:szCs w:val="21"/>
          <w:highlight w:val="none"/>
          <w:lang w:eastAsia="zh-CN"/>
        </w:rPr>
        <w:t>投标文件中附复印件或扫描件</w:t>
      </w:r>
      <w:r>
        <w:rPr>
          <w:rFonts w:hint="eastAsia" w:ascii="宋体" w:hAnsi="宋体"/>
          <w:b/>
          <w:bCs/>
          <w:color w:val="auto"/>
          <w:sz w:val="21"/>
          <w:szCs w:val="21"/>
          <w:highlight w:val="none"/>
        </w:rPr>
        <w:t>）</w:t>
      </w:r>
      <w:r>
        <w:rPr>
          <w:rFonts w:hint="eastAsia" w:ascii="宋体" w:hAnsi="宋体"/>
          <w:bCs/>
          <w:color w:val="auto"/>
          <w:sz w:val="21"/>
          <w:szCs w:val="21"/>
          <w:highlight w:val="none"/>
        </w:rPr>
        <w:t>，否则不予认定。</w:t>
      </w:r>
    </w:p>
    <w:p>
      <w:pPr>
        <w:numPr>
          <w:ilvl w:val="1"/>
          <w:numId w:val="3"/>
        </w:numPr>
        <w:spacing w:line="500" w:lineRule="exact"/>
        <w:ind w:firstLine="422" w:firstLineChars="200"/>
        <w:rPr>
          <w:rFonts w:ascii="宋体" w:hAnsi="宋体"/>
          <w:b/>
          <w:bCs/>
          <w:color w:val="auto"/>
          <w:sz w:val="21"/>
          <w:szCs w:val="21"/>
          <w:highlight w:val="none"/>
        </w:rPr>
      </w:pPr>
      <w:r>
        <w:rPr>
          <w:rFonts w:hint="eastAsia" w:ascii="宋体" w:hAnsi="宋体"/>
          <w:b/>
          <w:bCs/>
          <w:color w:val="auto"/>
          <w:sz w:val="21"/>
          <w:szCs w:val="21"/>
          <w:highlight w:val="none"/>
        </w:rPr>
        <w:t>信息安全产品</w:t>
      </w:r>
    </w:p>
    <w:p>
      <w:r>
        <w:rPr>
          <w:rFonts w:hint="eastAsia" w:ascii="宋体" w:hAnsi="宋体"/>
          <w:bCs/>
          <w:color w:val="auto"/>
          <w:sz w:val="21"/>
          <w:szCs w:val="21"/>
          <w:highlight w:val="none"/>
        </w:rPr>
        <w:t>根据《财政部 工业和信息化部 国家质检总局 国家认监委关于信息安全产品实施政府采购的通知》财库〔2010〕48号文件要求，本次采购产品如有信息安全产品的，需提供由中国信息安全认证中心按国家标准认证颁发的有效认证证书</w:t>
      </w:r>
      <w:r>
        <w:rPr>
          <w:rFonts w:hint="eastAsia" w:ascii="宋体" w:hAnsi="宋体"/>
          <w:b/>
          <w:bCs/>
          <w:color w:val="auto"/>
          <w:sz w:val="21"/>
          <w:szCs w:val="21"/>
          <w:highlight w:val="none"/>
        </w:rPr>
        <w:t>（</w:t>
      </w:r>
      <w:r>
        <w:rPr>
          <w:rFonts w:hint="eastAsia" w:ascii="宋体" w:hAnsi="宋体"/>
          <w:b/>
          <w:bCs/>
          <w:color w:val="auto"/>
          <w:kern w:val="0"/>
          <w:sz w:val="21"/>
          <w:szCs w:val="21"/>
          <w:highlight w:val="none"/>
          <w:lang w:eastAsia="zh-CN"/>
        </w:rPr>
        <w:t>投</w:t>
      </w:r>
      <w:bookmarkStart w:id="0" w:name="_GoBack"/>
      <w:bookmarkEnd w:id="0"/>
      <w:r>
        <w:rPr>
          <w:rFonts w:hint="eastAsia" w:ascii="宋体" w:hAnsi="宋体"/>
          <w:b/>
          <w:bCs/>
          <w:color w:val="auto"/>
          <w:kern w:val="0"/>
          <w:sz w:val="21"/>
          <w:szCs w:val="21"/>
          <w:highlight w:val="none"/>
          <w:lang w:eastAsia="zh-CN"/>
        </w:rPr>
        <w:t>标文件中附复印件或扫描件</w:t>
      </w:r>
      <w:r>
        <w:rPr>
          <w:rFonts w:hint="eastAsia" w:ascii="宋体" w:hAnsi="宋体"/>
          <w:b/>
          <w:bCs/>
          <w:color w:val="auto"/>
          <w:sz w:val="21"/>
          <w:szCs w:val="21"/>
          <w:highlight w:val="none"/>
        </w:rPr>
        <w:t>）</w:t>
      </w:r>
      <w:r>
        <w:rPr>
          <w:rFonts w:hint="eastAsia" w:ascii="宋体" w:hAnsi="宋体"/>
          <w:bCs/>
          <w:color w:val="auto"/>
          <w:sz w:val="21"/>
          <w:szCs w:val="21"/>
          <w:highlight w:val="none"/>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Book Antiqua">
    <w:panose1 w:val="02040602050305030304"/>
    <w:charset w:val="00"/>
    <w:family w:val="roman"/>
    <w:pitch w:val="default"/>
    <w:sig w:usb0="00000287" w:usb1="00000000" w:usb2="00000000" w:usb3="00000000" w:csb0="2000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0BFA1B"/>
    <w:multiLevelType w:val="singleLevel"/>
    <w:tmpl w:val="980BFA1B"/>
    <w:lvl w:ilvl="0" w:tentative="0">
      <w:start w:val="1"/>
      <w:numFmt w:val="chineseCounting"/>
      <w:suff w:val="nothing"/>
      <w:lvlText w:val="（%1）"/>
      <w:lvlJc w:val="left"/>
      <w:rPr>
        <w:rFonts w:hint="eastAsia"/>
      </w:rPr>
    </w:lvl>
  </w:abstractNum>
  <w:abstractNum w:abstractNumId="1">
    <w:nsid w:val="0000001F"/>
    <w:multiLevelType w:val="multilevel"/>
    <w:tmpl w:val="0000001F"/>
    <w:lvl w:ilvl="0" w:tentative="0">
      <w:start w:val="1"/>
      <w:numFmt w:val="chineseCountingThousand"/>
      <w:lvlText w:val="(%1)"/>
      <w:lvlJc w:val="left"/>
      <w:pPr>
        <w:ind w:left="982" w:hanging="420"/>
      </w:pPr>
    </w:lvl>
    <w:lvl w:ilvl="1" w:tentative="0">
      <w:start w:val="1"/>
      <w:numFmt w:val="chineseCountingThousand"/>
      <w:suff w:val="nothing"/>
      <w:lvlText w:val="(%2)"/>
      <w:lvlJc w:val="left"/>
      <w:pPr>
        <w:ind w:left="0" w:firstLine="0"/>
      </w:pPr>
      <w:rPr>
        <w:rFonts w:hint="eastAsia"/>
      </w:r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abstractNum w:abstractNumId="2">
    <w:nsid w:val="00000029"/>
    <w:multiLevelType w:val="multilevel"/>
    <w:tmpl w:val="00000029"/>
    <w:lvl w:ilvl="0" w:tentative="0">
      <w:start w:val="1"/>
      <w:numFmt w:val="decimal"/>
      <w:lvlText w:val="%1."/>
      <w:lvlJc w:val="left"/>
      <w:pPr>
        <w:ind w:left="840" w:hanging="420"/>
      </w:pPr>
      <w:rPr>
        <w:rFonts w:hint="eastAsia"/>
      </w:rPr>
    </w:lvl>
    <w:lvl w:ilvl="1" w:tentative="0">
      <w:start w:val="1"/>
      <w:numFmt w:val="japaneseCounting"/>
      <w:lvlText w:val="（%2）"/>
      <w:lvlJc w:val="left"/>
      <w:pPr>
        <w:ind w:left="1725" w:hanging="885"/>
      </w:pPr>
      <w:rPr>
        <w:rFonts w:hint="default"/>
      </w:rPr>
    </w:lvl>
    <w:lvl w:ilvl="2" w:tentative="0">
      <w:start w:val="1"/>
      <w:numFmt w:val="decimal"/>
      <w:suff w:val="nothing"/>
      <w:lvlText w:val="%3."/>
      <w:lvlJc w:val="left"/>
      <w:pPr>
        <w:ind w:left="6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3NDQ3OTYzMmQ0NzZhMDdkM2QyMjZiNWE2Mzc3NGQifQ=="/>
  </w:docVars>
  <w:rsids>
    <w:rsidRoot w:val="05C84343"/>
    <w:rsid w:val="05C843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宋体"/>
      <w:kern w:val="2"/>
      <w:sz w:val="24"/>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2"/>
    <w:basedOn w:val="3"/>
    <w:next w:val="1"/>
    <w:qFormat/>
    <w:uiPriority w:val="0"/>
    <w:pPr>
      <w:spacing w:after="120"/>
      <w:ind w:left="420" w:leftChars="200" w:firstLine="420"/>
    </w:pPr>
  </w:style>
  <w:style w:type="paragraph" w:styleId="3">
    <w:name w:val="Body Text Indent"/>
    <w:basedOn w:val="1"/>
    <w:next w:val="4"/>
    <w:qFormat/>
    <w:uiPriority w:val="0"/>
    <w:pPr>
      <w:ind w:firstLine="560" w:firstLineChars="200"/>
    </w:pPr>
    <w:rPr>
      <w:rFonts w:ascii="仿宋_GB2312" w:eastAsia="仿宋_GB2312"/>
      <w:sz w:val="28"/>
    </w:rPr>
  </w:style>
  <w:style w:type="paragraph" w:styleId="4">
    <w:name w:val="envelope return"/>
    <w:basedOn w:val="1"/>
    <w:unhideWhenUsed/>
    <w:qFormat/>
    <w:uiPriority w:val="99"/>
    <w:pPr>
      <w:snapToGrid w:val="0"/>
    </w:pPr>
    <w:rPr>
      <w:rFonts w:ascii="Arial" w:hAnsi="Arial"/>
    </w:rPr>
  </w:style>
  <w:style w:type="paragraph" w:styleId="5">
    <w:name w:val="Title"/>
    <w:basedOn w:val="1"/>
    <w:qFormat/>
    <w:uiPriority w:val="0"/>
    <w:pPr>
      <w:spacing w:before="240" w:after="60"/>
      <w:jc w:val="center"/>
      <w:outlineLvl w:val="0"/>
    </w:pPr>
    <w:rPr>
      <w:rFonts w:ascii="Arial" w:hAnsi="Arial" w:cs="Arial"/>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2022-04-26T02:10:00Z</dcterms:created>
  <dc:creator>李昆录</dc:creator>
  <cp:lastModifiedBy>李昆录</cp:lastModifiedBy>
  <dcterms:modified xsi:type="dcterms:W3CDTF">2022-04-26T02:11:10Z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EAD6B782CE7E4493B5CB74CE365306BD</vt:lpwstr>
  </property>
</Properties>
</file>