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spacing w:line="360" w:lineRule="auto"/>
        <w:jc w:val="center"/>
        <w:rPr>
          <w:rFonts w:ascii="宋体" w:hAnsi="宋体" w:cs="宋体"/>
          <w:sz w:val="36"/>
          <w:szCs w:val="36"/>
          <w:shd w:val="clear" w:color="auto" w:fill="FFFFFF"/>
        </w:rPr>
      </w:pPr>
    </w:p>
    <w:p>
      <w:pPr>
        <w:spacing w:line="360" w:lineRule="auto"/>
        <w:ind w:firstLine="1320" w:firstLineChars="300"/>
        <w:rPr>
          <w:rFonts w:ascii="宋体" w:hAnsi="宋体" w:cs="宋体"/>
          <w:b/>
          <w:sz w:val="44"/>
          <w:szCs w:val="44"/>
        </w:rPr>
      </w:pPr>
      <w:r>
        <w:rPr>
          <w:rFonts w:hint="eastAsia" w:ascii="宋体" w:hAnsi="宋体" w:cs="宋体"/>
          <w:b/>
          <w:sz w:val="44"/>
          <w:szCs w:val="44"/>
        </w:rPr>
        <w:t>武陟县小董乡卫生院灾后恢复重建项目</w:t>
      </w:r>
    </w:p>
    <w:p>
      <w:pPr>
        <w:spacing w:line="360" w:lineRule="auto"/>
        <w:jc w:val="center"/>
        <w:rPr>
          <w:rFonts w:ascii="宋体" w:hAnsi="宋体" w:cs="宋体"/>
          <w:b/>
          <w:sz w:val="36"/>
          <w:szCs w:val="36"/>
        </w:rPr>
      </w:pPr>
    </w:p>
    <w:p>
      <w:pPr>
        <w:spacing w:line="360" w:lineRule="auto"/>
        <w:jc w:val="center"/>
        <w:rPr>
          <w:rFonts w:ascii="宋体" w:hAnsi="宋体" w:cs="宋体"/>
          <w:b/>
          <w:sz w:val="36"/>
          <w:szCs w:val="36"/>
        </w:rPr>
      </w:pPr>
    </w:p>
    <w:p>
      <w:pPr>
        <w:spacing w:line="360" w:lineRule="auto"/>
        <w:jc w:val="center"/>
        <w:rPr>
          <w:rFonts w:ascii="宋体" w:hAnsi="宋体" w:cs="宋体"/>
          <w:b/>
          <w:sz w:val="48"/>
          <w:szCs w:val="48"/>
        </w:rPr>
      </w:pPr>
    </w:p>
    <w:p>
      <w:pPr>
        <w:spacing w:line="360" w:lineRule="auto"/>
        <w:jc w:val="center"/>
        <w:rPr>
          <w:rFonts w:ascii="宋体" w:hAnsi="宋体" w:cs="宋体"/>
          <w:b/>
          <w:sz w:val="48"/>
          <w:szCs w:val="48"/>
        </w:rPr>
      </w:pPr>
      <w:r>
        <w:rPr>
          <w:rFonts w:hint="eastAsia" w:ascii="宋体" w:hAnsi="宋体" w:cs="宋体"/>
          <w:b/>
          <w:sz w:val="48"/>
          <w:szCs w:val="48"/>
        </w:rPr>
        <w:t>竞争性磋商文件</w:t>
      </w:r>
    </w:p>
    <w:p>
      <w:pPr>
        <w:spacing w:line="360" w:lineRule="auto"/>
        <w:jc w:val="center"/>
        <w:rPr>
          <w:rFonts w:ascii="宋体" w:hAnsi="宋体" w:cs="宋体"/>
          <w:sz w:val="28"/>
          <w:szCs w:val="28"/>
        </w:rPr>
      </w:pPr>
    </w:p>
    <w:p>
      <w:pPr>
        <w:pStyle w:val="2"/>
      </w:pPr>
    </w:p>
    <w:p>
      <w:pPr>
        <w:pStyle w:val="5"/>
      </w:pPr>
    </w:p>
    <w:p>
      <w:pPr>
        <w:spacing w:line="360" w:lineRule="auto"/>
        <w:ind w:firstLine="1960" w:firstLineChars="700"/>
        <w:rPr>
          <w:rFonts w:ascii="宋体" w:hAnsi="宋体" w:cs="宋体"/>
          <w:sz w:val="28"/>
          <w:szCs w:val="28"/>
        </w:rPr>
      </w:pPr>
      <w:r>
        <w:rPr>
          <w:rFonts w:hint="eastAsia" w:ascii="宋体" w:hAnsi="宋体" w:cs="宋体"/>
          <w:sz w:val="28"/>
          <w:szCs w:val="28"/>
        </w:rPr>
        <w:t>采购编号：武政磋商采购[2022]025号</w:t>
      </w:r>
    </w:p>
    <w:p>
      <w:pPr>
        <w:spacing w:line="360" w:lineRule="auto"/>
        <w:ind w:firstLine="1960" w:firstLineChars="700"/>
        <w:rPr>
          <w:rFonts w:ascii="宋体" w:hAnsi="宋体" w:cs="宋体"/>
          <w:sz w:val="28"/>
          <w:szCs w:val="28"/>
        </w:rPr>
      </w:pPr>
      <w:r>
        <w:rPr>
          <w:rFonts w:hint="eastAsia" w:ascii="宋体" w:hAnsi="宋体" w:cs="宋体"/>
          <w:sz w:val="28"/>
          <w:szCs w:val="28"/>
        </w:rPr>
        <w:t xml:space="preserve">交易编号：武交工JZCS2022-003号 </w:t>
      </w: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rPr>
          <w:rFonts w:ascii="宋体" w:hAnsi="宋体" w:cs="宋体"/>
          <w:sz w:val="32"/>
        </w:rPr>
      </w:pPr>
    </w:p>
    <w:p>
      <w:pPr>
        <w:spacing w:line="360" w:lineRule="auto"/>
        <w:ind w:firstLine="1600" w:firstLineChars="500"/>
        <w:rPr>
          <w:rFonts w:ascii="宋体" w:hAnsi="宋体" w:cs="宋体"/>
          <w:sz w:val="32"/>
        </w:rPr>
      </w:pPr>
    </w:p>
    <w:p>
      <w:pPr>
        <w:spacing w:line="360" w:lineRule="auto"/>
        <w:ind w:firstLine="1600" w:firstLineChars="500"/>
        <w:rPr>
          <w:rFonts w:ascii="宋体" w:hAnsi="宋体" w:cs="宋体"/>
          <w:sz w:val="32"/>
        </w:rPr>
      </w:pPr>
      <w:r>
        <w:rPr>
          <w:rFonts w:hint="eastAsia" w:ascii="宋体" w:hAnsi="宋体" w:cs="宋体"/>
          <w:sz w:val="32"/>
        </w:rPr>
        <w:t>采   购   人：武陟县小董乡卫生院</w:t>
      </w:r>
    </w:p>
    <w:p>
      <w:pPr>
        <w:spacing w:line="360" w:lineRule="auto"/>
        <w:ind w:firstLine="1600" w:firstLineChars="500"/>
        <w:rPr>
          <w:rFonts w:ascii="宋体" w:hAnsi="宋体" w:cs="宋体"/>
          <w:sz w:val="32"/>
        </w:rPr>
      </w:pPr>
      <w:r>
        <w:rPr>
          <w:rFonts w:hint="eastAsia" w:ascii="宋体" w:hAnsi="宋体" w:cs="宋体"/>
          <w:sz w:val="32"/>
        </w:rPr>
        <w:t>采购代理机构：河南申鑫工程管理有限公司</w:t>
      </w:r>
    </w:p>
    <w:p>
      <w:pPr>
        <w:spacing w:line="360" w:lineRule="auto"/>
        <w:jc w:val="center"/>
        <w:rPr>
          <w:rFonts w:ascii="宋体" w:hAnsi="宋体" w:cs="宋体"/>
          <w:sz w:val="32"/>
        </w:rPr>
      </w:pPr>
      <w:r>
        <w:rPr>
          <w:rFonts w:hint="eastAsia" w:ascii="宋体" w:hAnsi="宋体" w:cs="宋体"/>
          <w:sz w:val="32"/>
        </w:rPr>
        <w:t>2022年 4月</w:t>
      </w:r>
    </w:p>
    <w:p>
      <w:pPr>
        <w:rPr>
          <w:rFonts w:ascii="宋体" w:hAnsi="宋体" w:cs="宋体"/>
          <w:sz w:val="32"/>
        </w:rPr>
      </w:pPr>
      <w:r>
        <w:rPr>
          <w:rFonts w:hint="eastAsia" w:ascii="宋体" w:hAnsi="宋体" w:cs="宋体"/>
          <w:sz w:val="32"/>
        </w:rPr>
        <w:br w:type="page"/>
      </w:r>
    </w:p>
    <w:p>
      <w:pPr>
        <w:spacing w:line="360" w:lineRule="auto"/>
        <w:jc w:val="center"/>
        <w:rPr>
          <w:rFonts w:ascii="宋体" w:hAnsi="宋体"/>
          <w:b/>
          <w:bCs/>
          <w:sz w:val="44"/>
          <w:szCs w:val="32"/>
        </w:rPr>
      </w:pPr>
      <w:r>
        <w:rPr>
          <w:rFonts w:hint="eastAsia" w:ascii="宋体" w:hAnsi="宋体"/>
          <w:b/>
          <w:bCs/>
          <w:sz w:val="44"/>
          <w:szCs w:val="32"/>
        </w:rPr>
        <w:t>目  录</w:t>
      </w:r>
    </w:p>
    <w:p>
      <w:pPr>
        <w:pStyle w:val="30"/>
        <w:tabs>
          <w:tab w:val="right" w:leader="dot" w:pos="9446"/>
        </w:tabs>
        <w:spacing w:line="360" w:lineRule="auto"/>
      </w:pPr>
      <w:r>
        <w:rPr>
          <w:rFonts w:hint="eastAsia" w:asciiTheme="minorEastAsia" w:hAnsiTheme="minorEastAsia" w:eastAsiaTheme="minorEastAsia" w:cstheme="minorEastAsia"/>
          <w:b/>
          <w:bCs/>
          <w:szCs w:val="21"/>
        </w:rPr>
        <w:fldChar w:fldCharType="begin"/>
      </w:r>
      <w:r>
        <w:rPr>
          <w:rFonts w:hint="eastAsia" w:asciiTheme="minorEastAsia" w:hAnsiTheme="minorEastAsia" w:eastAsiaTheme="minorEastAsia" w:cstheme="minorEastAsia"/>
          <w:b/>
          <w:bCs/>
          <w:szCs w:val="21"/>
        </w:rPr>
        <w:instrText xml:space="preserve">TOC \o "1-3" \h  \u </w:instrText>
      </w:r>
      <w:r>
        <w:rPr>
          <w:rFonts w:hint="eastAsia" w:asciiTheme="minorEastAsia" w:hAnsiTheme="minorEastAsia" w:eastAsiaTheme="minorEastAsia" w:cstheme="minorEastAsia"/>
          <w:b/>
          <w:bCs/>
          <w:szCs w:val="21"/>
        </w:rPr>
        <w:fldChar w:fldCharType="separate"/>
      </w:r>
      <w:r>
        <w:fldChar w:fldCharType="begin"/>
      </w:r>
      <w:r>
        <w:instrText xml:space="preserve"> HYPERLINK \l "_Toc14075" </w:instrText>
      </w:r>
      <w:r>
        <w:fldChar w:fldCharType="separate"/>
      </w:r>
      <w:r>
        <w:rPr>
          <w:rFonts w:hint="eastAsia"/>
          <w:szCs w:val="32"/>
        </w:rPr>
        <w:t>第一章 竞争性磋商公告</w:t>
      </w:r>
      <w:r>
        <w:tab/>
      </w:r>
      <w:r>
        <w:fldChar w:fldCharType="begin"/>
      </w:r>
      <w:r>
        <w:instrText xml:space="preserve"> PAGEREF _Toc14075 \h </w:instrText>
      </w:r>
      <w:r>
        <w:fldChar w:fldCharType="separate"/>
      </w:r>
      <w:r>
        <w:t>- 3 -</w:t>
      </w:r>
      <w:r>
        <w:fldChar w:fldCharType="end"/>
      </w:r>
      <w:r>
        <w:fldChar w:fldCharType="end"/>
      </w:r>
    </w:p>
    <w:p>
      <w:pPr>
        <w:pStyle w:val="30"/>
        <w:tabs>
          <w:tab w:val="right" w:leader="dot" w:pos="9446"/>
        </w:tabs>
        <w:spacing w:line="360" w:lineRule="auto"/>
      </w:pPr>
      <w:r>
        <w:fldChar w:fldCharType="begin"/>
      </w:r>
      <w:r>
        <w:instrText xml:space="preserve"> HYPERLINK \l "_Toc7105" </w:instrText>
      </w:r>
      <w:r>
        <w:fldChar w:fldCharType="separate"/>
      </w:r>
      <w:r>
        <w:rPr>
          <w:rFonts w:hint="eastAsia"/>
          <w:szCs w:val="32"/>
        </w:rPr>
        <w:t>第二章 供应商须知</w:t>
      </w:r>
      <w:r>
        <w:tab/>
      </w:r>
      <w:r>
        <w:fldChar w:fldCharType="begin"/>
      </w:r>
      <w:r>
        <w:instrText xml:space="preserve"> PAGEREF _Toc7105 \h </w:instrText>
      </w:r>
      <w:r>
        <w:fldChar w:fldCharType="separate"/>
      </w:r>
      <w:r>
        <w:t>- 6 -</w:t>
      </w:r>
      <w:r>
        <w:fldChar w:fldCharType="end"/>
      </w:r>
      <w:r>
        <w:fldChar w:fldCharType="end"/>
      </w:r>
    </w:p>
    <w:p>
      <w:pPr>
        <w:pStyle w:val="22"/>
        <w:tabs>
          <w:tab w:val="right" w:leader="dot" w:pos="9446"/>
        </w:tabs>
        <w:spacing w:line="360" w:lineRule="auto"/>
        <w:ind w:left="0" w:leftChars="0" w:firstLine="420" w:firstLineChars="200"/>
      </w:pPr>
      <w:r>
        <w:fldChar w:fldCharType="begin"/>
      </w:r>
      <w:r>
        <w:instrText xml:space="preserve"> HYPERLINK \l "_Toc25474" </w:instrText>
      </w:r>
      <w:r>
        <w:fldChar w:fldCharType="separate"/>
      </w:r>
      <w:r>
        <w:rPr>
          <w:rFonts w:hint="eastAsia" w:ascii="宋体" w:hAnsi="宋体" w:cs="宋体"/>
          <w:bCs/>
          <w:kern w:val="0"/>
          <w:szCs w:val="24"/>
        </w:rPr>
        <w:t>一、总 则</w:t>
      </w:r>
      <w:r>
        <w:tab/>
      </w:r>
      <w:r>
        <w:fldChar w:fldCharType="begin"/>
      </w:r>
      <w:r>
        <w:instrText xml:space="preserve"> PAGEREF _Toc25474 \h </w:instrText>
      </w:r>
      <w:r>
        <w:fldChar w:fldCharType="separate"/>
      </w:r>
      <w:r>
        <w:t>- 13 -</w:t>
      </w:r>
      <w:r>
        <w:fldChar w:fldCharType="end"/>
      </w:r>
      <w:r>
        <w:fldChar w:fldCharType="end"/>
      </w:r>
    </w:p>
    <w:p>
      <w:pPr>
        <w:pStyle w:val="35"/>
        <w:tabs>
          <w:tab w:val="right" w:leader="dot" w:pos="9446"/>
        </w:tabs>
        <w:spacing w:line="360" w:lineRule="auto"/>
      </w:pPr>
      <w:r>
        <w:fldChar w:fldCharType="begin"/>
      </w:r>
      <w:r>
        <w:instrText xml:space="preserve"> HYPERLINK \l "_Toc27890" </w:instrText>
      </w:r>
      <w:r>
        <w:fldChar w:fldCharType="separate"/>
      </w:r>
      <w:r>
        <w:rPr>
          <w:rFonts w:hint="eastAsia" w:ascii="宋体" w:hAnsi="宋体" w:cs="宋体"/>
          <w:szCs w:val="36"/>
        </w:rPr>
        <w:t>二、磋商文件</w:t>
      </w:r>
      <w:r>
        <w:tab/>
      </w:r>
      <w:r>
        <w:fldChar w:fldCharType="begin"/>
      </w:r>
      <w:r>
        <w:instrText xml:space="preserve"> PAGEREF _Toc27890 \h </w:instrText>
      </w:r>
      <w:r>
        <w:fldChar w:fldCharType="separate"/>
      </w:r>
      <w:r>
        <w:t>- 14 -</w:t>
      </w:r>
      <w:r>
        <w:fldChar w:fldCharType="end"/>
      </w:r>
      <w:r>
        <w:fldChar w:fldCharType="end"/>
      </w:r>
    </w:p>
    <w:p>
      <w:pPr>
        <w:pStyle w:val="35"/>
        <w:tabs>
          <w:tab w:val="right" w:leader="dot" w:pos="9446"/>
        </w:tabs>
        <w:spacing w:line="360" w:lineRule="auto"/>
      </w:pPr>
      <w:r>
        <w:fldChar w:fldCharType="begin"/>
      </w:r>
      <w:r>
        <w:instrText xml:space="preserve"> HYPERLINK \l "_Toc9656" </w:instrText>
      </w:r>
      <w:r>
        <w:fldChar w:fldCharType="separate"/>
      </w:r>
      <w:r>
        <w:rPr>
          <w:rFonts w:hint="eastAsia" w:ascii="宋体" w:hAnsi="宋体" w:cs="宋体"/>
          <w:szCs w:val="36"/>
        </w:rPr>
        <w:t>三、响应文件的编制</w:t>
      </w:r>
      <w:r>
        <w:tab/>
      </w:r>
      <w:r>
        <w:fldChar w:fldCharType="begin"/>
      </w:r>
      <w:r>
        <w:instrText xml:space="preserve"> PAGEREF _Toc9656 \h </w:instrText>
      </w:r>
      <w:r>
        <w:fldChar w:fldCharType="separate"/>
      </w:r>
      <w:r>
        <w:t>- 15 -</w:t>
      </w:r>
      <w:r>
        <w:fldChar w:fldCharType="end"/>
      </w:r>
      <w:r>
        <w:fldChar w:fldCharType="end"/>
      </w:r>
    </w:p>
    <w:p>
      <w:pPr>
        <w:pStyle w:val="35"/>
        <w:tabs>
          <w:tab w:val="right" w:leader="dot" w:pos="9446"/>
        </w:tabs>
        <w:spacing w:line="360" w:lineRule="auto"/>
      </w:pPr>
      <w:r>
        <w:fldChar w:fldCharType="begin"/>
      </w:r>
      <w:r>
        <w:instrText xml:space="preserve"> HYPERLINK \l "_Toc22169" </w:instrText>
      </w:r>
      <w:r>
        <w:fldChar w:fldCharType="separate"/>
      </w:r>
      <w:r>
        <w:rPr>
          <w:rFonts w:hint="eastAsia" w:ascii="宋体" w:hAnsi="宋体" w:cs="宋体"/>
          <w:szCs w:val="36"/>
        </w:rPr>
        <w:t>四、响应文件的提交</w:t>
      </w:r>
      <w:r>
        <w:tab/>
      </w:r>
      <w:r>
        <w:fldChar w:fldCharType="begin"/>
      </w:r>
      <w:r>
        <w:instrText xml:space="preserve"> PAGEREF _Toc22169 \h </w:instrText>
      </w:r>
      <w:r>
        <w:fldChar w:fldCharType="separate"/>
      </w:r>
      <w:r>
        <w:t>- 17 -</w:t>
      </w:r>
      <w:r>
        <w:fldChar w:fldCharType="end"/>
      </w:r>
      <w:r>
        <w:fldChar w:fldCharType="end"/>
      </w:r>
    </w:p>
    <w:p>
      <w:pPr>
        <w:pStyle w:val="35"/>
        <w:tabs>
          <w:tab w:val="right" w:leader="dot" w:pos="9446"/>
        </w:tabs>
        <w:spacing w:line="360" w:lineRule="auto"/>
      </w:pPr>
      <w:r>
        <w:fldChar w:fldCharType="begin"/>
      </w:r>
      <w:r>
        <w:instrText xml:space="preserve"> HYPERLINK \l "_Toc25353" </w:instrText>
      </w:r>
      <w:r>
        <w:fldChar w:fldCharType="separate"/>
      </w:r>
      <w:r>
        <w:rPr>
          <w:rFonts w:hint="eastAsia" w:ascii="宋体" w:hAnsi="宋体" w:cs="宋体"/>
          <w:szCs w:val="36"/>
        </w:rPr>
        <w:t>五、磋商和评审</w:t>
      </w:r>
      <w:r>
        <w:tab/>
      </w:r>
      <w:r>
        <w:fldChar w:fldCharType="begin"/>
      </w:r>
      <w:r>
        <w:instrText xml:space="preserve"> PAGEREF _Toc25353 \h </w:instrText>
      </w:r>
      <w:r>
        <w:fldChar w:fldCharType="separate"/>
      </w:r>
      <w:r>
        <w:t>- 18 -</w:t>
      </w:r>
      <w:r>
        <w:fldChar w:fldCharType="end"/>
      </w:r>
      <w:r>
        <w:fldChar w:fldCharType="end"/>
      </w:r>
    </w:p>
    <w:p>
      <w:pPr>
        <w:pStyle w:val="35"/>
        <w:tabs>
          <w:tab w:val="right" w:leader="dot" w:pos="9446"/>
        </w:tabs>
        <w:spacing w:line="360" w:lineRule="auto"/>
      </w:pPr>
      <w:r>
        <w:fldChar w:fldCharType="begin"/>
      </w:r>
      <w:r>
        <w:instrText xml:space="preserve"> HYPERLINK \l "_Toc3696" </w:instrText>
      </w:r>
      <w:r>
        <w:fldChar w:fldCharType="separate"/>
      </w:r>
      <w:r>
        <w:rPr>
          <w:rFonts w:hint="eastAsia" w:ascii="宋体" w:hAnsi="宋体" w:cs="宋体"/>
          <w:szCs w:val="36"/>
        </w:rPr>
        <w:t>六、合同的授予</w:t>
      </w:r>
      <w:r>
        <w:tab/>
      </w:r>
      <w:r>
        <w:fldChar w:fldCharType="begin"/>
      </w:r>
      <w:r>
        <w:instrText xml:space="preserve"> PAGEREF _Toc3696 \h </w:instrText>
      </w:r>
      <w:r>
        <w:fldChar w:fldCharType="separate"/>
      </w:r>
      <w:r>
        <w:t>- 21 -</w:t>
      </w:r>
      <w:r>
        <w:fldChar w:fldCharType="end"/>
      </w:r>
      <w:r>
        <w:fldChar w:fldCharType="end"/>
      </w:r>
    </w:p>
    <w:p>
      <w:pPr>
        <w:pStyle w:val="30"/>
        <w:tabs>
          <w:tab w:val="right" w:leader="dot" w:pos="9446"/>
        </w:tabs>
        <w:spacing w:line="360" w:lineRule="auto"/>
      </w:pPr>
      <w:r>
        <w:fldChar w:fldCharType="begin"/>
      </w:r>
      <w:r>
        <w:instrText xml:space="preserve"> HYPERLINK \l "_Toc20548" </w:instrText>
      </w:r>
      <w:r>
        <w:fldChar w:fldCharType="separate"/>
      </w:r>
      <w:r>
        <w:rPr>
          <w:rFonts w:hint="eastAsia"/>
          <w:szCs w:val="32"/>
        </w:rPr>
        <w:t>第三章 评审办法</w:t>
      </w:r>
      <w:r>
        <w:tab/>
      </w:r>
      <w:r>
        <w:fldChar w:fldCharType="begin"/>
      </w:r>
      <w:r>
        <w:instrText xml:space="preserve"> PAGEREF _Toc20548 \h </w:instrText>
      </w:r>
      <w:r>
        <w:fldChar w:fldCharType="separate"/>
      </w:r>
      <w:r>
        <w:t>- 23 -</w:t>
      </w:r>
      <w:r>
        <w:fldChar w:fldCharType="end"/>
      </w:r>
      <w:r>
        <w:fldChar w:fldCharType="end"/>
      </w:r>
    </w:p>
    <w:p>
      <w:pPr>
        <w:pStyle w:val="30"/>
        <w:tabs>
          <w:tab w:val="right" w:leader="dot" w:pos="9446"/>
        </w:tabs>
        <w:spacing w:line="360" w:lineRule="auto"/>
      </w:pPr>
      <w:r>
        <w:fldChar w:fldCharType="begin"/>
      </w:r>
      <w:r>
        <w:instrText xml:space="preserve"> HYPERLINK \l "_Toc23582" </w:instrText>
      </w:r>
      <w:r>
        <w:fldChar w:fldCharType="separate"/>
      </w:r>
      <w:r>
        <w:rPr>
          <w:rFonts w:hint="eastAsia"/>
          <w:szCs w:val="32"/>
        </w:rPr>
        <w:t>第四章 合同条款及格式（参考）</w:t>
      </w:r>
      <w:r>
        <w:tab/>
      </w:r>
      <w:r>
        <w:fldChar w:fldCharType="begin"/>
      </w:r>
      <w:r>
        <w:instrText xml:space="preserve"> PAGEREF _Toc23582 \h </w:instrText>
      </w:r>
      <w:r>
        <w:fldChar w:fldCharType="separate"/>
      </w:r>
      <w:r>
        <w:t>- 26 -</w:t>
      </w:r>
      <w:r>
        <w:fldChar w:fldCharType="end"/>
      </w:r>
      <w:r>
        <w:fldChar w:fldCharType="end"/>
      </w:r>
    </w:p>
    <w:p>
      <w:pPr>
        <w:pStyle w:val="35"/>
        <w:tabs>
          <w:tab w:val="right" w:leader="dot" w:pos="9446"/>
        </w:tabs>
        <w:spacing w:line="360" w:lineRule="auto"/>
      </w:pPr>
      <w:r>
        <w:fldChar w:fldCharType="begin"/>
      </w:r>
      <w:r>
        <w:instrText xml:space="preserve"> HYPERLINK \l "_Toc11326" </w:instrText>
      </w:r>
      <w:r>
        <w:fldChar w:fldCharType="separate"/>
      </w:r>
      <w:r>
        <w:rPr>
          <w:rFonts w:hint="eastAsia"/>
        </w:rPr>
        <w:t>第一节 合同协议书</w:t>
      </w:r>
      <w:r>
        <w:tab/>
      </w:r>
      <w:r>
        <w:fldChar w:fldCharType="begin"/>
      </w:r>
      <w:r>
        <w:instrText xml:space="preserve"> PAGEREF _Toc11326 \h </w:instrText>
      </w:r>
      <w:r>
        <w:fldChar w:fldCharType="separate"/>
      </w:r>
      <w:r>
        <w:t>- 27 -</w:t>
      </w:r>
      <w:r>
        <w:fldChar w:fldCharType="end"/>
      </w:r>
      <w:r>
        <w:fldChar w:fldCharType="end"/>
      </w:r>
    </w:p>
    <w:p>
      <w:pPr>
        <w:pStyle w:val="35"/>
        <w:tabs>
          <w:tab w:val="right" w:leader="dot" w:pos="9446"/>
        </w:tabs>
        <w:spacing w:line="360" w:lineRule="auto"/>
      </w:pPr>
      <w:r>
        <w:fldChar w:fldCharType="begin"/>
      </w:r>
      <w:r>
        <w:instrText xml:space="preserve"> HYPERLINK \l "_Toc27077" </w:instrText>
      </w:r>
      <w:r>
        <w:fldChar w:fldCharType="separate"/>
      </w:r>
      <w:r>
        <w:rPr>
          <w:rFonts w:hint="eastAsia"/>
        </w:rPr>
        <w:t>第二节 通用合同条款</w:t>
      </w:r>
      <w:r>
        <w:tab/>
      </w:r>
      <w:r>
        <w:fldChar w:fldCharType="begin"/>
      </w:r>
      <w:r>
        <w:instrText xml:space="preserve"> PAGEREF _Toc27077 \h </w:instrText>
      </w:r>
      <w:r>
        <w:fldChar w:fldCharType="separate"/>
      </w:r>
      <w:r>
        <w:t>- 29 -</w:t>
      </w:r>
      <w:r>
        <w:fldChar w:fldCharType="end"/>
      </w:r>
      <w:r>
        <w:fldChar w:fldCharType="end"/>
      </w:r>
    </w:p>
    <w:p>
      <w:pPr>
        <w:pStyle w:val="35"/>
        <w:tabs>
          <w:tab w:val="right" w:leader="dot" w:pos="9446"/>
        </w:tabs>
        <w:spacing w:line="360" w:lineRule="auto"/>
      </w:pPr>
      <w:r>
        <w:fldChar w:fldCharType="begin"/>
      </w:r>
      <w:r>
        <w:instrText xml:space="preserve"> HYPERLINK \l "_Toc19627" </w:instrText>
      </w:r>
      <w:r>
        <w:fldChar w:fldCharType="separate"/>
      </w:r>
      <w:r>
        <w:rPr>
          <w:rFonts w:hint="eastAsia"/>
        </w:rPr>
        <w:t>第三节 专用合同条款</w:t>
      </w:r>
      <w:r>
        <w:tab/>
      </w:r>
      <w:r>
        <w:fldChar w:fldCharType="begin"/>
      </w:r>
      <w:r>
        <w:instrText xml:space="preserve"> PAGEREF _Toc19627 \h </w:instrText>
      </w:r>
      <w:r>
        <w:fldChar w:fldCharType="separate"/>
      </w:r>
      <w:r>
        <w:t>- 29 -</w:t>
      </w:r>
      <w:r>
        <w:fldChar w:fldCharType="end"/>
      </w:r>
      <w:r>
        <w:fldChar w:fldCharType="end"/>
      </w:r>
    </w:p>
    <w:p>
      <w:pPr>
        <w:pStyle w:val="30"/>
        <w:tabs>
          <w:tab w:val="right" w:leader="dot" w:pos="9446"/>
        </w:tabs>
        <w:spacing w:line="360" w:lineRule="auto"/>
      </w:pPr>
      <w:r>
        <w:fldChar w:fldCharType="begin"/>
      </w:r>
      <w:r>
        <w:instrText xml:space="preserve"> HYPERLINK \l "_Toc8701" </w:instrText>
      </w:r>
      <w:r>
        <w:fldChar w:fldCharType="separate"/>
      </w:r>
      <w:r>
        <w:rPr>
          <w:rFonts w:hint="eastAsia"/>
          <w:szCs w:val="32"/>
        </w:rPr>
        <w:t>第五章采购需求</w:t>
      </w:r>
      <w:r>
        <w:tab/>
      </w:r>
      <w:r>
        <w:fldChar w:fldCharType="begin"/>
      </w:r>
      <w:r>
        <w:instrText xml:space="preserve"> PAGEREF _Toc8701 \h </w:instrText>
      </w:r>
      <w:r>
        <w:fldChar w:fldCharType="separate"/>
      </w:r>
      <w:r>
        <w:t>- 58 -</w:t>
      </w:r>
      <w:r>
        <w:fldChar w:fldCharType="end"/>
      </w:r>
      <w:r>
        <w:fldChar w:fldCharType="end"/>
      </w:r>
    </w:p>
    <w:p>
      <w:pPr>
        <w:pStyle w:val="30"/>
        <w:tabs>
          <w:tab w:val="right" w:leader="dot" w:pos="9446"/>
        </w:tabs>
        <w:spacing w:line="360" w:lineRule="auto"/>
      </w:pPr>
      <w:r>
        <w:fldChar w:fldCharType="begin"/>
      </w:r>
      <w:r>
        <w:instrText xml:space="preserve"> HYPERLINK \l "_Toc30379" </w:instrText>
      </w:r>
      <w:r>
        <w:fldChar w:fldCharType="separate"/>
      </w:r>
      <w:r>
        <w:rPr>
          <w:rFonts w:hint="eastAsia"/>
          <w:szCs w:val="32"/>
        </w:rPr>
        <w:t>第六章 响应文件格式</w:t>
      </w:r>
      <w:r>
        <w:tab/>
      </w:r>
      <w:r>
        <w:fldChar w:fldCharType="begin"/>
      </w:r>
      <w:r>
        <w:instrText xml:space="preserve"> PAGEREF _Toc30379 \h </w:instrText>
      </w:r>
      <w:r>
        <w:fldChar w:fldCharType="separate"/>
      </w:r>
      <w:r>
        <w:t>- 59 -</w:t>
      </w:r>
      <w:r>
        <w:fldChar w:fldCharType="end"/>
      </w:r>
      <w:r>
        <w:fldChar w:fldCharType="end"/>
      </w:r>
    </w:p>
    <w:p>
      <w:pPr>
        <w:pStyle w:val="35"/>
        <w:tabs>
          <w:tab w:val="right" w:leader="dot" w:pos="9446"/>
        </w:tabs>
        <w:spacing w:line="360" w:lineRule="auto"/>
      </w:pPr>
      <w:r>
        <w:fldChar w:fldCharType="begin"/>
      </w:r>
      <w:r>
        <w:instrText xml:space="preserve"> HYPERLINK \l "_Toc20132" </w:instrText>
      </w:r>
      <w:r>
        <w:fldChar w:fldCharType="separate"/>
      </w:r>
      <w:r>
        <w:rPr>
          <w:rFonts w:hint="eastAsia" w:ascii="宋体" w:hAnsi="宋体" w:cs="宋体"/>
          <w:bCs/>
          <w:kern w:val="0"/>
          <w:szCs w:val="24"/>
        </w:rPr>
        <w:t>一、磋商函及磋商报表价</w:t>
      </w:r>
      <w:r>
        <w:tab/>
      </w:r>
      <w:r>
        <w:fldChar w:fldCharType="begin"/>
      </w:r>
      <w:r>
        <w:instrText xml:space="preserve"> PAGEREF _Toc20132 \h </w:instrText>
      </w:r>
      <w:r>
        <w:fldChar w:fldCharType="separate"/>
      </w:r>
      <w:r>
        <w:t>- 60 -</w:t>
      </w:r>
      <w:r>
        <w:fldChar w:fldCharType="end"/>
      </w:r>
      <w:r>
        <w:fldChar w:fldCharType="end"/>
      </w:r>
    </w:p>
    <w:p>
      <w:pPr>
        <w:pStyle w:val="35"/>
        <w:tabs>
          <w:tab w:val="right" w:leader="dot" w:pos="9446"/>
        </w:tabs>
        <w:spacing w:line="360" w:lineRule="auto"/>
      </w:pPr>
      <w:r>
        <w:fldChar w:fldCharType="begin"/>
      </w:r>
      <w:r>
        <w:instrText xml:space="preserve"> HYPERLINK \l "_Toc2272" </w:instrText>
      </w:r>
      <w:r>
        <w:fldChar w:fldCharType="separate"/>
      </w:r>
      <w:r>
        <w:rPr>
          <w:rFonts w:hint="eastAsia" w:ascii="宋体" w:hAnsi="宋体" w:cs="宋体"/>
          <w:bCs/>
          <w:kern w:val="0"/>
          <w:szCs w:val="24"/>
        </w:rPr>
        <w:t>二、法定代表人身份证明</w:t>
      </w:r>
      <w:r>
        <w:tab/>
      </w:r>
      <w:r>
        <w:fldChar w:fldCharType="begin"/>
      </w:r>
      <w:r>
        <w:instrText xml:space="preserve"> PAGEREF _Toc2272 \h </w:instrText>
      </w:r>
      <w:r>
        <w:fldChar w:fldCharType="separate"/>
      </w:r>
      <w:r>
        <w:t>- 62 -</w:t>
      </w:r>
      <w:r>
        <w:fldChar w:fldCharType="end"/>
      </w:r>
      <w:r>
        <w:fldChar w:fldCharType="end"/>
      </w:r>
    </w:p>
    <w:p>
      <w:pPr>
        <w:pStyle w:val="35"/>
        <w:tabs>
          <w:tab w:val="right" w:leader="dot" w:pos="9446"/>
        </w:tabs>
        <w:spacing w:line="360" w:lineRule="auto"/>
      </w:pPr>
      <w:r>
        <w:fldChar w:fldCharType="begin"/>
      </w:r>
      <w:r>
        <w:instrText xml:space="preserve"> HYPERLINK \l "_Toc1833" </w:instrText>
      </w:r>
      <w:r>
        <w:fldChar w:fldCharType="separate"/>
      </w:r>
      <w:r>
        <w:rPr>
          <w:rFonts w:hint="eastAsia" w:ascii="宋体" w:hAnsi="宋体" w:cs="宋体"/>
          <w:bCs/>
          <w:kern w:val="0"/>
          <w:szCs w:val="24"/>
        </w:rPr>
        <w:t>三、授权委托书</w:t>
      </w:r>
      <w:r>
        <w:tab/>
      </w:r>
      <w:r>
        <w:fldChar w:fldCharType="begin"/>
      </w:r>
      <w:r>
        <w:instrText xml:space="preserve"> PAGEREF _Toc1833 \h </w:instrText>
      </w:r>
      <w:r>
        <w:fldChar w:fldCharType="separate"/>
      </w:r>
      <w:r>
        <w:t>- 63 -</w:t>
      </w:r>
      <w:r>
        <w:fldChar w:fldCharType="end"/>
      </w:r>
      <w:r>
        <w:fldChar w:fldCharType="end"/>
      </w:r>
    </w:p>
    <w:p>
      <w:pPr>
        <w:pStyle w:val="35"/>
        <w:tabs>
          <w:tab w:val="right" w:leader="dot" w:pos="9446"/>
        </w:tabs>
        <w:spacing w:line="360" w:lineRule="auto"/>
      </w:pPr>
      <w:r>
        <w:fldChar w:fldCharType="begin"/>
      </w:r>
      <w:r>
        <w:instrText xml:space="preserve"> HYPERLINK \l "_Toc27395" </w:instrText>
      </w:r>
      <w:r>
        <w:fldChar w:fldCharType="separate"/>
      </w:r>
      <w:r>
        <w:rPr>
          <w:rFonts w:hint="eastAsia" w:ascii="宋体" w:hAnsi="宋体" w:cs="宋体"/>
          <w:szCs w:val="28"/>
        </w:rPr>
        <w:t>五、资格审查资料</w:t>
      </w:r>
      <w:r>
        <w:tab/>
      </w:r>
      <w:r>
        <w:fldChar w:fldCharType="begin"/>
      </w:r>
      <w:r>
        <w:instrText xml:space="preserve"> PAGEREF _Toc27395 \h </w:instrText>
      </w:r>
      <w:r>
        <w:fldChar w:fldCharType="separate"/>
      </w:r>
      <w:r>
        <w:t>- 66 -</w:t>
      </w:r>
      <w:r>
        <w:fldChar w:fldCharType="end"/>
      </w:r>
      <w:r>
        <w:fldChar w:fldCharType="end"/>
      </w:r>
    </w:p>
    <w:p>
      <w:pPr>
        <w:pStyle w:val="35"/>
        <w:tabs>
          <w:tab w:val="right" w:leader="dot" w:pos="9446"/>
        </w:tabs>
        <w:spacing w:line="360" w:lineRule="auto"/>
      </w:pPr>
      <w:r>
        <w:fldChar w:fldCharType="begin"/>
      </w:r>
      <w:r>
        <w:instrText xml:space="preserve"> HYPERLINK \l "_Toc12866" </w:instrText>
      </w:r>
      <w:r>
        <w:fldChar w:fldCharType="separate"/>
      </w:r>
      <w:r>
        <w:rPr>
          <w:rFonts w:hint="eastAsia" w:asciiTheme="minorEastAsia" w:hAnsiTheme="minorEastAsia" w:eastAsiaTheme="minorEastAsia" w:cstheme="minorEastAsia"/>
          <w:kern w:val="0"/>
          <w:szCs w:val="24"/>
        </w:rPr>
        <w:t>六、</w:t>
      </w:r>
      <w:r>
        <w:rPr>
          <w:rFonts w:hint="eastAsia" w:asciiTheme="minorEastAsia" w:hAnsiTheme="minorEastAsia" w:eastAsiaTheme="minorEastAsia" w:cstheme="minorEastAsia"/>
          <w:szCs w:val="24"/>
        </w:rPr>
        <w:t>无行贿犯罪记录承诺书</w:t>
      </w:r>
      <w:r>
        <w:tab/>
      </w:r>
      <w:r>
        <w:fldChar w:fldCharType="begin"/>
      </w:r>
      <w:r>
        <w:instrText xml:space="preserve"> PAGEREF _Toc12866 \h </w:instrText>
      </w:r>
      <w:r>
        <w:fldChar w:fldCharType="separate"/>
      </w:r>
      <w:r>
        <w:t>- 70 -</w:t>
      </w:r>
      <w:r>
        <w:fldChar w:fldCharType="end"/>
      </w:r>
      <w:r>
        <w:fldChar w:fldCharType="end"/>
      </w:r>
    </w:p>
    <w:p>
      <w:pPr>
        <w:pStyle w:val="35"/>
        <w:tabs>
          <w:tab w:val="right" w:leader="dot" w:pos="9446"/>
        </w:tabs>
        <w:spacing w:line="360" w:lineRule="auto"/>
      </w:pPr>
      <w:r>
        <w:fldChar w:fldCharType="begin"/>
      </w:r>
      <w:r>
        <w:instrText xml:space="preserve"> HYPERLINK \l "_Toc5971" </w:instrText>
      </w:r>
      <w:r>
        <w:fldChar w:fldCharType="separate"/>
      </w:r>
      <w:r>
        <w:rPr>
          <w:rFonts w:hint="eastAsia" w:asciiTheme="minorEastAsia" w:hAnsiTheme="minorEastAsia" w:eastAsiaTheme="minorEastAsia" w:cstheme="minorEastAsia"/>
          <w:kern w:val="0"/>
          <w:szCs w:val="24"/>
        </w:rPr>
        <w:t>七、磋商保证金承诺书</w:t>
      </w:r>
      <w:r>
        <w:tab/>
      </w:r>
      <w:r>
        <w:fldChar w:fldCharType="begin"/>
      </w:r>
      <w:r>
        <w:instrText xml:space="preserve"> PAGEREF _Toc5971 \h </w:instrText>
      </w:r>
      <w:r>
        <w:fldChar w:fldCharType="separate"/>
      </w:r>
      <w:r>
        <w:t>- 71 -</w:t>
      </w:r>
      <w:r>
        <w:fldChar w:fldCharType="end"/>
      </w:r>
      <w:r>
        <w:fldChar w:fldCharType="end"/>
      </w:r>
    </w:p>
    <w:p>
      <w:pPr>
        <w:pStyle w:val="35"/>
        <w:tabs>
          <w:tab w:val="right" w:leader="dot" w:pos="9446"/>
        </w:tabs>
        <w:spacing w:line="360" w:lineRule="auto"/>
      </w:pPr>
      <w:r>
        <w:fldChar w:fldCharType="begin"/>
      </w:r>
      <w:r>
        <w:instrText xml:space="preserve"> HYPERLINK \l "_Toc15908" </w:instrText>
      </w:r>
      <w:r>
        <w:fldChar w:fldCharType="separate"/>
      </w:r>
      <w:r>
        <w:rPr>
          <w:rFonts w:hint="eastAsia" w:ascii="宋体" w:hAnsi="宋体" w:cs="宋体"/>
          <w:bCs/>
          <w:kern w:val="0"/>
          <w:szCs w:val="24"/>
        </w:rPr>
        <w:t>八、施工组织设计</w:t>
      </w:r>
      <w:r>
        <w:tab/>
      </w:r>
      <w:r>
        <w:fldChar w:fldCharType="begin"/>
      </w:r>
      <w:r>
        <w:instrText xml:space="preserve"> PAGEREF _Toc15908 \h </w:instrText>
      </w:r>
      <w:r>
        <w:fldChar w:fldCharType="separate"/>
      </w:r>
      <w:r>
        <w:t>- 72 -</w:t>
      </w:r>
      <w:r>
        <w:fldChar w:fldCharType="end"/>
      </w:r>
      <w:r>
        <w:fldChar w:fldCharType="end"/>
      </w:r>
    </w:p>
    <w:p>
      <w:pPr>
        <w:pStyle w:val="35"/>
        <w:tabs>
          <w:tab w:val="right" w:leader="dot" w:pos="9446"/>
        </w:tabs>
        <w:spacing w:line="360" w:lineRule="auto"/>
      </w:pPr>
      <w:r>
        <w:fldChar w:fldCharType="begin"/>
      </w:r>
      <w:r>
        <w:instrText xml:space="preserve"> HYPERLINK \l "_Toc29784" </w:instrText>
      </w:r>
      <w:r>
        <w:fldChar w:fldCharType="separate"/>
      </w:r>
      <w:r>
        <w:rPr>
          <w:rFonts w:hint="eastAsia" w:ascii="宋体" w:hAnsi="宋体" w:cs="宋体"/>
          <w:bCs/>
          <w:kern w:val="0"/>
          <w:szCs w:val="24"/>
        </w:rPr>
        <w:t>九、焦作市政府采购供应商资格信用承诺函</w:t>
      </w:r>
      <w:r>
        <w:tab/>
      </w:r>
      <w:r>
        <w:fldChar w:fldCharType="begin"/>
      </w:r>
      <w:r>
        <w:instrText xml:space="preserve"> PAGEREF _Toc29784 \h </w:instrText>
      </w:r>
      <w:r>
        <w:fldChar w:fldCharType="separate"/>
      </w:r>
      <w:r>
        <w:t>- 73 -</w:t>
      </w:r>
      <w:r>
        <w:fldChar w:fldCharType="end"/>
      </w:r>
      <w:r>
        <w:fldChar w:fldCharType="end"/>
      </w:r>
    </w:p>
    <w:p>
      <w:pPr>
        <w:pStyle w:val="35"/>
        <w:tabs>
          <w:tab w:val="right" w:leader="dot" w:pos="9446"/>
        </w:tabs>
        <w:spacing w:line="360" w:lineRule="auto"/>
      </w:pPr>
      <w:r>
        <w:fldChar w:fldCharType="begin"/>
      </w:r>
      <w:r>
        <w:instrText xml:space="preserve"> HYPERLINK \l "_Toc3002" </w:instrText>
      </w:r>
      <w:r>
        <w:fldChar w:fldCharType="separate"/>
      </w:r>
      <w:r>
        <w:rPr>
          <w:rFonts w:hint="eastAsia" w:ascii="宋体" w:hAnsi="宋体" w:cs="宋体"/>
          <w:bCs/>
          <w:kern w:val="0"/>
          <w:szCs w:val="24"/>
        </w:rPr>
        <w:t>十、磋商文件要求的或供应商认为需要加以说明的其他内容</w:t>
      </w:r>
      <w:r>
        <w:tab/>
      </w:r>
      <w:r>
        <w:fldChar w:fldCharType="begin"/>
      </w:r>
      <w:r>
        <w:instrText xml:space="preserve"> PAGEREF _Toc3002 \h </w:instrText>
      </w:r>
      <w:r>
        <w:fldChar w:fldCharType="separate"/>
      </w:r>
      <w:r>
        <w:t>- 74 -</w:t>
      </w:r>
      <w:r>
        <w:fldChar w:fldCharType="end"/>
      </w:r>
      <w:r>
        <w:fldChar w:fldCharType="end"/>
      </w:r>
    </w:p>
    <w:p>
      <w:pPr>
        <w:spacing w:line="360" w:lineRule="auto"/>
        <w:rPr>
          <w:sz w:val="32"/>
          <w:szCs w:val="32"/>
        </w:rPr>
        <w:sectPr>
          <w:headerReference r:id="rId4" w:type="first"/>
          <w:footerReference r:id="rId6" w:type="first"/>
          <w:headerReference r:id="rId3" w:type="default"/>
          <w:footerReference r:id="rId5" w:type="default"/>
          <w:pgSz w:w="11906" w:h="16838"/>
          <w:pgMar w:top="1440" w:right="1230" w:bottom="1440" w:left="1230" w:header="851" w:footer="760" w:gutter="0"/>
          <w:pgNumType w:fmt="numberInDash" w:start="1"/>
          <w:cols w:space="720" w:num="1"/>
          <w:titlePg/>
          <w:docGrid w:type="linesAndChars" w:linePitch="312" w:charSpace="0"/>
        </w:sectPr>
      </w:pPr>
      <w:r>
        <w:rPr>
          <w:rFonts w:hint="eastAsia" w:asciiTheme="minorEastAsia" w:hAnsiTheme="minorEastAsia" w:eastAsiaTheme="minorEastAsia" w:cstheme="minorEastAsia"/>
          <w:bCs/>
          <w:szCs w:val="21"/>
        </w:rPr>
        <w:fldChar w:fldCharType="end"/>
      </w:r>
      <w:bookmarkStart w:id="0" w:name="_Toc12338"/>
    </w:p>
    <w:p>
      <w:pPr>
        <w:pStyle w:val="4"/>
        <w:spacing w:before="0" w:after="0" w:line="360" w:lineRule="auto"/>
        <w:rPr>
          <w:sz w:val="32"/>
          <w:szCs w:val="32"/>
        </w:rPr>
      </w:pPr>
      <w:bookmarkStart w:id="1" w:name="_Toc14075"/>
      <w:r>
        <w:rPr>
          <w:rFonts w:hint="eastAsia"/>
          <w:sz w:val="32"/>
          <w:szCs w:val="32"/>
        </w:rPr>
        <w:t xml:space="preserve">第一章  </w:t>
      </w:r>
      <w:bookmarkEnd w:id="0"/>
      <w:r>
        <w:rPr>
          <w:rFonts w:hint="eastAsia"/>
          <w:sz w:val="32"/>
          <w:szCs w:val="32"/>
        </w:rPr>
        <w:t>竞争性磋商公告</w:t>
      </w:r>
      <w:bookmarkEnd w:id="1"/>
    </w:p>
    <w:p>
      <w:pPr>
        <w:widowControl/>
        <w:shd w:val="clear" w:color="auto" w:fill="FFFFFF"/>
        <w:spacing w:line="360" w:lineRule="auto"/>
        <w:jc w:val="left"/>
        <w:rPr>
          <w:rFonts w:ascii="宋体" w:hAnsi="宋体" w:cs="宋体"/>
          <w:b/>
          <w:bCs/>
          <w:kern w:val="0"/>
          <w:szCs w:val="21"/>
          <w:shd w:val="clear" w:color="auto" w:fill="FFFFFF"/>
        </w:rPr>
      </w:pPr>
      <w:bookmarkStart w:id="2" w:name="_Toc20619"/>
      <w:r>
        <w:rPr>
          <w:rFonts w:hint="eastAsia" w:ascii="宋体" w:hAnsi="宋体" w:cs="宋体"/>
          <w:b/>
          <w:bCs/>
          <w:kern w:val="0"/>
          <w:szCs w:val="21"/>
          <w:shd w:val="clear" w:color="auto" w:fill="FFFFFF"/>
        </w:rPr>
        <w:t>一、磋商条件</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本磋商项目“武陟县小董乡卫生院灾后恢复重建项目”已由相关部门批准建设，建设资金已落实，委托河南申鑫工程管理有限公司代理本项目磋商事宜。项目已具备磋商条件，现对该项目进行竞争性磋商。</w:t>
      </w:r>
    </w:p>
    <w:p>
      <w:pPr>
        <w:widowControl/>
        <w:shd w:val="clear" w:color="auto" w:fill="FFFFFF"/>
        <w:spacing w:line="360" w:lineRule="auto"/>
        <w:jc w:val="left"/>
        <w:rPr>
          <w:rFonts w:ascii="宋体" w:hAnsi="宋体" w:cs="宋体"/>
          <w:b/>
          <w:bCs/>
          <w:kern w:val="0"/>
          <w:szCs w:val="21"/>
          <w:shd w:val="clear" w:color="auto" w:fill="FFFFFF"/>
        </w:rPr>
      </w:pPr>
      <w:r>
        <w:rPr>
          <w:rFonts w:hint="eastAsia" w:ascii="宋体" w:hAnsi="宋体" w:cs="宋体"/>
          <w:b/>
          <w:bCs/>
          <w:kern w:val="0"/>
          <w:szCs w:val="21"/>
          <w:shd w:val="clear" w:color="auto" w:fill="FFFFFF"/>
        </w:rPr>
        <w:t>二、项目概况与磋商范围</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2.1、项目名称：武陟县小董乡卫生院灾后恢复重建项目</w:t>
      </w:r>
    </w:p>
    <w:p>
      <w:pPr>
        <w:widowControl/>
        <w:shd w:val="clear" w:color="auto" w:fill="FFFFFF"/>
        <w:spacing w:line="360" w:lineRule="auto"/>
        <w:ind w:firstLine="420" w:firstLineChars="200"/>
        <w:jc w:val="left"/>
        <w:rPr>
          <w:rFonts w:ascii="宋体" w:hAnsi="宋体" w:cs="宋体"/>
          <w:szCs w:val="21"/>
        </w:rPr>
      </w:pPr>
      <w:r>
        <w:rPr>
          <w:rFonts w:hint="eastAsia" w:ascii="宋体" w:hAnsi="宋体" w:cs="宋体"/>
          <w:kern w:val="0"/>
          <w:szCs w:val="21"/>
          <w:shd w:val="clear" w:color="auto" w:fill="FFFFFF"/>
        </w:rPr>
        <w:t>2.2、采购编号：武政磋商采购[2022]025号</w:t>
      </w:r>
      <w:r>
        <w:rPr>
          <w:rFonts w:hint="eastAsia" w:ascii="宋体" w:hAnsi="宋体" w:cs="宋体"/>
          <w:szCs w:val="21"/>
        </w:rPr>
        <w:t>交易编号：武交工JZCS2022-003号</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2.3、采购方式：竞争性磋商</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2.4、预算金额：396万元</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2.5、资金来源：财政资金加自筹资金</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2.6、项目地点：武陟县</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2.7、项目概况：武陟县小董乡卫生院位于武陟县西北角，地处武陟、博爱、焦作高新区三险交界处，占地面积约7000平方米，服务辖区20个行政村4.3万人的医疗救治工作。2021年暴雨洪灾中，武陟县小董乡卫生院因为地势低洼，受损程度严重，严重影响正常公共卫生和业务工作，按照省市灾后重建办要求，本项目为重建，在原旧址上重建一座三层公卫综合楼，建筑面积1980㎡，并对卫生院医疗废水进行净化处理。（具体内容详见图纸及工程量清单）</w:t>
      </w:r>
    </w:p>
    <w:p>
      <w:pPr>
        <w:widowControl/>
        <w:shd w:val="clear" w:color="auto" w:fill="FFFFFF"/>
        <w:spacing w:line="360" w:lineRule="auto"/>
        <w:ind w:firstLine="420" w:firstLineChars="200"/>
        <w:jc w:val="left"/>
      </w:pPr>
      <w:r>
        <w:rPr>
          <w:rFonts w:hint="eastAsia" w:ascii="宋体" w:hAnsi="宋体" w:cs="宋体"/>
          <w:kern w:val="0"/>
          <w:szCs w:val="21"/>
          <w:shd w:val="clear" w:color="auto" w:fill="FFFFFF"/>
        </w:rPr>
        <w:t>2.8、标段划分：一个标段</w:t>
      </w:r>
    </w:p>
    <w:p>
      <w:pPr>
        <w:widowControl/>
        <w:shd w:val="clear" w:color="auto" w:fill="FFFFFF"/>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2.9、磋商范围：竞争性磋商文件、图纸、工程量清单范围内的所有内容。</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2.10、质量要求：合格；</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2.11、工期：180日历天</w:t>
      </w:r>
    </w:p>
    <w:p>
      <w:pPr>
        <w:widowControl/>
        <w:shd w:val="clear" w:color="auto" w:fill="FFFFFF"/>
        <w:spacing w:line="360" w:lineRule="auto"/>
        <w:jc w:val="left"/>
      </w:pPr>
      <w:r>
        <w:rPr>
          <w:rFonts w:hint="eastAsia" w:ascii="宋体" w:hAnsi="宋体" w:cs="宋体"/>
          <w:b/>
          <w:bCs/>
          <w:kern w:val="0"/>
          <w:szCs w:val="21"/>
          <w:shd w:val="clear" w:color="auto" w:fill="FFFFFF"/>
        </w:rPr>
        <w:t>三、供应商资格要求</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3.1.满足《中华人民共和国政府采购法》第二十二条规定；</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3.2.落实政府采购政策满足的资格要求：落实促进中小企业和监狱企业发展扶持政策、促进残疾人就业政府采购政策；</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3.3供应商须具有建筑工程施工总承包叁级及以上资质或建筑工程施工总承包乙级及以上资质，且具备有效期内安全生产许可证，并在人员、设备、资金等方面具有相应的施工能力；</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3.4项目经理须具有建筑工程专业贰级及以上注册建造师注册证书，具有有效期内的安全生产考核合格证书（B证）且未担任其他在建工程项目（提供单位出具的项目经理无在建工程承诺书）；</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3.5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pStyle w:val="51"/>
        <w:spacing w:line="360" w:lineRule="auto"/>
        <w:rPr>
          <w:rFonts w:ascii="宋体" w:hAnsi="宋体" w:cs="宋体"/>
          <w:sz w:val="21"/>
          <w:szCs w:val="21"/>
        </w:rPr>
      </w:pPr>
      <w:r>
        <w:rPr>
          <w:rFonts w:hint="eastAsia" w:ascii="宋体" w:hAnsi="宋体" w:cs="宋体"/>
          <w:sz w:val="21"/>
          <w:szCs w:val="21"/>
        </w:rPr>
        <w:t xml:space="preserve">    3.6、提供经中国人民银行备案的第三方征信机构出具的有效期内（未注明有效期的，自信用报告出具之日起有效期不得超过二年，如2018年10月1日出具的信用报告，信用报告上未体现有效期的，有效期截止2020年9月30日）的信用报告，且信用等级达到A级及以上；并提供出具该信用报告的第三方征信机构在中国人民银行备案的证明材料；</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3.7、供应商及其法定代表人、委托代理人、项目经理均无行贿犯罪记录（提供无行贿犯罪记录承诺书）。</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3.8 本项目不接受联合体参与磋商。</w:t>
      </w:r>
    </w:p>
    <w:p>
      <w:pPr>
        <w:pStyle w:val="51"/>
        <w:spacing w:line="360" w:lineRule="auto"/>
        <w:rPr>
          <w:rFonts w:ascii="宋体" w:hAnsi="宋体" w:cs="宋体"/>
          <w:b/>
          <w:bCs/>
          <w:sz w:val="21"/>
          <w:szCs w:val="21"/>
        </w:rPr>
      </w:pPr>
      <w:r>
        <w:rPr>
          <w:rFonts w:hint="eastAsia" w:ascii="宋体" w:hAnsi="宋体" w:cs="宋体"/>
          <w:b/>
          <w:bCs/>
          <w:sz w:val="21"/>
          <w:szCs w:val="21"/>
        </w:rPr>
        <w:t>注：单位负责人为同一人或者存在直接控股、管理关系的不同单位，不得同时对该项目进行磋商。</w:t>
      </w:r>
    </w:p>
    <w:p>
      <w:pPr>
        <w:pStyle w:val="51"/>
        <w:spacing w:line="360" w:lineRule="auto"/>
        <w:rPr>
          <w:rFonts w:ascii="宋体" w:hAnsi="宋体" w:cs="宋体"/>
          <w:b/>
          <w:bCs/>
          <w:sz w:val="21"/>
          <w:szCs w:val="21"/>
        </w:rPr>
      </w:pPr>
      <w:r>
        <w:rPr>
          <w:rFonts w:hint="eastAsia" w:ascii="宋体" w:hAnsi="宋体" w:cs="宋体"/>
          <w:b/>
          <w:bCs/>
          <w:sz w:val="21"/>
          <w:szCs w:val="21"/>
        </w:rPr>
        <w:t>四、获取磋商文件的时间、方式</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4.1、获取磋商文件时间：2022年</w:t>
      </w:r>
      <w:r>
        <w:rPr>
          <w:rFonts w:hint="eastAsia" w:ascii="宋体" w:hAnsi="宋体" w:cs="宋体"/>
          <w:sz w:val="21"/>
          <w:szCs w:val="21"/>
          <w:u w:val="single"/>
        </w:rPr>
        <w:t>4</w:t>
      </w:r>
      <w:r>
        <w:rPr>
          <w:rFonts w:hint="eastAsia" w:ascii="宋体" w:hAnsi="宋体" w:cs="宋体"/>
          <w:sz w:val="21"/>
          <w:szCs w:val="21"/>
        </w:rPr>
        <w:t>月</w:t>
      </w:r>
      <w:r>
        <w:rPr>
          <w:rFonts w:hint="eastAsia" w:ascii="宋体" w:hAnsi="宋体" w:cs="宋体"/>
          <w:sz w:val="21"/>
          <w:szCs w:val="21"/>
          <w:u w:val="single"/>
        </w:rPr>
        <w:t>27</w:t>
      </w:r>
      <w:r>
        <w:rPr>
          <w:rFonts w:hint="eastAsia" w:ascii="宋体" w:hAnsi="宋体" w:cs="宋体"/>
          <w:sz w:val="21"/>
          <w:szCs w:val="21"/>
        </w:rPr>
        <w:t>日至2022年</w:t>
      </w:r>
      <w:r>
        <w:rPr>
          <w:rFonts w:hint="eastAsia" w:ascii="宋体" w:hAnsi="宋体" w:cs="宋体"/>
          <w:sz w:val="21"/>
          <w:szCs w:val="21"/>
          <w:u w:val="single"/>
        </w:rPr>
        <w:t xml:space="preserve"> 5 </w:t>
      </w:r>
      <w:r>
        <w:rPr>
          <w:rFonts w:hint="eastAsia" w:ascii="宋体" w:hAnsi="宋体" w:cs="宋体"/>
          <w:sz w:val="21"/>
          <w:szCs w:val="21"/>
        </w:rPr>
        <w:t>月</w:t>
      </w:r>
      <w:r>
        <w:rPr>
          <w:rFonts w:hint="eastAsia" w:ascii="宋体" w:hAnsi="宋体" w:cs="宋体"/>
          <w:sz w:val="21"/>
          <w:szCs w:val="21"/>
          <w:u w:val="single"/>
        </w:rPr>
        <w:t xml:space="preserve"> 7 </w:t>
      </w:r>
      <w:r>
        <w:rPr>
          <w:rFonts w:hint="eastAsia" w:ascii="宋体" w:hAnsi="宋体" w:cs="宋体"/>
          <w:sz w:val="21"/>
          <w:szCs w:val="21"/>
        </w:rPr>
        <w:t>日（北京时间）。</w:t>
      </w:r>
    </w:p>
    <w:p>
      <w:pPr>
        <w:spacing w:line="360" w:lineRule="auto"/>
        <w:ind w:firstLine="420" w:firstLineChars="200"/>
        <w:rPr>
          <w:b/>
          <w:bCs/>
          <w:szCs w:val="21"/>
        </w:rPr>
      </w:pPr>
      <w:r>
        <w:rPr>
          <w:rFonts w:hint="eastAsia" w:ascii="宋体" w:hAnsi="宋体" w:cs="宋体"/>
          <w:szCs w:val="21"/>
        </w:rPr>
        <w:t>4.2、获取磋商文件</w:t>
      </w:r>
      <w:r>
        <w:rPr>
          <w:rFonts w:hint="eastAsia" w:ascii="宋体" w:hAnsi="宋体" w:cs="宋体"/>
          <w:kern w:val="0"/>
          <w:szCs w:val="21"/>
          <w:shd w:val="clear" w:color="auto" w:fill="FFFFFF"/>
        </w:rPr>
        <w:t>方式：登陆武陟县公共资源交易中心网，进入焦作市公共资源交易中心网站会员系统进行网上下载。未在规定时间内通过规定方式下载磋商文件的供应商，其响应文件将被拒绝。</w:t>
      </w:r>
    </w:p>
    <w:p>
      <w:pPr>
        <w:widowControl/>
        <w:shd w:val="clear" w:color="auto" w:fill="FFFFFF"/>
        <w:spacing w:line="360" w:lineRule="auto"/>
        <w:ind w:firstLine="420" w:firstLineChars="200"/>
        <w:jc w:val="left"/>
        <w:rPr>
          <w:rFonts w:ascii="宋体" w:hAnsi="宋体" w:cs="宋体"/>
          <w:b/>
          <w:bCs/>
          <w:kern w:val="0"/>
          <w:szCs w:val="21"/>
          <w:shd w:val="clear" w:color="auto" w:fill="FFFFFF"/>
        </w:rPr>
      </w:pPr>
      <w:bookmarkStart w:id="3" w:name="_Toc13067"/>
      <w:r>
        <w:rPr>
          <w:rFonts w:hint="eastAsia" w:ascii="宋体" w:hAnsi="宋体" w:cs="宋体"/>
          <w:b/>
          <w:bCs/>
          <w:kern w:val="0"/>
          <w:szCs w:val="21"/>
          <w:shd w:val="clear" w:color="auto" w:fill="FFFFFF"/>
        </w:rPr>
        <w:t>特别提醒：下载文件前请到焦作市公共资源交易中心官网首页---下载中心--下载《焦作市电子招投标系统操作手册》，按要求进行网上下载.</w:t>
      </w:r>
    </w:p>
    <w:p>
      <w:pPr>
        <w:widowControl/>
        <w:shd w:val="clear" w:color="auto" w:fill="FFFFFF"/>
        <w:spacing w:line="360" w:lineRule="auto"/>
        <w:jc w:val="left"/>
        <w:rPr>
          <w:rFonts w:ascii="宋体" w:hAnsi="宋体" w:cs="宋体"/>
          <w:kern w:val="0"/>
          <w:szCs w:val="21"/>
          <w:shd w:val="clear" w:color="auto" w:fill="FFFFFF"/>
        </w:rPr>
      </w:pPr>
      <w:r>
        <w:rPr>
          <w:rFonts w:hint="eastAsia" w:ascii="宋体" w:hAnsi="宋体" w:cs="宋体"/>
          <w:b/>
          <w:bCs/>
          <w:kern w:val="0"/>
          <w:szCs w:val="21"/>
          <w:shd w:val="clear" w:color="auto" w:fill="FFFFFF"/>
        </w:rPr>
        <w:t>五、发布公告的媒介</w:t>
      </w:r>
      <w:bookmarkEnd w:id="3"/>
    </w:p>
    <w:p>
      <w:pPr>
        <w:spacing w:line="360" w:lineRule="auto"/>
        <w:ind w:firstLine="420" w:firstLineChars="200"/>
        <w:rPr>
          <w:rFonts w:ascii="宋体" w:hAnsi="宋体" w:cs="宋体"/>
          <w:szCs w:val="21"/>
        </w:rPr>
      </w:pPr>
      <w:r>
        <w:rPr>
          <w:rFonts w:hint="eastAsia" w:ascii="宋体" w:hAnsi="宋体" w:cs="宋体"/>
          <w:szCs w:val="21"/>
        </w:rPr>
        <w:t>本次磋商公告同时在《中国招标投标公共服务平台》、《河南省电子招标投标公共服务平台》、《河南省政府采购网》、《焦作市公共资源交易中心网》、《武陟县公共资源交易中心网》及武陟县公共资源交易中心大屏幕上发布。</w:t>
      </w:r>
    </w:p>
    <w:p>
      <w:pPr>
        <w:widowControl/>
        <w:shd w:val="clear" w:color="auto" w:fill="FFFFFF"/>
        <w:spacing w:line="360" w:lineRule="auto"/>
        <w:jc w:val="left"/>
        <w:rPr>
          <w:rFonts w:ascii="宋体" w:hAnsi="宋体" w:cs="宋体"/>
          <w:b/>
          <w:bCs/>
          <w:kern w:val="0"/>
          <w:szCs w:val="21"/>
          <w:shd w:val="clear" w:color="auto" w:fill="FFFFFF"/>
        </w:rPr>
      </w:pPr>
      <w:r>
        <w:rPr>
          <w:rFonts w:hint="eastAsia" w:ascii="宋体" w:hAnsi="宋体" w:cs="宋体"/>
          <w:b/>
          <w:bCs/>
          <w:kern w:val="0"/>
          <w:szCs w:val="21"/>
          <w:shd w:val="clear" w:color="auto" w:fill="FFFFFF"/>
        </w:rPr>
        <w:t>六、响应文件递交信息</w:t>
      </w:r>
    </w:p>
    <w:p>
      <w:pPr>
        <w:spacing w:line="360" w:lineRule="auto"/>
        <w:ind w:firstLine="420" w:firstLineChars="200"/>
        <w:rPr>
          <w:rFonts w:ascii="宋体" w:hAnsi="宋体" w:cs="宋体"/>
          <w:szCs w:val="21"/>
        </w:rPr>
      </w:pPr>
      <w:r>
        <w:rPr>
          <w:rFonts w:hint="eastAsia" w:ascii="宋体" w:hAnsi="宋体" w:cs="宋体"/>
          <w:szCs w:val="21"/>
        </w:rPr>
        <w:t>6.1、响应文件递交截止时间：2022年5月11日09:00:00。</w:t>
      </w:r>
    </w:p>
    <w:p>
      <w:pPr>
        <w:spacing w:line="360" w:lineRule="auto"/>
        <w:ind w:firstLine="420" w:firstLineChars="200"/>
        <w:rPr>
          <w:rFonts w:ascii="宋体" w:hAnsi="宋体" w:cs="宋体"/>
          <w:szCs w:val="21"/>
        </w:rPr>
      </w:pPr>
      <w:r>
        <w:rPr>
          <w:rFonts w:hint="eastAsia" w:ascii="宋体" w:hAnsi="宋体" w:cs="宋体"/>
          <w:szCs w:val="21"/>
        </w:rPr>
        <w:t>6.2、响应文件递交方式：网上提交，加密电子响应文件须在焦作市公共资源交易中心电子交易平台中加密上传，上传时必须得到电脑“上传成功”的确认回复后方为上传成功。</w:t>
      </w:r>
    </w:p>
    <w:p>
      <w:pPr>
        <w:spacing w:line="360" w:lineRule="auto"/>
        <w:ind w:firstLine="420" w:firstLineChars="200"/>
        <w:rPr>
          <w:rFonts w:ascii="宋体" w:hAnsi="宋体" w:cs="宋体"/>
          <w:szCs w:val="21"/>
        </w:rPr>
      </w:pPr>
      <w:r>
        <w:rPr>
          <w:rFonts w:hint="eastAsia" w:ascii="宋体" w:hAnsi="宋体" w:cs="宋体"/>
          <w:szCs w:val="21"/>
        </w:rPr>
        <w:t>6.3 逾期上传或者未按要求解密响应文件，采购人不予受理。</w:t>
      </w:r>
    </w:p>
    <w:p>
      <w:pPr>
        <w:widowControl/>
        <w:shd w:val="clear" w:color="auto" w:fill="FFFFFF"/>
        <w:spacing w:line="360" w:lineRule="auto"/>
        <w:jc w:val="left"/>
        <w:rPr>
          <w:rFonts w:ascii="宋体" w:hAnsi="宋体" w:cs="宋体"/>
          <w:b/>
          <w:bCs/>
          <w:kern w:val="0"/>
          <w:szCs w:val="21"/>
          <w:shd w:val="clear" w:color="auto" w:fill="FFFFFF"/>
        </w:rPr>
      </w:pPr>
      <w:r>
        <w:rPr>
          <w:rFonts w:hint="eastAsia" w:ascii="宋体" w:hAnsi="宋体" w:cs="宋体"/>
          <w:b/>
          <w:bCs/>
          <w:kern w:val="0"/>
          <w:szCs w:val="21"/>
          <w:shd w:val="clear" w:color="auto" w:fill="FFFFFF"/>
        </w:rPr>
        <w:t>七、磋商时间及地点</w:t>
      </w:r>
    </w:p>
    <w:p>
      <w:pPr>
        <w:spacing w:line="360" w:lineRule="auto"/>
        <w:ind w:firstLine="420" w:firstLineChars="200"/>
        <w:rPr>
          <w:rFonts w:ascii="宋体" w:hAnsi="宋体" w:cs="宋体"/>
          <w:szCs w:val="21"/>
        </w:rPr>
      </w:pPr>
      <w:r>
        <w:rPr>
          <w:rFonts w:hint="eastAsia" w:ascii="宋体" w:hAnsi="宋体" w:cs="宋体"/>
          <w:szCs w:val="21"/>
        </w:rPr>
        <w:t>7.1、磋商时间：同响应文件递交截止时间。</w:t>
      </w:r>
    </w:p>
    <w:p>
      <w:pPr>
        <w:spacing w:line="360" w:lineRule="auto"/>
        <w:ind w:firstLine="420" w:firstLineChars="200"/>
        <w:rPr>
          <w:rFonts w:ascii="宋体" w:hAnsi="宋体"/>
          <w:szCs w:val="21"/>
        </w:rPr>
      </w:pPr>
      <w:r>
        <w:rPr>
          <w:rFonts w:hint="eastAsia" w:ascii="宋体" w:hAnsi="宋体" w:cs="宋体"/>
          <w:szCs w:val="21"/>
        </w:rPr>
        <w:t>7.2、磋商地点：武陟县公共资源交易中心开标一厅</w:t>
      </w:r>
    </w:p>
    <w:p>
      <w:pPr>
        <w:pStyle w:val="51"/>
        <w:spacing w:line="360" w:lineRule="auto"/>
        <w:rPr>
          <w:sz w:val="21"/>
          <w:szCs w:val="21"/>
        </w:rPr>
      </w:pPr>
      <w:r>
        <w:rPr>
          <w:rFonts w:hint="eastAsia"/>
          <w:b/>
          <w:bCs/>
          <w:sz w:val="21"/>
          <w:szCs w:val="21"/>
        </w:rPr>
        <w:t>八、 特别提醒：</w:t>
      </w:r>
      <w:r>
        <w:rPr>
          <w:rFonts w:hint="eastAsia"/>
          <w:sz w:val="21"/>
          <w:szCs w:val="21"/>
        </w:rPr>
        <w:t>本项目采用远程不见面开标和全程电子评标方式，潜在供应商可提前在焦作市交易中心官网首页---下载中心--下载</w:t>
      </w:r>
      <w:r>
        <w:rPr>
          <w:rFonts w:hint="eastAsia"/>
          <w:sz w:val="21"/>
          <w:szCs w:val="21"/>
          <w:shd w:val="clear" w:color="auto" w:fill="FFFFFF"/>
        </w:rPr>
        <w:t>《</w:t>
      </w:r>
      <w:r>
        <w:rPr>
          <w:rFonts w:hint="eastAsia"/>
          <w:sz w:val="21"/>
          <w:szCs w:val="21"/>
        </w:rPr>
        <w:t>投标单位操作手册及视频》和新点投标文件制作软件等，查看操作说明，按要求进行响应文件制作和上传等。为避免网络拥堵等不可控因素影响响应文件的上传，请提前上传响应文件，并在开标截止时间前登录不见面开标大厅进行签到，按要求解密响应文件。响应文件的递交方式详见</w:t>
      </w:r>
      <w:r>
        <w:rPr>
          <w:rFonts w:hint="eastAsia" w:ascii="宋体" w:hAnsi="Times New Roman" w:cs="宋体"/>
          <w:sz w:val="21"/>
          <w:szCs w:val="21"/>
        </w:rPr>
        <w:t>竞争性</w:t>
      </w:r>
      <w:r>
        <w:rPr>
          <w:rFonts w:hint="eastAsia"/>
          <w:sz w:val="21"/>
          <w:szCs w:val="21"/>
        </w:rPr>
        <w:t>磋商文件前附表。因文件未及时上传导致投标失败的责任由供应商自行承担。</w:t>
      </w:r>
    </w:p>
    <w:p>
      <w:pPr>
        <w:pStyle w:val="51"/>
        <w:spacing w:line="360" w:lineRule="auto"/>
        <w:ind w:firstLine="420" w:firstLineChars="200"/>
        <w:rPr>
          <w:sz w:val="21"/>
          <w:szCs w:val="21"/>
        </w:rPr>
      </w:pPr>
      <w:r>
        <w:rPr>
          <w:rFonts w:hint="eastAsia"/>
          <w:sz w:val="21"/>
          <w:szCs w:val="21"/>
        </w:rPr>
        <w:t>技术支持请联系：平台统一技术服务电话为：</w:t>
      </w:r>
      <w:r>
        <w:rPr>
          <w:rFonts w:hint="eastAsia" w:ascii="宋体" w:hAnsi="Times New Roman" w:cs="宋体"/>
          <w:sz w:val="21"/>
          <w:szCs w:val="21"/>
        </w:rPr>
        <w:t>400-998-0000</w:t>
      </w:r>
    </w:p>
    <w:p>
      <w:pPr>
        <w:pStyle w:val="51"/>
        <w:spacing w:line="360" w:lineRule="auto"/>
        <w:ind w:firstLine="420" w:firstLineChars="200"/>
        <w:rPr>
          <w:sz w:val="21"/>
          <w:szCs w:val="21"/>
        </w:rPr>
      </w:pPr>
      <w:r>
        <w:rPr>
          <w:rFonts w:hint="eastAsia"/>
          <w:sz w:val="21"/>
          <w:szCs w:val="21"/>
        </w:rPr>
        <w:t>清单造价技术问题请联系：姜工：</w:t>
      </w:r>
      <w:r>
        <w:rPr>
          <w:rFonts w:hint="eastAsia" w:ascii="宋体" w:hAnsi="Times New Roman" w:cs="宋体"/>
          <w:sz w:val="21"/>
          <w:szCs w:val="21"/>
        </w:rPr>
        <w:t>13462813583</w:t>
      </w:r>
    </w:p>
    <w:p>
      <w:pPr>
        <w:pStyle w:val="51"/>
        <w:spacing w:line="360" w:lineRule="auto"/>
        <w:ind w:firstLine="420" w:firstLineChars="200"/>
        <w:rPr>
          <w:sz w:val="21"/>
          <w:szCs w:val="21"/>
        </w:rPr>
      </w:pPr>
      <w:r>
        <w:rPr>
          <w:rFonts w:hint="eastAsia"/>
          <w:sz w:val="21"/>
          <w:szCs w:val="21"/>
        </w:rPr>
        <w:t>服务时间：周一至周日</w:t>
      </w:r>
      <w:r>
        <w:rPr>
          <w:rFonts w:hint="eastAsia" w:ascii="宋体" w:hAnsi="Times New Roman" w:cs="宋体"/>
          <w:sz w:val="21"/>
          <w:szCs w:val="21"/>
        </w:rPr>
        <w:t>08:00-17:30</w:t>
      </w:r>
    </w:p>
    <w:p>
      <w:pPr>
        <w:widowControl/>
        <w:shd w:val="clear" w:color="auto" w:fill="FFFFFF"/>
        <w:spacing w:line="360" w:lineRule="auto"/>
        <w:jc w:val="left"/>
      </w:pPr>
      <w:r>
        <w:rPr>
          <w:rFonts w:hint="eastAsia" w:ascii="宋体" w:hAnsi="宋体" w:cs="宋体"/>
          <w:b/>
          <w:bCs/>
          <w:kern w:val="0"/>
          <w:szCs w:val="21"/>
          <w:shd w:val="clear" w:color="auto" w:fill="FFFFFF"/>
        </w:rPr>
        <w:t>九、本次磋商联系事项</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1.采购人信息</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名 称：武陟县小董乡卫生院</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地址：武陟县西大街小董乡</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联系人：刘先生</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联系方式：0391-7448266</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2.采购代理机构信息</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 xml:space="preserve">名 称：河南申鑫工程管理有限公司 </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地　址：北环路民主北路丁字口西北角EGO人力大厦209</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联系人：胡女士</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联系方式：0391-</w:t>
      </w:r>
      <w:r>
        <w:rPr>
          <w:rFonts w:ascii="宋体" w:hAnsi="宋体" w:cs="宋体"/>
          <w:kern w:val="0"/>
          <w:szCs w:val="21"/>
          <w:shd w:val="clear" w:color="auto" w:fill="FFFFFF"/>
        </w:rPr>
        <w:t>7289831</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3.监督部门：武陟县政府采购管理办公室</w:t>
      </w:r>
    </w:p>
    <w:p>
      <w:pPr>
        <w:spacing w:line="360" w:lineRule="auto"/>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 xml:space="preserve">联系方式：0391-7290461  </w:t>
      </w:r>
    </w:p>
    <w:p>
      <w:pPr>
        <w:pStyle w:val="51"/>
        <w:spacing w:line="360" w:lineRule="auto"/>
        <w:jc w:val="right"/>
        <w:rPr>
          <w:sz w:val="21"/>
          <w:szCs w:val="21"/>
        </w:rPr>
      </w:pPr>
    </w:p>
    <w:p>
      <w:pPr>
        <w:pStyle w:val="52"/>
      </w:pPr>
    </w:p>
    <w:p>
      <w:pPr>
        <w:pStyle w:val="51"/>
        <w:spacing w:line="360" w:lineRule="auto"/>
        <w:jc w:val="right"/>
        <w:rPr>
          <w:sz w:val="21"/>
          <w:szCs w:val="21"/>
        </w:rPr>
      </w:pPr>
      <w:r>
        <w:rPr>
          <w:rFonts w:hint="eastAsia"/>
          <w:sz w:val="21"/>
          <w:szCs w:val="21"/>
        </w:rPr>
        <w:t>武陟县小董乡卫生院</w:t>
      </w:r>
    </w:p>
    <w:p>
      <w:pPr>
        <w:pStyle w:val="51"/>
        <w:spacing w:line="360" w:lineRule="auto"/>
        <w:jc w:val="right"/>
        <w:rPr>
          <w:sz w:val="21"/>
          <w:szCs w:val="21"/>
        </w:rPr>
      </w:pPr>
      <w:r>
        <w:rPr>
          <w:rFonts w:hint="eastAsia"/>
          <w:sz w:val="21"/>
          <w:szCs w:val="21"/>
        </w:rPr>
        <w:t xml:space="preserve">河南申鑫工程管理有限公司 </w:t>
      </w:r>
    </w:p>
    <w:p>
      <w:pPr>
        <w:jc w:val="right"/>
        <w:rPr>
          <w:sz w:val="24"/>
          <w:szCs w:val="24"/>
        </w:rPr>
      </w:pPr>
      <w:r>
        <w:rPr>
          <w:rFonts w:hint="eastAsia" w:ascii="宋体" w:hAnsi="宋体" w:cs="宋体"/>
          <w:kern w:val="0"/>
          <w:szCs w:val="21"/>
          <w:shd w:val="clear" w:color="auto" w:fill="FFFFFF"/>
        </w:rPr>
        <w:t>2022年4月27日</w:t>
      </w:r>
    </w:p>
    <w:p>
      <w:pPr>
        <w:pStyle w:val="51"/>
        <w:spacing w:line="360" w:lineRule="auto"/>
        <w:jc w:val="right"/>
        <w:rPr>
          <w:rFonts w:ascii="宋体" w:hAnsi="宋体"/>
          <w:b/>
          <w:bCs/>
          <w:kern w:val="36"/>
          <w:sz w:val="32"/>
          <w:szCs w:val="32"/>
        </w:rPr>
      </w:pPr>
      <w:r>
        <w:rPr>
          <w:rFonts w:hint="eastAsia" w:ascii="宋体" w:hAnsi="宋体"/>
          <w:b/>
          <w:bCs/>
          <w:kern w:val="36"/>
          <w:sz w:val="32"/>
          <w:szCs w:val="32"/>
        </w:rPr>
        <w:br w:type="page"/>
      </w:r>
    </w:p>
    <w:p>
      <w:pPr>
        <w:pStyle w:val="4"/>
        <w:spacing w:before="0" w:after="0" w:line="360" w:lineRule="auto"/>
        <w:rPr>
          <w:sz w:val="32"/>
          <w:szCs w:val="32"/>
        </w:rPr>
      </w:pPr>
      <w:bookmarkStart w:id="4" w:name="_Toc7105"/>
      <w:r>
        <w:rPr>
          <w:rFonts w:hint="eastAsia"/>
          <w:sz w:val="32"/>
          <w:szCs w:val="32"/>
        </w:rPr>
        <w:t xml:space="preserve">第二章 </w:t>
      </w:r>
      <w:bookmarkEnd w:id="2"/>
      <w:r>
        <w:rPr>
          <w:rFonts w:hint="eastAsia"/>
          <w:sz w:val="32"/>
          <w:szCs w:val="32"/>
        </w:rPr>
        <w:t>供应商须知</w:t>
      </w:r>
      <w:bookmarkEnd w:id="4"/>
    </w:p>
    <w:p>
      <w:pPr>
        <w:spacing w:line="360" w:lineRule="auto"/>
        <w:jc w:val="center"/>
        <w:rPr>
          <w:rFonts w:ascii="宋体" w:hAnsi="宋体"/>
          <w:sz w:val="32"/>
          <w:szCs w:val="32"/>
        </w:rPr>
      </w:pPr>
      <w:bookmarkStart w:id="5" w:name="_Toc373230021"/>
      <w:bookmarkStart w:id="6" w:name="_Toc374512408"/>
      <w:bookmarkStart w:id="7" w:name="_Toc22562"/>
      <w:bookmarkStart w:id="8" w:name="_Toc408816341"/>
      <w:bookmarkStart w:id="9" w:name="_Toc420513677"/>
      <w:r>
        <w:rPr>
          <w:rFonts w:hint="eastAsia"/>
          <w:sz w:val="28"/>
          <w:szCs w:val="28"/>
        </w:rPr>
        <w:t>供应商须知前附表</w:t>
      </w:r>
      <w:bookmarkEnd w:id="5"/>
      <w:bookmarkEnd w:id="6"/>
      <w:bookmarkEnd w:id="7"/>
      <w:bookmarkEnd w:id="8"/>
    </w:p>
    <w:tbl>
      <w:tblPr>
        <w:tblStyle w:val="42"/>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900"/>
        <w:gridCol w:w="6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条款号</w:t>
            </w:r>
          </w:p>
        </w:tc>
        <w:tc>
          <w:tcPr>
            <w:tcW w:w="1900" w:type="dxa"/>
            <w:vAlign w:val="center"/>
          </w:tcPr>
          <w:p>
            <w:pPr>
              <w:spacing w:line="360" w:lineRule="auto"/>
              <w:jc w:val="center"/>
              <w:rPr>
                <w:rFonts w:ascii="宋体" w:hAnsi="宋体"/>
                <w:szCs w:val="21"/>
              </w:rPr>
            </w:pPr>
            <w:r>
              <w:rPr>
                <w:rFonts w:hint="eastAsia" w:ascii="宋体" w:hAnsi="宋体"/>
                <w:szCs w:val="21"/>
              </w:rPr>
              <w:t>条款名称</w:t>
            </w:r>
          </w:p>
        </w:tc>
        <w:tc>
          <w:tcPr>
            <w:tcW w:w="6928" w:type="dxa"/>
            <w:vAlign w:val="center"/>
          </w:tcPr>
          <w:p>
            <w:pPr>
              <w:spacing w:line="360" w:lineRule="auto"/>
              <w:jc w:val="center"/>
              <w:rPr>
                <w:rFonts w:ascii="宋体" w:hAnsi="宋体"/>
                <w:szCs w:val="21"/>
              </w:rPr>
            </w:pPr>
            <w:r>
              <w:rPr>
                <w:rFonts w:hint="eastAsia" w:ascii="宋体" w:hAnsi="宋体"/>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w:t>
            </w:r>
          </w:p>
        </w:tc>
        <w:tc>
          <w:tcPr>
            <w:tcW w:w="1900" w:type="dxa"/>
            <w:vAlign w:val="center"/>
          </w:tcPr>
          <w:p>
            <w:pPr>
              <w:spacing w:line="360" w:lineRule="auto"/>
              <w:jc w:val="center"/>
              <w:rPr>
                <w:rFonts w:ascii="宋体" w:hAnsi="宋体"/>
                <w:szCs w:val="21"/>
              </w:rPr>
            </w:pPr>
            <w:r>
              <w:rPr>
                <w:rFonts w:hint="eastAsia" w:ascii="宋体" w:hAnsi="宋体"/>
                <w:szCs w:val="21"/>
              </w:rPr>
              <w:t>采购人</w:t>
            </w:r>
          </w:p>
        </w:tc>
        <w:tc>
          <w:tcPr>
            <w:tcW w:w="6928" w:type="dxa"/>
            <w:vAlign w:val="center"/>
          </w:tcPr>
          <w:p>
            <w:pPr>
              <w:spacing w:line="360" w:lineRule="auto"/>
              <w:jc w:val="left"/>
              <w:rPr>
                <w:rFonts w:ascii="宋体" w:hAnsi="宋体" w:cs="宋体"/>
                <w:szCs w:val="21"/>
              </w:rPr>
            </w:pPr>
            <w:r>
              <w:rPr>
                <w:rFonts w:hint="eastAsia" w:ascii="宋体" w:hAnsi="宋体" w:cs="宋体"/>
                <w:szCs w:val="21"/>
              </w:rPr>
              <w:t>名 称：武陟县小董乡卫生院</w:t>
            </w:r>
          </w:p>
          <w:p>
            <w:pPr>
              <w:spacing w:line="360" w:lineRule="auto"/>
              <w:jc w:val="left"/>
              <w:rPr>
                <w:rFonts w:ascii="宋体" w:hAnsi="宋体" w:cs="宋体"/>
                <w:szCs w:val="21"/>
              </w:rPr>
            </w:pPr>
            <w:r>
              <w:rPr>
                <w:rFonts w:hint="eastAsia" w:ascii="宋体" w:hAnsi="宋体" w:cs="宋体"/>
                <w:szCs w:val="21"/>
              </w:rPr>
              <w:t>地址：武陟县西大街小董乡</w:t>
            </w:r>
          </w:p>
          <w:p>
            <w:pPr>
              <w:spacing w:line="360" w:lineRule="auto"/>
              <w:jc w:val="left"/>
              <w:rPr>
                <w:rFonts w:ascii="宋体" w:hAnsi="宋体" w:cs="宋体"/>
                <w:szCs w:val="21"/>
              </w:rPr>
            </w:pPr>
            <w:r>
              <w:rPr>
                <w:rFonts w:hint="eastAsia" w:ascii="宋体" w:hAnsi="宋体" w:cs="宋体"/>
                <w:szCs w:val="21"/>
              </w:rPr>
              <w:t>联系人：刘先生</w:t>
            </w:r>
          </w:p>
          <w:p>
            <w:pPr>
              <w:spacing w:line="360" w:lineRule="auto"/>
              <w:jc w:val="left"/>
              <w:rPr>
                <w:rFonts w:ascii="宋体" w:hAnsi="宋体" w:cs="宋体"/>
                <w:szCs w:val="21"/>
              </w:rPr>
            </w:pPr>
            <w:r>
              <w:rPr>
                <w:rFonts w:hint="eastAsia" w:ascii="宋体" w:hAnsi="宋体" w:cs="宋体"/>
                <w:szCs w:val="21"/>
              </w:rPr>
              <w:t>联系方式：</w:t>
            </w:r>
            <w:r>
              <w:rPr>
                <w:rFonts w:hint="eastAsia" w:ascii="宋体" w:hAnsi="宋体" w:cs="宋体"/>
                <w:kern w:val="0"/>
                <w:szCs w:val="21"/>
                <w:shd w:val="clear" w:color="auto" w:fill="FFFFFF"/>
              </w:rPr>
              <w:t>0391-7448266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w:t>
            </w:r>
          </w:p>
        </w:tc>
        <w:tc>
          <w:tcPr>
            <w:tcW w:w="1900" w:type="dxa"/>
            <w:vAlign w:val="center"/>
          </w:tcPr>
          <w:p>
            <w:pPr>
              <w:spacing w:line="360" w:lineRule="auto"/>
              <w:jc w:val="center"/>
              <w:rPr>
                <w:rFonts w:ascii="宋体" w:hAnsi="宋体"/>
                <w:szCs w:val="21"/>
              </w:rPr>
            </w:pPr>
            <w:r>
              <w:rPr>
                <w:rFonts w:hint="eastAsia" w:ascii="宋体" w:hAnsi="宋体"/>
                <w:bCs/>
                <w:szCs w:val="21"/>
              </w:rPr>
              <w:t>采购代理机构</w:t>
            </w:r>
          </w:p>
        </w:tc>
        <w:tc>
          <w:tcPr>
            <w:tcW w:w="6928" w:type="dxa"/>
            <w:vAlign w:val="center"/>
          </w:tcPr>
          <w:p>
            <w:pPr>
              <w:spacing w:line="360" w:lineRule="auto"/>
              <w:jc w:val="left"/>
              <w:rPr>
                <w:rFonts w:ascii="宋体" w:hAnsi="宋体" w:cs="宋体"/>
                <w:szCs w:val="21"/>
              </w:rPr>
            </w:pPr>
            <w:r>
              <w:rPr>
                <w:rFonts w:hint="eastAsia" w:ascii="宋体" w:hAnsi="宋体" w:cs="宋体"/>
                <w:szCs w:val="21"/>
              </w:rPr>
              <w:t xml:space="preserve">名 称：河南申鑫工程管理有限公司 </w:t>
            </w:r>
          </w:p>
          <w:p>
            <w:pPr>
              <w:spacing w:line="360" w:lineRule="auto"/>
              <w:jc w:val="left"/>
              <w:rPr>
                <w:rFonts w:ascii="宋体" w:hAnsi="宋体" w:cs="宋体"/>
                <w:szCs w:val="21"/>
              </w:rPr>
            </w:pPr>
            <w:r>
              <w:rPr>
                <w:rFonts w:hint="eastAsia" w:ascii="宋体" w:hAnsi="宋体" w:cs="宋体"/>
                <w:szCs w:val="21"/>
              </w:rPr>
              <w:t>地　址：北环路民主北路丁字口西北角EGO人力大厦209</w:t>
            </w:r>
          </w:p>
          <w:p>
            <w:pPr>
              <w:spacing w:line="360" w:lineRule="auto"/>
              <w:jc w:val="left"/>
              <w:rPr>
                <w:rFonts w:ascii="宋体" w:hAnsi="宋体" w:cs="宋体"/>
                <w:szCs w:val="21"/>
              </w:rPr>
            </w:pPr>
            <w:r>
              <w:rPr>
                <w:rFonts w:hint="eastAsia" w:ascii="宋体" w:hAnsi="宋体" w:cs="宋体"/>
                <w:szCs w:val="21"/>
              </w:rPr>
              <w:t>联系人：胡女士</w:t>
            </w:r>
          </w:p>
          <w:p>
            <w:pPr>
              <w:spacing w:line="360" w:lineRule="auto"/>
              <w:jc w:val="left"/>
              <w:rPr>
                <w:rFonts w:ascii="宋体" w:hAnsi="宋体" w:cs="宋体"/>
                <w:szCs w:val="21"/>
              </w:rPr>
            </w:pPr>
            <w:r>
              <w:rPr>
                <w:rFonts w:hint="eastAsia" w:ascii="宋体" w:hAnsi="宋体" w:cs="宋体"/>
                <w:szCs w:val="21"/>
              </w:rPr>
              <w:t>联系方式：0391-</w:t>
            </w:r>
            <w:r>
              <w:rPr>
                <w:rFonts w:ascii="宋体" w:hAnsi="宋体" w:cs="宋体"/>
                <w:szCs w:val="21"/>
              </w:rPr>
              <w:t>7289831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w:t>
            </w:r>
          </w:p>
        </w:tc>
        <w:tc>
          <w:tcPr>
            <w:tcW w:w="1900" w:type="dxa"/>
            <w:vAlign w:val="center"/>
          </w:tcPr>
          <w:p>
            <w:pPr>
              <w:spacing w:line="360" w:lineRule="auto"/>
              <w:jc w:val="center"/>
              <w:rPr>
                <w:rFonts w:ascii="宋体" w:hAnsi="宋体"/>
                <w:szCs w:val="21"/>
              </w:rPr>
            </w:pPr>
            <w:r>
              <w:rPr>
                <w:rFonts w:hint="eastAsia" w:ascii="宋体" w:hAnsi="宋体"/>
                <w:szCs w:val="21"/>
              </w:rPr>
              <w:t>项目名称</w:t>
            </w:r>
          </w:p>
        </w:tc>
        <w:tc>
          <w:tcPr>
            <w:tcW w:w="6928" w:type="dxa"/>
            <w:vAlign w:val="center"/>
          </w:tcPr>
          <w:p>
            <w:pPr>
              <w:widowControl/>
              <w:spacing w:line="360" w:lineRule="auto"/>
              <w:jc w:val="left"/>
              <w:rPr>
                <w:rFonts w:ascii="宋体" w:hAnsi="宋体"/>
                <w:kern w:val="0"/>
                <w:szCs w:val="21"/>
              </w:rPr>
            </w:pPr>
            <w:r>
              <w:rPr>
                <w:rFonts w:hint="eastAsia" w:ascii="宋体" w:hAnsi="宋体"/>
                <w:kern w:val="0"/>
                <w:szCs w:val="21"/>
              </w:rPr>
              <w:t>武陟县小董乡卫生院灾后恢复重建项目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4</w:t>
            </w:r>
          </w:p>
        </w:tc>
        <w:tc>
          <w:tcPr>
            <w:tcW w:w="1900" w:type="dxa"/>
            <w:vAlign w:val="center"/>
          </w:tcPr>
          <w:p>
            <w:pPr>
              <w:spacing w:line="360" w:lineRule="auto"/>
              <w:jc w:val="center"/>
              <w:rPr>
                <w:rFonts w:ascii="宋体" w:hAnsi="宋体"/>
                <w:szCs w:val="21"/>
              </w:rPr>
            </w:pPr>
            <w:r>
              <w:rPr>
                <w:rFonts w:hint="eastAsia" w:ascii="宋体" w:hAnsi="宋体"/>
                <w:szCs w:val="21"/>
              </w:rPr>
              <w:t>项目地点</w:t>
            </w:r>
          </w:p>
        </w:tc>
        <w:tc>
          <w:tcPr>
            <w:tcW w:w="6928" w:type="dxa"/>
            <w:vAlign w:val="center"/>
          </w:tcPr>
          <w:p>
            <w:pPr>
              <w:spacing w:line="360" w:lineRule="auto"/>
              <w:jc w:val="left"/>
              <w:rPr>
                <w:rFonts w:ascii="宋体" w:hAnsi="宋体"/>
                <w:szCs w:val="21"/>
              </w:rPr>
            </w:pPr>
            <w:r>
              <w:rPr>
                <w:rFonts w:ascii="宋体" w:hAnsi="宋体"/>
                <w:szCs w:val="21"/>
              </w:rPr>
              <w:t>武陟县</w:t>
            </w:r>
            <w:r>
              <w:rPr>
                <w:rFonts w:hint="eastAsia" w:ascii="宋体" w:hAnsi="宋体"/>
                <w:kern w:val="0"/>
                <w:szCs w:val="21"/>
              </w:rPr>
              <w:t>小董乡卫生院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5</w:t>
            </w:r>
          </w:p>
        </w:tc>
        <w:tc>
          <w:tcPr>
            <w:tcW w:w="1900" w:type="dxa"/>
            <w:vAlign w:val="center"/>
          </w:tcPr>
          <w:p>
            <w:pPr>
              <w:spacing w:line="360" w:lineRule="auto"/>
              <w:jc w:val="center"/>
              <w:rPr>
                <w:rFonts w:ascii="宋体" w:hAnsi="宋体"/>
                <w:szCs w:val="21"/>
              </w:rPr>
            </w:pPr>
            <w:r>
              <w:rPr>
                <w:rFonts w:hint="eastAsia" w:ascii="宋体" w:hAnsi="宋体"/>
                <w:szCs w:val="21"/>
              </w:rPr>
              <w:t>项目概况</w:t>
            </w:r>
          </w:p>
        </w:tc>
        <w:tc>
          <w:tcPr>
            <w:tcW w:w="6928" w:type="dxa"/>
            <w:vAlign w:val="center"/>
          </w:tcPr>
          <w:p>
            <w:pPr>
              <w:spacing w:line="360" w:lineRule="auto"/>
              <w:jc w:val="left"/>
              <w:rPr>
                <w:rFonts w:ascii="宋体" w:hAnsi="宋体"/>
                <w:szCs w:val="21"/>
              </w:rPr>
            </w:pPr>
            <w:r>
              <w:rPr>
                <w:rFonts w:hint="eastAsia" w:ascii="宋体" w:hAnsi="宋体" w:cs="宋体"/>
                <w:kern w:val="0"/>
                <w:szCs w:val="21"/>
                <w:shd w:val="clear" w:color="auto" w:fill="FFFFFF"/>
              </w:rPr>
              <w:t>武陟县小董乡卫生院位于武陟县西北角，地处武陟、博爱、焦作高新区三险交界处，占地面积约7000平方米，服务辖区20个行政村4.3万人的医疗救治工作。2021年暴雨洪灾中，武陟县小董乡卫生院因为地势低洼，受损程度严重，严重影响正常公共卫生和业务工作，按照省市灾后重建办要求，本项目为重建，在原旧址上重建一座三层公卫综合楼，建筑面积1980㎡，并对卫生院医疗废水进行净化处理。（具体内容详见图纸及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6</w:t>
            </w:r>
          </w:p>
        </w:tc>
        <w:tc>
          <w:tcPr>
            <w:tcW w:w="1900" w:type="dxa"/>
            <w:vAlign w:val="center"/>
          </w:tcPr>
          <w:p>
            <w:pPr>
              <w:spacing w:line="360" w:lineRule="auto"/>
              <w:jc w:val="center"/>
              <w:rPr>
                <w:rFonts w:ascii="宋体" w:hAnsi="宋体"/>
                <w:szCs w:val="21"/>
              </w:rPr>
            </w:pPr>
            <w:r>
              <w:rPr>
                <w:rFonts w:hint="eastAsia" w:ascii="宋体" w:hAnsi="宋体"/>
                <w:szCs w:val="21"/>
              </w:rPr>
              <w:t>资金来源</w:t>
            </w:r>
          </w:p>
        </w:tc>
        <w:tc>
          <w:tcPr>
            <w:tcW w:w="6928" w:type="dxa"/>
            <w:vAlign w:val="center"/>
          </w:tcPr>
          <w:p>
            <w:pPr>
              <w:spacing w:line="360" w:lineRule="auto"/>
              <w:jc w:val="left"/>
              <w:rPr>
                <w:rFonts w:ascii="宋体" w:hAnsi="宋体"/>
                <w:szCs w:val="21"/>
              </w:rPr>
            </w:pPr>
            <w:r>
              <w:rPr>
                <w:rFonts w:hint="eastAsia" w:ascii="宋体" w:hAnsi="宋体"/>
                <w:szCs w:val="21"/>
              </w:rPr>
              <w:t>财政资金加自筹资金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7</w:t>
            </w:r>
          </w:p>
        </w:tc>
        <w:tc>
          <w:tcPr>
            <w:tcW w:w="1900" w:type="dxa"/>
            <w:vAlign w:val="center"/>
          </w:tcPr>
          <w:p>
            <w:pPr>
              <w:spacing w:line="360" w:lineRule="auto"/>
              <w:jc w:val="center"/>
              <w:rPr>
                <w:rFonts w:ascii="宋体" w:hAnsi="宋体"/>
                <w:szCs w:val="21"/>
              </w:rPr>
            </w:pPr>
            <w:r>
              <w:rPr>
                <w:rFonts w:hint="eastAsia" w:ascii="宋体" w:hAnsi="宋体"/>
                <w:szCs w:val="21"/>
              </w:rPr>
              <w:t>出资比例</w:t>
            </w:r>
          </w:p>
        </w:tc>
        <w:tc>
          <w:tcPr>
            <w:tcW w:w="6928" w:type="dxa"/>
            <w:vAlign w:val="center"/>
          </w:tcPr>
          <w:p>
            <w:pPr>
              <w:spacing w:line="360" w:lineRule="auto"/>
              <w:jc w:val="left"/>
              <w:rPr>
                <w:rFonts w:ascii="宋体" w:hAnsi="宋体"/>
                <w:szCs w:val="21"/>
              </w:rPr>
            </w:pPr>
            <w:r>
              <w:rPr>
                <w:rFonts w:hint="eastAsia" w:ascii="宋体" w:hAnsi="宋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8</w:t>
            </w:r>
          </w:p>
        </w:tc>
        <w:tc>
          <w:tcPr>
            <w:tcW w:w="1900" w:type="dxa"/>
            <w:vAlign w:val="center"/>
          </w:tcPr>
          <w:p>
            <w:pPr>
              <w:spacing w:line="360" w:lineRule="auto"/>
              <w:jc w:val="center"/>
              <w:rPr>
                <w:rFonts w:ascii="宋体" w:hAnsi="宋体"/>
                <w:szCs w:val="21"/>
              </w:rPr>
            </w:pPr>
            <w:r>
              <w:rPr>
                <w:rFonts w:hint="eastAsia" w:ascii="宋体" w:hAnsi="宋体"/>
                <w:szCs w:val="21"/>
              </w:rPr>
              <w:t>资金落实情况</w:t>
            </w:r>
          </w:p>
        </w:tc>
        <w:tc>
          <w:tcPr>
            <w:tcW w:w="6928" w:type="dxa"/>
            <w:vAlign w:val="center"/>
          </w:tcPr>
          <w:p>
            <w:pPr>
              <w:spacing w:line="360" w:lineRule="auto"/>
              <w:jc w:val="left"/>
              <w:rPr>
                <w:rFonts w:ascii="宋体" w:hAnsi="宋体"/>
                <w:szCs w:val="21"/>
              </w:rPr>
            </w:pPr>
            <w:r>
              <w:rPr>
                <w:rFonts w:hint="eastAsia" w:ascii="宋体" w:hAnsi="宋体"/>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9</w:t>
            </w:r>
          </w:p>
        </w:tc>
        <w:tc>
          <w:tcPr>
            <w:tcW w:w="1900" w:type="dxa"/>
            <w:vAlign w:val="center"/>
          </w:tcPr>
          <w:p>
            <w:pPr>
              <w:spacing w:line="360" w:lineRule="auto"/>
              <w:jc w:val="center"/>
              <w:rPr>
                <w:rFonts w:ascii="宋体" w:hAnsi="宋体"/>
                <w:szCs w:val="21"/>
              </w:rPr>
            </w:pPr>
            <w:r>
              <w:rPr>
                <w:rFonts w:hint="eastAsia" w:ascii="宋体" w:hAnsi="宋体"/>
                <w:szCs w:val="21"/>
              </w:rPr>
              <w:t>预算金额</w:t>
            </w:r>
          </w:p>
        </w:tc>
        <w:tc>
          <w:tcPr>
            <w:tcW w:w="6928" w:type="dxa"/>
            <w:vAlign w:val="center"/>
          </w:tcPr>
          <w:p>
            <w:pPr>
              <w:widowControl/>
              <w:spacing w:line="360" w:lineRule="auto"/>
              <w:jc w:val="left"/>
              <w:rPr>
                <w:rFonts w:ascii="宋体" w:hAnsi="宋体"/>
                <w:szCs w:val="21"/>
              </w:rPr>
            </w:pPr>
            <w:r>
              <w:rPr>
                <w:rFonts w:hint="eastAsia" w:ascii="宋体" w:hAnsi="宋体"/>
                <w:szCs w:val="21"/>
              </w:rPr>
              <w:t>396万元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10</w:t>
            </w:r>
          </w:p>
        </w:tc>
        <w:tc>
          <w:tcPr>
            <w:tcW w:w="1900" w:type="dxa"/>
            <w:vAlign w:val="center"/>
          </w:tcPr>
          <w:p>
            <w:pPr>
              <w:spacing w:line="360" w:lineRule="auto"/>
              <w:jc w:val="center"/>
              <w:rPr>
                <w:rFonts w:ascii="宋体" w:hAnsi="宋体"/>
                <w:szCs w:val="21"/>
              </w:rPr>
            </w:pPr>
            <w:r>
              <w:rPr>
                <w:rFonts w:hint="eastAsia" w:ascii="宋体" w:hAnsi="宋体"/>
                <w:szCs w:val="21"/>
              </w:rPr>
              <w:t>磋商范围</w:t>
            </w:r>
          </w:p>
        </w:tc>
        <w:tc>
          <w:tcPr>
            <w:tcW w:w="6928" w:type="dxa"/>
            <w:vAlign w:val="center"/>
          </w:tcPr>
          <w:p>
            <w:pPr>
              <w:widowControl/>
              <w:spacing w:line="360" w:lineRule="auto"/>
              <w:jc w:val="left"/>
              <w:rPr>
                <w:rFonts w:ascii="宋体" w:hAnsi="宋体"/>
                <w:szCs w:val="21"/>
              </w:rPr>
            </w:pPr>
            <w:r>
              <w:rPr>
                <w:rFonts w:hint="eastAsia" w:ascii="宋体" w:hAnsi="宋体" w:cs="宋体"/>
                <w:kern w:val="0"/>
                <w:szCs w:val="21"/>
                <w:shd w:val="clear" w:color="auto" w:fill="FFFFFF"/>
              </w:rPr>
              <w:t>竞争性磋商文件、图纸、工程量清单范围内的所有内容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11</w:t>
            </w:r>
          </w:p>
        </w:tc>
        <w:tc>
          <w:tcPr>
            <w:tcW w:w="1900" w:type="dxa"/>
            <w:vAlign w:val="center"/>
          </w:tcPr>
          <w:p>
            <w:pPr>
              <w:spacing w:line="360" w:lineRule="auto"/>
              <w:jc w:val="center"/>
              <w:rPr>
                <w:rFonts w:ascii="宋体" w:hAnsi="宋体"/>
                <w:szCs w:val="21"/>
              </w:rPr>
            </w:pPr>
            <w:r>
              <w:rPr>
                <w:rFonts w:hint="eastAsia" w:ascii="宋体" w:hAnsi="宋体"/>
                <w:szCs w:val="21"/>
              </w:rPr>
              <w:t>工期</w:t>
            </w:r>
          </w:p>
        </w:tc>
        <w:tc>
          <w:tcPr>
            <w:tcW w:w="6928" w:type="dxa"/>
            <w:vAlign w:val="center"/>
          </w:tcPr>
          <w:p>
            <w:pPr>
              <w:spacing w:line="360" w:lineRule="auto"/>
              <w:jc w:val="left"/>
              <w:rPr>
                <w:rFonts w:ascii="宋体" w:hAnsi="宋体"/>
                <w:szCs w:val="21"/>
              </w:rPr>
            </w:pPr>
            <w:r>
              <w:rPr>
                <w:rFonts w:hint="eastAsia" w:ascii="宋体" w:hAnsi="宋体"/>
                <w:szCs w:val="21"/>
              </w:rPr>
              <w:t>180日历天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12</w:t>
            </w:r>
          </w:p>
        </w:tc>
        <w:tc>
          <w:tcPr>
            <w:tcW w:w="1900" w:type="dxa"/>
            <w:vAlign w:val="center"/>
          </w:tcPr>
          <w:p>
            <w:pPr>
              <w:spacing w:line="360" w:lineRule="auto"/>
              <w:jc w:val="center"/>
              <w:rPr>
                <w:rFonts w:ascii="宋体" w:hAnsi="宋体"/>
                <w:szCs w:val="21"/>
              </w:rPr>
            </w:pPr>
            <w:r>
              <w:rPr>
                <w:rFonts w:hint="eastAsia" w:ascii="宋体" w:hAnsi="宋体"/>
                <w:szCs w:val="21"/>
              </w:rPr>
              <w:t>质量要求</w:t>
            </w:r>
          </w:p>
        </w:tc>
        <w:tc>
          <w:tcPr>
            <w:tcW w:w="6928" w:type="dxa"/>
            <w:vAlign w:val="center"/>
          </w:tcPr>
          <w:p>
            <w:pPr>
              <w:spacing w:line="360" w:lineRule="auto"/>
              <w:jc w:val="left"/>
              <w:rPr>
                <w:rFonts w:ascii="宋体" w:hAnsi="宋体"/>
                <w:szCs w:val="21"/>
              </w:rPr>
            </w:pPr>
            <w:r>
              <w:rPr>
                <w:rFonts w:hint="eastAsia" w:ascii="宋体" w:hAnsi="宋体"/>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13</w:t>
            </w:r>
          </w:p>
        </w:tc>
        <w:tc>
          <w:tcPr>
            <w:tcW w:w="1900" w:type="dxa"/>
            <w:vAlign w:val="center"/>
          </w:tcPr>
          <w:p>
            <w:pPr>
              <w:spacing w:line="360" w:lineRule="auto"/>
              <w:jc w:val="center"/>
              <w:rPr>
                <w:rFonts w:ascii="宋体" w:hAnsi="宋体" w:cs="宋体"/>
                <w:kern w:val="0"/>
                <w:szCs w:val="21"/>
              </w:rPr>
            </w:pPr>
            <w:r>
              <w:rPr>
                <w:rFonts w:hint="eastAsia" w:ascii="宋体" w:hAnsi="宋体" w:cs="宋体"/>
                <w:kern w:val="0"/>
                <w:szCs w:val="21"/>
              </w:rPr>
              <w:t>供应商资质条件、能力和信誉</w:t>
            </w:r>
          </w:p>
        </w:tc>
        <w:tc>
          <w:tcPr>
            <w:tcW w:w="6928" w:type="dxa"/>
            <w:vAlign w:val="center"/>
          </w:tcPr>
          <w:p>
            <w:pPr>
              <w:pStyle w:val="51"/>
              <w:spacing w:line="360" w:lineRule="auto"/>
              <w:ind w:firstLine="420" w:firstLineChars="200"/>
              <w:rPr>
                <w:rFonts w:ascii="宋体" w:hAnsi="宋体" w:cs="宋体"/>
                <w:sz w:val="21"/>
                <w:szCs w:val="21"/>
              </w:rPr>
            </w:pPr>
            <w:r>
              <w:rPr>
                <w:rFonts w:hint="eastAsia" w:ascii="宋体" w:hAnsi="宋体" w:cs="宋体"/>
                <w:sz w:val="21"/>
                <w:szCs w:val="21"/>
              </w:rPr>
              <w:t>3.1.满足《中华人民共和国政府采购法》第二十二条规定；</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3.2.落实政府采购政策满足的资格要求：落实促进中小企业和监狱企业发展扶持政策、促进残疾人就业政府采购政策；</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3.3供应商须具有建筑工程施工总承包叁级及以上资质或建筑工程施工总承包乙级及以上资质，且具备有效期内安全生产许可证，并在人员、设备、资金等方面具有相应的施工能力；</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3.4项目经理须具有建筑工程专业贰级及以上注册建造师注册证书，具有有效期内的安全生产考核合格证书（B证）且未担任其他在建工程项目（提供单位出具的无在建工程承诺书）;</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3.5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pStyle w:val="51"/>
              <w:spacing w:line="360" w:lineRule="auto"/>
              <w:rPr>
                <w:rFonts w:ascii="宋体" w:hAnsi="宋体" w:cs="宋体"/>
                <w:sz w:val="21"/>
                <w:szCs w:val="21"/>
              </w:rPr>
            </w:pPr>
            <w:r>
              <w:rPr>
                <w:rFonts w:hint="eastAsia" w:ascii="宋体" w:hAnsi="宋体" w:cs="宋体"/>
                <w:sz w:val="21"/>
                <w:szCs w:val="21"/>
              </w:rPr>
              <w:t xml:space="preserve">    3.6、提供经中国人民银行备案的第三方征信机构出具的有效期内（未注明有效期的，自信用报告出具之日起有效期不得超过二年，如2018年10月1日出具的信用报告，信用报告上未体现有效期的，有效期截止2020年9月30日）的信用报告，且信用等级达到A级及以上；并提供出具该信用报告的第三方征信机构在中国人民银行备案的证明材料；</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3.7、供应商及其法定代表人、委托代理人、项目经理均无行贿犯罪记录（提供无行贿犯罪记录承诺书）。</w:t>
            </w:r>
          </w:p>
          <w:p>
            <w:pPr>
              <w:pStyle w:val="51"/>
              <w:spacing w:line="360" w:lineRule="auto"/>
              <w:ind w:firstLine="420" w:firstLineChars="200"/>
              <w:rPr>
                <w:rFonts w:ascii="宋体" w:hAnsi="宋体" w:cs="宋体"/>
                <w:sz w:val="21"/>
                <w:szCs w:val="21"/>
              </w:rPr>
            </w:pPr>
            <w:r>
              <w:rPr>
                <w:rFonts w:hint="eastAsia" w:ascii="宋体" w:hAnsi="宋体" w:cs="宋体"/>
                <w:sz w:val="21"/>
                <w:szCs w:val="21"/>
              </w:rPr>
              <w:t>3.8 本项目不接受联合体参与磋商。</w:t>
            </w:r>
          </w:p>
          <w:p>
            <w:pPr>
              <w:spacing w:line="360" w:lineRule="auto"/>
              <w:ind w:firstLine="210" w:firstLineChars="100"/>
              <w:jc w:val="left"/>
              <w:rPr>
                <w:szCs w:val="21"/>
              </w:rPr>
            </w:pPr>
            <w:r>
              <w:rPr>
                <w:rFonts w:hint="eastAsia"/>
                <w:b/>
                <w:bCs/>
                <w:szCs w:val="21"/>
              </w:rPr>
              <w:t>注：单位负责人为同一人或者存在直接控股、管理关系的不同单位，不得同时对该项目进行磋商。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14</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踏勘现场</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15</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磋商预备会</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pStyle w:val="28"/>
              <w:spacing w:line="360" w:lineRule="auto"/>
              <w:jc w:val="center"/>
              <w:rPr>
                <w:rFonts w:ascii="宋体" w:hAnsi="宋体" w:cs="宋体"/>
                <w:sz w:val="21"/>
                <w:szCs w:val="21"/>
              </w:rPr>
            </w:pPr>
            <w:r>
              <w:rPr>
                <w:rFonts w:hint="eastAsia" w:ascii="宋体" w:hAnsi="宋体" w:cs="宋体"/>
                <w:sz w:val="21"/>
                <w:szCs w:val="21"/>
              </w:rPr>
              <w:t>16</w:t>
            </w:r>
          </w:p>
        </w:tc>
        <w:tc>
          <w:tcPr>
            <w:tcW w:w="1900"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供应商提出问题的截止时间</w:t>
            </w:r>
          </w:p>
        </w:tc>
        <w:tc>
          <w:tcPr>
            <w:tcW w:w="6928" w:type="dxa"/>
            <w:vAlign w:val="center"/>
          </w:tcPr>
          <w:p>
            <w:pPr>
              <w:autoSpaceDE w:val="0"/>
              <w:autoSpaceDN w:val="0"/>
              <w:adjustRightInd w:val="0"/>
              <w:spacing w:line="360" w:lineRule="auto"/>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pStyle w:val="28"/>
              <w:spacing w:line="360" w:lineRule="auto"/>
              <w:jc w:val="center"/>
              <w:rPr>
                <w:rFonts w:ascii="宋体" w:hAnsi="宋体" w:cs="宋体"/>
                <w:sz w:val="21"/>
                <w:szCs w:val="21"/>
              </w:rPr>
            </w:pPr>
            <w:r>
              <w:rPr>
                <w:rFonts w:hint="eastAsia" w:ascii="宋体" w:hAnsi="宋体" w:cs="宋体"/>
                <w:sz w:val="21"/>
                <w:szCs w:val="21"/>
              </w:rPr>
              <w:t>17</w:t>
            </w:r>
          </w:p>
        </w:tc>
        <w:tc>
          <w:tcPr>
            <w:tcW w:w="1900"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采购人澄清的时间</w:t>
            </w:r>
          </w:p>
        </w:tc>
        <w:tc>
          <w:tcPr>
            <w:tcW w:w="6928" w:type="dxa"/>
            <w:vAlign w:val="center"/>
          </w:tcPr>
          <w:p>
            <w:pPr>
              <w:autoSpaceDE w:val="0"/>
              <w:autoSpaceDN w:val="0"/>
              <w:adjustRightInd w:val="0"/>
              <w:spacing w:line="360" w:lineRule="auto"/>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18</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分包</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未经采购人许可不允许分包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19</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偏离</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20</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构成磋商文件的其他材料</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磋商文件的补充文件（如有）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21</w:t>
            </w:r>
          </w:p>
        </w:tc>
        <w:tc>
          <w:tcPr>
            <w:tcW w:w="1900"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供应商要求澄清磋商文件的截止时间</w:t>
            </w:r>
          </w:p>
        </w:tc>
        <w:tc>
          <w:tcPr>
            <w:tcW w:w="6928" w:type="dxa"/>
            <w:vAlign w:val="center"/>
          </w:tcPr>
          <w:p>
            <w:pPr>
              <w:autoSpaceDE w:val="0"/>
              <w:autoSpaceDN w:val="0"/>
              <w:adjustRightInd w:val="0"/>
              <w:spacing w:line="360" w:lineRule="auto"/>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22</w:t>
            </w:r>
          </w:p>
        </w:tc>
        <w:tc>
          <w:tcPr>
            <w:tcW w:w="1900" w:type="dxa"/>
            <w:vAlign w:val="center"/>
          </w:tcPr>
          <w:p>
            <w:pPr>
              <w:spacing w:line="360" w:lineRule="auto"/>
              <w:jc w:val="center"/>
              <w:rPr>
                <w:rFonts w:ascii="宋体" w:hAnsi="宋体"/>
                <w:szCs w:val="21"/>
              </w:rPr>
            </w:pPr>
            <w:r>
              <w:rPr>
                <w:rFonts w:hint="eastAsia" w:ascii="宋体" w:hAnsi="宋体"/>
                <w:szCs w:val="21"/>
              </w:rPr>
              <w:t>响应文件递交截止时间</w:t>
            </w:r>
          </w:p>
        </w:tc>
        <w:tc>
          <w:tcPr>
            <w:tcW w:w="6928" w:type="dxa"/>
            <w:vAlign w:val="center"/>
          </w:tcPr>
          <w:p>
            <w:pPr>
              <w:spacing w:line="360" w:lineRule="auto"/>
              <w:jc w:val="left"/>
              <w:rPr>
                <w:rFonts w:ascii="宋体" w:hAnsi="宋体"/>
                <w:szCs w:val="21"/>
              </w:rPr>
            </w:pPr>
            <w:r>
              <w:rPr>
                <w:rFonts w:hint="eastAsia" w:ascii="宋体" w:hAnsi="宋体" w:cs="宋体"/>
                <w:szCs w:val="21"/>
              </w:rPr>
              <w:t>2022年5月11日</w:t>
            </w:r>
            <w:r>
              <w:rPr>
                <w:rFonts w:hint="eastAsia" w:asciiTheme="minorEastAsia" w:hAnsiTheme="minorEastAsia" w:eastAsiaTheme="minorEastAsia" w:cstheme="minorEastAsia"/>
                <w:szCs w:val="21"/>
              </w:rPr>
              <w:t>09:00:00（北京时间，以开标厅电子时钟为准）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23</w:t>
            </w:r>
          </w:p>
        </w:tc>
        <w:tc>
          <w:tcPr>
            <w:tcW w:w="1900" w:type="dxa"/>
            <w:vAlign w:val="center"/>
          </w:tcPr>
          <w:p>
            <w:pPr>
              <w:spacing w:line="360" w:lineRule="auto"/>
              <w:jc w:val="center"/>
              <w:rPr>
                <w:rFonts w:ascii="宋体" w:hAnsi="宋体"/>
                <w:kern w:val="0"/>
                <w:szCs w:val="21"/>
              </w:rPr>
            </w:pPr>
            <w:r>
              <w:rPr>
                <w:rFonts w:hint="eastAsia" w:ascii="宋体" w:hAnsi="宋体"/>
                <w:szCs w:val="21"/>
              </w:rPr>
              <w:t>构成响应文件的其他材料</w:t>
            </w:r>
          </w:p>
        </w:tc>
        <w:tc>
          <w:tcPr>
            <w:tcW w:w="6928" w:type="dxa"/>
            <w:vAlign w:val="center"/>
          </w:tcPr>
          <w:p>
            <w:pPr>
              <w:spacing w:line="360" w:lineRule="auto"/>
              <w:jc w:val="left"/>
              <w:rPr>
                <w:rFonts w:ascii="宋体" w:hAnsi="宋体"/>
                <w:kern w:val="0"/>
                <w:szCs w:val="21"/>
              </w:rPr>
            </w:pPr>
            <w:r>
              <w:rPr>
                <w:rFonts w:hint="eastAsia" w:ascii="宋体"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24</w:t>
            </w:r>
          </w:p>
        </w:tc>
        <w:tc>
          <w:tcPr>
            <w:tcW w:w="1900" w:type="dxa"/>
            <w:vAlign w:val="center"/>
          </w:tcPr>
          <w:p>
            <w:pPr>
              <w:spacing w:line="360" w:lineRule="auto"/>
              <w:jc w:val="center"/>
              <w:rPr>
                <w:rFonts w:ascii="宋体" w:hAnsi="宋体"/>
                <w:szCs w:val="21"/>
              </w:rPr>
            </w:pPr>
            <w:r>
              <w:rPr>
                <w:rFonts w:hint="eastAsia" w:ascii="宋体" w:hAnsi="宋体"/>
                <w:szCs w:val="21"/>
              </w:rPr>
              <w:t>磋商有效期</w:t>
            </w:r>
          </w:p>
        </w:tc>
        <w:tc>
          <w:tcPr>
            <w:tcW w:w="6928" w:type="dxa"/>
            <w:vAlign w:val="center"/>
          </w:tcPr>
          <w:p>
            <w:pPr>
              <w:spacing w:line="360" w:lineRule="auto"/>
              <w:jc w:val="left"/>
              <w:rPr>
                <w:rFonts w:ascii="宋体" w:hAnsi="宋体"/>
                <w:szCs w:val="21"/>
              </w:rPr>
            </w:pPr>
            <w:r>
              <w:rPr>
                <w:rFonts w:ascii="宋体" w:hAnsi="宋体"/>
                <w:szCs w:val="21"/>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25</w:t>
            </w:r>
          </w:p>
        </w:tc>
        <w:tc>
          <w:tcPr>
            <w:tcW w:w="1900" w:type="dxa"/>
            <w:vAlign w:val="center"/>
          </w:tcPr>
          <w:p>
            <w:pPr>
              <w:spacing w:line="360" w:lineRule="auto"/>
              <w:jc w:val="center"/>
              <w:rPr>
                <w:rFonts w:ascii="宋体" w:hAnsi="宋体"/>
                <w:szCs w:val="21"/>
              </w:rPr>
            </w:pPr>
            <w:r>
              <w:rPr>
                <w:rFonts w:hint="eastAsia" w:ascii="宋体" w:hAnsi="宋体"/>
                <w:szCs w:val="21"/>
              </w:rPr>
              <w:t>磋商保证金</w:t>
            </w:r>
          </w:p>
        </w:tc>
        <w:tc>
          <w:tcPr>
            <w:tcW w:w="6928" w:type="dxa"/>
          </w:tcPr>
          <w:p>
            <w:pPr>
              <w:spacing w:line="360" w:lineRule="auto"/>
              <w:jc w:val="left"/>
              <w:rPr>
                <w:rFonts w:ascii="宋体" w:hAnsi="宋体"/>
                <w:szCs w:val="21"/>
              </w:rPr>
            </w:pPr>
            <w:r>
              <w:rPr>
                <w:rFonts w:hint="eastAsia" w:ascii="宋体" w:hAnsi="宋体"/>
                <w:szCs w:val="21"/>
              </w:rPr>
              <w:t>1.磋商保证金的金额：人民币柒万元整，￥70000.00 （暂不缴纳）</w:t>
            </w:r>
          </w:p>
          <w:p>
            <w:pPr>
              <w:spacing w:line="360" w:lineRule="auto"/>
              <w:jc w:val="left"/>
              <w:rPr>
                <w:rFonts w:ascii="宋体" w:hAnsi="宋体"/>
                <w:szCs w:val="21"/>
              </w:rPr>
            </w:pPr>
            <w:r>
              <w:rPr>
                <w:rFonts w:hint="eastAsia" w:ascii="宋体" w:hAnsi="宋体"/>
                <w:szCs w:val="21"/>
              </w:rPr>
              <w:t>2.供应商有下列情形之一的，采购人将追索磋商保证金人民币柒万元整，￥70000.00，并予以没收，供应商应作出相应承诺（承诺书格式见第六章响应文件格式中）：</w:t>
            </w:r>
          </w:p>
          <w:p>
            <w:pPr>
              <w:spacing w:line="360" w:lineRule="auto"/>
              <w:jc w:val="left"/>
              <w:rPr>
                <w:rFonts w:ascii="宋体" w:hAnsi="宋体"/>
                <w:szCs w:val="21"/>
              </w:rPr>
            </w:pPr>
            <w:r>
              <w:rPr>
                <w:rFonts w:hint="eastAsia" w:ascii="宋体" w:hAnsi="宋体"/>
                <w:szCs w:val="21"/>
              </w:rPr>
              <w:t>（1）供应商在提交响应文件截止时间后或磋商有效期内撤回响应文件的；</w:t>
            </w:r>
          </w:p>
          <w:p>
            <w:pPr>
              <w:spacing w:line="360" w:lineRule="auto"/>
              <w:jc w:val="left"/>
              <w:rPr>
                <w:rFonts w:ascii="宋体" w:hAnsi="宋体"/>
                <w:szCs w:val="21"/>
              </w:rPr>
            </w:pPr>
            <w:r>
              <w:rPr>
                <w:rFonts w:hint="eastAsia" w:ascii="宋体" w:hAnsi="宋体"/>
                <w:szCs w:val="21"/>
              </w:rPr>
              <w:t>（2）供应商在响应文件中提供虚假材料的；</w:t>
            </w:r>
          </w:p>
          <w:p>
            <w:pPr>
              <w:spacing w:line="360" w:lineRule="auto"/>
              <w:jc w:val="left"/>
              <w:rPr>
                <w:rFonts w:ascii="宋体" w:hAnsi="宋体"/>
                <w:szCs w:val="21"/>
              </w:rPr>
            </w:pPr>
            <w:r>
              <w:rPr>
                <w:rFonts w:hint="eastAsia" w:ascii="宋体" w:hAnsi="宋体"/>
                <w:szCs w:val="21"/>
              </w:rPr>
              <w:t>（3）除因不可抗力或竞争性磋商文件认可的情形以外，成交供应商不与采购人签订合同的；</w:t>
            </w:r>
          </w:p>
          <w:p>
            <w:pPr>
              <w:spacing w:line="360" w:lineRule="auto"/>
              <w:jc w:val="left"/>
              <w:rPr>
                <w:rFonts w:ascii="宋体" w:hAnsi="宋体"/>
                <w:szCs w:val="21"/>
              </w:rPr>
            </w:pPr>
            <w:r>
              <w:rPr>
                <w:rFonts w:hint="eastAsia" w:ascii="宋体" w:hAnsi="宋体"/>
                <w:szCs w:val="21"/>
              </w:rPr>
              <w:t>（4）供应商与采购人、其他供应商或者采购代理机构恶意串通的。</w:t>
            </w:r>
          </w:p>
          <w:p>
            <w:pPr>
              <w:spacing w:line="360" w:lineRule="auto"/>
              <w:jc w:val="left"/>
            </w:pPr>
            <w:r>
              <w:rPr>
                <w:rFonts w:hint="eastAsia" w:ascii="宋体" w:hAnsi="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26</w:t>
            </w:r>
          </w:p>
        </w:tc>
        <w:tc>
          <w:tcPr>
            <w:tcW w:w="1900" w:type="dxa"/>
            <w:vAlign w:val="center"/>
          </w:tcPr>
          <w:p>
            <w:pPr>
              <w:spacing w:line="360" w:lineRule="auto"/>
              <w:jc w:val="center"/>
              <w:rPr>
                <w:rFonts w:ascii="宋体" w:hAnsi="宋体"/>
                <w:szCs w:val="21"/>
              </w:rPr>
            </w:pPr>
            <w:r>
              <w:rPr>
                <w:rFonts w:hint="eastAsia" w:ascii="宋体" w:hAnsi="宋体"/>
                <w:szCs w:val="21"/>
              </w:rPr>
              <w:t>近年财务状况报告的年份要求</w:t>
            </w:r>
          </w:p>
        </w:tc>
        <w:tc>
          <w:tcPr>
            <w:tcW w:w="6928" w:type="dxa"/>
            <w:vAlign w:val="center"/>
          </w:tcPr>
          <w:p>
            <w:pPr>
              <w:spacing w:line="360" w:lineRule="auto"/>
              <w:jc w:val="left"/>
              <w:rPr>
                <w:rFonts w:ascii="宋体" w:hAnsi="宋体"/>
                <w:szCs w:val="21"/>
              </w:rPr>
            </w:pPr>
            <w:r>
              <w:rPr>
                <w:rFonts w:hint="eastAsia" w:ascii="宋体" w:hAnsi="宋体"/>
                <w:szCs w:val="21"/>
              </w:rPr>
              <w:t>根据焦财采购【2021】8号文要求，符合《符合政府采购法》第二十二条规定的资格条件，按照采购文件约定提供资格承诺，不再提供资质材料，主要包括供应商在响应文件中无需提供营业执照、财务状况报告、依法缴纳税收和社会保障资金、具有履行合同所必需的设备和专业技术能力、参加政府采购活动前三年内在经营活动中没有重大违法记录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27</w:t>
            </w:r>
          </w:p>
        </w:tc>
        <w:tc>
          <w:tcPr>
            <w:tcW w:w="1900" w:type="dxa"/>
            <w:vAlign w:val="center"/>
          </w:tcPr>
          <w:p>
            <w:pPr>
              <w:spacing w:line="360" w:lineRule="auto"/>
              <w:jc w:val="center"/>
              <w:rPr>
                <w:rFonts w:ascii="宋体" w:hAnsi="宋体"/>
                <w:szCs w:val="21"/>
              </w:rPr>
            </w:pPr>
            <w:r>
              <w:rPr>
                <w:rFonts w:hint="eastAsia" w:ascii="宋体" w:hAnsi="宋体"/>
                <w:szCs w:val="21"/>
              </w:rPr>
              <w:t>是否允许递交备选磋商方案</w:t>
            </w:r>
          </w:p>
        </w:tc>
        <w:tc>
          <w:tcPr>
            <w:tcW w:w="6928" w:type="dxa"/>
            <w:vAlign w:val="center"/>
          </w:tcPr>
          <w:p>
            <w:pPr>
              <w:spacing w:line="360" w:lineRule="auto"/>
              <w:jc w:val="left"/>
              <w:rPr>
                <w:rFonts w:ascii="宋体" w:hAnsi="宋体"/>
                <w:szCs w:val="21"/>
              </w:rPr>
            </w:pPr>
            <w:r>
              <w:rPr>
                <w:rFonts w:hint="eastAsia" w:ascii="宋体" w:hAnsi="宋体"/>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28</w:t>
            </w:r>
          </w:p>
        </w:tc>
        <w:tc>
          <w:tcPr>
            <w:tcW w:w="1900" w:type="dxa"/>
            <w:vAlign w:val="center"/>
          </w:tcPr>
          <w:p>
            <w:pPr>
              <w:spacing w:line="360" w:lineRule="auto"/>
              <w:jc w:val="center"/>
              <w:rPr>
                <w:rFonts w:ascii="宋体" w:hAnsi="宋体"/>
                <w:szCs w:val="21"/>
              </w:rPr>
            </w:pPr>
            <w:r>
              <w:rPr>
                <w:rFonts w:hint="eastAsia" w:ascii="宋体" w:hAnsi="宋体"/>
                <w:szCs w:val="21"/>
              </w:rPr>
              <w:t>签字或盖章要求</w:t>
            </w:r>
          </w:p>
        </w:tc>
        <w:tc>
          <w:tcPr>
            <w:tcW w:w="6928" w:type="dxa"/>
            <w:vAlign w:val="center"/>
          </w:tcPr>
          <w:p>
            <w:pPr>
              <w:pStyle w:val="51"/>
              <w:spacing w:line="360" w:lineRule="auto"/>
              <w:jc w:val="left"/>
              <w:rPr>
                <w:rFonts w:ascii="宋体" w:hAnsi="宋体" w:cs="宋体"/>
                <w:sz w:val="21"/>
                <w:szCs w:val="21"/>
              </w:rPr>
            </w:pPr>
            <w:r>
              <w:rPr>
                <w:rFonts w:hint="eastAsia" w:ascii="宋体" w:hAnsi="宋体" w:cs="宋体"/>
                <w:sz w:val="21"/>
                <w:szCs w:val="21"/>
              </w:rPr>
              <w:t>（1）所有要求供应商加盖公章的地方都须加盖供应商单位的 CA 印章。</w:t>
            </w:r>
          </w:p>
          <w:p>
            <w:pPr>
              <w:pStyle w:val="51"/>
              <w:spacing w:line="360" w:lineRule="auto"/>
              <w:jc w:val="left"/>
              <w:rPr>
                <w:rFonts w:ascii="宋体" w:hAnsi="宋体" w:cs="宋体"/>
                <w:sz w:val="21"/>
                <w:szCs w:val="21"/>
              </w:rPr>
            </w:pPr>
            <w:r>
              <w:rPr>
                <w:rFonts w:hint="eastAsia" w:ascii="宋体" w:hAnsi="宋体" w:cs="宋体"/>
                <w:sz w:val="21"/>
                <w:szCs w:val="21"/>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29</w:t>
            </w:r>
          </w:p>
        </w:tc>
        <w:tc>
          <w:tcPr>
            <w:tcW w:w="1900" w:type="dxa"/>
            <w:vAlign w:val="center"/>
          </w:tcPr>
          <w:p>
            <w:pPr>
              <w:spacing w:line="360" w:lineRule="auto"/>
              <w:jc w:val="center"/>
              <w:rPr>
                <w:rFonts w:ascii="宋体" w:hAnsi="宋体"/>
                <w:szCs w:val="21"/>
              </w:rPr>
            </w:pPr>
            <w:r>
              <w:rPr>
                <w:rFonts w:hint="eastAsia" w:ascii="宋体" w:hAnsi="宋体"/>
                <w:szCs w:val="21"/>
              </w:rPr>
              <w:t>响应文件份数</w:t>
            </w:r>
          </w:p>
        </w:tc>
        <w:tc>
          <w:tcPr>
            <w:tcW w:w="6928" w:type="dxa"/>
            <w:vAlign w:val="center"/>
          </w:tcPr>
          <w:p>
            <w:pPr>
              <w:spacing w:line="360" w:lineRule="auto"/>
              <w:ind w:firstLine="420" w:firstLineChars="200"/>
              <w:jc w:val="left"/>
              <w:rPr>
                <w:szCs w:val="21"/>
              </w:rPr>
            </w:pPr>
            <w:r>
              <w:rPr>
                <w:rFonts w:hint="eastAsia"/>
                <w:szCs w:val="21"/>
              </w:rPr>
              <w:t>加密的电子响应文件一份（*.jztf 格式，在会员系统指定位置上传）。自备非加密的电子响应文件一份，如有紧急情况，在不见面开标按要求上传。</w:t>
            </w:r>
          </w:p>
          <w:p>
            <w:pPr>
              <w:spacing w:line="360" w:lineRule="auto"/>
              <w:ind w:firstLine="420" w:firstLineChars="200"/>
              <w:jc w:val="left"/>
              <w:rPr>
                <w:szCs w:val="21"/>
              </w:rPr>
            </w:pPr>
            <w:r>
              <w:rPr>
                <w:rFonts w:hint="eastAsia"/>
                <w:szCs w:val="21"/>
              </w:rPr>
              <w:t>注：本项目磋商时不需要提供纸质响应文件。成交供应商在确定中标后，领取中标通知书时需提供四份使用CA系统打印出来的完整的响应文件递交采购人或采购代理机构（其中，正本一份，副本三份）及不加密格式电子文件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30</w:t>
            </w:r>
          </w:p>
        </w:tc>
        <w:tc>
          <w:tcPr>
            <w:tcW w:w="1900" w:type="dxa"/>
            <w:vAlign w:val="center"/>
          </w:tcPr>
          <w:p>
            <w:pPr>
              <w:spacing w:line="360" w:lineRule="auto"/>
              <w:jc w:val="center"/>
              <w:rPr>
                <w:rFonts w:ascii="宋体" w:hAnsi="宋体"/>
                <w:szCs w:val="21"/>
              </w:rPr>
            </w:pPr>
            <w:r>
              <w:rPr>
                <w:rFonts w:hint="eastAsia" w:ascii="宋体" w:hAnsi="宋体"/>
                <w:szCs w:val="21"/>
              </w:rPr>
              <w:t>是否退还响应文件</w:t>
            </w:r>
          </w:p>
        </w:tc>
        <w:tc>
          <w:tcPr>
            <w:tcW w:w="6928" w:type="dxa"/>
            <w:vAlign w:val="center"/>
          </w:tcPr>
          <w:p>
            <w:pPr>
              <w:spacing w:line="360" w:lineRule="auto"/>
              <w:jc w:val="left"/>
              <w:rPr>
                <w:rFonts w:ascii="宋体" w:hAnsi="宋体"/>
                <w:szCs w:val="21"/>
              </w:rPr>
            </w:pP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31</w:t>
            </w:r>
          </w:p>
        </w:tc>
        <w:tc>
          <w:tcPr>
            <w:tcW w:w="1900" w:type="dxa"/>
            <w:vAlign w:val="center"/>
          </w:tcPr>
          <w:p>
            <w:pPr>
              <w:spacing w:line="360" w:lineRule="auto"/>
              <w:jc w:val="center"/>
              <w:rPr>
                <w:rFonts w:ascii="宋体" w:hAnsi="宋体"/>
                <w:szCs w:val="21"/>
              </w:rPr>
            </w:pPr>
            <w:r>
              <w:rPr>
                <w:rFonts w:hint="eastAsia" w:ascii="宋体" w:hAnsi="宋体"/>
                <w:szCs w:val="21"/>
              </w:rPr>
              <w:t>磋商时间和地点</w:t>
            </w:r>
          </w:p>
        </w:tc>
        <w:tc>
          <w:tcPr>
            <w:tcW w:w="6928" w:type="dxa"/>
            <w:vAlign w:val="center"/>
          </w:tcPr>
          <w:p>
            <w:pPr>
              <w:spacing w:line="360" w:lineRule="auto"/>
              <w:jc w:val="left"/>
              <w:rPr>
                <w:rFonts w:ascii="宋体" w:hAnsi="宋体" w:cs="宋体"/>
                <w:b/>
                <w:kern w:val="0"/>
                <w:szCs w:val="21"/>
              </w:rPr>
            </w:pPr>
            <w:r>
              <w:rPr>
                <w:rFonts w:hint="eastAsia" w:ascii="宋体" w:hAnsi="宋体"/>
                <w:szCs w:val="21"/>
              </w:rPr>
              <w:t>时间：</w:t>
            </w:r>
            <w:r>
              <w:rPr>
                <w:rFonts w:hint="eastAsia" w:ascii="宋体" w:hAnsi="宋体" w:cs="宋体"/>
                <w:szCs w:val="21"/>
              </w:rPr>
              <w:t>2022年5月11日09:00:00</w:t>
            </w:r>
            <w:r>
              <w:rPr>
                <w:rFonts w:hint="eastAsia" w:ascii="宋体" w:hAnsi="宋体" w:cs="宋体"/>
                <w:b/>
                <w:kern w:val="0"/>
                <w:szCs w:val="21"/>
              </w:rPr>
              <w:t>(电子投标文件必须凭制作投标文件所用的CA锁在30分钟内完成解密）</w:t>
            </w:r>
          </w:p>
          <w:p>
            <w:pPr>
              <w:spacing w:line="360" w:lineRule="auto"/>
              <w:jc w:val="left"/>
              <w:rPr>
                <w:rFonts w:ascii="宋体" w:hAnsi="宋体"/>
                <w:szCs w:val="21"/>
              </w:rPr>
            </w:pPr>
            <w:r>
              <w:rPr>
                <w:rFonts w:hint="eastAsia" w:ascii="宋体" w:hAnsi="宋体"/>
                <w:szCs w:val="21"/>
              </w:rPr>
              <w:t>地点：武陟县公共资源交易中心</w:t>
            </w:r>
            <w:r>
              <w:rPr>
                <w:rFonts w:hint="eastAsia" w:ascii="宋体" w:hAnsi="宋体"/>
                <w:szCs w:val="21"/>
                <w:u w:val="single"/>
              </w:rPr>
              <w:t>开标一厅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32</w:t>
            </w:r>
          </w:p>
        </w:tc>
        <w:tc>
          <w:tcPr>
            <w:tcW w:w="1900" w:type="dxa"/>
            <w:vAlign w:val="center"/>
          </w:tcPr>
          <w:p>
            <w:pPr>
              <w:spacing w:line="360" w:lineRule="auto"/>
              <w:jc w:val="center"/>
              <w:rPr>
                <w:rFonts w:ascii="宋体" w:hAnsi="宋体" w:cs="宋体"/>
                <w:szCs w:val="21"/>
              </w:rPr>
            </w:pPr>
            <w:r>
              <w:rPr>
                <w:rFonts w:hint="eastAsia" w:ascii="宋体" w:hAnsi="Times New Roman" w:cs="宋体"/>
                <w:szCs w:val="21"/>
              </w:rPr>
              <w:t>递交响应文件方式</w:t>
            </w:r>
          </w:p>
        </w:tc>
        <w:tc>
          <w:tcPr>
            <w:tcW w:w="6928" w:type="dxa"/>
            <w:vAlign w:val="center"/>
          </w:tcPr>
          <w:p>
            <w:pPr>
              <w:autoSpaceDE w:val="0"/>
              <w:autoSpaceDN w:val="0"/>
              <w:adjustRightInd w:val="0"/>
              <w:spacing w:line="360" w:lineRule="auto"/>
              <w:jc w:val="left"/>
              <w:rPr>
                <w:rFonts w:ascii="宋体" w:hAnsi="Times New Roman" w:cs="宋体"/>
                <w:szCs w:val="21"/>
              </w:rPr>
            </w:pPr>
            <w:r>
              <w:rPr>
                <w:rFonts w:hint="eastAsia" w:ascii="宋体" w:hAnsi="Times New Roman" w:cs="宋体"/>
                <w:szCs w:val="21"/>
              </w:rPr>
              <w:t>本项目采用“远程不见面”开标方式，远程开标大厅网址为</w:t>
            </w:r>
            <w:r>
              <w:rPr>
                <w:rFonts w:ascii="宋体" w:hAnsi="Times New Roman" w:cs="宋体"/>
                <w:szCs w:val="21"/>
              </w:rPr>
              <w:t>http://122.112.246.33/BidOpening/bidopeninghallact</w:t>
            </w:r>
          </w:p>
          <w:p>
            <w:pPr>
              <w:autoSpaceDE w:val="0"/>
              <w:autoSpaceDN w:val="0"/>
              <w:adjustRightInd w:val="0"/>
              <w:spacing w:line="360" w:lineRule="auto"/>
              <w:jc w:val="left"/>
              <w:rPr>
                <w:rFonts w:ascii="宋体" w:hAnsi="Times New Roman" w:cs="宋体"/>
                <w:szCs w:val="21"/>
              </w:rPr>
            </w:pPr>
            <w:r>
              <w:rPr>
                <w:rFonts w:hint="eastAsia" w:ascii="宋体" w:hAnsi="Times New Roman" w:cs="宋体"/>
                <w:szCs w:val="21"/>
              </w:rPr>
              <w:t>ion/hall/login。供应商不需到磋商现场参加磋商会议，不需提交原件资料等。</w:t>
            </w:r>
          </w:p>
          <w:p>
            <w:pPr>
              <w:autoSpaceDE w:val="0"/>
              <w:autoSpaceDN w:val="0"/>
              <w:adjustRightInd w:val="0"/>
              <w:spacing w:line="360" w:lineRule="auto"/>
              <w:jc w:val="left"/>
              <w:rPr>
                <w:rFonts w:ascii="宋体" w:hAnsi="Times New Roman" w:cs="宋体"/>
                <w:szCs w:val="21"/>
              </w:rPr>
            </w:pPr>
            <w:r>
              <w:rPr>
                <w:rFonts w:hint="eastAsia" w:ascii="宋体" w:hAnsi="Times New Roman" w:cs="宋体"/>
                <w:szCs w:val="21"/>
              </w:rPr>
              <w:t>（1）电子响应文件的递交</w:t>
            </w:r>
          </w:p>
          <w:p>
            <w:pPr>
              <w:autoSpaceDE w:val="0"/>
              <w:autoSpaceDN w:val="0"/>
              <w:adjustRightInd w:val="0"/>
              <w:spacing w:line="360" w:lineRule="auto"/>
              <w:jc w:val="left"/>
              <w:rPr>
                <w:rFonts w:ascii="宋体" w:hAnsi="Times New Roman" w:cs="宋体"/>
                <w:szCs w:val="21"/>
              </w:rPr>
            </w:pPr>
            <w:r>
              <w:rPr>
                <w:rFonts w:hint="eastAsia" w:ascii="宋体" w:hAnsi="Times New Roman" w:cs="宋体"/>
                <w:szCs w:val="21"/>
              </w:rPr>
              <w:t>a、各供应商应在响应文件递交截止时间前上传加密的电子响应文件（.jztf 格式）到会员系统的指定位置。上传时必须得到电脑“上传成功”的确认回复。请供应商在上传时认真检查上传响应文件是否完整、正确。</w:t>
            </w:r>
          </w:p>
          <w:p>
            <w:pPr>
              <w:autoSpaceDE w:val="0"/>
              <w:autoSpaceDN w:val="0"/>
              <w:adjustRightInd w:val="0"/>
              <w:spacing w:line="360" w:lineRule="auto"/>
              <w:jc w:val="left"/>
              <w:rPr>
                <w:rFonts w:ascii="宋体" w:hAnsi="Times New Roman" w:cs="宋体"/>
                <w:szCs w:val="21"/>
              </w:rPr>
            </w:pPr>
            <w:r>
              <w:rPr>
                <w:rFonts w:hint="eastAsia" w:ascii="宋体" w:hAnsi="Times New Roman" w:cs="宋体"/>
                <w:szCs w:val="21"/>
              </w:rPr>
              <w:t>b、如系统故故障需上传非加密文件时，供应商应按照采购人指示将非加密文件递交给采购人。</w:t>
            </w:r>
          </w:p>
          <w:p>
            <w:pPr>
              <w:autoSpaceDE w:val="0"/>
              <w:autoSpaceDN w:val="0"/>
              <w:adjustRightInd w:val="0"/>
              <w:spacing w:line="360" w:lineRule="auto"/>
              <w:jc w:val="left"/>
              <w:rPr>
                <w:rFonts w:ascii="宋体" w:hAnsi="宋体" w:cs="宋体"/>
                <w:szCs w:val="21"/>
              </w:rPr>
            </w:pPr>
            <w:r>
              <w:rPr>
                <w:rFonts w:hint="eastAsia" w:ascii="宋体" w:hAnsi="Times New Roman" w:cs="宋体"/>
                <w:szCs w:val="21"/>
              </w:rPr>
              <w:t>c、供应商因交易中心投标系统无法上传电子响应文件时，请在工作时间与焦作市公共资源交易中心联系，联系电话：</w:t>
            </w:r>
            <w:r>
              <w:rPr>
                <w:rFonts w:ascii="宋体" w:hAnsi="Times New Roman" w:cs="宋体"/>
                <w:szCs w:val="21"/>
              </w:rPr>
              <w:t>0391-3568813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33</w:t>
            </w:r>
          </w:p>
        </w:tc>
        <w:tc>
          <w:tcPr>
            <w:tcW w:w="1900" w:type="dxa"/>
            <w:vAlign w:val="center"/>
          </w:tcPr>
          <w:p>
            <w:pPr>
              <w:spacing w:line="360" w:lineRule="auto"/>
              <w:jc w:val="center"/>
              <w:rPr>
                <w:rFonts w:ascii="宋体" w:hAnsi="宋体"/>
                <w:szCs w:val="21"/>
              </w:rPr>
            </w:pPr>
            <w:r>
              <w:rPr>
                <w:rFonts w:hint="eastAsia" w:ascii="宋体" w:hAnsi="宋体"/>
                <w:szCs w:val="21"/>
              </w:rPr>
              <w:t>磋商会议程序</w:t>
            </w:r>
          </w:p>
        </w:tc>
        <w:tc>
          <w:tcPr>
            <w:tcW w:w="6928" w:type="dxa"/>
            <w:vAlign w:val="center"/>
          </w:tcPr>
          <w:p>
            <w:pPr>
              <w:spacing w:line="360" w:lineRule="auto"/>
              <w:jc w:val="left"/>
              <w:rPr>
                <w:rFonts w:ascii="宋体" w:hAnsi="宋体"/>
                <w:szCs w:val="21"/>
              </w:rPr>
            </w:pPr>
            <w:r>
              <w:rPr>
                <w:rFonts w:hint="eastAsia" w:ascii="宋体" w:hAnsi="宋体"/>
                <w:szCs w:val="21"/>
              </w:rPr>
              <w:t>（1）宣布磋商纪律；</w:t>
            </w:r>
          </w:p>
          <w:p>
            <w:pPr>
              <w:spacing w:line="360" w:lineRule="auto"/>
              <w:jc w:val="left"/>
              <w:rPr>
                <w:rFonts w:ascii="宋体" w:hAnsi="宋体"/>
                <w:szCs w:val="21"/>
              </w:rPr>
            </w:pPr>
            <w:r>
              <w:rPr>
                <w:rFonts w:hint="eastAsia" w:ascii="宋体" w:hAnsi="宋体"/>
                <w:szCs w:val="21"/>
              </w:rPr>
              <w:t>（2）主持人介绍到会的磋商单位和有关人员，宣布会议监督人等人员名单；</w:t>
            </w:r>
          </w:p>
          <w:p>
            <w:pPr>
              <w:spacing w:line="360" w:lineRule="auto"/>
              <w:jc w:val="left"/>
              <w:rPr>
                <w:rFonts w:ascii="宋体" w:hAnsi="宋体"/>
                <w:szCs w:val="21"/>
              </w:rPr>
            </w:pPr>
            <w:r>
              <w:rPr>
                <w:rFonts w:hint="eastAsia" w:ascii="宋体" w:hAnsi="宋体"/>
                <w:szCs w:val="21"/>
              </w:rPr>
              <w:t>（3）电子响应文件解密；</w:t>
            </w:r>
          </w:p>
          <w:p>
            <w:pPr>
              <w:spacing w:line="360" w:lineRule="auto"/>
              <w:jc w:val="left"/>
              <w:rPr>
                <w:rFonts w:ascii="宋体" w:hAnsi="宋体"/>
                <w:szCs w:val="21"/>
              </w:rPr>
            </w:pPr>
            <w:r>
              <w:rPr>
                <w:rFonts w:hint="eastAsia" w:ascii="宋体" w:hAnsi="宋体"/>
                <w:szCs w:val="21"/>
              </w:rPr>
              <w:t>（4）经确认以上程序无误后，采购人、监督人等有关人员在磋商记录上签字确认；</w:t>
            </w:r>
          </w:p>
          <w:p>
            <w:pPr>
              <w:spacing w:line="360" w:lineRule="auto"/>
              <w:jc w:val="left"/>
              <w:rPr>
                <w:rFonts w:ascii="宋体" w:hAnsi="宋体"/>
                <w:szCs w:val="21"/>
              </w:rPr>
            </w:pPr>
            <w:r>
              <w:rPr>
                <w:rFonts w:hint="eastAsia" w:ascii="宋体" w:hAnsi="宋体"/>
                <w:szCs w:val="21"/>
              </w:rPr>
              <w:t>（5）磋商会议结束。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34</w:t>
            </w:r>
          </w:p>
        </w:tc>
        <w:tc>
          <w:tcPr>
            <w:tcW w:w="1900" w:type="dxa"/>
            <w:vAlign w:val="center"/>
          </w:tcPr>
          <w:p>
            <w:pPr>
              <w:spacing w:line="360" w:lineRule="auto"/>
              <w:jc w:val="center"/>
              <w:rPr>
                <w:rFonts w:ascii="宋体" w:hAnsi="宋体"/>
                <w:szCs w:val="21"/>
                <w:highlight w:val="yellow"/>
              </w:rPr>
            </w:pPr>
            <w:r>
              <w:rPr>
                <w:rFonts w:hint="eastAsia" w:ascii="宋体" w:hAnsi="宋体"/>
                <w:szCs w:val="21"/>
              </w:rPr>
              <w:t>磋商小组组成</w:t>
            </w:r>
          </w:p>
        </w:tc>
        <w:tc>
          <w:tcPr>
            <w:tcW w:w="6928" w:type="dxa"/>
            <w:vAlign w:val="center"/>
          </w:tcPr>
          <w:p>
            <w:pPr>
              <w:spacing w:line="360" w:lineRule="auto"/>
              <w:ind w:firstLine="420" w:firstLineChars="200"/>
              <w:jc w:val="left"/>
              <w:rPr>
                <w:rFonts w:ascii="宋体" w:hAnsi="宋体"/>
                <w:szCs w:val="21"/>
                <w:u w:val="single"/>
              </w:rPr>
            </w:pPr>
            <w:r>
              <w:rPr>
                <w:rFonts w:hint="eastAsia" w:ascii="宋体" w:hAnsi="宋体"/>
                <w:szCs w:val="21"/>
              </w:rPr>
              <w:t>磋商小组由采购人代表和评审专家共3人及以上单数组成，其中评审专家人数不得少于磋商小组成员总数的三分之二。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35</w:t>
            </w:r>
          </w:p>
        </w:tc>
        <w:tc>
          <w:tcPr>
            <w:tcW w:w="1900" w:type="dxa"/>
            <w:vAlign w:val="center"/>
          </w:tcPr>
          <w:p>
            <w:pPr>
              <w:spacing w:line="360" w:lineRule="auto"/>
              <w:jc w:val="center"/>
              <w:rPr>
                <w:rFonts w:ascii="宋体" w:hAnsi="宋体"/>
                <w:szCs w:val="21"/>
              </w:rPr>
            </w:pPr>
            <w:r>
              <w:rPr>
                <w:rFonts w:hint="eastAsia" w:ascii="宋体" w:hAnsi="宋体"/>
                <w:szCs w:val="21"/>
              </w:rPr>
              <w:t>履约保证金</w:t>
            </w:r>
          </w:p>
        </w:tc>
        <w:tc>
          <w:tcPr>
            <w:tcW w:w="6928" w:type="dxa"/>
            <w:vAlign w:val="center"/>
          </w:tcPr>
          <w:p>
            <w:pPr>
              <w:spacing w:line="360" w:lineRule="auto"/>
              <w:jc w:val="left"/>
            </w:pPr>
            <w:r>
              <w:t>履约担保的形式：保函或转账，在合同签订前缴纳</w:t>
            </w:r>
          </w:p>
          <w:p>
            <w:pPr>
              <w:spacing w:line="360" w:lineRule="auto"/>
              <w:jc w:val="left"/>
            </w:pPr>
            <w:r>
              <w:t>履约担保的金额：中标价的</w:t>
            </w:r>
            <w:r>
              <w:rPr>
                <w:rFonts w:hint="eastAsia"/>
              </w:rPr>
              <w:t>10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highlight w:val="yellow"/>
              </w:rPr>
            </w:pPr>
            <w:r>
              <w:rPr>
                <w:rFonts w:hint="eastAsia" w:ascii="宋体" w:hAnsi="宋体"/>
                <w:szCs w:val="21"/>
              </w:rPr>
              <w:t>36</w:t>
            </w:r>
          </w:p>
        </w:tc>
        <w:tc>
          <w:tcPr>
            <w:tcW w:w="1900" w:type="dxa"/>
            <w:vAlign w:val="center"/>
          </w:tcPr>
          <w:p>
            <w:pPr>
              <w:spacing w:line="360" w:lineRule="auto"/>
              <w:jc w:val="center"/>
              <w:rPr>
                <w:rFonts w:ascii="宋体" w:hAnsi="宋体" w:cs="宋体"/>
                <w:szCs w:val="21"/>
              </w:rPr>
            </w:pPr>
            <w:r>
              <w:rPr>
                <w:rFonts w:hint="eastAsia" w:ascii="宋体" w:hAnsi="宋体" w:cs="宋体"/>
                <w:szCs w:val="21"/>
              </w:rPr>
              <w:t>农民工工资保证金</w:t>
            </w:r>
          </w:p>
        </w:tc>
        <w:tc>
          <w:tcPr>
            <w:tcW w:w="6928" w:type="dxa"/>
            <w:vAlign w:val="center"/>
          </w:tcPr>
          <w:p>
            <w:pPr>
              <w:spacing w:line="360" w:lineRule="auto"/>
              <w:rPr>
                <w:rFonts w:ascii="宋体" w:hAnsi="宋体" w:cs="宋体"/>
                <w:szCs w:val="21"/>
              </w:rPr>
            </w:pPr>
            <w:r>
              <w:rPr>
                <w:rFonts w:hint="eastAsia" w:ascii="宋体" w:hAnsi="宋体" w:cs="宋体"/>
                <w:szCs w:val="21"/>
              </w:rPr>
              <w:t>农民工工资保证金</w:t>
            </w:r>
            <w:r>
              <w:t>担保的形式：保函或转账</w:t>
            </w:r>
          </w:p>
          <w:p>
            <w:pPr>
              <w:spacing w:line="360" w:lineRule="auto"/>
              <w:rPr>
                <w:rFonts w:ascii="宋体" w:hAnsi="Times New Roman" w:cs="宋体"/>
                <w:szCs w:val="21"/>
              </w:rPr>
            </w:pPr>
            <w:r>
              <w:rPr>
                <w:rFonts w:hint="eastAsia" w:ascii="宋体" w:hAnsi="宋体" w:cs="宋体"/>
                <w:szCs w:val="21"/>
              </w:rPr>
              <w:t>农民工工资保证金金额：中标价的3%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37</w:t>
            </w:r>
          </w:p>
        </w:tc>
        <w:tc>
          <w:tcPr>
            <w:tcW w:w="8828" w:type="dxa"/>
            <w:gridSpan w:val="2"/>
            <w:vAlign w:val="center"/>
          </w:tcPr>
          <w:p>
            <w:pPr>
              <w:spacing w:line="360" w:lineRule="auto"/>
              <w:jc w:val="center"/>
              <w:rPr>
                <w:rFonts w:ascii="宋体" w:hAnsi="宋体"/>
                <w:szCs w:val="21"/>
              </w:rPr>
            </w:pPr>
            <w:r>
              <w:rPr>
                <w:rFonts w:hint="eastAsia" w:hAnsi="宋体" w:cs="宋体"/>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37.1</w:t>
            </w:r>
          </w:p>
        </w:tc>
        <w:tc>
          <w:tcPr>
            <w:tcW w:w="8828" w:type="dxa"/>
            <w:gridSpan w:val="2"/>
            <w:vAlign w:val="center"/>
          </w:tcPr>
          <w:p>
            <w:pPr>
              <w:spacing w:line="360" w:lineRule="auto"/>
              <w:jc w:val="left"/>
              <w:rPr>
                <w:rFonts w:ascii="宋体" w:hAnsi="宋体" w:cs="宋体"/>
                <w:kern w:val="0"/>
                <w:szCs w:val="21"/>
                <w:shd w:val="clear" w:color="auto" w:fill="FFFFFF"/>
              </w:rPr>
            </w:pPr>
            <w:r>
              <w:rPr>
                <w:rFonts w:hint="eastAsia" w:hAnsi="宋体" w:cs="宋体"/>
                <w:szCs w:val="21"/>
              </w:rPr>
              <w:t>所属行业：建筑行业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37.2</w:t>
            </w:r>
          </w:p>
        </w:tc>
        <w:tc>
          <w:tcPr>
            <w:tcW w:w="8828" w:type="dxa"/>
            <w:gridSpan w:val="2"/>
            <w:vAlign w:val="center"/>
          </w:tcPr>
          <w:p>
            <w:pPr>
              <w:spacing w:line="360" w:lineRule="auto"/>
              <w:jc w:val="left"/>
              <w:rPr>
                <w:rFonts w:ascii="宋体" w:hAnsi="宋体" w:cs="宋体"/>
                <w:kern w:val="0"/>
                <w:szCs w:val="21"/>
                <w:shd w:val="clear" w:color="auto" w:fill="FFFFFF"/>
              </w:rPr>
            </w:pPr>
            <w:r>
              <w:t>本项目是否专门面向中小企业采购：</w:t>
            </w:r>
            <w:r>
              <w:rPr>
                <w:rFonts w:hint="eastAsia"/>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37.3</w:t>
            </w:r>
          </w:p>
        </w:tc>
        <w:tc>
          <w:tcPr>
            <w:tcW w:w="8828" w:type="dxa"/>
            <w:gridSpan w:val="2"/>
            <w:vAlign w:val="center"/>
          </w:tcPr>
          <w:p>
            <w:pPr>
              <w:autoSpaceDE w:val="0"/>
              <w:autoSpaceDN w:val="0"/>
              <w:adjustRightInd w:val="0"/>
              <w:spacing w:line="360" w:lineRule="auto"/>
              <w:rPr>
                <w:rFonts w:ascii="宋体" w:hAnsi="宋体" w:cs="宋体"/>
              </w:rPr>
            </w:pPr>
            <w:r>
              <w:rPr>
                <w:rFonts w:hint="eastAsia" w:ascii="宋体" w:hAnsi="宋体" w:cs="宋体"/>
              </w:rPr>
              <w:t>中小企业认定：</w:t>
            </w:r>
          </w:p>
          <w:p>
            <w:pPr>
              <w:autoSpaceDE w:val="0"/>
              <w:autoSpaceDN w:val="0"/>
              <w:adjustRightInd w:val="0"/>
              <w:spacing w:line="360" w:lineRule="auto"/>
              <w:rPr>
                <w:rFonts w:ascii="宋体" w:hAnsi="宋体" w:cs="宋体"/>
              </w:rPr>
            </w:pPr>
            <w:r>
              <w:rPr>
                <w:rFonts w:hint="eastAsia" w:ascii="宋体" w:hAnsi="宋体" w:cs="宋体"/>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autoSpaceDE w:val="0"/>
              <w:autoSpaceDN w:val="0"/>
              <w:adjustRightInd w:val="0"/>
              <w:spacing w:line="360" w:lineRule="auto"/>
              <w:rPr>
                <w:rFonts w:ascii="宋体" w:hAnsi="宋体" w:cs="宋体"/>
              </w:rPr>
            </w:pPr>
            <w:r>
              <w:rPr>
                <w:rFonts w:hint="eastAsia" w:ascii="宋体" w:hAnsi="宋体" w:cs="宋体"/>
              </w:rPr>
              <w:t>符合中小企业划分标准的个体工商户，在政府采购活动中视同中小企业。</w:t>
            </w:r>
          </w:p>
          <w:p>
            <w:pPr>
              <w:autoSpaceDE w:val="0"/>
              <w:autoSpaceDN w:val="0"/>
              <w:adjustRightInd w:val="0"/>
              <w:spacing w:line="360" w:lineRule="auto"/>
              <w:rPr>
                <w:rFonts w:ascii="宋体" w:hAnsi="宋体" w:cs="宋体"/>
              </w:rPr>
            </w:pPr>
            <w:r>
              <w:rPr>
                <w:rFonts w:hint="eastAsia" w:ascii="宋体" w:hAnsi="宋体" w:cs="宋体"/>
              </w:rPr>
              <w:t>中小企业划分标准见《关于印发中小企业划型标准规定的通知》（工信部联企业〔2011〕300号）</w:t>
            </w:r>
          </w:p>
          <w:p>
            <w:pPr>
              <w:autoSpaceDE w:val="0"/>
              <w:autoSpaceDN w:val="0"/>
              <w:adjustRightInd w:val="0"/>
              <w:spacing w:line="360" w:lineRule="auto"/>
              <w:rPr>
                <w:rFonts w:ascii="宋体" w:hAnsi="宋体" w:cs="宋体"/>
              </w:rPr>
            </w:pPr>
            <w:r>
              <w:rPr>
                <w:rFonts w:hint="eastAsia" w:ascii="宋体" w:hAnsi="宋体" w:cs="宋体"/>
              </w:rPr>
              <w:t>供应商须按照磋商文件规定出具《中小企业声明函》，否则不享受相关扶持政策；（扫描件附响应文件中）</w:t>
            </w:r>
          </w:p>
          <w:p>
            <w:pPr>
              <w:autoSpaceDE w:val="0"/>
              <w:autoSpaceDN w:val="0"/>
              <w:adjustRightInd w:val="0"/>
              <w:spacing w:line="360" w:lineRule="auto"/>
              <w:rPr>
                <w:rFonts w:ascii="宋体" w:hAnsi="宋体" w:cs="宋体"/>
              </w:rPr>
            </w:pPr>
            <w:r>
              <w:rPr>
                <w:rFonts w:hint="eastAsia" w:ascii="宋体" w:hAnsi="宋体" w:cs="宋体"/>
              </w:rPr>
              <w:t>2、根据财库〔2014〕68号《财政部司法部关于政府采购支持监狱企业发展有关问题的通知》，监狱企业视同小微企业。提供由省级以上监狱管理局、戒毒管理局(含新疆生产建设兵团)出具的属于监狱企业的证明文件（扫描件附响应文件中），不再提供《中小企业声明函》, 供应商出具的监狱企业证明文件如有虚假，其中标资格将被取消，并根据相关规定进行处罚。</w:t>
            </w:r>
          </w:p>
          <w:p>
            <w:pPr>
              <w:autoSpaceDE w:val="0"/>
              <w:autoSpaceDN w:val="0"/>
              <w:adjustRightInd w:val="0"/>
              <w:spacing w:line="360" w:lineRule="auto"/>
              <w:rPr>
                <w:rFonts w:ascii="宋体" w:hAnsi="宋体" w:cs="宋体"/>
              </w:rPr>
            </w:pPr>
            <w:r>
              <w:rPr>
                <w:rFonts w:hint="eastAsia" w:ascii="宋体" w:hAnsi="宋体" w:cs="宋体"/>
              </w:rPr>
              <w:t>3、根据财库〔2017〕141号《三部门联合发布关于促进残疾人就业政府采购政策的通知》残疾人福利性单位视同小型、微型企业，残疾人福利性单位在参加政府采购活动时提供《残疾人福利性单位声明函》，（扫描件附响应文件中）不再提供《中小企业声明函》，供应商在《残疾人福利性单位声明函》中的承诺如有虚假，其中标资格将被取消，并根据相关规定进行处罚。</w:t>
            </w:r>
          </w:p>
          <w:p>
            <w:pPr>
              <w:spacing w:line="360" w:lineRule="auto"/>
              <w:jc w:val="left"/>
            </w:pPr>
            <w:r>
              <w:rPr>
                <w:rFonts w:hint="eastAsia" w:ascii="宋体" w:hAnsi="宋体" w:cs="宋体"/>
              </w:rPr>
              <w:t>4、磋商小组根据供应商提供的《中小企业声明函》认定该供应商是否属于中小企业，监狱企业和残疾人福利性单位视同小型、微型企业。不属于中小企业、监狱企业或残疾人福利性单位的拒绝参与本项目磋商。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37.4</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cs="宋体"/>
                <w:kern w:val="0"/>
                <w:szCs w:val="21"/>
                <w:shd w:val="clear" w:color="auto" w:fill="FFFFFF"/>
              </w:rPr>
              <w:t>本项目代理费按相关规定计取，由成交人支付。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38.5</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本项目设有最高磋商限价（磋商控制价）</w:t>
            </w:r>
          </w:p>
          <w:p>
            <w:pPr>
              <w:spacing w:line="360" w:lineRule="auto"/>
              <w:ind w:firstLine="420" w:firstLineChars="200"/>
              <w:jc w:val="left"/>
              <w:rPr>
                <w:rFonts w:ascii="宋体" w:hAnsi="宋体"/>
                <w:szCs w:val="21"/>
              </w:rPr>
            </w:pPr>
            <w:r>
              <w:rPr>
                <w:rFonts w:hint="eastAsia" w:ascii="宋体" w:hAnsi="宋体"/>
                <w:szCs w:val="21"/>
              </w:rPr>
              <w:t>人民币：叁佰捌拾玖万捌仟贰佰玖拾玖元零捌分（¥3898299.08元）</w:t>
            </w:r>
          </w:p>
          <w:p>
            <w:pPr>
              <w:spacing w:line="360" w:lineRule="auto"/>
              <w:ind w:firstLine="420" w:firstLineChars="200"/>
              <w:jc w:val="left"/>
              <w:rPr>
                <w:rFonts w:ascii="宋体" w:hAnsi="宋体" w:cs="宋体"/>
                <w:kern w:val="0"/>
                <w:szCs w:val="21"/>
                <w:shd w:val="clear" w:color="auto" w:fill="FFFFFF"/>
              </w:rPr>
            </w:pPr>
            <w:r>
              <w:rPr>
                <w:rFonts w:hint="eastAsia" w:ascii="宋体" w:hAnsi="宋体"/>
                <w:szCs w:val="21"/>
              </w:rPr>
              <w:t>注：供应商报价高于最高磋商限价（磋商控制价）的将作废标处理，不再参与评审阶段的评审。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38.6</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此磋商文件解释权归采购人或其委托的代理机构，未尽事宜按国家相关法律法规执行。</w:t>
            </w:r>
          </w:p>
          <w:p>
            <w:pPr>
              <w:spacing w:line="360" w:lineRule="auto"/>
              <w:ind w:firstLine="420" w:firstLineChars="200"/>
              <w:jc w:val="left"/>
              <w:rPr>
                <w:rFonts w:ascii="宋体" w:hAnsi="宋体"/>
                <w:szCs w:val="21"/>
              </w:rPr>
            </w:pPr>
            <w:r>
              <w:rPr>
                <w:rFonts w:hint="eastAsia" w:ascii="宋体" w:hAnsi="宋体"/>
                <w:szCs w:val="21"/>
              </w:rPr>
              <w:t>1.供应商在磋商文件答疑或修正前未提出的问题，磋商现场由采购人或其委托的代理机构解释，供应商或其他人不得有异议；采购人或其委托的代理机构也可以授权磋商小组对异议进行表决，以磋商小组少数服从多数的原则作为对异议的最终解释；</w:t>
            </w:r>
          </w:p>
          <w:p>
            <w:pPr>
              <w:spacing w:line="360" w:lineRule="auto"/>
              <w:ind w:firstLine="420" w:firstLineChars="200"/>
              <w:jc w:val="left"/>
              <w:rPr>
                <w:rFonts w:ascii="宋体" w:hAnsi="宋体"/>
                <w:szCs w:val="21"/>
              </w:rPr>
            </w:pPr>
            <w:r>
              <w:rPr>
                <w:rFonts w:hint="eastAsia" w:ascii="宋体" w:hAnsi="宋体"/>
                <w:szCs w:val="21"/>
              </w:rPr>
              <w:t>2.在磋商过程中，磋商小组存在争议时，可以少数服从多数的原则解决争议；</w:t>
            </w:r>
          </w:p>
          <w:p>
            <w:pPr>
              <w:spacing w:line="360" w:lineRule="auto"/>
              <w:ind w:firstLine="420" w:firstLineChars="200"/>
              <w:jc w:val="left"/>
              <w:rPr>
                <w:rFonts w:ascii="宋体" w:hAnsi="宋体"/>
                <w:szCs w:val="21"/>
              </w:rPr>
            </w:pPr>
            <w:r>
              <w:rPr>
                <w:rFonts w:hint="eastAsia" w:ascii="宋体" w:hAnsi="宋体"/>
                <w:szCs w:val="21"/>
              </w:rPr>
              <w:t>3.在磋商过程中，采购人或其委托的代理机构认为磋商小组对磋商文件存在误解时，可对磋商文件做出解释，并承担相应责任，磋商小组应当依据该解释评审；磋商小组对采购人或其委托的代理机构的解释不承担责任，认为有必要的，可将该解释情况写入评审报告。</w:t>
            </w:r>
          </w:p>
        </w:tc>
      </w:tr>
    </w:tbl>
    <w:p>
      <w:pPr>
        <w:spacing w:line="360" w:lineRule="auto"/>
        <w:ind w:firstLine="420" w:firstLineChars="200"/>
        <w:rPr>
          <w:szCs w:val="21"/>
        </w:rPr>
      </w:pPr>
      <w:r>
        <w:rPr>
          <w:rFonts w:hint="eastAsia"/>
          <w:szCs w:val="21"/>
        </w:rPr>
        <w:t>注：本项目磋商文件中内容与供应商须知前附表中内容不一致时，以供应商须知前附表内容为准。</w:t>
      </w:r>
    </w:p>
    <w:p>
      <w:pPr>
        <w:spacing w:line="360" w:lineRule="auto"/>
        <w:ind w:firstLine="420" w:firstLineChars="200"/>
        <w:rPr>
          <w:szCs w:val="21"/>
        </w:rPr>
      </w:pPr>
      <w:r>
        <w:rPr>
          <w:rFonts w:hint="eastAsia"/>
          <w:szCs w:val="21"/>
        </w:rPr>
        <w:br w:type="page"/>
      </w:r>
    </w:p>
    <w:p>
      <w:pPr>
        <w:autoSpaceDE w:val="0"/>
        <w:autoSpaceDN w:val="0"/>
        <w:adjustRightInd w:val="0"/>
        <w:spacing w:line="360" w:lineRule="auto"/>
        <w:jc w:val="left"/>
        <w:rPr>
          <w:rFonts w:ascii="宋体" w:hAnsi="Times New Roman" w:cs="宋体"/>
          <w:sz w:val="32"/>
          <w:szCs w:val="32"/>
        </w:rPr>
      </w:pPr>
      <w:r>
        <w:rPr>
          <w:rFonts w:hint="eastAsia" w:ascii="宋体" w:hAnsi="Times New Roman" w:cs="宋体"/>
          <w:sz w:val="32"/>
          <w:szCs w:val="32"/>
        </w:rPr>
        <w:t>附件1：</w:t>
      </w:r>
    </w:p>
    <w:p>
      <w:pPr>
        <w:autoSpaceDE w:val="0"/>
        <w:autoSpaceDN w:val="0"/>
        <w:adjustRightInd w:val="0"/>
        <w:spacing w:line="360" w:lineRule="auto"/>
        <w:jc w:val="center"/>
        <w:rPr>
          <w:rFonts w:ascii="宋体" w:hAnsi="Times New Roman" w:cs="宋体"/>
          <w:sz w:val="32"/>
          <w:szCs w:val="32"/>
        </w:rPr>
      </w:pPr>
      <w:r>
        <w:rPr>
          <w:rFonts w:hint="eastAsia" w:ascii="宋体" w:hAnsi="Times New Roman" w:cs="宋体"/>
          <w:sz w:val="32"/>
          <w:szCs w:val="32"/>
        </w:rPr>
        <w:t>河南省政府采购合同融资政策告知函</w:t>
      </w:r>
    </w:p>
    <w:p>
      <w:pPr>
        <w:autoSpaceDE w:val="0"/>
        <w:autoSpaceDN w:val="0"/>
        <w:adjustRightInd w:val="0"/>
        <w:spacing w:line="360" w:lineRule="auto"/>
        <w:jc w:val="left"/>
        <w:rPr>
          <w:rFonts w:ascii="宋体" w:hAnsi="Times New Roman" w:cs="宋体"/>
          <w:sz w:val="24"/>
          <w:szCs w:val="24"/>
        </w:rPr>
      </w:pPr>
      <w:r>
        <w:rPr>
          <w:rFonts w:hint="eastAsia" w:ascii="宋体" w:hAnsi="Times New Roman" w:cs="宋体"/>
          <w:sz w:val="24"/>
          <w:szCs w:val="24"/>
        </w:rPr>
        <w:t>各供应商：</w:t>
      </w:r>
    </w:p>
    <w:p>
      <w:pPr>
        <w:autoSpaceDE w:val="0"/>
        <w:autoSpaceDN w:val="0"/>
        <w:adjustRightInd w:val="0"/>
        <w:spacing w:line="360" w:lineRule="auto"/>
        <w:ind w:firstLine="480" w:firstLineChars="200"/>
        <w:jc w:val="left"/>
        <w:rPr>
          <w:rFonts w:ascii="宋体" w:hAnsi="Times New Roman" w:cs="宋体"/>
          <w:sz w:val="24"/>
          <w:szCs w:val="24"/>
        </w:rPr>
      </w:pPr>
      <w:r>
        <w:rPr>
          <w:rFonts w:hint="eastAsia" w:ascii="宋体" w:hAnsi="Times New Roman" w:cs="宋体"/>
          <w:sz w:val="24"/>
          <w:szCs w:val="24"/>
        </w:rPr>
        <w:t>欢迎贵公司参与河南省政府采购活动！</w:t>
      </w:r>
    </w:p>
    <w:p>
      <w:pPr>
        <w:autoSpaceDE w:val="0"/>
        <w:autoSpaceDN w:val="0"/>
        <w:adjustRightInd w:val="0"/>
        <w:spacing w:line="360" w:lineRule="auto"/>
        <w:ind w:firstLine="480" w:firstLineChars="200"/>
        <w:jc w:val="left"/>
        <w:rPr>
          <w:rFonts w:ascii="宋体" w:hAnsi="Times New Roman" w:cs="宋体"/>
          <w:sz w:val="24"/>
          <w:szCs w:val="24"/>
        </w:rPr>
      </w:pPr>
      <w:r>
        <w:rPr>
          <w:rFonts w:hint="eastAsia" w:ascii="宋体" w:hAnsi="Times New Roman"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w:t>
      </w:r>
      <w:r>
        <w:rPr>
          <w:rFonts w:ascii="宋体" w:hAnsi="Times New Roman" w:cs="宋体"/>
          <w:sz w:val="24"/>
          <w:szCs w:val="24"/>
        </w:rPr>
        <w:t xml:space="preserve">[2017]10 </w:t>
      </w:r>
      <w:r>
        <w:rPr>
          <w:rFonts w:hint="eastAsia" w:ascii="宋体" w:hAnsi="Times New Roman" w:cs="宋体"/>
          <w:sz w:val="24"/>
          <w:szCs w:val="24"/>
        </w:rPr>
        <w:t>号），按照双方自愿的原则提供便捷、优惠的贷款服务。</w:t>
      </w:r>
    </w:p>
    <w:p>
      <w:pPr>
        <w:autoSpaceDE w:val="0"/>
        <w:autoSpaceDN w:val="0"/>
        <w:adjustRightInd w:val="0"/>
        <w:spacing w:line="360" w:lineRule="auto"/>
        <w:ind w:firstLine="480" w:firstLineChars="200"/>
        <w:jc w:val="left"/>
        <w:rPr>
          <w:rFonts w:ascii="宋体" w:hAnsi="Times New Roman" w:cs="宋体"/>
          <w:sz w:val="24"/>
          <w:szCs w:val="24"/>
        </w:rPr>
      </w:pPr>
      <w:r>
        <w:rPr>
          <w:rFonts w:hint="eastAsia" w:ascii="宋体" w:hAnsi="Times New Roman" w:cs="宋体"/>
          <w:sz w:val="24"/>
          <w:szCs w:val="24"/>
        </w:rPr>
        <w:t>贷款渠道和提供贷款的金融机构，可在河南省政府采购网“河南省政府采购合同融资平台”查询联系。</w:t>
      </w:r>
    </w:p>
    <w:p>
      <w:pPr>
        <w:pStyle w:val="52"/>
        <w:spacing w:line="360" w:lineRule="auto"/>
        <w:ind w:firstLine="480" w:firstLineChars="200"/>
        <w:rPr>
          <w:rFonts w:ascii="宋体" w:cs="宋体"/>
          <w:sz w:val="24"/>
          <w:szCs w:val="24"/>
        </w:rPr>
      </w:pPr>
      <w:r>
        <w:rPr>
          <w:rFonts w:hint="eastAsia" w:ascii="宋体" w:cs="宋体"/>
          <w:sz w:val="24"/>
          <w:szCs w:val="24"/>
        </w:rPr>
        <w:t>注：此函仅为告知，不作为响应文件组成部分。</w:t>
      </w:r>
    </w:p>
    <w:p>
      <w:pPr>
        <w:spacing w:line="360" w:lineRule="auto"/>
      </w:pPr>
    </w:p>
    <w:p>
      <w:pPr>
        <w:pStyle w:val="51"/>
        <w:spacing w:line="360" w:lineRule="auto"/>
      </w:pPr>
    </w:p>
    <w:p>
      <w:pPr>
        <w:spacing w:line="360" w:lineRule="auto"/>
        <w:rPr>
          <w:rFonts w:ascii="宋体" w:hAnsi="宋体"/>
          <w:szCs w:val="21"/>
        </w:rPr>
      </w:pPr>
      <w:r>
        <w:rPr>
          <w:rFonts w:hint="eastAsia" w:ascii="宋体" w:hAnsi="宋体"/>
          <w:szCs w:val="21"/>
        </w:rPr>
        <w:br w:type="page"/>
      </w:r>
      <w:bookmarkEnd w:id="9"/>
    </w:p>
    <w:p>
      <w:pPr>
        <w:widowControl/>
        <w:spacing w:line="360" w:lineRule="auto"/>
        <w:jc w:val="center"/>
        <w:outlineLvl w:val="2"/>
        <w:rPr>
          <w:rFonts w:ascii="宋体" w:hAnsi="宋体" w:cs="宋体"/>
          <w:b/>
          <w:bCs/>
          <w:kern w:val="0"/>
          <w:sz w:val="24"/>
          <w:szCs w:val="24"/>
        </w:rPr>
      </w:pPr>
      <w:bookmarkStart w:id="10" w:name="_Toc25474"/>
      <w:bookmarkStart w:id="11" w:name="_Toc48808911"/>
      <w:bookmarkStart w:id="12" w:name="_Toc20098"/>
      <w:bookmarkStart w:id="13" w:name="_Toc48809193"/>
      <w:bookmarkStart w:id="14" w:name="_Toc49166039"/>
      <w:bookmarkStart w:id="15" w:name="_Toc420513707"/>
      <w:bookmarkStart w:id="16" w:name="_Toc420513734"/>
      <w:bookmarkStart w:id="17" w:name="_Toc421695640"/>
      <w:bookmarkStart w:id="18" w:name="_Toc420513686"/>
      <w:bookmarkStart w:id="19" w:name="_Toc374512417"/>
      <w:bookmarkStart w:id="20" w:name="_Toc373230030"/>
      <w:r>
        <w:rPr>
          <w:rFonts w:hint="eastAsia" w:ascii="宋体" w:hAnsi="宋体" w:cs="宋体"/>
          <w:b/>
          <w:bCs/>
          <w:kern w:val="0"/>
          <w:sz w:val="24"/>
          <w:szCs w:val="24"/>
        </w:rPr>
        <w:t>一、总 则</w:t>
      </w:r>
      <w:bookmarkEnd w:id="10"/>
      <w:bookmarkEnd w:id="11"/>
      <w:bookmarkEnd w:id="12"/>
      <w:bookmarkEnd w:id="13"/>
      <w:bookmarkEnd w:id="14"/>
    </w:p>
    <w:p>
      <w:pPr>
        <w:numPr>
          <w:ilvl w:val="0"/>
          <w:numId w:val="2"/>
        </w:numPr>
        <w:spacing w:line="360" w:lineRule="auto"/>
        <w:rPr>
          <w:rFonts w:ascii="宋体" w:hAnsi="宋体" w:cs="宋体"/>
          <w:b/>
          <w:szCs w:val="21"/>
        </w:rPr>
      </w:pPr>
      <w:r>
        <w:rPr>
          <w:rFonts w:hint="eastAsia" w:ascii="宋体" w:hAnsi="宋体" w:cs="宋体"/>
          <w:b/>
          <w:szCs w:val="21"/>
        </w:rPr>
        <w:t>适用范围</w:t>
      </w:r>
    </w:p>
    <w:p>
      <w:pPr>
        <w:spacing w:line="360" w:lineRule="auto"/>
        <w:ind w:firstLine="420" w:firstLineChars="200"/>
        <w:rPr>
          <w:rFonts w:ascii="宋体" w:hAnsi="宋体" w:cs="宋体"/>
          <w:szCs w:val="21"/>
        </w:rPr>
      </w:pPr>
      <w:r>
        <w:rPr>
          <w:rFonts w:hint="eastAsia" w:ascii="宋体" w:hAnsi="宋体" w:cs="宋体"/>
          <w:szCs w:val="21"/>
        </w:rPr>
        <w:t>本磋商文件仅适用于本次竞争性磋商活动所述的服务。</w:t>
      </w:r>
    </w:p>
    <w:p>
      <w:pPr>
        <w:numPr>
          <w:ilvl w:val="0"/>
          <w:numId w:val="2"/>
        </w:numPr>
        <w:spacing w:line="360" w:lineRule="auto"/>
        <w:rPr>
          <w:rFonts w:ascii="宋体" w:hAnsi="宋体" w:cs="宋体"/>
          <w:b/>
          <w:szCs w:val="21"/>
        </w:rPr>
      </w:pPr>
      <w:r>
        <w:rPr>
          <w:rFonts w:hint="eastAsia" w:ascii="宋体" w:hAnsi="宋体" w:cs="宋体"/>
          <w:b/>
          <w:szCs w:val="21"/>
        </w:rPr>
        <w:t>定义</w:t>
      </w:r>
    </w:p>
    <w:p>
      <w:pPr>
        <w:numPr>
          <w:ilvl w:val="1"/>
          <w:numId w:val="2"/>
        </w:numPr>
        <w:spacing w:line="360" w:lineRule="auto"/>
        <w:rPr>
          <w:rFonts w:ascii="宋体" w:hAnsi="宋体" w:cs="宋体"/>
          <w:szCs w:val="21"/>
        </w:rPr>
      </w:pPr>
      <w:r>
        <w:rPr>
          <w:rFonts w:hint="eastAsia" w:ascii="宋体" w:hAnsi="宋体" w:cs="宋体"/>
          <w:szCs w:val="21"/>
        </w:rPr>
        <w:t>采购人：见供应商须知前附表；</w:t>
      </w:r>
    </w:p>
    <w:p>
      <w:pPr>
        <w:numPr>
          <w:ilvl w:val="1"/>
          <w:numId w:val="2"/>
        </w:numPr>
        <w:spacing w:line="360" w:lineRule="auto"/>
        <w:rPr>
          <w:rFonts w:ascii="宋体" w:hAnsi="宋体" w:cs="宋体"/>
          <w:szCs w:val="21"/>
        </w:rPr>
      </w:pPr>
      <w:r>
        <w:rPr>
          <w:rFonts w:hint="eastAsia" w:ascii="宋体" w:hAnsi="宋体" w:cs="宋体"/>
          <w:szCs w:val="21"/>
        </w:rPr>
        <w:t>采购代理机构：见供应商须知前附表；</w:t>
      </w:r>
    </w:p>
    <w:p>
      <w:pPr>
        <w:numPr>
          <w:ilvl w:val="1"/>
          <w:numId w:val="2"/>
        </w:numPr>
        <w:spacing w:line="360" w:lineRule="auto"/>
        <w:rPr>
          <w:rFonts w:ascii="宋体" w:hAnsi="宋体" w:cs="宋体"/>
          <w:szCs w:val="21"/>
        </w:rPr>
      </w:pPr>
      <w:r>
        <w:rPr>
          <w:rFonts w:hint="eastAsia" w:ascii="宋体" w:hAnsi="宋体" w:cs="宋体"/>
          <w:szCs w:val="21"/>
        </w:rPr>
        <w:t>合格供应商：</w:t>
      </w:r>
    </w:p>
    <w:p>
      <w:pPr>
        <w:spacing w:line="360" w:lineRule="auto"/>
        <w:ind w:firstLine="210" w:firstLineChars="100"/>
        <w:rPr>
          <w:rFonts w:ascii="宋体" w:hAnsi="宋体" w:cs="宋体"/>
          <w:bCs/>
          <w:szCs w:val="21"/>
        </w:rPr>
      </w:pPr>
      <w:r>
        <w:rPr>
          <w:rFonts w:hint="eastAsia" w:ascii="宋体" w:hAnsi="宋体" w:cs="宋体"/>
          <w:szCs w:val="21"/>
        </w:rPr>
        <w:t>2.3.1</w:t>
      </w:r>
      <w:r>
        <w:rPr>
          <w:rFonts w:hint="eastAsia" w:ascii="宋体" w:hAnsi="宋体" w:cs="宋体"/>
          <w:bCs/>
          <w:szCs w:val="21"/>
        </w:rPr>
        <w:t>符合《中华人民共和国政府采购法》第二十二条规定的条件。</w:t>
      </w:r>
    </w:p>
    <w:p>
      <w:pPr>
        <w:spacing w:line="360" w:lineRule="auto"/>
        <w:ind w:firstLine="210" w:firstLineChars="100"/>
        <w:rPr>
          <w:rFonts w:ascii="宋体" w:hAnsi="宋体" w:cs="宋体"/>
          <w:bCs/>
          <w:szCs w:val="21"/>
        </w:rPr>
      </w:pPr>
      <w:r>
        <w:rPr>
          <w:rFonts w:hint="eastAsia" w:ascii="宋体" w:hAnsi="宋体" w:cs="宋体"/>
          <w:szCs w:val="21"/>
        </w:rPr>
        <w:t>2.3.2</w:t>
      </w:r>
      <w:r>
        <w:rPr>
          <w:rFonts w:hint="eastAsia" w:ascii="宋体" w:hAnsi="宋体" w:cs="宋体"/>
          <w:bCs/>
          <w:szCs w:val="21"/>
        </w:rPr>
        <w:t>符合本竞争性磋商文件规定的资格要求及项目要求的其它条件，并按照要求提供相关证明材料。</w:t>
      </w:r>
    </w:p>
    <w:p>
      <w:pPr>
        <w:spacing w:line="360" w:lineRule="auto"/>
        <w:ind w:firstLine="210" w:firstLineChars="100"/>
        <w:rPr>
          <w:rFonts w:ascii="宋体" w:hAnsi="宋体" w:cs="宋体"/>
          <w:bCs/>
          <w:szCs w:val="21"/>
        </w:rPr>
      </w:pPr>
      <w:r>
        <w:rPr>
          <w:rFonts w:hint="eastAsia" w:ascii="宋体" w:hAnsi="宋体" w:cs="宋体"/>
          <w:szCs w:val="21"/>
        </w:rPr>
        <w:t>2.3.3</w:t>
      </w:r>
      <w:r>
        <w:rPr>
          <w:rFonts w:hint="eastAsia" w:ascii="宋体" w:hAnsi="宋体" w:cs="宋体"/>
          <w:bCs/>
          <w:szCs w:val="21"/>
        </w:rPr>
        <w:t>供应商应遵守国家法律、法规和有关政府采购的规定。</w:t>
      </w:r>
    </w:p>
    <w:p>
      <w:pPr>
        <w:pStyle w:val="23"/>
        <w:spacing w:line="360" w:lineRule="auto"/>
        <w:ind w:firstLine="210" w:firstLineChars="100"/>
        <w:rPr>
          <w:rFonts w:hAnsi="宋体" w:eastAsia="宋体" w:cs="宋体"/>
          <w:szCs w:val="21"/>
        </w:rPr>
      </w:pPr>
      <w:r>
        <w:rPr>
          <w:rFonts w:hint="eastAsia" w:hAnsi="宋体" w:eastAsia="宋体" w:cs="宋体"/>
          <w:bCs/>
          <w:szCs w:val="21"/>
        </w:rPr>
        <w:t>2.4.供应商</w:t>
      </w:r>
      <w:r>
        <w:rPr>
          <w:rFonts w:hint="eastAsia" w:hAnsi="宋体" w:eastAsia="宋体" w:cs="宋体"/>
          <w:szCs w:val="21"/>
        </w:rPr>
        <w:t>不得存在下列情形之一：</w:t>
      </w:r>
    </w:p>
    <w:p>
      <w:pPr>
        <w:pStyle w:val="23"/>
        <w:spacing w:line="360" w:lineRule="auto"/>
        <w:ind w:firstLine="420" w:firstLineChars="200"/>
        <w:rPr>
          <w:rFonts w:hAnsi="宋体" w:eastAsia="宋体" w:cs="宋体"/>
          <w:bCs/>
          <w:szCs w:val="21"/>
        </w:rPr>
      </w:pPr>
      <w:r>
        <w:rPr>
          <w:rFonts w:hint="eastAsia" w:hAnsi="宋体" w:eastAsia="宋体" w:cs="宋体"/>
          <w:bCs/>
          <w:szCs w:val="21"/>
        </w:rPr>
        <w:t>（1）为采购人不具有独立法人资格的附属机构（单位）；</w:t>
      </w:r>
    </w:p>
    <w:p>
      <w:pPr>
        <w:spacing w:line="360" w:lineRule="auto"/>
        <w:ind w:firstLine="420" w:firstLineChars="200"/>
        <w:rPr>
          <w:rFonts w:ascii="宋体" w:hAnsi="宋体" w:cs="宋体"/>
          <w:bCs/>
          <w:szCs w:val="21"/>
        </w:rPr>
      </w:pPr>
      <w:r>
        <w:rPr>
          <w:rFonts w:hint="eastAsia" w:ascii="宋体" w:hAnsi="宋体" w:cs="宋体"/>
          <w:bCs/>
          <w:szCs w:val="21"/>
        </w:rPr>
        <w:t>（2）为本项目前期准备提供设计或咨询服务的，但设计施工总承包的除外；</w:t>
      </w:r>
    </w:p>
    <w:p>
      <w:pPr>
        <w:spacing w:line="360" w:lineRule="auto"/>
        <w:ind w:firstLine="420" w:firstLineChars="200"/>
        <w:rPr>
          <w:rFonts w:ascii="宋体" w:hAnsi="宋体" w:cs="宋体"/>
          <w:bCs/>
          <w:szCs w:val="21"/>
        </w:rPr>
      </w:pPr>
      <w:r>
        <w:rPr>
          <w:rFonts w:hint="eastAsia" w:ascii="宋体" w:hAnsi="宋体" w:cs="宋体"/>
          <w:bCs/>
          <w:szCs w:val="21"/>
        </w:rPr>
        <w:t>（3）为本项目的监理人；</w:t>
      </w:r>
    </w:p>
    <w:p>
      <w:pPr>
        <w:spacing w:line="360" w:lineRule="auto"/>
        <w:ind w:firstLine="420" w:firstLineChars="200"/>
        <w:rPr>
          <w:rFonts w:ascii="宋体" w:hAnsi="宋体" w:cs="宋体"/>
          <w:bCs/>
          <w:szCs w:val="21"/>
        </w:rPr>
      </w:pPr>
      <w:r>
        <w:rPr>
          <w:rFonts w:hint="eastAsia" w:ascii="宋体" w:hAnsi="宋体" w:cs="宋体"/>
          <w:bCs/>
          <w:szCs w:val="21"/>
        </w:rPr>
        <w:t>（4）为本项目的代建人；</w:t>
      </w:r>
    </w:p>
    <w:p>
      <w:pPr>
        <w:spacing w:line="360" w:lineRule="auto"/>
        <w:ind w:firstLine="420" w:firstLineChars="200"/>
        <w:rPr>
          <w:rFonts w:ascii="宋体" w:hAnsi="宋体" w:cs="宋体"/>
          <w:bCs/>
          <w:szCs w:val="21"/>
        </w:rPr>
      </w:pPr>
      <w:r>
        <w:rPr>
          <w:rFonts w:hint="eastAsia" w:ascii="宋体" w:hAnsi="宋体" w:cs="宋体"/>
          <w:bCs/>
          <w:szCs w:val="21"/>
        </w:rPr>
        <w:t>（5）为本项目提供采购代理服务的；</w:t>
      </w:r>
    </w:p>
    <w:p>
      <w:pPr>
        <w:spacing w:line="360" w:lineRule="auto"/>
        <w:ind w:firstLine="420" w:firstLineChars="200"/>
        <w:rPr>
          <w:rFonts w:ascii="宋体" w:hAnsi="宋体" w:cs="宋体"/>
          <w:bCs/>
          <w:szCs w:val="21"/>
        </w:rPr>
      </w:pPr>
      <w:r>
        <w:rPr>
          <w:rFonts w:hint="eastAsia" w:ascii="宋体" w:hAnsi="宋体" w:cs="宋体"/>
          <w:bCs/>
          <w:szCs w:val="21"/>
        </w:rPr>
        <w:t>（6）与本项目的监理人或代建人或采购代理机构同为一个法定代表人的；</w:t>
      </w:r>
    </w:p>
    <w:p>
      <w:pPr>
        <w:spacing w:line="360" w:lineRule="auto"/>
        <w:ind w:firstLine="420" w:firstLineChars="200"/>
        <w:rPr>
          <w:rFonts w:ascii="宋体" w:hAnsi="宋体" w:cs="宋体"/>
          <w:bCs/>
          <w:szCs w:val="21"/>
        </w:rPr>
      </w:pPr>
      <w:r>
        <w:rPr>
          <w:rFonts w:hint="eastAsia" w:ascii="宋体" w:hAnsi="宋体" w:cs="宋体"/>
          <w:bCs/>
          <w:szCs w:val="21"/>
        </w:rPr>
        <w:t>（7）与本项目的监理人或代建人或采购代理机构相互控股或参股的；</w:t>
      </w:r>
    </w:p>
    <w:p>
      <w:pPr>
        <w:spacing w:line="360" w:lineRule="auto"/>
        <w:ind w:firstLine="420" w:firstLineChars="200"/>
        <w:rPr>
          <w:rFonts w:ascii="宋体" w:hAnsi="宋体" w:cs="宋体"/>
          <w:bCs/>
          <w:szCs w:val="21"/>
        </w:rPr>
      </w:pPr>
      <w:r>
        <w:rPr>
          <w:rFonts w:hint="eastAsia" w:ascii="宋体" w:hAnsi="宋体" w:cs="宋体"/>
          <w:bCs/>
          <w:szCs w:val="21"/>
        </w:rPr>
        <w:t>（8）与本项目的监理人或代建人或采购代理机构相互任职或工作的；</w:t>
      </w:r>
    </w:p>
    <w:p>
      <w:pPr>
        <w:pStyle w:val="23"/>
        <w:spacing w:line="360" w:lineRule="auto"/>
        <w:ind w:firstLine="420" w:firstLineChars="200"/>
        <w:rPr>
          <w:rFonts w:hAnsi="宋体" w:eastAsia="宋体" w:cs="宋体"/>
          <w:bCs/>
          <w:szCs w:val="21"/>
        </w:rPr>
      </w:pPr>
      <w:r>
        <w:rPr>
          <w:rFonts w:hint="eastAsia" w:hAnsi="宋体" w:eastAsia="宋体" w:cs="宋体"/>
          <w:bCs/>
          <w:szCs w:val="21"/>
        </w:rPr>
        <w:t>（9）被责令停业的；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（10）被暂停或取消磋商资格的；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（11）财产被接管或冻结的；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（12）有骗取中标或严重违约或重大工程质量问题的（各有关机构作出的限制投标决定，对本项目产生直接影响且在有效期内的）；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（13）被市场监督管理部门列入经营异常名录的（以信用中国查询为准）；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（14）被列入严重违法失信企业名单的（以国家企业信用公示系统查询为准）；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（15）被人民法院公布的失信被执行人（以信用中国查询为准）；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（16）被列入重大税收违法案件当事人名单的（以信用中国查询为准）；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（17）有行贿犯罪记录的。</w:t>
      </w:r>
    </w:p>
    <w:p>
      <w:pPr>
        <w:pStyle w:val="23"/>
        <w:spacing w:line="360" w:lineRule="auto"/>
        <w:ind w:firstLine="420" w:firstLineChars="200"/>
        <w:rPr>
          <w:rFonts w:hAnsi="宋体" w:eastAsia="宋体" w:cs="宋体"/>
          <w:szCs w:val="21"/>
        </w:rPr>
      </w:pPr>
      <w:r>
        <w:rPr>
          <w:rFonts w:hint="eastAsia" w:hAnsi="宋体" w:eastAsia="宋体" w:cs="宋体"/>
          <w:szCs w:val="21"/>
        </w:rPr>
        <w:t>注：信用中国及国家企业信用公示系统查询信息，以磋商时间截止后采购人、采购代理机构在信用中国及国家企业信用公示系统网站查询结果为准。</w:t>
      </w:r>
    </w:p>
    <w:p>
      <w:pPr>
        <w:spacing w:line="360" w:lineRule="auto"/>
        <w:ind w:firstLine="420" w:firstLineChars="200"/>
      </w:pPr>
      <w:r>
        <w:rPr>
          <w:rFonts w:hint="eastAsia" w:ascii="宋体" w:hAnsi="宋体" w:cs="宋体"/>
          <w:szCs w:val="21"/>
        </w:rPr>
        <w:t>2.5.成交供应商：接受成交通知书，最终被授予合同的供应商；</w:t>
      </w:r>
    </w:p>
    <w:p>
      <w:pPr>
        <w:spacing w:line="360" w:lineRule="auto"/>
        <w:ind w:firstLine="420" w:firstLineChars="200"/>
        <w:rPr>
          <w:rFonts w:ascii="宋体" w:hAnsi="宋体" w:cs="宋体"/>
          <w:szCs w:val="21"/>
        </w:rPr>
      </w:pPr>
      <w:r>
        <w:rPr>
          <w:rFonts w:hint="eastAsia" w:ascii="宋体" w:hAnsi="宋体" w:cs="宋体"/>
          <w:szCs w:val="21"/>
        </w:rPr>
        <w:t>2.6.响应文件：指供应商根据竞争性磋商文件提交的所有文件；</w:t>
      </w:r>
    </w:p>
    <w:p>
      <w:pPr>
        <w:spacing w:line="360" w:lineRule="auto"/>
        <w:ind w:firstLine="420" w:firstLineChars="200"/>
        <w:rPr>
          <w:rFonts w:ascii="宋体" w:hAnsi="宋体" w:cs="宋体"/>
          <w:szCs w:val="21"/>
        </w:rPr>
      </w:pPr>
      <w:r>
        <w:rPr>
          <w:rFonts w:hint="eastAsia" w:ascii="宋体" w:hAnsi="宋体" w:cs="宋体"/>
          <w:szCs w:val="21"/>
        </w:rPr>
        <w:t>2.7.货物或服务：按照竞争性磋商文件规定，供应商向采购人提供的货物或服务；</w:t>
      </w:r>
    </w:p>
    <w:p>
      <w:pPr>
        <w:spacing w:line="360" w:lineRule="auto"/>
        <w:ind w:firstLine="420" w:firstLineChars="200"/>
        <w:rPr>
          <w:rFonts w:ascii="宋体" w:hAnsi="宋体" w:cs="宋体"/>
          <w:szCs w:val="21"/>
        </w:rPr>
      </w:pPr>
      <w:r>
        <w:rPr>
          <w:rFonts w:hint="eastAsia" w:ascii="宋体" w:hAnsi="宋体" w:cs="宋体"/>
          <w:szCs w:val="21"/>
        </w:rPr>
        <w:t>2.8.“重大违法行为”系指供应商因违法经营受到刑事处罚或者责令停业停产、吊销许可证或者执照、较大数额罚款等行政处罚；</w:t>
      </w:r>
    </w:p>
    <w:p>
      <w:pPr>
        <w:spacing w:line="360" w:lineRule="auto"/>
        <w:ind w:firstLine="420" w:firstLineChars="200"/>
        <w:rPr>
          <w:rFonts w:ascii="宋体" w:hAnsi="宋体" w:cs="宋体"/>
          <w:szCs w:val="21"/>
        </w:rPr>
      </w:pPr>
      <w:r>
        <w:rPr>
          <w:rFonts w:hint="eastAsia" w:ascii="宋体" w:hAnsi="宋体" w:cs="宋体"/>
          <w:szCs w:val="21"/>
        </w:rPr>
        <w:t>2.9.“法定代表人”系指法人单位（企业）法人营业执照（或登记证书）上注明的法定代表人；如为其他组织或个体经营者参加磋商的，指营业执照（或登记证书）上注明的负责人或经营者。</w:t>
      </w:r>
    </w:p>
    <w:p>
      <w:pPr>
        <w:numPr>
          <w:ilvl w:val="0"/>
          <w:numId w:val="2"/>
        </w:numPr>
        <w:spacing w:line="360" w:lineRule="auto"/>
        <w:rPr>
          <w:rFonts w:ascii="宋体" w:hAnsi="宋体" w:cs="宋体"/>
          <w:b/>
          <w:bCs/>
          <w:szCs w:val="21"/>
        </w:rPr>
      </w:pPr>
      <w:r>
        <w:rPr>
          <w:rFonts w:hint="eastAsia" w:ascii="宋体" w:hAnsi="宋体" w:cs="宋体"/>
          <w:b/>
          <w:bCs/>
          <w:szCs w:val="21"/>
        </w:rPr>
        <w:t>通知</w:t>
      </w:r>
    </w:p>
    <w:p>
      <w:pPr>
        <w:spacing w:line="360" w:lineRule="auto"/>
        <w:ind w:firstLine="420" w:firstLineChars="200"/>
        <w:rPr>
          <w:rFonts w:ascii="宋体" w:hAnsi="宋体" w:cs="宋体"/>
          <w:szCs w:val="21"/>
        </w:rPr>
      </w:pPr>
      <w:r>
        <w:rPr>
          <w:rFonts w:hint="eastAsia" w:ascii="宋体" w:hAnsi="宋体" w:cs="宋体"/>
          <w:szCs w:val="21"/>
        </w:rPr>
        <w:t>对与本项目有关的通知（包括澄清、修改、补充等），采购代理机构将在《中国招标投标公共服务平台》、《河南省电子招标投标公共服务平台》、《河南省政府采购网》、《焦作市公共资源交易中心网》、《武陟县公共资源交易中心网》相关媒体上以书面形式向供应商发出，各供应商应当时刻关注以上网站所发出关于本项目的相关通知。</w:t>
      </w:r>
    </w:p>
    <w:p>
      <w:pPr>
        <w:numPr>
          <w:ilvl w:val="0"/>
          <w:numId w:val="2"/>
        </w:numPr>
        <w:spacing w:line="360" w:lineRule="auto"/>
        <w:rPr>
          <w:rFonts w:ascii="宋体" w:hAnsi="宋体" w:cs="宋体"/>
          <w:b/>
          <w:szCs w:val="21"/>
        </w:rPr>
      </w:pPr>
      <w:r>
        <w:rPr>
          <w:rFonts w:hint="eastAsia" w:ascii="宋体" w:hAnsi="宋体" w:cs="宋体"/>
          <w:b/>
          <w:szCs w:val="21"/>
        </w:rPr>
        <w:t>磋商费用</w:t>
      </w:r>
    </w:p>
    <w:p>
      <w:pPr>
        <w:spacing w:line="360" w:lineRule="auto"/>
        <w:ind w:firstLine="420" w:firstLineChars="200"/>
        <w:rPr>
          <w:rFonts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pStyle w:val="5"/>
        <w:spacing w:before="0" w:after="0" w:line="360" w:lineRule="auto"/>
        <w:jc w:val="center"/>
        <w:rPr>
          <w:rFonts w:ascii="宋体" w:hAnsi="宋体" w:eastAsia="宋体" w:cs="宋体"/>
          <w:sz w:val="36"/>
          <w:szCs w:val="36"/>
        </w:rPr>
      </w:pPr>
      <w:bookmarkStart w:id="21" w:name="_Toc487805904"/>
      <w:bookmarkStart w:id="22" w:name="_Toc490161261"/>
      <w:bookmarkStart w:id="23" w:name="_Toc27890"/>
      <w:bookmarkStart w:id="24" w:name="_Toc373230024"/>
      <w:bookmarkStart w:id="25" w:name="_Toc25496"/>
      <w:bookmarkStart w:id="26" w:name="_Toc23018"/>
      <w:bookmarkStart w:id="27" w:name="_Toc49166040"/>
      <w:bookmarkStart w:id="28" w:name="_Toc48808912"/>
      <w:bookmarkStart w:id="29" w:name="_Toc48809194"/>
      <w:bookmarkStart w:id="30" w:name="_Toc477423244"/>
      <w:bookmarkStart w:id="31" w:name="_Toc461962052"/>
      <w:bookmarkStart w:id="32" w:name="_Toc22215061"/>
      <w:bookmarkStart w:id="33" w:name="_Toc374512411"/>
      <w:r>
        <w:rPr>
          <w:rFonts w:hint="eastAsia" w:ascii="宋体" w:hAnsi="宋体" w:eastAsia="宋体" w:cs="宋体"/>
          <w:sz w:val="36"/>
          <w:szCs w:val="36"/>
        </w:rPr>
        <w:t>二、磋商文件</w:t>
      </w:r>
      <w:bookmarkEnd w:id="21"/>
      <w:bookmarkEnd w:id="22"/>
      <w:bookmarkEnd w:id="23"/>
      <w:bookmarkEnd w:id="24"/>
      <w:bookmarkEnd w:id="25"/>
      <w:bookmarkEnd w:id="26"/>
      <w:bookmarkEnd w:id="27"/>
      <w:bookmarkEnd w:id="28"/>
      <w:bookmarkEnd w:id="29"/>
      <w:bookmarkEnd w:id="30"/>
      <w:bookmarkEnd w:id="31"/>
      <w:bookmarkEnd w:id="32"/>
      <w:bookmarkEnd w:id="33"/>
    </w:p>
    <w:p>
      <w:pPr>
        <w:numPr>
          <w:ilvl w:val="0"/>
          <w:numId w:val="2"/>
        </w:numPr>
        <w:spacing w:line="360" w:lineRule="auto"/>
        <w:rPr>
          <w:rFonts w:ascii="宋体" w:hAnsi="宋体" w:cs="宋体"/>
          <w:b/>
          <w:szCs w:val="21"/>
        </w:rPr>
      </w:pPr>
      <w:r>
        <w:rPr>
          <w:rFonts w:hint="eastAsia" w:ascii="宋体" w:hAnsi="宋体" w:cs="宋体"/>
          <w:b/>
          <w:szCs w:val="21"/>
        </w:rPr>
        <w:t>磋商文件的组成</w:t>
      </w:r>
    </w:p>
    <w:p>
      <w:pPr>
        <w:spacing w:line="360" w:lineRule="auto"/>
        <w:ind w:firstLine="420" w:firstLineChars="200"/>
        <w:rPr>
          <w:rFonts w:ascii="宋体" w:hAnsi="宋体" w:cs="宋体"/>
          <w:szCs w:val="21"/>
        </w:rPr>
      </w:pPr>
      <w:r>
        <w:rPr>
          <w:rFonts w:hint="eastAsia" w:ascii="宋体" w:hAnsi="宋体" w:cs="宋体"/>
          <w:szCs w:val="21"/>
        </w:rPr>
        <w:t>5.1磋商文件包括下列内容：</w:t>
      </w:r>
    </w:p>
    <w:p>
      <w:pPr>
        <w:numPr>
          <w:ilvl w:val="5"/>
          <w:numId w:val="3"/>
        </w:numPr>
        <w:tabs>
          <w:tab w:val="left" w:pos="1442"/>
          <w:tab w:val="clear" w:pos="2535"/>
        </w:tabs>
        <w:spacing w:line="360" w:lineRule="auto"/>
        <w:ind w:left="0" w:firstLine="315" w:firstLineChars="150"/>
        <w:rPr>
          <w:rFonts w:ascii="宋体" w:hAnsi="宋体" w:cs="宋体"/>
          <w:szCs w:val="21"/>
        </w:rPr>
      </w:pPr>
      <w:r>
        <w:rPr>
          <w:rFonts w:hint="eastAsia" w:ascii="宋体" w:hAnsi="宋体" w:cs="宋体"/>
          <w:szCs w:val="21"/>
        </w:rPr>
        <w:t>竞争性磋商公告</w:t>
      </w:r>
    </w:p>
    <w:p>
      <w:pPr>
        <w:numPr>
          <w:ilvl w:val="5"/>
          <w:numId w:val="3"/>
        </w:numPr>
        <w:tabs>
          <w:tab w:val="left" w:pos="1442"/>
          <w:tab w:val="clear" w:pos="2535"/>
        </w:tabs>
        <w:spacing w:line="360" w:lineRule="auto"/>
        <w:ind w:left="0" w:firstLine="315" w:firstLineChars="150"/>
        <w:rPr>
          <w:rFonts w:ascii="宋体" w:hAnsi="宋体" w:cs="宋体"/>
          <w:szCs w:val="21"/>
        </w:rPr>
      </w:pPr>
      <w:r>
        <w:rPr>
          <w:rFonts w:hint="eastAsia" w:ascii="宋体" w:hAnsi="宋体" w:cs="宋体"/>
          <w:szCs w:val="21"/>
        </w:rPr>
        <w:t>供应商须知</w:t>
      </w:r>
    </w:p>
    <w:p>
      <w:pPr>
        <w:numPr>
          <w:ilvl w:val="5"/>
          <w:numId w:val="3"/>
        </w:numPr>
        <w:tabs>
          <w:tab w:val="left" w:pos="1442"/>
          <w:tab w:val="clear" w:pos="2535"/>
        </w:tabs>
        <w:spacing w:line="360" w:lineRule="auto"/>
        <w:ind w:left="0" w:firstLine="315" w:firstLineChars="150"/>
        <w:rPr>
          <w:rFonts w:ascii="宋体" w:hAnsi="宋体" w:cs="宋体"/>
          <w:szCs w:val="21"/>
        </w:rPr>
      </w:pPr>
      <w:r>
        <w:rPr>
          <w:rFonts w:hint="eastAsia" w:ascii="宋体" w:hAnsi="宋体" w:cs="宋体"/>
          <w:szCs w:val="21"/>
        </w:rPr>
        <w:t>评审办法</w:t>
      </w:r>
    </w:p>
    <w:p>
      <w:pPr>
        <w:numPr>
          <w:ilvl w:val="5"/>
          <w:numId w:val="3"/>
        </w:numPr>
        <w:tabs>
          <w:tab w:val="left" w:pos="1442"/>
          <w:tab w:val="clear" w:pos="2535"/>
        </w:tabs>
        <w:spacing w:line="360" w:lineRule="auto"/>
        <w:ind w:left="0" w:firstLine="315" w:firstLineChars="150"/>
        <w:rPr>
          <w:rFonts w:ascii="宋体" w:hAnsi="宋体" w:cs="宋体"/>
          <w:szCs w:val="21"/>
        </w:rPr>
      </w:pPr>
      <w:r>
        <w:rPr>
          <w:rFonts w:hint="eastAsia" w:asciiTheme="minorEastAsia" w:hAnsiTheme="minorEastAsia" w:eastAsiaTheme="minorEastAsia" w:cstheme="minorEastAsia"/>
          <w:szCs w:val="21"/>
        </w:rPr>
        <w:t>合同条款及格式</w:t>
      </w:r>
    </w:p>
    <w:p>
      <w:pPr>
        <w:numPr>
          <w:ilvl w:val="5"/>
          <w:numId w:val="3"/>
        </w:numPr>
        <w:tabs>
          <w:tab w:val="left" w:pos="1442"/>
          <w:tab w:val="clear" w:pos="2535"/>
        </w:tabs>
        <w:spacing w:line="360" w:lineRule="auto"/>
        <w:ind w:left="0" w:firstLine="315" w:firstLineChars="150"/>
        <w:rPr>
          <w:rFonts w:ascii="宋体" w:hAnsi="宋体" w:cs="宋体"/>
          <w:szCs w:val="21"/>
        </w:rPr>
      </w:pPr>
      <w:r>
        <w:rPr>
          <w:rFonts w:hint="eastAsia" w:ascii="宋体" w:hAnsi="宋体" w:cs="宋体"/>
          <w:szCs w:val="21"/>
        </w:rPr>
        <w:t>采购需求</w:t>
      </w:r>
    </w:p>
    <w:p>
      <w:pPr>
        <w:numPr>
          <w:ilvl w:val="5"/>
          <w:numId w:val="3"/>
        </w:numPr>
        <w:tabs>
          <w:tab w:val="left" w:pos="1442"/>
          <w:tab w:val="clear" w:pos="2535"/>
        </w:tabs>
        <w:spacing w:line="360" w:lineRule="auto"/>
        <w:ind w:left="0" w:firstLine="315" w:firstLineChars="150"/>
        <w:rPr>
          <w:rFonts w:ascii="宋体" w:hAnsi="宋体" w:cs="宋体"/>
          <w:szCs w:val="21"/>
        </w:rPr>
      </w:pPr>
      <w:r>
        <w:rPr>
          <w:rFonts w:hint="eastAsia" w:ascii="宋体" w:hAnsi="宋体" w:cs="宋体"/>
          <w:szCs w:val="21"/>
        </w:rPr>
        <w:t>响应文件格式</w:t>
      </w:r>
    </w:p>
    <w:p>
      <w:pPr>
        <w:spacing w:line="360" w:lineRule="auto"/>
        <w:ind w:firstLine="420" w:firstLineChars="200"/>
        <w:rPr>
          <w:rFonts w:ascii="宋体" w:hAnsi="宋体" w:cs="宋体"/>
          <w:szCs w:val="21"/>
        </w:rPr>
      </w:pPr>
      <w:r>
        <w:rPr>
          <w:rFonts w:hint="eastAsia" w:ascii="宋体" w:hAnsi="宋体" w:cs="宋体"/>
          <w:szCs w:val="21"/>
        </w:rPr>
        <w:t>5.2除以上内容外，采购代理机构在提交响应文件截止时间前，在《中国招标投标公共服务平台》、《河南省电子招标投标公共服务平台》、《河南省政府采购网》、《焦作市公共资源交易中心网》、《武陟县公共资源交易中心网》网上发出的对磋商文件的澄清或修改内容，均为磋商文件的组成部分，对采购人和供应商起约束作用；</w:t>
      </w:r>
    </w:p>
    <w:p>
      <w:pPr>
        <w:spacing w:line="360" w:lineRule="auto"/>
        <w:ind w:firstLine="420" w:firstLineChars="200"/>
        <w:rPr>
          <w:rFonts w:ascii="宋体" w:hAnsi="宋体" w:cs="宋体"/>
          <w:szCs w:val="21"/>
        </w:rPr>
      </w:pPr>
      <w:r>
        <w:rPr>
          <w:rFonts w:hint="eastAsia" w:ascii="宋体" w:hAnsi="宋体" w:cs="宋体"/>
          <w:szCs w:val="21"/>
        </w:rPr>
        <w:t>5.3.供应商获取磋商文件后，应仔细检查磋商文件的所有内容，如有问题应在获得竞争性磋商文件后立即登陆焦作市公共资源交易中心网站，并进入在线招标系统提出，要求采购人对竞争性磋商文件予以澄清。否则，由此引起的损失由供应商自己承担。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2"/>
        </w:numPr>
        <w:spacing w:line="360" w:lineRule="auto"/>
        <w:rPr>
          <w:rFonts w:ascii="宋体" w:hAnsi="宋体" w:cs="宋体"/>
          <w:b/>
          <w:szCs w:val="21"/>
        </w:rPr>
      </w:pPr>
      <w:r>
        <w:rPr>
          <w:rFonts w:hint="eastAsia" w:ascii="宋体" w:hAnsi="宋体" w:cs="宋体"/>
          <w:b/>
          <w:szCs w:val="21"/>
        </w:rPr>
        <w:t>磋商文件的澄清或修改</w:t>
      </w:r>
    </w:p>
    <w:p>
      <w:pPr>
        <w:spacing w:line="360" w:lineRule="auto"/>
        <w:ind w:firstLine="420" w:firstLineChars="200"/>
        <w:rPr>
          <w:rFonts w:ascii="宋体" w:hAnsi="宋体" w:cs="宋体"/>
          <w:szCs w:val="21"/>
        </w:rPr>
      </w:pPr>
      <w:r>
        <w:rPr>
          <w:rFonts w:hint="eastAsia" w:ascii="宋体" w:hAnsi="宋体" w:cs="宋体"/>
          <w:szCs w:val="21"/>
        </w:rPr>
        <w:t>6.1.磋商文件发出后，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pPr>
        <w:spacing w:line="360" w:lineRule="auto"/>
        <w:ind w:firstLine="420" w:firstLineChars="200"/>
        <w:jc w:val="left"/>
        <w:rPr>
          <w:rFonts w:ascii="宋体" w:hAnsi="宋体" w:cs="宋体"/>
          <w:szCs w:val="21"/>
        </w:rPr>
      </w:pPr>
      <w:r>
        <w:rPr>
          <w:rFonts w:hint="eastAsia" w:ascii="宋体" w:hAnsi="宋体" w:cs="宋体"/>
          <w:szCs w:val="21"/>
        </w:rPr>
        <w:t>6.2.磋商文件的澄清、修改、补充等在同一内容的表述不一致时，以最后发出的文件为准；</w:t>
      </w:r>
    </w:p>
    <w:p>
      <w:pPr>
        <w:spacing w:line="360" w:lineRule="auto"/>
        <w:ind w:firstLine="420" w:firstLineChars="200"/>
        <w:jc w:val="left"/>
        <w:rPr>
          <w:rFonts w:ascii="宋体" w:hAnsi="宋体" w:cs="宋体"/>
          <w:szCs w:val="21"/>
        </w:rPr>
      </w:pPr>
      <w:r>
        <w:rPr>
          <w:rFonts w:hint="eastAsia" w:ascii="宋体" w:hAnsi="宋体" w:cs="宋体"/>
          <w:szCs w:val="21"/>
        </w:rPr>
        <w:t>6.3.为使供应商在编制响应文件时有充分的时间对磋商文件的澄清、修改、补充等内容进行研究，采购人将酌情延长提交响应文件的截止时间，具体时间将在磋商文件的修改、补充通知中予以明确。</w:t>
      </w:r>
    </w:p>
    <w:p>
      <w:pPr>
        <w:pStyle w:val="5"/>
        <w:spacing w:before="0" w:after="0" w:line="360" w:lineRule="auto"/>
        <w:ind w:firstLine="2700" w:firstLineChars="750"/>
        <w:rPr>
          <w:rFonts w:ascii="宋体" w:hAnsi="宋体" w:eastAsia="宋体" w:cs="宋体"/>
          <w:sz w:val="36"/>
          <w:szCs w:val="36"/>
        </w:rPr>
      </w:pPr>
      <w:bookmarkStart w:id="34" w:name="_Toc461962053"/>
      <w:bookmarkStart w:id="35" w:name="_Toc48809195"/>
      <w:bookmarkStart w:id="36" w:name="_Toc305"/>
      <w:bookmarkStart w:id="37" w:name="_Toc373230025"/>
      <w:bookmarkStart w:id="38" w:name="_Toc477423245"/>
      <w:bookmarkStart w:id="39" w:name="_Toc49166041"/>
      <w:bookmarkStart w:id="40" w:name="_Toc9656"/>
      <w:bookmarkStart w:id="41" w:name="_Toc26181"/>
      <w:bookmarkStart w:id="42" w:name="_Toc487805905"/>
      <w:bookmarkStart w:id="43" w:name="_Toc374512412"/>
      <w:bookmarkStart w:id="44" w:name="_Toc490161262"/>
      <w:bookmarkStart w:id="45" w:name="_Toc48808913"/>
      <w:bookmarkStart w:id="46" w:name="_Toc22215062"/>
      <w:r>
        <w:rPr>
          <w:rFonts w:hint="eastAsia" w:ascii="宋体" w:hAnsi="宋体" w:eastAsia="宋体" w:cs="宋体"/>
          <w:sz w:val="36"/>
          <w:szCs w:val="36"/>
        </w:rPr>
        <w:t>三、响应文件的编制</w:t>
      </w:r>
      <w:bookmarkEnd w:id="34"/>
      <w:bookmarkEnd w:id="35"/>
      <w:bookmarkEnd w:id="36"/>
      <w:bookmarkEnd w:id="37"/>
      <w:bookmarkEnd w:id="38"/>
      <w:bookmarkEnd w:id="39"/>
      <w:bookmarkEnd w:id="40"/>
      <w:bookmarkEnd w:id="41"/>
      <w:bookmarkEnd w:id="42"/>
      <w:bookmarkEnd w:id="43"/>
      <w:bookmarkEnd w:id="44"/>
      <w:bookmarkEnd w:id="45"/>
      <w:bookmarkEnd w:id="46"/>
    </w:p>
    <w:p>
      <w:pPr>
        <w:numPr>
          <w:ilvl w:val="0"/>
          <w:numId w:val="2"/>
        </w:numPr>
        <w:spacing w:line="360" w:lineRule="auto"/>
        <w:rPr>
          <w:rFonts w:ascii="宋体" w:hAnsi="宋体" w:cs="宋体"/>
          <w:b/>
          <w:szCs w:val="21"/>
        </w:rPr>
      </w:pPr>
      <w:r>
        <w:rPr>
          <w:rFonts w:hint="eastAsia" w:ascii="宋体" w:hAnsi="宋体" w:cs="宋体"/>
          <w:b/>
          <w:szCs w:val="21"/>
        </w:rPr>
        <w:t>响应文件的语言及度量衡单位</w:t>
      </w:r>
    </w:p>
    <w:p>
      <w:pPr>
        <w:spacing w:line="360" w:lineRule="auto"/>
        <w:ind w:firstLine="420" w:firstLineChars="200"/>
        <w:rPr>
          <w:rFonts w:ascii="宋体" w:hAnsi="宋体" w:cs="宋体"/>
          <w:szCs w:val="21"/>
        </w:rPr>
      </w:pPr>
      <w:r>
        <w:rPr>
          <w:rFonts w:hint="eastAsia" w:ascii="宋体" w:hAnsi="宋体" w:cs="宋体"/>
          <w:szCs w:val="21"/>
        </w:rPr>
        <w:t>7.1响应文件和与磋商有关的所有文件均应使用</w:t>
      </w:r>
      <w:r>
        <w:rPr>
          <w:rFonts w:hint="eastAsia" w:ascii="宋体" w:hAnsi="宋体" w:cs="宋体"/>
          <w:szCs w:val="21"/>
          <w:u w:val="single"/>
        </w:rPr>
        <w:t xml:space="preserve"> 中文 </w:t>
      </w:r>
      <w:r>
        <w:rPr>
          <w:rFonts w:hint="eastAsia" w:ascii="宋体" w:hAnsi="宋体" w:cs="宋体"/>
          <w:szCs w:val="21"/>
        </w:rPr>
        <w:t>，供应商提交的支持资料和已印制的文献可以用另一种语言，但相应内容应附有中文翻译本，并提供附有公证书的中文翻译文件或者与原版文件签章相一致的中文翻译文件，在解释响应文件时以中文翻译本为准；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spacing w:line="360" w:lineRule="auto"/>
        <w:ind w:firstLine="420" w:firstLineChars="200"/>
        <w:rPr>
          <w:rFonts w:ascii="宋体" w:hAnsi="宋体" w:cs="宋体"/>
          <w:szCs w:val="21"/>
        </w:rPr>
      </w:pPr>
      <w:r>
        <w:rPr>
          <w:rFonts w:hint="eastAsia" w:ascii="宋体" w:hAnsi="宋体" w:cs="宋体"/>
          <w:szCs w:val="21"/>
        </w:rPr>
        <w:t>7.2除相关技术规范另有规定外，响应文件使用的度量衡单位，均采用中华人民共和国法定计量单位；</w:t>
      </w:r>
    </w:p>
    <w:p>
      <w:pPr>
        <w:spacing w:line="360" w:lineRule="auto"/>
        <w:ind w:firstLine="420" w:firstLineChars="200"/>
        <w:rPr>
          <w:rFonts w:ascii="宋体" w:hAnsi="宋体" w:cs="宋体"/>
          <w:szCs w:val="21"/>
        </w:rPr>
      </w:pPr>
      <w:r>
        <w:rPr>
          <w:rFonts w:hint="eastAsia" w:ascii="宋体" w:hAnsi="宋体" w:cs="宋体"/>
          <w:szCs w:val="21"/>
        </w:rPr>
        <w:t>7.3本竞争性磋商文件所表述的时间均为北京时间(以武陟县公共资源交易中心开标厅电子时钟为准)。</w:t>
      </w:r>
    </w:p>
    <w:p>
      <w:pPr>
        <w:numPr>
          <w:ilvl w:val="0"/>
          <w:numId w:val="2"/>
        </w:numPr>
        <w:spacing w:line="360" w:lineRule="auto"/>
        <w:rPr>
          <w:rFonts w:ascii="宋体" w:hAnsi="宋体" w:cs="宋体"/>
          <w:b/>
          <w:szCs w:val="21"/>
        </w:rPr>
      </w:pPr>
      <w:r>
        <w:rPr>
          <w:rFonts w:hint="eastAsia" w:ascii="宋体" w:hAnsi="宋体" w:cs="宋体"/>
          <w:b/>
          <w:szCs w:val="21"/>
        </w:rPr>
        <w:t>响应文件的组成</w:t>
      </w:r>
    </w:p>
    <w:p>
      <w:pPr>
        <w:spacing w:line="360" w:lineRule="auto"/>
        <w:ind w:firstLine="315" w:firstLineChars="150"/>
        <w:rPr>
          <w:rFonts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2"/>
        </w:numPr>
        <w:spacing w:line="360" w:lineRule="auto"/>
        <w:rPr>
          <w:rFonts w:ascii="宋体" w:hAnsi="宋体" w:cs="宋体"/>
          <w:b/>
          <w:szCs w:val="21"/>
        </w:rPr>
      </w:pPr>
      <w:r>
        <w:rPr>
          <w:rFonts w:hint="eastAsia" w:ascii="宋体" w:hAnsi="宋体" w:cs="宋体"/>
          <w:b/>
          <w:szCs w:val="21"/>
        </w:rPr>
        <w:t>报价</w:t>
      </w:r>
    </w:p>
    <w:p>
      <w:pPr>
        <w:spacing w:line="360" w:lineRule="auto"/>
        <w:ind w:firstLine="420" w:firstLineChars="200"/>
        <w:rPr>
          <w:rFonts w:ascii="宋体" w:hAnsi="宋体" w:cs="宋体"/>
          <w:szCs w:val="21"/>
        </w:rPr>
      </w:pPr>
      <w:r>
        <w:rPr>
          <w:rFonts w:hint="eastAsia" w:ascii="宋体" w:hAnsi="宋体" w:cs="宋体"/>
          <w:szCs w:val="21"/>
        </w:rPr>
        <w:t>9.1.报价包括所投入的全部人工成本、安装、调试、差旅费、现场管理费、企业管理费、评审费用、利润和税金等所有费用。</w:t>
      </w:r>
    </w:p>
    <w:p>
      <w:pPr>
        <w:spacing w:line="360" w:lineRule="auto"/>
        <w:ind w:firstLine="420" w:firstLineChars="200"/>
        <w:rPr>
          <w:rFonts w:ascii="宋体" w:hAnsi="宋体" w:cs="宋体"/>
          <w:szCs w:val="21"/>
        </w:rPr>
      </w:pPr>
      <w:r>
        <w:rPr>
          <w:rFonts w:hint="eastAsia" w:ascii="宋体" w:hAnsi="宋体" w:cs="宋体"/>
          <w:szCs w:val="21"/>
        </w:rPr>
        <w:t>9.2.响应文件中的报价并非最后报价，在磋商结束后由供应商在规定时间内提交最后报价，磋商小组根据供应商的综合得分确定成交供应商，成交供应商其最后的报价为成交价。</w:t>
      </w:r>
    </w:p>
    <w:p>
      <w:pPr>
        <w:spacing w:line="360" w:lineRule="auto"/>
        <w:ind w:firstLine="420" w:firstLineChars="200"/>
        <w:rPr>
          <w:rFonts w:ascii="宋体" w:hAnsi="宋体"/>
          <w:szCs w:val="21"/>
        </w:rPr>
      </w:pPr>
      <w:r>
        <w:rPr>
          <w:rFonts w:hint="eastAsia" w:ascii="宋体" w:hAnsi="宋体"/>
          <w:szCs w:val="21"/>
        </w:rPr>
        <w:t>9.3第二轮报价需单独提供。</w:t>
      </w:r>
    </w:p>
    <w:p>
      <w:pPr>
        <w:spacing w:line="360" w:lineRule="auto"/>
        <w:ind w:firstLine="420" w:firstLineChars="200"/>
        <w:rPr>
          <w:rFonts w:ascii="宋体" w:hAnsi="宋体"/>
          <w:szCs w:val="21"/>
        </w:rPr>
      </w:pPr>
      <w:r>
        <w:rPr>
          <w:rFonts w:hint="eastAsia" w:ascii="宋体" w:hAnsi="宋体"/>
          <w:szCs w:val="21"/>
        </w:rPr>
        <w:t xml:space="preserve">9.4采购机构不接受有选择的报价。 </w:t>
      </w:r>
    </w:p>
    <w:p>
      <w:pPr>
        <w:spacing w:line="360" w:lineRule="auto"/>
        <w:ind w:firstLine="420" w:firstLineChars="200"/>
        <w:rPr>
          <w:rFonts w:ascii="宋体" w:hAnsi="宋体"/>
          <w:szCs w:val="21"/>
        </w:rPr>
      </w:pPr>
      <w:r>
        <w:rPr>
          <w:rFonts w:hint="eastAsia" w:ascii="宋体" w:hAnsi="宋体"/>
          <w:szCs w:val="21"/>
        </w:rPr>
        <w:t>9.5 报价不得超过</w:t>
      </w:r>
      <w:r>
        <w:rPr>
          <w:rFonts w:hint="eastAsia" w:ascii="宋体" w:hAnsi="Times New Roman" w:cs="宋体"/>
          <w:szCs w:val="21"/>
        </w:rPr>
        <w:t>最高磋商限价</w:t>
      </w:r>
      <w:r>
        <w:rPr>
          <w:rFonts w:hint="eastAsia" w:ascii="宋体" w:hAnsi="宋体"/>
          <w:szCs w:val="21"/>
        </w:rPr>
        <w:t xml:space="preserve">。 </w:t>
      </w:r>
    </w:p>
    <w:p>
      <w:pPr>
        <w:spacing w:line="360" w:lineRule="auto"/>
        <w:ind w:firstLine="420" w:firstLineChars="200"/>
        <w:rPr>
          <w:rFonts w:ascii="宋体" w:hAnsi="宋体"/>
          <w:szCs w:val="21"/>
        </w:rPr>
      </w:pPr>
      <w:r>
        <w:rPr>
          <w:rFonts w:hint="eastAsia" w:ascii="宋体" w:hAnsi="宋体"/>
          <w:szCs w:val="21"/>
        </w:rPr>
        <w:t>9.6报价均须以人民币为计算单位。</w:t>
      </w:r>
    </w:p>
    <w:p>
      <w:pPr>
        <w:spacing w:line="360" w:lineRule="auto"/>
        <w:ind w:firstLine="420" w:firstLineChars="200"/>
        <w:rPr>
          <w:rFonts w:ascii="宋体" w:hAnsi="宋体"/>
          <w:szCs w:val="21"/>
        </w:rPr>
      </w:pPr>
      <w:r>
        <w:rPr>
          <w:rFonts w:hint="eastAsia" w:ascii="宋体" w:hAnsi="宋体"/>
          <w:szCs w:val="21"/>
        </w:rPr>
        <w:t>小微企业应当提供《中小企业声明函》（见格式），否则不予认可。</w:t>
      </w:r>
    </w:p>
    <w:p>
      <w:pPr>
        <w:spacing w:line="360" w:lineRule="auto"/>
        <w:ind w:firstLine="420" w:firstLineChars="200"/>
        <w:rPr>
          <w:rFonts w:ascii="宋体" w:hAnsi="宋体"/>
          <w:b/>
          <w:szCs w:val="21"/>
        </w:rPr>
      </w:pPr>
      <w:r>
        <w:rPr>
          <w:rFonts w:hint="eastAsia" w:ascii="宋体" w:hAnsi="宋体"/>
          <w:b/>
          <w:szCs w:val="21"/>
        </w:rPr>
        <w:t>备注：</w:t>
      </w:r>
    </w:p>
    <w:p>
      <w:pPr>
        <w:spacing w:line="360" w:lineRule="auto"/>
        <w:ind w:firstLine="420" w:firstLineChars="200"/>
        <w:rPr>
          <w:rFonts w:ascii="宋体" w:hAnsi="宋体"/>
          <w:b/>
          <w:szCs w:val="21"/>
        </w:rPr>
      </w:pPr>
      <w:r>
        <w:rPr>
          <w:rFonts w:hint="eastAsia" w:ascii="宋体" w:hAnsi="宋体"/>
          <w:b/>
          <w:szCs w:val="21"/>
        </w:rPr>
        <w:t xml:space="preserve">1、第二轮总报价为最终报价，且不高于第一轮报价，供应商在系统进行第二轮报价时，需以附件方式上传第二轮报价表电子版(PDF格式)，未提供第二轮报价表电子版（PDF）的视为无效标处理。 </w:t>
      </w:r>
    </w:p>
    <w:p>
      <w:pPr>
        <w:spacing w:line="360" w:lineRule="auto"/>
        <w:ind w:firstLine="420" w:firstLineChars="200"/>
      </w:pPr>
      <w:r>
        <w:rPr>
          <w:rFonts w:hint="eastAsia" w:ascii="宋体" w:hAnsi="宋体"/>
          <w:szCs w:val="21"/>
        </w:rPr>
        <w:t xml:space="preserve">2、供应商各分项报价应在市场价范围内报价，不得严重偏离市场报价。 </w:t>
      </w:r>
    </w:p>
    <w:p>
      <w:pPr>
        <w:numPr>
          <w:ilvl w:val="0"/>
          <w:numId w:val="2"/>
        </w:numPr>
        <w:spacing w:line="360" w:lineRule="auto"/>
        <w:rPr>
          <w:rFonts w:ascii="宋体" w:hAnsi="宋体" w:cs="宋体"/>
          <w:b/>
          <w:szCs w:val="21"/>
        </w:rPr>
      </w:pPr>
      <w:r>
        <w:rPr>
          <w:rFonts w:hint="eastAsia" w:ascii="宋体" w:hAnsi="宋体" w:cs="宋体"/>
          <w:b/>
          <w:szCs w:val="21"/>
        </w:rPr>
        <w:t>磋商货币</w:t>
      </w:r>
    </w:p>
    <w:p>
      <w:pPr>
        <w:spacing w:line="360" w:lineRule="auto"/>
        <w:ind w:firstLine="630" w:firstLineChars="300"/>
        <w:rPr>
          <w:rFonts w:ascii="宋体" w:hAnsi="宋体" w:cs="宋体"/>
          <w:szCs w:val="21"/>
        </w:rPr>
      </w:pPr>
      <w:r>
        <w:rPr>
          <w:rFonts w:hint="eastAsia" w:ascii="宋体" w:hAnsi="宋体" w:cs="宋体"/>
          <w:szCs w:val="21"/>
        </w:rPr>
        <w:t>供应商以人民币填报所有单价或价格，合同实施时亦以人民币支付。</w:t>
      </w:r>
    </w:p>
    <w:p>
      <w:pPr>
        <w:numPr>
          <w:ilvl w:val="0"/>
          <w:numId w:val="2"/>
        </w:numPr>
        <w:spacing w:line="360" w:lineRule="auto"/>
        <w:rPr>
          <w:rFonts w:ascii="宋体" w:hAnsi="宋体" w:cs="宋体"/>
          <w:b/>
          <w:szCs w:val="21"/>
        </w:rPr>
      </w:pPr>
      <w:r>
        <w:rPr>
          <w:rFonts w:hint="eastAsia" w:ascii="宋体" w:hAnsi="宋体" w:cs="宋体"/>
          <w:b/>
          <w:szCs w:val="21"/>
        </w:rPr>
        <w:t>磋商有效期</w:t>
      </w:r>
    </w:p>
    <w:p>
      <w:pPr>
        <w:spacing w:line="360" w:lineRule="auto"/>
        <w:ind w:firstLine="420" w:firstLineChars="200"/>
        <w:rPr>
          <w:rFonts w:ascii="宋体" w:hAnsi="宋体" w:cs="宋体"/>
          <w:szCs w:val="21"/>
        </w:rPr>
      </w:pPr>
      <w:r>
        <w:rPr>
          <w:rFonts w:hint="eastAsia" w:ascii="宋体" w:hAnsi="宋体" w:cs="宋体"/>
          <w:szCs w:val="21"/>
        </w:rPr>
        <w:t>11.1磋商有效期见本须知前附表所规定的期限，在此期限内，凡符合本磋商文件要求的响应文件均保持有效；</w:t>
      </w:r>
    </w:p>
    <w:p>
      <w:pPr>
        <w:spacing w:line="360" w:lineRule="auto"/>
        <w:ind w:firstLine="420" w:firstLineChars="200"/>
        <w:rPr>
          <w:rFonts w:ascii="宋体" w:hAnsi="宋体" w:cs="宋体"/>
          <w:szCs w:val="21"/>
        </w:rPr>
      </w:pPr>
      <w:r>
        <w:rPr>
          <w:rFonts w:hint="eastAsia" w:ascii="宋体" w:hAnsi="宋体" w:cs="宋体"/>
          <w:szCs w:val="21"/>
        </w:rPr>
        <w:t>11.2在特殊情况下，采购人可以根据需要向供应商提出延长磋商有效期的要求，对此要求供应商予以答复。供应商可以拒绝采购人这种要求，而不被没收磋商保证金。同意延长磋商有效期的供应商既不能要求也不允许修改其响应文件，但需要相应的延长磋商保证金的有效期，在延长的磋商有效期内，本须知第3.4条关于磋商保证金没收的规定仍然适用。</w:t>
      </w:r>
    </w:p>
    <w:p>
      <w:pPr>
        <w:numPr>
          <w:ilvl w:val="0"/>
          <w:numId w:val="2"/>
        </w:numPr>
        <w:spacing w:line="360" w:lineRule="auto"/>
        <w:rPr>
          <w:rFonts w:ascii="宋体" w:hAnsi="宋体" w:cs="宋体"/>
          <w:b/>
          <w:szCs w:val="21"/>
        </w:rPr>
      </w:pPr>
      <w:r>
        <w:rPr>
          <w:rFonts w:hint="eastAsia" w:ascii="宋体" w:hAnsi="宋体" w:cs="宋体"/>
          <w:b/>
          <w:szCs w:val="21"/>
        </w:rPr>
        <w:t>磋商保证金</w:t>
      </w:r>
    </w:p>
    <w:p>
      <w:pPr>
        <w:spacing w:line="360" w:lineRule="auto"/>
        <w:ind w:firstLine="420" w:firstLineChars="200"/>
        <w:rPr>
          <w:rFonts w:ascii="宋体" w:hAnsi="宋体" w:cs="宋体"/>
          <w:szCs w:val="21"/>
        </w:rPr>
      </w:pPr>
      <w:r>
        <w:rPr>
          <w:rFonts w:hint="eastAsia" w:ascii="宋体" w:hAnsi="宋体" w:cs="宋体"/>
          <w:szCs w:val="21"/>
        </w:rPr>
        <w:t>详见</w:t>
      </w:r>
      <w:r>
        <w:rPr>
          <w:rFonts w:hint="eastAsia" w:ascii="宋体" w:hAnsi="宋体"/>
          <w:kern w:val="0"/>
          <w:szCs w:val="21"/>
        </w:rPr>
        <w:t>供应商须知前附表</w:t>
      </w:r>
    </w:p>
    <w:p>
      <w:pPr>
        <w:numPr>
          <w:ilvl w:val="0"/>
          <w:numId w:val="2"/>
        </w:numPr>
        <w:spacing w:line="360" w:lineRule="auto"/>
        <w:rPr>
          <w:rFonts w:ascii="宋体" w:hAnsi="宋体" w:cs="宋体"/>
          <w:b/>
          <w:szCs w:val="21"/>
        </w:rPr>
      </w:pPr>
      <w:r>
        <w:rPr>
          <w:rFonts w:hint="eastAsia" w:ascii="宋体" w:hAnsi="宋体" w:cs="宋体"/>
          <w:b/>
          <w:szCs w:val="21"/>
        </w:rPr>
        <w:t>响应文件的份数和签署</w:t>
      </w:r>
    </w:p>
    <w:p>
      <w:pPr>
        <w:spacing w:line="360" w:lineRule="auto"/>
        <w:ind w:firstLine="420" w:firstLineChars="200"/>
        <w:rPr>
          <w:rFonts w:ascii="宋体" w:hAnsi="宋体" w:cs="宋体"/>
          <w:szCs w:val="21"/>
        </w:rPr>
      </w:pPr>
      <w:r>
        <w:rPr>
          <w:rFonts w:hint="eastAsia" w:ascii="宋体" w:hAnsi="宋体" w:cs="宋体"/>
          <w:szCs w:val="21"/>
        </w:rPr>
        <w:t xml:space="preserve">13.1供应商登录“焦作市公共资源交易中心”网站，按要求下载“新点投标文件制作软件”。 </w:t>
      </w:r>
    </w:p>
    <w:p>
      <w:pPr>
        <w:spacing w:line="360" w:lineRule="auto"/>
        <w:ind w:firstLine="420" w:firstLineChars="200"/>
        <w:rPr>
          <w:rFonts w:ascii="宋体" w:hAnsi="宋体" w:cs="宋体"/>
          <w:szCs w:val="21"/>
        </w:rPr>
      </w:pPr>
      <w:r>
        <w:rPr>
          <w:rFonts w:hint="eastAsia" w:ascii="宋体" w:hAnsi="宋体" w:cs="宋体"/>
          <w:szCs w:val="21"/>
        </w:rPr>
        <w:t xml:space="preserve">13.2 供应商凭CA 锁登录，并按网上提示自行下载竞争性磋商文件。使用“新点投标文件制作软件”按要求制作电子响应文件。供应商在制作电子响应文件时，应按要求进行电子签章。供应商编辑电子响应文件时，根据竞争性磋商文件要求用法定代表人CA锁和企业CA锁进行签章制作；最后一步生成电子响应文件时，只能用本单位的企业CA 锁。 </w:t>
      </w:r>
    </w:p>
    <w:p>
      <w:pPr>
        <w:spacing w:line="360" w:lineRule="auto"/>
        <w:ind w:firstLine="420" w:firstLineChars="200"/>
        <w:rPr>
          <w:rFonts w:ascii="宋体" w:hAnsi="宋体" w:cs="宋体"/>
          <w:szCs w:val="21"/>
        </w:rPr>
      </w:pPr>
      <w:r>
        <w:rPr>
          <w:rFonts w:hint="eastAsia" w:ascii="宋体" w:hAnsi="宋体" w:cs="宋体"/>
          <w:szCs w:val="21"/>
        </w:rPr>
        <w:t xml:space="preserve">13.3加密的电子响应文件为“焦作市公共资源交易中心”网站提供的“新点投标文件制作软件”制作生成的加密版响应文件。未加密的电子响应文件应与加密的电子响应文件为同时生成的版本。 </w:t>
      </w:r>
    </w:p>
    <w:p>
      <w:pPr>
        <w:spacing w:line="360" w:lineRule="auto"/>
        <w:ind w:firstLine="420" w:firstLineChars="200"/>
        <w:rPr>
          <w:rFonts w:ascii="宋体" w:hAnsi="宋体" w:cs="宋体"/>
          <w:szCs w:val="21"/>
        </w:rPr>
      </w:pPr>
      <w:r>
        <w:rPr>
          <w:rFonts w:hint="eastAsia" w:ascii="宋体" w:hAnsi="宋体" w:cs="宋体"/>
          <w:szCs w:val="21"/>
        </w:rPr>
        <w:t xml:space="preserve">13.4响应文件格式所要求包含的全部资料应全部制作在响应文件内，严格按照本项目响应文件所有格式如实填写（不涉及的内容除外），不应存在漏项或缺项，否则将存在响应文件被否决的风险。 </w:t>
      </w:r>
    </w:p>
    <w:p>
      <w:pPr>
        <w:spacing w:line="360" w:lineRule="auto"/>
        <w:ind w:firstLine="420" w:firstLineChars="200"/>
        <w:rPr>
          <w:rFonts w:ascii="宋体" w:hAnsi="宋体" w:cs="宋体"/>
          <w:szCs w:val="21"/>
        </w:rPr>
      </w:pPr>
      <w:r>
        <w:rPr>
          <w:rFonts w:hint="eastAsia" w:ascii="宋体" w:hAnsi="宋体" w:cs="宋体"/>
          <w:szCs w:val="21"/>
        </w:rPr>
        <w:t>13.5 响应文件所附证明材料应按照竞争性磋商文件要求提供，尺寸和清晰度应该能够在电脑上被阅读、识别和判断；若供应商未按要求提供证明材料或提供不清晰的扫描件（或照片）的，磋商小组有权认定其响应文件未对竞争性磋商文件有关要求进行响应，涉及资格审查性或符合性审查的将不予通过。</w:t>
      </w:r>
    </w:p>
    <w:p>
      <w:pPr>
        <w:spacing w:line="360" w:lineRule="auto"/>
        <w:ind w:firstLine="420" w:firstLineChars="200"/>
        <w:rPr>
          <w:rFonts w:ascii="宋体" w:hAnsi="宋体" w:cs="宋体"/>
          <w:szCs w:val="21"/>
        </w:rPr>
      </w:pPr>
      <w:r>
        <w:rPr>
          <w:rFonts w:hint="eastAsia" w:ascii="宋体" w:hAnsi="宋体" w:cs="宋体"/>
          <w:szCs w:val="21"/>
        </w:rPr>
        <w:t>13.6 供应商可按本竞争性竞争性磋商文件规定的格式编制响应文件。响应文件内容不完整、编排混乱导致被误读、漏读或者查找不到相关内容的，由供应商负责。</w:t>
      </w:r>
    </w:p>
    <w:p>
      <w:pPr>
        <w:spacing w:line="360" w:lineRule="auto"/>
        <w:ind w:firstLine="420" w:firstLineChars="200"/>
        <w:rPr>
          <w:rFonts w:ascii="宋体" w:hAnsi="宋体" w:cs="宋体"/>
          <w:szCs w:val="21"/>
        </w:rPr>
      </w:pPr>
      <w:r>
        <w:rPr>
          <w:rFonts w:hint="eastAsia" w:ascii="宋体" w:hAnsi="宋体" w:cs="宋体"/>
          <w:szCs w:val="21"/>
        </w:rPr>
        <w:t>13.7 响应文件未按要求签字或加盖电子签章的视为无效文件。本采购文件所表述（指定）的电子签章是指法人（供应商）行政电子签章，不包括专用章。</w:t>
      </w:r>
    </w:p>
    <w:p>
      <w:pPr>
        <w:spacing w:line="360" w:lineRule="auto"/>
        <w:ind w:firstLine="420" w:firstLineChars="200"/>
        <w:rPr>
          <w:rFonts w:ascii="宋体" w:hAnsi="宋体" w:cs="宋体"/>
          <w:szCs w:val="21"/>
        </w:rPr>
      </w:pPr>
      <w:r>
        <w:rPr>
          <w:rFonts w:hint="eastAsia" w:ascii="宋体" w:hAnsi="宋体" w:cs="宋体"/>
          <w:szCs w:val="21"/>
        </w:rPr>
        <w:t>13.8 响应文件应无涂改和行间插字，除非这些改动是为改正供应商造成的必须修改的错误进行的。有改动时，修改处应由供应商代表签署证明或加盖电子签章，但非供应商出具的材料，供应商改动无效。</w:t>
      </w:r>
    </w:p>
    <w:p>
      <w:pPr>
        <w:spacing w:line="360" w:lineRule="auto"/>
        <w:ind w:firstLine="420" w:firstLineChars="200"/>
        <w:rPr>
          <w:rFonts w:ascii="宋体" w:hAnsi="宋体" w:cs="宋体"/>
          <w:szCs w:val="21"/>
        </w:rPr>
      </w:pPr>
      <w:r>
        <w:rPr>
          <w:rFonts w:hint="eastAsia" w:ascii="宋体" w:hAnsi="宋体" w:cs="宋体"/>
          <w:szCs w:val="21"/>
        </w:rPr>
        <w:t>13.9供应商提交的资料应证明其满足竞争性磋商文件要求，该文件可以是文字资料、图纸和数据，以及拟提供货物的主要技术参数、指标和性能，提供服务的详细描述等资料。</w:t>
      </w:r>
    </w:p>
    <w:p>
      <w:pPr>
        <w:pStyle w:val="5"/>
        <w:spacing w:before="0" w:after="0" w:line="360" w:lineRule="auto"/>
        <w:jc w:val="center"/>
        <w:rPr>
          <w:rFonts w:ascii="宋体" w:hAnsi="宋体" w:eastAsia="宋体" w:cs="宋体"/>
          <w:sz w:val="36"/>
          <w:szCs w:val="36"/>
        </w:rPr>
      </w:pPr>
      <w:bookmarkStart w:id="47" w:name="_Toc48808914"/>
      <w:bookmarkStart w:id="48" w:name="_Toc10798"/>
      <w:bookmarkStart w:id="49" w:name="_Toc21188"/>
      <w:bookmarkStart w:id="50" w:name="_Toc477423246"/>
      <w:bookmarkStart w:id="51" w:name="_Toc373230026"/>
      <w:bookmarkStart w:id="52" w:name="_Toc374512413"/>
      <w:bookmarkStart w:id="53" w:name="_Toc22169"/>
      <w:bookmarkStart w:id="54" w:name="_Toc487805906"/>
      <w:bookmarkStart w:id="55" w:name="_Toc48809196"/>
      <w:bookmarkStart w:id="56" w:name="_Toc490161263"/>
      <w:bookmarkStart w:id="57" w:name="_Toc22215063"/>
      <w:bookmarkStart w:id="58" w:name="_Toc49166042"/>
      <w:bookmarkStart w:id="59" w:name="_Toc461962054"/>
      <w:r>
        <w:rPr>
          <w:rFonts w:hint="eastAsia" w:ascii="宋体" w:hAnsi="宋体" w:eastAsia="宋体" w:cs="宋体"/>
          <w:sz w:val="36"/>
          <w:szCs w:val="36"/>
        </w:rPr>
        <w:t>四、响应文件的提交</w:t>
      </w:r>
      <w:bookmarkEnd w:id="47"/>
      <w:bookmarkEnd w:id="48"/>
      <w:bookmarkEnd w:id="49"/>
      <w:bookmarkEnd w:id="50"/>
      <w:bookmarkEnd w:id="51"/>
      <w:bookmarkEnd w:id="52"/>
      <w:bookmarkEnd w:id="53"/>
      <w:bookmarkEnd w:id="54"/>
      <w:bookmarkEnd w:id="55"/>
      <w:bookmarkEnd w:id="56"/>
      <w:bookmarkEnd w:id="57"/>
      <w:bookmarkEnd w:id="58"/>
      <w:bookmarkEnd w:id="59"/>
    </w:p>
    <w:p>
      <w:pPr>
        <w:numPr>
          <w:ilvl w:val="0"/>
          <w:numId w:val="2"/>
        </w:numPr>
        <w:spacing w:line="360" w:lineRule="auto"/>
        <w:rPr>
          <w:rFonts w:ascii="宋体" w:hAnsi="宋体" w:cs="宋体"/>
          <w:b/>
          <w:szCs w:val="21"/>
        </w:rPr>
      </w:pPr>
      <w:r>
        <w:rPr>
          <w:rFonts w:hint="eastAsia" w:ascii="宋体" w:hAnsi="宋体" w:cs="宋体"/>
          <w:b/>
          <w:szCs w:val="21"/>
        </w:rPr>
        <w:t>响应文件的提交</w:t>
      </w:r>
    </w:p>
    <w:p>
      <w:pPr>
        <w:pStyle w:val="51"/>
        <w:spacing w:line="360" w:lineRule="auto"/>
        <w:ind w:firstLine="420" w:firstLineChars="200"/>
        <w:rPr>
          <w:rFonts w:ascii="宋体" w:hAnsi="宋体"/>
          <w:sz w:val="21"/>
          <w:szCs w:val="21"/>
        </w:rPr>
      </w:pPr>
      <w:r>
        <w:rPr>
          <w:rFonts w:hint="eastAsia" w:ascii="宋体" w:hAnsi="宋体"/>
          <w:sz w:val="21"/>
          <w:szCs w:val="21"/>
        </w:rPr>
        <w:t>本项目采用电子开评标方式，潜在供应商可提前在焦作市交易中心官网首页---下载中心--下载《焦作市电子招投标系统操作手册》、《焦作市公共资源交易平台不见面开标操作手册》和《响应文件制作工作工具》等查看操作说明，按要求进行响应文件制作和上传等。为避免网络拥堵等不可控因素影响响应文件的上传，请提前上传响应文件，并在响应文件递交截止时间前登录不见面开标大厅进行签到，按要求解密响应文件。因文件未及时上传导致投标失败的责任由供应商自行承担。</w:t>
      </w:r>
    </w:p>
    <w:p>
      <w:pPr>
        <w:numPr>
          <w:ilvl w:val="0"/>
          <w:numId w:val="2"/>
        </w:numPr>
        <w:spacing w:line="360" w:lineRule="auto"/>
        <w:rPr>
          <w:rFonts w:ascii="宋体" w:hAnsi="宋体" w:cs="宋体"/>
          <w:b/>
          <w:szCs w:val="21"/>
        </w:rPr>
      </w:pPr>
      <w:r>
        <w:rPr>
          <w:rFonts w:hint="eastAsia" w:ascii="宋体" w:hAnsi="宋体" w:cs="宋体"/>
          <w:b/>
          <w:szCs w:val="21"/>
        </w:rPr>
        <w:t>响应文件递交的截止时间</w:t>
      </w:r>
    </w:p>
    <w:p>
      <w:pPr>
        <w:spacing w:line="360" w:lineRule="auto"/>
        <w:ind w:firstLine="315" w:firstLineChars="150"/>
        <w:rPr>
          <w:rFonts w:ascii="宋体" w:hAnsi="宋体" w:cs="宋体"/>
          <w:szCs w:val="21"/>
        </w:rPr>
      </w:pPr>
      <w:r>
        <w:rPr>
          <w:rFonts w:hint="eastAsia" w:ascii="宋体" w:hAnsi="宋体" w:cs="宋体"/>
          <w:szCs w:val="21"/>
        </w:rPr>
        <w:t>16.1响应文件应在不迟于“供应商须知前附表”中规定的截止日期和时间递交响应文件。</w:t>
      </w:r>
    </w:p>
    <w:p>
      <w:pPr>
        <w:spacing w:line="360" w:lineRule="auto"/>
        <w:ind w:firstLine="315" w:firstLineChars="150"/>
        <w:rPr>
          <w:rFonts w:ascii="宋体" w:hAnsi="宋体" w:cs="宋体"/>
          <w:szCs w:val="21"/>
        </w:rPr>
      </w:pPr>
      <w:r>
        <w:rPr>
          <w:rFonts w:hint="eastAsia" w:ascii="宋体" w:hAnsi="宋体" w:cs="宋体"/>
          <w:szCs w:val="21"/>
        </w:rPr>
        <w:t>16.2</w:t>
      </w:r>
      <w:r>
        <w:rPr>
          <w:rFonts w:hint="eastAsia" w:ascii="宋体" w:hAnsi="宋体"/>
          <w:szCs w:val="24"/>
        </w:rPr>
        <w:t>采购人及采购代理机构可以按规定，通过修改竞争性磋商文件自行决定酌情延长磋商截止期限。在此情况下，采购人和供应商方受磋商截止期制约的所有权利和义务均应延长至新的截止日期</w:t>
      </w:r>
      <w:r>
        <w:rPr>
          <w:rFonts w:hint="eastAsia" w:ascii="宋体" w:hAnsi="宋体" w:cs="宋体"/>
          <w:szCs w:val="21"/>
        </w:rPr>
        <w:t>。</w:t>
      </w:r>
    </w:p>
    <w:p>
      <w:pPr>
        <w:numPr>
          <w:ilvl w:val="0"/>
          <w:numId w:val="2"/>
        </w:numPr>
        <w:spacing w:line="360" w:lineRule="auto"/>
        <w:rPr>
          <w:rFonts w:ascii="宋体" w:hAnsi="宋体" w:cs="宋体"/>
          <w:b/>
          <w:szCs w:val="21"/>
        </w:rPr>
      </w:pPr>
      <w:r>
        <w:rPr>
          <w:rFonts w:hint="eastAsia" w:ascii="宋体" w:hAnsi="宋体" w:cs="宋体"/>
          <w:b/>
          <w:szCs w:val="21"/>
        </w:rPr>
        <w:t>响应文件的补充、修改与撤回</w:t>
      </w:r>
    </w:p>
    <w:p>
      <w:pPr>
        <w:spacing w:line="360" w:lineRule="auto"/>
        <w:ind w:firstLine="315" w:firstLineChars="150"/>
        <w:rPr>
          <w:rFonts w:ascii="宋体" w:hAnsi="宋体" w:cs="宋体"/>
          <w:szCs w:val="21"/>
        </w:rPr>
      </w:pPr>
      <w:r>
        <w:rPr>
          <w:rFonts w:hint="eastAsia" w:ascii="宋体" w:hAnsi="宋体" w:cs="宋体"/>
          <w:szCs w:val="21"/>
        </w:rPr>
        <w:t>17.1在本项目规定的响应文件递交截止时间前，供应商可以修改或撤回已上传的响应文件。</w:t>
      </w:r>
    </w:p>
    <w:p>
      <w:pPr>
        <w:pStyle w:val="5"/>
        <w:spacing w:before="0" w:after="0" w:line="360" w:lineRule="auto"/>
        <w:ind w:firstLine="3240" w:firstLineChars="900"/>
        <w:rPr>
          <w:rFonts w:ascii="宋体" w:hAnsi="宋体" w:eastAsia="宋体" w:cs="宋体"/>
          <w:sz w:val="36"/>
          <w:szCs w:val="36"/>
        </w:rPr>
      </w:pPr>
      <w:bookmarkStart w:id="60" w:name="_Toc217235123"/>
      <w:bookmarkStart w:id="61" w:name="_Toc374512414"/>
      <w:bookmarkStart w:id="62" w:name="_Toc373230027"/>
      <w:bookmarkStart w:id="63" w:name="_Toc461962055"/>
      <w:bookmarkStart w:id="64" w:name="_Toc9653"/>
      <w:bookmarkStart w:id="65" w:name="_Toc48808915"/>
      <w:bookmarkStart w:id="66" w:name="_Toc23588"/>
      <w:bookmarkStart w:id="67" w:name="_Toc477423247"/>
      <w:bookmarkStart w:id="68" w:name="_Toc25353"/>
      <w:bookmarkStart w:id="69" w:name="_Toc22215064"/>
      <w:bookmarkStart w:id="70" w:name="_Toc49166043"/>
      <w:bookmarkStart w:id="71" w:name="_Toc487805907"/>
      <w:bookmarkStart w:id="72" w:name="_Toc48809197"/>
      <w:bookmarkStart w:id="73" w:name="_Toc490161264"/>
      <w:r>
        <w:rPr>
          <w:rFonts w:hint="eastAsia" w:ascii="宋体" w:hAnsi="宋体" w:eastAsia="宋体" w:cs="宋体"/>
          <w:sz w:val="36"/>
          <w:szCs w:val="36"/>
        </w:rPr>
        <w:t>五、磋商</w:t>
      </w:r>
      <w:bookmarkEnd w:id="60"/>
      <w:bookmarkEnd w:id="61"/>
      <w:bookmarkEnd w:id="62"/>
      <w:bookmarkEnd w:id="63"/>
      <w:r>
        <w:rPr>
          <w:rFonts w:hint="eastAsia" w:ascii="宋体" w:hAnsi="宋体" w:eastAsia="宋体" w:cs="宋体"/>
          <w:sz w:val="36"/>
          <w:szCs w:val="36"/>
        </w:rPr>
        <w:t>和评审</w:t>
      </w:r>
      <w:bookmarkEnd w:id="64"/>
      <w:bookmarkEnd w:id="65"/>
      <w:bookmarkEnd w:id="66"/>
      <w:bookmarkEnd w:id="67"/>
      <w:bookmarkEnd w:id="68"/>
      <w:bookmarkEnd w:id="69"/>
      <w:bookmarkEnd w:id="70"/>
      <w:bookmarkEnd w:id="71"/>
      <w:bookmarkEnd w:id="72"/>
      <w:bookmarkEnd w:id="73"/>
    </w:p>
    <w:p>
      <w:pPr>
        <w:numPr>
          <w:ilvl w:val="0"/>
          <w:numId w:val="2"/>
        </w:numPr>
        <w:spacing w:line="360" w:lineRule="auto"/>
        <w:jc w:val="left"/>
        <w:rPr>
          <w:rFonts w:ascii="宋体" w:hAnsi="宋体" w:cs="宋体"/>
          <w:b/>
          <w:szCs w:val="21"/>
        </w:rPr>
      </w:pPr>
      <w:r>
        <w:rPr>
          <w:rFonts w:hint="eastAsia" w:ascii="宋体" w:hAnsi="宋体" w:cs="宋体"/>
          <w:b/>
          <w:szCs w:val="21"/>
        </w:rPr>
        <w:t>磋商</w:t>
      </w:r>
    </w:p>
    <w:p>
      <w:pPr>
        <w:spacing w:line="360" w:lineRule="auto"/>
        <w:ind w:firstLine="420" w:firstLineChars="200"/>
        <w:rPr>
          <w:rFonts w:ascii="宋体" w:hAnsi="宋体"/>
          <w:szCs w:val="21"/>
        </w:rPr>
      </w:pPr>
      <w:r>
        <w:rPr>
          <w:rFonts w:hint="eastAsia" w:ascii="宋体" w:hAnsi="宋体"/>
          <w:szCs w:val="21"/>
        </w:rPr>
        <w:t>采购人在规定的响应文件递交截止时间（开标时间）和供应商须知前附表规定的地点举行磋商会议。本项目采用“远程不见面”的开标方式 , 载 明 远 程 开 标 大 厅 网 址（http://122.112.246.33/BidOpening/bidopeninghallaction/hall/login ）。供应商无需到现场参加磋商会议，无需到达现场提交原件资料。供应商应当在响应文件递交截止时间前，登录远程开标大厅，在线准时参加磋商活动并进行文件解密、答疑澄清等。在规定时间内响应文件未解密的供应商，视为放弃磋商。</w:t>
      </w:r>
    </w:p>
    <w:p>
      <w:pPr>
        <w:spacing w:line="360" w:lineRule="auto"/>
        <w:ind w:firstLine="420" w:firstLineChars="200"/>
        <w:rPr>
          <w:rFonts w:ascii="宋体" w:hAnsi="宋体"/>
          <w:szCs w:val="21"/>
        </w:rPr>
      </w:pPr>
      <w:r>
        <w:rPr>
          <w:rFonts w:hint="eastAsia" w:ascii="宋体" w:hAnsi="宋体"/>
          <w:szCs w:val="21"/>
        </w:rPr>
        <w:t>所有响应文件必须在本</w:t>
      </w:r>
      <w:r>
        <w:rPr>
          <w:rFonts w:hint="eastAsia" w:ascii="宋体" w:hAnsi="Times New Roman" w:cs="宋体"/>
          <w:szCs w:val="21"/>
        </w:rPr>
        <w:t>竞争性磋商</w:t>
      </w:r>
      <w:r>
        <w:rPr>
          <w:rFonts w:hint="eastAsia" w:ascii="宋体" w:hAnsi="宋体"/>
          <w:szCs w:val="21"/>
        </w:rPr>
        <w:t>文件中规定的磋商截止时间之前提前上传</w:t>
      </w:r>
      <w:r>
        <w:rPr>
          <w:rFonts w:hint="eastAsia" w:ascii="宋体" w:hAnsi="Times New Roman" w:cs="宋体"/>
          <w:szCs w:val="21"/>
        </w:rPr>
        <w:t>响应</w:t>
      </w:r>
      <w:r>
        <w:rPr>
          <w:rFonts w:hint="eastAsia" w:ascii="宋体" w:hAnsi="宋体"/>
          <w:szCs w:val="21"/>
        </w:rPr>
        <w:t>文件，并在磋商截止时间前登录不见面开标大厅进行签到，按要求解密</w:t>
      </w:r>
      <w:r>
        <w:rPr>
          <w:rFonts w:hint="eastAsia" w:ascii="宋体" w:hAnsi="Times New Roman" w:cs="宋体"/>
          <w:szCs w:val="21"/>
        </w:rPr>
        <w:t>响应</w:t>
      </w:r>
      <w:r>
        <w:rPr>
          <w:rFonts w:hint="eastAsia" w:ascii="宋体" w:hAnsi="宋体"/>
          <w:szCs w:val="21"/>
        </w:rPr>
        <w:t>文件，不能按时上传、签到、解密者视为自动放弃磋商。</w:t>
      </w:r>
    </w:p>
    <w:p>
      <w:pPr>
        <w:spacing w:line="360" w:lineRule="auto"/>
        <w:ind w:firstLine="420" w:firstLineChars="200"/>
        <w:rPr>
          <w:rFonts w:ascii="宋体" w:hAnsi="宋体"/>
          <w:szCs w:val="21"/>
        </w:rPr>
      </w:pPr>
      <w:r>
        <w:rPr>
          <w:rFonts w:hint="eastAsia" w:ascii="宋体" w:hAnsi="宋体"/>
          <w:szCs w:val="21"/>
        </w:rPr>
        <w:t xml:space="preserve">供应商不足3家的，不得磋商。 </w:t>
      </w:r>
    </w:p>
    <w:p>
      <w:pPr>
        <w:spacing w:line="360" w:lineRule="auto"/>
        <w:ind w:firstLine="420" w:firstLineChars="200"/>
        <w:rPr>
          <w:rFonts w:ascii="宋体" w:hAnsi="宋体"/>
          <w:szCs w:val="21"/>
        </w:rPr>
      </w:pPr>
      <w:r>
        <w:rPr>
          <w:rFonts w:hint="eastAsia" w:ascii="宋体" w:hAnsi="宋体"/>
          <w:b/>
          <w:szCs w:val="21"/>
        </w:rPr>
        <w:t>注：竞争性磋商文件中要求提供扫描件的相关证明资料，在成交结果确定后，成交企业按要求向采购人及代理机构提供与扫描件一致的证书原件以备查验</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磋商会议当日采购代理机构对供应商信用记录进行甄别，对列入失信被执行人、重大税收违法案件当事人名单、政府采购严重违法失信行为记录名单的供应商，应当拒绝其参与政府采购活动。</w:t>
      </w:r>
    </w:p>
    <w:p>
      <w:pPr>
        <w:spacing w:line="360" w:lineRule="auto"/>
        <w:ind w:firstLine="420" w:firstLineChars="200"/>
        <w:rPr>
          <w:rFonts w:ascii="宋体" w:hAnsi="宋体" w:cs="宋体"/>
          <w:szCs w:val="21"/>
        </w:rPr>
      </w:pPr>
      <w:r>
        <w:rPr>
          <w:rFonts w:hint="eastAsia" w:ascii="宋体" w:hAnsi="宋体" w:cs="宋体"/>
          <w:szCs w:val="21"/>
        </w:rPr>
        <w:t>17.2磋商会议由采购代理机构主持，在相关部门监督下进行。</w:t>
      </w:r>
    </w:p>
    <w:p>
      <w:pPr>
        <w:spacing w:line="360" w:lineRule="auto"/>
        <w:ind w:firstLine="420" w:firstLineChars="200"/>
        <w:rPr>
          <w:rFonts w:ascii="宋体" w:hAnsi="宋体"/>
          <w:szCs w:val="21"/>
        </w:rPr>
      </w:pPr>
      <w:r>
        <w:rPr>
          <w:rFonts w:hint="eastAsia" w:ascii="宋体" w:hAnsi="宋体" w:cs="宋体"/>
          <w:szCs w:val="21"/>
        </w:rPr>
        <w:t>17.3宣布</w:t>
      </w:r>
      <w:r>
        <w:rPr>
          <w:rFonts w:hint="eastAsia" w:ascii="宋体" w:hAnsi="宋体"/>
          <w:szCs w:val="21"/>
        </w:rPr>
        <w:t>会场纪律；</w:t>
      </w:r>
    </w:p>
    <w:p>
      <w:pPr>
        <w:spacing w:line="360" w:lineRule="auto"/>
        <w:ind w:firstLine="420" w:firstLineChars="200"/>
        <w:rPr>
          <w:rFonts w:ascii="宋体" w:hAnsi="宋体"/>
          <w:szCs w:val="21"/>
        </w:rPr>
      </w:pPr>
      <w:r>
        <w:rPr>
          <w:rFonts w:hint="eastAsia" w:ascii="宋体" w:hAnsi="宋体"/>
          <w:szCs w:val="21"/>
        </w:rPr>
        <w:t>17.4主持人介绍到会的磋商单位和有关人员，宣布会议监督人等人员名单；</w:t>
      </w:r>
    </w:p>
    <w:p>
      <w:pPr>
        <w:spacing w:line="360" w:lineRule="auto"/>
        <w:ind w:firstLine="420" w:firstLineChars="200"/>
        <w:rPr>
          <w:rFonts w:ascii="宋体" w:hAnsi="宋体"/>
          <w:szCs w:val="21"/>
        </w:rPr>
      </w:pPr>
      <w:r>
        <w:rPr>
          <w:rFonts w:hint="eastAsia" w:ascii="宋体" w:hAnsi="宋体"/>
          <w:szCs w:val="21"/>
        </w:rPr>
        <w:t>17.5电子响应文件解密；</w:t>
      </w:r>
    </w:p>
    <w:p>
      <w:pPr>
        <w:spacing w:line="360" w:lineRule="auto"/>
        <w:ind w:firstLine="420" w:firstLineChars="200"/>
        <w:rPr>
          <w:rFonts w:ascii="宋体" w:hAnsi="宋体"/>
          <w:szCs w:val="21"/>
        </w:rPr>
      </w:pPr>
      <w:r>
        <w:rPr>
          <w:rFonts w:hint="eastAsia" w:ascii="宋体" w:hAnsi="宋体"/>
          <w:szCs w:val="21"/>
        </w:rPr>
        <w:t>17.6经确认以上程序无误后，采购人、监督人等有关人员在磋商记录上签字确认；</w:t>
      </w:r>
    </w:p>
    <w:p>
      <w:pPr>
        <w:spacing w:line="360" w:lineRule="auto"/>
        <w:ind w:firstLine="420" w:firstLineChars="200"/>
        <w:rPr>
          <w:rFonts w:ascii="宋体" w:hAnsi="宋体"/>
          <w:szCs w:val="21"/>
        </w:rPr>
      </w:pPr>
      <w:r>
        <w:rPr>
          <w:rFonts w:hint="eastAsia" w:ascii="宋体" w:hAnsi="宋体"/>
          <w:szCs w:val="21"/>
        </w:rPr>
        <w:t>17.7开标结束；</w:t>
      </w:r>
    </w:p>
    <w:p>
      <w:pPr>
        <w:numPr>
          <w:ilvl w:val="0"/>
          <w:numId w:val="2"/>
        </w:numPr>
        <w:spacing w:line="360" w:lineRule="auto"/>
        <w:rPr>
          <w:rFonts w:ascii="宋体" w:hAnsi="宋体" w:cs="宋体"/>
          <w:b/>
          <w:szCs w:val="21"/>
        </w:rPr>
      </w:pPr>
      <w:r>
        <w:rPr>
          <w:rFonts w:hint="eastAsia" w:ascii="宋体" w:hAnsi="宋体" w:cs="宋体"/>
          <w:szCs w:val="21"/>
        </w:rPr>
        <w:t>逾期上传或者未按要求解密响应文件，采购人不予受理。</w:t>
      </w:r>
    </w:p>
    <w:p>
      <w:pPr>
        <w:numPr>
          <w:ilvl w:val="0"/>
          <w:numId w:val="2"/>
        </w:numPr>
        <w:spacing w:line="360" w:lineRule="auto"/>
        <w:rPr>
          <w:rFonts w:ascii="宋体" w:hAnsi="宋体" w:cs="宋体"/>
          <w:b/>
          <w:szCs w:val="21"/>
        </w:rPr>
      </w:pPr>
      <w:r>
        <w:rPr>
          <w:rFonts w:hint="eastAsia" w:ascii="宋体" w:hAnsi="宋体" w:cs="宋体"/>
          <w:b/>
          <w:szCs w:val="21"/>
        </w:rPr>
        <w:t>磋商小组</w:t>
      </w:r>
    </w:p>
    <w:p>
      <w:pPr>
        <w:spacing w:line="360" w:lineRule="auto"/>
        <w:ind w:firstLine="420" w:firstLineChars="200"/>
        <w:rPr>
          <w:rFonts w:ascii="宋体" w:hAnsi="宋体" w:cs="宋体"/>
          <w:b/>
          <w:szCs w:val="21"/>
        </w:rPr>
      </w:pPr>
      <w:r>
        <w:rPr>
          <w:rFonts w:hint="eastAsia" w:ascii="宋体" w:hAnsi="宋体" w:cs="宋体"/>
          <w:szCs w:val="21"/>
        </w:rPr>
        <w:t>19.1.采购人按照有关规定组建磋商小组。</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szCs w:val="21"/>
        </w:rPr>
        <w:t>19.2. 磋商小组由采购人代表和评审专家共3人及以上单数组成，其中评审专家人数不得少于磋商小组成员总数的三分之二。</w:t>
      </w:r>
    </w:p>
    <w:p>
      <w:pPr>
        <w:spacing w:line="360" w:lineRule="auto"/>
        <w:ind w:firstLine="420" w:firstLineChars="200"/>
        <w:rPr>
          <w:rFonts w:ascii="宋体" w:hAnsi="宋体" w:cs="宋体"/>
          <w:szCs w:val="21"/>
        </w:rPr>
      </w:pPr>
      <w:r>
        <w:rPr>
          <w:rFonts w:hint="eastAsia" w:ascii="宋体" w:hAnsi="宋体" w:cs="宋体"/>
          <w:szCs w:val="21"/>
        </w:rPr>
        <w:t>19.3.磋商小组负责评审工作，对响应文件进行审查和评估，并向采购人提交书面评审报告。</w:t>
      </w:r>
    </w:p>
    <w:p>
      <w:pPr>
        <w:numPr>
          <w:ilvl w:val="0"/>
          <w:numId w:val="2"/>
        </w:numPr>
        <w:spacing w:line="360" w:lineRule="auto"/>
        <w:rPr>
          <w:rFonts w:ascii="宋体" w:hAnsi="宋体" w:cs="宋体"/>
          <w:b/>
          <w:szCs w:val="21"/>
        </w:rPr>
      </w:pPr>
      <w:r>
        <w:rPr>
          <w:rFonts w:hint="eastAsia" w:ascii="宋体" w:hAnsi="宋体" w:cs="宋体"/>
          <w:b/>
          <w:szCs w:val="21"/>
        </w:rPr>
        <w:t>响应文件的初步评审</w:t>
      </w:r>
    </w:p>
    <w:p>
      <w:pPr>
        <w:spacing w:line="360" w:lineRule="auto"/>
        <w:ind w:firstLine="420" w:firstLineChars="200"/>
        <w:rPr>
          <w:rFonts w:ascii="宋体" w:hAnsi="宋体" w:cs="宋体"/>
          <w:szCs w:val="21"/>
        </w:rPr>
      </w:pPr>
      <w:r>
        <w:rPr>
          <w:rFonts w:hint="eastAsia" w:ascii="宋体" w:hAnsi="宋体" w:cs="宋体"/>
          <w:szCs w:val="21"/>
        </w:rPr>
        <w:t>20.1初步评审分为资格性审查和符合性审查。资格性审查确定磋商单位是否满足磋商文件规定的资格；符合性审查确定响应文件是否对磋商文件的实质性要求作出响应。</w:t>
      </w:r>
    </w:p>
    <w:p>
      <w:pPr>
        <w:spacing w:line="360" w:lineRule="auto"/>
        <w:ind w:firstLine="420" w:firstLineChars="200"/>
        <w:rPr>
          <w:rFonts w:ascii="宋体" w:hAnsi="宋体" w:cs="宋体"/>
          <w:szCs w:val="21"/>
        </w:rPr>
      </w:pPr>
      <w:r>
        <w:rPr>
          <w:rFonts w:hint="eastAsia" w:ascii="宋体" w:hAnsi="宋体" w:cs="宋体"/>
          <w:szCs w:val="21"/>
        </w:rPr>
        <w:t>20.2磋商小组将首先对每份响应文件进行资格性审查和符合性审查，如果响应文件未通过资格性审查和符合性审查，磋商小组将予以拒绝，并且不允许供应商通过修改或撤销其不符合要求的差异或保留，使之成为具有响应的磋商。</w:t>
      </w:r>
    </w:p>
    <w:p>
      <w:pPr>
        <w:spacing w:line="360" w:lineRule="auto"/>
        <w:ind w:firstLine="420" w:firstLineChars="200"/>
        <w:rPr>
          <w:rFonts w:ascii="宋体" w:hAnsi="宋体" w:cs="宋体"/>
          <w:szCs w:val="21"/>
        </w:rPr>
      </w:pPr>
      <w:r>
        <w:rPr>
          <w:rFonts w:hint="eastAsia" w:ascii="宋体" w:hAnsi="宋体" w:cs="宋体"/>
          <w:szCs w:val="21"/>
        </w:rPr>
        <w:t>20.3</w:t>
      </w:r>
      <w:r>
        <w:rPr>
          <w:rFonts w:hint="eastAsia" w:ascii="宋体" w:hAnsi="宋体"/>
          <w:kern w:val="0"/>
          <w:szCs w:val="21"/>
        </w:rPr>
        <w:t>资格审查资料</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（1）“供应商基本情况表”应附焦作市政府采购供应商资格信用承诺函、供应商的资质证书（副本）等材料的扫描件。</w:t>
      </w:r>
    </w:p>
    <w:p>
      <w:pPr>
        <w:spacing w:line="360" w:lineRule="auto"/>
        <w:ind w:firstLine="420" w:firstLineChars="200"/>
        <w:rPr>
          <w:rFonts w:ascii="宋体" w:hAnsi="宋体" w:cs="宋体"/>
          <w:szCs w:val="21"/>
        </w:rPr>
      </w:pPr>
      <w:r>
        <w:rPr>
          <w:rFonts w:hint="eastAsia" w:ascii="宋体" w:hAnsi="宋体" w:cs="宋体"/>
          <w:szCs w:val="21"/>
        </w:rPr>
        <w:t>（2）项目经理建造师证及B证、无在建承诺。</w:t>
      </w:r>
    </w:p>
    <w:p>
      <w:pPr>
        <w:spacing w:line="360" w:lineRule="auto"/>
        <w:ind w:firstLine="420" w:firstLineChars="200"/>
        <w:rPr>
          <w:rFonts w:ascii="宋体" w:hAnsi="宋体" w:cs="宋体"/>
          <w:szCs w:val="21"/>
        </w:rPr>
      </w:pPr>
      <w:r>
        <w:rPr>
          <w:rFonts w:hint="eastAsia" w:ascii="宋体" w:hAnsi="宋体" w:cs="宋体"/>
          <w:szCs w:val="21"/>
        </w:rPr>
        <w:t>20.4响应文件有下列情形之一的，其磋商视为没有通过符合性审查：</w:t>
      </w:r>
    </w:p>
    <w:p>
      <w:pPr>
        <w:spacing w:line="360" w:lineRule="auto"/>
        <w:ind w:firstLine="420" w:firstLineChars="200"/>
        <w:rPr>
          <w:rFonts w:ascii="宋体" w:hAnsi="宋体" w:cs="宋体"/>
          <w:szCs w:val="21"/>
        </w:rPr>
      </w:pPr>
      <w:r>
        <w:rPr>
          <w:rFonts w:ascii="宋体" w:hAnsi="宋体" w:cs="宋体"/>
          <w:szCs w:val="21"/>
        </w:rPr>
        <w:t>（1）</w:t>
      </w:r>
      <w:r>
        <w:rPr>
          <w:rFonts w:hint="eastAsia" w:ascii="宋体" w:hAnsi="宋体" w:cs="宋体"/>
          <w:szCs w:val="21"/>
        </w:rPr>
        <w:t>第一轮报价超过磋商文件中规定的最高磋商限价的；</w:t>
      </w:r>
    </w:p>
    <w:p>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响应文件未按磋商文件要求签字、盖章的；</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响应文件格式不符合磋商文件中响应文件格式要求的；</w:t>
      </w:r>
    </w:p>
    <w:p>
      <w:pPr>
        <w:spacing w:line="360" w:lineRule="auto"/>
        <w:ind w:firstLine="420" w:firstLineChars="200"/>
        <w:rPr>
          <w:rFonts w:ascii="宋体" w:hAnsi="宋体" w:cs="宋体"/>
          <w:szCs w:val="21"/>
        </w:rPr>
      </w:pPr>
      <w:r>
        <w:rPr>
          <w:rFonts w:ascii="宋体" w:hAnsi="宋体" w:cs="宋体"/>
          <w:szCs w:val="21"/>
        </w:rPr>
        <w:t>（4）</w:t>
      </w:r>
      <w:r>
        <w:rPr>
          <w:rFonts w:hint="eastAsia" w:ascii="宋体" w:hAnsi="宋体" w:cs="宋体"/>
          <w:szCs w:val="21"/>
        </w:rPr>
        <w:t>磋商有效期不足的；</w:t>
      </w:r>
    </w:p>
    <w:p>
      <w:pPr>
        <w:spacing w:line="360" w:lineRule="auto"/>
        <w:ind w:firstLine="420" w:firstLineChars="200"/>
        <w:rPr>
          <w:rFonts w:ascii="宋体" w:hAnsi="宋体" w:cs="宋体"/>
          <w:szCs w:val="21"/>
        </w:rPr>
      </w:pPr>
      <w:r>
        <w:rPr>
          <w:rFonts w:ascii="宋体" w:hAnsi="宋体" w:cs="宋体"/>
          <w:szCs w:val="21"/>
        </w:rPr>
        <w:t>（5）</w:t>
      </w:r>
      <w:r>
        <w:rPr>
          <w:rFonts w:hint="eastAsia" w:ascii="宋体" w:hAnsi="宋体" w:cs="宋体"/>
          <w:szCs w:val="21"/>
        </w:rPr>
        <w:t>不响应磋商文件第五章采购需求的；</w:t>
      </w:r>
    </w:p>
    <w:p>
      <w:pPr>
        <w:spacing w:line="360" w:lineRule="auto"/>
        <w:ind w:firstLine="420" w:firstLineChars="200"/>
        <w:rPr>
          <w:rFonts w:ascii="宋体" w:hAnsi="宋体" w:cs="宋体"/>
          <w:szCs w:val="21"/>
        </w:rPr>
      </w:pPr>
      <w:r>
        <w:rPr>
          <w:rFonts w:ascii="宋体" w:hAnsi="宋体" w:cs="宋体"/>
          <w:szCs w:val="21"/>
        </w:rPr>
        <w:t>（6）</w:t>
      </w:r>
      <w:r>
        <w:rPr>
          <w:rFonts w:hint="eastAsia" w:ascii="宋体" w:hAnsi="宋体" w:cs="宋体"/>
          <w:szCs w:val="21"/>
        </w:rPr>
        <w:t>响应文件含有采购人不能接受的附加条件的；</w:t>
      </w:r>
    </w:p>
    <w:p>
      <w:pPr>
        <w:spacing w:line="360" w:lineRule="auto"/>
        <w:ind w:firstLine="420" w:firstLineChars="200"/>
        <w:rPr>
          <w:rFonts w:ascii="宋体" w:hAnsi="宋体" w:cs="宋体"/>
          <w:szCs w:val="21"/>
        </w:rPr>
      </w:pPr>
      <w:r>
        <w:rPr>
          <w:rFonts w:ascii="宋体" w:hAnsi="宋体" w:cs="宋体"/>
          <w:szCs w:val="21"/>
        </w:rPr>
        <w:t>（7）</w:t>
      </w:r>
      <w:bookmarkStart w:id="221" w:name="_GoBack"/>
      <w:r>
        <w:rPr>
          <w:rFonts w:hint="eastAsia" w:ascii="宋体" w:hAnsi="宋体" w:cs="宋体"/>
          <w:szCs w:val="21"/>
        </w:rPr>
        <w:t xml:space="preserve">法律、法规和磋商文件规定的其他无效情形。 </w:t>
      </w:r>
    </w:p>
    <w:bookmarkEnd w:id="221"/>
    <w:p>
      <w:pPr>
        <w:numPr>
          <w:ilvl w:val="0"/>
          <w:numId w:val="2"/>
        </w:numPr>
        <w:spacing w:line="360" w:lineRule="auto"/>
        <w:rPr>
          <w:rFonts w:ascii="宋体" w:hAnsi="宋体" w:cs="宋体"/>
          <w:b/>
          <w:szCs w:val="21"/>
        </w:rPr>
      </w:pPr>
      <w:r>
        <w:rPr>
          <w:rFonts w:hint="eastAsia" w:ascii="宋体" w:hAnsi="宋体" w:cs="宋体"/>
          <w:b/>
          <w:szCs w:val="21"/>
        </w:rPr>
        <w:t>响应文件的澄清</w:t>
      </w:r>
    </w:p>
    <w:p>
      <w:pPr>
        <w:spacing w:line="360" w:lineRule="auto"/>
        <w:ind w:firstLine="420" w:firstLineChars="200"/>
        <w:rPr>
          <w:rFonts w:ascii="宋体" w:hAnsi="宋体" w:cs="宋体"/>
          <w:szCs w:val="21"/>
        </w:rPr>
      </w:pPr>
      <w:r>
        <w:rPr>
          <w:rFonts w:hint="eastAsia" w:ascii="宋体" w:hAnsi="宋体" w:cs="宋体"/>
          <w:szCs w:val="21"/>
        </w:rPr>
        <w:t>21.1竞争性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60" w:lineRule="auto"/>
        <w:ind w:firstLine="420" w:firstLineChars="200"/>
        <w:rPr>
          <w:rFonts w:ascii="宋体" w:hAnsi="宋体" w:cs="宋体"/>
          <w:szCs w:val="21"/>
        </w:rPr>
      </w:pPr>
      <w:r>
        <w:rPr>
          <w:rFonts w:hint="eastAsia" w:ascii="宋体" w:hAnsi="宋体" w:cs="宋体"/>
          <w:szCs w:val="21"/>
        </w:rPr>
        <w:t>21.2竞争性磋商小组要求供应商澄清、说明或者更正响应文件应当以线上方式作出。供应商应在线准时参加磋商活动的答疑澄清。</w:t>
      </w:r>
    </w:p>
    <w:p>
      <w:pPr>
        <w:spacing w:line="360" w:lineRule="auto"/>
        <w:ind w:firstLine="420" w:firstLineChars="200"/>
        <w:rPr>
          <w:rFonts w:ascii="宋体" w:hAnsi="宋体" w:cs="宋体"/>
          <w:szCs w:val="21"/>
        </w:rPr>
      </w:pPr>
      <w:r>
        <w:rPr>
          <w:rFonts w:hint="eastAsia" w:ascii="宋体" w:hAnsi="宋体" w:cs="宋体"/>
          <w:szCs w:val="21"/>
        </w:rPr>
        <w:t>21.3供应商拒不进行澄清、说明、补正的，或者不能在竞争性磋商小组规定时间内作出澄清、说明、补正的，其响应文件将被作为无效处理。</w:t>
      </w:r>
    </w:p>
    <w:p>
      <w:pPr>
        <w:spacing w:line="360" w:lineRule="auto"/>
        <w:ind w:firstLine="420" w:firstLineChars="200"/>
        <w:rPr>
          <w:rFonts w:ascii="宋体" w:hAnsi="宋体" w:cs="宋体"/>
          <w:szCs w:val="21"/>
        </w:rPr>
      </w:pPr>
      <w:r>
        <w:rPr>
          <w:rFonts w:hint="eastAsia" w:ascii="宋体" w:hAnsi="宋体" w:cs="宋体"/>
          <w:szCs w:val="21"/>
        </w:rPr>
        <w:t xml:space="preserve">21.4供应商的澄清材料作为响应文件的补充。 </w:t>
      </w:r>
    </w:p>
    <w:p>
      <w:pPr>
        <w:spacing w:line="360" w:lineRule="auto"/>
        <w:ind w:firstLine="420" w:firstLineChars="200"/>
        <w:rPr>
          <w:rFonts w:ascii="宋体" w:hAnsi="宋体" w:cs="宋体"/>
          <w:szCs w:val="21"/>
        </w:rPr>
      </w:pPr>
      <w:r>
        <w:rPr>
          <w:rFonts w:hint="eastAsia" w:ascii="宋体" w:hAnsi="宋体" w:cs="宋体"/>
          <w:szCs w:val="21"/>
        </w:rPr>
        <w:t xml:space="preserve">21.5 竞争性磋商小组不得接受供应商主动提出的澄清和解释。 </w:t>
      </w:r>
    </w:p>
    <w:p>
      <w:pPr>
        <w:pStyle w:val="18"/>
        <w:spacing w:after="0" w:line="360" w:lineRule="auto"/>
      </w:pPr>
      <w:r>
        <w:rPr>
          <w:rFonts w:hint="eastAsia" w:ascii="宋体" w:hAnsi="宋体" w:cs="宋体"/>
          <w:szCs w:val="21"/>
        </w:rPr>
        <w:t xml:space="preserve">    21.6并非每个供应商都将被询问、澄清。</w:t>
      </w:r>
    </w:p>
    <w:p>
      <w:pPr>
        <w:numPr>
          <w:ilvl w:val="0"/>
          <w:numId w:val="2"/>
        </w:numPr>
        <w:spacing w:line="360" w:lineRule="auto"/>
        <w:rPr>
          <w:rFonts w:ascii="宋体" w:hAnsi="宋体" w:cs="宋体"/>
          <w:b/>
          <w:szCs w:val="21"/>
        </w:rPr>
      </w:pPr>
      <w:r>
        <w:rPr>
          <w:rFonts w:hint="eastAsia" w:ascii="宋体" w:hAnsi="宋体" w:cs="宋体"/>
          <w:b/>
          <w:szCs w:val="21"/>
        </w:rPr>
        <w:t>磋商过程及响应文件计算错误的修正</w:t>
      </w:r>
    </w:p>
    <w:p>
      <w:pPr>
        <w:spacing w:line="360" w:lineRule="auto"/>
        <w:ind w:firstLine="420" w:firstLineChars="200"/>
        <w:rPr>
          <w:rFonts w:ascii="宋体" w:hAnsi="宋体" w:cs="宋体"/>
          <w:szCs w:val="21"/>
        </w:rPr>
      </w:pPr>
      <w:bookmarkStart w:id="74" w:name="_Toc374512415"/>
      <w:bookmarkStart w:id="75" w:name="_Toc373230028"/>
      <w:r>
        <w:rPr>
          <w:rFonts w:hint="eastAsia" w:ascii="宋体" w:hAnsi="宋体" w:cs="宋体"/>
          <w:szCs w:val="21"/>
        </w:rPr>
        <w:t>22.1磋商小组将对确定为实质上响应磋商文件要求的响应文件进行校核，核验是否有计算或表达上的错误，修正错误的原则如下：</w:t>
      </w:r>
    </w:p>
    <w:p>
      <w:pPr>
        <w:spacing w:line="360" w:lineRule="auto"/>
        <w:ind w:firstLine="420" w:firstLineChars="200"/>
        <w:rPr>
          <w:rFonts w:ascii="宋体" w:hAnsi="宋体" w:cs="宋体"/>
          <w:szCs w:val="21"/>
        </w:rPr>
      </w:pPr>
      <w:r>
        <w:rPr>
          <w:rFonts w:hint="eastAsia" w:ascii="宋体" w:hAnsi="宋体" w:cs="宋体"/>
          <w:szCs w:val="21"/>
        </w:rPr>
        <w:t>22.1.1当以数字表示的金额与文字表示的金额有差异时，以文字表示的金额为准；</w:t>
      </w:r>
    </w:p>
    <w:p>
      <w:pPr>
        <w:spacing w:line="360" w:lineRule="auto"/>
        <w:ind w:firstLine="420" w:firstLineChars="200"/>
        <w:rPr>
          <w:rFonts w:ascii="宋体" w:hAnsi="宋体" w:cs="宋体"/>
          <w:szCs w:val="21"/>
        </w:rPr>
      </w:pPr>
      <w:r>
        <w:rPr>
          <w:rFonts w:hint="eastAsia" w:ascii="宋体" w:hAnsi="宋体" w:cs="宋体"/>
          <w:szCs w:val="21"/>
        </w:rPr>
        <w:t>22.1.2总价金额与单价金额不一致的，以单价金额为准修正总价，但单价金额小数点有明显错误的除外；</w:t>
      </w:r>
    </w:p>
    <w:p>
      <w:pPr>
        <w:spacing w:line="360" w:lineRule="auto"/>
        <w:ind w:firstLine="420" w:firstLineChars="200"/>
        <w:rPr>
          <w:rFonts w:ascii="宋体" w:hAnsi="宋体" w:cs="宋体"/>
          <w:szCs w:val="21"/>
        </w:rPr>
      </w:pPr>
      <w:r>
        <w:rPr>
          <w:rFonts w:hint="eastAsia" w:ascii="宋体" w:hAnsi="宋体" w:cs="宋体"/>
          <w:szCs w:val="21"/>
        </w:rPr>
        <w:t>22.1.3对不同文字文本响应文件的解释发生异议的，以中文文本为准。</w:t>
      </w:r>
    </w:p>
    <w:p>
      <w:pPr>
        <w:spacing w:line="360" w:lineRule="auto"/>
        <w:ind w:firstLine="420" w:firstLineChars="200"/>
        <w:rPr>
          <w:rFonts w:ascii="宋体" w:hAnsi="宋体" w:cs="宋体"/>
          <w:szCs w:val="21"/>
        </w:rPr>
      </w:pPr>
      <w:r>
        <w:rPr>
          <w:rFonts w:hint="eastAsia" w:ascii="宋体" w:hAnsi="宋体" w:cs="宋体"/>
          <w:szCs w:val="21"/>
        </w:rPr>
        <w:t>22.2按上述修正错误的原则及方法调整或修正响应文件的磋商报价，供应商同意后，调整后的磋商报价对其起约束作用。如果供应商不接受修正后的报价，则其响应文件将被拒绝。</w:t>
      </w:r>
    </w:p>
    <w:p>
      <w:pPr>
        <w:numPr>
          <w:ilvl w:val="0"/>
          <w:numId w:val="2"/>
        </w:numPr>
        <w:spacing w:line="360" w:lineRule="auto"/>
        <w:rPr>
          <w:rFonts w:ascii="宋体" w:hAnsi="宋体" w:cs="宋体"/>
          <w:szCs w:val="21"/>
        </w:rPr>
      </w:pPr>
      <w:r>
        <w:rPr>
          <w:rFonts w:hint="eastAsia" w:ascii="宋体" w:hAnsi="宋体" w:cs="宋体"/>
          <w:b/>
          <w:szCs w:val="21"/>
        </w:rPr>
        <w:t>竞争性磋商：</w:t>
      </w:r>
    </w:p>
    <w:p>
      <w:pPr>
        <w:spacing w:line="360" w:lineRule="auto"/>
        <w:ind w:firstLine="420" w:firstLineChars="200"/>
        <w:rPr>
          <w:rFonts w:ascii="宋体" w:hAnsi="宋体" w:cs="宋体"/>
          <w:szCs w:val="21"/>
        </w:rPr>
      </w:pPr>
      <w:r>
        <w:rPr>
          <w:rFonts w:hint="eastAsia" w:ascii="宋体" w:hAnsi="宋体" w:cs="宋体"/>
          <w:szCs w:val="21"/>
        </w:rPr>
        <w:t>23.1 资格性审查、符合性审查合格的供应商，将进入本次竞争性磋商程序。</w:t>
      </w:r>
    </w:p>
    <w:p>
      <w:pPr>
        <w:spacing w:line="360" w:lineRule="auto"/>
        <w:ind w:firstLine="420" w:firstLineChars="200"/>
        <w:rPr>
          <w:rFonts w:ascii="宋体" w:hAnsi="宋体" w:cs="宋体"/>
          <w:szCs w:val="21"/>
        </w:rPr>
      </w:pPr>
      <w:r>
        <w:rPr>
          <w:rFonts w:hint="eastAsia" w:ascii="宋体" w:hAnsi="宋体" w:cs="宋体"/>
          <w:szCs w:val="21"/>
        </w:rPr>
        <w:t>23.2磋商内容包括：</w:t>
      </w:r>
    </w:p>
    <w:p>
      <w:pPr>
        <w:spacing w:line="360" w:lineRule="auto"/>
        <w:ind w:firstLine="420" w:firstLineChars="200"/>
        <w:rPr>
          <w:rFonts w:ascii="宋体" w:hAnsi="宋体" w:cs="宋体"/>
          <w:szCs w:val="21"/>
        </w:rPr>
      </w:pPr>
      <w:r>
        <w:rPr>
          <w:rFonts w:hint="eastAsia" w:ascii="宋体" w:hAnsi="宋体" w:cs="宋体"/>
          <w:szCs w:val="21"/>
        </w:rPr>
        <w:t>23.2.1按照竞争性磋商文件，对供应商提交的响应文件逐一进行比较各项指标和要求；</w:t>
      </w:r>
    </w:p>
    <w:p>
      <w:pPr>
        <w:spacing w:line="360" w:lineRule="auto"/>
        <w:ind w:firstLine="420" w:firstLineChars="200"/>
        <w:rPr>
          <w:rFonts w:ascii="宋体" w:hAnsi="宋体" w:cs="宋体"/>
          <w:szCs w:val="21"/>
        </w:rPr>
      </w:pPr>
      <w:r>
        <w:rPr>
          <w:rFonts w:hint="eastAsia" w:ascii="宋体" w:hAnsi="宋体" w:cs="宋体"/>
          <w:szCs w:val="21"/>
        </w:rPr>
        <w:t>23.2.2在磋商中，磋商的任何一方不得透露与磋商有关的其他供应商的技术资料、价格和其他信息。磋商结束后，磋商小组可以要求所有参加磋商的供应商在规定时间内进行最后报价（各供应商应对其磋商代表进行相应授权，并做好在当天规定时间内完成有关澄清、磋商和最后报价的准备工作）。</w:t>
      </w:r>
    </w:p>
    <w:p>
      <w:pPr>
        <w:spacing w:line="360" w:lineRule="auto"/>
        <w:ind w:firstLine="420" w:firstLineChars="200"/>
        <w:rPr>
          <w:rFonts w:ascii="宋体" w:hAnsi="宋体" w:cs="宋体"/>
          <w:szCs w:val="21"/>
          <w:lang w:val="zh-CN"/>
        </w:rPr>
      </w:pPr>
      <w:r>
        <w:rPr>
          <w:rFonts w:hint="eastAsia" w:ascii="宋体" w:hAnsi="宋体" w:cs="宋体"/>
          <w:szCs w:val="21"/>
        </w:rPr>
        <w:t xml:space="preserve">23.3 </w:t>
      </w:r>
      <w:r>
        <w:rPr>
          <w:rFonts w:hint="eastAsia" w:ascii="宋体" w:hAnsi="宋体" w:cs="宋体"/>
          <w:szCs w:val="21"/>
          <w:lang w:val="zh-CN"/>
        </w:rPr>
        <w:t>在竞争性磋商过程中，竞争性磋商小组可以根据竞争性磋商文件和竞争性磋商情况实质性变动，但不得变动竞争性磋商文件中的其他内容。实质性变动的内容，须经采购人代表确定。</w:t>
      </w:r>
    </w:p>
    <w:p>
      <w:pPr>
        <w:spacing w:line="360" w:lineRule="auto"/>
        <w:ind w:firstLine="420" w:firstLineChars="200"/>
        <w:rPr>
          <w:rFonts w:ascii="宋体" w:hAnsi="宋体" w:cs="宋体"/>
          <w:szCs w:val="21"/>
          <w:lang w:val="zh-CN"/>
        </w:rPr>
      </w:pPr>
      <w:r>
        <w:rPr>
          <w:rFonts w:hint="eastAsia" w:ascii="宋体" w:hAnsi="宋体" w:cs="宋体"/>
          <w:szCs w:val="21"/>
        </w:rPr>
        <w:t>23.3.1</w:t>
      </w:r>
      <w:r>
        <w:rPr>
          <w:rFonts w:hint="eastAsia" w:ascii="宋体" w:hAnsi="宋体" w:cs="宋体"/>
          <w:szCs w:val="21"/>
          <w:lang w:val="zh-CN"/>
        </w:rPr>
        <w:t>对竞争性磋商文件作出实质性变动是竞争性磋商文件的有效组成部分，竞争性磋商小组应当及时以书面形式同时通知所有参加竞争性磋商的供应商。</w:t>
      </w:r>
    </w:p>
    <w:p>
      <w:pPr>
        <w:spacing w:line="360" w:lineRule="auto"/>
        <w:ind w:firstLine="420" w:firstLineChars="200"/>
        <w:rPr>
          <w:rFonts w:ascii="宋体" w:hAnsi="宋体" w:cs="宋体"/>
          <w:szCs w:val="21"/>
          <w:lang w:val="zh-CN"/>
        </w:rPr>
      </w:pPr>
      <w:r>
        <w:rPr>
          <w:rFonts w:hint="eastAsia" w:ascii="宋体" w:hAnsi="宋体" w:cs="宋体"/>
          <w:szCs w:val="21"/>
        </w:rPr>
        <w:t>23.3.2供应商应当按照竞争性磋商文件的变动情况和竞争性磋商小组的要求重新提交响应文件，并由其法定代表人或委托代理人签字或盖章，并加盖单位公章</w:t>
      </w:r>
      <w:r>
        <w:rPr>
          <w:rFonts w:hint="eastAsia" w:ascii="宋体" w:hAnsi="宋体" w:cs="宋体"/>
          <w:szCs w:val="21"/>
          <w:lang w:val="zh-CN"/>
        </w:rPr>
        <w:t>。</w:t>
      </w:r>
    </w:p>
    <w:p>
      <w:pPr>
        <w:spacing w:line="360" w:lineRule="auto"/>
        <w:ind w:firstLine="420" w:firstLineChars="200"/>
        <w:rPr>
          <w:rFonts w:ascii="宋体" w:hAnsi="宋体" w:cs="宋体"/>
          <w:szCs w:val="21"/>
        </w:rPr>
      </w:pPr>
      <w:r>
        <w:rPr>
          <w:rFonts w:hint="eastAsia" w:ascii="宋体" w:hAnsi="宋体" w:cs="宋体"/>
          <w:szCs w:val="21"/>
          <w:lang w:val="zh-CN"/>
        </w:rPr>
        <w:t>2</w:t>
      </w:r>
      <w:r>
        <w:rPr>
          <w:rFonts w:hint="eastAsia" w:ascii="宋体" w:hAnsi="宋体" w:cs="宋体"/>
          <w:szCs w:val="21"/>
        </w:rPr>
        <w:t>3</w:t>
      </w:r>
      <w:r>
        <w:rPr>
          <w:rFonts w:hint="eastAsia" w:ascii="宋体" w:hAnsi="宋体" w:cs="宋体"/>
          <w:szCs w:val="21"/>
          <w:lang w:val="zh-CN"/>
        </w:rPr>
        <w:t>.4本次竞争性磋商进行2轮次报价。</w:t>
      </w:r>
      <w:r>
        <w:rPr>
          <w:rFonts w:hint="eastAsia" w:ascii="宋体" w:hAnsi="宋体" w:cs="宋体"/>
          <w:szCs w:val="21"/>
        </w:rPr>
        <w:t>由采购人（代理公司）通知通过初步审查的供应商在规定时间内通过不见面开标系统进行二轮报价。</w:t>
      </w:r>
      <w:r>
        <w:rPr>
          <w:rFonts w:hint="eastAsia" w:ascii="宋体" w:hAnsi="宋体" w:cs="宋体"/>
          <w:szCs w:val="21"/>
          <w:lang w:val="zh-CN"/>
        </w:rPr>
        <w:t>响应</w:t>
      </w:r>
      <w:r>
        <w:rPr>
          <w:rFonts w:hint="eastAsia" w:ascii="宋体" w:hAnsi="宋体" w:cs="宋体"/>
          <w:szCs w:val="21"/>
        </w:rPr>
        <w:t>文件中报价为第一轮次报价，以后轮次报价不得高于上一轮次报价（除竞争性磋商文件有实质性变动外），否则将被视为未实质性响应竞争性磋商文件。</w:t>
      </w:r>
    </w:p>
    <w:p>
      <w:pPr>
        <w:spacing w:line="360" w:lineRule="auto"/>
        <w:ind w:firstLine="420" w:firstLineChars="200"/>
        <w:rPr>
          <w:rFonts w:ascii="宋体" w:hAnsi="宋体" w:cs="宋体"/>
          <w:szCs w:val="21"/>
        </w:rPr>
      </w:pPr>
      <w:r>
        <w:rPr>
          <w:rFonts w:hint="eastAsia" w:ascii="宋体" w:hAnsi="宋体" w:cs="宋体"/>
          <w:szCs w:val="21"/>
        </w:rPr>
        <w:t xml:space="preserve">23.5供应商在系统进行第二轮报价时，需以附件方式上传第二轮报价表电子版(PDF格式)，未提供第二轮报价表电子版（PDF）的视为无效标处理。 </w:t>
      </w:r>
    </w:p>
    <w:p>
      <w:pPr>
        <w:spacing w:line="360" w:lineRule="auto"/>
        <w:ind w:firstLine="420" w:firstLineChars="200"/>
        <w:rPr>
          <w:rFonts w:ascii="宋体" w:hAnsi="宋体" w:cs="宋体"/>
          <w:szCs w:val="21"/>
        </w:rPr>
      </w:pPr>
      <w:r>
        <w:rPr>
          <w:rFonts w:hint="eastAsia" w:ascii="宋体" w:hAnsi="宋体" w:cs="宋体"/>
          <w:szCs w:val="21"/>
        </w:rPr>
        <w:t>23.6已提交响应文件的供应商，在提交最后报价之前，可以根据竞争性磋商情况退出竞争性磋商。</w:t>
      </w:r>
    </w:p>
    <w:p>
      <w:pPr>
        <w:spacing w:line="360" w:lineRule="auto"/>
        <w:ind w:firstLine="420" w:firstLineChars="200"/>
        <w:rPr>
          <w:rFonts w:ascii="宋体" w:hAnsi="宋体" w:cs="宋体"/>
          <w:szCs w:val="21"/>
        </w:rPr>
      </w:pPr>
      <w:r>
        <w:rPr>
          <w:rFonts w:hint="eastAsia" w:ascii="宋体" w:hAnsi="宋体" w:cs="宋体"/>
          <w:szCs w:val="21"/>
        </w:rPr>
        <w:t>23.7磋商结束后，磋商小组应当要求所有实质性响应的供应商在规定时间内提交最后报价，提交最后报价的供应商不得少于3家。符合</w:t>
      </w:r>
      <w:bookmarkStart w:id="76" w:name="_Toc32423"/>
      <w:r>
        <w:rPr>
          <w:rFonts w:hint="eastAsia" w:ascii="宋体" w:hAnsi="宋体" w:cs="宋体"/>
          <w:szCs w:val="21"/>
        </w:rPr>
        <w:t>《政府采购竞争性磋商采购方式管理暂行办法</w:t>
      </w:r>
      <w:bookmarkEnd w:id="76"/>
      <w:r>
        <w:rPr>
          <w:rFonts w:hint="eastAsia" w:ascii="宋体" w:hAnsi="宋体" w:cs="宋体"/>
          <w:szCs w:val="21"/>
        </w:rPr>
        <w:t>》第三条第四项情形的，提交最后报价的供应商可以为2家</w:t>
      </w:r>
      <w:bookmarkStart w:id="77" w:name="_Toc5652"/>
      <w:r>
        <w:rPr>
          <w:rFonts w:hint="eastAsia" w:ascii="宋体" w:hAnsi="宋体" w:cs="宋体"/>
          <w:szCs w:val="21"/>
        </w:rPr>
        <w:t>或符合《财政部关于政府采购竞争性磋商采购方式管理暂行办法有关问题的补充通知</w:t>
      </w:r>
      <w:bookmarkEnd w:id="7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最后报价是供应商响应文件的有效组成部分。</w:t>
      </w:r>
    </w:p>
    <w:p>
      <w:pPr>
        <w:spacing w:line="360" w:lineRule="auto"/>
        <w:ind w:firstLine="420" w:firstLineChars="200"/>
        <w:rPr>
          <w:rFonts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spacing w:line="360" w:lineRule="auto"/>
        <w:ind w:firstLine="420" w:firstLineChars="200"/>
        <w:rPr>
          <w:rFonts w:ascii="宋体" w:hAnsi="宋体" w:cs="宋体"/>
          <w:szCs w:val="21"/>
        </w:rPr>
      </w:pPr>
      <w:r>
        <w:rPr>
          <w:rFonts w:hint="eastAsia" w:ascii="宋体" w:hAnsi="宋体" w:cs="宋体"/>
          <w:szCs w:val="21"/>
        </w:rPr>
        <w:t>23.8磋商小组应当根据综合评分情况，按照评审得分由高到低顺序推荐3名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0"/>
          <w:numId w:val="2"/>
        </w:numPr>
        <w:spacing w:line="360" w:lineRule="auto"/>
        <w:jc w:val="left"/>
        <w:rPr>
          <w:rFonts w:ascii="宋体" w:hAnsi="宋体" w:cs="宋体"/>
          <w:b/>
          <w:szCs w:val="21"/>
        </w:rPr>
      </w:pPr>
      <w:r>
        <w:rPr>
          <w:rFonts w:hint="eastAsia" w:ascii="宋体" w:hAnsi="宋体" w:cs="宋体"/>
          <w:b/>
          <w:szCs w:val="21"/>
        </w:rPr>
        <w:t>采购人将根据评审报告，确定排名第一的成交候选人为成交供应商，也可以书面授权磋商小组直接确定成交供应商。</w:t>
      </w:r>
    </w:p>
    <w:p>
      <w:pPr>
        <w:numPr>
          <w:ilvl w:val="0"/>
          <w:numId w:val="2"/>
        </w:numPr>
        <w:spacing w:line="360" w:lineRule="auto"/>
        <w:rPr>
          <w:rFonts w:ascii="宋体" w:hAnsi="宋体" w:cs="宋体"/>
          <w:b/>
          <w:szCs w:val="21"/>
        </w:rPr>
      </w:pPr>
      <w:r>
        <w:rPr>
          <w:rFonts w:hint="eastAsia" w:ascii="宋体" w:hAnsi="宋体" w:cs="宋体"/>
          <w:b/>
          <w:spacing w:val="-6"/>
          <w:szCs w:val="21"/>
        </w:rPr>
        <w:t>保密及其他注意事项</w:t>
      </w:r>
    </w:p>
    <w:p>
      <w:pPr>
        <w:spacing w:line="360" w:lineRule="auto"/>
        <w:ind w:firstLine="420" w:firstLineChars="200"/>
        <w:rPr>
          <w:rFonts w:ascii="宋体" w:hAnsi="宋体" w:cs="宋体"/>
          <w:szCs w:val="21"/>
        </w:rPr>
      </w:pPr>
      <w:r>
        <w:rPr>
          <w:rFonts w:hint="eastAsia" w:ascii="宋体" w:hAnsi="宋体" w:cs="宋体"/>
          <w:szCs w:val="21"/>
        </w:rPr>
        <w:t>23.1磋商小组将遵照评审原则，公平、公正地对待所有供应商。</w:t>
      </w:r>
    </w:p>
    <w:p>
      <w:pPr>
        <w:spacing w:line="360" w:lineRule="auto"/>
        <w:ind w:firstLine="420" w:firstLineChars="200"/>
        <w:rPr>
          <w:rFonts w:ascii="宋体" w:hAnsi="宋体" w:cs="宋体"/>
          <w:szCs w:val="21"/>
        </w:rPr>
      </w:pPr>
      <w:r>
        <w:rPr>
          <w:rFonts w:hint="eastAsia" w:ascii="宋体" w:hAnsi="宋体" w:cs="宋体"/>
          <w:szCs w:val="21"/>
        </w:rPr>
        <w:t>23.2在评审期间，供应商不得向磋商小组成员询问评审情况，不得进行旨在影响成交结果的活动。</w:t>
      </w:r>
    </w:p>
    <w:p>
      <w:pPr>
        <w:spacing w:line="360" w:lineRule="auto"/>
        <w:ind w:firstLine="420" w:firstLineChars="200"/>
        <w:rPr>
          <w:rFonts w:ascii="宋体" w:hAnsi="宋体" w:cs="宋体"/>
          <w:szCs w:val="21"/>
        </w:rPr>
      </w:pPr>
      <w:r>
        <w:rPr>
          <w:rFonts w:hint="eastAsia" w:ascii="宋体" w:hAnsi="宋体" w:cs="宋体"/>
          <w:szCs w:val="21"/>
        </w:rPr>
        <w:t>23.3为保证成交结果的公正性，直至授予成交供应商合同时，凡是属于审查、澄清、评价和比较的有关资料以及授标意向等，均不向供应商或其他与评审无关的人员透露。在评审结束后，凡与评审情况有接触的任何人不得也不应将评审情况扩散出磋商小组成员之外。</w:t>
      </w:r>
    </w:p>
    <w:p>
      <w:pPr>
        <w:numPr>
          <w:ilvl w:val="0"/>
          <w:numId w:val="2"/>
        </w:numPr>
        <w:spacing w:line="360" w:lineRule="auto"/>
        <w:rPr>
          <w:rFonts w:ascii="宋体" w:hAnsi="宋体" w:cs="宋体"/>
          <w:b/>
          <w:szCs w:val="21"/>
        </w:rPr>
      </w:pPr>
      <w:r>
        <w:rPr>
          <w:rFonts w:hint="eastAsia" w:ascii="宋体" w:hAnsi="宋体" w:cs="宋体"/>
          <w:b/>
          <w:szCs w:val="21"/>
        </w:rPr>
        <w:t>成交结果的公告</w:t>
      </w:r>
    </w:p>
    <w:p>
      <w:pPr>
        <w:spacing w:line="360" w:lineRule="auto"/>
        <w:ind w:firstLine="315" w:firstLineChars="150"/>
        <w:rPr>
          <w:rFonts w:ascii="宋体" w:hAnsi="宋体" w:cs="宋体"/>
          <w:szCs w:val="21"/>
        </w:rPr>
      </w:pPr>
      <w:r>
        <w:rPr>
          <w:rFonts w:hint="eastAsia" w:ascii="宋体" w:hAnsi="宋体" w:cs="宋体"/>
          <w:szCs w:val="21"/>
        </w:rPr>
        <w:t>成交供应商确定后，成交结果将在《中国招标投标公共服务平台》、《河南省电子招标投标公共服务平台》、《河南省政府采购网》、《焦作市公共资源交易中心网》、《武陟县公共资源交易中心网》网站进行公告。</w:t>
      </w:r>
    </w:p>
    <w:p>
      <w:pPr>
        <w:numPr>
          <w:ilvl w:val="0"/>
          <w:numId w:val="2"/>
        </w:numPr>
        <w:spacing w:line="360" w:lineRule="auto"/>
        <w:rPr>
          <w:rFonts w:ascii="宋体" w:hAnsi="宋体" w:cs="宋体"/>
          <w:b/>
          <w:szCs w:val="21"/>
        </w:rPr>
      </w:pPr>
      <w:r>
        <w:rPr>
          <w:rFonts w:hint="eastAsia" w:ascii="宋体" w:hAnsi="宋体" w:cs="宋体"/>
          <w:b/>
          <w:szCs w:val="21"/>
        </w:rPr>
        <w:t>成交通知书</w:t>
      </w:r>
    </w:p>
    <w:p>
      <w:pPr>
        <w:spacing w:line="360" w:lineRule="auto"/>
        <w:ind w:firstLine="315" w:firstLineChars="150"/>
        <w:rPr>
          <w:rFonts w:ascii="宋体" w:hAnsi="宋体" w:cs="宋体"/>
          <w:szCs w:val="21"/>
        </w:rPr>
      </w:pPr>
      <w:r>
        <w:rPr>
          <w:rFonts w:hint="eastAsia" w:ascii="宋体" w:hAnsi="宋体" w:cs="宋体"/>
          <w:szCs w:val="21"/>
        </w:rPr>
        <w:t>27.1在发布成交公告的同时向成交供应商发出成交通知书；</w:t>
      </w:r>
    </w:p>
    <w:p>
      <w:pPr>
        <w:spacing w:line="360" w:lineRule="auto"/>
        <w:ind w:firstLine="315" w:firstLineChars="150"/>
        <w:rPr>
          <w:rFonts w:ascii="宋体" w:hAnsi="宋体" w:cs="宋体"/>
          <w:szCs w:val="21"/>
        </w:rPr>
      </w:pPr>
      <w:r>
        <w:rPr>
          <w:rFonts w:hint="eastAsia" w:ascii="宋体" w:hAnsi="宋体" w:cs="宋体"/>
          <w:szCs w:val="21"/>
        </w:rPr>
        <w:t>27.2成交通知书将作为进行合同磋商和签订的依据。</w:t>
      </w:r>
      <w:bookmarkStart w:id="78" w:name="_Toc490161265"/>
      <w:bookmarkStart w:id="79" w:name="_Toc5841"/>
      <w:bookmarkStart w:id="80" w:name="_Toc477423248"/>
      <w:bookmarkStart w:id="81" w:name="_Toc487805908"/>
    </w:p>
    <w:p>
      <w:pPr>
        <w:pStyle w:val="5"/>
        <w:spacing w:before="0" w:after="0" w:line="360" w:lineRule="auto"/>
        <w:jc w:val="center"/>
        <w:rPr>
          <w:rFonts w:ascii="宋体" w:hAnsi="宋体" w:eastAsia="宋体" w:cs="宋体"/>
          <w:sz w:val="36"/>
          <w:szCs w:val="36"/>
        </w:rPr>
      </w:pPr>
      <w:bookmarkStart w:id="82" w:name="_Toc48808916"/>
      <w:bookmarkStart w:id="83" w:name="_Toc22215065"/>
      <w:bookmarkStart w:id="84" w:name="_Toc48809198"/>
      <w:bookmarkStart w:id="85" w:name="_Toc3630"/>
      <w:bookmarkStart w:id="86" w:name="_Toc49166044"/>
      <w:bookmarkStart w:id="87" w:name="_Toc3696"/>
      <w:r>
        <w:rPr>
          <w:rFonts w:hint="eastAsia" w:ascii="宋体" w:hAnsi="宋体" w:eastAsia="宋体" w:cs="宋体"/>
          <w:sz w:val="36"/>
          <w:szCs w:val="36"/>
        </w:rPr>
        <w:t>六、合同的授予</w:t>
      </w:r>
      <w:bookmarkEnd w:id="74"/>
      <w:bookmarkEnd w:id="75"/>
      <w:bookmarkEnd w:id="78"/>
      <w:bookmarkEnd w:id="79"/>
      <w:bookmarkEnd w:id="80"/>
      <w:bookmarkEnd w:id="81"/>
      <w:bookmarkEnd w:id="82"/>
      <w:bookmarkEnd w:id="83"/>
      <w:bookmarkEnd w:id="84"/>
      <w:bookmarkEnd w:id="85"/>
      <w:bookmarkEnd w:id="86"/>
      <w:bookmarkEnd w:id="87"/>
    </w:p>
    <w:p>
      <w:pPr>
        <w:numPr>
          <w:ilvl w:val="0"/>
          <w:numId w:val="2"/>
        </w:numPr>
        <w:spacing w:line="360" w:lineRule="auto"/>
        <w:rPr>
          <w:rFonts w:ascii="宋体" w:hAnsi="宋体" w:cs="宋体"/>
          <w:b/>
          <w:szCs w:val="21"/>
        </w:rPr>
      </w:pPr>
      <w:r>
        <w:rPr>
          <w:rFonts w:hint="eastAsia" w:ascii="宋体" w:hAnsi="宋体" w:cs="宋体"/>
          <w:b/>
          <w:szCs w:val="21"/>
        </w:rPr>
        <w:t>本</w:t>
      </w:r>
      <w:r>
        <w:rPr>
          <w:rFonts w:hint="eastAsia" w:ascii="宋体" w:hAnsi="宋体" w:cs="宋体"/>
          <w:b/>
          <w:spacing w:val="-6"/>
          <w:szCs w:val="21"/>
        </w:rPr>
        <w:t>项目的合同将授予按本须知第24条所确定的成交供应商。</w:t>
      </w:r>
    </w:p>
    <w:p>
      <w:pPr>
        <w:numPr>
          <w:ilvl w:val="0"/>
          <w:numId w:val="2"/>
        </w:numPr>
        <w:spacing w:line="360" w:lineRule="auto"/>
        <w:rPr>
          <w:rFonts w:ascii="宋体" w:hAnsi="宋体" w:cs="宋体"/>
          <w:b/>
          <w:szCs w:val="21"/>
        </w:rPr>
      </w:pPr>
      <w:r>
        <w:rPr>
          <w:rFonts w:hint="eastAsia" w:ascii="宋体" w:hAnsi="宋体" w:cs="宋体"/>
          <w:b/>
          <w:szCs w:val="21"/>
        </w:rPr>
        <w:t>合同协议书的签订</w:t>
      </w:r>
    </w:p>
    <w:p>
      <w:pPr>
        <w:numPr>
          <w:ilvl w:val="1"/>
          <w:numId w:val="2"/>
        </w:numPr>
        <w:spacing w:line="360" w:lineRule="auto"/>
        <w:rPr>
          <w:rFonts w:ascii="宋体" w:hAnsi="宋体" w:cs="宋体"/>
          <w:szCs w:val="21"/>
        </w:rPr>
      </w:pPr>
      <w:r>
        <w:rPr>
          <w:rFonts w:hint="eastAsia" w:ascii="宋体" w:hAnsi="宋体" w:cs="宋体"/>
          <w:szCs w:val="21"/>
        </w:rPr>
        <w:t>签订合同时，采购人和成交供应商不得订立背离合同实质性内容的其他协议。</w:t>
      </w:r>
    </w:p>
    <w:p>
      <w:pPr>
        <w:numPr>
          <w:ilvl w:val="1"/>
          <w:numId w:val="2"/>
        </w:numPr>
        <w:spacing w:line="360" w:lineRule="auto"/>
        <w:rPr>
          <w:rFonts w:ascii="宋体" w:hAnsi="宋体" w:cs="宋体"/>
          <w:szCs w:val="21"/>
        </w:rPr>
      </w:pPr>
      <w:r>
        <w:rPr>
          <w:rFonts w:hint="eastAsia" w:ascii="宋体" w:hAnsi="宋体" w:cs="宋体"/>
          <w:szCs w:val="21"/>
        </w:rPr>
        <w:t>成交供应商如不按成交通知书规定的时间内与采购人订立合同，则采购人将废除授标，给采购人造成的损失的，应当对超过部分予以赔偿，同时依法承担相应法律责任。</w:t>
      </w:r>
    </w:p>
    <w:p>
      <w:pPr>
        <w:numPr>
          <w:ilvl w:val="1"/>
          <w:numId w:val="2"/>
        </w:numPr>
        <w:spacing w:line="360" w:lineRule="auto"/>
        <w:rPr>
          <w:rFonts w:ascii="宋体" w:hAnsi="宋体" w:cs="宋体"/>
          <w:szCs w:val="21"/>
        </w:rPr>
      </w:pPr>
      <w:r>
        <w:rPr>
          <w:rFonts w:hint="eastAsia" w:ascii="宋体" w:hAnsi="宋体" w:cs="宋体"/>
          <w:szCs w:val="21"/>
        </w:rPr>
        <w:t>成交供应商应当按照合同约定履行义务，完成成交项目，不得将成交项目转让(转包)给他人。</w:t>
      </w:r>
    </w:p>
    <w:p>
      <w:pPr>
        <w:numPr>
          <w:ilvl w:val="1"/>
          <w:numId w:val="2"/>
        </w:numPr>
        <w:spacing w:line="360" w:lineRule="auto"/>
        <w:rPr>
          <w:rFonts w:ascii="宋体" w:hAnsi="宋体" w:cs="宋体"/>
          <w:szCs w:val="21"/>
        </w:rPr>
      </w:pPr>
      <w:r>
        <w:rPr>
          <w:rFonts w:hint="eastAsia" w:ascii="宋体" w:hAnsi="宋体" w:cs="宋体"/>
          <w:szCs w:val="21"/>
        </w:rPr>
        <w:t>根据《政府采购促进中小企业发展管理办法》规定，成交供应商为小微企业的不得将合同分包给大中型企业，成交供应商为中型企业的不得将合同分包给大型企业。</w:t>
      </w:r>
    </w:p>
    <w:p>
      <w:pPr>
        <w:numPr>
          <w:ilvl w:val="0"/>
          <w:numId w:val="2"/>
        </w:numPr>
        <w:spacing w:line="360" w:lineRule="auto"/>
        <w:rPr>
          <w:rFonts w:ascii="宋体" w:hAnsi="宋体" w:cs="宋体"/>
          <w:b/>
          <w:szCs w:val="21"/>
        </w:rPr>
      </w:pPr>
      <w:r>
        <w:rPr>
          <w:rFonts w:hint="eastAsia" w:ascii="宋体" w:hAnsi="宋体" w:cs="宋体"/>
          <w:b/>
          <w:szCs w:val="21"/>
        </w:rPr>
        <w:t>成交供应商应在采购合同签订之日起两个工作日内将合同报武陟县公共资源交易中心备案。</w:t>
      </w:r>
    </w:p>
    <w:p>
      <w:pPr>
        <w:pStyle w:val="14"/>
        <w:snapToGrid w:val="0"/>
        <w:spacing w:line="360" w:lineRule="auto"/>
        <w:ind w:firstLine="0" w:firstLineChars="0"/>
        <w:rPr>
          <w:rFonts w:ascii="宋体" w:hAnsi="宋体" w:cs="宋体"/>
          <w:b/>
          <w:szCs w:val="21"/>
        </w:rPr>
      </w:pPr>
      <w:r>
        <w:rPr>
          <w:rFonts w:hint="eastAsia" w:ascii="宋体" w:hAnsi="宋体" w:cs="宋体"/>
          <w:b/>
          <w:szCs w:val="21"/>
        </w:rPr>
        <w:t>31.质疑</w:t>
      </w:r>
    </w:p>
    <w:p>
      <w:pPr>
        <w:spacing w:line="360" w:lineRule="auto"/>
        <w:ind w:firstLine="210" w:firstLineChars="100"/>
        <w:rPr>
          <w:rFonts w:ascii="宋体" w:hAnsi="宋体" w:cs="宋体"/>
          <w:szCs w:val="21"/>
        </w:rPr>
      </w:pPr>
      <w:r>
        <w:rPr>
          <w:rFonts w:hint="eastAsia" w:ascii="宋体" w:hAnsi="宋体" w:cs="宋体"/>
          <w:szCs w:val="21"/>
        </w:rPr>
        <w:t>31.1供应商认为磋商文件、磋商过程、中标或者成交结果使自己的权益受到损害的，可以在知道或者应知其权益受到损害之日起7个工作日内，以书面形式向采购人、采购代理机构提出质疑。</w:t>
      </w:r>
    </w:p>
    <w:p>
      <w:pPr>
        <w:spacing w:line="360" w:lineRule="auto"/>
        <w:ind w:firstLine="210" w:firstLineChars="100"/>
        <w:rPr>
          <w:rFonts w:ascii="宋体" w:hAnsi="宋体" w:cs="宋体"/>
          <w:szCs w:val="21"/>
        </w:rPr>
      </w:pPr>
      <w:r>
        <w:rPr>
          <w:rFonts w:hint="eastAsia" w:ascii="宋体" w:hAnsi="宋体" w:cs="宋体"/>
          <w:szCs w:val="21"/>
        </w:rPr>
        <w:t>31.2供应商应在法定质疑期内一次性提出针对同一采购程序环节的质疑。</w:t>
      </w:r>
    </w:p>
    <w:p>
      <w:pPr>
        <w:spacing w:line="360" w:lineRule="auto"/>
        <w:ind w:firstLine="210" w:firstLineChars="100"/>
        <w:rPr>
          <w:rFonts w:ascii="宋体" w:hAnsi="宋体" w:cs="宋体"/>
          <w:szCs w:val="21"/>
        </w:rPr>
      </w:pPr>
      <w:r>
        <w:rPr>
          <w:rFonts w:hint="eastAsia" w:ascii="宋体" w:hAnsi="宋体" w:cs="宋体"/>
          <w:szCs w:val="21"/>
        </w:rPr>
        <w:t>31.3提出质疑的供应商应当是参与所质疑项目采购活动的供应商。</w:t>
      </w:r>
    </w:p>
    <w:p>
      <w:pPr>
        <w:spacing w:line="360" w:lineRule="auto"/>
        <w:ind w:firstLine="210" w:firstLineChars="100"/>
        <w:rPr>
          <w:rFonts w:ascii="宋体" w:hAnsi="宋体" w:cs="宋体"/>
          <w:szCs w:val="21"/>
        </w:rPr>
      </w:pPr>
      <w:r>
        <w:rPr>
          <w:rFonts w:hint="eastAsia" w:ascii="宋体" w:hAnsi="宋体" w:cs="宋体"/>
          <w:szCs w:val="21"/>
        </w:rPr>
        <w:t>31.4潜在供应商已依法获取其可质疑的磋商文件的，可以对该文件提出质疑。对磋商文件提出质疑的，应当在获取磋商文件之日起7个工作日内提出。</w:t>
      </w:r>
    </w:p>
    <w:p>
      <w:pPr>
        <w:spacing w:line="360" w:lineRule="auto"/>
        <w:ind w:firstLine="210" w:firstLineChars="100"/>
        <w:rPr>
          <w:rFonts w:ascii="宋体" w:hAnsi="宋体" w:cs="宋体"/>
          <w:szCs w:val="21"/>
        </w:rPr>
      </w:pPr>
      <w:r>
        <w:rPr>
          <w:rFonts w:hint="eastAsia" w:ascii="宋体" w:hAnsi="宋体" w:cs="宋体"/>
          <w:szCs w:val="21"/>
        </w:rPr>
        <w:t>31.5供应商提出质疑应当提交质疑函和必要的证明材料。</w:t>
      </w:r>
    </w:p>
    <w:p>
      <w:pPr>
        <w:spacing w:line="360" w:lineRule="auto"/>
        <w:ind w:firstLine="210" w:firstLineChars="100"/>
        <w:rPr>
          <w:rFonts w:ascii="宋体" w:hAnsi="宋体" w:cs="宋体"/>
          <w:szCs w:val="21"/>
        </w:rPr>
      </w:pPr>
      <w:r>
        <w:rPr>
          <w:rFonts w:hint="eastAsia" w:ascii="宋体" w:hAnsi="宋体" w:cs="宋体"/>
          <w:szCs w:val="21"/>
        </w:rPr>
        <w:t>31.6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spacing w:line="360" w:lineRule="auto"/>
        <w:ind w:firstLine="210" w:firstLineChars="100"/>
        <w:rPr>
          <w:rFonts w:ascii="宋体" w:hAnsi="宋体" w:cs="宋体"/>
          <w:szCs w:val="21"/>
        </w:rPr>
      </w:pPr>
      <w:r>
        <w:rPr>
          <w:rFonts w:hint="eastAsia" w:ascii="宋体" w:hAnsi="宋体" w:cs="宋体"/>
          <w:szCs w:val="21"/>
        </w:rPr>
        <w:t>31.7质疑文件格式详见《中国政府采购网》下载专区“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spacing w:line="360" w:lineRule="auto"/>
        <w:ind w:firstLine="210" w:firstLineChars="100"/>
        <w:rPr>
          <w:rFonts w:ascii="宋体" w:hAnsi="宋体" w:cs="宋体"/>
          <w:szCs w:val="21"/>
        </w:rPr>
      </w:pPr>
      <w:r>
        <w:rPr>
          <w:rFonts w:hint="eastAsia" w:ascii="宋体" w:hAnsi="宋体" w:cs="宋体"/>
          <w:szCs w:val="21"/>
        </w:rPr>
        <w:t>31.8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spacing w:line="360" w:lineRule="auto"/>
        <w:ind w:firstLine="210" w:firstLineChars="100"/>
        <w:rPr>
          <w:rFonts w:ascii="宋体" w:hAnsi="宋体" w:cs="宋体"/>
          <w:szCs w:val="21"/>
        </w:rPr>
      </w:pPr>
      <w:r>
        <w:rPr>
          <w:rFonts w:hint="eastAsia" w:ascii="宋体" w:hAnsi="宋体" w:cs="宋体"/>
          <w:szCs w:val="21"/>
        </w:rPr>
        <w:t>31.9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spacing w:line="360" w:lineRule="auto"/>
        <w:ind w:firstLine="210" w:firstLineChars="100"/>
        <w:rPr>
          <w:rFonts w:ascii="宋体" w:hAnsi="宋体" w:cs="宋体"/>
          <w:szCs w:val="21"/>
        </w:rPr>
      </w:pPr>
      <w:r>
        <w:rPr>
          <w:rFonts w:hint="eastAsia" w:ascii="宋体" w:hAnsi="宋体" w:cs="宋体"/>
          <w:szCs w:val="21"/>
        </w:rPr>
        <w:t>31.9.1质疑供应商对采购人或采购代理机构的答复不满意以及采购人或采购代理机构未在规定的时间内做出答复的，可以在答复期满后15个工作日内向同级财政部门投诉。</w:t>
      </w:r>
    </w:p>
    <w:p>
      <w:pPr>
        <w:pStyle w:val="4"/>
        <w:spacing w:before="0" w:after="0" w:line="360" w:lineRule="auto"/>
        <w:rPr>
          <w:sz w:val="32"/>
          <w:szCs w:val="32"/>
        </w:rPr>
      </w:pPr>
      <w:bookmarkStart w:id="88" w:name="_Toc20548"/>
      <w:r>
        <w:rPr>
          <w:rFonts w:hint="eastAsia"/>
          <w:sz w:val="32"/>
          <w:szCs w:val="32"/>
        </w:rPr>
        <w:t>第三章  评审办法</w:t>
      </w:r>
      <w:bookmarkEnd w:id="15"/>
      <w:bookmarkEnd w:id="16"/>
      <w:bookmarkEnd w:id="17"/>
      <w:bookmarkEnd w:id="18"/>
      <w:bookmarkEnd w:id="88"/>
    </w:p>
    <w:p>
      <w:pPr>
        <w:autoSpaceDE w:val="0"/>
        <w:autoSpaceDN w:val="0"/>
        <w:adjustRightInd w:val="0"/>
        <w:spacing w:line="360" w:lineRule="auto"/>
        <w:ind w:right="97"/>
        <w:jc w:val="left"/>
        <w:rPr>
          <w:rFonts w:ascii="宋体" w:hAnsi="宋体" w:cs="宋体"/>
          <w:b/>
          <w:szCs w:val="21"/>
        </w:rPr>
      </w:pPr>
      <w:bookmarkStart w:id="89" w:name="_Toc356372649"/>
      <w:bookmarkEnd w:id="89"/>
      <w:r>
        <w:rPr>
          <w:rFonts w:hint="eastAsia" w:ascii="宋体" w:hAnsi="宋体" w:cs="宋体"/>
          <w:b/>
          <w:bCs/>
          <w:szCs w:val="21"/>
        </w:rPr>
        <w:t>1、</w:t>
      </w:r>
      <w:r>
        <w:rPr>
          <w:rFonts w:hint="eastAsia" w:ascii="宋体" w:hAnsi="宋体" w:cs="宋体"/>
          <w:b/>
          <w:szCs w:val="21"/>
        </w:rPr>
        <w:t xml:space="preserve"> 评审标准</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1.1  评审过程将遵循“公平、公正、科学、择优”的原则进行。</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szCs w:val="21"/>
        </w:rPr>
        <w:t>1.2  评审将严格按照磋商文</w:t>
      </w:r>
      <w:r>
        <w:rPr>
          <w:rFonts w:hint="eastAsia" w:ascii="宋体" w:hAnsi="宋体" w:cs="宋体"/>
          <w:kern w:val="0"/>
          <w:szCs w:val="21"/>
        </w:rPr>
        <w:t>件的要求和条件进行。</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kern w:val="0"/>
          <w:szCs w:val="21"/>
        </w:rPr>
        <w:t>1.3  本</w:t>
      </w:r>
      <w:r>
        <w:rPr>
          <w:rFonts w:hint="eastAsia" w:ascii="宋体" w:hAnsi="宋体" w:cs="宋体"/>
          <w:szCs w:val="21"/>
        </w:rPr>
        <w:t>次评审采用综合评分法。</w:t>
      </w:r>
    </w:p>
    <w:p>
      <w:pPr>
        <w:autoSpaceDE w:val="0"/>
        <w:autoSpaceDN w:val="0"/>
        <w:adjustRightInd w:val="0"/>
        <w:spacing w:line="360" w:lineRule="auto"/>
        <w:ind w:right="97"/>
        <w:jc w:val="left"/>
        <w:rPr>
          <w:rFonts w:ascii="宋体" w:hAnsi="宋体" w:cs="宋体"/>
          <w:b/>
          <w:szCs w:val="21"/>
        </w:rPr>
      </w:pPr>
      <w:r>
        <w:rPr>
          <w:rFonts w:hint="eastAsia" w:ascii="宋体" w:hAnsi="宋体" w:cs="宋体"/>
          <w:b/>
          <w:szCs w:val="21"/>
        </w:rPr>
        <w:t>2、</w:t>
      </w:r>
      <w:bookmarkStart w:id="90" w:name="_Toc31554"/>
      <w:bookmarkEnd w:id="90"/>
      <w:bookmarkStart w:id="91" w:name="_Toc12846"/>
      <w:bookmarkEnd w:id="91"/>
      <w:bookmarkStart w:id="92" w:name="_Toc647"/>
      <w:bookmarkEnd w:id="92"/>
      <w:r>
        <w:rPr>
          <w:rFonts w:hint="eastAsia" w:ascii="宋体" w:hAnsi="宋体" w:cs="宋体"/>
          <w:b/>
          <w:szCs w:val="21"/>
        </w:rPr>
        <w:t>评审方法</w:t>
      </w:r>
      <w:bookmarkStart w:id="93" w:name="_Toc184635094"/>
      <w:bookmarkEnd w:id="93"/>
    </w:p>
    <w:p>
      <w:pPr>
        <w:autoSpaceDE w:val="0"/>
        <w:autoSpaceDN w:val="0"/>
        <w:adjustRightInd w:val="0"/>
        <w:spacing w:line="360" w:lineRule="auto"/>
        <w:ind w:right="97" w:firstLine="420" w:firstLineChars="200"/>
        <w:jc w:val="left"/>
        <w:rPr>
          <w:rFonts w:ascii="宋体" w:hAnsi="宋体" w:cs="宋体"/>
          <w:b/>
          <w:bCs/>
          <w:kern w:val="0"/>
          <w:szCs w:val="21"/>
        </w:rPr>
      </w:pPr>
      <w:r>
        <w:rPr>
          <w:rFonts w:hint="eastAsia" w:ascii="宋体" w:hAnsi="宋体" w:cs="宋体"/>
          <w:bCs/>
          <w:szCs w:val="21"/>
        </w:rPr>
        <w:t>经磋商确定最终采购需求和提交最后报价的供应商后，磋商小组采用综合评分法对提交最后报价的供应商的响应文件和最后报价进行综合评分。</w:t>
      </w:r>
    </w:p>
    <w:tbl>
      <w:tblPr>
        <w:tblStyle w:val="42"/>
        <w:tblW w:w="0" w:type="auto"/>
        <w:tblInd w:w="4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944"/>
        <w:gridCol w:w="614"/>
        <w:gridCol w:w="1654"/>
        <w:gridCol w:w="4152"/>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1719" w:type="dxa"/>
            <w:gridSpan w:val="2"/>
            <w:noWrap/>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条款号</w:t>
            </w:r>
          </w:p>
        </w:tc>
        <w:tc>
          <w:tcPr>
            <w:tcW w:w="2268" w:type="dxa"/>
            <w:gridSpan w:val="2"/>
            <w:noWrap/>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评审因素</w:t>
            </w:r>
          </w:p>
        </w:tc>
        <w:tc>
          <w:tcPr>
            <w:tcW w:w="5271" w:type="dxa"/>
            <w:gridSpan w:val="2"/>
            <w:noWrap/>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2.1.1</w:t>
            </w:r>
          </w:p>
        </w:tc>
        <w:tc>
          <w:tcPr>
            <w:tcW w:w="944"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形式评审标准</w:t>
            </w: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供应商名称</w:t>
            </w:r>
          </w:p>
        </w:tc>
        <w:tc>
          <w:tcPr>
            <w:tcW w:w="5271" w:type="dxa"/>
            <w:gridSpan w:val="2"/>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与资质证书一致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签字盖章</w:t>
            </w:r>
          </w:p>
        </w:tc>
        <w:tc>
          <w:tcPr>
            <w:tcW w:w="5271" w:type="dxa"/>
            <w:gridSpan w:val="2"/>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由法定代表人或其委托代理人签字或盖章，并加盖单位公章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响应文件格式</w:t>
            </w:r>
          </w:p>
        </w:tc>
        <w:tc>
          <w:tcPr>
            <w:tcW w:w="5271" w:type="dxa"/>
            <w:gridSpan w:val="2"/>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符合第六章“响应文件格式”的要求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报价唯一</w:t>
            </w:r>
          </w:p>
        </w:tc>
        <w:tc>
          <w:tcPr>
            <w:tcW w:w="5271" w:type="dxa"/>
            <w:gridSpan w:val="2"/>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atLeast"/>
        </w:trPr>
        <w:tc>
          <w:tcPr>
            <w:tcW w:w="775"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2.1.2</w:t>
            </w:r>
          </w:p>
        </w:tc>
        <w:tc>
          <w:tcPr>
            <w:tcW w:w="944"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资格评审标准</w:t>
            </w: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焦作市政府采购供应商资格信用承诺函</w:t>
            </w:r>
          </w:p>
        </w:tc>
        <w:tc>
          <w:tcPr>
            <w:tcW w:w="5271" w:type="dxa"/>
            <w:gridSpan w:val="2"/>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符合第六章“响应文件格式”的要求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944" w:type="dxa"/>
            <w:vMerge w:val="continue"/>
            <w:noWrap/>
            <w:vAlign w:val="center"/>
          </w:tcPr>
          <w:p>
            <w:pPr>
              <w:autoSpaceDE w:val="0"/>
              <w:autoSpaceDN w:val="0"/>
              <w:spacing w:line="360" w:lineRule="auto"/>
              <w:jc w:val="center"/>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中小企业</w:t>
            </w:r>
          </w:p>
        </w:tc>
        <w:tc>
          <w:tcPr>
            <w:tcW w:w="5271" w:type="dxa"/>
            <w:gridSpan w:val="2"/>
            <w:noWrap/>
            <w:vAlign w:val="center"/>
          </w:tcPr>
          <w:p>
            <w:pPr>
              <w:spacing w:line="360" w:lineRule="auto"/>
              <w:rPr>
                <w:rFonts w:ascii="宋体" w:hAnsi="宋体" w:cs="宋体"/>
                <w:kern w:val="0"/>
                <w:szCs w:val="21"/>
              </w:rPr>
            </w:pPr>
            <w:r>
              <w:rPr>
                <w:rFonts w:hint="eastAsia" w:ascii="宋体" w:hAnsi="宋体"/>
                <w:szCs w:val="21"/>
              </w:rPr>
              <w:t>符合“供应商须知</w:t>
            </w:r>
            <w:r>
              <w:rPr>
                <w:rFonts w:hint="eastAsia" w:ascii="宋体" w:hAnsi="宋体" w:cs="宋体"/>
                <w:kern w:val="0"/>
                <w:szCs w:val="21"/>
              </w:rPr>
              <w:t>前附表</w:t>
            </w:r>
            <w:r>
              <w:rPr>
                <w:rFonts w:hint="eastAsia" w:ascii="宋体" w:hAnsi="宋体"/>
                <w:szCs w:val="21"/>
              </w:rPr>
              <w:t>”</w:t>
            </w:r>
            <w:r>
              <w:rPr>
                <w:rFonts w:hint="eastAsia" w:ascii="宋体" w:hAnsi="宋体" w:cs="宋体"/>
                <w:kern w:val="0"/>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资质证书</w:t>
            </w:r>
          </w:p>
        </w:tc>
        <w:tc>
          <w:tcPr>
            <w:tcW w:w="5271" w:type="dxa"/>
            <w:gridSpan w:val="2"/>
            <w:noWrap/>
            <w:vAlign w:val="center"/>
          </w:tcPr>
          <w:p>
            <w:pPr>
              <w:spacing w:line="360" w:lineRule="auto"/>
              <w:rPr>
                <w:rFonts w:ascii="宋体" w:hAnsi="宋体" w:cs="宋体"/>
                <w:szCs w:val="21"/>
              </w:rPr>
            </w:pPr>
            <w:r>
              <w:rPr>
                <w:rFonts w:hint="eastAsia" w:ascii="宋体" w:hAnsi="宋体" w:cs="宋体"/>
                <w:kern w:val="0"/>
                <w:szCs w:val="21"/>
              </w:rPr>
              <w:t>符合“供应商须知前附表”要求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项目经理</w:t>
            </w:r>
          </w:p>
        </w:tc>
        <w:tc>
          <w:tcPr>
            <w:tcW w:w="5271" w:type="dxa"/>
            <w:gridSpan w:val="2"/>
            <w:noWrap/>
            <w:vAlign w:val="center"/>
          </w:tcPr>
          <w:p>
            <w:pPr>
              <w:spacing w:line="360" w:lineRule="auto"/>
              <w:rPr>
                <w:rFonts w:ascii="宋体" w:hAnsi="宋体" w:cs="宋体"/>
                <w:szCs w:val="21"/>
              </w:rPr>
            </w:pPr>
            <w:r>
              <w:rPr>
                <w:rFonts w:hint="eastAsia" w:ascii="宋体" w:hAnsi="宋体" w:cs="宋体"/>
                <w:kern w:val="0"/>
                <w:szCs w:val="21"/>
              </w:rPr>
              <w:t>符合“供应商须知前附表”要求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信用报告</w:t>
            </w:r>
          </w:p>
        </w:tc>
        <w:tc>
          <w:tcPr>
            <w:tcW w:w="5271" w:type="dxa"/>
            <w:gridSpan w:val="2"/>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无行贿犯罪档案</w:t>
            </w:r>
          </w:p>
        </w:tc>
        <w:tc>
          <w:tcPr>
            <w:tcW w:w="5271" w:type="dxa"/>
            <w:gridSpan w:val="2"/>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restart"/>
            <w:noWrap/>
            <w:vAlign w:val="center"/>
          </w:tcPr>
          <w:p>
            <w:pPr>
              <w:widowControl/>
              <w:spacing w:line="360" w:lineRule="auto"/>
              <w:jc w:val="left"/>
              <w:rPr>
                <w:rFonts w:ascii="宋体" w:hAnsi="宋体" w:cs="宋体"/>
                <w:kern w:val="0"/>
                <w:szCs w:val="21"/>
              </w:rPr>
            </w:pPr>
            <w:r>
              <w:rPr>
                <w:rFonts w:hint="eastAsia" w:ascii="宋体" w:hAnsi="宋体" w:cs="宋体"/>
                <w:kern w:val="0"/>
                <w:szCs w:val="21"/>
              </w:rPr>
              <w:t>2.1.3</w:t>
            </w:r>
          </w:p>
        </w:tc>
        <w:tc>
          <w:tcPr>
            <w:tcW w:w="944" w:type="dxa"/>
            <w:vMerge w:val="restart"/>
            <w:noWrap/>
            <w:vAlign w:val="center"/>
          </w:tcPr>
          <w:p>
            <w:pPr>
              <w:widowControl/>
              <w:spacing w:line="360" w:lineRule="auto"/>
              <w:jc w:val="left"/>
              <w:rPr>
                <w:rFonts w:ascii="宋体" w:hAnsi="宋体" w:cs="宋体"/>
                <w:kern w:val="0"/>
                <w:szCs w:val="21"/>
              </w:rPr>
            </w:pPr>
            <w:r>
              <w:rPr>
                <w:rFonts w:hint="eastAsia" w:ascii="宋体" w:hAnsi="宋体" w:cs="宋体"/>
                <w:kern w:val="0"/>
                <w:szCs w:val="21"/>
              </w:rPr>
              <w:t>响应评审</w:t>
            </w: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磋商范围</w:t>
            </w:r>
          </w:p>
        </w:tc>
        <w:tc>
          <w:tcPr>
            <w:tcW w:w="5271" w:type="dxa"/>
            <w:gridSpan w:val="2"/>
            <w:noWrap/>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磋商有效期</w:t>
            </w:r>
          </w:p>
        </w:tc>
        <w:tc>
          <w:tcPr>
            <w:tcW w:w="5271" w:type="dxa"/>
            <w:gridSpan w:val="2"/>
            <w:noWrap/>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磋商保证金承诺书</w:t>
            </w:r>
          </w:p>
        </w:tc>
        <w:tc>
          <w:tcPr>
            <w:tcW w:w="5271" w:type="dxa"/>
            <w:gridSpan w:val="2"/>
            <w:noWrap/>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工期</w:t>
            </w:r>
          </w:p>
        </w:tc>
        <w:tc>
          <w:tcPr>
            <w:tcW w:w="5271" w:type="dxa"/>
            <w:gridSpan w:val="2"/>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2268" w:type="dxa"/>
            <w:gridSpan w:val="2"/>
            <w:noWrap/>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spacing w:val="1"/>
                <w:kern w:val="0"/>
                <w:szCs w:val="21"/>
              </w:rPr>
              <w:t>质量要求</w:t>
            </w:r>
          </w:p>
        </w:tc>
        <w:tc>
          <w:tcPr>
            <w:tcW w:w="5271" w:type="dxa"/>
            <w:gridSpan w:val="2"/>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widowControl/>
              <w:spacing w:line="360" w:lineRule="auto"/>
              <w:jc w:val="left"/>
              <w:rPr>
                <w:rFonts w:ascii="宋体" w:hAnsi="宋体" w:cs="宋体"/>
                <w:kern w:val="0"/>
                <w:szCs w:val="21"/>
              </w:rPr>
            </w:pPr>
          </w:p>
        </w:tc>
        <w:tc>
          <w:tcPr>
            <w:tcW w:w="944" w:type="dxa"/>
            <w:vMerge w:val="continue"/>
            <w:noWrap/>
            <w:vAlign w:val="center"/>
          </w:tcPr>
          <w:p>
            <w:pPr>
              <w:widowControl/>
              <w:spacing w:line="360" w:lineRule="auto"/>
              <w:jc w:val="left"/>
              <w:rPr>
                <w:rFonts w:ascii="宋体" w:hAnsi="宋体" w:cs="宋体"/>
                <w:kern w:val="0"/>
                <w:szCs w:val="21"/>
              </w:rPr>
            </w:pPr>
          </w:p>
        </w:tc>
        <w:tc>
          <w:tcPr>
            <w:tcW w:w="7539" w:type="dxa"/>
            <w:gridSpan w:val="4"/>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备注：以上各项如有一项不合格按响应无效处理，不得进入详细评审。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96" w:hRule="atLeast"/>
        </w:trPr>
        <w:tc>
          <w:tcPr>
            <w:tcW w:w="775" w:type="dxa"/>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2.2</w:t>
            </w:r>
          </w:p>
        </w:tc>
        <w:tc>
          <w:tcPr>
            <w:tcW w:w="1558" w:type="dxa"/>
            <w:gridSpan w:val="2"/>
            <w:noWrap/>
            <w:vAlign w:val="center"/>
          </w:tcPr>
          <w:p>
            <w:pPr>
              <w:spacing w:line="360" w:lineRule="auto"/>
              <w:jc w:val="center"/>
              <w:rPr>
                <w:rFonts w:ascii="宋体" w:hAnsi="宋体" w:cs="宋体"/>
                <w:szCs w:val="21"/>
              </w:rPr>
            </w:pPr>
            <w:r>
              <w:rPr>
                <w:rFonts w:hint="eastAsia" w:ascii="宋体" w:hAnsi="宋体" w:cs="宋体"/>
                <w:szCs w:val="21"/>
              </w:rPr>
              <w:t>分值构成（100）</w:t>
            </w:r>
          </w:p>
        </w:tc>
        <w:tc>
          <w:tcPr>
            <w:tcW w:w="6925" w:type="dxa"/>
            <w:gridSpan w:val="3"/>
            <w:noWrap/>
            <w:vAlign w:val="center"/>
          </w:tcPr>
          <w:p>
            <w:pPr>
              <w:spacing w:line="360" w:lineRule="auto"/>
              <w:rPr>
                <w:rFonts w:ascii="宋体" w:hAnsi="宋体" w:cs="宋体"/>
                <w:szCs w:val="21"/>
              </w:rPr>
            </w:pPr>
            <w:r>
              <w:rPr>
                <w:rFonts w:hint="eastAsia" w:ascii="宋体" w:hAnsi="宋体" w:cs="宋体"/>
                <w:szCs w:val="21"/>
              </w:rPr>
              <w:t>报价得分（30分）</w:t>
            </w:r>
          </w:p>
          <w:p>
            <w:pPr>
              <w:spacing w:line="360" w:lineRule="auto"/>
              <w:rPr>
                <w:rFonts w:ascii="宋体" w:hAnsi="宋体" w:cs="宋体"/>
                <w:szCs w:val="21"/>
              </w:rPr>
            </w:pPr>
            <w:r>
              <w:rPr>
                <w:rFonts w:hint="eastAsia" w:ascii="宋体" w:hAnsi="宋体" w:cs="宋体"/>
                <w:szCs w:val="21"/>
              </w:rPr>
              <w:t>施工组织设计（50分）</w:t>
            </w:r>
          </w:p>
          <w:p>
            <w:pPr>
              <w:spacing w:line="360" w:lineRule="auto"/>
              <w:rPr>
                <w:rFonts w:ascii="宋体" w:hAnsi="宋体" w:cs="宋体"/>
                <w:szCs w:val="21"/>
              </w:rPr>
            </w:pPr>
            <w:r>
              <w:rPr>
                <w:rFonts w:hint="eastAsia" w:ascii="宋体" w:hAnsi="宋体" w:cs="宋体"/>
                <w:szCs w:val="21"/>
              </w:rPr>
              <w:t>综合标评标分值（20分）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96" w:hRule="atLeast"/>
        </w:trPr>
        <w:tc>
          <w:tcPr>
            <w:tcW w:w="775" w:type="dxa"/>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2.3.1</w:t>
            </w:r>
          </w:p>
        </w:tc>
        <w:tc>
          <w:tcPr>
            <w:tcW w:w="1558" w:type="dxa"/>
            <w:gridSpan w:val="2"/>
            <w:noWrap/>
            <w:vAlign w:val="center"/>
          </w:tcPr>
          <w:p>
            <w:pPr>
              <w:spacing w:line="360" w:lineRule="auto"/>
              <w:jc w:val="center"/>
              <w:rPr>
                <w:rFonts w:ascii="宋体" w:hAnsi="宋体" w:cs="宋体"/>
                <w:szCs w:val="21"/>
              </w:rPr>
            </w:pPr>
            <w:r>
              <w:rPr>
                <w:rFonts w:hint="eastAsia" w:ascii="宋体" w:hAnsi="宋体" w:cs="宋体"/>
                <w:szCs w:val="21"/>
              </w:rPr>
              <w:t>响应报价</w:t>
            </w:r>
          </w:p>
          <w:p>
            <w:pPr>
              <w:spacing w:line="360" w:lineRule="auto"/>
              <w:jc w:val="center"/>
              <w:rPr>
                <w:rFonts w:ascii="宋体" w:hAnsi="宋体" w:cs="宋体"/>
                <w:szCs w:val="21"/>
              </w:rPr>
            </w:pPr>
            <w:r>
              <w:rPr>
                <w:rFonts w:hint="eastAsia" w:ascii="宋体" w:hAnsi="宋体" w:cs="宋体"/>
                <w:szCs w:val="21"/>
              </w:rPr>
              <w:t>评分标准</w:t>
            </w:r>
          </w:p>
          <w:p>
            <w:pPr>
              <w:spacing w:line="360" w:lineRule="auto"/>
              <w:jc w:val="center"/>
              <w:rPr>
                <w:rFonts w:ascii="宋体" w:hAnsi="宋体" w:cs="宋体"/>
                <w:szCs w:val="21"/>
              </w:rPr>
            </w:pPr>
            <w:r>
              <w:rPr>
                <w:rFonts w:hint="eastAsia" w:ascii="宋体" w:hAnsi="宋体" w:cs="宋体"/>
                <w:szCs w:val="21"/>
              </w:rPr>
              <w:t>（30分）</w:t>
            </w:r>
          </w:p>
        </w:tc>
        <w:tc>
          <w:tcPr>
            <w:tcW w:w="6925" w:type="dxa"/>
            <w:gridSpan w:val="3"/>
            <w:noWrap/>
          </w:tcPr>
          <w:p>
            <w:pPr>
              <w:spacing w:line="360" w:lineRule="auto"/>
              <w:jc w:val="left"/>
            </w:pPr>
            <w:r>
              <w:rPr>
                <w:rFonts w:hint="eastAsia"/>
              </w:rPr>
              <w:t>满足磋商文件要求且最后报价最低的供应商报价为磋商基准价，其报价得分为满分。其他供应商的价格得分统一按照下列公式计算：磋商报价得分=(磋商基准价／最后磋商报价)×30（小数点后保留2位小数）</w:t>
            </w:r>
          </w:p>
          <w:p>
            <w:pPr>
              <w:pStyle w:val="18"/>
            </w:pPr>
            <w:r>
              <w:rPr>
                <w:rFonts w:hint="eastAsia"/>
                <w:b/>
                <w:bCs/>
              </w:rPr>
              <w:t>注：</w:t>
            </w:r>
            <w:r>
              <w:rPr>
                <w:rFonts w:hint="eastAsia"/>
              </w:rPr>
              <w:t>1、根据《政府采购促进中小企业发展暂行办法》的相关规定，对小型和微型企业制造（生产）产品的价格给予3%的扣除，用扣除后的价格参与评审。</w:t>
            </w:r>
          </w:p>
          <w:p>
            <w:pPr>
              <w:pStyle w:val="18"/>
            </w:pPr>
            <w:r>
              <w:rPr>
                <w:rFonts w:hint="eastAsia"/>
              </w:rPr>
              <w:t>2、残疾人福利性单位属于小型、微型企业的，不重复享受政策。</w:t>
            </w:r>
          </w:p>
          <w:p>
            <w:pPr>
              <w:pStyle w:val="18"/>
            </w:pPr>
            <w:r>
              <w:rPr>
                <w:rFonts w:hint="eastAsia"/>
              </w:rPr>
              <w:t>3、根据《关于促进残疾人就业政府采购政策的通知》（财库[2017]141号），残疾人福利性单位视同小型、微型企业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2.3.2</w:t>
            </w:r>
          </w:p>
        </w:tc>
        <w:tc>
          <w:tcPr>
            <w:tcW w:w="1558" w:type="dxa"/>
            <w:gridSpan w:val="2"/>
            <w:vMerge w:val="restart"/>
            <w:noWrap/>
            <w:vAlign w:val="center"/>
          </w:tcPr>
          <w:p>
            <w:pPr>
              <w:spacing w:line="360" w:lineRule="auto"/>
              <w:ind w:left="210" w:leftChars="100"/>
              <w:rPr>
                <w:rFonts w:ascii="宋体" w:hAnsi="宋体" w:cs="宋体"/>
                <w:szCs w:val="21"/>
              </w:rPr>
            </w:pPr>
            <w:r>
              <w:rPr>
                <w:rFonts w:hint="eastAsia" w:ascii="宋体" w:hAnsi="宋体" w:cs="宋体"/>
                <w:szCs w:val="21"/>
              </w:rPr>
              <w:t>施工组织设计（50分）</w:t>
            </w:r>
          </w:p>
        </w:tc>
        <w:tc>
          <w:tcPr>
            <w:tcW w:w="5806" w:type="dxa"/>
            <w:gridSpan w:val="2"/>
            <w:noWrap/>
            <w:vAlign w:val="center"/>
          </w:tcPr>
          <w:p>
            <w:pPr>
              <w:spacing w:line="360" w:lineRule="auto"/>
              <w:ind w:firstLine="2310" w:firstLineChars="1100"/>
              <w:rPr>
                <w:rFonts w:ascii="宋体" w:hAnsi="宋体" w:cs="宋体"/>
                <w:szCs w:val="21"/>
              </w:rPr>
            </w:pPr>
            <w:r>
              <w:rPr>
                <w:rFonts w:hint="eastAsia" w:ascii="宋体" w:hAnsi="宋体" w:cs="宋体"/>
                <w:szCs w:val="21"/>
              </w:rPr>
              <w:t>审查内容</w:t>
            </w:r>
          </w:p>
        </w:tc>
        <w:tc>
          <w:tcPr>
            <w:tcW w:w="1119" w:type="dxa"/>
            <w:noWrap/>
            <w:vAlign w:val="center"/>
          </w:tcPr>
          <w:p>
            <w:pPr>
              <w:spacing w:line="360" w:lineRule="auto"/>
              <w:rPr>
                <w:rFonts w:ascii="宋体" w:hAnsi="宋体" w:cs="宋体"/>
                <w:szCs w:val="21"/>
              </w:rPr>
            </w:pPr>
            <w:r>
              <w:rPr>
                <w:rFonts w:hint="eastAsia" w:ascii="宋体" w:hAnsi="宋体" w:cs="宋体"/>
                <w:szCs w:val="21"/>
              </w:rPr>
              <w:t xml:space="preserve">    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内容完整性和编制水平</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施工方案与技术措施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质量管理体系与措施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安全管理体系与措施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环境保护管理体系与措施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工程进度计划与措施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拟投入资源配备计划</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施工进度表或施工网络图</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96"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新工艺、新技术、新设备、新材料的采用程度，其在确保质量、降低成本、缩短工期、减轻劳动强度、提高工效等方面的作用。</w:t>
            </w:r>
          </w:p>
        </w:tc>
        <w:tc>
          <w:tcPr>
            <w:tcW w:w="1119" w:type="dxa"/>
            <w:noWrap/>
            <w:vAlign w:val="center"/>
          </w:tcPr>
          <w:p>
            <w:pPr>
              <w:spacing w:line="360" w:lineRule="auto"/>
              <w:rPr>
                <w:rFonts w:ascii="宋体" w:hAnsi="宋体" w:cs="宋体"/>
                <w:szCs w:val="21"/>
              </w:rPr>
            </w:pPr>
            <w:r>
              <w:rPr>
                <w:rFonts w:hint="eastAsia" w:ascii="宋体" w:hAnsi="宋体" w:cs="宋体"/>
                <w:szCs w:val="21"/>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在节能减排、绿色施工、工艺创新方面，具体措施落实可行。</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rPr>
              <w:t>扬尘、环保措施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3"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ind w:left="210" w:leftChars="100"/>
              <w:rPr>
                <w:rFonts w:ascii="宋体" w:hAnsi="宋体" w:cs="宋体"/>
                <w:szCs w:val="21"/>
              </w:rPr>
            </w:pPr>
          </w:p>
        </w:tc>
        <w:tc>
          <w:tcPr>
            <w:tcW w:w="5806" w:type="dxa"/>
            <w:gridSpan w:val="2"/>
            <w:noWrap/>
            <w:vAlign w:val="center"/>
          </w:tcPr>
          <w:p>
            <w:pPr>
              <w:spacing w:line="360" w:lineRule="auto"/>
              <w:rPr>
                <w:rFonts w:ascii="宋体" w:hAnsi="宋体" w:cs="宋体"/>
                <w:szCs w:val="21"/>
              </w:rPr>
            </w:pPr>
            <w:r>
              <w:rPr>
                <w:rFonts w:hint="eastAsia" w:ascii="宋体" w:hAnsi="宋体" w:cs="宋体"/>
                <w:szCs w:val="21"/>
                <w:lang w:val="zh-CN" w:bidi="zh-CN"/>
              </w:rPr>
              <w:t>建筑垃圾处理方案与措施</w:t>
            </w:r>
          </w:p>
        </w:tc>
        <w:tc>
          <w:tcPr>
            <w:tcW w:w="1119" w:type="dxa"/>
            <w:noWrap/>
            <w:vAlign w:val="center"/>
          </w:tcPr>
          <w:p>
            <w:pPr>
              <w:spacing w:line="360" w:lineRule="auto"/>
              <w:rPr>
                <w:rFonts w:ascii="宋体" w:hAnsi="宋体" w:cs="宋体"/>
                <w:szCs w:val="21"/>
              </w:rPr>
            </w:pPr>
            <w:r>
              <w:rPr>
                <w:rFonts w:hint="eastAsia" w:ascii="宋体" w:hAnsi="宋体" w:cs="宋体"/>
                <w:szCs w:val="21"/>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8483" w:type="dxa"/>
            <w:gridSpan w:val="5"/>
            <w:noWrap/>
            <w:vAlign w:val="center"/>
          </w:tcPr>
          <w:p>
            <w:pPr>
              <w:spacing w:line="360" w:lineRule="auto"/>
              <w:rPr>
                <w:rFonts w:ascii="宋体" w:hAnsi="宋体" w:cs="宋体"/>
                <w:szCs w:val="21"/>
              </w:rPr>
            </w:pPr>
            <w:r>
              <w:rPr>
                <w:rFonts w:hint="eastAsia" w:ascii="宋体" w:hAnsi="宋体" w:cs="宋体"/>
                <w:szCs w:val="21"/>
              </w:rPr>
              <w:t>备注：以上项目若有缺项或不能满足施工要求或与该工程要求不相符，该项为0分； 得分=所有评委计分后算术平均值。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96" w:hRule="atLeast"/>
        </w:trPr>
        <w:tc>
          <w:tcPr>
            <w:tcW w:w="775"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2.3.3</w:t>
            </w:r>
          </w:p>
        </w:tc>
        <w:tc>
          <w:tcPr>
            <w:tcW w:w="1558" w:type="dxa"/>
            <w:gridSpan w:val="2"/>
            <w:vMerge w:val="restart"/>
            <w:noWrap/>
            <w:vAlign w:val="center"/>
          </w:tcPr>
          <w:p>
            <w:pPr>
              <w:spacing w:line="360" w:lineRule="auto"/>
              <w:rPr>
                <w:rFonts w:ascii="宋体" w:hAnsi="宋体" w:cs="宋体"/>
                <w:szCs w:val="21"/>
              </w:rPr>
            </w:pPr>
            <w:r>
              <w:rPr>
                <w:rFonts w:hint="eastAsia" w:ascii="宋体" w:hAnsi="宋体" w:cs="宋体"/>
                <w:szCs w:val="21"/>
              </w:rPr>
              <w:t>综合标评标分值（20分）</w:t>
            </w:r>
          </w:p>
        </w:tc>
        <w:tc>
          <w:tcPr>
            <w:tcW w:w="1654" w:type="dxa"/>
            <w:noWrap/>
            <w:vAlign w:val="center"/>
          </w:tcPr>
          <w:p>
            <w:pPr>
              <w:spacing w:line="360" w:lineRule="auto"/>
              <w:jc w:val="center"/>
              <w:rPr>
                <w:rFonts w:ascii="宋体" w:hAnsi="宋体" w:cs="宋体"/>
                <w:szCs w:val="21"/>
              </w:rPr>
            </w:pPr>
            <w:r>
              <w:rPr>
                <w:rFonts w:hint="eastAsia" w:ascii="宋体" w:hAnsi="宋体" w:cs="宋体"/>
                <w:szCs w:val="21"/>
              </w:rPr>
              <w:t>企业业绩（6分）</w:t>
            </w:r>
          </w:p>
        </w:tc>
        <w:tc>
          <w:tcPr>
            <w:tcW w:w="5271" w:type="dxa"/>
            <w:gridSpan w:val="2"/>
            <w:noWrap/>
            <w:vAlign w:val="center"/>
          </w:tcPr>
          <w:p>
            <w:pPr>
              <w:spacing w:line="360" w:lineRule="auto"/>
              <w:rPr>
                <w:rFonts w:ascii="宋体" w:hAnsi="宋体" w:cs="宋体"/>
                <w:szCs w:val="21"/>
              </w:rPr>
            </w:pPr>
            <w:r>
              <w:rPr>
                <w:rFonts w:hint="eastAsia" w:ascii="宋体" w:hAnsi="宋体" w:cs="宋体"/>
                <w:szCs w:val="21"/>
              </w:rPr>
              <w:t>2019以来供应商具有类似业绩的（须提供中标通知书、施工合同扫描件，没有此项不得分），每提供一份得2分，最多得6分。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76"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rPr>
                <w:rFonts w:ascii="宋体" w:hAnsi="宋体" w:cs="宋体"/>
                <w:szCs w:val="21"/>
              </w:rPr>
            </w:pPr>
          </w:p>
        </w:tc>
        <w:tc>
          <w:tcPr>
            <w:tcW w:w="1654" w:type="dxa"/>
            <w:noWrap/>
            <w:vAlign w:val="center"/>
          </w:tcPr>
          <w:p>
            <w:pPr>
              <w:spacing w:line="360" w:lineRule="auto"/>
              <w:jc w:val="center"/>
              <w:rPr>
                <w:rFonts w:ascii="宋体" w:hAnsi="宋体" w:cs="宋体"/>
                <w:szCs w:val="21"/>
              </w:rPr>
            </w:pPr>
            <w:r>
              <w:rPr>
                <w:rFonts w:hint="eastAsia" w:ascii="宋体" w:hAnsi="宋体" w:cs="宋体"/>
                <w:szCs w:val="21"/>
              </w:rPr>
              <w:t>相关承诺</w:t>
            </w:r>
          </w:p>
          <w:p>
            <w:pPr>
              <w:spacing w:line="360" w:lineRule="auto"/>
              <w:jc w:val="center"/>
              <w:rPr>
                <w:rFonts w:ascii="宋体" w:hAnsi="宋体" w:cs="宋体"/>
                <w:szCs w:val="21"/>
              </w:rPr>
            </w:pPr>
            <w:r>
              <w:rPr>
                <w:rFonts w:hint="eastAsia" w:ascii="宋体" w:hAnsi="宋体" w:cs="宋体"/>
                <w:szCs w:val="21"/>
              </w:rPr>
              <w:t>（0-10分）</w:t>
            </w:r>
          </w:p>
        </w:tc>
        <w:tc>
          <w:tcPr>
            <w:tcW w:w="5271" w:type="dxa"/>
            <w:gridSpan w:val="2"/>
            <w:noWrap/>
          </w:tcPr>
          <w:p>
            <w:pPr>
              <w:pStyle w:val="131"/>
              <w:spacing w:line="360" w:lineRule="auto"/>
              <w:ind w:firstLine="0" w:firstLineChars="0"/>
              <w:rPr>
                <w:rFonts w:ascii="宋体" w:hAnsi="宋体" w:cs="宋体"/>
                <w:szCs w:val="21"/>
                <w:lang w:val="en-US"/>
              </w:rPr>
            </w:pPr>
            <w:r>
              <w:rPr>
                <w:rFonts w:hint="eastAsia" w:ascii="宋体" w:hAnsi="宋体" w:cs="宋体"/>
                <w:szCs w:val="21"/>
                <w:lang w:val="en-US"/>
              </w:rPr>
              <w:t>1.根据供应商提供连续施工承诺、明确的自罚措施及优惠条件的完整性、合理性等，横向对比进行评分，一档得3-5 分，二档得 1-2分，没有得0分。</w:t>
            </w:r>
          </w:p>
          <w:p>
            <w:pPr>
              <w:pStyle w:val="131"/>
              <w:spacing w:line="360" w:lineRule="auto"/>
              <w:ind w:firstLine="0" w:firstLineChars="0"/>
              <w:rPr>
                <w:rFonts w:ascii="宋体" w:hAnsi="宋体" w:cs="宋体"/>
                <w:szCs w:val="21"/>
                <w:lang w:val="en-US"/>
              </w:rPr>
            </w:pPr>
            <w:r>
              <w:rPr>
                <w:rFonts w:hint="eastAsia" w:ascii="宋体" w:hAnsi="宋体" w:cs="宋体"/>
                <w:szCs w:val="21"/>
                <w:lang w:val="en-US"/>
              </w:rPr>
              <w:t>2.根据供应商提供替甲方排忧解难等其他实质性承诺及对采购人作出除竞争性磋商文件约定外的其他承诺，横向对比进行评分，一档得 4-5 分，二档得 1-3 分，没有得0分。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96" w:hRule="atLeast"/>
        </w:trPr>
        <w:tc>
          <w:tcPr>
            <w:tcW w:w="775" w:type="dxa"/>
            <w:vMerge w:val="continue"/>
            <w:noWrap/>
            <w:vAlign w:val="center"/>
          </w:tcPr>
          <w:p>
            <w:pPr>
              <w:autoSpaceDE w:val="0"/>
              <w:autoSpaceDN w:val="0"/>
              <w:spacing w:line="360" w:lineRule="auto"/>
              <w:jc w:val="center"/>
              <w:rPr>
                <w:rFonts w:ascii="宋体" w:hAnsi="宋体" w:cs="宋体"/>
                <w:kern w:val="0"/>
                <w:szCs w:val="21"/>
              </w:rPr>
            </w:pPr>
          </w:p>
        </w:tc>
        <w:tc>
          <w:tcPr>
            <w:tcW w:w="1558" w:type="dxa"/>
            <w:gridSpan w:val="2"/>
            <w:vMerge w:val="continue"/>
            <w:noWrap/>
            <w:vAlign w:val="center"/>
          </w:tcPr>
          <w:p>
            <w:pPr>
              <w:spacing w:line="360" w:lineRule="auto"/>
              <w:rPr>
                <w:rFonts w:ascii="宋体" w:hAnsi="宋体" w:cs="宋体"/>
                <w:szCs w:val="21"/>
              </w:rPr>
            </w:pPr>
          </w:p>
        </w:tc>
        <w:tc>
          <w:tcPr>
            <w:tcW w:w="1654" w:type="dxa"/>
            <w:noWrap/>
            <w:vAlign w:val="center"/>
          </w:tcPr>
          <w:p>
            <w:pPr>
              <w:spacing w:line="360" w:lineRule="auto"/>
              <w:jc w:val="center"/>
              <w:rPr>
                <w:rFonts w:ascii="宋体" w:hAnsi="宋体" w:cs="宋体"/>
                <w:szCs w:val="21"/>
              </w:rPr>
            </w:pPr>
            <w:r>
              <w:rPr>
                <w:rFonts w:hint="eastAsia" w:ascii="宋体" w:hAnsi="宋体" w:cs="宋体"/>
                <w:szCs w:val="21"/>
              </w:rPr>
              <w:t>服务承诺</w:t>
            </w:r>
          </w:p>
          <w:p>
            <w:pPr>
              <w:spacing w:line="360" w:lineRule="auto"/>
              <w:jc w:val="center"/>
              <w:rPr>
                <w:rFonts w:ascii="宋体" w:hAnsi="宋体" w:cs="宋体"/>
                <w:szCs w:val="21"/>
              </w:rPr>
            </w:pPr>
            <w:r>
              <w:rPr>
                <w:rFonts w:hint="eastAsia" w:ascii="宋体" w:hAnsi="宋体" w:cs="宋体"/>
                <w:szCs w:val="21"/>
              </w:rPr>
              <w:t>（4分）</w:t>
            </w:r>
          </w:p>
        </w:tc>
        <w:tc>
          <w:tcPr>
            <w:tcW w:w="5271" w:type="dxa"/>
            <w:gridSpan w:val="2"/>
            <w:noWrap/>
          </w:tcPr>
          <w:p>
            <w:pPr>
              <w:spacing w:line="360" w:lineRule="auto"/>
              <w:rPr>
                <w:rFonts w:ascii="宋体" w:hAnsi="宋体" w:cs="宋体"/>
                <w:szCs w:val="21"/>
              </w:rPr>
            </w:pPr>
            <w:r>
              <w:rPr>
                <w:rFonts w:hint="eastAsia" w:ascii="宋体" w:hAnsi="宋体" w:cs="宋体"/>
                <w:szCs w:val="21"/>
              </w:rPr>
              <w:t>1、供应商在项目实施完成后所承诺的责任、服务内容；0-2分。</w:t>
            </w:r>
          </w:p>
          <w:p>
            <w:pPr>
              <w:spacing w:line="360" w:lineRule="auto"/>
              <w:rPr>
                <w:rFonts w:ascii="宋体" w:hAnsi="宋体" w:cs="宋体"/>
                <w:szCs w:val="21"/>
              </w:rPr>
            </w:pPr>
            <w:r>
              <w:rPr>
                <w:rFonts w:hint="eastAsia" w:ascii="宋体" w:hAnsi="宋体" w:cs="宋体"/>
                <w:szCs w:val="21"/>
              </w:rPr>
              <w:t>2、保证不拖欠农民工工资的承诺；0-2分。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10" w:hRule="atLeast"/>
        </w:trPr>
        <w:tc>
          <w:tcPr>
            <w:tcW w:w="9258" w:type="dxa"/>
            <w:gridSpan w:val="6"/>
            <w:noWrap/>
            <w:vAlign w:val="center"/>
          </w:tcPr>
          <w:p>
            <w:pPr>
              <w:tabs>
                <w:tab w:val="left" w:pos="0"/>
                <w:tab w:val="left" w:pos="1215"/>
                <w:tab w:val="left" w:pos="1320"/>
              </w:tabs>
              <w:spacing w:line="360" w:lineRule="auto"/>
              <w:jc w:val="left"/>
              <w:rPr>
                <w:rFonts w:ascii="宋体" w:hAnsi="宋体" w:cs="宋体"/>
                <w:b/>
                <w:bCs/>
                <w:szCs w:val="21"/>
              </w:rPr>
            </w:pPr>
            <w:r>
              <w:rPr>
                <w:rFonts w:hint="eastAsia" w:ascii="宋体" w:hAnsi="宋体" w:cs="宋体"/>
                <w:b/>
                <w:bCs/>
                <w:szCs w:val="21"/>
              </w:rPr>
              <w:t>注：供应商最后得分：供应商最后得分=施工组织设计得分+综合标得分+报价得分。</w:t>
            </w:r>
          </w:p>
        </w:tc>
      </w:tr>
    </w:tbl>
    <w:p>
      <w:pPr>
        <w:spacing w:line="360" w:lineRule="auto"/>
        <w:rPr>
          <w:rFonts w:ascii="宋体" w:hAnsi="宋体" w:cs="宋体"/>
          <w:szCs w:val="21"/>
        </w:rPr>
      </w:pPr>
      <w:r>
        <w:rPr>
          <w:rFonts w:hint="eastAsia" w:ascii="宋体" w:hAnsi="宋体" w:cs="宋体"/>
          <w:szCs w:val="21"/>
        </w:rPr>
        <w:t>注：</w:t>
      </w:r>
    </w:p>
    <w:p>
      <w:pPr>
        <w:spacing w:line="360" w:lineRule="auto"/>
        <w:ind w:firstLine="420" w:firstLineChars="200"/>
        <w:rPr>
          <w:rFonts w:ascii="宋体" w:hAnsi="宋体" w:cs="宋体"/>
          <w:szCs w:val="21"/>
        </w:rPr>
      </w:pPr>
      <w:r>
        <w:rPr>
          <w:rFonts w:hint="eastAsia" w:ascii="宋体" w:hAnsi="宋体" w:cs="宋体"/>
          <w:szCs w:val="21"/>
        </w:rPr>
        <w:t>1、根据焦财采购【2021】8号文要求，符合《符合政府采购法》第二十二条规定的资格条件，按照采购文件约定提供资格承诺，不再提供资质材料，主要包括供应商在响应文件中无需提供营业执照、财务状况报告、依法缴纳税收和社会保障资金、具有履行合同所必需的设备和专业技术能力、参加政府采购活动前三年内在经营活动中没有重大违法记录相关证明材料。</w:t>
      </w:r>
    </w:p>
    <w:p>
      <w:pPr>
        <w:spacing w:line="360" w:lineRule="auto"/>
        <w:ind w:firstLine="420" w:firstLineChars="200"/>
        <w:rPr>
          <w:rFonts w:ascii="宋体" w:hAnsi="宋体" w:cs="宋体"/>
          <w:szCs w:val="21"/>
        </w:rPr>
      </w:pPr>
      <w:r>
        <w:rPr>
          <w:rFonts w:hint="eastAsia" w:ascii="宋体" w:hAnsi="宋体" w:cs="宋体"/>
          <w:szCs w:val="21"/>
        </w:rPr>
        <w:t xml:space="preserve">2、政府采购供应商应当以书面形式向采购人或政府采购代理机构作出信用承诺函（格式见附件）。  </w:t>
      </w:r>
    </w:p>
    <w:p>
      <w:pPr>
        <w:spacing w:line="360" w:lineRule="auto"/>
        <w:ind w:firstLine="420" w:firstLineChars="200"/>
        <w:rPr>
          <w:rFonts w:ascii="宋体" w:hAnsi="宋体" w:cs="宋体"/>
          <w:szCs w:val="21"/>
        </w:rPr>
      </w:pPr>
      <w:r>
        <w:rPr>
          <w:rFonts w:hint="eastAsia" w:ascii="宋体" w:hAnsi="宋体" w:cs="宋体"/>
          <w:szCs w:val="21"/>
        </w:rPr>
        <w:t>3、评分分值及计算结果精确到小数点后二位，二位以后四舍五入。</w:t>
      </w:r>
    </w:p>
    <w:p>
      <w:pPr>
        <w:spacing w:line="360" w:lineRule="auto"/>
        <w:ind w:firstLine="420" w:firstLineChars="200"/>
        <w:rPr>
          <w:rFonts w:ascii="宋体" w:hAnsi="宋体" w:cs="宋体"/>
          <w:szCs w:val="21"/>
        </w:rPr>
      </w:pPr>
      <w:r>
        <w:rPr>
          <w:rFonts w:hint="eastAsia" w:ascii="宋体" w:hAnsi="宋体" w:cs="宋体"/>
          <w:szCs w:val="21"/>
        </w:rPr>
        <w:t>4、评审时，磋商小组各成员应当独立对每个有效供应商的磋商文件进行评价、打分，然后汇总每个供应商每项评分因素的得分，取磋商小组各成员评分的算术平均数作为供应商的评审最后得分。</w:t>
      </w:r>
    </w:p>
    <w:p>
      <w:pPr>
        <w:spacing w:line="360" w:lineRule="auto"/>
        <w:ind w:firstLine="420" w:firstLineChars="200"/>
      </w:pPr>
      <w:r>
        <w:rPr>
          <w:rFonts w:hint="eastAsia" w:ascii="宋体" w:hAnsi="宋体" w:cs="宋体"/>
          <w:szCs w:val="21"/>
        </w:rPr>
        <w:t>5、磋商小组应当根据综合评分情况，按照评审得分由高到低顺序推荐3名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r>
        <w:rPr>
          <w:rFonts w:hint="eastAsia"/>
        </w:rPr>
        <w:br w:type="page"/>
      </w:r>
    </w:p>
    <w:p>
      <w:pPr>
        <w:pStyle w:val="4"/>
        <w:spacing w:before="0" w:after="0" w:line="360" w:lineRule="auto"/>
        <w:rPr>
          <w:sz w:val="32"/>
          <w:szCs w:val="32"/>
        </w:rPr>
      </w:pPr>
      <w:bookmarkStart w:id="94" w:name="_Toc23582"/>
      <w:r>
        <w:rPr>
          <w:rFonts w:hint="eastAsia"/>
          <w:sz w:val="32"/>
          <w:szCs w:val="32"/>
        </w:rPr>
        <w:t>第四章  合同条款及格式</w:t>
      </w:r>
      <w:bookmarkStart w:id="95" w:name="_Toc384126290"/>
      <w:r>
        <w:rPr>
          <w:rFonts w:hint="eastAsia"/>
          <w:sz w:val="32"/>
          <w:szCs w:val="32"/>
        </w:rPr>
        <w:t>（参考）</w:t>
      </w:r>
      <w:bookmarkEnd w:id="94"/>
    </w:p>
    <w:p>
      <w:pPr>
        <w:pStyle w:val="52"/>
        <w:spacing w:line="360" w:lineRule="auto"/>
      </w:pPr>
      <w:r>
        <w:rPr>
          <w:rFonts w:hint="eastAsia" w:ascii="宋体" w:hAnsi="宋体"/>
          <w:sz w:val="28"/>
          <w:szCs w:val="28"/>
        </w:rPr>
        <w:t>（GF—2017—0201）</w:t>
      </w:r>
    </w:p>
    <w:p>
      <w:pPr>
        <w:pStyle w:val="52"/>
        <w:spacing w:line="360" w:lineRule="auto"/>
      </w:pPr>
    </w:p>
    <w:p>
      <w:pPr>
        <w:pStyle w:val="51"/>
        <w:spacing w:line="360" w:lineRule="auto"/>
        <w:rPr>
          <w:rFonts w:ascii="宋体" w:hAnsi="宋体"/>
          <w:sz w:val="28"/>
          <w:szCs w:val="28"/>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pStyle w:val="52"/>
        <w:spacing w:line="360" w:lineRule="auto"/>
      </w:pPr>
    </w:p>
    <w:p>
      <w:pPr>
        <w:spacing w:line="360" w:lineRule="auto"/>
      </w:pPr>
    </w:p>
    <w:p>
      <w:pPr>
        <w:spacing w:line="360" w:lineRule="auto"/>
      </w:pPr>
    </w:p>
    <w:p>
      <w:pPr>
        <w:pStyle w:val="51"/>
        <w:spacing w:line="360" w:lineRule="auto"/>
      </w:pPr>
    </w:p>
    <w:p>
      <w:pPr>
        <w:spacing w:line="360" w:lineRule="auto"/>
      </w:pPr>
    </w:p>
    <w:p>
      <w:pPr>
        <w:pStyle w:val="51"/>
        <w:spacing w:line="360" w:lineRule="auto"/>
      </w:pPr>
    </w:p>
    <w:p>
      <w:pPr>
        <w:spacing w:line="360" w:lineRule="auto"/>
      </w:pPr>
    </w:p>
    <w:p>
      <w:pPr>
        <w:pStyle w:val="51"/>
        <w:spacing w:line="360" w:lineRule="auto"/>
        <w:jc w:val="center"/>
        <w:rPr>
          <w:sz w:val="44"/>
          <w:szCs w:val="44"/>
        </w:rPr>
      </w:pPr>
      <w:r>
        <w:rPr>
          <w:rFonts w:hint="eastAsia"/>
          <w:sz w:val="44"/>
          <w:szCs w:val="44"/>
        </w:rPr>
        <w:t>建设工程施工合同</w:t>
      </w:r>
    </w:p>
    <w:p>
      <w:pPr>
        <w:pStyle w:val="51"/>
        <w:spacing w:line="360" w:lineRule="auto"/>
        <w:jc w:val="center"/>
        <w:rPr>
          <w:sz w:val="44"/>
          <w:szCs w:val="44"/>
        </w:rPr>
      </w:pPr>
      <w:r>
        <w:rPr>
          <w:rFonts w:hint="eastAsia"/>
          <w:sz w:val="44"/>
          <w:szCs w:val="44"/>
        </w:rPr>
        <w:t>（示范文本）</w:t>
      </w:r>
    </w:p>
    <w:p>
      <w:pPr>
        <w:pStyle w:val="52"/>
        <w:spacing w:line="360" w:lineRule="auto"/>
      </w:pPr>
    </w:p>
    <w:p>
      <w:pPr>
        <w:spacing w:line="360" w:lineRule="auto"/>
      </w:pPr>
    </w:p>
    <w:p>
      <w:pPr>
        <w:pStyle w:val="51"/>
        <w:spacing w:line="360" w:lineRule="auto"/>
      </w:pPr>
    </w:p>
    <w:p>
      <w:pPr>
        <w:pStyle w:val="52"/>
        <w:spacing w:line="360" w:lineRule="auto"/>
      </w:pPr>
    </w:p>
    <w:p>
      <w:pPr>
        <w:spacing w:line="360" w:lineRule="auto"/>
      </w:pPr>
    </w:p>
    <w:p>
      <w:pPr>
        <w:pStyle w:val="51"/>
        <w:spacing w:line="360" w:lineRule="auto"/>
      </w:pPr>
    </w:p>
    <w:p>
      <w:pPr>
        <w:pStyle w:val="52"/>
        <w:spacing w:line="360" w:lineRule="auto"/>
      </w:pPr>
    </w:p>
    <w:p>
      <w:pPr>
        <w:pStyle w:val="51"/>
        <w:spacing w:line="360" w:lineRule="auto"/>
        <w:jc w:val="center"/>
        <w:rPr>
          <w:sz w:val="32"/>
          <w:szCs w:val="32"/>
        </w:rPr>
      </w:pPr>
      <w:r>
        <w:rPr>
          <w:rFonts w:hint="eastAsia"/>
          <w:sz w:val="32"/>
          <w:szCs w:val="32"/>
        </w:rPr>
        <w:t>住房和城乡建设部</w:t>
      </w:r>
    </w:p>
    <w:p>
      <w:pPr>
        <w:pStyle w:val="51"/>
        <w:spacing w:line="360" w:lineRule="auto"/>
        <w:jc w:val="center"/>
        <w:rPr>
          <w:sz w:val="32"/>
          <w:szCs w:val="32"/>
        </w:rPr>
      </w:pPr>
      <w:r>
        <w:rPr>
          <w:rFonts w:hint="eastAsia"/>
          <w:sz w:val="32"/>
          <w:szCs w:val="32"/>
        </w:rPr>
        <w:t xml:space="preserve">                                      制定</w:t>
      </w:r>
    </w:p>
    <w:p>
      <w:pPr>
        <w:pStyle w:val="51"/>
        <w:spacing w:line="360" w:lineRule="auto"/>
        <w:jc w:val="center"/>
        <w:rPr>
          <w:sz w:val="32"/>
          <w:szCs w:val="32"/>
        </w:rPr>
      </w:pPr>
      <w:r>
        <w:rPr>
          <w:rFonts w:hint="eastAsia"/>
          <w:sz w:val="32"/>
          <w:szCs w:val="32"/>
        </w:rPr>
        <w:t>国家工商行政管理总局</w:t>
      </w:r>
    </w:p>
    <w:p>
      <w:pPr>
        <w:pStyle w:val="52"/>
        <w:spacing w:line="360" w:lineRule="auto"/>
      </w:pPr>
    </w:p>
    <w:p>
      <w:pPr>
        <w:spacing w:line="360" w:lineRule="auto"/>
      </w:pPr>
    </w:p>
    <w:p>
      <w:pPr>
        <w:pStyle w:val="5"/>
        <w:spacing w:before="0" w:after="0" w:line="360" w:lineRule="auto"/>
        <w:jc w:val="center"/>
      </w:pPr>
      <w:bookmarkStart w:id="96" w:name="_Toc97298989"/>
      <w:bookmarkStart w:id="97" w:name="_Toc11326"/>
      <w:r>
        <w:rPr>
          <w:rFonts w:hint="eastAsia"/>
        </w:rPr>
        <w:t>第一节 合同协议书</w:t>
      </w:r>
      <w:bookmarkEnd w:id="96"/>
      <w:bookmarkEnd w:id="97"/>
    </w:p>
    <w:p>
      <w:pPr>
        <w:spacing w:line="360" w:lineRule="auto"/>
        <w:rPr>
          <w:rFonts w:ascii="宋体" w:hAnsi="宋体"/>
          <w:sz w:val="24"/>
        </w:rPr>
      </w:pPr>
      <w:r>
        <w:rPr>
          <w:rFonts w:hint="eastAsia" w:ascii="宋体" w:hAnsi="宋体"/>
          <w:sz w:val="24"/>
        </w:rPr>
        <w:t>发包人（全称）： ___________________</w:t>
      </w:r>
    </w:p>
    <w:p>
      <w:pPr>
        <w:spacing w:line="360" w:lineRule="auto"/>
        <w:rPr>
          <w:rFonts w:ascii="宋体" w:hAnsi="宋体"/>
          <w:sz w:val="24"/>
        </w:rPr>
      </w:pPr>
      <w:r>
        <w:rPr>
          <w:rFonts w:hint="eastAsia" w:ascii="宋体" w:hAnsi="宋体"/>
          <w:sz w:val="24"/>
        </w:rPr>
        <w:t xml:space="preserve">承包人（全称）： ___________________                       </w:t>
      </w:r>
    </w:p>
    <w:p>
      <w:pPr>
        <w:spacing w:line="360" w:lineRule="auto"/>
        <w:ind w:firstLine="480" w:firstLineChars="200"/>
        <w:rPr>
          <w:rFonts w:ascii="宋体" w:hAnsi="宋体"/>
          <w:sz w:val="24"/>
        </w:rPr>
      </w:pPr>
      <w:r>
        <w:rPr>
          <w:rFonts w:hint="eastAsia" w:ascii="宋体" w:hAnsi="宋体"/>
          <w:sz w:val="24"/>
        </w:rPr>
        <w:t>根据《中华人民共和国合同法》、《中华人民共和国建筑法》及有关法律规定，遵循平等、自愿、公平和诚实信用的原则，双方就 ______________________工程施工及有关事项协商一致，共同达成如下协议：</w:t>
      </w:r>
    </w:p>
    <w:p>
      <w:pPr>
        <w:pStyle w:val="51"/>
        <w:spacing w:line="360" w:lineRule="auto"/>
        <w:ind w:firstLine="480" w:firstLineChars="200"/>
        <w:rPr>
          <w:rFonts w:ascii="宋体" w:hAnsi="宋体"/>
        </w:rPr>
      </w:pPr>
      <w:r>
        <w:rPr>
          <w:rFonts w:hint="eastAsia" w:ascii="宋体" w:hAnsi="宋体"/>
        </w:rPr>
        <w:t>1.工程概况：。</w:t>
      </w:r>
    </w:p>
    <w:p>
      <w:pPr>
        <w:pStyle w:val="51"/>
        <w:spacing w:line="360" w:lineRule="auto"/>
        <w:ind w:firstLine="480" w:firstLineChars="200"/>
        <w:rPr>
          <w:rFonts w:ascii="宋体" w:hAnsi="宋体"/>
        </w:rPr>
      </w:pPr>
      <w:r>
        <w:rPr>
          <w:rFonts w:hint="eastAsia" w:ascii="宋体" w:hAnsi="宋体"/>
        </w:rPr>
        <w:t>2.下列文件应视为构成合同文件的组成部分：</w:t>
      </w:r>
    </w:p>
    <w:p>
      <w:pPr>
        <w:pStyle w:val="51"/>
        <w:spacing w:line="360" w:lineRule="auto"/>
        <w:ind w:firstLine="480" w:firstLineChars="200"/>
        <w:rPr>
          <w:rFonts w:ascii="宋体" w:hAnsi="宋体"/>
        </w:rPr>
      </w:pPr>
      <w:r>
        <w:rPr>
          <w:rFonts w:hint="eastAsia" w:ascii="宋体" w:hAnsi="宋体"/>
        </w:rPr>
        <w:t>（1）本协议书及各种合同附件（含评标期间和合同磋商过程中的澄清文件和补充资料）；</w:t>
      </w:r>
    </w:p>
    <w:p>
      <w:pPr>
        <w:pStyle w:val="51"/>
        <w:spacing w:line="360" w:lineRule="auto"/>
        <w:ind w:firstLine="480" w:firstLineChars="200"/>
        <w:rPr>
          <w:rFonts w:ascii="宋体" w:hAnsi="宋体"/>
        </w:rPr>
      </w:pPr>
      <w:r>
        <w:rPr>
          <w:rFonts w:hint="eastAsia" w:ascii="宋体" w:hAnsi="宋体"/>
        </w:rPr>
        <w:t>（2）中标通知书；</w:t>
      </w:r>
    </w:p>
    <w:p>
      <w:pPr>
        <w:pStyle w:val="51"/>
        <w:spacing w:line="360" w:lineRule="auto"/>
        <w:ind w:firstLine="480" w:firstLineChars="200"/>
        <w:rPr>
          <w:rFonts w:ascii="宋体" w:hAnsi="宋体"/>
        </w:rPr>
      </w:pPr>
      <w:r>
        <w:rPr>
          <w:rFonts w:hint="eastAsia" w:ascii="宋体" w:hAnsi="宋体"/>
        </w:rPr>
        <w:t>（3）磋商函及磋商报价表；</w:t>
      </w:r>
    </w:p>
    <w:p>
      <w:pPr>
        <w:pStyle w:val="51"/>
        <w:spacing w:line="360" w:lineRule="auto"/>
        <w:ind w:firstLine="480" w:firstLineChars="200"/>
        <w:rPr>
          <w:rFonts w:ascii="宋体" w:hAnsi="宋体"/>
        </w:rPr>
      </w:pPr>
      <w:r>
        <w:rPr>
          <w:rFonts w:hint="eastAsia" w:ascii="宋体" w:hAnsi="宋体"/>
        </w:rPr>
        <w:t>（4）项目专用合同条款；</w:t>
      </w:r>
    </w:p>
    <w:p>
      <w:pPr>
        <w:pStyle w:val="51"/>
        <w:spacing w:line="360" w:lineRule="auto"/>
        <w:ind w:firstLine="480" w:firstLineChars="200"/>
        <w:rPr>
          <w:rFonts w:ascii="宋体" w:hAnsi="宋体"/>
        </w:rPr>
      </w:pPr>
      <w:r>
        <w:rPr>
          <w:rFonts w:hint="eastAsia" w:ascii="宋体" w:hAnsi="宋体"/>
        </w:rPr>
        <w:t>（5）标准专用合同条款</w:t>
      </w:r>
    </w:p>
    <w:p>
      <w:pPr>
        <w:pStyle w:val="51"/>
        <w:spacing w:line="360" w:lineRule="auto"/>
        <w:ind w:firstLine="480" w:firstLineChars="200"/>
        <w:rPr>
          <w:rFonts w:ascii="宋体" w:hAnsi="宋体"/>
        </w:rPr>
      </w:pPr>
      <w:r>
        <w:rPr>
          <w:rFonts w:hint="eastAsia" w:ascii="宋体" w:hAnsi="宋体"/>
        </w:rPr>
        <w:t>（</w:t>
      </w:r>
      <w:r>
        <w:rPr>
          <w:rFonts w:ascii="宋体" w:hAnsi="宋体"/>
        </w:rPr>
        <w:t>6</w:t>
      </w:r>
      <w:r>
        <w:rPr>
          <w:rFonts w:hint="eastAsia" w:ascii="宋体" w:hAnsi="宋体"/>
        </w:rPr>
        <w:t>）通用合同条款；</w:t>
      </w:r>
    </w:p>
    <w:p>
      <w:pPr>
        <w:pStyle w:val="51"/>
        <w:spacing w:line="360" w:lineRule="auto"/>
        <w:ind w:firstLine="480" w:firstLineChars="200"/>
        <w:rPr>
          <w:rFonts w:ascii="宋体" w:hAnsi="宋体"/>
        </w:rPr>
      </w:pPr>
      <w:r>
        <w:rPr>
          <w:rFonts w:hint="eastAsia" w:ascii="宋体" w:hAnsi="宋体"/>
        </w:rPr>
        <w:t>（</w:t>
      </w:r>
      <w:r>
        <w:rPr>
          <w:rFonts w:ascii="宋体" w:hAnsi="宋体"/>
        </w:rPr>
        <w:t>7</w:t>
      </w:r>
      <w:r>
        <w:rPr>
          <w:rFonts w:hint="eastAsia" w:ascii="宋体" w:hAnsi="宋体"/>
        </w:rPr>
        <w:t>）工程量清单计量规则；</w:t>
      </w:r>
    </w:p>
    <w:p>
      <w:pPr>
        <w:pStyle w:val="51"/>
        <w:spacing w:line="360" w:lineRule="auto"/>
        <w:ind w:firstLine="480" w:firstLineChars="200"/>
        <w:rPr>
          <w:rFonts w:ascii="宋体" w:hAnsi="宋体"/>
        </w:rPr>
      </w:pPr>
      <w:r>
        <w:rPr>
          <w:rFonts w:hint="eastAsia" w:ascii="宋体" w:hAnsi="宋体"/>
        </w:rPr>
        <w:t>（</w:t>
      </w:r>
      <w:r>
        <w:rPr>
          <w:rFonts w:ascii="宋体" w:hAnsi="宋体"/>
        </w:rPr>
        <w:t>8</w:t>
      </w:r>
      <w:r>
        <w:rPr>
          <w:rFonts w:hint="eastAsia" w:ascii="宋体" w:hAnsi="宋体"/>
        </w:rPr>
        <w:t>）技术规范；</w:t>
      </w:r>
    </w:p>
    <w:p>
      <w:pPr>
        <w:pStyle w:val="51"/>
        <w:spacing w:line="360" w:lineRule="auto"/>
        <w:ind w:firstLine="480" w:firstLineChars="200"/>
        <w:rPr>
          <w:rFonts w:ascii="宋体" w:hAnsi="宋体"/>
        </w:rPr>
      </w:pPr>
      <w:r>
        <w:rPr>
          <w:rFonts w:hint="eastAsia" w:ascii="宋体" w:hAnsi="宋体"/>
        </w:rPr>
        <w:t>（</w:t>
      </w:r>
      <w:r>
        <w:rPr>
          <w:rFonts w:ascii="宋体" w:hAnsi="宋体"/>
        </w:rPr>
        <w:t>9</w:t>
      </w:r>
      <w:r>
        <w:rPr>
          <w:rFonts w:hint="eastAsia" w:ascii="宋体" w:hAnsi="宋体"/>
        </w:rPr>
        <w:t>）已标价工程量清单；</w:t>
      </w:r>
    </w:p>
    <w:p>
      <w:pPr>
        <w:pStyle w:val="51"/>
        <w:spacing w:line="360" w:lineRule="auto"/>
        <w:ind w:firstLine="480" w:firstLineChars="200"/>
        <w:rPr>
          <w:rFonts w:ascii="宋体" w:hAnsi="宋体"/>
        </w:rPr>
      </w:pPr>
      <w:r>
        <w:rPr>
          <w:rFonts w:hint="eastAsia" w:ascii="宋体" w:hAnsi="宋体"/>
        </w:rPr>
        <w:t>（</w:t>
      </w:r>
      <w:r>
        <w:rPr>
          <w:rFonts w:ascii="宋体" w:hAnsi="宋体"/>
        </w:rPr>
        <w:t>10</w:t>
      </w:r>
      <w:r>
        <w:rPr>
          <w:rFonts w:hint="eastAsia" w:ascii="宋体" w:hAnsi="宋体"/>
        </w:rPr>
        <w:t>）承包人有关人员、设备投入的承诺；</w:t>
      </w:r>
    </w:p>
    <w:p>
      <w:pPr>
        <w:pStyle w:val="51"/>
        <w:spacing w:line="360" w:lineRule="auto"/>
        <w:ind w:firstLine="480" w:firstLineChars="200"/>
        <w:rPr>
          <w:rFonts w:ascii="宋体" w:hAnsi="宋体"/>
        </w:rPr>
      </w:pPr>
      <w:r>
        <w:rPr>
          <w:rFonts w:hint="eastAsia" w:ascii="宋体" w:hAnsi="宋体"/>
        </w:rPr>
        <w:t>（</w:t>
      </w:r>
      <w:r>
        <w:rPr>
          <w:rFonts w:ascii="宋体" w:hAnsi="宋体"/>
        </w:rPr>
        <w:t>11</w:t>
      </w:r>
      <w:r>
        <w:rPr>
          <w:rFonts w:hint="eastAsia" w:ascii="宋体" w:hAnsi="宋体"/>
        </w:rPr>
        <w:t>）其他合同文件。</w:t>
      </w:r>
    </w:p>
    <w:p>
      <w:pPr>
        <w:pStyle w:val="51"/>
        <w:spacing w:line="360" w:lineRule="auto"/>
        <w:ind w:firstLine="480" w:firstLineChars="200"/>
        <w:rPr>
          <w:rFonts w:ascii="宋体" w:hAnsi="宋体"/>
        </w:rPr>
      </w:pPr>
      <w:r>
        <w:rPr>
          <w:rFonts w:hint="eastAsia" w:ascii="宋体" w:hAnsi="宋体"/>
        </w:rPr>
        <w:t>上述合同文件相互补充和解释。如果合同文件之间存在矛盾或不一致之处，以上述文件的排列顺序在先者为准。</w:t>
      </w:r>
    </w:p>
    <w:p>
      <w:pPr>
        <w:pStyle w:val="51"/>
        <w:spacing w:line="360" w:lineRule="auto"/>
        <w:ind w:firstLine="480" w:firstLineChars="200"/>
        <w:rPr>
          <w:rFonts w:ascii="宋体" w:hAnsi="宋体"/>
        </w:rPr>
      </w:pPr>
      <w:r>
        <w:rPr>
          <w:rFonts w:hint="eastAsia" w:ascii="宋体" w:hAnsi="宋体"/>
        </w:rPr>
        <w:t>3．根据工程量清单所列的预计数量和单价或总额价计算的签约合同价：人民币（大写）（</w:t>
      </w:r>
      <w:r>
        <w:rPr>
          <w:rFonts w:hint="eastAsia" w:ascii="宋体" w:hAnsi="宋体"/>
          <w:u w:val="single"/>
        </w:rPr>
        <w:t xml:space="preserve">￥   </w:t>
      </w:r>
      <w:r>
        <w:rPr>
          <w:rFonts w:hint="eastAsia" w:ascii="宋体" w:hAnsi="宋体"/>
        </w:rPr>
        <w:t>元）。</w:t>
      </w:r>
    </w:p>
    <w:p>
      <w:pPr>
        <w:pStyle w:val="51"/>
        <w:spacing w:line="360" w:lineRule="auto"/>
        <w:ind w:firstLine="480" w:firstLineChars="200"/>
        <w:rPr>
          <w:rFonts w:ascii="宋体" w:hAnsi="宋体"/>
        </w:rPr>
      </w:pPr>
      <w:r>
        <w:rPr>
          <w:rFonts w:hint="eastAsia" w:ascii="宋体" w:hAnsi="宋体"/>
        </w:rPr>
        <w:t>4．承包人项目经理：，技术负责人：。</w:t>
      </w:r>
    </w:p>
    <w:p>
      <w:pPr>
        <w:pStyle w:val="51"/>
        <w:spacing w:line="360" w:lineRule="auto"/>
        <w:ind w:firstLine="480" w:firstLineChars="200"/>
        <w:rPr>
          <w:rFonts w:ascii="宋体" w:hAnsi="宋体"/>
        </w:rPr>
      </w:pPr>
      <w:r>
        <w:rPr>
          <w:rFonts w:hint="eastAsia" w:ascii="宋体" w:hAnsi="宋体"/>
        </w:rPr>
        <w:t>5．工程质量符合标准，工程安全目标：。</w:t>
      </w:r>
    </w:p>
    <w:p>
      <w:pPr>
        <w:pStyle w:val="51"/>
        <w:spacing w:line="360" w:lineRule="auto"/>
        <w:ind w:firstLine="480" w:firstLineChars="200"/>
        <w:rPr>
          <w:rFonts w:ascii="宋体" w:hAnsi="宋体"/>
        </w:rPr>
      </w:pPr>
      <w:r>
        <w:rPr>
          <w:rFonts w:hint="eastAsia" w:ascii="宋体" w:hAnsi="宋体"/>
        </w:rPr>
        <w:t>6．承包人承诺按合同约定承担工程的实施、完成及缺陷修复。</w:t>
      </w:r>
    </w:p>
    <w:p>
      <w:pPr>
        <w:pStyle w:val="51"/>
        <w:spacing w:line="360" w:lineRule="auto"/>
        <w:ind w:firstLine="480" w:firstLineChars="200"/>
        <w:rPr>
          <w:rFonts w:ascii="宋体" w:hAnsi="宋体"/>
        </w:rPr>
      </w:pPr>
      <w:r>
        <w:rPr>
          <w:rFonts w:hint="eastAsia" w:ascii="宋体" w:hAnsi="宋体"/>
        </w:rPr>
        <w:t>7．双方约定的工程款（进度款）支付的方式和时间： 。</w:t>
      </w:r>
    </w:p>
    <w:p>
      <w:pPr>
        <w:pStyle w:val="51"/>
        <w:spacing w:line="360" w:lineRule="auto"/>
        <w:ind w:firstLine="480" w:firstLineChars="200"/>
        <w:rPr>
          <w:rFonts w:ascii="宋体" w:hAnsi="宋体"/>
        </w:rPr>
      </w:pPr>
      <w:r>
        <w:rPr>
          <w:rFonts w:hint="eastAsia" w:ascii="宋体" w:hAnsi="宋体"/>
        </w:rPr>
        <w:t>8．承包人应按照监理人指示开工，工期为日历天。</w:t>
      </w:r>
    </w:p>
    <w:p>
      <w:pPr>
        <w:pStyle w:val="51"/>
        <w:spacing w:line="360" w:lineRule="auto"/>
        <w:ind w:firstLine="480" w:firstLineChars="200"/>
        <w:rPr>
          <w:rFonts w:ascii="宋体" w:hAnsi="宋体"/>
        </w:rPr>
      </w:pPr>
      <w:r>
        <w:rPr>
          <w:rFonts w:hint="eastAsia" w:ascii="宋体" w:hAnsi="宋体"/>
        </w:rPr>
        <w:t>9．本协议书在承包人提供履约保证金后，由双方法定代表人或其委托代理人签署并加盖公章后生效。全部工程完工后经交（竣）工验收合格、缺陷责任期满签发缺陷责任终止证书后失效。</w:t>
      </w:r>
    </w:p>
    <w:p>
      <w:pPr>
        <w:pStyle w:val="51"/>
        <w:spacing w:line="360" w:lineRule="auto"/>
        <w:ind w:firstLine="480" w:firstLineChars="200"/>
        <w:rPr>
          <w:rFonts w:ascii="宋体" w:hAnsi="宋体"/>
        </w:rPr>
      </w:pPr>
      <w:r>
        <w:rPr>
          <w:rFonts w:hint="eastAsia" w:ascii="宋体" w:hAnsi="宋体"/>
        </w:rPr>
        <w:t>10．本协议书正本</w:t>
      </w:r>
      <w:r>
        <w:rPr>
          <w:rFonts w:hint="eastAsia" w:ascii="宋体" w:hAnsi="宋体"/>
          <w:u w:val="single"/>
        </w:rPr>
        <w:t xml:space="preserve"> 贰 </w:t>
      </w:r>
      <w:r>
        <w:rPr>
          <w:rFonts w:hint="eastAsia" w:ascii="宋体" w:hAnsi="宋体"/>
        </w:rPr>
        <w:t>份、副本</w:t>
      </w:r>
      <w:r>
        <w:rPr>
          <w:rFonts w:hint="eastAsia" w:ascii="宋体" w:hAnsi="宋体"/>
          <w:u w:val="single"/>
        </w:rPr>
        <w:t xml:space="preserve"> 肆 </w:t>
      </w:r>
      <w:r>
        <w:rPr>
          <w:rFonts w:hint="eastAsia" w:ascii="宋体" w:hAnsi="宋体"/>
        </w:rPr>
        <w:t>份，合同双方各执正本</w:t>
      </w:r>
      <w:r>
        <w:rPr>
          <w:rFonts w:hint="eastAsia" w:ascii="宋体" w:hAnsi="宋体"/>
          <w:u w:val="single"/>
        </w:rPr>
        <w:t xml:space="preserve"> 壹 </w:t>
      </w:r>
      <w:r>
        <w:rPr>
          <w:rFonts w:hint="eastAsia" w:ascii="宋体" w:hAnsi="宋体"/>
        </w:rPr>
        <w:t>份，副本</w:t>
      </w:r>
      <w:r>
        <w:rPr>
          <w:rFonts w:hint="eastAsia" w:ascii="宋体" w:hAnsi="宋体"/>
          <w:u w:val="single"/>
        </w:rPr>
        <w:t xml:space="preserve"> 贰 </w:t>
      </w:r>
      <w:r>
        <w:rPr>
          <w:rFonts w:hint="eastAsia" w:ascii="宋体" w:hAnsi="宋体"/>
        </w:rPr>
        <w:t>份，当正本与副本的内容不一致时，以正本为准。</w:t>
      </w:r>
    </w:p>
    <w:p>
      <w:pPr>
        <w:pStyle w:val="51"/>
        <w:spacing w:line="360" w:lineRule="auto"/>
        <w:ind w:firstLine="480" w:firstLineChars="200"/>
        <w:rPr>
          <w:rFonts w:ascii="宋体" w:hAnsi="宋体"/>
        </w:rPr>
      </w:pPr>
      <w:r>
        <w:rPr>
          <w:rFonts w:hint="eastAsia" w:ascii="宋体" w:hAnsi="宋体"/>
        </w:rPr>
        <w:t>11．合同未尽事宜，双方另行签订补充协议。补充协议是合同的组成部分。</w:t>
      </w:r>
    </w:p>
    <w:p>
      <w:pPr>
        <w:pStyle w:val="52"/>
        <w:spacing w:line="360" w:lineRule="auto"/>
      </w:pPr>
    </w:p>
    <w:p>
      <w:pPr>
        <w:pStyle w:val="51"/>
        <w:spacing w:line="360" w:lineRule="auto"/>
        <w:ind w:firstLine="200"/>
        <w:rPr>
          <w:rFonts w:ascii="宋体" w:hAnsi="宋体"/>
        </w:rPr>
      </w:pPr>
      <w:r>
        <w:rPr>
          <w:rFonts w:hint="eastAsia" w:ascii="宋体" w:hAnsi="宋体"/>
        </w:rPr>
        <w:t>发包人：</w:t>
      </w:r>
      <w:r>
        <w:rPr>
          <w:rFonts w:hint="eastAsia" w:ascii="宋体" w:hAnsi="宋体"/>
          <w:u w:val="single"/>
        </w:rPr>
        <w:t>___   _________</w:t>
      </w:r>
    </w:p>
    <w:p>
      <w:pPr>
        <w:pStyle w:val="51"/>
        <w:spacing w:line="360" w:lineRule="auto"/>
        <w:ind w:firstLine="200"/>
        <w:rPr>
          <w:rFonts w:ascii="宋体" w:hAnsi="宋体"/>
        </w:rPr>
      </w:pPr>
      <w:r>
        <w:rPr>
          <w:rFonts w:hint="eastAsia" w:ascii="宋体" w:hAnsi="宋体"/>
        </w:rPr>
        <w:t>法定代表人或其委托代理人：</w:t>
      </w:r>
      <w:r>
        <w:rPr>
          <w:rFonts w:hint="eastAsia" w:ascii="宋体" w:hAnsi="宋体"/>
          <w:u w:val="single"/>
        </w:rPr>
        <w:t>___   _________</w:t>
      </w:r>
    </w:p>
    <w:p>
      <w:pPr>
        <w:pStyle w:val="51"/>
        <w:spacing w:line="360" w:lineRule="auto"/>
        <w:ind w:firstLine="200"/>
        <w:rPr>
          <w:rFonts w:ascii="宋体" w:hAnsi="宋体"/>
        </w:rPr>
      </w:pPr>
      <w:r>
        <w:rPr>
          <w:rFonts w:hint="eastAsia" w:ascii="宋体" w:hAnsi="宋体"/>
        </w:rPr>
        <w:t>承 包 人：</w:t>
      </w:r>
      <w:r>
        <w:rPr>
          <w:rFonts w:hint="eastAsia" w:ascii="宋体" w:hAnsi="宋体"/>
          <w:u w:val="single"/>
        </w:rPr>
        <w:t>___   _________</w:t>
      </w:r>
    </w:p>
    <w:p>
      <w:pPr>
        <w:pStyle w:val="51"/>
        <w:spacing w:line="360" w:lineRule="auto"/>
        <w:ind w:firstLine="200"/>
        <w:rPr>
          <w:rFonts w:ascii="宋体" w:hAnsi="宋体"/>
        </w:rPr>
      </w:pPr>
      <w:r>
        <w:rPr>
          <w:rFonts w:hint="eastAsia" w:ascii="宋体" w:hAnsi="宋体"/>
        </w:rPr>
        <w:t>法定代表人或其委托代理人：</w:t>
      </w:r>
      <w:r>
        <w:rPr>
          <w:rFonts w:hint="eastAsia" w:ascii="宋体" w:hAnsi="宋体"/>
          <w:u w:val="single"/>
        </w:rPr>
        <w:t>___   _________</w:t>
      </w:r>
    </w:p>
    <w:p>
      <w:pPr>
        <w:pStyle w:val="51"/>
        <w:spacing w:line="360" w:lineRule="auto"/>
        <w:ind w:firstLine="200"/>
        <w:rPr>
          <w:rFonts w:ascii="宋体" w:hAnsi="宋体"/>
        </w:rPr>
      </w:pPr>
      <w:r>
        <w:rPr>
          <w:rFonts w:hint="eastAsia" w:ascii="宋体" w:hAnsi="宋体"/>
        </w:rPr>
        <w:t>年月日</w:t>
      </w:r>
    </w:p>
    <w:p>
      <w:pPr>
        <w:pStyle w:val="52"/>
        <w:spacing w:line="360" w:lineRule="auto"/>
      </w:pPr>
    </w:p>
    <w:p>
      <w:pPr>
        <w:spacing w:line="360" w:lineRule="auto"/>
      </w:pPr>
    </w:p>
    <w:p>
      <w:pPr>
        <w:pStyle w:val="51"/>
        <w:spacing w:line="360" w:lineRule="auto"/>
      </w:pPr>
    </w:p>
    <w:p>
      <w:pPr>
        <w:pStyle w:val="52"/>
        <w:spacing w:line="360" w:lineRule="auto"/>
      </w:pPr>
    </w:p>
    <w:p>
      <w:pPr>
        <w:spacing w:line="360" w:lineRule="auto"/>
      </w:pPr>
    </w:p>
    <w:p>
      <w:pPr>
        <w:pStyle w:val="51"/>
        <w:spacing w:line="360" w:lineRule="auto"/>
      </w:pPr>
    </w:p>
    <w:p>
      <w:pPr>
        <w:pStyle w:val="52"/>
        <w:spacing w:line="360" w:lineRule="auto"/>
      </w:pPr>
    </w:p>
    <w:p>
      <w:pPr>
        <w:spacing w:line="360" w:lineRule="auto"/>
      </w:pPr>
    </w:p>
    <w:p>
      <w:pPr>
        <w:pStyle w:val="51"/>
        <w:spacing w:line="360" w:lineRule="auto"/>
      </w:pPr>
    </w:p>
    <w:p>
      <w:pPr>
        <w:pStyle w:val="52"/>
        <w:spacing w:line="360" w:lineRule="auto"/>
      </w:pPr>
    </w:p>
    <w:p>
      <w:pPr>
        <w:spacing w:line="360" w:lineRule="auto"/>
      </w:pPr>
    </w:p>
    <w:p>
      <w:pPr>
        <w:pStyle w:val="51"/>
        <w:spacing w:line="360" w:lineRule="auto"/>
      </w:pPr>
    </w:p>
    <w:p>
      <w:pPr>
        <w:pStyle w:val="52"/>
        <w:spacing w:line="360" w:lineRule="auto"/>
      </w:pPr>
    </w:p>
    <w:p>
      <w:pPr>
        <w:spacing w:line="360" w:lineRule="auto"/>
      </w:pPr>
    </w:p>
    <w:p>
      <w:pPr>
        <w:pStyle w:val="51"/>
        <w:spacing w:line="360" w:lineRule="auto"/>
      </w:pPr>
    </w:p>
    <w:p>
      <w:pPr>
        <w:spacing w:line="360" w:lineRule="auto"/>
      </w:pPr>
    </w:p>
    <w:p>
      <w:pPr>
        <w:pStyle w:val="5"/>
        <w:spacing w:before="0" w:after="0" w:line="360" w:lineRule="auto"/>
      </w:pPr>
      <w:bookmarkStart w:id="98" w:name="_Toc97298990"/>
      <w:bookmarkStart w:id="99" w:name="_Toc27077"/>
      <w:r>
        <w:rPr>
          <w:rFonts w:hint="eastAsia"/>
        </w:rPr>
        <w:t>第二节 通用合同条款</w:t>
      </w:r>
      <w:bookmarkEnd w:id="98"/>
      <w:bookmarkEnd w:id="99"/>
    </w:p>
    <w:p>
      <w:pPr>
        <w:pStyle w:val="51"/>
        <w:spacing w:line="360" w:lineRule="auto"/>
        <w:ind w:firstLine="200"/>
        <w:rPr>
          <w:rFonts w:ascii="宋体" w:hAnsi="宋体"/>
          <w:sz w:val="21"/>
          <w:szCs w:val="21"/>
        </w:rPr>
      </w:pPr>
      <w:r>
        <w:rPr>
          <w:rFonts w:hint="eastAsia" w:ascii="宋体" w:hAnsi="宋体"/>
          <w:sz w:val="21"/>
          <w:szCs w:val="21"/>
        </w:rPr>
        <w:t>采用（GF—2017—0201）标准合同文件中通用合同条款（此处略）。</w:t>
      </w:r>
    </w:p>
    <w:p>
      <w:pPr>
        <w:pStyle w:val="5"/>
        <w:spacing w:before="0" w:after="0" w:line="360" w:lineRule="auto"/>
      </w:pPr>
      <w:bookmarkStart w:id="100" w:name="_Toc19627"/>
      <w:bookmarkStart w:id="101" w:name="_Toc97298991"/>
      <w:r>
        <w:rPr>
          <w:rFonts w:hint="eastAsia"/>
        </w:rPr>
        <w:t>第三节 专用合同条款</w:t>
      </w:r>
      <w:bookmarkEnd w:id="100"/>
      <w:bookmarkEnd w:id="101"/>
    </w:p>
    <w:p>
      <w:pPr>
        <w:pStyle w:val="51"/>
        <w:spacing w:line="360" w:lineRule="auto"/>
        <w:ind w:firstLine="200"/>
        <w:rPr>
          <w:rFonts w:ascii="宋体" w:hAnsi="宋体"/>
        </w:rPr>
      </w:pPr>
      <w:r>
        <w:rPr>
          <w:rFonts w:hint="eastAsia" w:ascii="宋体" w:hAnsi="宋体"/>
        </w:rPr>
        <w:t>1. 一般约定</w:t>
      </w:r>
    </w:p>
    <w:p>
      <w:pPr>
        <w:pStyle w:val="51"/>
        <w:spacing w:line="360" w:lineRule="auto"/>
        <w:ind w:firstLine="200"/>
        <w:rPr>
          <w:rFonts w:ascii="宋体" w:hAnsi="宋体"/>
        </w:rPr>
      </w:pPr>
      <w:r>
        <w:rPr>
          <w:rFonts w:hint="eastAsia" w:ascii="宋体" w:hAnsi="宋体"/>
        </w:rPr>
        <w:t>1.1 词语定义</w:t>
      </w:r>
    </w:p>
    <w:p>
      <w:pPr>
        <w:pStyle w:val="51"/>
        <w:spacing w:line="360" w:lineRule="auto"/>
        <w:ind w:firstLine="200"/>
        <w:rPr>
          <w:rFonts w:ascii="宋体" w:hAnsi="宋体"/>
        </w:rPr>
      </w:pPr>
      <w:r>
        <w:rPr>
          <w:rFonts w:hint="eastAsia" w:ascii="宋体" w:hAnsi="宋体"/>
        </w:rPr>
        <w:t>1.1.1 合同</w:t>
      </w:r>
    </w:p>
    <w:p>
      <w:pPr>
        <w:pStyle w:val="51"/>
        <w:spacing w:line="360" w:lineRule="auto"/>
        <w:ind w:firstLine="200"/>
        <w:rPr>
          <w:rFonts w:ascii="宋体" w:hAnsi="宋体"/>
        </w:rPr>
      </w:pPr>
      <w:r>
        <w:rPr>
          <w:rFonts w:hint="eastAsia" w:ascii="宋体" w:hAnsi="宋体"/>
        </w:rPr>
        <w:t>1.1.1.10 其他合同文件包括：</w:t>
      </w:r>
      <w:r>
        <w:rPr>
          <w:rFonts w:hint="eastAsia" w:ascii="宋体" w:hAnsi="宋体"/>
          <w:u w:val="single"/>
        </w:rPr>
        <w:t>履行合同过程中双方书面确认的对合同有影响的会议纪要、签证及设计变更等相关资料</w:t>
      </w:r>
      <w:r>
        <w:rPr>
          <w:rFonts w:hint="eastAsia" w:ascii="宋体" w:hAnsi="宋体"/>
        </w:rPr>
        <w:t>。</w:t>
      </w:r>
    </w:p>
    <w:p>
      <w:pPr>
        <w:pStyle w:val="51"/>
        <w:spacing w:line="360" w:lineRule="auto"/>
        <w:ind w:firstLine="200"/>
        <w:rPr>
          <w:rFonts w:ascii="宋体" w:hAnsi="宋体"/>
        </w:rPr>
      </w:pPr>
      <w:r>
        <w:rPr>
          <w:rFonts w:hint="eastAsia" w:ascii="宋体" w:hAnsi="宋体"/>
        </w:rPr>
        <w:t>1.1.2 合同当事人及其他相关方</w:t>
      </w:r>
    </w:p>
    <w:p>
      <w:pPr>
        <w:pStyle w:val="51"/>
        <w:spacing w:line="360" w:lineRule="auto"/>
        <w:ind w:firstLine="200"/>
        <w:rPr>
          <w:rFonts w:ascii="宋体" w:hAnsi="宋体"/>
        </w:rPr>
      </w:pPr>
      <w:r>
        <w:rPr>
          <w:rFonts w:hint="eastAsia" w:ascii="宋体" w:hAnsi="宋体"/>
        </w:rPr>
        <w:t>1.1.2.4 监理人：</w:t>
      </w:r>
    </w:p>
    <w:p>
      <w:pPr>
        <w:pStyle w:val="51"/>
        <w:spacing w:line="360" w:lineRule="auto"/>
        <w:ind w:firstLine="200"/>
        <w:rPr>
          <w:rFonts w:ascii="宋体" w:hAnsi="宋体"/>
        </w:rPr>
      </w:pPr>
      <w:r>
        <w:rPr>
          <w:rFonts w:hint="eastAsia" w:ascii="宋体" w:hAnsi="宋体"/>
        </w:rPr>
        <w:t>名 称：；</w:t>
      </w:r>
    </w:p>
    <w:p>
      <w:pPr>
        <w:pStyle w:val="51"/>
        <w:spacing w:line="360" w:lineRule="auto"/>
        <w:ind w:firstLine="200"/>
        <w:rPr>
          <w:rFonts w:ascii="宋体" w:hAnsi="宋体"/>
        </w:rPr>
      </w:pPr>
      <w:r>
        <w:rPr>
          <w:rFonts w:hint="eastAsia" w:ascii="宋体" w:hAnsi="宋体"/>
        </w:rPr>
        <w:t>资质类别和等级： ；</w:t>
      </w:r>
    </w:p>
    <w:p>
      <w:pPr>
        <w:pStyle w:val="51"/>
        <w:spacing w:line="360" w:lineRule="auto"/>
        <w:ind w:firstLine="200"/>
        <w:rPr>
          <w:rFonts w:ascii="宋体" w:hAnsi="宋体"/>
        </w:rPr>
      </w:pPr>
      <w:r>
        <w:rPr>
          <w:rFonts w:hint="eastAsia" w:ascii="宋体" w:hAnsi="宋体"/>
        </w:rPr>
        <w:t>联系电话： ；</w:t>
      </w:r>
    </w:p>
    <w:p>
      <w:pPr>
        <w:pStyle w:val="51"/>
        <w:spacing w:line="360" w:lineRule="auto"/>
        <w:ind w:firstLine="200"/>
        <w:rPr>
          <w:rFonts w:ascii="宋体" w:hAnsi="宋体"/>
        </w:rPr>
      </w:pPr>
      <w:r>
        <w:rPr>
          <w:rFonts w:hint="eastAsia" w:ascii="宋体" w:hAnsi="宋体"/>
        </w:rPr>
        <w:t>电子信箱： ；</w:t>
      </w:r>
    </w:p>
    <w:p>
      <w:pPr>
        <w:pStyle w:val="51"/>
        <w:spacing w:line="360" w:lineRule="auto"/>
        <w:ind w:firstLine="200"/>
        <w:rPr>
          <w:rFonts w:ascii="宋体" w:hAnsi="宋体"/>
        </w:rPr>
      </w:pPr>
      <w:r>
        <w:rPr>
          <w:rFonts w:hint="eastAsia" w:ascii="宋体" w:hAnsi="宋体"/>
        </w:rPr>
        <w:t>通信地址： 。</w:t>
      </w:r>
    </w:p>
    <w:p>
      <w:pPr>
        <w:pStyle w:val="51"/>
        <w:spacing w:line="360" w:lineRule="auto"/>
        <w:ind w:firstLine="200"/>
        <w:rPr>
          <w:rFonts w:ascii="宋体" w:hAnsi="宋体"/>
        </w:rPr>
      </w:pPr>
      <w:r>
        <w:rPr>
          <w:rFonts w:hint="eastAsia" w:ascii="宋体" w:hAnsi="宋体"/>
        </w:rPr>
        <w:t>1.1.2.5 设计人：</w:t>
      </w:r>
    </w:p>
    <w:p>
      <w:pPr>
        <w:pStyle w:val="51"/>
        <w:spacing w:line="360" w:lineRule="auto"/>
        <w:ind w:firstLine="200"/>
        <w:rPr>
          <w:rFonts w:ascii="宋体" w:hAnsi="宋体"/>
        </w:rPr>
      </w:pPr>
      <w:r>
        <w:rPr>
          <w:rFonts w:hint="eastAsia" w:ascii="宋体" w:hAnsi="宋体"/>
        </w:rPr>
        <w:t>名 称： ；</w:t>
      </w:r>
    </w:p>
    <w:p>
      <w:pPr>
        <w:pStyle w:val="51"/>
        <w:spacing w:line="360" w:lineRule="auto"/>
        <w:ind w:firstLine="200"/>
        <w:rPr>
          <w:rFonts w:ascii="宋体" w:hAnsi="宋体"/>
        </w:rPr>
      </w:pPr>
      <w:r>
        <w:rPr>
          <w:rFonts w:hint="eastAsia" w:ascii="宋体" w:hAnsi="宋体"/>
        </w:rPr>
        <w:t>资质类别和等级： ；</w:t>
      </w:r>
    </w:p>
    <w:p>
      <w:pPr>
        <w:pStyle w:val="51"/>
        <w:spacing w:line="360" w:lineRule="auto"/>
        <w:ind w:firstLine="200"/>
        <w:rPr>
          <w:rFonts w:ascii="宋体" w:hAnsi="宋体"/>
        </w:rPr>
      </w:pPr>
      <w:r>
        <w:rPr>
          <w:rFonts w:hint="eastAsia" w:ascii="宋体" w:hAnsi="宋体"/>
        </w:rPr>
        <w:t>联系电话： ；</w:t>
      </w:r>
    </w:p>
    <w:p>
      <w:pPr>
        <w:pStyle w:val="51"/>
        <w:spacing w:line="360" w:lineRule="auto"/>
        <w:ind w:firstLine="200"/>
        <w:rPr>
          <w:rFonts w:ascii="宋体" w:hAnsi="宋体"/>
        </w:rPr>
      </w:pPr>
      <w:r>
        <w:rPr>
          <w:rFonts w:hint="eastAsia" w:ascii="宋体" w:hAnsi="宋体"/>
        </w:rPr>
        <w:t>电子信箱： ；</w:t>
      </w:r>
    </w:p>
    <w:p>
      <w:pPr>
        <w:pStyle w:val="51"/>
        <w:spacing w:line="360" w:lineRule="auto"/>
        <w:ind w:firstLine="200"/>
        <w:rPr>
          <w:rFonts w:ascii="宋体" w:hAnsi="宋体"/>
        </w:rPr>
      </w:pPr>
      <w:r>
        <w:rPr>
          <w:rFonts w:hint="eastAsia" w:ascii="宋体" w:hAnsi="宋体"/>
        </w:rPr>
        <w:t>通信地址： 。</w:t>
      </w:r>
    </w:p>
    <w:p>
      <w:pPr>
        <w:pStyle w:val="51"/>
        <w:spacing w:line="360" w:lineRule="auto"/>
        <w:ind w:firstLine="200"/>
        <w:rPr>
          <w:rFonts w:ascii="宋体" w:hAnsi="宋体"/>
        </w:rPr>
      </w:pPr>
      <w:r>
        <w:rPr>
          <w:rFonts w:hint="eastAsia" w:ascii="宋体" w:hAnsi="宋体"/>
        </w:rPr>
        <w:t>1.1.3 工程和设备</w:t>
      </w:r>
    </w:p>
    <w:p>
      <w:pPr>
        <w:pStyle w:val="51"/>
        <w:spacing w:line="360" w:lineRule="auto"/>
        <w:ind w:firstLine="200"/>
        <w:rPr>
          <w:rFonts w:ascii="宋体" w:hAnsi="宋体"/>
        </w:rPr>
      </w:pPr>
      <w:r>
        <w:rPr>
          <w:rFonts w:hint="eastAsia" w:ascii="宋体" w:hAnsi="宋体"/>
        </w:rPr>
        <w:t>1.1.3.7 作为施工现场组成部分的其他场所包括：</w:t>
      </w:r>
      <w:r>
        <w:rPr>
          <w:rFonts w:hint="eastAsia" w:ascii="宋体" w:hAnsi="宋体"/>
          <w:u w:val="single"/>
        </w:rPr>
        <w:t>现场临时办公及施工场地</w:t>
      </w:r>
      <w:r>
        <w:rPr>
          <w:rFonts w:hint="eastAsia" w:ascii="宋体" w:hAnsi="宋体"/>
        </w:rPr>
        <w:t>。</w:t>
      </w:r>
    </w:p>
    <w:p>
      <w:pPr>
        <w:pStyle w:val="51"/>
        <w:spacing w:line="360" w:lineRule="auto"/>
        <w:ind w:firstLine="200"/>
        <w:rPr>
          <w:rFonts w:ascii="宋体" w:hAnsi="宋体"/>
        </w:rPr>
      </w:pPr>
      <w:r>
        <w:rPr>
          <w:rFonts w:hint="eastAsia" w:ascii="宋体" w:hAnsi="宋体"/>
        </w:rPr>
        <w:t>1.1.3.9 永久占地包括： 。</w:t>
      </w:r>
    </w:p>
    <w:p>
      <w:pPr>
        <w:pStyle w:val="51"/>
        <w:spacing w:line="360" w:lineRule="auto"/>
        <w:ind w:firstLine="200"/>
        <w:rPr>
          <w:rFonts w:ascii="宋体" w:hAnsi="宋体"/>
        </w:rPr>
      </w:pPr>
      <w:r>
        <w:rPr>
          <w:rFonts w:hint="eastAsia" w:ascii="宋体" w:hAnsi="宋体"/>
        </w:rPr>
        <w:t>1.1.3.10 临时占地包括： 。</w:t>
      </w:r>
    </w:p>
    <w:p>
      <w:pPr>
        <w:pStyle w:val="51"/>
        <w:spacing w:line="360" w:lineRule="auto"/>
        <w:ind w:firstLine="200"/>
        <w:rPr>
          <w:rFonts w:ascii="宋体" w:hAnsi="宋体"/>
        </w:rPr>
      </w:pPr>
      <w:r>
        <w:rPr>
          <w:rFonts w:hint="eastAsia" w:ascii="宋体" w:hAnsi="宋体"/>
        </w:rPr>
        <w:t>1.3 法律</w:t>
      </w:r>
    </w:p>
    <w:p>
      <w:pPr>
        <w:pStyle w:val="51"/>
        <w:spacing w:line="360" w:lineRule="auto"/>
        <w:ind w:firstLine="200"/>
        <w:rPr>
          <w:rFonts w:ascii="宋体" w:hAnsi="宋体"/>
        </w:rPr>
      </w:pPr>
      <w:r>
        <w:rPr>
          <w:rFonts w:hint="eastAsia" w:ascii="宋体" w:hAnsi="宋体"/>
        </w:rPr>
        <w:t>适用于合同的其他规范性文件： 。</w:t>
      </w:r>
    </w:p>
    <w:p>
      <w:pPr>
        <w:pStyle w:val="51"/>
        <w:spacing w:line="360" w:lineRule="auto"/>
        <w:ind w:firstLine="200"/>
        <w:rPr>
          <w:rFonts w:ascii="宋体" w:hAnsi="宋体"/>
        </w:rPr>
      </w:pPr>
      <w:r>
        <w:rPr>
          <w:rFonts w:hint="eastAsia" w:ascii="宋体" w:hAnsi="宋体"/>
        </w:rPr>
        <w:t>1.4 标准和规范</w:t>
      </w:r>
    </w:p>
    <w:p>
      <w:pPr>
        <w:pStyle w:val="51"/>
        <w:spacing w:line="360" w:lineRule="auto"/>
        <w:ind w:firstLine="200"/>
        <w:rPr>
          <w:rFonts w:ascii="宋体" w:hAnsi="宋体"/>
        </w:rPr>
      </w:pPr>
      <w:r>
        <w:rPr>
          <w:rFonts w:hint="eastAsia" w:ascii="宋体" w:hAnsi="宋体"/>
        </w:rPr>
        <w:t>1.4.1 适用于工程的标准规范包括： 。</w:t>
      </w:r>
    </w:p>
    <w:p>
      <w:pPr>
        <w:pStyle w:val="51"/>
        <w:spacing w:line="360" w:lineRule="auto"/>
        <w:ind w:firstLine="200"/>
        <w:rPr>
          <w:rFonts w:ascii="宋体" w:hAnsi="宋体"/>
        </w:rPr>
      </w:pPr>
      <w:r>
        <w:rPr>
          <w:rFonts w:hint="eastAsia" w:ascii="宋体" w:hAnsi="宋体"/>
        </w:rPr>
        <w:t>1.4.2 发包人提供国外标准、规范的名称： ；</w:t>
      </w:r>
    </w:p>
    <w:p>
      <w:pPr>
        <w:pStyle w:val="51"/>
        <w:spacing w:line="360" w:lineRule="auto"/>
        <w:ind w:firstLine="200"/>
        <w:rPr>
          <w:rFonts w:ascii="宋体" w:hAnsi="宋体"/>
        </w:rPr>
      </w:pPr>
      <w:r>
        <w:rPr>
          <w:rFonts w:hint="eastAsia" w:ascii="宋体" w:hAnsi="宋体"/>
        </w:rPr>
        <w:t>发包人提供国外标准、规范的份数： ；</w:t>
      </w:r>
    </w:p>
    <w:p>
      <w:pPr>
        <w:pStyle w:val="51"/>
        <w:spacing w:line="360" w:lineRule="auto"/>
        <w:ind w:firstLine="200"/>
        <w:rPr>
          <w:rFonts w:ascii="宋体" w:hAnsi="宋体"/>
        </w:rPr>
      </w:pPr>
      <w:r>
        <w:rPr>
          <w:rFonts w:hint="eastAsia" w:ascii="宋体" w:hAnsi="宋体"/>
        </w:rPr>
        <w:t>发包人提供国外标准、规范的名称： 。</w:t>
      </w:r>
    </w:p>
    <w:p>
      <w:pPr>
        <w:pStyle w:val="51"/>
        <w:spacing w:line="360" w:lineRule="auto"/>
        <w:ind w:firstLine="200"/>
        <w:rPr>
          <w:rFonts w:ascii="宋体" w:hAnsi="宋体"/>
        </w:rPr>
      </w:pPr>
      <w:r>
        <w:rPr>
          <w:rFonts w:hint="eastAsia" w:ascii="宋体" w:hAnsi="宋体"/>
        </w:rPr>
        <w:t>1.4.3 发包人对工程的技术标准和功能要求的特殊要求：。</w:t>
      </w:r>
    </w:p>
    <w:p>
      <w:pPr>
        <w:pStyle w:val="51"/>
        <w:spacing w:line="360" w:lineRule="auto"/>
        <w:ind w:firstLine="200"/>
        <w:rPr>
          <w:rFonts w:ascii="宋体" w:hAnsi="宋体"/>
        </w:rPr>
      </w:pPr>
      <w:r>
        <w:rPr>
          <w:rFonts w:hint="eastAsia" w:ascii="宋体" w:hAnsi="宋体"/>
        </w:rPr>
        <w:t>1.5 合同文件的优先顺序</w:t>
      </w:r>
    </w:p>
    <w:p>
      <w:pPr>
        <w:pStyle w:val="51"/>
        <w:spacing w:line="360" w:lineRule="auto"/>
        <w:ind w:firstLine="200"/>
        <w:rPr>
          <w:rFonts w:ascii="宋体" w:hAnsi="宋体"/>
        </w:rPr>
      </w:pPr>
      <w:r>
        <w:rPr>
          <w:rFonts w:hint="eastAsia" w:ascii="宋体" w:hAnsi="宋体"/>
        </w:rPr>
        <w:t>合同文件组成及优先顺序为： 。</w:t>
      </w:r>
    </w:p>
    <w:p>
      <w:pPr>
        <w:pStyle w:val="51"/>
        <w:spacing w:line="360" w:lineRule="auto"/>
        <w:ind w:firstLine="200"/>
        <w:rPr>
          <w:rFonts w:ascii="宋体" w:hAnsi="宋体"/>
        </w:rPr>
      </w:pPr>
      <w:r>
        <w:rPr>
          <w:rFonts w:hint="eastAsia" w:ascii="宋体" w:hAnsi="宋体"/>
        </w:rPr>
        <w:t>1.6 图纸和承包人文件</w:t>
      </w:r>
    </w:p>
    <w:p>
      <w:pPr>
        <w:pStyle w:val="51"/>
        <w:spacing w:line="360" w:lineRule="auto"/>
        <w:ind w:firstLine="200"/>
        <w:rPr>
          <w:rFonts w:ascii="宋体" w:hAnsi="宋体"/>
        </w:rPr>
      </w:pPr>
      <w:r>
        <w:rPr>
          <w:rFonts w:hint="eastAsia" w:ascii="宋体" w:hAnsi="宋体"/>
        </w:rPr>
        <w:t>1.6.1 图纸的提供</w:t>
      </w:r>
    </w:p>
    <w:p>
      <w:pPr>
        <w:pStyle w:val="51"/>
        <w:spacing w:line="360" w:lineRule="auto"/>
        <w:ind w:firstLine="200"/>
        <w:rPr>
          <w:rFonts w:ascii="宋体" w:hAnsi="宋体"/>
        </w:rPr>
      </w:pPr>
      <w:r>
        <w:rPr>
          <w:rFonts w:hint="eastAsia" w:ascii="宋体" w:hAnsi="宋体"/>
        </w:rPr>
        <w:t>发包人向承包人提供图纸的期限： ；</w:t>
      </w:r>
    </w:p>
    <w:p>
      <w:pPr>
        <w:pStyle w:val="51"/>
        <w:spacing w:line="360" w:lineRule="auto"/>
        <w:ind w:firstLine="200"/>
        <w:rPr>
          <w:rFonts w:ascii="宋体" w:hAnsi="宋体"/>
        </w:rPr>
      </w:pPr>
      <w:r>
        <w:rPr>
          <w:rFonts w:hint="eastAsia" w:ascii="宋体" w:hAnsi="宋体"/>
        </w:rPr>
        <w:t>发包人向承包人提供图纸的数量： ；</w:t>
      </w:r>
    </w:p>
    <w:p>
      <w:pPr>
        <w:pStyle w:val="51"/>
        <w:spacing w:line="360" w:lineRule="auto"/>
        <w:ind w:firstLine="200"/>
        <w:rPr>
          <w:rFonts w:ascii="宋体" w:hAnsi="宋体"/>
        </w:rPr>
      </w:pPr>
      <w:r>
        <w:rPr>
          <w:rFonts w:hint="eastAsia" w:ascii="宋体" w:hAnsi="宋体"/>
        </w:rPr>
        <w:t>发包人向承包人提供图纸的内容： 。</w:t>
      </w:r>
    </w:p>
    <w:p>
      <w:pPr>
        <w:pStyle w:val="51"/>
        <w:spacing w:line="360" w:lineRule="auto"/>
        <w:ind w:firstLine="200"/>
        <w:rPr>
          <w:rFonts w:ascii="宋体" w:hAnsi="宋体"/>
        </w:rPr>
      </w:pPr>
      <w:r>
        <w:rPr>
          <w:rFonts w:hint="eastAsia" w:ascii="宋体" w:hAnsi="宋体"/>
        </w:rPr>
        <w:t>1.6.4 承包人文件</w:t>
      </w:r>
    </w:p>
    <w:p>
      <w:pPr>
        <w:pStyle w:val="51"/>
        <w:spacing w:line="360" w:lineRule="auto"/>
        <w:ind w:firstLine="200"/>
        <w:rPr>
          <w:rFonts w:ascii="宋体" w:hAnsi="宋体"/>
        </w:rPr>
      </w:pPr>
      <w:r>
        <w:rPr>
          <w:rFonts w:hint="eastAsia" w:ascii="宋体" w:hAnsi="宋体"/>
        </w:rPr>
        <w:t>需要由承包人提供的文件，包括： ；</w:t>
      </w:r>
    </w:p>
    <w:p>
      <w:pPr>
        <w:pStyle w:val="51"/>
        <w:spacing w:line="360" w:lineRule="auto"/>
        <w:ind w:firstLine="200"/>
        <w:rPr>
          <w:rFonts w:ascii="宋体" w:hAnsi="宋体"/>
        </w:rPr>
      </w:pPr>
      <w:r>
        <w:rPr>
          <w:rFonts w:hint="eastAsia" w:ascii="宋体" w:hAnsi="宋体"/>
        </w:rPr>
        <w:t>承包人提供的文件的期限为： ；</w:t>
      </w:r>
    </w:p>
    <w:p>
      <w:pPr>
        <w:pStyle w:val="51"/>
        <w:spacing w:line="360" w:lineRule="auto"/>
        <w:ind w:firstLine="200"/>
        <w:rPr>
          <w:rFonts w:ascii="宋体" w:hAnsi="宋体"/>
        </w:rPr>
      </w:pPr>
      <w:r>
        <w:rPr>
          <w:rFonts w:hint="eastAsia" w:ascii="宋体" w:hAnsi="宋体"/>
        </w:rPr>
        <w:t>承包人提供的文件的数量为： ；</w:t>
      </w:r>
    </w:p>
    <w:p>
      <w:pPr>
        <w:pStyle w:val="51"/>
        <w:spacing w:line="360" w:lineRule="auto"/>
        <w:ind w:firstLine="200"/>
        <w:rPr>
          <w:rFonts w:ascii="宋体" w:hAnsi="宋体"/>
        </w:rPr>
      </w:pPr>
      <w:r>
        <w:rPr>
          <w:rFonts w:hint="eastAsia" w:ascii="宋体" w:hAnsi="宋体"/>
        </w:rPr>
        <w:t>承包人提供的文件的形式为： ；</w:t>
      </w:r>
    </w:p>
    <w:p>
      <w:pPr>
        <w:pStyle w:val="51"/>
        <w:spacing w:line="360" w:lineRule="auto"/>
        <w:ind w:firstLine="200"/>
        <w:rPr>
          <w:rFonts w:ascii="宋体" w:hAnsi="宋体"/>
        </w:rPr>
      </w:pPr>
      <w:r>
        <w:rPr>
          <w:rFonts w:hint="eastAsia" w:ascii="宋体" w:hAnsi="宋体"/>
        </w:rPr>
        <w:t>发包人审批承包人文件的期限： 。</w:t>
      </w:r>
    </w:p>
    <w:p>
      <w:pPr>
        <w:pStyle w:val="51"/>
        <w:spacing w:line="360" w:lineRule="auto"/>
        <w:ind w:firstLine="200"/>
        <w:rPr>
          <w:rFonts w:ascii="宋体" w:hAnsi="宋体"/>
        </w:rPr>
      </w:pPr>
      <w:r>
        <w:rPr>
          <w:rFonts w:hint="eastAsia" w:ascii="宋体" w:hAnsi="宋体"/>
        </w:rPr>
        <w:t>1.6.5 现场图纸准备</w:t>
      </w:r>
    </w:p>
    <w:p>
      <w:pPr>
        <w:pStyle w:val="51"/>
        <w:spacing w:line="360" w:lineRule="auto"/>
        <w:ind w:firstLine="200"/>
        <w:rPr>
          <w:rFonts w:ascii="宋体" w:hAnsi="宋体"/>
        </w:rPr>
      </w:pPr>
      <w:r>
        <w:rPr>
          <w:rFonts w:hint="eastAsia" w:ascii="宋体" w:hAnsi="宋体"/>
        </w:rPr>
        <w:t>关于现场图纸准备的约定： 。</w:t>
      </w:r>
    </w:p>
    <w:p>
      <w:pPr>
        <w:pStyle w:val="51"/>
        <w:spacing w:line="360" w:lineRule="auto"/>
        <w:ind w:firstLine="200"/>
        <w:rPr>
          <w:rFonts w:ascii="宋体" w:hAnsi="宋体"/>
        </w:rPr>
      </w:pPr>
      <w:r>
        <w:rPr>
          <w:rFonts w:hint="eastAsia" w:ascii="宋体" w:hAnsi="宋体"/>
        </w:rPr>
        <w:t>1.7 联络</w:t>
      </w:r>
    </w:p>
    <w:p>
      <w:pPr>
        <w:pStyle w:val="51"/>
        <w:spacing w:line="360" w:lineRule="auto"/>
        <w:ind w:firstLine="200"/>
        <w:rPr>
          <w:rFonts w:ascii="宋体" w:hAnsi="宋体"/>
        </w:rPr>
      </w:pPr>
      <w:r>
        <w:rPr>
          <w:rFonts w:hint="eastAsia" w:ascii="宋体" w:hAnsi="宋体"/>
        </w:rPr>
        <w:t>1.7.1 发包人和承包人应当在 天内将与合同有关的通知、批准、证明、证书、指示、</w:t>
      </w:r>
    </w:p>
    <w:p>
      <w:pPr>
        <w:pStyle w:val="51"/>
        <w:spacing w:line="360" w:lineRule="auto"/>
        <w:ind w:firstLine="200"/>
        <w:rPr>
          <w:rFonts w:ascii="宋体" w:hAnsi="宋体"/>
        </w:rPr>
      </w:pPr>
      <w:r>
        <w:rPr>
          <w:rFonts w:hint="eastAsia" w:ascii="宋体" w:hAnsi="宋体"/>
        </w:rPr>
        <w:t>指令、要求、请求、同意、意见、确定和决定等书面函件送达对方当事人。</w:t>
      </w:r>
    </w:p>
    <w:p>
      <w:pPr>
        <w:pStyle w:val="51"/>
        <w:spacing w:line="360" w:lineRule="auto"/>
        <w:ind w:firstLine="200"/>
        <w:rPr>
          <w:rFonts w:ascii="宋体" w:hAnsi="宋体"/>
        </w:rPr>
      </w:pPr>
      <w:r>
        <w:rPr>
          <w:rFonts w:hint="eastAsia" w:ascii="宋体" w:hAnsi="宋体"/>
        </w:rPr>
        <w:t>1.7.2 发包人接收文件的地点： ；</w:t>
      </w:r>
    </w:p>
    <w:p>
      <w:pPr>
        <w:pStyle w:val="51"/>
        <w:spacing w:line="360" w:lineRule="auto"/>
        <w:ind w:firstLine="200"/>
        <w:rPr>
          <w:rFonts w:ascii="宋体" w:hAnsi="宋体"/>
        </w:rPr>
      </w:pPr>
      <w:r>
        <w:rPr>
          <w:rFonts w:hint="eastAsia" w:ascii="宋体" w:hAnsi="宋体"/>
        </w:rPr>
        <w:t>发包人指定的接收人为： 。</w:t>
      </w:r>
    </w:p>
    <w:p>
      <w:pPr>
        <w:pStyle w:val="51"/>
        <w:spacing w:line="360" w:lineRule="auto"/>
        <w:ind w:firstLine="200"/>
        <w:rPr>
          <w:rFonts w:ascii="宋体" w:hAnsi="宋体"/>
        </w:rPr>
      </w:pPr>
      <w:r>
        <w:rPr>
          <w:rFonts w:hint="eastAsia" w:ascii="宋体" w:hAnsi="宋体"/>
        </w:rPr>
        <w:t>承包人接收文件的地点： ；</w:t>
      </w:r>
    </w:p>
    <w:p>
      <w:pPr>
        <w:pStyle w:val="51"/>
        <w:spacing w:line="360" w:lineRule="auto"/>
        <w:ind w:firstLine="200"/>
        <w:rPr>
          <w:rFonts w:ascii="宋体" w:hAnsi="宋体"/>
        </w:rPr>
      </w:pPr>
      <w:r>
        <w:rPr>
          <w:rFonts w:hint="eastAsia" w:ascii="宋体" w:hAnsi="宋体"/>
        </w:rPr>
        <w:t>承包人指定的接收人为： 。</w:t>
      </w:r>
    </w:p>
    <w:p>
      <w:pPr>
        <w:pStyle w:val="51"/>
        <w:spacing w:line="360" w:lineRule="auto"/>
        <w:ind w:firstLine="200"/>
        <w:rPr>
          <w:rFonts w:ascii="宋体" w:hAnsi="宋体"/>
        </w:rPr>
      </w:pPr>
      <w:r>
        <w:rPr>
          <w:rFonts w:hint="eastAsia" w:ascii="宋体" w:hAnsi="宋体"/>
        </w:rPr>
        <w:t>监理人接收文件的地点： ；</w:t>
      </w:r>
    </w:p>
    <w:p>
      <w:pPr>
        <w:pStyle w:val="51"/>
        <w:spacing w:line="360" w:lineRule="auto"/>
        <w:ind w:firstLine="200"/>
        <w:rPr>
          <w:rFonts w:ascii="宋体" w:hAnsi="宋体"/>
        </w:rPr>
      </w:pPr>
      <w:r>
        <w:rPr>
          <w:rFonts w:hint="eastAsia" w:ascii="宋体" w:hAnsi="宋体"/>
        </w:rPr>
        <w:t>监理人指定的接收人为： 。</w:t>
      </w:r>
    </w:p>
    <w:p>
      <w:pPr>
        <w:pStyle w:val="51"/>
        <w:spacing w:line="360" w:lineRule="auto"/>
        <w:ind w:firstLine="200"/>
        <w:rPr>
          <w:rFonts w:ascii="宋体" w:hAnsi="宋体"/>
        </w:rPr>
      </w:pPr>
      <w:r>
        <w:rPr>
          <w:rFonts w:hint="eastAsia" w:ascii="宋体" w:hAnsi="宋体"/>
        </w:rPr>
        <w:t>1.10 交通运输</w:t>
      </w:r>
    </w:p>
    <w:p>
      <w:pPr>
        <w:pStyle w:val="51"/>
        <w:spacing w:line="360" w:lineRule="auto"/>
        <w:ind w:firstLine="200"/>
        <w:rPr>
          <w:rFonts w:ascii="宋体" w:hAnsi="宋体"/>
        </w:rPr>
      </w:pPr>
      <w:r>
        <w:rPr>
          <w:rFonts w:hint="eastAsia" w:ascii="宋体" w:hAnsi="宋体"/>
        </w:rPr>
        <w:t>1.10.1 出入现场的权利</w:t>
      </w:r>
    </w:p>
    <w:p>
      <w:pPr>
        <w:pStyle w:val="51"/>
        <w:spacing w:line="360" w:lineRule="auto"/>
        <w:ind w:firstLine="200"/>
        <w:rPr>
          <w:rFonts w:ascii="宋体" w:hAnsi="宋体"/>
        </w:rPr>
      </w:pPr>
      <w:r>
        <w:rPr>
          <w:rFonts w:hint="eastAsia" w:ascii="宋体" w:hAnsi="宋体"/>
        </w:rPr>
        <w:t>关于出入现场的权利的约定： 。</w:t>
      </w:r>
    </w:p>
    <w:p>
      <w:pPr>
        <w:pStyle w:val="51"/>
        <w:spacing w:line="360" w:lineRule="auto"/>
        <w:ind w:firstLine="200"/>
        <w:rPr>
          <w:rFonts w:ascii="宋体" w:hAnsi="宋体"/>
        </w:rPr>
      </w:pPr>
      <w:r>
        <w:rPr>
          <w:rFonts w:hint="eastAsia" w:ascii="宋体" w:hAnsi="宋体"/>
        </w:rPr>
        <w:t>1.10.3 场内交通</w:t>
      </w:r>
    </w:p>
    <w:p>
      <w:pPr>
        <w:pStyle w:val="51"/>
        <w:spacing w:line="360" w:lineRule="auto"/>
        <w:ind w:firstLine="200"/>
        <w:rPr>
          <w:rFonts w:ascii="宋体" w:hAnsi="宋体"/>
        </w:rPr>
      </w:pPr>
      <w:r>
        <w:rPr>
          <w:rFonts w:hint="eastAsia" w:ascii="宋体" w:hAnsi="宋体"/>
        </w:rPr>
        <w:t>关于场外交通和场内交通的边界的约定： 。</w:t>
      </w:r>
    </w:p>
    <w:p>
      <w:pPr>
        <w:pStyle w:val="51"/>
        <w:spacing w:line="360" w:lineRule="auto"/>
        <w:ind w:firstLine="200"/>
        <w:rPr>
          <w:rFonts w:ascii="宋体" w:hAnsi="宋体"/>
        </w:rPr>
      </w:pPr>
      <w:r>
        <w:rPr>
          <w:rFonts w:hint="eastAsia" w:ascii="宋体" w:hAnsi="宋体"/>
        </w:rPr>
        <w:t>关于发包人向承包人免费提供满足工程施工需要的场内道路和交通设施的约定： 。</w:t>
      </w:r>
    </w:p>
    <w:p>
      <w:pPr>
        <w:pStyle w:val="51"/>
        <w:spacing w:line="360" w:lineRule="auto"/>
        <w:ind w:firstLine="200"/>
        <w:rPr>
          <w:rFonts w:ascii="宋体" w:hAnsi="宋体"/>
        </w:rPr>
      </w:pPr>
      <w:r>
        <w:rPr>
          <w:rFonts w:hint="eastAsia" w:ascii="宋体" w:hAnsi="宋体"/>
        </w:rPr>
        <w:t>1.10.4 超大件和超重件的运输</w:t>
      </w:r>
    </w:p>
    <w:p>
      <w:pPr>
        <w:pStyle w:val="51"/>
        <w:spacing w:line="360" w:lineRule="auto"/>
        <w:ind w:firstLine="200"/>
        <w:rPr>
          <w:rFonts w:ascii="宋体" w:hAnsi="宋体"/>
        </w:rPr>
      </w:pPr>
      <w:r>
        <w:rPr>
          <w:rFonts w:hint="eastAsia" w:ascii="宋体" w:hAnsi="宋体"/>
        </w:rPr>
        <w:t>运输超大件或超重件所需的道路和桥梁临时加固改造费用和其他有关费用由____承担。</w:t>
      </w:r>
    </w:p>
    <w:p>
      <w:pPr>
        <w:pStyle w:val="51"/>
        <w:spacing w:line="360" w:lineRule="auto"/>
        <w:ind w:firstLine="200"/>
        <w:rPr>
          <w:rFonts w:ascii="宋体" w:hAnsi="宋体"/>
        </w:rPr>
      </w:pPr>
      <w:r>
        <w:rPr>
          <w:rFonts w:hint="eastAsia" w:ascii="宋体" w:hAnsi="宋体"/>
        </w:rPr>
        <w:t>1.11 知识产权</w:t>
      </w:r>
    </w:p>
    <w:p>
      <w:pPr>
        <w:pStyle w:val="51"/>
        <w:spacing w:line="360" w:lineRule="auto"/>
        <w:ind w:firstLine="200"/>
        <w:rPr>
          <w:rFonts w:ascii="宋体" w:hAnsi="宋体"/>
        </w:rPr>
      </w:pPr>
      <w:r>
        <w:rPr>
          <w:rFonts w:hint="eastAsia" w:ascii="宋体" w:hAnsi="宋体"/>
        </w:rPr>
        <w:t>1.11.1 关于发包人提供给承包人的图纸、发包人为实施工程自行编制或委托编制的技术规范以及反映发包人关于合同要求或其他类似性质的文件的著作权的归属： 。</w:t>
      </w:r>
    </w:p>
    <w:p>
      <w:pPr>
        <w:pStyle w:val="51"/>
        <w:spacing w:line="360" w:lineRule="auto"/>
        <w:ind w:firstLine="200"/>
        <w:rPr>
          <w:rFonts w:ascii="宋体" w:hAnsi="宋体"/>
        </w:rPr>
      </w:pPr>
      <w:r>
        <w:rPr>
          <w:rFonts w:hint="eastAsia" w:ascii="宋体" w:hAnsi="宋体"/>
        </w:rPr>
        <w:t>关于发包人提供的上述文件的使用限制的要求： 。</w:t>
      </w:r>
    </w:p>
    <w:p>
      <w:pPr>
        <w:pStyle w:val="51"/>
        <w:spacing w:line="360" w:lineRule="auto"/>
        <w:ind w:firstLine="200"/>
        <w:rPr>
          <w:rFonts w:ascii="宋体" w:hAnsi="宋体"/>
        </w:rPr>
      </w:pPr>
      <w:r>
        <w:rPr>
          <w:rFonts w:hint="eastAsia" w:ascii="宋体" w:hAnsi="宋体"/>
        </w:rPr>
        <w:t>1.11.2 关于承包人为实施工程所编制文件的著作权的归属： 。</w:t>
      </w:r>
    </w:p>
    <w:p>
      <w:pPr>
        <w:pStyle w:val="51"/>
        <w:spacing w:line="360" w:lineRule="auto"/>
        <w:ind w:firstLine="200"/>
        <w:rPr>
          <w:rFonts w:ascii="宋体" w:hAnsi="宋体"/>
        </w:rPr>
      </w:pPr>
      <w:r>
        <w:rPr>
          <w:rFonts w:hint="eastAsia" w:ascii="宋体" w:hAnsi="宋体"/>
        </w:rPr>
        <w:t>关于承包人提供的上述文件的使用限制的要求： 。</w:t>
      </w:r>
    </w:p>
    <w:p>
      <w:pPr>
        <w:pStyle w:val="51"/>
        <w:spacing w:line="360" w:lineRule="auto"/>
        <w:ind w:firstLine="200"/>
        <w:rPr>
          <w:rFonts w:ascii="宋体" w:hAnsi="宋体"/>
        </w:rPr>
      </w:pPr>
      <w:r>
        <w:rPr>
          <w:rFonts w:hint="eastAsia" w:ascii="宋体" w:hAnsi="宋体"/>
        </w:rPr>
        <w:t>1.11.4 承包人在施工过程中所采用的专利、专有技术、技术秘密的使用费的承担方式： 。</w:t>
      </w:r>
    </w:p>
    <w:p>
      <w:pPr>
        <w:pStyle w:val="51"/>
        <w:spacing w:line="360" w:lineRule="auto"/>
        <w:ind w:firstLine="200"/>
        <w:rPr>
          <w:rFonts w:ascii="宋体" w:hAnsi="宋体"/>
        </w:rPr>
      </w:pPr>
      <w:r>
        <w:rPr>
          <w:rFonts w:hint="eastAsia" w:ascii="宋体" w:hAnsi="宋体"/>
        </w:rPr>
        <w:t>1.13 工程量清单错误的修正</w:t>
      </w:r>
    </w:p>
    <w:p>
      <w:pPr>
        <w:pStyle w:val="51"/>
        <w:spacing w:line="360" w:lineRule="auto"/>
        <w:ind w:firstLine="200"/>
        <w:rPr>
          <w:rFonts w:ascii="宋体" w:hAnsi="宋体"/>
        </w:rPr>
      </w:pPr>
      <w:r>
        <w:rPr>
          <w:rFonts w:hint="eastAsia" w:ascii="宋体" w:hAnsi="宋体"/>
        </w:rPr>
        <w:t>出现工程量清单错误时，是否调整合同价格： 。</w:t>
      </w:r>
    </w:p>
    <w:p>
      <w:pPr>
        <w:pStyle w:val="51"/>
        <w:spacing w:line="360" w:lineRule="auto"/>
        <w:ind w:firstLine="200"/>
        <w:rPr>
          <w:rFonts w:ascii="宋体" w:hAnsi="宋体"/>
        </w:rPr>
      </w:pPr>
      <w:r>
        <w:rPr>
          <w:rFonts w:hint="eastAsia" w:ascii="宋体" w:hAnsi="宋体"/>
        </w:rPr>
        <w:t>允许调整合同价格的工程量偏差范围： 。</w:t>
      </w:r>
    </w:p>
    <w:p>
      <w:pPr>
        <w:pStyle w:val="51"/>
        <w:spacing w:line="360" w:lineRule="auto"/>
        <w:ind w:firstLine="200"/>
        <w:rPr>
          <w:rFonts w:ascii="宋体" w:hAnsi="宋体"/>
        </w:rPr>
      </w:pPr>
      <w:r>
        <w:rPr>
          <w:rFonts w:hint="eastAsia" w:ascii="宋体" w:hAnsi="宋体"/>
        </w:rPr>
        <w:t>2. 发包人</w:t>
      </w:r>
    </w:p>
    <w:p>
      <w:pPr>
        <w:pStyle w:val="51"/>
        <w:spacing w:line="360" w:lineRule="auto"/>
        <w:ind w:firstLine="200"/>
        <w:rPr>
          <w:rFonts w:ascii="宋体" w:hAnsi="宋体"/>
        </w:rPr>
      </w:pPr>
      <w:r>
        <w:rPr>
          <w:rFonts w:hint="eastAsia" w:ascii="宋体" w:hAnsi="宋体"/>
        </w:rPr>
        <w:t>2.2 发包人代表</w:t>
      </w:r>
    </w:p>
    <w:p>
      <w:pPr>
        <w:pStyle w:val="51"/>
        <w:spacing w:line="360" w:lineRule="auto"/>
        <w:ind w:firstLine="200"/>
        <w:rPr>
          <w:rFonts w:ascii="宋体" w:hAnsi="宋体"/>
        </w:rPr>
      </w:pPr>
      <w:r>
        <w:rPr>
          <w:rFonts w:hint="eastAsia" w:ascii="宋体" w:hAnsi="宋体"/>
        </w:rPr>
        <w:t>发包人代表： ；</w:t>
      </w:r>
    </w:p>
    <w:p>
      <w:pPr>
        <w:pStyle w:val="51"/>
        <w:spacing w:line="360" w:lineRule="auto"/>
        <w:ind w:firstLine="200"/>
        <w:rPr>
          <w:rFonts w:ascii="宋体" w:hAnsi="宋体"/>
        </w:rPr>
      </w:pPr>
      <w:r>
        <w:rPr>
          <w:rFonts w:hint="eastAsia" w:ascii="宋体" w:hAnsi="宋体"/>
        </w:rPr>
        <w:t>姓 名： ；</w:t>
      </w:r>
    </w:p>
    <w:p>
      <w:pPr>
        <w:pStyle w:val="51"/>
        <w:spacing w:line="360" w:lineRule="auto"/>
        <w:ind w:firstLine="200"/>
        <w:rPr>
          <w:rFonts w:ascii="宋体" w:hAnsi="宋体"/>
        </w:rPr>
      </w:pPr>
      <w:r>
        <w:rPr>
          <w:rFonts w:hint="eastAsia" w:ascii="宋体" w:hAnsi="宋体"/>
        </w:rPr>
        <w:t>身份证号： ；</w:t>
      </w:r>
    </w:p>
    <w:p>
      <w:pPr>
        <w:pStyle w:val="51"/>
        <w:spacing w:line="360" w:lineRule="auto"/>
        <w:ind w:firstLine="200"/>
        <w:rPr>
          <w:rFonts w:ascii="宋体" w:hAnsi="宋体"/>
        </w:rPr>
      </w:pPr>
      <w:r>
        <w:rPr>
          <w:rFonts w:hint="eastAsia" w:ascii="宋体" w:hAnsi="宋体"/>
        </w:rPr>
        <w:t>职 务： ；</w:t>
      </w:r>
    </w:p>
    <w:p>
      <w:pPr>
        <w:pStyle w:val="51"/>
        <w:spacing w:line="360" w:lineRule="auto"/>
        <w:ind w:firstLine="200"/>
        <w:rPr>
          <w:rFonts w:ascii="宋体" w:hAnsi="宋体"/>
        </w:rPr>
      </w:pPr>
      <w:r>
        <w:rPr>
          <w:rFonts w:hint="eastAsia" w:ascii="宋体" w:hAnsi="宋体"/>
        </w:rPr>
        <w:t>联系电话： ；</w:t>
      </w:r>
    </w:p>
    <w:p>
      <w:pPr>
        <w:pStyle w:val="51"/>
        <w:spacing w:line="360" w:lineRule="auto"/>
        <w:ind w:firstLine="200"/>
        <w:rPr>
          <w:rFonts w:ascii="宋体" w:hAnsi="宋体"/>
        </w:rPr>
      </w:pPr>
      <w:r>
        <w:rPr>
          <w:rFonts w:hint="eastAsia" w:ascii="宋体" w:hAnsi="宋体"/>
        </w:rPr>
        <w:t>电子信箱： ；</w:t>
      </w:r>
    </w:p>
    <w:p>
      <w:pPr>
        <w:pStyle w:val="51"/>
        <w:spacing w:line="360" w:lineRule="auto"/>
        <w:ind w:firstLine="200"/>
        <w:rPr>
          <w:rFonts w:ascii="宋体" w:hAnsi="宋体"/>
        </w:rPr>
      </w:pPr>
      <w:r>
        <w:rPr>
          <w:rFonts w:hint="eastAsia" w:ascii="宋体" w:hAnsi="宋体"/>
        </w:rPr>
        <w:t>通信地址： 。</w:t>
      </w:r>
    </w:p>
    <w:p>
      <w:pPr>
        <w:pStyle w:val="51"/>
        <w:spacing w:line="360" w:lineRule="auto"/>
        <w:ind w:firstLine="200"/>
        <w:rPr>
          <w:rFonts w:ascii="宋体" w:hAnsi="宋体"/>
        </w:rPr>
      </w:pPr>
      <w:r>
        <w:rPr>
          <w:rFonts w:hint="eastAsia" w:ascii="宋体" w:hAnsi="宋体"/>
        </w:rPr>
        <w:t>发包人对发包人代表的授权范围如下： 。</w:t>
      </w:r>
    </w:p>
    <w:p>
      <w:pPr>
        <w:pStyle w:val="51"/>
        <w:spacing w:line="360" w:lineRule="auto"/>
        <w:ind w:firstLine="200"/>
        <w:rPr>
          <w:rFonts w:ascii="宋体" w:hAnsi="宋体"/>
        </w:rPr>
      </w:pPr>
      <w:r>
        <w:rPr>
          <w:rFonts w:hint="eastAsia" w:ascii="宋体" w:hAnsi="宋体"/>
        </w:rPr>
        <w:t>2.4 施工现场、施工条件和基础资料的提供</w:t>
      </w:r>
    </w:p>
    <w:p>
      <w:pPr>
        <w:pStyle w:val="51"/>
        <w:spacing w:line="360" w:lineRule="auto"/>
        <w:ind w:firstLine="200"/>
        <w:rPr>
          <w:rFonts w:ascii="宋体" w:hAnsi="宋体"/>
        </w:rPr>
      </w:pPr>
      <w:r>
        <w:rPr>
          <w:rFonts w:hint="eastAsia" w:ascii="宋体" w:hAnsi="宋体"/>
        </w:rPr>
        <w:t>2.4.1 提供施工现场</w:t>
      </w:r>
    </w:p>
    <w:p>
      <w:pPr>
        <w:pStyle w:val="51"/>
        <w:spacing w:line="360" w:lineRule="auto"/>
        <w:ind w:firstLine="200"/>
        <w:rPr>
          <w:rFonts w:ascii="宋体" w:hAnsi="宋体"/>
        </w:rPr>
      </w:pPr>
      <w:r>
        <w:rPr>
          <w:rFonts w:hint="eastAsia" w:ascii="宋体" w:hAnsi="宋体"/>
        </w:rPr>
        <w:t>关于发包人移交施工现场的期限要求： 。</w:t>
      </w:r>
    </w:p>
    <w:p>
      <w:pPr>
        <w:pStyle w:val="51"/>
        <w:spacing w:line="360" w:lineRule="auto"/>
        <w:ind w:firstLine="200"/>
        <w:rPr>
          <w:rFonts w:ascii="宋体" w:hAnsi="宋体"/>
        </w:rPr>
      </w:pPr>
      <w:r>
        <w:rPr>
          <w:rFonts w:hint="eastAsia" w:ascii="宋体" w:hAnsi="宋体"/>
        </w:rPr>
        <w:t>2.4.2 提供施工条件</w:t>
      </w:r>
    </w:p>
    <w:p>
      <w:pPr>
        <w:pStyle w:val="51"/>
        <w:spacing w:line="360" w:lineRule="auto"/>
        <w:ind w:firstLine="200"/>
        <w:rPr>
          <w:rFonts w:ascii="宋体" w:hAnsi="宋体"/>
        </w:rPr>
      </w:pPr>
      <w:r>
        <w:rPr>
          <w:rFonts w:hint="eastAsia" w:ascii="宋体" w:hAnsi="宋体"/>
        </w:rPr>
        <w:t>关于发包人应负责提供施工所需要的条件，包括： 。</w:t>
      </w:r>
    </w:p>
    <w:p>
      <w:pPr>
        <w:pStyle w:val="51"/>
        <w:spacing w:line="360" w:lineRule="auto"/>
        <w:ind w:firstLine="200"/>
        <w:rPr>
          <w:rFonts w:ascii="宋体" w:hAnsi="宋体"/>
        </w:rPr>
      </w:pPr>
      <w:r>
        <w:rPr>
          <w:rFonts w:hint="eastAsia" w:ascii="宋体" w:hAnsi="宋体"/>
        </w:rPr>
        <w:t>2.5 资金来源证明及支付担保</w:t>
      </w:r>
    </w:p>
    <w:p>
      <w:pPr>
        <w:pStyle w:val="51"/>
        <w:spacing w:line="360" w:lineRule="auto"/>
        <w:ind w:firstLine="200"/>
        <w:rPr>
          <w:rFonts w:ascii="宋体" w:hAnsi="宋体"/>
        </w:rPr>
      </w:pPr>
      <w:r>
        <w:rPr>
          <w:rFonts w:hint="eastAsia" w:ascii="宋体" w:hAnsi="宋体"/>
        </w:rPr>
        <w:t>发包人提供资金来源证明的期限要求： 。</w:t>
      </w:r>
    </w:p>
    <w:p>
      <w:pPr>
        <w:pStyle w:val="51"/>
        <w:spacing w:line="360" w:lineRule="auto"/>
        <w:ind w:firstLine="200"/>
        <w:rPr>
          <w:rFonts w:ascii="宋体" w:hAnsi="宋体"/>
        </w:rPr>
      </w:pPr>
      <w:r>
        <w:rPr>
          <w:rFonts w:hint="eastAsia" w:ascii="宋体" w:hAnsi="宋体"/>
        </w:rPr>
        <w:t>发包人是否提供支付担保： 。</w:t>
      </w:r>
    </w:p>
    <w:p>
      <w:pPr>
        <w:pStyle w:val="51"/>
        <w:spacing w:line="360" w:lineRule="auto"/>
        <w:ind w:firstLine="200"/>
        <w:rPr>
          <w:rFonts w:ascii="宋体" w:hAnsi="宋体"/>
        </w:rPr>
      </w:pPr>
      <w:r>
        <w:rPr>
          <w:rFonts w:hint="eastAsia" w:ascii="宋体" w:hAnsi="宋体"/>
        </w:rPr>
        <w:t>发包人提供支付担保的形式： 。</w:t>
      </w:r>
    </w:p>
    <w:p>
      <w:pPr>
        <w:pStyle w:val="51"/>
        <w:spacing w:line="360" w:lineRule="auto"/>
        <w:ind w:firstLine="200"/>
        <w:rPr>
          <w:rFonts w:ascii="宋体" w:hAnsi="宋体"/>
        </w:rPr>
      </w:pPr>
      <w:r>
        <w:rPr>
          <w:rFonts w:hint="eastAsia" w:ascii="宋体" w:hAnsi="宋体"/>
        </w:rPr>
        <w:t>3. 承包人</w:t>
      </w:r>
    </w:p>
    <w:p>
      <w:pPr>
        <w:pStyle w:val="51"/>
        <w:spacing w:line="360" w:lineRule="auto"/>
        <w:ind w:firstLine="200"/>
        <w:rPr>
          <w:rFonts w:ascii="宋体" w:hAnsi="宋体"/>
        </w:rPr>
      </w:pPr>
      <w:r>
        <w:rPr>
          <w:rFonts w:hint="eastAsia" w:ascii="宋体" w:hAnsi="宋体"/>
        </w:rPr>
        <w:t>3.1 承包人的一般义务</w:t>
      </w:r>
    </w:p>
    <w:p>
      <w:pPr>
        <w:pStyle w:val="51"/>
        <w:spacing w:line="360" w:lineRule="auto"/>
        <w:ind w:firstLine="200"/>
        <w:rPr>
          <w:rFonts w:ascii="宋体" w:hAnsi="宋体"/>
        </w:rPr>
      </w:pPr>
      <w:r>
        <w:rPr>
          <w:rFonts w:hint="eastAsia" w:ascii="宋体" w:hAnsi="宋体"/>
        </w:rPr>
        <w:t>（9）承包人提交的竣工资料的内容： 。</w:t>
      </w:r>
    </w:p>
    <w:p>
      <w:pPr>
        <w:pStyle w:val="51"/>
        <w:spacing w:line="360" w:lineRule="auto"/>
        <w:ind w:firstLine="200"/>
        <w:rPr>
          <w:rFonts w:ascii="宋体" w:hAnsi="宋体"/>
        </w:rPr>
      </w:pPr>
      <w:r>
        <w:rPr>
          <w:rFonts w:hint="eastAsia" w:ascii="宋体" w:hAnsi="宋体"/>
        </w:rPr>
        <w:t>承包人需要提交的竣工资料套数： 。</w:t>
      </w:r>
    </w:p>
    <w:p>
      <w:pPr>
        <w:pStyle w:val="51"/>
        <w:spacing w:line="360" w:lineRule="auto"/>
        <w:ind w:firstLine="200"/>
        <w:rPr>
          <w:rFonts w:ascii="宋体" w:hAnsi="宋体"/>
        </w:rPr>
      </w:pPr>
      <w:r>
        <w:rPr>
          <w:rFonts w:hint="eastAsia" w:ascii="宋体" w:hAnsi="宋体"/>
        </w:rPr>
        <w:t>承包人提交的竣工资料的费用承担： 。</w:t>
      </w:r>
    </w:p>
    <w:p>
      <w:pPr>
        <w:pStyle w:val="51"/>
        <w:spacing w:line="360" w:lineRule="auto"/>
        <w:ind w:firstLine="200"/>
        <w:rPr>
          <w:rFonts w:ascii="宋体" w:hAnsi="宋体"/>
        </w:rPr>
      </w:pPr>
      <w:r>
        <w:rPr>
          <w:rFonts w:hint="eastAsia" w:ascii="宋体" w:hAnsi="宋体"/>
        </w:rPr>
        <w:t>承包人提交的竣工资料移交时间： 。</w:t>
      </w:r>
    </w:p>
    <w:p>
      <w:pPr>
        <w:pStyle w:val="51"/>
        <w:spacing w:line="360" w:lineRule="auto"/>
        <w:ind w:firstLine="200"/>
        <w:rPr>
          <w:rFonts w:ascii="宋体" w:hAnsi="宋体"/>
        </w:rPr>
      </w:pPr>
      <w:r>
        <w:rPr>
          <w:rFonts w:hint="eastAsia" w:ascii="宋体" w:hAnsi="宋体"/>
        </w:rPr>
        <w:t>承包人提交的竣工资料形式要求： 。</w:t>
      </w:r>
    </w:p>
    <w:p>
      <w:pPr>
        <w:pStyle w:val="51"/>
        <w:spacing w:line="360" w:lineRule="auto"/>
        <w:ind w:firstLine="200"/>
        <w:rPr>
          <w:rFonts w:ascii="宋体" w:hAnsi="宋体"/>
        </w:rPr>
      </w:pPr>
      <w:r>
        <w:rPr>
          <w:rFonts w:hint="eastAsia" w:ascii="宋体" w:hAnsi="宋体"/>
        </w:rPr>
        <w:t>（10）承包人应履行的其他义务： 。</w:t>
      </w:r>
    </w:p>
    <w:p>
      <w:pPr>
        <w:pStyle w:val="51"/>
        <w:spacing w:line="360" w:lineRule="auto"/>
        <w:ind w:firstLine="200"/>
        <w:rPr>
          <w:rFonts w:ascii="宋体" w:hAnsi="宋体"/>
        </w:rPr>
      </w:pPr>
      <w:r>
        <w:rPr>
          <w:rFonts w:hint="eastAsia" w:ascii="宋体" w:hAnsi="宋体"/>
        </w:rPr>
        <w:t>3.2 项目经理</w:t>
      </w:r>
    </w:p>
    <w:p>
      <w:pPr>
        <w:pStyle w:val="51"/>
        <w:spacing w:line="360" w:lineRule="auto"/>
        <w:ind w:firstLine="200"/>
        <w:rPr>
          <w:rFonts w:ascii="宋体" w:hAnsi="宋体"/>
        </w:rPr>
      </w:pPr>
      <w:r>
        <w:rPr>
          <w:rFonts w:hint="eastAsia" w:ascii="宋体" w:hAnsi="宋体"/>
        </w:rPr>
        <w:t>3.2.1 项目经理：；</w:t>
      </w:r>
    </w:p>
    <w:p>
      <w:pPr>
        <w:pStyle w:val="51"/>
        <w:spacing w:line="360" w:lineRule="auto"/>
        <w:ind w:firstLine="200"/>
        <w:rPr>
          <w:rFonts w:ascii="宋体" w:hAnsi="宋体"/>
        </w:rPr>
      </w:pPr>
      <w:r>
        <w:rPr>
          <w:rFonts w:hint="eastAsia" w:ascii="宋体" w:hAnsi="宋体"/>
        </w:rPr>
        <w:t>姓 名： ；</w:t>
      </w:r>
    </w:p>
    <w:p>
      <w:pPr>
        <w:pStyle w:val="51"/>
        <w:spacing w:line="360" w:lineRule="auto"/>
        <w:ind w:firstLine="200"/>
        <w:rPr>
          <w:rFonts w:ascii="宋体" w:hAnsi="宋体"/>
        </w:rPr>
      </w:pPr>
      <w:r>
        <w:rPr>
          <w:rFonts w:hint="eastAsia" w:ascii="宋体" w:hAnsi="宋体"/>
        </w:rPr>
        <w:t>身份证号： ；</w:t>
      </w:r>
    </w:p>
    <w:p>
      <w:pPr>
        <w:pStyle w:val="51"/>
        <w:spacing w:line="360" w:lineRule="auto"/>
        <w:ind w:firstLine="200"/>
        <w:rPr>
          <w:rFonts w:ascii="宋体" w:hAnsi="宋体"/>
        </w:rPr>
      </w:pPr>
      <w:r>
        <w:rPr>
          <w:rFonts w:hint="eastAsia" w:ascii="宋体" w:hAnsi="宋体"/>
        </w:rPr>
        <w:t>建造师执业资格等级： ；</w:t>
      </w:r>
    </w:p>
    <w:p>
      <w:pPr>
        <w:pStyle w:val="51"/>
        <w:spacing w:line="360" w:lineRule="auto"/>
        <w:ind w:firstLine="200"/>
        <w:rPr>
          <w:rFonts w:ascii="宋体" w:hAnsi="宋体"/>
        </w:rPr>
      </w:pPr>
      <w:r>
        <w:rPr>
          <w:rFonts w:hint="eastAsia" w:ascii="宋体" w:hAnsi="宋体"/>
        </w:rPr>
        <w:t>建造师注册证书号： ；</w:t>
      </w:r>
    </w:p>
    <w:p>
      <w:pPr>
        <w:pStyle w:val="51"/>
        <w:spacing w:line="360" w:lineRule="auto"/>
        <w:ind w:firstLine="200"/>
        <w:rPr>
          <w:rFonts w:ascii="宋体" w:hAnsi="宋体"/>
        </w:rPr>
      </w:pPr>
      <w:r>
        <w:rPr>
          <w:rFonts w:hint="eastAsia" w:ascii="宋体" w:hAnsi="宋体"/>
        </w:rPr>
        <w:t>建造师执业印章号： ；</w:t>
      </w:r>
    </w:p>
    <w:p>
      <w:pPr>
        <w:pStyle w:val="51"/>
        <w:spacing w:line="360" w:lineRule="auto"/>
        <w:ind w:firstLine="200"/>
        <w:rPr>
          <w:rFonts w:ascii="宋体" w:hAnsi="宋体"/>
        </w:rPr>
      </w:pPr>
      <w:r>
        <w:rPr>
          <w:rFonts w:hint="eastAsia" w:ascii="宋体" w:hAnsi="宋体"/>
        </w:rPr>
        <w:t>安全生产考核合格证书号： ；</w:t>
      </w:r>
    </w:p>
    <w:p>
      <w:pPr>
        <w:pStyle w:val="51"/>
        <w:spacing w:line="360" w:lineRule="auto"/>
        <w:ind w:firstLine="200"/>
        <w:rPr>
          <w:rFonts w:ascii="宋体" w:hAnsi="宋体"/>
        </w:rPr>
      </w:pPr>
      <w:r>
        <w:rPr>
          <w:rFonts w:hint="eastAsia" w:ascii="宋体" w:hAnsi="宋体"/>
        </w:rPr>
        <w:t>联系电话： ；</w:t>
      </w:r>
    </w:p>
    <w:p>
      <w:pPr>
        <w:pStyle w:val="51"/>
        <w:spacing w:line="360" w:lineRule="auto"/>
        <w:ind w:firstLine="200"/>
        <w:rPr>
          <w:rFonts w:ascii="宋体" w:hAnsi="宋体"/>
        </w:rPr>
      </w:pPr>
      <w:r>
        <w:rPr>
          <w:rFonts w:hint="eastAsia" w:ascii="宋体" w:hAnsi="宋体"/>
        </w:rPr>
        <w:t>电子信箱： ；</w:t>
      </w:r>
    </w:p>
    <w:p>
      <w:pPr>
        <w:pStyle w:val="51"/>
        <w:spacing w:line="360" w:lineRule="auto"/>
        <w:ind w:firstLine="200"/>
        <w:rPr>
          <w:rFonts w:ascii="宋体" w:hAnsi="宋体"/>
        </w:rPr>
      </w:pPr>
      <w:r>
        <w:rPr>
          <w:rFonts w:hint="eastAsia" w:ascii="宋体" w:hAnsi="宋体"/>
        </w:rPr>
        <w:t>通信地址： ；</w:t>
      </w:r>
    </w:p>
    <w:p>
      <w:pPr>
        <w:pStyle w:val="51"/>
        <w:spacing w:line="360" w:lineRule="auto"/>
        <w:ind w:firstLine="200"/>
        <w:rPr>
          <w:rFonts w:ascii="宋体" w:hAnsi="宋体"/>
        </w:rPr>
      </w:pPr>
      <w:r>
        <w:rPr>
          <w:rFonts w:hint="eastAsia" w:ascii="宋体" w:hAnsi="宋体"/>
        </w:rPr>
        <w:t>承包人对项目经理的授权范围如下： 。</w:t>
      </w:r>
    </w:p>
    <w:p>
      <w:pPr>
        <w:pStyle w:val="51"/>
        <w:spacing w:line="360" w:lineRule="auto"/>
        <w:ind w:firstLine="200"/>
        <w:rPr>
          <w:rFonts w:ascii="宋体" w:hAnsi="宋体"/>
        </w:rPr>
      </w:pPr>
      <w:r>
        <w:rPr>
          <w:rFonts w:hint="eastAsia" w:ascii="宋体" w:hAnsi="宋体"/>
        </w:rPr>
        <w:t>关于项目经理每月在施工现场的时间要求： 。</w:t>
      </w:r>
    </w:p>
    <w:p>
      <w:pPr>
        <w:pStyle w:val="51"/>
        <w:spacing w:line="360" w:lineRule="auto"/>
        <w:ind w:firstLine="200"/>
        <w:rPr>
          <w:rFonts w:ascii="宋体" w:hAnsi="宋体"/>
        </w:rPr>
      </w:pPr>
      <w:r>
        <w:rPr>
          <w:rFonts w:hint="eastAsia" w:ascii="宋体" w:hAnsi="宋体"/>
        </w:rPr>
        <w:t>承包人未提交劳动合同，以及没有为项目经理缴纳社会保险证明的违约责任： 。</w:t>
      </w:r>
    </w:p>
    <w:p>
      <w:pPr>
        <w:pStyle w:val="51"/>
        <w:spacing w:line="360" w:lineRule="auto"/>
        <w:ind w:firstLine="200"/>
        <w:rPr>
          <w:rFonts w:ascii="宋体" w:hAnsi="宋体"/>
        </w:rPr>
      </w:pPr>
      <w:r>
        <w:rPr>
          <w:rFonts w:hint="eastAsia" w:ascii="宋体" w:hAnsi="宋体"/>
        </w:rPr>
        <w:t>项目经理未经批准，擅自离开施工现场的违约责任： 。</w:t>
      </w:r>
    </w:p>
    <w:p>
      <w:pPr>
        <w:pStyle w:val="51"/>
        <w:spacing w:line="360" w:lineRule="auto"/>
        <w:ind w:firstLine="200"/>
        <w:rPr>
          <w:rFonts w:ascii="宋体" w:hAnsi="宋体"/>
        </w:rPr>
      </w:pPr>
      <w:r>
        <w:rPr>
          <w:rFonts w:hint="eastAsia" w:ascii="宋体" w:hAnsi="宋体"/>
        </w:rPr>
        <w:t>3.2.3 承包人擅自更换项目经理的违约责任： 。</w:t>
      </w:r>
    </w:p>
    <w:p>
      <w:pPr>
        <w:pStyle w:val="51"/>
        <w:spacing w:line="360" w:lineRule="auto"/>
        <w:ind w:firstLine="200"/>
        <w:rPr>
          <w:rFonts w:ascii="宋体" w:hAnsi="宋体"/>
        </w:rPr>
      </w:pPr>
      <w:r>
        <w:rPr>
          <w:rFonts w:hint="eastAsia" w:ascii="宋体" w:hAnsi="宋体"/>
        </w:rPr>
        <w:t>3.2.4 承包人无正当理由拒绝更换项目经理的违约责任： 。</w:t>
      </w:r>
    </w:p>
    <w:p>
      <w:pPr>
        <w:pStyle w:val="51"/>
        <w:spacing w:line="360" w:lineRule="auto"/>
        <w:ind w:firstLine="200"/>
        <w:rPr>
          <w:rFonts w:ascii="宋体" w:hAnsi="宋体"/>
        </w:rPr>
      </w:pPr>
      <w:r>
        <w:rPr>
          <w:rFonts w:hint="eastAsia" w:ascii="宋体" w:hAnsi="宋体"/>
        </w:rPr>
        <w:t>3.3 承包人人员</w:t>
      </w:r>
    </w:p>
    <w:p>
      <w:pPr>
        <w:pStyle w:val="51"/>
        <w:spacing w:line="360" w:lineRule="auto"/>
        <w:ind w:firstLine="200"/>
        <w:rPr>
          <w:rFonts w:ascii="宋体" w:hAnsi="宋体"/>
        </w:rPr>
      </w:pPr>
      <w:r>
        <w:rPr>
          <w:rFonts w:hint="eastAsia" w:ascii="宋体" w:hAnsi="宋体"/>
        </w:rPr>
        <w:t>3.3.1 承包人提交项目管理机构及施工现场管理人员安排报告的期限：。</w:t>
      </w:r>
    </w:p>
    <w:p>
      <w:pPr>
        <w:pStyle w:val="51"/>
        <w:spacing w:line="360" w:lineRule="auto"/>
        <w:ind w:firstLine="200"/>
        <w:rPr>
          <w:rFonts w:ascii="宋体" w:hAnsi="宋体"/>
        </w:rPr>
      </w:pPr>
      <w:r>
        <w:rPr>
          <w:rFonts w:hint="eastAsia" w:ascii="宋体" w:hAnsi="宋体"/>
        </w:rPr>
        <w:t>3.3.3 承包人无正当理由拒绝撤换主要施工管理人员的违约责任：。</w:t>
      </w:r>
    </w:p>
    <w:p>
      <w:pPr>
        <w:pStyle w:val="51"/>
        <w:spacing w:line="360" w:lineRule="auto"/>
        <w:ind w:firstLine="200"/>
        <w:rPr>
          <w:rFonts w:ascii="宋体" w:hAnsi="宋体"/>
        </w:rPr>
      </w:pPr>
      <w:r>
        <w:rPr>
          <w:rFonts w:hint="eastAsia" w:ascii="宋体" w:hAnsi="宋体"/>
        </w:rPr>
        <w:t>3.3.4 承包人主要施工管理人员离开施工现场的批准要求： 。</w:t>
      </w:r>
    </w:p>
    <w:p>
      <w:pPr>
        <w:pStyle w:val="51"/>
        <w:spacing w:line="360" w:lineRule="auto"/>
        <w:ind w:firstLine="200"/>
        <w:rPr>
          <w:rFonts w:ascii="宋体" w:hAnsi="宋体"/>
        </w:rPr>
      </w:pPr>
      <w:r>
        <w:rPr>
          <w:rFonts w:hint="eastAsia" w:ascii="宋体" w:hAnsi="宋体"/>
        </w:rPr>
        <w:t>3.3.5 承包人擅自更换主要施工管理人员的违约责任： 。</w:t>
      </w:r>
    </w:p>
    <w:p>
      <w:pPr>
        <w:pStyle w:val="51"/>
        <w:spacing w:line="360" w:lineRule="auto"/>
        <w:ind w:firstLine="200"/>
        <w:rPr>
          <w:rFonts w:ascii="宋体" w:hAnsi="宋体"/>
        </w:rPr>
      </w:pPr>
      <w:r>
        <w:rPr>
          <w:rFonts w:hint="eastAsia" w:ascii="宋体" w:hAnsi="宋体"/>
        </w:rPr>
        <w:t>承包人主要施工管理人员擅自离开施工现场的违约责任： 。</w:t>
      </w:r>
    </w:p>
    <w:p>
      <w:pPr>
        <w:pStyle w:val="51"/>
        <w:spacing w:line="360" w:lineRule="auto"/>
        <w:ind w:firstLine="200"/>
        <w:rPr>
          <w:rFonts w:ascii="宋体" w:hAnsi="宋体"/>
        </w:rPr>
      </w:pPr>
      <w:r>
        <w:rPr>
          <w:rFonts w:hint="eastAsia" w:ascii="宋体" w:hAnsi="宋体"/>
        </w:rPr>
        <w:t>3.5 分包</w:t>
      </w:r>
    </w:p>
    <w:p>
      <w:pPr>
        <w:pStyle w:val="51"/>
        <w:spacing w:line="360" w:lineRule="auto"/>
        <w:ind w:firstLine="200"/>
        <w:rPr>
          <w:rFonts w:ascii="宋体" w:hAnsi="宋体"/>
        </w:rPr>
      </w:pPr>
      <w:r>
        <w:rPr>
          <w:rFonts w:hint="eastAsia" w:ascii="宋体" w:hAnsi="宋体"/>
        </w:rPr>
        <w:t>3.5.1 分包的一般约定</w:t>
      </w:r>
    </w:p>
    <w:p>
      <w:pPr>
        <w:pStyle w:val="51"/>
        <w:spacing w:line="360" w:lineRule="auto"/>
        <w:ind w:firstLine="200"/>
        <w:rPr>
          <w:rFonts w:ascii="宋体" w:hAnsi="宋体"/>
        </w:rPr>
      </w:pPr>
      <w:r>
        <w:rPr>
          <w:rFonts w:hint="eastAsia" w:ascii="宋体" w:hAnsi="宋体"/>
        </w:rPr>
        <w:t>禁止分包的工程包括： 。</w:t>
      </w:r>
    </w:p>
    <w:p>
      <w:pPr>
        <w:pStyle w:val="51"/>
        <w:spacing w:line="360" w:lineRule="auto"/>
        <w:ind w:firstLine="200"/>
        <w:rPr>
          <w:rFonts w:ascii="宋体" w:hAnsi="宋体"/>
        </w:rPr>
      </w:pPr>
      <w:r>
        <w:rPr>
          <w:rFonts w:hint="eastAsia" w:ascii="宋体" w:hAnsi="宋体"/>
        </w:rPr>
        <w:t>主体结构、关键性工作的范围： 。</w:t>
      </w:r>
    </w:p>
    <w:p>
      <w:pPr>
        <w:pStyle w:val="51"/>
        <w:spacing w:line="360" w:lineRule="auto"/>
        <w:ind w:firstLine="200"/>
        <w:rPr>
          <w:rFonts w:ascii="宋体" w:hAnsi="宋体"/>
        </w:rPr>
      </w:pPr>
      <w:r>
        <w:rPr>
          <w:rFonts w:hint="eastAsia" w:ascii="宋体" w:hAnsi="宋体"/>
        </w:rPr>
        <w:t>3.5.2 分包的确定</w:t>
      </w:r>
    </w:p>
    <w:p>
      <w:pPr>
        <w:pStyle w:val="51"/>
        <w:spacing w:line="360" w:lineRule="auto"/>
        <w:ind w:firstLine="200"/>
        <w:rPr>
          <w:rFonts w:ascii="宋体" w:hAnsi="宋体"/>
        </w:rPr>
      </w:pPr>
      <w:r>
        <w:rPr>
          <w:rFonts w:hint="eastAsia" w:ascii="宋体" w:hAnsi="宋体"/>
        </w:rPr>
        <w:t>允许分包的专业工程包括： 。</w:t>
      </w:r>
    </w:p>
    <w:p>
      <w:pPr>
        <w:pStyle w:val="51"/>
        <w:spacing w:line="360" w:lineRule="auto"/>
        <w:ind w:firstLine="200"/>
        <w:rPr>
          <w:rFonts w:ascii="宋体" w:hAnsi="宋体"/>
        </w:rPr>
      </w:pPr>
      <w:r>
        <w:rPr>
          <w:rFonts w:hint="eastAsia" w:ascii="宋体" w:hAnsi="宋体"/>
        </w:rPr>
        <w:t>其他关于分包的约定： 。</w:t>
      </w:r>
    </w:p>
    <w:p>
      <w:pPr>
        <w:pStyle w:val="51"/>
        <w:spacing w:line="360" w:lineRule="auto"/>
        <w:ind w:firstLine="200"/>
        <w:rPr>
          <w:rFonts w:ascii="宋体" w:hAnsi="宋体"/>
        </w:rPr>
      </w:pPr>
      <w:r>
        <w:rPr>
          <w:rFonts w:hint="eastAsia" w:ascii="宋体" w:hAnsi="宋体"/>
        </w:rPr>
        <w:t>3.5.4 分包合同价款</w:t>
      </w:r>
    </w:p>
    <w:p>
      <w:pPr>
        <w:pStyle w:val="51"/>
        <w:spacing w:line="360" w:lineRule="auto"/>
        <w:ind w:firstLine="200"/>
        <w:rPr>
          <w:rFonts w:ascii="宋体" w:hAnsi="宋体"/>
        </w:rPr>
      </w:pPr>
      <w:r>
        <w:rPr>
          <w:rFonts w:hint="eastAsia" w:ascii="宋体" w:hAnsi="宋体"/>
        </w:rPr>
        <w:t>关于分包合同价款支付的约定： 。</w:t>
      </w:r>
    </w:p>
    <w:p>
      <w:pPr>
        <w:pStyle w:val="51"/>
        <w:spacing w:line="360" w:lineRule="auto"/>
        <w:ind w:firstLine="200"/>
        <w:rPr>
          <w:rFonts w:ascii="宋体" w:hAnsi="宋体"/>
        </w:rPr>
      </w:pPr>
      <w:r>
        <w:rPr>
          <w:rFonts w:hint="eastAsia" w:ascii="宋体" w:hAnsi="宋体"/>
        </w:rPr>
        <w:t>3.6 工程照管与成品、半成品保护</w:t>
      </w:r>
    </w:p>
    <w:p>
      <w:pPr>
        <w:pStyle w:val="51"/>
        <w:spacing w:line="360" w:lineRule="auto"/>
        <w:ind w:firstLine="200"/>
        <w:rPr>
          <w:rFonts w:ascii="宋体" w:hAnsi="宋体"/>
        </w:rPr>
      </w:pPr>
      <w:r>
        <w:rPr>
          <w:rFonts w:hint="eastAsia" w:ascii="宋体" w:hAnsi="宋体"/>
        </w:rPr>
        <w:t>承包人负责照管工程及工程相关的材料、工程设备的起始时间： 。</w:t>
      </w:r>
    </w:p>
    <w:p>
      <w:pPr>
        <w:pStyle w:val="51"/>
        <w:spacing w:line="360" w:lineRule="auto"/>
        <w:ind w:firstLine="200"/>
        <w:rPr>
          <w:rFonts w:ascii="宋体" w:hAnsi="宋体"/>
        </w:rPr>
      </w:pPr>
      <w:r>
        <w:rPr>
          <w:rFonts w:hint="eastAsia" w:ascii="宋体" w:hAnsi="宋体"/>
        </w:rPr>
        <w:t>3.7 履约担保</w:t>
      </w:r>
    </w:p>
    <w:p>
      <w:pPr>
        <w:pStyle w:val="51"/>
        <w:spacing w:line="360" w:lineRule="auto"/>
        <w:ind w:firstLine="200"/>
        <w:rPr>
          <w:rFonts w:ascii="宋体" w:hAnsi="宋体"/>
        </w:rPr>
      </w:pPr>
      <w:r>
        <w:rPr>
          <w:rFonts w:hint="eastAsia" w:ascii="宋体" w:hAnsi="宋体"/>
        </w:rPr>
        <w:t>承包人是否提供履约担保： 。</w:t>
      </w:r>
    </w:p>
    <w:p>
      <w:pPr>
        <w:pStyle w:val="51"/>
        <w:spacing w:line="360" w:lineRule="auto"/>
        <w:ind w:firstLine="200"/>
        <w:rPr>
          <w:rFonts w:ascii="宋体" w:hAnsi="宋体"/>
        </w:rPr>
      </w:pPr>
      <w:r>
        <w:rPr>
          <w:rFonts w:hint="eastAsia" w:ascii="宋体" w:hAnsi="宋体"/>
        </w:rPr>
        <w:t>承包人提供履约担保的形式、金额及期限的： 。</w:t>
      </w:r>
    </w:p>
    <w:p>
      <w:pPr>
        <w:pStyle w:val="51"/>
        <w:spacing w:line="360" w:lineRule="auto"/>
        <w:ind w:firstLine="200"/>
        <w:rPr>
          <w:rFonts w:ascii="宋体" w:hAnsi="宋体"/>
        </w:rPr>
      </w:pPr>
      <w:r>
        <w:rPr>
          <w:rFonts w:hint="eastAsia" w:ascii="宋体" w:hAnsi="宋体"/>
        </w:rPr>
        <w:t>4. 监理人</w:t>
      </w:r>
    </w:p>
    <w:p>
      <w:pPr>
        <w:pStyle w:val="51"/>
        <w:spacing w:line="360" w:lineRule="auto"/>
        <w:ind w:firstLine="200"/>
        <w:rPr>
          <w:rFonts w:ascii="宋体" w:hAnsi="宋体"/>
        </w:rPr>
      </w:pPr>
      <w:r>
        <w:rPr>
          <w:rFonts w:hint="eastAsia" w:ascii="宋体" w:hAnsi="宋体"/>
        </w:rPr>
        <w:t>4.1 监理人的一般规定</w:t>
      </w:r>
    </w:p>
    <w:p>
      <w:pPr>
        <w:pStyle w:val="51"/>
        <w:spacing w:line="360" w:lineRule="auto"/>
        <w:ind w:firstLine="200"/>
        <w:rPr>
          <w:rFonts w:ascii="宋体" w:hAnsi="宋体"/>
        </w:rPr>
      </w:pPr>
      <w:r>
        <w:rPr>
          <w:rFonts w:hint="eastAsia" w:ascii="宋体" w:hAnsi="宋体"/>
        </w:rPr>
        <w:t>关于监理人的监理内容： 。</w:t>
      </w:r>
    </w:p>
    <w:p>
      <w:pPr>
        <w:pStyle w:val="51"/>
        <w:spacing w:line="360" w:lineRule="auto"/>
        <w:ind w:firstLine="200"/>
        <w:rPr>
          <w:rFonts w:ascii="宋体" w:hAnsi="宋体"/>
        </w:rPr>
      </w:pPr>
      <w:r>
        <w:rPr>
          <w:rFonts w:hint="eastAsia" w:ascii="宋体" w:hAnsi="宋体"/>
        </w:rPr>
        <w:t>关于监理人的监理权限： 。</w:t>
      </w:r>
    </w:p>
    <w:p>
      <w:pPr>
        <w:pStyle w:val="51"/>
        <w:spacing w:line="360" w:lineRule="auto"/>
        <w:ind w:firstLine="200"/>
        <w:rPr>
          <w:rFonts w:ascii="宋体" w:hAnsi="宋体"/>
        </w:rPr>
      </w:pPr>
      <w:r>
        <w:rPr>
          <w:rFonts w:hint="eastAsia" w:ascii="宋体" w:hAnsi="宋体"/>
        </w:rPr>
        <w:t>关于监理人在施工现场的办公场所、生活场所的提供和费用承担的约定：。</w:t>
      </w:r>
    </w:p>
    <w:p>
      <w:pPr>
        <w:pStyle w:val="51"/>
        <w:spacing w:line="360" w:lineRule="auto"/>
        <w:ind w:firstLine="200"/>
        <w:rPr>
          <w:rFonts w:ascii="宋体" w:hAnsi="宋体"/>
        </w:rPr>
      </w:pPr>
      <w:r>
        <w:rPr>
          <w:rFonts w:hint="eastAsia" w:ascii="宋体" w:hAnsi="宋体"/>
        </w:rPr>
        <w:t>4.2 监理人员</w:t>
      </w:r>
    </w:p>
    <w:p>
      <w:pPr>
        <w:pStyle w:val="51"/>
        <w:spacing w:line="360" w:lineRule="auto"/>
        <w:ind w:firstLine="200"/>
        <w:rPr>
          <w:rFonts w:ascii="宋体" w:hAnsi="宋体"/>
        </w:rPr>
      </w:pPr>
      <w:r>
        <w:rPr>
          <w:rFonts w:hint="eastAsia" w:ascii="宋体" w:hAnsi="宋体"/>
        </w:rPr>
        <w:t>总监理工程师：</w:t>
      </w:r>
    </w:p>
    <w:p>
      <w:pPr>
        <w:pStyle w:val="51"/>
        <w:spacing w:line="360" w:lineRule="auto"/>
        <w:ind w:firstLine="200"/>
        <w:rPr>
          <w:rFonts w:ascii="宋体" w:hAnsi="宋体"/>
        </w:rPr>
      </w:pPr>
      <w:r>
        <w:rPr>
          <w:rFonts w:hint="eastAsia" w:ascii="宋体" w:hAnsi="宋体"/>
        </w:rPr>
        <w:t>姓 名： ；</w:t>
      </w:r>
    </w:p>
    <w:p>
      <w:pPr>
        <w:pStyle w:val="51"/>
        <w:spacing w:line="360" w:lineRule="auto"/>
        <w:ind w:firstLine="200"/>
        <w:rPr>
          <w:rFonts w:ascii="宋体" w:hAnsi="宋体"/>
        </w:rPr>
      </w:pPr>
      <w:r>
        <w:rPr>
          <w:rFonts w:hint="eastAsia" w:ascii="宋体" w:hAnsi="宋体"/>
        </w:rPr>
        <w:t>职 务： ；</w:t>
      </w:r>
    </w:p>
    <w:p>
      <w:pPr>
        <w:pStyle w:val="51"/>
        <w:spacing w:line="360" w:lineRule="auto"/>
        <w:ind w:firstLine="200"/>
        <w:rPr>
          <w:rFonts w:ascii="宋体" w:hAnsi="宋体"/>
        </w:rPr>
      </w:pPr>
      <w:r>
        <w:rPr>
          <w:rFonts w:hint="eastAsia" w:ascii="宋体" w:hAnsi="宋体"/>
        </w:rPr>
        <w:t>监理工程师执业资格证书号： ；</w:t>
      </w:r>
    </w:p>
    <w:p>
      <w:pPr>
        <w:pStyle w:val="51"/>
        <w:spacing w:line="360" w:lineRule="auto"/>
        <w:ind w:firstLine="200"/>
        <w:rPr>
          <w:rFonts w:ascii="宋体" w:hAnsi="宋体"/>
        </w:rPr>
      </w:pPr>
      <w:r>
        <w:rPr>
          <w:rFonts w:hint="eastAsia" w:ascii="宋体" w:hAnsi="宋体"/>
        </w:rPr>
        <w:t>联系电话： ；</w:t>
      </w:r>
    </w:p>
    <w:p>
      <w:pPr>
        <w:pStyle w:val="51"/>
        <w:spacing w:line="360" w:lineRule="auto"/>
        <w:ind w:firstLine="200"/>
        <w:rPr>
          <w:rFonts w:ascii="宋体" w:hAnsi="宋体"/>
        </w:rPr>
      </w:pPr>
      <w:r>
        <w:rPr>
          <w:rFonts w:hint="eastAsia" w:ascii="宋体" w:hAnsi="宋体"/>
        </w:rPr>
        <w:t>电子信箱： ；</w:t>
      </w:r>
    </w:p>
    <w:p>
      <w:pPr>
        <w:pStyle w:val="51"/>
        <w:spacing w:line="360" w:lineRule="auto"/>
        <w:ind w:firstLine="200"/>
        <w:rPr>
          <w:rFonts w:ascii="宋体" w:hAnsi="宋体"/>
        </w:rPr>
      </w:pPr>
      <w:r>
        <w:rPr>
          <w:rFonts w:hint="eastAsia" w:ascii="宋体" w:hAnsi="宋体"/>
        </w:rPr>
        <w:t>通信地址： ；</w:t>
      </w:r>
    </w:p>
    <w:p>
      <w:pPr>
        <w:pStyle w:val="51"/>
        <w:spacing w:line="360" w:lineRule="auto"/>
        <w:ind w:firstLine="200"/>
        <w:rPr>
          <w:rFonts w:ascii="宋体" w:hAnsi="宋体"/>
        </w:rPr>
      </w:pPr>
      <w:r>
        <w:rPr>
          <w:rFonts w:hint="eastAsia" w:ascii="宋体" w:hAnsi="宋体"/>
        </w:rPr>
        <w:t>关于监理人的其他约定： 。</w:t>
      </w:r>
    </w:p>
    <w:p>
      <w:pPr>
        <w:pStyle w:val="51"/>
        <w:spacing w:line="360" w:lineRule="auto"/>
        <w:ind w:firstLine="200"/>
        <w:rPr>
          <w:rFonts w:ascii="宋体" w:hAnsi="宋体"/>
        </w:rPr>
      </w:pPr>
      <w:r>
        <w:rPr>
          <w:rFonts w:hint="eastAsia" w:ascii="宋体" w:hAnsi="宋体"/>
        </w:rPr>
        <w:t>4.4 商定或确定</w:t>
      </w:r>
    </w:p>
    <w:p>
      <w:pPr>
        <w:pStyle w:val="51"/>
        <w:spacing w:line="360" w:lineRule="auto"/>
        <w:ind w:firstLine="200"/>
        <w:rPr>
          <w:rFonts w:ascii="宋体" w:hAnsi="宋体"/>
        </w:rPr>
      </w:pPr>
      <w:r>
        <w:rPr>
          <w:rFonts w:hint="eastAsia" w:ascii="宋体" w:hAnsi="宋体"/>
        </w:rPr>
        <w:t>在发包人和承包人不能通过协商达成一致意见时，发包人授权监理人对以下事项进行确定：</w:t>
      </w:r>
    </w:p>
    <w:p>
      <w:pPr>
        <w:pStyle w:val="51"/>
        <w:spacing w:line="360" w:lineRule="auto"/>
        <w:ind w:firstLine="200"/>
        <w:rPr>
          <w:rFonts w:ascii="宋体" w:hAnsi="宋体"/>
        </w:rPr>
      </w:pPr>
      <w:r>
        <w:rPr>
          <w:rFonts w:hint="eastAsia" w:ascii="宋体" w:hAnsi="宋体"/>
        </w:rPr>
        <w:t>（1） ；</w:t>
      </w:r>
    </w:p>
    <w:p>
      <w:pPr>
        <w:pStyle w:val="51"/>
        <w:spacing w:line="360" w:lineRule="auto"/>
        <w:ind w:firstLine="200"/>
        <w:rPr>
          <w:rFonts w:ascii="宋体" w:hAnsi="宋体"/>
        </w:rPr>
      </w:pPr>
      <w:r>
        <w:rPr>
          <w:rFonts w:hint="eastAsia" w:ascii="宋体" w:hAnsi="宋体"/>
        </w:rPr>
        <w:t>（2） ；</w:t>
      </w:r>
    </w:p>
    <w:p>
      <w:pPr>
        <w:pStyle w:val="51"/>
        <w:spacing w:line="360" w:lineRule="auto"/>
        <w:ind w:firstLine="200"/>
        <w:rPr>
          <w:rFonts w:ascii="宋体" w:hAnsi="宋体"/>
        </w:rPr>
      </w:pPr>
      <w:r>
        <w:rPr>
          <w:rFonts w:hint="eastAsia" w:ascii="宋体" w:hAnsi="宋体"/>
        </w:rPr>
        <w:t>（3） 。</w:t>
      </w:r>
    </w:p>
    <w:p>
      <w:pPr>
        <w:pStyle w:val="51"/>
        <w:spacing w:line="360" w:lineRule="auto"/>
        <w:ind w:firstLine="200"/>
        <w:rPr>
          <w:rFonts w:ascii="宋体" w:hAnsi="宋体"/>
        </w:rPr>
      </w:pPr>
      <w:r>
        <w:rPr>
          <w:rFonts w:hint="eastAsia" w:ascii="宋体" w:hAnsi="宋体"/>
        </w:rPr>
        <w:t>5. 工程质量</w:t>
      </w:r>
    </w:p>
    <w:p>
      <w:pPr>
        <w:pStyle w:val="51"/>
        <w:spacing w:line="360" w:lineRule="auto"/>
        <w:ind w:firstLine="200"/>
        <w:rPr>
          <w:rFonts w:ascii="宋体" w:hAnsi="宋体"/>
        </w:rPr>
      </w:pPr>
      <w:r>
        <w:rPr>
          <w:rFonts w:hint="eastAsia" w:ascii="宋体" w:hAnsi="宋体"/>
        </w:rPr>
        <w:t>5.1 质量要求</w:t>
      </w:r>
    </w:p>
    <w:p>
      <w:pPr>
        <w:pStyle w:val="51"/>
        <w:spacing w:line="360" w:lineRule="auto"/>
        <w:ind w:firstLine="200"/>
        <w:rPr>
          <w:rFonts w:ascii="宋体" w:hAnsi="宋体"/>
        </w:rPr>
      </w:pPr>
      <w:r>
        <w:rPr>
          <w:rFonts w:hint="eastAsia" w:ascii="宋体" w:hAnsi="宋体"/>
        </w:rPr>
        <w:t>5.1.1 特殊质量标准和要求：按通用条款、投标承诺和工程质量保修书执行。</w:t>
      </w:r>
    </w:p>
    <w:p>
      <w:pPr>
        <w:pStyle w:val="51"/>
        <w:spacing w:line="360" w:lineRule="auto"/>
        <w:ind w:firstLine="200"/>
        <w:rPr>
          <w:rFonts w:ascii="宋体" w:hAnsi="宋体"/>
        </w:rPr>
      </w:pPr>
      <w:r>
        <w:rPr>
          <w:rFonts w:hint="eastAsia" w:ascii="宋体" w:hAnsi="宋体"/>
        </w:rPr>
        <w:t>关于工程奖项的约定： 。</w:t>
      </w:r>
    </w:p>
    <w:p>
      <w:pPr>
        <w:pStyle w:val="51"/>
        <w:spacing w:line="360" w:lineRule="auto"/>
        <w:ind w:firstLine="200"/>
        <w:rPr>
          <w:rFonts w:ascii="宋体" w:hAnsi="宋体"/>
        </w:rPr>
      </w:pPr>
      <w:r>
        <w:rPr>
          <w:rFonts w:hint="eastAsia" w:ascii="宋体" w:hAnsi="宋体"/>
        </w:rPr>
        <w:t>5.3 隐蔽工程检查</w:t>
      </w:r>
    </w:p>
    <w:p>
      <w:pPr>
        <w:pStyle w:val="51"/>
        <w:spacing w:line="360" w:lineRule="auto"/>
        <w:ind w:firstLine="200"/>
        <w:rPr>
          <w:rFonts w:ascii="宋体" w:hAnsi="宋体"/>
        </w:rPr>
      </w:pPr>
      <w:r>
        <w:rPr>
          <w:rFonts w:hint="eastAsia" w:ascii="宋体" w:hAnsi="宋体"/>
        </w:rPr>
        <w:t>5.3.2 承包人提前通知监理人隐蔽工程检查的期限的约定： 。</w:t>
      </w:r>
    </w:p>
    <w:p>
      <w:pPr>
        <w:pStyle w:val="51"/>
        <w:spacing w:line="360" w:lineRule="auto"/>
        <w:ind w:firstLine="200"/>
        <w:rPr>
          <w:rFonts w:ascii="宋体" w:hAnsi="宋体"/>
        </w:rPr>
      </w:pPr>
      <w:r>
        <w:rPr>
          <w:rFonts w:hint="eastAsia" w:ascii="宋体" w:hAnsi="宋体"/>
        </w:rPr>
        <w:t>监理人不能按时进行检查时，应提前 小时提交书面延期要求。</w:t>
      </w:r>
    </w:p>
    <w:p>
      <w:pPr>
        <w:pStyle w:val="51"/>
        <w:spacing w:line="360" w:lineRule="auto"/>
        <w:ind w:firstLine="200"/>
        <w:rPr>
          <w:rFonts w:ascii="宋体" w:hAnsi="宋体"/>
        </w:rPr>
      </w:pPr>
      <w:r>
        <w:rPr>
          <w:rFonts w:hint="eastAsia" w:ascii="宋体" w:hAnsi="宋体"/>
        </w:rPr>
        <w:t>关于延期最长不得超过： 小时。</w:t>
      </w:r>
    </w:p>
    <w:p>
      <w:pPr>
        <w:pStyle w:val="51"/>
        <w:spacing w:line="360" w:lineRule="auto"/>
        <w:ind w:firstLine="200"/>
        <w:rPr>
          <w:rFonts w:ascii="宋体" w:hAnsi="宋体"/>
        </w:rPr>
      </w:pPr>
      <w:r>
        <w:rPr>
          <w:rFonts w:hint="eastAsia" w:ascii="宋体" w:hAnsi="宋体"/>
        </w:rPr>
        <w:t>6. 安全文明施工与环境保护</w:t>
      </w:r>
    </w:p>
    <w:p>
      <w:pPr>
        <w:pStyle w:val="51"/>
        <w:spacing w:line="360" w:lineRule="auto"/>
        <w:ind w:firstLine="200"/>
        <w:rPr>
          <w:rFonts w:ascii="宋体" w:hAnsi="宋体"/>
        </w:rPr>
      </w:pPr>
      <w:r>
        <w:rPr>
          <w:rFonts w:hint="eastAsia" w:ascii="宋体" w:hAnsi="宋体"/>
        </w:rPr>
        <w:t>6.1 安全文明施工</w:t>
      </w:r>
    </w:p>
    <w:p>
      <w:pPr>
        <w:pStyle w:val="51"/>
        <w:spacing w:line="360" w:lineRule="auto"/>
        <w:ind w:firstLine="200"/>
        <w:rPr>
          <w:rFonts w:ascii="宋体" w:hAnsi="宋体"/>
        </w:rPr>
      </w:pPr>
      <w:r>
        <w:rPr>
          <w:rFonts w:hint="eastAsia" w:ascii="宋体" w:hAnsi="宋体"/>
        </w:rPr>
        <w:t>6.1.1 项目安全生产的达标目标及相应事项的约定： 。</w:t>
      </w:r>
    </w:p>
    <w:p>
      <w:pPr>
        <w:pStyle w:val="51"/>
        <w:spacing w:line="360" w:lineRule="auto"/>
        <w:ind w:firstLine="200"/>
        <w:rPr>
          <w:rFonts w:ascii="宋体" w:hAnsi="宋体"/>
        </w:rPr>
      </w:pPr>
      <w:r>
        <w:rPr>
          <w:rFonts w:hint="eastAsia" w:ascii="宋体" w:hAnsi="宋体"/>
        </w:rPr>
        <w:t>6.1.4 关于治安保卫的特别约定： 。</w:t>
      </w:r>
    </w:p>
    <w:p>
      <w:pPr>
        <w:pStyle w:val="51"/>
        <w:spacing w:line="360" w:lineRule="auto"/>
        <w:ind w:firstLine="200"/>
        <w:rPr>
          <w:rFonts w:ascii="宋体" w:hAnsi="宋体"/>
        </w:rPr>
      </w:pPr>
      <w:r>
        <w:rPr>
          <w:rFonts w:hint="eastAsia" w:ascii="宋体" w:hAnsi="宋体"/>
        </w:rPr>
        <w:t>关于编制施工场地治安管理计划的约定： 。</w:t>
      </w:r>
    </w:p>
    <w:p>
      <w:pPr>
        <w:pStyle w:val="51"/>
        <w:spacing w:line="360" w:lineRule="auto"/>
        <w:ind w:firstLine="200"/>
        <w:rPr>
          <w:rFonts w:ascii="宋体" w:hAnsi="宋体"/>
        </w:rPr>
      </w:pPr>
      <w:r>
        <w:rPr>
          <w:rFonts w:hint="eastAsia" w:ascii="宋体" w:hAnsi="宋体"/>
        </w:rPr>
        <w:t>6.1.5 文明施工</w:t>
      </w:r>
    </w:p>
    <w:p>
      <w:pPr>
        <w:pStyle w:val="51"/>
        <w:spacing w:line="360" w:lineRule="auto"/>
        <w:ind w:firstLine="200"/>
        <w:rPr>
          <w:rFonts w:ascii="宋体" w:hAnsi="宋体"/>
        </w:rPr>
      </w:pPr>
      <w:r>
        <w:rPr>
          <w:rFonts w:hint="eastAsia" w:ascii="宋体" w:hAnsi="宋体"/>
        </w:rPr>
        <w:t>合同当事人对文明施工的要求：</w:t>
      </w:r>
      <w:r>
        <w:rPr>
          <w:rFonts w:hint="eastAsia" w:ascii="宋体" w:hAnsi="宋体"/>
          <w:u w:val="single"/>
        </w:rPr>
        <w:t>按照省优工程工地的有关要求进行现场管理，确保施工场地整洁。并采取有效措施，确保施工安全，杜绝重大人身伤亡及设备事故。如有发生，损失由承包人承担。承包人需按焦作市有关规定办理有关施工场地交通、环卫和施工噪音管理等手续并承担费用。</w:t>
      </w:r>
    </w:p>
    <w:p>
      <w:pPr>
        <w:pStyle w:val="51"/>
        <w:spacing w:line="360" w:lineRule="auto"/>
        <w:ind w:firstLine="200"/>
        <w:rPr>
          <w:rFonts w:ascii="宋体" w:hAnsi="宋体"/>
        </w:rPr>
      </w:pPr>
      <w:r>
        <w:rPr>
          <w:rFonts w:hint="eastAsia" w:ascii="宋体" w:hAnsi="宋体"/>
        </w:rPr>
        <w:t>6.1.6 关于安全文明施工费支付比例和支付期限的约定： 。</w:t>
      </w:r>
    </w:p>
    <w:p>
      <w:pPr>
        <w:pStyle w:val="51"/>
        <w:spacing w:line="360" w:lineRule="auto"/>
        <w:ind w:firstLine="200"/>
        <w:rPr>
          <w:rFonts w:ascii="宋体" w:hAnsi="宋体"/>
        </w:rPr>
      </w:pPr>
      <w:r>
        <w:rPr>
          <w:rFonts w:hint="eastAsia" w:ascii="宋体" w:hAnsi="宋体"/>
        </w:rPr>
        <w:t>7. 工期和进度</w:t>
      </w:r>
    </w:p>
    <w:p>
      <w:pPr>
        <w:pStyle w:val="51"/>
        <w:spacing w:line="360" w:lineRule="auto"/>
        <w:ind w:firstLine="200"/>
        <w:rPr>
          <w:rFonts w:ascii="宋体" w:hAnsi="宋体"/>
        </w:rPr>
      </w:pPr>
      <w:r>
        <w:rPr>
          <w:rFonts w:hint="eastAsia" w:ascii="宋体" w:hAnsi="宋体"/>
        </w:rPr>
        <w:t>7.1 施工组织设计</w:t>
      </w:r>
    </w:p>
    <w:p>
      <w:pPr>
        <w:pStyle w:val="51"/>
        <w:spacing w:line="360" w:lineRule="auto"/>
        <w:ind w:firstLine="200"/>
        <w:rPr>
          <w:rFonts w:ascii="宋体" w:hAnsi="宋体"/>
        </w:rPr>
      </w:pPr>
      <w:r>
        <w:rPr>
          <w:rFonts w:hint="eastAsia" w:ascii="宋体" w:hAnsi="宋体"/>
        </w:rPr>
        <w:t>7.1.1 合同当事人约定的施工组织设计应包括的其他内容： 。</w:t>
      </w:r>
    </w:p>
    <w:p>
      <w:pPr>
        <w:pStyle w:val="51"/>
        <w:spacing w:line="360" w:lineRule="auto"/>
        <w:ind w:firstLine="200"/>
        <w:rPr>
          <w:rFonts w:ascii="宋体" w:hAnsi="宋体"/>
        </w:rPr>
      </w:pPr>
      <w:r>
        <w:rPr>
          <w:rFonts w:hint="eastAsia" w:ascii="宋体" w:hAnsi="宋体"/>
        </w:rPr>
        <w:t>7.1.2 施工组织设计的提交和修改</w:t>
      </w:r>
    </w:p>
    <w:p>
      <w:pPr>
        <w:pStyle w:val="51"/>
        <w:spacing w:line="360" w:lineRule="auto"/>
        <w:ind w:firstLine="200"/>
        <w:rPr>
          <w:rFonts w:ascii="宋体" w:hAnsi="宋体"/>
        </w:rPr>
      </w:pPr>
      <w:r>
        <w:rPr>
          <w:rFonts w:hint="eastAsia" w:ascii="宋体" w:hAnsi="宋体"/>
        </w:rPr>
        <w:t>承包人提交详细施工组织设计的期限的约定： 。</w:t>
      </w:r>
    </w:p>
    <w:p>
      <w:pPr>
        <w:pStyle w:val="51"/>
        <w:spacing w:line="360" w:lineRule="auto"/>
        <w:ind w:firstLine="200"/>
        <w:rPr>
          <w:rFonts w:ascii="宋体" w:hAnsi="宋体"/>
        </w:rPr>
      </w:pPr>
      <w:r>
        <w:rPr>
          <w:rFonts w:hint="eastAsia" w:ascii="宋体" w:hAnsi="宋体"/>
        </w:rPr>
        <w:t>发包人和监理人在收到详细的施工组织设计后确认或提出修改意见的期限： 。</w:t>
      </w:r>
    </w:p>
    <w:p>
      <w:pPr>
        <w:pStyle w:val="51"/>
        <w:spacing w:line="360" w:lineRule="auto"/>
        <w:ind w:firstLine="200"/>
        <w:rPr>
          <w:rFonts w:ascii="宋体" w:hAnsi="宋体"/>
        </w:rPr>
      </w:pPr>
      <w:r>
        <w:rPr>
          <w:rFonts w:hint="eastAsia" w:ascii="宋体" w:hAnsi="宋体"/>
        </w:rPr>
        <w:t>7.2 施工进度计划</w:t>
      </w:r>
    </w:p>
    <w:p>
      <w:pPr>
        <w:pStyle w:val="51"/>
        <w:spacing w:line="360" w:lineRule="auto"/>
        <w:ind w:firstLine="200"/>
        <w:rPr>
          <w:rFonts w:ascii="宋体" w:hAnsi="宋体"/>
        </w:rPr>
      </w:pPr>
      <w:r>
        <w:rPr>
          <w:rFonts w:hint="eastAsia" w:ascii="宋体" w:hAnsi="宋体"/>
        </w:rPr>
        <w:t>7.2.2 施工进度计划的修订</w:t>
      </w:r>
    </w:p>
    <w:p>
      <w:pPr>
        <w:pStyle w:val="51"/>
        <w:spacing w:line="360" w:lineRule="auto"/>
        <w:ind w:firstLine="200"/>
        <w:rPr>
          <w:rFonts w:ascii="宋体" w:hAnsi="宋体"/>
        </w:rPr>
      </w:pPr>
      <w:r>
        <w:rPr>
          <w:rFonts w:hint="eastAsia" w:ascii="宋体" w:hAnsi="宋体"/>
        </w:rPr>
        <w:t>发包人和监理人在收到修订的施工进度计划后确认或提出修改意见的期限： 。</w:t>
      </w:r>
    </w:p>
    <w:p>
      <w:pPr>
        <w:pStyle w:val="51"/>
        <w:spacing w:line="360" w:lineRule="auto"/>
        <w:ind w:firstLine="200"/>
        <w:rPr>
          <w:rFonts w:ascii="宋体" w:hAnsi="宋体"/>
        </w:rPr>
      </w:pPr>
      <w:r>
        <w:rPr>
          <w:rFonts w:hint="eastAsia" w:ascii="宋体" w:hAnsi="宋体"/>
        </w:rPr>
        <w:t>7.3 开工</w:t>
      </w:r>
    </w:p>
    <w:p>
      <w:pPr>
        <w:pStyle w:val="51"/>
        <w:spacing w:line="360" w:lineRule="auto"/>
        <w:ind w:firstLine="200"/>
        <w:rPr>
          <w:rFonts w:ascii="宋体" w:hAnsi="宋体"/>
        </w:rPr>
      </w:pPr>
      <w:r>
        <w:rPr>
          <w:rFonts w:hint="eastAsia" w:ascii="宋体" w:hAnsi="宋体"/>
        </w:rPr>
        <w:t>7.3.1 开工准备</w:t>
      </w:r>
    </w:p>
    <w:p>
      <w:pPr>
        <w:pStyle w:val="51"/>
        <w:spacing w:line="360" w:lineRule="auto"/>
        <w:ind w:firstLine="200"/>
        <w:rPr>
          <w:rFonts w:ascii="宋体" w:hAnsi="宋体"/>
        </w:rPr>
      </w:pPr>
      <w:r>
        <w:rPr>
          <w:rFonts w:hint="eastAsia" w:ascii="宋体" w:hAnsi="宋体"/>
        </w:rPr>
        <w:t>关于承包人提交工程开工报审表的期限： 。</w:t>
      </w:r>
    </w:p>
    <w:p>
      <w:pPr>
        <w:pStyle w:val="51"/>
        <w:spacing w:line="360" w:lineRule="auto"/>
        <w:ind w:firstLine="200"/>
        <w:rPr>
          <w:rFonts w:ascii="宋体" w:hAnsi="宋体"/>
        </w:rPr>
      </w:pPr>
      <w:r>
        <w:rPr>
          <w:rFonts w:hint="eastAsia" w:ascii="宋体" w:hAnsi="宋体"/>
        </w:rPr>
        <w:t>关于发包人应完成的其他开工准备工作及期限： 。</w:t>
      </w:r>
    </w:p>
    <w:p>
      <w:pPr>
        <w:pStyle w:val="51"/>
        <w:spacing w:line="360" w:lineRule="auto"/>
        <w:ind w:firstLine="200"/>
        <w:rPr>
          <w:rFonts w:ascii="宋体" w:hAnsi="宋体"/>
        </w:rPr>
      </w:pPr>
      <w:r>
        <w:rPr>
          <w:rFonts w:hint="eastAsia" w:ascii="宋体" w:hAnsi="宋体"/>
        </w:rPr>
        <w:t>关于承包人应完成的其他开工准备工作及期限： 。</w:t>
      </w:r>
    </w:p>
    <w:p>
      <w:pPr>
        <w:pStyle w:val="51"/>
        <w:spacing w:line="360" w:lineRule="auto"/>
        <w:ind w:firstLine="200"/>
        <w:rPr>
          <w:rFonts w:ascii="宋体" w:hAnsi="宋体"/>
        </w:rPr>
      </w:pPr>
      <w:r>
        <w:rPr>
          <w:rFonts w:hint="eastAsia" w:ascii="宋体" w:hAnsi="宋体"/>
        </w:rPr>
        <w:t>7.3.2 开工通知</w:t>
      </w:r>
    </w:p>
    <w:p>
      <w:pPr>
        <w:pStyle w:val="51"/>
        <w:spacing w:line="360" w:lineRule="auto"/>
        <w:ind w:firstLine="200"/>
        <w:rPr>
          <w:rFonts w:ascii="宋体" w:hAnsi="宋体"/>
        </w:rPr>
      </w:pPr>
      <w:r>
        <w:rPr>
          <w:rFonts w:hint="eastAsia" w:ascii="宋体" w:hAnsi="宋体"/>
        </w:rPr>
        <w:t>因发包人原因造成监理人未能在计划开工日期之日起 天内发出开工通知的，承包人有权提出价格调整要求，或者解除合同。</w:t>
      </w:r>
    </w:p>
    <w:p>
      <w:pPr>
        <w:pStyle w:val="51"/>
        <w:spacing w:line="360" w:lineRule="auto"/>
        <w:ind w:firstLine="200"/>
        <w:rPr>
          <w:rFonts w:ascii="宋体" w:hAnsi="宋体"/>
        </w:rPr>
      </w:pPr>
      <w:r>
        <w:rPr>
          <w:rFonts w:hint="eastAsia" w:ascii="宋体" w:hAnsi="宋体"/>
        </w:rPr>
        <w:t>7.4 测量放线</w:t>
      </w:r>
    </w:p>
    <w:p>
      <w:pPr>
        <w:pStyle w:val="51"/>
        <w:spacing w:line="360" w:lineRule="auto"/>
        <w:ind w:firstLine="200"/>
        <w:rPr>
          <w:rFonts w:ascii="宋体" w:hAnsi="宋体"/>
        </w:rPr>
      </w:pPr>
      <w:r>
        <w:rPr>
          <w:rFonts w:hint="eastAsia" w:ascii="宋体" w:hAnsi="宋体"/>
        </w:rPr>
        <w:t>7.4.1 发包人通过监理人向承包人提供测量基准点、基准线和水准点及其书面资料的期限： 。</w:t>
      </w:r>
    </w:p>
    <w:p>
      <w:pPr>
        <w:pStyle w:val="51"/>
        <w:spacing w:line="360" w:lineRule="auto"/>
        <w:ind w:firstLine="200"/>
        <w:rPr>
          <w:rFonts w:ascii="宋体" w:hAnsi="宋体"/>
        </w:rPr>
      </w:pPr>
      <w:r>
        <w:rPr>
          <w:rFonts w:hint="eastAsia" w:ascii="宋体" w:hAnsi="宋体"/>
        </w:rPr>
        <w:t>7.5 工期延误</w:t>
      </w:r>
    </w:p>
    <w:p>
      <w:pPr>
        <w:pStyle w:val="51"/>
        <w:spacing w:line="360" w:lineRule="auto"/>
        <w:ind w:firstLine="200"/>
        <w:rPr>
          <w:rFonts w:ascii="宋体" w:hAnsi="宋体"/>
        </w:rPr>
      </w:pPr>
      <w:r>
        <w:rPr>
          <w:rFonts w:hint="eastAsia" w:ascii="宋体" w:hAnsi="宋体"/>
        </w:rPr>
        <w:t>7.5.1 因发包人原因导致工期延误</w:t>
      </w:r>
    </w:p>
    <w:p>
      <w:pPr>
        <w:pStyle w:val="51"/>
        <w:spacing w:line="360" w:lineRule="auto"/>
        <w:ind w:firstLine="200"/>
        <w:rPr>
          <w:rFonts w:ascii="宋体" w:hAnsi="宋体"/>
        </w:rPr>
      </w:pPr>
      <w:r>
        <w:rPr>
          <w:rFonts w:hint="eastAsia" w:ascii="宋体" w:hAnsi="宋体"/>
        </w:rPr>
        <w:t>（7）因发包人原因导致工期延误的其他情形： 。</w:t>
      </w:r>
    </w:p>
    <w:p>
      <w:pPr>
        <w:pStyle w:val="51"/>
        <w:spacing w:line="360" w:lineRule="auto"/>
        <w:ind w:firstLine="200"/>
        <w:rPr>
          <w:rFonts w:ascii="宋体" w:hAnsi="宋体"/>
        </w:rPr>
      </w:pPr>
      <w:r>
        <w:rPr>
          <w:rFonts w:hint="eastAsia" w:ascii="宋体" w:hAnsi="宋体"/>
        </w:rPr>
        <w:t>7.5.2 因承包人原因导致工期延误</w:t>
      </w:r>
    </w:p>
    <w:p>
      <w:pPr>
        <w:pStyle w:val="51"/>
        <w:spacing w:line="360" w:lineRule="auto"/>
        <w:ind w:firstLine="200"/>
        <w:rPr>
          <w:rFonts w:ascii="宋体" w:hAnsi="宋体"/>
        </w:rPr>
      </w:pPr>
      <w:r>
        <w:rPr>
          <w:rFonts w:hint="eastAsia" w:ascii="宋体" w:hAnsi="宋体"/>
        </w:rPr>
        <w:t>因承包人原因造成工期延误，逾期竣工违约金的计算方法为： 。</w:t>
      </w:r>
    </w:p>
    <w:p>
      <w:pPr>
        <w:pStyle w:val="51"/>
        <w:spacing w:line="360" w:lineRule="auto"/>
        <w:ind w:firstLine="200"/>
        <w:rPr>
          <w:rFonts w:ascii="宋体" w:hAnsi="宋体"/>
        </w:rPr>
      </w:pPr>
      <w:r>
        <w:rPr>
          <w:rFonts w:hint="eastAsia" w:ascii="宋体" w:hAnsi="宋体"/>
        </w:rPr>
        <w:t>因承包人原因造成工期延误，逾期竣工违约金的上限： 。</w:t>
      </w:r>
    </w:p>
    <w:p>
      <w:pPr>
        <w:pStyle w:val="51"/>
        <w:spacing w:line="360" w:lineRule="auto"/>
        <w:ind w:firstLine="200"/>
        <w:rPr>
          <w:rFonts w:ascii="宋体" w:hAnsi="宋体"/>
        </w:rPr>
      </w:pPr>
      <w:r>
        <w:rPr>
          <w:rFonts w:hint="eastAsia" w:ascii="宋体" w:hAnsi="宋体"/>
        </w:rPr>
        <w:t>7.6 不利物质条件</w:t>
      </w:r>
    </w:p>
    <w:p>
      <w:pPr>
        <w:pStyle w:val="51"/>
        <w:spacing w:line="360" w:lineRule="auto"/>
        <w:ind w:firstLine="200"/>
        <w:rPr>
          <w:rFonts w:ascii="宋体" w:hAnsi="宋体"/>
        </w:rPr>
      </w:pPr>
      <w:r>
        <w:rPr>
          <w:rFonts w:hint="eastAsia" w:ascii="宋体" w:hAnsi="宋体"/>
        </w:rPr>
        <w:t>不利物质条件的其他情形和有关约定： 。</w:t>
      </w:r>
    </w:p>
    <w:p>
      <w:pPr>
        <w:pStyle w:val="51"/>
        <w:spacing w:line="360" w:lineRule="auto"/>
        <w:ind w:firstLine="200"/>
        <w:rPr>
          <w:rFonts w:ascii="宋体" w:hAnsi="宋体"/>
        </w:rPr>
      </w:pPr>
      <w:r>
        <w:rPr>
          <w:rFonts w:hint="eastAsia" w:ascii="宋体" w:hAnsi="宋体"/>
        </w:rPr>
        <w:t>7.7 异常恶劣的气候条件</w:t>
      </w:r>
    </w:p>
    <w:p>
      <w:pPr>
        <w:pStyle w:val="51"/>
        <w:spacing w:line="360" w:lineRule="auto"/>
        <w:ind w:firstLine="200"/>
        <w:rPr>
          <w:rFonts w:ascii="宋体" w:hAnsi="宋体"/>
        </w:rPr>
      </w:pPr>
      <w:r>
        <w:rPr>
          <w:rFonts w:hint="eastAsia" w:ascii="宋体" w:hAnsi="宋体"/>
        </w:rPr>
        <w:t>发包人和承包人同意以下情形视为异常恶劣的气候条件：</w:t>
      </w:r>
    </w:p>
    <w:p>
      <w:pPr>
        <w:pStyle w:val="51"/>
        <w:spacing w:line="360" w:lineRule="auto"/>
        <w:ind w:firstLine="200"/>
        <w:rPr>
          <w:rFonts w:ascii="宋体" w:hAnsi="宋体"/>
        </w:rPr>
      </w:pPr>
      <w:r>
        <w:rPr>
          <w:rFonts w:hint="eastAsia" w:ascii="宋体" w:hAnsi="宋体"/>
        </w:rPr>
        <w:t>（1） ；</w:t>
      </w:r>
    </w:p>
    <w:p>
      <w:pPr>
        <w:pStyle w:val="51"/>
        <w:spacing w:line="360" w:lineRule="auto"/>
        <w:ind w:firstLine="200"/>
        <w:rPr>
          <w:rFonts w:ascii="宋体" w:hAnsi="宋体"/>
        </w:rPr>
      </w:pPr>
      <w:r>
        <w:rPr>
          <w:rFonts w:hint="eastAsia" w:ascii="宋体" w:hAnsi="宋体"/>
        </w:rPr>
        <w:t>（2） ；</w:t>
      </w:r>
    </w:p>
    <w:p>
      <w:pPr>
        <w:pStyle w:val="51"/>
        <w:spacing w:line="360" w:lineRule="auto"/>
        <w:ind w:firstLine="200"/>
        <w:rPr>
          <w:rFonts w:ascii="宋体" w:hAnsi="宋体"/>
        </w:rPr>
      </w:pPr>
      <w:r>
        <w:rPr>
          <w:rFonts w:hint="eastAsia" w:ascii="宋体" w:hAnsi="宋体"/>
        </w:rPr>
        <w:t>（3） 。</w:t>
      </w:r>
    </w:p>
    <w:p>
      <w:pPr>
        <w:pStyle w:val="51"/>
        <w:spacing w:line="360" w:lineRule="auto"/>
        <w:ind w:firstLine="200"/>
        <w:rPr>
          <w:rFonts w:ascii="宋体" w:hAnsi="宋体"/>
        </w:rPr>
      </w:pPr>
      <w:r>
        <w:rPr>
          <w:rFonts w:hint="eastAsia" w:ascii="宋体" w:hAnsi="宋体"/>
        </w:rPr>
        <w:t>7.9 提前竣工的奖励</w:t>
      </w:r>
    </w:p>
    <w:p>
      <w:pPr>
        <w:pStyle w:val="51"/>
        <w:spacing w:line="360" w:lineRule="auto"/>
        <w:ind w:firstLine="200"/>
        <w:rPr>
          <w:rFonts w:ascii="宋体" w:hAnsi="宋体"/>
        </w:rPr>
      </w:pPr>
      <w:r>
        <w:rPr>
          <w:rFonts w:hint="eastAsia" w:ascii="宋体" w:hAnsi="宋体"/>
        </w:rPr>
        <w:t>7.9.2 提前竣工的奖励： 。</w:t>
      </w:r>
    </w:p>
    <w:p>
      <w:pPr>
        <w:pStyle w:val="51"/>
        <w:spacing w:line="360" w:lineRule="auto"/>
        <w:ind w:firstLine="200"/>
        <w:rPr>
          <w:rFonts w:ascii="宋体" w:hAnsi="宋体"/>
        </w:rPr>
      </w:pPr>
      <w:r>
        <w:rPr>
          <w:rFonts w:hint="eastAsia" w:ascii="宋体" w:hAnsi="宋体"/>
        </w:rPr>
        <w:t>8. 材料与设备</w:t>
      </w:r>
    </w:p>
    <w:p>
      <w:pPr>
        <w:pStyle w:val="51"/>
        <w:spacing w:line="360" w:lineRule="auto"/>
        <w:ind w:firstLine="200"/>
        <w:rPr>
          <w:rFonts w:ascii="宋体" w:hAnsi="宋体"/>
        </w:rPr>
      </w:pPr>
      <w:r>
        <w:rPr>
          <w:rFonts w:hint="eastAsia" w:ascii="宋体" w:hAnsi="宋体"/>
        </w:rPr>
        <w:t>8.4 材料与工程设备的保管与使用</w:t>
      </w:r>
    </w:p>
    <w:p>
      <w:pPr>
        <w:pStyle w:val="51"/>
        <w:spacing w:line="360" w:lineRule="auto"/>
        <w:ind w:firstLine="200"/>
        <w:rPr>
          <w:rFonts w:ascii="宋体" w:hAnsi="宋体"/>
        </w:rPr>
      </w:pPr>
      <w:r>
        <w:rPr>
          <w:rFonts w:hint="eastAsia" w:ascii="宋体" w:hAnsi="宋体"/>
        </w:rPr>
        <w:t>8.4.1 发包人供应的材料设备的保管费用的承担： 。</w:t>
      </w:r>
    </w:p>
    <w:p>
      <w:pPr>
        <w:pStyle w:val="51"/>
        <w:spacing w:line="360" w:lineRule="auto"/>
        <w:ind w:firstLine="200"/>
        <w:rPr>
          <w:rFonts w:ascii="宋体" w:hAnsi="宋体"/>
        </w:rPr>
      </w:pPr>
      <w:r>
        <w:rPr>
          <w:rFonts w:hint="eastAsia" w:ascii="宋体" w:hAnsi="宋体"/>
        </w:rPr>
        <w:t>8.6 样品</w:t>
      </w:r>
    </w:p>
    <w:p>
      <w:pPr>
        <w:pStyle w:val="51"/>
        <w:spacing w:line="360" w:lineRule="auto"/>
        <w:ind w:firstLine="200"/>
        <w:rPr>
          <w:rFonts w:ascii="宋体" w:hAnsi="宋体"/>
        </w:rPr>
      </w:pPr>
      <w:r>
        <w:rPr>
          <w:rFonts w:hint="eastAsia" w:ascii="宋体" w:hAnsi="宋体"/>
        </w:rPr>
        <w:t>8.6.1 样品的报送与封存</w:t>
      </w:r>
    </w:p>
    <w:p>
      <w:pPr>
        <w:pStyle w:val="51"/>
        <w:spacing w:line="360" w:lineRule="auto"/>
        <w:ind w:firstLine="200"/>
        <w:rPr>
          <w:rFonts w:ascii="宋体" w:hAnsi="宋体"/>
        </w:rPr>
      </w:pPr>
      <w:r>
        <w:rPr>
          <w:rFonts w:hint="eastAsia" w:ascii="宋体" w:hAnsi="宋体"/>
        </w:rPr>
        <w:t>需要承包人报送样品的材料或工程设备，样品的种类、名称、规格、数量要求： 。</w:t>
      </w:r>
    </w:p>
    <w:p>
      <w:pPr>
        <w:pStyle w:val="51"/>
        <w:spacing w:line="360" w:lineRule="auto"/>
        <w:ind w:firstLine="200"/>
        <w:rPr>
          <w:rFonts w:ascii="宋体" w:hAnsi="宋体"/>
        </w:rPr>
      </w:pPr>
      <w:r>
        <w:rPr>
          <w:rFonts w:hint="eastAsia" w:ascii="宋体" w:hAnsi="宋体"/>
        </w:rPr>
        <w:t>8.8 施工设备和临时设施</w:t>
      </w:r>
    </w:p>
    <w:p>
      <w:pPr>
        <w:pStyle w:val="51"/>
        <w:spacing w:line="360" w:lineRule="auto"/>
        <w:ind w:firstLine="200"/>
        <w:rPr>
          <w:rFonts w:ascii="宋体" w:hAnsi="宋体"/>
        </w:rPr>
      </w:pPr>
      <w:r>
        <w:rPr>
          <w:rFonts w:hint="eastAsia" w:ascii="宋体" w:hAnsi="宋体"/>
        </w:rPr>
        <w:t>8.8.1 承包人提供的施工设备和临时设施</w:t>
      </w:r>
    </w:p>
    <w:p>
      <w:pPr>
        <w:pStyle w:val="51"/>
        <w:spacing w:line="360" w:lineRule="auto"/>
        <w:ind w:firstLine="200"/>
        <w:rPr>
          <w:rFonts w:ascii="宋体" w:hAnsi="宋体"/>
        </w:rPr>
      </w:pPr>
      <w:r>
        <w:rPr>
          <w:rFonts w:hint="eastAsia" w:ascii="宋体" w:hAnsi="宋体"/>
        </w:rPr>
        <w:t>关于修建临时设施费用承担的约定： 。</w:t>
      </w:r>
    </w:p>
    <w:p>
      <w:pPr>
        <w:pStyle w:val="51"/>
        <w:spacing w:line="360" w:lineRule="auto"/>
        <w:ind w:firstLine="200"/>
        <w:rPr>
          <w:rFonts w:ascii="宋体" w:hAnsi="宋体"/>
        </w:rPr>
      </w:pPr>
      <w:r>
        <w:rPr>
          <w:rFonts w:hint="eastAsia" w:ascii="宋体" w:hAnsi="宋体"/>
        </w:rPr>
        <w:t>9. 试验与检验</w:t>
      </w:r>
    </w:p>
    <w:p>
      <w:pPr>
        <w:pStyle w:val="51"/>
        <w:spacing w:line="360" w:lineRule="auto"/>
        <w:ind w:firstLine="200"/>
        <w:rPr>
          <w:rFonts w:ascii="宋体" w:hAnsi="宋体"/>
        </w:rPr>
      </w:pPr>
      <w:r>
        <w:rPr>
          <w:rFonts w:hint="eastAsia" w:ascii="宋体" w:hAnsi="宋体"/>
        </w:rPr>
        <w:t>9.1 试验设备与试验人员</w:t>
      </w:r>
    </w:p>
    <w:p>
      <w:pPr>
        <w:pStyle w:val="51"/>
        <w:spacing w:line="360" w:lineRule="auto"/>
        <w:ind w:firstLine="200"/>
        <w:rPr>
          <w:rFonts w:ascii="宋体" w:hAnsi="宋体"/>
        </w:rPr>
      </w:pPr>
      <w:r>
        <w:rPr>
          <w:rFonts w:hint="eastAsia" w:ascii="宋体" w:hAnsi="宋体"/>
        </w:rPr>
        <w:t>9.1.2 试验设备</w:t>
      </w:r>
    </w:p>
    <w:p>
      <w:pPr>
        <w:pStyle w:val="51"/>
        <w:spacing w:line="360" w:lineRule="auto"/>
        <w:ind w:firstLine="200"/>
        <w:rPr>
          <w:rFonts w:ascii="宋体" w:hAnsi="宋体"/>
        </w:rPr>
      </w:pPr>
      <w:r>
        <w:rPr>
          <w:rFonts w:hint="eastAsia" w:ascii="宋体" w:hAnsi="宋体"/>
        </w:rPr>
        <w:t>施工现场需要配置的试验场所： 。</w:t>
      </w:r>
    </w:p>
    <w:p>
      <w:pPr>
        <w:pStyle w:val="51"/>
        <w:spacing w:line="360" w:lineRule="auto"/>
        <w:ind w:firstLine="200"/>
        <w:rPr>
          <w:rFonts w:ascii="宋体" w:hAnsi="宋体"/>
        </w:rPr>
      </w:pPr>
      <w:r>
        <w:rPr>
          <w:rFonts w:hint="eastAsia" w:ascii="宋体" w:hAnsi="宋体"/>
        </w:rPr>
        <w:t>施工现场需要配备的试验设备： 。</w:t>
      </w:r>
    </w:p>
    <w:p>
      <w:pPr>
        <w:pStyle w:val="51"/>
        <w:spacing w:line="360" w:lineRule="auto"/>
        <w:ind w:firstLine="200"/>
        <w:rPr>
          <w:rFonts w:ascii="宋体" w:hAnsi="宋体"/>
        </w:rPr>
      </w:pPr>
      <w:r>
        <w:rPr>
          <w:rFonts w:hint="eastAsia" w:ascii="宋体" w:hAnsi="宋体"/>
        </w:rPr>
        <w:t>施工现场需要具备的其他试验条件： 。</w:t>
      </w:r>
    </w:p>
    <w:p>
      <w:pPr>
        <w:pStyle w:val="51"/>
        <w:spacing w:line="360" w:lineRule="auto"/>
        <w:ind w:firstLine="200"/>
        <w:rPr>
          <w:rFonts w:ascii="宋体" w:hAnsi="宋体"/>
        </w:rPr>
      </w:pPr>
      <w:r>
        <w:rPr>
          <w:rFonts w:hint="eastAsia" w:ascii="宋体" w:hAnsi="宋体"/>
        </w:rPr>
        <w:t>9.4 现场工艺试验</w:t>
      </w:r>
    </w:p>
    <w:p>
      <w:pPr>
        <w:pStyle w:val="51"/>
        <w:spacing w:line="360" w:lineRule="auto"/>
        <w:ind w:firstLine="200"/>
        <w:rPr>
          <w:rFonts w:ascii="宋体" w:hAnsi="宋体"/>
        </w:rPr>
      </w:pPr>
      <w:r>
        <w:rPr>
          <w:rFonts w:hint="eastAsia" w:ascii="宋体" w:hAnsi="宋体"/>
        </w:rPr>
        <w:t>现场工艺试验的有关约定： 。</w:t>
      </w:r>
    </w:p>
    <w:p>
      <w:pPr>
        <w:pStyle w:val="51"/>
        <w:spacing w:line="360" w:lineRule="auto"/>
        <w:ind w:firstLine="200"/>
        <w:rPr>
          <w:rFonts w:ascii="宋体" w:hAnsi="宋体"/>
        </w:rPr>
      </w:pPr>
      <w:r>
        <w:rPr>
          <w:rFonts w:hint="eastAsia" w:ascii="宋体" w:hAnsi="宋体"/>
        </w:rPr>
        <w:t>10. 变更</w:t>
      </w:r>
    </w:p>
    <w:p>
      <w:pPr>
        <w:pStyle w:val="51"/>
        <w:spacing w:line="360" w:lineRule="auto"/>
        <w:ind w:firstLine="200"/>
        <w:rPr>
          <w:rFonts w:ascii="宋体" w:hAnsi="宋体"/>
        </w:rPr>
      </w:pPr>
      <w:r>
        <w:rPr>
          <w:rFonts w:hint="eastAsia" w:ascii="宋体" w:hAnsi="宋体"/>
        </w:rPr>
        <w:t>10.1 变更的范围</w:t>
      </w:r>
    </w:p>
    <w:p>
      <w:pPr>
        <w:pStyle w:val="51"/>
        <w:spacing w:line="360" w:lineRule="auto"/>
        <w:ind w:firstLine="200"/>
        <w:rPr>
          <w:rFonts w:ascii="宋体" w:hAnsi="宋体"/>
        </w:rPr>
      </w:pPr>
      <w:r>
        <w:rPr>
          <w:rFonts w:hint="eastAsia" w:ascii="宋体" w:hAnsi="宋体"/>
        </w:rPr>
        <w:t>关于变更的范围的约定： 。</w:t>
      </w:r>
    </w:p>
    <w:p>
      <w:pPr>
        <w:pStyle w:val="51"/>
        <w:spacing w:line="360" w:lineRule="auto"/>
        <w:ind w:firstLine="200"/>
        <w:rPr>
          <w:rFonts w:ascii="宋体" w:hAnsi="宋体"/>
        </w:rPr>
      </w:pPr>
      <w:r>
        <w:rPr>
          <w:rFonts w:hint="eastAsia" w:ascii="宋体" w:hAnsi="宋体"/>
        </w:rPr>
        <w:t>10.4 变更估价</w:t>
      </w:r>
    </w:p>
    <w:p>
      <w:pPr>
        <w:pStyle w:val="51"/>
        <w:spacing w:line="360" w:lineRule="auto"/>
        <w:ind w:firstLine="200"/>
        <w:rPr>
          <w:rFonts w:ascii="宋体" w:hAnsi="宋体"/>
        </w:rPr>
      </w:pPr>
      <w:r>
        <w:rPr>
          <w:rFonts w:hint="eastAsia" w:ascii="宋体" w:hAnsi="宋体"/>
        </w:rPr>
        <w:t>10.4.1 变更估价原则</w:t>
      </w:r>
    </w:p>
    <w:p>
      <w:pPr>
        <w:pStyle w:val="51"/>
        <w:spacing w:line="360" w:lineRule="auto"/>
        <w:ind w:firstLine="200"/>
        <w:rPr>
          <w:rFonts w:ascii="宋体" w:hAnsi="宋体"/>
        </w:rPr>
      </w:pPr>
      <w:r>
        <w:rPr>
          <w:rFonts w:hint="eastAsia" w:ascii="宋体" w:hAnsi="宋体"/>
        </w:rPr>
        <w:t>关于变更估价的约定： 。</w:t>
      </w:r>
    </w:p>
    <w:p>
      <w:pPr>
        <w:pStyle w:val="51"/>
        <w:spacing w:line="360" w:lineRule="auto"/>
        <w:ind w:firstLine="200"/>
        <w:rPr>
          <w:rFonts w:ascii="宋体" w:hAnsi="宋体"/>
        </w:rPr>
      </w:pPr>
      <w:r>
        <w:rPr>
          <w:rFonts w:hint="eastAsia" w:ascii="宋体" w:hAnsi="宋体"/>
        </w:rPr>
        <w:t>10.5 承包人的合理化建议</w:t>
      </w:r>
    </w:p>
    <w:p>
      <w:pPr>
        <w:pStyle w:val="51"/>
        <w:spacing w:line="360" w:lineRule="auto"/>
        <w:ind w:firstLine="200"/>
        <w:rPr>
          <w:rFonts w:ascii="宋体" w:hAnsi="宋体"/>
        </w:rPr>
      </w:pPr>
      <w:r>
        <w:rPr>
          <w:rFonts w:hint="eastAsia" w:ascii="宋体" w:hAnsi="宋体"/>
        </w:rPr>
        <w:t>监理人审查承包人合理化建议的期限： 。</w:t>
      </w:r>
    </w:p>
    <w:p>
      <w:pPr>
        <w:pStyle w:val="51"/>
        <w:spacing w:line="360" w:lineRule="auto"/>
        <w:ind w:firstLine="200"/>
        <w:rPr>
          <w:rFonts w:ascii="宋体" w:hAnsi="宋体"/>
        </w:rPr>
      </w:pPr>
      <w:r>
        <w:rPr>
          <w:rFonts w:hint="eastAsia" w:ascii="宋体" w:hAnsi="宋体"/>
        </w:rPr>
        <w:t>发包人审批承包人合理化建议的期限： 。</w:t>
      </w:r>
    </w:p>
    <w:p>
      <w:pPr>
        <w:pStyle w:val="51"/>
        <w:spacing w:line="360" w:lineRule="auto"/>
        <w:ind w:firstLine="200"/>
        <w:rPr>
          <w:rFonts w:ascii="宋体" w:hAnsi="宋体"/>
        </w:rPr>
      </w:pPr>
      <w:r>
        <w:rPr>
          <w:rFonts w:hint="eastAsia" w:ascii="宋体" w:hAnsi="宋体"/>
        </w:rPr>
        <w:t>承包人提出的合理化建议降低了合同价格或者提高了工程经济效益的奖励的方法和金额为： 。</w:t>
      </w:r>
    </w:p>
    <w:p>
      <w:pPr>
        <w:pStyle w:val="51"/>
        <w:spacing w:line="360" w:lineRule="auto"/>
        <w:ind w:firstLine="200"/>
        <w:rPr>
          <w:rFonts w:ascii="宋体" w:hAnsi="宋体"/>
        </w:rPr>
      </w:pPr>
      <w:r>
        <w:rPr>
          <w:rFonts w:hint="eastAsia" w:ascii="宋体" w:hAnsi="宋体"/>
        </w:rPr>
        <w:t>10.7 暂估价</w:t>
      </w:r>
    </w:p>
    <w:p>
      <w:pPr>
        <w:pStyle w:val="51"/>
        <w:spacing w:line="360" w:lineRule="auto"/>
        <w:ind w:firstLine="200"/>
        <w:rPr>
          <w:rFonts w:ascii="宋体" w:hAnsi="宋体"/>
        </w:rPr>
      </w:pPr>
      <w:r>
        <w:rPr>
          <w:rFonts w:hint="eastAsia" w:ascii="宋体" w:hAnsi="宋体"/>
        </w:rPr>
        <w:t>暂估价材料和工程设备的明细详见</w:t>
      </w:r>
      <w:r>
        <w:rPr>
          <w:rFonts w:hint="eastAsia" w:ascii="宋体" w:hAnsi="宋体"/>
          <w:u w:val="single"/>
        </w:rPr>
        <w:t>附件 9：《暂估价一览表》</w:t>
      </w:r>
      <w:r>
        <w:rPr>
          <w:rFonts w:hint="eastAsia" w:ascii="宋体" w:hAnsi="宋体"/>
        </w:rPr>
        <w:t>。</w:t>
      </w:r>
    </w:p>
    <w:p>
      <w:pPr>
        <w:pStyle w:val="51"/>
        <w:spacing w:line="360" w:lineRule="auto"/>
        <w:ind w:firstLine="200"/>
        <w:rPr>
          <w:rFonts w:ascii="宋体" w:hAnsi="宋体"/>
        </w:rPr>
      </w:pPr>
      <w:r>
        <w:rPr>
          <w:rFonts w:hint="eastAsia" w:ascii="宋体" w:hAnsi="宋体"/>
        </w:rPr>
        <w:t>10.7.1 依法必须招标的暂估价项目</w:t>
      </w:r>
    </w:p>
    <w:p>
      <w:pPr>
        <w:pStyle w:val="51"/>
        <w:spacing w:line="360" w:lineRule="auto"/>
        <w:ind w:firstLine="200"/>
        <w:rPr>
          <w:rFonts w:ascii="宋体" w:hAnsi="宋体"/>
        </w:rPr>
      </w:pPr>
      <w:r>
        <w:rPr>
          <w:rFonts w:hint="eastAsia" w:ascii="宋体" w:hAnsi="宋体"/>
        </w:rPr>
        <w:t>对于依法必须招标的暂估价项目的确认和批准采取第种方式确定。</w:t>
      </w:r>
    </w:p>
    <w:p>
      <w:pPr>
        <w:pStyle w:val="51"/>
        <w:spacing w:line="360" w:lineRule="auto"/>
        <w:ind w:firstLine="200"/>
        <w:rPr>
          <w:rFonts w:ascii="宋体" w:hAnsi="宋体"/>
        </w:rPr>
      </w:pPr>
      <w:r>
        <w:rPr>
          <w:rFonts w:hint="eastAsia" w:ascii="宋体" w:hAnsi="宋体"/>
        </w:rPr>
        <w:t>10.7.2 不属于依法必须招标的暂估价项目</w:t>
      </w:r>
    </w:p>
    <w:p>
      <w:pPr>
        <w:pStyle w:val="51"/>
        <w:spacing w:line="360" w:lineRule="auto"/>
        <w:ind w:firstLine="200"/>
        <w:rPr>
          <w:rFonts w:ascii="宋体" w:hAnsi="宋体"/>
        </w:rPr>
      </w:pPr>
      <w:r>
        <w:rPr>
          <w:rFonts w:hint="eastAsia" w:ascii="宋体" w:hAnsi="宋体"/>
        </w:rPr>
        <w:t>对于不属于依法必须招标的暂估价项目的确认和批准采取第种方式确定。</w:t>
      </w:r>
    </w:p>
    <w:p>
      <w:pPr>
        <w:pStyle w:val="51"/>
        <w:spacing w:line="360" w:lineRule="auto"/>
        <w:ind w:firstLine="200"/>
        <w:rPr>
          <w:rFonts w:ascii="宋体" w:hAnsi="宋体"/>
        </w:rPr>
      </w:pPr>
      <w:r>
        <w:rPr>
          <w:rFonts w:hint="eastAsia" w:ascii="宋体" w:hAnsi="宋体"/>
        </w:rPr>
        <w:t>第 3 种方式：承包人直接实施的暂估价项目</w:t>
      </w:r>
    </w:p>
    <w:p>
      <w:pPr>
        <w:pStyle w:val="51"/>
        <w:spacing w:line="360" w:lineRule="auto"/>
        <w:ind w:firstLine="200"/>
        <w:rPr>
          <w:rFonts w:ascii="宋体" w:hAnsi="宋体"/>
        </w:rPr>
      </w:pPr>
      <w:r>
        <w:rPr>
          <w:rFonts w:hint="eastAsia" w:ascii="宋体" w:hAnsi="宋体"/>
        </w:rPr>
        <w:t>承包人直接实施的暂估价项目的约定：。</w:t>
      </w:r>
    </w:p>
    <w:p>
      <w:pPr>
        <w:pStyle w:val="51"/>
        <w:spacing w:line="360" w:lineRule="auto"/>
        <w:ind w:firstLine="200"/>
        <w:rPr>
          <w:rFonts w:ascii="宋体" w:hAnsi="宋体"/>
        </w:rPr>
      </w:pPr>
      <w:r>
        <w:rPr>
          <w:rFonts w:hint="eastAsia" w:ascii="宋体" w:hAnsi="宋体"/>
        </w:rPr>
        <w:t>10.8 暂列金额</w:t>
      </w:r>
    </w:p>
    <w:p>
      <w:pPr>
        <w:pStyle w:val="51"/>
        <w:spacing w:line="360" w:lineRule="auto"/>
        <w:ind w:firstLine="200"/>
        <w:rPr>
          <w:rFonts w:ascii="宋体" w:hAnsi="宋体"/>
        </w:rPr>
      </w:pPr>
      <w:r>
        <w:rPr>
          <w:rFonts w:hint="eastAsia" w:ascii="宋体" w:hAnsi="宋体"/>
        </w:rPr>
        <w:t>合同当事人关于暂列金额使用的约定：。</w:t>
      </w:r>
    </w:p>
    <w:p>
      <w:pPr>
        <w:pStyle w:val="51"/>
        <w:spacing w:line="360" w:lineRule="auto"/>
        <w:ind w:firstLine="200"/>
        <w:rPr>
          <w:rFonts w:ascii="宋体" w:hAnsi="宋体"/>
        </w:rPr>
      </w:pPr>
      <w:r>
        <w:rPr>
          <w:rFonts w:hint="eastAsia" w:ascii="宋体" w:hAnsi="宋体"/>
        </w:rPr>
        <w:t>11. 价格调整</w:t>
      </w:r>
    </w:p>
    <w:p>
      <w:pPr>
        <w:pStyle w:val="51"/>
        <w:spacing w:line="360" w:lineRule="auto"/>
        <w:ind w:firstLine="200"/>
        <w:rPr>
          <w:rFonts w:ascii="宋体" w:hAnsi="宋体"/>
        </w:rPr>
      </w:pPr>
      <w:r>
        <w:rPr>
          <w:rFonts w:hint="eastAsia" w:ascii="宋体" w:hAnsi="宋体"/>
        </w:rPr>
        <w:t>11.1 市场价格波动引起的调整</w:t>
      </w:r>
    </w:p>
    <w:p>
      <w:pPr>
        <w:pStyle w:val="51"/>
        <w:spacing w:line="360" w:lineRule="auto"/>
        <w:ind w:firstLine="200"/>
        <w:rPr>
          <w:rFonts w:ascii="宋体" w:hAnsi="宋体"/>
        </w:rPr>
      </w:pPr>
      <w:r>
        <w:rPr>
          <w:rFonts w:hint="eastAsia" w:ascii="宋体" w:hAnsi="宋体"/>
        </w:rPr>
        <w:t>市场价格波动是否调整合同价格的约定： 。</w:t>
      </w:r>
    </w:p>
    <w:p>
      <w:pPr>
        <w:pStyle w:val="51"/>
        <w:spacing w:line="360" w:lineRule="auto"/>
        <w:ind w:firstLine="200"/>
        <w:rPr>
          <w:rFonts w:ascii="宋体" w:hAnsi="宋体"/>
        </w:rPr>
      </w:pPr>
      <w:r>
        <w:rPr>
          <w:rFonts w:hint="eastAsia" w:ascii="宋体" w:hAnsi="宋体"/>
        </w:rPr>
        <w:t>因市场价格波动调整合同价格，采用以下第种方式对合同价格进行调整：</w:t>
      </w:r>
      <w:r>
        <w:rPr>
          <w:rFonts w:hint="eastAsia" w:ascii="宋体" w:hAnsi="宋体"/>
          <w:u w:val="single"/>
        </w:rPr>
        <w:t>______</w:t>
      </w:r>
    </w:p>
    <w:p>
      <w:pPr>
        <w:pStyle w:val="51"/>
        <w:spacing w:line="360" w:lineRule="auto"/>
        <w:ind w:firstLine="200"/>
        <w:rPr>
          <w:rFonts w:ascii="宋体" w:hAnsi="宋体"/>
        </w:rPr>
      </w:pPr>
      <w:r>
        <w:rPr>
          <w:rFonts w:hint="eastAsia" w:ascii="宋体" w:hAnsi="宋体"/>
        </w:rPr>
        <w:t>第 1 种方式：采用价格指数进行价格调整。</w:t>
      </w:r>
    </w:p>
    <w:p>
      <w:pPr>
        <w:pStyle w:val="51"/>
        <w:spacing w:line="360" w:lineRule="auto"/>
        <w:ind w:firstLine="200"/>
        <w:rPr>
          <w:rFonts w:ascii="宋体" w:hAnsi="宋体"/>
        </w:rPr>
      </w:pPr>
      <w:r>
        <w:rPr>
          <w:rFonts w:hint="eastAsia" w:ascii="宋体" w:hAnsi="宋体"/>
        </w:rPr>
        <w:t>关于各可调因子、定值和变值权重，以及基本价格指数及其来源的约定： ；</w:t>
      </w:r>
    </w:p>
    <w:p>
      <w:pPr>
        <w:pStyle w:val="51"/>
        <w:spacing w:line="360" w:lineRule="auto"/>
        <w:ind w:firstLine="200"/>
        <w:rPr>
          <w:rFonts w:ascii="宋体" w:hAnsi="宋体"/>
        </w:rPr>
      </w:pPr>
      <w:r>
        <w:rPr>
          <w:rFonts w:hint="eastAsia" w:ascii="宋体" w:hAnsi="宋体"/>
        </w:rPr>
        <w:t>第 2 种方式：采用造价信息进行价格调整。</w:t>
      </w:r>
    </w:p>
    <w:p>
      <w:pPr>
        <w:pStyle w:val="51"/>
        <w:spacing w:line="360" w:lineRule="auto"/>
        <w:ind w:firstLine="200"/>
        <w:rPr>
          <w:rFonts w:ascii="宋体" w:hAnsi="宋体"/>
        </w:rPr>
      </w:pPr>
      <w:r>
        <w:rPr>
          <w:rFonts w:hint="eastAsia" w:ascii="宋体" w:hAnsi="宋体"/>
        </w:rPr>
        <w:t>（2）关于基准价格的约定： 。</w:t>
      </w:r>
    </w:p>
    <w:p>
      <w:pPr>
        <w:pStyle w:val="51"/>
        <w:spacing w:line="360" w:lineRule="auto"/>
        <w:ind w:firstLine="200"/>
        <w:rPr>
          <w:rFonts w:ascii="宋体" w:hAnsi="宋体"/>
        </w:rPr>
      </w:pPr>
      <w:r>
        <w:rPr>
          <w:rFonts w:hint="eastAsia" w:ascii="宋体" w:hAnsi="宋体"/>
        </w:rPr>
        <w:t>专用合同条款①承包人在已标价工程量清单或预算书中载明的材料单价低于基准价格的：专用合同条款合同履行期间材料单价涨幅以基准价格为基础超过%时，或材料单价跌幅以已标价工程量清单或预算书中载明材料单价为基础超过%时，其超过部分据实调整。</w:t>
      </w:r>
    </w:p>
    <w:p>
      <w:pPr>
        <w:pStyle w:val="51"/>
        <w:spacing w:line="360" w:lineRule="auto"/>
        <w:ind w:firstLine="200"/>
        <w:rPr>
          <w:rFonts w:ascii="宋体" w:hAnsi="宋体"/>
        </w:rPr>
      </w:pPr>
      <w:r>
        <w:rPr>
          <w:rFonts w:hint="eastAsia" w:ascii="宋体" w:hAnsi="宋体"/>
        </w:rPr>
        <w:t>②承包人在已标价工程量清单或预算书中载明的材料单价高于基准价格的：专用合同条款合同履行期间材料单价跌幅以基准价格为基础超过%时，材料单价涨幅以已标价工程量清单或预算书中载明材料单价为基础超过%时，其超过部分据实调整。</w:t>
      </w:r>
    </w:p>
    <w:p>
      <w:pPr>
        <w:pStyle w:val="51"/>
        <w:spacing w:line="360" w:lineRule="auto"/>
        <w:ind w:firstLine="200"/>
        <w:rPr>
          <w:rFonts w:ascii="宋体" w:hAnsi="宋体"/>
        </w:rPr>
      </w:pPr>
      <w:r>
        <w:rPr>
          <w:rFonts w:hint="eastAsia" w:ascii="宋体" w:hAnsi="宋体"/>
        </w:rPr>
        <w:t>③承包人在已标价工程量清单或预算书中载明的材料单价等于基准单价的：专用合同条款合同履行期间材料单价涨跌幅以基准单价为基础超过±%时，其超过部分据实调整。</w:t>
      </w:r>
    </w:p>
    <w:p>
      <w:pPr>
        <w:pStyle w:val="51"/>
        <w:spacing w:line="360" w:lineRule="auto"/>
        <w:ind w:firstLine="200"/>
        <w:rPr>
          <w:rFonts w:ascii="宋体" w:hAnsi="宋体"/>
        </w:rPr>
      </w:pPr>
      <w:r>
        <w:rPr>
          <w:rFonts w:hint="eastAsia" w:ascii="宋体" w:hAnsi="宋体"/>
        </w:rPr>
        <w:t>第 3 种方式：其他价格调整方式： 。</w:t>
      </w:r>
    </w:p>
    <w:p>
      <w:pPr>
        <w:pStyle w:val="51"/>
        <w:spacing w:line="360" w:lineRule="auto"/>
        <w:ind w:firstLine="200"/>
        <w:rPr>
          <w:rFonts w:ascii="宋体" w:hAnsi="宋体"/>
        </w:rPr>
      </w:pPr>
      <w:r>
        <w:rPr>
          <w:rFonts w:hint="eastAsia" w:ascii="宋体" w:hAnsi="宋体"/>
        </w:rPr>
        <w:t>12. 合同价格、计量与支付</w:t>
      </w:r>
    </w:p>
    <w:p>
      <w:pPr>
        <w:pStyle w:val="51"/>
        <w:spacing w:line="360" w:lineRule="auto"/>
        <w:ind w:firstLine="200"/>
        <w:rPr>
          <w:rFonts w:ascii="宋体" w:hAnsi="宋体"/>
        </w:rPr>
      </w:pPr>
      <w:r>
        <w:rPr>
          <w:rFonts w:hint="eastAsia" w:ascii="宋体" w:hAnsi="宋体"/>
        </w:rPr>
        <w:t>12.1 合同价格形式</w:t>
      </w:r>
    </w:p>
    <w:p>
      <w:pPr>
        <w:pStyle w:val="51"/>
        <w:spacing w:line="360" w:lineRule="auto"/>
        <w:ind w:firstLine="200"/>
        <w:rPr>
          <w:rFonts w:ascii="宋体" w:hAnsi="宋体"/>
        </w:rPr>
      </w:pPr>
      <w:r>
        <w:rPr>
          <w:rFonts w:hint="eastAsia" w:ascii="宋体" w:hAnsi="宋体"/>
        </w:rPr>
        <w:t>1、单价合同。</w:t>
      </w:r>
    </w:p>
    <w:p>
      <w:pPr>
        <w:pStyle w:val="51"/>
        <w:spacing w:line="360" w:lineRule="auto"/>
        <w:ind w:firstLine="200"/>
        <w:rPr>
          <w:rFonts w:ascii="宋体" w:hAnsi="宋体"/>
        </w:rPr>
      </w:pPr>
      <w:r>
        <w:rPr>
          <w:rFonts w:hint="eastAsia" w:ascii="宋体" w:hAnsi="宋体"/>
        </w:rPr>
        <w:t>综合单价包含的风险范围： 。</w:t>
      </w:r>
    </w:p>
    <w:p>
      <w:pPr>
        <w:pStyle w:val="51"/>
        <w:spacing w:line="360" w:lineRule="auto"/>
        <w:ind w:firstLine="200"/>
        <w:rPr>
          <w:rFonts w:ascii="宋体" w:hAnsi="宋体"/>
        </w:rPr>
      </w:pPr>
      <w:r>
        <w:rPr>
          <w:rFonts w:hint="eastAsia" w:ascii="宋体" w:hAnsi="宋体"/>
        </w:rPr>
        <w:t>风险费用的计算方法： 。</w:t>
      </w:r>
    </w:p>
    <w:p>
      <w:pPr>
        <w:pStyle w:val="51"/>
        <w:spacing w:line="360" w:lineRule="auto"/>
        <w:ind w:firstLine="200"/>
        <w:rPr>
          <w:rFonts w:ascii="宋体" w:hAnsi="宋体"/>
        </w:rPr>
      </w:pPr>
      <w:r>
        <w:rPr>
          <w:rFonts w:hint="eastAsia" w:ascii="宋体" w:hAnsi="宋体"/>
        </w:rPr>
        <w:t>风险范围以外合同价格的调整方法： 。</w:t>
      </w:r>
    </w:p>
    <w:p>
      <w:pPr>
        <w:pStyle w:val="51"/>
        <w:spacing w:line="360" w:lineRule="auto"/>
        <w:ind w:firstLine="200"/>
        <w:rPr>
          <w:rFonts w:ascii="宋体" w:hAnsi="宋体"/>
        </w:rPr>
      </w:pPr>
      <w:r>
        <w:rPr>
          <w:rFonts w:hint="eastAsia" w:ascii="宋体" w:hAnsi="宋体"/>
        </w:rPr>
        <w:t>2、总价合同。</w:t>
      </w:r>
    </w:p>
    <w:p>
      <w:pPr>
        <w:pStyle w:val="51"/>
        <w:spacing w:line="360" w:lineRule="auto"/>
        <w:ind w:firstLine="200"/>
        <w:rPr>
          <w:rFonts w:ascii="宋体" w:hAnsi="宋体"/>
        </w:rPr>
      </w:pPr>
      <w:r>
        <w:rPr>
          <w:rFonts w:hint="eastAsia" w:ascii="宋体" w:hAnsi="宋体"/>
        </w:rPr>
        <w:t>总价包含的风险范围： 。</w:t>
      </w:r>
    </w:p>
    <w:p>
      <w:pPr>
        <w:pStyle w:val="51"/>
        <w:spacing w:line="360" w:lineRule="auto"/>
        <w:ind w:firstLine="200"/>
        <w:rPr>
          <w:rFonts w:ascii="宋体" w:hAnsi="宋体"/>
        </w:rPr>
      </w:pPr>
      <w:r>
        <w:rPr>
          <w:rFonts w:hint="eastAsia" w:ascii="宋体" w:hAnsi="宋体"/>
        </w:rPr>
        <w:t>风险费用的计算方法： 。</w:t>
      </w:r>
    </w:p>
    <w:p>
      <w:pPr>
        <w:pStyle w:val="51"/>
        <w:spacing w:line="360" w:lineRule="auto"/>
        <w:ind w:firstLine="200"/>
        <w:rPr>
          <w:rFonts w:ascii="宋体" w:hAnsi="宋体"/>
        </w:rPr>
      </w:pPr>
      <w:r>
        <w:rPr>
          <w:rFonts w:hint="eastAsia" w:ascii="宋体" w:hAnsi="宋体"/>
        </w:rPr>
        <w:t>风险范围以外合同价格的调整方法： 。</w:t>
      </w:r>
    </w:p>
    <w:p>
      <w:pPr>
        <w:pStyle w:val="51"/>
        <w:spacing w:line="360" w:lineRule="auto"/>
        <w:ind w:firstLine="200"/>
        <w:rPr>
          <w:rFonts w:ascii="宋体" w:hAnsi="宋体"/>
        </w:rPr>
      </w:pPr>
      <w:r>
        <w:rPr>
          <w:rFonts w:hint="eastAsia" w:ascii="宋体" w:hAnsi="宋体"/>
        </w:rPr>
        <w:t>3、其他价格方式： 。</w:t>
      </w:r>
    </w:p>
    <w:p>
      <w:pPr>
        <w:pStyle w:val="51"/>
        <w:spacing w:line="360" w:lineRule="auto"/>
        <w:ind w:firstLine="200"/>
        <w:rPr>
          <w:rFonts w:ascii="宋体" w:hAnsi="宋体"/>
        </w:rPr>
      </w:pPr>
      <w:r>
        <w:rPr>
          <w:rFonts w:hint="eastAsia" w:ascii="宋体" w:hAnsi="宋体"/>
        </w:rPr>
        <w:t>12.2 预付款</w:t>
      </w:r>
    </w:p>
    <w:p>
      <w:pPr>
        <w:pStyle w:val="51"/>
        <w:spacing w:line="360" w:lineRule="auto"/>
        <w:ind w:firstLine="200"/>
        <w:rPr>
          <w:rFonts w:ascii="宋体" w:hAnsi="宋体"/>
        </w:rPr>
      </w:pPr>
      <w:r>
        <w:rPr>
          <w:rFonts w:hint="eastAsia" w:ascii="宋体" w:hAnsi="宋体"/>
        </w:rPr>
        <w:t>12.2.1 预付款的支付</w:t>
      </w:r>
    </w:p>
    <w:p>
      <w:pPr>
        <w:pStyle w:val="51"/>
        <w:spacing w:line="360" w:lineRule="auto"/>
        <w:ind w:firstLine="200"/>
        <w:rPr>
          <w:rFonts w:ascii="宋体" w:hAnsi="宋体"/>
        </w:rPr>
      </w:pPr>
      <w:r>
        <w:rPr>
          <w:rFonts w:hint="eastAsia" w:ascii="宋体" w:hAnsi="宋体"/>
        </w:rPr>
        <w:t>预付款支付比例或金额： 。</w:t>
      </w:r>
    </w:p>
    <w:p>
      <w:pPr>
        <w:pStyle w:val="51"/>
        <w:spacing w:line="360" w:lineRule="auto"/>
        <w:ind w:firstLine="200"/>
        <w:rPr>
          <w:rFonts w:ascii="宋体" w:hAnsi="宋体"/>
        </w:rPr>
      </w:pPr>
      <w:r>
        <w:rPr>
          <w:rFonts w:hint="eastAsia" w:ascii="宋体" w:hAnsi="宋体"/>
        </w:rPr>
        <w:t>预付款支付期限： 。</w:t>
      </w:r>
    </w:p>
    <w:p>
      <w:pPr>
        <w:pStyle w:val="51"/>
        <w:spacing w:line="360" w:lineRule="auto"/>
        <w:ind w:firstLine="200"/>
        <w:rPr>
          <w:rFonts w:ascii="宋体" w:hAnsi="宋体"/>
        </w:rPr>
      </w:pPr>
      <w:r>
        <w:rPr>
          <w:rFonts w:hint="eastAsia" w:ascii="宋体" w:hAnsi="宋体"/>
        </w:rPr>
        <w:t>预付款扣回的方式： 。</w:t>
      </w:r>
    </w:p>
    <w:p>
      <w:pPr>
        <w:pStyle w:val="51"/>
        <w:spacing w:line="360" w:lineRule="auto"/>
        <w:ind w:firstLine="200"/>
        <w:rPr>
          <w:rFonts w:ascii="宋体" w:hAnsi="宋体"/>
        </w:rPr>
      </w:pPr>
      <w:r>
        <w:rPr>
          <w:rFonts w:hint="eastAsia" w:ascii="宋体" w:hAnsi="宋体"/>
        </w:rPr>
        <w:t>12.2.2 预付款担保</w:t>
      </w:r>
    </w:p>
    <w:p>
      <w:pPr>
        <w:pStyle w:val="51"/>
        <w:spacing w:line="360" w:lineRule="auto"/>
        <w:ind w:firstLine="200"/>
        <w:rPr>
          <w:rFonts w:ascii="宋体" w:hAnsi="宋体"/>
        </w:rPr>
      </w:pPr>
      <w:r>
        <w:rPr>
          <w:rFonts w:hint="eastAsia" w:ascii="宋体" w:hAnsi="宋体"/>
        </w:rPr>
        <w:t>承包人提交预付款担保的期限： 。</w:t>
      </w:r>
    </w:p>
    <w:p>
      <w:pPr>
        <w:pStyle w:val="51"/>
        <w:spacing w:line="360" w:lineRule="auto"/>
        <w:ind w:firstLine="200"/>
        <w:rPr>
          <w:rFonts w:ascii="宋体" w:hAnsi="宋体"/>
        </w:rPr>
      </w:pPr>
      <w:r>
        <w:rPr>
          <w:rFonts w:hint="eastAsia" w:ascii="宋体" w:hAnsi="宋体"/>
        </w:rPr>
        <w:t>预付款担保的形式为： 。</w:t>
      </w:r>
    </w:p>
    <w:p>
      <w:pPr>
        <w:pStyle w:val="51"/>
        <w:spacing w:line="360" w:lineRule="auto"/>
        <w:ind w:firstLine="200"/>
        <w:rPr>
          <w:rFonts w:ascii="宋体" w:hAnsi="宋体"/>
        </w:rPr>
      </w:pPr>
      <w:r>
        <w:rPr>
          <w:rFonts w:hint="eastAsia" w:ascii="宋体" w:hAnsi="宋体"/>
        </w:rPr>
        <w:t>12.3 计量</w:t>
      </w:r>
    </w:p>
    <w:p>
      <w:pPr>
        <w:pStyle w:val="51"/>
        <w:spacing w:line="360" w:lineRule="auto"/>
        <w:ind w:firstLine="200"/>
        <w:rPr>
          <w:rFonts w:ascii="宋体" w:hAnsi="宋体"/>
        </w:rPr>
      </w:pPr>
      <w:r>
        <w:rPr>
          <w:rFonts w:hint="eastAsia" w:ascii="宋体" w:hAnsi="宋体"/>
        </w:rPr>
        <w:t>12.3.1 计量原则</w:t>
      </w:r>
    </w:p>
    <w:p>
      <w:pPr>
        <w:pStyle w:val="51"/>
        <w:spacing w:line="360" w:lineRule="auto"/>
        <w:ind w:firstLine="200"/>
        <w:rPr>
          <w:rFonts w:ascii="宋体" w:hAnsi="宋体"/>
        </w:rPr>
      </w:pPr>
      <w:r>
        <w:rPr>
          <w:rFonts w:hint="eastAsia" w:ascii="宋体" w:hAnsi="宋体"/>
        </w:rPr>
        <w:t>工程量计算规则： 。</w:t>
      </w:r>
    </w:p>
    <w:p>
      <w:pPr>
        <w:pStyle w:val="51"/>
        <w:spacing w:line="360" w:lineRule="auto"/>
        <w:ind w:firstLine="200"/>
        <w:rPr>
          <w:rFonts w:ascii="宋体" w:hAnsi="宋体"/>
        </w:rPr>
      </w:pPr>
      <w:r>
        <w:rPr>
          <w:rFonts w:hint="eastAsia" w:ascii="宋体" w:hAnsi="宋体"/>
        </w:rPr>
        <w:t>12.3.2 计量周期</w:t>
      </w:r>
    </w:p>
    <w:p>
      <w:pPr>
        <w:pStyle w:val="51"/>
        <w:spacing w:line="360" w:lineRule="auto"/>
        <w:ind w:firstLine="200"/>
        <w:rPr>
          <w:rFonts w:ascii="宋体" w:hAnsi="宋体"/>
        </w:rPr>
      </w:pPr>
      <w:r>
        <w:rPr>
          <w:rFonts w:hint="eastAsia" w:ascii="宋体" w:hAnsi="宋体"/>
        </w:rPr>
        <w:t>关于计量周期的约定： 。</w:t>
      </w:r>
    </w:p>
    <w:p>
      <w:pPr>
        <w:pStyle w:val="51"/>
        <w:spacing w:line="360" w:lineRule="auto"/>
        <w:ind w:firstLine="200"/>
        <w:rPr>
          <w:rFonts w:ascii="宋体" w:hAnsi="宋体"/>
        </w:rPr>
      </w:pPr>
      <w:r>
        <w:rPr>
          <w:rFonts w:hint="eastAsia" w:ascii="宋体" w:hAnsi="宋体"/>
        </w:rPr>
        <w:t>12.3.3 单价合同的计量</w:t>
      </w:r>
    </w:p>
    <w:p>
      <w:pPr>
        <w:pStyle w:val="51"/>
        <w:spacing w:line="360" w:lineRule="auto"/>
        <w:ind w:firstLine="200"/>
        <w:rPr>
          <w:rFonts w:ascii="宋体" w:hAnsi="宋体"/>
        </w:rPr>
      </w:pPr>
      <w:r>
        <w:rPr>
          <w:rFonts w:hint="eastAsia" w:ascii="宋体" w:hAnsi="宋体"/>
        </w:rPr>
        <w:t>关于单价合同计量的约定： 。</w:t>
      </w:r>
    </w:p>
    <w:p>
      <w:pPr>
        <w:pStyle w:val="51"/>
        <w:spacing w:line="360" w:lineRule="auto"/>
        <w:ind w:firstLine="200"/>
        <w:rPr>
          <w:rFonts w:ascii="宋体" w:hAnsi="宋体"/>
        </w:rPr>
      </w:pPr>
      <w:r>
        <w:rPr>
          <w:rFonts w:hint="eastAsia" w:ascii="宋体" w:hAnsi="宋体"/>
        </w:rPr>
        <w:t>12.3.4 总价合同的计量</w:t>
      </w:r>
    </w:p>
    <w:p>
      <w:pPr>
        <w:pStyle w:val="51"/>
        <w:spacing w:line="360" w:lineRule="auto"/>
        <w:ind w:firstLine="200"/>
        <w:rPr>
          <w:rFonts w:ascii="宋体" w:hAnsi="宋体"/>
        </w:rPr>
      </w:pPr>
      <w:r>
        <w:rPr>
          <w:rFonts w:hint="eastAsia" w:ascii="宋体" w:hAnsi="宋体"/>
        </w:rPr>
        <w:t>关于总价合同计量的约定： 。</w:t>
      </w:r>
    </w:p>
    <w:p>
      <w:pPr>
        <w:pStyle w:val="51"/>
        <w:spacing w:line="360" w:lineRule="auto"/>
        <w:ind w:firstLine="200"/>
        <w:rPr>
          <w:rFonts w:ascii="宋体" w:hAnsi="宋体"/>
        </w:rPr>
      </w:pPr>
      <w:r>
        <w:rPr>
          <w:rFonts w:hint="eastAsia" w:ascii="宋体" w:hAnsi="宋体"/>
        </w:rPr>
        <w:t>12.3.5 总价合同采用支付分解表计量支付的，是否适用第 12.3.4 项〔总价合同的计量〕约定进行计量： 。</w:t>
      </w:r>
    </w:p>
    <w:p>
      <w:pPr>
        <w:pStyle w:val="51"/>
        <w:spacing w:line="360" w:lineRule="auto"/>
        <w:ind w:firstLine="200"/>
        <w:rPr>
          <w:rFonts w:ascii="宋体" w:hAnsi="宋体"/>
        </w:rPr>
      </w:pPr>
      <w:r>
        <w:rPr>
          <w:rFonts w:hint="eastAsia" w:ascii="宋体" w:hAnsi="宋体"/>
        </w:rPr>
        <w:t>12.3.6 其他价格形式合同的计量</w:t>
      </w:r>
    </w:p>
    <w:p>
      <w:pPr>
        <w:pStyle w:val="51"/>
        <w:spacing w:line="360" w:lineRule="auto"/>
        <w:ind w:firstLine="200"/>
        <w:rPr>
          <w:rFonts w:ascii="宋体" w:hAnsi="宋体"/>
        </w:rPr>
      </w:pPr>
      <w:r>
        <w:rPr>
          <w:rFonts w:hint="eastAsia" w:ascii="宋体" w:hAnsi="宋体"/>
        </w:rPr>
        <w:t>其他价格形式的计量方式和程序： 。</w:t>
      </w:r>
    </w:p>
    <w:p>
      <w:pPr>
        <w:pStyle w:val="51"/>
        <w:spacing w:line="360" w:lineRule="auto"/>
        <w:ind w:firstLine="200"/>
        <w:rPr>
          <w:rFonts w:ascii="宋体" w:hAnsi="宋体"/>
        </w:rPr>
      </w:pPr>
      <w:r>
        <w:rPr>
          <w:rFonts w:hint="eastAsia" w:ascii="宋体" w:hAnsi="宋体"/>
        </w:rPr>
        <w:t>12.4 工程进度款支付</w:t>
      </w:r>
    </w:p>
    <w:p>
      <w:pPr>
        <w:pStyle w:val="51"/>
        <w:spacing w:line="360" w:lineRule="auto"/>
        <w:ind w:firstLine="200"/>
        <w:rPr>
          <w:rFonts w:ascii="宋体" w:hAnsi="宋体"/>
        </w:rPr>
      </w:pPr>
      <w:r>
        <w:rPr>
          <w:rFonts w:hint="eastAsia" w:ascii="宋体" w:hAnsi="宋体"/>
        </w:rPr>
        <w:t>12.4.1 付款周期</w:t>
      </w:r>
    </w:p>
    <w:p>
      <w:pPr>
        <w:pStyle w:val="51"/>
        <w:spacing w:line="360" w:lineRule="auto"/>
        <w:ind w:firstLine="200"/>
        <w:rPr>
          <w:rFonts w:ascii="宋体" w:hAnsi="宋体"/>
          <w:u w:val="single"/>
        </w:rPr>
      </w:pPr>
      <w:r>
        <w:rPr>
          <w:rFonts w:hint="eastAsia" w:ascii="宋体" w:hAnsi="宋体"/>
        </w:rPr>
        <w:t>关于付款周期的约定：</w:t>
      </w:r>
      <w:r>
        <w:rPr>
          <w:rFonts w:hint="eastAsia" w:ascii="宋体" w:hAnsi="宋体"/>
          <w:u w:val="single"/>
        </w:rPr>
        <w:t>签订合同，基础完成后支付合同总价款的30%，主体完成后支付至合同总价款的80%，工程完工后支付至合同总价款的97%；剩余合同总价款的3%为质保金，待质保期一年过后支付</w:t>
      </w:r>
      <w:r>
        <w:rPr>
          <w:rFonts w:hint="eastAsia" w:ascii="宋体" w:hAnsi="宋体"/>
        </w:rPr>
        <w:t>。</w:t>
      </w:r>
    </w:p>
    <w:p>
      <w:pPr>
        <w:pStyle w:val="51"/>
        <w:spacing w:line="360" w:lineRule="auto"/>
        <w:ind w:firstLine="200"/>
        <w:rPr>
          <w:rFonts w:ascii="宋体" w:hAnsi="宋体"/>
        </w:rPr>
      </w:pPr>
      <w:r>
        <w:rPr>
          <w:rFonts w:hint="eastAsia" w:ascii="宋体" w:hAnsi="宋体"/>
        </w:rPr>
        <w:t>12.4.2 进度付款申请单的编制</w:t>
      </w:r>
    </w:p>
    <w:p>
      <w:pPr>
        <w:pStyle w:val="51"/>
        <w:spacing w:line="360" w:lineRule="auto"/>
        <w:ind w:firstLine="200"/>
        <w:rPr>
          <w:rFonts w:ascii="宋体" w:hAnsi="宋体"/>
        </w:rPr>
      </w:pPr>
      <w:r>
        <w:rPr>
          <w:rFonts w:hint="eastAsia" w:ascii="宋体" w:hAnsi="宋体"/>
        </w:rPr>
        <w:t>关于进度付款申请单编制的约定： 。</w:t>
      </w:r>
    </w:p>
    <w:p>
      <w:pPr>
        <w:pStyle w:val="51"/>
        <w:spacing w:line="360" w:lineRule="auto"/>
        <w:ind w:firstLine="200"/>
        <w:rPr>
          <w:rFonts w:ascii="宋体" w:hAnsi="宋体"/>
        </w:rPr>
      </w:pPr>
      <w:r>
        <w:rPr>
          <w:rFonts w:hint="eastAsia" w:ascii="宋体" w:hAnsi="宋体"/>
        </w:rPr>
        <w:t>12.4.3 进度付款申请单的提交</w:t>
      </w:r>
    </w:p>
    <w:p>
      <w:pPr>
        <w:pStyle w:val="51"/>
        <w:spacing w:line="360" w:lineRule="auto"/>
        <w:ind w:firstLine="200"/>
        <w:rPr>
          <w:rFonts w:ascii="宋体" w:hAnsi="宋体"/>
        </w:rPr>
      </w:pPr>
      <w:r>
        <w:rPr>
          <w:rFonts w:hint="eastAsia" w:ascii="宋体" w:hAnsi="宋体"/>
        </w:rPr>
        <w:t>（1）单价合同进度付款申请单提交的约定： 。</w:t>
      </w:r>
    </w:p>
    <w:p>
      <w:pPr>
        <w:pStyle w:val="51"/>
        <w:spacing w:line="360" w:lineRule="auto"/>
        <w:ind w:firstLine="200"/>
        <w:rPr>
          <w:rFonts w:ascii="宋体" w:hAnsi="宋体"/>
        </w:rPr>
      </w:pPr>
      <w:r>
        <w:rPr>
          <w:rFonts w:hint="eastAsia" w:ascii="宋体" w:hAnsi="宋体"/>
        </w:rPr>
        <w:t>（2）总价合同进度付款申请单提交的约定： 。</w:t>
      </w:r>
    </w:p>
    <w:p>
      <w:pPr>
        <w:pStyle w:val="51"/>
        <w:spacing w:line="360" w:lineRule="auto"/>
        <w:ind w:firstLine="200"/>
        <w:rPr>
          <w:rFonts w:ascii="宋体" w:hAnsi="宋体"/>
        </w:rPr>
      </w:pPr>
      <w:r>
        <w:rPr>
          <w:rFonts w:hint="eastAsia" w:ascii="宋体" w:hAnsi="宋体"/>
        </w:rPr>
        <w:t>（3）其他价格形式合同进度付款申请单提交的约定： 。</w:t>
      </w:r>
    </w:p>
    <w:p>
      <w:pPr>
        <w:pStyle w:val="51"/>
        <w:spacing w:line="360" w:lineRule="auto"/>
        <w:ind w:firstLine="200"/>
        <w:rPr>
          <w:rFonts w:ascii="宋体" w:hAnsi="宋体"/>
        </w:rPr>
      </w:pPr>
      <w:r>
        <w:rPr>
          <w:rFonts w:hint="eastAsia" w:ascii="宋体" w:hAnsi="宋体"/>
        </w:rPr>
        <w:t>12.4.4 进度款审核和支付</w:t>
      </w:r>
    </w:p>
    <w:p>
      <w:pPr>
        <w:pStyle w:val="51"/>
        <w:spacing w:line="360" w:lineRule="auto"/>
        <w:ind w:firstLine="200"/>
        <w:rPr>
          <w:rFonts w:ascii="宋体" w:hAnsi="宋体"/>
        </w:rPr>
      </w:pPr>
      <w:r>
        <w:rPr>
          <w:rFonts w:hint="eastAsia" w:ascii="宋体" w:hAnsi="宋体"/>
        </w:rPr>
        <w:t>（1）监理人审查并报送发包人的期限： 。</w:t>
      </w:r>
    </w:p>
    <w:p>
      <w:pPr>
        <w:pStyle w:val="51"/>
        <w:spacing w:line="360" w:lineRule="auto"/>
        <w:ind w:firstLine="200"/>
        <w:rPr>
          <w:rFonts w:ascii="宋体" w:hAnsi="宋体"/>
        </w:rPr>
      </w:pPr>
      <w:r>
        <w:rPr>
          <w:rFonts w:hint="eastAsia" w:ascii="宋体" w:hAnsi="宋体"/>
        </w:rPr>
        <w:t>发包人完成审批并签发进度款支付证书的期限： 。</w:t>
      </w:r>
    </w:p>
    <w:p>
      <w:pPr>
        <w:pStyle w:val="51"/>
        <w:spacing w:line="360" w:lineRule="auto"/>
        <w:ind w:firstLine="200"/>
        <w:rPr>
          <w:rFonts w:ascii="宋体" w:hAnsi="宋体"/>
        </w:rPr>
      </w:pPr>
      <w:r>
        <w:rPr>
          <w:rFonts w:hint="eastAsia" w:ascii="宋体" w:hAnsi="宋体"/>
        </w:rPr>
        <w:t>（2）发包人支付进度款的期限： 。</w:t>
      </w:r>
    </w:p>
    <w:p>
      <w:pPr>
        <w:pStyle w:val="51"/>
        <w:spacing w:line="360" w:lineRule="auto"/>
        <w:ind w:firstLine="200"/>
        <w:rPr>
          <w:rFonts w:ascii="宋体" w:hAnsi="宋体"/>
        </w:rPr>
      </w:pPr>
      <w:r>
        <w:rPr>
          <w:rFonts w:hint="eastAsia" w:ascii="宋体" w:hAnsi="宋体"/>
        </w:rPr>
        <w:t>发包人逾期支付进度款的违约金的计算方式： 。</w:t>
      </w:r>
    </w:p>
    <w:p>
      <w:pPr>
        <w:pStyle w:val="51"/>
        <w:spacing w:line="360" w:lineRule="auto"/>
        <w:ind w:firstLine="200"/>
        <w:rPr>
          <w:rFonts w:ascii="宋体" w:hAnsi="宋体"/>
        </w:rPr>
      </w:pPr>
      <w:r>
        <w:rPr>
          <w:rFonts w:hint="eastAsia" w:ascii="宋体" w:hAnsi="宋体"/>
        </w:rPr>
        <w:t>12.4.6 支付分解表的编制</w:t>
      </w:r>
    </w:p>
    <w:p>
      <w:pPr>
        <w:pStyle w:val="51"/>
        <w:spacing w:line="360" w:lineRule="auto"/>
        <w:ind w:firstLine="200"/>
        <w:rPr>
          <w:rFonts w:ascii="宋体" w:hAnsi="宋体"/>
        </w:rPr>
      </w:pPr>
      <w:r>
        <w:rPr>
          <w:rFonts w:hint="eastAsia" w:ascii="宋体" w:hAnsi="宋体"/>
        </w:rPr>
        <w:t>2、总价合同支付分解表的编制与审批： 。</w:t>
      </w:r>
    </w:p>
    <w:p>
      <w:pPr>
        <w:pStyle w:val="51"/>
        <w:spacing w:line="360" w:lineRule="auto"/>
        <w:ind w:firstLine="200"/>
        <w:rPr>
          <w:rFonts w:ascii="宋体" w:hAnsi="宋体"/>
        </w:rPr>
      </w:pPr>
      <w:r>
        <w:rPr>
          <w:rFonts w:hint="eastAsia" w:ascii="宋体" w:hAnsi="宋体"/>
        </w:rPr>
        <w:t>3、单价合同的总价项目支付分解表的编制与审批： 。</w:t>
      </w:r>
    </w:p>
    <w:p>
      <w:pPr>
        <w:pStyle w:val="51"/>
        <w:spacing w:line="360" w:lineRule="auto"/>
        <w:ind w:firstLine="200"/>
        <w:rPr>
          <w:rFonts w:ascii="宋体" w:hAnsi="宋体"/>
        </w:rPr>
      </w:pPr>
      <w:r>
        <w:rPr>
          <w:rFonts w:hint="eastAsia" w:ascii="宋体" w:hAnsi="宋体"/>
        </w:rPr>
        <w:t>13. 验收和工程试车</w:t>
      </w:r>
    </w:p>
    <w:p>
      <w:pPr>
        <w:pStyle w:val="51"/>
        <w:spacing w:line="360" w:lineRule="auto"/>
        <w:ind w:firstLine="200"/>
        <w:rPr>
          <w:rFonts w:ascii="宋体" w:hAnsi="宋体"/>
        </w:rPr>
      </w:pPr>
      <w:r>
        <w:rPr>
          <w:rFonts w:hint="eastAsia" w:ascii="宋体" w:hAnsi="宋体"/>
        </w:rPr>
        <w:t>13.1 分部分项工程验收</w:t>
      </w:r>
    </w:p>
    <w:p>
      <w:pPr>
        <w:pStyle w:val="51"/>
        <w:spacing w:line="360" w:lineRule="auto"/>
        <w:ind w:firstLine="200"/>
        <w:rPr>
          <w:rFonts w:ascii="宋体" w:hAnsi="宋体"/>
        </w:rPr>
      </w:pPr>
      <w:r>
        <w:rPr>
          <w:rFonts w:hint="eastAsia" w:ascii="宋体" w:hAnsi="宋体"/>
        </w:rPr>
        <w:t>13.1.2 监理人不能按时进行验收时，应提前小时提交书面延期要求。</w:t>
      </w:r>
    </w:p>
    <w:p>
      <w:pPr>
        <w:pStyle w:val="51"/>
        <w:spacing w:line="360" w:lineRule="auto"/>
        <w:ind w:firstLine="200"/>
        <w:rPr>
          <w:rFonts w:ascii="宋体" w:hAnsi="宋体"/>
        </w:rPr>
      </w:pPr>
      <w:r>
        <w:rPr>
          <w:rFonts w:hint="eastAsia" w:ascii="宋体" w:hAnsi="宋体"/>
        </w:rPr>
        <w:t>关于延期最长不得超过：小时。</w:t>
      </w:r>
    </w:p>
    <w:p>
      <w:pPr>
        <w:pStyle w:val="51"/>
        <w:spacing w:line="360" w:lineRule="auto"/>
        <w:ind w:firstLine="200"/>
        <w:rPr>
          <w:rFonts w:ascii="宋体" w:hAnsi="宋体"/>
        </w:rPr>
      </w:pPr>
      <w:r>
        <w:rPr>
          <w:rFonts w:hint="eastAsia" w:ascii="宋体" w:hAnsi="宋体"/>
        </w:rPr>
        <w:t>13.2 竣工验收</w:t>
      </w:r>
    </w:p>
    <w:p>
      <w:pPr>
        <w:pStyle w:val="51"/>
        <w:spacing w:line="360" w:lineRule="auto"/>
        <w:ind w:firstLine="200"/>
        <w:rPr>
          <w:rFonts w:ascii="宋体" w:hAnsi="宋体"/>
        </w:rPr>
      </w:pPr>
      <w:r>
        <w:rPr>
          <w:rFonts w:hint="eastAsia" w:ascii="宋体" w:hAnsi="宋体"/>
        </w:rPr>
        <w:t>13.2.2 竣工验收程序</w:t>
      </w:r>
    </w:p>
    <w:p>
      <w:pPr>
        <w:pStyle w:val="51"/>
        <w:spacing w:line="360" w:lineRule="auto"/>
        <w:ind w:firstLine="200"/>
        <w:rPr>
          <w:rFonts w:ascii="宋体" w:hAnsi="宋体"/>
        </w:rPr>
      </w:pPr>
      <w:r>
        <w:rPr>
          <w:rFonts w:hint="eastAsia" w:ascii="宋体" w:hAnsi="宋体"/>
        </w:rPr>
        <w:t>关于竣工验收程序的约定：。</w:t>
      </w:r>
    </w:p>
    <w:p>
      <w:pPr>
        <w:pStyle w:val="51"/>
        <w:spacing w:line="360" w:lineRule="auto"/>
        <w:ind w:firstLine="200"/>
        <w:rPr>
          <w:rFonts w:ascii="宋体" w:hAnsi="宋体"/>
        </w:rPr>
      </w:pPr>
      <w:r>
        <w:rPr>
          <w:rFonts w:hint="eastAsia" w:ascii="宋体" w:hAnsi="宋体"/>
        </w:rPr>
        <w:t>发包人不按照本项约定组织竣工验收、颁发工程接收证书的违约金的计算方法： 。</w:t>
      </w:r>
    </w:p>
    <w:p>
      <w:pPr>
        <w:pStyle w:val="51"/>
        <w:spacing w:line="360" w:lineRule="auto"/>
        <w:ind w:firstLine="200"/>
        <w:rPr>
          <w:rFonts w:ascii="宋体" w:hAnsi="宋体"/>
        </w:rPr>
      </w:pPr>
      <w:r>
        <w:rPr>
          <w:rFonts w:hint="eastAsia" w:ascii="宋体" w:hAnsi="宋体"/>
        </w:rPr>
        <w:t>13.2.5 移交、接收全部与部分工程</w:t>
      </w:r>
    </w:p>
    <w:p>
      <w:pPr>
        <w:pStyle w:val="51"/>
        <w:spacing w:line="360" w:lineRule="auto"/>
        <w:ind w:firstLine="200"/>
        <w:rPr>
          <w:rFonts w:ascii="宋体" w:hAnsi="宋体"/>
        </w:rPr>
      </w:pPr>
      <w:r>
        <w:rPr>
          <w:rFonts w:hint="eastAsia" w:ascii="宋体" w:hAnsi="宋体"/>
        </w:rPr>
        <w:t>承包人向发包人移交工程的期限： 。</w:t>
      </w:r>
    </w:p>
    <w:p>
      <w:pPr>
        <w:pStyle w:val="51"/>
        <w:spacing w:line="360" w:lineRule="auto"/>
        <w:ind w:firstLine="200"/>
        <w:rPr>
          <w:rFonts w:ascii="宋体" w:hAnsi="宋体"/>
        </w:rPr>
      </w:pPr>
      <w:r>
        <w:rPr>
          <w:rFonts w:hint="eastAsia" w:ascii="宋体" w:hAnsi="宋体"/>
        </w:rPr>
        <w:t>发包人未按本合同约定接收全部或部分工程的，违约金的计算方法为： 。</w:t>
      </w:r>
    </w:p>
    <w:p>
      <w:pPr>
        <w:pStyle w:val="51"/>
        <w:spacing w:line="360" w:lineRule="auto"/>
        <w:ind w:firstLine="200"/>
        <w:rPr>
          <w:rFonts w:ascii="宋体" w:hAnsi="宋体"/>
        </w:rPr>
      </w:pPr>
      <w:r>
        <w:rPr>
          <w:rFonts w:hint="eastAsia" w:ascii="宋体" w:hAnsi="宋体"/>
        </w:rPr>
        <w:t>承包人未按时移交工程的，违约金的计算方法为：。</w:t>
      </w:r>
    </w:p>
    <w:p>
      <w:pPr>
        <w:pStyle w:val="51"/>
        <w:spacing w:line="360" w:lineRule="auto"/>
        <w:ind w:firstLine="200"/>
        <w:rPr>
          <w:rFonts w:ascii="宋体" w:hAnsi="宋体"/>
        </w:rPr>
      </w:pPr>
      <w:r>
        <w:rPr>
          <w:rFonts w:hint="eastAsia" w:ascii="宋体" w:hAnsi="宋体"/>
        </w:rPr>
        <w:t>13.3 工程试车</w:t>
      </w:r>
    </w:p>
    <w:p>
      <w:pPr>
        <w:pStyle w:val="51"/>
        <w:spacing w:line="360" w:lineRule="auto"/>
        <w:ind w:firstLine="200"/>
        <w:rPr>
          <w:rFonts w:ascii="宋体" w:hAnsi="宋体"/>
        </w:rPr>
      </w:pPr>
      <w:r>
        <w:rPr>
          <w:rFonts w:hint="eastAsia" w:ascii="宋体" w:hAnsi="宋体"/>
        </w:rPr>
        <w:t>13.3.1 试车程序</w:t>
      </w:r>
    </w:p>
    <w:p>
      <w:pPr>
        <w:pStyle w:val="51"/>
        <w:spacing w:line="360" w:lineRule="auto"/>
        <w:ind w:firstLine="200"/>
        <w:rPr>
          <w:rFonts w:ascii="宋体" w:hAnsi="宋体"/>
        </w:rPr>
      </w:pPr>
      <w:r>
        <w:rPr>
          <w:rFonts w:hint="eastAsia" w:ascii="宋体" w:hAnsi="宋体"/>
        </w:rPr>
        <w:t>工程试车内容： 。</w:t>
      </w:r>
    </w:p>
    <w:p>
      <w:pPr>
        <w:pStyle w:val="51"/>
        <w:spacing w:line="360" w:lineRule="auto"/>
        <w:ind w:firstLine="200"/>
        <w:rPr>
          <w:rFonts w:ascii="宋体" w:hAnsi="宋体"/>
        </w:rPr>
      </w:pPr>
      <w:r>
        <w:rPr>
          <w:rFonts w:hint="eastAsia" w:ascii="宋体" w:hAnsi="宋体"/>
        </w:rPr>
        <w:t>（1）单机无负荷试车费用由承担；</w:t>
      </w:r>
    </w:p>
    <w:p>
      <w:pPr>
        <w:pStyle w:val="51"/>
        <w:spacing w:line="360" w:lineRule="auto"/>
        <w:ind w:firstLine="200"/>
        <w:rPr>
          <w:rFonts w:ascii="宋体" w:hAnsi="宋体"/>
        </w:rPr>
      </w:pPr>
      <w:r>
        <w:rPr>
          <w:rFonts w:hint="eastAsia" w:ascii="宋体" w:hAnsi="宋体"/>
        </w:rPr>
        <w:t>（2）无负荷联动试车费用由承担。</w:t>
      </w:r>
    </w:p>
    <w:p>
      <w:pPr>
        <w:pStyle w:val="51"/>
        <w:spacing w:line="360" w:lineRule="auto"/>
        <w:ind w:firstLine="200"/>
        <w:rPr>
          <w:rFonts w:ascii="宋体" w:hAnsi="宋体"/>
        </w:rPr>
      </w:pPr>
      <w:r>
        <w:rPr>
          <w:rFonts w:hint="eastAsia" w:ascii="宋体" w:hAnsi="宋体"/>
        </w:rPr>
        <w:t>13.3.3 投料试车</w:t>
      </w:r>
    </w:p>
    <w:p>
      <w:pPr>
        <w:pStyle w:val="51"/>
        <w:spacing w:line="360" w:lineRule="auto"/>
        <w:ind w:firstLine="200"/>
        <w:rPr>
          <w:rFonts w:ascii="宋体" w:hAnsi="宋体"/>
        </w:rPr>
      </w:pPr>
      <w:r>
        <w:rPr>
          <w:rFonts w:hint="eastAsia" w:ascii="宋体" w:hAnsi="宋体"/>
        </w:rPr>
        <w:t>关于投料试车相关事项的约定： 。</w:t>
      </w:r>
    </w:p>
    <w:p>
      <w:pPr>
        <w:pStyle w:val="51"/>
        <w:spacing w:line="360" w:lineRule="auto"/>
        <w:ind w:firstLine="200"/>
        <w:rPr>
          <w:rFonts w:ascii="宋体" w:hAnsi="宋体"/>
        </w:rPr>
      </w:pPr>
      <w:r>
        <w:rPr>
          <w:rFonts w:hint="eastAsia" w:ascii="宋体" w:hAnsi="宋体"/>
        </w:rPr>
        <w:t>13.6 竣工退场</w:t>
      </w:r>
    </w:p>
    <w:p>
      <w:pPr>
        <w:pStyle w:val="51"/>
        <w:spacing w:line="360" w:lineRule="auto"/>
        <w:ind w:firstLine="200"/>
        <w:rPr>
          <w:rFonts w:ascii="宋体" w:hAnsi="宋体"/>
        </w:rPr>
      </w:pPr>
      <w:r>
        <w:rPr>
          <w:rFonts w:hint="eastAsia" w:ascii="宋体" w:hAnsi="宋体"/>
        </w:rPr>
        <w:t>13.6.1 竣工退场</w:t>
      </w:r>
    </w:p>
    <w:p>
      <w:pPr>
        <w:pStyle w:val="51"/>
        <w:spacing w:line="360" w:lineRule="auto"/>
        <w:ind w:firstLine="200"/>
        <w:rPr>
          <w:rFonts w:ascii="宋体" w:hAnsi="宋体"/>
        </w:rPr>
      </w:pPr>
      <w:r>
        <w:rPr>
          <w:rFonts w:hint="eastAsia" w:ascii="宋体" w:hAnsi="宋体"/>
        </w:rPr>
        <w:t>承包人完成竣工退场的期限： 。</w:t>
      </w:r>
    </w:p>
    <w:p>
      <w:pPr>
        <w:pStyle w:val="51"/>
        <w:spacing w:line="360" w:lineRule="auto"/>
        <w:ind w:firstLine="200"/>
        <w:rPr>
          <w:rFonts w:ascii="宋体" w:hAnsi="宋体"/>
        </w:rPr>
      </w:pPr>
      <w:r>
        <w:rPr>
          <w:rFonts w:hint="eastAsia" w:ascii="宋体" w:hAnsi="宋体"/>
        </w:rPr>
        <w:t>14. 竣工结算</w:t>
      </w:r>
    </w:p>
    <w:p>
      <w:pPr>
        <w:pStyle w:val="51"/>
        <w:spacing w:line="360" w:lineRule="auto"/>
        <w:ind w:firstLine="200"/>
        <w:rPr>
          <w:rFonts w:ascii="宋体" w:hAnsi="宋体"/>
        </w:rPr>
      </w:pPr>
      <w:r>
        <w:rPr>
          <w:rFonts w:hint="eastAsia" w:ascii="宋体" w:hAnsi="宋体"/>
        </w:rPr>
        <w:t>14.1 竣工付款申请</w:t>
      </w:r>
    </w:p>
    <w:p>
      <w:pPr>
        <w:pStyle w:val="51"/>
        <w:spacing w:line="360" w:lineRule="auto"/>
        <w:ind w:firstLine="200"/>
        <w:rPr>
          <w:rFonts w:ascii="宋体" w:hAnsi="宋体"/>
        </w:rPr>
      </w:pPr>
      <w:r>
        <w:rPr>
          <w:rFonts w:hint="eastAsia" w:ascii="宋体" w:hAnsi="宋体"/>
        </w:rPr>
        <w:t>承包人提交竣工付款申请单的期限： 。</w:t>
      </w:r>
    </w:p>
    <w:p>
      <w:pPr>
        <w:pStyle w:val="51"/>
        <w:spacing w:line="360" w:lineRule="auto"/>
        <w:ind w:firstLine="200"/>
        <w:rPr>
          <w:rFonts w:ascii="宋体" w:hAnsi="宋体"/>
        </w:rPr>
      </w:pPr>
      <w:r>
        <w:rPr>
          <w:rFonts w:hint="eastAsia" w:ascii="宋体" w:hAnsi="宋体"/>
        </w:rPr>
        <w:t>竣工付款申请单应包括的内容： 。</w:t>
      </w:r>
    </w:p>
    <w:p>
      <w:pPr>
        <w:pStyle w:val="51"/>
        <w:spacing w:line="360" w:lineRule="auto"/>
        <w:ind w:firstLine="200"/>
        <w:rPr>
          <w:rFonts w:ascii="宋体" w:hAnsi="宋体"/>
        </w:rPr>
      </w:pPr>
      <w:r>
        <w:rPr>
          <w:rFonts w:hint="eastAsia" w:ascii="宋体" w:hAnsi="宋体"/>
        </w:rPr>
        <w:t>14.2 竣工结算审核</w:t>
      </w:r>
    </w:p>
    <w:p>
      <w:pPr>
        <w:pStyle w:val="51"/>
        <w:spacing w:line="360" w:lineRule="auto"/>
        <w:ind w:firstLine="200"/>
        <w:rPr>
          <w:rFonts w:ascii="宋体" w:hAnsi="宋体"/>
        </w:rPr>
      </w:pPr>
      <w:r>
        <w:rPr>
          <w:rFonts w:hint="eastAsia" w:ascii="宋体" w:hAnsi="宋体"/>
        </w:rPr>
        <w:t>发包人审批竣工付款申请单的期限： 。</w:t>
      </w:r>
    </w:p>
    <w:p>
      <w:pPr>
        <w:pStyle w:val="51"/>
        <w:spacing w:line="360" w:lineRule="auto"/>
        <w:ind w:firstLine="200"/>
        <w:rPr>
          <w:rFonts w:ascii="宋体" w:hAnsi="宋体"/>
        </w:rPr>
      </w:pPr>
      <w:r>
        <w:rPr>
          <w:rFonts w:hint="eastAsia" w:ascii="宋体" w:hAnsi="宋体"/>
        </w:rPr>
        <w:t>发包人完成竣工付款的期限： 。</w:t>
      </w:r>
    </w:p>
    <w:p>
      <w:pPr>
        <w:pStyle w:val="51"/>
        <w:spacing w:line="360" w:lineRule="auto"/>
        <w:ind w:firstLine="200"/>
        <w:rPr>
          <w:rFonts w:ascii="宋体" w:hAnsi="宋体"/>
        </w:rPr>
      </w:pPr>
      <w:r>
        <w:rPr>
          <w:rFonts w:hint="eastAsia" w:ascii="宋体" w:hAnsi="宋体"/>
        </w:rPr>
        <w:t>关于竣工付款证书异议部分复核的方式和程序： 。</w:t>
      </w:r>
    </w:p>
    <w:p>
      <w:pPr>
        <w:pStyle w:val="51"/>
        <w:spacing w:line="360" w:lineRule="auto"/>
        <w:ind w:firstLine="200"/>
        <w:rPr>
          <w:rFonts w:ascii="宋体" w:hAnsi="宋体"/>
        </w:rPr>
      </w:pPr>
      <w:r>
        <w:rPr>
          <w:rFonts w:hint="eastAsia" w:ascii="宋体" w:hAnsi="宋体"/>
        </w:rPr>
        <w:t>14.4 最终结清</w:t>
      </w:r>
    </w:p>
    <w:p>
      <w:pPr>
        <w:pStyle w:val="51"/>
        <w:spacing w:line="360" w:lineRule="auto"/>
        <w:ind w:firstLine="200"/>
        <w:rPr>
          <w:rFonts w:ascii="宋体" w:hAnsi="宋体"/>
        </w:rPr>
      </w:pPr>
      <w:r>
        <w:rPr>
          <w:rFonts w:hint="eastAsia" w:ascii="宋体" w:hAnsi="宋体"/>
        </w:rPr>
        <w:t>14.4.1 最终结清申请单</w:t>
      </w:r>
    </w:p>
    <w:p>
      <w:pPr>
        <w:pStyle w:val="51"/>
        <w:spacing w:line="360" w:lineRule="auto"/>
        <w:ind w:firstLine="200"/>
        <w:rPr>
          <w:rFonts w:ascii="宋体" w:hAnsi="宋体"/>
        </w:rPr>
      </w:pPr>
      <w:r>
        <w:rPr>
          <w:rFonts w:hint="eastAsia" w:ascii="宋体" w:hAnsi="宋体"/>
        </w:rPr>
        <w:t>承包人提交最终结清申请单的份数： 。</w:t>
      </w:r>
    </w:p>
    <w:p>
      <w:pPr>
        <w:pStyle w:val="51"/>
        <w:spacing w:line="360" w:lineRule="auto"/>
        <w:ind w:firstLine="200"/>
        <w:rPr>
          <w:rFonts w:ascii="宋体" w:hAnsi="宋体"/>
        </w:rPr>
      </w:pPr>
      <w:r>
        <w:rPr>
          <w:rFonts w:hint="eastAsia" w:ascii="宋体" w:hAnsi="宋体"/>
        </w:rPr>
        <w:t>承包人提交最终结算申请单的期限： 。</w:t>
      </w:r>
    </w:p>
    <w:p>
      <w:pPr>
        <w:pStyle w:val="51"/>
        <w:spacing w:line="360" w:lineRule="auto"/>
        <w:ind w:firstLine="200"/>
        <w:rPr>
          <w:rFonts w:ascii="宋体" w:hAnsi="宋体"/>
        </w:rPr>
      </w:pPr>
      <w:r>
        <w:rPr>
          <w:rFonts w:hint="eastAsia" w:ascii="宋体" w:hAnsi="宋体"/>
        </w:rPr>
        <w:t>14.4.2 最终结清证书和支付</w:t>
      </w:r>
    </w:p>
    <w:p>
      <w:pPr>
        <w:pStyle w:val="51"/>
        <w:spacing w:line="360" w:lineRule="auto"/>
        <w:ind w:firstLine="200"/>
        <w:rPr>
          <w:rFonts w:ascii="宋体" w:hAnsi="宋体"/>
        </w:rPr>
      </w:pPr>
      <w:r>
        <w:rPr>
          <w:rFonts w:hint="eastAsia" w:ascii="宋体" w:hAnsi="宋体"/>
        </w:rPr>
        <w:t>（1）发包人完成最终结清申请单的审批并颁发最终结清证书的期限： 。</w:t>
      </w:r>
    </w:p>
    <w:p>
      <w:pPr>
        <w:pStyle w:val="51"/>
        <w:spacing w:line="360" w:lineRule="auto"/>
        <w:ind w:firstLine="200"/>
        <w:rPr>
          <w:rFonts w:ascii="宋体" w:hAnsi="宋体"/>
        </w:rPr>
      </w:pPr>
      <w:r>
        <w:rPr>
          <w:rFonts w:hint="eastAsia" w:ascii="宋体" w:hAnsi="宋体"/>
        </w:rPr>
        <w:t>（2）发包人完成支付的期限： 。</w:t>
      </w:r>
    </w:p>
    <w:p>
      <w:pPr>
        <w:pStyle w:val="51"/>
        <w:spacing w:line="360" w:lineRule="auto"/>
        <w:ind w:firstLine="200"/>
        <w:rPr>
          <w:rFonts w:ascii="宋体" w:hAnsi="宋体"/>
        </w:rPr>
      </w:pPr>
      <w:r>
        <w:rPr>
          <w:rFonts w:hint="eastAsia" w:ascii="宋体" w:hAnsi="宋体"/>
        </w:rPr>
        <w:t>15. 缺陷责任期与保修</w:t>
      </w:r>
    </w:p>
    <w:p>
      <w:pPr>
        <w:pStyle w:val="51"/>
        <w:spacing w:line="360" w:lineRule="auto"/>
        <w:ind w:firstLine="200"/>
        <w:rPr>
          <w:rFonts w:ascii="宋体" w:hAnsi="宋体"/>
        </w:rPr>
      </w:pPr>
      <w:r>
        <w:rPr>
          <w:rFonts w:hint="eastAsia" w:ascii="宋体" w:hAnsi="宋体"/>
        </w:rPr>
        <w:t>15.2 缺陷责任期</w:t>
      </w:r>
    </w:p>
    <w:p>
      <w:pPr>
        <w:pStyle w:val="51"/>
        <w:spacing w:line="360" w:lineRule="auto"/>
        <w:ind w:firstLine="200"/>
        <w:rPr>
          <w:rFonts w:ascii="宋体" w:hAnsi="宋体"/>
        </w:rPr>
      </w:pPr>
      <w:r>
        <w:rPr>
          <w:rFonts w:hint="eastAsia" w:ascii="宋体" w:hAnsi="宋体"/>
        </w:rPr>
        <w:t>缺陷责任期的具体期限： 。</w:t>
      </w:r>
    </w:p>
    <w:p>
      <w:pPr>
        <w:pStyle w:val="51"/>
        <w:spacing w:line="360" w:lineRule="auto"/>
        <w:ind w:firstLine="200"/>
        <w:rPr>
          <w:rFonts w:ascii="宋体" w:hAnsi="宋体"/>
        </w:rPr>
      </w:pPr>
      <w:r>
        <w:rPr>
          <w:rFonts w:hint="eastAsia" w:ascii="宋体" w:hAnsi="宋体"/>
        </w:rPr>
        <w:t>15.3 质量保证金</w:t>
      </w:r>
    </w:p>
    <w:p>
      <w:pPr>
        <w:pStyle w:val="51"/>
        <w:spacing w:line="360" w:lineRule="auto"/>
        <w:ind w:firstLine="200"/>
        <w:rPr>
          <w:rFonts w:ascii="宋体" w:hAnsi="宋体"/>
        </w:rPr>
      </w:pPr>
      <w:r>
        <w:rPr>
          <w:rFonts w:hint="eastAsia" w:ascii="宋体" w:hAnsi="宋体"/>
        </w:rPr>
        <w:t>关于是否扣留质量保证金的约定： 。</w:t>
      </w:r>
    </w:p>
    <w:p>
      <w:pPr>
        <w:pStyle w:val="51"/>
        <w:spacing w:line="360" w:lineRule="auto"/>
        <w:ind w:firstLine="200"/>
        <w:rPr>
          <w:rFonts w:ascii="宋体" w:hAnsi="宋体"/>
        </w:rPr>
      </w:pPr>
      <w:r>
        <w:rPr>
          <w:rFonts w:hint="eastAsia" w:ascii="宋体" w:hAnsi="宋体"/>
        </w:rPr>
        <w:t>15.3.1 承包人提供质量保证金的方式</w:t>
      </w:r>
    </w:p>
    <w:p>
      <w:pPr>
        <w:pStyle w:val="51"/>
        <w:spacing w:line="360" w:lineRule="auto"/>
        <w:ind w:firstLine="200"/>
        <w:rPr>
          <w:rFonts w:ascii="宋体" w:hAnsi="宋体"/>
        </w:rPr>
      </w:pPr>
      <w:r>
        <w:rPr>
          <w:rFonts w:hint="eastAsia" w:ascii="宋体" w:hAnsi="宋体"/>
        </w:rPr>
        <w:t>质量保证金采用以下第种方式：</w:t>
      </w:r>
    </w:p>
    <w:p>
      <w:pPr>
        <w:pStyle w:val="51"/>
        <w:spacing w:line="360" w:lineRule="auto"/>
        <w:ind w:firstLine="200"/>
        <w:rPr>
          <w:rFonts w:ascii="宋体" w:hAnsi="宋体"/>
        </w:rPr>
      </w:pPr>
      <w:r>
        <w:rPr>
          <w:rFonts w:hint="eastAsia" w:ascii="宋体" w:hAnsi="宋体"/>
        </w:rPr>
        <w:t>（1）质量保证金保函，保证金额为： ；</w:t>
      </w:r>
    </w:p>
    <w:p>
      <w:pPr>
        <w:pStyle w:val="51"/>
        <w:spacing w:line="360" w:lineRule="auto"/>
        <w:ind w:firstLine="200"/>
        <w:rPr>
          <w:rFonts w:ascii="宋体" w:hAnsi="宋体"/>
        </w:rPr>
      </w:pPr>
      <w:r>
        <w:rPr>
          <w:rFonts w:hint="eastAsia" w:ascii="宋体" w:hAnsi="宋体"/>
        </w:rPr>
        <w:t>（2）%的工程款；</w:t>
      </w:r>
    </w:p>
    <w:p>
      <w:pPr>
        <w:pStyle w:val="51"/>
        <w:spacing w:line="360" w:lineRule="auto"/>
        <w:ind w:firstLine="200"/>
        <w:rPr>
          <w:rFonts w:ascii="宋体" w:hAnsi="宋体"/>
        </w:rPr>
      </w:pPr>
      <w:r>
        <w:rPr>
          <w:rFonts w:hint="eastAsia" w:ascii="宋体" w:hAnsi="宋体"/>
        </w:rPr>
        <w:t>（3）其他方式： 。</w:t>
      </w:r>
    </w:p>
    <w:p>
      <w:pPr>
        <w:pStyle w:val="51"/>
        <w:spacing w:line="360" w:lineRule="auto"/>
        <w:ind w:firstLine="200"/>
        <w:rPr>
          <w:rFonts w:ascii="宋体" w:hAnsi="宋体"/>
        </w:rPr>
      </w:pPr>
      <w:r>
        <w:rPr>
          <w:rFonts w:hint="eastAsia" w:ascii="宋体" w:hAnsi="宋体"/>
        </w:rPr>
        <w:t>15.3.2 质量保证金的扣留</w:t>
      </w:r>
    </w:p>
    <w:p>
      <w:pPr>
        <w:pStyle w:val="51"/>
        <w:spacing w:line="360" w:lineRule="auto"/>
        <w:ind w:firstLine="200"/>
        <w:rPr>
          <w:rFonts w:ascii="宋体" w:hAnsi="宋体"/>
        </w:rPr>
      </w:pPr>
      <w:r>
        <w:rPr>
          <w:rFonts w:hint="eastAsia" w:ascii="宋体" w:hAnsi="宋体"/>
        </w:rPr>
        <w:t>质量保证金的扣留采取以下第种方式：</w:t>
      </w:r>
    </w:p>
    <w:p>
      <w:pPr>
        <w:pStyle w:val="51"/>
        <w:spacing w:line="360" w:lineRule="auto"/>
        <w:ind w:firstLine="200"/>
        <w:rPr>
          <w:rFonts w:ascii="宋体" w:hAnsi="宋体"/>
        </w:rPr>
      </w:pPr>
      <w:r>
        <w:rPr>
          <w:rFonts w:hint="eastAsia" w:ascii="宋体" w:hAnsi="宋体"/>
        </w:rPr>
        <w:t>（1）在支付工程进度款时逐次扣留，在此情形下，质量保证金的计算基数不包括预付款的支付、扣回以及价格调整的金额；</w:t>
      </w:r>
    </w:p>
    <w:p>
      <w:pPr>
        <w:pStyle w:val="51"/>
        <w:spacing w:line="360" w:lineRule="auto"/>
        <w:ind w:firstLine="200"/>
        <w:rPr>
          <w:rFonts w:ascii="宋体" w:hAnsi="宋体"/>
        </w:rPr>
      </w:pPr>
      <w:r>
        <w:rPr>
          <w:rFonts w:hint="eastAsia" w:ascii="宋体" w:hAnsi="宋体"/>
        </w:rPr>
        <w:t>（2）工程竣工结算时一次性扣留质量保证金；</w:t>
      </w:r>
    </w:p>
    <w:p>
      <w:pPr>
        <w:pStyle w:val="51"/>
        <w:spacing w:line="360" w:lineRule="auto"/>
        <w:ind w:firstLine="200"/>
        <w:rPr>
          <w:rFonts w:ascii="宋体" w:hAnsi="宋体"/>
        </w:rPr>
      </w:pPr>
      <w:r>
        <w:rPr>
          <w:rFonts w:hint="eastAsia" w:ascii="宋体" w:hAnsi="宋体"/>
        </w:rPr>
        <w:t>（3）其他扣留方式： 。</w:t>
      </w:r>
    </w:p>
    <w:p>
      <w:pPr>
        <w:pStyle w:val="51"/>
        <w:spacing w:line="360" w:lineRule="auto"/>
        <w:ind w:firstLine="200"/>
        <w:rPr>
          <w:rFonts w:ascii="宋体" w:hAnsi="宋体"/>
        </w:rPr>
      </w:pPr>
      <w:r>
        <w:rPr>
          <w:rFonts w:hint="eastAsia" w:ascii="宋体" w:hAnsi="宋体"/>
        </w:rPr>
        <w:t>关于质量保证金的补充约定： 。</w:t>
      </w:r>
    </w:p>
    <w:p>
      <w:pPr>
        <w:pStyle w:val="51"/>
        <w:spacing w:line="360" w:lineRule="auto"/>
        <w:ind w:firstLine="200"/>
        <w:rPr>
          <w:rFonts w:ascii="宋体" w:hAnsi="宋体"/>
        </w:rPr>
      </w:pPr>
      <w:r>
        <w:rPr>
          <w:rFonts w:hint="eastAsia" w:ascii="宋体" w:hAnsi="宋体"/>
        </w:rPr>
        <w:t>15.4 保修</w:t>
      </w:r>
    </w:p>
    <w:p>
      <w:pPr>
        <w:pStyle w:val="51"/>
        <w:spacing w:line="360" w:lineRule="auto"/>
        <w:ind w:firstLine="200"/>
        <w:rPr>
          <w:rFonts w:ascii="宋体" w:hAnsi="宋体"/>
        </w:rPr>
      </w:pPr>
      <w:r>
        <w:rPr>
          <w:rFonts w:hint="eastAsia" w:ascii="宋体" w:hAnsi="宋体"/>
        </w:rPr>
        <w:t>15.4.1 保修责任</w:t>
      </w:r>
    </w:p>
    <w:p>
      <w:pPr>
        <w:pStyle w:val="51"/>
        <w:spacing w:line="360" w:lineRule="auto"/>
        <w:ind w:firstLine="200"/>
        <w:rPr>
          <w:rFonts w:ascii="宋体" w:hAnsi="宋体"/>
        </w:rPr>
      </w:pPr>
      <w:r>
        <w:rPr>
          <w:rFonts w:hint="eastAsia" w:ascii="宋体" w:hAnsi="宋体"/>
        </w:rPr>
        <w:t>工程保修期： 。</w:t>
      </w:r>
    </w:p>
    <w:p>
      <w:pPr>
        <w:pStyle w:val="51"/>
        <w:spacing w:line="360" w:lineRule="auto"/>
        <w:ind w:firstLine="200"/>
        <w:rPr>
          <w:rFonts w:ascii="宋体" w:hAnsi="宋体"/>
        </w:rPr>
      </w:pPr>
      <w:r>
        <w:rPr>
          <w:rFonts w:hint="eastAsia" w:ascii="宋体" w:hAnsi="宋体"/>
        </w:rPr>
        <w:t>15.4.3 修复通知</w:t>
      </w:r>
    </w:p>
    <w:p>
      <w:pPr>
        <w:pStyle w:val="51"/>
        <w:spacing w:line="360" w:lineRule="auto"/>
        <w:ind w:firstLine="200"/>
        <w:rPr>
          <w:rFonts w:ascii="宋体" w:hAnsi="宋体"/>
        </w:rPr>
      </w:pPr>
      <w:r>
        <w:rPr>
          <w:rFonts w:hint="eastAsia" w:ascii="宋体" w:hAnsi="宋体"/>
        </w:rPr>
        <w:t>承包人收到保修通知并到达工程现场的合理时间： 。</w:t>
      </w:r>
    </w:p>
    <w:p>
      <w:pPr>
        <w:pStyle w:val="51"/>
        <w:spacing w:line="360" w:lineRule="auto"/>
        <w:ind w:firstLine="200"/>
        <w:rPr>
          <w:rFonts w:ascii="宋体" w:hAnsi="宋体"/>
        </w:rPr>
      </w:pPr>
      <w:r>
        <w:rPr>
          <w:rFonts w:hint="eastAsia" w:ascii="宋体" w:hAnsi="宋体"/>
        </w:rPr>
        <w:t>16. 违约</w:t>
      </w:r>
    </w:p>
    <w:p>
      <w:pPr>
        <w:pStyle w:val="51"/>
        <w:spacing w:line="360" w:lineRule="auto"/>
        <w:ind w:firstLine="200"/>
        <w:rPr>
          <w:rFonts w:ascii="宋体" w:hAnsi="宋体"/>
        </w:rPr>
      </w:pPr>
      <w:r>
        <w:rPr>
          <w:rFonts w:hint="eastAsia" w:ascii="宋体" w:hAnsi="宋体"/>
        </w:rPr>
        <w:t>16.1 发包人违约</w:t>
      </w:r>
    </w:p>
    <w:p>
      <w:pPr>
        <w:pStyle w:val="51"/>
        <w:spacing w:line="360" w:lineRule="auto"/>
        <w:ind w:firstLine="200"/>
        <w:rPr>
          <w:rFonts w:ascii="宋体" w:hAnsi="宋体"/>
        </w:rPr>
      </w:pPr>
      <w:r>
        <w:rPr>
          <w:rFonts w:hint="eastAsia" w:ascii="宋体" w:hAnsi="宋体"/>
        </w:rPr>
        <w:t>16.1.1 发包人违约的情形</w:t>
      </w:r>
    </w:p>
    <w:p>
      <w:pPr>
        <w:pStyle w:val="51"/>
        <w:spacing w:line="360" w:lineRule="auto"/>
        <w:ind w:firstLine="200"/>
        <w:rPr>
          <w:rFonts w:ascii="宋体" w:hAnsi="宋体"/>
        </w:rPr>
      </w:pPr>
      <w:r>
        <w:rPr>
          <w:rFonts w:hint="eastAsia" w:ascii="宋体" w:hAnsi="宋体"/>
        </w:rPr>
        <w:t>发包人违约的其他情形： 。</w:t>
      </w:r>
    </w:p>
    <w:p>
      <w:pPr>
        <w:pStyle w:val="51"/>
        <w:spacing w:line="360" w:lineRule="auto"/>
        <w:ind w:firstLine="200"/>
        <w:rPr>
          <w:rFonts w:ascii="宋体" w:hAnsi="宋体"/>
        </w:rPr>
      </w:pPr>
      <w:r>
        <w:rPr>
          <w:rFonts w:hint="eastAsia" w:ascii="宋体" w:hAnsi="宋体"/>
        </w:rPr>
        <w:t>16.1.2 发包人违约的责任</w:t>
      </w:r>
    </w:p>
    <w:p>
      <w:pPr>
        <w:pStyle w:val="51"/>
        <w:spacing w:line="360" w:lineRule="auto"/>
        <w:ind w:firstLine="200"/>
        <w:rPr>
          <w:rFonts w:ascii="宋体" w:hAnsi="宋体"/>
        </w:rPr>
      </w:pPr>
      <w:r>
        <w:rPr>
          <w:rFonts w:hint="eastAsia" w:ascii="宋体" w:hAnsi="宋体"/>
        </w:rPr>
        <w:t>发包人违约责任的承担方式和计算方法：</w:t>
      </w:r>
    </w:p>
    <w:p>
      <w:pPr>
        <w:pStyle w:val="51"/>
        <w:spacing w:line="360" w:lineRule="auto"/>
        <w:ind w:firstLine="200"/>
        <w:rPr>
          <w:rFonts w:ascii="宋体" w:hAnsi="宋体"/>
        </w:rPr>
      </w:pPr>
      <w:r>
        <w:rPr>
          <w:rFonts w:hint="eastAsia" w:ascii="宋体" w:hAnsi="宋体"/>
        </w:rPr>
        <w:t>（1）因发包人原因未能在计划开工日期前 7 天内下达开工通知的违约责任： 。</w:t>
      </w:r>
    </w:p>
    <w:p>
      <w:pPr>
        <w:pStyle w:val="51"/>
        <w:spacing w:line="360" w:lineRule="auto"/>
        <w:ind w:firstLine="200"/>
        <w:rPr>
          <w:rFonts w:ascii="宋体" w:hAnsi="宋体"/>
        </w:rPr>
      </w:pPr>
      <w:r>
        <w:rPr>
          <w:rFonts w:hint="eastAsia" w:ascii="宋体" w:hAnsi="宋体"/>
        </w:rPr>
        <w:t>（2）因发包人原因未能按合同约定支付合同价款的违约责任： 。</w:t>
      </w:r>
    </w:p>
    <w:p>
      <w:pPr>
        <w:pStyle w:val="51"/>
        <w:spacing w:line="360" w:lineRule="auto"/>
        <w:ind w:firstLine="200"/>
        <w:rPr>
          <w:rFonts w:ascii="宋体" w:hAnsi="宋体"/>
        </w:rPr>
      </w:pPr>
      <w:r>
        <w:rPr>
          <w:rFonts w:hint="eastAsia" w:ascii="宋体" w:hAnsi="宋体"/>
        </w:rPr>
        <w:t>（3）发包人违反第 10.1 款〔变更的范围〕第（2）项约定，自行实施被取消的工作或转由他人实施的违约责任： 。</w:t>
      </w:r>
    </w:p>
    <w:p>
      <w:pPr>
        <w:pStyle w:val="51"/>
        <w:spacing w:line="360" w:lineRule="auto"/>
        <w:ind w:firstLine="200"/>
        <w:rPr>
          <w:rFonts w:ascii="宋体" w:hAnsi="宋体"/>
        </w:rPr>
      </w:pPr>
      <w:r>
        <w:rPr>
          <w:rFonts w:hint="eastAsia" w:ascii="宋体" w:hAnsi="宋体"/>
        </w:rPr>
        <w:t>（4）发包人提供的材料、工程设备的规格、数量或质量不符合合同约定，或因发包人原因导致交货日期延误或交货地点变更等情况的违约责任： 。</w:t>
      </w:r>
    </w:p>
    <w:p>
      <w:pPr>
        <w:pStyle w:val="51"/>
        <w:spacing w:line="360" w:lineRule="auto"/>
        <w:ind w:firstLine="200"/>
        <w:rPr>
          <w:rFonts w:ascii="宋体" w:hAnsi="宋体"/>
        </w:rPr>
      </w:pPr>
      <w:r>
        <w:rPr>
          <w:rFonts w:hint="eastAsia" w:ascii="宋体" w:hAnsi="宋体"/>
        </w:rPr>
        <w:t>（5）因发包人违反合同约定造成暂停施工的违约责任： 。</w:t>
      </w:r>
    </w:p>
    <w:p>
      <w:pPr>
        <w:pStyle w:val="51"/>
        <w:spacing w:line="360" w:lineRule="auto"/>
        <w:ind w:firstLine="200"/>
        <w:rPr>
          <w:rFonts w:ascii="宋体" w:hAnsi="宋体"/>
        </w:rPr>
      </w:pPr>
      <w:r>
        <w:rPr>
          <w:rFonts w:hint="eastAsia" w:ascii="宋体" w:hAnsi="宋体"/>
        </w:rPr>
        <w:t>（6）发包人无正当理由没有在约定期限内发出复工指示，导致承包人无法复工的违约责任： 。</w:t>
      </w:r>
    </w:p>
    <w:p>
      <w:pPr>
        <w:pStyle w:val="51"/>
        <w:spacing w:line="360" w:lineRule="auto"/>
        <w:ind w:firstLine="200"/>
        <w:rPr>
          <w:rFonts w:ascii="宋体" w:hAnsi="宋体"/>
        </w:rPr>
      </w:pPr>
      <w:r>
        <w:rPr>
          <w:rFonts w:hint="eastAsia" w:ascii="宋体" w:hAnsi="宋体"/>
        </w:rPr>
        <w:t>（7）其他： 。</w:t>
      </w:r>
    </w:p>
    <w:p>
      <w:pPr>
        <w:pStyle w:val="51"/>
        <w:spacing w:line="360" w:lineRule="auto"/>
        <w:ind w:firstLine="200"/>
        <w:rPr>
          <w:rFonts w:ascii="宋体" w:hAnsi="宋体"/>
        </w:rPr>
      </w:pPr>
      <w:r>
        <w:rPr>
          <w:rFonts w:hint="eastAsia" w:ascii="宋体" w:hAnsi="宋体"/>
        </w:rPr>
        <w:t>16.1.3 因发包人违约解除合同</w:t>
      </w:r>
    </w:p>
    <w:p>
      <w:pPr>
        <w:pStyle w:val="51"/>
        <w:spacing w:line="360" w:lineRule="auto"/>
        <w:ind w:firstLine="200"/>
        <w:rPr>
          <w:rFonts w:ascii="宋体" w:hAnsi="宋体"/>
        </w:rPr>
      </w:pPr>
      <w:r>
        <w:rPr>
          <w:rFonts w:hint="eastAsia" w:ascii="宋体" w:hAnsi="宋体"/>
        </w:rPr>
        <w:t>承包人按16.1.1项〔发包人违约的情形〕约定暂停施工满天后发包人仍不纠正其违约行为并致使合同目的不能实现的，承包人有权解除合同。</w:t>
      </w:r>
    </w:p>
    <w:p>
      <w:pPr>
        <w:pStyle w:val="51"/>
        <w:spacing w:line="360" w:lineRule="auto"/>
        <w:ind w:firstLine="200"/>
        <w:rPr>
          <w:rFonts w:ascii="宋体" w:hAnsi="宋体"/>
        </w:rPr>
      </w:pPr>
      <w:r>
        <w:rPr>
          <w:rFonts w:hint="eastAsia" w:ascii="宋体" w:hAnsi="宋体"/>
        </w:rPr>
        <w:t>16.2 承包人违约</w:t>
      </w:r>
    </w:p>
    <w:p>
      <w:pPr>
        <w:pStyle w:val="51"/>
        <w:spacing w:line="360" w:lineRule="auto"/>
        <w:ind w:firstLine="200"/>
        <w:rPr>
          <w:rFonts w:ascii="宋体" w:hAnsi="宋体"/>
        </w:rPr>
      </w:pPr>
      <w:r>
        <w:rPr>
          <w:rFonts w:hint="eastAsia" w:ascii="宋体" w:hAnsi="宋体"/>
        </w:rPr>
        <w:t>16.2.1 承包人违约的情形。</w:t>
      </w:r>
    </w:p>
    <w:p>
      <w:pPr>
        <w:pStyle w:val="51"/>
        <w:spacing w:line="360" w:lineRule="auto"/>
        <w:ind w:firstLine="200"/>
        <w:rPr>
          <w:rFonts w:ascii="宋体" w:hAnsi="宋体"/>
        </w:rPr>
      </w:pPr>
      <w:r>
        <w:rPr>
          <w:rFonts w:hint="eastAsia" w:ascii="宋体" w:hAnsi="宋体"/>
        </w:rPr>
        <w:t>16.2.2 承包人违约的责任</w:t>
      </w:r>
    </w:p>
    <w:p>
      <w:pPr>
        <w:pStyle w:val="51"/>
        <w:spacing w:line="360" w:lineRule="auto"/>
        <w:ind w:firstLine="200"/>
        <w:rPr>
          <w:rFonts w:ascii="宋体" w:hAnsi="宋体"/>
        </w:rPr>
      </w:pPr>
      <w:r>
        <w:rPr>
          <w:rFonts w:hint="eastAsia" w:ascii="宋体" w:hAnsi="宋体"/>
        </w:rPr>
        <w:t>承包人违约责任的承担方式和计算方法： 。</w:t>
      </w:r>
    </w:p>
    <w:p>
      <w:pPr>
        <w:pStyle w:val="51"/>
        <w:spacing w:line="360" w:lineRule="auto"/>
        <w:ind w:firstLine="200"/>
        <w:rPr>
          <w:rFonts w:ascii="宋体" w:hAnsi="宋体"/>
        </w:rPr>
      </w:pPr>
      <w:r>
        <w:rPr>
          <w:rFonts w:hint="eastAsia" w:ascii="宋体" w:hAnsi="宋体"/>
        </w:rPr>
        <w:t>16.2.3 因承包人违约解除合同</w:t>
      </w:r>
    </w:p>
    <w:p>
      <w:pPr>
        <w:pStyle w:val="51"/>
        <w:spacing w:line="360" w:lineRule="auto"/>
        <w:ind w:firstLine="200"/>
        <w:rPr>
          <w:rFonts w:ascii="宋体" w:hAnsi="宋体"/>
        </w:rPr>
      </w:pPr>
      <w:r>
        <w:rPr>
          <w:rFonts w:hint="eastAsia" w:ascii="宋体" w:hAnsi="宋体"/>
        </w:rPr>
        <w:t>关于承包人违约解除合同的特别约定： 。</w:t>
      </w:r>
    </w:p>
    <w:p>
      <w:pPr>
        <w:pStyle w:val="51"/>
        <w:spacing w:line="360" w:lineRule="auto"/>
        <w:ind w:firstLine="200"/>
        <w:rPr>
          <w:rFonts w:ascii="宋体" w:hAnsi="宋体"/>
        </w:rPr>
      </w:pPr>
      <w:r>
        <w:rPr>
          <w:rFonts w:hint="eastAsia" w:ascii="宋体" w:hAnsi="宋体"/>
        </w:rPr>
        <w:t>发包人继续使用承包人在施工现场的材料、设备、临时工程、承包人文件和由承包人或以其名义编制的其他文件的费用承担方式： 。</w:t>
      </w:r>
    </w:p>
    <w:p>
      <w:pPr>
        <w:pStyle w:val="51"/>
        <w:spacing w:line="360" w:lineRule="auto"/>
        <w:ind w:firstLine="200"/>
        <w:rPr>
          <w:rFonts w:ascii="宋体" w:hAnsi="宋体"/>
        </w:rPr>
      </w:pPr>
      <w:r>
        <w:rPr>
          <w:rFonts w:hint="eastAsia" w:ascii="宋体" w:hAnsi="宋体"/>
        </w:rPr>
        <w:t>17. 不可抗力</w:t>
      </w:r>
    </w:p>
    <w:p>
      <w:pPr>
        <w:pStyle w:val="51"/>
        <w:spacing w:line="360" w:lineRule="auto"/>
        <w:ind w:firstLine="200"/>
        <w:rPr>
          <w:rFonts w:ascii="宋体" w:hAnsi="宋体"/>
        </w:rPr>
      </w:pPr>
      <w:r>
        <w:rPr>
          <w:rFonts w:hint="eastAsia" w:ascii="宋体" w:hAnsi="宋体"/>
        </w:rPr>
        <w:t>17.1 不可抗力的确认</w:t>
      </w:r>
    </w:p>
    <w:p>
      <w:pPr>
        <w:pStyle w:val="51"/>
        <w:spacing w:line="360" w:lineRule="auto"/>
        <w:ind w:firstLine="200"/>
        <w:rPr>
          <w:rFonts w:ascii="宋体" w:hAnsi="宋体"/>
        </w:rPr>
      </w:pPr>
      <w:r>
        <w:rPr>
          <w:rFonts w:hint="eastAsia" w:ascii="宋体" w:hAnsi="宋体"/>
        </w:rPr>
        <w:t>除通用合同条款约定的不可抗力事件之外，视为不可抗力的其他情形： 。</w:t>
      </w:r>
    </w:p>
    <w:p>
      <w:pPr>
        <w:pStyle w:val="51"/>
        <w:spacing w:line="360" w:lineRule="auto"/>
        <w:ind w:firstLine="200"/>
        <w:rPr>
          <w:rFonts w:ascii="宋体" w:hAnsi="宋体"/>
        </w:rPr>
      </w:pPr>
      <w:r>
        <w:rPr>
          <w:rFonts w:hint="eastAsia" w:ascii="宋体" w:hAnsi="宋体"/>
        </w:rPr>
        <w:t>17.4 因不可抗力解除合同</w:t>
      </w:r>
    </w:p>
    <w:p>
      <w:pPr>
        <w:pStyle w:val="51"/>
        <w:spacing w:line="360" w:lineRule="auto"/>
        <w:ind w:firstLine="200"/>
        <w:rPr>
          <w:rFonts w:ascii="宋体" w:hAnsi="宋体"/>
        </w:rPr>
      </w:pPr>
      <w:r>
        <w:rPr>
          <w:rFonts w:hint="eastAsia" w:ascii="宋体" w:hAnsi="宋体"/>
        </w:rPr>
        <w:t>合同解除后，发包人应在商定或确定发包人应支付款项后天内完成款项的支付。</w:t>
      </w:r>
    </w:p>
    <w:p>
      <w:pPr>
        <w:pStyle w:val="51"/>
        <w:spacing w:line="360" w:lineRule="auto"/>
        <w:ind w:firstLine="200"/>
        <w:rPr>
          <w:rFonts w:ascii="宋体" w:hAnsi="宋体"/>
        </w:rPr>
      </w:pPr>
      <w:r>
        <w:rPr>
          <w:rFonts w:hint="eastAsia" w:ascii="宋体" w:hAnsi="宋体"/>
        </w:rPr>
        <w:t>18. 保险</w:t>
      </w:r>
    </w:p>
    <w:p>
      <w:pPr>
        <w:pStyle w:val="51"/>
        <w:spacing w:line="360" w:lineRule="auto"/>
        <w:ind w:firstLine="200"/>
        <w:rPr>
          <w:rFonts w:ascii="宋体" w:hAnsi="宋体"/>
        </w:rPr>
      </w:pPr>
      <w:r>
        <w:rPr>
          <w:rFonts w:hint="eastAsia" w:ascii="宋体" w:hAnsi="宋体"/>
        </w:rPr>
        <w:t>18.1 工程保险</w:t>
      </w:r>
    </w:p>
    <w:p>
      <w:pPr>
        <w:pStyle w:val="51"/>
        <w:spacing w:line="360" w:lineRule="auto"/>
        <w:ind w:firstLine="200"/>
        <w:rPr>
          <w:rFonts w:ascii="宋体" w:hAnsi="宋体"/>
        </w:rPr>
      </w:pPr>
      <w:r>
        <w:rPr>
          <w:rFonts w:hint="eastAsia" w:ascii="宋体" w:hAnsi="宋体"/>
        </w:rPr>
        <w:t>关于工程保险的特别约定： 。</w:t>
      </w:r>
    </w:p>
    <w:p>
      <w:pPr>
        <w:pStyle w:val="51"/>
        <w:spacing w:line="360" w:lineRule="auto"/>
        <w:ind w:firstLine="200"/>
        <w:rPr>
          <w:rFonts w:ascii="宋体" w:hAnsi="宋体"/>
        </w:rPr>
      </w:pPr>
      <w:r>
        <w:rPr>
          <w:rFonts w:hint="eastAsia" w:ascii="宋体" w:hAnsi="宋体"/>
        </w:rPr>
        <w:t>18.3 其他保险</w:t>
      </w:r>
    </w:p>
    <w:p>
      <w:pPr>
        <w:pStyle w:val="51"/>
        <w:spacing w:line="360" w:lineRule="auto"/>
        <w:ind w:firstLine="200"/>
        <w:rPr>
          <w:rFonts w:ascii="宋体" w:hAnsi="宋体"/>
        </w:rPr>
      </w:pPr>
      <w:r>
        <w:rPr>
          <w:rFonts w:hint="eastAsia" w:ascii="宋体" w:hAnsi="宋体"/>
        </w:rPr>
        <w:t>关于其他保险的约定： 。</w:t>
      </w:r>
    </w:p>
    <w:p>
      <w:pPr>
        <w:pStyle w:val="51"/>
        <w:spacing w:line="360" w:lineRule="auto"/>
        <w:ind w:firstLine="200"/>
        <w:rPr>
          <w:rFonts w:ascii="宋体" w:hAnsi="宋体"/>
        </w:rPr>
      </w:pPr>
      <w:r>
        <w:rPr>
          <w:rFonts w:hint="eastAsia" w:ascii="宋体" w:hAnsi="宋体"/>
        </w:rPr>
        <w:t>承包人是否应为其施工设备等办理财产保险： 。</w:t>
      </w:r>
    </w:p>
    <w:p>
      <w:pPr>
        <w:pStyle w:val="51"/>
        <w:spacing w:line="360" w:lineRule="auto"/>
        <w:ind w:firstLine="200"/>
        <w:rPr>
          <w:rFonts w:ascii="宋体" w:hAnsi="宋体"/>
        </w:rPr>
      </w:pPr>
      <w:r>
        <w:rPr>
          <w:rFonts w:hint="eastAsia" w:ascii="宋体" w:hAnsi="宋体"/>
        </w:rPr>
        <w:t>18.7 通知义务</w:t>
      </w:r>
    </w:p>
    <w:p>
      <w:pPr>
        <w:pStyle w:val="51"/>
        <w:spacing w:line="360" w:lineRule="auto"/>
        <w:ind w:firstLine="200"/>
        <w:rPr>
          <w:rFonts w:ascii="宋体" w:hAnsi="宋体"/>
        </w:rPr>
      </w:pPr>
      <w:r>
        <w:rPr>
          <w:rFonts w:hint="eastAsia" w:ascii="宋体" w:hAnsi="宋体"/>
        </w:rPr>
        <w:t>关于变更保险合同时的通知义务的约定： 。</w:t>
      </w:r>
    </w:p>
    <w:p>
      <w:pPr>
        <w:pStyle w:val="51"/>
        <w:spacing w:line="360" w:lineRule="auto"/>
        <w:ind w:firstLine="200"/>
        <w:rPr>
          <w:rFonts w:ascii="宋体" w:hAnsi="宋体"/>
        </w:rPr>
      </w:pPr>
      <w:r>
        <w:rPr>
          <w:rFonts w:hint="eastAsia" w:ascii="宋体" w:hAnsi="宋体"/>
        </w:rPr>
        <w:t>20. 争议解决</w:t>
      </w:r>
    </w:p>
    <w:p>
      <w:pPr>
        <w:pStyle w:val="51"/>
        <w:spacing w:line="360" w:lineRule="auto"/>
        <w:ind w:firstLine="200"/>
        <w:rPr>
          <w:rFonts w:ascii="宋体" w:hAnsi="宋体"/>
        </w:rPr>
      </w:pPr>
      <w:r>
        <w:rPr>
          <w:rFonts w:hint="eastAsia" w:ascii="宋体" w:hAnsi="宋体"/>
        </w:rPr>
        <w:t>20.3 争议评审</w:t>
      </w:r>
    </w:p>
    <w:p>
      <w:pPr>
        <w:pStyle w:val="51"/>
        <w:spacing w:line="360" w:lineRule="auto"/>
        <w:ind w:firstLine="200"/>
        <w:rPr>
          <w:rFonts w:ascii="宋体" w:hAnsi="宋体"/>
        </w:rPr>
      </w:pPr>
      <w:r>
        <w:rPr>
          <w:rFonts w:hint="eastAsia" w:ascii="宋体" w:hAnsi="宋体"/>
        </w:rPr>
        <w:t>合同当事人是否同意将工程争议提交争议评审小组决定： 。</w:t>
      </w:r>
    </w:p>
    <w:p>
      <w:pPr>
        <w:pStyle w:val="51"/>
        <w:spacing w:line="360" w:lineRule="auto"/>
        <w:ind w:firstLine="200"/>
        <w:rPr>
          <w:rFonts w:ascii="宋体" w:hAnsi="宋体"/>
        </w:rPr>
      </w:pPr>
      <w:r>
        <w:rPr>
          <w:rFonts w:hint="eastAsia" w:ascii="宋体" w:hAnsi="宋体"/>
        </w:rPr>
        <w:t>20.3.1 争议评审小组的确定</w:t>
      </w:r>
    </w:p>
    <w:p>
      <w:pPr>
        <w:pStyle w:val="51"/>
        <w:spacing w:line="360" w:lineRule="auto"/>
        <w:ind w:firstLine="200"/>
        <w:rPr>
          <w:rFonts w:ascii="宋体" w:hAnsi="宋体"/>
        </w:rPr>
      </w:pPr>
      <w:r>
        <w:rPr>
          <w:rFonts w:hint="eastAsia" w:ascii="宋体" w:hAnsi="宋体"/>
        </w:rPr>
        <w:t>争议评审小组成员的确定： 。</w:t>
      </w:r>
    </w:p>
    <w:p>
      <w:pPr>
        <w:pStyle w:val="51"/>
        <w:spacing w:line="360" w:lineRule="auto"/>
        <w:ind w:firstLine="200"/>
        <w:rPr>
          <w:rFonts w:ascii="宋体" w:hAnsi="宋体"/>
        </w:rPr>
      </w:pPr>
      <w:r>
        <w:rPr>
          <w:rFonts w:hint="eastAsia" w:ascii="宋体" w:hAnsi="宋体"/>
        </w:rPr>
        <w:t>选定争议评审员的期限： 。</w:t>
      </w:r>
    </w:p>
    <w:p>
      <w:pPr>
        <w:pStyle w:val="51"/>
        <w:spacing w:line="360" w:lineRule="auto"/>
        <w:ind w:firstLine="200"/>
        <w:rPr>
          <w:rFonts w:ascii="宋体" w:hAnsi="宋体"/>
        </w:rPr>
      </w:pPr>
      <w:r>
        <w:rPr>
          <w:rFonts w:hint="eastAsia" w:ascii="宋体" w:hAnsi="宋体"/>
        </w:rPr>
        <w:t>争议评审小组成员的报酬承担方式： 。</w:t>
      </w:r>
    </w:p>
    <w:p>
      <w:pPr>
        <w:pStyle w:val="51"/>
        <w:spacing w:line="360" w:lineRule="auto"/>
        <w:ind w:firstLine="200"/>
        <w:rPr>
          <w:rFonts w:ascii="宋体" w:hAnsi="宋体"/>
        </w:rPr>
      </w:pPr>
      <w:r>
        <w:rPr>
          <w:rFonts w:hint="eastAsia" w:ascii="宋体" w:hAnsi="宋体"/>
        </w:rPr>
        <w:t>其他事项的约定： 。</w:t>
      </w:r>
    </w:p>
    <w:p>
      <w:pPr>
        <w:pStyle w:val="51"/>
        <w:spacing w:line="360" w:lineRule="auto"/>
        <w:ind w:firstLine="200"/>
        <w:rPr>
          <w:rFonts w:ascii="宋体" w:hAnsi="宋体"/>
        </w:rPr>
      </w:pPr>
      <w:r>
        <w:rPr>
          <w:rFonts w:hint="eastAsia" w:ascii="宋体" w:hAnsi="宋体"/>
        </w:rPr>
        <w:t>20.3.2 争议评审小组的决定</w:t>
      </w:r>
    </w:p>
    <w:p>
      <w:pPr>
        <w:pStyle w:val="51"/>
        <w:spacing w:line="360" w:lineRule="auto"/>
        <w:ind w:firstLine="200"/>
        <w:rPr>
          <w:rFonts w:ascii="宋体" w:hAnsi="宋体"/>
        </w:rPr>
      </w:pPr>
      <w:r>
        <w:rPr>
          <w:rFonts w:hint="eastAsia" w:ascii="宋体" w:hAnsi="宋体"/>
        </w:rPr>
        <w:t>合同当事人关于本项的约定： 。</w:t>
      </w:r>
    </w:p>
    <w:p>
      <w:pPr>
        <w:pStyle w:val="51"/>
        <w:spacing w:line="440" w:lineRule="exact"/>
        <w:ind w:firstLine="198"/>
        <w:rPr>
          <w:rFonts w:ascii="宋体" w:hAnsi="宋体"/>
        </w:rPr>
      </w:pPr>
      <w:r>
        <w:rPr>
          <w:rFonts w:hint="eastAsia" w:ascii="宋体" w:hAnsi="宋体"/>
        </w:rPr>
        <w:t>20.4 仲裁或诉讼</w:t>
      </w:r>
    </w:p>
    <w:p>
      <w:pPr>
        <w:pStyle w:val="51"/>
        <w:spacing w:line="440" w:lineRule="exact"/>
        <w:ind w:firstLine="198"/>
        <w:rPr>
          <w:rFonts w:ascii="宋体" w:hAnsi="宋体"/>
        </w:rPr>
      </w:pPr>
      <w:r>
        <w:rPr>
          <w:rFonts w:hint="eastAsia" w:ascii="宋体" w:hAnsi="宋体"/>
        </w:rPr>
        <w:t>因合同及合同有关事项发生的争议，按下列第（1）种方式解决：</w:t>
      </w:r>
    </w:p>
    <w:p>
      <w:pPr>
        <w:pStyle w:val="51"/>
        <w:spacing w:line="440" w:lineRule="exact"/>
        <w:ind w:firstLine="198"/>
        <w:rPr>
          <w:rFonts w:ascii="宋体" w:hAnsi="宋体"/>
        </w:rPr>
      </w:pPr>
      <w:r>
        <w:rPr>
          <w:rFonts w:hint="eastAsia" w:ascii="宋体" w:hAnsi="宋体"/>
        </w:rPr>
        <w:t>（1）向 仲裁委员会申请仲裁；</w:t>
      </w:r>
    </w:p>
    <w:p>
      <w:pPr>
        <w:pStyle w:val="51"/>
        <w:spacing w:line="440" w:lineRule="exact"/>
        <w:ind w:firstLine="198"/>
        <w:rPr>
          <w:rFonts w:ascii="宋体" w:hAnsi="宋体"/>
        </w:rPr>
      </w:pPr>
      <w:r>
        <w:rPr>
          <w:rFonts w:hint="eastAsia" w:ascii="宋体" w:hAnsi="宋体"/>
        </w:rPr>
        <w:t>（2）向 人民法院起诉。</w:t>
      </w:r>
    </w:p>
    <w:p>
      <w:pPr>
        <w:spacing w:line="360" w:lineRule="auto"/>
        <w:rPr>
          <w:rFonts w:hint="eastAsia"/>
        </w:rPr>
      </w:pPr>
    </w:p>
    <w:p>
      <w:pPr>
        <w:pStyle w:val="2"/>
        <w:rPr>
          <w:rFonts w:hint="eastAsia"/>
        </w:rPr>
      </w:pPr>
    </w:p>
    <w:p>
      <w:pPr>
        <w:pStyle w:val="2"/>
      </w:pPr>
    </w:p>
    <w:p>
      <w:pPr>
        <w:pStyle w:val="51"/>
        <w:spacing w:line="360" w:lineRule="auto"/>
        <w:ind w:firstLine="200"/>
        <w:jc w:val="center"/>
        <w:rPr>
          <w:rFonts w:ascii="宋体" w:hAnsi="宋体"/>
        </w:rPr>
      </w:pPr>
      <w:r>
        <w:rPr>
          <w:rFonts w:hint="eastAsia" w:ascii="宋体" w:hAnsi="宋体"/>
        </w:rPr>
        <w:t>附件</w:t>
      </w:r>
    </w:p>
    <w:p>
      <w:pPr>
        <w:pStyle w:val="51"/>
        <w:spacing w:line="360" w:lineRule="auto"/>
        <w:rPr>
          <w:rFonts w:ascii="宋体" w:hAnsi="宋体"/>
        </w:rPr>
      </w:pPr>
      <w:r>
        <w:rPr>
          <w:rFonts w:hint="eastAsia" w:ascii="宋体" w:hAnsi="宋体"/>
        </w:rPr>
        <w:t>协议书附件：</w:t>
      </w:r>
    </w:p>
    <w:p>
      <w:pPr>
        <w:pStyle w:val="52"/>
        <w:spacing w:line="360" w:lineRule="auto"/>
        <w:rPr>
          <w:rFonts w:ascii="宋体" w:hAnsi="宋体" w:cs="黑体"/>
          <w:sz w:val="24"/>
        </w:rPr>
      </w:pPr>
      <w:r>
        <w:rPr>
          <w:rFonts w:hint="eastAsia" w:ascii="宋体" w:hAnsi="宋体" w:cs="黑体"/>
          <w:sz w:val="24"/>
        </w:rPr>
        <w:t>附件 1：承包人承揽工程项目一览表</w:t>
      </w:r>
    </w:p>
    <w:p>
      <w:pPr>
        <w:pStyle w:val="52"/>
        <w:spacing w:line="360" w:lineRule="auto"/>
        <w:rPr>
          <w:rFonts w:ascii="宋体" w:hAnsi="宋体" w:cs="黑体"/>
          <w:sz w:val="24"/>
        </w:rPr>
      </w:pPr>
      <w:r>
        <w:rPr>
          <w:rFonts w:hint="eastAsia" w:ascii="宋体" w:hAnsi="宋体" w:cs="黑体"/>
          <w:sz w:val="24"/>
        </w:rPr>
        <w:t>专用合同条款附件：</w:t>
      </w:r>
    </w:p>
    <w:p>
      <w:pPr>
        <w:pStyle w:val="52"/>
        <w:spacing w:line="360" w:lineRule="auto"/>
        <w:rPr>
          <w:rFonts w:ascii="宋体" w:hAnsi="宋体" w:cs="黑体"/>
          <w:sz w:val="24"/>
        </w:rPr>
      </w:pPr>
      <w:r>
        <w:rPr>
          <w:rFonts w:hint="eastAsia" w:ascii="宋体" w:hAnsi="宋体" w:cs="黑体"/>
          <w:sz w:val="24"/>
        </w:rPr>
        <w:t>附件 2：发包人供应材料设备一览表</w:t>
      </w:r>
    </w:p>
    <w:p>
      <w:pPr>
        <w:pStyle w:val="52"/>
        <w:spacing w:line="360" w:lineRule="auto"/>
        <w:rPr>
          <w:rFonts w:ascii="宋体" w:hAnsi="宋体" w:cs="黑体"/>
          <w:sz w:val="24"/>
        </w:rPr>
      </w:pPr>
      <w:r>
        <w:rPr>
          <w:rFonts w:hint="eastAsia" w:ascii="宋体" w:hAnsi="宋体" w:cs="黑体"/>
          <w:sz w:val="24"/>
        </w:rPr>
        <w:t>附件 3：工程质量保修书</w:t>
      </w:r>
    </w:p>
    <w:p>
      <w:pPr>
        <w:pStyle w:val="52"/>
        <w:spacing w:line="360" w:lineRule="auto"/>
        <w:rPr>
          <w:rFonts w:ascii="宋体" w:hAnsi="宋体" w:cs="黑体"/>
          <w:sz w:val="24"/>
        </w:rPr>
      </w:pPr>
      <w:r>
        <w:rPr>
          <w:rFonts w:hint="eastAsia" w:ascii="宋体" w:hAnsi="宋体" w:cs="黑体"/>
          <w:sz w:val="24"/>
        </w:rPr>
        <w:t>附件 4：主要建设工程文件目录</w:t>
      </w:r>
    </w:p>
    <w:p>
      <w:pPr>
        <w:pStyle w:val="52"/>
        <w:spacing w:line="360" w:lineRule="auto"/>
        <w:rPr>
          <w:rFonts w:ascii="宋体" w:hAnsi="宋体" w:cs="黑体"/>
          <w:sz w:val="24"/>
        </w:rPr>
      </w:pPr>
      <w:r>
        <w:rPr>
          <w:rFonts w:hint="eastAsia" w:ascii="宋体" w:hAnsi="宋体" w:cs="黑体"/>
          <w:sz w:val="24"/>
        </w:rPr>
        <w:t>附件 5：承包人用于本工程施工的机械设备表</w:t>
      </w:r>
    </w:p>
    <w:p>
      <w:pPr>
        <w:pStyle w:val="52"/>
        <w:spacing w:line="360" w:lineRule="auto"/>
        <w:rPr>
          <w:rFonts w:ascii="宋体" w:hAnsi="宋体" w:cs="黑体"/>
          <w:sz w:val="24"/>
        </w:rPr>
      </w:pPr>
      <w:r>
        <w:rPr>
          <w:rFonts w:hint="eastAsia" w:ascii="宋体" w:hAnsi="宋体" w:cs="黑体"/>
          <w:sz w:val="24"/>
        </w:rPr>
        <w:t>附件 6：承包人主要施工管理人员表</w:t>
      </w:r>
    </w:p>
    <w:p>
      <w:pPr>
        <w:pStyle w:val="52"/>
        <w:spacing w:line="360" w:lineRule="auto"/>
        <w:rPr>
          <w:rFonts w:ascii="宋体" w:hAnsi="宋体" w:cs="黑体"/>
          <w:sz w:val="24"/>
        </w:rPr>
      </w:pPr>
      <w:r>
        <w:rPr>
          <w:rFonts w:hint="eastAsia" w:ascii="宋体" w:hAnsi="宋体" w:cs="黑体"/>
          <w:sz w:val="24"/>
        </w:rPr>
        <w:t>附件 7：分包人主要施工管理人员表</w:t>
      </w:r>
    </w:p>
    <w:p>
      <w:pPr>
        <w:pStyle w:val="52"/>
        <w:spacing w:line="360" w:lineRule="auto"/>
        <w:rPr>
          <w:rFonts w:ascii="宋体" w:hAnsi="宋体" w:cs="黑体"/>
          <w:sz w:val="24"/>
        </w:rPr>
      </w:pPr>
      <w:r>
        <w:rPr>
          <w:rFonts w:hint="eastAsia" w:ascii="宋体" w:hAnsi="宋体" w:cs="黑体"/>
          <w:sz w:val="24"/>
        </w:rPr>
        <w:t>附件 8：履约担保格式</w:t>
      </w:r>
    </w:p>
    <w:p>
      <w:pPr>
        <w:pStyle w:val="52"/>
        <w:spacing w:line="360" w:lineRule="auto"/>
        <w:rPr>
          <w:rFonts w:ascii="宋体" w:hAnsi="宋体" w:cs="黑体"/>
          <w:sz w:val="24"/>
        </w:rPr>
      </w:pPr>
      <w:r>
        <w:rPr>
          <w:rFonts w:hint="eastAsia" w:ascii="宋体" w:hAnsi="宋体" w:cs="黑体"/>
          <w:sz w:val="24"/>
        </w:rPr>
        <w:t>附件 9：暂估价一览表</w:t>
      </w:r>
    </w:p>
    <w:p>
      <w:pPr>
        <w:pStyle w:val="52"/>
        <w:spacing w:line="360" w:lineRule="auto"/>
        <w:rPr>
          <w:rFonts w:ascii="宋体" w:hAnsi="宋体" w:cs="黑体"/>
          <w:sz w:val="24"/>
        </w:rPr>
      </w:pPr>
      <w:r>
        <w:rPr>
          <w:rFonts w:hint="eastAsia" w:ascii="宋体" w:hAnsi="宋体" w:cs="黑体"/>
          <w:sz w:val="24"/>
        </w:rPr>
        <w:t>附件 10：廉政责任书格式</w:t>
      </w:r>
    </w:p>
    <w:p>
      <w:pPr>
        <w:pStyle w:val="52"/>
        <w:spacing w:line="360" w:lineRule="auto"/>
      </w:pPr>
      <w:r>
        <w:rPr>
          <w:rFonts w:hint="eastAsia" w:ascii="宋体" w:hAnsi="宋体" w:cs="黑体"/>
          <w:sz w:val="24"/>
        </w:rPr>
        <w:t>附件 11：安全生产合同</w:t>
      </w:r>
    </w:p>
    <w:p>
      <w:pPr>
        <w:spacing w:line="360" w:lineRule="auto"/>
      </w:pPr>
    </w:p>
    <w:p>
      <w:pPr>
        <w:pStyle w:val="51"/>
        <w:spacing w:line="360" w:lineRule="auto"/>
      </w:pPr>
    </w:p>
    <w:p>
      <w:pPr>
        <w:pStyle w:val="52"/>
        <w:spacing w:line="360" w:lineRule="auto"/>
      </w:pPr>
    </w:p>
    <w:p>
      <w:pPr>
        <w:spacing w:line="360" w:lineRule="auto"/>
      </w:pPr>
    </w:p>
    <w:p>
      <w:pPr>
        <w:pStyle w:val="51"/>
        <w:spacing w:line="360" w:lineRule="auto"/>
      </w:pPr>
    </w:p>
    <w:p>
      <w:pPr>
        <w:pStyle w:val="52"/>
        <w:spacing w:line="360" w:lineRule="auto"/>
      </w:pPr>
    </w:p>
    <w:p>
      <w:pPr>
        <w:spacing w:line="360" w:lineRule="auto"/>
      </w:pPr>
    </w:p>
    <w:p>
      <w:pPr>
        <w:pStyle w:val="2"/>
      </w:pPr>
    </w:p>
    <w:p>
      <w:pPr>
        <w:pStyle w:val="2"/>
      </w:pPr>
    </w:p>
    <w:p>
      <w:pPr>
        <w:pStyle w:val="2"/>
      </w:pPr>
    </w:p>
    <w:p>
      <w:pPr>
        <w:pStyle w:val="2"/>
      </w:pPr>
    </w:p>
    <w:p>
      <w:pPr>
        <w:pStyle w:val="2"/>
        <w:rPr>
          <w:rFonts w:hint="eastAsia"/>
        </w:rPr>
      </w:pPr>
    </w:p>
    <w:p>
      <w:pPr>
        <w:pStyle w:val="2"/>
      </w:pPr>
    </w:p>
    <w:p>
      <w:pPr>
        <w:pStyle w:val="51"/>
        <w:spacing w:line="360" w:lineRule="auto"/>
      </w:pPr>
    </w:p>
    <w:p>
      <w:pPr>
        <w:pStyle w:val="51"/>
        <w:spacing w:line="360" w:lineRule="auto"/>
      </w:pPr>
    </w:p>
    <w:p>
      <w:pPr>
        <w:pStyle w:val="52"/>
        <w:spacing w:line="360" w:lineRule="auto"/>
        <w:rPr>
          <w:sz w:val="24"/>
          <w:szCs w:val="24"/>
        </w:rPr>
      </w:pPr>
      <w:r>
        <w:rPr>
          <w:rFonts w:hint="eastAsia"/>
          <w:sz w:val="24"/>
          <w:szCs w:val="24"/>
        </w:rPr>
        <w:t>附件 1：</w:t>
      </w:r>
    </w:p>
    <w:p>
      <w:pPr>
        <w:pStyle w:val="52"/>
        <w:spacing w:line="360" w:lineRule="auto"/>
        <w:rPr>
          <w:sz w:val="24"/>
          <w:szCs w:val="24"/>
        </w:rPr>
      </w:pPr>
      <w:r>
        <w:rPr>
          <w:rFonts w:hint="eastAsia"/>
          <w:sz w:val="24"/>
          <w:szCs w:val="24"/>
        </w:rPr>
        <w:t>承包人承揽工程项目一览表</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992"/>
        <w:gridCol w:w="1134"/>
        <w:gridCol w:w="993"/>
        <w:gridCol w:w="706"/>
        <w:gridCol w:w="929"/>
        <w:gridCol w:w="929"/>
        <w:gridCol w:w="936"/>
        <w:gridCol w:w="929"/>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tcPr>
          <w:p>
            <w:pPr>
              <w:spacing w:line="360" w:lineRule="auto"/>
              <w:jc w:val="center"/>
              <w:rPr>
                <w:rFonts w:ascii="宋体" w:hAnsi="宋体"/>
                <w:sz w:val="24"/>
                <w:szCs w:val="24"/>
              </w:rPr>
            </w:pPr>
            <w:r>
              <w:rPr>
                <w:rFonts w:hint="eastAsia" w:ascii="宋体" w:hAnsi="宋体"/>
                <w:sz w:val="24"/>
                <w:szCs w:val="24"/>
              </w:rPr>
              <w:t>工程名称</w:t>
            </w:r>
          </w:p>
        </w:tc>
        <w:tc>
          <w:tcPr>
            <w:tcW w:w="992" w:type="dxa"/>
            <w:noWrap/>
          </w:tcPr>
          <w:p>
            <w:pPr>
              <w:spacing w:line="360" w:lineRule="auto"/>
              <w:jc w:val="center"/>
              <w:rPr>
                <w:rFonts w:ascii="宋体" w:hAnsi="宋体"/>
                <w:sz w:val="24"/>
                <w:szCs w:val="24"/>
              </w:rPr>
            </w:pPr>
            <w:r>
              <w:rPr>
                <w:rFonts w:hint="eastAsia" w:ascii="宋体" w:hAnsi="宋体"/>
                <w:sz w:val="24"/>
                <w:szCs w:val="24"/>
              </w:rPr>
              <w:t>建设</w:t>
            </w:r>
          </w:p>
          <w:p>
            <w:pPr>
              <w:spacing w:line="360" w:lineRule="auto"/>
              <w:jc w:val="center"/>
              <w:rPr>
                <w:rFonts w:ascii="宋体" w:hAnsi="宋体"/>
                <w:sz w:val="24"/>
                <w:szCs w:val="24"/>
              </w:rPr>
            </w:pPr>
            <w:r>
              <w:rPr>
                <w:rFonts w:hint="eastAsia" w:ascii="宋体" w:hAnsi="宋体"/>
                <w:sz w:val="24"/>
                <w:szCs w:val="24"/>
              </w:rPr>
              <w:t>规模</w:t>
            </w:r>
          </w:p>
        </w:tc>
        <w:tc>
          <w:tcPr>
            <w:tcW w:w="1134" w:type="dxa"/>
            <w:noWrap/>
          </w:tcPr>
          <w:p>
            <w:pPr>
              <w:spacing w:line="360" w:lineRule="auto"/>
              <w:jc w:val="center"/>
              <w:rPr>
                <w:rFonts w:ascii="宋体" w:hAnsi="宋体"/>
                <w:sz w:val="24"/>
                <w:szCs w:val="24"/>
              </w:rPr>
            </w:pPr>
            <w:r>
              <w:rPr>
                <w:rFonts w:hint="eastAsia" w:ascii="宋体" w:hAnsi="宋体"/>
                <w:sz w:val="24"/>
                <w:szCs w:val="24"/>
              </w:rPr>
              <w:t>建筑面</w:t>
            </w:r>
          </w:p>
          <w:p>
            <w:pPr>
              <w:spacing w:line="360" w:lineRule="auto"/>
              <w:jc w:val="center"/>
              <w:rPr>
                <w:rFonts w:ascii="宋体" w:hAnsi="宋体"/>
                <w:sz w:val="24"/>
                <w:szCs w:val="24"/>
              </w:rPr>
            </w:pPr>
            <w:r>
              <w:rPr>
                <w:rFonts w:hint="eastAsia" w:ascii="宋体" w:hAnsi="宋体"/>
                <w:sz w:val="24"/>
                <w:szCs w:val="24"/>
              </w:rPr>
              <w:t>积（平方</w:t>
            </w:r>
          </w:p>
          <w:p>
            <w:pPr>
              <w:spacing w:line="360" w:lineRule="auto"/>
              <w:jc w:val="center"/>
              <w:rPr>
                <w:rFonts w:ascii="宋体" w:hAnsi="宋体"/>
                <w:sz w:val="24"/>
                <w:szCs w:val="24"/>
              </w:rPr>
            </w:pPr>
            <w:r>
              <w:rPr>
                <w:rFonts w:hint="eastAsia" w:ascii="宋体" w:hAnsi="宋体"/>
                <w:sz w:val="24"/>
                <w:szCs w:val="24"/>
              </w:rPr>
              <w:t>米）</w:t>
            </w:r>
          </w:p>
        </w:tc>
        <w:tc>
          <w:tcPr>
            <w:tcW w:w="993" w:type="dxa"/>
            <w:noWrap/>
          </w:tcPr>
          <w:p>
            <w:pPr>
              <w:spacing w:line="360" w:lineRule="auto"/>
              <w:jc w:val="center"/>
              <w:rPr>
                <w:rFonts w:ascii="宋体" w:hAnsi="宋体"/>
                <w:sz w:val="24"/>
                <w:szCs w:val="24"/>
              </w:rPr>
            </w:pPr>
            <w:r>
              <w:rPr>
                <w:rFonts w:hint="eastAsia" w:ascii="宋体" w:hAnsi="宋体"/>
                <w:sz w:val="24"/>
                <w:szCs w:val="24"/>
              </w:rPr>
              <w:t>结构形</w:t>
            </w:r>
          </w:p>
          <w:p>
            <w:pPr>
              <w:spacing w:line="360" w:lineRule="auto"/>
              <w:jc w:val="center"/>
              <w:rPr>
                <w:rFonts w:ascii="宋体" w:hAnsi="宋体"/>
                <w:sz w:val="24"/>
                <w:szCs w:val="24"/>
              </w:rPr>
            </w:pPr>
            <w:r>
              <w:rPr>
                <w:rFonts w:hint="eastAsia" w:ascii="宋体" w:hAnsi="宋体"/>
                <w:sz w:val="24"/>
                <w:szCs w:val="24"/>
              </w:rPr>
              <w:t>式</w:t>
            </w:r>
          </w:p>
        </w:tc>
        <w:tc>
          <w:tcPr>
            <w:tcW w:w="706" w:type="dxa"/>
            <w:noWrap/>
          </w:tcPr>
          <w:p>
            <w:pPr>
              <w:spacing w:line="360" w:lineRule="auto"/>
              <w:jc w:val="center"/>
              <w:rPr>
                <w:rFonts w:ascii="宋体" w:hAnsi="宋体"/>
                <w:sz w:val="24"/>
                <w:szCs w:val="24"/>
              </w:rPr>
            </w:pPr>
            <w:r>
              <w:rPr>
                <w:rFonts w:hint="eastAsia" w:ascii="宋体" w:hAnsi="宋体"/>
                <w:sz w:val="24"/>
                <w:szCs w:val="24"/>
              </w:rPr>
              <w:t>层数</w:t>
            </w:r>
          </w:p>
        </w:tc>
        <w:tc>
          <w:tcPr>
            <w:tcW w:w="929" w:type="dxa"/>
            <w:noWrap/>
          </w:tcPr>
          <w:p>
            <w:pPr>
              <w:spacing w:line="360" w:lineRule="auto"/>
              <w:jc w:val="center"/>
              <w:rPr>
                <w:rFonts w:ascii="宋体" w:hAnsi="宋体"/>
                <w:sz w:val="24"/>
                <w:szCs w:val="24"/>
              </w:rPr>
            </w:pPr>
            <w:r>
              <w:rPr>
                <w:rFonts w:hint="eastAsia" w:ascii="宋体" w:hAnsi="宋体"/>
                <w:sz w:val="24"/>
                <w:szCs w:val="24"/>
              </w:rPr>
              <w:t>生产能</w:t>
            </w:r>
          </w:p>
          <w:p>
            <w:pPr>
              <w:spacing w:line="360" w:lineRule="auto"/>
              <w:jc w:val="center"/>
              <w:rPr>
                <w:rFonts w:ascii="宋体" w:hAnsi="宋体"/>
                <w:sz w:val="24"/>
                <w:szCs w:val="24"/>
              </w:rPr>
            </w:pPr>
            <w:r>
              <w:rPr>
                <w:rFonts w:hint="eastAsia" w:ascii="宋体" w:hAnsi="宋体"/>
                <w:sz w:val="24"/>
                <w:szCs w:val="24"/>
              </w:rPr>
              <w:t>力</w:t>
            </w:r>
          </w:p>
        </w:tc>
        <w:tc>
          <w:tcPr>
            <w:tcW w:w="929" w:type="dxa"/>
            <w:noWrap/>
          </w:tcPr>
          <w:p>
            <w:pPr>
              <w:spacing w:line="360" w:lineRule="auto"/>
              <w:jc w:val="center"/>
              <w:rPr>
                <w:rFonts w:ascii="宋体" w:hAnsi="宋体"/>
                <w:sz w:val="24"/>
                <w:szCs w:val="24"/>
              </w:rPr>
            </w:pPr>
            <w:r>
              <w:rPr>
                <w:rFonts w:hint="eastAsia" w:ascii="宋体" w:hAnsi="宋体"/>
                <w:sz w:val="24"/>
                <w:szCs w:val="24"/>
              </w:rPr>
              <w:t>设备安</w:t>
            </w:r>
          </w:p>
          <w:p>
            <w:pPr>
              <w:spacing w:line="360" w:lineRule="auto"/>
              <w:jc w:val="center"/>
              <w:rPr>
                <w:rFonts w:ascii="宋体" w:hAnsi="宋体"/>
                <w:sz w:val="24"/>
                <w:szCs w:val="24"/>
              </w:rPr>
            </w:pPr>
            <w:r>
              <w:rPr>
                <w:rFonts w:hint="eastAsia" w:ascii="宋体" w:hAnsi="宋体"/>
                <w:sz w:val="24"/>
                <w:szCs w:val="24"/>
              </w:rPr>
              <w:t>装内容</w:t>
            </w:r>
          </w:p>
        </w:tc>
        <w:tc>
          <w:tcPr>
            <w:tcW w:w="936" w:type="dxa"/>
            <w:noWrap/>
          </w:tcPr>
          <w:p>
            <w:pPr>
              <w:spacing w:line="360" w:lineRule="auto"/>
              <w:jc w:val="center"/>
              <w:rPr>
                <w:rFonts w:ascii="宋体" w:hAnsi="宋体"/>
                <w:sz w:val="24"/>
                <w:szCs w:val="24"/>
              </w:rPr>
            </w:pPr>
            <w:r>
              <w:rPr>
                <w:rFonts w:hint="eastAsia" w:ascii="宋体" w:hAnsi="宋体"/>
                <w:sz w:val="24"/>
                <w:szCs w:val="24"/>
              </w:rPr>
              <w:t>合同价</w:t>
            </w:r>
          </w:p>
          <w:p>
            <w:pPr>
              <w:spacing w:line="360" w:lineRule="auto"/>
              <w:jc w:val="center"/>
              <w:rPr>
                <w:rFonts w:ascii="宋体" w:hAnsi="宋体"/>
                <w:sz w:val="24"/>
                <w:szCs w:val="24"/>
              </w:rPr>
            </w:pPr>
            <w:r>
              <w:rPr>
                <w:rFonts w:hint="eastAsia" w:ascii="宋体" w:hAnsi="宋体"/>
                <w:sz w:val="24"/>
                <w:szCs w:val="24"/>
              </w:rPr>
              <w:t>格（元）</w:t>
            </w:r>
          </w:p>
        </w:tc>
        <w:tc>
          <w:tcPr>
            <w:tcW w:w="929" w:type="dxa"/>
            <w:noWrap/>
          </w:tcPr>
          <w:p>
            <w:pPr>
              <w:spacing w:line="360" w:lineRule="auto"/>
              <w:jc w:val="center"/>
              <w:rPr>
                <w:rFonts w:ascii="宋体" w:hAnsi="宋体"/>
                <w:sz w:val="24"/>
                <w:szCs w:val="24"/>
              </w:rPr>
            </w:pPr>
            <w:r>
              <w:rPr>
                <w:rFonts w:hint="eastAsia" w:ascii="宋体" w:hAnsi="宋体"/>
                <w:sz w:val="24"/>
                <w:szCs w:val="24"/>
              </w:rPr>
              <w:t>开工</w:t>
            </w:r>
          </w:p>
          <w:p>
            <w:pPr>
              <w:spacing w:line="360" w:lineRule="auto"/>
              <w:jc w:val="center"/>
              <w:rPr>
                <w:rFonts w:ascii="宋体" w:hAnsi="宋体"/>
                <w:sz w:val="24"/>
                <w:szCs w:val="24"/>
              </w:rPr>
            </w:pPr>
            <w:r>
              <w:rPr>
                <w:rFonts w:hint="eastAsia" w:ascii="宋体" w:hAnsi="宋体"/>
                <w:sz w:val="24"/>
                <w:szCs w:val="24"/>
              </w:rPr>
              <w:t>日期</w:t>
            </w:r>
          </w:p>
        </w:tc>
        <w:tc>
          <w:tcPr>
            <w:tcW w:w="929" w:type="dxa"/>
            <w:noWrap/>
          </w:tcPr>
          <w:p>
            <w:pPr>
              <w:spacing w:line="360" w:lineRule="auto"/>
              <w:jc w:val="center"/>
              <w:rPr>
                <w:rFonts w:ascii="宋体" w:hAnsi="宋体"/>
                <w:sz w:val="24"/>
                <w:szCs w:val="24"/>
              </w:rPr>
            </w:pPr>
            <w:r>
              <w:rPr>
                <w:rFonts w:hint="eastAsia" w:ascii="宋体" w:hAnsi="宋体"/>
                <w:sz w:val="24"/>
                <w:szCs w:val="24"/>
              </w:rPr>
              <w:t>竣工</w:t>
            </w:r>
          </w:p>
          <w:p>
            <w:pPr>
              <w:spacing w:line="360" w:lineRule="auto"/>
              <w:jc w:val="center"/>
              <w:rPr>
                <w:rFonts w:ascii="宋体" w:hAnsi="宋体"/>
                <w:sz w:val="24"/>
                <w:szCs w:val="24"/>
              </w:rPr>
            </w:pPr>
            <w:r>
              <w:rPr>
                <w:rFonts w:hint="eastAsia" w:ascii="宋体" w:hAnsi="宋体"/>
                <w:sz w:val="24"/>
                <w:szCs w:val="24"/>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tcPr>
          <w:p>
            <w:pPr>
              <w:spacing w:line="360" w:lineRule="auto"/>
              <w:jc w:val="center"/>
              <w:rPr>
                <w:rFonts w:ascii="宋体" w:hAnsi="宋体"/>
                <w:sz w:val="24"/>
                <w:szCs w:val="24"/>
              </w:rPr>
            </w:pPr>
          </w:p>
        </w:tc>
        <w:tc>
          <w:tcPr>
            <w:tcW w:w="992" w:type="dxa"/>
            <w:noWrap/>
          </w:tcPr>
          <w:p>
            <w:pPr>
              <w:spacing w:line="360" w:lineRule="auto"/>
              <w:jc w:val="center"/>
              <w:rPr>
                <w:rFonts w:ascii="宋体" w:hAnsi="宋体"/>
                <w:sz w:val="24"/>
                <w:szCs w:val="24"/>
              </w:rPr>
            </w:pPr>
          </w:p>
        </w:tc>
        <w:tc>
          <w:tcPr>
            <w:tcW w:w="1134" w:type="dxa"/>
            <w:noWrap/>
          </w:tcPr>
          <w:p>
            <w:pPr>
              <w:spacing w:line="360" w:lineRule="auto"/>
              <w:jc w:val="center"/>
              <w:rPr>
                <w:rFonts w:ascii="宋体" w:hAnsi="宋体"/>
                <w:sz w:val="24"/>
                <w:szCs w:val="24"/>
              </w:rPr>
            </w:pPr>
          </w:p>
        </w:tc>
        <w:tc>
          <w:tcPr>
            <w:tcW w:w="993" w:type="dxa"/>
            <w:noWrap/>
          </w:tcPr>
          <w:p>
            <w:pPr>
              <w:spacing w:line="360" w:lineRule="auto"/>
              <w:jc w:val="center"/>
              <w:rPr>
                <w:rFonts w:ascii="宋体" w:hAnsi="宋体"/>
                <w:sz w:val="24"/>
                <w:szCs w:val="24"/>
              </w:rPr>
            </w:pPr>
          </w:p>
        </w:tc>
        <w:tc>
          <w:tcPr>
            <w:tcW w:w="70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3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tcPr>
          <w:p>
            <w:pPr>
              <w:spacing w:line="360" w:lineRule="auto"/>
              <w:jc w:val="center"/>
              <w:rPr>
                <w:rFonts w:ascii="宋体" w:hAnsi="宋体"/>
                <w:sz w:val="24"/>
                <w:szCs w:val="24"/>
              </w:rPr>
            </w:pPr>
          </w:p>
        </w:tc>
        <w:tc>
          <w:tcPr>
            <w:tcW w:w="992" w:type="dxa"/>
            <w:noWrap/>
          </w:tcPr>
          <w:p>
            <w:pPr>
              <w:spacing w:line="360" w:lineRule="auto"/>
              <w:jc w:val="center"/>
              <w:rPr>
                <w:rFonts w:ascii="宋体" w:hAnsi="宋体"/>
                <w:sz w:val="24"/>
                <w:szCs w:val="24"/>
              </w:rPr>
            </w:pPr>
          </w:p>
        </w:tc>
        <w:tc>
          <w:tcPr>
            <w:tcW w:w="1134" w:type="dxa"/>
            <w:noWrap/>
          </w:tcPr>
          <w:p>
            <w:pPr>
              <w:spacing w:line="360" w:lineRule="auto"/>
              <w:jc w:val="center"/>
              <w:rPr>
                <w:rFonts w:ascii="宋体" w:hAnsi="宋体"/>
                <w:sz w:val="24"/>
                <w:szCs w:val="24"/>
              </w:rPr>
            </w:pPr>
          </w:p>
        </w:tc>
        <w:tc>
          <w:tcPr>
            <w:tcW w:w="993" w:type="dxa"/>
            <w:noWrap/>
          </w:tcPr>
          <w:p>
            <w:pPr>
              <w:spacing w:line="360" w:lineRule="auto"/>
              <w:jc w:val="center"/>
              <w:rPr>
                <w:rFonts w:ascii="宋体" w:hAnsi="宋体"/>
                <w:sz w:val="24"/>
                <w:szCs w:val="24"/>
              </w:rPr>
            </w:pPr>
          </w:p>
        </w:tc>
        <w:tc>
          <w:tcPr>
            <w:tcW w:w="70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3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17" w:type="dxa"/>
            <w:noWrap/>
          </w:tcPr>
          <w:p>
            <w:pPr>
              <w:spacing w:line="360" w:lineRule="auto"/>
              <w:jc w:val="center"/>
              <w:rPr>
                <w:rFonts w:ascii="宋体" w:hAnsi="宋体"/>
                <w:sz w:val="24"/>
                <w:szCs w:val="24"/>
              </w:rPr>
            </w:pPr>
          </w:p>
        </w:tc>
        <w:tc>
          <w:tcPr>
            <w:tcW w:w="992" w:type="dxa"/>
            <w:noWrap/>
          </w:tcPr>
          <w:p>
            <w:pPr>
              <w:spacing w:line="360" w:lineRule="auto"/>
              <w:jc w:val="center"/>
              <w:rPr>
                <w:rFonts w:ascii="宋体" w:hAnsi="宋体"/>
                <w:sz w:val="24"/>
                <w:szCs w:val="24"/>
              </w:rPr>
            </w:pPr>
          </w:p>
        </w:tc>
        <w:tc>
          <w:tcPr>
            <w:tcW w:w="1134" w:type="dxa"/>
            <w:noWrap/>
          </w:tcPr>
          <w:p>
            <w:pPr>
              <w:spacing w:line="360" w:lineRule="auto"/>
              <w:jc w:val="center"/>
              <w:rPr>
                <w:rFonts w:ascii="宋体" w:hAnsi="宋体"/>
                <w:sz w:val="24"/>
                <w:szCs w:val="24"/>
              </w:rPr>
            </w:pPr>
          </w:p>
        </w:tc>
        <w:tc>
          <w:tcPr>
            <w:tcW w:w="993" w:type="dxa"/>
            <w:noWrap/>
          </w:tcPr>
          <w:p>
            <w:pPr>
              <w:spacing w:line="360" w:lineRule="auto"/>
              <w:jc w:val="center"/>
              <w:rPr>
                <w:rFonts w:ascii="宋体" w:hAnsi="宋体"/>
                <w:sz w:val="24"/>
                <w:szCs w:val="24"/>
              </w:rPr>
            </w:pPr>
          </w:p>
        </w:tc>
        <w:tc>
          <w:tcPr>
            <w:tcW w:w="70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3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tcPr>
          <w:p>
            <w:pPr>
              <w:spacing w:line="360" w:lineRule="auto"/>
              <w:jc w:val="center"/>
              <w:rPr>
                <w:rFonts w:ascii="宋体" w:hAnsi="宋体"/>
                <w:sz w:val="24"/>
                <w:szCs w:val="24"/>
              </w:rPr>
            </w:pPr>
          </w:p>
        </w:tc>
        <w:tc>
          <w:tcPr>
            <w:tcW w:w="992" w:type="dxa"/>
            <w:noWrap/>
          </w:tcPr>
          <w:p>
            <w:pPr>
              <w:spacing w:line="360" w:lineRule="auto"/>
              <w:jc w:val="center"/>
              <w:rPr>
                <w:rFonts w:ascii="宋体" w:hAnsi="宋体"/>
                <w:sz w:val="24"/>
                <w:szCs w:val="24"/>
              </w:rPr>
            </w:pPr>
          </w:p>
        </w:tc>
        <w:tc>
          <w:tcPr>
            <w:tcW w:w="1134" w:type="dxa"/>
            <w:noWrap/>
          </w:tcPr>
          <w:p>
            <w:pPr>
              <w:spacing w:line="360" w:lineRule="auto"/>
              <w:jc w:val="center"/>
              <w:rPr>
                <w:rFonts w:ascii="宋体" w:hAnsi="宋体"/>
                <w:sz w:val="24"/>
                <w:szCs w:val="24"/>
              </w:rPr>
            </w:pPr>
          </w:p>
        </w:tc>
        <w:tc>
          <w:tcPr>
            <w:tcW w:w="993" w:type="dxa"/>
            <w:noWrap/>
          </w:tcPr>
          <w:p>
            <w:pPr>
              <w:spacing w:line="360" w:lineRule="auto"/>
              <w:jc w:val="center"/>
              <w:rPr>
                <w:rFonts w:ascii="宋体" w:hAnsi="宋体"/>
                <w:sz w:val="24"/>
                <w:szCs w:val="24"/>
              </w:rPr>
            </w:pPr>
          </w:p>
        </w:tc>
        <w:tc>
          <w:tcPr>
            <w:tcW w:w="70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3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tcPr>
          <w:p>
            <w:pPr>
              <w:spacing w:line="360" w:lineRule="auto"/>
              <w:jc w:val="center"/>
              <w:rPr>
                <w:rFonts w:ascii="宋体" w:hAnsi="宋体"/>
                <w:sz w:val="24"/>
                <w:szCs w:val="24"/>
              </w:rPr>
            </w:pPr>
          </w:p>
        </w:tc>
        <w:tc>
          <w:tcPr>
            <w:tcW w:w="992" w:type="dxa"/>
            <w:noWrap/>
          </w:tcPr>
          <w:p>
            <w:pPr>
              <w:spacing w:line="360" w:lineRule="auto"/>
              <w:jc w:val="center"/>
              <w:rPr>
                <w:rFonts w:ascii="宋体" w:hAnsi="宋体"/>
                <w:sz w:val="24"/>
                <w:szCs w:val="24"/>
              </w:rPr>
            </w:pPr>
          </w:p>
        </w:tc>
        <w:tc>
          <w:tcPr>
            <w:tcW w:w="1134" w:type="dxa"/>
            <w:noWrap/>
          </w:tcPr>
          <w:p>
            <w:pPr>
              <w:spacing w:line="360" w:lineRule="auto"/>
              <w:jc w:val="center"/>
              <w:rPr>
                <w:rFonts w:ascii="宋体" w:hAnsi="宋体"/>
                <w:sz w:val="24"/>
                <w:szCs w:val="24"/>
              </w:rPr>
            </w:pPr>
          </w:p>
        </w:tc>
        <w:tc>
          <w:tcPr>
            <w:tcW w:w="993" w:type="dxa"/>
            <w:noWrap/>
          </w:tcPr>
          <w:p>
            <w:pPr>
              <w:spacing w:line="360" w:lineRule="auto"/>
              <w:jc w:val="center"/>
              <w:rPr>
                <w:rFonts w:ascii="宋体" w:hAnsi="宋体"/>
                <w:sz w:val="24"/>
                <w:szCs w:val="24"/>
              </w:rPr>
            </w:pPr>
          </w:p>
        </w:tc>
        <w:tc>
          <w:tcPr>
            <w:tcW w:w="70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3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tcPr>
          <w:p>
            <w:pPr>
              <w:spacing w:line="360" w:lineRule="auto"/>
              <w:jc w:val="center"/>
              <w:rPr>
                <w:rFonts w:ascii="宋体" w:hAnsi="宋体"/>
                <w:sz w:val="24"/>
                <w:szCs w:val="24"/>
              </w:rPr>
            </w:pPr>
          </w:p>
        </w:tc>
        <w:tc>
          <w:tcPr>
            <w:tcW w:w="992" w:type="dxa"/>
            <w:noWrap/>
          </w:tcPr>
          <w:p>
            <w:pPr>
              <w:spacing w:line="360" w:lineRule="auto"/>
              <w:jc w:val="center"/>
              <w:rPr>
                <w:rFonts w:ascii="宋体" w:hAnsi="宋体"/>
                <w:sz w:val="24"/>
                <w:szCs w:val="24"/>
              </w:rPr>
            </w:pPr>
          </w:p>
        </w:tc>
        <w:tc>
          <w:tcPr>
            <w:tcW w:w="1134" w:type="dxa"/>
            <w:noWrap/>
          </w:tcPr>
          <w:p>
            <w:pPr>
              <w:spacing w:line="360" w:lineRule="auto"/>
              <w:jc w:val="center"/>
              <w:rPr>
                <w:rFonts w:ascii="宋体" w:hAnsi="宋体"/>
                <w:sz w:val="24"/>
                <w:szCs w:val="24"/>
              </w:rPr>
            </w:pPr>
          </w:p>
        </w:tc>
        <w:tc>
          <w:tcPr>
            <w:tcW w:w="993" w:type="dxa"/>
            <w:noWrap/>
          </w:tcPr>
          <w:p>
            <w:pPr>
              <w:spacing w:line="360" w:lineRule="auto"/>
              <w:jc w:val="center"/>
              <w:rPr>
                <w:rFonts w:ascii="宋体" w:hAnsi="宋体"/>
                <w:sz w:val="24"/>
                <w:szCs w:val="24"/>
              </w:rPr>
            </w:pPr>
          </w:p>
        </w:tc>
        <w:tc>
          <w:tcPr>
            <w:tcW w:w="70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36"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c>
          <w:tcPr>
            <w:tcW w:w="929" w:type="dxa"/>
            <w:noWrap/>
          </w:tcPr>
          <w:p>
            <w:pPr>
              <w:spacing w:line="360" w:lineRule="auto"/>
              <w:jc w:val="center"/>
              <w:rPr>
                <w:rFonts w:ascii="宋体" w:hAnsi="宋体"/>
                <w:sz w:val="24"/>
                <w:szCs w:val="24"/>
              </w:rPr>
            </w:pPr>
          </w:p>
        </w:tc>
      </w:tr>
    </w:tbl>
    <w:p>
      <w:pPr>
        <w:spacing w:line="360" w:lineRule="auto"/>
      </w:pPr>
    </w:p>
    <w:p>
      <w:pPr>
        <w:pStyle w:val="51"/>
        <w:spacing w:line="360" w:lineRule="auto"/>
      </w:pPr>
    </w:p>
    <w:p>
      <w:pPr>
        <w:pStyle w:val="52"/>
        <w:spacing w:line="360" w:lineRule="auto"/>
        <w:rPr>
          <w:sz w:val="24"/>
          <w:szCs w:val="24"/>
        </w:rPr>
      </w:pPr>
      <w:r>
        <w:rPr>
          <w:rFonts w:hint="eastAsia"/>
          <w:sz w:val="24"/>
          <w:szCs w:val="24"/>
        </w:rPr>
        <w:t>附件 2：</w:t>
      </w:r>
    </w:p>
    <w:p>
      <w:pPr>
        <w:pStyle w:val="52"/>
        <w:spacing w:line="360" w:lineRule="auto"/>
        <w:rPr>
          <w:sz w:val="24"/>
          <w:szCs w:val="24"/>
        </w:rPr>
      </w:pPr>
      <w:r>
        <w:rPr>
          <w:rFonts w:hint="eastAsia"/>
          <w:sz w:val="24"/>
          <w:szCs w:val="24"/>
        </w:rPr>
        <w:t>发包人供应材料设备一览表</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
        <w:gridCol w:w="1034"/>
        <w:gridCol w:w="1017"/>
        <w:gridCol w:w="969"/>
        <w:gridCol w:w="969"/>
        <w:gridCol w:w="976"/>
        <w:gridCol w:w="969"/>
        <w:gridCol w:w="969"/>
        <w:gridCol w:w="969"/>
        <w:gridCol w:w="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8" w:hRule="atLeast"/>
          <w:jc w:val="center"/>
        </w:trPr>
        <w:tc>
          <w:tcPr>
            <w:tcW w:w="852" w:type="dxa"/>
            <w:noWrap/>
            <w:vAlign w:val="center"/>
          </w:tcPr>
          <w:p>
            <w:pPr>
              <w:spacing w:line="360" w:lineRule="auto"/>
              <w:jc w:val="center"/>
              <w:rPr>
                <w:rFonts w:ascii="宋体" w:hAnsi="宋体"/>
                <w:sz w:val="24"/>
                <w:szCs w:val="24"/>
              </w:rPr>
            </w:pPr>
            <w:r>
              <w:rPr>
                <w:rFonts w:hint="eastAsia" w:ascii="宋体" w:hAnsi="宋体"/>
                <w:sz w:val="24"/>
                <w:szCs w:val="24"/>
              </w:rPr>
              <w:t>序号</w:t>
            </w:r>
          </w:p>
        </w:tc>
        <w:tc>
          <w:tcPr>
            <w:tcW w:w="1034" w:type="dxa"/>
            <w:noWrap/>
            <w:vAlign w:val="center"/>
          </w:tcPr>
          <w:p>
            <w:pPr>
              <w:spacing w:line="360" w:lineRule="auto"/>
              <w:jc w:val="center"/>
              <w:rPr>
                <w:rFonts w:ascii="宋体" w:hAnsi="宋体"/>
                <w:sz w:val="24"/>
                <w:szCs w:val="24"/>
              </w:rPr>
            </w:pPr>
            <w:r>
              <w:rPr>
                <w:rFonts w:hint="eastAsia" w:ascii="宋体" w:hAnsi="宋体"/>
                <w:sz w:val="24"/>
                <w:szCs w:val="24"/>
              </w:rPr>
              <w:t>材料、</w:t>
            </w:r>
          </w:p>
          <w:p>
            <w:pPr>
              <w:spacing w:line="360" w:lineRule="auto"/>
              <w:jc w:val="center"/>
              <w:rPr>
                <w:rFonts w:ascii="宋体" w:hAnsi="宋体"/>
                <w:sz w:val="24"/>
                <w:szCs w:val="24"/>
              </w:rPr>
            </w:pPr>
            <w:r>
              <w:rPr>
                <w:rFonts w:hint="eastAsia" w:ascii="宋体" w:hAnsi="宋体"/>
                <w:sz w:val="24"/>
                <w:szCs w:val="24"/>
              </w:rPr>
              <w:t>设备品种</w:t>
            </w:r>
          </w:p>
        </w:tc>
        <w:tc>
          <w:tcPr>
            <w:tcW w:w="1017" w:type="dxa"/>
            <w:noWrap/>
            <w:vAlign w:val="center"/>
          </w:tcPr>
          <w:p>
            <w:pPr>
              <w:spacing w:line="360" w:lineRule="auto"/>
              <w:jc w:val="center"/>
              <w:rPr>
                <w:rFonts w:ascii="宋体" w:hAnsi="宋体"/>
                <w:sz w:val="24"/>
                <w:szCs w:val="24"/>
              </w:rPr>
            </w:pPr>
            <w:r>
              <w:rPr>
                <w:rFonts w:hint="eastAsia" w:ascii="宋体" w:hAnsi="宋体"/>
                <w:sz w:val="24"/>
                <w:szCs w:val="24"/>
              </w:rPr>
              <w:t>规格型号</w:t>
            </w:r>
          </w:p>
        </w:tc>
        <w:tc>
          <w:tcPr>
            <w:tcW w:w="969" w:type="dxa"/>
            <w:noWrap/>
            <w:vAlign w:val="center"/>
          </w:tcPr>
          <w:p>
            <w:pPr>
              <w:spacing w:line="360" w:lineRule="auto"/>
              <w:jc w:val="center"/>
              <w:rPr>
                <w:rFonts w:ascii="宋体" w:hAnsi="宋体"/>
                <w:sz w:val="24"/>
                <w:szCs w:val="24"/>
              </w:rPr>
            </w:pPr>
            <w:r>
              <w:rPr>
                <w:rFonts w:hint="eastAsia" w:ascii="宋体" w:hAnsi="宋体"/>
                <w:sz w:val="24"/>
                <w:szCs w:val="24"/>
              </w:rPr>
              <w:t>单位</w:t>
            </w:r>
          </w:p>
        </w:tc>
        <w:tc>
          <w:tcPr>
            <w:tcW w:w="969" w:type="dxa"/>
            <w:noWrap/>
            <w:vAlign w:val="center"/>
          </w:tcPr>
          <w:p>
            <w:pPr>
              <w:spacing w:line="360" w:lineRule="auto"/>
              <w:jc w:val="center"/>
              <w:rPr>
                <w:rFonts w:ascii="宋体" w:hAnsi="宋体"/>
                <w:sz w:val="24"/>
                <w:szCs w:val="24"/>
              </w:rPr>
            </w:pPr>
            <w:r>
              <w:rPr>
                <w:rFonts w:hint="eastAsia" w:ascii="宋体" w:hAnsi="宋体"/>
                <w:sz w:val="24"/>
                <w:szCs w:val="24"/>
              </w:rPr>
              <w:t>数量</w:t>
            </w:r>
          </w:p>
        </w:tc>
        <w:tc>
          <w:tcPr>
            <w:tcW w:w="976" w:type="dxa"/>
            <w:noWrap/>
            <w:vAlign w:val="center"/>
          </w:tcPr>
          <w:p>
            <w:pPr>
              <w:spacing w:line="360" w:lineRule="auto"/>
              <w:jc w:val="center"/>
              <w:rPr>
                <w:rFonts w:ascii="宋体" w:hAnsi="宋体"/>
                <w:sz w:val="24"/>
                <w:szCs w:val="24"/>
              </w:rPr>
            </w:pPr>
            <w:r>
              <w:rPr>
                <w:rFonts w:hint="eastAsia" w:ascii="宋体" w:hAnsi="宋体"/>
                <w:sz w:val="24"/>
                <w:szCs w:val="24"/>
              </w:rPr>
              <w:t>单价</w:t>
            </w:r>
          </w:p>
          <w:p>
            <w:pPr>
              <w:spacing w:line="360" w:lineRule="auto"/>
              <w:jc w:val="center"/>
              <w:rPr>
                <w:rFonts w:ascii="宋体" w:hAnsi="宋体"/>
                <w:sz w:val="24"/>
                <w:szCs w:val="24"/>
              </w:rPr>
            </w:pPr>
            <w:r>
              <w:rPr>
                <w:rFonts w:hint="eastAsia" w:ascii="宋体" w:hAnsi="宋体"/>
                <w:sz w:val="24"/>
                <w:szCs w:val="24"/>
              </w:rPr>
              <w:t>（元）</w:t>
            </w:r>
          </w:p>
        </w:tc>
        <w:tc>
          <w:tcPr>
            <w:tcW w:w="969" w:type="dxa"/>
            <w:noWrap/>
            <w:vAlign w:val="center"/>
          </w:tcPr>
          <w:p>
            <w:pPr>
              <w:spacing w:line="360" w:lineRule="auto"/>
              <w:jc w:val="center"/>
              <w:rPr>
                <w:rFonts w:ascii="宋体" w:hAnsi="宋体"/>
                <w:sz w:val="24"/>
                <w:szCs w:val="24"/>
              </w:rPr>
            </w:pPr>
            <w:r>
              <w:rPr>
                <w:rFonts w:hint="eastAsia" w:ascii="宋体" w:hAnsi="宋体"/>
                <w:sz w:val="24"/>
                <w:szCs w:val="24"/>
              </w:rPr>
              <w:t>质量等</w:t>
            </w:r>
          </w:p>
          <w:p>
            <w:pPr>
              <w:spacing w:line="360" w:lineRule="auto"/>
              <w:jc w:val="center"/>
              <w:rPr>
                <w:rFonts w:ascii="宋体" w:hAnsi="宋体"/>
                <w:sz w:val="24"/>
                <w:szCs w:val="24"/>
              </w:rPr>
            </w:pPr>
            <w:r>
              <w:rPr>
                <w:rFonts w:hint="eastAsia" w:ascii="宋体" w:hAnsi="宋体"/>
                <w:sz w:val="24"/>
                <w:szCs w:val="24"/>
              </w:rPr>
              <w:t>级</w:t>
            </w:r>
          </w:p>
        </w:tc>
        <w:tc>
          <w:tcPr>
            <w:tcW w:w="969" w:type="dxa"/>
            <w:noWrap/>
            <w:vAlign w:val="center"/>
          </w:tcPr>
          <w:p>
            <w:pPr>
              <w:spacing w:line="360" w:lineRule="auto"/>
              <w:jc w:val="center"/>
              <w:rPr>
                <w:rFonts w:ascii="宋体" w:hAnsi="宋体"/>
                <w:sz w:val="24"/>
                <w:szCs w:val="24"/>
              </w:rPr>
            </w:pPr>
            <w:r>
              <w:rPr>
                <w:rFonts w:hint="eastAsia" w:ascii="宋体" w:hAnsi="宋体"/>
                <w:sz w:val="24"/>
                <w:szCs w:val="24"/>
              </w:rPr>
              <w:t>供应</w:t>
            </w:r>
          </w:p>
          <w:p>
            <w:pPr>
              <w:spacing w:line="360" w:lineRule="auto"/>
              <w:jc w:val="center"/>
              <w:rPr>
                <w:rFonts w:ascii="宋体" w:hAnsi="宋体"/>
                <w:sz w:val="24"/>
                <w:szCs w:val="24"/>
              </w:rPr>
            </w:pPr>
            <w:r>
              <w:rPr>
                <w:rFonts w:hint="eastAsia" w:ascii="宋体" w:hAnsi="宋体"/>
                <w:sz w:val="24"/>
                <w:szCs w:val="24"/>
              </w:rPr>
              <w:t>时间</w:t>
            </w:r>
          </w:p>
        </w:tc>
        <w:tc>
          <w:tcPr>
            <w:tcW w:w="969" w:type="dxa"/>
            <w:noWrap/>
            <w:vAlign w:val="center"/>
          </w:tcPr>
          <w:p>
            <w:pPr>
              <w:spacing w:line="360" w:lineRule="auto"/>
              <w:jc w:val="center"/>
              <w:rPr>
                <w:rFonts w:ascii="宋体" w:hAnsi="宋体"/>
                <w:sz w:val="24"/>
                <w:szCs w:val="24"/>
              </w:rPr>
            </w:pPr>
            <w:r>
              <w:rPr>
                <w:rFonts w:hint="eastAsia" w:ascii="宋体" w:hAnsi="宋体"/>
                <w:sz w:val="24"/>
                <w:szCs w:val="24"/>
              </w:rPr>
              <w:t>送达地点</w:t>
            </w:r>
          </w:p>
        </w:tc>
        <w:tc>
          <w:tcPr>
            <w:tcW w:w="969" w:type="dxa"/>
            <w:noWrap/>
            <w:vAlign w:val="center"/>
          </w:tcPr>
          <w:p>
            <w:pPr>
              <w:spacing w:line="360" w:lineRule="auto"/>
              <w:jc w:val="center"/>
              <w:rPr>
                <w:rFonts w:ascii="宋体" w:hAnsi="宋体"/>
                <w:sz w:val="24"/>
                <w:szCs w:val="24"/>
              </w:rPr>
            </w:pPr>
            <w:r>
              <w:rPr>
                <w:rFonts w:hint="eastAsia" w:ascii="宋体" w:hAnsi="宋体"/>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852" w:type="dxa"/>
            <w:noWrap/>
          </w:tcPr>
          <w:p>
            <w:pPr>
              <w:spacing w:line="360" w:lineRule="auto"/>
              <w:jc w:val="center"/>
              <w:rPr>
                <w:rFonts w:ascii="宋体" w:hAnsi="宋体"/>
                <w:sz w:val="24"/>
                <w:szCs w:val="24"/>
              </w:rPr>
            </w:pPr>
          </w:p>
        </w:tc>
        <w:tc>
          <w:tcPr>
            <w:tcW w:w="1034" w:type="dxa"/>
            <w:noWrap/>
          </w:tcPr>
          <w:p>
            <w:pPr>
              <w:spacing w:line="360" w:lineRule="auto"/>
              <w:jc w:val="center"/>
              <w:rPr>
                <w:rFonts w:ascii="宋体" w:hAnsi="宋体"/>
                <w:sz w:val="24"/>
                <w:szCs w:val="24"/>
              </w:rPr>
            </w:pPr>
          </w:p>
        </w:tc>
        <w:tc>
          <w:tcPr>
            <w:tcW w:w="1017"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76"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852" w:type="dxa"/>
            <w:noWrap/>
          </w:tcPr>
          <w:p>
            <w:pPr>
              <w:spacing w:line="360" w:lineRule="auto"/>
              <w:jc w:val="center"/>
              <w:rPr>
                <w:rFonts w:ascii="宋体" w:hAnsi="宋体"/>
                <w:sz w:val="24"/>
                <w:szCs w:val="24"/>
              </w:rPr>
            </w:pPr>
          </w:p>
        </w:tc>
        <w:tc>
          <w:tcPr>
            <w:tcW w:w="1034" w:type="dxa"/>
            <w:noWrap/>
          </w:tcPr>
          <w:p>
            <w:pPr>
              <w:spacing w:line="360" w:lineRule="auto"/>
              <w:jc w:val="center"/>
              <w:rPr>
                <w:rFonts w:ascii="宋体" w:hAnsi="宋体"/>
                <w:sz w:val="24"/>
                <w:szCs w:val="24"/>
              </w:rPr>
            </w:pPr>
          </w:p>
        </w:tc>
        <w:tc>
          <w:tcPr>
            <w:tcW w:w="1017"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76"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852" w:type="dxa"/>
            <w:noWrap/>
          </w:tcPr>
          <w:p>
            <w:pPr>
              <w:spacing w:line="360" w:lineRule="auto"/>
              <w:jc w:val="center"/>
              <w:rPr>
                <w:rFonts w:ascii="宋体" w:hAnsi="宋体"/>
                <w:sz w:val="24"/>
                <w:szCs w:val="24"/>
              </w:rPr>
            </w:pPr>
          </w:p>
        </w:tc>
        <w:tc>
          <w:tcPr>
            <w:tcW w:w="1034" w:type="dxa"/>
            <w:noWrap/>
          </w:tcPr>
          <w:p>
            <w:pPr>
              <w:spacing w:line="360" w:lineRule="auto"/>
              <w:jc w:val="center"/>
              <w:rPr>
                <w:rFonts w:ascii="宋体" w:hAnsi="宋体"/>
                <w:sz w:val="24"/>
                <w:szCs w:val="24"/>
              </w:rPr>
            </w:pPr>
          </w:p>
        </w:tc>
        <w:tc>
          <w:tcPr>
            <w:tcW w:w="1017"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76"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852" w:type="dxa"/>
            <w:noWrap/>
          </w:tcPr>
          <w:p>
            <w:pPr>
              <w:spacing w:line="360" w:lineRule="auto"/>
              <w:jc w:val="center"/>
              <w:rPr>
                <w:rFonts w:ascii="宋体" w:hAnsi="宋体"/>
                <w:sz w:val="24"/>
                <w:szCs w:val="24"/>
              </w:rPr>
            </w:pPr>
          </w:p>
        </w:tc>
        <w:tc>
          <w:tcPr>
            <w:tcW w:w="1034" w:type="dxa"/>
            <w:noWrap/>
          </w:tcPr>
          <w:p>
            <w:pPr>
              <w:spacing w:line="360" w:lineRule="auto"/>
              <w:jc w:val="center"/>
              <w:rPr>
                <w:rFonts w:ascii="宋体" w:hAnsi="宋体"/>
                <w:sz w:val="24"/>
                <w:szCs w:val="24"/>
              </w:rPr>
            </w:pPr>
          </w:p>
        </w:tc>
        <w:tc>
          <w:tcPr>
            <w:tcW w:w="1017"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76"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852" w:type="dxa"/>
            <w:noWrap/>
          </w:tcPr>
          <w:p>
            <w:pPr>
              <w:spacing w:line="360" w:lineRule="auto"/>
              <w:jc w:val="center"/>
              <w:rPr>
                <w:rFonts w:ascii="宋体" w:hAnsi="宋体"/>
                <w:sz w:val="24"/>
                <w:szCs w:val="24"/>
              </w:rPr>
            </w:pPr>
          </w:p>
        </w:tc>
        <w:tc>
          <w:tcPr>
            <w:tcW w:w="1034" w:type="dxa"/>
            <w:noWrap/>
          </w:tcPr>
          <w:p>
            <w:pPr>
              <w:spacing w:line="360" w:lineRule="auto"/>
              <w:jc w:val="center"/>
              <w:rPr>
                <w:rFonts w:ascii="宋体" w:hAnsi="宋体"/>
                <w:sz w:val="24"/>
                <w:szCs w:val="24"/>
              </w:rPr>
            </w:pPr>
          </w:p>
        </w:tc>
        <w:tc>
          <w:tcPr>
            <w:tcW w:w="1017"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76"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52" w:type="dxa"/>
            <w:noWrap/>
          </w:tcPr>
          <w:p>
            <w:pPr>
              <w:spacing w:line="360" w:lineRule="auto"/>
              <w:jc w:val="center"/>
              <w:rPr>
                <w:rFonts w:ascii="宋体" w:hAnsi="宋体"/>
                <w:sz w:val="24"/>
                <w:szCs w:val="24"/>
              </w:rPr>
            </w:pPr>
          </w:p>
        </w:tc>
        <w:tc>
          <w:tcPr>
            <w:tcW w:w="1034" w:type="dxa"/>
            <w:noWrap/>
          </w:tcPr>
          <w:p>
            <w:pPr>
              <w:spacing w:line="360" w:lineRule="auto"/>
              <w:jc w:val="center"/>
              <w:rPr>
                <w:rFonts w:ascii="宋体" w:hAnsi="宋体"/>
                <w:sz w:val="24"/>
                <w:szCs w:val="24"/>
              </w:rPr>
            </w:pPr>
          </w:p>
        </w:tc>
        <w:tc>
          <w:tcPr>
            <w:tcW w:w="1017"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76"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c>
          <w:tcPr>
            <w:tcW w:w="969" w:type="dxa"/>
            <w:noWrap/>
          </w:tcPr>
          <w:p>
            <w:pPr>
              <w:spacing w:line="360" w:lineRule="auto"/>
              <w:jc w:val="center"/>
              <w:rPr>
                <w:rFonts w:ascii="宋体" w:hAnsi="宋体"/>
                <w:sz w:val="24"/>
                <w:szCs w:val="24"/>
              </w:rPr>
            </w:pPr>
          </w:p>
        </w:tc>
      </w:tr>
    </w:tbl>
    <w:p>
      <w:pPr>
        <w:spacing w:line="360" w:lineRule="auto"/>
      </w:pPr>
    </w:p>
    <w:p>
      <w:pPr>
        <w:pStyle w:val="52"/>
        <w:spacing w:line="360" w:lineRule="auto"/>
      </w:pPr>
    </w:p>
    <w:p>
      <w:pPr>
        <w:pStyle w:val="52"/>
        <w:spacing w:line="360" w:lineRule="auto"/>
        <w:rPr>
          <w:rFonts w:ascii="宋体" w:hAnsi="宋体"/>
          <w:sz w:val="24"/>
          <w:szCs w:val="24"/>
        </w:rPr>
      </w:pPr>
      <w:r>
        <w:rPr>
          <w:rFonts w:hint="eastAsia" w:ascii="宋体" w:hAnsi="宋体"/>
          <w:sz w:val="24"/>
          <w:szCs w:val="24"/>
        </w:rPr>
        <w:t>附件 3：</w:t>
      </w:r>
    </w:p>
    <w:p>
      <w:pPr>
        <w:pStyle w:val="52"/>
        <w:spacing w:line="360" w:lineRule="auto"/>
        <w:rPr>
          <w:rFonts w:ascii="宋体" w:hAnsi="宋体"/>
          <w:sz w:val="24"/>
          <w:szCs w:val="24"/>
        </w:rPr>
      </w:pPr>
      <w:r>
        <w:rPr>
          <w:rFonts w:hint="eastAsia" w:ascii="宋体" w:hAnsi="宋体"/>
          <w:sz w:val="24"/>
          <w:szCs w:val="24"/>
        </w:rPr>
        <w:t>工程质量保修书</w:t>
      </w:r>
    </w:p>
    <w:p>
      <w:pPr>
        <w:pStyle w:val="52"/>
        <w:spacing w:line="360" w:lineRule="auto"/>
        <w:rPr>
          <w:rFonts w:ascii="宋体" w:hAnsi="宋体"/>
          <w:sz w:val="24"/>
          <w:szCs w:val="24"/>
        </w:rPr>
      </w:pPr>
      <w:r>
        <w:rPr>
          <w:rFonts w:hint="eastAsia" w:ascii="宋体" w:hAnsi="宋体"/>
          <w:sz w:val="24"/>
          <w:szCs w:val="24"/>
        </w:rPr>
        <w:t xml:space="preserve">发包人（全称）：_________________                 </w:t>
      </w:r>
    </w:p>
    <w:p>
      <w:pPr>
        <w:pStyle w:val="52"/>
        <w:spacing w:line="360" w:lineRule="auto"/>
        <w:rPr>
          <w:rFonts w:ascii="宋体" w:hAnsi="宋体"/>
          <w:sz w:val="24"/>
          <w:szCs w:val="24"/>
        </w:rPr>
      </w:pPr>
      <w:r>
        <w:rPr>
          <w:rFonts w:hint="eastAsia" w:ascii="宋体" w:hAnsi="宋体"/>
          <w:sz w:val="24"/>
          <w:szCs w:val="24"/>
        </w:rPr>
        <w:t xml:space="preserve">承包人（全称）：_________________                  </w:t>
      </w:r>
    </w:p>
    <w:p>
      <w:pPr>
        <w:pStyle w:val="52"/>
        <w:spacing w:line="360" w:lineRule="auto"/>
        <w:ind w:firstLine="480" w:firstLineChars="200"/>
        <w:rPr>
          <w:rFonts w:ascii="宋体" w:hAnsi="宋体"/>
          <w:sz w:val="24"/>
          <w:szCs w:val="24"/>
        </w:rPr>
      </w:pPr>
      <w:r>
        <w:rPr>
          <w:rFonts w:hint="eastAsia" w:ascii="宋体" w:hAnsi="宋体"/>
          <w:sz w:val="24"/>
          <w:szCs w:val="24"/>
        </w:rPr>
        <w:t>发包人和承包人根据《中华人民共和国建筑法》和《建设工程质量管理条例》，经协商一致就（工程全称）签订工程质量保修书。</w:t>
      </w:r>
    </w:p>
    <w:p>
      <w:pPr>
        <w:pStyle w:val="52"/>
        <w:spacing w:line="360" w:lineRule="auto"/>
        <w:ind w:firstLine="480" w:firstLineChars="200"/>
        <w:rPr>
          <w:rFonts w:ascii="宋体" w:hAnsi="宋体"/>
          <w:sz w:val="24"/>
          <w:szCs w:val="24"/>
        </w:rPr>
      </w:pPr>
      <w:r>
        <w:rPr>
          <w:rFonts w:hint="eastAsia" w:ascii="宋体" w:hAnsi="宋体"/>
          <w:sz w:val="24"/>
          <w:szCs w:val="24"/>
        </w:rPr>
        <w:t>一、工程质量保修范围和内容</w:t>
      </w:r>
    </w:p>
    <w:p>
      <w:pPr>
        <w:pStyle w:val="52"/>
        <w:spacing w:line="360" w:lineRule="auto"/>
        <w:ind w:firstLine="480" w:firstLineChars="200"/>
        <w:rPr>
          <w:rFonts w:ascii="宋体" w:hAnsi="宋体"/>
          <w:sz w:val="24"/>
          <w:szCs w:val="24"/>
        </w:rPr>
      </w:pPr>
      <w:r>
        <w:rPr>
          <w:rFonts w:hint="eastAsia" w:ascii="宋体" w:hAnsi="宋体"/>
          <w:sz w:val="24"/>
          <w:szCs w:val="24"/>
        </w:rPr>
        <w:t>承包人在质量保修期内，按照有关法律规定和合同约定，承担工程质量保修责任。</w:t>
      </w:r>
    </w:p>
    <w:p>
      <w:pPr>
        <w:pStyle w:val="52"/>
        <w:spacing w:line="360" w:lineRule="auto"/>
        <w:ind w:firstLine="480" w:firstLineChars="200"/>
        <w:rPr>
          <w:rFonts w:ascii="宋体" w:hAnsi="宋体"/>
          <w:sz w:val="24"/>
          <w:szCs w:val="24"/>
        </w:rPr>
      </w:pPr>
      <w:r>
        <w:rPr>
          <w:rFonts w:hint="eastAsia" w:ascii="宋体" w:hAnsi="宋体"/>
          <w:sz w:val="24"/>
          <w:szCs w:val="24"/>
        </w:rPr>
        <w:t xml:space="preserve">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 </w:t>
      </w:r>
    </w:p>
    <w:p>
      <w:pPr>
        <w:pStyle w:val="52"/>
        <w:spacing w:line="360" w:lineRule="auto"/>
        <w:ind w:firstLine="480" w:firstLineChars="200"/>
        <w:rPr>
          <w:rFonts w:ascii="宋体" w:hAnsi="宋体"/>
          <w:sz w:val="24"/>
          <w:szCs w:val="24"/>
        </w:rPr>
      </w:pPr>
      <w:r>
        <w:rPr>
          <w:rFonts w:hint="eastAsia" w:ascii="宋体" w:hAnsi="宋体"/>
          <w:sz w:val="24"/>
          <w:szCs w:val="24"/>
        </w:rPr>
        <w:t>二、质量保修期</w:t>
      </w:r>
    </w:p>
    <w:p>
      <w:pPr>
        <w:pStyle w:val="52"/>
        <w:spacing w:line="360" w:lineRule="auto"/>
        <w:ind w:firstLine="480" w:firstLineChars="200"/>
        <w:rPr>
          <w:rFonts w:ascii="宋体" w:hAnsi="宋体"/>
          <w:sz w:val="24"/>
          <w:szCs w:val="24"/>
        </w:rPr>
      </w:pPr>
      <w:r>
        <w:rPr>
          <w:rFonts w:hint="eastAsia" w:ascii="宋体" w:hAnsi="宋体"/>
          <w:sz w:val="24"/>
          <w:szCs w:val="24"/>
        </w:rPr>
        <w:t>根据《建设工程质量管理条例》及有关规定，工程的质量保修期如下：</w:t>
      </w:r>
    </w:p>
    <w:p>
      <w:pPr>
        <w:pStyle w:val="52"/>
        <w:spacing w:line="360" w:lineRule="auto"/>
        <w:ind w:firstLine="480" w:firstLineChars="200"/>
        <w:rPr>
          <w:rFonts w:ascii="宋体" w:hAnsi="宋体"/>
          <w:sz w:val="24"/>
          <w:szCs w:val="24"/>
        </w:rPr>
      </w:pPr>
      <w:r>
        <w:rPr>
          <w:rFonts w:hint="eastAsia" w:ascii="宋体" w:hAnsi="宋体"/>
          <w:sz w:val="24"/>
          <w:szCs w:val="24"/>
        </w:rPr>
        <w:t>1．地基基础工程和主体结构工程为设计文件规定的工程合理使用年限；</w:t>
      </w:r>
    </w:p>
    <w:p>
      <w:pPr>
        <w:pStyle w:val="52"/>
        <w:spacing w:line="360" w:lineRule="auto"/>
        <w:ind w:firstLine="480" w:firstLineChars="200"/>
        <w:rPr>
          <w:rFonts w:ascii="宋体" w:hAnsi="宋体"/>
          <w:sz w:val="24"/>
          <w:szCs w:val="24"/>
        </w:rPr>
      </w:pPr>
      <w:r>
        <w:rPr>
          <w:rFonts w:hint="eastAsia" w:ascii="宋体" w:hAnsi="宋体"/>
          <w:sz w:val="24"/>
          <w:szCs w:val="24"/>
        </w:rPr>
        <w:t>2．屋面防水工程、有防水要求的卫生间、房间和外墙面的防渗为年；</w:t>
      </w:r>
    </w:p>
    <w:p>
      <w:pPr>
        <w:pStyle w:val="52"/>
        <w:spacing w:line="360" w:lineRule="auto"/>
        <w:ind w:firstLine="480" w:firstLineChars="200"/>
        <w:rPr>
          <w:rFonts w:ascii="宋体" w:hAnsi="宋体"/>
          <w:sz w:val="24"/>
          <w:szCs w:val="24"/>
        </w:rPr>
      </w:pPr>
      <w:r>
        <w:rPr>
          <w:rFonts w:hint="eastAsia" w:ascii="宋体" w:hAnsi="宋体"/>
          <w:sz w:val="24"/>
          <w:szCs w:val="24"/>
        </w:rPr>
        <w:t>3．装修工程为年；</w:t>
      </w:r>
    </w:p>
    <w:p>
      <w:pPr>
        <w:pStyle w:val="52"/>
        <w:spacing w:line="360" w:lineRule="auto"/>
        <w:ind w:firstLine="480" w:firstLineChars="200"/>
        <w:rPr>
          <w:rFonts w:ascii="宋体" w:hAnsi="宋体"/>
          <w:sz w:val="24"/>
          <w:szCs w:val="24"/>
        </w:rPr>
      </w:pPr>
      <w:r>
        <w:rPr>
          <w:rFonts w:hint="eastAsia" w:ascii="宋体" w:hAnsi="宋体"/>
          <w:sz w:val="24"/>
          <w:szCs w:val="24"/>
        </w:rPr>
        <w:t>4．电气管线、给排水管道、设备安装工程为年；</w:t>
      </w:r>
    </w:p>
    <w:p>
      <w:pPr>
        <w:pStyle w:val="52"/>
        <w:spacing w:line="360" w:lineRule="auto"/>
        <w:ind w:firstLine="480" w:firstLineChars="200"/>
        <w:rPr>
          <w:rFonts w:ascii="宋体" w:hAnsi="宋体"/>
          <w:sz w:val="24"/>
          <w:szCs w:val="24"/>
        </w:rPr>
      </w:pPr>
      <w:r>
        <w:rPr>
          <w:rFonts w:hint="eastAsia" w:ascii="宋体" w:hAnsi="宋体"/>
          <w:sz w:val="24"/>
          <w:szCs w:val="24"/>
        </w:rPr>
        <w:t>5．供热与供冷系统为个采暖期、供冷期；</w:t>
      </w:r>
    </w:p>
    <w:p>
      <w:pPr>
        <w:pStyle w:val="52"/>
        <w:spacing w:line="360" w:lineRule="auto"/>
        <w:ind w:firstLine="480" w:firstLineChars="200"/>
        <w:rPr>
          <w:rFonts w:ascii="宋体" w:hAnsi="宋体"/>
          <w:sz w:val="24"/>
          <w:szCs w:val="24"/>
        </w:rPr>
      </w:pPr>
      <w:r>
        <w:rPr>
          <w:rFonts w:hint="eastAsia" w:ascii="宋体" w:hAnsi="宋体"/>
          <w:sz w:val="24"/>
          <w:szCs w:val="24"/>
        </w:rPr>
        <w:t>6．住宅小区内的给排水设施、道路等配套工程为年；</w:t>
      </w:r>
    </w:p>
    <w:p>
      <w:pPr>
        <w:pStyle w:val="52"/>
        <w:spacing w:line="360" w:lineRule="auto"/>
        <w:ind w:firstLine="480" w:firstLineChars="200"/>
        <w:rPr>
          <w:rFonts w:ascii="宋体" w:hAnsi="宋体"/>
          <w:sz w:val="24"/>
          <w:szCs w:val="24"/>
        </w:rPr>
      </w:pPr>
      <w:r>
        <w:rPr>
          <w:rFonts w:hint="eastAsia" w:ascii="宋体" w:hAnsi="宋体"/>
          <w:sz w:val="24"/>
          <w:szCs w:val="24"/>
        </w:rPr>
        <w:t>7．其他项目保修期限约定如下：________________________</w:t>
      </w:r>
    </w:p>
    <w:p>
      <w:pPr>
        <w:pStyle w:val="52"/>
        <w:spacing w:line="360" w:lineRule="auto"/>
        <w:ind w:firstLine="480" w:firstLineChars="200"/>
        <w:rPr>
          <w:rFonts w:ascii="宋体" w:hAnsi="宋体"/>
          <w:sz w:val="24"/>
          <w:szCs w:val="24"/>
        </w:rPr>
      </w:pPr>
      <w:r>
        <w:rPr>
          <w:rFonts w:hint="eastAsia" w:ascii="宋体" w:hAnsi="宋体"/>
          <w:sz w:val="24"/>
          <w:szCs w:val="24"/>
        </w:rPr>
        <w:t>质量保修期自工程竣工验收合格之日起计算。</w:t>
      </w:r>
    </w:p>
    <w:p>
      <w:pPr>
        <w:pStyle w:val="52"/>
        <w:spacing w:line="360" w:lineRule="auto"/>
        <w:ind w:firstLine="480" w:firstLineChars="200"/>
        <w:rPr>
          <w:rFonts w:ascii="宋体" w:hAnsi="宋体"/>
          <w:sz w:val="24"/>
          <w:szCs w:val="24"/>
        </w:rPr>
      </w:pPr>
      <w:r>
        <w:rPr>
          <w:rFonts w:hint="eastAsia" w:ascii="宋体" w:hAnsi="宋体"/>
          <w:sz w:val="24"/>
          <w:szCs w:val="24"/>
        </w:rPr>
        <w:t>三、缺陷责任期</w:t>
      </w:r>
    </w:p>
    <w:p>
      <w:pPr>
        <w:pStyle w:val="52"/>
        <w:spacing w:line="360" w:lineRule="auto"/>
        <w:ind w:firstLine="480" w:firstLineChars="200"/>
        <w:rPr>
          <w:rFonts w:ascii="宋体" w:hAnsi="宋体"/>
          <w:sz w:val="24"/>
          <w:szCs w:val="24"/>
        </w:rPr>
      </w:pPr>
      <w:r>
        <w:rPr>
          <w:rFonts w:hint="eastAsia" w:ascii="宋体" w:hAnsi="宋体"/>
          <w:sz w:val="24"/>
          <w:szCs w:val="24"/>
        </w:rPr>
        <w:t>工程缺陷责任期为个月，缺陷责任期自工程竣工验收合格之日起计算。单位工程先于全部工程进行验收，单位工程缺陷责任期自单位工程验收合格之日起算。</w:t>
      </w:r>
    </w:p>
    <w:p>
      <w:pPr>
        <w:pStyle w:val="52"/>
        <w:spacing w:line="360" w:lineRule="auto"/>
        <w:ind w:firstLine="480" w:firstLineChars="200"/>
        <w:rPr>
          <w:rFonts w:ascii="宋体" w:hAnsi="宋体"/>
          <w:sz w:val="24"/>
          <w:szCs w:val="24"/>
        </w:rPr>
      </w:pPr>
      <w:r>
        <w:rPr>
          <w:rFonts w:hint="eastAsia" w:ascii="宋体" w:hAnsi="宋体"/>
          <w:sz w:val="24"/>
          <w:szCs w:val="24"/>
        </w:rPr>
        <w:t>缺陷责任期终止后，发包人应退还剩余的质量保证金。</w:t>
      </w:r>
    </w:p>
    <w:p>
      <w:pPr>
        <w:pStyle w:val="52"/>
        <w:spacing w:line="360" w:lineRule="auto"/>
        <w:ind w:firstLine="480" w:firstLineChars="200"/>
        <w:rPr>
          <w:rFonts w:ascii="宋体" w:hAnsi="宋体"/>
          <w:sz w:val="24"/>
          <w:szCs w:val="24"/>
        </w:rPr>
      </w:pPr>
      <w:r>
        <w:rPr>
          <w:rFonts w:hint="eastAsia" w:ascii="宋体" w:hAnsi="宋体"/>
          <w:sz w:val="24"/>
          <w:szCs w:val="24"/>
        </w:rPr>
        <w:t>四、质量保修责任</w:t>
      </w:r>
    </w:p>
    <w:p>
      <w:pPr>
        <w:pStyle w:val="52"/>
        <w:spacing w:line="360" w:lineRule="auto"/>
        <w:ind w:firstLine="480" w:firstLineChars="200"/>
        <w:rPr>
          <w:rFonts w:ascii="宋体" w:hAnsi="宋体"/>
          <w:sz w:val="24"/>
          <w:szCs w:val="24"/>
        </w:rPr>
      </w:pPr>
      <w:r>
        <w:rPr>
          <w:rFonts w:hint="eastAsia" w:ascii="宋体" w:hAnsi="宋体"/>
          <w:sz w:val="24"/>
          <w:szCs w:val="24"/>
        </w:rPr>
        <w:t>1．属于保修范围、内容的项目，承包人应当在接到保修通知之日起 7 天内派人保修。承包人不在约定期限内派人保修的，发包人可以委托他人修理。</w:t>
      </w:r>
    </w:p>
    <w:p>
      <w:pPr>
        <w:pStyle w:val="52"/>
        <w:spacing w:line="360" w:lineRule="auto"/>
        <w:ind w:firstLine="480" w:firstLineChars="200"/>
        <w:rPr>
          <w:rFonts w:ascii="宋体" w:hAnsi="宋体"/>
          <w:sz w:val="24"/>
          <w:szCs w:val="24"/>
        </w:rPr>
      </w:pPr>
      <w:r>
        <w:rPr>
          <w:rFonts w:hint="eastAsia" w:ascii="宋体" w:hAnsi="宋体"/>
          <w:sz w:val="24"/>
          <w:szCs w:val="24"/>
        </w:rPr>
        <w:t>2．发生紧急事故需抢修的，承包人在接到事故通知后，应当立即到达事故现场抢修。</w:t>
      </w:r>
    </w:p>
    <w:p>
      <w:pPr>
        <w:pStyle w:val="52"/>
        <w:spacing w:line="360" w:lineRule="auto"/>
        <w:ind w:firstLine="480" w:firstLineChars="200"/>
        <w:rPr>
          <w:rFonts w:ascii="宋体" w:hAnsi="宋体"/>
          <w:sz w:val="24"/>
          <w:szCs w:val="24"/>
        </w:rPr>
      </w:pPr>
      <w:r>
        <w:rPr>
          <w:rFonts w:hint="eastAsia" w:ascii="宋体" w:hAnsi="宋体"/>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52"/>
        <w:spacing w:line="360" w:lineRule="auto"/>
        <w:ind w:firstLine="480" w:firstLineChars="200"/>
        <w:rPr>
          <w:rFonts w:ascii="宋体" w:hAnsi="宋体"/>
          <w:sz w:val="24"/>
          <w:szCs w:val="24"/>
        </w:rPr>
      </w:pPr>
      <w:r>
        <w:rPr>
          <w:rFonts w:hint="eastAsia" w:ascii="宋体" w:hAnsi="宋体"/>
          <w:sz w:val="24"/>
          <w:szCs w:val="24"/>
        </w:rPr>
        <w:t>4．质量保修完成后，由发包人组织验收。</w:t>
      </w:r>
    </w:p>
    <w:p>
      <w:pPr>
        <w:pStyle w:val="52"/>
        <w:spacing w:line="360" w:lineRule="auto"/>
        <w:ind w:firstLine="480" w:firstLineChars="200"/>
        <w:rPr>
          <w:rFonts w:ascii="宋体" w:hAnsi="宋体"/>
          <w:sz w:val="24"/>
          <w:szCs w:val="24"/>
        </w:rPr>
      </w:pPr>
      <w:r>
        <w:rPr>
          <w:rFonts w:hint="eastAsia" w:ascii="宋体" w:hAnsi="宋体"/>
          <w:sz w:val="24"/>
          <w:szCs w:val="24"/>
        </w:rPr>
        <w:t>五、保修费用</w:t>
      </w:r>
    </w:p>
    <w:p>
      <w:pPr>
        <w:pStyle w:val="52"/>
        <w:spacing w:line="360" w:lineRule="auto"/>
        <w:ind w:firstLine="480" w:firstLineChars="200"/>
        <w:rPr>
          <w:rFonts w:ascii="宋体" w:hAnsi="宋体"/>
          <w:sz w:val="24"/>
          <w:szCs w:val="24"/>
        </w:rPr>
      </w:pPr>
      <w:r>
        <w:rPr>
          <w:rFonts w:hint="eastAsia" w:ascii="宋体" w:hAnsi="宋体"/>
          <w:sz w:val="24"/>
          <w:szCs w:val="24"/>
        </w:rPr>
        <w:t>保修费用由造成质量缺陷的责任方承担。</w:t>
      </w:r>
    </w:p>
    <w:p>
      <w:pPr>
        <w:pStyle w:val="52"/>
        <w:spacing w:line="360" w:lineRule="auto"/>
        <w:ind w:firstLine="480" w:firstLineChars="200"/>
        <w:rPr>
          <w:rFonts w:ascii="宋体" w:hAnsi="宋体"/>
          <w:sz w:val="24"/>
          <w:szCs w:val="24"/>
        </w:rPr>
      </w:pPr>
      <w:r>
        <w:rPr>
          <w:rFonts w:hint="eastAsia" w:ascii="宋体" w:hAnsi="宋体"/>
          <w:sz w:val="24"/>
          <w:szCs w:val="24"/>
        </w:rPr>
        <w:t>六、双方约定的其他工程质量保修事项： 。</w:t>
      </w:r>
    </w:p>
    <w:p>
      <w:pPr>
        <w:pStyle w:val="52"/>
        <w:spacing w:line="360" w:lineRule="auto"/>
        <w:ind w:firstLine="480" w:firstLineChars="200"/>
        <w:rPr>
          <w:rFonts w:ascii="宋体" w:hAnsi="宋体"/>
          <w:sz w:val="24"/>
          <w:szCs w:val="24"/>
        </w:rPr>
      </w:pPr>
      <w:r>
        <w:rPr>
          <w:rFonts w:hint="eastAsia" w:ascii="宋体" w:hAnsi="宋体"/>
          <w:sz w:val="24"/>
          <w:szCs w:val="24"/>
        </w:rPr>
        <w:t>工程质量保修书由发包人、承包人在工程竣工验收前共同签署，作为施工合同附件，其有效期限至保修期满。</w:t>
      </w:r>
    </w:p>
    <w:p>
      <w:pPr>
        <w:pStyle w:val="52"/>
        <w:spacing w:line="360" w:lineRule="auto"/>
        <w:rPr>
          <w:rFonts w:ascii="宋体" w:hAnsi="宋体"/>
          <w:sz w:val="24"/>
          <w:szCs w:val="24"/>
        </w:rPr>
      </w:pPr>
      <w:r>
        <w:rPr>
          <w:rFonts w:hint="eastAsia" w:ascii="宋体" w:hAnsi="宋体"/>
          <w:sz w:val="24"/>
          <w:szCs w:val="24"/>
        </w:rPr>
        <w:t>发包人（单位公章）：      承包人（单位公章）：____________</w:t>
      </w:r>
    </w:p>
    <w:p>
      <w:pPr>
        <w:pStyle w:val="52"/>
        <w:spacing w:line="360" w:lineRule="auto"/>
        <w:rPr>
          <w:rFonts w:ascii="宋体" w:hAnsi="宋体"/>
          <w:sz w:val="24"/>
          <w:szCs w:val="24"/>
        </w:rPr>
      </w:pPr>
      <w:r>
        <w:rPr>
          <w:rFonts w:hint="eastAsia" w:ascii="宋体" w:hAnsi="宋体"/>
          <w:sz w:val="24"/>
          <w:szCs w:val="24"/>
        </w:rPr>
        <w:t>地 址：                 地 址：____________</w:t>
      </w:r>
    </w:p>
    <w:p>
      <w:pPr>
        <w:pStyle w:val="52"/>
        <w:spacing w:line="360" w:lineRule="auto"/>
        <w:rPr>
          <w:rFonts w:ascii="宋体" w:hAnsi="宋体"/>
          <w:sz w:val="24"/>
          <w:szCs w:val="24"/>
        </w:rPr>
      </w:pPr>
      <w:r>
        <w:rPr>
          <w:rFonts w:hint="eastAsia" w:ascii="宋体" w:hAnsi="宋体"/>
          <w:sz w:val="24"/>
          <w:szCs w:val="24"/>
        </w:rPr>
        <w:t>法定代表人（签字）：      法定代表人（签字）：____________</w:t>
      </w:r>
    </w:p>
    <w:p>
      <w:pPr>
        <w:pStyle w:val="52"/>
        <w:spacing w:line="360" w:lineRule="auto"/>
        <w:rPr>
          <w:rFonts w:ascii="宋体" w:hAnsi="宋体"/>
          <w:sz w:val="24"/>
          <w:szCs w:val="24"/>
        </w:rPr>
      </w:pPr>
      <w:r>
        <w:rPr>
          <w:rFonts w:hint="eastAsia" w:ascii="宋体" w:hAnsi="宋体"/>
          <w:sz w:val="24"/>
          <w:szCs w:val="24"/>
        </w:rPr>
        <w:t>委托代理人（签字）：      委托代理人（签字）：____________</w:t>
      </w:r>
    </w:p>
    <w:p>
      <w:pPr>
        <w:pStyle w:val="52"/>
        <w:spacing w:line="360" w:lineRule="auto"/>
        <w:rPr>
          <w:rFonts w:ascii="宋体" w:hAnsi="宋体"/>
          <w:sz w:val="24"/>
          <w:szCs w:val="24"/>
        </w:rPr>
      </w:pPr>
      <w:r>
        <w:rPr>
          <w:rFonts w:hint="eastAsia" w:ascii="宋体" w:hAnsi="宋体"/>
          <w:sz w:val="24"/>
          <w:szCs w:val="24"/>
        </w:rPr>
        <w:t>电 话：                 电 话：____________</w:t>
      </w:r>
    </w:p>
    <w:p>
      <w:pPr>
        <w:pStyle w:val="52"/>
        <w:spacing w:line="360" w:lineRule="auto"/>
        <w:rPr>
          <w:rFonts w:ascii="宋体" w:hAnsi="宋体"/>
          <w:sz w:val="24"/>
          <w:szCs w:val="24"/>
        </w:rPr>
      </w:pPr>
      <w:r>
        <w:rPr>
          <w:rFonts w:hint="eastAsia" w:ascii="宋体" w:hAnsi="宋体"/>
          <w:sz w:val="24"/>
          <w:szCs w:val="24"/>
        </w:rPr>
        <w:t>传 真：                 传 真：____________</w:t>
      </w:r>
    </w:p>
    <w:p>
      <w:pPr>
        <w:pStyle w:val="52"/>
        <w:spacing w:line="360" w:lineRule="auto"/>
        <w:rPr>
          <w:rFonts w:ascii="宋体" w:hAnsi="宋体"/>
          <w:sz w:val="24"/>
          <w:szCs w:val="24"/>
        </w:rPr>
      </w:pPr>
      <w:r>
        <w:rPr>
          <w:rFonts w:hint="eastAsia" w:ascii="宋体" w:hAnsi="宋体"/>
          <w:sz w:val="24"/>
          <w:szCs w:val="24"/>
        </w:rPr>
        <w:t>开户银行：              开户银行：____________</w:t>
      </w:r>
    </w:p>
    <w:p>
      <w:pPr>
        <w:pStyle w:val="52"/>
        <w:spacing w:line="360" w:lineRule="auto"/>
        <w:rPr>
          <w:rFonts w:ascii="宋体" w:hAnsi="宋体"/>
          <w:sz w:val="24"/>
          <w:szCs w:val="24"/>
        </w:rPr>
      </w:pPr>
      <w:r>
        <w:rPr>
          <w:rFonts w:hint="eastAsia" w:ascii="宋体" w:hAnsi="宋体"/>
          <w:sz w:val="24"/>
          <w:szCs w:val="24"/>
        </w:rPr>
        <w:t>账 号：                 账 号：____________</w:t>
      </w:r>
    </w:p>
    <w:p>
      <w:pPr>
        <w:pStyle w:val="52"/>
        <w:spacing w:line="360" w:lineRule="auto"/>
        <w:rPr>
          <w:rFonts w:ascii="宋体" w:hAnsi="宋体"/>
          <w:sz w:val="24"/>
          <w:szCs w:val="24"/>
        </w:rPr>
      </w:pPr>
      <w:r>
        <w:rPr>
          <w:rFonts w:hint="eastAsia" w:ascii="宋体" w:hAnsi="宋体"/>
          <w:sz w:val="24"/>
          <w:szCs w:val="24"/>
        </w:rPr>
        <w:t>邮政编码：              邮政编码：____________</w:t>
      </w:r>
    </w:p>
    <w:p>
      <w:pPr>
        <w:spacing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ind w:firstLine="482"/>
        <w:rPr>
          <w:b/>
        </w:rPr>
      </w:pPr>
      <w:r>
        <w:rPr>
          <w:rFonts w:hint="eastAsia"/>
          <w:b/>
        </w:rPr>
        <w:t>附件 4：</w:t>
      </w:r>
    </w:p>
    <w:p>
      <w:pPr>
        <w:pStyle w:val="132"/>
        <w:spacing w:before="0" w:line="360" w:lineRule="auto"/>
        <w:ind w:firstLine="482"/>
        <w:jc w:val="center"/>
        <w:rPr>
          <w:b/>
        </w:rPr>
      </w:pPr>
      <w:r>
        <w:rPr>
          <w:rFonts w:hint="eastAsia"/>
          <w:b/>
        </w:rPr>
        <w:t>主要建设工程文件目录</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1219"/>
        <w:gridCol w:w="1346"/>
        <w:gridCol w:w="1235"/>
        <w:gridCol w:w="1694"/>
        <w:gridCol w:w="17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2" w:hRule="atLeast"/>
          <w:jc w:val="center"/>
        </w:trPr>
        <w:tc>
          <w:tcPr>
            <w:tcW w:w="1413" w:type="dxa"/>
            <w:noWrap/>
            <w:vAlign w:val="center"/>
          </w:tcPr>
          <w:p>
            <w:pPr>
              <w:spacing w:line="360" w:lineRule="auto"/>
              <w:jc w:val="center"/>
              <w:rPr>
                <w:sz w:val="24"/>
                <w:szCs w:val="24"/>
              </w:rPr>
            </w:pPr>
            <w:r>
              <w:rPr>
                <w:rFonts w:hint="eastAsia"/>
                <w:sz w:val="24"/>
                <w:szCs w:val="24"/>
              </w:rPr>
              <w:t>文件名称</w:t>
            </w:r>
          </w:p>
        </w:tc>
        <w:tc>
          <w:tcPr>
            <w:tcW w:w="1219" w:type="dxa"/>
            <w:noWrap/>
            <w:vAlign w:val="center"/>
          </w:tcPr>
          <w:p>
            <w:pPr>
              <w:spacing w:line="360" w:lineRule="auto"/>
              <w:jc w:val="center"/>
              <w:rPr>
                <w:sz w:val="24"/>
                <w:szCs w:val="24"/>
              </w:rPr>
            </w:pPr>
            <w:r>
              <w:rPr>
                <w:rFonts w:hint="eastAsia"/>
                <w:sz w:val="24"/>
                <w:szCs w:val="24"/>
              </w:rPr>
              <w:t>套数</w:t>
            </w:r>
          </w:p>
        </w:tc>
        <w:tc>
          <w:tcPr>
            <w:tcW w:w="1346" w:type="dxa"/>
            <w:noWrap/>
            <w:vAlign w:val="center"/>
          </w:tcPr>
          <w:p>
            <w:pPr>
              <w:spacing w:line="360" w:lineRule="auto"/>
              <w:jc w:val="center"/>
              <w:rPr>
                <w:sz w:val="24"/>
                <w:szCs w:val="24"/>
              </w:rPr>
            </w:pPr>
            <w:r>
              <w:rPr>
                <w:rFonts w:hint="eastAsia"/>
                <w:sz w:val="24"/>
                <w:szCs w:val="24"/>
              </w:rPr>
              <w:t>费用（元）</w:t>
            </w:r>
          </w:p>
        </w:tc>
        <w:tc>
          <w:tcPr>
            <w:tcW w:w="1235" w:type="dxa"/>
            <w:noWrap/>
            <w:vAlign w:val="center"/>
          </w:tcPr>
          <w:p>
            <w:pPr>
              <w:spacing w:line="360" w:lineRule="auto"/>
              <w:jc w:val="center"/>
              <w:rPr>
                <w:sz w:val="24"/>
                <w:szCs w:val="24"/>
              </w:rPr>
            </w:pPr>
            <w:r>
              <w:rPr>
                <w:rFonts w:hint="eastAsia"/>
                <w:sz w:val="24"/>
                <w:szCs w:val="24"/>
              </w:rPr>
              <w:t>质量</w:t>
            </w:r>
          </w:p>
        </w:tc>
        <w:tc>
          <w:tcPr>
            <w:tcW w:w="1694" w:type="dxa"/>
            <w:noWrap/>
            <w:vAlign w:val="center"/>
          </w:tcPr>
          <w:p>
            <w:pPr>
              <w:spacing w:line="360" w:lineRule="auto"/>
              <w:jc w:val="center"/>
              <w:rPr>
                <w:sz w:val="24"/>
                <w:szCs w:val="24"/>
              </w:rPr>
            </w:pPr>
            <w:r>
              <w:rPr>
                <w:rFonts w:hint="eastAsia"/>
                <w:sz w:val="24"/>
                <w:szCs w:val="24"/>
              </w:rPr>
              <w:t>移交时间</w:t>
            </w:r>
          </w:p>
        </w:tc>
        <w:tc>
          <w:tcPr>
            <w:tcW w:w="1775" w:type="dxa"/>
            <w:noWrap/>
            <w:vAlign w:val="center"/>
          </w:tcPr>
          <w:p>
            <w:pPr>
              <w:spacing w:line="360" w:lineRule="auto"/>
              <w:jc w:val="center"/>
              <w:rPr>
                <w:sz w:val="24"/>
                <w:szCs w:val="24"/>
              </w:rPr>
            </w:pPr>
            <w:r>
              <w:rPr>
                <w:rFonts w:hint="eastAsia"/>
                <w:sz w:val="24"/>
                <w:szCs w:val="24"/>
              </w:rPr>
              <w:t>责任人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1413" w:type="dxa"/>
            <w:noWrap/>
          </w:tcPr>
          <w:p>
            <w:pPr>
              <w:spacing w:line="360" w:lineRule="auto"/>
              <w:jc w:val="center"/>
              <w:rPr>
                <w:sz w:val="24"/>
                <w:szCs w:val="24"/>
              </w:rPr>
            </w:pPr>
          </w:p>
        </w:tc>
        <w:tc>
          <w:tcPr>
            <w:tcW w:w="1219" w:type="dxa"/>
            <w:noWrap/>
          </w:tcPr>
          <w:p>
            <w:pPr>
              <w:spacing w:line="360" w:lineRule="auto"/>
              <w:jc w:val="center"/>
              <w:rPr>
                <w:sz w:val="24"/>
                <w:szCs w:val="24"/>
              </w:rPr>
            </w:pPr>
          </w:p>
        </w:tc>
        <w:tc>
          <w:tcPr>
            <w:tcW w:w="1346" w:type="dxa"/>
            <w:noWrap/>
          </w:tcPr>
          <w:p>
            <w:pPr>
              <w:spacing w:line="360" w:lineRule="auto"/>
              <w:jc w:val="center"/>
              <w:rPr>
                <w:sz w:val="24"/>
                <w:szCs w:val="24"/>
              </w:rPr>
            </w:pPr>
          </w:p>
        </w:tc>
        <w:tc>
          <w:tcPr>
            <w:tcW w:w="1235" w:type="dxa"/>
            <w:noWrap/>
          </w:tcPr>
          <w:p>
            <w:pPr>
              <w:spacing w:line="360" w:lineRule="auto"/>
              <w:jc w:val="center"/>
              <w:rPr>
                <w:sz w:val="24"/>
                <w:szCs w:val="24"/>
              </w:rPr>
            </w:pPr>
          </w:p>
        </w:tc>
        <w:tc>
          <w:tcPr>
            <w:tcW w:w="1694" w:type="dxa"/>
            <w:noWrap/>
          </w:tcPr>
          <w:p>
            <w:pPr>
              <w:spacing w:line="360" w:lineRule="auto"/>
              <w:jc w:val="center"/>
              <w:rPr>
                <w:sz w:val="24"/>
                <w:szCs w:val="24"/>
              </w:rPr>
            </w:pPr>
          </w:p>
        </w:tc>
        <w:tc>
          <w:tcPr>
            <w:tcW w:w="1775" w:type="dxa"/>
            <w:noWrap/>
          </w:tcPr>
          <w:p>
            <w:pPr>
              <w:spacing w:line="360" w:lineRule="auto"/>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1413" w:type="dxa"/>
            <w:noWrap/>
          </w:tcPr>
          <w:p>
            <w:pPr>
              <w:spacing w:line="360" w:lineRule="auto"/>
              <w:jc w:val="center"/>
              <w:rPr>
                <w:sz w:val="24"/>
                <w:szCs w:val="24"/>
              </w:rPr>
            </w:pPr>
          </w:p>
        </w:tc>
        <w:tc>
          <w:tcPr>
            <w:tcW w:w="1219" w:type="dxa"/>
            <w:noWrap/>
          </w:tcPr>
          <w:p>
            <w:pPr>
              <w:spacing w:line="360" w:lineRule="auto"/>
              <w:jc w:val="center"/>
              <w:rPr>
                <w:sz w:val="24"/>
                <w:szCs w:val="24"/>
              </w:rPr>
            </w:pPr>
          </w:p>
        </w:tc>
        <w:tc>
          <w:tcPr>
            <w:tcW w:w="1346" w:type="dxa"/>
            <w:noWrap/>
          </w:tcPr>
          <w:p>
            <w:pPr>
              <w:spacing w:line="360" w:lineRule="auto"/>
              <w:jc w:val="center"/>
              <w:rPr>
                <w:sz w:val="24"/>
                <w:szCs w:val="24"/>
              </w:rPr>
            </w:pPr>
          </w:p>
        </w:tc>
        <w:tc>
          <w:tcPr>
            <w:tcW w:w="1235" w:type="dxa"/>
            <w:noWrap/>
          </w:tcPr>
          <w:p>
            <w:pPr>
              <w:spacing w:line="360" w:lineRule="auto"/>
              <w:jc w:val="center"/>
              <w:rPr>
                <w:sz w:val="24"/>
                <w:szCs w:val="24"/>
              </w:rPr>
            </w:pPr>
          </w:p>
        </w:tc>
        <w:tc>
          <w:tcPr>
            <w:tcW w:w="1694" w:type="dxa"/>
            <w:noWrap/>
          </w:tcPr>
          <w:p>
            <w:pPr>
              <w:spacing w:line="360" w:lineRule="auto"/>
              <w:jc w:val="center"/>
              <w:rPr>
                <w:sz w:val="24"/>
                <w:szCs w:val="24"/>
              </w:rPr>
            </w:pPr>
          </w:p>
        </w:tc>
        <w:tc>
          <w:tcPr>
            <w:tcW w:w="1775" w:type="dxa"/>
            <w:noWrap/>
          </w:tcPr>
          <w:p>
            <w:pPr>
              <w:spacing w:line="360" w:lineRule="auto"/>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1413" w:type="dxa"/>
            <w:noWrap/>
          </w:tcPr>
          <w:p>
            <w:pPr>
              <w:spacing w:line="360" w:lineRule="auto"/>
              <w:jc w:val="center"/>
              <w:rPr>
                <w:sz w:val="24"/>
                <w:szCs w:val="24"/>
              </w:rPr>
            </w:pPr>
          </w:p>
        </w:tc>
        <w:tc>
          <w:tcPr>
            <w:tcW w:w="1219" w:type="dxa"/>
            <w:noWrap/>
          </w:tcPr>
          <w:p>
            <w:pPr>
              <w:spacing w:line="360" w:lineRule="auto"/>
              <w:jc w:val="center"/>
              <w:rPr>
                <w:sz w:val="24"/>
                <w:szCs w:val="24"/>
              </w:rPr>
            </w:pPr>
          </w:p>
        </w:tc>
        <w:tc>
          <w:tcPr>
            <w:tcW w:w="1346" w:type="dxa"/>
            <w:noWrap/>
          </w:tcPr>
          <w:p>
            <w:pPr>
              <w:spacing w:line="360" w:lineRule="auto"/>
              <w:jc w:val="center"/>
              <w:rPr>
                <w:sz w:val="24"/>
                <w:szCs w:val="24"/>
              </w:rPr>
            </w:pPr>
          </w:p>
        </w:tc>
        <w:tc>
          <w:tcPr>
            <w:tcW w:w="1235" w:type="dxa"/>
            <w:noWrap/>
          </w:tcPr>
          <w:p>
            <w:pPr>
              <w:spacing w:line="360" w:lineRule="auto"/>
              <w:jc w:val="center"/>
              <w:rPr>
                <w:sz w:val="24"/>
                <w:szCs w:val="24"/>
              </w:rPr>
            </w:pPr>
          </w:p>
        </w:tc>
        <w:tc>
          <w:tcPr>
            <w:tcW w:w="1694" w:type="dxa"/>
            <w:noWrap/>
          </w:tcPr>
          <w:p>
            <w:pPr>
              <w:spacing w:line="360" w:lineRule="auto"/>
              <w:jc w:val="center"/>
              <w:rPr>
                <w:sz w:val="24"/>
                <w:szCs w:val="24"/>
              </w:rPr>
            </w:pPr>
          </w:p>
        </w:tc>
        <w:tc>
          <w:tcPr>
            <w:tcW w:w="1775" w:type="dxa"/>
            <w:noWrap/>
          </w:tcPr>
          <w:p>
            <w:pPr>
              <w:spacing w:line="360" w:lineRule="auto"/>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1413" w:type="dxa"/>
            <w:noWrap/>
          </w:tcPr>
          <w:p>
            <w:pPr>
              <w:spacing w:line="360" w:lineRule="auto"/>
              <w:jc w:val="center"/>
              <w:rPr>
                <w:sz w:val="24"/>
                <w:szCs w:val="24"/>
              </w:rPr>
            </w:pPr>
          </w:p>
        </w:tc>
        <w:tc>
          <w:tcPr>
            <w:tcW w:w="1219" w:type="dxa"/>
            <w:noWrap/>
          </w:tcPr>
          <w:p>
            <w:pPr>
              <w:spacing w:line="360" w:lineRule="auto"/>
              <w:jc w:val="center"/>
              <w:rPr>
                <w:sz w:val="24"/>
                <w:szCs w:val="24"/>
              </w:rPr>
            </w:pPr>
          </w:p>
        </w:tc>
        <w:tc>
          <w:tcPr>
            <w:tcW w:w="1346" w:type="dxa"/>
            <w:noWrap/>
          </w:tcPr>
          <w:p>
            <w:pPr>
              <w:spacing w:line="360" w:lineRule="auto"/>
              <w:jc w:val="center"/>
              <w:rPr>
                <w:sz w:val="24"/>
                <w:szCs w:val="24"/>
              </w:rPr>
            </w:pPr>
          </w:p>
        </w:tc>
        <w:tc>
          <w:tcPr>
            <w:tcW w:w="1235" w:type="dxa"/>
            <w:noWrap/>
          </w:tcPr>
          <w:p>
            <w:pPr>
              <w:spacing w:line="360" w:lineRule="auto"/>
              <w:jc w:val="center"/>
              <w:rPr>
                <w:sz w:val="24"/>
                <w:szCs w:val="24"/>
              </w:rPr>
            </w:pPr>
          </w:p>
        </w:tc>
        <w:tc>
          <w:tcPr>
            <w:tcW w:w="1694" w:type="dxa"/>
            <w:noWrap/>
          </w:tcPr>
          <w:p>
            <w:pPr>
              <w:spacing w:line="360" w:lineRule="auto"/>
              <w:jc w:val="center"/>
              <w:rPr>
                <w:sz w:val="24"/>
                <w:szCs w:val="24"/>
              </w:rPr>
            </w:pPr>
          </w:p>
        </w:tc>
        <w:tc>
          <w:tcPr>
            <w:tcW w:w="1775" w:type="dxa"/>
            <w:noWrap/>
          </w:tcPr>
          <w:p>
            <w:pPr>
              <w:spacing w:line="360" w:lineRule="auto"/>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1413" w:type="dxa"/>
            <w:noWrap/>
          </w:tcPr>
          <w:p>
            <w:pPr>
              <w:spacing w:line="360" w:lineRule="auto"/>
              <w:jc w:val="center"/>
              <w:rPr>
                <w:sz w:val="24"/>
                <w:szCs w:val="24"/>
              </w:rPr>
            </w:pPr>
          </w:p>
        </w:tc>
        <w:tc>
          <w:tcPr>
            <w:tcW w:w="1219" w:type="dxa"/>
            <w:noWrap/>
          </w:tcPr>
          <w:p>
            <w:pPr>
              <w:spacing w:line="360" w:lineRule="auto"/>
              <w:jc w:val="center"/>
              <w:rPr>
                <w:sz w:val="24"/>
                <w:szCs w:val="24"/>
              </w:rPr>
            </w:pPr>
          </w:p>
        </w:tc>
        <w:tc>
          <w:tcPr>
            <w:tcW w:w="1346" w:type="dxa"/>
            <w:noWrap/>
          </w:tcPr>
          <w:p>
            <w:pPr>
              <w:spacing w:line="360" w:lineRule="auto"/>
              <w:jc w:val="center"/>
              <w:rPr>
                <w:sz w:val="24"/>
                <w:szCs w:val="24"/>
              </w:rPr>
            </w:pPr>
          </w:p>
        </w:tc>
        <w:tc>
          <w:tcPr>
            <w:tcW w:w="1235" w:type="dxa"/>
            <w:noWrap/>
          </w:tcPr>
          <w:p>
            <w:pPr>
              <w:spacing w:line="360" w:lineRule="auto"/>
              <w:jc w:val="center"/>
              <w:rPr>
                <w:sz w:val="24"/>
                <w:szCs w:val="24"/>
              </w:rPr>
            </w:pPr>
          </w:p>
        </w:tc>
        <w:tc>
          <w:tcPr>
            <w:tcW w:w="1694" w:type="dxa"/>
            <w:noWrap/>
          </w:tcPr>
          <w:p>
            <w:pPr>
              <w:spacing w:line="360" w:lineRule="auto"/>
              <w:jc w:val="center"/>
              <w:rPr>
                <w:sz w:val="24"/>
                <w:szCs w:val="24"/>
              </w:rPr>
            </w:pPr>
          </w:p>
        </w:tc>
        <w:tc>
          <w:tcPr>
            <w:tcW w:w="1775" w:type="dxa"/>
            <w:noWrap/>
          </w:tcPr>
          <w:p>
            <w:pPr>
              <w:spacing w:line="360" w:lineRule="auto"/>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jc w:val="center"/>
        </w:trPr>
        <w:tc>
          <w:tcPr>
            <w:tcW w:w="1413" w:type="dxa"/>
            <w:noWrap/>
          </w:tcPr>
          <w:p>
            <w:pPr>
              <w:spacing w:line="360" w:lineRule="auto"/>
              <w:jc w:val="center"/>
              <w:rPr>
                <w:sz w:val="24"/>
                <w:szCs w:val="24"/>
              </w:rPr>
            </w:pPr>
          </w:p>
        </w:tc>
        <w:tc>
          <w:tcPr>
            <w:tcW w:w="1219" w:type="dxa"/>
            <w:noWrap/>
          </w:tcPr>
          <w:p>
            <w:pPr>
              <w:spacing w:line="360" w:lineRule="auto"/>
              <w:jc w:val="center"/>
              <w:rPr>
                <w:sz w:val="24"/>
                <w:szCs w:val="24"/>
              </w:rPr>
            </w:pPr>
          </w:p>
        </w:tc>
        <w:tc>
          <w:tcPr>
            <w:tcW w:w="1346" w:type="dxa"/>
            <w:noWrap/>
          </w:tcPr>
          <w:p>
            <w:pPr>
              <w:spacing w:line="360" w:lineRule="auto"/>
              <w:jc w:val="center"/>
              <w:rPr>
                <w:sz w:val="24"/>
                <w:szCs w:val="24"/>
              </w:rPr>
            </w:pPr>
          </w:p>
        </w:tc>
        <w:tc>
          <w:tcPr>
            <w:tcW w:w="1235" w:type="dxa"/>
            <w:noWrap/>
          </w:tcPr>
          <w:p>
            <w:pPr>
              <w:spacing w:line="360" w:lineRule="auto"/>
              <w:jc w:val="center"/>
              <w:rPr>
                <w:sz w:val="24"/>
                <w:szCs w:val="24"/>
              </w:rPr>
            </w:pPr>
          </w:p>
        </w:tc>
        <w:tc>
          <w:tcPr>
            <w:tcW w:w="1694" w:type="dxa"/>
            <w:noWrap/>
          </w:tcPr>
          <w:p>
            <w:pPr>
              <w:spacing w:line="360" w:lineRule="auto"/>
              <w:jc w:val="center"/>
              <w:rPr>
                <w:sz w:val="24"/>
                <w:szCs w:val="24"/>
              </w:rPr>
            </w:pPr>
          </w:p>
        </w:tc>
        <w:tc>
          <w:tcPr>
            <w:tcW w:w="1775" w:type="dxa"/>
            <w:noWrap/>
          </w:tcPr>
          <w:p>
            <w:pPr>
              <w:spacing w:line="360" w:lineRule="auto"/>
              <w:jc w:val="center"/>
              <w:rPr>
                <w:sz w:val="24"/>
                <w:szCs w:val="24"/>
              </w:rPr>
            </w:pPr>
          </w:p>
        </w:tc>
      </w:tr>
    </w:tbl>
    <w:p>
      <w:pPr>
        <w:pStyle w:val="132"/>
        <w:spacing w:before="0" w:line="360" w:lineRule="auto"/>
      </w:pPr>
    </w:p>
    <w:p>
      <w:pPr>
        <w:pStyle w:val="132"/>
        <w:spacing w:before="0" w:line="360" w:lineRule="auto"/>
        <w:ind w:firstLine="482"/>
        <w:rPr>
          <w:b/>
        </w:rPr>
      </w:pPr>
      <w:r>
        <w:rPr>
          <w:rFonts w:hint="eastAsia"/>
          <w:b/>
        </w:rPr>
        <w:t>附件 5：</w:t>
      </w:r>
    </w:p>
    <w:p>
      <w:pPr>
        <w:pStyle w:val="132"/>
        <w:spacing w:before="0" w:line="360" w:lineRule="auto"/>
        <w:ind w:firstLine="482"/>
        <w:jc w:val="center"/>
        <w:rPr>
          <w:b/>
        </w:rPr>
      </w:pPr>
      <w:r>
        <w:rPr>
          <w:rFonts w:hint="eastAsia"/>
          <w:b/>
        </w:rPr>
        <w:t>承包人用于本工程施工的机械设备表</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2"/>
        <w:gridCol w:w="1194"/>
        <w:gridCol w:w="1038"/>
        <w:gridCol w:w="872"/>
        <w:gridCol w:w="1160"/>
        <w:gridCol w:w="1211"/>
        <w:gridCol w:w="1234"/>
        <w:gridCol w:w="1094"/>
        <w:gridCol w:w="11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vAlign w:val="center"/>
          </w:tcPr>
          <w:p>
            <w:pPr>
              <w:spacing w:line="360" w:lineRule="auto"/>
              <w:jc w:val="center"/>
              <w:rPr>
                <w:rFonts w:ascii="宋体" w:hAnsi="宋体"/>
                <w:sz w:val="24"/>
                <w:szCs w:val="24"/>
              </w:rPr>
            </w:pPr>
            <w:r>
              <w:rPr>
                <w:rFonts w:hint="eastAsia" w:ascii="宋体" w:hAnsi="宋体"/>
                <w:sz w:val="24"/>
                <w:szCs w:val="24"/>
              </w:rPr>
              <w:t>序号</w:t>
            </w:r>
          </w:p>
        </w:tc>
        <w:tc>
          <w:tcPr>
            <w:tcW w:w="1194" w:type="dxa"/>
            <w:noWrap/>
            <w:vAlign w:val="center"/>
          </w:tcPr>
          <w:p>
            <w:pPr>
              <w:spacing w:line="360" w:lineRule="auto"/>
              <w:jc w:val="center"/>
              <w:rPr>
                <w:rFonts w:ascii="宋体" w:hAnsi="宋体"/>
                <w:sz w:val="24"/>
                <w:szCs w:val="24"/>
              </w:rPr>
            </w:pPr>
            <w:r>
              <w:rPr>
                <w:rFonts w:hint="eastAsia" w:ascii="宋体" w:hAnsi="宋体"/>
                <w:sz w:val="24"/>
                <w:szCs w:val="24"/>
              </w:rPr>
              <w:t>机械或设备名称</w:t>
            </w:r>
          </w:p>
        </w:tc>
        <w:tc>
          <w:tcPr>
            <w:tcW w:w="1038" w:type="dxa"/>
            <w:noWrap/>
            <w:vAlign w:val="center"/>
          </w:tcPr>
          <w:p>
            <w:pPr>
              <w:spacing w:line="360" w:lineRule="auto"/>
              <w:jc w:val="center"/>
              <w:rPr>
                <w:rFonts w:ascii="宋体" w:hAnsi="宋体"/>
                <w:sz w:val="24"/>
                <w:szCs w:val="24"/>
              </w:rPr>
            </w:pPr>
            <w:r>
              <w:rPr>
                <w:rFonts w:hint="eastAsia" w:ascii="宋体" w:hAnsi="宋体"/>
                <w:sz w:val="24"/>
                <w:szCs w:val="24"/>
              </w:rPr>
              <w:t>规格</w:t>
            </w:r>
          </w:p>
          <w:p>
            <w:pPr>
              <w:spacing w:line="360" w:lineRule="auto"/>
              <w:jc w:val="center"/>
              <w:rPr>
                <w:rFonts w:ascii="宋体" w:hAnsi="宋体"/>
                <w:sz w:val="24"/>
                <w:szCs w:val="24"/>
              </w:rPr>
            </w:pPr>
            <w:r>
              <w:rPr>
                <w:rFonts w:hint="eastAsia" w:ascii="宋体" w:hAnsi="宋体"/>
                <w:sz w:val="24"/>
                <w:szCs w:val="24"/>
              </w:rPr>
              <w:t>型号</w:t>
            </w:r>
          </w:p>
        </w:tc>
        <w:tc>
          <w:tcPr>
            <w:tcW w:w="872" w:type="dxa"/>
            <w:noWrap/>
            <w:vAlign w:val="center"/>
          </w:tcPr>
          <w:p>
            <w:pPr>
              <w:spacing w:line="360" w:lineRule="auto"/>
              <w:jc w:val="center"/>
              <w:rPr>
                <w:rFonts w:ascii="宋体" w:hAnsi="宋体"/>
                <w:sz w:val="24"/>
                <w:szCs w:val="24"/>
              </w:rPr>
            </w:pPr>
            <w:r>
              <w:rPr>
                <w:rFonts w:hint="eastAsia" w:ascii="宋体" w:hAnsi="宋体"/>
                <w:sz w:val="24"/>
                <w:szCs w:val="24"/>
              </w:rPr>
              <w:t>数量</w:t>
            </w:r>
          </w:p>
        </w:tc>
        <w:tc>
          <w:tcPr>
            <w:tcW w:w="1160" w:type="dxa"/>
            <w:noWrap/>
            <w:vAlign w:val="center"/>
          </w:tcPr>
          <w:p>
            <w:pPr>
              <w:spacing w:line="360" w:lineRule="auto"/>
              <w:jc w:val="center"/>
              <w:rPr>
                <w:rFonts w:ascii="宋体" w:hAnsi="宋体"/>
                <w:sz w:val="24"/>
                <w:szCs w:val="24"/>
              </w:rPr>
            </w:pPr>
            <w:r>
              <w:rPr>
                <w:rFonts w:hint="eastAsia" w:ascii="宋体" w:hAnsi="宋体"/>
                <w:sz w:val="24"/>
                <w:szCs w:val="24"/>
              </w:rPr>
              <w:t>产地</w:t>
            </w:r>
          </w:p>
        </w:tc>
        <w:tc>
          <w:tcPr>
            <w:tcW w:w="1211" w:type="dxa"/>
            <w:noWrap/>
            <w:vAlign w:val="center"/>
          </w:tcPr>
          <w:p>
            <w:pPr>
              <w:spacing w:line="360" w:lineRule="auto"/>
              <w:jc w:val="center"/>
              <w:rPr>
                <w:rFonts w:ascii="宋体" w:hAnsi="宋体"/>
                <w:sz w:val="24"/>
                <w:szCs w:val="24"/>
              </w:rPr>
            </w:pPr>
            <w:r>
              <w:rPr>
                <w:rFonts w:hint="eastAsia" w:ascii="宋体" w:hAnsi="宋体"/>
                <w:sz w:val="24"/>
                <w:szCs w:val="24"/>
              </w:rPr>
              <w:t>制造年份</w:t>
            </w:r>
          </w:p>
        </w:tc>
        <w:tc>
          <w:tcPr>
            <w:tcW w:w="1234" w:type="dxa"/>
            <w:noWrap/>
            <w:vAlign w:val="center"/>
          </w:tcPr>
          <w:p>
            <w:pPr>
              <w:spacing w:line="360" w:lineRule="auto"/>
              <w:jc w:val="center"/>
              <w:rPr>
                <w:rFonts w:ascii="宋体" w:hAnsi="宋体"/>
                <w:sz w:val="24"/>
                <w:szCs w:val="24"/>
              </w:rPr>
            </w:pPr>
            <w:r>
              <w:rPr>
                <w:rFonts w:hint="eastAsia" w:ascii="宋体" w:hAnsi="宋体"/>
                <w:sz w:val="24"/>
                <w:szCs w:val="24"/>
              </w:rPr>
              <w:t>额定功率</w:t>
            </w:r>
          </w:p>
          <w:p>
            <w:pPr>
              <w:spacing w:line="360" w:lineRule="auto"/>
              <w:jc w:val="center"/>
              <w:rPr>
                <w:rFonts w:ascii="宋体" w:hAnsi="宋体"/>
                <w:sz w:val="24"/>
                <w:szCs w:val="24"/>
              </w:rPr>
            </w:pPr>
            <w:r>
              <w:rPr>
                <w:rFonts w:ascii="宋体" w:hAnsi="宋体"/>
                <w:sz w:val="24"/>
                <w:szCs w:val="24"/>
              </w:rPr>
              <w:t>(kW)</w:t>
            </w:r>
          </w:p>
        </w:tc>
        <w:tc>
          <w:tcPr>
            <w:tcW w:w="1094" w:type="dxa"/>
            <w:noWrap/>
            <w:vAlign w:val="center"/>
          </w:tcPr>
          <w:p>
            <w:pPr>
              <w:spacing w:line="360" w:lineRule="auto"/>
              <w:jc w:val="center"/>
              <w:rPr>
                <w:rFonts w:ascii="宋体" w:hAnsi="宋体"/>
                <w:sz w:val="24"/>
                <w:szCs w:val="24"/>
              </w:rPr>
            </w:pPr>
            <w:r>
              <w:rPr>
                <w:rFonts w:hint="eastAsia" w:ascii="宋体" w:hAnsi="宋体"/>
                <w:sz w:val="24"/>
                <w:szCs w:val="24"/>
              </w:rPr>
              <w:t>生产能力</w:t>
            </w:r>
          </w:p>
        </w:tc>
        <w:tc>
          <w:tcPr>
            <w:tcW w:w="1164" w:type="dxa"/>
            <w:noWrap/>
            <w:vAlign w:val="center"/>
          </w:tcPr>
          <w:p>
            <w:pPr>
              <w:spacing w:line="360" w:lineRule="auto"/>
              <w:jc w:val="center"/>
              <w:rPr>
                <w:rFonts w:ascii="宋体" w:hAnsi="宋体"/>
                <w:sz w:val="24"/>
                <w:szCs w:val="24"/>
              </w:rPr>
            </w:pPr>
            <w:r>
              <w:rPr>
                <w:rFonts w:hint="eastAsia" w:ascii="宋体" w:hAnsi="宋体"/>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2" w:type="dxa"/>
            <w:noWrap/>
          </w:tcPr>
          <w:p>
            <w:pPr>
              <w:spacing w:line="360" w:lineRule="auto"/>
              <w:jc w:val="center"/>
              <w:rPr>
                <w:rFonts w:ascii="宋体" w:hAnsi="宋体"/>
                <w:sz w:val="24"/>
                <w:szCs w:val="24"/>
              </w:rPr>
            </w:pPr>
          </w:p>
        </w:tc>
        <w:tc>
          <w:tcPr>
            <w:tcW w:w="1194" w:type="dxa"/>
            <w:noWrap/>
          </w:tcPr>
          <w:p>
            <w:pPr>
              <w:spacing w:line="360" w:lineRule="auto"/>
              <w:jc w:val="center"/>
              <w:rPr>
                <w:rFonts w:ascii="宋体" w:hAnsi="宋体"/>
                <w:sz w:val="24"/>
                <w:szCs w:val="24"/>
              </w:rPr>
            </w:pPr>
          </w:p>
        </w:tc>
        <w:tc>
          <w:tcPr>
            <w:tcW w:w="1038" w:type="dxa"/>
            <w:noWrap/>
          </w:tcPr>
          <w:p>
            <w:pPr>
              <w:spacing w:line="360" w:lineRule="auto"/>
              <w:jc w:val="center"/>
              <w:rPr>
                <w:rFonts w:ascii="宋体" w:hAnsi="宋体"/>
                <w:sz w:val="24"/>
                <w:szCs w:val="24"/>
              </w:rPr>
            </w:pPr>
          </w:p>
        </w:tc>
        <w:tc>
          <w:tcPr>
            <w:tcW w:w="872" w:type="dxa"/>
            <w:noWrap/>
          </w:tcPr>
          <w:p>
            <w:pPr>
              <w:spacing w:line="360" w:lineRule="auto"/>
              <w:jc w:val="center"/>
              <w:rPr>
                <w:rFonts w:ascii="宋体" w:hAnsi="宋体"/>
                <w:sz w:val="24"/>
                <w:szCs w:val="24"/>
              </w:rPr>
            </w:pPr>
          </w:p>
        </w:tc>
        <w:tc>
          <w:tcPr>
            <w:tcW w:w="1160" w:type="dxa"/>
            <w:noWrap/>
          </w:tcPr>
          <w:p>
            <w:pPr>
              <w:spacing w:line="360" w:lineRule="auto"/>
              <w:jc w:val="center"/>
              <w:rPr>
                <w:rFonts w:ascii="宋体" w:hAnsi="宋体"/>
                <w:sz w:val="24"/>
                <w:szCs w:val="24"/>
              </w:rPr>
            </w:pPr>
          </w:p>
        </w:tc>
        <w:tc>
          <w:tcPr>
            <w:tcW w:w="1211" w:type="dxa"/>
            <w:noWrap/>
          </w:tcPr>
          <w:p>
            <w:pPr>
              <w:spacing w:line="360" w:lineRule="auto"/>
              <w:jc w:val="center"/>
              <w:rPr>
                <w:rFonts w:ascii="宋体" w:hAnsi="宋体"/>
                <w:sz w:val="24"/>
                <w:szCs w:val="24"/>
              </w:rPr>
            </w:pPr>
          </w:p>
        </w:tc>
        <w:tc>
          <w:tcPr>
            <w:tcW w:w="1234" w:type="dxa"/>
            <w:noWrap/>
          </w:tcPr>
          <w:p>
            <w:pPr>
              <w:spacing w:line="360" w:lineRule="auto"/>
              <w:jc w:val="center"/>
              <w:rPr>
                <w:rFonts w:ascii="宋体" w:hAnsi="宋体"/>
                <w:sz w:val="24"/>
                <w:szCs w:val="24"/>
              </w:rPr>
            </w:pPr>
          </w:p>
        </w:tc>
        <w:tc>
          <w:tcPr>
            <w:tcW w:w="1094" w:type="dxa"/>
            <w:noWrap/>
          </w:tcPr>
          <w:p>
            <w:pPr>
              <w:spacing w:line="360" w:lineRule="auto"/>
              <w:jc w:val="center"/>
              <w:rPr>
                <w:rFonts w:ascii="宋体" w:hAnsi="宋体"/>
                <w:sz w:val="24"/>
                <w:szCs w:val="24"/>
              </w:rPr>
            </w:pPr>
          </w:p>
        </w:tc>
        <w:tc>
          <w:tcPr>
            <w:tcW w:w="1164" w:type="dxa"/>
            <w:noWrap/>
          </w:tcPr>
          <w:p>
            <w:pPr>
              <w:spacing w:line="360" w:lineRule="auto"/>
              <w:jc w:val="center"/>
              <w:rPr>
                <w:rFonts w:ascii="宋体" w:hAnsi="宋体"/>
                <w:sz w:val="24"/>
                <w:szCs w:val="24"/>
              </w:rPr>
            </w:pPr>
          </w:p>
        </w:tc>
      </w:tr>
    </w:tbl>
    <w:p>
      <w:pPr>
        <w:pStyle w:val="132"/>
        <w:spacing w:before="0" w:line="360" w:lineRule="auto"/>
      </w:pPr>
    </w:p>
    <w:p>
      <w:pPr>
        <w:pStyle w:val="132"/>
        <w:spacing w:before="0" w:line="360" w:lineRule="auto"/>
        <w:ind w:firstLine="482"/>
        <w:rPr>
          <w:b/>
        </w:rPr>
      </w:pPr>
      <w:r>
        <w:rPr>
          <w:rFonts w:hint="eastAsia"/>
          <w:b/>
        </w:rPr>
        <w:t>附件 6：</w:t>
      </w:r>
    </w:p>
    <w:p>
      <w:pPr>
        <w:pStyle w:val="132"/>
        <w:spacing w:before="0" w:line="360" w:lineRule="auto"/>
        <w:ind w:firstLine="482"/>
        <w:jc w:val="center"/>
        <w:rPr>
          <w:b/>
        </w:rPr>
      </w:pPr>
      <w:r>
        <w:rPr>
          <w:rFonts w:hint="eastAsia"/>
          <w:b/>
        </w:rPr>
        <w:t>承包人主要施工管理人员表</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57"/>
        <w:gridCol w:w="1370"/>
        <w:gridCol w:w="1417"/>
        <w:gridCol w:w="1134"/>
        <w:gridCol w:w="35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名 称</w:t>
            </w:r>
          </w:p>
        </w:tc>
        <w:tc>
          <w:tcPr>
            <w:tcW w:w="1370" w:type="dxa"/>
            <w:noWrap/>
          </w:tcPr>
          <w:p>
            <w:pPr>
              <w:pStyle w:val="132"/>
              <w:spacing w:before="0" w:line="360" w:lineRule="auto"/>
              <w:ind w:firstLine="0" w:firstLineChars="0"/>
            </w:pPr>
            <w:r>
              <w:rPr>
                <w:rFonts w:hint="eastAsia"/>
              </w:rPr>
              <w:t>姓名</w:t>
            </w:r>
          </w:p>
        </w:tc>
        <w:tc>
          <w:tcPr>
            <w:tcW w:w="1417" w:type="dxa"/>
            <w:noWrap/>
          </w:tcPr>
          <w:p>
            <w:pPr>
              <w:pStyle w:val="132"/>
              <w:spacing w:before="0" w:line="360" w:lineRule="auto"/>
              <w:ind w:firstLine="0" w:firstLineChars="0"/>
            </w:pPr>
            <w:r>
              <w:rPr>
                <w:rFonts w:hint="eastAsia"/>
              </w:rPr>
              <w:t>职务</w:t>
            </w:r>
          </w:p>
        </w:tc>
        <w:tc>
          <w:tcPr>
            <w:tcW w:w="1134" w:type="dxa"/>
            <w:noWrap/>
          </w:tcPr>
          <w:p>
            <w:pPr>
              <w:pStyle w:val="132"/>
              <w:spacing w:before="0" w:line="360" w:lineRule="auto"/>
              <w:ind w:firstLine="0" w:firstLineChars="0"/>
            </w:pPr>
            <w:r>
              <w:rPr>
                <w:rFonts w:hint="eastAsia"/>
              </w:rPr>
              <w:t>职称</w:t>
            </w:r>
          </w:p>
        </w:tc>
        <w:tc>
          <w:tcPr>
            <w:tcW w:w="3509" w:type="dxa"/>
            <w:noWrap/>
          </w:tcPr>
          <w:p>
            <w:pPr>
              <w:pStyle w:val="132"/>
              <w:spacing w:before="0" w:line="360" w:lineRule="auto"/>
              <w:ind w:firstLine="0" w:firstLineChars="0"/>
            </w:pPr>
            <w:r>
              <w:rPr>
                <w:rFonts w:hint="eastAsia"/>
              </w:rPr>
              <w:t>主要资历、经验及承担过的项目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87" w:type="dxa"/>
            <w:gridSpan w:val="5"/>
            <w:noWrap/>
          </w:tcPr>
          <w:p>
            <w:pPr>
              <w:pStyle w:val="132"/>
              <w:spacing w:before="0" w:line="360" w:lineRule="auto"/>
              <w:ind w:firstLine="0" w:firstLineChars="0"/>
              <w:jc w:val="left"/>
            </w:pPr>
            <w:r>
              <w:rPr>
                <w:rFonts w:hint="eastAsia"/>
              </w:rPr>
              <w:t>一、总部人员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项目主管</w:t>
            </w:r>
          </w:p>
        </w:tc>
        <w:tc>
          <w:tcPr>
            <w:tcW w:w="1370" w:type="dxa"/>
            <w:noWrap/>
          </w:tcPr>
          <w:p>
            <w:pPr>
              <w:pStyle w:val="132"/>
              <w:spacing w:before="0" w:line="360" w:lineRule="auto"/>
              <w:ind w:firstLine="0" w:firstLineChars="0"/>
              <w:jc w:val="center"/>
            </w:pPr>
          </w:p>
        </w:tc>
        <w:tc>
          <w:tcPr>
            <w:tcW w:w="1417" w:type="dxa"/>
            <w:noWrap/>
          </w:tcPr>
          <w:p>
            <w:pPr>
              <w:pStyle w:val="132"/>
              <w:spacing w:before="0" w:line="360" w:lineRule="auto"/>
              <w:ind w:firstLine="0" w:firstLineChars="0"/>
              <w:jc w:val="center"/>
            </w:pPr>
          </w:p>
        </w:tc>
        <w:tc>
          <w:tcPr>
            <w:tcW w:w="1134" w:type="dxa"/>
            <w:noWrap/>
          </w:tcPr>
          <w:p>
            <w:pPr>
              <w:pStyle w:val="132"/>
              <w:spacing w:before="0" w:line="360" w:lineRule="auto"/>
              <w:ind w:firstLine="0" w:firstLineChars="0"/>
              <w:jc w:val="center"/>
            </w:pPr>
          </w:p>
        </w:tc>
        <w:tc>
          <w:tcPr>
            <w:tcW w:w="3509" w:type="dxa"/>
            <w:noWrap/>
          </w:tcPr>
          <w:p>
            <w:pPr>
              <w:pStyle w:val="132"/>
              <w:spacing w:before="0" w:line="360" w:lineRule="auto"/>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vMerge w:val="restart"/>
            <w:noWrap/>
          </w:tcPr>
          <w:p>
            <w:pPr>
              <w:pStyle w:val="132"/>
              <w:spacing w:before="0" w:line="360" w:lineRule="auto"/>
              <w:ind w:firstLine="0" w:firstLineChars="0"/>
              <w:jc w:val="center"/>
            </w:pPr>
            <w:r>
              <w:rPr>
                <w:rFonts w:hint="eastAsia"/>
              </w:rPr>
              <w:t>其他人员</w:t>
            </w:r>
          </w:p>
        </w:tc>
        <w:tc>
          <w:tcPr>
            <w:tcW w:w="1370" w:type="dxa"/>
            <w:noWrap/>
          </w:tcPr>
          <w:p>
            <w:pPr>
              <w:pStyle w:val="132"/>
              <w:spacing w:before="0" w:line="360" w:lineRule="auto"/>
              <w:ind w:firstLine="0" w:firstLineChars="0"/>
              <w:jc w:val="center"/>
            </w:pPr>
          </w:p>
        </w:tc>
        <w:tc>
          <w:tcPr>
            <w:tcW w:w="1417" w:type="dxa"/>
            <w:noWrap/>
          </w:tcPr>
          <w:p>
            <w:pPr>
              <w:pStyle w:val="132"/>
              <w:spacing w:before="0" w:line="360" w:lineRule="auto"/>
              <w:ind w:firstLine="0" w:firstLineChars="0"/>
              <w:jc w:val="center"/>
            </w:pPr>
          </w:p>
        </w:tc>
        <w:tc>
          <w:tcPr>
            <w:tcW w:w="1134" w:type="dxa"/>
            <w:noWrap/>
          </w:tcPr>
          <w:p>
            <w:pPr>
              <w:pStyle w:val="132"/>
              <w:spacing w:before="0" w:line="360" w:lineRule="auto"/>
              <w:ind w:firstLine="0" w:firstLineChars="0"/>
              <w:jc w:val="center"/>
            </w:pPr>
          </w:p>
        </w:tc>
        <w:tc>
          <w:tcPr>
            <w:tcW w:w="3509" w:type="dxa"/>
            <w:noWrap/>
          </w:tcPr>
          <w:p>
            <w:pPr>
              <w:pStyle w:val="132"/>
              <w:spacing w:before="0" w:line="360" w:lineRule="auto"/>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87" w:type="dxa"/>
            <w:gridSpan w:val="5"/>
            <w:noWrap/>
          </w:tcPr>
          <w:p>
            <w:pPr>
              <w:pStyle w:val="132"/>
              <w:spacing w:before="0" w:line="360" w:lineRule="auto"/>
              <w:ind w:firstLine="0" w:firstLineChars="0"/>
            </w:pPr>
            <w:r>
              <w:rPr>
                <w:rFonts w:hint="eastAsia"/>
              </w:rPr>
              <w:t>二、现场人员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noWrap/>
          </w:tcPr>
          <w:p>
            <w:pPr>
              <w:pStyle w:val="132"/>
              <w:spacing w:before="0" w:line="360" w:lineRule="auto"/>
              <w:ind w:firstLine="0" w:firstLineChars="0"/>
              <w:jc w:val="center"/>
            </w:pPr>
            <w:r>
              <w:rPr>
                <w:rFonts w:hint="eastAsia"/>
              </w:rPr>
              <w:t>项目经理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项目副经理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技术负责人</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造价管理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noWrap/>
          </w:tcPr>
          <w:p>
            <w:pPr>
              <w:pStyle w:val="132"/>
              <w:spacing w:before="0" w:line="360" w:lineRule="auto"/>
              <w:ind w:firstLine="0" w:firstLineChars="0"/>
              <w:jc w:val="center"/>
            </w:pPr>
            <w:r>
              <w:rPr>
                <w:rFonts w:hint="eastAsia"/>
              </w:rPr>
              <w:t>质量管理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材料管理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计划管理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安全管理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vMerge w:val="restart"/>
            <w:noWrap/>
          </w:tcPr>
          <w:p>
            <w:pPr>
              <w:pStyle w:val="132"/>
              <w:spacing w:before="0" w:line="360" w:lineRule="auto"/>
              <w:ind w:firstLine="0" w:firstLineChars="0"/>
              <w:jc w:val="cente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其他人员</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bl>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pPr>
    </w:p>
    <w:p>
      <w:pPr>
        <w:pStyle w:val="132"/>
        <w:spacing w:before="0" w:line="360" w:lineRule="auto"/>
        <w:ind w:firstLine="482"/>
        <w:rPr>
          <w:b/>
        </w:rPr>
      </w:pPr>
      <w:r>
        <w:rPr>
          <w:rFonts w:hint="eastAsia"/>
          <w:b/>
        </w:rPr>
        <w:t>附件 7：</w:t>
      </w:r>
    </w:p>
    <w:p>
      <w:pPr>
        <w:spacing w:line="360" w:lineRule="auto"/>
        <w:jc w:val="center"/>
        <w:rPr>
          <w:rFonts w:ascii="宋体" w:hAnsi="宋体" w:cs="Times New Roman"/>
          <w:b/>
          <w:sz w:val="24"/>
          <w:szCs w:val="24"/>
        </w:rPr>
      </w:pPr>
      <w:r>
        <w:rPr>
          <w:rFonts w:hint="eastAsia" w:ascii="宋体" w:hAnsi="宋体" w:cs="Times New Roman"/>
          <w:b/>
          <w:sz w:val="24"/>
          <w:szCs w:val="24"/>
        </w:rPr>
        <w:t>分包人主要施工管理人员表</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57"/>
        <w:gridCol w:w="1370"/>
        <w:gridCol w:w="1417"/>
        <w:gridCol w:w="1134"/>
        <w:gridCol w:w="35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名 称</w:t>
            </w:r>
          </w:p>
        </w:tc>
        <w:tc>
          <w:tcPr>
            <w:tcW w:w="1370" w:type="dxa"/>
            <w:noWrap/>
          </w:tcPr>
          <w:p>
            <w:pPr>
              <w:pStyle w:val="132"/>
              <w:spacing w:before="0" w:line="360" w:lineRule="auto"/>
              <w:ind w:firstLine="0" w:firstLineChars="0"/>
            </w:pPr>
            <w:r>
              <w:rPr>
                <w:rFonts w:hint="eastAsia"/>
              </w:rPr>
              <w:t>姓名</w:t>
            </w:r>
          </w:p>
        </w:tc>
        <w:tc>
          <w:tcPr>
            <w:tcW w:w="1417" w:type="dxa"/>
            <w:noWrap/>
          </w:tcPr>
          <w:p>
            <w:pPr>
              <w:pStyle w:val="132"/>
              <w:spacing w:before="0" w:line="360" w:lineRule="auto"/>
              <w:ind w:firstLine="0" w:firstLineChars="0"/>
            </w:pPr>
            <w:r>
              <w:rPr>
                <w:rFonts w:hint="eastAsia"/>
              </w:rPr>
              <w:t>职务</w:t>
            </w:r>
          </w:p>
        </w:tc>
        <w:tc>
          <w:tcPr>
            <w:tcW w:w="1134" w:type="dxa"/>
            <w:noWrap/>
          </w:tcPr>
          <w:p>
            <w:pPr>
              <w:pStyle w:val="132"/>
              <w:spacing w:before="0" w:line="360" w:lineRule="auto"/>
              <w:ind w:firstLine="0" w:firstLineChars="0"/>
            </w:pPr>
            <w:r>
              <w:rPr>
                <w:rFonts w:hint="eastAsia"/>
              </w:rPr>
              <w:t>职称</w:t>
            </w:r>
          </w:p>
        </w:tc>
        <w:tc>
          <w:tcPr>
            <w:tcW w:w="3509" w:type="dxa"/>
            <w:noWrap/>
          </w:tcPr>
          <w:p>
            <w:pPr>
              <w:pStyle w:val="132"/>
              <w:spacing w:before="0" w:line="360" w:lineRule="auto"/>
              <w:ind w:firstLine="0" w:firstLineChars="0"/>
            </w:pPr>
            <w:r>
              <w:rPr>
                <w:rFonts w:hint="eastAsia"/>
              </w:rPr>
              <w:t>主要资历、经验及承担过的项目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87" w:type="dxa"/>
            <w:gridSpan w:val="5"/>
            <w:noWrap/>
          </w:tcPr>
          <w:p>
            <w:pPr>
              <w:pStyle w:val="132"/>
              <w:spacing w:before="0" w:line="360" w:lineRule="auto"/>
              <w:ind w:firstLine="0" w:firstLineChars="0"/>
              <w:jc w:val="left"/>
            </w:pPr>
            <w:r>
              <w:rPr>
                <w:rFonts w:hint="eastAsia"/>
              </w:rPr>
              <w:t>一、总部人员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项目主管</w:t>
            </w:r>
          </w:p>
        </w:tc>
        <w:tc>
          <w:tcPr>
            <w:tcW w:w="1370" w:type="dxa"/>
            <w:noWrap/>
          </w:tcPr>
          <w:p>
            <w:pPr>
              <w:pStyle w:val="132"/>
              <w:spacing w:before="0" w:line="360" w:lineRule="auto"/>
              <w:ind w:firstLine="0" w:firstLineChars="0"/>
              <w:jc w:val="center"/>
            </w:pPr>
          </w:p>
        </w:tc>
        <w:tc>
          <w:tcPr>
            <w:tcW w:w="1417" w:type="dxa"/>
            <w:noWrap/>
          </w:tcPr>
          <w:p>
            <w:pPr>
              <w:pStyle w:val="132"/>
              <w:spacing w:before="0" w:line="360" w:lineRule="auto"/>
              <w:ind w:firstLine="0" w:firstLineChars="0"/>
              <w:jc w:val="center"/>
            </w:pPr>
          </w:p>
        </w:tc>
        <w:tc>
          <w:tcPr>
            <w:tcW w:w="1134" w:type="dxa"/>
            <w:noWrap/>
          </w:tcPr>
          <w:p>
            <w:pPr>
              <w:pStyle w:val="132"/>
              <w:spacing w:before="0" w:line="360" w:lineRule="auto"/>
              <w:ind w:firstLine="0" w:firstLineChars="0"/>
              <w:jc w:val="center"/>
            </w:pPr>
          </w:p>
        </w:tc>
        <w:tc>
          <w:tcPr>
            <w:tcW w:w="3509" w:type="dxa"/>
            <w:noWrap/>
          </w:tcPr>
          <w:p>
            <w:pPr>
              <w:pStyle w:val="132"/>
              <w:spacing w:before="0" w:line="360" w:lineRule="auto"/>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vMerge w:val="restart"/>
            <w:noWrap/>
          </w:tcPr>
          <w:p>
            <w:pPr>
              <w:pStyle w:val="132"/>
              <w:spacing w:before="0" w:line="360" w:lineRule="auto"/>
              <w:ind w:firstLine="0" w:firstLineChars="0"/>
              <w:jc w:val="center"/>
            </w:pPr>
            <w:r>
              <w:rPr>
                <w:rFonts w:hint="eastAsia"/>
              </w:rPr>
              <w:t>其他人员</w:t>
            </w:r>
          </w:p>
        </w:tc>
        <w:tc>
          <w:tcPr>
            <w:tcW w:w="1370" w:type="dxa"/>
            <w:noWrap/>
          </w:tcPr>
          <w:p>
            <w:pPr>
              <w:pStyle w:val="132"/>
              <w:spacing w:before="0" w:line="360" w:lineRule="auto"/>
              <w:ind w:firstLine="0" w:firstLineChars="0"/>
              <w:jc w:val="center"/>
            </w:pPr>
          </w:p>
        </w:tc>
        <w:tc>
          <w:tcPr>
            <w:tcW w:w="1417" w:type="dxa"/>
            <w:noWrap/>
          </w:tcPr>
          <w:p>
            <w:pPr>
              <w:pStyle w:val="132"/>
              <w:spacing w:before="0" w:line="360" w:lineRule="auto"/>
              <w:ind w:firstLine="0" w:firstLineChars="0"/>
              <w:jc w:val="center"/>
            </w:pPr>
          </w:p>
        </w:tc>
        <w:tc>
          <w:tcPr>
            <w:tcW w:w="1134" w:type="dxa"/>
            <w:noWrap/>
          </w:tcPr>
          <w:p>
            <w:pPr>
              <w:pStyle w:val="132"/>
              <w:spacing w:before="0" w:line="360" w:lineRule="auto"/>
              <w:ind w:firstLine="0" w:firstLineChars="0"/>
              <w:jc w:val="center"/>
            </w:pPr>
          </w:p>
        </w:tc>
        <w:tc>
          <w:tcPr>
            <w:tcW w:w="3509" w:type="dxa"/>
            <w:noWrap/>
          </w:tcPr>
          <w:p>
            <w:pPr>
              <w:pStyle w:val="132"/>
              <w:spacing w:before="0" w:line="360" w:lineRule="auto"/>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87" w:type="dxa"/>
            <w:gridSpan w:val="5"/>
            <w:noWrap/>
          </w:tcPr>
          <w:p>
            <w:pPr>
              <w:pStyle w:val="132"/>
              <w:spacing w:before="0" w:line="360" w:lineRule="auto"/>
              <w:ind w:firstLine="0" w:firstLineChars="0"/>
            </w:pPr>
            <w:r>
              <w:rPr>
                <w:rFonts w:hint="eastAsia"/>
              </w:rPr>
              <w:t>二、现场人员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noWrap/>
          </w:tcPr>
          <w:p>
            <w:pPr>
              <w:pStyle w:val="132"/>
              <w:spacing w:before="0" w:line="360" w:lineRule="auto"/>
              <w:ind w:firstLine="0" w:firstLineChars="0"/>
              <w:jc w:val="center"/>
            </w:pPr>
            <w:r>
              <w:rPr>
                <w:rFonts w:hint="eastAsia"/>
              </w:rPr>
              <w:t>项目经理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项目副经理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技术负责人</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造价管理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noWrap/>
          </w:tcPr>
          <w:p>
            <w:pPr>
              <w:pStyle w:val="132"/>
              <w:spacing w:before="0" w:line="360" w:lineRule="auto"/>
              <w:ind w:firstLine="0" w:firstLineChars="0"/>
              <w:jc w:val="center"/>
            </w:pPr>
            <w:r>
              <w:rPr>
                <w:rFonts w:hint="eastAsia"/>
              </w:rPr>
              <w:t>质量管理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材料管理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计划管理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noWrap/>
          </w:tcPr>
          <w:p>
            <w:pPr>
              <w:pStyle w:val="132"/>
              <w:spacing w:before="0" w:line="360" w:lineRule="auto"/>
              <w:ind w:firstLine="0" w:firstLineChars="0"/>
              <w:jc w:val="center"/>
            </w:pPr>
            <w:r>
              <w:rPr>
                <w:rFonts w:hint="eastAsia"/>
              </w:rPr>
              <w:t>安全管理</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vMerge w:val="restart"/>
            <w:noWrap/>
          </w:tcPr>
          <w:p>
            <w:pPr>
              <w:pStyle w:val="132"/>
              <w:spacing w:before="0" w:line="360" w:lineRule="auto"/>
              <w:ind w:firstLine="0" w:firstLineChars="0"/>
              <w:jc w:val="cente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其他人员</w:t>
            </w: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57" w:type="dxa"/>
            <w:vMerge w:val="continue"/>
            <w:noWrap/>
          </w:tcPr>
          <w:p>
            <w:pPr>
              <w:pStyle w:val="132"/>
              <w:spacing w:before="0" w:line="360" w:lineRule="auto"/>
              <w:ind w:firstLine="0" w:firstLineChars="0"/>
            </w:pPr>
          </w:p>
        </w:tc>
        <w:tc>
          <w:tcPr>
            <w:tcW w:w="1370" w:type="dxa"/>
            <w:noWrap/>
          </w:tcPr>
          <w:p>
            <w:pPr>
              <w:pStyle w:val="132"/>
              <w:spacing w:before="0" w:line="360" w:lineRule="auto"/>
              <w:ind w:firstLine="0" w:firstLineChars="0"/>
            </w:pPr>
          </w:p>
        </w:tc>
        <w:tc>
          <w:tcPr>
            <w:tcW w:w="1417" w:type="dxa"/>
            <w:noWrap/>
          </w:tcPr>
          <w:p>
            <w:pPr>
              <w:pStyle w:val="132"/>
              <w:spacing w:before="0" w:line="360" w:lineRule="auto"/>
              <w:ind w:firstLine="0" w:firstLineChars="0"/>
            </w:pPr>
          </w:p>
        </w:tc>
        <w:tc>
          <w:tcPr>
            <w:tcW w:w="1134" w:type="dxa"/>
            <w:noWrap/>
          </w:tcPr>
          <w:p>
            <w:pPr>
              <w:pStyle w:val="132"/>
              <w:spacing w:before="0" w:line="360" w:lineRule="auto"/>
              <w:ind w:firstLine="0" w:firstLineChars="0"/>
            </w:pPr>
          </w:p>
        </w:tc>
        <w:tc>
          <w:tcPr>
            <w:tcW w:w="3509" w:type="dxa"/>
            <w:noWrap/>
          </w:tcPr>
          <w:p>
            <w:pPr>
              <w:pStyle w:val="132"/>
              <w:spacing w:before="0" w:line="360" w:lineRule="auto"/>
              <w:ind w:firstLine="0" w:firstLineChars="0"/>
            </w:pPr>
          </w:p>
        </w:tc>
      </w:tr>
    </w:tbl>
    <w:p>
      <w:pPr>
        <w:pStyle w:val="52"/>
        <w:spacing w:line="360" w:lineRule="auto"/>
      </w:pPr>
    </w:p>
    <w:p>
      <w:pPr>
        <w:spacing w:line="360" w:lineRule="auto"/>
      </w:pPr>
    </w:p>
    <w:p>
      <w:pPr>
        <w:pStyle w:val="18"/>
        <w:spacing w:after="0" w:line="360" w:lineRule="auto"/>
      </w:pPr>
    </w:p>
    <w:p>
      <w:pPr>
        <w:spacing w:line="360" w:lineRule="auto"/>
      </w:pPr>
    </w:p>
    <w:p>
      <w:pPr>
        <w:pStyle w:val="18"/>
      </w:pPr>
    </w:p>
    <w:p>
      <w:pPr>
        <w:pStyle w:val="50"/>
        <w:rPr>
          <w:color w:val="auto"/>
        </w:rPr>
      </w:pPr>
    </w:p>
    <w:p>
      <w:pPr>
        <w:pStyle w:val="132"/>
        <w:spacing w:before="0" w:line="360" w:lineRule="auto"/>
        <w:ind w:firstLine="482"/>
        <w:rPr>
          <w:b/>
        </w:rPr>
      </w:pPr>
      <w:r>
        <w:rPr>
          <w:rFonts w:hint="eastAsia"/>
          <w:b/>
        </w:rPr>
        <w:t xml:space="preserve">附件 </w:t>
      </w:r>
      <w:r>
        <w:rPr>
          <w:b/>
        </w:rPr>
        <w:t>8</w:t>
      </w:r>
      <w:r>
        <w:rPr>
          <w:rFonts w:hint="eastAsia"/>
          <w:b/>
        </w:rPr>
        <w:t>：</w:t>
      </w:r>
    </w:p>
    <w:p>
      <w:pPr>
        <w:pStyle w:val="52"/>
        <w:spacing w:line="360" w:lineRule="auto"/>
      </w:pPr>
      <w:r>
        <w:rPr>
          <w:rFonts w:hint="eastAsia" w:ascii="宋体" w:hAnsi="宋体"/>
          <w:kern w:val="2"/>
          <w:sz w:val="24"/>
          <w:szCs w:val="24"/>
        </w:rPr>
        <w:t>履约担保</w:t>
      </w:r>
    </w:p>
    <w:p>
      <w:pPr>
        <w:pStyle w:val="51"/>
        <w:spacing w:line="360" w:lineRule="auto"/>
      </w:pPr>
    </w:p>
    <w:p>
      <w:pPr>
        <w:spacing w:line="360" w:lineRule="auto"/>
        <w:rPr>
          <w:rFonts w:ascii="宋体" w:hAnsi="Times New Roman" w:cs="Times New Roman"/>
          <w:sz w:val="24"/>
          <w:szCs w:val="24"/>
        </w:rPr>
      </w:pPr>
      <w:r>
        <w:rPr>
          <w:rFonts w:ascii="宋体" w:hAnsi="宋体" w:cs="Times New Roman"/>
          <w:sz w:val="24"/>
          <w:szCs w:val="24"/>
          <w:u w:val="single"/>
        </w:rPr>
        <w:tab/>
      </w:r>
      <w:r>
        <w:rPr>
          <w:rFonts w:ascii="宋体" w:hAnsi="宋体" w:cs="Times New Roman"/>
          <w:sz w:val="24"/>
          <w:szCs w:val="24"/>
          <w:u w:val="single"/>
        </w:rPr>
        <w:tab/>
      </w:r>
      <w:r>
        <w:rPr>
          <w:rFonts w:hint="eastAsia" w:ascii="宋体" w:hAnsi="宋体" w:cs="Times New Roman"/>
          <w:sz w:val="24"/>
          <w:szCs w:val="24"/>
        </w:rPr>
        <w:t>（发包人名称）：</w:t>
      </w:r>
    </w:p>
    <w:p>
      <w:pPr>
        <w:spacing w:line="360" w:lineRule="auto"/>
        <w:rPr>
          <w:rFonts w:ascii="宋体" w:hAnsi="Times New Roman" w:cs="Times New Roman"/>
          <w:sz w:val="24"/>
          <w:szCs w:val="24"/>
        </w:rPr>
      </w:pPr>
    </w:p>
    <w:p>
      <w:pPr>
        <w:pStyle w:val="132"/>
        <w:spacing w:before="0" w:line="360" w:lineRule="auto"/>
        <w:rPr>
          <w:rFonts w:cs="Times New Roman"/>
          <w:szCs w:val="24"/>
        </w:rPr>
      </w:pPr>
      <w:r>
        <w:rPr>
          <w:rFonts w:hint="eastAsia" w:cs="Times New Roman"/>
          <w:szCs w:val="24"/>
        </w:rPr>
        <w:t>鉴于（发包人名称，以下简称“发包人”）与（承包人名称）（以下称“承包人”）于年月日就（工程名称）施工及有关事项协商一致共同签订《建设工程施工合同》。我方愿意无条件地、不可撤销地就承包人履行与你方签订的合同，向你方提供连带责任担保。</w:t>
      </w:r>
    </w:p>
    <w:p>
      <w:pPr>
        <w:pStyle w:val="132"/>
        <w:spacing w:before="0" w:line="360" w:lineRule="auto"/>
        <w:rPr>
          <w:rFonts w:cs="Times New Roman"/>
          <w:szCs w:val="24"/>
        </w:rPr>
      </w:pPr>
      <w:r>
        <w:rPr>
          <w:rFonts w:hint="eastAsia" w:cs="Times New Roman"/>
          <w:szCs w:val="24"/>
        </w:rPr>
        <w:t>1. 担保金额为元。</w:t>
      </w:r>
    </w:p>
    <w:p>
      <w:pPr>
        <w:pStyle w:val="132"/>
        <w:spacing w:before="0" w:line="360" w:lineRule="auto"/>
        <w:rPr>
          <w:rFonts w:cs="Times New Roman"/>
          <w:szCs w:val="24"/>
        </w:rPr>
      </w:pPr>
      <w:r>
        <w:rPr>
          <w:rFonts w:hint="eastAsia" w:cs="Times New Roman"/>
          <w:szCs w:val="24"/>
        </w:rPr>
        <w:t>2. 担保有效期自你方与承包人签订的合同生效之日起至你方签发或应签发工程接收证书之日止。</w:t>
      </w:r>
    </w:p>
    <w:p>
      <w:pPr>
        <w:pStyle w:val="132"/>
        <w:spacing w:before="0" w:line="360" w:lineRule="auto"/>
        <w:rPr>
          <w:rFonts w:cs="Times New Roman"/>
          <w:szCs w:val="24"/>
        </w:rPr>
      </w:pPr>
      <w:r>
        <w:rPr>
          <w:rFonts w:hint="eastAsia" w:cs="Times New Roman"/>
          <w:szCs w:val="24"/>
        </w:rPr>
        <w:t>3. 在本担保有效期内，因承包人违反合同约定的义务给你方造成经济损失时，我方在收到你方以书面形式提出的在担保金额内的赔偿要求后，在 7 天内无条件支付。</w:t>
      </w:r>
    </w:p>
    <w:p>
      <w:pPr>
        <w:pStyle w:val="132"/>
        <w:spacing w:before="0" w:line="360" w:lineRule="auto"/>
        <w:rPr>
          <w:rFonts w:cs="Times New Roman"/>
          <w:szCs w:val="24"/>
        </w:rPr>
      </w:pPr>
      <w:r>
        <w:rPr>
          <w:rFonts w:hint="eastAsia" w:cs="Times New Roman"/>
          <w:szCs w:val="24"/>
        </w:rPr>
        <w:t>4. 你方和承包人按合同约定变更合同时，我方承担本担保规定的义务不变。</w:t>
      </w:r>
    </w:p>
    <w:p>
      <w:pPr>
        <w:pStyle w:val="132"/>
        <w:spacing w:before="0" w:line="360" w:lineRule="auto"/>
        <w:rPr>
          <w:rFonts w:cs="Times New Roman"/>
          <w:szCs w:val="24"/>
        </w:rPr>
      </w:pPr>
      <w:r>
        <w:rPr>
          <w:rFonts w:hint="eastAsia" w:cs="Times New Roman"/>
          <w:szCs w:val="24"/>
        </w:rPr>
        <w:t>5. 因本保函发生的纠纷，可由双方协商解决，协商不成的，任何一方均可提请仲裁委员会仲裁。</w:t>
      </w:r>
    </w:p>
    <w:p>
      <w:pPr>
        <w:pStyle w:val="132"/>
        <w:spacing w:before="0" w:line="360" w:lineRule="auto"/>
        <w:rPr>
          <w:rFonts w:cs="Times New Roman"/>
          <w:szCs w:val="24"/>
        </w:rPr>
      </w:pPr>
      <w:r>
        <w:rPr>
          <w:rFonts w:hint="eastAsia" w:cs="Times New Roman"/>
          <w:szCs w:val="24"/>
        </w:rPr>
        <w:t>6. 本保函自我方法定代表人（或其授权代理人）签字并加盖单位公章之日起生效。</w:t>
      </w:r>
    </w:p>
    <w:p>
      <w:pPr>
        <w:pStyle w:val="132"/>
        <w:spacing w:before="0" w:line="360" w:lineRule="auto"/>
        <w:rPr>
          <w:rFonts w:cs="Times New Roman"/>
          <w:szCs w:val="24"/>
        </w:rPr>
      </w:pPr>
      <w:r>
        <w:rPr>
          <w:rFonts w:hint="eastAsia" w:cs="Times New Roman"/>
          <w:szCs w:val="24"/>
        </w:rPr>
        <w:t>担 保 人：（盖单位公章）</w:t>
      </w:r>
    </w:p>
    <w:p>
      <w:pPr>
        <w:pStyle w:val="132"/>
        <w:spacing w:before="0" w:line="360" w:lineRule="auto"/>
        <w:rPr>
          <w:rFonts w:cs="Times New Roman"/>
          <w:szCs w:val="24"/>
        </w:rPr>
      </w:pPr>
      <w:r>
        <w:rPr>
          <w:rFonts w:hint="eastAsia" w:cs="Times New Roman"/>
          <w:szCs w:val="24"/>
        </w:rPr>
        <w:t>法定代表人或其委托代理人：（签字）</w:t>
      </w:r>
    </w:p>
    <w:p>
      <w:pPr>
        <w:pStyle w:val="132"/>
        <w:spacing w:before="0" w:line="360" w:lineRule="auto"/>
        <w:rPr>
          <w:rFonts w:cs="Times New Roman"/>
          <w:szCs w:val="24"/>
          <w:u w:val="single"/>
        </w:rPr>
      </w:pPr>
      <w:r>
        <w:rPr>
          <w:rFonts w:hint="eastAsia" w:cs="Times New Roman"/>
          <w:szCs w:val="24"/>
        </w:rPr>
        <w:t xml:space="preserve">地 址： </w:t>
      </w:r>
    </w:p>
    <w:p>
      <w:pPr>
        <w:pStyle w:val="132"/>
        <w:spacing w:before="0" w:line="360" w:lineRule="auto"/>
        <w:rPr>
          <w:rFonts w:cs="Times New Roman"/>
          <w:szCs w:val="24"/>
        </w:rPr>
      </w:pPr>
      <w:r>
        <w:rPr>
          <w:rFonts w:hint="eastAsia" w:cs="Times New Roman"/>
          <w:szCs w:val="24"/>
        </w:rPr>
        <w:t>邮政编码：</w:t>
      </w:r>
    </w:p>
    <w:p>
      <w:pPr>
        <w:pStyle w:val="132"/>
        <w:spacing w:before="0" w:line="360" w:lineRule="auto"/>
        <w:rPr>
          <w:rFonts w:cs="Times New Roman"/>
          <w:szCs w:val="24"/>
        </w:rPr>
      </w:pPr>
      <w:r>
        <w:rPr>
          <w:rFonts w:hint="eastAsia" w:cs="Times New Roman"/>
          <w:szCs w:val="24"/>
        </w:rPr>
        <w:t>电 话：</w:t>
      </w:r>
    </w:p>
    <w:p>
      <w:pPr>
        <w:pStyle w:val="132"/>
        <w:spacing w:before="0" w:line="360" w:lineRule="auto"/>
        <w:rPr>
          <w:rFonts w:cs="Times New Roman"/>
          <w:szCs w:val="24"/>
        </w:rPr>
      </w:pPr>
      <w:r>
        <w:rPr>
          <w:rFonts w:hint="eastAsia" w:cs="Times New Roman"/>
          <w:szCs w:val="24"/>
        </w:rPr>
        <w:t>传 真：</w:t>
      </w:r>
    </w:p>
    <w:p>
      <w:pPr>
        <w:pStyle w:val="132"/>
        <w:spacing w:before="0" w:line="360" w:lineRule="auto"/>
      </w:pPr>
      <w:r>
        <w:rPr>
          <w:rFonts w:hint="eastAsia" w:cs="Times New Roman"/>
          <w:szCs w:val="24"/>
        </w:rPr>
        <w:t>年 月 日</w:t>
      </w:r>
    </w:p>
    <w:p>
      <w:pPr>
        <w:pStyle w:val="132"/>
        <w:spacing w:before="0" w:line="360" w:lineRule="auto"/>
      </w:pPr>
    </w:p>
    <w:p>
      <w:pPr>
        <w:pStyle w:val="132"/>
        <w:spacing w:before="0" w:line="360" w:lineRule="auto"/>
      </w:pPr>
    </w:p>
    <w:p>
      <w:pPr>
        <w:pStyle w:val="132"/>
        <w:spacing w:before="0" w:line="360" w:lineRule="auto"/>
        <w:rPr>
          <w:rFonts w:hint="eastAsia"/>
        </w:rPr>
      </w:pPr>
    </w:p>
    <w:p>
      <w:pPr>
        <w:pStyle w:val="132"/>
        <w:spacing w:before="0" w:line="360" w:lineRule="auto"/>
      </w:pPr>
    </w:p>
    <w:p>
      <w:pPr>
        <w:pStyle w:val="132"/>
        <w:spacing w:before="0" w:line="360" w:lineRule="auto"/>
      </w:pPr>
    </w:p>
    <w:p>
      <w:pPr>
        <w:pStyle w:val="132"/>
        <w:spacing w:before="0" w:line="360" w:lineRule="auto"/>
        <w:ind w:firstLine="482"/>
        <w:rPr>
          <w:b/>
        </w:rPr>
      </w:pPr>
      <w:r>
        <w:rPr>
          <w:rFonts w:hint="eastAsia"/>
          <w:b/>
        </w:rPr>
        <w:t>附件</w:t>
      </w:r>
      <w:r>
        <w:rPr>
          <w:b/>
        </w:rPr>
        <w:t>9</w:t>
      </w:r>
      <w:r>
        <w:rPr>
          <w:rFonts w:hint="eastAsia"/>
          <w:b/>
        </w:rPr>
        <w:t>：</w:t>
      </w:r>
    </w:p>
    <w:p>
      <w:pPr>
        <w:spacing w:line="360" w:lineRule="auto"/>
        <w:ind w:firstLine="480" w:firstLineChars="200"/>
        <w:jc w:val="center"/>
        <w:rPr>
          <w:rFonts w:ascii="宋体" w:hAnsi="宋体" w:cs="Times New Roman"/>
          <w:b/>
          <w:sz w:val="24"/>
          <w:szCs w:val="24"/>
        </w:rPr>
      </w:pPr>
      <w:r>
        <w:rPr>
          <w:rFonts w:hint="eastAsia" w:ascii="宋体" w:hAnsi="宋体" w:cs="Times New Roman"/>
          <w:b/>
          <w:sz w:val="24"/>
          <w:szCs w:val="24"/>
        </w:rPr>
        <w:t>9-1：材料暂估价表</w:t>
      </w:r>
    </w:p>
    <w:p>
      <w:pPr>
        <w:spacing w:line="360" w:lineRule="auto"/>
      </w:pP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26"/>
        <w:gridCol w:w="1326"/>
        <w:gridCol w:w="1327"/>
        <w:gridCol w:w="1327"/>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r>
              <w:rPr>
                <w:rFonts w:hint="eastAsia"/>
              </w:rPr>
              <w:t>序号</w:t>
            </w:r>
          </w:p>
        </w:tc>
        <w:tc>
          <w:tcPr>
            <w:tcW w:w="1326" w:type="dxa"/>
            <w:noWrap/>
          </w:tcPr>
          <w:p>
            <w:pPr>
              <w:pStyle w:val="51"/>
              <w:spacing w:line="360" w:lineRule="auto"/>
            </w:pPr>
            <w:r>
              <w:rPr>
                <w:rFonts w:hint="eastAsia"/>
              </w:rPr>
              <w:t>名称</w:t>
            </w:r>
          </w:p>
        </w:tc>
        <w:tc>
          <w:tcPr>
            <w:tcW w:w="1327" w:type="dxa"/>
            <w:noWrap/>
          </w:tcPr>
          <w:p>
            <w:pPr>
              <w:pStyle w:val="51"/>
              <w:tabs>
                <w:tab w:val="left" w:pos="630"/>
              </w:tabs>
              <w:spacing w:line="360" w:lineRule="auto"/>
              <w:jc w:val="left"/>
            </w:pPr>
            <w:r>
              <w:tab/>
            </w:r>
            <w:r>
              <w:rPr>
                <w:rFonts w:hint="eastAsia"/>
              </w:rPr>
              <w:t>单位</w:t>
            </w:r>
          </w:p>
        </w:tc>
        <w:tc>
          <w:tcPr>
            <w:tcW w:w="1327" w:type="dxa"/>
            <w:noWrap/>
          </w:tcPr>
          <w:p>
            <w:pPr>
              <w:pStyle w:val="51"/>
              <w:spacing w:line="360" w:lineRule="auto"/>
            </w:pPr>
            <w:r>
              <w:rPr>
                <w:rFonts w:hint="eastAsia"/>
              </w:rPr>
              <w:t>数量</w:t>
            </w:r>
          </w:p>
        </w:tc>
        <w:tc>
          <w:tcPr>
            <w:tcW w:w="1327" w:type="dxa"/>
            <w:noWrap/>
          </w:tcPr>
          <w:p>
            <w:pPr>
              <w:pStyle w:val="51"/>
              <w:spacing w:line="360" w:lineRule="auto"/>
            </w:pPr>
            <w:r>
              <w:rPr>
                <w:rFonts w:hint="eastAsia"/>
              </w:rPr>
              <w:t>单价（元）</w:t>
            </w:r>
          </w:p>
        </w:tc>
        <w:tc>
          <w:tcPr>
            <w:tcW w:w="1327" w:type="dxa"/>
            <w:noWrap/>
          </w:tcPr>
          <w:p>
            <w:pPr>
              <w:pStyle w:val="51"/>
              <w:spacing w:line="360" w:lineRule="auto"/>
            </w:pPr>
            <w:r>
              <w:rPr>
                <w:rFonts w:hint="eastAsia"/>
              </w:rPr>
              <w:t>合价（元）</w:t>
            </w:r>
          </w:p>
        </w:tc>
        <w:tc>
          <w:tcPr>
            <w:tcW w:w="1327" w:type="dxa"/>
            <w:noWrap/>
          </w:tcPr>
          <w:p>
            <w:pPr>
              <w:pStyle w:val="51"/>
              <w:spacing w:line="360" w:lineRule="auto"/>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26" w:type="dxa"/>
            <w:noWrap/>
          </w:tcPr>
          <w:p>
            <w:pPr>
              <w:pStyle w:val="51"/>
              <w:spacing w:line="360" w:lineRule="auto"/>
            </w:pPr>
          </w:p>
        </w:tc>
        <w:tc>
          <w:tcPr>
            <w:tcW w:w="1326"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c>
          <w:tcPr>
            <w:tcW w:w="1327" w:type="dxa"/>
            <w:noWrap/>
          </w:tcPr>
          <w:p>
            <w:pPr>
              <w:pStyle w:val="51"/>
              <w:spacing w:line="360" w:lineRule="auto"/>
            </w:pPr>
          </w:p>
        </w:tc>
      </w:tr>
    </w:tbl>
    <w:p>
      <w:pPr>
        <w:pStyle w:val="51"/>
        <w:spacing w:line="360" w:lineRule="auto"/>
      </w:pPr>
    </w:p>
    <w:p>
      <w:pPr>
        <w:pStyle w:val="52"/>
        <w:spacing w:line="360" w:lineRule="auto"/>
      </w:pPr>
    </w:p>
    <w:p>
      <w:pPr>
        <w:spacing w:line="360" w:lineRule="auto"/>
      </w:pPr>
    </w:p>
    <w:p>
      <w:pPr>
        <w:pStyle w:val="51"/>
        <w:spacing w:line="360" w:lineRule="auto"/>
      </w:pPr>
    </w:p>
    <w:p>
      <w:pPr>
        <w:spacing w:line="360" w:lineRule="auto"/>
        <w:ind w:firstLine="480" w:firstLineChars="200"/>
        <w:jc w:val="center"/>
        <w:rPr>
          <w:rFonts w:ascii="宋体" w:hAnsi="宋体" w:cs="Times New Roman"/>
          <w:b/>
          <w:sz w:val="24"/>
          <w:szCs w:val="24"/>
        </w:rPr>
      </w:pPr>
      <w:r>
        <w:rPr>
          <w:rFonts w:hint="eastAsia" w:ascii="宋体" w:hAnsi="宋体" w:cs="Times New Roman"/>
          <w:b/>
          <w:sz w:val="24"/>
          <w:szCs w:val="24"/>
        </w:rPr>
        <w:t>9-</w:t>
      </w:r>
      <w:r>
        <w:rPr>
          <w:rFonts w:ascii="宋体" w:hAnsi="宋体" w:cs="Times New Roman"/>
          <w:b/>
          <w:sz w:val="24"/>
          <w:szCs w:val="24"/>
        </w:rPr>
        <w:t>2</w:t>
      </w:r>
      <w:r>
        <w:rPr>
          <w:rFonts w:hint="eastAsia" w:ascii="宋体" w:hAnsi="宋体" w:cs="Times New Roman"/>
          <w:b/>
          <w:sz w:val="24"/>
          <w:szCs w:val="24"/>
        </w:rPr>
        <w:t>：专业工程暂估价表</w:t>
      </w:r>
    </w:p>
    <w:p>
      <w:pPr>
        <w:spacing w:line="360" w:lineRule="auto"/>
      </w:pP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26"/>
        <w:gridCol w:w="1326"/>
        <w:gridCol w:w="1327"/>
        <w:gridCol w:w="1327"/>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r>
              <w:rPr>
                <w:rFonts w:hint="eastAsia"/>
              </w:rPr>
              <w:t>序号</w:t>
            </w:r>
          </w:p>
        </w:tc>
        <w:tc>
          <w:tcPr>
            <w:tcW w:w="1326" w:type="dxa"/>
            <w:noWrap/>
            <w:vAlign w:val="center"/>
          </w:tcPr>
          <w:p>
            <w:pPr>
              <w:pStyle w:val="51"/>
              <w:spacing w:line="360" w:lineRule="auto"/>
              <w:jc w:val="center"/>
            </w:pPr>
            <w:r>
              <w:rPr>
                <w:rFonts w:hint="eastAsia"/>
              </w:rPr>
              <w:t>名称</w:t>
            </w:r>
          </w:p>
        </w:tc>
        <w:tc>
          <w:tcPr>
            <w:tcW w:w="1327" w:type="dxa"/>
            <w:noWrap/>
            <w:vAlign w:val="center"/>
          </w:tcPr>
          <w:p>
            <w:pPr>
              <w:pStyle w:val="51"/>
              <w:tabs>
                <w:tab w:val="left" w:pos="630"/>
              </w:tabs>
              <w:spacing w:line="360" w:lineRule="auto"/>
              <w:jc w:val="center"/>
            </w:pPr>
            <w:r>
              <w:rPr>
                <w:rFonts w:hint="eastAsia"/>
              </w:rPr>
              <w:t>单位</w:t>
            </w:r>
          </w:p>
        </w:tc>
        <w:tc>
          <w:tcPr>
            <w:tcW w:w="1327" w:type="dxa"/>
            <w:noWrap/>
            <w:vAlign w:val="center"/>
          </w:tcPr>
          <w:p>
            <w:pPr>
              <w:pStyle w:val="51"/>
              <w:spacing w:line="360" w:lineRule="auto"/>
              <w:jc w:val="center"/>
            </w:pPr>
            <w:r>
              <w:rPr>
                <w:rFonts w:hint="eastAsia"/>
              </w:rPr>
              <w:t>数量</w:t>
            </w:r>
          </w:p>
        </w:tc>
        <w:tc>
          <w:tcPr>
            <w:tcW w:w="1327" w:type="dxa"/>
            <w:noWrap/>
            <w:vAlign w:val="center"/>
          </w:tcPr>
          <w:p>
            <w:pPr>
              <w:pStyle w:val="51"/>
              <w:spacing w:line="360" w:lineRule="auto"/>
              <w:jc w:val="center"/>
            </w:pPr>
            <w:r>
              <w:rPr>
                <w:rFonts w:hint="eastAsia"/>
              </w:rPr>
              <w:t>单价（元）</w:t>
            </w:r>
          </w:p>
        </w:tc>
        <w:tc>
          <w:tcPr>
            <w:tcW w:w="1327" w:type="dxa"/>
            <w:noWrap/>
            <w:vAlign w:val="center"/>
          </w:tcPr>
          <w:p>
            <w:pPr>
              <w:pStyle w:val="51"/>
              <w:spacing w:line="360" w:lineRule="auto"/>
              <w:jc w:val="center"/>
            </w:pPr>
            <w:r>
              <w:rPr>
                <w:rFonts w:hint="eastAsia"/>
              </w:rPr>
              <w:t>合价（元）</w:t>
            </w:r>
          </w:p>
        </w:tc>
        <w:tc>
          <w:tcPr>
            <w:tcW w:w="1327" w:type="dxa"/>
            <w:noWrap/>
            <w:vAlign w:val="center"/>
          </w:tcPr>
          <w:p>
            <w:pPr>
              <w:pStyle w:val="51"/>
              <w:spacing w:line="360" w:lineRule="auto"/>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6" w:type="dxa"/>
            <w:noWrap/>
            <w:vAlign w:val="center"/>
          </w:tcPr>
          <w:p>
            <w:pPr>
              <w:pStyle w:val="51"/>
              <w:spacing w:line="360" w:lineRule="auto"/>
              <w:jc w:val="center"/>
            </w:pPr>
          </w:p>
        </w:tc>
        <w:tc>
          <w:tcPr>
            <w:tcW w:w="1326"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c>
          <w:tcPr>
            <w:tcW w:w="1327" w:type="dxa"/>
            <w:noWrap/>
            <w:vAlign w:val="center"/>
          </w:tcPr>
          <w:p>
            <w:pPr>
              <w:pStyle w:val="51"/>
              <w:spacing w:line="360" w:lineRule="auto"/>
              <w:jc w:val="center"/>
            </w:pPr>
          </w:p>
        </w:tc>
      </w:tr>
    </w:tbl>
    <w:p>
      <w:pPr>
        <w:pStyle w:val="51"/>
        <w:spacing w:line="360" w:lineRule="auto"/>
      </w:pPr>
    </w:p>
    <w:p>
      <w:pPr>
        <w:pStyle w:val="52"/>
        <w:spacing w:line="360" w:lineRule="auto"/>
      </w:pPr>
    </w:p>
    <w:p>
      <w:pPr>
        <w:pStyle w:val="52"/>
        <w:spacing w:line="360" w:lineRule="auto"/>
      </w:pPr>
    </w:p>
    <w:p>
      <w:pPr>
        <w:spacing w:line="360" w:lineRule="auto"/>
      </w:pPr>
    </w:p>
    <w:p>
      <w:pPr>
        <w:pStyle w:val="132"/>
        <w:spacing w:before="0" w:line="360" w:lineRule="auto"/>
        <w:ind w:firstLine="482"/>
        <w:rPr>
          <w:b/>
        </w:rPr>
      </w:pPr>
      <w:r>
        <w:rPr>
          <w:rFonts w:hint="eastAsia"/>
          <w:b/>
        </w:rPr>
        <w:t>附件</w:t>
      </w:r>
      <w:r>
        <w:rPr>
          <w:b/>
        </w:rPr>
        <w:t>10</w:t>
      </w:r>
      <w:r>
        <w:rPr>
          <w:rFonts w:hint="eastAsia"/>
          <w:b/>
        </w:rPr>
        <w:t>：</w:t>
      </w:r>
      <w:r>
        <w:rPr>
          <w:rFonts w:hint="eastAsia"/>
          <w:szCs w:val="24"/>
        </w:rPr>
        <w:t>廉政责任书格式</w:t>
      </w:r>
    </w:p>
    <w:p>
      <w:pPr>
        <w:spacing w:line="360" w:lineRule="auto"/>
        <w:ind w:firstLine="480" w:firstLineChars="200"/>
        <w:rPr>
          <w:rFonts w:ascii="宋体" w:hAnsi="Times New Roman" w:cs="Times New Roman"/>
          <w:sz w:val="24"/>
          <w:szCs w:val="24"/>
        </w:rPr>
      </w:pPr>
      <w:r>
        <w:rPr>
          <w:rFonts w:hint="eastAsia" w:ascii="宋体" w:hAnsi="宋体" w:cs="Times New Roman"/>
          <w:sz w:val="24"/>
          <w:szCs w:val="24"/>
        </w:rPr>
        <w:t>根据有关工程建设、廉政建设的规定，为规范发包方和承包方的各项活动，防止发生各种谋取不正当利益的违法违纪行为，保证工程建设高效优质，保证建设资金的安全和有效使用以及投资效益，建设工程的发包人</w:t>
      </w:r>
      <w:r>
        <w:rPr>
          <w:rFonts w:hint="eastAsia" w:ascii="宋体" w:hAnsi="宋体" w:cs="Times New Roman"/>
          <w:sz w:val="24"/>
          <w:szCs w:val="24"/>
          <w:u w:val="single"/>
        </w:rPr>
        <w:t>（全称）</w:t>
      </w:r>
      <w:r>
        <w:rPr>
          <w:rFonts w:hint="eastAsia" w:ascii="宋体" w:hAnsi="宋体" w:cs="Times New Roman"/>
          <w:sz w:val="24"/>
          <w:szCs w:val="24"/>
        </w:rPr>
        <w:t>（以下简称“甲方”）与承包人（全称）（以下简称“乙方”），特订立如下合同。</w:t>
      </w:r>
    </w:p>
    <w:p>
      <w:pPr>
        <w:spacing w:line="360" w:lineRule="auto"/>
        <w:ind w:firstLine="480" w:firstLineChars="200"/>
        <w:rPr>
          <w:rFonts w:ascii="宋体" w:hAnsi="Times New Roman" w:cs="Times New Roman"/>
          <w:sz w:val="24"/>
          <w:szCs w:val="24"/>
        </w:rPr>
      </w:pPr>
      <w:bookmarkStart w:id="102" w:name="_Toc475531263"/>
      <w:r>
        <w:rPr>
          <w:rFonts w:ascii="宋体" w:hAnsi="宋体" w:cs="Times New Roman"/>
          <w:sz w:val="24"/>
          <w:szCs w:val="24"/>
        </w:rPr>
        <w:t>l.</w:t>
      </w:r>
      <w:r>
        <w:rPr>
          <w:rFonts w:hint="eastAsia" w:ascii="宋体" w:hAnsi="宋体" w:cs="Times New Roman"/>
          <w:sz w:val="24"/>
          <w:szCs w:val="24"/>
        </w:rPr>
        <w:t>甲乙双方的权利和义务</w:t>
      </w:r>
      <w:bookmarkEnd w:id="102"/>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1</w:t>
      </w:r>
      <w:r>
        <w:rPr>
          <w:rFonts w:hint="eastAsia" w:ascii="宋体" w:hAnsi="宋体" w:cs="Times New Roman"/>
          <w:sz w:val="24"/>
          <w:szCs w:val="24"/>
        </w:rPr>
        <w:t>）严格遵守党的政策规定和国家有关法律法规的有关规定，遵守国家关于市场准入、施工监理、招标投标、工程施工、设备安装和市场经营活动等有关法律法规。</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2</w:t>
      </w:r>
      <w:r>
        <w:rPr>
          <w:rFonts w:hint="eastAsia" w:ascii="宋体" w:hAnsi="宋体" w:cs="Times New Roman"/>
          <w:sz w:val="24"/>
          <w:szCs w:val="24"/>
        </w:rPr>
        <w:t>）严格执行工程项目建设承包发包合同文件，自觉按合同办事。</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3</w:t>
      </w:r>
      <w:r>
        <w:rPr>
          <w:rFonts w:hint="eastAsia" w:ascii="宋体" w:hAnsi="宋体" w:cs="Times New Roman"/>
          <w:sz w:val="24"/>
          <w:szCs w:val="24"/>
        </w:rPr>
        <w:t>）业务活动必须坚持公开、公平、公正、诚实、透明的原则（除法律法规另有规定者外），不得为获取不正当利益，就工程造价（款）、材料供应、工程量变更、工程验收、工程质量等问题进行私下商谈或达成默契，不得在工程款支付、工程量测量等工作中弄虚作假，不得损害国家和集体利益。</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4</w:t>
      </w:r>
      <w:r>
        <w:rPr>
          <w:rFonts w:hint="eastAsia" w:ascii="宋体" w:hAnsi="宋体" w:cs="Times New Roman"/>
          <w:sz w:val="24"/>
          <w:szCs w:val="24"/>
        </w:rPr>
        <w:t>）建立健全廉政制度，开展廉政教育，设立廉政告示牌，公布举报电话，监督并认真查处违法违纪行为。</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5</w:t>
      </w:r>
      <w:r>
        <w:rPr>
          <w:rFonts w:hint="eastAsia" w:ascii="宋体" w:hAnsi="宋体" w:cs="Times New Roman"/>
          <w:sz w:val="24"/>
          <w:szCs w:val="24"/>
        </w:rPr>
        <w:t>）发现对方在业务活动中有违反廉政规定的行为，有及时提醒对方纠正的权利和义务。</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6</w:t>
      </w:r>
      <w:r>
        <w:rPr>
          <w:rFonts w:hint="eastAsia" w:ascii="宋体" w:hAnsi="宋体" w:cs="Times New Roman"/>
          <w:sz w:val="24"/>
          <w:szCs w:val="24"/>
        </w:rPr>
        <w:t>）发现对方严重违反本合同义务条款的行为，有向其上级有关部门举报、建议给子处理并要求告知处理结果的权利。</w:t>
      </w:r>
    </w:p>
    <w:p>
      <w:pPr>
        <w:spacing w:line="360" w:lineRule="auto"/>
        <w:ind w:firstLine="480" w:firstLineChars="200"/>
        <w:rPr>
          <w:rFonts w:ascii="宋体" w:hAnsi="Times New Roman" w:cs="Times New Roman"/>
          <w:sz w:val="24"/>
          <w:szCs w:val="24"/>
        </w:rPr>
      </w:pPr>
      <w:bookmarkStart w:id="103" w:name="_Toc475105036"/>
      <w:bookmarkStart w:id="104" w:name="_Toc474508924"/>
      <w:bookmarkStart w:id="105" w:name="_Toc475531264"/>
      <w:r>
        <w:rPr>
          <w:rFonts w:ascii="宋体" w:hAnsi="宋体" w:cs="Times New Roman"/>
          <w:sz w:val="24"/>
          <w:szCs w:val="24"/>
        </w:rPr>
        <w:t>2.</w:t>
      </w:r>
      <w:r>
        <w:rPr>
          <w:rFonts w:hint="eastAsia" w:ascii="宋体" w:hAnsi="宋体" w:cs="Times New Roman"/>
          <w:sz w:val="24"/>
          <w:szCs w:val="24"/>
        </w:rPr>
        <w:t>甲方的义务</w:t>
      </w:r>
      <w:bookmarkEnd w:id="103"/>
      <w:bookmarkEnd w:id="104"/>
      <w:bookmarkEnd w:id="105"/>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1</w:t>
      </w:r>
      <w:r>
        <w:rPr>
          <w:rFonts w:hint="eastAsia" w:ascii="宋体" w:hAnsi="宋体" w:cs="Times New Roman"/>
          <w:sz w:val="24"/>
          <w:szCs w:val="24"/>
        </w:rPr>
        <w:t>）甲方及其工作人员不得索要或接受乙方的礼金、有价证券和贵重物品，不得在乙方报销任何应由甲方或甲方工作人员个人支付的费用等。</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2</w:t>
      </w:r>
      <w:r>
        <w:rPr>
          <w:rFonts w:hint="eastAsia" w:ascii="宋体" w:hAnsi="宋体" w:cs="Times New Roman"/>
          <w:sz w:val="24"/>
          <w:szCs w:val="24"/>
        </w:rPr>
        <w:t>）甲方工作人员不得参加乙方安排的超标准宴请和娱乐活动；不得接受乙方提供的通讯工具、交通工具和高档办公用品等。</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3</w:t>
      </w:r>
      <w:r>
        <w:rPr>
          <w:rFonts w:hint="eastAsia" w:ascii="宋体" w:hAnsi="宋体" w:cs="Times New Roman"/>
          <w:sz w:val="24"/>
          <w:szCs w:val="24"/>
        </w:rPr>
        <w:t>）甲方及其工作人员不得要求或者接受乙方为其住房装修、婚丧嫁娶活动、配偶子女的工作安排以及出国出境、旅游等提供方便等。</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4</w:t>
      </w:r>
      <w:r>
        <w:rPr>
          <w:rFonts w:hint="eastAsia" w:ascii="宋体" w:hAnsi="宋体" w:cs="Times New Roman"/>
          <w:sz w:val="24"/>
          <w:szCs w:val="24"/>
        </w:rPr>
        <w:t>）甲方工作人员及其配偶、子女不得从事与甲方工程有关的材料设备供应、工程分包、劳务等经济活动。</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5</w:t>
      </w:r>
      <w:r>
        <w:rPr>
          <w:rFonts w:hint="eastAsia" w:ascii="宋体" w:hAnsi="宋体" w:cs="Times New Roman"/>
          <w:sz w:val="24"/>
          <w:szCs w:val="24"/>
        </w:rPr>
        <w:t>）甲方及其工作人员不得以任何理由向乙方推荐分包单位或推销材料，不得要求乙方购买合同规定外的材料和设备。</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6</w:t>
      </w:r>
      <w:r>
        <w:rPr>
          <w:rFonts w:hint="eastAsia" w:ascii="宋体" w:hAnsi="宋体" w:cs="Times New Roman"/>
          <w:sz w:val="24"/>
          <w:szCs w:val="24"/>
        </w:rPr>
        <w:t>）甲方工作人员要秉公办事，不准营私舞弊，不准利用职权从事各种个人有偿中介活动和安排个人施工队伍。</w:t>
      </w:r>
    </w:p>
    <w:p>
      <w:pPr>
        <w:spacing w:line="360" w:lineRule="auto"/>
        <w:ind w:firstLine="480" w:firstLineChars="200"/>
        <w:rPr>
          <w:rFonts w:ascii="宋体" w:hAnsi="Times New Roman" w:cs="Times New Roman"/>
          <w:sz w:val="24"/>
          <w:szCs w:val="24"/>
        </w:rPr>
      </w:pPr>
      <w:bookmarkStart w:id="106" w:name="_Toc475531265"/>
      <w:bookmarkStart w:id="107" w:name="_Toc475105037"/>
      <w:bookmarkStart w:id="108" w:name="_Toc474508925"/>
      <w:r>
        <w:rPr>
          <w:rFonts w:ascii="宋体" w:hAnsi="宋体" w:cs="Times New Roman"/>
          <w:sz w:val="24"/>
          <w:szCs w:val="24"/>
        </w:rPr>
        <w:t>3.</w:t>
      </w:r>
      <w:r>
        <w:rPr>
          <w:rFonts w:hint="eastAsia" w:ascii="宋体" w:hAnsi="宋体" w:cs="Times New Roman"/>
          <w:sz w:val="24"/>
          <w:szCs w:val="24"/>
        </w:rPr>
        <w:t>乙方义务</w:t>
      </w:r>
      <w:bookmarkEnd w:id="106"/>
      <w:bookmarkEnd w:id="107"/>
      <w:bookmarkEnd w:id="108"/>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1</w:t>
      </w:r>
      <w:r>
        <w:rPr>
          <w:rFonts w:hint="eastAsia" w:ascii="宋体" w:hAnsi="宋体" w:cs="Times New Roman"/>
          <w:sz w:val="24"/>
          <w:szCs w:val="24"/>
        </w:rPr>
        <w:t>）乙方不得以任何理由向甲方及其工作人员行贿或馈赠礼金、有价证券、贵重礼品。</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2</w:t>
      </w:r>
      <w:r>
        <w:rPr>
          <w:rFonts w:hint="eastAsia" w:ascii="宋体" w:hAnsi="宋体" w:cs="Times New Roman"/>
          <w:sz w:val="24"/>
          <w:szCs w:val="24"/>
        </w:rPr>
        <w:t>）乙方不得以任何名义为甲方及其工作人员报销应由甲方单位或个人支付的任何费用。</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3</w:t>
      </w:r>
      <w:r>
        <w:rPr>
          <w:rFonts w:hint="eastAsia" w:ascii="宋体" w:hAnsi="宋体" w:cs="Times New Roman"/>
          <w:sz w:val="24"/>
          <w:szCs w:val="24"/>
        </w:rPr>
        <w:t>）乙方不得以任何理由安排甲方工作人员参加超标准宴请及娱乐活动。</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4</w:t>
      </w:r>
      <w:r>
        <w:rPr>
          <w:rFonts w:hint="eastAsia" w:ascii="宋体" w:hAnsi="宋体" w:cs="Times New Roman"/>
          <w:sz w:val="24"/>
          <w:szCs w:val="24"/>
        </w:rPr>
        <w:t>）乙方不得为甲方单位和个人购置或提供通讯工具、交通工具和高档办公用品等。</w:t>
      </w:r>
    </w:p>
    <w:p>
      <w:pPr>
        <w:spacing w:line="360" w:lineRule="auto"/>
        <w:ind w:firstLine="480" w:firstLineChars="200"/>
        <w:rPr>
          <w:rFonts w:ascii="宋体" w:hAnsi="Times New Roman" w:cs="Times New Roman"/>
          <w:sz w:val="24"/>
          <w:szCs w:val="24"/>
        </w:rPr>
      </w:pPr>
      <w:bookmarkStart w:id="109" w:name="_Toc475531266"/>
      <w:bookmarkStart w:id="110" w:name="_Toc475105038"/>
      <w:bookmarkStart w:id="111" w:name="_Toc474508926"/>
      <w:r>
        <w:rPr>
          <w:rFonts w:ascii="宋体" w:hAnsi="宋体" w:cs="Times New Roman"/>
          <w:sz w:val="24"/>
          <w:szCs w:val="24"/>
        </w:rPr>
        <w:t>4.</w:t>
      </w:r>
      <w:r>
        <w:rPr>
          <w:rFonts w:hint="eastAsia" w:ascii="宋体" w:hAnsi="宋体" w:cs="Times New Roman"/>
          <w:sz w:val="24"/>
          <w:szCs w:val="24"/>
        </w:rPr>
        <w:t>违约责任</w:t>
      </w:r>
      <w:bookmarkEnd w:id="109"/>
      <w:bookmarkEnd w:id="110"/>
      <w:bookmarkEnd w:id="111"/>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1</w:t>
      </w:r>
      <w:r>
        <w:rPr>
          <w:rFonts w:hint="eastAsia" w:ascii="宋体" w:hAnsi="宋体" w:cs="Times New Roman"/>
          <w:sz w:val="24"/>
          <w:szCs w:val="24"/>
        </w:rPr>
        <w:t>）甲方及其工作人员违反本合同第一、二条，按管理权限，依据有关规定给予党纪、政纪或组织处理；给乙方单位造成经济损失的，应予以赔偿；涉嫌犯罪的，移交司法机关追究刑事责任。</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w:t>
      </w:r>
      <w:r>
        <w:rPr>
          <w:rFonts w:ascii="宋体" w:hAnsi="宋体" w:cs="Times New Roman"/>
          <w:sz w:val="24"/>
          <w:szCs w:val="24"/>
        </w:rPr>
        <w:t>2</w:t>
      </w:r>
      <w:r>
        <w:rPr>
          <w:rFonts w:hint="eastAsia" w:ascii="宋体" w:hAnsi="宋体" w:cs="Times New Roman"/>
          <w:sz w:val="24"/>
          <w:szCs w:val="24"/>
        </w:rPr>
        <w:t>）乙方及其工作人员违反本合同第一、三条，按管理权限，依据有关规定给予党纪、政纪或组织处理；给甲方单位造成经济损失的，应予以赔偿；涉嫌犯罪的，移交司法机关追究刑事责任。</w:t>
      </w:r>
    </w:p>
    <w:p>
      <w:pPr>
        <w:spacing w:line="360" w:lineRule="auto"/>
        <w:ind w:firstLine="480" w:firstLineChars="200"/>
        <w:rPr>
          <w:rFonts w:ascii="宋体" w:hAnsi="Times New Roman" w:cs="Times New Roman"/>
          <w:sz w:val="24"/>
          <w:szCs w:val="24"/>
        </w:rPr>
      </w:pPr>
      <w:r>
        <w:rPr>
          <w:rFonts w:ascii="宋体" w:hAnsi="宋体" w:cs="Times New Roman"/>
          <w:sz w:val="24"/>
          <w:szCs w:val="24"/>
        </w:rPr>
        <w:t>5.</w:t>
      </w:r>
      <w:r>
        <w:rPr>
          <w:rFonts w:hint="eastAsia" w:ascii="宋体" w:hAnsi="宋体" w:cs="Times New Roman"/>
          <w:sz w:val="24"/>
          <w:szCs w:val="24"/>
        </w:rPr>
        <w:t>本合同有效期为甲乙双方签署之日起至该工程项目完工验收后止。</w:t>
      </w:r>
    </w:p>
    <w:p>
      <w:pPr>
        <w:spacing w:line="360" w:lineRule="auto"/>
        <w:ind w:firstLine="480" w:firstLineChars="200"/>
        <w:rPr>
          <w:rFonts w:ascii="宋体" w:hAnsi="Times New Roman" w:cs="Times New Roman"/>
          <w:sz w:val="24"/>
          <w:szCs w:val="24"/>
        </w:rPr>
      </w:pPr>
      <w:r>
        <w:rPr>
          <w:rFonts w:ascii="宋体" w:hAnsi="宋体" w:cs="Times New Roman"/>
          <w:sz w:val="24"/>
          <w:szCs w:val="24"/>
        </w:rPr>
        <w:t>6.</w:t>
      </w:r>
      <w:r>
        <w:rPr>
          <w:rFonts w:hint="eastAsia" w:ascii="宋体" w:hAnsi="宋体" w:cs="Times New Roman"/>
          <w:sz w:val="24"/>
          <w:szCs w:val="24"/>
        </w:rPr>
        <w:t>本合同作为工程总承包合同的附件，与工程总承包合同具有同等的法律效力，经合同双方签署立即生效。</w:t>
      </w:r>
    </w:p>
    <w:p>
      <w:pPr>
        <w:spacing w:line="360" w:lineRule="auto"/>
        <w:ind w:firstLine="480" w:firstLineChars="200"/>
        <w:rPr>
          <w:rFonts w:ascii="宋体" w:hAnsi="Times New Roman" w:cs="Times New Roman"/>
          <w:sz w:val="24"/>
          <w:szCs w:val="24"/>
        </w:rPr>
      </w:pPr>
      <w:r>
        <w:rPr>
          <w:rFonts w:ascii="宋体" w:hAnsi="宋体" w:cs="Times New Roman"/>
          <w:sz w:val="24"/>
          <w:szCs w:val="24"/>
        </w:rPr>
        <w:t>7.</w:t>
      </w:r>
      <w:r>
        <w:rPr>
          <w:rFonts w:hint="eastAsia" w:ascii="宋体" w:hAnsi="宋体" w:cs="Times New Roman"/>
          <w:sz w:val="24"/>
          <w:szCs w:val="24"/>
        </w:rPr>
        <w:t>本合同一式四份，由甲二双方各执一份，送交甲乙双方的监督单位各一份。</w:t>
      </w:r>
    </w:p>
    <w:p>
      <w:pPr>
        <w:spacing w:line="360" w:lineRule="auto"/>
        <w:ind w:firstLine="360" w:firstLineChars="150"/>
        <w:rPr>
          <w:rFonts w:ascii="宋体" w:hAnsi="Times New Roman" w:cs="Times New Roman"/>
          <w:sz w:val="24"/>
          <w:szCs w:val="24"/>
          <w:u w:val="single"/>
        </w:rPr>
      </w:pPr>
      <w:r>
        <w:rPr>
          <w:rFonts w:hint="eastAsia" w:ascii="宋体" w:hAnsi="宋体" w:cs="Times New Roman"/>
          <w:sz w:val="24"/>
          <w:szCs w:val="24"/>
        </w:rPr>
        <w:t>甲方：</w:t>
      </w:r>
      <w:r>
        <w:rPr>
          <w:rFonts w:hint="eastAsia" w:ascii="宋体" w:hAnsi="宋体" w:cs="Times New Roman"/>
          <w:sz w:val="24"/>
          <w:szCs w:val="24"/>
          <w:u w:val="single"/>
        </w:rPr>
        <w:t>（单位全称）（盖章）</w:t>
      </w:r>
      <w:r>
        <w:rPr>
          <w:rFonts w:hint="eastAsia" w:ascii="宋体" w:hAnsi="宋体" w:cs="Times New Roman"/>
          <w:sz w:val="24"/>
          <w:szCs w:val="24"/>
        </w:rPr>
        <w:t>乙方：</w:t>
      </w:r>
      <w:r>
        <w:rPr>
          <w:rFonts w:hint="eastAsia" w:ascii="宋体" w:hAnsi="宋体" w:cs="Times New Roman"/>
          <w:sz w:val="24"/>
          <w:szCs w:val="24"/>
          <w:u w:val="single"/>
        </w:rPr>
        <w:t>（单位全称）（盖章）</w:t>
      </w:r>
    </w:p>
    <w:p>
      <w:pPr>
        <w:spacing w:line="360" w:lineRule="auto"/>
        <w:ind w:firstLine="360" w:firstLineChars="150"/>
        <w:rPr>
          <w:rFonts w:ascii="宋体" w:hAnsi="Times New Roman" w:cs="Times New Roman"/>
          <w:sz w:val="24"/>
          <w:szCs w:val="24"/>
        </w:rPr>
      </w:pPr>
      <w:r>
        <w:rPr>
          <w:rFonts w:hint="eastAsia" w:ascii="宋体" w:hAnsi="宋体" w:cs="Times New Roman"/>
          <w:sz w:val="24"/>
          <w:szCs w:val="24"/>
        </w:rPr>
        <w:t>法定代表人：法定代表人：</w:t>
      </w:r>
    </w:p>
    <w:p>
      <w:pPr>
        <w:spacing w:line="360" w:lineRule="auto"/>
        <w:ind w:firstLine="360" w:firstLineChars="150"/>
        <w:rPr>
          <w:rFonts w:ascii="宋体" w:hAnsi="Times New Roman" w:cs="Times New Roman"/>
          <w:sz w:val="24"/>
          <w:szCs w:val="24"/>
        </w:rPr>
      </w:pPr>
      <w:r>
        <w:rPr>
          <w:rFonts w:hint="eastAsia" w:ascii="宋体" w:hAnsi="宋体" w:cs="Times New Roman"/>
          <w:sz w:val="24"/>
          <w:szCs w:val="24"/>
        </w:rPr>
        <w:t>或其授权的代理人：或其授权的代理人：</w:t>
      </w:r>
    </w:p>
    <w:p>
      <w:pPr>
        <w:spacing w:line="360" w:lineRule="auto"/>
        <w:ind w:firstLine="360" w:firstLineChars="150"/>
        <w:rPr>
          <w:rFonts w:ascii="宋体" w:hAnsi="Times New Roman" w:cs="Times New Roman"/>
          <w:sz w:val="24"/>
          <w:szCs w:val="24"/>
        </w:rPr>
      </w:pPr>
      <w:r>
        <w:rPr>
          <w:rFonts w:hint="eastAsia" w:ascii="宋体" w:hAnsi="宋体" w:cs="Times New Roman"/>
          <w:sz w:val="24"/>
          <w:szCs w:val="24"/>
        </w:rPr>
        <w:t>地址：地址：</w:t>
      </w:r>
    </w:p>
    <w:p>
      <w:pPr>
        <w:spacing w:line="360" w:lineRule="auto"/>
        <w:ind w:firstLine="360" w:firstLineChars="150"/>
        <w:rPr>
          <w:rFonts w:ascii="宋体" w:hAnsi="Times New Roman" w:cs="Times New Roman"/>
          <w:sz w:val="24"/>
          <w:szCs w:val="24"/>
        </w:rPr>
      </w:pPr>
      <w:r>
        <w:rPr>
          <w:rFonts w:hint="eastAsia" w:ascii="宋体" w:hAnsi="宋体" w:cs="Times New Roman"/>
          <w:sz w:val="24"/>
          <w:szCs w:val="24"/>
        </w:rPr>
        <w:t>电话：电话：</w:t>
      </w:r>
    </w:p>
    <w:p>
      <w:pPr>
        <w:spacing w:line="360" w:lineRule="auto"/>
        <w:ind w:firstLine="360" w:firstLineChars="150"/>
        <w:rPr>
          <w:rFonts w:ascii="宋体" w:hAnsi="宋体" w:cs="Times New Roman"/>
          <w:sz w:val="24"/>
          <w:szCs w:val="24"/>
        </w:rPr>
      </w:pPr>
      <w:r>
        <w:rPr>
          <w:rFonts w:hint="eastAsia" w:ascii="宋体" w:hAnsi="宋体" w:cs="Times New Roman"/>
          <w:sz w:val="24"/>
          <w:szCs w:val="24"/>
        </w:rPr>
        <w:t>日期：日期：</w:t>
      </w:r>
    </w:p>
    <w:p>
      <w:pPr>
        <w:spacing w:line="360" w:lineRule="auto"/>
      </w:pPr>
    </w:p>
    <w:p>
      <w:pPr>
        <w:spacing w:line="360" w:lineRule="auto"/>
      </w:pPr>
    </w:p>
    <w:p>
      <w:pPr>
        <w:pStyle w:val="51"/>
        <w:spacing w:line="360" w:lineRule="auto"/>
      </w:pPr>
    </w:p>
    <w:p>
      <w:pPr>
        <w:pStyle w:val="132"/>
        <w:spacing w:before="0" w:line="360" w:lineRule="auto"/>
        <w:ind w:firstLine="482"/>
        <w:rPr>
          <w:b/>
        </w:rPr>
      </w:pPr>
      <w:r>
        <w:rPr>
          <w:rFonts w:hint="eastAsia"/>
          <w:b/>
        </w:rPr>
        <w:t>附件 11：安全生产合同</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为在总承包合同的实施过程中创造安全、高效的施工环境，切实搞好本项目的安全管理工作，本项目发包人（以下简称“甲方”）与承包人</w:t>
      </w:r>
      <w:r>
        <w:rPr>
          <w:rFonts w:hint="eastAsia" w:ascii="宋体" w:hAnsi="宋体" w:cs="Times New Roman"/>
          <w:sz w:val="24"/>
          <w:szCs w:val="24"/>
          <w:u w:val="single"/>
        </w:rPr>
        <w:t>（全称）</w:t>
      </w:r>
      <w:r>
        <w:rPr>
          <w:rFonts w:hint="eastAsia" w:ascii="宋体" w:hAnsi="宋体" w:cs="Times New Roman"/>
          <w:sz w:val="24"/>
          <w:szCs w:val="24"/>
        </w:rPr>
        <w:t>（以下简称“乙方”）特此签订安全生产协议书：</w:t>
      </w:r>
    </w:p>
    <w:p>
      <w:pPr>
        <w:spacing w:line="360" w:lineRule="auto"/>
        <w:ind w:firstLine="540"/>
        <w:rPr>
          <w:rFonts w:ascii="宋体" w:hAnsi="Times New Roman" w:cs="Times New Roman"/>
          <w:sz w:val="24"/>
          <w:szCs w:val="24"/>
        </w:rPr>
      </w:pPr>
      <w:bookmarkStart w:id="112" w:name="_Toc377032527"/>
      <w:bookmarkStart w:id="113" w:name="_Toc475105032"/>
      <w:bookmarkStart w:id="114" w:name="_Toc474508920"/>
      <w:bookmarkStart w:id="115" w:name="_Toc475531259"/>
      <w:bookmarkStart w:id="116" w:name="_Toc366422884"/>
      <w:bookmarkStart w:id="117" w:name="_Toc382167755"/>
      <w:r>
        <w:rPr>
          <w:rFonts w:hint="eastAsia" w:ascii="宋体" w:hAnsi="宋体" w:cs="Times New Roman"/>
          <w:sz w:val="24"/>
          <w:szCs w:val="24"/>
        </w:rPr>
        <w:t>一、甲方职责</w:t>
      </w:r>
      <w:bookmarkEnd w:id="112"/>
      <w:bookmarkEnd w:id="113"/>
      <w:bookmarkEnd w:id="114"/>
      <w:bookmarkEnd w:id="115"/>
      <w:bookmarkEnd w:id="116"/>
      <w:bookmarkEnd w:id="117"/>
    </w:p>
    <w:p>
      <w:pPr>
        <w:spacing w:line="360" w:lineRule="auto"/>
        <w:ind w:firstLine="540"/>
        <w:rPr>
          <w:rFonts w:ascii="宋体" w:hAnsi="Times New Roman" w:cs="Times New Roman"/>
          <w:sz w:val="24"/>
          <w:szCs w:val="24"/>
        </w:rPr>
      </w:pPr>
      <w:r>
        <w:rPr>
          <w:rFonts w:ascii="宋体" w:hAnsi="宋体" w:cs="Times New Roman"/>
          <w:sz w:val="24"/>
          <w:szCs w:val="24"/>
        </w:rPr>
        <w:t>1.</w:t>
      </w:r>
      <w:r>
        <w:rPr>
          <w:rFonts w:hint="eastAsia" w:ascii="宋体" w:hAnsi="宋体" w:cs="Times New Roman"/>
          <w:sz w:val="24"/>
          <w:szCs w:val="24"/>
        </w:rPr>
        <w:t>严格遵守国家有关安全生产的法律法规，认真执行工程承包合同中的有关安全要求。</w:t>
      </w:r>
    </w:p>
    <w:p>
      <w:pPr>
        <w:spacing w:line="360" w:lineRule="auto"/>
        <w:ind w:firstLine="540"/>
        <w:rPr>
          <w:rFonts w:ascii="宋体" w:hAnsi="Times New Roman" w:cs="Times New Roman"/>
          <w:sz w:val="24"/>
          <w:szCs w:val="24"/>
        </w:rPr>
      </w:pPr>
      <w:r>
        <w:rPr>
          <w:rFonts w:ascii="宋体" w:hAnsi="宋体" w:cs="Times New Roman"/>
          <w:sz w:val="24"/>
          <w:szCs w:val="24"/>
        </w:rPr>
        <w:t>2.</w:t>
      </w:r>
      <w:r>
        <w:rPr>
          <w:rFonts w:hint="eastAsia" w:ascii="宋体" w:hAnsi="宋体" w:cs="Times New Roman"/>
          <w:sz w:val="24"/>
          <w:szCs w:val="24"/>
        </w:rPr>
        <w:t>按照“安全第一、预防为主、综合治理”和坚持“管生产必须管安全”的原则进行安全生产管理，做到生产与安全工作同时计划、布置、检查、总结和评比。</w:t>
      </w:r>
    </w:p>
    <w:p>
      <w:pPr>
        <w:spacing w:line="360" w:lineRule="auto"/>
        <w:ind w:firstLine="540"/>
        <w:rPr>
          <w:rFonts w:ascii="宋体" w:hAnsi="Times New Roman" w:cs="Times New Roman"/>
          <w:sz w:val="24"/>
          <w:szCs w:val="24"/>
        </w:rPr>
      </w:pPr>
      <w:r>
        <w:rPr>
          <w:rFonts w:ascii="宋体" w:hAnsi="宋体" w:cs="Times New Roman"/>
          <w:sz w:val="24"/>
          <w:szCs w:val="24"/>
        </w:rPr>
        <w:t>3.</w:t>
      </w:r>
      <w:r>
        <w:rPr>
          <w:rFonts w:hint="eastAsia" w:ascii="宋体" w:hAnsi="宋体" w:cs="Times New Roman"/>
          <w:sz w:val="24"/>
          <w:szCs w:val="24"/>
        </w:rPr>
        <w:t>重要的安全设施必须坚持与主体工程“三同时”的原则，即：同时设计、审批，同时施工，同时验收、投入使用。</w:t>
      </w:r>
    </w:p>
    <w:p>
      <w:pPr>
        <w:spacing w:line="360" w:lineRule="auto"/>
        <w:ind w:firstLine="540"/>
        <w:rPr>
          <w:rFonts w:ascii="宋体" w:hAnsi="Times New Roman" w:cs="Times New Roman"/>
          <w:sz w:val="24"/>
          <w:szCs w:val="24"/>
        </w:rPr>
      </w:pPr>
      <w:r>
        <w:rPr>
          <w:rFonts w:ascii="宋体" w:hAnsi="宋体" w:cs="Times New Roman"/>
          <w:sz w:val="24"/>
          <w:szCs w:val="24"/>
        </w:rPr>
        <w:t>4.</w:t>
      </w:r>
      <w:r>
        <w:rPr>
          <w:rFonts w:hint="eastAsia" w:ascii="宋体" w:hAnsi="宋体" w:cs="Times New Roman"/>
          <w:sz w:val="24"/>
          <w:szCs w:val="24"/>
        </w:rPr>
        <w:t>定期召开安全生产调度会，及时传达中央及地方有关安全生产的精神。</w:t>
      </w:r>
    </w:p>
    <w:p>
      <w:pPr>
        <w:spacing w:line="360" w:lineRule="auto"/>
        <w:ind w:firstLine="540"/>
        <w:rPr>
          <w:rFonts w:ascii="宋体" w:hAnsi="Times New Roman" w:cs="Times New Roman"/>
          <w:sz w:val="24"/>
          <w:szCs w:val="24"/>
        </w:rPr>
      </w:pPr>
      <w:r>
        <w:rPr>
          <w:rFonts w:ascii="宋体" w:hAnsi="宋体" w:cs="Times New Roman"/>
          <w:sz w:val="24"/>
          <w:szCs w:val="24"/>
        </w:rPr>
        <w:t>5.</w:t>
      </w:r>
      <w:r>
        <w:rPr>
          <w:rFonts w:hint="eastAsia" w:ascii="宋体" w:hAnsi="宋体" w:cs="Times New Roman"/>
          <w:sz w:val="24"/>
          <w:szCs w:val="24"/>
        </w:rPr>
        <w:t>组织对乙方施工现场安全生产检查，监督乙方及时处理发现的各种安全隐患。</w:t>
      </w:r>
    </w:p>
    <w:p>
      <w:pPr>
        <w:spacing w:line="360" w:lineRule="auto"/>
        <w:ind w:firstLine="540"/>
        <w:rPr>
          <w:rFonts w:ascii="宋体" w:hAnsi="Times New Roman" w:cs="Times New Roman"/>
          <w:sz w:val="24"/>
          <w:szCs w:val="24"/>
        </w:rPr>
      </w:pPr>
      <w:bookmarkStart w:id="118" w:name="_Toc474508921"/>
      <w:bookmarkStart w:id="119" w:name="_Toc377032528"/>
      <w:bookmarkStart w:id="120" w:name="_Toc382167756"/>
      <w:bookmarkStart w:id="121" w:name="_Toc366422885"/>
      <w:bookmarkStart w:id="122" w:name="_Toc475105033"/>
      <w:bookmarkStart w:id="123" w:name="_Toc475531260"/>
      <w:r>
        <w:rPr>
          <w:rFonts w:hint="eastAsia" w:ascii="宋体" w:hAnsi="宋体" w:cs="Times New Roman"/>
          <w:sz w:val="24"/>
          <w:szCs w:val="24"/>
        </w:rPr>
        <w:t>二、乙方职责</w:t>
      </w:r>
      <w:bookmarkEnd w:id="118"/>
      <w:bookmarkEnd w:id="119"/>
      <w:bookmarkEnd w:id="120"/>
      <w:bookmarkEnd w:id="121"/>
      <w:bookmarkEnd w:id="122"/>
      <w:bookmarkEnd w:id="123"/>
    </w:p>
    <w:p>
      <w:pPr>
        <w:spacing w:line="360" w:lineRule="auto"/>
        <w:ind w:firstLine="540"/>
        <w:rPr>
          <w:rFonts w:ascii="宋体" w:hAnsi="Times New Roman" w:cs="Times New Roman"/>
          <w:sz w:val="24"/>
          <w:szCs w:val="24"/>
        </w:rPr>
      </w:pPr>
      <w:r>
        <w:rPr>
          <w:rFonts w:ascii="宋体" w:hAnsi="宋体" w:cs="Times New Roman"/>
          <w:sz w:val="24"/>
          <w:szCs w:val="24"/>
        </w:rPr>
        <w:t>l</w:t>
      </w:r>
      <w:r>
        <w:rPr>
          <w:rFonts w:hint="eastAsia" w:ascii="宋体" w:hAnsi="宋体" w:cs="Times New Roman"/>
          <w:sz w:val="24"/>
          <w:szCs w:val="24"/>
        </w:rPr>
        <w:t>．严格遵守国家有关安全生产的法律法规、工程施工安全技术规程和工程机械操作规程有关安全生产的规定，认真执行工程承包合同中的有关安全要求。</w:t>
      </w:r>
    </w:p>
    <w:p>
      <w:pPr>
        <w:spacing w:line="360" w:lineRule="auto"/>
        <w:ind w:firstLine="540"/>
        <w:rPr>
          <w:rFonts w:ascii="宋体" w:hAnsi="Times New Roman" w:cs="Times New Roman"/>
          <w:sz w:val="24"/>
          <w:szCs w:val="24"/>
        </w:rPr>
      </w:pPr>
      <w:r>
        <w:rPr>
          <w:rFonts w:ascii="宋体" w:hAnsi="宋体" w:cs="Times New Roman"/>
          <w:sz w:val="24"/>
          <w:szCs w:val="24"/>
        </w:rPr>
        <w:t xml:space="preserve">2. </w:t>
      </w:r>
      <w:r>
        <w:rPr>
          <w:rFonts w:hint="eastAsia" w:ascii="宋体" w:hAnsi="宋体" w:cs="Times New Roman"/>
          <w:sz w:val="24"/>
          <w:szCs w:val="24"/>
        </w:rPr>
        <w:t>坚持“安全第一、预防为主、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firstLine="540"/>
        <w:rPr>
          <w:rFonts w:ascii="宋体" w:hAnsi="Times New Roman" w:cs="Times New Roman"/>
          <w:sz w:val="24"/>
          <w:szCs w:val="24"/>
        </w:rPr>
      </w:pPr>
      <w:r>
        <w:rPr>
          <w:rFonts w:ascii="宋体" w:hAnsi="宋体" w:cs="Times New Roman"/>
          <w:sz w:val="24"/>
          <w:szCs w:val="24"/>
        </w:rPr>
        <w:t xml:space="preserve">3. </w:t>
      </w:r>
      <w:r>
        <w:rPr>
          <w:rFonts w:hint="eastAsia" w:ascii="宋体" w:hAnsi="宋体" w:cs="Times New Roman"/>
          <w:sz w:val="24"/>
          <w:szCs w:val="24"/>
        </w:rPr>
        <w:t>建立健全安全生产责任制。从派往项目实施的项目总负责人到生产工人（包括临时雇请的民工）的安全生产管理系统必须做到纵向到底，一环不漏；各职能部门、人员的安全生产责任制做到横向到边，人人有责。项目总负责人是安全生产的第一责任人。现场设置的安全机构，应按施工人员的</w:t>
      </w:r>
      <w:r>
        <w:rPr>
          <w:rFonts w:ascii="宋体" w:hAnsi="宋体" w:cs="Times New Roman"/>
          <w:sz w:val="24"/>
          <w:szCs w:val="24"/>
        </w:rPr>
        <w:t>1</w:t>
      </w:r>
      <w:r>
        <w:rPr>
          <w:rFonts w:hint="eastAsia" w:ascii="宋体" w:hAnsi="宋体" w:cs="Times New Roman"/>
          <w:sz w:val="24"/>
          <w:szCs w:val="24"/>
        </w:rPr>
        <w:t>％－</w:t>
      </w:r>
      <w:r>
        <w:rPr>
          <w:rFonts w:ascii="宋体" w:hAnsi="宋体" w:cs="Times New Roman"/>
          <w:sz w:val="24"/>
          <w:szCs w:val="24"/>
        </w:rPr>
        <w:t>3</w:t>
      </w:r>
      <w:r>
        <w:rPr>
          <w:rFonts w:hint="eastAsia" w:ascii="宋体" w:hAnsi="宋体" w:cs="Times New Roman"/>
          <w:sz w:val="24"/>
          <w:szCs w:val="24"/>
        </w:rPr>
        <w:t>％配备安全员，专职负责所有员工的安全和治安保卫工作及预防事故的发生。安全机构人员，有权按有关规定发布指令，并采取保护性措施防止事故发生。</w:t>
      </w:r>
    </w:p>
    <w:p>
      <w:pPr>
        <w:spacing w:line="360" w:lineRule="auto"/>
        <w:ind w:firstLine="540"/>
        <w:rPr>
          <w:rFonts w:ascii="宋体" w:hAnsi="Times New Roman" w:cs="Times New Roman"/>
          <w:sz w:val="24"/>
          <w:szCs w:val="24"/>
        </w:rPr>
      </w:pPr>
      <w:r>
        <w:rPr>
          <w:rFonts w:ascii="宋体" w:hAnsi="宋体" w:cs="Times New Roman"/>
          <w:sz w:val="24"/>
          <w:szCs w:val="24"/>
        </w:rPr>
        <w:t xml:space="preserve">4. </w:t>
      </w:r>
      <w:r>
        <w:rPr>
          <w:rFonts w:hint="eastAsia" w:ascii="宋体" w:hAnsi="宋体" w:cs="Times New Roman"/>
          <w:sz w:val="24"/>
          <w:szCs w:val="24"/>
        </w:rPr>
        <w:t>乙方在任何时候都应采取各种合理的预防措施，防止其员工发生任何违法、违禁、暴力或妨碍治安的行为。</w:t>
      </w:r>
    </w:p>
    <w:p>
      <w:pPr>
        <w:spacing w:line="360" w:lineRule="auto"/>
        <w:ind w:firstLine="540"/>
        <w:rPr>
          <w:rFonts w:ascii="宋体" w:hAnsi="Times New Roman" w:cs="Times New Roman"/>
          <w:sz w:val="24"/>
          <w:szCs w:val="24"/>
        </w:rPr>
      </w:pPr>
      <w:r>
        <w:rPr>
          <w:rFonts w:ascii="宋体" w:hAnsi="宋体" w:cs="Times New Roman"/>
          <w:sz w:val="24"/>
          <w:szCs w:val="24"/>
        </w:rPr>
        <w:t xml:space="preserve">5. </w:t>
      </w:r>
      <w:r>
        <w:rPr>
          <w:rFonts w:hint="eastAsia" w:ascii="宋体" w:hAnsi="宋体" w:cs="Times New Roman"/>
          <w:sz w:val="24"/>
          <w:szCs w:val="24"/>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恃种作业无证操作现象时，项目总负责人必须承担管理责任。</w:t>
      </w:r>
    </w:p>
    <w:p>
      <w:pPr>
        <w:spacing w:line="360" w:lineRule="auto"/>
        <w:ind w:firstLine="540"/>
        <w:rPr>
          <w:rFonts w:ascii="宋体" w:hAnsi="Times New Roman" w:cs="Times New Roman"/>
          <w:sz w:val="24"/>
          <w:szCs w:val="24"/>
        </w:rPr>
      </w:pPr>
      <w:r>
        <w:rPr>
          <w:rFonts w:ascii="宋体" w:hAnsi="宋体" w:cs="Times New Roman"/>
          <w:sz w:val="24"/>
          <w:szCs w:val="24"/>
        </w:rPr>
        <w:t xml:space="preserve">6. </w:t>
      </w:r>
      <w:r>
        <w:rPr>
          <w:rFonts w:hint="eastAsia" w:ascii="宋体" w:hAnsi="宋体" w:cs="Times New Roman"/>
          <w:sz w:val="24"/>
          <w:szCs w:val="24"/>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spacing w:line="360" w:lineRule="auto"/>
        <w:ind w:firstLine="540"/>
        <w:rPr>
          <w:rFonts w:ascii="宋体" w:hAnsi="Times New Roman" w:cs="Times New Roman"/>
          <w:sz w:val="24"/>
          <w:szCs w:val="24"/>
        </w:rPr>
      </w:pPr>
      <w:r>
        <w:rPr>
          <w:rFonts w:ascii="宋体" w:hAnsi="宋体" w:cs="Times New Roman"/>
          <w:sz w:val="24"/>
          <w:szCs w:val="24"/>
        </w:rPr>
        <w:t xml:space="preserve">7. </w:t>
      </w:r>
      <w:r>
        <w:rPr>
          <w:rFonts w:hint="eastAsia" w:ascii="宋体" w:hAnsi="宋体" w:cs="Times New Roman"/>
          <w:sz w:val="24"/>
          <w:szCs w:val="24"/>
        </w:rPr>
        <w:t>操作人员上岗，必须按规定穿戴防护用品。施工负责人和安全检查员应随时检查劳动防护用品的穿戴情况，不按规定穿戴防护用品的人员不得上岗。</w:t>
      </w:r>
    </w:p>
    <w:p>
      <w:pPr>
        <w:spacing w:line="360" w:lineRule="auto"/>
        <w:ind w:firstLine="540"/>
        <w:rPr>
          <w:rFonts w:ascii="宋体" w:hAnsi="Times New Roman" w:cs="Times New Roman"/>
          <w:sz w:val="24"/>
          <w:szCs w:val="24"/>
        </w:rPr>
      </w:pPr>
      <w:r>
        <w:rPr>
          <w:rFonts w:ascii="宋体" w:hAnsi="宋体" w:cs="Times New Roman"/>
          <w:sz w:val="24"/>
          <w:szCs w:val="24"/>
        </w:rPr>
        <w:t xml:space="preserve">8. </w:t>
      </w:r>
      <w:r>
        <w:rPr>
          <w:rFonts w:hint="eastAsia" w:ascii="宋体" w:hAnsi="宋体" w:cs="Times New Roman"/>
          <w:sz w:val="24"/>
          <w:szCs w:val="24"/>
        </w:rPr>
        <w:t>所有施工机具设备和高空作业的设备均应定期检查，并有安全员的签字记录，保证其经常处于完好状态；不合格的机具、设备和劳动保护用品严禁使用。</w:t>
      </w:r>
    </w:p>
    <w:p>
      <w:pPr>
        <w:spacing w:line="360" w:lineRule="auto"/>
        <w:ind w:firstLine="540"/>
        <w:rPr>
          <w:rFonts w:ascii="宋体" w:hAnsi="Times New Roman" w:cs="Times New Roman"/>
          <w:sz w:val="24"/>
          <w:szCs w:val="24"/>
        </w:rPr>
      </w:pPr>
      <w:r>
        <w:rPr>
          <w:rFonts w:ascii="宋体" w:hAnsi="宋体" w:cs="Times New Roman"/>
          <w:sz w:val="24"/>
          <w:szCs w:val="24"/>
        </w:rPr>
        <w:t xml:space="preserve">9. </w:t>
      </w:r>
      <w:r>
        <w:rPr>
          <w:rFonts w:hint="eastAsia" w:ascii="宋体" w:hAnsi="宋体" w:cs="Times New Roman"/>
          <w:sz w:val="24"/>
          <w:szCs w:val="24"/>
        </w:rPr>
        <w:t>施工中采用新技术、新工艺、新设备、新材料时，必须制定相应的安全技术措施，施工现场必须具有相关的安全标志牌。</w:t>
      </w:r>
    </w:p>
    <w:p>
      <w:pPr>
        <w:spacing w:line="360" w:lineRule="auto"/>
        <w:ind w:firstLine="540"/>
        <w:rPr>
          <w:rFonts w:ascii="宋体" w:hAnsi="Times New Roman" w:cs="Times New Roman"/>
          <w:sz w:val="24"/>
          <w:szCs w:val="24"/>
        </w:rPr>
      </w:pPr>
      <w:r>
        <w:rPr>
          <w:rFonts w:ascii="宋体" w:hAnsi="宋体" w:cs="Times New Roman"/>
          <w:sz w:val="24"/>
          <w:szCs w:val="24"/>
        </w:rPr>
        <w:t xml:space="preserve">10. </w:t>
      </w:r>
      <w:r>
        <w:rPr>
          <w:rFonts w:hint="eastAsia" w:ascii="宋体" w:hAnsi="宋体" w:cs="Times New Roman"/>
          <w:sz w:val="24"/>
          <w:szCs w:val="24"/>
        </w:rPr>
        <w:t>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firstLine="540"/>
        <w:rPr>
          <w:rFonts w:ascii="宋体" w:hAnsi="Times New Roman" w:cs="Times New Roman"/>
          <w:sz w:val="24"/>
          <w:szCs w:val="24"/>
        </w:rPr>
      </w:pPr>
      <w:bookmarkStart w:id="124" w:name="_Toc474508922"/>
      <w:bookmarkStart w:id="125" w:name="_Toc475531261"/>
      <w:bookmarkStart w:id="126" w:name="_Toc475105034"/>
      <w:bookmarkStart w:id="127" w:name="_Toc382167757"/>
      <w:bookmarkStart w:id="128" w:name="_Toc366422886"/>
      <w:bookmarkStart w:id="129" w:name="_Toc377032529"/>
      <w:r>
        <w:rPr>
          <w:rFonts w:hint="eastAsia" w:ascii="宋体" w:hAnsi="宋体" w:cs="Times New Roman"/>
          <w:sz w:val="24"/>
          <w:szCs w:val="24"/>
        </w:rPr>
        <w:t>三、违约责任</w:t>
      </w:r>
      <w:bookmarkEnd w:id="124"/>
      <w:bookmarkEnd w:id="125"/>
      <w:bookmarkEnd w:id="126"/>
      <w:bookmarkEnd w:id="127"/>
      <w:bookmarkEnd w:id="128"/>
      <w:bookmarkEnd w:id="129"/>
    </w:p>
    <w:p>
      <w:pPr>
        <w:spacing w:line="360" w:lineRule="auto"/>
        <w:ind w:firstLine="540"/>
        <w:rPr>
          <w:rFonts w:ascii="宋体" w:hAnsi="Times New Roman" w:cs="Times New Roman"/>
          <w:sz w:val="24"/>
          <w:szCs w:val="24"/>
        </w:rPr>
      </w:pPr>
      <w:r>
        <w:rPr>
          <w:rFonts w:hint="eastAsia" w:ascii="宋体" w:hAnsi="宋体" w:cs="Times New Roman"/>
          <w:sz w:val="24"/>
          <w:szCs w:val="24"/>
        </w:rPr>
        <w:t>如因甲方或乙方违约造成安全事故，将依法追究责任。</w:t>
      </w:r>
    </w:p>
    <w:p>
      <w:pPr>
        <w:spacing w:line="360" w:lineRule="auto"/>
        <w:ind w:firstLine="540"/>
        <w:rPr>
          <w:rFonts w:ascii="宋体" w:hAnsi="Times New Roman" w:cs="Times New Roman"/>
          <w:sz w:val="24"/>
          <w:szCs w:val="24"/>
        </w:rPr>
      </w:pPr>
      <w:r>
        <w:rPr>
          <w:rFonts w:hint="eastAsia" w:ascii="宋体" w:hAnsi="宋体" w:cs="Times New Roman"/>
          <w:sz w:val="24"/>
          <w:szCs w:val="24"/>
        </w:rPr>
        <w:t>本合同正本一式二份，副本四份，合同双方各执正本一份，副本二份。由双方法定代表人或其授权的代理人签署与加盖公章后生效，全部工程竣工验收后失效。</w:t>
      </w:r>
    </w:p>
    <w:p>
      <w:pPr>
        <w:spacing w:line="360" w:lineRule="auto"/>
        <w:ind w:firstLine="460" w:firstLineChars="192"/>
        <w:rPr>
          <w:rFonts w:ascii="宋体" w:hAnsi="Times New Roman" w:cs="Times New Roman"/>
          <w:sz w:val="24"/>
          <w:szCs w:val="24"/>
          <w:u w:val="single"/>
        </w:rPr>
      </w:pPr>
      <w:r>
        <w:rPr>
          <w:rFonts w:hint="eastAsia" w:ascii="宋体" w:hAnsi="宋体" w:cs="Times New Roman"/>
          <w:sz w:val="24"/>
          <w:szCs w:val="24"/>
        </w:rPr>
        <w:t>甲方：</w:t>
      </w:r>
      <w:r>
        <w:rPr>
          <w:rFonts w:hint="eastAsia" w:ascii="宋体" w:hAnsi="宋体" w:cs="Times New Roman"/>
          <w:sz w:val="24"/>
          <w:szCs w:val="24"/>
          <w:u w:val="single"/>
        </w:rPr>
        <w:t>（单位全称）（盖章）</w:t>
      </w:r>
      <w:r>
        <w:rPr>
          <w:rFonts w:hint="eastAsia" w:ascii="宋体" w:hAnsi="宋体" w:cs="Times New Roman"/>
          <w:sz w:val="24"/>
          <w:szCs w:val="24"/>
        </w:rPr>
        <w:t>乙方：</w:t>
      </w:r>
      <w:r>
        <w:rPr>
          <w:rFonts w:hint="eastAsia" w:ascii="宋体" w:hAnsi="宋体" w:cs="Times New Roman"/>
          <w:sz w:val="24"/>
          <w:szCs w:val="24"/>
          <w:u w:val="single"/>
        </w:rPr>
        <w:t>（单位全称）（盖章）</w:t>
      </w:r>
    </w:p>
    <w:p>
      <w:pPr>
        <w:spacing w:line="360" w:lineRule="auto"/>
        <w:ind w:firstLine="460" w:firstLineChars="192"/>
        <w:rPr>
          <w:rFonts w:ascii="宋体" w:hAnsi="Times New Roman" w:cs="Times New Roman"/>
          <w:sz w:val="24"/>
          <w:szCs w:val="24"/>
        </w:rPr>
      </w:pPr>
      <w:r>
        <w:rPr>
          <w:rFonts w:hint="eastAsia" w:ascii="宋体" w:hAnsi="宋体" w:cs="Times New Roman"/>
          <w:sz w:val="24"/>
          <w:szCs w:val="24"/>
        </w:rPr>
        <w:t>法定代表人：法定代表人：</w:t>
      </w:r>
    </w:p>
    <w:p>
      <w:pPr>
        <w:spacing w:line="360" w:lineRule="auto"/>
        <w:ind w:firstLine="480" w:firstLineChars="200"/>
        <w:rPr>
          <w:rFonts w:ascii="宋体" w:hAnsi="Times New Roman" w:cs="Times New Roman"/>
          <w:sz w:val="24"/>
          <w:szCs w:val="24"/>
          <w:u w:val="single"/>
        </w:rPr>
      </w:pPr>
      <w:r>
        <w:rPr>
          <w:rFonts w:hint="eastAsia" w:ascii="宋体" w:hAnsi="宋体" w:cs="Times New Roman"/>
          <w:sz w:val="24"/>
          <w:szCs w:val="24"/>
        </w:rPr>
        <w:t>或其授权的代理人：或其授权的代理人：</w:t>
      </w:r>
    </w:p>
    <w:p>
      <w:pPr>
        <w:spacing w:line="360" w:lineRule="auto"/>
        <w:ind w:firstLine="480" w:firstLineChars="200"/>
        <w:rPr>
          <w:rFonts w:ascii="宋体" w:hAnsi="Times New Roman" w:cs="Times New Roman"/>
          <w:sz w:val="24"/>
          <w:szCs w:val="24"/>
        </w:rPr>
      </w:pPr>
      <w:r>
        <w:rPr>
          <w:rFonts w:hint="eastAsia" w:ascii="宋体" w:hAnsi="宋体" w:cs="Times New Roman"/>
          <w:sz w:val="24"/>
          <w:szCs w:val="24"/>
        </w:rPr>
        <w:t>地址：地址：</w:t>
      </w:r>
    </w:p>
    <w:p>
      <w:pPr>
        <w:spacing w:line="360" w:lineRule="auto"/>
        <w:ind w:firstLine="480" w:firstLineChars="200"/>
        <w:rPr>
          <w:rFonts w:ascii="宋体" w:hAnsi="Times New Roman" w:cs="Times New Roman"/>
          <w:sz w:val="24"/>
          <w:szCs w:val="24"/>
        </w:rPr>
      </w:pPr>
      <w:r>
        <w:rPr>
          <w:rFonts w:hint="eastAsia" w:ascii="宋体" w:hAnsi="宋体" w:cs="Times New Roman"/>
          <w:sz w:val="24"/>
          <w:szCs w:val="24"/>
        </w:rPr>
        <w:t>电话：电话：</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日期：日期：</w:t>
      </w:r>
    </w:p>
    <w:p>
      <w:pPr>
        <w:pStyle w:val="51"/>
        <w:spacing w:line="360" w:lineRule="auto"/>
      </w:pPr>
    </w:p>
    <w:p>
      <w:pPr>
        <w:spacing w:line="360" w:lineRule="auto"/>
        <w:rPr>
          <w:rFonts w:ascii="宋体" w:hAnsi="宋体" w:cs="宋体"/>
          <w:kern w:val="0"/>
          <w:szCs w:val="21"/>
        </w:rPr>
      </w:pPr>
      <w:r>
        <w:rPr>
          <w:rFonts w:hint="eastAsia" w:ascii="宋体" w:hAnsi="宋体"/>
          <w:szCs w:val="21"/>
        </w:rPr>
        <w:t>。</w:t>
      </w:r>
      <w:r>
        <w:rPr>
          <w:rFonts w:ascii="宋体" w:hAnsi="宋体" w:cs="宋体"/>
          <w:kern w:val="0"/>
          <w:szCs w:val="21"/>
        </w:rPr>
        <w:br w:type="page"/>
      </w:r>
    </w:p>
    <w:p>
      <w:pPr>
        <w:pStyle w:val="4"/>
        <w:spacing w:before="0" w:after="0" w:line="360" w:lineRule="auto"/>
        <w:rPr>
          <w:sz w:val="32"/>
          <w:szCs w:val="32"/>
        </w:rPr>
      </w:pPr>
      <w:bookmarkStart w:id="130" w:name="_Toc8701"/>
      <w:r>
        <w:rPr>
          <w:rFonts w:hint="eastAsia"/>
          <w:sz w:val="32"/>
          <w:szCs w:val="32"/>
        </w:rPr>
        <w:t>第五章</w:t>
      </w:r>
      <w:bookmarkStart w:id="131" w:name="_Toc5472"/>
      <w:bookmarkEnd w:id="131"/>
      <w:r>
        <w:rPr>
          <w:rFonts w:hint="eastAsia"/>
          <w:sz w:val="32"/>
          <w:szCs w:val="32"/>
        </w:rPr>
        <w:t>采购需求</w:t>
      </w:r>
      <w:bookmarkEnd w:id="130"/>
    </w:p>
    <w:p>
      <w:pPr>
        <w:widowControl/>
        <w:tabs>
          <w:tab w:val="left" w:pos="4320"/>
        </w:tabs>
        <w:spacing w:line="360" w:lineRule="auto"/>
        <w:ind w:firstLine="480" w:firstLineChars="200"/>
        <w:rPr>
          <w:rFonts w:ascii="宋体" w:hAnsi="宋体" w:cs="宋体"/>
          <w:b/>
          <w:sz w:val="24"/>
        </w:rPr>
      </w:pPr>
      <w:r>
        <w:rPr>
          <w:rFonts w:hint="eastAsia" w:ascii="宋体" w:hAnsi="宋体" w:cs="宋体"/>
          <w:b/>
          <w:sz w:val="24"/>
        </w:rPr>
        <w:t>一、项目概况：</w:t>
      </w:r>
    </w:p>
    <w:p>
      <w:pPr>
        <w:spacing w:line="360" w:lineRule="auto"/>
        <w:ind w:firstLine="484" w:firstLineChars="202"/>
        <w:rPr>
          <w:rFonts w:ascii="宋体" w:hAnsi="宋体" w:cs="宋体"/>
          <w:sz w:val="24"/>
        </w:rPr>
      </w:pPr>
      <w:bookmarkStart w:id="132" w:name="_Toc6846"/>
      <w:r>
        <w:rPr>
          <w:rFonts w:hint="eastAsia" w:ascii="宋体" w:hAnsi="宋体" w:cs="宋体"/>
          <w:sz w:val="24"/>
        </w:rPr>
        <w:t>建筑规模:武陟县小董乡卫生院位于武陟县西北角，地处武陟、博爱、焦作高新区三险交界处，占地面积约7000平方米，服务辖区20个行政村4.3万人的医疗救治工作。2021年暴雨洪灾中，武陟县小董乡卫生院因为地势低洼，受损程度严重，严重影响正常公共卫生和业务工作，按照省市灾后重建办要求，本项目为重建，在原旧址上重建一座三层公卫综合楼，建筑面积1980㎡，并对卫生院医疗废水进行净化处理。（具体内容详见图纸及工程量清单）</w:t>
      </w:r>
    </w:p>
    <w:p>
      <w:pPr>
        <w:widowControl/>
        <w:tabs>
          <w:tab w:val="left" w:pos="4320"/>
        </w:tabs>
        <w:spacing w:line="360" w:lineRule="auto"/>
        <w:ind w:firstLine="480" w:firstLineChars="200"/>
        <w:rPr>
          <w:rFonts w:ascii="宋体" w:hAnsi="宋体" w:cs="宋体"/>
          <w:b/>
          <w:sz w:val="24"/>
        </w:rPr>
      </w:pPr>
      <w:r>
        <w:rPr>
          <w:rFonts w:hint="eastAsia" w:ascii="宋体" w:hAnsi="宋体" w:cs="宋体"/>
          <w:b/>
          <w:sz w:val="24"/>
        </w:rPr>
        <w:t>二、</w:t>
      </w:r>
      <w:bookmarkEnd w:id="132"/>
      <w:r>
        <w:rPr>
          <w:rFonts w:hint="eastAsia" w:ascii="宋体" w:hAnsi="宋体" w:cs="宋体"/>
          <w:b/>
          <w:sz w:val="24"/>
        </w:rPr>
        <w:t>工程量清单</w:t>
      </w:r>
      <w:r>
        <w:rPr>
          <w:rFonts w:hint="eastAsia" w:ascii="宋体" w:hAnsi="宋体" w:cs="宋体"/>
          <w:b/>
          <w:sz w:val="24"/>
        </w:rPr>
        <w:tab/>
      </w:r>
    </w:p>
    <w:p>
      <w:pPr>
        <w:spacing w:line="360" w:lineRule="auto"/>
        <w:ind w:firstLine="480" w:firstLineChars="200"/>
        <w:rPr>
          <w:rFonts w:ascii="宋体" w:hAnsi="宋体" w:cs="宋体"/>
          <w:sz w:val="24"/>
        </w:rPr>
      </w:pPr>
      <w:bookmarkStart w:id="133" w:name="_Toc17098"/>
      <w:r>
        <w:rPr>
          <w:rFonts w:hint="eastAsia" w:ascii="宋体" w:hAnsi="宋体" w:cs="宋体"/>
          <w:sz w:val="24"/>
        </w:rPr>
        <w:t>工程量清单另附。</w:t>
      </w:r>
    </w:p>
    <w:p>
      <w:pPr>
        <w:spacing w:line="360" w:lineRule="auto"/>
        <w:ind w:firstLine="480" w:firstLineChars="200"/>
        <w:rPr>
          <w:rFonts w:ascii="宋体" w:hAnsi="宋体" w:cs="宋体"/>
          <w:b/>
          <w:sz w:val="24"/>
        </w:rPr>
      </w:pPr>
      <w:bookmarkStart w:id="134" w:name="_Toc28322"/>
      <w:r>
        <w:rPr>
          <w:rFonts w:hint="eastAsia" w:ascii="宋体" w:hAnsi="宋体" w:cs="宋体"/>
          <w:b/>
          <w:sz w:val="24"/>
        </w:rPr>
        <w:t>三、投标报价要求</w:t>
      </w:r>
      <w:bookmarkEnd w:id="133"/>
      <w:bookmarkEnd w:id="134"/>
    </w:p>
    <w:p>
      <w:pPr>
        <w:spacing w:line="360" w:lineRule="auto"/>
        <w:ind w:firstLine="480" w:firstLineChars="200"/>
        <w:rPr>
          <w:rFonts w:ascii="宋体" w:hAnsi="宋体" w:cs="宋体"/>
          <w:sz w:val="24"/>
        </w:rPr>
      </w:pPr>
      <w:r>
        <w:rPr>
          <w:rFonts w:hint="eastAsia" w:ascii="宋体" w:hAnsi="宋体" w:cs="宋体"/>
          <w:sz w:val="24"/>
        </w:rPr>
        <w:t>本项目报价应包含完成项目所需人工、材料、机械、管理费、规费、利润、税金、等全部费用</w:t>
      </w:r>
    </w:p>
    <w:p>
      <w:pPr>
        <w:spacing w:line="360" w:lineRule="auto"/>
        <w:ind w:firstLine="480" w:firstLineChars="200"/>
        <w:rPr>
          <w:rFonts w:ascii="宋体" w:hAnsi="宋体" w:cs="宋体"/>
          <w:sz w:val="24"/>
        </w:rPr>
      </w:pPr>
      <w:r>
        <w:rPr>
          <w:rFonts w:hint="eastAsia" w:ascii="宋体" w:hAnsi="宋体" w:cs="宋体"/>
          <w:b/>
          <w:sz w:val="24"/>
        </w:rPr>
        <w:t>四、工期：180</w:t>
      </w:r>
      <w:r>
        <w:rPr>
          <w:rFonts w:hint="eastAsia" w:ascii="宋体" w:hAnsi="宋体" w:cs="宋体"/>
          <w:sz w:val="24"/>
        </w:rPr>
        <w:t>日历天。</w:t>
      </w:r>
    </w:p>
    <w:p>
      <w:pPr>
        <w:spacing w:line="360" w:lineRule="auto"/>
        <w:ind w:firstLine="480" w:firstLineChars="200"/>
        <w:rPr>
          <w:rFonts w:ascii="宋体" w:hAnsi="宋体" w:cs="宋体"/>
          <w:sz w:val="24"/>
        </w:rPr>
      </w:pPr>
      <w:bookmarkStart w:id="135" w:name="_Toc25632"/>
      <w:bookmarkStart w:id="136" w:name="_Toc18645"/>
      <w:r>
        <w:rPr>
          <w:rFonts w:hint="eastAsia" w:ascii="宋体" w:hAnsi="宋体" w:cs="宋体"/>
          <w:b/>
          <w:sz w:val="24"/>
        </w:rPr>
        <w:t>五、质量:</w:t>
      </w:r>
      <w:bookmarkEnd w:id="135"/>
      <w:bookmarkEnd w:id="136"/>
      <w:bookmarkStart w:id="137" w:name="_Toc10110"/>
      <w:bookmarkStart w:id="138" w:name="_Toc13410"/>
      <w:r>
        <w:rPr>
          <w:rFonts w:hint="eastAsia" w:ascii="宋体" w:hAnsi="宋体" w:cs="宋体"/>
          <w:sz w:val="24"/>
        </w:rPr>
        <w:t>合格</w:t>
      </w:r>
    </w:p>
    <w:p>
      <w:pPr>
        <w:spacing w:line="360" w:lineRule="auto"/>
        <w:ind w:firstLine="480" w:firstLineChars="200"/>
        <w:rPr>
          <w:rFonts w:ascii="宋体" w:hAnsi="宋体" w:cs="宋体"/>
          <w:b/>
          <w:sz w:val="24"/>
        </w:rPr>
      </w:pPr>
      <w:r>
        <w:rPr>
          <w:rFonts w:hint="eastAsia" w:ascii="宋体" w:hAnsi="宋体" w:cs="宋体"/>
          <w:b/>
          <w:sz w:val="24"/>
        </w:rPr>
        <w:t>六、技术标准和要求</w:t>
      </w:r>
    </w:p>
    <w:p>
      <w:pPr>
        <w:spacing w:line="360" w:lineRule="auto"/>
        <w:ind w:firstLine="480" w:firstLineChars="200"/>
        <w:rPr>
          <w:rFonts w:ascii="宋体" w:hAnsi="宋体" w:cs="宋体"/>
          <w:sz w:val="24"/>
        </w:rPr>
      </w:pPr>
      <w:r>
        <w:rPr>
          <w:rFonts w:hint="eastAsia" w:ascii="宋体" w:hAnsi="宋体" w:cs="宋体"/>
          <w:sz w:val="24"/>
        </w:rPr>
        <w:t>1、设计施工图纸</w:t>
      </w:r>
    </w:p>
    <w:p>
      <w:pPr>
        <w:spacing w:line="360" w:lineRule="auto"/>
        <w:ind w:firstLine="480" w:firstLineChars="200"/>
        <w:rPr>
          <w:rFonts w:ascii="宋体" w:hAnsi="宋体" w:cs="宋体"/>
          <w:sz w:val="24"/>
        </w:rPr>
      </w:pPr>
      <w:r>
        <w:rPr>
          <w:rFonts w:hint="eastAsia" w:ascii="宋体" w:hAnsi="宋体" w:cs="宋体"/>
          <w:sz w:val="24"/>
        </w:rPr>
        <w:t>2、《建设工程工程量清单计价规范》(GB 50500-2013)</w:t>
      </w:r>
    </w:p>
    <w:p>
      <w:pPr>
        <w:spacing w:line="360" w:lineRule="auto"/>
        <w:ind w:firstLine="480" w:firstLineChars="200"/>
        <w:rPr>
          <w:rFonts w:ascii="宋体" w:hAnsi="宋体" w:cs="宋体"/>
          <w:sz w:val="24"/>
        </w:rPr>
      </w:pPr>
      <w:r>
        <w:rPr>
          <w:rFonts w:hint="eastAsia" w:ascii="宋体" w:hAnsi="宋体" w:cs="宋体"/>
          <w:sz w:val="24"/>
        </w:rPr>
        <w:t>3、《河南省房屋建筑与装饰工程预算定额（HA 01-31-2016）》</w:t>
      </w:r>
    </w:p>
    <w:p>
      <w:pPr>
        <w:spacing w:line="360" w:lineRule="auto"/>
        <w:ind w:firstLine="480" w:firstLineChars="200"/>
        <w:rPr>
          <w:rFonts w:ascii="宋体" w:hAnsi="宋体" w:cs="宋体"/>
          <w:sz w:val="24"/>
        </w:rPr>
      </w:pPr>
      <w:r>
        <w:rPr>
          <w:rFonts w:hint="eastAsia" w:ascii="宋体" w:hAnsi="宋体" w:cs="宋体"/>
          <w:sz w:val="24"/>
        </w:rPr>
        <w:t>4、《河南省通用安装工程预算定额（HA02-31-2016）》</w:t>
      </w:r>
    </w:p>
    <w:p>
      <w:pPr>
        <w:spacing w:line="360" w:lineRule="auto"/>
        <w:ind w:firstLine="480" w:firstLineChars="200"/>
        <w:rPr>
          <w:rFonts w:ascii="宋体" w:hAnsi="宋体" w:cs="宋体"/>
          <w:sz w:val="24"/>
        </w:rPr>
      </w:pPr>
      <w:r>
        <w:rPr>
          <w:rFonts w:hint="eastAsia" w:ascii="宋体" w:hAnsi="宋体" w:cs="宋体"/>
          <w:sz w:val="24"/>
        </w:rPr>
        <w:t>5、人工价格指数执行豫建标定【2021】36号文2021年7~12月价格指数</w:t>
      </w:r>
    </w:p>
    <w:p>
      <w:pPr>
        <w:spacing w:line="360" w:lineRule="auto"/>
        <w:ind w:firstLine="480" w:firstLineChars="200"/>
        <w:rPr>
          <w:rFonts w:ascii="宋体" w:hAnsi="宋体" w:cs="宋体"/>
          <w:sz w:val="24"/>
        </w:rPr>
      </w:pPr>
      <w:r>
        <w:rPr>
          <w:rFonts w:hint="eastAsia" w:ascii="宋体" w:hAnsi="宋体" w:cs="宋体"/>
          <w:sz w:val="24"/>
        </w:rPr>
        <w:t>6、增值税税率建办标函【2019】193号，按9%计取</w:t>
      </w:r>
    </w:p>
    <w:p>
      <w:pPr>
        <w:spacing w:line="360" w:lineRule="auto"/>
        <w:ind w:firstLine="480" w:firstLineChars="200"/>
        <w:rPr>
          <w:rFonts w:ascii="宋体" w:hAnsi="宋体" w:cs="宋体"/>
          <w:sz w:val="24"/>
        </w:rPr>
      </w:pPr>
      <w:r>
        <w:rPr>
          <w:rFonts w:hint="eastAsia" w:ascii="宋体" w:hAnsi="宋体" w:cs="宋体"/>
          <w:sz w:val="24"/>
        </w:rPr>
        <w:t>7、材料价格执行武陟标准造价信息2021年第6期及市场价</w:t>
      </w:r>
    </w:p>
    <w:p>
      <w:pPr>
        <w:tabs>
          <w:tab w:val="left" w:pos="455"/>
        </w:tabs>
        <w:spacing w:line="360" w:lineRule="auto"/>
        <w:ind w:firstLine="480" w:firstLineChars="200"/>
        <w:rPr>
          <w:rFonts w:ascii="宋体" w:hAnsi="宋体" w:cs="宋体"/>
          <w:sz w:val="24"/>
        </w:rPr>
      </w:pPr>
      <w:r>
        <w:rPr>
          <w:rFonts w:hint="eastAsia" w:ascii="宋体" w:hAnsi="宋体" w:cs="宋体"/>
          <w:sz w:val="24"/>
        </w:rPr>
        <w:t>七、付款方式</w:t>
      </w:r>
      <w:bookmarkEnd w:id="137"/>
      <w:bookmarkEnd w:id="138"/>
    </w:p>
    <w:bookmarkEnd w:id="19"/>
    <w:bookmarkEnd w:id="20"/>
    <w:bookmarkEnd w:id="95"/>
    <w:p>
      <w:pPr>
        <w:spacing w:line="360" w:lineRule="auto"/>
        <w:ind w:firstLine="480" w:firstLineChars="200"/>
        <w:rPr>
          <w:rFonts w:ascii="宋体" w:hAnsi="宋体" w:cs="宋体"/>
          <w:bCs/>
          <w:sz w:val="24"/>
        </w:rPr>
      </w:pPr>
      <w:r>
        <w:rPr>
          <w:rFonts w:hint="eastAsia" w:ascii="宋体" w:hAnsi="宋体" w:cs="宋体"/>
          <w:bCs/>
          <w:sz w:val="24"/>
        </w:rPr>
        <w:t>签订合同，基础完成后支付合同总价款的30%，主体完成后支付至合同总价款的80%，工程完工后支付至合同总价款的97%；剩余合同总价款的3%为质保金，待质保期一年过后支付。</w:t>
      </w:r>
    </w:p>
    <w:p>
      <w:pPr>
        <w:pStyle w:val="50"/>
        <w:rPr>
          <w:color w:val="auto"/>
        </w:rPr>
      </w:pPr>
    </w:p>
    <w:p>
      <w:pPr>
        <w:pStyle w:val="50"/>
        <w:rPr>
          <w:color w:val="auto"/>
        </w:rPr>
      </w:pPr>
    </w:p>
    <w:p>
      <w:pPr>
        <w:pStyle w:val="50"/>
        <w:rPr>
          <w:color w:val="auto"/>
        </w:rPr>
      </w:pPr>
    </w:p>
    <w:p>
      <w:pPr>
        <w:pStyle w:val="51"/>
        <w:spacing w:line="360" w:lineRule="auto"/>
        <w:rPr>
          <w:rFonts w:ascii="宋体" w:hAnsi="宋体" w:cs="宋体"/>
        </w:rPr>
      </w:pPr>
    </w:p>
    <w:p>
      <w:pPr>
        <w:pStyle w:val="4"/>
        <w:spacing w:before="0" w:after="0" w:line="360" w:lineRule="auto"/>
        <w:rPr>
          <w:sz w:val="32"/>
          <w:szCs w:val="32"/>
        </w:rPr>
      </w:pPr>
      <w:bookmarkStart w:id="139" w:name="_Toc4426"/>
      <w:bookmarkStart w:id="140" w:name="_Toc374512420"/>
      <w:bookmarkStart w:id="141" w:name="_Toc373230032"/>
      <w:bookmarkStart w:id="142" w:name="_Toc30379"/>
      <w:r>
        <w:rPr>
          <w:rFonts w:hint="eastAsia"/>
          <w:sz w:val="32"/>
          <w:szCs w:val="32"/>
        </w:rPr>
        <w:t>第六章 响应文件格式</w:t>
      </w:r>
      <w:bookmarkEnd w:id="139"/>
      <w:bookmarkEnd w:id="140"/>
      <w:bookmarkEnd w:id="141"/>
      <w:bookmarkEnd w:id="142"/>
    </w:p>
    <w:p>
      <w:pPr>
        <w:spacing w:line="360" w:lineRule="auto"/>
        <w:jc w:val="right"/>
        <w:rPr>
          <w:rFonts w:ascii="宋体" w:hAnsi="宋体"/>
          <w:b/>
          <w:sz w:val="44"/>
          <w:szCs w:val="44"/>
        </w:rPr>
      </w:pPr>
      <w:bookmarkStart w:id="143" w:name="_Toc11974"/>
      <w:bookmarkStart w:id="144" w:name="_Toc420513689"/>
      <w:bookmarkStart w:id="145" w:name="_Toc421695643"/>
      <w:bookmarkStart w:id="146" w:name="_Toc420513710"/>
      <w:bookmarkStart w:id="147" w:name="_Toc2280"/>
      <w:bookmarkStart w:id="148" w:name="_Toc420513737"/>
      <w:r>
        <w:rPr>
          <w:rFonts w:hint="eastAsia" w:ascii="宋体" w:hAnsi="宋体"/>
          <w:b/>
          <w:bCs/>
          <w:sz w:val="28"/>
        </w:rPr>
        <w:t>正本/副本</w:t>
      </w:r>
    </w:p>
    <w:p>
      <w:pPr>
        <w:spacing w:line="360" w:lineRule="auto"/>
        <w:jc w:val="center"/>
        <w:rPr>
          <w:rFonts w:ascii="宋体" w:hAnsi="宋体"/>
          <w:b/>
          <w:sz w:val="44"/>
          <w:szCs w:val="44"/>
        </w:rPr>
      </w:pPr>
    </w:p>
    <w:p>
      <w:pPr>
        <w:spacing w:line="360" w:lineRule="auto"/>
        <w:jc w:val="center"/>
        <w:rPr>
          <w:rFonts w:ascii="宋体" w:hAnsi="宋体"/>
          <w:b/>
          <w:sz w:val="44"/>
          <w:szCs w:val="44"/>
        </w:rPr>
      </w:pPr>
    </w:p>
    <w:p>
      <w:pPr>
        <w:spacing w:line="360" w:lineRule="auto"/>
        <w:jc w:val="center"/>
        <w:rPr>
          <w:rFonts w:ascii="宋体" w:hAnsi="宋体"/>
          <w:b/>
          <w:sz w:val="44"/>
          <w:szCs w:val="44"/>
        </w:rPr>
      </w:pPr>
      <w:r>
        <w:rPr>
          <w:rFonts w:ascii="宋体" w:hAnsi="宋体"/>
          <w:b/>
          <w:sz w:val="44"/>
          <w:szCs w:val="44"/>
        </w:rPr>
        <w:t>（项目名称）</w:t>
      </w:r>
    </w:p>
    <w:p>
      <w:pPr>
        <w:spacing w:line="360" w:lineRule="auto"/>
        <w:jc w:val="center"/>
        <w:rPr>
          <w:rFonts w:ascii="宋体" w:hAnsi="宋体"/>
          <w:sz w:val="32"/>
        </w:rPr>
      </w:pPr>
    </w:p>
    <w:p>
      <w:pPr>
        <w:spacing w:line="360" w:lineRule="auto"/>
        <w:ind w:firstLine="537" w:firstLineChars="192"/>
        <w:rPr>
          <w:rFonts w:ascii="宋体" w:hAnsi="宋体"/>
          <w:sz w:val="28"/>
          <w:szCs w:val="28"/>
        </w:rPr>
      </w:pPr>
    </w:p>
    <w:p>
      <w:pPr>
        <w:pStyle w:val="2"/>
        <w:spacing w:after="0" w:line="360" w:lineRule="auto"/>
        <w:ind w:left="0" w:leftChars="0" w:firstLine="0" w:firstLineChars="0"/>
        <w:jc w:val="center"/>
        <w:rPr>
          <w:rFonts w:ascii="黑体" w:hAnsi="黑体" w:eastAsia="黑体" w:cs="黑体"/>
          <w:b/>
          <w:bCs/>
          <w:sz w:val="52"/>
          <w:szCs w:val="52"/>
        </w:rPr>
      </w:pPr>
      <w:r>
        <w:rPr>
          <w:rFonts w:hint="eastAsia" w:ascii="黑体" w:hAnsi="黑体" w:eastAsia="黑体" w:cs="黑体"/>
          <w:sz w:val="84"/>
          <w:szCs w:val="84"/>
        </w:rPr>
        <w:t>响应文件</w:t>
      </w:r>
    </w:p>
    <w:p>
      <w:pPr>
        <w:spacing w:line="360" w:lineRule="auto"/>
        <w:ind w:firstLine="3000" w:firstLineChars="1000"/>
        <w:rPr>
          <w:sz w:val="30"/>
          <w:szCs w:val="30"/>
        </w:rPr>
      </w:pPr>
      <w:r>
        <w:rPr>
          <w:rFonts w:hint="eastAsia"/>
          <w:sz w:val="30"/>
          <w:szCs w:val="30"/>
        </w:rPr>
        <w:t>采购编号：</w:t>
      </w:r>
    </w:p>
    <w:p>
      <w:pPr>
        <w:spacing w:line="360" w:lineRule="auto"/>
        <w:ind w:firstLine="3000" w:firstLineChars="1000"/>
        <w:rPr>
          <w:sz w:val="30"/>
          <w:szCs w:val="30"/>
        </w:rPr>
      </w:pPr>
      <w:r>
        <w:rPr>
          <w:rFonts w:hint="eastAsia"/>
          <w:sz w:val="30"/>
          <w:szCs w:val="30"/>
        </w:rPr>
        <w:t>交易编号：</w:t>
      </w:r>
    </w:p>
    <w:p>
      <w:pPr>
        <w:spacing w:line="360" w:lineRule="auto"/>
        <w:ind w:firstLine="537" w:firstLineChars="192"/>
        <w:rPr>
          <w:rFonts w:ascii="宋体" w:hAnsi="宋体"/>
          <w:sz w:val="28"/>
          <w:szCs w:val="28"/>
        </w:rPr>
      </w:pPr>
    </w:p>
    <w:p>
      <w:pPr>
        <w:spacing w:line="360" w:lineRule="auto"/>
        <w:ind w:firstLine="537" w:firstLineChars="192"/>
        <w:rPr>
          <w:rFonts w:ascii="宋体" w:hAnsi="宋体"/>
          <w:sz w:val="28"/>
        </w:rPr>
      </w:pPr>
    </w:p>
    <w:p>
      <w:pPr>
        <w:spacing w:line="360" w:lineRule="auto"/>
        <w:ind w:firstLine="537" w:firstLineChars="192"/>
        <w:rPr>
          <w:rFonts w:ascii="宋体" w:hAnsi="宋体"/>
          <w:sz w:val="28"/>
        </w:rPr>
      </w:pPr>
    </w:p>
    <w:p>
      <w:pPr>
        <w:spacing w:line="360" w:lineRule="auto"/>
        <w:rPr>
          <w:rFonts w:ascii="宋体" w:hAnsi="宋体"/>
          <w:sz w:val="32"/>
        </w:rPr>
      </w:pPr>
    </w:p>
    <w:p>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供应商：（盖单位公章）</w:t>
      </w:r>
    </w:p>
    <w:p>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法定代表人或其委托代理人：（签字或盖章）</w:t>
      </w:r>
    </w:p>
    <w:p>
      <w:pPr>
        <w:pStyle w:val="23"/>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磋商日期：  年   月   日</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bookmarkEnd w:id="143"/>
    </w:p>
    <w:p>
      <w:pPr>
        <w:widowControl/>
        <w:numPr>
          <w:ilvl w:val="0"/>
          <w:numId w:val="4"/>
        </w:numPr>
        <w:spacing w:line="360" w:lineRule="auto"/>
        <w:jc w:val="center"/>
        <w:outlineLvl w:val="1"/>
        <w:rPr>
          <w:rFonts w:ascii="宋体" w:hAnsi="宋体" w:cs="宋体"/>
          <w:b/>
          <w:bCs/>
          <w:kern w:val="0"/>
          <w:sz w:val="24"/>
          <w:szCs w:val="24"/>
        </w:rPr>
      </w:pPr>
      <w:bookmarkStart w:id="149" w:name="_Toc30148"/>
      <w:bookmarkStart w:id="150" w:name="_Toc22625"/>
      <w:bookmarkStart w:id="151" w:name="_Toc49166054"/>
      <w:bookmarkStart w:id="152" w:name="_Toc48808923"/>
      <w:bookmarkStart w:id="153" w:name="_Toc48809207"/>
      <w:bookmarkStart w:id="154" w:name="_Toc20132"/>
      <w:bookmarkStart w:id="155" w:name="_Toc11075"/>
      <w:r>
        <w:rPr>
          <w:rFonts w:hint="eastAsia" w:ascii="宋体" w:hAnsi="宋体" w:cs="宋体"/>
          <w:b/>
          <w:bCs/>
          <w:kern w:val="0"/>
          <w:sz w:val="24"/>
          <w:szCs w:val="24"/>
        </w:rPr>
        <w:t>磋商函</w:t>
      </w:r>
      <w:bookmarkEnd w:id="149"/>
      <w:bookmarkEnd w:id="150"/>
      <w:r>
        <w:rPr>
          <w:rFonts w:hint="eastAsia" w:ascii="宋体" w:hAnsi="宋体" w:cs="宋体"/>
          <w:b/>
          <w:bCs/>
          <w:kern w:val="0"/>
          <w:sz w:val="24"/>
          <w:szCs w:val="24"/>
        </w:rPr>
        <w:t>及磋商报表价</w:t>
      </w:r>
      <w:bookmarkEnd w:id="151"/>
      <w:bookmarkEnd w:id="152"/>
      <w:bookmarkEnd w:id="153"/>
      <w:bookmarkEnd w:id="154"/>
      <w:bookmarkEnd w:id="155"/>
    </w:p>
    <w:p>
      <w:pPr>
        <w:pStyle w:val="51"/>
        <w:spacing w:line="360" w:lineRule="auto"/>
        <w:jc w:val="center"/>
        <w:rPr>
          <w:sz w:val="21"/>
          <w:szCs w:val="21"/>
        </w:rPr>
      </w:pPr>
      <w:r>
        <w:rPr>
          <w:rFonts w:hint="eastAsia"/>
          <w:sz w:val="21"/>
          <w:szCs w:val="21"/>
        </w:rPr>
        <w:t>（一）磋商函</w:t>
      </w:r>
    </w:p>
    <w:p>
      <w:pPr>
        <w:pStyle w:val="23"/>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致：（采购人名称）</w:t>
      </w:r>
    </w:p>
    <w:p>
      <w:pPr>
        <w:pStyle w:val="23"/>
        <w:spacing w:line="360" w:lineRule="auto"/>
        <w:ind w:firstLine="630" w:firstLineChars="3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在考察现场并充分研究（项目名称）（以下简称“本项目”）磋商文件的全部内容后，我方兹以：人民币（大写）：，小写：元的磋商总报价，并严格按照合同约定，完成本项目并维修其中的任何缺陷。</w:t>
      </w:r>
    </w:p>
    <w:p>
      <w:pPr>
        <w:pStyle w:val="23"/>
        <w:spacing w:line="360" w:lineRule="auto"/>
        <w:ind w:firstLine="630" w:firstLineChars="3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如果我方成交，我方保证按照合同约定的工期天（日历天）内完成，并确保质量达到合格。我方同意本磋商函在磋商文件规定的提交响应文件截止时间后，在磋商文件规定的磋商有效期（日历天）前对我方具有约束力，且随时准备接受你方发出的成交通知书。</w:t>
      </w:r>
    </w:p>
    <w:p>
      <w:pPr>
        <w:pStyle w:val="23"/>
        <w:spacing w:line="360" w:lineRule="auto"/>
        <w:ind w:firstLine="630" w:firstLineChars="3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随本磋商函递交的磋商报价表是本磋商函的组成部分，对我方构成约束力。</w:t>
      </w:r>
    </w:p>
    <w:p>
      <w:pPr>
        <w:pStyle w:val="23"/>
        <w:spacing w:line="360" w:lineRule="auto"/>
        <w:ind w:firstLine="630" w:firstLineChars="3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在签署协议书之前，你方的成交通知书连同本磋商函，包括磋商报价表，对双方具有约束力。</w:t>
      </w:r>
    </w:p>
    <w:p>
      <w:pPr>
        <w:pStyle w:val="23"/>
        <w:spacing w:line="360" w:lineRule="auto"/>
        <w:jc w:val="center"/>
        <w:rPr>
          <w:rFonts w:asciiTheme="minorEastAsia" w:hAnsiTheme="minorEastAsia" w:eastAsiaTheme="minorEastAsia" w:cstheme="minorEastAsia"/>
          <w:szCs w:val="21"/>
        </w:rPr>
      </w:pPr>
    </w:p>
    <w:p>
      <w:pPr>
        <w:pStyle w:val="23"/>
        <w:spacing w:line="360" w:lineRule="auto"/>
        <w:jc w:val="center"/>
        <w:rPr>
          <w:rFonts w:asciiTheme="minorEastAsia" w:hAnsiTheme="minorEastAsia" w:eastAsiaTheme="minorEastAsia" w:cstheme="minorEastAsia"/>
          <w:szCs w:val="21"/>
        </w:rPr>
      </w:pPr>
    </w:p>
    <w:p>
      <w:pPr>
        <w:pStyle w:val="23"/>
        <w:spacing w:line="360" w:lineRule="auto"/>
        <w:jc w:val="center"/>
        <w:rPr>
          <w:rFonts w:asciiTheme="minorEastAsia" w:hAnsiTheme="minorEastAsia" w:eastAsiaTheme="minorEastAsia" w:cstheme="minorEastAsia"/>
          <w:szCs w:val="21"/>
        </w:rPr>
      </w:pPr>
    </w:p>
    <w:p>
      <w:pPr>
        <w:pStyle w:val="2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供应商：（盖单位公章）</w:t>
      </w:r>
    </w:p>
    <w:p>
      <w:pPr>
        <w:pStyle w:val="2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法定代表人或其委托代理人：（签字或盖章）</w:t>
      </w:r>
    </w:p>
    <w:p>
      <w:pPr>
        <w:spacing w:line="360" w:lineRule="auto"/>
        <w:ind w:firstLine="3255" w:firstLineChars="15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年      月      日</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br w:type="page"/>
      </w:r>
    </w:p>
    <w:p>
      <w:pPr>
        <w:pStyle w:val="18"/>
        <w:spacing w:after="0" w:line="360" w:lineRule="auto"/>
      </w:pPr>
    </w:p>
    <w:p>
      <w:pPr>
        <w:spacing w:line="360" w:lineRule="auto"/>
        <w:jc w:val="center"/>
        <w:rPr>
          <w:rFonts w:ascii="宋体" w:hAnsi="宋体"/>
          <w:szCs w:val="21"/>
        </w:rPr>
      </w:pPr>
      <w:r>
        <w:rPr>
          <w:rFonts w:hint="eastAsia" w:ascii="宋体" w:hAnsi="宋体"/>
          <w:szCs w:val="21"/>
        </w:rPr>
        <w:t>（二）磋商报价表（一次）</w:t>
      </w:r>
    </w:p>
    <w:p>
      <w:pPr>
        <w:spacing w:line="360" w:lineRule="auto"/>
        <w:jc w:val="right"/>
        <w:rPr>
          <w:rFonts w:ascii="宋体" w:hAnsi="宋体"/>
          <w:szCs w:val="21"/>
        </w:rPr>
      </w:pPr>
    </w:p>
    <w:tbl>
      <w:tblPr>
        <w:tblStyle w:val="42"/>
        <w:tblW w:w="9479"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1593"/>
        <w:gridCol w:w="1014"/>
        <w:gridCol w:w="1738"/>
        <w:gridCol w:w="1450"/>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项目名称</w:t>
            </w:r>
          </w:p>
        </w:tc>
        <w:tc>
          <w:tcPr>
            <w:tcW w:w="7646" w:type="dxa"/>
            <w:gridSpan w:val="5"/>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8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供应商名称</w:t>
            </w:r>
          </w:p>
        </w:tc>
        <w:tc>
          <w:tcPr>
            <w:tcW w:w="7646" w:type="dxa"/>
            <w:gridSpan w:val="5"/>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8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项目经理</w:t>
            </w:r>
          </w:p>
        </w:tc>
        <w:tc>
          <w:tcPr>
            <w:tcW w:w="159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c>
          <w:tcPr>
            <w:tcW w:w="10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级别</w:t>
            </w:r>
          </w:p>
        </w:tc>
        <w:tc>
          <w:tcPr>
            <w:tcW w:w="1738"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c>
          <w:tcPr>
            <w:tcW w:w="145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注册证号</w:t>
            </w:r>
          </w:p>
        </w:tc>
        <w:tc>
          <w:tcPr>
            <w:tcW w:w="1851"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项目经理是否有在建项目变更</w:t>
            </w:r>
          </w:p>
          <w:p>
            <w:pPr>
              <w:spacing w:line="360" w:lineRule="auto"/>
              <w:jc w:val="center"/>
              <w:rPr>
                <w:rFonts w:ascii="宋体" w:hAnsi="宋体"/>
                <w:sz w:val="24"/>
                <w:szCs w:val="24"/>
              </w:rPr>
            </w:pPr>
            <w:r>
              <w:rPr>
                <w:rFonts w:hint="eastAsia" w:ascii="宋体" w:hAnsi="宋体"/>
                <w:sz w:val="24"/>
                <w:szCs w:val="24"/>
              </w:rPr>
              <w:t>（填“是”或“否”）</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磋商范围</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磋商总报价（元）</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left"/>
              <w:rPr>
                <w:rFonts w:ascii="宋体" w:hAnsi="宋体"/>
                <w:sz w:val="24"/>
                <w:szCs w:val="24"/>
              </w:rPr>
            </w:pPr>
            <w:r>
              <w:rPr>
                <w:rFonts w:hint="eastAsia" w:ascii="宋体" w:hAnsi="宋体"/>
                <w:sz w:val="24"/>
                <w:szCs w:val="24"/>
              </w:rPr>
              <w:t>大写：</w:t>
            </w:r>
          </w:p>
          <w:p>
            <w:pPr>
              <w:spacing w:line="360" w:lineRule="auto"/>
              <w:jc w:val="left"/>
              <w:rPr>
                <w:rFonts w:ascii="宋体" w:hAnsi="宋体"/>
                <w:sz w:val="24"/>
                <w:szCs w:val="24"/>
              </w:rPr>
            </w:pPr>
            <w:r>
              <w:rPr>
                <w:rFonts w:hint="eastAsia" w:ascii="宋体" w:hAnsi="宋体"/>
                <w:sz w:val="24"/>
                <w:szCs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质量要求</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工期</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磋商有效期</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需要说明的问题</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bl>
    <w:p>
      <w:pPr>
        <w:pStyle w:val="51"/>
        <w:spacing w:line="360" w:lineRule="auto"/>
        <w:rPr>
          <w:rFonts w:ascii="宋体" w:hAnsi="宋体"/>
          <w:szCs w:val="21"/>
        </w:rPr>
      </w:pPr>
    </w:p>
    <w:p>
      <w:pPr>
        <w:pStyle w:val="52"/>
        <w:spacing w:line="360" w:lineRule="auto"/>
      </w:pPr>
    </w:p>
    <w:p>
      <w:pPr>
        <w:pStyle w:val="2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供应商：（盖单位公章）</w:t>
      </w:r>
    </w:p>
    <w:p>
      <w:pPr>
        <w:pStyle w:val="2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法定代表人或其委托代理人：（签字或盖章）</w:t>
      </w:r>
    </w:p>
    <w:p>
      <w:pPr>
        <w:spacing w:line="360" w:lineRule="auto"/>
        <w:ind w:firstLine="3780" w:firstLineChars="18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年    月     日</w:t>
      </w:r>
      <w:bookmarkEnd w:id="144"/>
      <w:bookmarkEnd w:id="145"/>
      <w:bookmarkEnd w:id="146"/>
      <w:bookmarkEnd w:id="147"/>
      <w:bookmarkEnd w:id="148"/>
      <w:bookmarkStart w:id="156" w:name="_Toc374512423"/>
      <w:bookmarkStart w:id="157" w:name="_Toc373230035"/>
      <w:bookmarkStart w:id="158" w:name="_Toc408816353"/>
      <w:bookmarkStart w:id="159" w:name="_Toc26310"/>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br w:type="page"/>
      </w:r>
    </w:p>
    <w:p>
      <w:pPr>
        <w:widowControl/>
        <w:spacing w:line="360" w:lineRule="auto"/>
        <w:jc w:val="center"/>
        <w:outlineLvl w:val="1"/>
        <w:rPr>
          <w:rFonts w:ascii="宋体" w:hAnsi="宋体" w:cs="宋体"/>
          <w:b/>
          <w:bCs/>
          <w:kern w:val="0"/>
          <w:sz w:val="24"/>
          <w:szCs w:val="24"/>
        </w:rPr>
      </w:pPr>
      <w:bookmarkStart w:id="160" w:name="_Toc49166055"/>
      <w:bookmarkStart w:id="161" w:name="_Toc48809208"/>
      <w:bookmarkStart w:id="162" w:name="_Toc3841"/>
      <w:bookmarkStart w:id="163" w:name="_Toc48808924"/>
      <w:bookmarkStart w:id="164" w:name="_Toc16249"/>
      <w:bookmarkStart w:id="165" w:name="_Toc2272"/>
      <w:bookmarkStart w:id="166" w:name="_Toc9046"/>
      <w:bookmarkStart w:id="167" w:name="_Toc152047264"/>
      <w:bookmarkStart w:id="168" w:name="_Toc144974468"/>
      <w:bookmarkStart w:id="169" w:name="_Toc179715757"/>
      <w:r>
        <w:rPr>
          <w:rFonts w:hint="eastAsia" w:ascii="宋体" w:hAnsi="宋体" w:cs="宋体"/>
          <w:b/>
          <w:bCs/>
          <w:kern w:val="0"/>
          <w:sz w:val="24"/>
          <w:szCs w:val="24"/>
        </w:rPr>
        <w:t>二、法定代表人身份证明</w:t>
      </w:r>
      <w:bookmarkEnd w:id="160"/>
      <w:bookmarkEnd w:id="161"/>
      <w:bookmarkEnd w:id="162"/>
      <w:bookmarkEnd w:id="163"/>
      <w:bookmarkEnd w:id="164"/>
      <w:bookmarkEnd w:id="165"/>
      <w:bookmarkEnd w:id="166"/>
    </w:p>
    <w:p>
      <w:pPr>
        <w:spacing w:line="360" w:lineRule="auto"/>
        <w:rPr>
          <w:rFonts w:ascii="宋体" w:hAnsi="宋体"/>
          <w:sz w:val="24"/>
          <w:szCs w:val="24"/>
        </w:rPr>
      </w:pPr>
    </w:p>
    <w:p>
      <w:pPr>
        <w:pStyle w:val="23"/>
        <w:spacing w:line="360" w:lineRule="auto"/>
        <w:rPr>
          <w:rFonts w:hAnsi="宋体" w:eastAsia="宋体" w:cs="宋体"/>
          <w:szCs w:val="21"/>
          <w:u w:val="single"/>
        </w:rPr>
      </w:pPr>
      <w:r>
        <w:rPr>
          <w:rFonts w:hint="eastAsia" w:hAnsi="宋体" w:eastAsia="宋体" w:cs="宋体"/>
          <w:szCs w:val="21"/>
        </w:rPr>
        <w:t>供应商名称：</w:t>
      </w:r>
    </w:p>
    <w:p>
      <w:pPr>
        <w:pStyle w:val="23"/>
        <w:spacing w:line="360" w:lineRule="auto"/>
        <w:rPr>
          <w:rFonts w:hAnsi="宋体" w:eastAsia="宋体" w:cs="宋体"/>
          <w:szCs w:val="21"/>
          <w:u w:val="single"/>
        </w:rPr>
      </w:pPr>
      <w:r>
        <w:rPr>
          <w:rFonts w:hint="eastAsia" w:hAnsi="宋体" w:eastAsia="宋体" w:cs="宋体"/>
          <w:szCs w:val="21"/>
        </w:rPr>
        <w:t>单位性质：</w:t>
      </w:r>
    </w:p>
    <w:p>
      <w:pPr>
        <w:pStyle w:val="23"/>
        <w:spacing w:line="360" w:lineRule="auto"/>
        <w:rPr>
          <w:rFonts w:hAnsi="宋体" w:eastAsia="宋体" w:cs="宋体"/>
          <w:szCs w:val="21"/>
          <w:u w:val="single"/>
        </w:rPr>
      </w:pPr>
      <w:r>
        <w:rPr>
          <w:rFonts w:hint="eastAsia" w:hAnsi="宋体" w:eastAsia="宋体" w:cs="宋体"/>
          <w:szCs w:val="21"/>
        </w:rPr>
        <w:t>地址：</w:t>
      </w:r>
    </w:p>
    <w:p>
      <w:pPr>
        <w:pStyle w:val="23"/>
        <w:spacing w:line="360" w:lineRule="auto"/>
        <w:rPr>
          <w:rFonts w:hAnsi="宋体" w:eastAsia="宋体" w:cs="宋体"/>
          <w:szCs w:val="21"/>
        </w:rPr>
      </w:pPr>
      <w:r>
        <w:rPr>
          <w:rFonts w:hint="eastAsia" w:hAnsi="宋体" w:eastAsia="宋体" w:cs="宋体"/>
          <w:szCs w:val="21"/>
        </w:rPr>
        <w:t>成立时间：</w:t>
      </w:r>
      <w:r>
        <w:rPr>
          <w:rFonts w:hint="eastAsia" w:hAnsi="宋体" w:eastAsia="宋体" w:cs="宋体"/>
          <w:szCs w:val="21"/>
          <w:u w:val="single"/>
        </w:rPr>
        <w:t xml:space="preserve">     年       月      日         </w:t>
      </w:r>
    </w:p>
    <w:p>
      <w:pPr>
        <w:pStyle w:val="23"/>
        <w:spacing w:line="360" w:lineRule="auto"/>
        <w:rPr>
          <w:rFonts w:hAnsi="宋体" w:eastAsia="宋体" w:cs="宋体"/>
          <w:szCs w:val="21"/>
          <w:u w:val="single"/>
        </w:rPr>
      </w:pPr>
      <w:r>
        <w:rPr>
          <w:rFonts w:hint="eastAsia" w:hAnsi="宋体" w:eastAsia="宋体" w:cs="宋体"/>
          <w:szCs w:val="21"/>
        </w:rPr>
        <w:t>经营期限：</w:t>
      </w:r>
    </w:p>
    <w:p>
      <w:pPr>
        <w:pStyle w:val="23"/>
        <w:spacing w:line="360" w:lineRule="auto"/>
        <w:rPr>
          <w:rFonts w:hAnsi="宋体" w:eastAsia="宋体" w:cs="宋体"/>
          <w:szCs w:val="21"/>
          <w:u w:val="single"/>
        </w:rPr>
      </w:pPr>
      <w:r>
        <w:rPr>
          <w:rFonts w:hint="eastAsia" w:hAnsi="宋体" w:eastAsia="宋体" w:cs="宋体"/>
          <w:szCs w:val="21"/>
        </w:rPr>
        <w:t>姓名：性别：</w:t>
      </w:r>
    </w:p>
    <w:p>
      <w:pPr>
        <w:pStyle w:val="23"/>
        <w:spacing w:line="360" w:lineRule="auto"/>
        <w:rPr>
          <w:rFonts w:hAnsi="宋体" w:eastAsia="宋体" w:cs="宋体"/>
          <w:szCs w:val="21"/>
          <w:u w:val="single"/>
        </w:rPr>
      </w:pPr>
      <w:r>
        <w:rPr>
          <w:rFonts w:hint="eastAsia" w:hAnsi="宋体" w:eastAsia="宋体" w:cs="宋体"/>
          <w:szCs w:val="21"/>
        </w:rPr>
        <w:t>年龄： 职务：</w:t>
      </w:r>
    </w:p>
    <w:p>
      <w:pPr>
        <w:pStyle w:val="23"/>
        <w:spacing w:line="360" w:lineRule="auto"/>
        <w:rPr>
          <w:rFonts w:hAnsi="宋体" w:eastAsia="宋体" w:cs="宋体"/>
          <w:szCs w:val="21"/>
        </w:rPr>
      </w:pPr>
      <w:r>
        <w:rPr>
          <w:rFonts w:hint="eastAsia" w:hAnsi="宋体" w:eastAsia="宋体" w:cs="宋体"/>
          <w:szCs w:val="21"/>
        </w:rPr>
        <w:t>系（供应商名称）的法定代表人。</w:t>
      </w:r>
    </w:p>
    <w:p>
      <w:pPr>
        <w:pStyle w:val="23"/>
        <w:spacing w:line="360" w:lineRule="auto"/>
        <w:rPr>
          <w:rFonts w:hAnsi="宋体" w:eastAsia="宋体" w:cs="宋体"/>
          <w:szCs w:val="21"/>
        </w:rPr>
      </w:pPr>
    </w:p>
    <w:p>
      <w:pPr>
        <w:pStyle w:val="23"/>
        <w:spacing w:line="360" w:lineRule="auto"/>
        <w:ind w:firstLine="630" w:firstLineChars="300"/>
        <w:rPr>
          <w:rFonts w:hAnsi="宋体" w:eastAsia="宋体" w:cs="宋体"/>
          <w:szCs w:val="21"/>
        </w:rPr>
      </w:pPr>
      <w:r>
        <w:rPr>
          <w:rFonts w:hint="eastAsia" w:hAnsi="宋体" w:eastAsia="宋体" w:cs="宋体"/>
          <w:szCs w:val="21"/>
        </w:rPr>
        <w:t>特此证明。</w:t>
      </w:r>
    </w:p>
    <w:p>
      <w:pPr>
        <w:pStyle w:val="23"/>
        <w:spacing w:line="360" w:lineRule="auto"/>
        <w:rPr>
          <w:rFonts w:hAnsi="宋体" w:eastAsia="宋体" w:cs="宋体"/>
          <w:szCs w:val="21"/>
        </w:rPr>
      </w:pPr>
    </w:p>
    <w:p>
      <w:pPr>
        <w:pStyle w:val="23"/>
        <w:spacing w:line="360" w:lineRule="auto"/>
        <w:rPr>
          <w:rFonts w:hAnsi="宋体" w:eastAsia="宋体" w:cs="宋体"/>
          <w:szCs w:val="21"/>
        </w:rPr>
      </w:pPr>
    </w:p>
    <w:p>
      <w:pPr>
        <w:pStyle w:val="23"/>
        <w:spacing w:line="360" w:lineRule="auto"/>
        <w:rPr>
          <w:rFonts w:hAnsi="宋体" w:eastAsia="宋体" w:cs="宋体"/>
          <w:szCs w:val="21"/>
        </w:rPr>
      </w:pPr>
    </w:p>
    <w:p>
      <w:pPr>
        <w:pStyle w:val="23"/>
        <w:spacing w:line="360" w:lineRule="auto"/>
        <w:jc w:val="right"/>
        <w:rPr>
          <w:rFonts w:hAnsi="宋体" w:eastAsia="宋体" w:cs="宋体"/>
          <w:szCs w:val="21"/>
        </w:rPr>
      </w:pPr>
      <w:r>
        <w:rPr>
          <w:rFonts w:hint="eastAsia" w:hAnsi="宋体" w:eastAsia="宋体" w:cs="宋体"/>
          <w:szCs w:val="21"/>
        </w:rPr>
        <w:t>供应商：（ 盖单位公章）</w:t>
      </w:r>
    </w:p>
    <w:p>
      <w:pPr>
        <w:pStyle w:val="23"/>
        <w:spacing w:line="360" w:lineRule="auto"/>
        <w:ind w:right="480" w:firstLine="6195" w:firstLineChars="2950"/>
        <w:rPr>
          <w:rFonts w:hAnsi="宋体" w:eastAsia="宋体" w:cs="宋体"/>
          <w:szCs w:val="21"/>
        </w:rPr>
      </w:pPr>
      <w:r>
        <w:rPr>
          <w:rFonts w:hint="eastAsia" w:hAnsi="宋体" w:eastAsia="宋体" w:cs="宋体"/>
          <w:szCs w:val="21"/>
        </w:rPr>
        <w:t>年   月    日</w:t>
      </w:r>
    </w:p>
    <w:p>
      <w:pPr>
        <w:spacing w:line="360" w:lineRule="auto"/>
        <w:rPr>
          <w:rFonts w:hAnsi="宋体" w:cs="宋体"/>
          <w:sz w:val="24"/>
          <w:szCs w:val="24"/>
        </w:rPr>
      </w:pPr>
      <w:r>
        <w:rPr>
          <w:rFonts w:hint="eastAsia" w:hAnsi="宋体" w:cs="宋体"/>
          <w:sz w:val="24"/>
          <w:szCs w:val="24"/>
        </w:rPr>
        <w:br w:type="page"/>
      </w:r>
      <w:bookmarkEnd w:id="167"/>
      <w:bookmarkEnd w:id="168"/>
      <w:bookmarkEnd w:id="169"/>
    </w:p>
    <w:p>
      <w:pPr>
        <w:widowControl/>
        <w:spacing w:line="360" w:lineRule="auto"/>
        <w:jc w:val="center"/>
        <w:outlineLvl w:val="1"/>
        <w:rPr>
          <w:rFonts w:ascii="宋体" w:hAnsi="宋体" w:cs="宋体"/>
          <w:b/>
          <w:bCs/>
          <w:kern w:val="0"/>
          <w:sz w:val="24"/>
          <w:szCs w:val="24"/>
        </w:rPr>
      </w:pPr>
      <w:bookmarkStart w:id="170" w:name="_Toc1833"/>
      <w:bookmarkStart w:id="171" w:name="_Toc48808925"/>
      <w:bookmarkStart w:id="172" w:name="_Toc49166056"/>
      <w:bookmarkStart w:id="173" w:name="_Toc48809209"/>
      <w:bookmarkStart w:id="174" w:name="_Toc28422"/>
      <w:bookmarkStart w:id="175" w:name="_Toc421695644"/>
      <w:bookmarkStart w:id="176" w:name="_Toc420513711"/>
      <w:bookmarkStart w:id="177" w:name="_Toc420513690"/>
      <w:bookmarkStart w:id="178" w:name="_Toc420513738"/>
      <w:bookmarkStart w:id="179" w:name="_Toc13621"/>
      <w:r>
        <w:rPr>
          <w:rFonts w:hint="eastAsia" w:ascii="宋体" w:hAnsi="宋体" w:cs="宋体"/>
          <w:b/>
          <w:bCs/>
          <w:kern w:val="0"/>
          <w:sz w:val="24"/>
          <w:szCs w:val="24"/>
        </w:rPr>
        <w:t>三、授权委托书</w:t>
      </w:r>
      <w:bookmarkEnd w:id="170"/>
      <w:bookmarkEnd w:id="171"/>
      <w:bookmarkEnd w:id="172"/>
      <w:bookmarkEnd w:id="173"/>
      <w:bookmarkEnd w:id="174"/>
    </w:p>
    <w:p>
      <w:pPr>
        <w:pStyle w:val="51"/>
        <w:spacing w:line="360" w:lineRule="auto"/>
      </w:pPr>
    </w:p>
    <w:p>
      <w:pPr>
        <w:spacing w:line="360" w:lineRule="auto"/>
        <w:ind w:firstLine="420" w:firstLineChars="200"/>
        <w:rPr>
          <w:rFonts w:ascii="宋体" w:hAnsi="宋体" w:cs="宋体"/>
          <w:szCs w:val="21"/>
        </w:rPr>
      </w:pPr>
      <w:r>
        <w:rPr>
          <w:rFonts w:hint="eastAsia" w:ascii="宋体" w:hAnsi="宋体" w:cs="宋体"/>
          <w:szCs w:val="21"/>
        </w:rPr>
        <w:t>本人（姓名）系（供应商名称）的法定代表人，现委托（姓名）为我方代理人。代理人根据授权，以我方名义签署、澄清、说明、补正、递交、撤回、 修改（项目名称）响应文件、签订合同和处理有关事宜，其法律后果由我方承担。</w:t>
      </w:r>
    </w:p>
    <w:p>
      <w:pPr>
        <w:spacing w:line="360" w:lineRule="auto"/>
        <w:ind w:firstLine="420" w:firstLineChars="200"/>
        <w:rPr>
          <w:rFonts w:ascii="宋体" w:hAnsi="宋体" w:cs="宋体"/>
          <w:szCs w:val="21"/>
        </w:rPr>
      </w:pPr>
      <w:r>
        <w:rPr>
          <w:rFonts w:hint="eastAsia" w:ascii="宋体" w:hAnsi="宋体" w:cs="宋体"/>
          <w:szCs w:val="21"/>
        </w:rPr>
        <w:t>委托期限：。</w:t>
      </w:r>
    </w:p>
    <w:p>
      <w:pPr>
        <w:spacing w:line="360" w:lineRule="auto"/>
        <w:ind w:firstLine="420" w:firstLineChars="200"/>
        <w:rPr>
          <w:rFonts w:ascii="宋体" w:hAnsi="宋体" w:cs="宋体"/>
          <w:szCs w:val="21"/>
        </w:rPr>
      </w:pPr>
      <w:r>
        <w:rPr>
          <w:rFonts w:hint="eastAsia" w:ascii="宋体" w:hAnsi="宋体" w:cs="宋体"/>
          <w:szCs w:val="21"/>
        </w:rPr>
        <w:t xml:space="preserve">代理人无转委托权。 </w:t>
      </w:r>
    </w:p>
    <w:p>
      <w:pPr>
        <w:spacing w:line="360" w:lineRule="auto"/>
        <w:ind w:firstLine="420" w:firstLineChars="200"/>
        <w:rPr>
          <w:rFonts w:ascii="宋体" w:hAnsi="宋体" w:cs="宋体"/>
          <w:szCs w:val="21"/>
        </w:rPr>
      </w:pPr>
      <w:r>
        <w:rPr>
          <w:rFonts w:hint="eastAsia" w:ascii="宋体" w:hAnsi="宋体" w:cs="宋体"/>
          <w:szCs w:val="21"/>
        </w:rPr>
        <w:t>附：法定代表人身份证明及法定代表人委托代理人身份证明</w:t>
      </w:r>
    </w:p>
    <w:p>
      <w:pPr>
        <w:spacing w:line="360" w:lineRule="auto"/>
        <w:rPr>
          <w:rFonts w:ascii="宋体" w:hAnsi="宋体" w:cs="宋体"/>
          <w:szCs w:val="21"/>
        </w:rPr>
      </w:pPr>
      <w:r>
        <w:rPr>
          <w:szCs w:val="21"/>
        </w:rPr>
        <w:pict>
          <v:rect id="Rectangle 4" o:spid="_x0000_s2051" o:spt="1" style="height:113.6pt;width:432.75pt;" coordsize="21600,21600" o:gfxdata="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2zbXtUAAAAFAQAADwAAAAAAAAABACAAAAAiAAAAZHJzL2Rvd25yZXYueG1sUEsBAhQAFAAA&#10;AAgAh07iQDoJAVTyAQAA9gMAAA4AAAAAAAAAAQAgAAAAJAEAAGRycy9lMm9Eb2MueG1sUEsFBgAA&#10;AAAGAAYAWQEAAIgFAAAAAA==&#10;">
            <v:path/>
            <v:fill focussize="0,0"/>
            <v:stroke/>
            <v:imagedata o:title=""/>
            <o:lock v:ext="edit"/>
            <v:textbox>
              <w:txbxContent>
                <w:p>
                  <w:pPr>
                    <w:rPr>
                      <w:sz w:val="22"/>
                    </w:rPr>
                  </w:pPr>
                  <w:r>
                    <w:rPr>
                      <w:rFonts w:hint="eastAsia" w:ascii="宋体" w:hAnsi="宋体" w:cs="宋体"/>
                      <w:sz w:val="22"/>
                    </w:rPr>
                    <w:t>法定代表人身份证明</w:t>
                  </w:r>
                </w:p>
              </w:txbxContent>
            </v:textbox>
            <w10:wrap type="none"/>
            <w10:anchorlock/>
          </v:rect>
        </w:pict>
      </w:r>
    </w:p>
    <w:p>
      <w:pPr>
        <w:spacing w:line="360" w:lineRule="auto"/>
        <w:rPr>
          <w:rFonts w:ascii="宋体" w:hAnsi="宋体" w:cs="宋体"/>
          <w:szCs w:val="21"/>
        </w:rPr>
      </w:pPr>
      <w:r>
        <w:rPr>
          <w:rFonts w:ascii="宋体" w:hAnsi="宋体" w:cs="宋体"/>
          <w:szCs w:val="21"/>
        </w:rPr>
        <w:pict>
          <v:rect id="Rectangle 5" o:spid="_x0000_s2050" o:spt="1" style="position:absolute;left:0pt;margin-left:0pt;margin-top:5.2pt;height:108.7pt;width:432pt;z-index:251661312;mso-width-relative:page;mso-height-relative:page;" coordsize="21600,21600" o:gfxdata="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h5tX9UA&#10;AAAHAQAADwAAAAAAAAABACAAAAAiAAAAZHJzL2Rvd25yZXYueG1sUEsBAhQAFAAAAAgAh07iQBwg&#10;NofpAQAA6wMAAA4AAAAAAAAAAQAgAAAAJAEAAGRycy9lMm9Eb2MueG1sUEsFBgAAAAAGAAYAWQEA&#10;AH8FAAAAAA==&#10;">
            <v:path/>
            <v:fill focussize="0,0"/>
            <v:stroke/>
            <v:imagedata o:title=""/>
            <o:lock v:ext="edit"/>
            <v:textbox>
              <w:txbxContent>
                <w:p>
                  <w:pPr>
                    <w:rPr>
                      <w:sz w:val="22"/>
                    </w:rPr>
                  </w:pPr>
                  <w:r>
                    <w:rPr>
                      <w:rFonts w:hint="eastAsia"/>
                      <w:sz w:val="22"/>
                    </w:rPr>
                    <w:t>法定代表人委托代理人身份证明</w:t>
                  </w:r>
                </w:p>
              </w:txbxContent>
            </v:textbox>
          </v:rect>
        </w:pic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 xml:space="preserve">供应商：（盖单位公章）  </w:t>
      </w:r>
    </w:p>
    <w:p>
      <w:pPr>
        <w:spacing w:line="360" w:lineRule="auto"/>
        <w:ind w:firstLine="420" w:firstLineChars="200"/>
        <w:rPr>
          <w:rFonts w:ascii="宋体" w:hAnsi="宋体" w:cs="宋体"/>
          <w:szCs w:val="21"/>
        </w:rPr>
      </w:pPr>
      <w:r>
        <w:rPr>
          <w:rFonts w:hint="eastAsia" w:ascii="宋体" w:hAnsi="宋体" w:cs="宋体"/>
          <w:szCs w:val="21"/>
        </w:rPr>
        <w:t>法定代表人：（签字或盖章）</w:t>
      </w:r>
    </w:p>
    <w:p>
      <w:pPr>
        <w:spacing w:line="360" w:lineRule="auto"/>
        <w:ind w:firstLine="420" w:firstLineChars="200"/>
        <w:rPr>
          <w:rFonts w:ascii="宋体" w:hAnsi="宋体" w:cs="宋体"/>
          <w:szCs w:val="21"/>
        </w:rPr>
      </w:pPr>
      <w:r>
        <w:rPr>
          <w:rFonts w:hint="eastAsia" w:ascii="宋体" w:hAnsi="宋体" w:cs="宋体"/>
          <w:szCs w:val="21"/>
        </w:rPr>
        <w:t>身份证号码：</w:t>
      </w:r>
    </w:p>
    <w:p>
      <w:pPr>
        <w:spacing w:line="360" w:lineRule="auto"/>
        <w:ind w:firstLine="420" w:firstLineChars="200"/>
        <w:rPr>
          <w:rFonts w:ascii="宋体" w:hAnsi="宋体" w:cs="宋体"/>
          <w:szCs w:val="21"/>
        </w:rPr>
      </w:pPr>
      <w:r>
        <w:rPr>
          <w:rFonts w:hint="eastAsia" w:ascii="宋体" w:hAnsi="宋体" w:cs="宋体"/>
          <w:szCs w:val="21"/>
        </w:rPr>
        <w:t>委托代理人：（签字或盖章）</w:t>
      </w:r>
    </w:p>
    <w:p>
      <w:pPr>
        <w:spacing w:line="360" w:lineRule="auto"/>
        <w:ind w:firstLine="420" w:firstLineChars="200"/>
        <w:rPr>
          <w:rFonts w:ascii="宋体" w:hAnsi="宋体" w:cs="宋体"/>
          <w:szCs w:val="21"/>
          <w:u w:val="single"/>
        </w:rPr>
      </w:pPr>
      <w:r>
        <w:rPr>
          <w:rFonts w:hint="eastAsia" w:ascii="宋体" w:hAnsi="宋体" w:cs="宋体"/>
          <w:szCs w:val="21"/>
        </w:rPr>
        <w:t>身份证号码：</w:t>
      </w:r>
    </w:p>
    <w:p>
      <w:pPr>
        <w:spacing w:line="360" w:lineRule="auto"/>
        <w:ind w:right="420" w:firstLine="5460" w:firstLineChars="2600"/>
        <w:rPr>
          <w:rFonts w:ascii="宋体" w:hAnsi="宋体" w:cs="宋体"/>
          <w:szCs w:val="21"/>
        </w:rPr>
      </w:pPr>
      <w:r>
        <w:rPr>
          <w:rFonts w:hint="eastAsia" w:ascii="宋体" w:hAnsi="宋体" w:cs="宋体"/>
          <w:szCs w:val="21"/>
        </w:rPr>
        <w:t>年    月    日</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1、如果由供应商的法定代表人签署响应文件的，则不需提交授权委托书。</w:t>
      </w:r>
    </w:p>
    <w:p>
      <w:pPr>
        <w:spacing w:line="360" w:lineRule="auto"/>
        <w:rPr>
          <w:rFonts w:ascii="宋体" w:hAnsi="宋体"/>
          <w:szCs w:val="21"/>
        </w:rPr>
      </w:pPr>
      <w:r>
        <w:rPr>
          <w:rFonts w:hint="eastAsia" w:ascii="宋体" w:hAnsi="宋体"/>
          <w:szCs w:val="21"/>
        </w:rPr>
        <w:br w:type="page"/>
      </w:r>
    </w:p>
    <w:p>
      <w:pPr>
        <w:spacing w:line="360" w:lineRule="auto"/>
        <w:jc w:val="center"/>
        <w:rPr>
          <w:rFonts w:ascii="宋体" w:hAnsi="宋体" w:cs="宋体"/>
          <w:b/>
          <w:bCs/>
          <w:kern w:val="0"/>
          <w:sz w:val="24"/>
          <w:szCs w:val="24"/>
        </w:rPr>
      </w:pPr>
      <w:bookmarkStart w:id="180" w:name="_Toc20281"/>
      <w:bookmarkStart w:id="181" w:name="_Toc21344"/>
      <w:r>
        <w:rPr>
          <w:rFonts w:hint="eastAsia" w:ascii="宋体" w:hAnsi="宋体" w:cs="宋体"/>
          <w:b/>
          <w:bCs/>
          <w:kern w:val="0"/>
          <w:sz w:val="24"/>
          <w:szCs w:val="24"/>
        </w:rPr>
        <w:t>四、项目管理机构</w:t>
      </w:r>
    </w:p>
    <w:p>
      <w:pPr>
        <w:adjustRightInd w:val="0"/>
        <w:snapToGrid w:val="0"/>
        <w:spacing w:line="360" w:lineRule="auto"/>
        <w:rPr>
          <w:szCs w:val="21"/>
        </w:rPr>
      </w:pPr>
    </w:p>
    <w:p>
      <w:pPr>
        <w:spacing w:line="360" w:lineRule="auto"/>
        <w:jc w:val="center"/>
        <w:rPr>
          <w:rFonts w:ascii="宋体" w:hAnsi="宋体" w:cs="宋体"/>
          <w:szCs w:val="21"/>
        </w:rPr>
      </w:pPr>
      <w:bookmarkStart w:id="182" w:name="_Toc429747002"/>
      <w:r>
        <w:rPr>
          <w:rFonts w:hint="eastAsia" w:ascii="宋体" w:hAnsi="宋体" w:cs="宋体"/>
          <w:szCs w:val="21"/>
        </w:rPr>
        <w:t>（一）项目管理机构组成表</w:t>
      </w:r>
      <w:bookmarkEnd w:id="182"/>
    </w:p>
    <w:p>
      <w:pPr>
        <w:pStyle w:val="51"/>
        <w:spacing w:line="360" w:lineRule="auto"/>
      </w:pPr>
    </w:p>
    <w:tbl>
      <w:tblPr>
        <w:tblStyle w:val="42"/>
        <w:tblpPr w:leftFromText="180" w:rightFromText="180" w:vertAnchor="text" w:horzAnchor="page" w:tblpX="1665" w:tblpY="2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22"/>
        <w:gridCol w:w="722"/>
        <w:gridCol w:w="1154"/>
        <w:gridCol w:w="785"/>
        <w:gridCol w:w="2208"/>
        <w:gridCol w:w="1624"/>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vMerge w:val="restart"/>
            <w:noWrap/>
            <w:vAlign w:val="center"/>
          </w:tcPr>
          <w:p>
            <w:pPr>
              <w:spacing w:line="360" w:lineRule="auto"/>
              <w:jc w:val="center"/>
              <w:rPr>
                <w:rFonts w:ascii="宋体" w:hAnsi="宋体"/>
                <w:szCs w:val="21"/>
              </w:rPr>
            </w:pPr>
            <w:r>
              <w:rPr>
                <w:rFonts w:hint="eastAsia" w:ascii="宋体" w:hAnsi="宋体"/>
                <w:szCs w:val="21"/>
              </w:rPr>
              <w:t>职务</w:t>
            </w:r>
          </w:p>
        </w:tc>
        <w:tc>
          <w:tcPr>
            <w:tcW w:w="722" w:type="dxa"/>
            <w:vMerge w:val="restart"/>
            <w:noWrap/>
            <w:vAlign w:val="center"/>
          </w:tcPr>
          <w:p>
            <w:pPr>
              <w:spacing w:line="360" w:lineRule="auto"/>
              <w:jc w:val="center"/>
              <w:rPr>
                <w:rFonts w:ascii="宋体" w:hAnsi="宋体"/>
                <w:szCs w:val="21"/>
              </w:rPr>
            </w:pPr>
            <w:r>
              <w:rPr>
                <w:rFonts w:hint="eastAsia" w:ascii="宋体" w:hAnsi="宋体"/>
                <w:szCs w:val="21"/>
              </w:rPr>
              <w:t>姓名</w:t>
            </w:r>
          </w:p>
        </w:tc>
        <w:tc>
          <w:tcPr>
            <w:tcW w:w="722" w:type="dxa"/>
            <w:vMerge w:val="restart"/>
            <w:noWrap/>
            <w:vAlign w:val="center"/>
          </w:tcPr>
          <w:p>
            <w:pPr>
              <w:spacing w:line="360" w:lineRule="auto"/>
              <w:jc w:val="center"/>
              <w:rPr>
                <w:rFonts w:ascii="宋体" w:hAnsi="宋体"/>
                <w:szCs w:val="21"/>
              </w:rPr>
            </w:pPr>
            <w:r>
              <w:rPr>
                <w:rFonts w:hint="eastAsia" w:ascii="宋体" w:hAnsi="宋体"/>
                <w:szCs w:val="21"/>
              </w:rPr>
              <w:t>职称</w:t>
            </w:r>
          </w:p>
        </w:tc>
        <w:tc>
          <w:tcPr>
            <w:tcW w:w="5771" w:type="dxa"/>
            <w:gridSpan w:val="4"/>
            <w:noWrap/>
            <w:vAlign w:val="center"/>
          </w:tcPr>
          <w:p>
            <w:pPr>
              <w:spacing w:line="360" w:lineRule="auto"/>
              <w:jc w:val="center"/>
              <w:rPr>
                <w:rFonts w:ascii="宋体" w:hAnsi="宋体"/>
                <w:szCs w:val="21"/>
              </w:rPr>
            </w:pPr>
            <w:r>
              <w:rPr>
                <w:rFonts w:hint="eastAsia" w:ascii="宋体" w:hAnsi="宋体"/>
                <w:szCs w:val="21"/>
              </w:rPr>
              <w:t>执业或职业资格证明</w:t>
            </w:r>
          </w:p>
        </w:tc>
        <w:tc>
          <w:tcPr>
            <w:tcW w:w="721" w:type="dxa"/>
            <w:noWrap/>
            <w:vAlign w:val="center"/>
          </w:tcPr>
          <w:p>
            <w:pPr>
              <w:spacing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vMerge w:val="continue"/>
            <w:noWrap/>
            <w:vAlign w:val="center"/>
          </w:tcPr>
          <w:p>
            <w:pPr>
              <w:spacing w:line="360" w:lineRule="auto"/>
              <w:jc w:val="center"/>
              <w:rPr>
                <w:rFonts w:ascii="宋体" w:hAnsi="宋体"/>
                <w:szCs w:val="21"/>
              </w:rPr>
            </w:pPr>
          </w:p>
        </w:tc>
        <w:tc>
          <w:tcPr>
            <w:tcW w:w="722" w:type="dxa"/>
            <w:vMerge w:val="continue"/>
            <w:noWrap/>
            <w:vAlign w:val="center"/>
          </w:tcPr>
          <w:p>
            <w:pPr>
              <w:spacing w:line="360" w:lineRule="auto"/>
              <w:jc w:val="center"/>
              <w:rPr>
                <w:rFonts w:ascii="宋体" w:hAnsi="宋体"/>
                <w:szCs w:val="21"/>
              </w:rPr>
            </w:pPr>
          </w:p>
        </w:tc>
        <w:tc>
          <w:tcPr>
            <w:tcW w:w="722" w:type="dxa"/>
            <w:vMerge w:val="continue"/>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r>
              <w:rPr>
                <w:rFonts w:hint="eastAsia" w:ascii="宋体" w:hAnsi="宋体"/>
                <w:szCs w:val="21"/>
              </w:rPr>
              <w:t>证书名称</w:t>
            </w:r>
          </w:p>
        </w:tc>
        <w:tc>
          <w:tcPr>
            <w:tcW w:w="785" w:type="dxa"/>
            <w:noWrap/>
            <w:vAlign w:val="center"/>
          </w:tcPr>
          <w:p>
            <w:pPr>
              <w:spacing w:line="360" w:lineRule="auto"/>
              <w:jc w:val="center"/>
              <w:rPr>
                <w:rFonts w:ascii="宋体" w:hAnsi="宋体"/>
                <w:szCs w:val="21"/>
              </w:rPr>
            </w:pPr>
            <w:r>
              <w:rPr>
                <w:rFonts w:hint="eastAsia" w:ascii="宋体" w:hAnsi="宋体"/>
                <w:szCs w:val="21"/>
              </w:rPr>
              <w:t>级别</w:t>
            </w:r>
          </w:p>
        </w:tc>
        <w:tc>
          <w:tcPr>
            <w:tcW w:w="2208" w:type="dxa"/>
            <w:noWrap/>
            <w:vAlign w:val="center"/>
          </w:tcPr>
          <w:p>
            <w:pPr>
              <w:spacing w:line="360" w:lineRule="auto"/>
              <w:jc w:val="center"/>
              <w:rPr>
                <w:rFonts w:ascii="宋体" w:hAnsi="宋体"/>
                <w:szCs w:val="21"/>
              </w:rPr>
            </w:pPr>
            <w:r>
              <w:rPr>
                <w:rFonts w:hint="eastAsia" w:ascii="宋体" w:hAnsi="宋体"/>
                <w:szCs w:val="21"/>
              </w:rPr>
              <w:t>证号</w:t>
            </w:r>
          </w:p>
        </w:tc>
        <w:tc>
          <w:tcPr>
            <w:tcW w:w="1624" w:type="dxa"/>
            <w:noWrap/>
            <w:vAlign w:val="center"/>
          </w:tcPr>
          <w:p>
            <w:pPr>
              <w:spacing w:line="360" w:lineRule="auto"/>
              <w:jc w:val="center"/>
              <w:rPr>
                <w:rFonts w:ascii="宋体" w:hAnsi="宋体"/>
                <w:szCs w:val="21"/>
              </w:rPr>
            </w:pPr>
            <w:r>
              <w:rPr>
                <w:rFonts w:hint="eastAsia" w:ascii="宋体" w:hAnsi="宋体"/>
                <w:szCs w:val="21"/>
              </w:rPr>
              <w:t>专业</w:t>
            </w: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722" w:type="dxa"/>
            <w:noWrap/>
            <w:vAlign w:val="center"/>
          </w:tcPr>
          <w:p>
            <w:pPr>
              <w:spacing w:line="360" w:lineRule="auto"/>
              <w:jc w:val="center"/>
              <w:rPr>
                <w:rFonts w:ascii="宋体" w:hAnsi="宋体"/>
                <w:szCs w:val="21"/>
              </w:rPr>
            </w:pPr>
          </w:p>
        </w:tc>
        <w:tc>
          <w:tcPr>
            <w:tcW w:w="1154" w:type="dxa"/>
            <w:noWrap/>
            <w:vAlign w:val="center"/>
          </w:tcPr>
          <w:p>
            <w:pPr>
              <w:spacing w:line="360" w:lineRule="auto"/>
              <w:jc w:val="center"/>
              <w:rPr>
                <w:rFonts w:ascii="宋体" w:hAnsi="宋体"/>
                <w:szCs w:val="21"/>
              </w:rPr>
            </w:pPr>
          </w:p>
        </w:tc>
        <w:tc>
          <w:tcPr>
            <w:tcW w:w="785" w:type="dxa"/>
            <w:noWrap/>
            <w:vAlign w:val="center"/>
          </w:tcPr>
          <w:p>
            <w:pPr>
              <w:spacing w:line="360" w:lineRule="auto"/>
              <w:jc w:val="center"/>
              <w:rPr>
                <w:rFonts w:ascii="宋体" w:hAnsi="宋体"/>
                <w:szCs w:val="21"/>
              </w:rPr>
            </w:pPr>
          </w:p>
        </w:tc>
        <w:tc>
          <w:tcPr>
            <w:tcW w:w="2208" w:type="dxa"/>
            <w:noWrap/>
            <w:vAlign w:val="center"/>
          </w:tcPr>
          <w:p>
            <w:pPr>
              <w:spacing w:line="360" w:lineRule="auto"/>
              <w:jc w:val="center"/>
              <w:rPr>
                <w:rFonts w:ascii="宋体" w:hAnsi="宋体"/>
                <w:szCs w:val="21"/>
              </w:rPr>
            </w:pPr>
          </w:p>
        </w:tc>
        <w:tc>
          <w:tcPr>
            <w:tcW w:w="1624" w:type="dxa"/>
            <w:noWrap/>
            <w:vAlign w:val="center"/>
          </w:tcPr>
          <w:p>
            <w:pPr>
              <w:spacing w:line="360" w:lineRule="auto"/>
              <w:jc w:val="center"/>
              <w:rPr>
                <w:rFonts w:ascii="宋体" w:hAnsi="宋体"/>
                <w:szCs w:val="21"/>
              </w:rPr>
            </w:pPr>
          </w:p>
        </w:tc>
        <w:tc>
          <w:tcPr>
            <w:tcW w:w="721" w:type="dxa"/>
            <w:noWrap/>
            <w:vAlign w:val="center"/>
          </w:tcPr>
          <w:p>
            <w:pPr>
              <w:spacing w:line="360" w:lineRule="auto"/>
              <w:jc w:val="center"/>
              <w:rPr>
                <w:rFonts w:ascii="宋体" w:hAnsi="宋体"/>
                <w:szCs w:val="21"/>
              </w:rPr>
            </w:pPr>
          </w:p>
        </w:tc>
      </w:tr>
    </w:tbl>
    <w:p>
      <w:pPr>
        <w:autoSpaceDE w:val="0"/>
        <w:autoSpaceDN w:val="0"/>
        <w:adjustRightInd w:val="0"/>
        <w:spacing w:line="360" w:lineRule="auto"/>
        <w:jc w:val="left"/>
        <w:rPr>
          <w:rFonts w:ascii="宋体" w:hAnsi="宋体" w:cs="仿宋_GB2312"/>
          <w:kern w:val="0"/>
          <w:szCs w:val="21"/>
        </w:rPr>
      </w:pPr>
      <w:r>
        <w:rPr>
          <w:rFonts w:hint="eastAsia" w:ascii="宋体" w:hAnsi="宋体" w:cs="仿宋_GB2312"/>
          <w:kern w:val="0"/>
          <w:szCs w:val="21"/>
        </w:rPr>
        <w:t>注：表格可自行增加</w:t>
      </w:r>
    </w:p>
    <w:p>
      <w:pPr>
        <w:spacing w:line="360" w:lineRule="auto"/>
        <w:rPr>
          <w:rFonts w:ascii="宋体" w:hAnsi="宋体" w:cs="宋体"/>
          <w:szCs w:val="21"/>
        </w:rPr>
      </w:pPr>
      <w:r>
        <w:rPr>
          <w:rFonts w:hint="eastAsia" w:ascii="宋体" w:hAnsi="宋体" w:cs="宋体"/>
          <w:szCs w:val="21"/>
        </w:rPr>
        <w:br w:type="page"/>
      </w:r>
    </w:p>
    <w:p>
      <w:pPr>
        <w:spacing w:line="360" w:lineRule="auto"/>
        <w:jc w:val="center"/>
        <w:rPr>
          <w:rFonts w:ascii="宋体" w:hAnsi="宋体"/>
        </w:rPr>
      </w:pPr>
      <w:bookmarkStart w:id="183" w:name="_Toc429747003"/>
      <w:r>
        <w:rPr>
          <w:rFonts w:hint="eastAsia" w:ascii="宋体" w:hAnsi="宋体"/>
        </w:rPr>
        <w:t>（二）主要人员简历表</w:t>
      </w:r>
      <w:bookmarkEnd w:id="183"/>
    </w:p>
    <w:p>
      <w:pPr>
        <w:spacing w:line="360" w:lineRule="auto"/>
        <w:jc w:val="center"/>
        <w:rPr>
          <w:rFonts w:ascii="宋体" w:hAnsi="宋体"/>
        </w:rPr>
      </w:pPr>
    </w:p>
    <w:p>
      <w:pPr>
        <w:spacing w:line="360" w:lineRule="auto"/>
        <w:ind w:left="-300" w:leftChars="-143" w:firstLine="210" w:firstLineChars="100"/>
        <w:rPr>
          <w:rFonts w:ascii="宋体" w:hAnsi="宋体"/>
        </w:rPr>
      </w:pPr>
      <w:r>
        <w:rPr>
          <w:rFonts w:hint="eastAsia" w:ascii="宋体" w:hAnsi="宋体"/>
          <w:szCs w:val="21"/>
        </w:rPr>
        <w:t xml:space="preserve"> “主要人员简历表”中的项目经理应附身份证、注册证书、安全考核B证或职称证（如有）的复印件；其他主要人员应附职称证（执业证或上岗证书）、身份证的复印件。</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姓 名</w:t>
            </w:r>
          </w:p>
        </w:tc>
        <w:tc>
          <w:tcPr>
            <w:tcW w:w="1551"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1555" w:type="dxa"/>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年 龄</w:t>
            </w:r>
          </w:p>
        </w:tc>
        <w:tc>
          <w:tcPr>
            <w:tcW w:w="1552" w:type="dxa"/>
            <w:noWrap/>
            <w:vAlign w:val="center"/>
          </w:tcPr>
          <w:p>
            <w:pPr>
              <w:autoSpaceDE w:val="0"/>
              <w:autoSpaceDN w:val="0"/>
              <w:adjustRightInd w:val="0"/>
              <w:spacing w:line="360" w:lineRule="auto"/>
              <w:jc w:val="center"/>
              <w:rPr>
                <w:rFonts w:ascii="宋体" w:hAnsi="宋体" w:cs="仿宋_GB2312"/>
                <w:kern w:val="0"/>
                <w:szCs w:val="21"/>
              </w:rPr>
            </w:pPr>
          </w:p>
        </w:tc>
        <w:tc>
          <w:tcPr>
            <w:tcW w:w="1843" w:type="dxa"/>
            <w:gridSpan w:val="2"/>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学 历</w:t>
            </w:r>
          </w:p>
        </w:tc>
        <w:tc>
          <w:tcPr>
            <w:tcW w:w="1263" w:type="dxa"/>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职 称</w:t>
            </w:r>
          </w:p>
        </w:tc>
        <w:tc>
          <w:tcPr>
            <w:tcW w:w="1551"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1555" w:type="dxa"/>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职 务</w:t>
            </w:r>
          </w:p>
        </w:tc>
        <w:tc>
          <w:tcPr>
            <w:tcW w:w="1552" w:type="dxa"/>
            <w:noWrap/>
            <w:vAlign w:val="center"/>
          </w:tcPr>
          <w:p>
            <w:pPr>
              <w:autoSpaceDE w:val="0"/>
              <w:autoSpaceDN w:val="0"/>
              <w:adjustRightInd w:val="0"/>
              <w:spacing w:line="360" w:lineRule="auto"/>
              <w:jc w:val="center"/>
              <w:rPr>
                <w:rFonts w:ascii="宋体" w:hAnsi="宋体" w:cs="仿宋_GB2312"/>
                <w:kern w:val="0"/>
                <w:szCs w:val="21"/>
              </w:rPr>
            </w:pPr>
          </w:p>
        </w:tc>
        <w:tc>
          <w:tcPr>
            <w:tcW w:w="1843" w:type="dxa"/>
            <w:gridSpan w:val="2"/>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拟在本合同任职</w:t>
            </w:r>
          </w:p>
        </w:tc>
        <w:tc>
          <w:tcPr>
            <w:tcW w:w="1263" w:type="dxa"/>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时 间</w:t>
            </w: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参加过的类似项目</w:t>
            </w: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担任职务</w:t>
            </w: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r>
              <w:rPr>
                <w:rFonts w:hint="eastAsia" w:ascii="宋体" w:hAnsi="宋体" w:cs="仿宋_GB2312"/>
                <w:kern w:val="0"/>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9"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28" w:type="dxa"/>
            <w:gridSpan w:val="2"/>
            <w:noWrap/>
            <w:vAlign w:val="center"/>
          </w:tcPr>
          <w:p>
            <w:pPr>
              <w:autoSpaceDE w:val="0"/>
              <w:autoSpaceDN w:val="0"/>
              <w:adjustRightInd w:val="0"/>
              <w:spacing w:line="360" w:lineRule="auto"/>
              <w:jc w:val="center"/>
              <w:rPr>
                <w:rFonts w:ascii="宋体" w:hAnsi="宋体" w:cs="仿宋_GB2312"/>
                <w:kern w:val="0"/>
                <w:szCs w:val="21"/>
              </w:rPr>
            </w:pPr>
          </w:p>
        </w:tc>
        <w:tc>
          <w:tcPr>
            <w:tcW w:w="2330" w:type="dxa"/>
            <w:gridSpan w:val="2"/>
            <w:noWrap/>
            <w:vAlign w:val="center"/>
          </w:tcPr>
          <w:p>
            <w:pPr>
              <w:autoSpaceDE w:val="0"/>
              <w:autoSpaceDN w:val="0"/>
              <w:adjustRightInd w:val="0"/>
              <w:spacing w:line="360" w:lineRule="auto"/>
              <w:jc w:val="center"/>
              <w:rPr>
                <w:rFonts w:ascii="宋体" w:hAnsi="宋体" w:cs="仿宋_GB2312"/>
                <w:kern w:val="0"/>
                <w:szCs w:val="21"/>
              </w:rPr>
            </w:pPr>
          </w:p>
        </w:tc>
      </w:tr>
    </w:tbl>
    <w:p>
      <w:pPr>
        <w:autoSpaceDE w:val="0"/>
        <w:autoSpaceDN w:val="0"/>
        <w:adjustRightInd w:val="0"/>
        <w:spacing w:line="360" w:lineRule="auto"/>
        <w:jc w:val="left"/>
        <w:rPr>
          <w:rFonts w:ascii="宋体" w:hAnsi="宋体"/>
          <w:kern w:val="0"/>
          <w:sz w:val="28"/>
          <w:szCs w:val="28"/>
        </w:rPr>
      </w:pPr>
    </w:p>
    <w:p>
      <w:pPr>
        <w:autoSpaceDE w:val="0"/>
        <w:autoSpaceDN w:val="0"/>
        <w:adjustRightInd w:val="0"/>
        <w:spacing w:line="360" w:lineRule="auto"/>
        <w:jc w:val="left"/>
        <w:rPr>
          <w:rFonts w:ascii="宋体" w:hAnsi="宋体" w:cs="仿宋_GB2312"/>
          <w:kern w:val="0"/>
          <w:szCs w:val="21"/>
        </w:rPr>
      </w:pPr>
      <w:r>
        <w:rPr>
          <w:rFonts w:hint="eastAsia" w:ascii="宋体" w:hAnsi="宋体" w:cs="仿宋_GB2312"/>
          <w:kern w:val="0"/>
          <w:szCs w:val="21"/>
        </w:rPr>
        <w:t>注：表格可自行增加</w:t>
      </w:r>
    </w:p>
    <w:p>
      <w:pPr>
        <w:spacing w:line="360" w:lineRule="auto"/>
        <w:rPr>
          <w:rFonts w:ascii="宋体" w:hAnsi="宋体" w:cs="宋体"/>
          <w:szCs w:val="21"/>
        </w:rPr>
      </w:pPr>
      <w:r>
        <w:rPr>
          <w:rFonts w:hint="eastAsia" w:ascii="宋体" w:hAnsi="宋体" w:cs="宋体"/>
          <w:szCs w:val="21"/>
        </w:rPr>
        <w:br w:type="page"/>
      </w:r>
    </w:p>
    <w:p>
      <w:pPr>
        <w:pStyle w:val="5"/>
        <w:spacing w:before="0" w:after="0" w:line="360" w:lineRule="auto"/>
        <w:jc w:val="center"/>
        <w:rPr>
          <w:rFonts w:ascii="宋体" w:hAnsi="宋体" w:eastAsia="宋体" w:cs="宋体"/>
          <w:bCs w:val="0"/>
          <w:sz w:val="28"/>
          <w:szCs w:val="28"/>
        </w:rPr>
      </w:pPr>
      <w:bookmarkStart w:id="184" w:name="_Toc48809210"/>
      <w:bookmarkStart w:id="185" w:name="_Toc49166057"/>
      <w:bookmarkStart w:id="186" w:name="_Toc27395"/>
      <w:bookmarkStart w:id="187" w:name="_Toc48808926"/>
      <w:bookmarkStart w:id="188" w:name="_Toc13546"/>
      <w:r>
        <w:rPr>
          <w:rFonts w:hint="eastAsia" w:ascii="宋体" w:hAnsi="宋体" w:eastAsia="宋体" w:cs="宋体"/>
          <w:bCs w:val="0"/>
          <w:sz w:val="28"/>
          <w:szCs w:val="28"/>
        </w:rPr>
        <w:t>五、资格审查资料</w:t>
      </w:r>
      <w:bookmarkEnd w:id="184"/>
      <w:bookmarkEnd w:id="185"/>
      <w:bookmarkEnd w:id="186"/>
      <w:bookmarkEnd w:id="187"/>
      <w:bookmarkEnd w:id="188"/>
    </w:p>
    <w:p>
      <w:pPr>
        <w:spacing w:line="360" w:lineRule="auto"/>
        <w:jc w:val="center"/>
        <w:rPr>
          <w:rFonts w:ascii="宋体" w:hAnsi="宋体" w:cs="宋体"/>
          <w:szCs w:val="21"/>
        </w:rPr>
      </w:pPr>
      <w:bookmarkStart w:id="189" w:name="_Toc429747005"/>
    </w:p>
    <w:p>
      <w:pPr>
        <w:spacing w:line="360" w:lineRule="auto"/>
        <w:jc w:val="center"/>
        <w:rPr>
          <w:rFonts w:ascii="宋体" w:hAnsi="宋体" w:cs="宋体"/>
          <w:szCs w:val="21"/>
        </w:rPr>
      </w:pPr>
      <w:r>
        <w:rPr>
          <w:rFonts w:hint="eastAsia" w:ascii="宋体" w:hAnsi="宋体" w:cs="宋体"/>
          <w:szCs w:val="21"/>
        </w:rPr>
        <w:t>（一）供应商基本情况表</w:t>
      </w:r>
      <w:bookmarkEnd w:id="189"/>
    </w:p>
    <w:p>
      <w:pPr>
        <w:spacing w:line="360" w:lineRule="auto"/>
        <w:jc w:val="center"/>
        <w:rPr>
          <w:rFonts w:ascii="宋体" w:hAnsi="宋体" w:cs="宋体"/>
          <w:szCs w:val="21"/>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供应商名称</w:t>
            </w:r>
          </w:p>
        </w:tc>
        <w:tc>
          <w:tcPr>
            <w:tcW w:w="7020" w:type="dxa"/>
            <w:gridSpan w:val="9"/>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注册地址</w:t>
            </w:r>
          </w:p>
        </w:tc>
        <w:tc>
          <w:tcPr>
            <w:tcW w:w="3389" w:type="dxa"/>
            <w:gridSpan w:val="5"/>
            <w:noWrap/>
            <w:vAlign w:val="center"/>
          </w:tcPr>
          <w:p>
            <w:pPr>
              <w:spacing w:line="360" w:lineRule="auto"/>
              <w:jc w:val="center"/>
              <w:rPr>
                <w:rFonts w:ascii="宋体" w:hAnsi="宋体"/>
                <w:szCs w:val="21"/>
              </w:rPr>
            </w:pPr>
          </w:p>
        </w:tc>
        <w:tc>
          <w:tcPr>
            <w:tcW w:w="1246" w:type="dxa"/>
            <w:noWrap/>
            <w:vAlign w:val="center"/>
          </w:tcPr>
          <w:p>
            <w:pPr>
              <w:spacing w:line="360" w:lineRule="auto"/>
              <w:jc w:val="center"/>
              <w:rPr>
                <w:rFonts w:ascii="宋体" w:hAnsi="宋体"/>
                <w:szCs w:val="21"/>
              </w:rPr>
            </w:pPr>
            <w:r>
              <w:rPr>
                <w:rFonts w:hint="eastAsia" w:ascii="宋体" w:hAnsi="宋体"/>
                <w:szCs w:val="21"/>
              </w:rPr>
              <w:t>邮政编码</w:t>
            </w:r>
          </w:p>
        </w:tc>
        <w:tc>
          <w:tcPr>
            <w:tcW w:w="2385" w:type="dxa"/>
            <w:gridSpan w:val="3"/>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restart"/>
            <w:noWrap/>
            <w:vAlign w:val="center"/>
          </w:tcPr>
          <w:p>
            <w:pPr>
              <w:spacing w:line="360" w:lineRule="auto"/>
              <w:jc w:val="center"/>
              <w:rPr>
                <w:rFonts w:ascii="宋体" w:hAnsi="宋体"/>
                <w:szCs w:val="21"/>
              </w:rPr>
            </w:pPr>
            <w:r>
              <w:rPr>
                <w:rFonts w:hint="eastAsia" w:ascii="宋体" w:hAnsi="宋体"/>
                <w:szCs w:val="21"/>
              </w:rPr>
              <w:t>联系方式</w:t>
            </w:r>
          </w:p>
        </w:tc>
        <w:tc>
          <w:tcPr>
            <w:tcW w:w="897" w:type="dxa"/>
            <w:noWrap/>
            <w:vAlign w:val="center"/>
          </w:tcPr>
          <w:p>
            <w:pPr>
              <w:spacing w:line="360" w:lineRule="auto"/>
              <w:jc w:val="center"/>
              <w:rPr>
                <w:rFonts w:ascii="宋体" w:hAnsi="宋体"/>
                <w:szCs w:val="21"/>
              </w:rPr>
            </w:pPr>
            <w:r>
              <w:rPr>
                <w:rFonts w:hint="eastAsia" w:ascii="宋体" w:hAnsi="宋体"/>
                <w:szCs w:val="21"/>
              </w:rPr>
              <w:t>联系人</w:t>
            </w:r>
          </w:p>
        </w:tc>
        <w:tc>
          <w:tcPr>
            <w:tcW w:w="2492" w:type="dxa"/>
            <w:gridSpan w:val="4"/>
            <w:noWrap/>
            <w:vAlign w:val="center"/>
          </w:tcPr>
          <w:p>
            <w:pPr>
              <w:spacing w:line="360" w:lineRule="auto"/>
              <w:jc w:val="center"/>
              <w:rPr>
                <w:rFonts w:ascii="宋体" w:hAnsi="宋体"/>
                <w:szCs w:val="21"/>
              </w:rPr>
            </w:pPr>
          </w:p>
        </w:tc>
        <w:tc>
          <w:tcPr>
            <w:tcW w:w="1246" w:type="dxa"/>
            <w:noWrap/>
            <w:vAlign w:val="center"/>
          </w:tcPr>
          <w:p>
            <w:pPr>
              <w:spacing w:line="360" w:lineRule="auto"/>
              <w:jc w:val="center"/>
              <w:rPr>
                <w:rFonts w:ascii="宋体" w:hAnsi="宋体"/>
                <w:szCs w:val="21"/>
              </w:rPr>
            </w:pPr>
            <w:r>
              <w:rPr>
                <w:rFonts w:hint="eastAsia" w:ascii="宋体" w:hAnsi="宋体"/>
                <w:szCs w:val="21"/>
              </w:rPr>
              <w:t>电  话</w:t>
            </w:r>
          </w:p>
        </w:tc>
        <w:tc>
          <w:tcPr>
            <w:tcW w:w="2385" w:type="dxa"/>
            <w:gridSpan w:val="3"/>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continue"/>
            <w:noWrap/>
            <w:vAlign w:val="center"/>
          </w:tcPr>
          <w:p>
            <w:pPr>
              <w:spacing w:line="360" w:lineRule="auto"/>
              <w:jc w:val="center"/>
              <w:rPr>
                <w:rFonts w:ascii="宋体" w:hAnsi="宋体"/>
                <w:szCs w:val="21"/>
              </w:rPr>
            </w:pPr>
          </w:p>
        </w:tc>
        <w:tc>
          <w:tcPr>
            <w:tcW w:w="897" w:type="dxa"/>
            <w:noWrap/>
            <w:vAlign w:val="center"/>
          </w:tcPr>
          <w:p>
            <w:pPr>
              <w:spacing w:line="360" w:lineRule="auto"/>
              <w:jc w:val="center"/>
              <w:rPr>
                <w:rFonts w:ascii="宋体" w:hAnsi="宋体"/>
                <w:szCs w:val="21"/>
              </w:rPr>
            </w:pPr>
            <w:r>
              <w:rPr>
                <w:rFonts w:hint="eastAsia" w:ascii="宋体" w:hAnsi="宋体"/>
                <w:szCs w:val="21"/>
              </w:rPr>
              <w:t>传  真</w:t>
            </w:r>
          </w:p>
        </w:tc>
        <w:tc>
          <w:tcPr>
            <w:tcW w:w="2492" w:type="dxa"/>
            <w:gridSpan w:val="4"/>
            <w:noWrap/>
            <w:vAlign w:val="center"/>
          </w:tcPr>
          <w:p>
            <w:pPr>
              <w:spacing w:line="360" w:lineRule="auto"/>
              <w:jc w:val="center"/>
              <w:rPr>
                <w:rFonts w:ascii="宋体" w:hAnsi="宋体"/>
                <w:szCs w:val="21"/>
              </w:rPr>
            </w:pPr>
          </w:p>
        </w:tc>
        <w:tc>
          <w:tcPr>
            <w:tcW w:w="1246" w:type="dxa"/>
            <w:noWrap/>
            <w:vAlign w:val="center"/>
          </w:tcPr>
          <w:p>
            <w:pPr>
              <w:spacing w:line="360" w:lineRule="auto"/>
              <w:jc w:val="center"/>
              <w:rPr>
                <w:rFonts w:ascii="宋体" w:hAnsi="宋体"/>
                <w:szCs w:val="21"/>
              </w:rPr>
            </w:pPr>
            <w:r>
              <w:rPr>
                <w:rFonts w:hint="eastAsia" w:ascii="宋体" w:hAnsi="宋体"/>
                <w:szCs w:val="21"/>
              </w:rPr>
              <w:t>网  址</w:t>
            </w:r>
          </w:p>
        </w:tc>
        <w:tc>
          <w:tcPr>
            <w:tcW w:w="2385" w:type="dxa"/>
            <w:gridSpan w:val="3"/>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组织结构</w:t>
            </w:r>
          </w:p>
        </w:tc>
        <w:tc>
          <w:tcPr>
            <w:tcW w:w="7020" w:type="dxa"/>
            <w:gridSpan w:val="9"/>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法定代表人</w:t>
            </w:r>
          </w:p>
        </w:tc>
        <w:tc>
          <w:tcPr>
            <w:tcW w:w="897" w:type="dxa"/>
            <w:noWrap/>
            <w:vAlign w:val="center"/>
          </w:tcPr>
          <w:p>
            <w:pPr>
              <w:spacing w:line="360" w:lineRule="auto"/>
              <w:jc w:val="center"/>
              <w:rPr>
                <w:rFonts w:ascii="宋体" w:hAnsi="宋体"/>
                <w:szCs w:val="21"/>
              </w:rPr>
            </w:pPr>
            <w:r>
              <w:rPr>
                <w:rFonts w:hint="eastAsia" w:ascii="宋体" w:hAnsi="宋体"/>
                <w:szCs w:val="21"/>
              </w:rPr>
              <w:t>姓名</w:t>
            </w:r>
          </w:p>
        </w:tc>
        <w:tc>
          <w:tcPr>
            <w:tcW w:w="1021" w:type="dxa"/>
            <w:noWrap/>
            <w:vAlign w:val="center"/>
          </w:tcPr>
          <w:p>
            <w:pPr>
              <w:spacing w:line="360" w:lineRule="auto"/>
              <w:jc w:val="center"/>
              <w:rPr>
                <w:rFonts w:ascii="宋体" w:hAnsi="宋体"/>
                <w:szCs w:val="21"/>
              </w:rPr>
            </w:pPr>
          </w:p>
        </w:tc>
        <w:tc>
          <w:tcPr>
            <w:tcW w:w="1276" w:type="dxa"/>
            <w:gridSpan w:val="2"/>
            <w:noWrap/>
            <w:vAlign w:val="center"/>
          </w:tcPr>
          <w:p>
            <w:pPr>
              <w:spacing w:line="360" w:lineRule="auto"/>
              <w:jc w:val="center"/>
              <w:rPr>
                <w:rFonts w:ascii="宋体" w:hAnsi="宋体"/>
                <w:szCs w:val="21"/>
              </w:rPr>
            </w:pPr>
            <w:r>
              <w:rPr>
                <w:rFonts w:hint="eastAsia" w:ascii="宋体" w:hAnsi="宋体"/>
                <w:szCs w:val="21"/>
              </w:rPr>
              <w:t>技术职称</w:t>
            </w:r>
          </w:p>
        </w:tc>
        <w:tc>
          <w:tcPr>
            <w:tcW w:w="1701" w:type="dxa"/>
            <w:gridSpan w:val="3"/>
            <w:noWrap/>
            <w:vAlign w:val="center"/>
          </w:tcPr>
          <w:p>
            <w:pPr>
              <w:spacing w:line="360" w:lineRule="auto"/>
              <w:jc w:val="center"/>
              <w:rPr>
                <w:rFonts w:ascii="宋体" w:hAnsi="宋体"/>
                <w:szCs w:val="21"/>
              </w:rPr>
            </w:pPr>
          </w:p>
        </w:tc>
        <w:tc>
          <w:tcPr>
            <w:tcW w:w="709" w:type="dxa"/>
            <w:noWrap/>
            <w:vAlign w:val="center"/>
          </w:tcPr>
          <w:p>
            <w:pPr>
              <w:spacing w:line="360" w:lineRule="auto"/>
              <w:jc w:val="center"/>
              <w:rPr>
                <w:rFonts w:ascii="宋体" w:hAnsi="宋体"/>
                <w:szCs w:val="21"/>
              </w:rPr>
            </w:pPr>
            <w:r>
              <w:rPr>
                <w:rFonts w:hint="eastAsia" w:ascii="宋体" w:hAnsi="宋体"/>
                <w:szCs w:val="21"/>
              </w:rPr>
              <w:t>电话</w:t>
            </w:r>
          </w:p>
        </w:tc>
        <w:tc>
          <w:tcPr>
            <w:tcW w:w="1416"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技术负责人</w:t>
            </w:r>
          </w:p>
        </w:tc>
        <w:tc>
          <w:tcPr>
            <w:tcW w:w="897" w:type="dxa"/>
            <w:noWrap/>
            <w:vAlign w:val="center"/>
          </w:tcPr>
          <w:p>
            <w:pPr>
              <w:spacing w:line="360" w:lineRule="auto"/>
              <w:jc w:val="center"/>
              <w:rPr>
                <w:rFonts w:ascii="宋体" w:hAnsi="宋体"/>
                <w:szCs w:val="21"/>
              </w:rPr>
            </w:pPr>
            <w:r>
              <w:rPr>
                <w:rFonts w:hint="eastAsia" w:ascii="宋体" w:hAnsi="宋体"/>
                <w:szCs w:val="21"/>
              </w:rPr>
              <w:t>姓名</w:t>
            </w:r>
          </w:p>
        </w:tc>
        <w:tc>
          <w:tcPr>
            <w:tcW w:w="1021" w:type="dxa"/>
            <w:noWrap/>
            <w:vAlign w:val="center"/>
          </w:tcPr>
          <w:p>
            <w:pPr>
              <w:spacing w:line="360" w:lineRule="auto"/>
              <w:jc w:val="center"/>
              <w:rPr>
                <w:rFonts w:ascii="宋体" w:hAnsi="宋体"/>
                <w:szCs w:val="21"/>
              </w:rPr>
            </w:pPr>
          </w:p>
        </w:tc>
        <w:tc>
          <w:tcPr>
            <w:tcW w:w="1276" w:type="dxa"/>
            <w:gridSpan w:val="2"/>
            <w:noWrap/>
            <w:vAlign w:val="center"/>
          </w:tcPr>
          <w:p>
            <w:pPr>
              <w:spacing w:line="360" w:lineRule="auto"/>
              <w:jc w:val="center"/>
              <w:rPr>
                <w:rFonts w:ascii="宋体" w:hAnsi="宋体"/>
                <w:szCs w:val="21"/>
              </w:rPr>
            </w:pPr>
            <w:r>
              <w:rPr>
                <w:rFonts w:hint="eastAsia" w:ascii="宋体" w:hAnsi="宋体"/>
                <w:szCs w:val="21"/>
              </w:rPr>
              <w:t>技术职称</w:t>
            </w:r>
          </w:p>
        </w:tc>
        <w:tc>
          <w:tcPr>
            <w:tcW w:w="1701" w:type="dxa"/>
            <w:gridSpan w:val="3"/>
            <w:noWrap/>
            <w:vAlign w:val="center"/>
          </w:tcPr>
          <w:p>
            <w:pPr>
              <w:spacing w:line="360" w:lineRule="auto"/>
              <w:jc w:val="center"/>
              <w:rPr>
                <w:rFonts w:ascii="宋体" w:hAnsi="宋体"/>
                <w:szCs w:val="21"/>
              </w:rPr>
            </w:pPr>
          </w:p>
        </w:tc>
        <w:tc>
          <w:tcPr>
            <w:tcW w:w="709" w:type="dxa"/>
            <w:noWrap/>
            <w:vAlign w:val="center"/>
          </w:tcPr>
          <w:p>
            <w:pPr>
              <w:spacing w:line="360" w:lineRule="auto"/>
              <w:jc w:val="center"/>
              <w:rPr>
                <w:rFonts w:ascii="宋体" w:hAnsi="宋体"/>
                <w:szCs w:val="21"/>
              </w:rPr>
            </w:pPr>
            <w:r>
              <w:rPr>
                <w:rFonts w:hint="eastAsia" w:ascii="宋体" w:hAnsi="宋体"/>
                <w:szCs w:val="21"/>
              </w:rPr>
              <w:t>电话</w:t>
            </w:r>
          </w:p>
        </w:tc>
        <w:tc>
          <w:tcPr>
            <w:tcW w:w="1416" w:type="dxa"/>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成立时间</w:t>
            </w:r>
          </w:p>
        </w:tc>
        <w:tc>
          <w:tcPr>
            <w:tcW w:w="1918" w:type="dxa"/>
            <w:gridSpan w:val="2"/>
            <w:noWrap/>
            <w:vAlign w:val="center"/>
          </w:tcPr>
          <w:p>
            <w:pPr>
              <w:spacing w:line="360" w:lineRule="auto"/>
              <w:jc w:val="center"/>
              <w:rPr>
                <w:rFonts w:ascii="宋体" w:hAnsi="宋体"/>
                <w:szCs w:val="21"/>
              </w:rPr>
            </w:pPr>
          </w:p>
        </w:tc>
        <w:tc>
          <w:tcPr>
            <w:tcW w:w="5102" w:type="dxa"/>
            <w:gridSpan w:val="7"/>
            <w:noWrap/>
            <w:vAlign w:val="center"/>
          </w:tcPr>
          <w:p>
            <w:pPr>
              <w:spacing w:line="360" w:lineRule="auto"/>
              <w:jc w:val="center"/>
              <w:rPr>
                <w:rFonts w:ascii="宋体" w:hAnsi="宋体"/>
                <w:szCs w:val="21"/>
              </w:rPr>
            </w:pPr>
            <w:r>
              <w:rPr>
                <w:rFonts w:hint="eastAsia" w:ascii="宋体" w:hAnsi="宋体"/>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企业资质等级</w:t>
            </w:r>
          </w:p>
        </w:tc>
        <w:tc>
          <w:tcPr>
            <w:tcW w:w="1918" w:type="dxa"/>
            <w:gridSpan w:val="2"/>
            <w:noWrap/>
            <w:vAlign w:val="center"/>
          </w:tcPr>
          <w:p>
            <w:pPr>
              <w:spacing w:line="360" w:lineRule="auto"/>
              <w:jc w:val="center"/>
              <w:rPr>
                <w:rFonts w:ascii="宋体" w:hAnsi="宋体"/>
                <w:szCs w:val="21"/>
              </w:rPr>
            </w:pPr>
          </w:p>
        </w:tc>
        <w:tc>
          <w:tcPr>
            <w:tcW w:w="993" w:type="dxa"/>
            <w:vMerge w:val="restart"/>
            <w:noWrap/>
            <w:vAlign w:val="center"/>
          </w:tcPr>
          <w:p>
            <w:pPr>
              <w:spacing w:line="360" w:lineRule="auto"/>
              <w:jc w:val="center"/>
              <w:rPr>
                <w:rFonts w:ascii="宋体" w:hAnsi="宋体"/>
                <w:szCs w:val="21"/>
              </w:rPr>
            </w:pPr>
            <w:r>
              <w:rPr>
                <w:rFonts w:hint="eastAsia" w:ascii="宋体" w:hAnsi="宋体"/>
                <w:szCs w:val="21"/>
              </w:rPr>
              <w:t>其中</w:t>
            </w:r>
          </w:p>
        </w:tc>
        <w:tc>
          <w:tcPr>
            <w:tcW w:w="1984" w:type="dxa"/>
            <w:gridSpan w:val="4"/>
            <w:noWrap/>
            <w:vAlign w:val="center"/>
          </w:tcPr>
          <w:p>
            <w:pPr>
              <w:spacing w:line="360" w:lineRule="auto"/>
              <w:jc w:val="center"/>
              <w:rPr>
                <w:rFonts w:ascii="宋体" w:hAnsi="宋体"/>
                <w:szCs w:val="21"/>
              </w:rPr>
            </w:pPr>
            <w:r>
              <w:rPr>
                <w:rFonts w:hint="eastAsia" w:ascii="宋体" w:hAnsi="宋体"/>
                <w:szCs w:val="21"/>
              </w:rPr>
              <w:t>项目负责人</w:t>
            </w:r>
          </w:p>
        </w:tc>
        <w:tc>
          <w:tcPr>
            <w:tcW w:w="2125" w:type="dxa"/>
            <w:gridSpan w:val="2"/>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营业执照号</w:t>
            </w:r>
          </w:p>
        </w:tc>
        <w:tc>
          <w:tcPr>
            <w:tcW w:w="1918" w:type="dxa"/>
            <w:gridSpan w:val="2"/>
            <w:noWrap/>
            <w:vAlign w:val="center"/>
          </w:tcPr>
          <w:p>
            <w:pPr>
              <w:spacing w:line="360" w:lineRule="auto"/>
              <w:jc w:val="center"/>
              <w:rPr>
                <w:rFonts w:ascii="宋体" w:hAnsi="宋体"/>
                <w:szCs w:val="21"/>
              </w:rPr>
            </w:pPr>
          </w:p>
        </w:tc>
        <w:tc>
          <w:tcPr>
            <w:tcW w:w="993" w:type="dxa"/>
            <w:vMerge w:val="continue"/>
            <w:noWrap/>
            <w:vAlign w:val="center"/>
          </w:tcPr>
          <w:p>
            <w:pPr>
              <w:spacing w:line="360" w:lineRule="auto"/>
              <w:jc w:val="center"/>
              <w:rPr>
                <w:rFonts w:ascii="宋体" w:hAnsi="宋体"/>
                <w:szCs w:val="21"/>
              </w:rPr>
            </w:pPr>
          </w:p>
        </w:tc>
        <w:tc>
          <w:tcPr>
            <w:tcW w:w="1984" w:type="dxa"/>
            <w:gridSpan w:val="4"/>
            <w:noWrap/>
            <w:vAlign w:val="center"/>
          </w:tcPr>
          <w:p>
            <w:pPr>
              <w:spacing w:line="360" w:lineRule="auto"/>
              <w:jc w:val="center"/>
              <w:rPr>
                <w:rFonts w:ascii="宋体" w:hAnsi="宋体"/>
                <w:szCs w:val="21"/>
              </w:rPr>
            </w:pPr>
            <w:r>
              <w:rPr>
                <w:rFonts w:hint="eastAsia" w:ascii="宋体" w:hAnsi="宋体"/>
                <w:szCs w:val="21"/>
              </w:rPr>
              <w:t>高级职称人员</w:t>
            </w:r>
          </w:p>
        </w:tc>
        <w:tc>
          <w:tcPr>
            <w:tcW w:w="2125" w:type="dxa"/>
            <w:gridSpan w:val="2"/>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注册资金</w:t>
            </w:r>
          </w:p>
        </w:tc>
        <w:tc>
          <w:tcPr>
            <w:tcW w:w="1918" w:type="dxa"/>
            <w:gridSpan w:val="2"/>
            <w:noWrap/>
            <w:vAlign w:val="center"/>
          </w:tcPr>
          <w:p>
            <w:pPr>
              <w:spacing w:line="360" w:lineRule="auto"/>
              <w:jc w:val="center"/>
              <w:rPr>
                <w:rFonts w:ascii="宋体" w:hAnsi="宋体"/>
                <w:szCs w:val="21"/>
              </w:rPr>
            </w:pPr>
          </w:p>
        </w:tc>
        <w:tc>
          <w:tcPr>
            <w:tcW w:w="993" w:type="dxa"/>
            <w:vMerge w:val="continue"/>
            <w:noWrap/>
            <w:vAlign w:val="center"/>
          </w:tcPr>
          <w:p>
            <w:pPr>
              <w:spacing w:line="360" w:lineRule="auto"/>
              <w:jc w:val="center"/>
              <w:rPr>
                <w:rFonts w:ascii="宋体" w:hAnsi="宋体"/>
                <w:szCs w:val="21"/>
              </w:rPr>
            </w:pPr>
          </w:p>
        </w:tc>
        <w:tc>
          <w:tcPr>
            <w:tcW w:w="1984" w:type="dxa"/>
            <w:gridSpan w:val="4"/>
            <w:noWrap/>
            <w:vAlign w:val="center"/>
          </w:tcPr>
          <w:p>
            <w:pPr>
              <w:spacing w:line="360" w:lineRule="auto"/>
              <w:jc w:val="center"/>
              <w:rPr>
                <w:rFonts w:ascii="宋体" w:hAnsi="宋体"/>
                <w:szCs w:val="21"/>
              </w:rPr>
            </w:pPr>
            <w:r>
              <w:rPr>
                <w:rFonts w:hint="eastAsia" w:ascii="宋体" w:hAnsi="宋体"/>
                <w:szCs w:val="21"/>
              </w:rPr>
              <w:t>中级职称人员</w:t>
            </w:r>
          </w:p>
        </w:tc>
        <w:tc>
          <w:tcPr>
            <w:tcW w:w="2125" w:type="dxa"/>
            <w:gridSpan w:val="2"/>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开户银行</w:t>
            </w:r>
          </w:p>
        </w:tc>
        <w:tc>
          <w:tcPr>
            <w:tcW w:w="1918" w:type="dxa"/>
            <w:gridSpan w:val="2"/>
            <w:noWrap/>
            <w:vAlign w:val="center"/>
          </w:tcPr>
          <w:p>
            <w:pPr>
              <w:spacing w:line="360" w:lineRule="auto"/>
              <w:jc w:val="center"/>
              <w:rPr>
                <w:rFonts w:ascii="宋体" w:hAnsi="宋体"/>
                <w:szCs w:val="21"/>
              </w:rPr>
            </w:pPr>
          </w:p>
        </w:tc>
        <w:tc>
          <w:tcPr>
            <w:tcW w:w="993" w:type="dxa"/>
            <w:vMerge w:val="continue"/>
            <w:noWrap/>
            <w:vAlign w:val="center"/>
          </w:tcPr>
          <w:p>
            <w:pPr>
              <w:spacing w:line="360" w:lineRule="auto"/>
              <w:jc w:val="center"/>
              <w:rPr>
                <w:rFonts w:ascii="宋体" w:hAnsi="宋体"/>
                <w:szCs w:val="21"/>
              </w:rPr>
            </w:pPr>
          </w:p>
        </w:tc>
        <w:tc>
          <w:tcPr>
            <w:tcW w:w="1984" w:type="dxa"/>
            <w:gridSpan w:val="4"/>
            <w:noWrap/>
            <w:vAlign w:val="center"/>
          </w:tcPr>
          <w:p>
            <w:pPr>
              <w:spacing w:line="360" w:lineRule="auto"/>
              <w:jc w:val="center"/>
              <w:rPr>
                <w:rFonts w:ascii="宋体" w:hAnsi="宋体"/>
                <w:szCs w:val="21"/>
              </w:rPr>
            </w:pPr>
            <w:r>
              <w:rPr>
                <w:rFonts w:hint="eastAsia" w:ascii="宋体" w:hAnsi="宋体"/>
                <w:szCs w:val="21"/>
              </w:rPr>
              <w:t>初级职称人员</w:t>
            </w:r>
          </w:p>
        </w:tc>
        <w:tc>
          <w:tcPr>
            <w:tcW w:w="2125" w:type="dxa"/>
            <w:gridSpan w:val="2"/>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账号</w:t>
            </w:r>
          </w:p>
        </w:tc>
        <w:tc>
          <w:tcPr>
            <w:tcW w:w="1918" w:type="dxa"/>
            <w:gridSpan w:val="2"/>
            <w:noWrap/>
            <w:vAlign w:val="center"/>
          </w:tcPr>
          <w:p>
            <w:pPr>
              <w:spacing w:line="360" w:lineRule="auto"/>
              <w:jc w:val="center"/>
              <w:rPr>
                <w:rFonts w:ascii="宋体" w:hAnsi="宋体"/>
                <w:szCs w:val="21"/>
              </w:rPr>
            </w:pPr>
          </w:p>
        </w:tc>
        <w:tc>
          <w:tcPr>
            <w:tcW w:w="993" w:type="dxa"/>
            <w:vMerge w:val="continue"/>
            <w:noWrap/>
            <w:vAlign w:val="center"/>
          </w:tcPr>
          <w:p>
            <w:pPr>
              <w:spacing w:line="360" w:lineRule="auto"/>
              <w:jc w:val="center"/>
              <w:rPr>
                <w:rFonts w:ascii="宋体" w:hAnsi="宋体"/>
                <w:szCs w:val="21"/>
              </w:rPr>
            </w:pPr>
          </w:p>
        </w:tc>
        <w:tc>
          <w:tcPr>
            <w:tcW w:w="1984" w:type="dxa"/>
            <w:gridSpan w:val="4"/>
            <w:noWrap/>
            <w:vAlign w:val="center"/>
          </w:tcPr>
          <w:p>
            <w:pPr>
              <w:spacing w:line="360" w:lineRule="auto"/>
              <w:jc w:val="center"/>
              <w:rPr>
                <w:rFonts w:ascii="宋体" w:hAnsi="宋体"/>
                <w:szCs w:val="21"/>
              </w:rPr>
            </w:pPr>
            <w:r>
              <w:rPr>
                <w:rFonts w:hint="eastAsia" w:ascii="宋体" w:hAnsi="宋体"/>
                <w:szCs w:val="21"/>
              </w:rPr>
              <w:t>技  工</w:t>
            </w:r>
          </w:p>
        </w:tc>
        <w:tc>
          <w:tcPr>
            <w:tcW w:w="2125" w:type="dxa"/>
            <w:gridSpan w:val="2"/>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经营范围</w:t>
            </w:r>
          </w:p>
        </w:tc>
        <w:tc>
          <w:tcPr>
            <w:tcW w:w="7020" w:type="dxa"/>
            <w:gridSpan w:val="9"/>
            <w:noWrap/>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ign w:val="center"/>
          </w:tcPr>
          <w:p>
            <w:pPr>
              <w:spacing w:line="360" w:lineRule="auto"/>
              <w:jc w:val="center"/>
              <w:rPr>
                <w:rFonts w:ascii="宋体" w:hAnsi="宋体"/>
                <w:szCs w:val="21"/>
              </w:rPr>
            </w:pPr>
            <w:r>
              <w:rPr>
                <w:rFonts w:hint="eastAsia" w:ascii="宋体" w:hAnsi="宋体"/>
                <w:szCs w:val="21"/>
              </w:rPr>
              <w:t xml:space="preserve">备注  </w:t>
            </w:r>
          </w:p>
        </w:tc>
        <w:tc>
          <w:tcPr>
            <w:tcW w:w="7020" w:type="dxa"/>
            <w:gridSpan w:val="9"/>
            <w:noWrap/>
            <w:vAlign w:val="center"/>
          </w:tcPr>
          <w:p>
            <w:pPr>
              <w:spacing w:line="360" w:lineRule="auto"/>
              <w:jc w:val="center"/>
              <w:rPr>
                <w:rFonts w:ascii="宋体" w:hAnsi="宋体"/>
                <w:szCs w:val="21"/>
              </w:rPr>
            </w:pPr>
          </w:p>
        </w:tc>
      </w:tr>
    </w:tbl>
    <w:p>
      <w:pPr>
        <w:spacing w:line="360" w:lineRule="auto"/>
        <w:ind w:firstLine="420" w:firstLineChars="200"/>
        <w:rPr>
          <w:rFonts w:ascii="宋体" w:hAnsi="宋体" w:cs="宋体"/>
          <w:szCs w:val="21"/>
        </w:rPr>
      </w:pPr>
      <w:r>
        <w:rPr>
          <w:rFonts w:hint="eastAsia" w:ascii="宋体" w:hAnsi="宋体" w:cs="宋体"/>
          <w:szCs w:val="21"/>
        </w:rPr>
        <w:t>备注：本表后应附供应商有效的资质证书副本等材料的复印件并加盖单位公章。</w:t>
      </w:r>
    </w:p>
    <w:p>
      <w:pPr>
        <w:spacing w:line="360" w:lineRule="auto"/>
        <w:rPr>
          <w:rFonts w:ascii="宋体" w:hAnsi="宋体" w:cs="宋体"/>
          <w:szCs w:val="21"/>
        </w:rPr>
      </w:pPr>
      <w:r>
        <w:rPr>
          <w:rFonts w:hint="eastAsia" w:ascii="宋体" w:hAnsi="宋体" w:cs="宋体"/>
          <w:szCs w:val="21"/>
        </w:rPr>
        <w:br w:type="page"/>
      </w:r>
    </w:p>
    <w:p>
      <w:pPr>
        <w:pStyle w:val="18"/>
        <w:rPr>
          <w:rFonts w:ascii="宋体" w:hAnsi="宋体" w:cs="宋体"/>
          <w:szCs w:val="21"/>
        </w:rPr>
      </w:pPr>
    </w:p>
    <w:p>
      <w:pPr>
        <w:spacing w:line="360" w:lineRule="auto"/>
        <w:jc w:val="center"/>
        <w:rPr>
          <w:rFonts w:ascii="Times New Roman" w:hAnsi="Times New Roman" w:cs="宋体"/>
          <w:b/>
          <w:bCs/>
          <w:szCs w:val="24"/>
        </w:rPr>
      </w:pPr>
      <w:r>
        <w:rPr>
          <w:rFonts w:hint="eastAsia" w:ascii="Times New Roman" w:hAnsi="Times New Roman" w:cs="宋体"/>
          <w:b/>
          <w:bCs/>
          <w:szCs w:val="24"/>
        </w:rPr>
        <w:t>（二）企业信誉情况表</w:t>
      </w: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jc w:val="center"/>
        <w:rPr>
          <w:rFonts w:hAnsi="宋体"/>
          <w:color w:val="auto"/>
          <w:sz w:val="30"/>
          <w:szCs w:val="30"/>
        </w:rPr>
      </w:pPr>
      <w:r>
        <w:rPr>
          <w:rFonts w:hint="eastAsia" w:hAnsi="宋体"/>
          <w:color w:val="auto"/>
          <w:sz w:val="30"/>
          <w:szCs w:val="30"/>
        </w:rPr>
        <w:t>在此附第三方征信机构出具的有效期内的信用报告扫描件</w:t>
      </w: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pStyle w:val="50"/>
        <w:rPr>
          <w:rFonts w:hAnsi="宋体"/>
          <w:color w:val="auto"/>
          <w:szCs w:val="21"/>
        </w:rPr>
      </w:pPr>
    </w:p>
    <w:p>
      <w:pPr>
        <w:spacing w:line="360" w:lineRule="auto"/>
        <w:jc w:val="center"/>
        <w:rPr>
          <w:rFonts w:ascii="Times New Roman" w:hAnsi="Times New Roman" w:cs="宋体"/>
          <w:b/>
          <w:bCs/>
          <w:szCs w:val="24"/>
        </w:rPr>
      </w:pPr>
      <w:bookmarkStart w:id="190" w:name="_Toc529865892"/>
      <w:bookmarkStart w:id="191" w:name="_Toc20130"/>
      <w:bookmarkStart w:id="192" w:name="_Toc48809211"/>
      <w:bookmarkStart w:id="193" w:name="_Toc49166058"/>
      <w:bookmarkStart w:id="194" w:name="_Toc48808927"/>
      <w:bookmarkStart w:id="195" w:name="_Toc23122"/>
      <w:r>
        <w:rPr>
          <w:rFonts w:hint="eastAsia" w:ascii="Times New Roman" w:hAnsi="Times New Roman" w:cs="宋体"/>
          <w:b/>
          <w:bCs/>
          <w:szCs w:val="24"/>
        </w:rPr>
        <w:t>（三）中小企业声明函</w:t>
      </w:r>
      <w:bookmarkEnd w:id="190"/>
      <w:bookmarkEnd w:id="191"/>
      <w:r>
        <w:rPr>
          <w:rFonts w:hint="eastAsia" w:ascii="Times New Roman" w:hAnsi="Times New Roman" w:cs="宋体"/>
          <w:b/>
          <w:bCs/>
          <w:szCs w:val="24"/>
        </w:rPr>
        <w:t>（工程、服务）</w:t>
      </w:r>
    </w:p>
    <w:p>
      <w:pPr>
        <w:spacing w:line="360" w:lineRule="auto"/>
        <w:ind w:left="420" w:leftChars="200" w:firstLine="315" w:firstLineChars="150"/>
        <w:rPr>
          <w:rFonts w:ascii="宋体" w:hAnsi="宋体"/>
          <w:szCs w:val="21"/>
        </w:rPr>
      </w:pPr>
      <w:r>
        <w:rPr>
          <w:rFonts w:hint="eastAsia" w:ascii="宋体" w:hAnsi="宋体"/>
          <w:szCs w:val="21"/>
        </w:rPr>
        <w:t>本公司郑重声明，根据《政府采购促进中小企业发展管理办法》（财库﹝2020﹞46 号）的规定，本公司参加</w:t>
      </w:r>
      <w:r>
        <w:rPr>
          <w:rFonts w:hint="eastAsia" w:ascii="宋体" w:hAnsi="宋体"/>
          <w:szCs w:val="21"/>
          <w:u w:val="single"/>
        </w:rPr>
        <w:t xml:space="preserve">    （单位名称）</w:t>
      </w:r>
      <w:r>
        <w:rPr>
          <w:rFonts w:hint="eastAsia" w:ascii="宋体" w:hAnsi="宋体"/>
          <w:szCs w:val="21"/>
        </w:rPr>
        <w:t>的</w:t>
      </w:r>
      <w:r>
        <w:rPr>
          <w:rFonts w:hint="eastAsia" w:ascii="宋体" w:hAnsi="宋体"/>
          <w:szCs w:val="21"/>
          <w:u w:val="single"/>
        </w:rPr>
        <w:t>（项目名称）</w:t>
      </w:r>
      <w:r>
        <w:rPr>
          <w:rFonts w:hint="eastAsia" w:ascii="宋体" w:hAnsi="宋体"/>
          <w:szCs w:val="21"/>
        </w:rPr>
        <w:t xml:space="preserve">采购活动，提供的服务全部由符合政策要求的中小企业承接。相关企业的具体情况如下： </w:t>
      </w:r>
    </w:p>
    <w:p>
      <w:pPr>
        <w:spacing w:line="360" w:lineRule="auto"/>
        <w:ind w:left="420" w:firstLine="420" w:firstLineChars="200"/>
        <w:rPr>
          <w:rFonts w:ascii="宋体" w:hAnsi="宋体"/>
          <w:szCs w:val="21"/>
        </w:rPr>
      </w:pPr>
      <w:r>
        <w:rPr>
          <w:rFonts w:hint="eastAsia" w:ascii="宋体" w:hAnsi="宋体"/>
          <w:szCs w:val="21"/>
        </w:rPr>
        <w:t xml:space="preserve">1. </w:t>
      </w:r>
      <w:r>
        <w:rPr>
          <w:rFonts w:hint="eastAsia" w:ascii="宋体" w:hAnsi="宋体"/>
          <w:szCs w:val="21"/>
          <w:u w:val="single"/>
        </w:rPr>
        <w:t>武陟县小董乡卫生院灾后恢复重建项目</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行业；承接企业为</w:t>
      </w:r>
      <w:r>
        <w:rPr>
          <w:rFonts w:hint="eastAsia" w:ascii="宋体" w:hAnsi="宋体"/>
          <w:szCs w:val="21"/>
          <w:u w:val="single"/>
        </w:rPr>
        <w:t>（企业名称）</w:t>
      </w:r>
      <w:r>
        <w:rPr>
          <w:rFonts w:hint="eastAsia" w:ascii="宋体" w:hAnsi="宋体"/>
          <w:szCs w:val="21"/>
        </w:rPr>
        <w:t>，从业人员人，营业收入为万元，资产总额为 万元，属于</w:t>
      </w:r>
      <w:r>
        <w:rPr>
          <w:rFonts w:hint="eastAsia" w:ascii="宋体" w:hAnsi="宋体"/>
          <w:szCs w:val="21"/>
          <w:u w:val="single"/>
        </w:rPr>
        <w:t>（中型企业、小型企业、微型企业）</w:t>
      </w:r>
      <w:r>
        <w:rPr>
          <w:rFonts w:hint="eastAsia" w:ascii="宋体" w:hAnsi="宋体"/>
          <w:szCs w:val="21"/>
        </w:rPr>
        <w:t xml:space="preserve">； </w:t>
      </w:r>
    </w:p>
    <w:p>
      <w:pPr>
        <w:spacing w:line="360" w:lineRule="auto"/>
        <w:ind w:left="420" w:firstLine="420" w:firstLineChars="200"/>
        <w:rPr>
          <w:rFonts w:ascii="宋体" w:hAnsi="宋体"/>
          <w:szCs w:val="21"/>
        </w:rPr>
      </w:pPr>
      <w:r>
        <w:rPr>
          <w:rFonts w:hint="eastAsia" w:ascii="宋体" w:hAnsi="宋体"/>
          <w:szCs w:val="21"/>
        </w:rPr>
        <w:t>……</w:t>
      </w:r>
    </w:p>
    <w:p>
      <w:pPr>
        <w:adjustRightInd w:val="0"/>
        <w:snapToGrid w:val="0"/>
        <w:spacing w:line="360" w:lineRule="auto"/>
        <w:ind w:left="420"/>
        <w:jc w:val="left"/>
        <w:textAlignment w:val="baseline"/>
        <w:rPr>
          <w:rFonts w:ascii="宋体" w:hAnsi="宋体" w:cs="宋体"/>
          <w:sz w:val="24"/>
          <w:szCs w:val="24"/>
        </w:rPr>
      </w:pPr>
      <w:r>
        <w:rPr>
          <w:rFonts w:hint="eastAsia" w:ascii="宋体" w:hAnsi="宋体"/>
          <w:szCs w:val="21"/>
        </w:rPr>
        <w:t>以上企业，不属于大企业的分支机构，不存在控股股东为大企业的情形，也不存在与大企业的负责人为同一人的情形。</w:t>
      </w:r>
    </w:p>
    <w:p>
      <w:pPr>
        <w:spacing w:line="360" w:lineRule="auto"/>
        <w:ind w:left="420"/>
        <w:rPr>
          <w:rFonts w:ascii="宋体" w:hAnsi="宋体"/>
          <w:szCs w:val="21"/>
        </w:rPr>
      </w:pPr>
      <w:r>
        <w:rPr>
          <w:rFonts w:hint="eastAsia" w:ascii="宋体" w:hAnsi="宋体"/>
          <w:szCs w:val="21"/>
        </w:rPr>
        <w:t xml:space="preserve">本企业对上述声明内容的真实性负责。如有虚假，将依法承担相应责任。 </w:t>
      </w:r>
    </w:p>
    <w:p>
      <w:pPr>
        <w:spacing w:line="360" w:lineRule="auto"/>
        <w:ind w:left="420" w:leftChars="200" w:firstLine="5145" w:firstLineChars="2450"/>
        <w:rPr>
          <w:rFonts w:ascii="宋体" w:hAnsi="宋体"/>
          <w:szCs w:val="21"/>
        </w:rPr>
      </w:pPr>
      <w:r>
        <w:rPr>
          <w:rFonts w:hint="eastAsia" w:ascii="宋体" w:hAnsi="宋体"/>
          <w:szCs w:val="21"/>
        </w:rPr>
        <w:t xml:space="preserve">企业名称（盖章）： </w:t>
      </w:r>
    </w:p>
    <w:p>
      <w:pPr>
        <w:spacing w:line="360" w:lineRule="auto"/>
        <w:ind w:left="420" w:leftChars="200" w:firstLine="5145" w:firstLineChars="2450"/>
        <w:rPr>
          <w:rFonts w:ascii="宋体" w:hAnsi="宋体"/>
          <w:szCs w:val="21"/>
        </w:rPr>
      </w:pPr>
      <w:r>
        <w:rPr>
          <w:rFonts w:hint="eastAsia" w:ascii="宋体" w:hAnsi="宋体"/>
          <w:szCs w:val="21"/>
        </w:rPr>
        <w:t xml:space="preserve">日 期： </w:t>
      </w:r>
    </w:p>
    <w:p>
      <w:pPr>
        <w:spacing w:line="360" w:lineRule="auto"/>
        <w:ind w:left="420"/>
        <w:rPr>
          <w:rFonts w:ascii="宋体" w:hAnsi="宋体"/>
          <w:szCs w:val="21"/>
        </w:rPr>
      </w:pPr>
    </w:p>
    <w:p>
      <w:pPr>
        <w:spacing w:line="360" w:lineRule="auto"/>
        <w:ind w:left="420"/>
        <w:rPr>
          <w:rFonts w:ascii="宋体" w:hAnsi="宋体"/>
          <w:szCs w:val="21"/>
        </w:rPr>
      </w:pPr>
      <w:r>
        <w:rPr>
          <w:rFonts w:hint="eastAsia" w:ascii="宋体" w:hAnsi="宋体"/>
          <w:szCs w:val="21"/>
        </w:rPr>
        <w:t>从业人员、营业收入、资产总额填报上一年度数据，无上一年度数据的新成立企业可不填报。（此项仅作为告知，不作为格式要求。）</w:t>
      </w:r>
    </w:p>
    <w:p>
      <w:pPr>
        <w:pStyle w:val="5"/>
        <w:spacing w:before="0" w:after="0" w:line="360" w:lineRule="auto"/>
        <w:jc w:val="center"/>
        <w:rPr>
          <w:rFonts w:asciiTheme="minorEastAsia" w:hAnsiTheme="minorEastAsia" w:eastAsiaTheme="minorEastAsia" w:cstheme="minorEastAsia"/>
          <w:kern w:val="0"/>
          <w:sz w:val="24"/>
          <w:szCs w:val="24"/>
        </w:rPr>
      </w:pPr>
    </w:p>
    <w:p>
      <w:pPr>
        <w:spacing w:line="360" w:lineRule="auto"/>
        <w:rPr>
          <w:rFonts w:ascii="Times New Roman" w:hAnsi="Times New Roman" w:cs="宋体"/>
          <w:b/>
          <w:bCs/>
          <w:szCs w:val="24"/>
        </w:rPr>
      </w:pPr>
      <w:bookmarkStart w:id="196" w:name="_Toc18888"/>
      <w:bookmarkStart w:id="197" w:name="_Toc530584403"/>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rPr>
          <w:rFonts w:ascii="Times New Roman" w:hAnsi="Times New Roman" w:cs="宋体"/>
          <w:b/>
          <w:bCs/>
          <w:szCs w:val="24"/>
        </w:rPr>
      </w:pPr>
    </w:p>
    <w:p>
      <w:pPr>
        <w:spacing w:line="360" w:lineRule="auto"/>
        <w:jc w:val="center"/>
        <w:rPr>
          <w:rFonts w:ascii="Times New Roman" w:hAnsi="Times New Roman" w:cs="宋体"/>
          <w:b/>
          <w:bCs/>
          <w:szCs w:val="24"/>
        </w:rPr>
      </w:pPr>
      <w:r>
        <w:rPr>
          <w:rFonts w:hint="eastAsia" w:ascii="Times New Roman" w:hAnsi="Times New Roman" w:cs="宋体"/>
          <w:b/>
          <w:bCs/>
          <w:szCs w:val="24"/>
        </w:rPr>
        <w:t>（四）残疾人福利性单位声明函</w:t>
      </w:r>
      <w:bookmarkEnd w:id="196"/>
      <w:bookmarkEnd w:id="197"/>
    </w:p>
    <w:p>
      <w:pPr>
        <w:spacing w:line="360" w:lineRule="auto"/>
        <w:rPr>
          <w:rFonts w:ascii="宋体" w:hAnsi="宋体"/>
          <w:sz w:val="28"/>
          <w:szCs w:val="24"/>
        </w:rPr>
      </w:pPr>
    </w:p>
    <w:p>
      <w:pPr>
        <w:spacing w:line="360" w:lineRule="auto"/>
        <w:ind w:firstLine="420" w:firstLineChars="2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cs="宋体"/>
          <w:szCs w:val="21"/>
        </w:rPr>
      </w:pPr>
      <w:r>
        <w:rPr>
          <w:rFonts w:hint="eastAsia" w:ascii="宋体" w:hAnsi="宋体" w:cs="宋体"/>
          <w:szCs w:val="21"/>
        </w:rPr>
        <w:t>本单位对上述声明的真实性负责。如有虚假，将依法承担相应责任。</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tabs>
          <w:tab w:val="left" w:pos="4860"/>
        </w:tabs>
        <w:spacing w:line="360" w:lineRule="auto"/>
        <w:ind w:right="1560" w:firstLine="420" w:firstLineChars="200"/>
        <w:jc w:val="center"/>
        <w:rPr>
          <w:rFonts w:ascii="宋体" w:hAnsi="宋体" w:cs="宋体"/>
          <w:szCs w:val="21"/>
        </w:rPr>
      </w:pPr>
      <w:r>
        <w:rPr>
          <w:rFonts w:hint="eastAsia" w:ascii="宋体" w:hAnsi="宋体" w:cs="宋体"/>
          <w:szCs w:val="21"/>
        </w:rPr>
        <w:t xml:space="preserve">               单位名称（盖章）：</w:t>
      </w:r>
    </w:p>
    <w:p>
      <w:pPr>
        <w:tabs>
          <w:tab w:val="left" w:pos="4860"/>
        </w:tabs>
        <w:spacing w:line="360" w:lineRule="auto"/>
        <w:ind w:right="1560" w:firstLine="420" w:firstLineChars="200"/>
        <w:jc w:val="center"/>
        <w:rPr>
          <w:rFonts w:ascii="宋体" w:hAnsi="宋体" w:cs="宋体"/>
          <w:szCs w:val="21"/>
        </w:rPr>
      </w:pPr>
      <w:r>
        <w:rPr>
          <w:rFonts w:hint="eastAsia" w:ascii="宋体" w:hAnsi="宋体" w:cs="宋体"/>
          <w:szCs w:val="21"/>
        </w:rPr>
        <w:t xml:space="preserve">       日  期：</w:t>
      </w:r>
    </w:p>
    <w:p>
      <w:pPr>
        <w:pStyle w:val="51"/>
        <w:spacing w:line="360" w:lineRule="auto"/>
        <w:rPr>
          <w:rFonts w:asciiTheme="minorEastAsia" w:hAnsiTheme="minorEastAsia" w:eastAsiaTheme="minorEastAsia" w:cstheme="minorEastAsia"/>
          <w:kern w:val="0"/>
          <w:szCs w:val="24"/>
        </w:rPr>
      </w:pPr>
      <w:r>
        <w:rPr>
          <w:rFonts w:hint="eastAsia" w:ascii="宋体" w:hAnsi="宋体" w:cs="宋体"/>
          <w:b/>
          <w:szCs w:val="21"/>
        </w:rPr>
        <w:t>说明：非残疾人福利性单位无需填写、递交该声明。</w:t>
      </w: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1"/>
        <w:spacing w:line="360" w:lineRule="auto"/>
        <w:rPr>
          <w:rFonts w:asciiTheme="minorEastAsia" w:hAnsiTheme="minorEastAsia" w:eastAsiaTheme="minorEastAsia" w:cstheme="minorEastAsia"/>
          <w:kern w:val="0"/>
          <w:szCs w:val="24"/>
        </w:rPr>
      </w:pPr>
    </w:p>
    <w:p>
      <w:pPr>
        <w:pStyle w:val="52"/>
        <w:spacing w:line="360" w:lineRule="auto"/>
      </w:pPr>
    </w:p>
    <w:p>
      <w:pPr>
        <w:pStyle w:val="5"/>
        <w:spacing w:before="0" w:after="0" w:line="360" w:lineRule="auto"/>
        <w:jc w:val="center"/>
        <w:rPr>
          <w:rFonts w:asciiTheme="minorEastAsia" w:hAnsiTheme="minorEastAsia" w:eastAsiaTheme="minorEastAsia" w:cstheme="minorEastAsia"/>
          <w:sz w:val="24"/>
          <w:szCs w:val="24"/>
        </w:rPr>
      </w:pPr>
      <w:bookmarkStart w:id="198" w:name="_Toc12866"/>
      <w:r>
        <w:rPr>
          <w:rFonts w:hint="eastAsia" w:asciiTheme="minorEastAsia" w:hAnsiTheme="minorEastAsia" w:eastAsiaTheme="minorEastAsia" w:cstheme="minorEastAsia"/>
          <w:kern w:val="0"/>
          <w:sz w:val="24"/>
          <w:szCs w:val="24"/>
        </w:rPr>
        <w:t>六、</w:t>
      </w:r>
      <w:r>
        <w:rPr>
          <w:rFonts w:hint="eastAsia" w:asciiTheme="minorEastAsia" w:hAnsiTheme="minorEastAsia" w:eastAsiaTheme="minorEastAsia" w:cstheme="minorEastAsia"/>
          <w:sz w:val="24"/>
          <w:szCs w:val="24"/>
        </w:rPr>
        <w:t>无行贿犯罪记录承诺书</w:t>
      </w:r>
      <w:bookmarkEnd w:id="192"/>
      <w:bookmarkEnd w:id="193"/>
      <w:bookmarkEnd w:id="194"/>
      <w:bookmarkEnd w:id="195"/>
      <w:bookmarkEnd w:id="198"/>
    </w:p>
    <w:p>
      <w:pPr>
        <w:spacing w:line="360" w:lineRule="auto"/>
        <w:rPr>
          <w:rFonts w:ascii="宋体"/>
        </w:rPr>
      </w:pPr>
    </w:p>
    <w:p>
      <w:pPr>
        <w:spacing w:line="360" w:lineRule="auto"/>
        <w:jc w:val="center"/>
        <w:rPr>
          <w:rFonts w:ascii="宋体" w:hAnsi="宋体"/>
          <w:szCs w:val="21"/>
        </w:rPr>
      </w:pPr>
      <w:r>
        <w:rPr>
          <w:rFonts w:hint="eastAsia" w:ascii="宋体" w:hAnsi="宋体"/>
          <w:szCs w:val="21"/>
        </w:rPr>
        <w:t>承诺书</w:t>
      </w:r>
    </w:p>
    <w:p>
      <w:pPr>
        <w:spacing w:line="360" w:lineRule="auto"/>
        <w:rPr>
          <w:rFonts w:ascii="宋体" w:hAnsi="宋体"/>
          <w:szCs w:val="21"/>
        </w:rPr>
      </w:pPr>
      <w:r>
        <w:rPr>
          <w:rFonts w:hint="eastAsia" w:ascii="宋体" w:hAnsi="宋体"/>
          <w:position w:val="-7"/>
          <w:szCs w:val="21"/>
        </w:rPr>
        <w:t>————————</w:t>
      </w:r>
      <w:r>
        <w:rPr>
          <w:rFonts w:hint="eastAsia" w:ascii="宋体" w:hAnsi="宋体"/>
          <w:szCs w:val="21"/>
        </w:rPr>
        <w:t>（采购人名称）：</w:t>
      </w:r>
    </w:p>
    <w:p>
      <w:pPr>
        <w:spacing w:line="360" w:lineRule="auto"/>
        <w:ind w:firstLine="420" w:firstLineChars="200"/>
        <w:rPr>
          <w:rFonts w:ascii="宋体" w:hAnsi="宋体" w:cs="宋体"/>
          <w:szCs w:val="21"/>
          <w:shd w:val="clear" w:color="auto" w:fill="FFFFFF"/>
        </w:rPr>
      </w:pPr>
      <w:r>
        <w:rPr>
          <w:rFonts w:hint="eastAsia" w:ascii="宋体" w:hAnsi="宋体"/>
          <w:szCs w:val="21"/>
        </w:rPr>
        <w:t>我方在此声明，我公司及法定代表人、法定代表人委托代理人、项目经理</w:t>
      </w:r>
      <w:r>
        <w:rPr>
          <w:rFonts w:hint="eastAsia" w:ascii="宋体" w:hAnsi="宋体" w:cs="宋体"/>
          <w:szCs w:val="21"/>
          <w:shd w:val="clear" w:color="auto" w:fill="FFFFFF"/>
        </w:rPr>
        <w:t>均无行贿犯罪记录。</w:t>
      </w:r>
    </w:p>
    <w:p>
      <w:pPr>
        <w:spacing w:line="360" w:lineRule="auto"/>
        <w:ind w:firstLine="420" w:firstLineChars="200"/>
        <w:rPr>
          <w:rFonts w:ascii="宋体" w:hAnsi="宋体"/>
          <w:szCs w:val="21"/>
        </w:rPr>
      </w:pPr>
      <w:r>
        <w:rPr>
          <w:rFonts w:hint="eastAsia" w:ascii="宋体" w:hAnsi="宋体"/>
          <w:szCs w:val="21"/>
        </w:rPr>
        <w:t>我方保证上述信息的真实和准确，并愿意承担因我方就此弄虚作假所引起的一切法律后果。</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特此承诺</w:t>
      </w:r>
    </w:p>
    <w:p>
      <w:pPr>
        <w:spacing w:line="360" w:lineRule="auto"/>
        <w:ind w:firstLine="420" w:firstLineChars="200"/>
        <w:rPr>
          <w:rFonts w:ascii="宋体" w:hAnsi="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right"/>
        <w:rPr>
          <w:rFonts w:ascii="宋体" w:hAnsi="宋体"/>
          <w:szCs w:val="21"/>
        </w:rPr>
      </w:pPr>
      <w:r>
        <w:rPr>
          <w:rFonts w:hint="eastAsia" w:ascii="宋体" w:hAnsi="宋体"/>
          <w:szCs w:val="21"/>
        </w:rPr>
        <w:t>供应商：（盖单位公章）</w:t>
      </w:r>
    </w:p>
    <w:p>
      <w:pPr>
        <w:spacing w:line="360" w:lineRule="auto"/>
        <w:jc w:val="right"/>
        <w:rPr>
          <w:rFonts w:ascii="宋体" w:hAnsi="宋体"/>
          <w:szCs w:val="21"/>
        </w:rPr>
      </w:pPr>
      <w:r>
        <w:rPr>
          <w:rFonts w:hint="eastAsia" w:ascii="宋体" w:hAnsi="宋体"/>
          <w:szCs w:val="21"/>
        </w:rPr>
        <w:t>法定代表人或其委托代理人：（签字或盖章）</w:t>
      </w:r>
    </w:p>
    <w:p>
      <w:pPr>
        <w:spacing w:line="360" w:lineRule="auto"/>
        <w:jc w:val="right"/>
        <w:rPr>
          <w:rFonts w:ascii="宋体" w:hAnsi="宋体"/>
          <w:szCs w:val="21"/>
        </w:rPr>
      </w:pPr>
    </w:p>
    <w:p>
      <w:pPr>
        <w:wordWrap w:val="0"/>
        <w:spacing w:line="360" w:lineRule="auto"/>
        <w:jc w:val="right"/>
        <w:rPr>
          <w:rFonts w:ascii="宋体" w:hAnsi="宋体"/>
          <w:szCs w:val="21"/>
        </w:rPr>
      </w:pPr>
      <w:r>
        <w:rPr>
          <w:rFonts w:hint="eastAsia" w:ascii="宋体" w:hAnsi="宋体"/>
          <w:szCs w:val="21"/>
        </w:rPr>
        <w:t>年   月   日</w:t>
      </w:r>
    </w:p>
    <w:p>
      <w:pPr>
        <w:spacing w:line="360" w:lineRule="auto"/>
        <w:rPr>
          <w:rFonts w:ascii="宋体" w:hAnsi="宋体"/>
          <w:szCs w:val="21"/>
        </w:rPr>
      </w:pPr>
      <w:r>
        <w:rPr>
          <w:rFonts w:hint="eastAsia" w:ascii="宋体" w:hAnsi="宋体"/>
          <w:szCs w:val="21"/>
        </w:rPr>
        <w:br w:type="page"/>
      </w:r>
    </w:p>
    <w:p>
      <w:pPr>
        <w:pStyle w:val="5"/>
        <w:spacing w:before="0" w:after="0" w:line="360" w:lineRule="auto"/>
        <w:jc w:val="center"/>
        <w:rPr>
          <w:rFonts w:ascii="宋体" w:hAnsi="宋体" w:eastAsia="宋体"/>
          <w:sz w:val="28"/>
          <w:szCs w:val="28"/>
        </w:rPr>
      </w:pPr>
      <w:bookmarkStart w:id="199" w:name="_Toc48808928"/>
      <w:bookmarkStart w:id="200" w:name="_Toc28428"/>
      <w:bookmarkStart w:id="201" w:name="_Toc49166059"/>
      <w:bookmarkStart w:id="202" w:name="_Toc48809212"/>
      <w:bookmarkStart w:id="203" w:name="_Toc5971"/>
      <w:r>
        <w:rPr>
          <w:rFonts w:hint="eastAsia" w:asciiTheme="minorEastAsia" w:hAnsiTheme="minorEastAsia" w:eastAsiaTheme="minorEastAsia" w:cstheme="minorEastAsia"/>
          <w:kern w:val="0"/>
          <w:sz w:val="24"/>
          <w:szCs w:val="24"/>
        </w:rPr>
        <w:t>七、磋商保证金承诺书</w:t>
      </w:r>
      <w:bookmarkEnd w:id="199"/>
      <w:bookmarkEnd w:id="200"/>
      <w:bookmarkEnd w:id="201"/>
      <w:bookmarkEnd w:id="202"/>
      <w:bookmarkEnd w:id="203"/>
    </w:p>
    <w:p>
      <w:pPr>
        <w:spacing w:line="360" w:lineRule="auto"/>
        <w:jc w:val="center"/>
        <w:rPr>
          <w:rFonts w:ascii="宋体" w:hAnsi="宋体"/>
          <w:szCs w:val="21"/>
        </w:rPr>
      </w:pPr>
      <w:bookmarkStart w:id="204" w:name="_Toc48808929"/>
      <w:bookmarkStart w:id="205" w:name="_Toc9082"/>
      <w:bookmarkStart w:id="206" w:name="_Toc48809213"/>
      <w:bookmarkStart w:id="207" w:name="_Toc49166060"/>
      <w:r>
        <w:rPr>
          <w:rFonts w:hint="eastAsia" w:ascii="宋体" w:hAnsi="宋体"/>
          <w:szCs w:val="21"/>
        </w:rPr>
        <w:t>承诺书</w:t>
      </w:r>
      <w:bookmarkEnd w:id="204"/>
      <w:bookmarkEnd w:id="205"/>
      <w:bookmarkEnd w:id="206"/>
      <w:bookmarkEnd w:id="207"/>
    </w:p>
    <w:p>
      <w:pPr>
        <w:spacing w:line="360" w:lineRule="auto"/>
        <w:rPr>
          <w:rFonts w:ascii="宋体" w:hAnsi="宋体"/>
          <w:sz w:val="18"/>
          <w:szCs w:val="18"/>
          <w:u w:val="single"/>
        </w:rPr>
      </w:pPr>
    </w:p>
    <w:p>
      <w:pPr>
        <w:spacing w:line="360" w:lineRule="auto"/>
        <w:ind w:firstLine="420" w:firstLineChars="200"/>
        <w:rPr>
          <w:rFonts w:ascii="宋体" w:hAnsi="宋体"/>
          <w:szCs w:val="21"/>
        </w:rPr>
      </w:pPr>
      <w:r>
        <w:rPr>
          <w:rFonts w:hint="eastAsia" w:ascii="宋体" w:hAnsi="宋体"/>
          <w:szCs w:val="21"/>
        </w:rPr>
        <w:t>_______________________（采购人名称）：</w:t>
      </w:r>
    </w:p>
    <w:p>
      <w:pPr>
        <w:spacing w:line="360" w:lineRule="auto"/>
        <w:ind w:firstLine="420" w:firstLineChars="200"/>
        <w:rPr>
          <w:rFonts w:ascii="宋体" w:hAnsi="宋体"/>
          <w:szCs w:val="21"/>
        </w:rPr>
      </w:pPr>
      <w:r>
        <w:rPr>
          <w:rFonts w:hint="eastAsia" w:ascii="宋体" w:hAnsi="宋体"/>
          <w:szCs w:val="21"/>
        </w:rPr>
        <w:t>_______________________（代理机构名称）：</w:t>
      </w:r>
    </w:p>
    <w:p>
      <w:pPr>
        <w:spacing w:line="360" w:lineRule="auto"/>
        <w:ind w:firstLine="420" w:firstLineChars="200"/>
        <w:rPr>
          <w:rFonts w:ascii="宋体" w:hAnsi="宋体"/>
          <w:szCs w:val="21"/>
        </w:rPr>
      </w:pPr>
      <w:r>
        <w:rPr>
          <w:rFonts w:hint="eastAsia" w:ascii="宋体" w:hAnsi="宋体"/>
          <w:szCs w:val="21"/>
        </w:rPr>
        <w:t>我公司作为项目（交易编号：）的供应商，现郑重承诺如下：</w:t>
      </w:r>
    </w:p>
    <w:p>
      <w:pPr>
        <w:spacing w:line="360" w:lineRule="auto"/>
        <w:ind w:firstLine="420" w:firstLineChars="200"/>
        <w:rPr>
          <w:rFonts w:ascii="宋体" w:hAnsi="宋体"/>
          <w:szCs w:val="21"/>
        </w:rPr>
      </w:pPr>
      <w:r>
        <w:rPr>
          <w:rFonts w:hint="eastAsia" w:ascii="宋体" w:hAnsi="宋体"/>
          <w:szCs w:val="21"/>
        </w:rPr>
        <w:t>在本次采购活动中，我公司存在下列情形之一的，自愿向采购人缴纳应缴的磋商保证金人民币柒万元整，由采购人没收，因此产生的一切后果和责任由我公司承担，我公司放弃对此提出的任何异议和权利：</w:t>
      </w:r>
    </w:p>
    <w:p>
      <w:pPr>
        <w:spacing w:line="360" w:lineRule="auto"/>
        <w:ind w:firstLine="420" w:firstLineChars="200"/>
        <w:rPr>
          <w:rFonts w:ascii="宋体" w:hAnsi="宋体"/>
          <w:szCs w:val="21"/>
        </w:rPr>
      </w:pPr>
      <w:r>
        <w:rPr>
          <w:rFonts w:hint="eastAsia" w:ascii="宋体" w:hAnsi="宋体"/>
          <w:szCs w:val="21"/>
        </w:rPr>
        <w:t>（1）在提交响应文件截止时间后或磋商有效期内撤回响应文件的；</w:t>
      </w:r>
    </w:p>
    <w:p>
      <w:pPr>
        <w:spacing w:line="360" w:lineRule="auto"/>
        <w:ind w:firstLine="420" w:firstLineChars="200"/>
        <w:rPr>
          <w:rFonts w:ascii="宋体" w:hAnsi="宋体"/>
          <w:szCs w:val="21"/>
        </w:rPr>
      </w:pPr>
      <w:r>
        <w:rPr>
          <w:rFonts w:hint="eastAsia" w:ascii="宋体" w:hAnsi="宋体"/>
          <w:szCs w:val="21"/>
        </w:rPr>
        <w:t>（2）在响应文件中提供虚假材料的；</w:t>
      </w:r>
    </w:p>
    <w:p>
      <w:pPr>
        <w:spacing w:line="360" w:lineRule="auto"/>
        <w:ind w:firstLine="420" w:firstLineChars="200"/>
        <w:rPr>
          <w:rFonts w:ascii="宋体" w:hAnsi="宋体"/>
          <w:szCs w:val="21"/>
        </w:rPr>
      </w:pPr>
      <w:r>
        <w:rPr>
          <w:rFonts w:hint="eastAsia" w:ascii="宋体" w:hAnsi="宋体"/>
          <w:szCs w:val="21"/>
        </w:rPr>
        <w:t>（3）如我公司成交，除因不可抗力或竞争性磋商文件认可的情形以外，我公司不与采购人签订合同的；</w:t>
      </w:r>
    </w:p>
    <w:p>
      <w:pPr>
        <w:spacing w:line="360" w:lineRule="auto"/>
        <w:ind w:firstLine="420" w:firstLineChars="200"/>
        <w:rPr>
          <w:rFonts w:ascii="宋体" w:hAnsi="宋体"/>
          <w:szCs w:val="21"/>
        </w:rPr>
      </w:pPr>
      <w:r>
        <w:rPr>
          <w:rFonts w:hint="eastAsia" w:ascii="宋体" w:hAnsi="宋体"/>
          <w:szCs w:val="21"/>
        </w:rPr>
        <w:t>（4）我公司与采购人、其他供应商或者采购代理机构恶意串通的。</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特此承诺</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jc w:val="right"/>
        <w:rPr>
          <w:rFonts w:ascii="宋体" w:hAnsi="宋体"/>
          <w:szCs w:val="21"/>
        </w:rPr>
      </w:pPr>
      <w:r>
        <w:rPr>
          <w:rFonts w:hint="eastAsia" w:ascii="宋体" w:hAnsi="宋体"/>
          <w:szCs w:val="21"/>
        </w:rPr>
        <w:t>供应商：（盖单位公章）</w:t>
      </w:r>
    </w:p>
    <w:p>
      <w:pPr>
        <w:spacing w:line="360" w:lineRule="auto"/>
        <w:jc w:val="right"/>
        <w:rPr>
          <w:rFonts w:ascii="宋体" w:hAnsi="宋体"/>
          <w:szCs w:val="21"/>
        </w:rPr>
      </w:pPr>
      <w:r>
        <w:rPr>
          <w:rFonts w:hint="eastAsia" w:ascii="宋体" w:hAnsi="宋体"/>
          <w:szCs w:val="21"/>
        </w:rPr>
        <w:t>法定代表人或其委托代理人：（签字或盖章）</w:t>
      </w:r>
    </w:p>
    <w:p>
      <w:pPr>
        <w:spacing w:line="360" w:lineRule="auto"/>
        <w:jc w:val="right"/>
        <w:rPr>
          <w:rFonts w:ascii="宋体" w:hAnsi="宋体"/>
          <w:szCs w:val="21"/>
        </w:rPr>
      </w:pPr>
    </w:p>
    <w:p>
      <w:pPr>
        <w:wordWrap w:val="0"/>
        <w:spacing w:line="360" w:lineRule="auto"/>
        <w:jc w:val="right"/>
        <w:rPr>
          <w:rFonts w:ascii="宋体" w:hAnsi="宋体"/>
          <w:szCs w:val="21"/>
        </w:rPr>
      </w:pPr>
      <w:r>
        <w:rPr>
          <w:rFonts w:hint="eastAsia" w:ascii="宋体" w:hAnsi="宋体"/>
          <w:szCs w:val="21"/>
        </w:rPr>
        <w:t xml:space="preserve"> 年   月   日</w:t>
      </w:r>
    </w:p>
    <w:p>
      <w:pPr>
        <w:spacing w:line="360" w:lineRule="auto"/>
        <w:rPr>
          <w:rFonts w:ascii="宋体" w:hAnsi="宋体"/>
          <w:szCs w:val="21"/>
        </w:rPr>
      </w:pPr>
      <w:r>
        <w:rPr>
          <w:rFonts w:hint="eastAsia" w:ascii="宋体" w:hAnsi="宋体"/>
          <w:szCs w:val="21"/>
        </w:rPr>
        <w:br w:type="page"/>
      </w:r>
    </w:p>
    <w:p>
      <w:pPr>
        <w:pStyle w:val="50"/>
        <w:spacing w:line="360" w:lineRule="auto"/>
        <w:rPr>
          <w:color w:val="auto"/>
        </w:rPr>
      </w:pPr>
    </w:p>
    <w:p>
      <w:pPr>
        <w:widowControl/>
        <w:numPr>
          <w:ilvl w:val="0"/>
          <w:numId w:val="5"/>
        </w:numPr>
        <w:spacing w:line="360" w:lineRule="auto"/>
        <w:jc w:val="center"/>
        <w:outlineLvl w:val="1"/>
        <w:rPr>
          <w:rFonts w:ascii="宋体" w:hAnsi="宋体" w:cs="宋体"/>
          <w:b/>
          <w:bCs/>
          <w:kern w:val="0"/>
          <w:sz w:val="24"/>
          <w:szCs w:val="24"/>
        </w:rPr>
      </w:pPr>
      <w:bookmarkStart w:id="208" w:name="_Toc15908"/>
      <w:bookmarkStart w:id="209" w:name="_Toc48809214"/>
      <w:bookmarkStart w:id="210" w:name="_Toc48808930"/>
      <w:bookmarkStart w:id="211" w:name="_Toc49166061"/>
      <w:bookmarkStart w:id="212" w:name="_Toc27150"/>
      <w:r>
        <w:rPr>
          <w:rFonts w:hint="eastAsia" w:ascii="宋体" w:hAnsi="宋体" w:cs="宋体"/>
          <w:b/>
          <w:bCs/>
          <w:kern w:val="0"/>
          <w:sz w:val="24"/>
          <w:szCs w:val="24"/>
        </w:rPr>
        <w:t>施工组织设计</w:t>
      </w:r>
      <w:bookmarkEnd w:id="208"/>
    </w:p>
    <w:p>
      <w:pPr>
        <w:pStyle w:val="51"/>
        <w:spacing w:line="360" w:lineRule="auto"/>
        <w:rPr>
          <w:rFonts w:ascii="宋体" w:hAnsi="宋体" w:cs="宋体"/>
          <w:b/>
          <w:bCs/>
          <w:kern w:val="0"/>
          <w:szCs w:val="24"/>
        </w:rPr>
      </w:pPr>
    </w:p>
    <w:p>
      <w:pPr>
        <w:pStyle w:val="51"/>
        <w:spacing w:line="360" w:lineRule="auto"/>
        <w:jc w:val="center"/>
        <w:rPr>
          <w:rFonts w:ascii="宋体" w:hAnsi="宋体" w:cs="宋体"/>
          <w:b/>
          <w:bCs/>
          <w:kern w:val="0"/>
          <w:szCs w:val="24"/>
        </w:rPr>
      </w:pPr>
      <w:r>
        <w:rPr>
          <w:rFonts w:hint="eastAsia" w:ascii="宋体" w:hAnsi="宋体" w:cs="宋体"/>
          <w:b/>
          <w:bCs/>
          <w:kern w:val="0"/>
          <w:szCs w:val="24"/>
        </w:rPr>
        <w:t>（格式自拟）</w:t>
      </w:r>
    </w:p>
    <w:p>
      <w:pPr>
        <w:pStyle w:val="51"/>
        <w:spacing w:line="360" w:lineRule="auto"/>
        <w:rPr>
          <w:rFonts w:ascii="宋体" w:hAnsi="宋体" w:cs="宋体"/>
          <w:b/>
          <w:bCs/>
          <w:kern w:val="0"/>
          <w:szCs w:val="24"/>
        </w:rPr>
      </w:pPr>
    </w:p>
    <w:p>
      <w:pPr>
        <w:pStyle w:val="51"/>
        <w:spacing w:line="360" w:lineRule="auto"/>
        <w:rPr>
          <w:rFonts w:ascii="宋体" w:hAnsi="宋体" w:cs="宋体"/>
          <w:b/>
          <w:bCs/>
          <w:kern w:val="0"/>
          <w:szCs w:val="24"/>
        </w:rPr>
      </w:pPr>
    </w:p>
    <w:p>
      <w:pPr>
        <w:pStyle w:val="51"/>
        <w:spacing w:line="360" w:lineRule="auto"/>
        <w:rPr>
          <w:rFonts w:ascii="宋体" w:hAnsi="宋体" w:cs="宋体"/>
          <w:b/>
          <w:bCs/>
          <w:kern w:val="0"/>
          <w:szCs w:val="24"/>
        </w:rPr>
      </w:pPr>
    </w:p>
    <w:p>
      <w:pPr>
        <w:pStyle w:val="51"/>
        <w:spacing w:line="360" w:lineRule="auto"/>
        <w:rPr>
          <w:rFonts w:ascii="宋体" w:hAnsi="宋体" w:cs="宋体"/>
          <w:b/>
          <w:bCs/>
          <w:kern w:val="0"/>
          <w:szCs w:val="24"/>
        </w:rPr>
      </w:pPr>
    </w:p>
    <w:p>
      <w:pPr>
        <w:pStyle w:val="51"/>
        <w:spacing w:line="360" w:lineRule="auto"/>
        <w:rPr>
          <w:rFonts w:ascii="宋体" w:hAnsi="宋体" w:cs="宋体"/>
          <w:b/>
          <w:bCs/>
          <w:kern w:val="0"/>
          <w:szCs w:val="24"/>
        </w:rPr>
      </w:pPr>
    </w:p>
    <w:p>
      <w:pPr>
        <w:pStyle w:val="51"/>
        <w:spacing w:line="360" w:lineRule="auto"/>
        <w:rPr>
          <w:rFonts w:ascii="宋体" w:hAnsi="宋体" w:cs="宋体"/>
          <w:b/>
          <w:bCs/>
          <w:kern w:val="0"/>
          <w:szCs w:val="24"/>
        </w:rPr>
      </w:pPr>
    </w:p>
    <w:p>
      <w:pPr>
        <w:pStyle w:val="52"/>
        <w:spacing w:line="360" w:lineRule="auto"/>
        <w:rPr>
          <w:rFonts w:ascii="宋体" w:hAnsi="宋体" w:cs="宋体"/>
          <w:b/>
          <w:bCs/>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widowControl/>
        <w:numPr>
          <w:ilvl w:val="0"/>
          <w:numId w:val="5"/>
        </w:numPr>
        <w:spacing w:line="360" w:lineRule="auto"/>
        <w:jc w:val="center"/>
        <w:outlineLvl w:val="1"/>
        <w:rPr>
          <w:rFonts w:ascii="宋体" w:hAnsi="宋体" w:cs="宋体"/>
          <w:b/>
          <w:bCs/>
          <w:kern w:val="0"/>
          <w:sz w:val="24"/>
          <w:szCs w:val="24"/>
        </w:rPr>
      </w:pPr>
      <w:bookmarkStart w:id="213" w:name="_Toc29784"/>
      <w:r>
        <w:rPr>
          <w:rFonts w:hint="eastAsia" w:ascii="宋体" w:hAnsi="宋体" w:cs="宋体"/>
          <w:b/>
          <w:bCs/>
          <w:kern w:val="0"/>
          <w:sz w:val="24"/>
          <w:szCs w:val="24"/>
        </w:rPr>
        <w:t>焦作市政府采购供应商资格信用承诺函</w:t>
      </w:r>
      <w:bookmarkEnd w:id="213"/>
    </w:p>
    <w:p>
      <w:pPr>
        <w:spacing w:line="360" w:lineRule="auto"/>
        <w:rPr>
          <w:rFonts w:ascii="宋体" w:hAnsi="宋体" w:cs="宋体"/>
          <w:b/>
          <w:bCs/>
          <w:kern w:val="0"/>
          <w:sz w:val="24"/>
          <w:szCs w:val="24"/>
        </w:rPr>
      </w:pPr>
    </w:p>
    <w:p>
      <w:pPr>
        <w:adjustRightInd w:val="0"/>
        <w:snapToGrid w:val="0"/>
        <w:spacing w:line="360" w:lineRule="auto"/>
        <w:jc w:val="center"/>
      </w:pPr>
      <w:r>
        <w:rPr>
          <w:rFonts w:hint="eastAsia" w:ascii="宋体" w:hAnsi="宋体" w:cs="宋体"/>
          <w:kern w:val="0"/>
          <w:sz w:val="36"/>
          <w:szCs w:val="36"/>
        </w:rPr>
        <w:t>焦作市政府采购供应商资格信用承诺函</w:t>
      </w:r>
    </w:p>
    <w:p>
      <w:pPr>
        <w:spacing w:line="360" w:lineRule="auto"/>
        <w:ind w:firstLine="480" w:firstLineChars="200"/>
        <w:rPr>
          <w:rFonts w:ascii="宋体" w:hAnsi="宋体" w:cs="宋体"/>
          <w:sz w:val="24"/>
        </w:rPr>
      </w:pPr>
      <w:r>
        <w:rPr>
          <w:rFonts w:hint="eastAsia" w:ascii="宋体" w:hAnsi="宋体" w:cs="宋体"/>
          <w:sz w:val="24"/>
        </w:rPr>
        <w:t xml:space="preserve">致（采购人或采购代理机构） ：                </w:t>
      </w:r>
    </w:p>
    <w:p>
      <w:pPr>
        <w:spacing w:line="360" w:lineRule="auto"/>
        <w:ind w:firstLine="480" w:firstLineChars="200"/>
        <w:rPr>
          <w:rFonts w:ascii="宋体" w:hAnsi="宋体" w:cs="宋体"/>
          <w:sz w:val="24"/>
        </w:rPr>
      </w:pPr>
      <w:r>
        <w:rPr>
          <w:rFonts w:hint="eastAsia" w:ascii="宋体" w:hAnsi="宋体" w:cs="宋体"/>
          <w:sz w:val="24"/>
        </w:rPr>
        <w:t xml:space="preserve">供应商名称：                </w:t>
      </w:r>
    </w:p>
    <w:p>
      <w:pPr>
        <w:spacing w:line="360" w:lineRule="auto"/>
        <w:ind w:firstLine="480" w:firstLineChars="200"/>
        <w:rPr>
          <w:rFonts w:ascii="宋体" w:hAnsi="宋体" w:cs="宋体"/>
          <w:sz w:val="24"/>
        </w:rPr>
      </w:pPr>
      <w:r>
        <w:rPr>
          <w:rFonts w:hint="eastAsia" w:ascii="宋体" w:hAnsi="宋体" w:cs="宋体"/>
          <w:sz w:val="24"/>
        </w:rPr>
        <w:t xml:space="preserve">统一社会信用代码：           </w:t>
      </w:r>
    </w:p>
    <w:p>
      <w:pPr>
        <w:spacing w:line="360" w:lineRule="auto"/>
        <w:ind w:firstLine="480" w:firstLineChars="200"/>
        <w:rPr>
          <w:rFonts w:ascii="宋体" w:hAnsi="宋体" w:cs="宋体"/>
          <w:sz w:val="24"/>
        </w:rPr>
      </w:pPr>
      <w:r>
        <w:rPr>
          <w:rFonts w:hint="eastAsia" w:ascii="宋体" w:hAnsi="宋体" w:cs="宋体"/>
          <w:sz w:val="24"/>
        </w:rPr>
        <w:t xml:space="preserve">供应商地址：                  </w:t>
      </w:r>
    </w:p>
    <w:p>
      <w:pPr>
        <w:spacing w:line="360" w:lineRule="auto"/>
        <w:ind w:firstLine="480" w:firstLineChars="200"/>
        <w:rPr>
          <w:rFonts w:ascii="宋体" w:hAnsi="宋体" w:cs="宋体"/>
          <w:sz w:val="24"/>
        </w:rPr>
      </w:pPr>
      <w:r>
        <w:rPr>
          <w:rFonts w:hint="eastAsia" w:ascii="宋体" w:hAnsi="宋体" w:cs="宋体"/>
          <w:sz w:val="24"/>
        </w:rPr>
        <w:t xml:space="preserve">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 </w:t>
      </w:r>
    </w:p>
    <w:p>
      <w:pPr>
        <w:spacing w:line="360" w:lineRule="auto"/>
        <w:ind w:firstLine="480" w:firstLineChars="200"/>
        <w:rPr>
          <w:rFonts w:ascii="宋体" w:hAnsi="宋体" w:cs="宋体"/>
          <w:sz w:val="24"/>
        </w:rPr>
      </w:pPr>
      <w:r>
        <w:rPr>
          <w:rFonts w:hint="eastAsia" w:ascii="宋体" w:hAnsi="宋体" w:cs="宋体"/>
          <w:sz w:val="24"/>
        </w:rPr>
        <w:t>1.我单位具有符合采购文件资格要求独立承担民事责任的能力。</w:t>
      </w:r>
    </w:p>
    <w:p>
      <w:pPr>
        <w:spacing w:line="360" w:lineRule="auto"/>
        <w:ind w:firstLine="480" w:firstLineChars="200"/>
        <w:rPr>
          <w:rFonts w:ascii="宋体" w:hAnsi="宋体" w:cs="宋体"/>
          <w:sz w:val="24"/>
        </w:rPr>
      </w:pPr>
      <w:r>
        <w:rPr>
          <w:rFonts w:hint="eastAsia" w:ascii="宋体" w:hAnsi="宋体" w:cs="宋体"/>
          <w:sz w:val="24"/>
        </w:rPr>
        <w:t xml:space="preserve">2.我单位具有符合采购文件资格要求的财务状况报告。 </w:t>
      </w:r>
    </w:p>
    <w:p>
      <w:pPr>
        <w:spacing w:line="360" w:lineRule="auto"/>
        <w:ind w:firstLine="480" w:firstLineChars="200"/>
        <w:rPr>
          <w:rFonts w:ascii="宋体" w:hAnsi="宋体" w:cs="宋体"/>
          <w:sz w:val="24"/>
        </w:rPr>
      </w:pPr>
      <w:r>
        <w:rPr>
          <w:rFonts w:hint="eastAsia" w:ascii="宋体" w:hAnsi="宋体" w:cs="宋体"/>
          <w:sz w:val="24"/>
        </w:rPr>
        <w:t xml:space="preserve">3.我单位具有符合采购文件资格要求的依法缴纳税收和社会保障记录的良好记录。 </w:t>
      </w:r>
    </w:p>
    <w:p>
      <w:pPr>
        <w:spacing w:line="360" w:lineRule="auto"/>
        <w:ind w:firstLine="480" w:firstLineChars="200"/>
        <w:rPr>
          <w:rFonts w:ascii="宋体" w:hAnsi="宋体" w:cs="宋体"/>
          <w:sz w:val="24"/>
        </w:rPr>
      </w:pPr>
      <w:r>
        <w:rPr>
          <w:rFonts w:hint="eastAsia" w:ascii="宋体" w:hAnsi="宋体" w:cs="宋体"/>
          <w:sz w:val="24"/>
        </w:rPr>
        <w:t xml:space="preserve">4.我单位具有符合采购文件资格要求履行合同所必需的设备和专业技术能力。 </w:t>
      </w:r>
    </w:p>
    <w:p>
      <w:pPr>
        <w:spacing w:line="360" w:lineRule="auto"/>
        <w:ind w:firstLine="480" w:firstLineChars="200"/>
        <w:rPr>
          <w:rFonts w:ascii="宋体" w:hAnsi="宋体" w:cs="宋体"/>
          <w:sz w:val="24"/>
        </w:rPr>
      </w:pPr>
      <w:r>
        <w:rPr>
          <w:rFonts w:hint="eastAsia" w:ascii="宋体" w:hAnsi="宋体" w:cs="宋体"/>
          <w:sz w:val="24"/>
        </w:rPr>
        <w:t>5.参加政府采购活动前三年内，在经营活动中没有重大违法记录。</w:t>
      </w:r>
    </w:p>
    <w:p>
      <w:pPr>
        <w:spacing w:line="360" w:lineRule="auto"/>
        <w:ind w:firstLine="480" w:firstLineChars="200"/>
        <w:rPr>
          <w:rFonts w:ascii="宋体" w:hAnsi="宋体" w:cs="宋体"/>
          <w:sz w:val="24"/>
        </w:rPr>
      </w:pPr>
      <w:r>
        <w:rPr>
          <w:rFonts w:hint="eastAsia" w:ascii="宋体" w:hAnsi="宋体" w:cs="宋体"/>
          <w:sz w:val="24"/>
        </w:rPr>
        <w:t>若我单位承诺不实，自愿承担提供虚假材料谋取中标、成交的法律责任。</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承诺供应商（全称并加盖公章）： </w:t>
      </w:r>
    </w:p>
    <w:p>
      <w:pPr>
        <w:spacing w:line="360" w:lineRule="auto"/>
        <w:ind w:firstLine="480" w:firstLineChars="200"/>
        <w:rPr>
          <w:rFonts w:ascii="宋体" w:hAnsi="宋体" w:cs="宋体"/>
          <w:sz w:val="24"/>
        </w:rPr>
      </w:pPr>
      <w:r>
        <w:rPr>
          <w:rFonts w:hint="eastAsia" w:ascii="宋体" w:hAnsi="宋体" w:cs="宋体"/>
          <w:sz w:val="24"/>
        </w:rPr>
        <w:t xml:space="preserve">法定代表人（负责人）或委托代理人(签字或签章)： </w:t>
      </w:r>
    </w:p>
    <w:p>
      <w:pPr>
        <w:spacing w:line="360" w:lineRule="auto"/>
        <w:ind w:firstLine="480" w:firstLineChars="200"/>
        <w:rPr>
          <w:rFonts w:ascii="宋体" w:hAnsi="宋体" w:cs="宋体"/>
          <w:sz w:val="24"/>
        </w:rPr>
      </w:pPr>
      <w:r>
        <w:rPr>
          <w:rFonts w:hint="eastAsia" w:ascii="宋体" w:hAnsi="宋体" w:cs="宋体"/>
          <w:sz w:val="24"/>
        </w:rPr>
        <w:t xml:space="preserve">                                                日期：   年   月  日 </w:t>
      </w:r>
    </w:p>
    <w:p>
      <w:pPr>
        <w:spacing w:line="360" w:lineRule="auto"/>
        <w:ind w:firstLine="480" w:firstLineChars="200"/>
        <w:rPr>
          <w:rFonts w:ascii="宋体" w:hAnsi="宋体" w:cs="宋体"/>
          <w:sz w:val="24"/>
        </w:rPr>
      </w:pPr>
      <w:r>
        <w:rPr>
          <w:rFonts w:hint="eastAsia" w:ascii="宋体" w:hAnsi="宋体" w:cs="宋体"/>
          <w:sz w:val="24"/>
        </w:rPr>
        <w:t xml:space="preserve">注：1.供应商须在响应文件中按此模板提供承诺函，未提供视为未实质性响应竞争性磋商文件要求，按无效标处理。 </w:t>
      </w:r>
    </w:p>
    <w:p>
      <w:pPr>
        <w:spacing w:line="360" w:lineRule="auto"/>
        <w:ind w:firstLine="480" w:firstLineChars="200"/>
        <w:rPr>
          <w:rFonts w:ascii="宋体" w:hAnsi="宋体" w:cs="宋体"/>
          <w:sz w:val="24"/>
        </w:rPr>
      </w:pPr>
      <w:r>
        <w:rPr>
          <w:rFonts w:hint="eastAsia" w:ascii="宋体" w:hAnsi="宋体" w:cs="宋体"/>
          <w:sz w:val="24"/>
        </w:rPr>
        <w:t xml:space="preserve">供应商的法定代表人（其他组织的为负责人）或者委托代理人的签字或盖章应真实、有效，如由委托代理人签字或盖章的， 应提供“法定代表人（负责人）授权书”。 </w:t>
      </w:r>
    </w:p>
    <w:p>
      <w:pPr>
        <w:pStyle w:val="50"/>
        <w:spacing w:line="360" w:lineRule="auto"/>
        <w:rPr>
          <w:rFonts w:hAnsi="宋体"/>
          <w:b/>
          <w:bCs/>
          <w:color w:val="auto"/>
        </w:rPr>
      </w:pPr>
    </w:p>
    <w:p>
      <w:pPr>
        <w:pStyle w:val="50"/>
        <w:spacing w:line="360" w:lineRule="auto"/>
        <w:rPr>
          <w:rFonts w:hAnsi="宋体"/>
          <w:b/>
          <w:bCs/>
          <w:color w:val="auto"/>
        </w:rPr>
      </w:pPr>
    </w:p>
    <w:bookmarkEnd w:id="209"/>
    <w:bookmarkEnd w:id="210"/>
    <w:bookmarkEnd w:id="211"/>
    <w:bookmarkEnd w:id="212"/>
    <w:p>
      <w:pPr>
        <w:pStyle w:val="50"/>
        <w:spacing w:line="360" w:lineRule="auto"/>
        <w:rPr>
          <w:rFonts w:hAnsi="宋体"/>
          <w:b/>
          <w:bCs/>
          <w:color w:val="auto"/>
        </w:rPr>
      </w:pPr>
    </w:p>
    <w:p>
      <w:pPr>
        <w:pStyle w:val="50"/>
        <w:spacing w:line="360" w:lineRule="auto"/>
        <w:rPr>
          <w:rFonts w:hAnsi="宋体"/>
          <w:b/>
          <w:bCs/>
          <w:color w:val="auto"/>
        </w:rPr>
      </w:pPr>
    </w:p>
    <w:p>
      <w:pPr>
        <w:pStyle w:val="50"/>
        <w:spacing w:line="360" w:lineRule="auto"/>
        <w:rPr>
          <w:rFonts w:hAnsi="宋体"/>
          <w:b/>
          <w:bCs/>
          <w:color w:val="auto"/>
        </w:rPr>
      </w:pPr>
    </w:p>
    <w:p>
      <w:pPr>
        <w:widowControl/>
        <w:numPr>
          <w:ilvl w:val="0"/>
          <w:numId w:val="5"/>
        </w:numPr>
        <w:spacing w:line="360" w:lineRule="auto"/>
        <w:jc w:val="center"/>
        <w:outlineLvl w:val="1"/>
        <w:rPr>
          <w:rFonts w:ascii="宋体" w:hAnsi="宋体" w:cs="宋体"/>
          <w:b/>
          <w:bCs/>
          <w:kern w:val="0"/>
          <w:sz w:val="24"/>
          <w:szCs w:val="24"/>
        </w:rPr>
      </w:pPr>
      <w:bookmarkStart w:id="214" w:name="_Toc3002"/>
      <w:r>
        <w:rPr>
          <w:rFonts w:hint="eastAsia" w:ascii="宋体" w:hAnsi="宋体" w:cs="宋体"/>
          <w:b/>
          <w:bCs/>
          <w:kern w:val="0"/>
          <w:sz w:val="24"/>
          <w:szCs w:val="24"/>
        </w:rPr>
        <w:t>磋商文件要求的或供应商认为需要加以说明的其他内容</w:t>
      </w:r>
      <w:bookmarkEnd w:id="156"/>
      <w:bookmarkEnd w:id="157"/>
      <w:bookmarkEnd w:id="158"/>
      <w:bookmarkEnd w:id="159"/>
      <w:bookmarkEnd w:id="175"/>
      <w:bookmarkEnd w:id="176"/>
      <w:bookmarkEnd w:id="177"/>
      <w:bookmarkEnd w:id="178"/>
      <w:bookmarkEnd w:id="179"/>
      <w:bookmarkEnd w:id="180"/>
      <w:bookmarkEnd w:id="181"/>
      <w:bookmarkEnd w:id="214"/>
    </w:p>
    <w:p>
      <w:pPr>
        <w:pStyle w:val="18"/>
        <w:spacing w:after="0" w:line="360" w:lineRule="auto"/>
      </w:pPr>
    </w:p>
    <w:p>
      <w:pPr>
        <w:widowControl/>
        <w:spacing w:line="360" w:lineRule="auto"/>
        <w:jc w:val="center"/>
        <w:outlineLvl w:val="1"/>
        <w:rPr>
          <w:rFonts w:ascii="宋体" w:hAnsi="宋体" w:cs="宋体"/>
          <w:b/>
          <w:bCs/>
          <w:kern w:val="0"/>
          <w:sz w:val="24"/>
          <w:szCs w:val="24"/>
        </w:rPr>
      </w:pPr>
      <w:bookmarkStart w:id="215" w:name="_Toc48809215"/>
      <w:bookmarkStart w:id="216" w:name="_Toc49166062"/>
      <w:bookmarkStart w:id="217" w:name="_Toc1708"/>
      <w:bookmarkStart w:id="218" w:name="_Toc48808931"/>
      <w:bookmarkStart w:id="219" w:name="_Toc28823"/>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r>
        <w:rPr>
          <w:rFonts w:hint="eastAsia" w:ascii="宋体" w:hAnsi="宋体" w:cs="宋体"/>
          <w:b/>
          <w:bCs/>
          <w:kern w:val="0"/>
          <w:sz w:val="24"/>
          <w:szCs w:val="24"/>
        </w:rPr>
        <w:t xml:space="preserve"> </w:t>
      </w: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spacing w:line="360" w:lineRule="auto"/>
        <w:rPr>
          <w:rFonts w:ascii="宋体" w:hAnsi="宋体" w:cs="宋体"/>
          <w:b/>
          <w:bCs/>
          <w:kern w:val="0"/>
          <w:sz w:val="24"/>
          <w:szCs w:val="24"/>
        </w:rPr>
      </w:pPr>
    </w:p>
    <w:p>
      <w:pPr>
        <w:pStyle w:val="18"/>
        <w:spacing w:after="0" w:line="360" w:lineRule="auto"/>
        <w:rPr>
          <w:rFonts w:ascii="宋体" w:hAnsi="宋体" w:cs="宋体"/>
          <w:b/>
          <w:bCs/>
          <w:kern w:val="0"/>
          <w:sz w:val="24"/>
          <w:szCs w:val="24"/>
        </w:rPr>
      </w:pPr>
    </w:p>
    <w:p>
      <w:pPr>
        <w:widowControl/>
        <w:spacing w:line="360" w:lineRule="auto"/>
        <w:outlineLvl w:val="1"/>
        <w:rPr>
          <w:rFonts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p>
    <w:p>
      <w:pPr>
        <w:adjustRightInd w:val="0"/>
        <w:snapToGrid w:val="0"/>
        <w:spacing w:line="360" w:lineRule="auto"/>
        <w:jc w:val="center"/>
        <w:rPr>
          <w:rFonts w:ascii="宋体" w:hAnsi="宋体" w:cs="宋体"/>
          <w:kern w:val="0"/>
          <w:sz w:val="36"/>
          <w:szCs w:val="36"/>
        </w:rPr>
      </w:pPr>
      <w:bookmarkStart w:id="220" w:name="_Toc17426"/>
      <w:r>
        <w:rPr>
          <w:rFonts w:hint="eastAsia" w:ascii="宋体" w:hAnsi="宋体" w:cs="宋体"/>
          <w:kern w:val="0"/>
          <w:sz w:val="36"/>
          <w:szCs w:val="36"/>
        </w:rPr>
        <w:t>磋商报价表（二次）</w:t>
      </w:r>
      <w:bookmarkEnd w:id="215"/>
      <w:bookmarkEnd w:id="216"/>
      <w:bookmarkEnd w:id="217"/>
      <w:bookmarkEnd w:id="218"/>
      <w:bookmarkEnd w:id="219"/>
      <w:bookmarkEnd w:id="220"/>
    </w:p>
    <w:p>
      <w:pPr>
        <w:spacing w:line="360" w:lineRule="auto"/>
        <w:rPr>
          <w:rFonts w:ascii="宋体" w:hAnsi="宋体" w:cs="宋体"/>
          <w:szCs w:val="21"/>
        </w:rPr>
      </w:pPr>
    </w:p>
    <w:tbl>
      <w:tblPr>
        <w:tblStyle w:val="42"/>
        <w:tblW w:w="9479"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1593"/>
        <w:gridCol w:w="1014"/>
        <w:gridCol w:w="1738"/>
        <w:gridCol w:w="1450"/>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项目名称</w:t>
            </w:r>
          </w:p>
        </w:tc>
        <w:tc>
          <w:tcPr>
            <w:tcW w:w="7646" w:type="dxa"/>
            <w:gridSpan w:val="5"/>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8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供应商名称</w:t>
            </w:r>
          </w:p>
        </w:tc>
        <w:tc>
          <w:tcPr>
            <w:tcW w:w="7646" w:type="dxa"/>
            <w:gridSpan w:val="5"/>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8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项目经理</w:t>
            </w:r>
          </w:p>
        </w:tc>
        <w:tc>
          <w:tcPr>
            <w:tcW w:w="159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c>
          <w:tcPr>
            <w:tcW w:w="10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级别</w:t>
            </w:r>
          </w:p>
        </w:tc>
        <w:tc>
          <w:tcPr>
            <w:tcW w:w="1738"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c>
          <w:tcPr>
            <w:tcW w:w="145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注册证号</w:t>
            </w:r>
          </w:p>
        </w:tc>
        <w:tc>
          <w:tcPr>
            <w:tcW w:w="1851"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项目经理是否有在建项目变更</w:t>
            </w:r>
          </w:p>
          <w:p>
            <w:pPr>
              <w:spacing w:line="360" w:lineRule="auto"/>
              <w:jc w:val="center"/>
              <w:rPr>
                <w:rFonts w:ascii="宋体" w:hAnsi="宋体"/>
                <w:sz w:val="24"/>
                <w:szCs w:val="24"/>
              </w:rPr>
            </w:pPr>
            <w:r>
              <w:rPr>
                <w:rFonts w:hint="eastAsia" w:ascii="宋体" w:hAnsi="宋体"/>
                <w:sz w:val="24"/>
                <w:szCs w:val="24"/>
              </w:rPr>
              <w:t>（填“是”或“否”）</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磋商范围</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磋商总报价（元）</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left"/>
              <w:rPr>
                <w:rFonts w:ascii="宋体" w:hAnsi="宋体"/>
                <w:sz w:val="24"/>
                <w:szCs w:val="24"/>
              </w:rPr>
            </w:pPr>
            <w:r>
              <w:rPr>
                <w:rFonts w:hint="eastAsia" w:ascii="宋体" w:hAnsi="宋体"/>
                <w:sz w:val="24"/>
                <w:szCs w:val="24"/>
              </w:rPr>
              <w:t>大写：</w:t>
            </w:r>
          </w:p>
          <w:p>
            <w:pPr>
              <w:spacing w:line="360" w:lineRule="auto"/>
              <w:jc w:val="left"/>
              <w:rPr>
                <w:rFonts w:ascii="宋体" w:hAnsi="宋体"/>
                <w:sz w:val="24"/>
                <w:szCs w:val="24"/>
              </w:rPr>
            </w:pPr>
            <w:r>
              <w:rPr>
                <w:rFonts w:hint="eastAsia" w:ascii="宋体" w:hAnsi="宋体"/>
                <w:sz w:val="24"/>
                <w:szCs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质量要求</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工期</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磋商有效期</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2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r>
              <w:rPr>
                <w:rFonts w:hint="eastAsia" w:ascii="宋体" w:hAnsi="宋体"/>
                <w:sz w:val="24"/>
                <w:szCs w:val="24"/>
              </w:rPr>
              <w:t>需要说明的问题</w:t>
            </w:r>
          </w:p>
        </w:tc>
        <w:tc>
          <w:tcPr>
            <w:tcW w:w="6053" w:type="dxa"/>
            <w:gridSpan w:val="4"/>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sz w:val="24"/>
                <w:szCs w:val="24"/>
              </w:rPr>
            </w:pPr>
          </w:p>
        </w:tc>
      </w:tr>
    </w:tbl>
    <w:p>
      <w:pPr>
        <w:spacing w:line="360" w:lineRule="auto"/>
        <w:rPr>
          <w:rFonts w:ascii="宋体" w:hAnsi="宋体" w:cs="宋体"/>
          <w:szCs w:val="21"/>
        </w:rPr>
      </w:pPr>
      <w:r>
        <w:rPr>
          <w:rFonts w:hint="eastAsia" w:ascii="宋体" w:hAnsi="宋体" w:cs="宋体"/>
          <w:szCs w:val="21"/>
        </w:rPr>
        <w:t>注：1、供应商可根据实际情况自行</w:t>
      </w:r>
      <w:r>
        <w:rPr>
          <w:rFonts w:hint="eastAsia" w:ascii="宋体" w:hAnsi="宋体" w:cs="宋体"/>
          <w:bCs/>
          <w:szCs w:val="21"/>
        </w:rPr>
        <w:t>添加</w:t>
      </w:r>
      <w:r>
        <w:rPr>
          <w:rFonts w:hint="eastAsia" w:ascii="宋体" w:hAnsi="宋体" w:cs="宋体"/>
          <w:szCs w:val="21"/>
        </w:rPr>
        <w:t>表格内容。</w:t>
      </w:r>
    </w:p>
    <w:p>
      <w:pPr>
        <w:spacing w:line="360" w:lineRule="auto"/>
        <w:ind w:firstLine="420" w:firstLineChars="200"/>
        <w:rPr>
          <w:rFonts w:ascii="宋体" w:hAnsi="宋体" w:cs="宋体"/>
          <w:szCs w:val="21"/>
        </w:rPr>
      </w:pPr>
      <w:r>
        <w:rPr>
          <w:rFonts w:hint="eastAsia" w:ascii="宋体" w:hAnsi="宋体" w:cs="宋体"/>
          <w:szCs w:val="21"/>
        </w:rPr>
        <w:t>2、报价一经涂改，应在涂改处加盖单位公章或供应商代表签字或盖章，否则其响应作无效响应文件处理。</w:t>
      </w:r>
    </w:p>
    <w:p>
      <w:pPr>
        <w:spacing w:line="360" w:lineRule="auto"/>
        <w:ind w:firstLine="420" w:firstLineChars="200"/>
        <w:rPr>
          <w:rFonts w:ascii="宋体" w:hAnsi="宋体" w:cs="宋体"/>
          <w:szCs w:val="21"/>
        </w:rPr>
      </w:pPr>
      <w:r>
        <w:rPr>
          <w:rFonts w:hint="eastAsia" w:ascii="宋体" w:hAnsi="宋体" w:cs="宋体"/>
          <w:szCs w:val="21"/>
        </w:rPr>
        <w:t xml:space="preserve">3、供应商在系统进行第二轮报价时，需以附件方式上传第二轮报价表电子版(PDF格式)，未提供第二轮报价表电子版（PDF）的视为无效标处理。 </w:t>
      </w:r>
    </w:p>
    <w:p>
      <w:pPr>
        <w:spacing w:line="360" w:lineRule="auto"/>
        <w:ind w:left="420" w:leftChars="200"/>
        <w:rPr>
          <w:rFonts w:ascii="宋体" w:hAnsi="宋体" w:cs="宋体"/>
          <w:szCs w:val="21"/>
        </w:rPr>
      </w:pPr>
    </w:p>
    <w:p>
      <w:pPr>
        <w:overflowPunct w:val="0"/>
        <w:topLinePunct/>
        <w:adjustRightInd w:val="0"/>
        <w:spacing w:line="360" w:lineRule="auto"/>
        <w:jc w:val="left"/>
        <w:textAlignment w:val="top"/>
        <w:rPr>
          <w:rFonts w:ascii="宋体" w:hAnsi="宋体"/>
          <w:szCs w:val="21"/>
        </w:rPr>
      </w:pPr>
    </w:p>
    <w:p>
      <w:pPr>
        <w:spacing w:line="360" w:lineRule="auto"/>
        <w:jc w:val="right"/>
        <w:rPr>
          <w:rFonts w:ascii="宋体" w:hAnsi="宋体"/>
          <w:szCs w:val="21"/>
        </w:rPr>
      </w:pPr>
    </w:p>
    <w:p>
      <w:pPr>
        <w:pStyle w:val="2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供应商：（盖单位公章）</w:t>
      </w:r>
    </w:p>
    <w:p>
      <w:pPr>
        <w:pStyle w:val="2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法定代表人或其委托代理人：（签字或盖章）</w:t>
      </w:r>
    </w:p>
    <w:p>
      <w:pPr>
        <w:widowControl/>
        <w:wordWrap w:val="0"/>
        <w:spacing w:line="360" w:lineRule="auto"/>
        <w:ind w:right="600"/>
        <w:jc w:val="right"/>
        <w:rPr>
          <w:rFonts w:ascii="宋体" w:hAnsi="宋体"/>
          <w:sz w:val="24"/>
          <w:szCs w:val="24"/>
        </w:rPr>
      </w:pPr>
      <w:r>
        <w:rPr>
          <w:rFonts w:hint="eastAsia" w:asciiTheme="minorEastAsia" w:hAnsiTheme="minorEastAsia" w:eastAsiaTheme="minorEastAsia" w:cstheme="minorEastAsia"/>
          <w:szCs w:val="21"/>
        </w:rPr>
        <w:t>年    月     日</w:t>
      </w:r>
    </w:p>
    <w:sectPr>
      <w:headerReference r:id="rId7" w:type="first"/>
      <w:footerReference r:id="rId9" w:type="first"/>
      <w:footerReference r:id="rId8" w:type="default"/>
      <w:pgSz w:w="11906" w:h="16838"/>
      <w:pgMar w:top="1440" w:right="1230" w:bottom="1440" w:left="1230" w:header="851" w:footer="760"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4860" w:firstLineChars="2700"/>
    </w:pPr>
    <w:r>
      <w:pict>
        <v:shape id="_x0000_s1034" o:spid="_x0000_s1034"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28"/>
                </w:pPr>
                <w:r>
                  <w:fldChar w:fldCharType="begin"/>
                </w:r>
                <w:r>
                  <w:instrText xml:space="preserve"> PAGE  \* MERGEFORMAT </w:instrText>
                </w:r>
                <w:r>
                  <w:fldChar w:fldCharType="separate"/>
                </w:r>
                <w:r>
                  <w:t>- 2 -</w:t>
                </w:r>
                <w:r>
                  <w:fldChar w:fldCharType="end"/>
                </w:r>
              </w:p>
            </w:txbxContent>
          </v:textbox>
        </v:shape>
      </w:pict>
    </w:r>
    <w:r>
      <w:pict>
        <v:shape id="文本框 5"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PlfknQAAAAAwEAAA8AAAAAAAAAAQAgAAAAIgAAAGRycy9kb3ducmV2LnhtbFBLAQIU&#10;ABQAAAAIAIdO4kDqAtgjwgEAAGADAAAOAAAAAAAAAAEAIAAAAB8BAABkcnMvZTJvRG9jLnhtbFBL&#10;BQYAAAAABgAGAFkBAABTBQ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1035" o:spid="_x0000_s1035"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28"/>
                </w:pPr>
                <w:r>
                  <w:fldChar w:fldCharType="begin"/>
                </w:r>
                <w:r>
                  <w:instrText xml:space="preserve"> PAGE  \* MERGEFORMAT </w:instrText>
                </w:r>
                <w:r>
                  <w:fldChar w:fldCharType="separate"/>
                </w:r>
                <w:r>
                  <w:t>- 1 -</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4860" w:firstLineChars="2700"/>
    </w:pPr>
    <w:r>
      <w:pict>
        <v:shape id="_x0000_s1036" o:spid="_x0000_s1036"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pPr>
                  <w:pStyle w:val="28"/>
                </w:pPr>
                <w:r>
                  <w:fldChar w:fldCharType="begin"/>
                </w:r>
                <w:r>
                  <w:instrText xml:space="preserve"> PAGE  \* MERGEFORMAT </w:instrText>
                </w:r>
                <w:r>
                  <w:fldChar w:fldCharType="separate"/>
                </w:r>
                <w:r>
                  <w:t>- 8 -</w:t>
                </w:r>
                <w:r>
                  <w:fldChar w:fldCharType="end"/>
                </w:r>
              </w:p>
            </w:txbxContent>
          </v:textbox>
        </v:shape>
      </w:pict>
    </w:r>
    <w:r>
      <w:pict>
        <v:shape id="_x0000_s1027" o:spid="_x0000_s1027"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PlfknQAAAAAwEAAA8AAAAAAAAAAQAgAAAAIgAAAGRycy9kb3ducmV2LnhtbFBLAQIU&#10;ABQAAAAIAIdO4kDicrcfwgEAAGADAAAOAAAAAAAAAAEAIAAAAB8BAABkcnMvZTJvRG9jLnhtbFBL&#10;BQYAAAAABgAGAFkBAABTBQ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1037" o:spid="_x0000_s1037"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joinstyle="miter"/>
          <v:imagedata o:title=""/>
          <o:lock v:ext="edit"/>
          <v:textbox inset="0mm,0mm,0mm,0mm" style="mso-fit-shape-to-text:t;">
            <w:txbxContent>
              <w:p>
                <w:pPr>
                  <w:pStyle w:val="28"/>
                </w:pPr>
                <w:r>
                  <w:fldChar w:fldCharType="begin"/>
                </w:r>
                <w:r>
                  <w:instrText xml:space="preserve"> PAGE  \* MERGEFORMAT </w:instrText>
                </w:r>
                <w:r>
                  <w:fldChar w:fldCharType="separate"/>
                </w:r>
                <w:r>
                  <w:t>- 3 -</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rPr>
        <w:u w:val="single"/>
      </w:rPr>
    </w:pPr>
  </w:p>
  <w:p>
    <w:pPr>
      <w:pStyle w:val="29"/>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rPr>
        <w:u w:val="single"/>
      </w:rPr>
    </w:pPr>
  </w:p>
  <w:p>
    <w:pPr>
      <w:pStyle w:val="2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E8116"/>
    <w:multiLevelType w:val="singleLevel"/>
    <w:tmpl w:val="89CE8116"/>
    <w:lvl w:ilvl="0" w:tentative="0">
      <w:start w:val="1"/>
      <w:numFmt w:val="chineseCounting"/>
      <w:suff w:val="nothing"/>
      <w:lvlText w:val="%1、"/>
      <w:lvlJc w:val="left"/>
      <w:rPr>
        <w:rFonts w:hint="eastAsia"/>
      </w:rPr>
    </w:lvl>
  </w:abstractNum>
  <w:abstractNum w:abstractNumId="1">
    <w:nsid w:val="B9764003"/>
    <w:multiLevelType w:val="singleLevel"/>
    <w:tmpl w:val="B9764003"/>
    <w:lvl w:ilvl="0" w:tentative="0">
      <w:start w:val="8"/>
      <w:numFmt w:val="chineseCounting"/>
      <w:suff w:val="nothing"/>
      <w:lvlText w:val="%1、"/>
      <w:lvlJc w:val="left"/>
      <w:rPr>
        <w:rFonts w:hint="eastAsia"/>
      </w:rPr>
    </w:lvl>
  </w:abstractNum>
  <w:abstractNum w:abstractNumId="2">
    <w:nsid w:val="00000004"/>
    <w:multiLevelType w:val="multilevel"/>
    <w:tmpl w:val="0000000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0000008"/>
    <w:multiLevelType w:val="multilevel"/>
    <w:tmpl w:val="00000008"/>
    <w:lvl w:ilvl="0" w:tentative="0">
      <w:start w:val="5"/>
      <w:numFmt w:val="chineseCounting"/>
      <w:lvlText w:val="第%1章"/>
      <w:lvlJc w:val="left"/>
    </w:lvl>
    <w:lvl w:ilvl="1" w:tentative="0">
      <w:start w:val="1"/>
      <w:numFmt w:val="decimal"/>
      <w:lvlText w:val="%2．"/>
      <w:lvlJc w:val="left"/>
      <w:pPr>
        <w:tabs>
          <w:tab w:val="left" w:pos="360"/>
        </w:tabs>
        <w:ind w:left="360" w:hanging="360"/>
      </w:pPr>
      <w:rPr>
        <w:rFonts w:hint="eastAsia"/>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360"/>
        </w:tabs>
        <w:ind w:left="0" w:firstLine="0"/>
      </w:pPr>
      <w:rPr>
        <w:rFonts w:hint="default"/>
      </w:rPr>
    </w:lvl>
    <w:lvl w:ilvl="4" w:tentative="0">
      <w:start w:val="1"/>
      <w:numFmt w:val="lowerLetter"/>
      <w:lvlText w:val="%5)"/>
      <w:lvlJc w:val="left"/>
      <w:pPr>
        <w:tabs>
          <w:tab w:val="left" w:pos="1680"/>
        </w:tabs>
        <w:ind w:left="1680" w:hanging="420"/>
      </w:pPr>
    </w:lvl>
    <w:lvl w:ilvl="5" w:tentative="0">
      <w:start w:val="1"/>
      <w:numFmt w:val="japaneseCounting"/>
      <w:lvlText w:val="第%6章"/>
      <w:lvlJc w:val="left"/>
      <w:pPr>
        <w:tabs>
          <w:tab w:val="left" w:pos="2535"/>
        </w:tabs>
        <w:ind w:left="2535" w:hanging="855"/>
      </w:pPr>
      <w:rPr>
        <w:rFonts w:hint="eastAsia"/>
      </w:rPr>
    </w:lvl>
    <w:lvl w:ilvl="6" w:tentative="0">
      <w:start w:val="1"/>
      <w:numFmt w:val="decimal"/>
      <w:lvlText w:val="（%7）"/>
      <w:lvlJc w:val="left"/>
      <w:pPr>
        <w:tabs>
          <w:tab w:val="left" w:pos="720"/>
        </w:tabs>
        <w:ind w:left="56" w:hanging="56"/>
      </w:pPr>
      <w:rPr>
        <w:rFonts w:hint="eastAsia"/>
      </w:r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4">
    <w:nsid w:val="00000010"/>
    <w:multiLevelType w:val="multilevel"/>
    <w:tmpl w:val="00000010"/>
    <w:lvl w:ilvl="0" w:tentative="0">
      <w:start w:val="1"/>
      <w:numFmt w:val="decimal"/>
      <w:pStyle w:val="54"/>
      <w:lvlText w:val="%1."/>
      <w:lvlJc w:val="left"/>
      <w:pPr>
        <w:tabs>
          <w:tab w:val="left" w:pos="425"/>
        </w:tabs>
        <w:ind w:left="425" w:hanging="425"/>
      </w:pPr>
      <w:rPr>
        <w:rFonts w:hint="eastAsia"/>
        <w:b/>
        <w:i w:val="0"/>
      </w:rPr>
    </w:lvl>
    <w:lvl w:ilvl="1" w:tentative="0">
      <w:start w:val="1"/>
      <w:numFmt w:val="decimal"/>
      <w:lvlText w:val="%1.%2."/>
      <w:lvlJc w:val="left"/>
      <w:pPr>
        <w:tabs>
          <w:tab w:val="left" w:pos="170"/>
        </w:tabs>
        <w:ind w:left="170" w:hanging="170"/>
      </w:pPr>
      <w:rPr>
        <w:rFonts w:hint="eastAsia"/>
      </w:rPr>
    </w:lvl>
    <w:lvl w:ilvl="2" w:tentative="0">
      <w:start w:val="1"/>
      <w:numFmt w:val="decimal"/>
      <w:lvlText w:val="%1.%2.%3."/>
      <w:lvlJc w:val="left"/>
      <w:pPr>
        <w:tabs>
          <w:tab w:val="left" w:pos="275"/>
        </w:tabs>
        <w:ind w:left="275" w:hanging="170"/>
      </w:pPr>
      <w:rPr>
        <w:rFonts w:hint="eastAsia"/>
        <w:color w:val="auto"/>
      </w:rPr>
    </w:lvl>
    <w:lvl w:ilvl="3" w:tentative="0">
      <w:start w:val="1"/>
      <w:numFmt w:val="decimal"/>
      <w:lvlText w:val="%1.%2.%3.%4."/>
      <w:lvlJc w:val="left"/>
      <w:pPr>
        <w:tabs>
          <w:tab w:val="left" w:pos="510"/>
        </w:tabs>
        <w:ind w:left="510" w:hanging="17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FiNzA0YWQxNzU1YzM4YzFkMzFkMWZhMzIzMzA3MGYifQ=="/>
  </w:docVars>
  <w:rsids>
    <w:rsidRoot w:val="00827CA1"/>
    <w:rsid w:val="00007093"/>
    <w:rsid w:val="00080664"/>
    <w:rsid w:val="000848B4"/>
    <w:rsid w:val="0008707D"/>
    <w:rsid w:val="000A74F5"/>
    <w:rsid w:val="000C5F89"/>
    <w:rsid w:val="000F7B4C"/>
    <w:rsid w:val="001117EA"/>
    <w:rsid w:val="00114725"/>
    <w:rsid w:val="00143081"/>
    <w:rsid w:val="001475B4"/>
    <w:rsid w:val="001553FE"/>
    <w:rsid w:val="00184935"/>
    <w:rsid w:val="00184B0D"/>
    <w:rsid w:val="001A4F9D"/>
    <w:rsid w:val="001A7828"/>
    <w:rsid w:val="001B27DD"/>
    <w:rsid w:val="001E1C8C"/>
    <w:rsid w:val="00203488"/>
    <w:rsid w:val="0021262A"/>
    <w:rsid w:val="002228A4"/>
    <w:rsid w:val="00253485"/>
    <w:rsid w:val="00263FE0"/>
    <w:rsid w:val="00277615"/>
    <w:rsid w:val="002917B9"/>
    <w:rsid w:val="00293A17"/>
    <w:rsid w:val="002C5825"/>
    <w:rsid w:val="002C6298"/>
    <w:rsid w:val="002D1302"/>
    <w:rsid w:val="002D1D1D"/>
    <w:rsid w:val="002F0B75"/>
    <w:rsid w:val="002F3F57"/>
    <w:rsid w:val="00313ABE"/>
    <w:rsid w:val="003411DF"/>
    <w:rsid w:val="00390F98"/>
    <w:rsid w:val="003B02C0"/>
    <w:rsid w:val="003C3948"/>
    <w:rsid w:val="003C3BFA"/>
    <w:rsid w:val="003C61C0"/>
    <w:rsid w:val="003C6759"/>
    <w:rsid w:val="003F6B92"/>
    <w:rsid w:val="00410272"/>
    <w:rsid w:val="0041714E"/>
    <w:rsid w:val="004214BC"/>
    <w:rsid w:val="00421E2C"/>
    <w:rsid w:val="00425F4F"/>
    <w:rsid w:val="004553FC"/>
    <w:rsid w:val="00464400"/>
    <w:rsid w:val="0048030D"/>
    <w:rsid w:val="00490379"/>
    <w:rsid w:val="00490D13"/>
    <w:rsid w:val="004A1391"/>
    <w:rsid w:val="004A245E"/>
    <w:rsid w:val="004A688A"/>
    <w:rsid w:val="004E4973"/>
    <w:rsid w:val="005262CF"/>
    <w:rsid w:val="005774C8"/>
    <w:rsid w:val="00580D4E"/>
    <w:rsid w:val="00585470"/>
    <w:rsid w:val="005D2A4D"/>
    <w:rsid w:val="005D3B93"/>
    <w:rsid w:val="00601E1C"/>
    <w:rsid w:val="00611A36"/>
    <w:rsid w:val="006577FB"/>
    <w:rsid w:val="00681702"/>
    <w:rsid w:val="006A4D6D"/>
    <w:rsid w:val="006B0201"/>
    <w:rsid w:val="006B7C30"/>
    <w:rsid w:val="006C2376"/>
    <w:rsid w:val="006D6E4D"/>
    <w:rsid w:val="006E52E8"/>
    <w:rsid w:val="0071358C"/>
    <w:rsid w:val="00714A43"/>
    <w:rsid w:val="00714ACB"/>
    <w:rsid w:val="00722FE0"/>
    <w:rsid w:val="0072541C"/>
    <w:rsid w:val="00756B9E"/>
    <w:rsid w:val="007B491C"/>
    <w:rsid w:val="007B5432"/>
    <w:rsid w:val="007E430C"/>
    <w:rsid w:val="007F3602"/>
    <w:rsid w:val="008103ED"/>
    <w:rsid w:val="00827CA1"/>
    <w:rsid w:val="00842D08"/>
    <w:rsid w:val="00856008"/>
    <w:rsid w:val="00867DD4"/>
    <w:rsid w:val="008B0204"/>
    <w:rsid w:val="008B6E1B"/>
    <w:rsid w:val="0090560B"/>
    <w:rsid w:val="00914B0C"/>
    <w:rsid w:val="009206ED"/>
    <w:rsid w:val="00931523"/>
    <w:rsid w:val="00953B0A"/>
    <w:rsid w:val="00964854"/>
    <w:rsid w:val="00976263"/>
    <w:rsid w:val="009811F7"/>
    <w:rsid w:val="00990A2A"/>
    <w:rsid w:val="009E2079"/>
    <w:rsid w:val="009E4324"/>
    <w:rsid w:val="00A214EF"/>
    <w:rsid w:val="00A27264"/>
    <w:rsid w:val="00A744F6"/>
    <w:rsid w:val="00A74AE6"/>
    <w:rsid w:val="00A76D90"/>
    <w:rsid w:val="00AE35F5"/>
    <w:rsid w:val="00AF0CD1"/>
    <w:rsid w:val="00B06B95"/>
    <w:rsid w:val="00B14B4F"/>
    <w:rsid w:val="00B33B2C"/>
    <w:rsid w:val="00B43AF3"/>
    <w:rsid w:val="00B510B4"/>
    <w:rsid w:val="00B87A31"/>
    <w:rsid w:val="00B95802"/>
    <w:rsid w:val="00BD552E"/>
    <w:rsid w:val="00BD66E0"/>
    <w:rsid w:val="00C10216"/>
    <w:rsid w:val="00C40756"/>
    <w:rsid w:val="00C43CFC"/>
    <w:rsid w:val="00C7337D"/>
    <w:rsid w:val="00C914FA"/>
    <w:rsid w:val="00C922AD"/>
    <w:rsid w:val="00C94710"/>
    <w:rsid w:val="00CB3D1E"/>
    <w:rsid w:val="00CB7762"/>
    <w:rsid w:val="00CB7D9C"/>
    <w:rsid w:val="00CD650A"/>
    <w:rsid w:val="00CD690D"/>
    <w:rsid w:val="00CD6CC9"/>
    <w:rsid w:val="00D221F4"/>
    <w:rsid w:val="00D305ED"/>
    <w:rsid w:val="00D36E93"/>
    <w:rsid w:val="00DA6E38"/>
    <w:rsid w:val="00DC4BD8"/>
    <w:rsid w:val="00DD6C44"/>
    <w:rsid w:val="00DE3587"/>
    <w:rsid w:val="00E13BC8"/>
    <w:rsid w:val="00E25996"/>
    <w:rsid w:val="00E41E9D"/>
    <w:rsid w:val="00E50C20"/>
    <w:rsid w:val="00E5770F"/>
    <w:rsid w:val="00E8092F"/>
    <w:rsid w:val="00EB3607"/>
    <w:rsid w:val="00EC4166"/>
    <w:rsid w:val="00ED7B4D"/>
    <w:rsid w:val="00EE0374"/>
    <w:rsid w:val="00EF37F4"/>
    <w:rsid w:val="00F02477"/>
    <w:rsid w:val="00F12736"/>
    <w:rsid w:val="00F32776"/>
    <w:rsid w:val="00F52953"/>
    <w:rsid w:val="00F62F28"/>
    <w:rsid w:val="00FA3262"/>
    <w:rsid w:val="00FB0AB1"/>
    <w:rsid w:val="00FE5378"/>
    <w:rsid w:val="013759A7"/>
    <w:rsid w:val="013C5F0B"/>
    <w:rsid w:val="01490E3C"/>
    <w:rsid w:val="016C6656"/>
    <w:rsid w:val="019626B9"/>
    <w:rsid w:val="01BC69FC"/>
    <w:rsid w:val="01BC6DAB"/>
    <w:rsid w:val="02190F03"/>
    <w:rsid w:val="024E3BC3"/>
    <w:rsid w:val="024F0C13"/>
    <w:rsid w:val="025557CE"/>
    <w:rsid w:val="025B14D6"/>
    <w:rsid w:val="026102B5"/>
    <w:rsid w:val="027C18EC"/>
    <w:rsid w:val="027E2694"/>
    <w:rsid w:val="0289121A"/>
    <w:rsid w:val="02A231C4"/>
    <w:rsid w:val="02C43C3A"/>
    <w:rsid w:val="02C505B4"/>
    <w:rsid w:val="02DA3B7D"/>
    <w:rsid w:val="02DC3A7F"/>
    <w:rsid w:val="02F840AA"/>
    <w:rsid w:val="030465B9"/>
    <w:rsid w:val="034212A8"/>
    <w:rsid w:val="034B7948"/>
    <w:rsid w:val="037103F2"/>
    <w:rsid w:val="03A35081"/>
    <w:rsid w:val="03CD6D7A"/>
    <w:rsid w:val="03E7107D"/>
    <w:rsid w:val="03F576A2"/>
    <w:rsid w:val="04903F14"/>
    <w:rsid w:val="04A2204C"/>
    <w:rsid w:val="04A31BCB"/>
    <w:rsid w:val="04B51AEB"/>
    <w:rsid w:val="04B81D35"/>
    <w:rsid w:val="053166F4"/>
    <w:rsid w:val="05392101"/>
    <w:rsid w:val="0558424B"/>
    <w:rsid w:val="05E630CC"/>
    <w:rsid w:val="05F42E2D"/>
    <w:rsid w:val="061F572D"/>
    <w:rsid w:val="06A93CE8"/>
    <w:rsid w:val="06C34C29"/>
    <w:rsid w:val="06DC1F29"/>
    <w:rsid w:val="070D535E"/>
    <w:rsid w:val="072F567F"/>
    <w:rsid w:val="073542FB"/>
    <w:rsid w:val="074B578F"/>
    <w:rsid w:val="079F7C3F"/>
    <w:rsid w:val="08161005"/>
    <w:rsid w:val="085D3FC5"/>
    <w:rsid w:val="086C1340"/>
    <w:rsid w:val="08860449"/>
    <w:rsid w:val="089A4E50"/>
    <w:rsid w:val="08A13D18"/>
    <w:rsid w:val="08D15441"/>
    <w:rsid w:val="093E638D"/>
    <w:rsid w:val="09451447"/>
    <w:rsid w:val="09633F2A"/>
    <w:rsid w:val="09643149"/>
    <w:rsid w:val="097E00F3"/>
    <w:rsid w:val="097E4DD6"/>
    <w:rsid w:val="0981500D"/>
    <w:rsid w:val="09B928A4"/>
    <w:rsid w:val="09D50F7A"/>
    <w:rsid w:val="09F94648"/>
    <w:rsid w:val="0A763404"/>
    <w:rsid w:val="0A947444"/>
    <w:rsid w:val="0AAE17E2"/>
    <w:rsid w:val="0AC21213"/>
    <w:rsid w:val="0AE33FD5"/>
    <w:rsid w:val="0B196721"/>
    <w:rsid w:val="0B346BA8"/>
    <w:rsid w:val="0B3D53D9"/>
    <w:rsid w:val="0B516612"/>
    <w:rsid w:val="0B6B7127"/>
    <w:rsid w:val="0B7B4A93"/>
    <w:rsid w:val="0BC675A5"/>
    <w:rsid w:val="0BE77544"/>
    <w:rsid w:val="0BF45E6B"/>
    <w:rsid w:val="0BFA70B6"/>
    <w:rsid w:val="0C140691"/>
    <w:rsid w:val="0C291E4C"/>
    <w:rsid w:val="0C2C231D"/>
    <w:rsid w:val="0C320460"/>
    <w:rsid w:val="0C3B52A7"/>
    <w:rsid w:val="0C7E3FAC"/>
    <w:rsid w:val="0CF91701"/>
    <w:rsid w:val="0D1A52D6"/>
    <w:rsid w:val="0D327511"/>
    <w:rsid w:val="0D422013"/>
    <w:rsid w:val="0D6521AF"/>
    <w:rsid w:val="0D7D62E4"/>
    <w:rsid w:val="0DE35244"/>
    <w:rsid w:val="0E2401CD"/>
    <w:rsid w:val="0E2C0B2D"/>
    <w:rsid w:val="0E551832"/>
    <w:rsid w:val="0E6F4E28"/>
    <w:rsid w:val="0E8A0EF0"/>
    <w:rsid w:val="0E991A33"/>
    <w:rsid w:val="0E9E15F7"/>
    <w:rsid w:val="0EAB26ED"/>
    <w:rsid w:val="0EB15EBF"/>
    <w:rsid w:val="0EBA1AD1"/>
    <w:rsid w:val="0EBE5877"/>
    <w:rsid w:val="0EBF1C92"/>
    <w:rsid w:val="0EDA3F61"/>
    <w:rsid w:val="0F13390B"/>
    <w:rsid w:val="0F142CE6"/>
    <w:rsid w:val="0F2C2DD6"/>
    <w:rsid w:val="0F303ED1"/>
    <w:rsid w:val="0F526E50"/>
    <w:rsid w:val="0F562FC1"/>
    <w:rsid w:val="0F775F1E"/>
    <w:rsid w:val="0FC825D0"/>
    <w:rsid w:val="0FC836FB"/>
    <w:rsid w:val="10095BC2"/>
    <w:rsid w:val="101D5CAF"/>
    <w:rsid w:val="102352DC"/>
    <w:rsid w:val="1058761A"/>
    <w:rsid w:val="10657B93"/>
    <w:rsid w:val="10AD5127"/>
    <w:rsid w:val="10AF053E"/>
    <w:rsid w:val="10B450B9"/>
    <w:rsid w:val="10ED3B72"/>
    <w:rsid w:val="11285F9B"/>
    <w:rsid w:val="113C15F1"/>
    <w:rsid w:val="11CA3157"/>
    <w:rsid w:val="11D970CB"/>
    <w:rsid w:val="11F071A1"/>
    <w:rsid w:val="12012988"/>
    <w:rsid w:val="12322FC4"/>
    <w:rsid w:val="12414FC0"/>
    <w:rsid w:val="124603E8"/>
    <w:rsid w:val="124D3A86"/>
    <w:rsid w:val="12560B28"/>
    <w:rsid w:val="126B0A74"/>
    <w:rsid w:val="1279232C"/>
    <w:rsid w:val="128954AB"/>
    <w:rsid w:val="12EA3916"/>
    <w:rsid w:val="12F116B4"/>
    <w:rsid w:val="12F16D6B"/>
    <w:rsid w:val="132475E8"/>
    <w:rsid w:val="134C5C7B"/>
    <w:rsid w:val="13C14D53"/>
    <w:rsid w:val="13DB58EC"/>
    <w:rsid w:val="13E40B0C"/>
    <w:rsid w:val="13FB017F"/>
    <w:rsid w:val="14115F42"/>
    <w:rsid w:val="14393340"/>
    <w:rsid w:val="147222C2"/>
    <w:rsid w:val="14803335"/>
    <w:rsid w:val="14880117"/>
    <w:rsid w:val="14954301"/>
    <w:rsid w:val="149F6F10"/>
    <w:rsid w:val="14A109A0"/>
    <w:rsid w:val="14B06892"/>
    <w:rsid w:val="152248D1"/>
    <w:rsid w:val="153A5C89"/>
    <w:rsid w:val="15507937"/>
    <w:rsid w:val="156720F7"/>
    <w:rsid w:val="1574254E"/>
    <w:rsid w:val="157E7CA2"/>
    <w:rsid w:val="159E5431"/>
    <w:rsid w:val="15AB5915"/>
    <w:rsid w:val="15B71E5E"/>
    <w:rsid w:val="15B96C11"/>
    <w:rsid w:val="15D8507F"/>
    <w:rsid w:val="15EC3A7D"/>
    <w:rsid w:val="161767F2"/>
    <w:rsid w:val="162C1FC2"/>
    <w:rsid w:val="16341D2D"/>
    <w:rsid w:val="163E2E59"/>
    <w:rsid w:val="168465DB"/>
    <w:rsid w:val="16931E21"/>
    <w:rsid w:val="16A03054"/>
    <w:rsid w:val="16AB0851"/>
    <w:rsid w:val="16C000E9"/>
    <w:rsid w:val="16EC3442"/>
    <w:rsid w:val="16ED10FB"/>
    <w:rsid w:val="16EF0A46"/>
    <w:rsid w:val="171C4E02"/>
    <w:rsid w:val="17311DAA"/>
    <w:rsid w:val="173F34D3"/>
    <w:rsid w:val="17452616"/>
    <w:rsid w:val="177F15BD"/>
    <w:rsid w:val="17B853D2"/>
    <w:rsid w:val="17C274F3"/>
    <w:rsid w:val="17CF3C8A"/>
    <w:rsid w:val="181B1698"/>
    <w:rsid w:val="181F3F47"/>
    <w:rsid w:val="183A3EE4"/>
    <w:rsid w:val="18545AE7"/>
    <w:rsid w:val="18586B12"/>
    <w:rsid w:val="186C1DC5"/>
    <w:rsid w:val="18890D78"/>
    <w:rsid w:val="188C1FAA"/>
    <w:rsid w:val="18926998"/>
    <w:rsid w:val="18A67264"/>
    <w:rsid w:val="18C11F89"/>
    <w:rsid w:val="18C81045"/>
    <w:rsid w:val="18EB77D2"/>
    <w:rsid w:val="18EE1253"/>
    <w:rsid w:val="19000519"/>
    <w:rsid w:val="192C4F37"/>
    <w:rsid w:val="194832B5"/>
    <w:rsid w:val="195C5FE0"/>
    <w:rsid w:val="19630DE4"/>
    <w:rsid w:val="198344AC"/>
    <w:rsid w:val="19932549"/>
    <w:rsid w:val="199F1E19"/>
    <w:rsid w:val="19BF2A8D"/>
    <w:rsid w:val="19BF57BC"/>
    <w:rsid w:val="19C1578E"/>
    <w:rsid w:val="19DA57A3"/>
    <w:rsid w:val="1A2056E5"/>
    <w:rsid w:val="1A8C0F99"/>
    <w:rsid w:val="1AA35689"/>
    <w:rsid w:val="1B0B1000"/>
    <w:rsid w:val="1B1A1056"/>
    <w:rsid w:val="1B325733"/>
    <w:rsid w:val="1B3B1964"/>
    <w:rsid w:val="1B467B02"/>
    <w:rsid w:val="1B5F7E2D"/>
    <w:rsid w:val="1B682A77"/>
    <w:rsid w:val="1B8470FB"/>
    <w:rsid w:val="1BD07263"/>
    <w:rsid w:val="1BD57D32"/>
    <w:rsid w:val="1BE55313"/>
    <w:rsid w:val="1BEE0253"/>
    <w:rsid w:val="1C19434C"/>
    <w:rsid w:val="1C501AAE"/>
    <w:rsid w:val="1C874EF3"/>
    <w:rsid w:val="1CCC7841"/>
    <w:rsid w:val="1CD773A9"/>
    <w:rsid w:val="1CDD07B4"/>
    <w:rsid w:val="1CE3372C"/>
    <w:rsid w:val="1D0555FF"/>
    <w:rsid w:val="1D072F34"/>
    <w:rsid w:val="1D124C0E"/>
    <w:rsid w:val="1D135963"/>
    <w:rsid w:val="1D32653E"/>
    <w:rsid w:val="1D40490F"/>
    <w:rsid w:val="1D4B6A41"/>
    <w:rsid w:val="1D5C705C"/>
    <w:rsid w:val="1D6B0439"/>
    <w:rsid w:val="1DB617A6"/>
    <w:rsid w:val="1DDD081F"/>
    <w:rsid w:val="1DE574B1"/>
    <w:rsid w:val="1DFF15F7"/>
    <w:rsid w:val="1E024B5D"/>
    <w:rsid w:val="1E234569"/>
    <w:rsid w:val="1E29469C"/>
    <w:rsid w:val="1E2957AC"/>
    <w:rsid w:val="1E534E6B"/>
    <w:rsid w:val="1E825CBA"/>
    <w:rsid w:val="1E89254C"/>
    <w:rsid w:val="1EA9049C"/>
    <w:rsid w:val="1EBC5D6F"/>
    <w:rsid w:val="1EBC633E"/>
    <w:rsid w:val="1ECE409D"/>
    <w:rsid w:val="1EF62BC1"/>
    <w:rsid w:val="1F193ADA"/>
    <w:rsid w:val="1F2E4D31"/>
    <w:rsid w:val="1F325213"/>
    <w:rsid w:val="1F3B1A9D"/>
    <w:rsid w:val="1F886D42"/>
    <w:rsid w:val="1FA257F8"/>
    <w:rsid w:val="1FE56AC5"/>
    <w:rsid w:val="20421EB4"/>
    <w:rsid w:val="204B43E9"/>
    <w:rsid w:val="205A141E"/>
    <w:rsid w:val="20E53E98"/>
    <w:rsid w:val="2102499E"/>
    <w:rsid w:val="210D6A09"/>
    <w:rsid w:val="210F7137"/>
    <w:rsid w:val="2133478D"/>
    <w:rsid w:val="213775C9"/>
    <w:rsid w:val="214B169F"/>
    <w:rsid w:val="215A7E50"/>
    <w:rsid w:val="217843DC"/>
    <w:rsid w:val="21AE267E"/>
    <w:rsid w:val="21D94E3C"/>
    <w:rsid w:val="220F6144"/>
    <w:rsid w:val="22194E91"/>
    <w:rsid w:val="2228063B"/>
    <w:rsid w:val="22280985"/>
    <w:rsid w:val="223F2453"/>
    <w:rsid w:val="22A729C5"/>
    <w:rsid w:val="22A8330D"/>
    <w:rsid w:val="22AE54AF"/>
    <w:rsid w:val="23121183"/>
    <w:rsid w:val="23310B25"/>
    <w:rsid w:val="23391D49"/>
    <w:rsid w:val="233B65CE"/>
    <w:rsid w:val="235C2A56"/>
    <w:rsid w:val="23705E02"/>
    <w:rsid w:val="23902147"/>
    <w:rsid w:val="239A24F5"/>
    <w:rsid w:val="239A6779"/>
    <w:rsid w:val="23A17FC7"/>
    <w:rsid w:val="23AC5AFB"/>
    <w:rsid w:val="23B02743"/>
    <w:rsid w:val="23C66DFC"/>
    <w:rsid w:val="23C874DA"/>
    <w:rsid w:val="23D4738F"/>
    <w:rsid w:val="23D72367"/>
    <w:rsid w:val="23EF6A68"/>
    <w:rsid w:val="23F65161"/>
    <w:rsid w:val="240E6072"/>
    <w:rsid w:val="24330241"/>
    <w:rsid w:val="24A70E21"/>
    <w:rsid w:val="24D02B1B"/>
    <w:rsid w:val="25112B3C"/>
    <w:rsid w:val="2523301F"/>
    <w:rsid w:val="255779F2"/>
    <w:rsid w:val="25695866"/>
    <w:rsid w:val="25A50798"/>
    <w:rsid w:val="25A76FF4"/>
    <w:rsid w:val="25BA2015"/>
    <w:rsid w:val="25BC7C54"/>
    <w:rsid w:val="26223F83"/>
    <w:rsid w:val="262B1298"/>
    <w:rsid w:val="26302580"/>
    <w:rsid w:val="2645462F"/>
    <w:rsid w:val="264E5044"/>
    <w:rsid w:val="265E27A5"/>
    <w:rsid w:val="26832EE8"/>
    <w:rsid w:val="26B252A3"/>
    <w:rsid w:val="26B326A7"/>
    <w:rsid w:val="26B415F4"/>
    <w:rsid w:val="26ED7E72"/>
    <w:rsid w:val="26EF0C97"/>
    <w:rsid w:val="26F827C8"/>
    <w:rsid w:val="27355F89"/>
    <w:rsid w:val="273B34AE"/>
    <w:rsid w:val="27805BBB"/>
    <w:rsid w:val="27932D96"/>
    <w:rsid w:val="28172509"/>
    <w:rsid w:val="284D45F2"/>
    <w:rsid w:val="28697778"/>
    <w:rsid w:val="286F13FE"/>
    <w:rsid w:val="28762ADA"/>
    <w:rsid w:val="28C2316F"/>
    <w:rsid w:val="28DB2574"/>
    <w:rsid w:val="28F25A77"/>
    <w:rsid w:val="29103FD3"/>
    <w:rsid w:val="292C2CA7"/>
    <w:rsid w:val="29350194"/>
    <w:rsid w:val="2943195F"/>
    <w:rsid w:val="294D2294"/>
    <w:rsid w:val="294E28EF"/>
    <w:rsid w:val="297E07AE"/>
    <w:rsid w:val="29930D2E"/>
    <w:rsid w:val="29A90C34"/>
    <w:rsid w:val="29AA471D"/>
    <w:rsid w:val="29E16457"/>
    <w:rsid w:val="29E74E64"/>
    <w:rsid w:val="29FC3793"/>
    <w:rsid w:val="2A4C4B1E"/>
    <w:rsid w:val="2A833028"/>
    <w:rsid w:val="2A8D035E"/>
    <w:rsid w:val="2A8E4E09"/>
    <w:rsid w:val="2AAE50AB"/>
    <w:rsid w:val="2ACC3947"/>
    <w:rsid w:val="2AD820E2"/>
    <w:rsid w:val="2AD86915"/>
    <w:rsid w:val="2AE743DE"/>
    <w:rsid w:val="2AF311A1"/>
    <w:rsid w:val="2B0A23E4"/>
    <w:rsid w:val="2B320F32"/>
    <w:rsid w:val="2B794B8B"/>
    <w:rsid w:val="2B920E26"/>
    <w:rsid w:val="2BBB682B"/>
    <w:rsid w:val="2BC9585A"/>
    <w:rsid w:val="2BD726C5"/>
    <w:rsid w:val="2C13511D"/>
    <w:rsid w:val="2C1D6E55"/>
    <w:rsid w:val="2C4716F7"/>
    <w:rsid w:val="2C606CC1"/>
    <w:rsid w:val="2C8F010F"/>
    <w:rsid w:val="2C9277B6"/>
    <w:rsid w:val="2CB3772A"/>
    <w:rsid w:val="2CB5783D"/>
    <w:rsid w:val="2CB96FDA"/>
    <w:rsid w:val="2CC2730F"/>
    <w:rsid w:val="2CC712EA"/>
    <w:rsid w:val="2D031C37"/>
    <w:rsid w:val="2D1068A9"/>
    <w:rsid w:val="2D242C35"/>
    <w:rsid w:val="2D39177D"/>
    <w:rsid w:val="2D4D19F5"/>
    <w:rsid w:val="2D52472C"/>
    <w:rsid w:val="2D702D4F"/>
    <w:rsid w:val="2D88722B"/>
    <w:rsid w:val="2D9E2A02"/>
    <w:rsid w:val="2E0375D7"/>
    <w:rsid w:val="2E3A4E70"/>
    <w:rsid w:val="2E6036F9"/>
    <w:rsid w:val="2E8D64FC"/>
    <w:rsid w:val="2EA323CD"/>
    <w:rsid w:val="2F19003A"/>
    <w:rsid w:val="2F332911"/>
    <w:rsid w:val="2F594063"/>
    <w:rsid w:val="2F5A3BF7"/>
    <w:rsid w:val="2F9D5856"/>
    <w:rsid w:val="2FA312B4"/>
    <w:rsid w:val="2FB33D0C"/>
    <w:rsid w:val="2FB8224D"/>
    <w:rsid w:val="2FC64A56"/>
    <w:rsid w:val="2FCA7306"/>
    <w:rsid w:val="2FE15BBB"/>
    <w:rsid w:val="30053DDC"/>
    <w:rsid w:val="304A6FC4"/>
    <w:rsid w:val="3050283E"/>
    <w:rsid w:val="306476A5"/>
    <w:rsid w:val="30711876"/>
    <w:rsid w:val="30D62387"/>
    <w:rsid w:val="316776C7"/>
    <w:rsid w:val="317A40EC"/>
    <w:rsid w:val="31811F6B"/>
    <w:rsid w:val="31941B98"/>
    <w:rsid w:val="319724C9"/>
    <w:rsid w:val="31A73564"/>
    <w:rsid w:val="31BE740D"/>
    <w:rsid w:val="31C25482"/>
    <w:rsid w:val="31F2575D"/>
    <w:rsid w:val="31F95FEF"/>
    <w:rsid w:val="32017C33"/>
    <w:rsid w:val="320E3D6E"/>
    <w:rsid w:val="32115AFC"/>
    <w:rsid w:val="322306F1"/>
    <w:rsid w:val="32257B79"/>
    <w:rsid w:val="322618FA"/>
    <w:rsid w:val="32461BD0"/>
    <w:rsid w:val="327A0156"/>
    <w:rsid w:val="32834885"/>
    <w:rsid w:val="328A6743"/>
    <w:rsid w:val="32C4366D"/>
    <w:rsid w:val="32DB5696"/>
    <w:rsid w:val="32E76771"/>
    <w:rsid w:val="32F10657"/>
    <w:rsid w:val="331F0607"/>
    <w:rsid w:val="33484D53"/>
    <w:rsid w:val="334D18EF"/>
    <w:rsid w:val="339B164A"/>
    <w:rsid w:val="339C4EC6"/>
    <w:rsid w:val="33BB4BDC"/>
    <w:rsid w:val="341F057A"/>
    <w:rsid w:val="344779EC"/>
    <w:rsid w:val="3448071D"/>
    <w:rsid w:val="34645EFB"/>
    <w:rsid w:val="348C2A50"/>
    <w:rsid w:val="34A13AED"/>
    <w:rsid w:val="34C33560"/>
    <w:rsid w:val="34C62277"/>
    <w:rsid w:val="355C0299"/>
    <w:rsid w:val="357E5EC1"/>
    <w:rsid w:val="35A47453"/>
    <w:rsid w:val="35C75FDC"/>
    <w:rsid w:val="35D8589E"/>
    <w:rsid w:val="35E45291"/>
    <w:rsid w:val="36182531"/>
    <w:rsid w:val="363E1979"/>
    <w:rsid w:val="364E0C18"/>
    <w:rsid w:val="36625247"/>
    <w:rsid w:val="36B45B87"/>
    <w:rsid w:val="36D54D86"/>
    <w:rsid w:val="36DF7560"/>
    <w:rsid w:val="370B288B"/>
    <w:rsid w:val="372B5FE9"/>
    <w:rsid w:val="375401FF"/>
    <w:rsid w:val="37604F1C"/>
    <w:rsid w:val="376368C9"/>
    <w:rsid w:val="37802F9F"/>
    <w:rsid w:val="37847F1C"/>
    <w:rsid w:val="37AF1A7D"/>
    <w:rsid w:val="37B1586F"/>
    <w:rsid w:val="37C567E8"/>
    <w:rsid w:val="37DE6D1A"/>
    <w:rsid w:val="37F47E75"/>
    <w:rsid w:val="38217529"/>
    <w:rsid w:val="383F2126"/>
    <w:rsid w:val="38562044"/>
    <w:rsid w:val="385D703E"/>
    <w:rsid w:val="387177B2"/>
    <w:rsid w:val="38753529"/>
    <w:rsid w:val="38AD07AF"/>
    <w:rsid w:val="38B567AE"/>
    <w:rsid w:val="38BB1CBB"/>
    <w:rsid w:val="38CC1E2F"/>
    <w:rsid w:val="39101407"/>
    <w:rsid w:val="391D07DC"/>
    <w:rsid w:val="391F4969"/>
    <w:rsid w:val="39457091"/>
    <w:rsid w:val="394B66C7"/>
    <w:rsid w:val="398A4835"/>
    <w:rsid w:val="39AE2EE4"/>
    <w:rsid w:val="39E35680"/>
    <w:rsid w:val="3A0B6229"/>
    <w:rsid w:val="3A6C1F45"/>
    <w:rsid w:val="3AD41EB5"/>
    <w:rsid w:val="3AF46A82"/>
    <w:rsid w:val="3B342135"/>
    <w:rsid w:val="3B4E2859"/>
    <w:rsid w:val="3B6028BD"/>
    <w:rsid w:val="3B754D15"/>
    <w:rsid w:val="3B9D2411"/>
    <w:rsid w:val="3BB11D52"/>
    <w:rsid w:val="3BC6111D"/>
    <w:rsid w:val="3BEB7870"/>
    <w:rsid w:val="3C26603D"/>
    <w:rsid w:val="3C6C60F1"/>
    <w:rsid w:val="3C805CFF"/>
    <w:rsid w:val="3C867232"/>
    <w:rsid w:val="3CA1349F"/>
    <w:rsid w:val="3CC56DBE"/>
    <w:rsid w:val="3CCA5AC4"/>
    <w:rsid w:val="3CE148D5"/>
    <w:rsid w:val="3CF60F13"/>
    <w:rsid w:val="3D2E5C0E"/>
    <w:rsid w:val="3D2F03B6"/>
    <w:rsid w:val="3D692077"/>
    <w:rsid w:val="3D6C6268"/>
    <w:rsid w:val="3D6D5F96"/>
    <w:rsid w:val="3D8500A7"/>
    <w:rsid w:val="3D9209A6"/>
    <w:rsid w:val="3D9C14F1"/>
    <w:rsid w:val="3DA60A7F"/>
    <w:rsid w:val="3DAA20D8"/>
    <w:rsid w:val="3DAF458D"/>
    <w:rsid w:val="3DB25A6F"/>
    <w:rsid w:val="3DB50C0D"/>
    <w:rsid w:val="3E010C1D"/>
    <w:rsid w:val="3E091B28"/>
    <w:rsid w:val="3E141766"/>
    <w:rsid w:val="3E371080"/>
    <w:rsid w:val="3E37682D"/>
    <w:rsid w:val="3E4959CB"/>
    <w:rsid w:val="3E510266"/>
    <w:rsid w:val="3EB82C3F"/>
    <w:rsid w:val="3EC3257F"/>
    <w:rsid w:val="3EC94E0D"/>
    <w:rsid w:val="3F16706F"/>
    <w:rsid w:val="3F307ED9"/>
    <w:rsid w:val="3F345FF1"/>
    <w:rsid w:val="3F621B88"/>
    <w:rsid w:val="3F717A99"/>
    <w:rsid w:val="3F7441A2"/>
    <w:rsid w:val="3F9D7DC0"/>
    <w:rsid w:val="3FC36F46"/>
    <w:rsid w:val="3FCE1266"/>
    <w:rsid w:val="3FCE6FDC"/>
    <w:rsid w:val="3FE062DD"/>
    <w:rsid w:val="3FE31E09"/>
    <w:rsid w:val="3FEC034F"/>
    <w:rsid w:val="3FF12C90"/>
    <w:rsid w:val="3FF81865"/>
    <w:rsid w:val="40014FED"/>
    <w:rsid w:val="401922C2"/>
    <w:rsid w:val="4064223E"/>
    <w:rsid w:val="407832F1"/>
    <w:rsid w:val="40E22219"/>
    <w:rsid w:val="414D5976"/>
    <w:rsid w:val="415A7A63"/>
    <w:rsid w:val="4168239C"/>
    <w:rsid w:val="41974F3F"/>
    <w:rsid w:val="41B13DA3"/>
    <w:rsid w:val="421A1DA6"/>
    <w:rsid w:val="426E055F"/>
    <w:rsid w:val="42900C80"/>
    <w:rsid w:val="4299427F"/>
    <w:rsid w:val="431C15F6"/>
    <w:rsid w:val="432D5ADB"/>
    <w:rsid w:val="436B0AB0"/>
    <w:rsid w:val="437D42F1"/>
    <w:rsid w:val="43B575BD"/>
    <w:rsid w:val="43C157C8"/>
    <w:rsid w:val="43D44696"/>
    <w:rsid w:val="43D72CD6"/>
    <w:rsid w:val="43E23CF8"/>
    <w:rsid w:val="43ED2EFA"/>
    <w:rsid w:val="44040F84"/>
    <w:rsid w:val="445857B9"/>
    <w:rsid w:val="44604BD0"/>
    <w:rsid w:val="44752444"/>
    <w:rsid w:val="449D4396"/>
    <w:rsid w:val="44A92993"/>
    <w:rsid w:val="44AA0E46"/>
    <w:rsid w:val="44AA324B"/>
    <w:rsid w:val="44E15FB7"/>
    <w:rsid w:val="44E45DCD"/>
    <w:rsid w:val="452F34E9"/>
    <w:rsid w:val="454E18B0"/>
    <w:rsid w:val="45617122"/>
    <w:rsid w:val="45AA14C7"/>
    <w:rsid w:val="45C2715C"/>
    <w:rsid w:val="45C75C04"/>
    <w:rsid w:val="45D9728F"/>
    <w:rsid w:val="45E03EBE"/>
    <w:rsid w:val="46027AFA"/>
    <w:rsid w:val="465F525E"/>
    <w:rsid w:val="46837D5D"/>
    <w:rsid w:val="46D43A09"/>
    <w:rsid w:val="46DC2428"/>
    <w:rsid w:val="46EA01C2"/>
    <w:rsid w:val="46EC35B7"/>
    <w:rsid w:val="46F65BBC"/>
    <w:rsid w:val="4744230D"/>
    <w:rsid w:val="476F32C3"/>
    <w:rsid w:val="478D4D9B"/>
    <w:rsid w:val="47B72B46"/>
    <w:rsid w:val="47E05294"/>
    <w:rsid w:val="481B181B"/>
    <w:rsid w:val="48275498"/>
    <w:rsid w:val="485420B1"/>
    <w:rsid w:val="48765CDF"/>
    <w:rsid w:val="488616AC"/>
    <w:rsid w:val="488E6C72"/>
    <w:rsid w:val="48947ADA"/>
    <w:rsid w:val="48A91F23"/>
    <w:rsid w:val="48DB6A85"/>
    <w:rsid w:val="48F00062"/>
    <w:rsid w:val="49272DDB"/>
    <w:rsid w:val="49304BFE"/>
    <w:rsid w:val="494534A0"/>
    <w:rsid w:val="49676A0B"/>
    <w:rsid w:val="498F65C0"/>
    <w:rsid w:val="4A2F79BA"/>
    <w:rsid w:val="4A4472CB"/>
    <w:rsid w:val="4A66404E"/>
    <w:rsid w:val="4AC55A14"/>
    <w:rsid w:val="4ACE1ECF"/>
    <w:rsid w:val="4ADA68DA"/>
    <w:rsid w:val="4AEC7F33"/>
    <w:rsid w:val="4B1D31FA"/>
    <w:rsid w:val="4B2F06D0"/>
    <w:rsid w:val="4BB57D56"/>
    <w:rsid w:val="4C0146F3"/>
    <w:rsid w:val="4C132634"/>
    <w:rsid w:val="4C4046B4"/>
    <w:rsid w:val="4C8A0E9E"/>
    <w:rsid w:val="4C991C9A"/>
    <w:rsid w:val="4CA92A34"/>
    <w:rsid w:val="4D2C009A"/>
    <w:rsid w:val="4D3453CA"/>
    <w:rsid w:val="4D582B08"/>
    <w:rsid w:val="4D5A2B7A"/>
    <w:rsid w:val="4D976E44"/>
    <w:rsid w:val="4D9A6460"/>
    <w:rsid w:val="4DA04681"/>
    <w:rsid w:val="4DF310CF"/>
    <w:rsid w:val="4E2D017E"/>
    <w:rsid w:val="4E3A4C92"/>
    <w:rsid w:val="4E5258FB"/>
    <w:rsid w:val="4E78041D"/>
    <w:rsid w:val="4EBD2210"/>
    <w:rsid w:val="4EDD2241"/>
    <w:rsid w:val="4F055BAC"/>
    <w:rsid w:val="4F1B49BD"/>
    <w:rsid w:val="4F651C73"/>
    <w:rsid w:val="4F75761F"/>
    <w:rsid w:val="4F77287D"/>
    <w:rsid w:val="4F8F0B3C"/>
    <w:rsid w:val="4FA728C1"/>
    <w:rsid w:val="4FB97FEA"/>
    <w:rsid w:val="4FC255FC"/>
    <w:rsid w:val="4FDB6B15"/>
    <w:rsid w:val="4FF428FE"/>
    <w:rsid w:val="50346ACE"/>
    <w:rsid w:val="50464922"/>
    <w:rsid w:val="505D0990"/>
    <w:rsid w:val="5071053C"/>
    <w:rsid w:val="50753236"/>
    <w:rsid w:val="50855026"/>
    <w:rsid w:val="5094121F"/>
    <w:rsid w:val="50B16B7A"/>
    <w:rsid w:val="50DA313E"/>
    <w:rsid w:val="50DA3C74"/>
    <w:rsid w:val="5108329B"/>
    <w:rsid w:val="513B6A53"/>
    <w:rsid w:val="51432BDB"/>
    <w:rsid w:val="514C2224"/>
    <w:rsid w:val="515C46DD"/>
    <w:rsid w:val="51745870"/>
    <w:rsid w:val="51A056F2"/>
    <w:rsid w:val="51ED0157"/>
    <w:rsid w:val="52081ABF"/>
    <w:rsid w:val="52502EA8"/>
    <w:rsid w:val="526E2841"/>
    <w:rsid w:val="5270322D"/>
    <w:rsid w:val="527A3D47"/>
    <w:rsid w:val="52BD6378"/>
    <w:rsid w:val="52C04A88"/>
    <w:rsid w:val="52D007EA"/>
    <w:rsid w:val="52E55224"/>
    <w:rsid w:val="5301319F"/>
    <w:rsid w:val="53486653"/>
    <w:rsid w:val="534D196F"/>
    <w:rsid w:val="53546988"/>
    <w:rsid w:val="538D75FE"/>
    <w:rsid w:val="53A35868"/>
    <w:rsid w:val="53A91046"/>
    <w:rsid w:val="53B22429"/>
    <w:rsid w:val="53C475ED"/>
    <w:rsid w:val="53CC720A"/>
    <w:rsid w:val="54021251"/>
    <w:rsid w:val="540F057C"/>
    <w:rsid w:val="544E0B49"/>
    <w:rsid w:val="54577C1F"/>
    <w:rsid w:val="54B60D8C"/>
    <w:rsid w:val="54B81D16"/>
    <w:rsid w:val="54D417BE"/>
    <w:rsid w:val="54D86FD5"/>
    <w:rsid w:val="55237C6E"/>
    <w:rsid w:val="552D4699"/>
    <w:rsid w:val="552D67BF"/>
    <w:rsid w:val="55450224"/>
    <w:rsid w:val="554504BD"/>
    <w:rsid w:val="55454D70"/>
    <w:rsid w:val="55572FFE"/>
    <w:rsid w:val="55875D57"/>
    <w:rsid w:val="559F28BD"/>
    <w:rsid w:val="55A25F6F"/>
    <w:rsid w:val="55DE6A44"/>
    <w:rsid w:val="55EC5944"/>
    <w:rsid w:val="561F72D4"/>
    <w:rsid w:val="563F05D9"/>
    <w:rsid w:val="569710FE"/>
    <w:rsid w:val="56A75593"/>
    <w:rsid w:val="56BB0AC4"/>
    <w:rsid w:val="56C74AA3"/>
    <w:rsid w:val="56E021AF"/>
    <w:rsid w:val="5714192E"/>
    <w:rsid w:val="57227425"/>
    <w:rsid w:val="57490A00"/>
    <w:rsid w:val="57AF4FA5"/>
    <w:rsid w:val="57B55228"/>
    <w:rsid w:val="57BF0F2C"/>
    <w:rsid w:val="57E15497"/>
    <w:rsid w:val="580A5E87"/>
    <w:rsid w:val="5832074E"/>
    <w:rsid w:val="58576D30"/>
    <w:rsid w:val="58736ACC"/>
    <w:rsid w:val="58A67EDA"/>
    <w:rsid w:val="58B442A9"/>
    <w:rsid w:val="58C1517F"/>
    <w:rsid w:val="58CB0A3D"/>
    <w:rsid w:val="58CE3663"/>
    <w:rsid w:val="58DB1B32"/>
    <w:rsid w:val="58DD3CA3"/>
    <w:rsid w:val="58F34F2C"/>
    <w:rsid w:val="58F875D7"/>
    <w:rsid w:val="5938311D"/>
    <w:rsid w:val="59431776"/>
    <w:rsid w:val="59466FB5"/>
    <w:rsid w:val="59AE5D7A"/>
    <w:rsid w:val="59C83E99"/>
    <w:rsid w:val="59EF226A"/>
    <w:rsid w:val="59F34F42"/>
    <w:rsid w:val="5A082B7B"/>
    <w:rsid w:val="5A160F90"/>
    <w:rsid w:val="5A275644"/>
    <w:rsid w:val="5A3A06C1"/>
    <w:rsid w:val="5A5207D7"/>
    <w:rsid w:val="5AFC4822"/>
    <w:rsid w:val="5B4D04AD"/>
    <w:rsid w:val="5B6106DA"/>
    <w:rsid w:val="5B684506"/>
    <w:rsid w:val="5B7F54D1"/>
    <w:rsid w:val="5B8525B7"/>
    <w:rsid w:val="5BBF2F23"/>
    <w:rsid w:val="5BFC5FFA"/>
    <w:rsid w:val="5C036EE6"/>
    <w:rsid w:val="5C191A87"/>
    <w:rsid w:val="5C33683E"/>
    <w:rsid w:val="5C4E7A17"/>
    <w:rsid w:val="5C5A09BC"/>
    <w:rsid w:val="5C845B18"/>
    <w:rsid w:val="5CA0005D"/>
    <w:rsid w:val="5D2A3EA0"/>
    <w:rsid w:val="5D463188"/>
    <w:rsid w:val="5D61629D"/>
    <w:rsid w:val="5D830C47"/>
    <w:rsid w:val="5D985958"/>
    <w:rsid w:val="5D9A7448"/>
    <w:rsid w:val="5D9B5109"/>
    <w:rsid w:val="5DAE1CAD"/>
    <w:rsid w:val="5DDB672E"/>
    <w:rsid w:val="5DEE2CA5"/>
    <w:rsid w:val="5DF67810"/>
    <w:rsid w:val="5E0E7A54"/>
    <w:rsid w:val="5E412029"/>
    <w:rsid w:val="5E442446"/>
    <w:rsid w:val="5E634F22"/>
    <w:rsid w:val="5E7E08A6"/>
    <w:rsid w:val="5E9C1D7C"/>
    <w:rsid w:val="5EDD7FC7"/>
    <w:rsid w:val="5F216B93"/>
    <w:rsid w:val="5F2367E4"/>
    <w:rsid w:val="5F5E40D2"/>
    <w:rsid w:val="5F7F34F0"/>
    <w:rsid w:val="5FB86858"/>
    <w:rsid w:val="5FD51F97"/>
    <w:rsid w:val="601501B3"/>
    <w:rsid w:val="601A5990"/>
    <w:rsid w:val="60216648"/>
    <w:rsid w:val="60322688"/>
    <w:rsid w:val="6064027E"/>
    <w:rsid w:val="60723032"/>
    <w:rsid w:val="608B6DF6"/>
    <w:rsid w:val="60A022F9"/>
    <w:rsid w:val="60AF0CEF"/>
    <w:rsid w:val="60B557CA"/>
    <w:rsid w:val="60B9571A"/>
    <w:rsid w:val="60D36707"/>
    <w:rsid w:val="60E96D7E"/>
    <w:rsid w:val="60EA530C"/>
    <w:rsid w:val="610329BA"/>
    <w:rsid w:val="610E37D4"/>
    <w:rsid w:val="613854D1"/>
    <w:rsid w:val="614E7A56"/>
    <w:rsid w:val="61671931"/>
    <w:rsid w:val="617612E1"/>
    <w:rsid w:val="618C6446"/>
    <w:rsid w:val="61A15AD5"/>
    <w:rsid w:val="61B57AA2"/>
    <w:rsid w:val="62006CE0"/>
    <w:rsid w:val="62013F7E"/>
    <w:rsid w:val="62250B0E"/>
    <w:rsid w:val="62286E72"/>
    <w:rsid w:val="62363521"/>
    <w:rsid w:val="62473EB7"/>
    <w:rsid w:val="624A65C5"/>
    <w:rsid w:val="62603B15"/>
    <w:rsid w:val="626C0237"/>
    <w:rsid w:val="6272713F"/>
    <w:rsid w:val="62BD210B"/>
    <w:rsid w:val="62BD2CE1"/>
    <w:rsid w:val="62BF7522"/>
    <w:rsid w:val="62D62E4C"/>
    <w:rsid w:val="62D92FC7"/>
    <w:rsid w:val="62E5183A"/>
    <w:rsid w:val="62FD6D09"/>
    <w:rsid w:val="6312196E"/>
    <w:rsid w:val="6314261F"/>
    <w:rsid w:val="63162093"/>
    <w:rsid w:val="6319524A"/>
    <w:rsid w:val="63427806"/>
    <w:rsid w:val="634A5F9A"/>
    <w:rsid w:val="634F6507"/>
    <w:rsid w:val="63537086"/>
    <w:rsid w:val="63902A23"/>
    <w:rsid w:val="63C53092"/>
    <w:rsid w:val="63F569FF"/>
    <w:rsid w:val="63FF5236"/>
    <w:rsid w:val="64000CCB"/>
    <w:rsid w:val="64107EA6"/>
    <w:rsid w:val="64170F4F"/>
    <w:rsid w:val="64213CCF"/>
    <w:rsid w:val="642645F7"/>
    <w:rsid w:val="642B6787"/>
    <w:rsid w:val="64415ABF"/>
    <w:rsid w:val="64432B0F"/>
    <w:rsid w:val="64437686"/>
    <w:rsid w:val="646205FC"/>
    <w:rsid w:val="6483040A"/>
    <w:rsid w:val="6496079B"/>
    <w:rsid w:val="64A01BF7"/>
    <w:rsid w:val="64B04E55"/>
    <w:rsid w:val="64B57C72"/>
    <w:rsid w:val="64D1270C"/>
    <w:rsid w:val="64DB3AF9"/>
    <w:rsid w:val="65073C01"/>
    <w:rsid w:val="651B1652"/>
    <w:rsid w:val="651E4C38"/>
    <w:rsid w:val="65282E1B"/>
    <w:rsid w:val="654C6A62"/>
    <w:rsid w:val="656745A2"/>
    <w:rsid w:val="658063E0"/>
    <w:rsid w:val="6592747C"/>
    <w:rsid w:val="65E91BC3"/>
    <w:rsid w:val="66103134"/>
    <w:rsid w:val="66724E79"/>
    <w:rsid w:val="667F76EA"/>
    <w:rsid w:val="66890956"/>
    <w:rsid w:val="66AA48F1"/>
    <w:rsid w:val="66AA54E7"/>
    <w:rsid w:val="66CE621B"/>
    <w:rsid w:val="66D57EB3"/>
    <w:rsid w:val="66D753DC"/>
    <w:rsid w:val="67017EFD"/>
    <w:rsid w:val="6748463A"/>
    <w:rsid w:val="67BE7E05"/>
    <w:rsid w:val="67C512A6"/>
    <w:rsid w:val="67D97E50"/>
    <w:rsid w:val="680476A7"/>
    <w:rsid w:val="681B1A42"/>
    <w:rsid w:val="683C3ABA"/>
    <w:rsid w:val="683F49DE"/>
    <w:rsid w:val="6849635C"/>
    <w:rsid w:val="68842AF4"/>
    <w:rsid w:val="688B4280"/>
    <w:rsid w:val="688D4BA2"/>
    <w:rsid w:val="689B22B0"/>
    <w:rsid w:val="68D41394"/>
    <w:rsid w:val="691F2062"/>
    <w:rsid w:val="695A3E64"/>
    <w:rsid w:val="699C2CB6"/>
    <w:rsid w:val="69B629CD"/>
    <w:rsid w:val="69E84C61"/>
    <w:rsid w:val="69F215A1"/>
    <w:rsid w:val="69F21815"/>
    <w:rsid w:val="6A306030"/>
    <w:rsid w:val="6A3D5C90"/>
    <w:rsid w:val="6A5167DD"/>
    <w:rsid w:val="6A692D97"/>
    <w:rsid w:val="6A696822"/>
    <w:rsid w:val="6A732386"/>
    <w:rsid w:val="6AB659D2"/>
    <w:rsid w:val="6ABE6B04"/>
    <w:rsid w:val="6AE73E26"/>
    <w:rsid w:val="6AEE6150"/>
    <w:rsid w:val="6B05287E"/>
    <w:rsid w:val="6B07B331"/>
    <w:rsid w:val="6B141AA3"/>
    <w:rsid w:val="6B1424B6"/>
    <w:rsid w:val="6B4D747F"/>
    <w:rsid w:val="6B8675E7"/>
    <w:rsid w:val="6B943031"/>
    <w:rsid w:val="6BA64467"/>
    <w:rsid w:val="6BC8735A"/>
    <w:rsid w:val="6BE31DD4"/>
    <w:rsid w:val="6BEC0894"/>
    <w:rsid w:val="6C3E02C7"/>
    <w:rsid w:val="6C594E58"/>
    <w:rsid w:val="6C59649E"/>
    <w:rsid w:val="6C66694A"/>
    <w:rsid w:val="6CBF063B"/>
    <w:rsid w:val="6CD44518"/>
    <w:rsid w:val="6CF12B32"/>
    <w:rsid w:val="6CF95D47"/>
    <w:rsid w:val="6D033699"/>
    <w:rsid w:val="6D1728BC"/>
    <w:rsid w:val="6D190EAF"/>
    <w:rsid w:val="6D2F344E"/>
    <w:rsid w:val="6D687467"/>
    <w:rsid w:val="6D721D17"/>
    <w:rsid w:val="6D775A83"/>
    <w:rsid w:val="6D794F0E"/>
    <w:rsid w:val="6DA81C49"/>
    <w:rsid w:val="6DD42B62"/>
    <w:rsid w:val="6E012FA1"/>
    <w:rsid w:val="6E0418BA"/>
    <w:rsid w:val="6E1D673A"/>
    <w:rsid w:val="6E423C44"/>
    <w:rsid w:val="6E527E72"/>
    <w:rsid w:val="6E846F9D"/>
    <w:rsid w:val="6EA50ADE"/>
    <w:rsid w:val="6ECF0E45"/>
    <w:rsid w:val="6ED61957"/>
    <w:rsid w:val="6EDC1517"/>
    <w:rsid w:val="6EEE1C98"/>
    <w:rsid w:val="6F025495"/>
    <w:rsid w:val="6F0E7D9B"/>
    <w:rsid w:val="6F763B10"/>
    <w:rsid w:val="6F8B6F04"/>
    <w:rsid w:val="6FE013B1"/>
    <w:rsid w:val="6FE84D95"/>
    <w:rsid w:val="70062B8A"/>
    <w:rsid w:val="701E370A"/>
    <w:rsid w:val="701F75D8"/>
    <w:rsid w:val="706A40A4"/>
    <w:rsid w:val="70EB58E9"/>
    <w:rsid w:val="70F76E47"/>
    <w:rsid w:val="711D06E4"/>
    <w:rsid w:val="71320555"/>
    <w:rsid w:val="71502148"/>
    <w:rsid w:val="71601E40"/>
    <w:rsid w:val="71822A74"/>
    <w:rsid w:val="71844EAA"/>
    <w:rsid w:val="71872942"/>
    <w:rsid w:val="718A1E53"/>
    <w:rsid w:val="71C27F0D"/>
    <w:rsid w:val="71E57DF9"/>
    <w:rsid w:val="71F44CD4"/>
    <w:rsid w:val="71F717A5"/>
    <w:rsid w:val="71F91297"/>
    <w:rsid w:val="720A41AD"/>
    <w:rsid w:val="72240B80"/>
    <w:rsid w:val="72384D73"/>
    <w:rsid w:val="725116BA"/>
    <w:rsid w:val="728E31F8"/>
    <w:rsid w:val="72A648FE"/>
    <w:rsid w:val="72C75645"/>
    <w:rsid w:val="72CC3092"/>
    <w:rsid w:val="72E06D0A"/>
    <w:rsid w:val="72EF7F6A"/>
    <w:rsid w:val="72F70ECF"/>
    <w:rsid w:val="72F7300D"/>
    <w:rsid w:val="733701C1"/>
    <w:rsid w:val="73387A84"/>
    <w:rsid w:val="734D599E"/>
    <w:rsid w:val="73574BE4"/>
    <w:rsid w:val="737035E6"/>
    <w:rsid w:val="73716D04"/>
    <w:rsid w:val="73BE6DCC"/>
    <w:rsid w:val="73FA29FE"/>
    <w:rsid w:val="740B3071"/>
    <w:rsid w:val="74184539"/>
    <w:rsid w:val="74800980"/>
    <w:rsid w:val="749161C0"/>
    <w:rsid w:val="74AA5A49"/>
    <w:rsid w:val="74AC6EDA"/>
    <w:rsid w:val="74FA3C1C"/>
    <w:rsid w:val="75042362"/>
    <w:rsid w:val="75296933"/>
    <w:rsid w:val="75610591"/>
    <w:rsid w:val="758B4FC0"/>
    <w:rsid w:val="75A95458"/>
    <w:rsid w:val="75B50995"/>
    <w:rsid w:val="75C45975"/>
    <w:rsid w:val="763C37A9"/>
    <w:rsid w:val="76413FB2"/>
    <w:rsid w:val="76547AE8"/>
    <w:rsid w:val="767C6338"/>
    <w:rsid w:val="76AC432E"/>
    <w:rsid w:val="76B76F67"/>
    <w:rsid w:val="76C41828"/>
    <w:rsid w:val="76D30A74"/>
    <w:rsid w:val="7703618A"/>
    <w:rsid w:val="7719217F"/>
    <w:rsid w:val="77214E2D"/>
    <w:rsid w:val="7738532E"/>
    <w:rsid w:val="774677FB"/>
    <w:rsid w:val="774D4EB6"/>
    <w:rsid w:val="777D33EF"/>
    <w:rsid w:val="77A813C2"/>
    <w:rsid w:val="7817532C"/>
    <w:rsid w:val="785C520F"/>
    <w:rsid w:val="786D42E1"/>
    <w:rsid w:val="78896A63"/>
    <w:rsid w:val="78AE6113"/>
    <w:rsid w:val="78B34204"/>
    <w:rsid w:val="78EB6498"/>
    <w:rsid w:val="78FE4DE4"/>
    <w:rsid w:val="791453FC"/>
    <w:rsid w:val="79424AF0"/>
    <w:rsid w:val="7957170C"/>
    <w:rsid w:val="795962CF"/>
    <w:rsid w:val="797A4863"/>
    <w:rsid w:val="797C0F55"/>
    <w:rsid w:val="79A2636F"/>
    <w:rsid w:val="79D00BAA"/>
    <w:rsid w:val="7A0640EC"/>
    <w:rsid w:val="7A0926DC"/>
    <w:rsid w:val="7A2410F0"/>
    <w:rsid w:val="7A332D68"/>
    <w:rsid w:val="7A3F097A"/>
    <w:rsid w:val="7A9715A6"/>
    <w:rsid w:val="7ACF2FFD"/>
    <w:rsid w:val="7AE6394C"/>
    <w:rsid w:val="7AF47D78"/>
    <w:rsid w:val="7B117B7E"/>
    <w:rsid w:val="7B1B38D7"/>
    <w:rsid w:val="7B303103"/>
    <w:rsid w:val="7B3437C8"/>
    <w:rsid w:val="7B763AF2"/>
    <w:rsid w:val="7B7B1E15"/>
    <w:rsid w:val="7BC85278"/>
    <w:rsid w:val="7C0B7856"/>
    <w:rsid w:val="7C2F189C"/>
    <w:rsid w:val="7C4E17CC"/>
    <w:rsid w:val="7C7E1898"/>
    <w:rsid w:val="7CA016B1"/>
    <w:rsid w:val="7D2A0819"/>
    <w:rsid w:val="7D795D68"/>
    <w:rsid w:val="7D7A7D3B"/>
    <w:rsid w:val="7D8828D0"/>
    <w:rsid w:val="7D993DC4"/>
    <w:rsid w:val="7DA713D9"/>
    <w:rsid w:val="7DA8542A"/>
    <w:rsid w:val="7DA95B23"/>
    <w:rsid w:val="7DAF2B83"/>
    <w:rsid w:val="7DB60447"/>
    <w:rsid w:val="7DBB0514"/>
    <w:rsid w:val="7DC15C9F"/>
    <w:rsid w:val="7DDD38B5"/>
    <w:rsid w:val="7DDE1044"/>
    <w:rsid w:val="7E1D1D32"/>
    <w:rsid w:val="7E25427E"/>
    <w:rsid w:val="7E381595"/>
    <w:rsid w:val="7E412EE4"/>
    <w:rsid w:val="7E4751EB"/>
    <w:rsid w:val="7E4A3BBB"/>
    <w:rsid w:val="7E555FB8"/>
    <w:rsid w:val="7E905319"/>
    <w:rsid w:val="7EBD563D"/>
    <w:rsid w:val="7EE241A1"/>
    <w:rsid w:val="7EF52702"/>
    <w:rsid w:val="7F3462FA"/>
    <w:rsid w:val="7F417967"/>
    <w:rsid w:val="7F7C6D4B"/>
    <w:rsid w:val="7FA06A63"/>
    <w:rsid w:val="7FD5DAD7"/>
    <w:rsid w:val="7FE57505"/>
    <w:rsid w:val="AFEB811D"/>
    <w:rsid w:val="BAB2A6D0"/>
    <w:rsid w:val="ECBE9A30"/>
    <w:rsid w:val="FF7718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4">
    <w:name w:val="heading 1"/>
    <w:basedOn w:val="1"/>
    <w:next w:val="1"/>
    <w:link w:val="81"/>
    <w:qFormat/>
    <w:uiPriority w:val="0"/>
    <w:pPr>
      <w:keepNext/>
      <w:keepLines/>
      <w:spacing w:before="500" w:after="500" w:line="578" w:lineRule="auto"/>
      <w:jc w:val="center"/>
      <w:outlineLvl w:val="0"/>
    </w:pPr>
    <w:rPr>
      <w:b/>
      <w:bCs/>
      <w:kern w:val="44"/>
      <w:sz w:val="44"/>
      <w:szCs w:val="44"/>
    </w:rPr>
  </w:style>
  <w:style w:type="paragraph" w:styleId="5">
    <w:name w:val="heading 2"/>
    <w:basedOn w:val="1"/>
    <w:next w:val="1"/>
    <w:link w:val="79"/>
    <w:unhideWhenUsed/>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93"/>
    <w:unhideWhenUsed/>
    <w:qFormat/>
    <w:uiPriority w:val="0"/>
    <w:pPr>
      <w:keepNext/>
      <w:keepLines/>
      <w:spacing w:before="260" w:after="260" w:line="416" w:lineRule="auto"/>
      <w:outlineLvl w:val="2"/>
    </w:pPr>
    <w:rPr>
      <w:rFonts w:eastAsia="幼圆"/>
      <w:b/>
      <w:bCs/>
      <w:sz w:val="32"/>
      <w:szCs w:val="32"/>
    </w:rPr>
  </w:style>
  <w:style w:type="paragraph" w:styleId="7">
    <w:name w:val="heading 4"/>
    <w:basedOn w:val="1"/>
    <w:next w:val="1"/>
    <w:link w:val="73"/>
    <w:unhideWhenUsed/>
    <w:qFormat/>
    <w:uiPriority w:val="0"/>
    <w:pPr>
      <w:keepNext/>
      <w:keepLines/>
      <w:spacing w:line="360" w:lineRule="auto"/>
      <w:outlineLvl w:val="3"/>
    </w:pPr>
    <w:rPr>
      <w:rFonts w:ascii="Arial" w:hAnsi="Arial"/>
      <w:b/>
      <w:bCs/>
      <w:szCs w:val="28"/>
    </w:rPr>
  </w:style>
  <w:style w:type="paragraph" w:styleId="8">
    <w:name w:val="heading 5"/>
    <w:basedOn w:val="1"/>
    <w:next w:val="1"/>
    <w:link w:val="59"/>
    <w:qFormat/>
    <w:uiPriority w:val="0"/>
    <w:pPr>
      <w:keepNext/>
      <w:keepLines/>
      <w:spacing w:before="280" w:after="290" w:line="376" w:lineRule="auto"/>
      <w:outlineLvl w:val="4"/>
    </w:pPr>
    <w:rPr>
      <w:rFonts w:ascii="Times New Roman" w:hAnsi="Times New Roman" w:cs="Times New Roman"/>
      <w:b/>
      <w:bCs/>
      <w:sz w:val="28"/>
      <w:szCs w:val="28"/>
    </w:rPr>
  </w:style>
  <w:style w:type="paragraph" w:styleId="9">
    <w:name w:val="heading 6"/>
    <w:basedOn w:val="1"/>
    <w:next w:val="1"/>
    <w:link w:val="60"/>
    <w:qFormat/>
    <w:uiPriority w:val="0"/>
    <w:pPr>
      <w:keepNext/>
      <w:keepLines/>
      <w:widowControl/>
      <w:tabs>
        <w:tab w:val="left" w:pos="1440"/>
      </w:tabs>
      <w:spacing w:before="240" w:after="64" w:line="319" w:lineRule="auto"/>
      <w:ind w:left="1152" w:hanging="1152"/>
      <w:jc w:val="left"/>
      <w:outlineLvl w:val="5"/>
    </w:pPr>
    <w:rPr>
      <w:rFonts w:ascii="Arial" w:hAnsi="Arial" w:eastAsia="黑体" w:cs="Times New Roman"/>
      <w:b/>
      <w:bCs/>
      <w:sz w:val="24"/>
      <w:szCs w:val="24"/>
    </w:rPr>
  </w:style>
  <w:style w:type="paragraph" w:styleId="10">
    <w:name w:val="heading 7"/>
    <w:basedOn w:val="1"/>
    <w:next w:val="1"/>
    <w:link w:val="61"/>
    <w:qFormat/>
    <w:uiPriority w:val="0"/>
    <w:pPr>
      <w:keepNext/>
      <w:keepLines/>
      <w:widowControl/>
      <w:tabs>
        <w:tab w:val="left" w:pos="2520"/>
      </w:tabs>
      <w:spacing w:before="240" w:after="64" w:line="319" w:lineRule="auto"/>
      <w:ind w:left="1296" w:hanging="1296"/>
      <w:jc w:val="left"/>
      <w:outlineLvl w:val="6"/>
    </w:pPr>
    <w:rPr>
      <w:rFonts w:ascii="Times New Roman" w:hAnsi="Times New Roman" w:cs="Times New Roman"/>
      <w:b/>
      <w:bCs/>
      <w:sz w:val="24"/>
      <w:szCs w:val="24"/>
    </w:rPr>
  </w:style>
  <w:style w:type="paragraph" w:styleId="11">
    <w:name w:val="heading 8"/>
    <w:basedOn w:val="1"/>
    <w:next w:val="1"/>
    <w:link w:val="62"/>
    <w:qFormat/>
    <w:uiPriority w:val="0"/>
    <w:pPr>
      <w:keepNext/>
      <w:keepLines/>
      <w:widowControl/>
      <w:tabs>
        <w:tab w:val="left" w:pos="1440"/>
      </w:tabs>
      <w:spacing w:before="240" w:after="64" w:line="319" w:lineRule="auto"/>
      <w:ind w:left="1440" w:hanging="1440"/>
      <w:jc w:val="left"/>
      <w:outlineLvl w:val="7"/>
    </w:pPr>
    <w:rPr>
      <w:rFonts w:ascii="Arial" w:hAnsi="Arial" w:eastAsia="黑体" w:cs="Times New Roman"/>
      <w:sz w:val="24"/>
      <w:szCs w:val="24"/>
    </w:rPr>
  </w:style>
  <w:style w:type="paragraph" w:styleId="12">
    <w:name w:val="heading 9"/>
    <w:basedOn w:val="1"/>
    <w:next w:val="1"/>
    <w:link w:val="63"/>
    <w:qFormat/>
    <w:uiPriority w:val="0"/>
    <w:pPr>
      <w:keepNext/>
      <w:keepLines/>
      <w:widowControl/>
      <w:tabs>
        <w:tab w:val="left" w:pos="1584"/>
      </w:tabs>
      <w:spacing w:before="240" w:after="64" w:line="319" w:lineRule="auto"/>
      <w:ind w:left="1584" w:hanging="1584"/>
      <w:jc w:val="left"/>
      <w:outlineLvl w:val="8"/>
    </w:pPr>
    <w:rPr>
      <w:rFonts w:ascii="Arial" w:hAnsi="Arial" w:eastAsia="黑体" w:cs="Times New Roman"/>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link w:val="113"/>
    <w:qFormat/>
    <w:uiPriority w:val="0"/>
    <w:pPr>
      <w:spacing w:after="120"/>
      <w:ind w:left="420" w:leftChars="200"/>
    </w:pPr>
    <w:rPr>
      <w:rFonts w:ascii="Times New Roman" w:hAnsi="Times New Roman" w:cs="Times New Roman"/>
      <w:szCs w:val="24"/>
    </w:rPr>
  </w:style>
  <w:style w:type="paragraph" w:styleId="13">
    <w:name w:val="toc 7"/>
    <w:basedOn w:val="1"/>
    <w:next w:val="1"/>
    <w:qFormat/>
    <w:uiPriority w:val="0"/>
    <w:pPr>
      <w:ind w:left="2520" w:leftChars="1200"/>
    </w:pPr>
    <w:rPr>
      <w:rFonts w:ascii="Times New Roman" w:hAnsi="Times New Roman" w:cs="Times New Roman"/>
      <w:szCs w:val="24"/>
    </w:rPr>
  </w:style>
  <w:style w:type="paragraph" w:styleId="14">
    <w:name w:val="Normal Indent"/>
    <w:basedOn w:val="1"/>
    <w:qFormat/>
    <w:uiPriority w:val="0"/>
    <w:pPr>
      <w:ind w:firstLine="420" w:firstLineChars="200"/>
    </w:pPr>
    <w:rPr>
      <w:rFonts w:ascii="Times New Roman" w:hAnsi="Times New Roman" w:cs="Times New Roman"/>
      <w:szCs w:val="24"/>
    </w:rPr>
  </w:style>
  <w:style w:type="paragraph" w:styleId="15">
    <w:name w:val="Document Map"/>
    <w:basedOn w:val="1"/>
    <w:link w:val="107"/>
    <w:qFormat/>
    <w:uiPriority w:val="0"/>
    <w:pPr>
      <w:shd w:val="clear" w:color="auto" w:fill="000080"/>
    </w:pPr>
    <w:rPr>
      <w:rFonts w:ascii="Times New Roman" w:hAnsi="Times New Roman" w:cs="Times New Roman"/>
      <w:szCs w:val="24"/>
    </w:rPr>
  </w:style>
  <w:style w:type="paragraph" w:styleId="16">
    <w:name w:val="annotation text"/>
    <w:basedOn w:val="1"/>
    <w:link w:val="103"/>
    <w:qFormat/>
    <w:uiPriority w:val="0"/>
    <w:pPr>
      <w:jc w:val="left"/>
    </w:pPr>
  </w:style>
  <w:style w:type="paragraph" w:styleId="17">
    <w:name w:val="Body Text 3"/>
    <w:basedOn w:val="1"/>
    <w:link w:val="111"/>
    <w:qFormat/>
    <w:uiPriority w:val="0"/>
    <w:rPr>
      <w:rFonts w:ascii="宋体" w:hAnsi="Times New Roman" w:cs="Times New Roman"/>
      <w:sz w:val="24"/>
      <w:szCs w:val="20"/>
    </w:rPr>
  </w:style>
  <w:style w:type="paragraph" w:styleId="18">
    <w:name w:val="Body Text"/>
    <w:basedOn w:val="1"/>
    <w:next w:val="19"/>
    <w:link w:val="108"/>
    <w:qFormat/>
    <w:uiPriority w:val="0"/>
    <w:pPr>
      <w:spacing w:after="120"/>
    </w:pPr>
  </w:style>
  <w:style w:type="paragraph" w:styleId="19">
    <w:name w:val="Body Text 2"/>
    <w:basedOn w:val="1"/>
    <w:next w:val="18"/>
    <w:qFormat/>
    <w:uiPriority w:val="0"/>
    <w:pPr>
      <w:spacing w:after="120" w:line="480" w:lineRule="auto"/>
    </w:pPr>
  </w:style>
  <w:style w:type="paragraph" w:styleId="20">
    <w:name w:val="index 4"/>
    <w:basedOn w:val="1"/>
    <w:next w:val="1"/>
    <w:qFormat/>
    <w:uiPriority w:val="0"/>
    <w:pPr>
      <w:ind w:left="600" w:leftChars="600"/>
    </w:pPr>
    <w:rPr>
      <w:rFonts w:ascii="Times New Roman" w:hAnsi="Times New Roman" w:cs="Times New Roman"/>
      <w:szCs w:val="21"/>
    </w:rPr>
  </w:style>
  <w:style w:type="paragraph" w:styleId="21">
    <w:name w:val="toc 5"/>
    <w:basedOn w:val="1"/>
    <w:next w:val="1"/>
    <w:qFormat/>
    <w:uiPriority w:val="0"/>
    <w:pPr>
      <w:ind w:left="1680" w:leftChars="800"/>
    </w:pPr>
    <w:rPr>
      <w:rFonts w:ascii="Times New Roman" w:hAnsi="Times New Roman" w:cs="Times New Roman"/>
      <w:szCs w:val="24"/>
    </w:rPr>
  </w:style>
  <w:style w:type="paragraph" w:styleId="22">
    <w:name w:val="toc 3"/>
    <w:basedOn w:val="1"/>
    <w:next w:val="1"/>
    <w:qFormat/>
    <w:uiPriority w:val="39"/>
    <w:pPr>
      <w:ind w:left="840" w:leftChars="400"/>
    </w:pPr>
  </w:style>
  <w:style w:type="paragraph" w:styleId="23">
    <w:name w:val="Plain Text"/>
    <w:basedOn w:val="1"/>
    <w:link w:val="80"/>
    <w:qFormat/>
    <w:uiPriority w:val="0"/>
    <w:rPr>
      <w:rFonts w:ascii="宋体" w:hAnsi="Courier New" w:eastAsia="幼圆"/>
    </w:rPr>
  </w:style>
  <w:style w:type="paragraph" w:styleId="24">
    <w:name w:val="toc 8"/>
    <w:basedOn w:val="1"/>
    <w:next w:val="1"/>
    <w:qFormat/>
    <w:uiPriority w:val="0"/>
    <w:pPr>
      <w:ind w:left="2940" w:leftChars="1400"/>
    </w:pPr>
    <w:rPr>
      <w:rFonts w:ascii="Times New Roman" w:hAnsi="Times New Roman" w:cs="Times New Roman"/>
      <w:szCs w:val="24"/>
    </w:rPr>
  </w:style>
  <w:style w:type="paragraph" w:styleId="25">
    <w:name w:val="Date"/>
    <w:basedOn w:val="1"/>
    <w:next w:val="1"/>
    <w:link w:val="116"/>
    <w:qFormat/>
    <w:uiPriority w:val="0"/>
    <w:rPr>
      <w:rFonts w:ascii="Times New Roman" w:hAnsi="Times New Roman" w:cs="Times New Roman"/>
      <w:sz w:val="24"/>
      <w:szCs w:val="20"/>
    </w:rPr>
  </w:style>
  <w:style w:type="paragraph" w:styleId="26">
    <w:name w:val="Body Text Indent 2"/>
    <w:basedOn w:val="1"/>
    <w:link w:val="114"/>
    <w:qFormat/>
    <w:uiPriority w:val="0"/>
    <w:pPr>
      <w:spacing w:after="120" w:line="480" w:lineRule="auto"/>
      <w:ind w:left="420" w:leftChars="200"/>
    </w:pPr>
    <w:rPr>
      <w:rFonts w:ascii="Times New Roman" w:hAnsi="Times New Roman" w:cs="Times New Roman"/>
      <w:szCs w:val="24"/>
    </w:rPr>
  </w:style>
  <w:style w:type="paragraph" w:styleId="27">
    <w:name w:val="Balloon Text"/>
    <w:basedOn w:val="1"/>
    <w:link w:val="110"/>
    <w:qFormat/>
    <w:uiPriority w:val="0"/>
    <w:rPr>
      <w:rFonts w:ascii="Times New Roman" w:hAnsi="Times New Roman" w:cs="Times New Roman"/>
      <w:sz w:val="18"/>
      <w:szCs w:val="18"/>
    </w:rPr>
  </w:style>
  <w:style w:type="paragraph" w:styleId="28">
    <w:name w:val="footer"/>
    <w:basedOn w:val="1"/>
    <w:link w:val="75"/>
    <w:qFormat/>
    <w:uiPriority w:val="0"/>
    <w:pPr>
      <w:tabs>
        <w:tab w:val="center" w:pos="4153"/>
        <w:tab w:val="right" w:pos="8306"/>
      </w:tabs>
      <w:snapToGrid w:val="0"/>
      <w:jc w:val="left"/>
    </w:pPr>
    <w:rPr>
      <w:sz w:val="18"/>
      <w:szCs w:val="18"/>
    </w:rPr>
  </w:style>
  <w:style w:type="paragraph" w:styleId="29">
    <w:name w:val="header"/>
    <w:basedOn w:val="1"/>
    <w:link w:val="98"/>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style>
  <w:style w:type="paragraph" w:styleId="31">
    <w:name w:val="toc 4"/>
    <w:basedOn w:val="1"/>
    <w:next w:val="1"/>
    <w:qFormat/>
    <w:uiPriority w:val="0"/>
    <w:pPr>
      <w:ind w:left="1260" w:leftChars="600"/>
    </w:pPr>
    <w:rPr>
      <w:rFonts w:ascii="Times New Roman" w:hAnsi="Times New Roman" w:cs="Times New Roman"/>
      <w:szCs w:val="24"/>
    </w:rPr>
  </w:style>
  <w:style w:type="paragraph" w:styleId="32">
    <w:name w:val="Subtitle"/>
    <w:basedOn w:val="1"/>
    <w:next w:val="1"/>
    <w:link w:val="115"/>
    <w:qFormat/>
    <w:uiPriority w:val="0"/>
    <w:pPr>
      <w:spacing w:before="240" w:after="60" w:line="312" w:lineRule="auto"/>
      <w:jc w:val="center"/>
      <w:outlineLvl w:val="1"/>
    </w:pPr>
    <w:rPr>
      <w:rFonts w:ascii="Cambria" w:hAnsi="Cambria" w:cs="Times New Roman"/>
      <w:b/>
      <w:bCs/>
      <w:kern w:val="28"/>
      <w:sz w:val="32"/>
      <w:szCs w:val="32"/>
    </w:rPr>
  </w:style>
  <w:style w:type="paragraph" w:styleId="33">
    <w:name w:val="toc 6"/>
    <w:basedOn w:val="1"/>
    <w:next w:val="1"/>
    <w:qFormat/>
    <w:uiPriority w:val="0"/>
    <w:pPr>
      <w:ind w:left="2100" w:leftChars="1000"/>
    </w:pPr>
    <w:rPr>
      <w:rFonts w:ascii="Times New Roman" w:hAnsi="Times New Roman" w:cs="Times New Roman"/>
      <w:szCs w:val="24"/>
    </w:rPr>
  </w:style>
  <w:style w:type="paragraph" w:styleId="34">
    <w:name w:val="Body Text Indent 3"/>
    <w:basedOn w:val="1"/>
    <w:link w:val="112"/>
    <w:qFormat/>
    <w:uiPriority w:val="0"/>
    <w:pPr>
      <w:spacing w:line="400" w:lineRule="exact"/>
      <w:ind w:firstLine="480" w:firstLineChars="200"/>
    </w:pPr>
    <w:rPr>
      <w:rFonts w:ascii="宋体" w:hAnsi="宋体" w:cs="Times New Roman"/>
      <w:color w:val="FF0000"/>
      <w:sz w:val="24"/>
      <w:szCs w:val="24"/>
    </w:rPr>
  </w:style>
  <w:style w:type="paragraph" w:styleId="35">
    <w:name w:val="toc 2"/>
    <w:basedOn w:val="1"/>
    <w:next w:val="1"/>
    <w:qFormat/>
    <w:uiPriority w:val="39"/>
    <w:pPr>
      <w:ind w:left="420" w:leftChars="200"/>
    </w:pPr>
  </w:style>
  <w:style w:type="paragraph" w:styleId="36">
    <w:name w:val="toc 9"/>
    <w:basedOn w:val="1"/>
    <w:next w:val="1"/>
    <w:qFormat/>
    <w:uiPriority w:val="0"/>
    <w:pPr>
      <w:ind w:left="3360" w:leftChars="1600"/>
    </w:pPr>
    <w:rPr>
      <w:rFonts w:ascii="Times New Roman" w:hAnsi="Times New Roman" w:cs="Times New Roman"/>
      <w:szCs w:val="24"/>
    </w:rPr>
  </w:style>
  <w:style w:type="paragraph" w:styleId="37">
    <w:name w:val="Normal (Web)"/>
    <w:basedOn w:val="1"/>
    <w:qFormat/>
    <w:uiPriority w:val="0"/>
    <w:rPr>
      <w:rFonts w:ascii="Times New Roman" w:hAnsi="Times New Roman" w:cs="Times New Roman"/>
      <w:sz w:val="24"/>
      <w:szCs w:val="20"/>
    </w:rPr>
  </w:style>
  <w:style w:type="paragraph" w:styleId="38">
    <w:name w:val="index 1"/>
    <w:basedOn w:val="1"/>
    <w:next w:val="1"/>
    <w:qFormat/>
    <w:uiPriority w:val="0"/>
    <w:pPr>
      <w:spacing w:line="220" w:lineRule="exact"/>
      <w:jc w:val="center"/>
    </w:pPr>
    <w:rPr>
      <w:rFonts w:ascii="仿宋_GB2312" w:hAnsi="Times New Roman" w:eastAsia="仿宋_GB2312" w:cs="Times New Roman"/>
      <w:szCs w:val="21"/>
    </w:rPr>
  </w:style>
  <w:style w:type="paragraph" w:styleId="39">
    <w:name w:val="Title"/>
    <w:basedOn w:val="1"/>
    <w:link w:val="105"/>
    <w:qFormat/>
    <w:uiPriority w:val="0"/>
    <w:pPr>
      <w:adjustRightInd w:val="0"/>
      <w:spacing w:before="240" w:after="60" w:line="420" w:lineRule="atLeast"/>
      <w:jc w:val="center"/>
      <w:textAlignment w:val="baseline"/>
      <w:outlineLvl w:val="0"/>
    </w:pPr>
    <w:rPr>
      <w:rFonts w:ascii="Arial" w:hAnsi="Arial" w:cs="Times New Roman"/>
      <w:b/>
      <w:kern w:val="0"/>
      <w:sz w:val="32"/>
      <w:szCs w:val="20"/>
    </w:rPr>
  </w:style>
  <w:style w:type="paragraph" w:styleId="40">
    <w:name w:val="annotation subject"/>
    <w:basedOn w:val="16"/>
    <w:next w:val="16"/>
    <w:link w:val="104"/>
    <w:qFormat/>
    <w:uiPriority w:val="0"/>
    <w:rPr>
      <w:rFonts w:ascii="Arial" w:hAnsi="Arial" w:cs="Times New Roman"/>
      <w:b/>
      <w:bCs/>
      <w:szCs w:val="32"/>
    </w:rPr>
  </w:style>
  <w:style w:type="paragraph" w:styleId="41">
    <w:name w:val="Body Text First Indent"/>
    <w:basedOn w:val="18"/>
    <w:next w:val="2"/>
    <w:link w:val="109"/>
    <w:qFormat/>
    <w:uiPriority w:val="0"/>
    <w:pPr>
      <w:ind w:firstLine="420" w:firstLineChars="100"/>
    </w:pPr>
    <w:rPr>
      <w:rFonts w:ascii="Times New Roman" w:hAnsi="Times New Roman" w:cs="Times New Roman"/>
      <w:szCs w:val="20"/>
    </w:rPr>
  </w:style>
  <w:style w:type="table" w:styleId="43">
    <w:name w:val="Table Grid"/>
    <w:basedOn w:val="4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basedOn w:val="44"/>
    <w:qFormat/>
    <w:uiPriority w:val="0"/>
    <w:rPr>
      <w:color w:val="333333"/>
      <w:sz w:val="18"/>
      <w:szCs w:val="18"/>
      <w:u w:val="none"/>
    </w:rPr>
  </w:style>
  <w:style w:type="character" w:styleId="48">
    <w:name w:val="Hyperlink"/>
    <w:basedOn w:val="44"/>
    <w:qFormat/>
    <w:uiPriority w:val="99"/>
    <w:rPr>
      <w:color w:val="000000"/>
      <w:u w:val="none"/>
    </w:rPr>
  </w:style>
  <w:style w:type="character" w:styleId="49">
    <w:name w:val="annotation reference"/>
    <w:basedOn w:val="44"/>
    <w:qFormat/>
    <w:uiPriority w:val="0"/>
    <w:rPr>
      <w:sz w:val="21"/>
      <w:szCs w:val="21"/>
    </w:rPr>
  </w:style>
  <w:style w:type="paragraph" w:customStyle="1" w:styleId="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1">
    <w:name w:val="无间隔1"/>
    <w:basedOn w:val="1"/>
    <w:next w:val="52"/>
    <w:qFormat/>
    <w:uiPriority w:val="0"/>
    <w:pPr>
      <w:spacing w:line="400" w:lineRule="exact"/>
    </w:pPr>
    <w:rPr>
      <w:sz w:val="24"/>
    </w:rPr>
  </w:style>
  <w:style w:type="paragraph" w:customStyle="1" w:styleId="52">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53">
    <w:name w:val="正文（首行缩进） Char"/>
    <w:basedOn w:val="1"/>
    <w:qFormat/>
    <w:uiPriority w:val="0"/>
    <w:pPr>
      <w:spacing w:line="360" w:lineRule="auto"/>
      <w:ind w:firstLine="480" w:firstLineChars="200"/>
    </w:pPr>
    <w:rPr>
      <w:rFonts w:ascii="Arial" w:hAnsi="Arial"/>
      <w:color w:val="000000"/>
      <w:sz w:val="24"/>
      <w:szCs w:val="24"/>
    </w:rPr>
  </w:style>
  <w:style w:type="paragraph" w:customStyle="1" w:styleId="54">
    <w:name w:val="标题3-1"/>
    <w:basedOn w:val="6"/>
    <w:qFormat/>
    <w:uiPriority w:val="0"/>
    <w:pPr>
      <w:numPr>
        <w:ilvl w:val="0"/>
        <w:numId w:val="1"/>
      </w:numPr>
    </w:pPr>
    <w:rPr>
      <w:sz w:val="24"/>
    </w:rPr>
  </w:style>
  <w:style w:type="paragraph" w:customStyle="1" w:styleId="55">
    <w:name w:val="Char"/>
    <w:basedOn w:val="1"/>
    <w:qFormat/>
    <w:uiPriority w:val="0"/>
  </w:style>
  <w:style w:type="paragraph" w:customStyle="1" w:styleId="56">
    <w:name w:val="表格标题"/>
    <w:basedOn w:val="1"/>
    <w:qFormat/>
    <w:uiPriority w:val="0"/>
    <w:pPr>
      <w:adjustRightInd w:val="0"/>
      <w:snapToGrid w:val="0"/>
      <w:spacing w:line="480" w:lineRule="exact"/>
      <w:ind w:left="508" w:leftChars="1" w:right="113" w:hanging="505"/>
      <w:jc w:val="center"/>
    </w:pPr>
    <w:rPr>
      <w:rFonts w:ascii="宋体" w:eastAsia="黑体"/>
      <w:sz w:val="36"/>
      <w:szCs w:val="28"/>
    </w:rPr>
  </w:style>
  <w:style w:type="paragraph" w:customStyle="1" w:styleId="57">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character" w:customStyle="1" w:styleId="58">
    <w:name w:val="Char Char1"/>
    <w:qFormat/>
    <w:uiPriority w:val="0"/>
    <w:rPr>
      <w:rFonts w:ascii="宋体" w:hAnsi="Courier New" w:eastAsia="宋体" w:cs="Courier New"/>
      <w:kern w:val="2"/>
      <w:sz w:val="21"/>
      <w:szCs w:val="21"/>
      <w:lang w:val="en-US" w:eastAsia="zh-CN" w:bidi="ar-SA"/>
    </w:rPr>
  </w:style>
  <w:style w:type="character" w:customStyle="1" w:styleId="59">
    <w:name w:val="标题 5 Char"/>
    <w:basedOn w:val="44"/>
    <w:link w:val="8"/>
    <w:qFormat/>
    <w:uiPriority w:val="0"/>
    <w:rPr>
      <w:b/>
      <w:bCs/>
      <w:kern w:val="2"/>
      <w:sz w:val="28"/>
      <w:szCs w:val="28"/>
    </w:rPr>
  </w:style>
  <w:style w:type="character" w:customStyle="1" w:styleId="60">
    <w:name w:val="标题 6 Char"/>
    <w:basedOn w:val="44"/>
    <w:link w:val="9"/>
    <w:qFormat/>
    <w:uiPriority w:val="0"/>
    <w:rPr>
      <w:rFonts w:ascii="Arial" w:hAnsi="Arial" w:eastAsia="黑体"/>
      <w:b/>
      <w:bCs/>
      <w:kern w:val="2"/>
      <w:sz w:val="24"/>
      <w:szCs w:val="24"/>
    </w:rPr>
  </w:style>
  <w:style w:type="character" w:customStyle="1" w:styleId="61">
    <w:name w:val="标题 7 Char"/>
    <w:basedOn w:val="44"/>
    <w:link w:val="10"/>
    <w:qFormat/>
    <w:uiPriority w:val="0"/>
    <w:rPr>
      <w:b/>
      <w:bCs/>
      <w:kern w:val="2"/>
      <w:sz w:val="24"/>
      <w:szCs w:val="24"/>
    </w:rPr>
  </w:style>
  <w:style w:type="character" w:customStyle="1" w:styleId="62">
    <w:name w:val="标题 8 Char"/>
    <w:basedOn w:val="44"/>
    <w:link w:val="11"/>
    <w:qFormat/>
    <w:uiPriority w:val="0"/>
    <w:rPr>
      <w:rFonts w:ascii="Arial" w:hAnsi="Arial" w:eastAsia="黑体"/>
      <w:kern w:val="2"/>
      <w:sz w:val="24"/>
      <w:szCs w:val="24"/>
    </w:rPr>
  </w:style>
  <w:style w:type="character" w:customStyle="1" w:styleId="63">
    <w:name w:val="标题 9 Char"/>
    <w:basedOn w:val="44"/>
    <w:link w:val="12"/>
    <w:qFormat/>
    <w:uiPriority w:val="0"/>
    <w:rPr>
      <w:rFonts w:ascii="Arial" w:hAnsi="Arial" w:eastAsia="黑体"/>
      <w:kern w:val="2"/>
      <w:sz w:val="21"/>
      <w:szCs w:val="21"/>
    </w:rPr>
  </w:style>
  <w:style w:type="character" w:customStyle="1" w:styleId="64">
    <w:name w:val="Intense Quote Char Char"/>
    <w:link w:val="65"/>
    <w:qFormat/>
    <w:uiPriority w:val="0"/>
    <w:rPr>
      <w:b/>
      <w:bCs/>
      <w:i/>
      <w:iCs/>
      <w:color w:val="4F81BD"/>
      <w:kern w:val="2"/>
      <w:sz w:val="22"/>
      <w:szCs w:val="22"/>
    </w:rPr>
  </w:style>
  <w:style w:type="paragraph" w:customStyle="1" w:styleId="65">
    <w:name w:val="明显引用1"/>
    <w:basedOn w:val="1"/>
    <w:next w:val="1"/>
    <w:link w:val="64"/>
    <w:qFormat/>
    <w:uiPriority w:val="0"/>
    <w:pPr>
      <w:pBdr>
        <w:bottom w:val="single" w:color="4F81BD" w:sz="4" w:space="4"/>
      </w:pBdr>
      <w:spacing w:before="200" w:after="280"/>
      <w:ind w:left="936" w:right="936"/>
    </w:pPr>
    <w:rPr>
      <w:rFonts w:ascii="Times New Roman" w:hAnsi="Times New Roman" w:cs="Times New Roman"/>
      <w:b/>
      <w:bCs/>
      <w:i/>
      <w:iCs/>
      <w:color w:val="4F81BD"/>
      <w:sz w:val="22"/>
    </w:rPr>
  </w:style>
  <w:style w:type="character" w:customStyle="1" w:styleId="66">
    <w:name w:val="标题5 Char Char"/>
    <w:link w:val="67"/>
    <w:qFormat/>
    <w:uiPriority w:val="0"/>
    <w:rPr>
      <w:rFonts w:ascii="Arial" w:hAnsi="Arial"/>
      <w:b/>
      <w:bCs/>
      <w:sz w:val="32"/>
      <w:szCs w:val="32"/>
    </w:rPr>
  </w:style>
  <w:style w:type="paragraph" w:customStyle="1" w:styleId="67">
    <w:name w:val="标题5"/>
    <w:basedOn w:val="6"/>
    <w:link w:val="66"/>
    <w:qFormat/>
    <w:uiPriority w:val="0"/>
    <w:pPr>
      <w:spacing w:line="413" w:lineRule="auto"/>
    </w:pPr>
    <w:rPr>
      <w:rFonts w:ascii="Arial" w:hAnsi="Arial" w:eastAsia="宋体" w:cs="Times New Roman"/>
      <w:kern w:val="0"/>
    </w:rPr>
  </w:style>
  <w:style w:type="character" w:customStyle="1" w:styleId="68">
    <w:name w:val="无间隔 Char"/>
    <w:basedOn w:val="44"/>
    <w:link w:val="69"/>
    <w:qFormat/>
    <w:uiPriority w:val="0"/>
    <w:rPr>
      <w:rFonts w:ascii="Calibri" w:hAnsi="Calibri"/>
      <w:sz w:val="22"/>
      <w:szCs w:val="22"/>
    </w:rPr>
  </w:style>
  <w:style w:type="paragraph" w:customStyle="1" w:styleId="69">
    <w:name w:val="无间隔2"/>
    <w:link w:val="68"/>
    <w:qFormat/>
    <w:uiPriority w:val="0"/>
    <w:rPr>
      <w:rFonts w:ascii="Calibri" w:hAnsi="Calibri" w:eastAsia="宋体" w:cs="Times New Roman"/>
      <w:sz w:val="22"/>
      <w:szCs w:val="22"/>
      <w:lang w:val="en-US" w:eastAsia="zh-CN" w:bidi="ar-SA"/>
    </w:rPr>
  </w:style>
  <w:style w:type="character" w:customStyle="1" w:styleId="70">
    <w:name w:val="批注框文本 Char"/>
    <w:basedOn w:val="44"/>
    <w:link w:val="27"/>
    <w:qFormat/>
    <w:uiPriority w:val="0"/>
    <w:rPr>
      <w:kern w:val="2"/>
      <w:sz w:val="18"/>
      <w:szCs w:val="18"/>
    </w:rPr>
  </w:style>
  <w:style w:type="character" w:customStyle="1" w:styleId="71">
    <w:name w:val="标题 Char"/>
    <w:basedOn w:val="44"/>
    <w:link w:val="39"/>
    <w:qFormat/>
    <w:uiPriority w:val="0"/>
    <w:rPr>
      <w:rFonts w:ascii="Arial" w:hAnsi="Arial"/>
      <w:b/>
      <w:sz w:val="32"/>
    </w:rPr>
  </w:style>
  <w:style w:type="character" w:customStyle="1" w:styleId="72">
    <w:name w:val="副标题 Char"/>
    <w:basedOn w:val="44"/>
    <w:link w:val="32"/>
    <w:qFormat/>
    <w:uiPriority w:val="0"/>
    <w:rPr>
      <w:rFonts w:ascii="Cambria" w:hAnsi="Cambria"/>
      <w:b/>
      <w:bCs/>
      <w:kern w:val="28"/>
      <w:sz w:val="32"/>
      <w:szCs w:val="32"/>
    </w:rPr>
  </w:style>
  <w:style w:type="character" w:customStyle="1" w:styleId="73">
    <w:name w:val="标题 4 Char"/>
    <w:basedOn w:val="44"/>
    <w:link w:val="7"/>
    <w:qFormat/>
    <w:uiPriority w:val="0"/>
    <w:rPr>
      <w:rFonts w:ascii="Arial" w:hAnsi="Arial" w:cs="黑体"/>
      <w:b/>
      <w:bCs/>
      <w:kern w:val="2"/>
      <w:sz w:val="21"/>
      <w:szCs w:val="28"/>
    </w:rPr>
  </w:style>
  <w:style w:type="character" w:customStyle="1" w:styleId="74">
    <w:name w:val="正文文本缩进 3 Char"/>
    <w:basedOn w:val="44"/>
    <w:link w:val="34"/>
    <w:qFormat/>
    <w:uiPriority w:val="0"/>
    <w:rPr>
      <w:rFonts w:ascii="宋体" w:hAnsi="宋体"/>
      <w:color w:val="FF0000"/>
      <w:kern w:val="2"/>
      <w:sz w:val="24"/>
      <w:szCs w:val="24"/>
    </w:rPr>
  </w:style>
  <w:style w:type="character" w:customStyle="1" w:styleId="75">
    <w:name w:val="页脚 Char"/>
    <w:basedOn w:val="44"/>
    <w:link w:val="28"/>
    <w:qFormat/>
    <w:uiPriority w:val="0"/>
    <w:rPr>
      <w:rFonts w:ascii="Calibri" w:hAnsi="Calibri" w:cs="黑体"/>
      <w:kern w:val="2"/>
      <w:sz w:val="18"/>
      <w:szCs w:val="18"/>
    </w:rPr>
  </w:style>
  <w:style w:type="character" w:customStyle="1" w:styleId="76">
    <w:name w:val="正文首行缩进 Char"/>
    <w:basedOn w:val="77"/>
    <w:link w:val="41"/>
    <w:qFormat/>
    <w:uiPriority w:val="0"/>
    <w:rPr>
      <w:kern w:val="2"/>
      <w:sz w:val="21"/>
    </w:rPr>
  </w:style>
  <w:style w:type="character" w:customStyle="1" w:styleId="77">
    <w:name w:val="Char Char11"/>
    <w:basedOn w:val="44"/>
    <w:qFormat/>
    <w:uiPriority w:val="0"/>
    <w:rPr>
      <w:rFonts w:ascii="Times New Roman" w:hAnsi="Times New Roman" w:eastAsia="宋体" w:cs="Times New Roman"/>
      <w:szCs w:val="20"/>
    </w:rPr>
  </w:style>
  <w:style w:type="character" w:customStyle="1" w:styleId="78">
    <w:name w:val="批注主题 Char"/>
    <w:basedOn w:val="79"/>
    <w:link w:val="40"/>
    <w:qFormat/>
    <w:uiPriority w:val="0"/>
    <w:rPr>
      <w:sz w:val="21"/>
    </w:rPr>
  </w:style>
  <w:style w:type="character" w:customStyle="1" w:styleId="79">
    <w:name w:val="标题 2 Char"/>
    <w:basedOn w:val="44"/>
    <w:link w:val="5"/>
    <w:qFormat/>
    <w:uiPriority w:val="0"/>
    <w:rPr>
      <w:rFonts w:ascii="Arial" w:hAnsi="Arial" w:eastAsia="黑体" w:cs="黑体"/>
      <w:b/>
      <w:bCs/>
      <w:kern w:val="2"/>
      <w:sz w:val="32"/>
      <w:szCs w:val="32"/>
    </w:rPr>
  </w:style>
  <w:style w:type="character" w:customStyle="1" w:styleId="80">
    <w:name w:val="纯文本 Char"/>
    <w:basedOn w:val="44"/>
    <w:link w:val="23"/>
    <w:qFormat/>
    <w:uiPriority w:val="0"/>
    <w:rPr>
      <w:rFonts w:ascii="宋体" w:hAnsi="Courier New" w:eastAsia="幼圆" w:cs="黑体"/>
      <w:kern w:val="2"/>
      <w:sz w:val="21"/>
      <w:szCs w:val="22"/>
    </w:rPr>
  </w:style>
  <w:style w:type="character" w:customStyle="1" w:styleId="81">
    <w:name w:val="标题 1 Char"/>
    <w:basedOn w:val="44"/>
    <w:link w:val="4"/>
    <w:qFormat/>
    <w:uiPriority w:val="0"/>
    <w:rPr>
      <w:rFonts w:ascii="Calibri" w:hAnsi="Calibri" w:cs="黑体"/>
      <w:b/>
      <w:bCs/>
      <w:kern w:val="44"/>
      <w:sz w:val="44"/>
      <w:szCs w:val="44"/>
    </w:rPr>
  </w:style>
  <w:style w:type="character" w:customStyle="1" w:styleId="82">
    <w:name w:val="标题4 Char Char"/>
    <w:link w:val="83"/>
    <w:qFormat/>
    <w:uiPriority w:val="0"/>
    <w:rPr>
      <w:rFonts w:ascii="Arial" w:hAnsi="Arial"/>
      <w:b/>
      <w:bCs/>
      <w:sz w:val="32"/>
      <w:szCs w:val="32"/>
    </w:rPr>
  </w:style>
  <w:style w:type="paragraph" w:customStyle="1" w:styleId="83">
    <w:name w:val="标题4"/>
    <w:basedOn w:val="5"/>
    <w:next w:val="20"/>
    <w:link w:val="82"/>
    <w:qFormat/>
    <w:uiPriority w:val="0"/>
    <w:pPr>
      <w:spacing w:line="413" w:lineRule="auto"/>
    </w:pPr>
    <w:rPr>
      <w:rFonts w:eastAsia="宋体" w:cs="Times New Roman"/>
      <w:kern w:val="0"/>
    </w:rPr>
  </w:style>
  <w:style w:type="character" w:customStyle="1" w:styleId="84">
    <w:name w:val="font161"/>
    <w:basedOn w:val="44"/>
    <w:qFormat/>
    <w:uiPriority w:val="0"/>
    <w:rPr>
      <w:b/>
      <w:bCs/>
      <w:sz w:val="32"/>
      <w:szCs w:val="32"/>
    </w:rPr>
  </w:style>
  <w:style w:type="character" w:customStyle="1" w:styleId="85">
    <w:name w:val="正文文本缩进 Char"/>
    <w:link w:val="3"/>
    <w:qFormat/>
    <w:uiPriority w:val="0"/>
    <w:rPr>
      <w:kern w:val="2"/>
      <w:sz w:val="21"/>
      <w:szCs w:val="24"/>
    </w:rPr>
  </w:style>
  <w:style w:type="character" w:customStyle="1" w:styleId="86">
    <w:name w:val="正文文本 3 Char"/>
    <w:basedOn w:val="44"/>
    <w:link w:val="17"/>
    <w:qFormat/>
    <w:uiPriority w:val="0"/>
    <w:rPr>
      <w:rFonts w:ascii="宋体"/>
      <w:kern w:val="2"/>
      <w:sz w:val="24"/>
    </w:rPr>
  </w:style>
  <w:style w:type="character" w:customStyle="1" w:styleId="87">
    <w:name w:val="Quote Char Char"/>
    <w:link w:val="88"/>
    <w:qFormat/>
    <w:uiPriority w:val="0"/>
    <w:rPr>
      <w:i/>
      <w:iCs/>
      <w:color w:val="000000"/>
      <w:kern w:val="2"/>
      <w:sz w:val="22"/>
      <w:szCs w:val="22"/>
    </w:rPr>
  </w:style>
  <w:style w:type="paragraph" w:customStyle="1" w:styleId="88">
    <w:name w:val="引用1"/>
    <w:basedOn w:val="1"/>
    <w:next w:val="1"/>
    <w:link w:val="87"/>
    <w:qFormat/>
    <w:uiPriority w:val="0"/>
    <w:rPr>
      <w:rFonts w:ascii="Times New Roman" w:hAnsi="Times New Roman" w:cs="Times New Roman"/>
      <w:i/>
      <w:iCs/>
      <w:color w:val="000000"/>
      <w:sz w:val="22"/>
    </w:rPr>
  </w:style>
  <w:style w:type="character" w:customStyle="1" w:styleId="89">
    <w:name w:val="Char Char2"/>
    <w:basedOn w:val="44"/>
    <w:qFormat/>
    <w:uiPriority w:val="0"/>
    <w:rPr>
      <w:rFonts w:ascii="宋体" w:hAnsi="Courier New" w:eastAsia="宋体" w:cs="Courier New"/>
      <w:kern w:val="2"/>
      <w:sz w:val="21"/>
      <w:szCs w:val="21"/>
      <w:lang w:val="en-US" w:eastAsia="zh-CN" w:bidi="ar-SA"/>
    </w:rPr>
  </w:style>
  <w:style w:type="character" w:customStyle="1" w:styleId="90">
    <w:name w:val="文档结构图 Char"/>
    <w:basedOn w:val="44"/>
    <w:link w:val="15"/>
    <w:qFormat/>
    <w:uiPriority w:val="0"/>
    <w:rPr>
      <w:kern w:val="2"/>
      <w:sz w:val="21"/>
      <w:szCs w:val="24"/>
      <w:shd w:val="clear" w:color="auto" w:fill="000080"/>
    </w:rPr>
  </w:style>
  <w:style w:type="character" w:customStyle="1" w:styleId="91">
    <w:name w:val="样式 标书正文 + 下划线 Char"/>
    <w:basedOn w:val="44"/>
    <w:qFormat/>
    <w:uiPriority w:val="0"/>
    <w:rPr>
      <w:rFonts w:eastAsia="Ari"/>
      <w:kern w:val="2"/>
      <w:sz w:val="28"/>
      <w:szCs w:val="28"/>
      <w:u w:val="single"/>
      <w:lang w:val="en-US" w:eastAsia="zh-CN" w:bidi="ar-SA"/>
    </w:rPr>
  </w:style>
  <w:style w:type="character" w:customStyle="1" w:styleId="92">
    <w:name w:val="纯文本 Char Char"/>
    <w:basedOn w:val="44"/>
    <w:qFormat/>
    <w:uiPriority w:val="0"/>
    <w:rPr>
      <w:rFonts w:ascii="宋体" w:hAnsi="Courier New" w:eastAsia="宋体" w:cs="Courier New"/>
      <w:kern w:val="2"/>
      <w:sz w:val="21"/>
      <w:szCs w:val="21"/>
      <w:lang w:val="en-US" w:eastAsia="zh-CN" w:bidi="ar-SA"/>
    </w:rPr>
  </w:style>
  <w:style w:type="character" w:customStyle="1" w:styleId="93">
    <w:name w:val="标题 3 Char"/>
    <w:link w:val="6"/>
    <w:qFormat/>
    <w:uiPriority w:val="0"/>
    <w:rPr>
      <w:rFonts w:ascii="Calibri" w:hAnsi="Calibri" w:eastAsia="幼圆" w:cs="黑体"/>
      <w:b/>
      <w:bCs/>
      <w:kern w:val="2"/>
      <w:sz w:val="32"/>
      <w:szCs w:val="32"/>
    </w:rPr>
  </w:style>
  <w:style w:type="character" w:customStyle="1" w:styleId="94">
    <w:name w:val="日期 Char"/>
    <w:basedOn w:val="44"/>
    <w:link w:val="25"/>
    <w:qFormat/>
    <w:uiPriority w:val="0"/>
    <w:rPr>
      <w:kern w:val="2"/>
      <w:sz w:val="24"/>
    </w:rPr>
  </w:style>
  <w:style w:type="character" w:customStyle="1" w:styleId="95">
    <w:name w:val="search_content1"/>
    <w:basedOn w:val="44"/>
    <w:qFormat/>
    <w:uiPriority w:val="0"/>
    <w:rPr>
      <w:sz w:val="20"/>
      <w:szCs w:val="20"/>
    </w:rPr>
  </w:style>
  <w:style w:type="character" w:customStyle="1" w:styleId="96">
    <w:name w:val="正文文本缩进 2 Char"/>
    <w:basedOn w:val="44"/>
    <w:link w:val="26"/>
    <w:qFormat/>
    <w:uiPriority w:val="0"/>
    <w:rPr>
      <w:kern w:val="2"/>
      <w:sz w:val="21"/>
      <w:szCs w:val="24"/>
    </w:rPr>
  </w:style>
  <w:style w:type="character" w:customStyle="1" w:styleId="97">
    <w:name w:val="普通文字1 Char"/>
    <w:basedOn w:val="44"/>
    <w:qFormat/>
    <w:uiPriority w:val="0"/>
    <w:rPr>
      <w:rFonts w:ascii="宋体" w:hAnsi="Courier New" w:eastAsia="宋体"/>
      <w:kern w:val="2"/>
      <w:sz w:val="21"/>
      <w:szCs w:val="21"/>
      <w:lang w:val="en-US" w:eastAsia="zh-CN" w:bidi="ar-SA"/>
    </w:rPr>
  </w:style>
  <w:style w:type="character" w:customStyle="1" w:styleId="98">
    <w:name w:val="页眉 Char"/>
    <w:link w:val="29"/>
    <w:qFormat/>
    <w:uiPriority w:val="99"/>
    <w:rPr>
      <w:rFonts w:ascii="Calibri" w:hAnsi="Calibri" w:cs="黑体"/>
      <w:kern w:val="2"/>
      <w:sz w:val="18"/>
      <w:szCs w:val="18"/>
    </w:rPr>
  </w:style>
  <w:style w:type="paragraph" w:customStyle="1" w:styleId="99">
    <w:name w:val="Char11"/>
    <w:basedOn w:val="1"/>
    <w:qFormat/>
    <w:uiPriority w:val="0"/>
    <w:pPr>
      <w:snapToGrid w:val="0"/>
      <w:spacing w:line="360" w:lineRule="auto"/>
      <w:ind w:firstLine="200" w:firstLineChars="200"/>
    </w:pPr>
    <w:rPr>
      <w:rFonts w:ascii="Times New Roman" w:hAnsi="Times New Roman" w:eastAsia="仿宋_GB2312" w:cs="Times New Roman"/>
      <w:sz w:val="24"/>
      <w:szCs w:val="24"/>
    </w:rPr>
  </w:style>
  <w:style w:type="paragraph" w:customStyle="1" w:styleId="100">
    <w:name w:val="表格"/>
    <w:basedOn w:val="1"/>
    <w:qFormat/>
    <w:uiPriority w:val="0"/>
    <w:pPr>
      <w:jc w:val="center"/>
      <w:textAlignment w:val="center"/>
    </w:pPr>
    <w:rPr>
      <w:rFonts w:ascii="华文细黑" w:hAnsi="华文细黑" w:cs="Times New Roman"/>
      <w:kern w:val="0"/>
      <w:szCs w:val="20"/>
    </w:rPr>
  </w:style>
  <w:style w:type="paragraph" w:customStyle="1" w:styleId="101">
    <w:name w:val="Blockquote"/>
    <w:basedOn w:val="1"/>
    <w:qFormat/>
    <w:uiPriority w:val="0"/>
    <w:pPr>
      <w:autoSpaceDE w:val="0"/>
      <w:autoSpaceDN w:val="0"/>
      <w:adjustRightInd w:val="0"/>
      <w:spacing w:before="100" w:after="100"/>
      <w:ind w:left="360" w:right="360"/>
      <w:jc w:val="left"/>
    </w:pPr>
    <w:rPr>
      <w:rFonts w:ascii="Times New Roman" w:hAnsi="Times New Roman" w:cs="Times New Roman"/>
      <w:kern w:val="0"/>
      <w:sz w:val="24"/>
      <w:szCs w:val="20"/>
    </w:rPr>
  </w:style>
  <w:style w:type="paragraph" w:customStyle="1" w:styleId="102">
    <w:name w:val="Char Char10 Char"/>
    <w:basedOn w:val="1"/>
    <w:qFormat/>
    <w:uiPriority w:val="0"/>
    <w:rPr>
      <w:rFonts w:ascii="Times New Roman" w:hAnsi="Times New Roman" w:cs="Times New Roman"/>
      <w:szCs w:val="24"/>
    </w:rPr>
  </w:style>
  <w:style w:type="character" w:customStyle="1" w:styleId="103">
    <w:name w:val="批注文字 Char"/>
    <w:basedOn w:val="44"/>
    <w:link w:val="16"/>
    <w:qFormat/>
    <w:uiPriority w:val="0"/>
    <w:rPr>
      <w:rFonts w:ascii="Calibri" w:hAnsi="Calibri" w:cs="黑体"/>
      <w:kern w:val="2"/>
      <w:sz w:val="21"/>
      <w:szCs w:val="22"/>
    </w:rPr>
  </w:style>
  <w:style w:type="character" w:customStyle="1" w:styleId="104">
    <w:name w:val="批注主题 Char1"/>
    <w:basedOn w:val="103"/>
    <w:link w:val="40"/>
    <w:qFormat/>
    <w:uiPriority w:val="0"/>
    <w:rPr>
      <w:b/>
      <w:bCs/>
    </w:rPr>
  </w:style>
  <w:style w:type="character" w:customStyle="1" w:styleId="105">
    <w:name w:val="标题 Char1"/>
    <w:basedOn w:val="44"/>
    <w:link w:val="39"/>
    <w:qFormat/>
    <w:uiPriority w:val="0"/>
    <w:rPr>
      <w:rFonts w:asciiTheme="majorHAnsi" w:hAnsiTheme="majorHAnsi" w:cstheme="majorBidi"/>
      <w:b/>
      <w:bCs/>
      <w:kern w:val="2"/>
      <w:sz w:val="32"/>
      <w:szCs w:val="32"/>
    </w:rPr>
  </w:style>
  <w:style w:type="paragraph" w:customStyle="1" w:styleId="106">
    <w:name w:val="一级标题"/>
    <w:basedOn w:val="4"/>
    <w:qFormat/>
    <w:uiPriority w:val="0"/>
    <w:pPr>
      <w:spacing w:before="0" w:after="0" w:line="240" w:lineRule="auto"/>
    </w:pPr>
    <w:rPr>
      <w:rFonts w:ascii="Times New Roman" w:hAnsi="Times New Roman" w:eastAsia="黑体" w:cs="Times New Roman"/>
      <w:b w:val="0"/>
      <w:sz w:val="28"/>
    </w:rPr>
  </w:style>
  <w:style w:type="character" w:customStyle="1" w:styleId="107">
    <w:name w:val="文档结构图 Char1"/>
    <w:basedOn w:val="44"/>
    <w:link w:val="15"/>
    <w:qFormat/>
    <w:uiPriority w:val="0"/>
    <w:rPr>
      <w:rFonts w:ascii="宋体" w:hAnsi="Calibri" w:cs="黑体"/>
      <w:kern w:val="2"/>
      <w:sz w:val="18"/>
      <w:szCs w:val="18"/>
    </w:rPr>
  </w:style>
  <w:style w:type="character" w:customStyle="1" w:styleId="108">
    <w:name w:val="正文文本 Char"/>
    <w:basedOn w:val="44"/>
    <w:link w:val="18"/>
    <w:qFormat/>
    <w:uiPriority w:val="0"/>
    <w:rPr>
      <w:rFonts w:ascii="Calibri" w:hAnsi="Calibri" w:cs="黑体"/>
      <w:kern w:val="2"/>
      <w:sz w:val="21"/>
      <w:szCs w:val="22"/>
    </w:rPr>
  </w:style>
  <w:style w:type="character" w:customStyle="1" w:styleId="109">
    <w:name w:val="正文首行缩进 Char1"/>
    <w:basedOn w:val="108"/>
    <w:link w:val="41"/>
    <w:qFormat/>
    <w:uiPriority w:val="0"/>
  </w:style>
  <w:style w:type="character" w:customStyle="1" w:styleId="110">
    <w:name w:val="批注框文本 Char1"/>
    <w:basedOn w:val="44"/>
    <w:link w:val="27"/>
    <w:qFormat/>
    <w:uiPriority w:val="0"/>
    <w:rPr>
      <w:rFonts w:ascii="Calibri" w:hAnsi="Calibri" w:cs="黑体"/>
      <w:kern w:val="2"/>
      <w:sz w:val="18"/>
      <w:szCs w:val="18"/>
    </w:rPr>
  </w:style>
  <w:style w:type="character" w:customStyle="1" w:styleId="111">
    <w:name w:val="正文文本 3 Char1"/>
    <w:basedOn w:val="44"/>
    <w:link w:val="17"/>
    <w:qFormat/>
    <w:uiPriority w:val="0"/>
    <w:rPr>
      <w:rFonts w:ascii="Calibri" w:hAnsi="Calibri" w:cs="黑体"/>
      <w:kern w:val="2"/>
      <w:sz w:val="16"/>
      <w:szCs w:val="16"/>
    </w:rPr>
  </w:style>
  <w:style w:type="character" w:customStyle="1" w:styleId="112">
    <w:name w:val="正文文本缩进 3 Char1"/>
    <w:basedOn w:val="44"/>
    <w:link w:val="34"/>
    <w:qFormat/>
    <w:uiPriority w:val="0"/>
    <w:rPr>
      <w:rFonts w:ascii="Calibri" w:hAnsi="Calibri" w:cs="黑体"/>
      <w:kern w:val="2"/>
      <w:sz w:val="16"/>
      <w:szCs w:val="16"/>
    </w:rPr>
  </w:style>
  <w:style w:type="character" w:customStyle="1" w:styleId="113">
    <w:name w:val="正文文本缩进 Char1"/>
    <w:basedOn w:val="44"/>
    <w:link w:val="3"/>
    <w:qFormat/>
    <w:uiPriority w:val="0"/>
    <w:rPr>
      <w:rFonts w:ascii="Calibri" w:hAnsi="Calibri" w:cs="黑体"/>
      <w:kern w:val="2"/>
      <w:sz w:val="21"/>
      <w:szCs w:val="22"/>
    </w:rPr>
  </w:style>
  <w:style w:type="character" w:customStyle="1" w:styleId="114">
    <w:name w:val="正文文本缩进 2 Char1"/>
    <w:basedOn w:val="44"/>
    <w:link w:val="26"/>
    <w:qFormat/>
    <w:uiPriority w:val="0"/>
    <w:rPr>
      <w:rFonts w:ascii="Calibri" w:hAnsi="Calibri" w:cs="黑体"/>
      <w:kern w:val="2"/>
      <w:sz w:val="21"/>
      <w:szCs w:val="22"/>
    </w:rPr>
  </w:style>
  <w:style w:type="character" w:customStyle="1" w:styleId="115">
    <w:name w:val="副标题 Char1"/>
    <w:basedOn w:val="44"/>
    <w:link w:val="32"/>
    <w:qFormat/>
    <w:uiPriority w:val="0"/>
    <w:rPr>
      <w:rFonts w:asciiTheme="majorHAnsi" w:hAnsiTheme="majorHAnsi" w:cstheme="majorBidi"/>
      <w:b/>
      <w:bCs/>
      <w:kern w:val="28"/>
      <w:sz w:val="32"/>
      <w:szCs w:val="32"/>
    </w:rPr>
  </w:style>
  <w:style w:type="character" w:customStyle="1" w:styleId="116">
    <w:name w:val="日期 Char1"/>
    <w:basedOn w:val="44"/>
    <w:link w:val="25"/>
    <w:qFormat/>
    <w:uiPriority w:val="0"/>
    <w:rPr>
      <w:rFonts w:ascii="Calibri" w:hAnsi="Calibri" w:cs="黑体"/>
      <w:kern w:val="2"/>
      <w:sz w:val="21"/>
      <w:szCs w:val="22"/>
    </w:rPr>
  </w:style>
  <w:style w:type="paragraph" w:customStyle="1" w:styleId="117">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18">
    <w:name w:val="Char1"/>
    <w:basedOn w:val="1"/>
    <w:qFormat/>
    <w:uiPriority w:val="0"/>
    <w:pPr>
      <w:widowControl/>
      <w:spacing w:after="160" w:line="240" w:lineRule="exact"/>
      <w:jc w:val="left"/>
    </w:pPr>
    <w:rPr>
      <w:rFonts w:ascii="宋体" w:hAnsi="宋体" w:cs="Times New Roman"/>
      <w:kern w:val="0"/>
      <w:sz w:val="20"/>
      <w:szCs w:val="20"/>
      <w:lang w:eastAsia="en-US"/>
    </w:rPr>
  </w:style>
  <w:style w:type="paragraph" w:customStyle="1" w:styleId="119">
    <w:name w:val="样式 标题 3 + (中文) 黑体 小四 非加粗 段前: 7.8 磅 段后: 0 磅 行距: 固定值 20 磅"/>
    <w:basedOn w:val="6"/>
    <w:qFormat/>
    <w:uiPriority w:val="0"/>
    <w:pPr>
      <w:spacing w:before="0" w:after="0" w:line="400" w:lineRule="exact"/>
    </w:pPr>
    <w:rPr>
      <w:rFonts w:ascii="Times New Roman" w:hAnsi="Times New Roman" w:eastAsia="黑体" w:cs="宋体"/>
      <w:b w:val="0"/>
      <w:bCs w:val="0"/>
      <w:sz w:val="24"/>
      <w:szCs w:val="20"/>
    </w:rPr>
  </w:style>
  <w:style w:type="paragraph" w:customStyle="1" w:styleId="120">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121">
    <w:name w:val="Char Char Char"/>
    <w:basedOn w:val="1"/>
    <w:qFormat/>
    <w:uiPriority w:val="0"/>
    <w:rPr>
      <w:rFonts w:ascii="Times New Roman" w:hAnsi="Times New Roman" w:cs="Times New Roman"/>
      <w:szCs w:val="21"/>
    </w:rPr>
  </w:style>
  <w:style w:type="paragraph" w:customStyle="1" w:styleId="122">
    <w:name w:val="1"/>
    <w:basedOn w:val="1"/>
    <w:next w:val="1"/>
    <w:qFormat/>
    <w:uiPriority w:val="0"/>
    <w:rPr>
      <w:rFonts w:ascii="Times New Roman" w:hAnsi="Times New Roman" w:cs="Times New Roman"/>
      <w:szCs w:val="24"/>
    </w:rPr>
  </w:style>
  <w:style w:type="paragraph" w:customStyle="1" w:styleId="123">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124">
    <w:name w:val="样式 一级项标 + 首行缩进:  2 字符 段前: 0.5 行1"/>
    <w:basedOn w:val="1"/>
    <w:qFormat/>
    <w:uiPriority w:val="0"/>
    <w:pPr>
      <w:spacing w:beforeLines="50" w:line="480" w:lineRule="exact"/>
      <w:ind w:firstLine="455" w:firstLineChars="200"/>
    </w:pPr>
    <w:rPr>
      <w:rFonts w:ascii="Times New Roman" w:hAnsi="Times New Roman" w:eastAsia="黑体" w:cs="Times New Roman"/>
      <w:b/>
      <w:bCs/>
      <w:sz w:val="24"/>
      <w:szCs w:val="20"/>
    </w:rPr>
  </w:style>
  <w:style w:type="paragraph" w:customStyle="1" w:styleId="125">
    <w:name w:val="样式1"/>
    <w:basedOn w:val="1"/>
    <w:next w:val="7"/>
    <w:qFormat/>
    <w:uiPriority w:val="0"/>
    <w:pPr>
      <w:spacing w:line="360" w:lineRule="auto"/>
      <w:ind w:firstLine="420" w:firstLineChars="200"/>
    </w:pPr>
    <w:rPr>
      <w:rFonts w:ascii="宋体" w:hAnsi="宋体" w:cs="Times New Roman"/>
      <w:szCs w:val="21"/>
    </w:rPr>
  </w:style>
  <w:style w:type="paragraph" w:customStyle="1" w:styleId="126">
    <w:name w:val="样式 标题 1 + 黑体 三号 非加粗 居中 段前: 6 磅 段后: 6 磅 行距: 固定值 20 磅"/>
    <w:basedOn w:val="4"/>
    <w:qFormat/>
    <w:uiPriority w:val="0"/>
    <w:pPr>
      <w:spacing w:before="120" w:after="120" w:line="400" w:lineRule="exact"/>
    </w:pPr>
    <w:rPr>
      <w:rFonts w:ascii="黑体" w:hAnsi="黑体" w:eastAsia="黑体" w:cs="宋体"/>
      <w:b w:val="0"/>
      <w:bCs w:val="0"/>
      <w:sz w:val="32"/>
      <w:szCs w:val="20"/>
    </w:rPr>
  </w:style>
  <w:style w:type="paragraph" w:customStyle="1" w:styleId="127">
    <w:name w:val="WPS Plain"/>
    <w:qFormat/>
    <w:uiPriority w:val="0"/>
    <w:rPr>
      <w:rFonts w:ascii="Times New Roman" w:hAnsi="Times New Roman" w:eastAsia="宋体" w:cs="Times New Roman"/>
      <w:lang w:val="en-US" w:eastAsia="zh-CN" w:bidi="ar-SA"/>
    </w:rPr>
  </w:style>
  <w:style w:type="paragraph" w:customStyle="1" w:styleId="128">
    <w:name w:val="二级标题"/>
    <w:basedOn w:val="106"/>
    <w:qFormat/>
    <w:uiPriority w:val="0"/>
    <w:pPr>
      <w:jc w:val="both"/>
    </w:pPr>
  </w:style>
  <w:style w:type="paragraph" w:customStyle="1" w:styleId="129">
    <w:name w:val="_Style 50"/>
    <w:basedOn w:val="1"/>
    <w:qFormat/>
    <w:uiPriority w:val="0"/>
    <w:rPr>
      <w:rFonts w:ascii="Times New Roman" w:hAnsi="Times New Roman" w:cs="Times New Roman"/>
      <w:szCs w:val="24"/>
    </w:rPr>
  </w:style>
  <w:style w:type="paragraph" w:customStyle="1" w:styleId="130">
    <w:name w:val="列出段落1"/>
    <w:basedOn w:val="1"/>
    <w:unhideWhenUsed/>
    <w:qFormat/>
    <w:uiPriority w:val="99"/>
    <w:pPr>
      <w:ind w:firstLine="420" w:firstLineChars="200"/>
    </w:pPr>
  </w:style>
  <w:style w:type="paragraph" w:customStyle="1" w:styleId="131">
    <w:name w:val="首行缩进"/>
    <w:basedOn w:val="1"/>
    <w:qFormat/>
    <w:uiPriority w:val="99"/>
    <w:pPr>
      <w:ind w:firstLine="480" w:firstLineChars="200"/>
    </w:pPr>
    <w:rPr>
      <w:lang w:val="zh-CN"/>
    </w:rPr>
  </w:style>
  <w:style w:type="paragraph" w:customStyle="1" w:styleId="132">
    <w:name w:val="样式 正文001 + 首行缩进:  2 字符1"/>
    <w:basedOn w:val="1"/>
    <w:qFormat/>
    <w:uiPriority w:val="0"/>
    <w:pPr>
      <w:spacing w:before="60" w:line="460" w:lineRule="exact"/>
      <w:ind w:firstLine="480" w:firstLineChars="200"/>
    </w:pPr>
    <w:rPr>
      <w:rFonts w:ascii="宋体" w:hAnsi="宋体"/>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4"/>
    <customShpInfo spid="_x0000_s1026"/>
    <customShpInfo spid="_x0000_s1035"/>
    <customShpInfo spid="_x0000_s1036"/>
    <customShpInfo spid="_x0000_s1027"/>
    <customShpInfo spid="_x0000_s1037"/>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75</Pages>
  <Words>32431</Words>
  <Characters>34582</Characters>
  <Lines>64</Lines>
  <Paragraphs>80</Paragraphs>
  <TotalTime>240</TotalTime>
  <ScaleCrop>false</ScaleCrop>
  <LinksUpToDate>false</LinksUpToDate>
  <CharactersWithSpaces>35795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2017-03-04T01:19:00Z</dcterms:created>
  <dc:creator>Administrator</dc:creator>
  <cp:lastModifiedBy>Administrator</cp:lastModifiedBy>
  <cp:lastPrinted>2022-05-06T04:18:00Z</cp:lastPrinted>
  <dcterms:modified xsi:type="dcterms:W3CDTF">2022-05-07T05:41:28Z</dcterms:modified>
  <dc:title>采购编号： 武政谈判【2017】005号</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02F8E33BA51F41B896DA84538187B38A</vt:lpwstr>
  </property>
</Properties>
</file>