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after="0" w:afterLines="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采购需求</w:t>
      </w:r>
    </w:p>
    <w:p>
      <w:pPr>
        <w:spacing w:line="360" w:lineRule="auto"/>
        <w:outlineLvl w:val="1"/>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rPr>
        <w:t>一、</w:t>
      </w:r>
      <w:r>
        <w:rPr>
          <w:rFonts w:hint="eastAsia" w:ascii="宋体" w:hAnsi="宋体" w:cs="宋体"/>
          <w:b/>
          <w:color w:val="auto"/>
          <w:sz w:val="21"/>
          <w:szCs w:val="21"/>
          <w:highlight w:val="none"/>
          <w:lang w:val="en-US" w:eastAsia="zh-CN"/>
        </w:rPr>
        <w:t>项目概况：</w:t>
      </w:r>
      <w:r>
        <w:rPr>
          <w:rFonts w:hint="eastAsia" w:ascii="宋体" w:hAnsi="宋体" w:eastAsia="宋体" w:cs="宋体"/>
          <w:b/>
          <w:color w:val="auto"/>
          <w:sz w:val="21"/>
          <w:szCs w:val="21"/>
          <w:highlight w:val="none"/>
          <w:lang w:val="en-US" w:eastAsia="zh-CN"/>
        </w:rPr>
        <w:t>对武陟一中东区、武陟一中西区、武陟中学、焦作护理学校等4个标准化考点进行改造建设。</w:t>
      </w:r>
    </w:p>
    <w:p>
      <w:pPr>
        <w:spacing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lang w:val="en-US" w:eastAsia="zh-CN"/>
        </w:rPr>
        <w:t>二、</w:t>
      </w:r>
      <w:r>
        <w:rPr>
          <w:rFonts w:hint="eastAsia" w:ascii="宋体" w:hAnsi="宋体" w:cs="宋体"/>
          <w:b/>
          <w:color w:val="auto"/>
          <w:sz w:val="21"/>
          <w:szCs w:val="21"/>
          <w:highlight w:val="none"/>
        </w:rPr>
        <w:t>商务要求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宋体" w:hAnsi="宋体" w:eastAsia="宋体"/>
          <w:color w:val="auto"/>
          <w:szCs w:val="21"/>
          <w:highlight w:val="none"/>
          <w:lang w:val="en-US" w:eastAsia="zh-CN"/>
        </w:rPr>
      </w:pPr>
      <w:r>
        <w:rPr>
          <w:rFonts w:hint="eastAsia" w:ascii="宋体" w:hAnsi="宋体"/>
          <w:color w:val="auto"/>
          <w:szCs w:val="21"/>
          <w:highlight w:val="none"/>
        </w:rPr>
        <w:t>1.</w:t>
      </w:r>
      <w:r>
        <w:rPr>
          <w:rFonts w:hint="eastAsia" w:ascii="宋体" w:hAnsi="宋体"/>
          <w:color w:val="auto"/>
          <w:szCs w:val="21"/>
          <w:highlight w:val="none"/>
          <w:lang w:eastAsia="zh-CN"/>
        </w:rPr>
        <w:t>合同履行期限</w:t>
      </w:r>
      <w:r>
        <w:rPr>
          <w:rFonts w:hint="eastAsia" w:ascii="宋体" w:hAnsi="宋体"/>
          <w:color w:val="auto"/>
          <w:szCs w:val="21"/>
          <w:highlight w:val="none"/>
        </w:rPr>
        <w:t>：</w:t>
      </w:r>
      <w:r>
        <w:rPr>
          <w:rFonts w:hint="eastAsia" w:ascii="宋体" w:hAnsi="宋体"/>
          <w:color w:val="auto"/>
          <w:szCs w:val="21"/>
          <w:highlight w:val="none"/>
          <w:lang w:val="en-US" w:eastAsia="zh-CN"/>
        </w:rPr>
        <w:t>2022年06月05日前安装调试完毕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2.供货安装地点：</w:t>
      </w:r>
      <w:r>
        <w:rPr>
          <w:rFonts w:hint="eastAsia" w:ascii="宋体" w:hAnsi="宋体"/>
          <w:color w:val="auto"/>
          <w:szCs w:val="21"/>
          <w:highlight w:val="none"/>
          <w:lang w:eastAsia="zh-CN"/>
        </w:rPr>
        <w:t>武陟县区域内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3.质量标准：符合国家及行业相关标准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rPr>
        <w:t>4.质量保证期：</w:t>
      </w:r>
      <w:r>
        <w:rPr>
          <w:rFonts w:hint="eastAsia" w:ascii="宋体" w:hAnsi="宋体"/>
          <w:color w:val="auto"/>
          <w:szCs w:val="21"/>
          <w:highlight w:val="none"/>
          <w:lang w:val="en-US" w:eastAsia="zh-CN"/>
        </w:rPr>
        <w:t>3年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hAnsi="宋体"/>
          <w:color w:val="auto"/>
          <w:szCs w:val="21"/>
          <w:highlight w:val="none"/>
        </w:rPr>
      </w:pPr>
      <w:r>
        <w:rPr>
          <w:rFonts w:hint="eastAsia" w:ascii="宋体" w:hAnsi="宋体"/>
          <w:color w:val="auto"/>
          <w:szCs w:val="21"/>
          <w:highlight w:val="none"/>
        </w:rPr>
        <w:t>5.履约担保：成交供应商与采购人签订合同前，需向采</w:t>
      </w:r>
      <w:bookmarkStart w:id="0" w:name="_GoBack"/>
      <w:bookmarkEnd w:id="0"/>
      <w:r>
        <w:rPr>
          <w:rFonts w:hint="eastAsia" w:ascii="宋体" w:hAnsi="宋体"/>
          <w:color w:val="auto"/>
          <w:szCs w:val="21"/>
          <w:highlight w:val="none"/>
        </w:rPr>
        <w:t>购人交纳成交金额的</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5</w:t>
      </w:r>
      <w:r>
        <w:rPr>
          <w:rFonts w:hint="eastAsia" w:ascii="宋体" w:hAnsi="宋体"/>
          <w:color w:val="auto"/>
          <w:szCs w:val="21"/>
          <w:highlight w:val="none"/>
          <w:u w:val="single"/>
        </w:rPr>
        <w:t xml:space="preserve"> 　</w:t>
      </w:r>
      <w:r>
        <w:rPr>
          <w:rFonts w:hint="eastAsia" w:ascii="宋体" w:hAnsi="宋体"/>
          <w:color w:val="auto"/>
          <w:szCs w:val="21"/>
          <w:highlight w:val="none"/>
        </w:rPr>
        <w:t>%作为履约保证金，合同履行结束，经验收合格后退还。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hAnsi="宋体" w:eastAsia="宋体"/>
          <w:color w:val="auto"/>
          <w:szCs w:val="21"/>
          <w:highlight w:val="none"/>
          <w:lang w:val="en-US" w:eastAsia="zh-CN"/>
        </w:rPr>
      </w:pPr>
      <w:r>
        <w:rPr>
          <w:rFonts w:hint="eastAsia" w:ascii="宋体" w:hAnsi="宋体"/>
          <w:color w:val="auto"/>
          <w:szCs w:val="21"/>
          <w:highlight w:val="none"/>
        </w:rPr>
        <w:t>6.付款方式：</w:t>
      </w:r>
      <w:r>
        <w:rPr>
          <w:rFonts w:hint="eastAsia" w:hAnsi="宋体"/>
          <w:color w:val="auto"/>
          <w:szCs w:val="21"/>
          <w:highlight w:val="none"/>
          <w:lang w:eastAsia="zh-CN"/>
        </w:rPr>
        <w:t>安装调试完毕，</w:t>
      </w:r>
      <w:r>
        <w:rPr>
          <w:rFonts w:hint="eastAsia" w:ascii="宋体" w:hAnsi="宋体"/>
          <w:color w:val="auto"/>
          <w:szCs w:val="21"/>
          <w:highlight w:val="none"/>
        </w:rPr>
        <w:t>经验收合格后</w:t>
      </w:r>
      <w:r>
        <w:rPr>
          <w:rFonts w:hint="eastAsia" w:ascii="宋体" w:hAnsi="宋体"/>
          <w:color w:val="auto"/>
          <w:szCs w:val="21"/>
          <w:highlight w:val="none"/>
          <w:lang w:eastAsia="zh-CN"/>
        </w:rPr>
        <w:t>付成交价的</w:t>
      </w:r>
      <w:r>
        <w:rPr>
          <w:rFonts w:hint="eastAsia" w:ascii="宋体" w:hAnsi="宋体"/>
          <w:color w:val="auto"/>
          <w:szCs w:val="21"/>
          <w:highlight w:val="none"/>
          <w:lang w:val="en-US" w:eastAsia="zh-CN"/>
        </w:rPr>
        <w:t>95%，剩余5%一年后无质量问题后无息付清。</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7.商品包装要求：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7.1适用范围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本标准规定了商品使用的塑料、纸质、木质等包装材料的环保要求。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2"/>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7.2商品包装环保要求 </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1.商品包装层数不得超过 3 层，空隙率不大于 40%； </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2.商品包装尽可能使用单一材质的包装材料，如因功能需求必需使用不同材质，不同材质间应便于分离； </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3.商品包装中铅、汞、镉、六价铬的总含量应不大于100mg/kg； </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4.商品包装印刷使用的油墨中挥发性有机化合物(VOCs)含量应不大于 5%（以重量计）； </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5.塑料材质商品包装上呈现的印刷颜色不得超过6色； </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6.纸质商品包装应使用75%以上的可再生纤维原料生产； </w:t>
      </w:r>
    </w:p>
    <w:p>
      <w:pPr>
        <w:keepNext w:val="0"/>
        <w:keepLines w:val="0"/>
        <w:pageBreakBefore w:val="0"/>
        <w:widowControl w:val="0"/>
        <w:kinsoku/>
        <w:wordWrap/>
        <w:overflowPunct/>
        <w:topLinePunct w:val="0"/>
        <w:autoSpaceDE/>
        <w:autoSpaceDN/>
        <w:bidi w:val="0"/>
        <w:adjustRightInd/>
        <w:snapToGrid/>
        <w:spacing w:line="440" w:lineRule="exact"/>
        <w:ind w:firstLine="630" w:firstLineChars="300"/>
        <w:textAlignment w:val="auto"/>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7.木质商品包装的原料应来源于可持续性森林。 </w:t>
      </w:r>
    </w:p>
    <w:p>
      <w:pPr>
        <w:spacing w:line="360" w:lineRule="auto"/>
        <w:outlineLvl w:val="1"/>
        <w:rPr>
          <w:rFonts w:hint="eastAsia" w:ascii="宋体" w:hAnsi="宋体" w:cs="宋体"/>
          <w:b/>
          <w:color w:val="auto"/>
          <w:sz w:val="21"/>
          <w:szCs w:val="21"/>
          <w:highlight w:val="none"/>
        </w:rPr>
      </w:pPr>
      <w:r>
        <w:rPr>
          <w:rFonts w:hint="eastAsia" w:ascii="宋体" w:hAnsi="宋体" w:cs="宋体"/>
          <w:b/>
          <w:color w:val="auto"/>
          <w:sz w:val="21"/>
          <w:szCs w:val="21"/>
          <w:highlight w:val="none"/>
        </w:rPr>
        <w:t>三、采购内容及技术要求</w:t>
      </w:r>
    </w:p>
    <w:p>
      <w:pPr>
        <w:spacing w:line="440" w:lineRule="exact"/>
        <w:ind w:firstLine="420" w:firstLineChars="200"/>
        <w:rPr>
          <w:rFonts w:hint="eastAsia"/>
          <w:color w:val="auto"/>
          <w:sz w:val="21"/>
          <w:szCs w:val="21"/>
          <w:highlight w:val="none"/>
        </w:rPr>
      </w:pPr>
      <w:r>
        <w:rPr>
          <w:rFonts w:hint="eastAsia"/>
          <w:color w:val="auto"/>
          <w:sz w:val="21"/>
          <w:szCs w:val="21"/>
          <w:highlight w:val="none"/>
        </w:rPr>
        <w:t>本项目采购内容、数量及其有关技术要求如下：</w:t>
      </w:r>
    </w:p>
    <w:p>
      <w:pPr>
        <w:spacing w:line="440" w:lineRule="exact"/>
        <w:ind w:firstLine="422" w:firstLineChars="200"/>
        <w:rPr>
          <w:rFonts w:hint="eastAsia" w:eastAsia="宋体"/>
          <w:b/>
          <w:bCs/>
          <w:color w:val="auto"/>
          <w:sz w:val="21"/>
          <w:szCs w:val="21"/>
          <w:highlight w:val="none"/>
          <w:u w:val="single"/>
          <w:lang w:val="en-US" w:eastAsia="zh-CN"/>
        </w:rPr>
      </w:pPr>
      <w:r>
        <w:rPr>
          <w:rFonts w:hint="eastAsia"/>
          <w:b/>
          <w:bCs/>
          <w:color w:val="auto"/>
          <w:sz w:val="21"/>
          <w:szCs w:val="21"/>
          <w:highlight w:val="none"/>
        </w:rPr>
        <w:t>本采购项目的核心产品为：</w:t>
      </w:r>
      <w:r>
        <w:rPr>
          <w:rFonts w:hint="eastAsia"/>
          <w:b/>
          <w:bCs/>
          <w:color w:val="auto"/>
          <w:sz w:val="21"/>
          <w:szCs w:val="21"/>
          <w:highlight w:val="none"/>
          <w:u w:val="single"/>
          <w:lang w:val="en-US" w:eastAsia="zh-CN"/>
        </w:rPr>
        <w:t xml:space="preserve"> </w:t>
      </w:r>
      <w:r>
        <w:rPr>
          <w:rFonts w:hint="eastAsia"/>
          <w:b/>
          <w:bCs/>
          <w:color w:val="auto"/>
          <w:sz w:val="21"/>
          <w:szCs w:val="21"/>
          <w:highlight w:val="none"/>
          <w:u w:val="single"/>
        </w:rPr>
        <w:t>高科技屏蔽终端</w:t>
      </w:r>
      <w:r>
        <w:rPr>
          <w:rFonts w:hint="eastAsia"/>
          <w:b/>
          <w:bCs/>
          <w:color w:val="auto"/>
          <w:sz w:val="21"/>
          <w:szCs w:val="21"/>
          <w:highlight w:val="none"/>
          <w:u w:val="single"/>
          <w:lang w:val="en-US" w:eastAsia="zh-CN"/>
        </w:rPr>
        <w:t xml:space="preserve"> 。</w:t>
      </w:r>
    </w:p>
    <w:p>
      <w:pPr>
        <w:rPr>
          <w:rFonts w:hint="eastAsia" w:eastAsia="宋体"/>
          <w:b/>
          <w:bCs/>
          <w:color w:val="auto"/>
          <w:sz w:val="21"/>
          <w:szCs w:val="21"/>
          <w:highlight w:val="none"/>
          <w:u w:val="single"/>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014"/>
        <w:gridCol w:w="5611"/>
        <w:gridCol w:w="150"/>
        <w:gridCol w:w="667"/>
        <w:gridCol w:w="70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bCs/>
                <w:color w:val="auto"/>
                <w:kern w:val="0"/>
                <w:sz w:val="22"/>
                <w:szCs w:val="22"/>
                <w:highlight w:val="none"/>
              </w:rPr>
            </w:pPr>
            <w:r>
              <w:rPr>
                <w:bCs/>
                <w:color w:val="auto"/>
                <w:kern w:val="0"/>
                <w:sz w:val="22"/>
                <w:szCs w:val="22"/>
                <w:highlight w:val="none"/>
              </w:rPr>
              <w:t>序号</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color w:val="auto"/>
                <w:kern w:val="0"/>
                <w:sz w:val="22"/>
                <w:szCs w:val="22"/>
                <w:highlight w:val="none"/>
              </w:rPr>
            </w:pPr>
            <w:r>
              <w:rPr>
                <w:rFonts w:hint="eastAsia"/>
                <w:color w:val="auto"/>
                <w:kern w:val="0"/>
                <w:sz w:val="22"/>
                <w:szCs w:val="22"/>
                <w:highlight w:val="none"/>
                <w:lang w:eastAsia="zh-CN"/>
              </w:rPr>
              <w:t>标的</w:t>
            </w:r>
            <w:r>
              <w:rPr>
                <w:rFonts w:hint="eastAsia"/>
                <w:color w:val="auto"/>
                <w:kern w:val="0"/>
                <w:sz w:val="22"/>
                <w:szCs w:val="22"/>
                <w:highlight w:val="none"/>
              </w:rPr>
              <w:t>名称</w:t>
            </w:r>
          </w:p>
        </w:tc>
        <w:tc>
          <w:tcPr>
            <w:tcW w:w="57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bCs/>
                <w:color w:val="auto"/>
                <w:kern w:val="0"/>
                <w:sz w:val="22"/>
                <w:szCs w:val="22"/>
                <w:highlight w:val="none"/>
              </w:rPr>
            </w:pPr>
            <w:r>
              <w:rPr>
                <w:rFonts w:hint="eastAsia"/>
                <w:bCs/>
                <w:color w:val="auto"/>
                <w:kern w:val="0"/>
                <w:sz w:val="21"/>
                <w:szCs w:val="21"/>
                <w:highlight w:val="none"/>
              </w:rPr>
              <w:t>主要技术参数、性能、配置等要求</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ascii="宋体" w:hAnsi="宋体"/>
                <w:bCs/>
                <w:color w:val="auto"/>
                <w:kern w:val="0"/>
                <w:sz w:val="22"/>
                <w:szCs w:val="22"/>
                <w:highlight w:val="none"/>
              </w:rPr>
            </w:pPr>
            <w:r>
              <w:rPr>
                <w:rFonts w:hint="eastAsia" w:ascii="宋体" w:hAnsi="宋体"/>
                <w:bCs/>
                <w:color w:val="auto"/>
                <w:kern w:val="0"/>
                <w:sz w:val="22"/>
                <w:szCs w:val="22"/>
                <w:highlight w:val="none"/>
              </w:rPr>
              <w:t>单位</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pacing w:line="460" w:lineRule="exact"/>
              <w:jc w:val="center"/>
              <w:rPr>
                <w:rFonts w:hint="eastAsia" w:ascii="宋体" w:hAnsi="宋体"/>
                <w:bCs/>
                <w:color w:val="auto"/>
                <w:kern w:val="0"/>
                <w:sz w:val="22"/>
                <w:szCs w:val="22"/>
                <w:highlight w:val="none"/>
              </w:rPr>
            </w:pPr>
            <w:r>
              <w:rPr>
                <w:rFonts w:hint="eastAsia" w:ascii="宋体" w:hAnsi="宋体"/>
                <w:bCs/>
                <w:color w:val="auto"/>
                <w:kern w:val="0"/>
                <w:sz w:val="22"/>
                <w:szCs w:val="22"/>
                <w:highlight w:val="none"/>
              </w:rPr>
              <w:t>数量</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eastAsia="宋体"/>
                <w:bCs/>
                <w:color w:val="auto"/>
                <w:kern w:val="0"/>
                <w:sz w:val="22"/>
                <w:szCs w:val="22"/>
                <w:highlight w:val="none"/>
                <w:lang w:eastAsia="zh-CN"/>
              </w:rPr>
            </w:pPr>
            <w:r>
              <w:rPr>
                <w:rFonts w:hint="eastAsia"/>
                <w:bCs/>
                <w:color w:val="auto"/>
                <w:kern w:val="0"/>
                <w:sz w:val="22"/>
                <w:szCs w:val="22"/>
                <w:highlight w:val="none"/>
                <w:lang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default" w:ascii="宋体" w:hAnsi="宋体" w:eastAsia="宋体"/>
                <w:b/>
                <w:i w:val="0"/>
                <w:snapToGrid/>
                <w:color w:val="auto"/>
                <w:sz w:val="32"/>
                <w:szCs w:val="32"/>
                <w:highlight w:val="none"/>
                <w:u w:val="none"/>
                <w:shd w:val="clear" w:color="auto" w:fill="969696"/>
                <w:lang w:eastAsia="zh-CN"/>
              </w:rPr>
              <w:t>武陟一中</w:t>
            </w:r>
            <w:r>
              <w:rPr>
                <w:rFonts w:hint="eastAsia" w:ascii="宋体" w:hAnsi="宋体" w:eastAsia="宋体"/>
                <w:b/>
                <w:i w:val="0"/>
                <w:snapToGrid/>
                <w:color w:val="auto"/>
                <w:sz w:val="32"/>
                <w:szCs w:val="32"/>
                <w:highlight w:val="none"/>
                <w:u w:val="none"/>
                <w:shd w:val="clear" w:color="auto" w:fill="969696"/>
                <w:lang w:val="en-US" w:eastAsia="zh-CN"/>
              </w:rPr>
              <w:t>东</w:t>
            </w:r>
            <w:r>
              <w:rPr>
                <w:rFonts w:hint="default" w:ascii="宋体" w:hAnsi="宋体" w:eastAsia="宋体"/>
                <w:b/>
                <w:i w:val="0"/>
                <w:snapToGrid/>
                <w:color w:val="auto"/>
                <w:sz w:val="32"/>
                <w:szCs w:val="32"/>
                <w:highlight w:val="none"/>
                <w:u w:val="none"/>
                <w:shd w:val="clear" w:color="auto" w:fill="969696"/>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1</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eastAsia="zh-CN"/>
              </w:rPr>
              <w:t>高科技屏蔽终端</w:t>
            </w:r>
          </w:p>
        </w:tc>
        <w:tc>
          <w:tcPr>
            <w:tcW w:w="57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1、阻断工作频率范围：30MHz-5850MHz；</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2、侦测引导阻断频率范围：无缝覆盖30MHz-3000MHz（支持扩展）；</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3、手机信号屏蔽：能够屏蔽电信、移动、联通的2G/3G/4G/5G手机信号(视当地环境手机基站＞300米时，可有效屏蔽)；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4、蓝牙/WIFI信号屏蔽：能够屏蔽2400MHz-2483.5MHz（2.4G）蓝牙信号以及2400MHz-2483.5MHz（2.4G）、5725MHz-5850MHz（5.8G）WIFI信号；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5、阻断方式：对侦测引导阻断频率范围内的专业作弊信号，采用侦测引导阻断方式，对专业作弊信号实现点对点的精准阻断；对2G/3G/4G/5G各种制式的手机信号和蓝牙/WIFI信号采用直接阻断方式；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6、智能绿色阻断控制：根据专业作弊信号的带宽、调制方式及功率等特征自动调整阻断信号带宽和功率，确保对作弊信号的有效阻断。根据作弊信号持续时间，自动调整屏蔽时长，减少非必要辐射，符合节能环保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7、并发阻断：专业作弊信号（手机信号/WIFI/蓝牙信号通道除外）支持不少于22路并发阻断；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8、点频阻断：支持对专业作弊信号采用瞄准式点频精准阻断方式，阻断信号；</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9、阻断信号带宽：0.7倍作弊信号带宽≤阻断信号带宽≤3倍作弊信号带宽，且不超过200KHz（3db）；</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10、预设频点模式：无需侦测引导，可预置至少22路专业作弊干扰频点（手机信号/WIFI/蓝牙信号除外）进行实时阻断；</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11、欺骗式干扰：具备数传作弊设备接收答案的远程清除功能；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12、批量升级：支持通过考点级管理平台对高科技屏蔽终端软件进行一键式集中批量升级；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13、考试计划：可根据考点级管理平台的考试计划，在考试计划时间开始时系统自动进入工作状态，考试计划时间结束时系统自动停止工作，提供考前、考中及考后自动工作模式，实现无人值守式管理；也可支持手动操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14、温度监控：支持远程对设备的工作温度进行监控；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15、远程管理：支持通过考点级管理平台实现远程集中控制，可根据需要实现分组、单台设备的远程开关控制；可远程对工作模块进行开关控制；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16、状态上报：可向考点级管理平台上报设备工作状态、故障状态等信息；</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17、扩展机制：提供有物理扩展槽，支持硬件扩展和升级；</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18、安全设计：绝缘外壳，无金属部件裸露，避免触电、烫伤等风险；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19、一体化设计：天线和电源内置，具有漏电保护功能；</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20、状态显示：前面板有工作指示灯，可直观指示设备上电、模块开关、网络连通等状态；</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21、隐藏式接口设计：设备开关、电源接口、网络接口均采用隐蔽式设计，设备安装完成后可视表面无任何接口、开关，避免学生误动设备对系统造成影响；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22、数据接口：RJ-45接口；</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23、可靠性：MTBF≥3000小时；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24、符合国家《电磁环境控制限值(GB8702-2014)》标准；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right="0" w:rightChars="0"/>
              <w:jc w:val="both"/>
              <w:textAlignment w:val="auto"/>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 xml:space="preserve">25、符合国家《声环境质量标准（GB3096-2008）》中的零类标准。  </w:t>
            </w:r>
          </w:p>
        </w:tc>
        <w:tc>
          <w:tcPr>
            <w:tcW w:w="66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eastAsia="zh-CN"/>
              </w:rPr>
              <w:t>台</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eastAsia="zh-CN"/>
              </w:rPr>
              <w:t>5</w:t>
            </w:r>
            <w:r>
              <w:rPr>
                <w:rFonts w:hint="eastAsia" w:ascii="宋体" w:hAnsi="宋体" w:eastAsia="宋体" w:cs="宋体"/>
                <w:b w:val="0"/>
                <w:i w:val="0"/>
                <w:snapToGrid/>
                <w:color w:val="auto"/>
                <w:sz w:val="20"/>
                <w:szCs w:val="20"/>
                <w:highlight w:val="none"/>
                <w:u w:val="none"/>
                <w:shd w:val="clear" w:color="auto" w:fill="FFFFFF"/>
                <w:lang w:val="en-US" w:eastAsia="zh-CN"/>
              </w:rPr>
              <w:t>8</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宋体" w:hAnsi="宋体" w:eastAsia="宋体" w:cs="宋体"/>
                <w:bCs/>
                <w:color w:val="auto"/>
                <w:kern w:val="0"/>
                <w:sz w:val="20"/>
                <w:szCs w:val="20"/>
                <w:highlight w:val="none"/>
                <w:lang w:eastAsia="zh-CN"/>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eastAsia="zh-CN"/>
              </w:rPr>
              <w:t>2</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eastAsia="zh-CN"/>
              </w:rPr>
              <w:t>高科技屏蔽终端支架</w:t>
            </w:r>
          </w:p>
        </w:tc>
        <w:tc>
          <w:tcPr>
            <w:tcW w:w="5761" w:type="dxa"/>
            <w:gridSpan w:val="2"/>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eastAsia="zh-CN"/>
              </w:rPr>
              <w:t>定制专用支架</w:t>
            </w:r>
          </w:p>
        </w:tc>
        <w:tc>
          <w:tcPr>
            <w:tcW w:w="66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eastAsia="zh-CN"/>
              </w:rPr>
              <w:t>个</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eastAsia="zh-CN"/>
              </w:rPr>
              <w:t>5</w:t>
            </w:r>
            <w:r>
              <w:rPr>
                <w:rFonts w:hint="eastAsia" w:ascii="宋体" w:hAnsi="宋体" w:eastAsia="宋体" w:cs="宋体"/>
                <w:b w:val="0"/>
                <w:i w:val="0"/>
                <w:snapToGrid/>
                <w:color w:val="auto"/>
                <w:sz w:val="20"/>
                <w:szCs w:val="20"/>
                <w:highlight w:val="none"/>
                <w:u w:val="none"/>
                <w:shd w:val="clear" w:color="auto" w:fill="FFFFFF"/>
                <w:lang w:val="en-US" w:eastAsia="zh-CN"/>
              </w:rPr>
              <w:t>8</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宋体" w:hAnsi="宋体" w:eastAsia="宋体" w:cs="宋体"/>
                <w:bCs/>
                <w:color w:val="auto"/>
                <w:kern w:val="0"/>
                <w:sz w:val="20"/>
                <w:szCs w:val="20"/>
                <w:highlight w:val="none"/>
                <w:lang w:eastAsia="zh-CN"/>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val="en-US" w:eastAsia="zh-CN"/>
              </w:rPr>
              <w:t>3</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人脸身份验证终端</w:t>
            </w:r>
          </w:p>
        </w:tc>
        <w:tc>
          <w:tcPr>
            <w:tcW w:w="57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before="0" w:beforeLines="0" w:after="0" w:afterLines="0" w:line="360" w:lineRule="auto"/>
              <w:ind w:leftChars="0" w:right="0" w:rightChars="0"/>
              <w:jc w:val="left"/>
              <w:textAlignment w:val="center"/>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设备硬件：电池容量 6500 毫安；处理器 4 核，2g内存；8 英寸 IPS 硬屏，800x1280。</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before="0" w:beforeLines="0" w:after="0" w:afterLines="0" w:line="360" w:lineRule="auto"/>
              <w:ind w:leftChars="0" w:right="0" w:rightChars="0"/>
              <w:jc w:val="left"/>
              <w:textAlignment w:val="center"/>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设备接口：内置 1 个 USB 接口、1 个 mini-USB 接口、1 个 RJ45 网口、1 个 TF 扩充卡槽，1 个 3.5mm 耳机插口，1 个 Micro HDMI 接口。</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before="0" w:beforeLines="0" w:after="0" w:afterLines="0" w:line="360" w:lineRule="auto"/>
              <w:ind w:left="0" w:leftChars="0" w:right="0" w:rightChars="0" w:firstLine="0" w:firstLineChars="0"/>
              <w:jc w:val="left"/>
              <w:textAlignment w:val="center"/>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一体化设计：由居民身份证 ID 模块、指纹模块、拍照模块，一体化封装、无需外接任何设备即可独立完成验证工作。</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before="0" w:beforeLines="0" w:after="0" w:afterLines="0" w:line="360" w:lineRule="auto"/>
              <w:ind w:left="0" w:leftChars="0" w:right="0" w:rightChars="0" w:firstLine="0" w:firstLineChars="0"/>
              <w:jc w:val="left"/>
              <w:textAlignment w:val="center"/>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操作标识：身份证读取区和指纹采集区均采用正面前置设计，身份证读卡区有显著图文标识。</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before="0" w:beforeLines="0" w:after="0" w:afterLines="0" w:line="360" w:lineRule="auto"/>
              <w:ind w:left="0" w:leftChars="0" w:right="0" w:rightChars="0" w:firstLine="0" w:firstLineChars="0"/>
              <w:jc w:val="left"/>
              <w:textAlignment w:val="center"/>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工作模式：支持考生和验证数据通过介质和网络（有线和 WIFI）导入、导出和实时上传；支持脱机工作方式即不接 PC、不接电源。</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before="0" w:beforeLines="0" w:after="0" w:afterLines="0" w:line="360" w:lineRule="auto"/>
              <w:ind w:left="0" w:leftChars="0" w:right="0" w:rightChars="0" w:firstLine="0" w:firstLineChars="0"/>
              <w:jc w:val="left"/>
              <w:textAlignment w:val="center"/>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指纹模块传感器类型：半导体电容式传感器，符合GA/T-1011-2012 标准，支持活体识别，支持 360 度采集。能有效杜绝指纹膜作弊替考行为。</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before="0" w:beforeLines="0" w:after="0" w:afterLines="0" w:line="360" w:lineRule="auto"/>
              <w:ind w:left="0" w:leftChars="0" w:right="0" w:rightChars="0" w:firstLine="0" w:firstLineChars="0"/>
              <w:jc w:val="left"/>
              <w:textAlignment w:val="center"/>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双摄像头：前、后置 500 万像素摄像头，可切换，便于多种情景下由监考老师拍照或考生自拍。</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before="0" w:beforeLines="0" w:after="0" w:afterLines="0" w:line="360" w:lineRule="auto"/>
              <w:ind w:left="0" w:leftChars="0" w:right="0" w:rightChars="0" w:firstLine="0" w:firstLineChars="0"/>
              <w:jc w:val="left"/>
              <w:textAlignment w:val="center"/>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可在验证终端上进行实时人脸比对，通过现场考生人像与其报名采集照片或身份证芯片内照片进行人脸比对。</w:t>
            </w:r>
          </w:p>
          <w:p>
            <w:pPr>
              <w:keepNext w:val="0"/>
              <w:keepLines w:val="0"/>
              <w:pageBreakBefore w:val="0"/>
              <w:widowControl w:val="0"/>
              <w:numPr>
                <w:ilvl w:val="0"/>
                <w:numId w:val="1"/>
              </w:numPr>
              <w:shd w:val="solid" w:color="FFFFFF" w:fill="auto"/>
              <w:kinsoku/>
              <w:wordWrap/>
              <w:overflowPunct/>
              <w:topLinePunct w:val="0"/>
              <w:autoSpaceDE/>
              <w:autoSpaceDN w:val="0"/>
              <w:bidi w:val="0"/>
              <w:adjustRightInd/>
              <w:snapToGrid/>
              <w:spacing w:before="0" w:beforeLines="0" w:after="0" w:afterLines="0" w:line="360" w:lineRule="auto"/>
              <w:ind w:left="0" w:leftChars="0" w:right="0" w:rightChars="0" w:firstLine="0" w:firstLineChars="0"/>
              <w:jc w:val="left"/>
              <w:textAlignment w:val="center"/>
              <w:outlineLvl w:val="9"/>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多种调取考生信息方式：刷身份证、输入身份证号、准考证号或者点击考生座次图等方式快速的读取到考生个人信息（包括准考证号、身份证号、姓名、考生身份证照片、报名照片等）。</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360" w:lineRule="auto"/>
              <w:ind w:leftChars="0" w:right="0" w:rightChars="0"/>
              <w:jc w:val="left"/>
              <w:textAlignment w:val="center"/>
              <w:outlineLvl w:val="9"/>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color w:val="auto"/>
                <w:sz w:val="20"/>
                <w:szCs w:val="20"/>
                <w:highlight w:val="none"/>
              </w:rPr>
              <w:t>10、内置数据存储容量：指定的身份信息数据存储格式，可存储大于 10000 枚指纹信息，可存储大于 10000条考生数据（考生基本信息、报名照片、身份证照片等），可存储大于 100000 条验证记录。</w:t>
            </w:r>
          </w:p>
        </w:tc>
        <w:tc>
          <w:tcPr>
            <w:tcW w:w="66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val="en-US" w:eastAsia="zh-CN"/>
              </w:rPr>
              <w:t>台</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val="en-US" w:eastAsia="zh-CN"/>
              </w:rPr>
              <w:t>11</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sz w:val="20"/>
                <w:szCs w:val="20"/>
                <w:highlight w:val="none"/>
                <w:u w:val="none"/>
                <w:shd w:val="clear" w:color="auto" w:fill="FFFFFF"/>
                <w:lang w:val="en-US" w:eastAsia="zh-CN"/>
              </w:rPr>
            </w:pPr>
            <w:r>
              <w:rPr>
                <w:rFonts w:hint="eastAsia" w:ascii="宋体" w:hAnsi="宋体" w:eastAsia="宋体"/>
                <w:b w:val="0"/>
                <w:i w:val="0"/>
                <w:snapToGrid/>
                <w:color w:val="auto"/>
                <w:sz w:val="20"/>
                <w:highlight w:val="none"/>
                <w:u w:val="none"/>
                <w:shd w:val="clear" w:color="auto" w:fill="FFFFFF"/>
                <w:lang w:val="en-US" w:eastAsia="zh-CN"/>
              </w:rPr>
              <w:t>4</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eastAsia" w:ascii="宋体" w:hAnsi="宋体" w:eastAsia="宋体" w:cs="宋体"/>
                <w:color w:val="auto"/>
                <w:sz w:val="20"/>
                <w:szCs w:val="20"/>
                <w:highlight w:val="none"/>
                <w:lang w:val="en-US" w:eastAsia="zh-CN"/>
              </w:rPr>
            </w:pPr>
            <w:r>
              <w:rPr>
                <w:rFonts w:hint="eastAsia" w:ascii="宋体" w:hAnsi="宋体" w:eastAsia="宋体"/>
                <w:b w:val="0"/>
                <w:i w:val="0"/>
                <w:snapToGrid/>
                <w:color w:val="auto"/>
                <w:sz w:val="20"/>
                <w:highlight w:val="none"/>
                <w:u w:val="none"/>
                <w:shd w:val="clear" w:color="auto" w:fill="FFFFFF"/>
                <w:lang w:val="en-US" w:eastAsia="zh-CN"/>
              </w:rPr>
              <w:t>红外高清半球摄像机</w:t>
            </w:r>
          </w:p>
        </w:tc>
        <w:tc>
          <w:tcPr>
            <w:tcW w:w="5761" w:type="dxa"/>
            <w:gridSpan w:val="2"/>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color w:val="auto"/>
                <w:sz w:val="20"/>
                <w:szCs w:val="20"/>
                <w:highlight w:val="none"/>
              </w:rPr>
              <w:t>1</w:t>
            </w:r>
            <w:r>
              <w:rPr>
                <w:rFonts w:hint="eastAsia" w:ascii="宋体" w:hAnsi="宋体" w:eastAsia="宋体" w:cs="宋体"/>
                <w:color w:val="auto"/>
                <w:sz w:val="20"/>
                <w:szCs w:val="20"/>
                <w:highlight w:val="none"/>
              </w:rPr>
              <w:t>、符合《国家教育考试网上巡查系统视频标准技术规</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范（2017 版）》相关技术规范；</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2、采用高性能两百万像素 1/2.7 英寸 CMOS 图像传感器，低照度效果好，图像清晰度高；</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3、可输出 200 万(1920*1080)@25fps；</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4、支持 H.264、H.265、MPEG-4 视频编码格式；</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5、支持智能红外功能，红外夜视距目标轮廓可达50米；</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6、支持走廊模式，宽动态，3D 降噪，强光抑制，背光补</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偿，数字水印，适用不同监控环境；</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7、支持 ROI，SMART H.264/H.265，灵活编码，适用不同</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带宽和存储环境；</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8、支持虚焦侦测，区域入侵，绊线入侵，场景变更，外</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部报警,音频检测，电压检测；</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9、支持 PS 系统流和 TS 传输流的封装；</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10、支持人脸区域自动曝光，根据场景和光照自动调节</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曝光参数，支持人脸增强功能；</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11、支持 DC12V/POE 电方式，方便工程安装；</w:t>
            </w:r>
          </w:p>
          <w:p>
            <w:pPr>
              <w:shd w:val="solid" w:color="FFFFFF" w:fill="auto"/>
              <w:kinsoku/>
              <w:autoSpaceDE/>
              <w:autoSpaceDN w:val="0"/>
              <w:spacing w:line="360" w:lineRule="auto"/>
              <w:jc w:val="left"/>
              <w:textAlignment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12、镜头焦距 2.8mm。</w:t>
            </w:r>
          </w:p>
        </w:tc>
        <w:tc>
          <w:tcPr>
            <w:tcW w:w="66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sz w:val="20"/>
                <w:szCs w:val="20"/>
                <w:highlight w:val="none"/>
                <w:u w:val="none"/>
                <w:shd w:val="clear" w:color="auto" w:fill="FFFFFF"/>
                <w:lang w:val="en-US" w:eastAsia="zh-CN"/>
              </w:rPr>
            </w:pPr>
            <w:r>
              <w:rPr>
                <w:rFonts w:hint="eastAsia" w:ascii="宋体" w:hAnsi="宋体" w:eastAsia="宋体"/>
                <w:b w:val="0"/>
                <w:i w:val="0"/>
                <w:snapToGrid/>
                <w:color w:val="auto"/>
                <w:sz w:val="20"/>
                <w:highlight w:val="none"/>
                <w:u w:val="none"/>
                <w:shd w:val="clear" w:color="auto" w:fill="FFFFFF"/>
                <w:lang w:val="en-US" w:eastAsia="zh-CN"/>
              </w:rPr>
              <w:t>套</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sz w:val="20"/>
                <w:szCs w:val="20"/>
                <w:highlight w:val="none"/>
                <w:u w:val="none"/>
                <w:shd w:val="clear" w:color="auto" w:fill="FFFFFF"/>
                <w:lang w:val="en-US" w:eastAsia="zh-CN"/>
              </w:rPr>
            </w:pPr>
            <w:r>
              <w:rPr>
                <w:rFonts w:hint="eastAsia" w:ascii="宋体" w:hAnsi="宋体" w:eastAsia="宋体"/>
                <w:b w:val="0"/>
                <w:i w:val="0"/>
                <w:snapToGrid/>
                <w:color w:val="auto"/>
                <w:sz w:val="20"/>
                <w:highlight w:val="none"/>
                <w:u w:val="none"/>
                <w:shd w:val="clear" w:color="auto" w:fill="FFFFFF"/>
                <w:lang w:val="en-US" w:eastAsia="zh-CN"/>
              </w:rPr>
              <w:t>6</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宋体" w:hAnsi="宋体" w:eastAsia="宋体" w:cs="宋体"/>
                <w:bCs/>
                <w:color w:val="auto"/>
                <w:kern w:val="0"/>
                <w:sz w:val="20"/>
                <w:szCs w:val="20"/>
                <w:highlight w:val="none"/>
                <w:lang w:eastAsia="zh-CN"/>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sz w:val="20"/>
                <w:szCs w:val="20"/>
                <w:highlight w:val="none"/>
                <w:u w:val="none"/>
                <w:shd w:val="clear" w:color="auto" w:fill="FFFFFF"/>
                <w:lang w:val="en-US" w:eastAsia="zh-CN"/>
              </w:rPr>
            </w:pPr>
            <w:r>
              <w:rPr>
                <w:rFonts w:hint="eastAsia" w:ascii="宋体" w:hAnsi="宋体" w:eastAsia="宋体" w:cs="宋体"/>
                <w:b w:val="0"/>
                <w:i w:val="0"/>
                <w:snapToGrid/>
                <w:color w:val="auto"/>
                <w:sz w:val="20"/>
                <w:szCs w:val="20"/>
                <w:highlight w:val="none"/>
                <w:u w:val="none"/>
                <w:shd w:val="clear" w:color="auto" w:fill="FFFFFF"/>
                <w:lang w:val="en-US" w:eastAsia="zh-CN"/>
              </w:rPr>
              <w:t>5</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电源</w:t>
            </w:r>
          </w:p>
        </w:tc>
        <w:tc>
          <w:tcPr>
            <w:tcW w:w="57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after="0" w:afterLines="0" w:line="360" w:lineRule="auto"/>
              <w:ind w:leftChars="0" w:right="0" w:rightChars="0"/>
              <w:jc w:val="left"/>
              <w:textAlignment w:val="center"/>
              <w:outlineLvl w:val="9"/>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DC12V,2A</w:t>
            </w:r>
          </w:p>
        </w:tc>
        <w:tc>
          <w:tcPr>
            <w:tcW w:w="66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sz w:val="20"/>
                <w:szCs w:val="20"/>
                <w:highlight w:val="none"/>
                <w:u w:val="none"/>
                <w:shd w:val="clear" w:color="auto" w:fill="FFFFFF"/>
                <w:lang w:val="en-US" w:eastAsia="zh-CN"/>
              </w:rPr>
            </w:pPr>
            <w:r>
              <w:rPr>
                <w:rFonts w:hint="eastAsia" w:ascii="宋体" w:hAnsi="宋体" w:eastAsia="宋体" w:cs="宋体"/>
                <w:b w:val="0"/>
                <w:i w:val="0"/>
                <w:snapToGrid/>
                <w:color w:val="auto"/>
                <w:sz w:val="20"/>
                <w:szCs w:val="20"/>
                <w:highlight w:val="none"/>
                <w:u w:val="none"/>
                <w:shd w:val="clear" w:color="auto" w:fill="FFFFFF"/>
                <w:lang w:val="en-US" w:eastAsia="zh-CN"/>
              </w:rPr>
              <w:t>个</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sz w:val="20"/>
                <w:szCs w:val="20"/>
                <w:highlight w:val="none"/>
                <w:u w:val="none"/>
                <w:shd w:val="clear" w:color="auto" w:fill="FFFFFF"/>
                <w:lang w:val="en-US" w:eastAsia="zh-CN"/>
              </w:rPr>
            </w:pPr>
            <w:r>
              <w:rPr>
                <w:rFonts w:hint="eastAsia" w:ascii="宋体" w:hAnsi="宋体" w:eastAsia="宋体" w:cs="宋体"/>
                <w:b w:val="0"/>
                <w:i w:val="0"/>
                <w:snapToGrid/>
                <w:color w:val="auto"/>
                <w:sz w:val="20"/>
                <w:szCs w:val="20"/>
                <w:highlight w:val="none"/>
                <w:u w:val="none"/>
                <w:shd w:val="clear" w:color="auto" w:fill="FFFFFF"/>
                <w:lang w:val="en-US" w:eastAsia="zh-CN"/>
              </w:rPr>
              <w:t>6</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sz w:val="20"/>
                <w:szCs w:val="20"/>
                <w:highlight w:val="none"/>
                <w:u w:val="none"/>
                <w:shd w:val="clear" w:color="auto" w:fill="FFFFFF"/>
                <w:lang w:val="en-US" w:eastAsia="zh-CN"/>
              </w:rPr>
            </w:pPr>
            <w:r>
              <w:rPr>
                <w:rFonts w:hint="eastAsia" w:ascii="宋体" w:hAnsi="宋体" w:eastAsia="宋体" w:cs="宋体"/>
                <w:b w:val="0"/>
                <w:i w:val="0"/>
                <w:snapToGrid/>
                <w:color w:val="auto"/>
                <w:sz w:val="20"/>
                <w:szCs w:val="20"/>
                <w:highlight w:val="none"/>
                <w:u w:val="none"/>
                <w:shd w:val="clear" w:color="auto" w:fill="FFFFFF"/>
                <w:lang w:val="en-US" w:eastAsia="zh-CN"/>
              </w:rPr>
              <w:t>6</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红外高清半球摄像机支架</w:t>
            </w:r>
          </w:p>
        </w:tc>
        <w:tc>
          <w:tcPr>
            <w:tcW w:w="576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color w:val="auto"/>
                <w:sz w:val="20"/>
                <w:szCs w:val="20"/>
                <w:highlight w:val="none"/>
              </w:rPr>
              <w:t>定制专用壁装支架</w:t>
            </w:r>
          </w:p>
        </w:tc>
        <w:tc>
          <w:tcPr>
            <w:tcW w:w="66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sz w:val="20"/>
                <w:szCs w:val="20"/>
                <w:highlight w:val="none"/>
                <w:u w:val="none"/>
                <w:shd w:val="clear" w:color="auto" w:fill="FFFFFF"/>
                <w:lang w:val="en-US" w:eastAsia="zh-CN"/>
              </w:rPr>
            </w:pPr>
            <w:r>
              <w:rPr>
                <w:rFonts w:hint="eastAsia" w:ascii="宋体" w:hAnsi="宋体" w:eastAsia="宋体" w:cs="宋体"/>
                <w:b w:val="0"/>
                <w:i w:val="0"/>
                <w:snapToGrid/>
                <w:color w:val="auto"/>
                <w:sz w:val="20"/>
                <w:szCs w:val="20"/>
                <w:highlight w:val="none"/>
                <w:u w:val="none"/>
                <w:shd w:val="clear" w:color="auto" w:fill="FFFFFF"/>
                <w:lang w:val="en-US" w:eastAsia="zh-CN"/>
              </w:rPr>
              <w:t>个</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sz w:val="20"/>
                <w:szCs w:val="20"/>
                <w:highlight w:val="none"/>
                <w:u w:val="none"/>
                <w:shd w:val="clear" w:color="auto" w:fill="FFFFFF"/>
                <w:lang w:val="en-US" w:eastAsia="zh-CN"/>
              </w:rPr>
            </w:pPr>
            <w:r>
              <w:rPr>
                <w:rFonts w:hint="eastAsia" w:ascii="宋体" w:hAnsi="宋体" w:eastAsia="宋体" w:cs="宋体"/>
                <w:b w:val="0"/>
                <w:i w:val="0"/>
                <w:snapToGrid/>
                <w:color w:val="auto"/>
                <w:sz w:val="20"/>
                <w:szCs w:val="20"/>
                <w:highlight w:val="none"/>
                <w:u w:val="none"/>
                <w:shd w:val="clear" w:color="auto" w:fill="FFFFFF"/>
                <w:lang w:val="en-US" w:eastAsia="zh-CN"/>
              </w:rPr>
              <w:t>6</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sz w:val="20"/>
                <w:szCs w:val="20"/>
                <w:highlight w:val="none"/>
                <w:u w:val="none"/>
                <w:shd w:val="clear" w:color="auto" w:fill="FFFFFF"/>
                <w:lang w:val="en-US" w:eastAsia="zh-CN"/>
              </w:rPr>
            </w:pPr>
            <w:r>
              <w:rPr>
                <w:rFonts w:hint="eastAsia" w:ascii="宋体" w:hAnsi="宋体" w:eastAsia="宋体" w:cs="宋体"/>
                <w:b w:val="0"/>
                <w:i w:val="0"/>
                <w:snapToGrid/>
                <w:color w:val="auto"/>
                <w:sz w:val="20"/>
                <w:szCs w:val="20"/>
                <w:highlight w:val="none"/>
                <w:u w:val="none"/>
                <w:shd w:val="clear" w:color="auto" w:fill="FFFFFF"/>
                <w:lang w:val="en-US" w:eastAsia="zh-CN"/>
              </w:rPr>
              <w:t>7</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pStyle w:val="5"/>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拾音器</w:t>
            </w:r>
          </w:p>
        </w:tc>
        <w:tc>
          <w:tcPr>
            <w:tcW w:w="5761"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sz w:val="20"/>
                <w:szCs w:val="20"/>
                <w:highlight w:val="none"/>
              </w:rPr>
            </w:pPr>
            <w:r>
              <w:rPr>
                <w:rFonts w:hint="eastAsia"/>
                <w:color w:val="auto"/>
                <w:sz w:val="20"/>
                <w:szCs w:val="20"/>
                <w:highlight w:val="none"/>
              </w:rPr>
              <w:t>全向拾音器</w:t>
            </w:r>
          </w:p>
        </w:tc>
        <w:tc>
          <w:tcPr>
            <w:tcW w:w="66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sz w:val="20"/>
                <w:szCs w:val="20"/>
                <w:highlight w:val="none"/>
                <w:u w:val="none"/>
                <w:shd w:val="clear" w:color="auto" w:fill="FFFFFF"/>
                <w:lang w:val="en-US" w:eastAsia="zh-CN"/>
              </w:rPr>
            </w:pPr>
            <w:r>
              <w:rPr>
                <w:rFonts w:hint="eastAsia" w:ascii="宋体" w:hAnsi="宋体" w:eastAsia="宋体" w:cs="宋体"/>
                <w:b w:val="0"/>
                <w:i w:val="0"/>
                <w:snapToGrid/>
                <w:color w:val="auto"/>
                <w:sz w:val="20"/>
                <w:szCs w:val="20"/>
                <w:highlight w:val="none"/>
                <w:u w:val="none"/>
                <w:shd w:val="clear" w:color="auto" w:fill="FFFFFF"/>
                <w:lang w:val="en-US" w:eastAsia="zh-CN"/>
              </w:rPr>
              <w:t>个</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cs="宋体"/>
                <w:b w:val="0"/>
                <w:i w:val="0"/>
                <w:snapToGrid/>
                <w:color w:val="auto"/>
                <w:sz w:val="20"/>
                <w:szCs w:val="20"/>
                <w:highlight w:val="none"/>
                <w:u w:val="none"/>
                <w:shd w:val="clear" w:color="auto" w:fill="FFFFFF"/>
                <w:lang w:val="en-US" w:eastAsia="zh-CN"/>
              </w:rPr>
            </w:pPr>
            <w:r>
              <w:rPr>
                <w:rFonts w:hint="eastAsia" w:ascii="宋体" w:hAnsi="宋体" w:eastAsia="宋体" w:cs="宋体"/>
                <w:b w:val="0"/>
                <w:i w:val="0"/>
                <w:snapToGrid/>
                <w:color w:val="auto"/>
                <w:sz w:val="20"/>
                <w:szCs w:val="20"/>
                <w:highlight w:val="none"/>
                <w:u w:val="none"/>
                <w:shd w:val="clear" w:color="auto" w:fill="FFFFFF"/>
                <w:lang w:val="en-US" w:eastAsia="zh-CN"/>
              </w:rPr>
              <w:t>6</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default" w:ascii="宋体" w:hAnsi="宋体" w:eastAsia="宋体"/>
                <w:b/>
                <w:i w:val="0"/>
                <w:snapToGrid/>
                <w:color w:val="auto"/>
                <w:sz w:val="32"/>
                <w:szCs w:val="32"/>
                <w:highlight w:val="none"/>
                <w:u w:val="none"/>
                <w:shd w:val="clear" w:color="auto" w:fill="969696"/>
                <w:lang w:eastAsia="zh-CN"/>
              </w:rPr>
              <w:t>武陟一中西区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kern w:val="2"/>
                <w:sz w:val="20"/>
                <w:szCs w:val="20"/>
                <w:highlight w:val="none"/>
                <w:u w:val="none"/>
                <w:shd w:val="clear" w:color="auto" w:fill="FFFFFF"/>
                <w:lang w:val="en-US" w:eastAsia="zh-CN" w:bidi="ar-SA"/>
              </w:rPr>
              <w:t>8</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eastAsia" w:ascii="宋体" w:hAnsi="宋体" w:eastAsia="宋体" w:cs="宋体"/>
                <w:b w:val="0"/>
                <w:i w:val="0"/>
                <w:snapToGrid/>
                <w:color w:val="auto"/>
                <w:kern w:val="2"/>
                <w:sz w:val="20"/>
                <w:szCs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eastAsia="zh-CN"/>
              </w:rPr>
              <w:t>高科技屏蔽终端</w:t>
            </w:r>
          </w:p>
        </w:tc>
        <w:tc>
          <w:tcPr>
            <w:tcW w:w="5761" w:type="dxa"/>
            <w:gridSpan w:val="2"/>
            <w:tcBorders>
              <w:top w:val="single" w:color="auto" w:sz="4" w:space="0"/>
              <w:left w:val="single" w:color="auto" w:sz="4" w:space="0"/>
              <w:bottom w:val="single" w:color="auto" w:sz="4" w:space="0"/>
              <w:right w:val="single" w:color="auto" w:sz="4" w:space="0"/>
            </w:tcBorders>
            <w:noWrap w:val="0"/>
            <w:vAlign w:val="center"/>
          </w:tcPr>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1、阻断工作频率范围：30MHz-5850MHz；</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2、侦测引导阻断频率范围：无缝覆盖30MHz-3000MHz（支持扩展）；</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3、手机信号屏蔽：能够屏蔽电信、移动、联通的2G/3G/4G/5G手机信号(视当地环境手机基站＞300米时，可有效屏蔽)；</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4、蓝牙/WIFI信号屏蔽：能够屏蔽2400MHz-2483.5MHz（2.4G）蓝牙信号以及2400MHz-2483.5MHz（2.4G）、5725MHz-5850MHz（5.8G）WIFI信号；</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5、阻断方式：对侦测引导阻断频率范围内的专业作弊信号，采用侦测引导阻断方式，对专业作弊信号实现点对点的精准阻断；对2G/3G/4G/5G各种制式的手机信号和蓝牙/WIFI信号采用直接阻断方式；</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6、智能绿色阻断控制：根据专业作弊信号的带宽、调制方式及功率等特征自动调整阻断信号带宽和功率，确保对作弊信号的有效阻断。根据作弊信号持续时间，自动调整屏蔽时长，减少非必要辐射，符合节能环保要求；</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7、并发阻断：专业作弊信号（手机信号/WIFI/蓝牙信号通道除外）支持不少于22路并发阻断；</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8、点频阻断：支持对专业作弊信号采用瞄准式点频精准阻断方式，阻断信号；</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9、阻断信号带宽：0.7倍作弊信号带宽≤阻断信号带宽≤3倍作弊信号带宽，且不超过200KHz（3db）；</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10、预设频点模式：无需侦测引导，可预置至少22路专业作弊干扰频点（手机信号/WIFI/蓝牙信号除外）进行实时阻断；</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11、欺骗式干扰：具备数传作弊设备接收答案的远程清除功能；</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12、批量升级：支持通过考点级管理平台对高科技屏蔽终端软件进行一键式集中批量升级；</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13、考试计划：可根据考点级管理平台的考试计划，在考试计划时间开始时系统自动进入工作状态，考试计划时间结束时系统自动停止工作，提供考前、考中及考后自动工作模式，实现无人值守式管理；也可支持手动操作；</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14、温度监控：支持远程对设备的工作温度进行监控；</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15、远程管理：支持通过考点级管理平台实现远程集中控制，可根据需要实现分组、单台设备的远程开关控制；可远程对工作模块进行开关控制；</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16、状态上报：可向考点级管理平台上报设备工作状态、故障状态等信息；</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17、扩展机制：提供有物理扩展槽，支持硬件扩展和升级；</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18、安全设计：绝缘外壳，无金属部件裸露，避免触电、烫伤等风险；</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19、一体化设计：天线和电源内置，具有漏电保护功能；</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20、状态显示：前面板有工作指示灯，可直观指示设备上电、模块开关、网络连通等状态；</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21、隐藏式接口设计：设备开关、电源接口、网络接口均采用隐蔽式设计，设备安装完成后可视表面无任何接口、开关，避免学生误动设备对系统造成影响；</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22、数据接口：RJ-45接口；</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23、可靠性：MTBF≥3000小时；</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24、符合国家《电磁环境控制限值(GB8702-2014)》标准；</w:t>
            </w:r>
          </w:p>
          <w:p>
            <w:pPr>
              <w:pStyle w:val="5"/>
              <w:numPr>
                <w:ilvl w:val="0"/>
                <w:numId w:val="0"/>
              </w:numPr>
              <w:spacing w:line="360" w:lineRule="auto"/>
              <w:ind w:leftChars="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 xml:space="preserve">25、符合国家《声环境质量标准（GB3096-2008）》中的零类标准。  </w:t>
            </w:r>
          </w:p>
        </w:tc>
        <w:tc>
          <w:tcPr>
            <w:tcW w:w="66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宋体" w:hAnsi="宋体" w:eastAsia="宋体" w:cs="宋体"/>
                <w:bCs/>
                <w:color w:val="auto"/>
                <w:kern w:val="0"/>
                <w:sz w:val="20"/>
                <w:szCs w:val="20"/>
                <w:highlight w:val="none"/>
                <w:lang w:eastAsia="zh-CN"/>
              </w:rPr>
            </w:pPr>
            <w:r>
              <w:rPr>
                <w:rFonts w:hint="eastAsia" w:ascii="宋体" w:hAnsi="宋体" w:eastAsia="宋体" w:cs="宋体"/>
                <w:bCs/>
                <w:color w:val="auto"/>
                <w:kern w:val="0"/>
                <w:sz w:val="20"/>
                <w:szCs w:val="20"/>
                <w:highlight w:val="none"/>
                <w:lang w:eastAsia="zh-CN"/>
              </w:rPr>
              <w:t>台</w:t>
            </w:r>
          </w:p>
        </w:tc>
        <w:tc>
          <w:tcPr>
            <w:tcW w:w="70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宋体" w:hAnsi="宋体" w:eastAsia="宋体" w:cs="宋体"/>
                <w:bCs/>
                <w:color w:val="auto"/>
                <w:kern w:val="0"/>
                <w:sz w:val="20"/>
                <w:szCs w:val="20"/>
                <w:highlight w:val="none"/>
                <w:lang w:val="en-US" w:eastAsia="zh-CN"/>
              </w:rPr>
            </w:pPr>
            <w:r>
              <w:rPr>
                <w:rFonts w:hint="eastAsia" w:ascii="宋体" w:hAnsi="宋体" w:eastAsia="宋体" w:cs="宋体"/>
                <w:bCs/>
                <w:color w:val="auto"/>
                <w:kern w:val="0"/>
                <w:sz w:val="20"/>
                <w:szCs w:val="20"/>
                <w:highlight w:val="none"/>
                <w:lang w:val="en-US" w:eastAsia="zh-CN"/>
              </w:rPr>
              <w:t>58</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宋体" w:hAnsi="宋体" w:eastAsia="宋体" w:cs="宋体"/>
                <w:bCs/>
                <w:color w:val="auto"/>
                <w:kern w:val="0"/>
                <w:sz w:val="20"/>
                <w:szCs w:val="20"/>
                <w:highlight w:val="none"/>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kern w:val="2"/>
                <w:sz w:val="20"/>
                <w:highlight w:val="none"/>
                <w:u w:val="none"/>
                <w:shd w:val="clear" w:color="auto" w:fill="FFFFFF"/>
                <w:lang w:val="en-US" w:eastAsia="zh-CN" w:bidi="ar-SA"/>
              </w:rPr>
              <w:t>9</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eastAsia="zh-CN"/>
              </w:rPr>
              <w:t>高科技屏蔽终端</w:t>
            </w:r>
            <w:r>
              <w:rPr>
                <w:rFonts w:hint="default" w:ascii="宋体" w:hAnsi="宋体" w:eastAsia="宋体"/>
                <w:b w:val="0"/>
                <w:i w:val="0"/>
                <w:snapToGrid/>
                <w:color w:val="auto"/>
                <w:sz w:val="20"/>
                <w:highlight w:val="none"/>
                <w:u w:val="none"/>
                <w:shd w:val="clear" w:color="auto" w:fill="FFFFFF"/>
                <w:lang w:eastAsia="zh-CN"/>
              </w:rPr>
              <w:t>支架</w:t>
            </w:r>
          </w:p>
        </w:tc>
        <w:tc>
          <w:tcPr>
            <w:tcW w:w="5761" w:type="dxa"/>
            <w:gridSpan w:val="2"/>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定制专用支架</w:t>
            </w:r>
          </w:p>
        </w:tc>
        <w:tc>
          <w:tcPr>
            <w:tcW w:w="66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个</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58</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宋体" w:hAnsi="宋体" w:cs="宋体"/>
                <w:bCs/>
                <w:color w:val="auto"/>
                <w:kern w:val="0"/>
                <w:sz w:val="24"/>
                <w:szCs w:val="21"/>
                <w:highlight w:val="none"/>
                <w:lang w:eastAsia="zh-CN"/>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default" w:ascii="宋体" w:hAnsi="宋体" w:eastAsia="宋体"/>
                <w:b/>
                <w:i w:val="0"/>
                <w:snapToGrid/>
                <w:color w:val="auto"/>
                <w:sz w:val="32"/>
                <w:szCs w:val="32"/>
                <w:highlight w:val="none"/>
                <w:u w:val="none"/>
                <w:shd w:val="clear" w:color="auto" w:fill="969696"/>
                <w:lang w:eastAsia="zh-CN"/>
              </w:rPr>
              <w:t>武陟中学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kern w:val="2"/>
                <w:sz w:val="20"/>
                <w:highlight w:val="none"/>
                <w:u w:val="none"/>
                <w:shd w:val="clear" w:color="auto" w:fill="FFFFFF"/>
                <w:lang w:val="en-US" w:eastAsia="zh-CN" w:bidi="ar-SA"/>
              </w:rPr>
              <w:t>10</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高科技屏蔽终端</w:t>
            </w:r>
          </w:p>
        </w:tc>
        <w:tc>
          <w:tcPr>
            <w:tcW w:w="5761" w:type="dxa"/>
            <w:gridSpan w:val="2"/>
            <w:tcBorders>
              <w:top w:val="single" w:color="auto" w:sz="4" w:space="0"/>
              <w:left w:val="single" w:color="auto" w:sz="4" w:space="0"/>
              <w:bottom w:val="single" w:color="auto" w:sz="4" w:space="0"/>
              <w:right w:val="single" w:color="auto" w:sz="4" w:space="0"/>
            </w:tcBorders>
            <w:noWrap w:val="0"/>
            <w:vAlign w:val="center"/>
          </w:tcPr>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1、阻断工作频率范围：30MHz-5850MHz；</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2、侦测引导阻断频率范围：无缝覆盖30MHz-3000MHz（支持扩展）；</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3、手机信号屏蔽：能够屏蔽电信、移动、联通的2G/3G/4G/5G手机信号(视当地环境手机基站＞300米时，可有效屏蔽)；</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4、蓝牙/WIFI信号屏蔽：能够屏蔽2400MHz-2483.5MHz（2.4G）蓝牙信号以及2400MHz-2483.5MHz（2.4G）、5725MHz-5850MHz（5.8G）WIFI信号；</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5、阻断方式：对侦测引导阻断频率范围内的专业作弊信号，采用侦测引导阻断方式，对专业作弊信号实现点对点的精准阻断；对2G/3G/4G/5G各种制式的手机信号和蓝牙/WIFI信号采用直接阻断方式；</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6、智能绿色阻断控制：根据专业作弊信号的带宽、调制方式及功率等特征自动调整阻断信号带宽和功率，确保对作弊信号的有效阻断。根据作弊信号持续时间，自动调整屏蔽时长，减少非必要辐射，符合节能环保要求；</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7、并发阻断：专业作弊信号（手机信号/WIFI/蓝牙信号通道除外）支持不少于22路并发阻断；</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8、点频阻断：支持对专业作弊信号采用瞄准式点频精准阻断方式，阻断信号；</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9、阻断信号带宽：0.7倍作弊信号带宽≤阻断信号带宽≤3倍作弊信号带宽，且不超过200KHz（3db）；</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10、预设频点模式：无需侦测引导，可预置至少22路专业作弊干扰频点（手机信号/WIFI/蓝牙信号除外）进行实时阻断；</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11、欺骗式干扰：具备数传作弊设备接收答案的远程清除功能；</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12、批量升级：支持通过考点级管理平台对高科技屏蔽终端软件进行一键式集中批量升级；</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13、考试计划：可根据考点级管理平台的考试计划，在考试计划时间开始时系统自动进入工作状态，考试计划时间结束时系统自动停止工作，提供考前、考中及考后自动工作模式，实现无人值守式管理；也可支持手动操作；</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14、温度监控：支持远程对设备的工作温度进行监控；</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15、远程管理：支持通过考点级管理平台实现远程集中控制，可根据需要实现分组、单台设备的远程开关控制；可远程对工作模块进行开关控制；</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16、状态上报：可向考点级管理平台上报设备工作状态、故障状态等信息；</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17、扩展机制：提供有物理扩展槽，支持硬件扩展和升级；</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18、安全设计：绝缘外壳，无金属部件裸露，避免触电、烫伤等风险；</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19、一体化设计：天线和电源内置，具有漏电保护功能；</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20、状态显示：前面板有工作指示灯，可直观指示设备上电、模块开关、网络连通等状态；</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21、隐藏式接口设计：设备开关、电源接口、网络接口均采用隐蔽式设计，设备安装完成后可视表面无任何接口、开关，避免学生误动设备对系统造成影响；</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22、数据接口：RJ-45接口；</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23、可靠性：MTBF≥3000小时；</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24、符合国家《电磁环境控制限值(GB8702-2014)》标准；</w:t>
            </w:r>
          </w:p>
          <w:p>
            <w:pPr>
              <w:pStyle w:val="5"/>
              <w:numPr>
                <w:ilvl w:val="0"/>
                <w:numId w:val="0"/>
              </w:numPr>
              <w:spacing w:line="360" w:lineRule="auto"/>
              <w:ind w:leftChars="0"/>
              <w:rPr>
                <w:rFonts w:hint="default"/>
                <w:color w:val="auto"/>
                <w:highlight w:val="none"/>
                <w:lang w:val="en-US" w:eastAsia="zh-CN"/>
              </w:rPr>
            </w:pPr>
            <w:r>
              <w:rPr>
                <w:rFonts w:hint="default" w:ascii="宋体" w:hAnsi="宋体" w:eastAsia="宋体" w:cs="宋体"/>
                <w:color w:val="auto"/>
                <w:sz w:val="20"/>
                <w:szCs w:val="20"/>
                <w:highlight w:val="none"/>
                <w:lang w:val="en-US" w:eastAsia="zh-CN"/>
              </w:rPr>
              <w:t xml:space="preserve">25、符合国家《声环境质量标准（GB3096-2008）》中的零类标准。  </w:t>
            </w:r>
          </w:p>
        </w:tc>
        <w:tc>
          <w:tcPr>
            <w:tcW w:w="66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台</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86</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kern w:val="2"/>
                <w:sz w:val="20"/>
                <w:highlight w:val="none"/>
                <w:u w:val="none"/>
                <w:shd w:val="clear" w:color="auto" w:fill="FFFFFF"/>
                <w:lang w:val="en-US" w:eastAsia="zh-CN" w:bidi="ar-SA"/>
              </w:rPr>
              <w:t>11</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eastAsia="zh-CN"/>
              </w:rPr>
              <w:t>高科技屏蔽终端</w:t>
            </w:r>
            <w:r>
              <w:rPr>
                <w:rFonts w:hint="default" w:ascii="宋体" w:hAnsi="宋体" w:eastAsia="宋体"/>
                <w:b w:val="0"/>
                <w:i w:val="0"/>
                <w:snapToGrid/>
                <w:color w:val="auto"/>
                <w:sz w:val="20"/>
                <w:highlight w:val="none"/>
                <w:u w:val="none"/>
                <w:shd w:val="clear" w:color="auto" w:fill="FFFFFF"/>
                <w:lang w:eastAsia="zh-CN"/>
              </w:rPr>
              <w:t>支架</w:t>
            </w:r>
          </w:p>
        </w:tc>
        <w:tc>
          <w:tcPr>
            <w:tcW w:w="5761" w:type="dxa"/>
            <w:gridSpan w:val="2"/>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定制专用支架</w:t>
            </w:r>
          </w:p>
        </w:tc>
        <w:tc>
          <w:tcPr>
            <w:tcW w:w="66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个</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86</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default" w:ascii="宋体" w:hAnsi="宋体" w:eastAsia="宋体"/>
                <w:b/>
                <w:i w:val="0"/>
                <w:snapToGrid/>
                <w:color w:val="auto"/>
                <w:sz w:val="32"/>
                <w:szCs w:val="32"/>
                <w:highlight w:val="none"/>
                <w:u w:val="none"/>
                <w:shd w:val="clear" w:color="auto" w:fill="969696"/>
                <w:lang w:eastAsia="zh-CN"/>
              </w:rPr>
              <w:t>焦作护理学校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kern w:val="2"/>
                <w:sz w:val="20"/>
                <w:highlight w:val="none"/>
                <w:u w:val="none"/>
                <w:shd w:val="clear" w:color="auto" w:fill="FFFFFF"/>
                <w:lang w:val="en-US" w:eastAsia="zh-CN" w:bidi="ar-SA"/>
              </w:rPr>
              <w:t>12</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高科技屏蔽终端</w:t>
            </w:r>
          </w:p>
        </w:tc>
        <w:tc>
          <w:tcPr>
            <w:tcW w:w="5761" w:type="dxa"/>
            <w:gridSpan w:val="2"/>
            <w:tcBorders>
              <w:top w:val="single" w:color="auto" w:sz="4" w:space="0"/>
              <w:left w:val="single" w:color="auto" w:sz="4" w:space="0"/>
              <w:bottom w:val="single" w:color="auto" w:sz="4" w:space="0"/>
              <w:right w:val="single" w:color="auto" w:sz="4" w:space="0"/>
            </w:tcBorders>
            <w:noWrap w:val="0"/>
            <w:vAlign w:val="center"/>
          </w:tcPr>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1、阻断工作频率范围：30MHz-5850MHz；</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2、侦测引导阻断频率范围：无缝覆盖30MHz-3000MHz（支持扩展）；</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3、手机信号屏蔽：能够屏蔽电信、移动、联通的2G/3G/4G/5G手机信号(视当地环境手机基站＞300米时，可有效屏蔽)；</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4、蓝牙/WIFI信号屏蔽：能够屏蔽2400MHz-2483.5MHz（2.4G）蓝牙信号以及2400MHz-2483.5MHz（2.4G）、5725MHz-5850MHz（5.8G）WIFI信号；</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5、阻断方式：对侦测引导阻断频率范围内的专业作弊信号，采用侦测引导阻断方式，对专业作弊信号实现点对点的精准阻断；对2G/3G/4G/5G各种制式的手机信号和蓝牙/WIFI信号采用直接阻断方式；</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6、智能绿色阻断控制：根据专业作弊信号的带宽、调制方式及功率等特征自动调整阻断信号带宽和功率，确保对作弊信号的有效阻断。根据作弊信号持续时间，自动调整屏蔽时长，减少非必要辐射，符合节能环保要求；</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7、并发阻断：专业作弊信号（手机信号/WIFI/蓝牙信号通道除外）支持不少于22路并发阻断；</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8、点频阻断：支持对专业作弊信号采用瞄准式点频精准阻断方式，阻断信号；</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9、阻断信号带宽：0.7倍作弊信号带宽≤阻断信号带宽≤3倍作弊信号带宽，且不超过200KHz（3db）；</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10、预设频点模式：无需侦测引导，可预置至少22路专业作弊干扰频点（手机信号/WIFI/蓝牙信号除外）进行实时阻断；</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11、欺骗式干扰：具备数传作弊设备接收答案的远程清除功能；</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12、批量升级：支持通过考点级管理平台对高科技屏蔽终端软件进行一键式集中批量升级；</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13、考试计划：可根据考点级管理平台的考试计划，在考试计划时间开始时系统自动进入工作状态，考试计划时间结束时系统自动停止工作，提供考前、考中及考后自动工作模式，实现无人值守式管理；也可支持手动操作；</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14、温度监控：支持远程对设备的工作温度进行监控；</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15、远程管理：支持通过考点级管理平台实现远程集中控制，可根据需要实现分组、单台设备的远程开关控制；可远程对工作模块进行开关控制；</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16、状态上报：可向考点级管理平台上报设备工作状态、故障状态等信息；</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17、扩展机制：提供有物理扩展槽，支持硬件扩展和升级；</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18、安全设计：绝缘外壳，无金属部件裸露，避免触电、烫伤等风险；</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19、一体化设计：天线和电源内置，具有漏电保护功能；</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20、状态显示：前面板有工作指示灯，可直观指示设备上电、模块开关、网络连通等状态；</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21、隐藏式接口设计：设备开关、电源接口、网络接口均采用隐蔽式设计，设备安装完成后可视表面无任何接口、开关，避免学生误动设备对系统造成影响；</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22、数据接口：RJ-45接口；</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23、可靠性：MTBF≥3000小时；</w:t>
            </w:r>
          </w:p>
          <w:p>
            <w:pPr>
              <w:pStyle w:val="5"/>
              <w:numPr>
                <w:ilvl w:val="0"/>
                <w:numId w:val="0"/>
              </w:numPr>
              <w:spacing w:line="360" w:lineRule="auto"/>
              <w:ind w:leftChars="0"/>
              <w:rPr>
                <w:rFonts w:hint="default" w:ascii="宋体" w:hAnsi="宋体" w:eastAsia="宋体" w:cs="宋体"/>
                <w:color w:val="auto"/>
                <w:sz w:val="20"/>
                <w:szCs w:val="20"/>
                <w:highlight w:val="none"/>
                <w:lang w:val="en-US" w:eastAsia="zh-CN"/>
              </w:rPr>
            </w:pPr>
            <w:r>
              <w:rPr>
                <w:rFonts w:hint="default" w:ascii="宋体" w:hAnsi="宋体" w:eastAsia="宋体" w:cs="宋体"/>
                <w:color w:val="auto"/>
                <w:sz w:val="20"/>
                <w:szCs w:val="20"/>
                <w:highlight w:val="none"/>
                <w:lang w:val="en-US" w:eastAsia="zh-CN"/>
              </w:rPr>
              <w:t>24、符合国家《电磁环境控制限值(GB8702-2014)》标准；</w:t>
            </w:r>
          </w:p>
          <w:p>
            <w:pPr>
              <w:pStyle w:val="5"/>
              <w:numPr>
                <w:ilvl w:val="0"/>
                <w:numId w:val="0"/>
              </w:numPr>
              <w:spacing w:line="360" w:lineRule="auto"/>
              <w:ind w:leftChars="0"/>
              <w:rPr>
                <w:rFonts w:hint="default"/>
                <w:color w:val="auto"/>
                <w:highlight w:val="none"/>
                <w:lang w:val="en-US" w:eastAsia="zh-CN"/>
              </w:rPr>
            </w:pPr>
            <w:r>
              <w:rPr>
                <w:rFonts w:hint="default" w:ascii="宋体" w:hAnsi="宋体" w:eastAsia="宋体" w:cs="宋体"/>
                <w:color w:val="auto"/>
                <w:sz w:val="20"/>
                <w:szCs w:val="20"/>
                <w:highlight w:val="none"/>
                <w:lang w:val="en-US" w:eastAsia="zh-CN"/>
              </w:rPr>
              <w:t xml:space="preserve">25、符合国家《声环境质量标准（GB3096-2008）》中的零类标准。  </w:t>
            </w:r>
          </w:p>
        </w:tc>
        <w:tc>
          <w:tcPr>
            <w:tcW w:w="66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台</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sz w:val="20"/>
                <w:highlight w:val="none"/>
                <w:u w:val="none"/>
                <w:shd w:val="clear" w:color="auto" w:fill="FFFFFF"/>
                <w:lang w:val="en-US" w:eastAsia="zh-CN"/>
              </w:rPr>
              <w:t>30</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kern w:val="2"/>
                <w:sz w:val="20"/>
                <w:highlight w:val="none"/>
                <w:u w:val="none"/>
                <w:shd w:val="clear" w:color="auto" w:fill="FFFFFF"/>
                <w:lang w:val="en-US" w:eastAsia="zh-CN" w:bidi="ar-SA"/>
              </w:rPr>
              <w:t>13</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cs="宋体"/>
                <w:b w:val="0"/>
                <w:i w:val="0"/>
                <w:snapToGrid/>
                <w:color w:val="auto"/>
                <w:sz w:val="20"/>
                <w:szCs w:val="20"/>
                <w:highlight w:val="none"/>
                <w:u w:val="none"/>
                <w:shd w:val="clear" w:color="auto" w:fill="FFFFFF"/>
                <w:lang w:eastAsia="zh-CN"/>
              </w:rPr>
              <w:t>高科技屏蔽终端</w:t>
            </w:r>
            <w:r>
              <w:rPr>
                <w:rFonts w:hint="default" w:ascii="宋体" w:hAnsi="宋体" w:eastAsia="宋体"/>
                <w:b w:val="0"/>
                <w:i w:val="0"/>
                <w:snapToGrid/>
                <w:color w:val="auto"/>
                <w:sz w:val="20"/>
                <w:highlight w:val="none"/>
                <w:u w:val="none"/>
                <w:shd w:val="clear" w:color="auto" w:fill="FFFFFF"/>
                <w:lang w:eastAsia="zh-CN"/>
              </w:rPr>
              <w:t>支架</w:t>
            </w:r>
          </w:p>
        </w:tc>
        <w:tc>
          <w:tcPr>
            <w:tcW w:w="5761" w:type="dxa"/>
            <w:gridSpan w:val="2"/>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定制专用支架</w:t>
            </w:r>
          </w:p>
        </w:tc>
        <w:tc>
          <w:tcPr>
            <w:tcW w:w="66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个</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sz w:val="20"/>
                <w:highlight w:val="none"/>
                <w:u w:val="none"/>
                <w:shd w:val="clear" w:color="auto" w:fill="FFFFFF"/>
                <w:lang w:val="en-US" w:eastAsia="zh-CN"/>
              </w:rPr>
              <w:t>30</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8"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ascii="宋体" w:hAnsi="宋体" w:cs="宋体"/>
                <w:bCs/>
                <w:color w:val="auto"/>
                <w:kern w:val="0"/>
                <w:sz w:val="24"/>
                <w:szCs w:val="21"/>
                <w:highlight w:val="none"/>
              </w:rPr>
            </w:pPr>
            <w:r>
              <w:rPr>
                <w:rFonts w:hint="default" w:ascii="宋体" w:hAnsi="宋体" w:eastAsia="宋体"/>
                <w:b/>
                <w:i w:val="0"/>
                <w:snapToGrid/>
                <w:color w:val="auto"/>
                <w:sz w:val="24"/>
                <w:szCs w:val="24"/>
                <w:highlight w:val="none"/>
                <w:u w:val="none"/>
                <w:shd w:val="clear" w:color="auto" w:fill="969696"/>
                <w:lang w:eastAsia="zh-CN"/>
              </w:rPr>
              <w:t>线缆及辅助材料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1</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线缆</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电源线缆（主干）RVV3*4.0</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米</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800</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ascii="宋体" w:hAnsi="宋体" w:cs="宋体"/>
                <w:bCs/>
                <w:color w:val="auto"/>
                <w:kern w:val="0"/>
                <w:sz w:val="20"/>
                <w:szCs w:val="20"/>
                <w:highlight w:val="none"/>
              </w:rPr>
            </w:pPr>
            <w:r>
              <w:rPr>
                <w:rFonts w:hint="eastAsia" w:ascii="宋体" w:hAnsi="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2</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线缆</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电源线缆（支线）RVV3*1.5</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米</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8000</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ascii="宋体" w:hAnsi="宋体" w:cs="宋体"/>
                <w:bCs/>
                <w:color w:val="auto"/>
                <w:kern w:val="0"/>
                <w:sz w:val="20"/>
                <w:szCs w:val="20"/>
                <w:highlight w:val="none"/>
              </w:rPr>
            </w:pPr>
            <w:r>
              <w:rPr>
                <w:rFonts w:hint="eastAsia" w:ascii="宋体" w:hAnsi="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3</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线缆</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音频线缆RVV3*1</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米</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300</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ascii="宋体" w:hAnsi="宋体" w:cs="宋体"/>
                <w:bCs/>
                <w:color w:val="auto"/>
                <w:kern w:val="0"/>
                <w:sz w:val="20"/>
                <w:szCs w:val="20"/>
                <w:highlight w:val="none"/>
              </w:rPr>
            </w:pPr>
            <w:r>
              <w:rPr>
                <w:rFonts w:hint="eastAsia" w:ascii="宋体" w:hAnsi="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4</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网线</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超五类双绞线</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箱</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sz w:val="20"/>
                <w:highlight w:val="none"/>
                <w:u w:val="none"/>
                <w:shd w:val="clear" w:color="auto" w:fill="FFFFFF"/>
                <w:lang w:val="en-US" w:eastAsia="zh-CN"/>
              </w:rPr>
              <w:t>30</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ascii="宋体" w:hAnsi="宋体" w:cs="宋体"/>
                <w:bCs/>
                <w:color w:val="auto"/>
                <w:kern w:val="0"/>
                <w:sz w:val="20"/>
                <w:szCs w:val="20"/>
                <w:highlight w:val="none"/>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color w:val="auto"/>
                <w:sz w:val="20"/>
                <w:highlight w:val="none"/>
                <w:shd w:val="clear" w:color="auto" w:fill="FFFFFF"/>
              </w:rPr>
              <w:t>5</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color w:val="auto"/>
                <w:sz w:val="20"/>
                <w:highlight w:val="none"/>
                <w:shd w:val="clear" w:color="auto" w:fill="FFFFFF"/>
              </w:rPr>
              <w:t>交换机</w:t>
            </w:r>
          </w:p>
        </w:tc>
        <w:tc>
          <w:tcPr>
            <w:tcW w:w="5611"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left"/>
              <w:textAlignment w:val="center"/>
              <w:rPr>
                <w:rFonts w:hint="eastAsia" w:ascii="宋体" w:hAnsi="宋体"/>
                <w:color w:val="auto"/>
                <w:sz w:val="20"/>
                <w:highlight w:val="none"/>
                <w:shd w:val="clear" w:color="auto" w:fill="FFFFFF"/>
              </w:rPr>
            </w:pPr>
            <w:r>
              <w:rPr>
                <w:rFonts w:hint="eastAsia" w:ascii="宋体" w:hAnsi="宋体"/>
                <w:color w:val="auto"/>
                <w:sz w:val="20"/>
                <w:highlight w:val="none"/>
                <w:shd w:val="clear" w:color="auto" w:fill="FFFFFF"/>
              </w:rPr>
              <w:t>1、交换容量≥128 Gbps，转发性能≥42 Mpps；</w:t>
            </w:r>
          </w:p>
          <w:p>
            <w:pPr>
              <w:shd w:val="solid" w:color="FFFFFF" w:fill="auto"/>
              <w:autoSpaceDN w:val="0"/>
              <w:jc w:val="left"/>
              <w:textAlignment w:val="center"/>
              <w:rPr>
                <w:rFonts w:hint="eastAsia" w:ascii="宋体" w:hAnsi="宋体"/>
                <w:color w:val="auto"/>
                <w:sz w:val="20"/>
                <w:highlight w:val="none"/>
                <w:shd w:val="clear" w:color="auto" w:fill="FFFFFF"/>
              </w:rPr>
            </w:pPr>
            <w:r>
              <w:rPr>
                <w:rFonts w:hint="eastAsia" w:ascii="宋体" w:hAnsi="宋体"/>
                <w:color w:val="auto"/>
                <w:sz w:val="20"/>
                <w:highlight w:val="none"/>
                <w:shd w:val="clear" w:color="auto" w:fill="FFFFFF"/>
              </w:rPr>
              <w:t>2、24个千兆电口，4个千兆光口，2个千兆Combo口；</w:t>
            </w:r>
          </w:p>
          <w:p>
            <w:pPr>
              <w:shd w:val="solid" w:color="FFFFFF" w:fill="auto"/>
              <w:autoSpaceDN w:val="0"/>
              <w:jc w:val="left"/>
              <w:textAlignment w:val="center"/>
              <w:rPr>
                <w:rFonts w:hint="eastAsia" w:ascii="宋体" w:hAnsi="宋体"/>
                <w:color w:val="auto"/>
                <w:sz w:val="20"/>
                <w:highlight w:val="none"/>
                <w:shd w:val="clear" w:color="auto" w:fill="FFFFFF"/>
              </w:rPr>
            </w:pPr>
            <w:r>
              <w:rPr>
                <w:rFonts w:hint="eastAsia" w:ascii="宋体" w:hAnsi="宋体"/>
                <w:color w:val="auto"/>
                <w:sz w:val="20"/>
                <w:highlight w:val="none"/>
                <w:shd w:val="clear" w:color="auto" w:fill="FFFFFF"/>
              </w:rPr>
              <w:t>3、MAC地址容量≥16K，支持能效以太网功能；</w:t>
            </w:r>
          </w:p>
          <w:p>
            <w:pPr>
              <w:shd w:val="solid" w:color="FFFFFF" w:fill="auto"/>
              <w:autoSpaceDN w:val="0"/>
              <w:jc w:val="left"/>
              <w:textAlignment w:val="center"/>
              <w:rPr>
                <w:rFonts w:hint="eastAsia" w:ascii="宋体" w:hAnsi="宋体"/>
                <w:color w:val="auto"/>
                <w:sz w:val="20"/>
                <w:highlight w:val="none"/>
                <w:shd w:val="clear" w:color="auto" w:fill="FFFFFF"/>
              </w:rPr>
            </w:pPr>
            <w:r>
              <w:rPr>
                <w:rFonts w:hint="eastAsia" w:ascii="宋体" w:hAnsi="宋体"/>
                <w:color w:val="auto"/>
                <w:sz w:val="20"/>
                <w:highlight w:val="none"/>
                <w:shd w:val="clear" w:color="auto" w:fill="FFFFFF"/>
              </w:rPr>
              <w:t>4、支持STP(IEEE 802.1d)，RSTP(IEEE 802.1w)和MSTP(IEEE 802.1s)</w:t>
            </w:r>
          </w:p>
          <w:p>
            <w:pPr>
              <w:shd w:val="solid" w:color="FFFFFF" w:fill="auto"/>
              <w:autoSpaceDN w:val="0"/>
              <w:jc w:val="left"/>
              <w:textAlignment w:val="center"/>
              <w:rPr>
                <w:rFonts w:hint="eastAsia" w:ascii="宋体" w:hAnsi="宋体"/>
                <w:color w:val="auto"/>
                <w:sz w:val="20"/>
                <w:highlight w:val="none"/>
                <w:shd w:val="clear" w:color="auto" w:fill="FFFFFF"/>
              </w:rPr>
            </w:pPr>
            <w:r>
              <w:rPr>
                <w:rFonts w:hint="eastAsia" w:ascii="宋体" w:hAnsi="宋体"/>
                <w:color w:val="auto"/>
                <w:sz w:val="20"/>
                <w:highlight w:val="none"/>
                <w:shd w:val="clear" w:color="auto" w:fill="FFFFFF"/>
              </w:rPr>
              <w:t>5、支持SNMP v1/v2c/v3和Web网管，支持命令行和console端口对交换机配置维护；</w:t>
            </w:r>
          </w:p>
          <w:p>
            <w:pPr>
              <w:shd w:val="solid" w:color="FFFFFF" w:fill="auto"/>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color w:val="auto"/>
                <w:sz w:val="20"/>
                <w:highlight w:val="none"/>
                <w:shd w:val="clear" w:color="auto" w:fill="FFFFFF"/>
              </w:rPr>
              <w:t>6、设备功耗≤25W</w:t>
            </w:r>
          </w:p>
        </w:tc>
        <w:tc>
          <w:tcPr>
            <w:tcW w:w="817" w:type="dxa"/>
            <w:gridSpan w:val="2"/>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color w:val="auto"/>
                <w:sz w:val="20"/>
                <w:highlight w:val="none"/>
                <w:shd w:val="clear" w:color="auto" w:fill="FFFFFF"/>
              </w:rPr>
              <w:t>台</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hd w:val="solid" w:color="FFFFFF" w:fill="auto"/>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color w:val="auto"/>
                <w:sz w:val="20"/>
                <w:highlight w:val="none"/>
                <w:shd w:val="clear" w:color="auto" w:fill="FFFFFF"/>
              </w:rPr>
              <w:t>3</w:t>
            </w:r>
          </w:p>
        </w:tc>
        <w:tc>
          <w:tcPr>
            <w:tcW w:w="827"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Lines="0" w:beforeAutospacing="1" w:after="100" w:afterLines="0" w:afterAutospacing="1"/>
              <w:jc w:val="center"/>
              <w:rPr>
                <w:rFonts w:hint="eastAsia" w:ascii="宋体" w:hAnsi="宋体" w:eastAsia="宋体" w:cs="宋体"/>
                <w:bCs/>
                <w:color w:val="auto"/>
                <w:kern w:val="0"/>
                <w:sz w:val="20"/>
                <w:szCs w:val="20"/>
                <w:highlight w:val="none"/>
                <w:lang w:eastAsia="zh-CN"/>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sz w:val="20"/>
                <w:highlight w:val="none"/>
                <w:u w:val="none"/>
                <w:shd w:val="clear" w:color="auto" w:fill="FFFFFF"/>
                <w:lang w:val="en-US" w:eastAsia="zh-CN"/>
              </w:rPr>
              <w:t>6</w:t>
            </w:r>
          </w:p>
        </w:tc>
        <w:tc>
          <w:tcPr>
            <w:tcW w:w="1014"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信息模块</w:t>
            </w:r>
          </w:p>
        </w:tc>
        <w:tc>
          <w:tcPr>
            <w:tcW w:w="5611"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超5类信息模块</w:t>
            </w:r>
          </w:p>
        </w:tc>
        <w:tc>
          <w:tcPr>
            <w:tcW w:w="817" w:type="dxa"/>
            <w:gridSpan w:val="2"/>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个</w:t>
            </w:r>
          </w:p>
        </w:tc>
        <w:tc>
          <w:tcPr>
            <w:tcW w:w="707" w:type="dxa"/>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sz w:val="20"/>
                <w:highlight w:val="none"/>
                <w:u w:val="none"/>
                <w:shd w:val="clear" w:color="auto" w:fill="FFFFFF"/>
                <w:lang w:val="en-US" w:eastAsia="zh-CN"/>
              </w:rPr>
              <w:t>15</w:t>
            </w:r>
          </w:p>
        </w:tc>
        <w:tc>
          <w:tcPr>
            <w:tcW w:w="827" w:type="dxa"/>
            <w:noWrap w:val="0"/>
            <w:vAlign w:val="center"/>
          </w:tcPr>
          <w:p>
            <w:pPr>
              <w:widowControl/>
              <w:spacing w:before="100" w:beforeLines="0" w:beforeAutospacing="1" w:after="100" w:afterLines="0" w:afterAutospacing="1"/>
              <w:jc w:val="center"/>
              <w:rPr>
                <w:rFonts w:ascii="宋体" w:hAnsi="宋体" w:cs="宋体"/>
                <w:bCs/>
                <w:color w:val="auto"/>
                <w:kern w:val="0"/>
                <w:sz w:val="20"/>
                <w:szCs w:val="20"/>
                <w:highlight w:val="none"/>
                <w:lang w:val="en-US" w:eastAsia="zh-CN" w:bidi="ar-SA"/>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sz w:val="20"/>
                <w:highlight w:val="none"/>
                <w:u w:val="none"/>
                <w:shd w:val="clear" w:color="auto" w:fill="FFFFFF"/>
                <w:lang w:val="en-US" w:eastAsia="zh-CN"/>
              </w:rPr>
              <w:t>7</w:t>
            </w:r>
          </w:p>
        </w:tc>
        <w:tc>
          <w:tcPr>
            <w:tcW w:w="1014"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信息面板、底座</w:t>
            </w:r>
          </w:p>
        </w:tc>
        <w:tc>
          <w:tcPr>
            <w:tcW w:w="5611"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面板、底座单孔</w:t>
            </w:r>
          </w:p>
        </w:tc>
        <w:tc>
          <w:tcPr>
            <w:tcW w:w="817" w:type="dxa"/>
            <w:gridSpan w:val="2"/>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套</w:t>
            </w:r>
          </w:p>
        </w:tc>
        <w:tc>
          <w:tcPr>
            <w:tcW w:w="707" w:type="dxa"/>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sz w:val="20"/>
                <w:highlight w:val="none"/>
                <w:u w:val="none"/>
                <w:shd w:val="clear" w:color="auto" w:fill="FFFFFF"/>
                <w:lang w:val="en-US" w:eastAsia="zh-CN"/>
              </w:rPr>
              <w:t>15</w:t>
            </w:r>
          </w:p>
        </w:tc>
        <w:tc>
          <w:tcPr>
            <w:tcW w:w="827" w:type="dxa"/>
            <w:noWrap w:val="0"/>
            <w:vAlign w:val="center"/>
          </w:tcPr>
          <w:p>
            <w:pPr>
              <w:widowControl/>
              <w:spacing w:before="100" w:beforeLines="0" w:beforeAutospacing="1" w:after="100" w:afterLines="0" w:afterAutospacing="1"/>
              <w:jc w:val="center"/>
              <w:rPr>
                <w:rFonts w:ascii="宋体" w:hAnsi="宋体" w:cs="宋体"/>
                <w:bCs/>
                <w:color w:val="auto"/>
                <w:kern w:val="0"/>
                <w:sz w:val="20"/>
                <w:szCs w:val="20"/>
                <w:highlight w:val="none"/>
                <w:lang w:val="en-US" w:eastAsia="zh-CN" w:bidi="ar-SA"/>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sz w:val="20"/>
                <w:highlight w:val="none"/>
                <w:u w:val="none"/>
                <w:shd w:val="clear" w:color="auto" w:fill="FFFFFF"/>
                <w:lang w:val="en-US" w:eastAsia="zh-CN"/>
              </w:rPr>
              <w:t>8</w:t>
            </w:r>
          </w:p>
        </w:tc>
        <w:tc>
          <w:tcPr>
            <w:tcW w:w="1014"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电源底座</w:t>
            </w:r>
          </w:p>
        </w:tc>
        <w:tc>
          <w:tcPr>
            <w:tcW w:w="5611"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五孔电源底座</w:t>
            </w:r>
          </w:p>
        </w:tc>
        <w:tc>
          <w:tcPr>
            <w:tcW w:w="817" w:type="dxa"/>
            <w:gridSpan w:val="2"/>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个</w:t>
            </w:r>
          </w:p>
        </w:tc>
        <w:tc>
          <w:tcPr>
            <w:tcW w:w="707" w:type="dxa"/>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sz w:val="20"/>
                <w:highlight w:val="none"/>
                <w:u w:val="none"/>
                <w:shd w:val="clear" w:color="auto" w:fill="FFFFFF"/>
                <w:lang w:val="en-US" w:eastAsia="zh-CN"/>
              </w:rPr>
              <w:t>60</w:t>
            </w:r>
          </w:p>
        </w:tc>
        <w:tc>
          <w:tcPr>
            <w:tcW w:w="827" w:type="dxa"/>
            <w:noWrap w:val="0"/>
            <w:vAlign w:val="top"/>
          </w:tcPr>
          <w:p>
            <w:pPr>
              <w:widowControl/>
              <w:spacing w:before="100" w:beforeLines="0" w:beforeAutospacing="1" w:after="100" w:afterLines="0" w:afterAutospacing="1" w:line="480" w:lineRule="auto"/>
              <w:jc w:val="center"/>
              <w:rPr>
                <w:rFonts w:hint="eastAsia" w:ascii="宋体" w:hAnsi="宋体" w:eastAsia="宋体" w:cs="宋体"/>
                <w:bCs/>
                <w:color w:val="auto"/>
                <w:kern w:val="0"/>
                <w:sz w:val="20"/>
                <w:szCs w:val="20"/>
                <w:highlight w:val="none"/>
                <w:lang w:eastAsia="zh-CN"/>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sz w:val="20"/>
                <w:highlight w:val="none"/>
                <w:u w:val="none"/>
                <w:shd w:val="clear" w:color="auto" w:fill="FFFFFF"/>
                <w:lang w:val="en-US" w:eastAsia="zh-CN"/>
              </w:rPr>
              <w:t>9</w:t>
            </w:r>
          </w:p>
        </w:tc>
        <w:tc>
          <w:tcPr>
            <w:tcW w:w="1014"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RJ45头</w:t>
            </w:r>
          </w:p>
        </w:tc>
        <w:tc>
          <w:tcPr>
            <w:tcW w:w="5611"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RJ45头</w:t>
            </w:r>
          </w:p>
        </w:tc>
        <w:tc>
          <w:tcPr>
            <w:tcW w:w="817" w:type="dxa"/>
            <w:gridSpan w:val="2"/>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sz w:val="20"/>
                <w:highlight w:val="none"/>
                <w:u w:val="none"/>
                <w:shd w:val="clear" w:color="auto" w:fill="FFFFFF"/>
                <w:lang w:val="en-US" w:eastAsia="zh-CN"/>
              </w:rPr>
              <w:t>批</w:t>
            </w:r>
          </w:p>
        </w:tc>
        <w:tc>
          <w:tcPr>
            <w:tcW w:w="707" w:type="dxa"/>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sz w:val="20"/>
                <w:highlight w:val="none"/>
                <w:u w:val="none"/>
                <w:shd w:val="clear" w:color="auto" w:fill="FFFFFF"/>
                <w:lang w:val="en-US" w:eastAsia="zh-CN"/>
              </w:rPr>
              <w:t>1</w:t>
            </w:r>
          </w:p>
        </w:tc>
        <w:tc>
          <w:tcPr>
            <w:tcW w:w="827" w:type="dxa"/>
            <w:noWrap w:val="0"/>
            <w:vAlign w:val="center"/>
          </w:tcPr>
          <w:p>
            <w:pPr>
              <w:widowControl/>
              <w:spacing w:before="100" w:beforeLines="0" w:beforeAutospacing="1" w:after="100" w:afterLines="0" w:afterAutospacing="1"/>
              <w:jc w:val="center"/>
              <w:rPr>
                <w:rFonts w:ascii="宋体" w:hAnsi="宋体" w:cs="宋体"/>
                <w:bCs/>
                <w:color w:val="auto"/>
                <w:kern w:val="0"/>
                <w:sz w:val="20"/>
                <w:szCs w:val="20"/>
                <w:highlight w:val="none"/>
                <w:lang w:val="en-US" w:eastAsia="zh-CN" w:bidi="ar-SA"/>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sz w:val="20"/>
                <w:highlight w:val="none"/>
                <w:u w:val="none"/>
                <w:shd w:val="clear" w:color="auto" w:fill="FFFFFF"/>
                <w:lang w:val="en-US" w:eastAsia="zh-CN"/>
              </w:rPr>
            </w:pPr>
            <w:r>
              <w:rPr>
                <w:rFonts w:hint="eastAsia" w:ascii="宋体" w:hAnsi="宋体" w:eastAsia="宋体"/>
                <w:b w:val="0"/>
                <w:i w:val="0"/>
                <w:snapToGrid/>
                <w:color w:val="auto"/>
                <w:sz w:val="20"/>
                <w:highlight w:val="none"/>
                <w:u w:val="none"/>
                <w:shd w:val="clear" w:color="auto" w:fill="FFFFFF"/>
                <w:lang w:val="en-US" w:eastAsia="zh-CN"/>
              </w:rPr>
              <w:t>10</w:t>
            </w:r>
          </w:p>
        </w:tc>
        <w:tc>
          <w:tcPr>
            <w:tcW w:w="1014"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sz w:val="20"/>
                <w:highlight w:val="none"/>
                <w:u w:val="none"/>
                <w:shd w:val="clear" w:color="auto" w:fill="FFFFFF"/>
                <w:lang w:eastAsia="zh-CN"/>
              </w:rPr>
            </w:pPr>
            <w:r>
              <w:rPr>
                <w:rFonts w:hint="default" w:ascii="宋体" w:hAnsi="宋体" w:eastAsia="宋体"/>
                <w:b w:val="0"/>
                <w:i w:val="0"/>
                <w:snapToGrid/>
                <w:color w:val="auto"/>
                <w:sz w:val="20"/>
                <w:highlight w:val="none"/>
                <w:u w:val="none"/>
                <w:shd w:val="clear" w:color="auto" w:fill="FFFFFF"/>
                <w:lang w:eastAsia="zh-CN"/>
              </w:rPr>
              <w:t>电源插排</w:t>
            </w:r>
          </w:p>
        </w:tc>
        <w:tc>
          <w:tcPr>
            <w:tcW w:w="5611"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电源插排</w:t>
            </w:r>
          </w:p>
        </w:tc>
        <w:tc>
          <w:tcPr>
            <w:tcW w:w="817" w:type="dxa"/>
            <w:gridSpan w:val="2"/>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sz w:val="20"/>
                <w:highlight w:val="none"/>
                <w:u w:val="none"/>
                <w:shd w:val="clear" w:color="auto" w:fill="FFFFFF"/>
                <w:lang w:eastAsia="zh-CN"/>
              </w:rPr>
            </w:pPr>
            <w:r>
              <w:rPr>
                <w:rFonts w:hint="eastAsia" w:ascii="宋体" w:hAnsi="宋体" w:eastAsia="宋体"/>
                <w:b w:val="0"/>
                <w:i w:val="0"/>
                <w:snapToGrid/>
                <w:color w:val="auto"/>
                <w:sz w:val="20"/>
                <w:highlight w:val="none"/>
                <w:u w:val="none"/>
                <w:shd w:val="clear" w:color="auto" w:fill="FFFFFF"/>
                <w:lang w:val="en-US" w:eastAsia="zh-CN"/>
              </w:rPr>
              <w:t>批</w:t>
            </w:r>
          </w:p>
        </w:tc>
        <w:tc>
          <w:tcPr>
            <w:tcW w:w="707" w:type="dxa"/>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sz w:val="20"/>
                <w:highlight w:val="none"/>
                <w:u w:val="none"/>
                <w:shd w:val="clear" w:color="auto" w:fill="FFFFFF"/>
                <w:lang w:val="en-US" w:eastAsia="zh-CN"/>
              </w:rPr>
            </w:pPr>
            <w:r>
              <w:rPr>
                <w:rFonts w:hint="eastAsia" w:ascii="宋体" w:hAnsi="宋体" w:eastAsia="宋体"/>
                <w:b w:val="0"/>
                <w:i w:val="0"/>
                <w:snapToGrid/>
                <w:color w:val="auto"/>
                <w:sz w:val="20"/>
                <w:highlight w:val="none"/>
                <w:u w:val="none"/>
                <w:shd w:val="clear" w:color="auto" w:fill="FFFFFF"/>
                <w:lang w:val="en-US" w:eastAsia="zh-CN"/>
              </w:rPr>
              <w:t>1</w:t>
            </w:r>
          </w:p>
        </w:tc>
        <w:tc>
          <w:tcPr>
            <w:tcW w:w="827" w:type="dxa"/>
            <w:noWrap w:val="0"/>
            <w:vAlign w:val="center"/>
          </w:tcPr>
          <w:p>
            <w:pPr>
              <w:widowControl/>
              <w:spacing w:before="100" w:beforeLines="0" w:beforeAutospacing="1" w:after="100" w:afterLines="0" w:afterAutospacing="1"/>
              <w:jc w:val="center"/>
              <w:rPr>
                <w:rFonts w:hint="eastAsia" w:ascii="宋体" w:hAnsi="宋体" w:eastAsia="宋体" w:cs="宋体"/>
                <w:bCs/>
                <w:color w:val="auto"/>
                <w:kern w:val="0"/>
                <w:sz w:val="20"/>
                <w:szCs w:val="20"/>
                <w:highlight w:val="none"/>
                <w:lang w:eastAsia="zh-CN"/>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92" w:type="dxa"/>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sz w:val="20"/>
                <w:highlight w:val="none"/>
                <w:u w:val="none"/>
                <w:shd w:val="clear" w:color="auto" w:fill="FFFFFF"/>
                <w:lang w:val="en-US" w:eastAsia="zh-CN"/>
              </w:rPr>
            </w:pPr>
            <w:r>
              <w:rPr>
                <w:rFonts w:hint="eastAsia" w:ascii="宋体" w:hAnsi="宋体" w:eastAsia="宋体"/>
                <w:b w:val="0"/>
                <w:i w:val="0"/>
                <w:snapToGrid/>
                <w:color w:val="auto"/>
                <w:sz w:val="20"/>
                <w:highlight w:val="none"/>
                <w:u w:val="none"/>
                <w:shd w:val="clear" w:color="auto" w:fill="FFFFFF"/>
                <w:lang w:val="en-US" w:eastAsia="zh-CN"/>
              </w:rPr>
              <w:t>11</w:t>
            </w:r>
          </w:p>
        </w:tc>
        <w:tc>
          <w:tcPr>
            <w:tcW w:w="1014"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sz w:val="20"/>
                <w:highlight w:val="none"/>
                <w:u w:val="none"/>
                <w:shd w:val="clear" w:color="auto" w:fill="FFFFFF"/>
                <w:lang w:eastAsia="zh-CN"/>
              </w:rPr>
            </w:pPr>
            <w:r>
              <w:rPr>
                <w:rFonts w:hint="default" w:ascii="宋体" w:hAnsi="宋体" w:eastAsia="宋体"/>
                <w:b w:val="0"/>
                <w:i w:val="0"/>
                <w:snapToGrid/>
                <w:color w:val="auto"/>
                <w:sz w:val="20"/>
                <w:highlight w:val="none"/>
                <w:u w:val="none"/>
                <w:shd w:val="clear" w:color="auto" w:fill="FFFFFF"/>
                <w:lang w:eastAsia="zh-CN"/>
              </w:rPr>
              <w:t>PVC线槽</w:t>
            </w:r>
          </w:p>
        </w:tc>
        <w:tc>
          <w:tcPr>
            <w:tcW w:w="5611"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PVC线槽</w:t>
            </w:r>
          </w:p>
        </w:tc>
        <w:tc>
          <w:tcPr>
            <w:tcW w:w="817" w:type="dxa"/>
            <w:gridSpan w:val="2"/>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sz w:val="20"/>
                <w:highlight w:val="none"/>
                <w:u w:val="none"/>
                <w:shd w:val="clear" w:color="auto" w:fill="FFFFFF"/>
                <w:lang w:eastAsia="zh-CN"/>
              </w:rPr>
            </w:pPr>
            <w:r>
              <w:rPr>
                <w:rFonts w:hint="eastAsia" w:ascii="宋体" w:hAnsi="宋体" w:eastAsia="宋体"/>
                <w:b w:val="0"/>
                <w:i w:val="0"/>
                <w:snapToGrid/>
                <w:color w:val="auto"/>
                <w:sz w:val="20"/>
                <w:highlight w:val="none"/>
                <w:u w:val="none"/>
                <w:shd w:val="clear" w:color="auto" w:fill="FFFFFF"/>
                <w:lang w:val="en-US" w:eastAsia="zh-CN"/>
              </w:rPr>
              <w:t>批</w:t>
            </w:r>
          </w:p>
        </w:tc>
        <w:tc>
          <w:tcPr>
            <w:tcW w:w="707" w:type="dxa"/>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sz w:val="20"/>
                <w:highlight w:val="none"/>
                <w:u w:val="none"/>
                <w:shd w:val="clear" w:color="auto" w:fill="FFFFFF"/>
                <w:lang w:val="en-US" w:eastAsia="zh-CN"/>
              </w:rPr>
            </w:pPr>
            <w:r>
              <w:rPr>
                <w:rFonts w:hint="eastAsia" w:ascii="宋体" w:hAnsi="宋体" w:eastAsia="宋体"/>
                <w:b w:val="0"/>
                <w:i w:val="0"/>
                <w:snapToGrid/>
                <w:color w:val="auto"/>
                <w:sz w:val="20"/>
                <w:highlight w:val="none"/>
                <w:u w:val="none"/>
                <w:shd w:val="clear" w:color="auto" w:fill="FFFFFF"/>
                <w:lang w:val="en-US" w:eastAsia="zh-CN"/>
              </w:rPr>
              <w:t>1</w:t>
            </w:r>
          </w:p>
        </w:tc>
        <w:tc>
          <w:tcPr>
            <w:tcW w:w="827" w:type="dxa"/>
            <w:noWrap w:val="0"/>
            <w:vAlign w:val="center"/>
          </w:tcPr>
          <w:p>
            <w:pPr>
              <w:widowControl/>
              <w:spacing w:before="100" w:beforeLines="0" w:beforeAutospacing="1" w:after="100" w:afterLines="0" w:afterAutospacing="1"/>
              <w:jc w:val="center"/>
              <w:rPr>
                <w:rFonts w:hint="eastAsia" w:ascii="宋体" w:hAnsi="宋体" w:eastAsia="宋体" w:cs="宋体"/>
                <w:bCs/>
                <w:color w:val="auto"/>
                <w:kern w:val="0"/>
                <w:sz w:val="20"/>
                <w:szCs w:val="20"/>
                <w:highlight w:val="none"/>
                <w:lang w:eastAsia="zh-CN"/>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sz w:val="20"/>
                <w:highlight w:val="none"/>
                <w:u w:val="none"/>
                <w:shd w:val="clear" w:color="auto" w:fill="FFFFFF"/>
                <w:lang w:val="en-US" w:eastAsia="zh-CN"/>
              </w:rPr>
            </w:pPr>
            <w:r>
              <w:rPr>
                <w:rFonts w:hint="eastAsia" w:ascii="宋体" w:hAnsi="宋体" w:eastAsia="宋体"/>
                <w:b w:val="0"/>
                <w:i w:val="0"/>
                <w:snapToGrid/>
                <w:color w:val="auto"/>
                <w:sz w:val="20"/>
                <w:highlight w:val="none"/>
                <w:u w:val="none"/>
                <w:shd w:val="clear" w:color="auto" w:fill="FFFFFF"/>
                <w:lang w:val="en-US" w:eastAsia="zh-CN"/>
              </w:rPr>
              <w:t>12</w:t>
            </w:r>
          </w:p>
        </w:tc>
        <w:tc>
          <w:tcPr>
            <w:tcW w:w="1014"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sz w:val="20"/>
                <w:highlight w:val="none"/>
                <w:u w:val="none"/>
                <w:shd w:val="clear" w:color="auto" w:fill="FFFFFF"/>
                <w:lang w:eastAsia="zh-CN"/>
              </w:rPr>
            </w:pPr>
            <w:r>
              <w:rPr>
                <w:rFonts w:hint="default" w:ascii="宋体" w:hAnsi="宋体" w:eastAsia="宋体"/>
                <w:b w:val="0"/>
                <w:i w:val="0"/>
                <w:snapToGrid/>
                <w:color w:val="auto"/>
                <w:sz w:val="20"/>
                <w:highlight w:val="none"/>
                <w:u w:val="none"/>
                <w:shd w:val="clear" w:color="auto" w:fill="FFFFFF"/>
                <w:lang w:eastAsia="zh-CN"/>
              </w:rPr>
              <w:t>线卡等辅材</w:t>
            </w:r>
          </w:p>
        </w:tc>
        <w:tc>
          <w:tcPr>
            <w:tcW w:w="5611"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线卡等辅材</w:t>
            </w:r>
          </w:p>
        </w:tc>
        <w:tc>
          <w:tcPr>
            <w:tcW w:w="817" w:type="dxa"/>
            <w:gridSpan w:val="2"/>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sz w:val="20"/>
                <w:highlight w:val="none"/>
                <w:u w:val="none"/>
                <w:shd w:val="clear" w:color="auto" w:fill="FFFFFF"/>
                <w:lang w:eastAsia="zh-CN"/>
              </w:rPr>
            </w:pPr>
            <w:r>
              <w:rPr>
                <w:rFonts w:hint="eastAsia" w:ascii="宋体" w:hAnsi="宋体" w:eastAsia="宋体"/>
                <w:b w:val="0"/>
                <w:i w:val="0"/>
                <w:snapToGrid/>
                <w:color w:val="auto"/>
                <w:sz w:val="20"/>
                <w:highlight w:val="none"/>
                <w:u w:val="none"/>
                <w:shd w:val="clear" w:color="auto" w:fill="FFFFFF"/>
                <w:lang w:val="en-US" w:eastAsia="zh-CN"/>
              </w:rPr>
              <w:t>批</w:t>
            </w:r>
          </w:p>
        </w:tc>
        <w:tc>
          <w:tcPr>
            <w:tcW w:w="707" w:type="dxa"/>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sz w:val="20"/>
                <w:highlight w:val="none"/>
                <w:u w:val="none"/>
                <w:shd w:val="clear" w:color="auto" w:fill="FFFFFF"/>
                <w:lang w:val="en-US" w:eastAsia="zh-CN"/>
              </w:rPr>
            </w:pPr>
            <w:r>
              <w:rPr>
                <w:rFonts w:hint="eastAsia" w:ascii="宋体" w:hAnsi="宋体" w:eastAsia="宋体"/>
                <w:b w:val="0"/>
                <w:i w:val="0"/>
                <w:snapToGrid/>
                <w:color w:val="auto"/>
                <w:sz w:val="20"/>
                <w:highlight w:val="none"/>
                <w:u w:val="none"/>
                <w:shd w:val="clear" w:color="auto" w:fill="FFFFFF"/>
                <w:lang w:val="en-US" w:eastAsia="zh-CN"/>
              </w:rPr>
              <w:t>1</w:t>
            </w:r>
          </w:p>
        </w:tc>
        <w:tc>
          <w:tcPr>
            <w:tcW w:w="827" w:type="dxa"/>
            <w:noWrap w:val="0"/>
            <w:vAlign w:val="center"/>
          </w:tcPr>
          <w:p>
            <w:pPr>
              <w:widowControl/>
              <w:spacing w:before="100" w:beforeLines="0" w:beforeAutospacing="1" w:after="100" w:afterLines="0" w:afterAutospacing="1"/>
              <w:jc w:val="center"/>
              <w:rPr>
                <w:rFonts w:hint="eastAsia" w:ascii="宋体" w:hAnsi="宋体" w:eastAsia="宋体" w:cs="宋体"/>
                <w:bCs/>
                <w:color w:val="auto"/>
                <w:kern w:val="0"/>
                <w:sz w:val="20"/>
                <w:szCs w:val="20"/>
                <w:highlight w:val="none"/>
                <w:lang w:eastAsia="zh-CN"/>
              </w:rPr>
            </w:pPr>
            <w:r>
              <w:rPr>
                <w:rFonts w:hint="eastAsia" w:ascii="宋体" w:hAnsi="宋体" w:eastAsia="宋体" w:cs="宋体"/>
                <w:bCs/>
                <w:color w:val="auto"/>
                <w:kern w:val="0"/>
                <w:sz w:val="20"/>
                <w:szCs w:val="20"/>
                <w:highlight w:val="none"/>
                <w:lang w:eastAsia="zh-CN"/>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2" w:type="dxa"/>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sz w:val="20"/>
                <w:highlight w:val="none"/>
                <w:u w:val="none"/>
                <w:shd w:val="clear" w:color="auto" w:fill="FFFFFF"/>
                <w:lang w:val="en-US" w:eastAsia="zh-CN"/>
              </w:rPr>
              <w:t>13</w:t>
            </w:r>
          </w:p>
        </w:tc>
        <w:tc>
          <w:tcPr>
            <w:tcW w:w="1014"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网络机柜</w:t>
            </w:r>
          </w:p>
        </w:tc>
        <w:tc>
          <w:tcPr>
            <w:tcW w:w="5611" w:type="dxa"/>
            <w:noWrap w:val="0"/>
            <w:vAlign w:val="center"/>
          </w:tcPr>
          <w:p>
            <w:pPr>
              <w:shd w:val="solid" w:color="FFFFFF" w:fill="auto"/>
              <w:kinsoku/>
              <w:autoSpaceDE/>
              <w:autoSpaceDN w:val="0"/>
              <w:jc w:val="left"/>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楼层1M网络机柜或挂壁机柜</w:t>
            </w:r>
          </w:p>
        </w:tc>
        <w:tc>
          <w:tcPr>
            <w:tcW w:w="817" w:type="dxa"/>
            <w:gridSpan w:val="2"/>
            <w:noWrap w:val="0"/>
            <w:vAlign w:val="center"/>
          </w:tcPr>
          <w:p>
            <w:pPr>
              <w:shd w:val="solid" w:color="FFFFFF" w:fill="auto"/>
              <w:kinsoku/>
              <w:autoSpaceDE/>
              <w:autoSpaceDN w:val="0"/>
              <w:jc w:val="center"/>
              <w:textAlignment w:val="center"/>
              <w:rPr>
                <w:rFonts w:hint="default" w:ascii="宋体" w:hAnsi="宋体" w:eastAsia="宋体"/>
                <w:b w:val="0"/>
                <w:i w:val="0"/>
                <w:snapToGrid/>
                <w:color w:val="auto"/>
                <w:kern w:val="2"/>
                <w:sz w:val="20"/>
                <w:highlight w:val="none"/>
                <w:u w:val="none"/>
                <w:shd w:val="clear" w:color="auto" w:fill="FFFFFF"/>
                <w:lang w:val="en-US" w:eastAsia="zh-CN" w:bidi="ar-SA"/>
              </w:rPr>
            </w:pPr>
            <w:r>
              <w:rPr>
                <w:rFonts w:hint="default" w:ascii="宋体" w:hAnsi="宋体" w:eastAsia="宋体"/>
                <w:b w:val="0"/>
                <w:i w:val="0"/>
                <w:snapToGrid/>
                <w:color w:val="auto"/>
                <w:sz w:val="20"/>
                <w:highlight w:val="none"/>
                <w:u w:val="none"/>
                <w:shd w:val="clear" w:color="auto" w:fill="FFFFFF"/>
                <w:lang w:eastAsia="zh-CN"/>
              </w:rPr>
              <w:t>台</w:t>
            </w:r>
          </w:p>
        </w:tc>
        <w:tc>
          <w:tcPr>
            <w:tcW w:w="707" w:type="dxa"/>
            <w:noWrap w:val="0"/>
            <w:vAlign w:val="center"/>
          </w:tcPr>
          <w:p>
            <w:pPr>
              <w:shd w:val="solid" w:color="FFFFFF" w:fill="auto"/>
              <w:kinsoku/>
              <w:autoSpaceDE/>
              <w:autoSpaceDN w:val="0"/>
              <w:jc w:val="center"/>
              <w:textAlignment w:val="center"/>
              <w:rPr>
                <w:rFonts w:hint="eastAsia" w:ascii="宋体" w:hAnsi="宋体" w:eastAsia="宋体"/>
                <w:b w:val="0"/>
                <w:i w:val="0"/>
                <w:snapToGrid/>
                <w:color w:val="auto"/>
                <w:kern w:val="2"/>
                <w:sz w:val="20"/>
                <w:highlight w:val="none"/>
                <w:u w:val="none"/>
                <w:shd w:val="clear" w:color="auto" w:fill="FFFFFF"/>
                <w:lang w:val="en-US" w:eastAsia="zh-CN" w:bidi="ar-SA"/>
              </w:rPr>
            </w:pPr>
            <w:r>
              <w:rPr>
                <w:rFonts w:hint="eastAsia" w:ascii="宋体" w:hAnsi="宋体" w:eastAsia="宋体"/>
                <w:b w:val="0"/>
                <w:i w:val="0"/>
                <w:snapToGrid/>
                <w:color w:val="auto"/>
                <w:sz w:val="20"/>
                <w:highlight w:val="none"/>
                <w:u w:val="none"/>
                <w:shd w:val="clear" w:color="auto" w:fill="FFFFFF"/>
                <w:lang w:val="en-US" w:eastAsia="zh-CN"/>
              </w:rPr>
              <w:t>1</w:t>
            </w:r>
          </w:p>
        </w:tc>
        <w:tc>
          <w:tcPr>
            <w:tcW w:w="827" w:type="dxa"/>
            <w:noWrap w:val="0"/>
            <w:vAlign w:val="center"/>
          </w:tcPr>
          <w:p>
            <w:pPr>
              <w:widowControl/>
              <w:spacing w:before="100" w:beforeLines="0" w:beforeAutospacing="1" w:after="100" w:afterLines="0" w:afterAutospacing="1"/>
              <w:jc w:val="center"/>
              <w:rPr>
                <w:rFonts w:ascii="宋体" w:hAnsi="宋体" w:cs="宋体"/>
                <w:bCs/>
                <w:color w:val="auto"/>
                <w:kern w:val="0"/>
                <w:sz w:val="20"/>
                <w:szCs w:val="20"/>
                <w:highlight w:val="none"/>
                <w:lang w:val="en-US" w:eastAsia="zh-CN" w:bidi="ar-SA"/>
              </w:rPr>
            </w:pPr>
            <w:r>
              <w:rPr>
                <w:rFonts w:hint="eastAsia" w:ascii="宋体" w:hAnsi="宋体" w:eastAsia="宋体" w:cs="宋体"/>
                <w:bCs/>
                <w:color w:val="auto"/>
                <w:kern w:val="0"/>
                <w:sz w:val="20"/>
                <w:szCs w:val="20"/>
                <w:highlight w:val="none"/>
                <w:lang w:eastAsia="zh-CN"/>
              </w:rPr>
              <w:t>工业</w:t>
            </w:r>
          </w:p>
        </w:tc>
      </w:tr>
    </w:tbl>
    <w:p>
      <w:pPr>
        <w:spacing w:line="480" w:lineRule="auto"/>
        <w:rPr>
          <w:rFonts w:hint="eastAsia"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lang w:val="en-US" w:eastAsia="zh-CN"/>
        </w:rPr>
        <w:t>1、设备备注及相关要求</w:t>
      </w:r>
    </w:p>
    <w:p>
      <w:pPr>
        <w:spacing w:line="480" w:lineRule="auto"/>
        <w:ind w:firstLine="210" w:firstLineChars="100"/>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供应商</w:t>
      </w:r>
      <w:r>
        <w:rPr>
          <w:rFonts w:hint="eastAsia"/>
          <w:color w:val="auto"/>
          <w:highlight w:val="none"/>
          <w:lang w:eastAsia="zh-CN"/>
        </w:rPr>
        <w:t>应承诺：</w:t>
      </w:r>
      <w:r>
        <w:rPr>
          <w:rFonts w:hint="eastAsia"/>
          <w:color w:val="auto"/>
          <w:highlight w:val="none"/>
        </w:rPr>
        <w:t>所投产</w:t>
      </w:r>
      <w:r>
        <w:rPr>
          <w:rFonts w:hint="eastAsia" w:ascii="Times New Roman" w:hAnsi="Times New Roman" w:eastAsia="宋体" w:cs="Times New Roman"/>
          <w:color w:val="auto"/>
          <w:highlight w:val="none"/>
        </w:rPr>
        <w:t>品</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rPr>
        <w:t>高科技屏蔽终端、人脸身份验证终端</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红外高清半球摄像机</w:t>
      </w:r>
      <w:r>
        <w:rPr>
          <w:rFonts w:hint="eastAsia" w:ascii="Times New Roman" w:hAnsi="Times New Roman" w:eastAsia="宋体" w:cs="Times New Roman"/>
          <w:color w:val="auto"/>
          <w:highlight w:val="none"/>
        </w:rPr>
        <w:t>等设备</w:t>
      </w:r>
      <w:r>
        <w:rPr>
          <w:rFonts w:hint="eastAsia"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rPr>
        <w:t>必</w:t>
      </w:r>
      <w:r>
        <w:rPr>
          <w:rFonts w:hint="eastAsia"/>
          <w:color w:val="auto"/>
          <w:highlight w:val="none"/>
        </w:rPr>
        <w:t>须提前与省市招办及学校现有平台进行互联互通测试，保证所投产品与省市级平台互联互通，与学校现有平台无缝对接，否则视为无效投标。</w:t>
      </w:r>
    </w:p>
    <w:p>
      <w:pPr>
        <w:spacing w:line="480" w:lineRule="auto"/>
        <w:ind w:firstLine="210" w:firstLineChars="100"/>
        <w:rPr>
          <w:rFonts w:hint="eastAsia"/>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供应商</w:t>
      </w:r>
      <w:r>
        <w:rPr>
          <w:rFonts w:hint="eastAsia"/>
          <w:color w:val="auto"/>
          <w:highlight w:val="none"/>
          <w:lang w:eastAsia="zh-CN"/>
        </w:rPr>
        <w:t>应承诺：所投产品（</w:t>
      </w:r>
      <w:r>
        <w:rPr>
          <w:rFonts w:hint="eastAsia"/>
          <w:color w:val="auto"/>
          <w:highlight w:val="none"/>
        </w:rPr>
        <w:t>高科技屏蔽终端、人脸身份验证终端</w:t>
      </w:r>
      <w:r>
        <w:rPr>
          <w:rFonts w:hint="eastAsia"/>
          <w:color w:val="auto"/>
          <w:highlight w:val="none"/>
          <w:lang w:eastAsia="zh-CN"/>
        </w:rPr>
        <w:t>、</w:t>
      </w:r>
      <w:r>
        <w:rPr>
          <w:rFonts w:hint="eastAsia" w:ascii="宋体" w:hAnsi="宋体" w:eastAsia="宋体"/>
          <w:b w:val="0"/>
          <w:i w:val="0"/>
          <w:snapToGrid/>
          <w:color w:val="auto"/>
          <w:sz w:val="21"/>
          <w:szCs w:val="21"/>
          <w:highlight w:val="none"/>
          <w:u w:val="none"/>
          <w:shd w:val="clear" w:color="auto" w:fill="FFFFFF"/>
          <w:lang w:val="en-US" w:eastAsia="zh-CN"/>
        </w:rPr>
        <w:t>红外高清半球摄像机</w:t>
      </w:r>
      <w:r>
        <w:rPr>
          <w:rFonts w:hint="eastAsia"/>
          <w:color w:val="auto"/>
          <w:highlight w:val="none"/>
        </w:rPr>
        <w:t>等设备</w:t>
      </w:r>
      <w:r>
        <w:rPr>
          <w:rFonts w:hint="eastAsia"/>
          <w:color w:val="auto"/>
          <w:highlight w:val="none"/>
          <w:lang w:eastAsia="zh-CN"/>
        </w:rPr>
        <w:t>）有</w:t>
      </w:r>
      <w:r>
        <w:rPr>
          <w:rFonts w:hint="eastAsia"/>
          <w:color w:val="auto"/>
          <w:highlight w:val="none"/>
        </w:rPr>
        <w:t>生产厂家为响应本次招标所供产品的技术证明材料。</w:t>
      </w:r>
    </w:p>
    <w:p>
      <w:pPr>
        <w:spacing w:line="480" w:lineRule="auto"/>
        <w:ind w:firstLine="210" w:firstLineChars="100"/>
        <w:rPr>
          <w:rFonts w:hint="eastAsia"/>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供应商</w:t>
      </w:r>
      <w:r>
        <w:rPr>
          <w:rFonts w:hint="eastAsia"/>
          <w:color w:val="auto"/>
          <w:highlight w:val="none"/>
          <w:lang w:eastAsia="zh-CN"/>
        </w:rPr>
        <w:t>应承诺：</w:t>
      </w:r>
      <w:r>
        <w:rPr>
          <w:rFonts w:hint="eastAsia"/>
          <w:color w:val="auto"/>
          <w:highlight w:val="none"/>
        </w:rPr>
        <w:t>所投</w:t>
      </w:r>
      <w:r>
        <w:rPr>
          <w:rFonts w:hint="eastAsia"/>
          <w:color w:val="auto"/>
          <w:highlight w:val="none"/>
          <w:lang w:val="en-US" w:eastAsia="zh-CN"/>
        </w:rPr>
        <w:t>产品</w:t>
      </w:r>
      <w:r>
        <w:rPr>
          <w:rFonts w:hint="eastAsia"/>
          <w:color w:val="auto"/>
          <w:highlight w:val="none"/>
        </w:rPr>
        <w:t>（高科技屏蔽终端、人脸身份验证终端</w:t>
      </w:r>
      <w:r>
        <w:rPr>
          <w:rFonts w:hint="eastAsia"/>
          <w:color w:val="auto"/>
          <w:highlight w:val="none"/>
          <w:lang w:eastAsia="zh-CN"/>
        </w:rPr>
        <w:t>、</w:t>
      </w:r>
      <w:r>
        <w:rPr>
          <w:rFonts w:hint="eastAsia" w:ascii="宋体" w:hAnsi="宋体" w:eastAsia="宋体"/>
          <w:b w:val="0"/>
          <w:i w:val="0"/>
          <w:snapToGrid/>
          <w:color w:val="auto"/>
          <w:sz w:val="21"/>
          <w:szCs w:val="21"/>
          <w:highlight w:val="none"/>
          <w:u w:val="none"/>
          <w:shd w:val="clear" w:color="auto" w:fill="FFFFFF"/>
          <w:lang w:val="en-US" w:eastAsia="zh-CN"/>
        </w:rPr>
        <w:t>红外高清半球摄像机</w:t>
      </w:r>
      <w:r>
        <w:rPr>
          <w:rFonts w:hint="eastAsia"/>
          <w:color w:val="auto"/>
          <w:highlight w:val="none"/>
        </w:rPr>
        <w:t>）</w:t>
      </w:r>
      <w:r>
        <w:rPr>
          <w:rFonts w:hint="eastAsia"/>
          <w:color w:val="auto"/>
          <w:highlight w:val="none"/>
          <w:lang w:eastAsia="zh-CN"/>
        </w:rPr>
        <w:t>有</w:t>
      </w:r>
      <w:r>
        <w:rPr>
          <w:rFonts w:hint="eastAsia"/>
          <w:color w:val="auto"/>
          <w:highlight w:val="none"/>
        </w:rPr>
        <w:t xml:space="preserve">原厂家出具的三年售后质保证明。 </w:t>
      </w:r>
    </w:p>
    <w:p>
      <w:pPr>
        <w:spacing w:line="480" w:lineRule="auto"/>
        <w:rPr>
          <w:rFonts w:hint="eastAsia" w:ascii="Times New Roman" w:hAnsi="Times New Roman" w:eastAsia="宋体" w:cs="Times New Roman"/>
          <w:color w:val="auto"/>
          <w:highlight w:val="none"/>
          <w:lang w:val="en-US" w:eastAsia="zh-CN"/>
        </w:rPr>
      </w:pPr>
      <w:r>
        <w:rPr>
          <w:rFonts w:hint="eastAsia"/>
          <w:color w:val="auto"/>
          <w:highlight w:val="none"/>
          <w:lang w:val="en-US" w:eastAsia="zh-CN"/>
        </w:rPr>
        <w:t xml:space="preserve">  （4）</w:t>
      </w:r>
      <w:r>
        <w:rPr>
          <w:rFonts w:hint="eastAsia"/>
          <w:color w:val="auto"/>
          <w:highlight w:val="none"/>
        </w:rPr>
        <w:t>供应商</w:t>
      </w:r>
      <w:r>
        <w:rPr>
          <w:rFonts w:hint="eastAsia"/>
          <w:color w:val="auto"/>
          <w:highlight w:val="none"/>
          <w:lang w:eastAsia="zh-CN"/>
        </w:rPr>
        <w:t>应承诺：</w:t>
      </w:r>
      <w:r>
        <w:rPr>
          <w:rFonts w:hint="eastAsia"/>
          <w:color w:val="auto"/>
          <w:highlight w:val="none"/>
        </w:rPr>
        <w:t>高科技屏蔽终端、人脸身份验证终端</w:t>
      </w:r>
      <w:r>
        <w:rPr>
          <w:rFonts w:hint="eastAsia"/>
          <w:color w:val="auto"/>
          <w:highlight w:val="none"/>
          <w:lang w:eastAsia="zh-CN"/>
        </w:rPr>
        <w:t>、</w:t>
      </w:r>
      <w:r>
        <w:rPr>
          <w:rFonts w:hint="eastAsia" w:ascii="宋体" w:hAnsi="宋体" w:eastAsia="宋体"/>
          <w:b w:val="0"/>
          <w:i w:val="0"/>
          <w:snapToGrid/>
          <w:color w:val="auto"/>
          <w:sz w:val="21"/>
          <w:szCs w:val="21"/>
          <w:highlight w:val="none"/>
          <w:u w:val="none"/>
          <w:shd w:val="clear" w:color="auto" w:fill="FFFFFF"/>
          <w:lang w:val="en-US" w:eastAsia="zh-CN"/>
        </w:rPr>
        <w:t>红外高清半球摄像机等设备的安装包括更换本次采购设备相应的网络线路、供电线路等设备。</w:t>
      </w:r>
      <w:r>
        <w:rPr>
          <w:rFonts w:hint="eastAsia"/>
          <w:color w:val="auto"/>
          <w:highlight w:val="none"/>
        </w:rPr>
        <w:t>供应商应考察现场，</w:t>
      </w:r>
      <w:r>
        <w:rPr>
          <w:rFonts w:hint="eastAsia"/>
          <w:color w:val="auto"/>
          <w:highlight w:val="none"/>
          <w:lang w:eastAsia="zh-CN"/>
        </w:rPr>
        <w:t>投标</w:t>
      </w:r>
      <w:r>
        <w:rPr>
          <w:rFonts w:hint="eastAsia"/>
          <w:color w:val="auto"/>
          <w:highlight w:val="none"/>
        </w:rPr>
        <w:t>报价包含能使整个系统正常运行的所有费用，缺项或遗漏部分由参加投标的</w:t>
      </w:r>
      <w:r>
        <w:rPr>
          <w:rFonts w:hint="eastAsia"/>
          <w:color w:val="auto"/>
          <w:highlight w:val="none"/>
          <w:lang w:eastAsia="zh-CN"/>
        </w:rPr>
        <w:t>供应商</w:t>
      </w:r>
      <w:r>
        <w:rPr>
          <w:rFonts w:hint="eastAsia"/>
          <w:color w:val="auto"/>
          <w:highlight w:val="none"/>
        </w:rPr>
        <w:t>自行补足并在</w:t>
      </w:r>
      <w:r>
        <w:rPr>
          <w:rFonts w:hint="eastAsia"/>
          <w:color w:val="auto"/>
          <w:highlight w:val="none"/>
          <w:lang w:eastAsia="zh-CN"/>
        </w:rPr>
        <w:t>响应</w:t>
      </w:r>
      <w:r>
        <w:rPr>
          <w:rFonts w:hint="eastAsia"/>
          <w:color w:val="auto"/>
          <w:highlight w:val="none"/>
        </w:rPr>
        <w:t>文件中注明，成交</w:t>
      </w:r>
      <w:r>
        <w:rPr>
          <w:rFonts w:hint="eastAsia"/>
          <w:color w:val="auto"/>
          <w:highlight w:val="none"/>
          <w:lang w:eastAsia="zh-CN"/>
        </w:rPr>
        <w:t>供应商</w:t>
      </w:r>
      <w:r>
        <w:rPr>
          <w:rFonts w:hint="eastAsia"/>
          <w:color w:val="auto"/>
          <w:highlight w:val="none"/>
        </w:rPr>
        <w:t>在成交</w:t>
      </w:r>
      <w:r>
        <w:rPr>
          <w:rFonts w:hint="eastAsia" w:ascii="Times New Roman" w:hAnsi="Times New Roman" w:eastAsia="宋体" w:cs="Times New Roman"/>
          <w:color w:val="auto"/>
          <w:highlight w:val="none"/>
        </w:rPr>
        <w:t>后不得以任何理由增加任何费用。</w:t>
      </w:r>
    </w:p>
    <w:p>
      <w:pPr>
        <w:spacing w:line="360" w:lineRule="auto"/>
        <w:rPr>
          <w:rFonts w:hint="default"/>
          <w:b/>
          <w:bCs/>
          <w:color w:val="auto"/>
          <w:highlight w:val="none"/>
          <w:lang w:val="en-US" w:eastAsia="zh-CN"/>
        </w:rPr>
      </w:pPr>
      <w:r>
        <w:rPr>
          <w:rFonts w:hint="default"/>
          <w:b/>
          <w:bCs/>
          <w:color w:val="auto"/>
          <w:highlight w:val="none"/>
          <w:lang w:val="en-US" w:eastAsia="zh-CN"/>
        </w:rPr>
        <w:t>注：</w:t>
      </w:r>
    </w:p>
    <w:p>
      <w:pPr>
        <w:spacing w:line="480" w:lineRule="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w:t>
      </w:r>
      <w:r>
        <w:rPr>
          <w:rFonts w:hint="eastAsia" w:ascii="Times New Roman" w:hAnsi="Times New Roman" w:eastAsia="宋体" w:cs="Times New Roman"/>
          <w:color w:val="auto"/>
          <w:highlight w:val="none"/>
        </w:rPr>
        <w:t>供应商</w:t>
      </w:r>
      <w:r>
        <w:rPr>
          <w:rFonts w:hint="eastAsia" w:ascii="Times New Roman" w:hAnsi="Times New Roman" w:eastAsia="宋体" w:cs="Times New Roman"/>
          <w:color w:val="auto"/>
          <w:highlight w:val="none"/>
          <w:lang w:eastAsia="zh-CN"/>
        </w:rPr>
        <w:t>应承诺</w:t>
      </w:r>
      <w:r>
        <w:rPr>
          <w:rFonts w:hint="default" w:ascii="Times New Roman" w:hAnsi="Times New Roman" w:eastAsia="宋体" w:cs="Times New Roman"/>
          <w:color w:val="auto"/>
          <w:highlight w:val="none"/>
          <w:lang w:val="en-US" w:eastAsia="zh-CN"/>
        </w:rPr>
        <w:t>所报产品主要技术参数及性能不低于</w:t>
      </w:r>
      <w:r>
        <w:rPr>
          <w:rFonts w:hint="eastAsia" w:ascii="Times New Roman" w:hAnsi="Times New Roman" w:eastAsia="宋体" w:cs="Times New Roman"/>
          <w:color w:val="auto"/>
          <w:highlight w:val="none"/>
          <w:lang w:val="en-US" w:eastAsia="zh-CN"/>
        </w:rPr>
        <w:t>谈判</w:t>
      </w:r>
      <w:r>
        <w:rPr>
          <w:rFonts w:hint="default" w:ascii="Times New Roman" w:hAnsi="Times New Roman" w:eastAsia="宋体" w:cs="Times New Roman"/>
          <w:color w:val="auto"/>
          <w:highlight w:val="none"/>
          <w:lang w:val="en-US" w:eastAsia="zh-CN"/>
        </w:rPr>
        <w:t>文件要求；</w:t>
      </w:r>
    </w:p>
    <w:p>
      <w:pPr>
        <w:spacing w:line="480" w:lineRule="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w:t>
      </w:r>
      <w:r>
        <w:rPr>
          <w:rFonts w:hint="eastAsia" w:ascii="Times New Roman" w:hAnsi="Times New Roman" w:eastAsia="宋体" w:cs="Times New Roman"/>
          <w:color w:val="auto"/>
          <w:highlight w:val="none"/>
        </w:rPr>
        <w:t>供应商</w:t>
      </w:r>
      <w:r>
        <w:rPr>
          <w:rFonts w:hint="eastAsia" w:ascii="Times New Roman" w:hAnsi="Times New Roman" w:eastAsia="宋体" w:cs="Times New Roman"/>
          <w:color w:val="auto"/>
          <w:highlight w:val="none"/>
          <w:lang w:eastAsia="zh-CN"/>
        </w:rPr>
        <w:t>应承诺</w:t>
      </w:r>
      <w:r>
        <w:rPr>
          <w:rFonts w:hint="default" w:ascii="Times New Roman" w:hAnsi="Times New Roman" w:eastAsia="宋体" w:cs="Times New Roman"/>
          <w:color w:val="auto"/>
          <w:highlight w:val="none"/>
          <w:lang w:val="en-US" w:eastAsia="zh-CN"/>
        </w:rPr>
        <w:t>所投必须为原厂正规产品；</w:t>
      </w:r>
    </w:p>
    <w:p>
      <w:pPr>
        <w:spacing w:line="480" w:lineRule="auto"/>
        <w:rPr>
          <w:rFonts w:hint="default" w:ascii="宋体" w:hAnsi="宋体" w:eastAsia="宋体" w:cs="Times New Roman"/>
          <w:b/>
          <w:bCs/>
          <w:color w:val="auto"/>
          <w:szCs w:val="21"/>
          <w:highlight w:val="none"/>
          <w:lang w:val="en-US" w:eastAsia="zh-CN"/>
        </w:rPr>
      </w:pPr>
      <w:r>
        <w:rPr>
          <w:rFonts w:hint="default"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lang w:val="en-US" w:eastAsia="zh-CN"/>
        </w:rPr>
        <w:t>供应商应</w:t>
      </w:r>
      <w:r>
        <w:rPr>
          <w:rFonts w:hint="default" w:ascii="Times New Roman" w:hAnsi="Times New Roman" w:eastAsia="宋体" w:cs="Times New Roman"/>
          <w:color w:val="auto"/>
          <w:highlight w:val="none"/>
          <w:lang w:val="en-US" w:eastAsia="zh-CN"/>
        </w:rPr>
        <w:t>承诺</w:t>
      </w:r>
      <w:r>
        <w:rPr>
          <w:rFonts w:hint="eastAsia" w:ascii="Times New Roman" w:hAnsi="Times New Roman" w:eastAsia="宋体" w:cs="Times New Roman"/>
          <w:color w:val="auto"/>
          <w:highlight w:val="none"/>
          <w:lang w:val="en-US" w:eastAsia="zh-CN"/>
        </w:rPr>
        <w:t>：</w:t>
      </w:r>
      <w:r>
        <w:rPr>
          <w:rFonts w:hint="default" w:ascii="Times New Roman" w:hAnsi="Times New Roman" w:eastAsia="宋体" w:cs="Times New Roman"/>
          <w:color w:val="auto"/>
          <w:highlight w:val="none"/>
          <w:lang w:val="en-US" w:eastAsia="zh-CN"/>
        </w:rPr>
        <w:t>在组织考试时提前一个星期派出技术人员进行系统设备巡检、维护和调试；确保设备正常运行，在考试期间派出至少两名技术人员驻场服务。</w:t>
      </w:r>
      <w:r>
        <w:rPr>
          <w:rFonts w:hint="eastAsia" w:ascii="Times New Roman" w:hAnsi="Times New Roman" w:eastAsia="宋体" w:cs="Times New Roman"/>
          <w:color w:val="auto"/>
          <w:highlight w:val="none"/>
          <w:lang w:val="en-US" w:eastAsia="zh-CN"/>
        </w:rPr>
        <w:t>供应商</w:t>
      </w:r>
      <w:r>
        <w:rPr>
          <w:rFonts w:hint="default" w:ascii="Times New Roman" w:hAnsi="Times New Roman" w:eastAsia="宋体" w:cs="Times New Roman"/>
          <w:color w:val="auto"/>
          <w:highlight w:val="none"/>
          <w:lang w:val="en-US" w:eastAsia="zh-CN"/>
        </w:rPr>
        <w:t>在服务期内应提供24小时技术支持，免费对产品软件进行升级，一年内不少于2次定期对设备进行巡检；在质保期内，若设备发生故障，30分钟内响应，并派技术人员在1小时内到达故障现场，提供现场服务；考试期间若设备发生故障10分钟内响应，并派技术人员在30分钟内到到场解决故障。若故障在42小时内无法修复，须提供相当的备用品，以保证用户的正常使用。</w:t>
      </w:r>
    </w:p>
    <w:p>
      <w:pPr>
        <w:pStyle w:val="5"/>
        <w:spacing w:line="360" w:lineRule="auto"/>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szCs w:val="21"/>
          <w:highlight w:val="none"/>
          <w:lang w:val="en-US" w:eastAsia="zh-CN"/>
        </w:rPr>
        <w:t>2、</w:t>
      </w:r>
      <w:r>
        <w:rPr>
          <w:rFonts w:hint="eastAsia" w:ascii="宋体" w:hAnsi="宋体" w:eastAsia="宋体" w:cs="Times New Roman"/>
          <w:b/>
          <w:bCs/>
          <w:color w:val="auto"/>
          <w:kern w:val="2"/>
          <w:sz w:val="21"/>
          <w:szCs w:val="21"/>
          <w:highlight w:val="none"/>
          <w:lang w:val="en-US" w:eastAsia="zh-CN" w:bidi="ar-SA"/>
        </w:rPr>
        <w:t>培训要求：</w:t>
      </w:r>
    </w:p>
    <w:p>
      <w:pPr>
        <w:pStyle w:val="5"/>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r>
        <w:rPr>
          <w:rFonts w:hint="eastAsia"/>
          <w:color w:val="auto"/>
          <w:highlight w:val="none"/>
        </w:rPr>
        <w:t>供应商</w:t>
      </w:r>
      <w:r>
        <w:rPr>
          <w:rFonts w:hint="eastAsia"/>
          <w:color w:val="auto"/>
          <w:highlight w:val="none"/>
          <w:lang w:eastAsia="zh-CN"/>
        </w:rPr>
        <w:t>应承诺：</w:t>
      </w:r>
      <w:r>
        <w:rPr>
          <w:rFonts w:hint="eastAsia" w:ascii="宋体" w:hAnsi="宋体" w:eastAsia="宋体" w:cs="Times New Roman"/>
          <w:color w:val="auto"/>
          <w:kern w:val="2"/>
          <w:sz w:val="21"/>
          <w:szCs w:val="21"/>
          <w:highlight w:val="none"/>
          <w:lang w:val="en-US" w:eastAsia="zh-CN" w:bidi="ar-SA"/>
        </w:rPr>
        <w:t>根据采购人的要求，供应商负责对本项目的用户进行培训，确保用户能够正确熟练地使用和维护，有关培训项目凡需计价收费则必须在投标报价中明列，培训费用计入投标总报价。</w:t>
      </w:r>
    </w:p>
    <w:p>
      <w:pPr>
        <w:pStyle w:val="5"/>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r>
        <w:rPr>
          <w:rFonts w:hint="eastAsia"/>
          <w:color w:val="auto"/>
          <w:highlight w:val="none"/>
        </w:rPr>
        <w:t>供应商</w:t>
      </w:r>
      <w:r>
        <w:rPr>
          <w:rFonts w:hint="eastAsia"/>
          <w:color w:val="auto"/>
          <w:highlight w:val="none"/>
          <w:lang w:eastAsia="zh-CN"/>
        </w:rPr>
        <w:t>应承诺：</w:t>
      </w:r>
      <w:r>
        <w:rPr>
          <w:rFonts w:hint="eastAsia" w:ascii="宋体" w:hAnsi="宋体" w:eastAsia="宋体" w:cs="Times New Roman"/>
          <w:color w:val="auto"/>
          <w:kern w:val="2"/>
          <w:sz w:val="21"/>
          <w:szCs w:val="21"/>
          <w:highlight w:val="none"/>
          <w:lang w:val="en-US" w:eastAsia="zh-CN" w:bidi="ar-SA"/>
        </w:rPr>
        <w:t>供应商必须为采购人不少于2名技术人员提供相应的系统操作和维护等方面的培训。培训应该在系统正式投入生产性运行前完成。供应商须在响应文件中提出全面、详细的培训课程以及时间表交给采购人，并在合同签定后征得采购人同意后实施。</w:t>
      </w:r>
    </w:p>
    <w:p>
      <w:pPr>
        <w:pStyle w:val="5"/>
        <w:spacing w:line="360" w:lineRule="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r>
        <w:rPr>
          <w:rFonts w:hint="eastAsia"/>
          <w:color w:val="auto"/>
          <w:highlight w:val="none"/>
        </w:rPr>
        <w:t>供应商</w:t>
      </w:r>
      <w:r>
        <w:rPr>
          <w:rFonts w:hint="eastAsia"/>
          <w:color w:val="auto"/>
          <w:highlight w:val="none"/>
          <w:lang w:eastAsia="zh-CN"/>
        </w:rPr>
        <w:t>应承诺：</w:t>
      </w:r>
      <w:r>
        <w:rPr>
          <w:rFonts w:hint="eastAsia" w:ascii="宋体" w:hAnsi="宋体" w:eastAsia="宋体" w:cs="Times New Roman"/>
          <w:color w:val="auto"/>
          <w:kern w:val="2"/>
          <w:sz w:val="21"/>
          <w:szCs w:val="21"/>
          <w:highlight w:val="none"/>
          <w:lang w:val="en-US" w:eastAsia="zh-CN" w:bidi="ar-SA"/>
        </w:rPr>
        <w:t>对于所有培训，供应商必须派出具有相应专业资格和实际工作、工作经验的辅导人员进行培训，主要培训教员应至少具有三年的培训经验。</w:t>
      </w:r>
    </w:p>
    <w:p>
      <w:pPr>
        <w:rPr>
          <w:rFonts w:hint="default"/>
          <w:b/>
          <w:bCs/>
          <w:color w:val="auto"/>
          <w:sz w:val="24"/>
          <w:szCs w:val="22"/>
          <w:highlight w:val="none"/>
          <w:lang w:val="en-US" w:eastAsia="zh-CN"/>
        </w:rPr>
      </w:pPr>
      <w:r>
        <w:rPr>
          <w:rFonts w:hint="eastAsia"/>
          <w:b/>
          <w:bCs/>
          <w:color w:val="auto"/>
          <w:sz w:val="24"/>
          <w:szCs w:val="22"/>
          <w:highlight w:val="none"/>
          <w:lang w:val="en-US" w:eastAsia="zh-CN"/>
        </w:rPr>
        <w:t>注：以上要求</w:t>
      </w:r>
      <w:r>
        <w:rPr>
          <w:rFonts w:hint="eastAsia"/>
          <w:b/>
          <w:bCs/>
          <w:color w:val="auto"/>
          <w:sz w:val="24"/>
          <w:szCs w:val="22"/>
          <w:highlight w:val="none"/>
        </w:rPr>
        <w:t>供应商</w:t>
      </w:r>
      <w:r>
        <w:rPr>
          <w:rFonts w:hint="eastAsia"/>
          <w:b/>
          <w:bCs/>
          <w:color w:val="auto"/>
          <w:sz w:val="24"/>
          <w:szCs w:val="22"/>
          <w:highlight w:val="none"/>
          <w:lang w:eastAsia="zh-CN"/>
        </w:rPr>
        <w:t>应承诺的内容，供应商应在响应文件中提供承诺加盖供应商公章，格式自拟。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320D9D"/>
    <w:rsid w:val="4732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500" w:beforeLines="0" w:after="500" w:afterLines="0" w:line="578" w:lineRule="auto"/>
      <w:jc w:val="center"/>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style>
  <w:style w:type="paragraph" w:styleId="4">
    <w:name w:val="envelope return"/>
    <w:basedOn w:val="1"/>
    <w:qFormat/>
    <w:uiPriority w:val="0"/>
    <w:pPr>
      <w:snapToGrid w:val="0"/>
    </w:pPr>
    <w:rPr>
      <w:rFonts w:ascii="Arial" w:hAnsi="Arial"/>
    </w:rPr>
  </w:style>
  <w:style w:type="paragraph" w:styleId="5">
    <w:name w:val="Body Text First Indent 2"/>
    <w:basedOn w:val="3"/>
    <w:next w:val="1"/>
    <w:qFormat/>
    <w:uiPriority w:val="0"/>
    <w:pPr>
      <w:numPr>
        <w:ilvl w:val="0"/>
        <w:numId w:val="0"/>
      </w:num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2022-05-23T10:56:00Z</dcterms:created>
  <dc:creator>.    俗人 。</dc:creator>
  <cp:lastModifiedBy>.    俗人 。</cp:lastModifiedBy>
  <dcterms:modified xsi:type="dcterms:W3CDTF">2022-05-23T10:57:32Z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7E1F2A9F400F4EE19C86D3285052B118</vt:lpwstr>
  </property>
</Properties>
</file>