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480" w:lineRule="exact"/>
        <w:ind w:right="-72" w:rightChars="-30"/>
        <w:rPr>
          <w:rFonts w:hint="eastAsia" w:ascii="宋体" w:hAnsi="宋体" w:cs="宋体"/>
          <w:color w:val="auto"/>
          <w:highlight w:val="none"/>
        </w:rPr>
      </w:pPr>
      <w:r>
        <w:rPr>
          <w:rFonts w:hint="eastAsia" w:ascii="宋体" w:hAnsi="宋体" w:cs="宋体"/>
          <w:color w:val="auto"/>
          <w:highlight w:val="none"/>
          <w:lang w:val="en-US" w:eastAsia="zh-CN"/>
        </w:rPr>
        <w:t>武陟县2019年5.66万亩高标准农田项目区农业用水计量设施提升改造所需设备采购项目</w:t>
      </w:r>
      <w:r>
        <w:rPr>
          <w:rFonts w:hint="eastAsia" w:ascii="宋体" w:hAnsi="宋体" w:cs="宋体"/>
          <w:color w:val="auto"/>
          <w:highlight w:val="none"/>
        </w:rPr>
        <w:t>采购需求</w:t>
      </w:r>
    </w:p>
    <w:p>
      <w:pPr>
        <w:keepNext w:val="0"/>
        <w:keepLines w:val="0"/>
        <w:pageBreakBefore w:val="0"/>
        <w:widowControl/>
        <w:kinsoku/>
        <w:wordWrap/>
        <w:overflowPunct/>
        <w:topLinePunct w:val="0"/>
        <w:autoSpaceDE/>
        <w:autoSpaceDN/>
        <w:bidi w:val="0"/>
        <w:adjustRightInd w:val="0"/>
        <w:snapToGrid w:val="0"/>
        <w:spacing w:line="380" w:lineRule="exact"/>
        <w:jc w:val="left"/>
        <w:textAlignment w:val="auto"/>
        <w:rPr>
          <w:rFonts w:ascii="宋体" w:hAnsi="宋体"/>
          <w:b/>
          <w:color w:val="auto"/>
          <w:kern w:val="0"/>
          <w:sz w:val="21"/>
          <w:szCs w:val="21"/>
          <w:highlight w:val="none"/>
        </w:rPr>
      </w:pPr>
      <w:r>
        <w:rPr>
          <w:rFonts w:hint="eastAsia" w:ascii="宋体" w:hAnsi="宋体" w:cs="宋体"/>
          <w:b/>
          <w:bCs/>
          <w:color w:val="auto"/>
          <w:sz w:val="21"/>
          <w:szCs w:val="21"/>
          <w:highlight w:val="none"/>
        </w:rPr>
        <w:t>一、</w:t>
      </w:r>
      <w:r>
        <w:rPr>
          <w:rFonts w:ascii="宋体" w:hAnsi="宋体"/>
          <w:b/>
          <w:color w:val="auto"/>
          <w:kern w:val="0"/>
          <w:sz w:val="21"/>
          <w:szCs w:val="21"/>
          <w:highlight w:val="none"/>
        </w:rPr>
        <w:t>相关说明</w:t>
      </w:r>
    </w:p>
    <w:p>
      <w:pPr>
        <w:keepNext w:val="0"/>
        <w:keepLines w:val="0"/>
        <w:pageBreakBefore w:val="0"/>
        <w:widowControl/>
        <w:kinsoku/>
        <w:wordWrap/>
        <w:overflowPunct/>
        <w:topLinePunct w:val="0"/>
        <w:autoSpaceDE/>
        <w:autoSpaceDN/>
        <w:bidi w:val="0"/>
        <w:adjustRightInd w:val="0"/>
        <w:snapToGrid w:val="0"/>
        <w:spacing w:line="380" w:lineRule="exact"/>
        <w:ind w:firstLine="420" w:firstLineChars="200"/>
        <w:jc w:val="left"/>
        <w:textAlignment w:val="auto"/>
        <w:rPr>
          <w:rFonts w:hint="eastAsia" w:ascii="宋体" w:hAnsi="宋体" w:cs="宋体"/>
          <w:b/>
          <w:bCs/>
          <w:color w:val="auto"/>
          <w:sz w:val="21"/>
          <w:szCs w:val="21"/>
          <w:highlight w:val="none"/>
          <w:lang w:val="en-US" w:eastAsia="zh-CN"/>
        </w:rPr>
      </w:pPr>
      <w:r>
        <w:rPr>
          <w:rFonts w:ascii="宋体" w:hAnsi="宋体"/>
          <w:color w:val="auto"/>
          <w:kern w:val="0"/>
          <w:sz w:val="21"/>
          <w:szCs w:val="21"/>
          <w:highlight w:val="none"/>
        </w:rPr>
        <w:t>本采购项目为交钥匙项目，</w:t>
      </w:r>
      <w:r>
        <w:rPr>
          <w:rFonts w:hint="eastAsia" w:ascii="宋体" w:hAnsi="宋体"/>
          <w:color w:val="auto"/>
          <w:kern w:val="0"/>
          <w:sz w:val="21"/>
          <w:szCs w:val="21"/>
          <w:highlight w:val="none"/>
        </w:rPr>
        <w:t>验收合格前</w:t>
      </w:r>
      <w:r>
        <w:rPr>
          <w:rFonts w:ascii="宋体" w:hAnsi="宋体"/>
          <w:color w:val="auto"/>
          <w:kern w:val="0"/>
          <w:sz w:val="21"/>
          <w:szCs w:val="21"/>
          <w:highlight w:val="none"/>
        </w:rPr>
        <w:t>所需的一切费用</w:t>
      </w:r>
      <w:r>
        <w:rPr>
          <w:rFonts w:hint="eastAsia" w:ascii="宋体" w:hAnsi="宋体"/>
          <w:color w:val="auto"/>
          <w:kern w:val="0"/>
          <w:sz w:val="21"/>
          <w:szCs w:val="21"/>
          <w:highlight w:val="none"/>
        </w:rPr>
        <w:t>均</w:t>
      </w:r>
      <w:r>
        <w:rPr>
          <w:rFonts w:ascii="宋体" w:hAnsi="宋体"/>
          <w:color w:val="auto"/>
          <w:kern w:val="0"/>
          <w:sz w:val="21"/>
          <w:szCs w:val="21"/>
          <w:highlight w:val="none"/>
        </w:rPr>
        <w:t>包含在报价之中，采购人不</w:t>
      </w:r>
      <w:r>
        <w:rPr>
          <w:rFonts w:hint="eastAsia" w:ascii="宋体" w:hAnsi="宋体"/>
          <w:color w:val="auto"/>
          <w:kern w:val="0"/>
          <w:sz w:val="21"/>
          <w:szCs w:val="21"/>
          <w:highlight w:val="none"/>
        </w:rPr>
        <w:t>承担成交价格以外的</w:t>
      </w:r>
      <w:r>
        <w:rPr>
          <w:rFonts w:ascii="宋体" w:hAnsi="宋体"/>
          <w:color w:val="auto"/>
          <w:kern w:val="0"/>
          <w:sz w:val="21"/>
          <w:szCs w:val="21"/>
          <w:highlight w:val="none"/>
        </w:rPr>
        <w:t>任何费用。</w:t>
      </w:r>
    </w:p>
    <w:p>
      <w:pPr>
        <w:keepNext w:val="0"/>
        <w:keepLines w:val="0"/>
        <w:pageBreakBefore w:val="0"/>
        <w:widowControl/>
        <w:kinsoku/>
        <w:wordWrap/>
        <w:overflowPunct/>
        <w:topLinePunct w:val="0"/>
        <w:autoSpaceDE/>
        <w:autoSpaceDN/>
        <w:bidi w:val="0"/>
        <w:adjustRightInd w:val="0"/>
        <w:snapToGrid w:val="0"/>
        <w:spacing w:line="380" w:lineRule="exact"/>
        <w:jc w:val="left"/>
        <w:textAlignment w:val="auto"/>
        <w:rPr>
          <w:rFonts w:hint="eastAsia" w:ascii="宋体" w:hAnsi="宋体" w:cs="宋体"/>
          <w:b/>
          <w:bCs/>
          <w:color w:val="auto"/>
          <w:sz w:val="21"/>
          <w:szCs w:val="21"/>
          <w:highlight w:val="none"/>
        </w:rPr>
      </w:pPr>
      <w:r>
        <w:rPr>
          <w:rFonts w:hint="eastAsia" w:ascii="宋体" w:hAnsi="宋体" w:cs="宋体"/>
          <w:b/>
          <w:bCs/>
          <w:color w:val="auto"/>
          <w:sz w:val="21"/>
          <w:szCs w:val="21"/>
          <w:highlight w:val="none"/>
          <w:lang w:val="en-US" w:eastAsia="zh-CN"/>
        </w:rPr>
        <w:t>二</w:t>
      </w:r>
      <w:r>
        <w:rPr>
          <w:rFonts w:hint="eastAsia" w:ascii="宋体" w:hAnsi="宋体" w:cs="宋体"/>
          <w:b/>
          <w:bCs/>
          <w:color w:val="auto"/>
          <w:sz w:val="21"/>
          <w:szCs w:val="21"/>
          <w:highlight w:val="none"/>
        </w:rPr>
        <w:t>、商务要求：</w:t>
      </w:r>
    </w:p>
    <w:p>
      <w:pPr>
        <w:keepNext w:val="0"/>
        <w:keepLines w:val="0"/>
        <w:pageBreakBefore w:val="0"/>
        <w:kinsoku/>
        <w:wordWrap/>
        <w:overflowPunct/>
        <w:topLinePunct w:val="0"/>
        <w:autoSpaceDE/>
        <w:autoSpaceDN/>
        <w:bidi w:val="0"/>
        <w:spacing w:line="380" w:lineRule="exact"/>
        <w:ind w:firstLine="422" w:firstLineChars="200"/>
        <w:textAlignment w:val="auto"/>
        <w:rPr>
          <w:rFonts w:ascii="宋体" w:hAnsi="宋体" w:cs="宋体"/>
          <w:color w:val="auto"/>
          <w:sz w:val="21"/>
          <w:szCs w:val="21"/>
          <w:highlight w:val="none"/>
        </w:rPr>
      </w:pPr>
      <w:r>
        <w:rPr>
          <w:rFonts w:hint="eastAsia" w:ascii="宋体" w:hAnsi="宋体" w:cs="宋体"/>
          <w:b/>
          <w:bCs/>
          <w:color w:val="auto"/>
          <w:sz w:val="21"/>
          <w:szCs w:val="21"/>
          <w:highlight w:val="none"/>
        </w:rPr>
        <w:t>1.</w:t>
      </w:r>
      <w:r>
        <w:rPr>
          <w:rFonts w:hint="eastAsia" w:ascii="宋体" w:hAnsi="宋体" w:cs="宋体"/>
          <w:b/>
          <w:bCs/>
          <w:color w:val="auto"/>
          <w:sz w:val="21"/>
          <w:szCs w:val="21"/>
          <w:highlight w:val="none"/>
          <w:lang w:eastAsia="zh-CN"/>
        </w:rPr>
        <w:t>合同履行期限</w:t>
      </w:r>
      <w:r>
        <w:rPr>
          <w:rFonts w:hint="eastAsia" w:ascii="宋体" w:hAnsi="宋体" w:cs="宋体"/>
          <w:b/>
          <w:bCs/>
          <w:color w:val="auto"/>
          <w:sz w:val="21"/>
          <w:szCs w:val="21"/>
          <w:highlight w:val="none"/>
        </w:rPr>
        <w:t>：</w:t>
      </w:r>
      <w:r>
        <w:rPr>
          <w:rFonts w:hint="eastAsia" w:ascii="宋体" w:hAnsi="宋体"/>
          <w:color w:val="auto"/>
          <w:kern w:val="0"/>
          <w:sz w:val="21"/>
          <w:szCs w:val="21"/>
          <w:highlight w:val="none"/>
        </w:rPr>
        <w:t>自合同签订之日起</w:t>
      </w:r>
      <w:r>
        <w:rPr>
          <w:rFonts w:hint="eastAsia" w:ascii="宋体" w:hAnsi="宋体"/>
          <w:color w:val="auto"/>
          <w:kern w:val="0"/>
          <w:sz w:val="21"/>
          <w:szCs w:val="21"/>
          <w:highlight w:val="none"/>
          <w:lang w:val="en-US" w:eastAsia="zh-CN"/>
        </w:rPr>
        <w:t>60</w:t>
      </w:r>
      <w:r>
        <w:rPr>
          <w:rFonts w:hint="eastAsia" w:ascii="宋体" w:hAnsi="宋体"/>
          <w:color w:val="auto"/>
          <w:kern w:val="0"/>
          <w:sz w:val="21"/>
          <w:szCs w:val="21"/>
          <w:highlight w:val="none"/>
        </w:rPr>
        <w:t>日历天内完成所有供货</w:t>
      </w:r>
      <w:r>
        <w:rPr>
          <w:rFonts w:hint="eastAsia" w:ascii="宋体" w:hAnsi="宋体"/>
          <w:color w:val="auto"/>
          <w:kern w:val="0"/>
          <w:sz w:val="21"/>
          <w:szCs w:val="21"/>
          <w:highlight w:val="none"/>
          <w:lang w:eastAsia="zh-CN"/>
        </w:rPr>
        <w:t>、</w:t>
      </w:r>
      <w:r>
        <w:rPr>
          <w:rFonts w:hint="eastAsia" w:ascii="宋体" w:hAnsi="宋体"/>
          <w:color w:val="auto"/>
          <w:kern w:val="0"/>
          <w:sz w:val="21"/>
          <w:szCs w:val="21"/>
          <w:highlight w:val="none"/>
          <w:lang w:val="en-US" w:eastAsia="zh-CN"/>
        </w:rPr>
        <w:t>安装、调试，并与省、县、乡水价改革信息平台完成对接，交付农户使用</w:t>
      </w:r>
      <w:r>
        <w:rPr>
          <w:rFonts w:hint="eastAsia" w:ascii="宋体" w:hAnsi="宋体"/>
          <w:color w:val="auto"/>
          <w:kern w:val="0"/>
          <w:sz w:val="21"/>
          <w:szCs w:val="21"/>
          <w:highlight w:val="none"/>
        </w:rPr>
        <w:t>。</w:t>
      </w:r>
    </w:p>
    <w:p>
      <w:pPr>
        <w:keepNext w:val="0"/>
        <w:keepLines w:val="0"/>
        <w:pageBreakBefore w:val="0"/>
        <w:kinsoku/>
        <w:wordWrap/>
        <w:overflowPunct/>
        <w:topLinePunct w:val="0"/>
        <w:autoSpaceDE/>
        <w:autoSpaceDN/>
        <w:bidi w:val="0"/>
        <w:spacing w:line="380" w:lineRule="exact"/>
        <w:ind w:firstLine="422" w:firstLineChars="200"/>
        <w:textAlignment w:val="auto"/>
        <w:rPr>
          <w:rFonts w:hint="eastAsia" w:ascii="宋体" w:hAnsi="宋体" w:eastAsia="宋体" w:cs="宋体"/>
          <w:b/>
          <w:bCs/>
          <w:color w:val="auto"/>
          <w:sz w:val="21"/>
          <w:szCs w:val="21"/>
          <w:highlight w:val="none"/>
          <w:lang w:val="en-US"/>
        </w:rPr>
      </w:pPr>
      <w:r>
        <w:rPr>
          <w:rFonts w:hint="eastAsia" w:ascii="宋体" w:hAnsi="宋体" w:cs="宋体"/>
          <w:b/>
          <w:bCs/>
          <w:color w:val="auto"/>
          <w:sz w:val="21"/>
          <w:szCs w:val="21"/>
          <w:highlight w:val="none"/>
        </w:rPr>
        <w:t>2.供货地点：</w:t>
      </w:r>
      <w:r>
        <w:rPr>
          <w:rFonts w:hint="eastAsia" w:ascii="宋体" w:hAnsi="宋体" w:cs="宋体"/>
          <w:b w:val="0"/>
          <w:bCs w:val="0"/>
          <w:color w:val="auto"/>
          <w:sz w:val="21"/>
          <w:szCs w:val="21"/>
          <w:highlight w:val="none"/>
          <w:lang w:val="en-US" w:eastAsia="zh-CN"/>
        </w:rPr>
        <w:t>武陟县</w:t>
      </w:r>
      <w:r>
        <w:rPr>
          <w:rFonts w:hint="eastAsia" w:ascii="宋体" w:hAnsi="宋体" w:eastAsia="宋体" w:cs="宋体"/>
          <w:color w:val="auto"/>
          <w:sz w:val="21"/>
          <w:szCs w:val="21"/>
          <w:highlight w:val="none"/>
          <w:lang w:val="en-US" w:eastAsia="zh-CN"/>
        </w:rPr>
        <w:t>西陶镇、大虹桥乡、北郭乡、谢旗营镇等4个乡镇3</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个行政村，其中，西陶镇</w:t>
      </w:r>
      <w:r>
        <w:rPr>
          <w:rFonts w:hint="eastAsia" w:ascii="宋体" w:hAnsi="宋体" w:cs="宋体"/>
          <w:color w:val="auto"/>
          <w:sz w:val="21"/>
          <w:szCs w:val="21"/>
          <w:highlight w:val="none"/>
          <w:lang w:val="en-US" w:eastAsia="zh-CN"/>
        </w:rPr>
        <w:t>1.03万亩项目区涉及</w:t>
      </w:r>
      <w:r>
        <w:rPr>
          <w:rFonts w:hint="eastAsia" w:ascii="宋体" w:hAnsi="宋体" w:eastAsia="宋体" w:cs="宋体"/>
          <w:color w:val="auto"/>
          <w:sz w:val="21"/>
          <w:szCs w:val="21"/>
          <w:highlight w:val="none"/>
          <w:lang w:val="en-US" w:eastAsia="zh-CN"/>
        </w:rPr>
        <w:t>王顺村、东张计村、张武村、郭庄村、大南张村、周家庄村、小南张村等7个村</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大虹桥乡</w:t>
      </w:r>
      <w:r>
        <w:rPr>
          <w:rFonts w:hint="eastAsia" w:ascii="宋体" w:hAnsi="宋体" w:cs="宋体"/>
          <w:color w:val="auto"/>
          <w:sz w:val="21"/>
          <w:szCs w:val="21"/>
          <w:highlight w:val="none"/>
          <w:lang w:val="en-US" w:eastAsia="zh-CN"/>
        </w:rPr>
        <w:t>1.26万亩项目区涉及</w:t>
      </w:r>
      <w:r>
        <w:rPr>
          <w:rFonts w:hint="eastAsia" w:ascii="宋体" w:hAnsi="宋体" w:eastAsia="宋体" w:cs="宋体"/>
          <w:color w:val="auto"/>
          <w:sz w:val="21"/>
          <w:szCs w:val="21"/>
          <w:highlight w:val="none"/>
          <w:lang w:val="en-US" w:eastAsia="zh-CN"/>
        </w:rPr>
        <w:t>大虹桥村、岳庄、东小虹、西小虹、小高山、寺王庄、大高山等7个村</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北郭乡0.75万亩项目区</w:t>
      </w:r>
      <w:r>
        <w:rPr>
          <w:rFonts w:hint="eastAsia" w:ascii="宋体" w:hAnsi="宋体" w:cs="宋体"/>
          <w:color w:val="auto"/>
          <w:sz w:val="21"/>
          <w:szCs w:val="21"/>
          <w:highlight w:val="none"/>
          <w:lang w:val="en-US" w:eastAsia="zh-CN"/>
        </w:rPr>
        <w:t>涉及</w:t>
      </w:r>
      <w:r>
        <w:rPr>
          <w:rFonts w:hint="eastAsia" w:ascii="宋体" w:hAnsi="宋体" w:eastAsia="宋体" w:cs="宋体"/>
          <w:color w:val="auto"/>
          <w:sz w:val="21"/>
          <w:szCs w:val="21"/>
          <w:highlight w:val="none"/>
          <w:lang w:val="en-US" w:eastAsia="zh-CN"/>
        </w:rPr>
        <w:t>岳马蓬村、东草亭村、西草亭村、涧沟村、马后庄村、李后庄村、任后庄村、解封村、东安村、城子村等1</w:t>
      </w:r>
      <w:r>
        <w:rPr>
          <w:rFonts w:hint="eastAsia" w:ascii="宋体" w:hAnsi="宋体" w:cs="宋体"/>
          <w:color w:val="auto"/>
          <w:sz w:val="21"/>
          <w:szCs w:val="21"/>
          <w:highlight w:val="none"/>
          <w:lang w:val="en-US" w:eastAsia="zh-CN"/>
        </w:rPr>
        <w:t>0</w:t>
      </w:r>
      <w:r>
        <w:rPr>
          <w:rFonts w:hint="eastAsia" w:ascii="宋体" w:hAnsi="宋体" w:eastAsia="宋体" w:cs="宋体"/>
          <w:color w:val="auto"/>
          <w:sz w:val="21"/>
          <w:szCs w:val="21"/>
          <w:highlight w:val="none"/>
          <w:lang w:val="en-US" w:eastAsia="zh-CN"/>
        </w:rPr>
        <w:t>个村</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北郭乡0.86万亩项目区</w:t>
      </w:r>
      <w:r>
        <w:rPr>
          <w:rFonts w:hint="eastAsia" w:ascii="宋体" w:hAnsi="宋体" w:cs="宋体"/>
          <w:color w:val="auto"/>
          <w:sz w:val="21"/>
          <w:szCs w:val="21"/>
          <w:highlight w:val="none"/>
          <w:lang w:val="en-US" w:eastAsia="zh-CN"/>
        </w:rPr>
        <w:t>（黄河滩区）涉及</w:t>
      </w:r>
      <w:r>
        <w:rPr>
          <w:rFonts w:hint="eastAsia" w:ascii="宋体" w:hAnsi="宋体" w:eastAsia="宋体" w:cs="宋体"/>
          <w:color w:val="auto"/>
          <w:sz w:val="21"/>
          <w:szCs w:val="21"/>
          <w:highlight w:val="none"/>
          <w:lang w:val="en-US" w:eastAsia="zh-CN"/>
        </w:rPr>
        <w:t>解封村、东安村等2个村</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北郭乡0.45万亩项目区（</w:t>
      </w:r>
      <w:r>
        <w:rPr>
          <w:rFonts w:hint="eastAsia" w:ascii="宋体" w:hAnsi="宋体" w:cs="宋体"/>
          <w:color w:val="auto"/>
          <w:sz w:val="21"/>
          <w:szCs w:val="21"/>
          <w:highlight w:val="none"/>
          <w:lang w:val="en-US" w:eastAsia="zh-CN"/>
        </w:rPr>
        <w:t>黄河滩区）涉及</w:t>
      </w:r>
      <w:r>
        <w:rPr>
          <w:rFonts w:hint="eastAsia" w:ascii="宋体" w:hAnsi="宋体" w:eastAsia="宋体" w:cs="宋体"/>
          <w:color w:val="auto"/>
          <w:sz w:val="21"/>
          <w:szCs w:val="21"/>
          <w:highlight w:val="none"/>
          <w:lang w:val="en-US" w:eastAsia="zh-CN"/>
        </w:rPr>
        <w:t>高余会村、索余会村、小司马村、韩余会村、镇南庄村等5个村）、谢旗营镇1.31万亩项目区</w:t>
      </w:r>
      <w:r>
        <w:rPr>
          <w:rFonts w:hint="eastAsia" w:ascii="宋体" w:hAnsi="宋体" w:cs="宋体"/>
          <w:color w:val="auto"/>
          <w:sz w:val="21"/>
          <w:szCs w:val="21"/>
          <w:highlight w:val="none"/>
          <w:lang w:val="en-US" w:eastAsia="zh-CN"/>
        </w:rPr>
        <w:t>涉及</w:t>
      </w:r>
      <w:r>
        <w:rPr>
          <w:rFonts w:hint="eastAsia" w:ascii="宋体" w:hAnsi="宋体" w:eastAsia="宋体" w:cs="宋体"/>
          <w:color w:val="auto"/>
          <w:sz w:val="21"/>
          <w:szCs w:val="21"/>
          <w:highlight w:val="none"/>
          <w:lang w:val="en-US" w:eastAsia="zh-CN"/>
        </w:rPr>
        <w:t>谢旗营村、北大段村、北小段村、南大段村、陈堤村、杨堂村、小寨村等7个村</w:t>
      </w:r>
      <w:r>
        <w:rPr>
          <w:rFonts w:hint="eastAsia" w:ascii="宋体" w:hAnsi="宋体" w:cs="宋体"/>
          <w:color w:val="auto"/>
          <w:sz w:val="21"/>
          <w:szCs w:val="21"/>
          <w:highlight w:val="none"/>
          <w:lang w:val="en-US" w:eastAsia="zh-CN"/>
        </w:rPr>
        <w:t>。</w:t>
      </w:r>
    </w:p>
    <w:p>
      <w:pPr>
        <w:keepNext w:val="0"/>
        <w:keepLines w:val="0"/>
        <w:pageBreakBefore w:val="0"/>
        <w:kinsoku/>
        <w:wordWrap/>
        <w:overflowPunct/>
        <w:topLinePunct w:val="0"/>
        <w:autoSpaceDE/>
        <w:autoSpaceDN/>
        <w:bidi w:val="0"/>
        <w:spacing w:line="380" w:lineRule="exact"/>
        <w:ind w:firstLine="422" w:firstLineChars="200"/>
        <w:textAlignment w:val="auto"/>
        <w:rPr>
          <w:rFonts w:hint="eastAsia" w:ascii="宋体" w:hAnsi="宋体"/>
          <w:color w:val="auto"/>
          <w:kern w:val="0"/>
          <w:sz w:val="21"/>
          <w:szCs w:val="21"/>
          <w:highlight w:val="none"/>
        </w:rPr>
      </w:pPr>
      <w:r>
        <w:rPr>
          <w:rFonts w:hint="eastAsia" w:ascii="宋体" w:hAnsi="宋体" w:cs="宋体"/>
          <w:b/>
          <w:bCs/>
          <w:color w:val="auto"/>
          <w:sz w:val="21"/>
          <w:szCs w:val="21"/>
          <w:highlight w:val="none"/>
        </w:rPr>
        <w:t>3.质量标准：</w:t>
      </w:r>
      <w:r>
        <w:rPr>
          <w:rFonts w:hint="eastAsia" w:ascii="宋体" w:hAnsi="宋体" w:cs="宋体"/>
          <w:color w:val="auto"/>
          <w:kern w:val="0"/>
          <w:sz w:val="21"/>
          <w:szCs w:val="21"/>
          <w:highlight w:val="none"/>
        </w:rPr>
        <w:t>符合国家及行业质量标准合格要求</w:t>
      </w:r>
      <w:r>
        <w:rPr>
          <w:rFonts w:hint="eastAsia" w:ascii="宋体" w:hAnsi="宋体"/>
          <w:color w:val="auto"/>
          <w:kern w:val="0"/>
          <w:sz w:val="21"/>
          <w:szCs w:val="21"/>
          <w:highlight w:val="none"/>
        </w:rPr>
        <w:t>。</w:t>
      </w:r>
    </w:p>
    <w:p>
      <w:pPr>
        <w:keepNext w:val="0"/>
        <w:keepLines w:val="0"/>
        <w:pageBreakBefore w:val="0"/>
        <w:kinsoku/>
        <w:wordWrap/>
        <w:overflowPunct/>
        <w:topLinePunct w:val="0"/>
        <w:autoSpaceDE/>
        <w:autoSpaceDN/>
        <w:bidi w:val="0"/>
        <w:spacing w:line="380" w:lineRule="exact"/>
        <w:ind w:firstLine="422" w:firstLineChars="200"/>
        <w:textAlignment w:val="auto"/>
        <w:rPr>
          <w:rFonts w:hint="eastAsia" w:ascii="宋体" w:hAnsi="宋体"/>
          <w:color w:val="auto"/>
          <w:kern w:val="0"/>
          <w:sz w:val="21"/>
          <w:szCs w:val="21"/>
          <w:highlight w:val="none"/>
        </w:rPr>
      </w:pPr>
      <w:r>
        <w:rPr>
          <w:rFonts w:hint="eastAsia" w:ascii="宋体" w:hAnsi="宋体"/>
          <w:b/>
          <w:bCs/>
          <w:color w:val="auto"/>
          <w:kern w:val="0"/>
          <w:sz w:val="21"/>
          <w:szCs w:val="21"/>
          <w:highlight w:val="none"/>
        </w:rPr>
        <w:t>4.质量保证期：</w:t>
      </w:r>
      <w:r>
        <w:rPr>
          <w:rFonts w:hint="eastAsia" w:ascii="宋体" w:hAnsi="宋体"/>
          <w:color w:val="auto"/>
          <w:kern w:val="0"/>
          <w:sz w:val="21"/>
          <w:szCs w:val="21"/>
          <w:highlight w:val="none"/>
        </w:rPr>
        <w:t>自</w:t>
      </w:r>
      <w:r>
        <w:rPr>
          <w:rFonts w:hint="eastAsia" w:ascii="宋体" w:hAnsi="宋体"/>
          <w:color w:val="auto"/>
          <w:kern w:val="0"/>
          <w:sz w:val="21"/>
          <w:szCs w:val="21"/>
          <w:highlight w:val="none"/>
          <w:lang w:val="en-US" w:eastAsia="zh-CN"/>
        </w:rPr>
        <w:t>安装</w:t>
      </w:r>
      <w:r>
        <w:rPr>
          <w:rFonts w:hint="eastAsia" w:ascii="宋体" w:hAnsi="宋体"/>
          <w:color w:val="auto"/>
          <w:kern w:val="0"/>
          <w:sz w:val="21"/>
          <w:szCs w:val="21"/>
          <w:highlight w:val="none"/>
        </w:rPr>
        <w:t>交付投入使用起</w:t>
      </w:r>
      <w:r>
        <w:rPr>
          <w:rFonts w:hint="eastAsia" w:ascii="宋体" w:hAnsi="宋体"/>
          <w:color w:val="auto"/>
          <w:kern w:val="0"/>
          <w:sz w:val="21"/>
          <w:szCs w:val="21"/>
          <w:highlight w:val="none"/>
          <w:lang w:val="en-US" w:eastAsia="zh-CN"/>
        </w:rPr>
        <w:t>一</w:t>
      </w:r>
      <w:r>
        <w:rPr>
          <w:rFonts w:hint="eastAsia" w:ascii="宋体" w:hAnsi="宋体"/>
          <w:color w:val="auto"/>
          <w:kern w:val="0"/>
          <w:sz w:val="21"/>
          <w:szCs w:val="21"/>
          <w:highlight w:val="none"/>
        </w:rPr>
        <w:t>年内，如发现质量问题，供货方收到需方函、电后应在24小时内及时派人到现场处理，一切责任损失由供货方承担。</w:t>
      </w:r>
    </w:p>
    <w:p>
      <w:pPr>
        <w:keepNext w:val="0"/>
        <w:keepLines w:val="0"/>
        <w:pageBreakBefore w:val="0"/>
        <w:kinsoku/>
        <w:wordWrap/>
        <w:overflowPunct/>
        <w:topLinePunct w:val="0"/>
        <w:autoSpaceDE/>
        <w:autoSpaceDN/>
        <w:bidi w:val="0"/>
        <w:spacing w:line="380" w:lineRule="exact"/>
        <w:ind w:firstLine="422" w:firstLineChars="200"/>
        <w:jc w:val="left"/>
        <w:textAlignment w:val="auto"/>
        <w:rPr>
          <w:rFonts w:hint="eastAsia" w:ascii="宋体" w:hAnsi="宋体" w:cs="宋体"/>
          <w:color w:val="auto"/>
          <w:sz w:val="21"/>
          <w:szCs w:val="21"/>
          <w:highlight w:val="none"/>
        </w:rPr>
      </w:pPr>
      <w:r>
        <w:rPr>
          <w:rFonts w:hint="eastAsia" w:ascii="宋体" w:hAnsi="宋体"/>
          <w:b/>
          <w:bCs/>
          <w:color w:val="auto"/>
          <w:kern w:val="0"/>
          <w:sz w:val="21"/>
          <w:szCs w:val="21"/>
          <w:highlight w:val="none"/>
        </w:rPr>
        <w:t>5.付款方式：</w:t>
      </w:r>
      <w:r>
        <w:rPr>
          <w:rFonts w:hint="eastAsia" w:ascii="宋体" w:hAnsi="宋体" w:eastAsia="宋体" w:cs="宋体"/>
          <w:color w:val="auto"/>
          <w:kern w:val="0"/>
          <w:sz w:val="21"/>
          <w:szCs w:val="21"/>
          <w:highlight w:val="none"/>
          <w:lang w:val="en-US" w:eastAsia="zh-CN" w:bidi="ar"/>
        </w:rPr>
        <w:t>乙方</w:t>
      </w:r>
      <w:r>
        <w:rPr>
          <w:rFonts w:hint="eastAsia" w:ascii="宋体" w:hAnsi="宋体"/>
          <w:color w:val="auto"/>
          <w:kern w:val="0"/>
          <w:sz w:val="21"/>
          <w:szCs w:val="21"/>
          <w:highlight w:val="none"/>
        </w:rPr>
        <w:t>供货</w:t>
      </w:r>
      <w:r>
        <w:rPr>
          <w:rFonts w:hint="eastAsia" w:ascii="宋体" w:hAnsi="宋体"/>
          <w:color w:val="auto"/>
          <w:kern w:val="0"/>
          <w:sz w:val="21"/>
          <w:szCs w:val="21"/>
          <w:highlight w:val="none"/>
          <w:lang w:eastAsia="zh-CN"/>
        </w:rPr>
        <w:t>、</w:t>
      </w:r>
      <w:r>
        <w:rPr>
          <w:rFonts w:hint="eastAsia" w:ascii="宋体" w:hAnsi="宋体"/>
          <w:color w:val="auto"/>
          <w:kern w:val="0"/>
          <w:sz w:val="21"/>
          <w:szCs w:val="21"/>
          <w:highlight w:val="none"/>
          <w:lang w:val="en-US" w:eastAsia="zh-CN"/>
        </w:rPr>
        <w:t>安装、调试，并与省、县、乡水价改革信息平台完成对接后，</w:t>
      </w:r>
      <w:r>
        <w:rPr>
          <w:rFonts w:hint="eastAsia" w:ascii="宋体" w:hAnsi="宋体" w:eastAsia="宋体" w:cs="宋体"/>
          <w:color w:val="auto"/>
          <w:kern w:val="0"/>
          <w:sz w:val="21"/>
          <w:szCs w:val="21"/>
          <w:highlight w:val="none"/>
          <w:lang w:val="en-US" w:eastAsia="zh-CN" w:bidi="ar"/>
        </w:rPr>
        <w:t>经甲方验收合格后付至合同总额9</w:t>
      </w:r>
      <w:r>
        <w:rPr>
          <w:rFonts w:hint="eastAsia" w:ascii="宋体" w:hAnsi="宋体" w:cs="宋体"/>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%，余</w:t>
      </w:r>
      <w:r>
        <w:rPr>
          <w:rFonts w:hint="eastAsia" w:ascii="宋体" w:hAnsi="宋体" w:cs="宋体"/>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%待</w:t>
      </w:r>
      <w:r>
        <w:rPr>
          <w:rFonts w:hint="eastAsia" w:ascii="宋体" w:hAnsi="宋体" w:cs="宋体"/>
          <w:color w:val="auto"/>
          <w:kern w:val="0"/>
          <w:sz w:val="21"/>
          <w:szCs w:val="21"/>
          <w:highlight w:val="none"/>
          <w:lang w:val="en-US" w:eastAsia="zh-CN" w:bidi="ar"/>
        </w:rPr>
        <w:t>一年</w:t>
      </w:r>
      <w:r>
        <w:rPr>
          <w:rFonts w:hint="eastAsia" w:ascii="宋体" w:hAnsi="宋体" w:eastAsia="宋体" w:cs="宋体"/>
          <w:color w:val="auto"/>
          <w:kern w:val="0"/>
          <w:sz w:val="21"/>
          <w:szCs w:val="21"/>
          <w:highlight w:val="none"/>
          <w:lang w:val="en-US" w:eastAsia="zh-CN" w:bidi="ar"/>
        </w:rPr>
        <w:t>后无质量问题时一次性付清。</w:t>
      </w:r>
    </w:p>
    <w:p>
      <w:pPr>
        <w:keepNext w:val="0"/>
        <w:keepLines w:val="0"/>
        <w:pageBreakBefore w:val="0"/>
        <w:kinsoku/>
        <w:wordWrap/>
        <w:overflowPunct/>
        <w:topLinePunct w:val="0"/>
        <w:autoSpaceDE/>
        <w:autoSpaceDN/>
        <w:bidi w:val="0"/>
        <w:spacing w:line="380" w:lineRule="exact"/>
        <w:ind w:firstLine="422"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cs="宋体"/>
          <w:b/>
          <w:bCs/>
          <w:color w:val="auto"/>
          <w:kern w:val="0"/>
          <w:sz w:val="21"/>
          <w:szCs w:val="21"/>
          <w:highlight w:val="none"/>
          <w:lang w:val="en-US" w:eastAsia="zh-CN"/>
        </w:rPr>
        <w:t>6.</w:t>
      </w:r>
      <w:r>
        <w:rPr>
          <w:rFonts w:hint="eastAsia" w:ascii="宋体" w:hAnsi="宋体" w:cs="宋体"/>
          <w:b/>
          <w:bCs/>
          <w:color w:val="auto"/>
          <w:kern w:val="0"/>
          <w:sz w:val="21"/>
          <w:szCs w:val="21"/>
          <w:highlight w:val="none"/>
        </w:rPr>
        <w:t>服务要求：</w:t>
      </w:r>
      <w:r>
        <w:rPr>
          <w:rFonts w:hint="eastAsia" w:ascii="宋体" w:hAnsi="宋体" w:eastAsia="宋体" w:cs="宋体"/>
          <w:color w:val="auto"/>
          <w:kern w:val="0"/>
          <w:sz w:val="21"/>
          <w:szCs w:val="21"/>
          <w:highlight w:val="none"/>
          <w:lang w:val="en-US" w:eastAsia="zh-CN" w:bidi="ar"/>
        </w:rPr>
        <w:t>负责完成每个项目区的农业用水计量设施信息登记汇总和用水户信息登记工作。同时，还要对用水户或用水组织开展计量设施使用技术培训，确保用水户能正常使用计量设施进行灌溉。</w:t>
      </w:r>
    </w:p>
    <w:p>
      <w:pPr>
        <w:keepNext w:val="0"/>
        <w:keepLines w:val="0"/>
        <w:pageBreakBefore w:val="0"/>
        <w:kinsoku/>
        <w:wordWrap/>
        <w:overflowPunct/>
        <w:topLinePunct w:val="0"/>
        <w:autoSpaceDE/>
        <w:autoSpaceDN/>
        <w:bidi w:val="0"/>
        <w:spacing w:line="380" w:lineRule="exact"/>
        <w:ind w:firstLine="422" w:firstLineChars="200"/>
        <w:textAlignment w:val="auto"/>
        <w:rPr>
          <w:rFonts w:hint="eastAsia" w:ascii="宋体" w:hAnsi="宋体" w:cs="宋体"/>
          <w:b/>
          <w:bCs/>
          <w:color w:val="auto"/>
          <w:sz w:val="21"/>
          <w:szCs w:val="21"/>
          <w:highlight w:val="none"/>
        </w:rPr>
      </w:pPr>
      <w:r>
        <w:rPr>
          <w:rFonts w:hint="eastAsia" w:ascii="宋体" w:hAnsi="宋体" w:cs="宋体"/>
          <w:b/>
          <w:bCs/>
          <w:color w:val="auto"/>
          <w:sz w:val="21"/>
          <w:szCs w:val="21"/>
          <w:highlight w:val="none"/>
          <w:lang w:val="en-US" w:eastAsia="zh-CN"/>
        </w:rPr>
        <w:t>7.商品包装要求</w:t>
      </w:r>
      <w:r>
        <w:rPr>
          <w:rFonts w:hint="eastAsia" w:ascii="宋体" w:hAnsi="宋体" w:cs="宋体"/>
          <w:b/>
          <w:bCs/>
          <w:color w:val="auto"/>
          <w:sz w:val="21"/>
          <w:szCs w:val="21"/>
          <w:highlight w:val="none"/>
        </w:rPr>
        <w:t>：</w:t>
      </w:r>
    </w:p>
    <w:p>
      <w:pPr>
        <w:keepNext w:val="0"/>
        <w:keepLines w:val="0"/>
        <w:pageBreakBefore w:val="0"/>
        <w:kinsoku/>
        <w:wordWrap/>
        <w:overflowPunct/>
        <w:topLinePunct w:val="0"/>
        <w:autoSpaceDE/>
        <w:autoSpaceDN/>
        <w:bidi w:val="0"/>
        <w:spacing w:line="380" w:lineRule="exact"/>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7.1适用范围 </w:t>
      </w:r>
    </w:p>
    <w:p>
      <w:pPr>
        <w:keepNext w:val="0"/>
        <w:keepLines w:val="0"/>
        <w:pageBreakBefore w:val="0"/>
        <w:kinsoku/>
        <w:wordWrap/>
        <w:overflowPunct/>
        <w:topLinePunct w:val="0"/>
        <w:autoSpaceDE/>
        <w:autoSpaceDN/>
        <w:bidi w:val="0"/>
        <w:spacing w:line="380" w:lineRule="exact"/>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本标准规定了商品使用的塑料、纸质、木质等包装材料的环保要求。 </w:t>
      </w:r>
    </w:p>
    <w:p>
      <w:pPr>
        <w:keepNext w:val="0"/>
        <w:keepLines w:val="0"/>
        <w:pageBreakBefore w:val="0"/>
        <w:kinsoku/>
        <w:wordWrap/>
        <w:overflowPunct/>
        <w:topLinePunct w:val="0"/>
        <w:autoSpaceDE/>
        <w:autoSpaceDN/>
        <w:bidi w:val="0"/>
        <w:spacing w:line="380" w:lineRule="exact"/>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7.2商品包装环保要求 </w:t>
      </w:r>
    </w:p>
    <w:p>
      <w:pPr>
        <w:keepNext w:val="0"/>
        <w:keepLines w:val="0"/>
        <w:pageBreakBefore w:val="0"/>
        <w:kinsoku/>
        <w:wordWrap/>
        <w:overflowPunct/>
        <w:topLinePunct w:val="0"/>
        <w:autoSpaceDE/>
        <w:autoSpaceDN/>
        <w:bidi w:val="0"/>
        <w:spacing w:line="380" w:lineRule="exact"/>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（1）商品包装层数不得超过 3 层，空隙率不大于 40%； </w:t>
      </w:r>
    </w:p>
    <w:p>
      <w:pPr>
        <w:keepNext w:val="0"/>
        <w:keepLines w:val="0"/>
        <w:pageBreakBefore w:val="0"/>
        <w:kinsoku/>
        <w:wordWrap/>
        <w:overflowPunct/>
        <w:topLinePunct w:val="0"/>
        <w:autoSpaceDE/>
        <w:autoSpaceDN/>
        <w:bidi w:val="0"/>
        <w:spacing w:line="380" w:lineRule="exact"/>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（2）商品包装尽可能使用单一材质的包装材料，如因功能需求必需使用不同材质，不同材质间应便于分离； </w:t>
      </w:r>
    </w:p>
    <w:p>
      <w:pPr>
        <w:keepNext w:val="0"/>
        <w:keepLines w:val="0"/>
        <w:pageBreakBefore w:val="0"/>
        <w:kinsoku/>
        <w:wordWrap/>
        <w:overflowPunct/>
        <w:topLinePunct w:val="0"/>
        <w:autoSpaceDE/>
        <w:autoSpaceDN/>
        <w:bidi w:val="0"/>
        <w:spacing w:line="380" w:lineRule="exact"/>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（3）商品包装中铅、汞、镉、六价铬的总含量应不大于100mg/kg； </w:t>
      </w:r>
    </w:p>
    <w:p>
      <w:pPr>
        <w:keepNext w:val="0"/>
        <w:keepLines w:val="0"/>
        <w:pageBreakBefore w:val="0"/>
        <w:kinsoku/>
        <w:wordWrap/>
        <w:overflowPunct/>
        <w:topLinePunct w:val="0"/>
        <w:autoSpaceDE/>
        <w:autoSpaceDN/>
        <w:bidi w:val="0"/>
        <w:spacing w:line="380" w:lineRule="exact"/>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（4）商品包装印刷使用的油墨中挥发性有机化合物(VOCs)含量应不大于 5%（以重量计）； </w:t>
      </w:r>
    </w:p>
    <w:p>
      <w:pPr>
        <w:keepNext w:val="0"/>
        <w:keepLines w:val="0"/>
        <w:pageBreakBefore w:val="0"/>
        <w:kinsoku/>
        <w:wordWrap/>
        <w:overflowPunct/>
        <w:topLinePunct w:val="0"/>
        <w:autoSpaceDE/>
        <w:autoSpaceDN/>
        <w:bidi w:val="0"/>
        <w:spacing w:line="380" w:lineRule="exact"/>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（5）塑料材质商品包装上呈现的印刷颜色不得超过6色； </w:t>
      </w:r>
    </w:p>
    <w:p>
      <w:pPr>
        <w:keepNext w:val="0"/>
        <w:keepLines w:val="0"/>
        <w:pageBreakBefore w:val="0"/>
        <w:kinsoku/>
        <w:wordWrap/>
        <w:overflowPunct/>
        <w:topLinePunct w:val="0"/>
        <w:autoSpaceDE/>
        <w:autoSpaceDN/>
        <w:bidi w:val="0"/>
        <w:spacing w:line="380" w:lineRule="exact"/>
        <w:ind w:firstLine="420" w:firstLineChars="20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 xml:space="preserve">（6）纸质商品包装应使用75%以上的可再生纤维原料生产； </w:t>
      </w:r>
    </w:p>
    <w:p>
      <w:pPr>
        <w:keepNext w:val="0"/>
        <w:keepLines w:val="0"/>
        <w:pageBreakBefore w:val="0"/>
        <w:kinsoku/>
        <w:wordWrap/>
        <w:overflowPunct/>
        <w:topLinePunct w:val="0"/>
        <w:autoSpaceDE/>
        <w:autoSpaceDN/>
        <w:bidi w:val="0"/>
        <w:spacing w:line="380" w:lineRule="exact"/>
        <w:ind w:firstLine="420" w:firstLineChars="200"/>
        <w:jc w:val="left"/>
        <w:textAlignment w:val="auto"/>
        <w:rPr>
          <w:rFonts w:hint="eastAsia"/>
          <w:color w:val="auto"/>
          <w:highlight w:val="none"/>
        </w:rPr>
      </w:pPr>
      <w:r>
        <w:rPr>
          <w:rFonts w:hint="eastAsia" w:ascii="宋体" w:hAnsi="宋体" w:eastAsia="宋体" w:cs="宋体"/>
          <w:color w:val="auto"/>
          <w:kern w:val="0"/>
          <w:sz w:val="21"/>
          <w:szCs w:val="21"/>
          <w:highlight w:val="none"/>
          <w:lang w:val="en-US" w:eastAsia="zh-CN" w:bidi="ar"/>
        </w:rPr>
        <w:t>（7）木质商品包装的原料应来源于可持续性森林。</w:t>
      </w:r>
    </w:p>
    <w:p>
      <w:pPr>
        <w:keepNext w:val="0"/>
        <w:keepLines w:val="0"/>
        <w:pageBreakBefore w:val="0"/>
        <w:widowControl/>
        <w:numPr>
          <w:ilvl w:val="0"/>
          <w:numId w:val="0"/>
        </w:numPr>
        <w:tabs>
          <w:tab w:val="left" w:pos="397"/>
          <w:tab w:val="left" w:pos="1597"/>
        </w:tabs>
        <w:kinsoku/>
        <w:wordWrap/>
        <w:overflowPunct/>
        <w:topLinePunct w:val="0"/>
        <w:autoSpaceDE/>
        <w:autoSpaceDN/>
        <w:bidi w:val="0"/>
        <w:adjustRightInd w:val="0"/>
        <w:snapToGrid w:val="0"/>
        <w:spacing w:line="380" w:lineRule="exact"/>
        <w:jc w:val="both"/>
        <w:textAlignment w:val="auto"/>
        <w:rPr>
          <w:rFonts w:hint="eastAsia" w:ascii="宋体" w:hAnsi="宋体" w:cs="宋体"/>
          <w:b/>
          <w:bCs/>
          <w:color w:val="auto"/>
          <w:sz w:val="21"/>
          <w:szCs w:val="21"/>
          <w:highlight w:val="none"/>
        </w:rPr>
      </w:pPr>
      <w:r>
        <w:rPr>
          <w:rFonts w:hint="eastAsia" w:ascii="宋体" w:hAnsi="宋体" w:cs="宋体"/>
          <w:b/>
          <w:bCs/>
          <w:color w:val="auto"/>
          <w:sz w:val="21"/>
          <w:szCs w:val="21"/>
          <w:highlight w:val="none"/>
          <w:lang w:val="en-US" w:eastAsia="zh-CN"/>
        </w:rPr>
        <w:t>三、采购内容及</w:t>
      </w:r>
      <w:r>
        <w:rPr>
          <w:rFonts w:hint="eastAsia" w:ascii="宋体" w:hAnsi="宋体" w:cs="宋体"/>
          <w:b/>
          <w:bCs/>
          <w:color w:val="auto"/>
          <w:sz w:val="21"/>
          <w:szCs w:val="21"/>
          <w:highlight w:val="none"/>
        </w:rPr>
        <w:t>技术要求：</w:t>
      </w:r>
    </w:p>
    <w:p>
      <w:pPr>
        <w:keepNext w:val="0"/>
        <w:keepLines w:val="0"/>
        <w:pageBreakBefore w:val="0"/>
        <w:widowControl/>
        <w:kinsoku/>
        <w:wordWrap/>
        <w:overflowPunct/>
        <w:topLinePunct w:val="0"/>
        <w:autoSpaceDE/>
        <w:autoSpaceDN/>
        <w:bidi w:val="0"/>
        <w:adjustRightInd w:val="0"/>
        <w:snapToGrid w:val="0"/>
        <w:spacing w:line="380" w:lineRule="exact"/>
        <w:jc w:val="left"/>
        <w:textAlignment w:val="auto"/>
        <w:rPr>
          <w:rFonts w:hint="eastAsia" w:ascii="宋体" w:hAnsi="宋体" w:cs="宋体"/>
          <w:b/>
          <w:bCs/>
          <w:color w:val="auto"/>
          <w:sz w:val="24"/>
          <w:highlight w:val="none"/>
          <w:lang w:val="en-US" w:eastAsia="zh-CN"/>
        </w:rPr>
      </w:pPr>
      <w:r>
        <w:rPr>
          <w:rFonts w:hint="eastAsia"/>
          <w:color w:val="auto"/>
          <w:szCs w:val="21"/>
          <w:highlight w:val="none"/>
        </w:rPr>
        <w:t>本项目的核心产品为：</w:t>
      </w:r>
      <w:r>
        <w:rPr>
          <w:rFonts w:hint="eastAsia" w:eastAsia="宋体"/>
          <w:color w:val="auto"/>
          <w:szCs w:val="21"/>
          <w:highlight w:val="none"/>
          <w:lang w:eastAsia="zh-CN"/>
        </w:rPr>
        <w:t>云智能物联网一体机。</w:t>
      </w:r>
    </w:p>
    <w:tbl>
      <w:tblPr>
        <w:tblStyle w:val="6"/>
        <w:tblpPr w:leftFromText="180" w:rightFromText="180" w:vertAnchor="text" w:horzAnchor="page" w:tblpX="1310" w:tblpY="268"/>
        <w:tblOverlap w:val="never"/>
        <w:tblW w:w="91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1470"/>
        <w:gridCol w:w="4785"/>
        <w:gridCol w:w="645"/>
        <w:gridCol w:w="825"/>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49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bCs/>
                <w:color w:val="auto"/>
                <w:kern w:val="0"/>
                <w:sz w:val="21"/>
                <w:szCs w:val="21"/>
                <w:highlight w:val="none"/>
              </w:rPr>
            </w:pPr>
            <w:r>
              <w:rPr>
                <w:bCs/>
                <w:color w:val="auto"/>
                <w:kern w:val="0"/>
                <w:sz w:val="21"/>
                <w:szCs w:val="21"/>
                <w:highlight w:val="none"/>
              </w:rPr>
              <w:t>序号</w:t>
            </w:r>
          </w:p>
        </w:tc>
        <w:tc>
          <w:tcPr>
            <w:tcW w:w="1470"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color w:val="auto"/>
                <w:kern w:val="0"/>
                <w:sz w:val="21"/>
                <w:szCs w:val="21"/>
                <w:highlight w:val="none"/>
              </w:rPr>
            </w:pPr>
            <w:r>
              <w:rPr>
                <w:rFonts w:hint="eastAsia"/>
                <w:color w:val="auto"/>
                <w:kern w:val="0"/>
                <w:sz w:val="21"/>
                <w:szCs w:val="21"/>
                <w:highlight w:val="none"/>
                <w:lang w:eastAsia="zh-CN"/>
              </w:rPr>
              <w:t xml:space="preserve">标的名称 </w:t>
            </w:r>
          </w:p>
        </w:tc>
        <w:tc>
          <w:tcPr>
            <w:tcW w:w="478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bCs/>
                <w:color w:val="auto"/>
                <w:kern w:val="0"/>
                <w:sz w:val="21"/>
                <w:szCs w:val="21"/>
                <w:highlight w:val="none"/>
              </w:rPr>
            </w:pPr>
            <w:r>
              <w:rPr>
                <w:rFonts w:hint="eastAsia"/>
                <w:bCs/>
                <w:color w:val="auto"/>
                <w:kern w:val="0"/>
                <w:sz w:val="21"/>
                <w:szCs w:val="21"/>
                <w:highlight w:val="none"/>
              </w:rPr>
              <w:t>主要技术参数、性能、配置等要求</w:t>
            </w:r>
          </w:p>
        </w:tc>
        <w:tc>
          <w:tcPr>
            <w:tcW w:w="645"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ascii="宋体" w:hAnsi="宋体"/>
                <w:bCs/>
                <w:color w:val="auto"/>
                <w:kern w:val="0"/>
                <w:sz w:val="21"/>
                <w:szCs w:val="21"/>
                <w:highlight w:val="none"/>
              </w:rPr>
            </w:pPr>
            <w:r>
              <w:rPr>
                <w:rFonts w:hint="eastAsia" w:ascii="宋体" w:hAnsi="宋体"/>
                <w:bCs/>
                <w:color w:val="auto"/>
                <w:kern w:val="0"/>
                <w:sz w:val="21"/>
                <w:szCs w:val="21"/>
                <w:highlight w:val="none"/>
              </w:rPr>
              <w:t>单位</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bCs/>
                <w:color w:val="auto"/>
                <w:kern w:val="0"/>
                <w:sz w:val="21"/>
                <w:szCs w:val="21"/>
                <w:highlight w:val="none"/>
              </w:rPr>
            </w:pPr>
            <w:r>
              <w:rPr>
                <w:rFonts w:hint="eastAsia" w:ascii="宋体" w:hAnsi="宋体"/>
                <w:bCs/>
                <w:color w:val="auto"/>
                <w:kern w:val="0"/>
                <w:sz w:val="21"/>
                <w:szCs w:val="21"/>
                <w:highlight w:val="none"/>
              </w:rPr>
              <w:t>数量</w:t>
            </w: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eastAsia="宋体"/>
                <w:bCs/>
                <w:color w:val="auto"/>
                <w:kern w:val="0"/>
                <w:sz w:val="21"/>
                <w:szCs w:val="21"/>
                <w:highlight w:val="none"/>
                <w:lang w:eastAsia="zh-CN"/>
              </w:rPr>
            </w:pPr>
            <w:r>
              <w:rPr>
                <w:rFonts w:hint="eastAsia" w:ascii="宋体" w:hAnsi="宋体"/>
                <w:bCs/>
                <w:color w:val="auto"/>
                <w:kern w:val="0"/>
                <w:sz w:val="21"/>
                <w:szCs w:val="21"/>
                <w:highlight w:val="none"/>
                <w:lang w:eastAsia="zh-CN"/>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1</w:t>
            </w:r>
          </w:p>
        </w:tc>
        <w:tc>
          <w:tcPr>
            <w:tcW w:w="1470"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lang w:eastAsia="zh-CN"/>
              </w:rPr>
              <w:t>云智能物联网一体机</w:t>
            </w:r>
          </w:p>
        </w:tc>
        <w:tc>
          <w:tcPr>
            <w:tcW w:w="4785"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left"/>
              <w:textAlignment w:val="auto"/>
              <w:outlineLvl w:val="9"/>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lang w:val="en-US" w:eastAsia="zh-CN"/>
              </w:rPr>
              <w:t>1.</w:t>
            </w:r>
            <w:r>
              <w:rPr>
                <w:rFonts w:hint="eastAsia" w:ascii="宋体" w:hAnsi="宋体" w:eastAsia="宋体" w:cs="宋体"/>
                <w:bCs/>
                <w:color w:val="auto"/>
                <w:kern w:val="0"/>
                <w:sz w:val="21"/>
                <w:szCs w:val="21"/>
                <w:highlight w:val="none"/>
                <w:lang w:eastAsia="zh-CN"/>
              </w:rPr>
              <w:t>集成控制模组（主板）：根据CPU卡指令执行负载端（水泵）开启、关闭动作；根据刷卡动作执行</w:t>
            </w:r>
            <w:r>
              <w:rPr>
                <w:rFonts w:hint="eastAsia" w:ascii="宋体" w:hAnsi="宋体" w:eastAsia="宋体" w:cs="宋体"/>
                <w:bCs/>
                <w:color w:val="auto"/>
                <w:kern w:val="0"/>
                <w:sz w:val="21"/>
                <w:szCs w:val="21"/>
                <w:highlight w:val="none"/>
                <w:lang w:val="en-US" w:eastAsia="zh-CN"/>
              </w:rPr>
              <w:t>扣费</w:t>
            </w:r>
            <w:r>
              <w:rPr>
                <w:rFonts w:hint="eastAsia" w:ascii="宋体" w:hAnsi="宋体" w:eastAsia="宋体" w:cs="宋体"/>
                <w:bCs/>
                <w:color w:val="auto"/>
                <w:kern w:val="0"/>
                <w:sz w:val="21"/>
                <w:szCs w:val="21"/>
                <w:highlight w:val="none"/>
                <w:lang w:eastAsia="zh-CN"/>
              </w:rPr>
              <w:t>、</w:t>
            </w:r>
            <w:r>
              <w:rPr>
                <w:rFonts w:hint="eastAsia" w:ascii="宋体" w:hAnsi="宋体" w:eastAsia="宋体" w:cs="宋体"/>
                <w:bCs/>
                <w:color w:val="auto"/>
                <w:kern w:val="0"/>
                <w:sz w:val="21"/>
                <w:szCs w:val="21"/>
                <w:highlight w:val="none"/>
                <w:lang w:val="en-US" w:eastAsia="zh-CN"/>
              </w:rPr>
              <w:t>查询</w:t>
            </w:r>
            <w:r>
              <w:rPr>
                <w:rFonts w:hint="eastAsia" w:ascii="宋体" w:hAnsi="宋体" w:eastAsia="宋体" w:cs="宋体"/>
                <w:bCs/>
                <w:color w:val="auto"/>
                <w:kern w:val="0"/>
                <w:sz w:val="21"/>
                <w:szCs w:val="21"/>
                <w:highlight w:val="none"/>
                <w:lang w:eastAsia="zh-CN"/>
              </w:rPr>
              <w:t>功能；根据用电监测数据发起用电保护动作功能；集成GPS定位模块（实时定位）；集成语音模块；具备芯片加密防破解；支持多个R</w:t>
            </w:r>
            <w:r>
              <w:rPr>
                <w:rFonts w:hint="eastAsia" w:ascii="宋体" w:hAnsi="宋体" w:eastAsia="宋体" w:cs="宋体"/>
                <w:bCs/>
                <w:color w:val="auto"/>
                <w:kern w:val="0"/>
                <w:sz w:val="21"/>
                <w:szCs w:val="21"/>
                <w:highlight w:val="none"/>
                <w:lang w:val="en-US" w:eastAsia="zh-CN"/>
              </w:rPr>
              <w:t>S485</w:t>
            </w:r>
            <w:r>
              <w:rPr>
                <w:rFonts w:hint="eastAsia" w:ascii="宋体" w:hAnsi="宋体" w:eastAsia="宋体" w:cs="宋体"/>
                <w:bCs/>
                <w:color w:val="auto"/>
                <w:kern w:val="0"/>
                <w:sz w:val="21"/>
                <w:szCs w:val="21"/>
                <w:highlight w:val="none"/>
                <w:lang w:eastAsia="zh-CN"/>
              </w:rPr>
              <w:t>通讯</w:t>
            </w:r>
            <w:r>
              <w:rPr>
                <w:rFonts w:hint="eastAsia" w:ascii="宋体" w:hAnsi="宋体" w:eastAsia="宋体" w:cs="宋体"/>
                <w:bCs/>
                <w:color w:val="auto"/>
                <w:kern w:val="0"/>
                <w:sz w:val="21"/>
                <w:szCs w:val="21"/>
                <w:highlight w:val="none"/>
                <w:lang w:val="en-US" w:eastAsia="zh-CN"/>
              </w:rPr>
              <w:t>,</w:t>
            </w:r>
            <w:r>
              <w:rPr>
                <w:rFonts w:hint="eastAsia" w:ascii="宋体" w:hAnsi="宋体" w:eastAsia="宋体" w:cs="宋体"/>
                <w:bCs/>
                <w:color w:val="auto"/>
                <w:kern w:val="0"/>
                <w:sz w:val="21"/>
                <w:szCs w:val="21"/>
                <w:highlight w:val="none"/>
                <w:lang w:eastAsia="zh-CN"/>
              </w:rPr>
              <w:t>提供通讯协议；支持</w:t>
            </w:r>
            <w:r>
              <w:rPr>
                <w:rFonts w:hint="eastAsia" w:ascii="宋体" w:hAnsi="宋体" w:eastAsia="宋体" w:cs="宋体"/>
                <w:bCs/>
                <w:color w:val="auto"/>
                <w:kern w:val="0"/>
                <w:sz w:val="21"/>
                <w:szCs w:val="21"/>
                <w:highlight w:val="none"/>
                <w:lang w:val="en-US" w:eastAsia="zh-CN"/>
              </w:rPr>
              <w:t>U</w:t>
            </w:r>
            <w:r>
              <w:rPr>
                <w:rFonts w:hint="eastAsia" w:ascii="宋体" w:hAnsi="宋体" w:eastAsia="宋体" w:cs="宋体"/>
                <w:bCs/>
                <w:color w:val="auto"/>
                <w:kern w:val="0"/>
                <w:sz w:val="21"/>
                <w:szCs w:val="21"/>
                <w:highlight w:val="none"/>
                <w:lang w:eastAsia="zh-CN"/>
              </w:rPr>
              <w:t>SB接入、支持本地系统升级。（集成控制模组连接通讯模组、刷卡板、屏幕、空开及外接传感器，通过控制程序实现对各组件采集数据的解析处理及集中控制，禁止使用电表、空开等电器件）。</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left"/>
              <w:textAlignment w:val="auto"/>
              <w:outlineLvl w:val="9"/>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lang w:val="en-US" w:eastAsia="zh-CN"/>
              </w:rPr>
              <w:t>2..</w:t>
            </w:r>
            <w:r>
              <w:rPr>
                <w:rFonts w:hint="eastAsia" w:ascii="宋体" w:hAnsi="宋体" w:eastAsia="宋体" w:cs="宋体"/>
                <w:bCs/>
                <w:color w:val="auto"/>
                <w:kern w:val="0"/>
                <w:sz w:val="21"/>
                <w:szCs w:val="21"/>
                <w:highlight w:val="none"/>
                <w:lang w:eastAsia="zh-CN"/>
              </w:rPr>
              <w:t>通讯模组：多模联网：GSM</w:t>
            </w:r>
            <w:r>
              <w:rPr>
                <w:rFonts w:hint="eastAsia" w:ascii="宋体" w:hAnsi="宋体" w:eastAsia="宋体" w:cs="宋体"/>
                <w:bCs/>
                <w:color w:val="auto"/>
                <w:kern w:val="0"/>
                <w:sz w:val="21"/>
                <w:szCs w:val="21"/>
                <w:highlight w:val="none"/>
                <w:lang w:val="en-US" w:eastAsia="zh-CN"/>
              </w:rPr>
              <w:t>/</w:t>
            </w:r>
            <w:r>
              <w:rPr>
                <w:rFonts w:hint="eastAsia" w:ascii="宋体" w:hAnsi="宋体" w:eastAsia="宋体" w:cs="宋体"/>
                <w:bCs/>
                <w:color w:val="auto"/>
                <w:kern w:val="0"/>
                <w:sz w:val="21"/>
                <w:szCs w:val="21"/>
                <w:highlight w:val="none"/>
                <w:lang w:eastAsia="zh-CN"/>
              </w:rPr>
              <w:t>WC</w:t>
            </w:r>
            <w:r>
              <w:rPr>
                <w:rFonts w:hint="eastAsia" w:ascii="宋体" w:hAnsi="宋体" w:eastAsia="宋体" w:cs="宋体"/>
                <w:bCs/>
                <w:color w:val="auto"/>
                <w:kern w:val="0"/>
                <w:sz w:val="21"/>
                <w:szCs w:val="21"/>
                <w:highlight w:val="none"/>
                <w:lang w:val="en-US" w:eastAsia="zh-CN"/>
              </w:rPr>
              <w:t>D</w:t>
            </w:r>
            <w:r>
              <w:rPr>
                <w:rFonts w:hint="eastAsia" w:ascii="宋体" w:hAnsi="宋体" w:eastAsia="宋体" w:cs="宋体"/>
                <w:bCs/>
                <w:color w:val="auto"/>
                <w:kern w:val="0"/>
                <w:sz w:val="21"/>
                <w:szCs w:val="21"/>
                <w:highlight w:val="none"/>
                <w:lang w:eastAsia="zh-CN"/>
              </w:rPr>
              <w:t>M</w:t>
            </w:r>
            <w:r>
              <w:rPr>
                <w:rFonts w:hint="eastAsia" w:ascii="宋体" w:hAnsi="宋体" w:eastAsia="宋体" w:cs="宋体"/>
                <w:bCs/>
                <w:color w:val="auto"/>
                <w:kern w:val="0"/>
                <w:sz w:val="21"/>
                <w:szCs w:val="21"/>
                <w:highlight w:val="none"/>
                <w:lang w:val="en-US" w:eastAsia="zh-CN"/>
              </w:rPr>
              <w:t>A</w:t>
            </w:r>
            <w:r>
              <w:rPr>
                <w:rFonts w:hint="eastAsia" w:ascii="宋体" w:hAnsi="宋体" w:eastAsia="宋体" w:cs="宋体"/>
                <w:bCs/>
                <w:color w:val="auto"/>
                <w:kern w:val="0"/>
                <w:sz w:val="21"/>
                <w:szCs w:val="21"/>
                <w:highlight w:val="none"/>
                <w:lang w:eastAsia="zh-CN"/>
              </w:rPr>
              <w:t>/TD-LTE(根据数据传输量选一）；加密</w:t>
            </w:r>
            <w:r>
              <w:rPr>
                <w:rFonts w:hint="eastAsia" w:ascii="宋体" w:hAnsi="宋体" w:eastAsia="宋体" w:cs="宋体"/>
                <w:bCs/>
                <w:color w:val="auto"/>
                <w:kern w:val="0"/>
                <w:sz w:val="21"/>
                <w:szCs w:val="21"/>
                <w:highlight w:val="none"/>
                <w:lang w:val="en-US" w:eastAsia="zh-CN"/>
              </w:rPr>
              <w:t>通讯</w:t>
            </w:r>
            <w:r>
              <w:rPr>
                <w:rFonts w:hint="eastAsia" w:ascii="宋体" w:hAnsi="宋体" w:eastAsia="宋体" w:cs="宋体"/>
                <w:bCs/>
                <w:color w:val="auto"/>
                <w:kern w:val="0"/>
                <w:sz w:val="21"/>
                <w:szCs w:val="21"/>
                <w:highlight w:val="none"/>
                <w:lang w:eastAsia="zh-CN"/>
              </w:rPr>
              <w:t>，支持卡槽。（集成多模通讯芯片、加密芯片，实现多模通讯及主板与云服务端数据的双向加密传输，无需外接DTU设备）。</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left"/>
              <w:textAlignment w:val="auto"/>
              <w:outlineLvl w:val="9"/>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3.</w:t>
            </w:r>
            <w:r>
              <w:rPr>
                <w:rFonts w:hint="eastAsia" w:ascii="宋体" w:hAnsi="宋体" w:eastAsia="宋体" w:cs="宋体"/>
                <w:bCs/>
                <w:color w:val="auto"/>
                <w:kern w:val="0"/>
                <w:sz w:val="21"/>
                <w:szCs w:val="21"/>
                <w:highlight w:val="none"/>
                <w:lang w:eastAsia="zh-CN"/>
              </w:rPr>
              <w:t>供电模组：</w:t>
            </w:r>
            <w:r>
              <w:rPr>
                <w:rFonts w:hint="eastAsia" w:ascii="宋体" w:hAnsi="宋体" w:eastAsia="宋体" w:cs="宋体"/>
                <w:bCs/>
                <w:color w:val="auto"/>
                <w:kern w:val="0"/>
                <w:sz w:val="21"/>
                <w:szCs w:val="21"/>
                <w:highlight w:val="none"/>
                <w:lang w:val="en-US" w:eastAsia="zh-CN"/>
              </w:rPr>
              <w:t>工作环境：380V/50HZ；额定线电流：80A；额定功率限定（过载）保护动作时间：4-6s；短路保护动作时间：0.03-0.05s；过压保护控制值：输入&gt;456V；过压保护动作时间：8-12s；电压、电流、漏电数值监测。（供电模组为高度集成式模块）。输入端子：4P ，输出端子：3P（智能电动空开，具备用电计量及安全防护功能，通过485接口实现用电数据的实时监测与采集，并通过阈值设置实现自动报警，保护灌溉设备，提升用电安全性）</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left"/>
              <w:textAlignment w:val="auto"/>
              <w:outlineLvl w:val="9"/>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4.独立防拆卸式外壳：定制，标准电器外壳，接线区外壳可拆卸。</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left"/>
              <w:textAlignment w:val="auto"/>
              <w:outlineLvl w:val="9"/>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5.显示屏：3-5英寸液晶，并有永久性高压提示标识。</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left"/>
              <w:textAlignment w:val="auto"/>
              <w:outlineLvl w:val="9"/>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6.指示灯：红：通电/绿：运行/黄：故障。</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left"/>
              <w:textAlignment w:val="auto"/>
              <w:outlineLvl w:val="9"/>
              <w:rPr>
                <w:rFonts w:hint="default"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7.外接设备接口：插拔式航空插头3芯*1；插拔式航空插头5芯*1；USB接口*1（支持485接口及USB接口，485接口通过扩展可支持多个传感器的接入）。</w:t>
            </w:r>
          </w:p>
        </w:tc>
        <w:tc>
          <w:tcPr>
            <w:tcW w:w="645" w:type="dxa"/>
            <w:tcBorders>
              <w:top w:val="single" w:color="auto" w:sz="4" w:space="0"/>
              <w:left w:val="single" w:color="auto" w:sz="4" w:space="0"/>
              <w:right w:val="single" w:color="auto" w:sz="4" w:space="0"/>
            </w:tcBorders>
            <w:noWrap w:val="0"/>
            <w:vAlign w:val="center"/>
          </w:tcPr>
          <w:p>
            <w:pPr>
              <w:widowControl/>
              <w:spacing w:before="100" w:beforeAutospacing="1" w:after="100" w:afterAutospacing="1"/>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台</w:t>
            </w:r>
          </w:p>
        </w:tc>
        <w:tc>
          <w:tcPr>
            <w:tcW w:w="825" w:type="dxa"/>
            <w:tcBorders>
              <w:top w:val="single" w:color="auto" w:sz="4" w:space="0"/>
              <w:left w:val="single" w:color="auto" w:sz="4" w:space="0"/>
              <w:right w:val="single" w:color="auto" w:sz="4" w:space="0"/>
            </w:tcBorders>
            <w:noWrap w:val="0"/>
            <w:vAlign w:val="center"/>
          </w:tcPr>
          <w:p>
            <w:pPr>
              <w:widowControl/>
              <w:spacing w:before="100" w:beforeAutospacing="1" w:after="100" w:afterAutospacing="1"/>
              <w:jc w:val="center"/>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eastAsia="zh-CN"/>
              </w:rPr>
              <w:t>1</w:t>
            </w:r>
            <w:r>
              <w:rPr>
                <w:rFonts w:hint="eastAsia" w:ascii="宋体" w:hAnsi="宋体" w:cs="宋体"/>
                <w:color w:val="auto"/>
                <w:kern w:val="0"/>
                <w:sz w:val="21"/>
                <w:szCs w:val="21"/>
                <w:highlight w:val="none"/>
                <w:lang w:val="en-US" w:eastAsia="zh-CN"/>
              </w:rPr>
              <w:t>006</w:t>
            </w:r>
          </w:p>
        </w:tc>
        <w:tc>
          <w:tcPr>
            <w:tcW w:w="918"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center"/>
              <w:textAlignment w:val="auto"/>
              <w:outlineLvl w:val="9"/>
              <w:rPr>
                <w:rFonts w:hint="default"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2</w:t>
            </w:r>
          </w:p>
        </w:tc>
        <w:tc>
          <w:tcPr>
            <w:tcW w:w="14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center"/>
              <w:textAlignment w:val="auto"/>
              <w:outlineLvl w:val="9"/>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金属安装挂件</w:t>
            </w:r>
          </w:p>
        </w:tc>
        <w:tc>
          <w:tcPr>
            <w:tcW w:w="47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left"/>
              <w:textAlignment w:val="auto"/>
              <w:outlineLvl w:val="9"/>
              <w:rPr>
                <w:rFonts w:hint="default"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 xml:space="preserve">滑动式套装等 </w:t>
            </w:r>
          </w:p>
        </w:tc>
        <w:tc>
          <w:tcPr>
            <w:tcW w:w="64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套</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1006</w:t>
            </w:r>
          </w:p>
        </w:tc>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center"/>
              <w:textAlignment w:val="auto"/>
              <w:outlineLvl w:val="9"/>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w:t>
            </w:r>
          </w:p>
        </w:tc>
        <w:tc>
          <w:tcPr>
            <w:tcW w:w="1470"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lang w:eastAsia="zh-CN"/>
              </w:rPr>
              <w:t>流量卡</w:t>
            </w:r>
          </w:p>
        </w:tc>
        <w:tc>
          <w:tcPr>
            <w:tcW w:w="47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left"/>
              <w:textAlignment w:val="auto"/>
              <w:outlineLvl w:val="9"/>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每月 30mb，一次性三年费用。物联网卡使用中移动，信号源稳定 。</w:t>
            </w:r>
          </w:p>
        </w:tc>
        <w:tc>
          <w:tcPr>
            <w:tcW w:w="64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张</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1006</w:t>
            </w:r>
          </w:p>
        </w:tc>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center"/>
              <w:textAlignment w:val="auto"/>
              <w:outlineLvl w:val="9"/>
              <w:rPr>
                <w:rFonts w:hint="default"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w:t>
            </w:r>
          </w:p>
        </w:tc>
        <w:tc>
          <w:tcPr>
            <w:tcW w:w="1470"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lang w:eastAsia="zh-CN"/>
              </w:rPr>
              <w:t>充值仪</w:t>
            </w:r>
          </w:p>
        </w:tc>
        <w:tc>
          <w:tcPr>
            <w:tcW w:w="47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left"/>
              <w:textAlignment w:val="auto"/>
              <w:outlineLvl w:val="9"/>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数字汉显，LED 屏；实现用户卡的开卡、充值，单价的设置，用户卡锁卡解卡等功能。</w:t>
            </w:r>
          </w:p>
        </w:tc>
        <w:tc>
          <w:tcPr>
            <w:tcW w:w="64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台</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36</w:t>
            </w:r>
          </w:p>
        </w:tc>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center"/>
              <w:textAlignment w:val="auto"/>
              <w:outlineLvl w:val="9"/>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w:t>
            </w:r>
          </w:p>
        </w:tc>
        <w:tc>
          <w:tcPr>
            <w:tcW w:w="1470"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eastAsia="宋体" w:cs="宋体"/>
                <w:bCs/>
                <w:color w:val="auto"/>
                <w:kern w:val="0"/>
                <w:sz w:val="21"/>
                <w:szCs w:val="21"/>
                <w:highlight w:val="none"/>
                <w:lang w:eastAsia="zh-CN"/>
              </w:rPr>
            </w:pPr>
            <w:r>
              <w:rPr>
                <w:color w:val="auto"/>
                <w:sz w:val="21"/>
                <w:szCs w:val="21"/>
                <w:highlight w:val="none"/>
              </w:rPr>
              <w:t>充值卡</w:t>
            </w:r>
          </w:p>
        </w:tc>
        <w:tc>
          <w:tcPr>
            <w:tcW w:w="47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left"/>
              <w:textAlignment w:val="auto"/>
              <w:outlineLvl w:val="9"/>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射频卡</w:t>
            </w:r>
          </w:p>
        </w:tc>
        <w:tc>
          <w:tcPr>
            <w:tcW w:w="64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张</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10060</w:t>
            </w:r>
          </w:p>
        </w:tc>
        <w:tc>
          <w:tcPr>
            <w:tcW w:w="9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exact"/>
              <w:jc w:val="center"/>
              <w:textAlignment w:val="auto"/>
              <w:outlineLvl w:val="9"/>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制造业</w:t>
            </w:r>
          </w:p>
        </w:tc>
      </w:tr>
    </w:tbl>
    <w:p>
      <w:pPr>
        <w:widowControl/>
        <w:adjustRightInd w:val="0"/>
        <w:spacing w:line="500" w:lineRule="exact"/>
        <w:rPr>
          <w:rFonts w:hint="eastAsia" w:ascii="宋体" w:hAnsi="宋体"/>
          <w:b/>
          <w:color w:val="auto"/>
          <w:kern w:val="0"/>
          <w:sz w:val="21"/>
          <w:szCs w:val="21"/>
          <w:highlight w:val="none"/>
        </w:rPr>
      </w:pPr>
      <w:r>
        <w:rPr>
          <w:rFonts w:hint="eastAsia" w:ascii="宋体" w:hAnsi="宋体"/>
          <w:b/>
          <w:color w:val="auto"/>
          <w:kern w:val="0"/>
          <w:sz w:val="21"/>
          <w:szCs w:val="21"/>
          <w:highlight w:val="none"/>
          <w:lang w:val="en-US" w:eastAsia="zh-CN"/>
        </w:rPr>
        <w:t>四</w:t>
      </w:r>
      <w:r>
        <w:rPr>
          <w:rFonts w:hint="eastAsia" w:ascii="宋体" w:hAnsi="宋体"/>
          <w:b/>
          <w:color w:val="auto"/>
          <w:kern w:val="0"/>
          <w:sz w:val="21"/>
          <w:szCs w:val="21"/>
          <w:highlight w:val="none"/>
        </w:rPr>
        <w:t>、需要落实的政府采购政策</w:t>
      </w:r>
    </w:p>
    <w:p>
      <w:pPr>
        <w:numPr>
          <w:ilvl w:val="0"/>
          <w:numId w:val="0"/>
        </w:numPr>
        <w:spacing w:line="500" w:lineRule="exact"/>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（一）</w:t>
      </w:r>
      <w:r>
        <w:rPr>
          <w:rFonts w:hint="eastAsia" w:ascii="宋体" w:hAnsi="宋体"/>
          <w:b/>
          <w:bCs/>
          <w:color w:val="auto"/>
          <w:sz w:val="21"/>
          <w:szCs w:val="21"/>
          <w:highlight w:val="none"/>
        </w:rPr>
        <w:t>促进中小企业、监狱企业和残疾人福利性单位发展扶持政策</w:t>
      </w:r>
    </w:p>
    <w:p>
      <w:pPr>
        <w:spacing w:line="500" w:lineRule="exact"/>
        <w:rPr>
          <w:rFonts w:hint="eastAsia" w:ascii="宋体" w:hAnsi="宋体"/>
          <w:bCs/>
          <w:color w:val="auto"/>
          <w:sz w:val="21"/>
          <w:szCs w:val="21"/>
          <w:highlight w:val="none"/>
        </w:rPr>
      </w:pPr>
      <w:r>
        <w:rPr>
          <w:rFonts w:hint="eastAsia" w:ascii="宋体" w:hAnsi="宋体"/>
          <w:b/>
          <w:bCs/>
          <w:color w:val="auto"/>
          <w:sz w:val="21"/>
          <w:szCs w:val="21"/>
          <w:highlight w:val="none"/>
        </w:rPr>
        <w:t>促进中小企业发展扶持政策</w:t>
      </w:r>
      <w:r>
        <w:rPr>
          <w:rFonts w:hint="eastAsia" w:ascii="宋体" w:hAnsi="宋体"/>
          <w:bCs/>
          <w:color w:val="auto"/>
          <w:sz w:val="21"/>
          <w:szCs w:val="21"/>
          <w:highlight w:val="none"/>
        </w:rPr>
        <w:t>：</w:t>
      </w:r>
    </w:p>
    <w:p>
      <w:pPr>
        <w:numPr>
          <w:ilvl w:val="0"/>
          <w:numId w:val="0"/>
        </w:numPr>
        <w:spacing w:line="500" w:lineRule="exact"/>
        <w:ind w:firstLine="420" w:firstLineChars="200"/>
        <w:rPr>
          <w:rFonts w:hint="eastAsia" w:ascii="宋体" w:hAnsi="宋体"/>
          <w:b w:val="0"/>
          <w:bCs/>
          <w:color w:val="auto"/>
          <w:sz w:val="21"/>
          <w:szCs w:val="21"/>
          <w:highlight w:val="none"/>
        </w:rPr>
      </w:pPr>
      <w:r>
        <w:rPr>
          <w:rFonts w:hint="eastAsia" w:ascii="宋体" w:hAnsi="宋体"/>
          <w:b w:val="0"/>
          <w:bCs/>
          <w:color w:val="auto"/>
          <w:sz w:val="21"/>
          <w:szCs w:val="21"/>
          <w:highlight w:val="none"/>
          <w:lang w:val="en-US" w:eastAsia="zh-CN"/>
        </w:rPr>
        <w:t>1.</w:t>
      </w:r>
      <w:r>
        <w:rPr>
          <w:rFonts w:hint="eastAsia" w:ascii="宋体" w:hAnsi="宋体"/>
          <w:b w:val="0"/>
          <w:bCs/>
          <w:color w:val="auto"/>
          <w:sz w:val="21"/>
          <w:szCs w:val="21"/>
          <w:highlight w:val="none"/>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在货物采购项目中，货物由中小企业制造，即货物由中小企业生产且使用该中小企业商号或者注册商标</w:t>
      </w:r>
      <w:r>
        <w:rPr>
          <w:rFonts w:hint="eastAsia" w:ascii="宋体" w:hAnsi="宋体"/>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在货物采购项目中，</w:t>
      </w:r>
      <w:r>
        <w:rPr>
          <w:rFonts w:hint="eastAsia" w:ascii="宋体" w:hAnsi="宋体"/>
          <w:bCs/>
          <w:color w:val="auto"/>
          <w:sz w:val="21"/>
          <w:szCs w:val="21"/>
          <w:highlight w:val="none"/>
          <w:lang w:eastAsia="zh-CN"/>
        </w:rPr>
        <w:t>投标人</w:t>
      </w:r>
      <w:r>
        <w:rPr>
          <w:rFonts w:hint="eastAsia" w:ascii="宋体" w:hAnsi="宋体"/>
          <w:bCs/>
          <w:color w:val="auto"/>
          <w:sz w:val="21"/>
          <w:szCs w:val="21"/>
          <w:highlight w:val="none"/>
        </w:rPr>
        <w:t>提供的货物既有中小企业制造货物，也有大型企业制造货物的，不享受本</w:t>
      </w:r>
      <w:r>
        <w:rPr>
          <w:rFonts w:hint="eastAsia" w:ascii="宋体" w:hAnsi="宋体"/>
          <w:bCs/>
          <w:color w:val="auto"/>
          <w:sz w:val="21"/>
          <w:szCs w:val="21"/>
          <w:highlight w:val="none"/>
          <w:lang w:eastAsia="zh-CN"/>
        </w:rPr>
        <w:t>招标文件</w:t>
      </w:r>
      <w:r>
        <w:rPr>
          <w:rFonts w:hint="eastAsia" w:ascii="宋体" w:hAnsi="宋体"/>
          <w:bCs/>
          <w:color w:val="auto"/>
          <w:sz w:val="21"/>
          <w:szCs w:val="21"/>
          <w:highlight w:val="none"/>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eastAsia="zh-CN"/>
        </w:rPr>
        <w:t>投标人当按照招标文件规定出具《</w:t>
      </w:r>
      <w:r>
        <w:rPr>
          <w:rFonts w:hint="eastAsia" w:ascii="宋体" w:hAnsi="宋体"/>
          <w:bCs/>
          <w:color w:val="auto"/>
          <w:sz w:val="21"/>
          <w:szCs w:val="21"/>
          <w:highlight w:val="none"/>
        </w:rPr>
        <w:t>中小企业声明函</w:t>
      </w:r>
      <w:r>
        <w:rPr>
          <w:rFonts w:hint="eastAsia" w:ascii="宋体" w:hAnsi="宋体"/>
          <w:bCs/>
          <w:color w:val="auto"/>
          <w:sz w:val="21"/>
          <w:szCs w:val="21"/>
          <w:highlight w:val="none"/>
          <w:lang w:eastAsia="zh-CN"/>
        </w:rPr>
        <w:t>》，否则不享受相关扶持政策</w:t>
      </w:r>
      <w:r>
        <w:rPr>
          <w:rFonts w:hint="eastAsia" w:ascii="宋体" w:hAnsi="宋体"/>
          <w:bCs/>
          <w:color w:val="auto"/>
          <w:sz w:val="21"/>
          <w:szCs w:val="21"/>
          <w:highlight w:val="none"/>
        </w:rPr>
        <w:t>；</w:t>
      </w:r>
    </w:p>
    <w:p>
      <w:pPr>
        <w:spacing w:line="500" w:lineRule="exact"/>
        <w:rPr>
          <w:rFonts w:hint="eastAsia" w:ascii="宋体" w:hAnsi="宋体"/>
          <w:bCs/>
          <w:color w:val="auto"/>
          <w:sz w:val="21"/>
          <w:szCs w:val="21"/>
          <w:highlight w:val="none"/>
        </w:rPr>
      </w:pPr>
      <w:r>
        <w:rPr>
          <w:rFonts w:hint="eastAsia" w:ascii="宋体" w:hAnsi="宋体"/>
          <w:bCs/>
          <w:color w:val="auto"/>
          <w:sz w:val="21"/>
          <w:szCs w:val="21"/>
          <w:highlight w:val="none"/>
        </w:rPr>
        <w:t>　　</w:t>
      </w: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highlight w:val="none"/>
        </w:rPr>
      </w:pPr>
      <w:r>
        <w:rPr>
          <w:rFonts w:hint="eastAsia" w:ascii="宋体" w:hAnsi="宋体" w:eastAsia="宋体"/>
          <w:b/>
          <w:bCs w:val="0"/>
          <w:sz w:val="21"/>
          <w:szCs w:val="21"/>
          <w:highlight w:val="none"/>
          <w:lang w:eastAsia="zh-CN"/>
        </w:rPr>
        <w:t>采购人根据投标人提供的《</w:t>
      </w:r>
      <w:r>
        <w:rPr>
          <w:rFonts w:hint="eastAsia" w:ascii="宋体" w:hAnsi="宋体" w:eastAsia="宋体"/>
          <w:b/>
          <w:bCs w:val="0"/>
          <w:sz w:val="21"/>
          <w:szCs w:val="21"/>
          <w:highlight w:val="none"/>
        </w:rPr>
        <w:t>中小企业声明函</w:t>
      </w:r>
      <w:r>
        <w:rPr>
          <w:rFonts w:hint="eastAsia" w:ascii="宋体" w:hAnsi="宋体" w:eastAsia="宋体"/>
          <w:b/>
          <w:bCs w:val="0"/>
          <w:sz w:val="21"/>
          <w:szCs w:val="21"/>
          <w:highlight w:val="none"/>
          <w:lang w:eastAsia="zh-CN"/>
        </w:rPr>
        <w:t>》认定该投标人是否属于中小企业，监狱企业和残疾人福利性单位视同小型、微型企业。不属于中小企业、监狱企业或残疾人福利性单位的拒绝参与本项目投标。</w:t>
      </w:r>
    </w:p>
    <w:p>
      <w:pPr>
        <w:numPr>
          <w:ilvl w:val="0"/>
          <w:numId w:val="0"/>
        </w:numPr>
        <w:spacing w:line="500" w:lineRule="exact"/>
        <w:ind w:leftChars="200"/>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（二）</w:t>
      </w:r>
      <w:r>
        <w:rPr>
          <w:rFonts w:hint="eastAsia" w:ascii="宋体" w:hAnsi="宋体"/>
          <w:b/>
          <w:bCs/>
          <w:color w:val="auto"/>
          <w:sz w:val="21"/>
          <w:szCs w:val="21"/>
          <w:highlight w:val="none"/>
        </w:rPr>
        <w:t>节能产品、环境标志产品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，否则不予认定。</w:t>
      </w:r>
      <w:bookmarkStart w:id="0" w:name="_GoBack"/>
      <w:bookmarkEnd w:id="0"/>
    </w:p>
    <w:p>
      <w:pPr>
        <w:numPr>
          <w:ilvl w:val="0"/>
          <w:numId w:val="0"/>
        </w:numPr>
        <w:spacing w:line="500" w:lineRule="exact"/>
        <w:ind w:leftChars="200"/>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（三）</w:t>
      </w:r>
      <w:r>
        <w:rPr>
          <w:rFonts w:hint="eastAsia" w:ascii="宋体" w:hAnsi="宋体"/>
          <w:b/>
          <w:bCs/>
          <w:color w:val="auto"/>
          <w:sz w:val="21"/>
          <w:szCs w:val="21"/>
          <w:highlight w:val="none"/>
        </w:rPr>
        <w:t>信息安全产品</w:t>
      </w:r>
    </w:p>
    <w:p>
      <w:pPr>
        <w:spacing w:line="500" w:lineRule="exact"/>
        <w:ind w:firstLine="424" w:firstLineChars="202"/>
        <w:rPr>
          <w:rFonts w:hint="eastAsia" w:ascii="宋体" w:hAnsi="宋体"/>
          <w:b/>
          <w:bCs/>
          <w:color w:val="auto"/>
          <w:sz w:val="21"/>
          <w:szCs w:val="21"/>
          <w:highlight w:val="none"/>
        </w:rPr>
      </w:pPr>
      <w:r>
        <w:rPr>
          <w:rFonts w:hint="eastAsia" w:ascii="宋体" w:hAnsi="宋体"/>
          <w:bCs/>
          <w:color w:val="auto"/>
          <w:sz w:val="21"/>
          <w:szCs w:val="21"/>
          <w:highlight w:val="none"/>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w:t>
      </w:r>
    </w:p>
    <w:p>
      <w:pPr>
        <w:spacing w:line="500" w:lineRule="exact"/>
        <w:ind w:firstLine="426" w:firstLineChars="202"/>
        <w:rPr>
          <w:rFonts w:hint="eastAsia" w:ascii="宋体" w:hAnsi="宋体"/>
          <w:b/>
          <w:bCs/>
          <w:color w:val="auto"/>
          <w:sz w:val="21"/>
          <w:szCs w:val="21"/>
          <w:highlight w:val="none"/>
        </w:rPr>
      </w:pP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5MjQyYTA4ODczMmQyNzkzZDMxMmFjNDJmMDQ2ZGMifQ=="/>
  </w:docVars>
  <w:rsids>
    <w:rsidRoot w:val="1AF50C9F"/>
    <w:rsid w:val="1AF50C9F"/>
    <w:rsid w:val="20116F58"/>
    <w:rsid w:val="6E82238E"/>
    <w:rsid w:val="6ECF1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afterLines="0"/>
      <w:ind w:left="420" w:leftChars="200" w:firstLine="420"/>
    </w:pPr>
  </w:style>
  <w:style w:type="paragraph" w:styleId="3">
    <w:name w:val="Body Text Indent"/>
    <w:basedOn w:val="1"/>
    <w:next w:val="4"/>
    <w:qFormat/>
    <w:uiPriority w:val="0"/>
    <w:pPr>
      <w:ind w:firstLine="560" w:firstLineChars="200"/>
    </w:pPr>
    <w:rPr>
      <w:rFonts w:ascii="仿宋_GB2312" w:eastAsia="仿宋_GB2312"/>
      <w:kern w:val="2"/>
      <w:sz w:val="28"/>
    </w:rPr>
  </w:style>
  <w:style w:type="paragraph" w:styleId="4">
    <w:name w:val="envelope return"/>
    <w:basedOn w:val="1"/>
    <w:qFormat/>
    <w:uiPriority w:val="0"/>
    <w:pPr>
      <w:snapToGrid w:val="0"/>
    </w:pPr>
    <w:rPr>
      <w:rFonts w:ascii="Arial" w:hAnsi="Arial"/>
    </w:rPr>
  </w:style>
  <w:style w:type="paragraph" w:styleId="5">
    <w:name w:val="Title"/>
    <w:basedOn w:val="1"/>
    <w:qFormat/>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中华人民共和国国务院</Company>
  <Pages>4</Pages>
  <Words>3068</Words>
  <Characters>3265</Characters>
  <Lines>0</Lines>
  <Paragraphs>0</Paragraphs>
  <TotalTime>0</TotalTime>
  <ScaleCrop>false</ScaleCrop>
  <LinksUpToDate>false</LinksUpToDate>
  <CharactersWithSpaces>3292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2022-05-31T03:33:00Z</dcterms:created>
  <dc:creator>释演松</dc:creator>
  <cp:lastModifiedBy>.</cp:lastModifiedBy>
  <dcterms:modified xsi:type="dcterms:W3CDTF">2022-05-31T09:16:21Z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149485C31AFF46758C6D1F1616CFCF7D</vt:lpwstr>
  </property>
</Properties>
</file>