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B3955" w:rsidRDefault="003B3955" w:rsidP="003B3955">
      <w:pPr>
        <w:pStyle w:val="a3"/>
        <w:spacing w:line="480" w:lineRule="exact"/>
        <w:ind w:rightChars="-30" w:right="-72"/>
        <w:rPr>
          <w:rFonts w:ascii="宋体" w:hAnsi="宋体" w:cs="宋体"/>
        </w:rPr>
      </w:pPr>
      <w:bookmarkStart w:id="0" w:name="_Toc20971"/>
      <w:r>
        <w:rPr>
          <w:rFonts w:ascii="宋体" w:hAnsi="宋体" w:cs="宋体" w:hint="eastAsia"/>
        </w:rPr>
        <w:t>第四章 采购需求</w:t>
      </w:r>
      <w:bookmarkEnd w:id="0"/>
    </w:p>
    <w:p w:rsidR="003B3955" w:rsidRDefault="003B3955" w:rsidP="003B3955">
      <w:pPr>
        <w:widowControl/>
        <w:adjustRightInd w:val="0"/>
        <w:spacing w:line="360" w:lineRule="auto"/>
        <w:rPr>
          <w:rFonts w:ascii="宋体" w:hAnsi="宋体" w:hint="eastAsia"/>
          <w:b/>
          <w:kern w:val="0"/>
          <w:sz w:val="21"/>
          <w:szCs w:val="21"/>
        </w:rPr>
      </w:pPr>
      <w:r>
        <w:rPr>
          <w:rFonts w:ascii="宋体" w:hAnsi="宋体" w:hint="eastAsia"/>
          <w:b/>
          <w:kern w:val="0"/>
          <w:sz w:val="21"/>
          <w:szCs w:val="21"/>
        </w:rPr>
        <w:t>一、相关说明</w:t>
      </w:r>
    </w:p>
    <w:p w:rsidR="003B3955" w:rsidRDefault="003B3955" w:rsidP="003B3955">
      <w:pPr>
        <w:widowControl/>
        <w:numPr>
          <w:ilvl w:val="2"/>
          <w:numId w:val="1"/>
        </w:numPr>
        <w:adjustRightInd w:val="0"/>
        <w:spacing w:line="360" w:lineRule="auto"/>
        <w:ind w:firstLineChars="200" w:firstLine="420"/>
        <w:jc w:val="left"/>
        <w:rPr>
          <w:rFonts w:ascii="宋体" w:hAnsi="宋体" w:hint="eastAsia"/>
          <w:kern w:val="0"/>
          <w:sz w:val="21"/>
          <w:szCs w:val="21"/>
        </w:rPr>
      </w:pPr>
      <w:r>
        <w:rPr>
          <w:rFonts w:ascii="宋体" w:hAnsi="宋体" w:hint="eastAsia"/>
          <w:bCs/>
          <w:kern w:val="0"/>
          <w:sz w:val="21"/>
          <w:szCs w:val="21"/>
        </w:rPr>
        <w:t>招标文件中列出的质量技术参数或型号与某产品相同时仅作为投标人选择投标产品时在质量水平上的参考，不强制采购某一特定产品，投标人可提供符合采购需求或更优的产品及方案</w:t>
      </w:r>
      <w:r>
        <w:rPr>
          <w:rFonts w:ascii="宋体" w:hAnsi="宋体" w:hint="eastAsia"/>
          <w:kern w:val="0"/>
          <w:sz w:val="21"/>
          <w:szCs w:val="21"/>
        </w:rPr>
        <w:t>。</w:t>
      </w:r>
    </w:p>
    <w:p w:rsidR="003B3955" w:rsidRDefault="003B3955" w:rsidP="003B3955">
      <w:pPr>
        <w:widowControl/>
        <w:numPr>
          <w:ilvl w:val="2"/>
          <w:numId w:val="1"/>
        </w:numPr>
        <w:adjustRightInd w:val="0"/>
        <w:spacing w:line="360" w:lineRule="auto"/>
        <w:ind w:firstLineChars="200" w:firstLine="420"/>
        <w:jc w:val="left"/>
        <w:rPr>
          <w:rFonts w:ascii="宋体" w:hAnsi="宋体" w:hint="eastAsia"/>
          <w:kern w:val="0"/>
          <w:sz w:val="21"/>
          <w:szCs w:val="21"/>
        </w:rPr>
      </w:pPr>
      <w:r>
        <w:rPr>
          <w:rFonts w:ascii="宋体" w:hAnsi="宋体" w:hint="eastAsia"/>
          <w:kern w:val="0"/>
          <w:sz w:val="21"/>
          <w:szCs w:val="21"/>
        </w:rPr>
        <w:t>本次采购内容如果要求的某些技术标准低于国家标准，均以最新的国家标准为准。招标技术要求中未明确的技术标准也均不得低于国家标准；</w:t>
      </w:r>
    </w:p>
    <w:p w:rsidR="003B3955" w:rsidRDefault="003B3955" w:rsidP="003B3955">
      <w:pPr>
        <w:widowControl/>
        <w:numPr>
          <w:ilvl w:val="2"/>
          <w:numId w:val="1"/>
        </w:numPr>
        <w:adjustRightInd w:val="0"/>
        <w:spacing w:line="360" w:lineRule="auto"/>
        <w:ind w:firstLineChars="200" w:firstLine="420"/>
        <w:jc w:val="left"/>
        <w:rPr>
          <w:rFonts w:ascii="宋体" w:hAnsi="宋体" w:hint="eastAsia"/>
          <w:kern w:val="0"/>
          <w:sz w:val="21"/>
          <w:szCs w:val="21"/>
        </w:rPr>
      </w:pPr>
      <w:r>
        <w:rPr>
          <w:rFonts w:ascii="宋体" w:hAnsi="宋体" w:hint="eastAsia"/>
          <w:kern w:val="0"/>
          <w:sz w:val="21"/>
          <w:szCs w:val="21"/>
        </w:rPr>
        <w:t>本采购项目为交钥匙项目，验收合格前所需的一切费用均包含在报价之中，采购人不承担成交价格以外的任何费用。</w:t>
      </w:r>
    </w:p>
    <w:p w:rsidR="003B3955" w:rsidRDefault="003B3955" w:rsidP="003B3955">
      <w:pPr>
        <w:widowControl/>
        <w:adjustRightInd w:val="0"/>
        <w:spacing w:line="360" w:lineRule="auto"/>
        <w:rPr>
          <w:rFonts w:ascii="宋体" w:hAnsi="宋体" w:hint="eastAsia"/>
          <w:b/>
          <w:kern w:val="0"/>
          <w:sz w:val="21"/>
          <w:szCs w:val="21"/>
        </w:rPr>
      </w:pPr>
      <w:r>
        <w:rPr>
          <w:rFonts w:ascii="宋体" w:hAnsi="宋体" w:hint="eastAsia"/>
          <w:b/>
          <w:kern w:val="0"/>
          <w:sz w:val="21"/>
          <w:szCs w:val="21"/>
        </w:rPr>
        <w:t xml:space="preserve">二、商务要求： </w:t>
      </w:r>
    </w:p>
    <w:p w:rsidR="003B3955" w:rsidRDefault="003B3955" w:rsidP="003B3955">
      <w:pPr>
        <w:numPr>
          <w:ilvl w:val="2"/>
          <w:numId w:val="2"/>
        </w:numPr>
        <w:spacing w:line="360" w:lineRule="auto"/>
        <w:ind w:firstLineChars="200" w:firstLine="420"/>
        <w:rPr>
          <w:rFonts w:ascii="宋体" w:hAnsi="宋体" w:hint="eastAsia"/>
          <w:sz w:val="21"/>
          <w:szCs w:val="21"/>
        </w:rPr>
      </w:pPr>
      <w:r>
        <w:rPr>
          <w:rFonts w:ascii="宋体" w:hAnsi="宋体" w:hint="eastAsia"/>
          <w:sz w:val="21"/>
          <w:szCs w:val="21"/>
        </w:rPr>
        <w:t>合同履行期限：</w:t>
      </w:r>
      <w:r>
        <w:rPr>
          <w:rFonts w:ascii="宋体" w:hAnsi="宋体" w:hint="eastAsia"/>
          <w:kern w:val="0"/>
          <w:sz w:val="21"/>
          <w:szCs w:val="21"/>
        </w:rPr>
        <w:t>签订合同后120日历天，并经验收评审，提交最终成果。</w:t>
      </w:r>
    </w:p>
    <w:p w:rsidR="003B3955" w:rsidRDefault="003B3955" w:rsidP="003B3955">
      <w:pPr>
        <w:numPr>
          <w:ilvl w:val="2"/>
          <w:numId w:val="2"/>
        </w:numPr>
        <w:spacing w:line="360" w:lineRule="auto"/>
        <w:ind w:firstLineChars="200" w:firstLine="420"/>
        <w:rPr>
          <w:rFonts w:ascii="宋体" w:hAnsi="宋体" w:hint="eastAsia"/>
          <w:sz w:val="21"/>
          <w:szCs w:val="21"/>
        </w:rPr>
      </w:pPr>
      <w:r>
        <w:rPr>
          <w:rFonts w:ascii="宋体" w:hAnsi="宋体" w:hint="eastAsia"/>
          <w:sz w:val="21"/>
          <w:szCs w:val="21"/>
        </w:rPr>
        <w:t>供货（服务）地点：</w:t>
      </w:r>
      <w:r>
        <w:rPr>
          <w:rFonts w:ascii="宋体" w:hAnsi="宋体" w:hint="eastAsia"/>
          <w:kern w:val="0"/>
          <w:sz w:val="21"/>
          <w:szCs w:val="21"/>
        </w:rPr>
        <w:t>武陟县自然资源局。</w:t>
      </w:r>
    </w:p>
    <w:p w:rsidR="003B3955" w:rsidRDefault="003B3955" w:rsidP="003B3955">
      <w:pPr>
        <w:numPr>
          <w:ilvl w:val="2"/>
          <w:numId w:val="2"/>
        </w:numPr>
        <w:spacing w:line="360" w:lineRule="auto"/>
        <w:ind w:firstLineChars="200" w:firstLine="420"/>
        <w:rPr>
          <w:rFonts w:ascii="宋体" w:hAnsi="宋体" w:hint="eastAsia"/>
          <w:sz w:val="21"/>
          <w:szCs w:val="21"/>
        </w:rPr>
      </w:pPr>
      <w:r>
        <w:rPr>
          <w:rFonts w:ascii="宋体" w:hAnsi="宋体" w:hint="eastAsia"/>
          <w:sz w:val="21"/>
          <w:szCs w:val="21"/>
        </w:rPr>
        <w:t>质量标准：</w:t>
      </w:r>
      <w:r>
        <w:rPr>
          <w:rFonts w:ascii="宋体" w:hAnsi="宋体" w:hint="eastAsia"/>
          <w:kern w:val="0"/>
          <w:sz w:val="21"/>
          <w:szCs w:val="21"/>
        </w:rPr>
        <w:t>符合国家相关验收规范及标准，满足采购人要求。</w:t>
      </w:r>
    </w:p>
    <w:p w:rsidR="003B3955" w:rsidRDefault="003B3955" w:rsidP="003B3955">
      <w:pPr>
        <w:widowControl/>
        <w:snapToGrid w:val="0"/>
        <w:spacing w:line="500" w:lineRule="exact"/>
        <w:ind w:firstLineChars="200" w:firstLine="420"/>
        <w:jc w:val="left"/>
        <w:rPr>
          <w:rFonts w:ascii="宋体" w:hAnsi="宋体" w:hint="eastAsia"/>
          <w:kern w:val="0"/>
          <w:sz w:val="21"/>
          <w:szCs w:val="21"/>
        </w:rPr>
      </w:pPr>
      <w:r>
        <w:rPr>
          <w:rFonts w:ascii="宋体" w:hAnsi="宋体" w:hint="eastAsia"/>
          <w:sz w:val="21"/>
          <w:szCs w:val="21"/>
        </w:rPr>
        <w:t>4.付款方式：</w:t>
      </w:r>
      <w:r>
        <w:rPr>
          <w:rFonts w:ascii="宋体" w:hAnsi="宋体" w:hint="eastAsia"/>
          <w:kern w:val="0"/>
          <w:sz w:val="21"/>
          <w:szCs w:val="21"/>
        </w:rPr>
        <w:t>县级国土空间生态修复规划编制完成后，并经评审验收通过后一次性结清全部价款。</w:t>
      </w:r>
    </w:p>
    <w:p w:rsidR="003B3955" w:rsidRDefault="003B3955" w:rsidP="003B3955">
      <w:pPr>
        <w:widowControl/>
        <w:adjustRightInd w:val="0"/>
        <w:spacing w:line="360" w:lineRule="auto"/>
        <w:ind w:firstLineChars="200" w:firstLine="420"/>
        <w:rPr>
          <w:rFonts w:ascii="宋体" w:hAnsi="宋体" w:hint="eastAsia"/>
          <w:kern w:val="0"/>
          <w:sz w:val="21"/>
          <w:szCs w:val="21"/>
        </w:rPr>
      </w:pPr>
      <w:r>
        <w:rPr>
          <w:rFonts w:ascii="宋体" w:hAnsi="宋体" w:hint="eastAsia"/>
          <w:kern w:val="0"/>
          <w:sz w:val="21"/>
          <w:szCs w:val="21"/>
        </w:rPr>
        <w:t>5.售后服务要求：在规划成果使用过程中，出现的技术问题应在不超过24小时内委派有经验的技术人员到达现场，进行技术服务；在甲方规定的时间内，做到随叫随到，做到电话、</w:t>
      </w:r>
      <w:proofErr w:type="gramStart"/>
      <w:r>
        <w:rPr>
          <w:rFonts w:ascii="宋体" w:hAnsi="宋体" w:hint="eastAsia"/>
          <w:kern w:val="0"/>
          <w:sz w:val="21"/>
          <w:szCs w:val="21"/>
        </w:rPr>
        <w:t>微信等</w:t>
      </w:r>
      <w:proofErr w:type="gramEnd"/>
      <w:r>
        <w:rPr>
          <w:rFonts w:ascii="宋体" w:hAnsi="宋体" w:hint="eastAsia"/>
          <w:kern w:val="0"/>
          <w:sz w:val="21"/>
          <w:szCs w:val="21"/>
        </w:rPr>
        <w:t>全方位服务，确保项目顺利实施。</w:t>
      </w:r>
    </w:p>
    <w:p w:rsidR="003B3955" w:rsidRDefault="003B3955" w:rsidP="003B3955">
      <w:pPr>
        <w:widowControl/>
        <w:adjustRightInd w:val="0"/>
        <w:spacing w:line="360" w:lineRule="auto"/>
        <w:rPr>
          <w:rFonts w:ascii="宋体" w:hAnsi="宋体" w:hint="eastAsia"/>
          <w:b/>
          <w:kern w:val="0"/>
          <w:sz w:val="21"/>
          <w:szCs w:val="21"/>
        </w:rPr>
      </w:pPr>
      <w:r>
        <w:rPr>
          <w:rFonts w:ascii="宋体" w:hAnsi="宋体" w:hint="eastAsia"/>
          <w:b/>
          <w:kern w:val="0"/>
          <w:sz w:val="21"/>
          <w:szCs w:val="21"/>
        </w:rPr>
        <w:t>四、采购内容及技术要求</w:t>
      </w:r>
    </w:p>
    <w:tbl>
      <w:tblPr>
        <w:tblW w:w="89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9"/>
        <w:gridCol w:w="1296"/>
        <w:gridCol w:w="4223"/>
        <w:gridCol w:w="1193"/>
        <w:gridCol w:w="1164"/>
      </w:tblGrid>
      <w:tr w:rsidR="003B3955" w:rsidTr="003B3955">
        <w:trPr>
          <w:trHeight w:val="568"/>
        </w:trPr>
        <w:tc>
          <w:tcPr>
            <w:tcW w:w="1080" w:type="dxa"/>
            <w:tcBorders>
              <w:top w:val="single" w:sz="4" w:space="0" w:color="auto"/>
              <w:left w:val="single" w:sz="4" w:space="0" w:color="auto"/>
              <w:bottom w:val="single" w:sz="4" w:space="0" w:color="auto"/>
              <w:right w:val="single" w:sz="4" w:space="0" w:color="auto"/>
            </w:tcBorders>
            <w:vAlign w:val="center"/>
            <w:hideMark/>
          </w:tcPr>
          <w:p w:rsidR="003B3955" w:rsidRDefault="003B3955">
            <w:pPr>
              <w:widowControl/>
              <w:spacing w:line="400" w:lineRule="exact"/>
              <w:jc w:val="center"/>
              <w:rPr>
                <w:rFonts w:ascii="宋体" w:hAnsi="宋体"/>
                <w:b/>
                <w:bCs/>
                <w:kern w:val="0"/>
                <w:sz w:val="21"/>
                <w:szCs w:val="21"/>
              </w:rPr>
            </w:pPr>
            <w:r>
              <w:rPr>
                <w:rFonts w:ascii="宋体" w:hAnsi="宋体" w:hint="eastAsia"/>
                <w:b/>
                <w:bCs/>
                <w:kern w:val="0"/>
                <w:sz w:val="21"/>
                <w:szCs w:val="21"/>
              </w:rPr>
              <w:t>序号</w:t>
            </w:r>
          </w:p>
        </w:tc>
        <w:tc>
          <w:tcPr>
            <w:tcW w:w="1296" w:type="dxa"/>
            <w:tcBorders>
              <w:top w:val="single" w:sz="4" w:space="0" w:color="auto"/>
              <w:left w:val="single" w:sz="4" w:space="0" w:color="auto"/>
              <w:bottom w:val="single" w:sz="4" w:space="0" w:color="auto"/>
              <w:right w:val="single" w:sz="4" w:space="0" w:color="auto"/>
            </w:tcBorders>
            <w:vAlign w:val="center"/>
            <w:hideMark/>
          </w:tcPr>
          <w:p w:rsidR="003B3955" w:rsidRDefault="003B3955">
            <w:pPr>
              <w:widowControl/>
              <w:spacing w:line="400" w:lineRule="exact"/>
              <w:jc w:val="center"/>
              <w:rPr>
                <w:rFonts w:ascii="宋体" w:hAnsi="宋体"/>
                <w:b/>
                <w:kern w:val="0"/>
                <w:sz w:val="21"/>
                <w:szCs w:val="21"/>
              </w:rPr>
            </w:pPr>
            <w:r>
              <w:rPr>
                <w:rFonts w:ascii="宋体" w:hAnsi="宋体" w:hint="eastAsia"/>
                <w:b/>
                <w:kern w:val="0"/>
                <w:sz w:val="21"/>
                <w:szCs w:val="21"/>
              </w:rPr>
              <w:t>标的名称</w:t>
            </w:r>
          </w:p>
        </w:tc>
        <w:tc>
          <w:tcPr>
            <w:tcW w:w="4224" w:type="dxa"/>
            <w:tcBorders>
              <w:top w:val="single" w:sz="4" w:space="0" w:color="auto"/>
              <w:left w:val="single" w:sz="4" w:space="0" w:color="auto"/>
              <w:bottom w:val="single" w:sz="4" w:space="0" w:color="auto"/>
              <w:right w:val="single" w:sz="4" w:space="0" w:color="auto"/>
            </w:tcBorders>
            <w:vAlign w:val="center"/>
            <w:hideMark/>
          </w:tcPr>
          <w:p w:rsidR="003B3955" w:rsidRDefault="003B3955">
            <w:pPr>
              <w:widowControl/>
              <w:spacing w:line="400" w:lineRule="exact"/>
              <w:jc w:val="center"/>
              <w:rPr>
                <w:rFonts w:ascii="宋体" w:hAnsi="宋体"/>
                <w:b/>
                <w:bCs/>
                <w:kern w:val="0"/>
                <w:sz w:val="21"/>
                <w:szCs w:val="21"/>
              </w:rPr>
            </w:pPr>
            <w:r>
              <w:rPr>
                <w:rFonts w:ascii="宋体" w:hAnsi="宋体" w:hint="eastAsia"/>
                <w:b/>
                <w:bCs/>
                <w:kern w:val="0"/>
                <w:sz w:val="21"/>
                <w:szCs w:val="21"/>
              </w:rPr>
              <w:t>主要技术参数、性能、配置等要求</w:t>
            </w:r>
          </w:p>
        </w:tc>
        <w:tc>
          <w:tcPr>
            <w:tcW w:w="1193" w:type="dxa"/>
            <w:tcBorders>
              <w:top w:val="single" w:sz="4" w:space="0" w:color="auto"/>
              <w:left w:val="single" w:sz="4" w:space="0" w:color="auto"/>
              <w:bottom w:val="single" w:sz="4" w:space="0" w:color="auto"/>
              <w:right w:val="single" w:sz="4" w:space="0" w:color="auto"/>
            </w:tcBorders>
            <w:vAlign w:val="center"/>
            <w:hideMark/>
          </w:tcPr>
          <w:p w:rsidR="003B3955" w:rsidRDefault="003B3955">
            <w:pPr>
              <w:widowControl/>
              <w:spacing w:line="400" w:lineRule="exact"/>
              <w:jc w:val="center"/>
              <w:rPr>
                <w:rFonts w:ascii="宋体" w:hAnsi="宋体"/>
                <w:b/>
                <w:bCs/>
                <w:kern w:val="0"/>
                <w:sz w:val="21"/>
                <w:szCs w:val="21"/>
              </w:rPr>
            </w:pPr>
            <w:r>
              <w:rPr>
                <w:rFonts w:ascii="宋体" w:hAnsi="宋体" w:hint="eastAsia"/>
                <w:b/>
                <w:bCs/>
                <w:kern w:val="0"/>
                <w:sz w:val="21"/>
                <w:szCs w:val="21"/>
              </w:rPr>
              <w:t>数量/单位</w:t>
            </w:r>
          </w:p>
        </w:tc>
        <w:tc>
          <w:tcPr>
            <w:tcW w:w="1164" w:type="dxa"/>
            <w:tcBorders>
              <w:top w:val="single" w:sz="4" w:space="0" w:color="auto"/>
              <w:left w:val="single" w:sz="4" w:space="0" w:color="auto"/>
              <w:bottom w:val="single" w:sz="4" w:space="0" w:color="auto"/>
              <w:right w:val="single" w:sz="4" w:space="0" w:color="auto"/>
            </w:tcBorders>
            <w:vAlign w:val="center"/>
            <w:hideMark/>
          </w:tcPr>
          <w:p w:rsidR="003B3955" w:rsidRDefault="003B3955">
            <w:pPr>
              <w:widowControl/>
              <w:spacing w:line="400" w:lineRule="exact"/>
              <w:jc w:val="center"/>
              <w:rPr>
                <w:rFonts w:ascii="宋体" w:hAnsi="宋体"/>
                <w:b/>
                <w:bCs/>
                <w:kern w:val="0"/>
                <w:sz w:val="21"/>
                <w:szCs w:val="21"/>
              </w:rPr>
            </w:pPr>
            <w:r>
              <w:rPr>
                <w:rFonts w:ascii="宋体" w:hAnsi="宋体" w:hint="eastAsia"/>
                <w:b/>
                <w:bCs/>
                <w:kern w:val="0"/>
                <w:sz w:val="21"/>
                <w:szCs w:val="21"/>
              </w:rPr>
              <w:t>所属行业</w:t>
            </w:r>
          </w:p>
        </w:tc>
      </w:tr>
      <w:tr w:rsidR="003B3955" w:rsidTr="003B3955">
        <w:trPr>
          <w:trHeight w:val="567"/>
        </w:trPr>
        <w:tc>
          <w:tcPr>
            <w:tcW w:w="1080" w:type="dxa"/>
            <w:tcBorders>
              <w:top w:val="single" w:sz="4" w:space="0" w:color="auto"/>
              <w:left w:val="single" w:sz="4" w:space="0" w:color="auto"/>
              <w:bottom w:val="single" w:sz="4" w:space="0" w:color="auto"/>
              <w:right w:val="single" w:sz="4" w:space="0" w:color="auto"/>
            </w:tcBorders>
            <w:vAlign w:val="center"/>
            <w:hideMark/>
          </w:tcPr>
          <w:p w:rsidR="003B3955" w:rsidRDefault="003B3955">
            <w:pPr>
              <w:widowControl/>
              <w:spacing w:line="400" w:lineRule="exact"/>
              <w:jc w:val="center"/>
              <w:rPr>
                <w:rFonts w:ascii="宋体" w:hAnsi="宋体"/>
                <w:kern w:val="0"/>
                <w:sz w:val="21"/>
                <w:szCs w:val="21"/>
              </w:rPr>
            </w:pPr>
            <w:r>
              <w:rPr>
                <w:rFonts w:ascii="宋体" w:hAnsi="宋体" w:hint="eastAsia"/>
                <w:kern w:val="0"/>
                <w:sz w:val="21"/>
                <w:szCs w:val="21"/>
              </w:rPr>
              <w:t>1</w:t>
            </w:r>
          </w:p>
        </w:tc>
        <w:tc>
          <w:tcPr>
            <w:tcW w:w="1296" w:type="dxa"/>
            <w:tcBorders>
              <w:top w:val="single" w:sz="4" w:space="0" w:color="auto"/>
              <w:left w:val="single" w:sz="4" w:space="0" w:color="auto"/>
              <w:bottom w:val="single" w:sz="4" w:space="0" w:color="auto"/>
              <w:right w:val="single" w:sz="4" w:space="0" w:color="auto"/>
            </w:tcBorders>
            <w:vAlign w:val="center"/>
          </w:tcPr>
          <w:p w:rsidR="003B3955" w:rsidRDefault="003B3955">
            <w:pPr>
              <w:widowControl/>
              <w:spacing w:line="400" w:lineRule="exact"/>
              <w:jc w:val="center"/>
              <w:rPr>
                <w:rFonts w:ascii="宋体" w:hAnsi="宋体"/>
                <w:kern w:val="0"/>
                <w:sz w:val="21"/>
                <w:szCs w:val="21"/>
              </w:rPr>
            </w:pPr>
            <w:r>
              <w:rPr>
                <w:rFonts w:ascii="宋体" w:hAnsi="宋体" w:hint="eastAsia"/>
                <w:kern w:val="0"/>
                <w:sz w:val="21"/>
                <w:szCs w:val="21"/>
              </w:rPr>
              <w:t>武陟县国土空间生态修复规划编制项目</w:t>
            </w:r>
          </w:p>
          <w:p w:rsidR="003B3955" w:rsidRDefault="003B3955">
            <w:pPr>
              <w:widowControl/>
              <w:spacing w:line="400" w:lineRule="exact"/>
              <w:jc w:val="center"/>
              <w:rPr>
                <w:rFonts w:ascii="宋体" w:hAnsi="宋体"/>
                <w:kern w:val="0"/>
                <w:sz w:val="21"/>
                <w:szCs w:val="21"/>
              </w:rPr>
            </w:pPr>
          </w:p>
        </w:tc>
        <w:tc>
          <w:tcPr>
            <w:tcW w:w="4224" w:type="dxa"/>
            <w:tcBorders>
              <w:top w:val="single" w:sz="4" w:space="0" w:color="auto"/>
              <w:left w:val="single" w:sz="4" w:space="0" w:color="auto"/>
              <w:bottom w:val="single" w:sz="4" w:space="0" w:color="auto"/>
              <w:right w:val="single" w:sz="4" w:space="0" w:color="auto"/>
            </w:tcBorders>
            <w:vAlign w:val="center"/>
            <w:hideMark/>
          </w:tcPr>
          <w:p w:rsidR="003B3955" w:rsidRDefault="003B3955">
            <w:pPr>
              <w:widowControl/>
              <w:snapToGrid w:val="0"/>
              <w:spacing w:line="500" w:lineRule="exact"/>
              <w:jc w:val="left"/>
              <w:rPr>
                <w:rFonts w:ascii="宋体" w:hAnsi="宋体"/>
                <w:bCs/>
                <w:kern w:val="0"/>
                <w:sz w:val="21"/>
                <w:szCs w:val="21"/>
              </w:rPr>
            </w:pPr>
            <w:r>
              <w:rPr>
                <w:rFonts w:ascii="宋体" w:hAnsi="宋体" w:hint="eastAsia"/>
                <w:bCs/>
                <w:kern w:val="0"/>
                <w:sz w:val="21"/>
                <w:szCs w:val="21"/>
              </w:rPr>
              <w:t>1、规划范围与期限规划范围包括武陟县行政辖区内全部国土空间。规划期限为2021-2035年，基准年为2020年，做到谋划15年，做实“十四五”。</w:t>
            </w:r>
          </w:p>
          <w:p w:rsidR="003B3955" w:rsidRDefault="003B3955">
            <w:pPr>
              <w:widowControl/>
              <w:spacing w:line="400" w:lineRule="exact"/>
              <w:jc w:val="left"/>
              <w:rPr>
                <w:rFonts w:ascii="宋体" w:hAnsi="宋体" w:hint="eastAsia"/>
                <w:bCs/>
                <w:kern w:val="0"/>
                <w:sz w:val="21"/>
                <w:szCs w:val="21"/>
              </w:rPr>
            </w:pPr>
            <w:r>
              <w:rPr>
                <w:rFonts w:ascii="宋体" w:hAnsi="宋体" w:hint="eastAsia"/>
                <w:kern w:val="0"/>
                <w:sz w:val="21"/>
                <w:szCs w:val="21"/>
              </w:rPr>
              <w:t>2、规划目标：</w:t>
            </w:r>
            <w:r>
              <w:rPr>
                <w:rFonts w:ascii="宋体" w:hAnsi="宋体" w:hint="eastAsia"/>
                <w:bCs/>
                <w:kern w:val="0"/>
                <w:sz w:val="21"/>
                <w:szCs w:val="21"/>
              </w:rPr>
              <w:t>立足武陟县县域实际情况，以省市生态修复总体布局为指引，聚焦武陟县生态问题和修复需求，以山水林田湖草沙一体化保护修复为主线，统筹全域土地综合整治试点工作，分别提出到2025年、2035年</w:t>
            </w:r>
            <w:r>
              <w:rPr>
                <w:rFonts w:ascii="宋体" w:hAnsi="宋体" w:hint="eastAsia"/>
                <w:bCs/>
                <w:kern w:val="0"/>
                <w:sz w:val="21"/>
                <w:szCs w:val="21"/>
              </w:rPr>
              <w:lastRenderedPageBreak/>
              <w:t>分阶段国土空间生态修复目标。依据上位规划，衔接相关规划，在区域生态功能定位、生态现状和生态问题判识基础上，重点从国土空间格局优化、生态保护红线管控、受损生态系统修复、生态系统质量改善和服务功能提升等方面，合理设定生态修复指标体系，科学提出约束性和预期性指标，促进安全、优质、美丽国土建设。</w:t>
            </w:r>
          </w:p>
          <w:p w:rsidR="003B3955" w:rsidRDefault="003B3955">
            <w:pPr>
              <w:pStyle w:val="2"/>
              <w:ind w:leftChars="0" w:left="0" w:firstLineChars="0" w:firstLine="0"/>
              <w:rPr>
                <w:rFonts w:ascii="Times New Roman" w:hAnsi="Times New Roman" w:cs="Times New Roman"/>
              </w:rPr>
            </w:pPr>
            <w:r>
              <w:rPr>
                <w:rFonts w:ascii="宋体" w:hAnsi="宋体" w:hint="eastAsia"/>
                <w:bCs/>
                <w:kern w:val="0"/>
                <w:sz w:val="21"/>
                <w:szCs w:val="21"/>
              </w:rPr>
              <w:t>3、成果要求：必须符合《河南省市县级国土空间生态修复规划编制指南（试行）》（</w:t>
            </w:r>
            <w:proofErr w:type="gramStart"/>
            <w:r>
              <w:rPr>
                <w:rFonts w:ascii="宋体" w:hAnsi="宋体" w:hint="eastAsia"/>
                <w:bCs/>
                <w:kern w:val="0"/>
                <w:sz w:val="21"/>
                <w:szCs w:val="21"/>
              </w:rPr>
              <w:t>豫自然资</w:t>
            </w:r>
            <w:proofErr w:type="gramEnd"/>
            <w:r>
              <w:rPr>
                <w:rFonts w:ascii="宋体" w:hAnsi="宋体" w:hint="eastAsia"/>
                <w:bCs/>
                <w:kern w:val="0"/>
                <w:sz w:val="21"/>
                <w:szCs w:val="21"/>
              </w:rPr>
              <w:t>办发〔2022〕19号）的有关要求。县级国土空间生态修复规划要明确县域国土空间生态修复的总体思路、空间布局、目标任务、重点项目、时序安排、资金筹措、保障措施等，核心内容要细化到所辖乡镇（街道办）及重点村，形成县级国土空间生态修复规划文本、图件、附表、编制说明、规划数据库等成果。</w:t>
            </w:r>
          </w:p>
        </w:tc>
        <w:tc>
          <w:tcPr>
            <w:tcW w:w="1193" w:type="dxa"/>
            <w:tcBorders>
              <w:top w:val="single" w:sz="4" w:space="0" w:color="auto"/>
              <w:left w:val="single" w:sz="4" w:space="0" w:color="auto"/>
              <w:bottom w:val="single" w:sz="4" w:space="0" w:color="auto"/>
              <w:right w:val="single" w:sz="4" w:space="0" w:color="auto"/>
            </w:tcBorders>
            <w:vAlign w:val="center"/>
            <w:hideMark/>
          </w:tcPr>
          <w:p w:rsidR="003B3955" w:rsidRDefault="003B3955">
            <w:pPr>
              <w:widowControl/>
              <w:jc w:val="center"/>
              <w:rPr>
                <w:rFonts w:ascii="宋体" w:hAnsi="宋体"/>
                <w:kern w:val="0"/>
                <w:sz w:val="21"/>
                <w:szCs w:val="21"/>
              </w:rPr>
            </w:pPr>
            <w:r>
              <w:rPr>
                <w:rFonts w:ascii="宋体" w:hAnsi="宋体" w:hint="eastAsia"/>
                <w:kern w:val="0"/>
                <w:sz w:val="21"/>
                <w:szCs w:val="21"/>
              </w:rPr>
              <w:lastRenderedPageBreak/>
              <w:t>1项</w:t>
            </w:r>
          </w:p>
        </w:tc>
        <w:tc>
          <w:tcPr>
            <w:tcW w:w="1164" w:type="dxa"/>
            <w:tcBorders>
              <w:top w:val="single" w:sz="4" w:space="0" w:color="auto"/>
              <w:left w:val="single" w:sz="4" w:space="0" w:color="auto"/>
              <w:bottom w:val="single" w:sz="4" w:space="0" w:color="auto"/>
              <w:right w:val="single" w:sz="4" w:space="0" w:color="auto"/>
            </w:tcBorders>
            <w:vAlign w:val="center"/>
            <w:hideMark/>
          </w:tcPr>
          <w:p w:rsidR="003B3955" w:rsidRDefault="003B3955">
            <w:pPr>
              <w:widowControl/>
              <w:spacing w:line="400" w:lineRule="exact"/>
              <w:jc w:val="center"/>
              <w:rPr>
                <w:rFonts w:ascii="宋体" w:hAnsi="宋体"/>
                <w:bCs/>
                <w:kern w:val="0"/>
                <w:sz w:val="21"/>
                <w:szCs w:val="21"/>
              </w:rPr>
            </w:pPr>
            <w:r>
              <w:rPr>
                <w:rFonts w:ascii="宋体" w:hAnsi="宋体" w:hint="eastAsia"/>
                <w:bCs/>
                <w:kern w:val="0"/>
                <w:sz w:val="21"/>
                <w:szCs w:val="21"/>
              </w:rPr>
              <w:t>其他未列明行业</w:t>
            </w:r>
          </w:p>
        </w:tc>
      </w:tr>
    </w:tbl>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lastRenderedPageBreak/>
        <w:t>一、规划定位</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武陟县国土空间生态修复规划是武陟县国土空间总体规划的重要专项规划，是一定时期内县域国土空间生态修复和土地综合整治活动的总体安排。武陟县县级国土空间生态修复规划深化落实省市级国土空间生态修复规划的要求，衔接当地的国民经济和社会发展规划，在全省国土空间生态修复规划体系中发挥承上启下作用。</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县级国土空间生态修复规划是落实县级国土空间总体规划的相关任务、要求，实现上级国土空间生态修复规划相关工程项目在本地区的落地，突出规划的实施性和可操作性。</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二、总体思路</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为贯彻上级党委政府的相关要求，落实《自然资源部办公厅关于开展省级国土空间生态修复规划编制工作的通知》（自然资办发 〔2020〕45号）精神，按照《河南省自然资源厅办公室关于开展市县国土空间生态修复规划编制工作的通知》和《河南省市县级国土空间生态修复规划编制指南（试行）》（</w:t>
      </w:r>
      <w:proofErr w:type="gramStart"/>
      <w:r>
        <w:rPr>
          <w:rFonts w:ascii="宋体" w:hAnsi="宋体" w:hint="eastAsia"/>
          <w:bCs/>
          <w:kern w:val="0"/>
          <w:sz w:val="21"/>
          <w:szCs w:val="21"/>
        </w:rPr>
        <w:t>豫自然资</w:t>
      </w:r>
      <w:proofErr w:type="gramEnd"/>
      <w:r>
        <w:rPr>
          <w:rFonts w:ascii="宋体" w:hAnsi="宋体" w:hint="eastAsia"/>
          <w:bCs/>
          <w:kern w:val="0"/>
          <w:sz w:val="21"/>
          <w:szCs w:val="21"/>
        </w:rPr>
        <w:t>办发〔2022〕19号）要求，坚持生态优先、绿色发展原则，结合武陟县气候变化和人类活动影响，识别全县生态问题，预判重大生态风险，谋划县域生态修复总体布局和分区，实行国土空间整体保护、系统修复、综合治理，推进山</w:t>
      </w:r>
      <w:r>
        <w:rPr>
          <w:rFonts w:ascii="宋体" w:hAnsi="宋体" w:hint="eastAsia"/>
          <w:bCs/>
          <w:kern w:val="0"/>
          <w:sz w:val="21"/>
          <w:szCs w:val="21"/>
        </w:rPr>
        <w:lastRenderedPageBreak/>
        <w:t>水林田湖草沙一体化保护修复和全域土地综合整治，依据有关政策文件、标准规范及省市的相关规划，组织编武陟县国土空间生态修复规划。</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三、规划内容</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（一）规划范围与期限</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规划范围包括武陟县行政辖区内全部国土空间。规划期限为2021-2035年，基准年为2020年，做到谋划15年，做实“十四五”。</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（二）规划目标</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立足武陟县县域实际情况，以省市生态修复总体布局为指引，聚焦武陟县生态问题和修复需求，以山水林田湖草沙一体化保护修复为主线，统筹全域土地综合整治试点工作，分别提出到2025年、2035年分阶段国土空间生态修复目标。依据上位规划，衔接相关规划，在区域生态功能定位、生态现状和生态问题判识基础上，重点从国土空间格局优化、生态保护红线管控、受损生态系统修复、生态系统质量改善和服务功能提升等方面，合理设定生态修复指标体系，科学提出约束性和预期性指标，促进安全、优质、美丽国土建设。</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（三）重点内容</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1、背景分析</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充分运用武陟</w:t>
      </w:r>
      <w:proofErr w:type="gramStart"/>
      <w:r>
        <w:rPr>
          <w:rFonts w:ascii="宋体" w:hAnsi="宋体" w:hint="eastAsia"/>
          <w:bCs/>
          <w:kern w:val="0"/>
          <w:sz w:val="21"/>
          <w:szCs w:val="21"/>
        </w:rPr>
        <w:t>县资源</w:t>
      </w:r>
      <w:proofErr w:type="gramEnd"/>
      <w:r>
        <w:rPr>
          <w:rFonts w:ascii="宋体" w:hAnsi="宋体" w:hint="eastAsia"/>
          <w:bCs/>
          <w:kern w:val="0"/>
          <w:sz w:val="21"/>
          <w:szCs w:val="21"/>
        </w:rPr>
        <w:t>环境承载能力和国土空间开发适宜性评价已有成果，研究县域气候、地形地貌、水文、土壤、土地、矿产等自然资源禀赋和空间本底特征，分析自然地理格局、水资源、耕地资源、矿产资源、林业资源、生物资源、湿地资源及其他资源与人口分布、区域经济布局的空间匹配关系，识别主要生态问题，提出国土空间生态修复的类型和重点区域，形成基础分析成果。以流域、区域为单元，针对生态空间、城镇空间、农业空间以及三类空间相邻或功能冲突区域，打破城乡之间、县乡级行政区划之间的限制，分析自然和人工生态系统的规模、分布、结构、质量及演替规律，明确生态本底空间分布，形成县域生态现状底图，评价各类生态系统、山水林田湖草沙等自然要素保护利用成效及存在的问题。</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2、问题识别</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结合基础分析的结果，针对县域行政区域内国土空间生态状况和生态损毁程度，从生态系统演替规律及内在机理，综合考虑自然地理条件和人类活动影响，准确识别主要生态问题及其之间的关联性、紧迫度，识别主要生态问题分布、成因特征。</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lastRenderedPageBreak/>
        <w:t>3、综合分析</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基于分析评价和问题识别，从自然和人为两方面分析主要生态问题的主要胁迫因素、原因机理和初步对策。坚持定性与定量相结合，探索评估不同区域生态系统恢复力水平，综合县域各类生态系统是否退化及退化程度（完好、轻度退化、中度退化、严重退化）、恢复力水平，以自然恢复为主、人工修复为辅方针，合理选择保育保护、自然恢复、辅助再生和生态重建等生态修复模式；结合当地实际情况和分析结果，明确开展生态修复的空间范围和模式策略，初步确定生态修复的主要任务。</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4、 修复分区和重点区域（区块）</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按照省级生态修复规划确定的“一带三屏三廊多点”生态保护格局，结合县级国土空间总体规划的开发保护格局及生态修复部署，合理划分县级国土空间生态修复分区，针对各分区主要生态问题明确生态修复的主攻方向。分区突出自然地理、重点流域和生态系统的完整性和连通性，县级规划原则上不打破行政村边界，相邻县应做好分区衔接，做到全覆盖、不交叉、不重叠。</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依据省级生态修复规划确定的生态修复重点区域，结合县生态功能</w:t>
      </w:r>
      <w:proofErr w:type="gramStart"/>
      <w:r>
        <w:rPr>
          <w:rFonts w:ascii="宋体" w:hAnsi="宋体" w:hint="eastAsia"/>
          <w:bCs/>
          <w:kern w:val="0"/>
          <w:sz w:val="21"/>
          <w:szCs w:val="21"/>
        </w:rPr>
        <w:t>敏感重要</w:t>
      </w:r>
      <w:proofErr w:type="gramEnd"/>
      <w:r>
        <w:rPr>
          <w:rFonts w:ascii="宋体" w:hAnsi="宋体" w:hint="eastAsia"/>
          <w:bCs/>
          <w:kern w:val="0"/>
          <w:sz w:val="21"/>
          <w:szCs w:val="21"/>
        </w:rPr>
        <w:t>区域和受损严重区域的空间分布，提出县开展生态修复的重点区域或区块，作为规划实施的优先区，为安排生态修复工程提供依据。</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5、生态修复重点工程</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按照“注重项目化、工程化、方案化”的要求，在省级生态修复规划重大工程项目设置的基础上，根据县生态问题的紧迫性、严重性和生态系统的退化程度和恢复能力，并按照财力可能、技术可行的原则，科学确定重点工程项目类型，明确项目具体内容，合理安排时序及责任单位，促进生态修复顺利实施。</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四、有关要求</w:t>
      </w:r>
    </w:p>
    <w:p w:rsidR="003B3955" w:rsidRDefault="003B3955" w:rsidP="003B3955">
      <w:pPr>
        <w:widowControl/>
        <w:snapToGrid w:val="0"/>
        <w:spacing w:line="500" w:lineRule="exact"/>
        <w:ind w:firstLineChars="200" w:firstLine="422"/>
        <w:jc w:val="left"/>
        <w:rPr>
          <w:rFonts w:ascii="宋体" w:hAnsi="宋体" w:hint="eastAsia"/>
          <w:b/>
          <w:bCs/>
          <w:kern w:val="0"/>
          <w:sz w:val="21"/>
          <w:szCs w:val="21"/>
        </w:rPr>
      </w:pPr>
      <w:r>
        <w:rPr>
          <w:rFonts w:ascii="宋体" w:hAnsi="宋体" w:hint="eastAsia"/>
          <w:b/>
          <w:bCs/>
          <w:kern w:val="0"/>
          <w:sz w:val="21"/>
          <w:szCs w:val="21"/>
        </w:rPr>
        <w:t>（一）成果要求</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1、必须符合《河南省市县级国土空间生态修复规划编制指南（试行）》（</w:t>
      </w:r>
      <w:proofErr w:type="gramStart"/>
      <w:r>
        <w:rPr>
          <w:rFonts w:ascii="宋体" w:hAnsi="宋体" w:hint="eastAsia"/>
          <w:bCs/>
          <w:kern w:val="0"/>
          <w:sz w:val="21"/>
          <w:szCs w:val="21"/>
        </w:rPr>
        <w:t>豫自然资</w:t>
      </w:r>
      <w:proofErr w:type="gramEnd"/>
      <w:r>
        <w:rPr>
          <w:rFonts w:ascii="宋体" w:hAnsi="宋体" w:hint="eastAsia"/>
          <w:bCs/>
          <w:kern w:val="0"/>
          <w:sz w:val="21"/>
          <w:szCs w:val="21"/>
        </w:rPr>
        <w:t>办发〔2022〕19号）的有关要求。县级国土空间生态修复规划要明确县域国土空间生态修复的总体思路、空间布局、目标任务、重点项目、时序安排、资金筹措、保障措施等，核心内</w:t>
      </w:r>
      <w:r>
        <w:rPr>
          <w:rFonts w:ascii="宋体" w:hAnsi="宋体" w:hint="eastAsia"/>
          <w:bCs/>
          <w:kern w:val="0"/>
          <w:sz w:val="21"/>
          <w:szCs w:val="21"/>
        </w:rPr>
        <w:lastRenderedPageBreak/>
        <w:t>容要细化到所辖乡镇（街道办）及重点村，形成县级国土空间生态修复规划文本、图件、附表、编制说明、规划数据库等成果。</w:t>
      </w:r>
    </w:p>
    <w:p w:rsidR="003B3955" w:rsidRDefault="003B3955" w:rsidP="003B3955">
      <w:pPr>
        <w:widowControl/>
        <w:snapToGrid w:val="0"/>
        <w:spacing w:line="500" w:lineRule="exact"/>
        <w:ind w:firstLineChars="200" w:firstLine="420"/>
        <w:jc w:val="left"/>
        <w:rPr>
          <w:rFonts w:ascii="宋体" w:hAnsi="宋体" w:hint="eastAsia"/>
          <w:bCs/>
          <w:kern w:val="0"/>
          <w:sz w:val="21"/>
          <w:szCs w:val="21"/>
        </w:rPr>
      </w:pPr>
      <w:r>
        <w:rPr>
          <w:rFonts w:ascii="宋体" w:hAnsi="宋体" w:hint="eastAsia"/>
          <w:bCs/>
          <w:kern w:val="0"/>
          <w:sz w:val="21"/>
          <w:szCs w:val="21"/>
        </w:rPr>
        <w:t>2、成果内容包含：纸质文件和电子文件10套包括规划文本、图件、附表、编制说明；数据库成果。成果版权归招标人所有。</w:t>
      </w:r>
    </w:p>
    <w:p w:rsidR="003B3955" w:rsidRDefault="003B3955" w:rsidP="003B3955">
      <w:pPr>
        <w:widowControl/>
        <w:adjustRightInd w:val="0"/>
        <w:spacing w:line="500" w:lineRule="exact"/>
        <w:rPr>
          <w:rFonts w:ascii="宋体" w:hAnsi="宋体" w:hint="eastAsia"/>
          <w:b/>
          <w:kern w:val="0"/>
          <w:sz w:val="21"/>
          <w:szCs w:val="21"/>
        </w:rPr>
      </w:pPr>
      <w:r>
        <w:rPr>
          <w:rFonts w:ascii="宋体" w:hAnsi="宋体" w:hint="eastAsia"/>
          <w:b/>
          <w:kern w:val="0"/>
          <w:sz w:val="21"/>
          <w:szCs w:val="21"/>
        </w:rPr>
        <w:t>五、需要落实的政府采购政策</w:t>
      </w:r>
    </w:p>
    <w:p w:rsidR="003B3955" w:rsidRDefault="003B3955" w:rsidP="003B3955">
      <w:pPr>
        <w:spacing w:line="500" w:lineRule="exact"/>
        <w:rPr>
          <w:rFonts w:ascii="宋体" w:hAnsi="宋体" w:hint="eastAsia"/>
          <w:b/>
          <w:bCs/>
          <w:sz w:val="21"/>
          <w:szCs w:val="21"/>
        </w:rPr>
      </w:pPr>
      <w:r>
        <w:rPr>
          <w:rFonts w:ascii="宋体" w:hAnsi="宋体" w:hint="eastAsia"/>
          <w:b/>
          <w:bCs/>
          <w:sz w:val="21"/>
          <w:szCs w:val="21"/>
        </w:rPr>
        <w:t>（一）促进中小企业、监狱企业和残疾人福利性单位发展扶持政策</w:t>
      </w:r>
    </w:p>
    <w:p w:rsidR="003B3955" w:rsidRDefault="003B3955" w:rsidP="003B3955">
      <w:pPr>
        <w:spacing w:line="500" w:lineRule="exact"/>
        <w:rPr>
          <w:rFonts w:ascii="宋体" w:hAnsi="宋体" w:hint="eastAsia"/>
          <w:bCs/>
          <w:sz w:val="21"/>
          <w:szCs w:val="21"/>
        </w:rPr>
      </w:pPr>
      <w:r>
        <w:rPr>
          <w:rFonts w:ascii="宋体" w:hAnsi="宋体" w:hint="eastAsia"/>
          <w:b/>
          <w:bCs/>
          <w:sz w:val="21"/>
          <w:szCs w:val="21"/>
        </w:rPr>
        <w:t>促进中小企业发展扶持政策</w:t>
      </w:r>
      <w:r>
        <w:rPr>
          <w:rFonts w:ascii="宋体" w:hAnsi="宋体" w:hint="eastAsia"/>
          <w:bCs/>
          <w:sz w:val="21"/>
          <w:szCs w:val="21"/>
        </w:rPr>
        <w:t>：</w:t>
      </w:r>
    </w:p>
    <w:p w:rsidR="003B3955" w:rsidRDefault="003B3955" w:rsidP="003B3955">
      <w:pPr>
        <w:spacing w:line="500" w:lineRule="exact"/>
        <w:ind w:firstLineChars="200" w:firstLine="420"/>
        <w:rPr>
          <w:rFonts w:ascii="宋体" w:hAnsi="宋体" w:hint="eastAsia"/>
          <w:bCs/>
          <w:sz w:val="21"/>
          <w:szCs w:val="21"/>
        </w:rPr>
      </w:pPr>
      <w:r>
        <w:rPr>
          <w:rFonts w:ascii="宋体" w:hAnsi="宋体" w:hint="eastAsia"/>
          <w:bCs/>
          <w:sz w:val="21"/>
          <w:szCs w:val="21"/>
        </w:rPr>
        <w:t>1.中小企业认定：</w:t>
      </w:r>
    </w:p>
    <w:p w:rsidR="003B3955" w:rsidRDefault="003B3955" w:rsidP="003B3955">
      <w:pPr>
        <w:spacing w:line="500" w:lineRule="exact"/>
        <w:ind w:firstLineChars="200" w:firstLine="420"/>
        <w:rPr>
          <w:rFonts w:ascii="宋体" w:hAnsi="宋体" w:hint="eastAsia"/>
          <w:bCs/>
          <w:sz w:val="21"/>
          <w:szCs w:val="21"/>
        </w:rPr>
      </w:pPr>
      <w:r>
        <w:rPr>
          <w:rFonts w:ascii="宋体" w:hAnsi="宋体" w:hint="eastAsia"/>
          <w:bCs/>
          <w:sz w:val="21"/>
          <w:szCs w:val="21"/>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rsidR="003B3955" w:rsidRDefault="003B3955" w:rsidP="003B3955">
      <w:pPr>
        <w:spacing w:line="500" w:lineRule="exact"/>
        <w:ind w:firstLineChars="200" w:firstLine="420"/>
        <w:rPr>
          <w:rFonts w:ascii="宋体" w:hAnsi="宋体" w:hint="eastAsia"/>
          <w:bCs/>
          <w:sz w:val="21"/>
          <w:szCs w:val="21"/>
        </w:rPr>
      </w:pPr>
      <w:r>
        <w:rPr>
          <w:rFonts w:ascii="宋体" w:hAnsi="宋体" w:hint="eastAsia"/>
          <w:bCs/>
          <w:sz w:val="21"/>
          <w:szCs w:val="21"/>
        </w:rPr>
        <w:t>符合中小企业划分标准的个体工商户，在政府采购活动中视同中小企业。</w:t>
      </w:r>
    </w:p>
    <w:p w:rsidR="003B3955" w:rsidRDefault="003B3955" w:rsidP="003B3955">
      <w:pPr>
        <w:spacing w:line="500" w:lineRule="exact"/>
        <w:ind w:firstLineChars="200" w:firstLine="420"/>
        <w:rPr>
          <w:rFonts w:ascii="宋体" w:hAnsi="宋体" w:hint="eastAsia"/>
          <w:bCs/>
          <w:sz w:val="21"/>
          <w:szCs w:val="21"/>
        </w:rPr>
      </w:pPr>
      <w:r>
        <w:rPr>
          <w:rFonts w:ascii="宋体" w:hAnsi="宋体" w:hint="eastAsia"/>
          <w:bCs/>
          <w:sz w:val="21"/>
          <w:szCs w:val="21"/>
        </w:rPr>
        <w:t>中小企业划分标准见《关于印发中小企业划型标准规定的通知》（工信部联企业〔2011〕300号）</w:t>
      </w:r>
    </w:p>
    <w:p w:rsidR="003B3955" w:rsidRDefault="003B3955" w:rsidP="003B3955">
      <w:pPr>
        <w:spacing w:line="500" w:lineRule="exact"/>
        <w:ind w:firstLineChars="200" w:firstLine="420"/>
        <w:rPr>
          <w:rFonts w:ascii="宋体" w:hAnsi="宋体" w:hint="eastAsia"/>
          <w:bCs/>
          <w:sz w:val="21"/>
          <w:szCs w:val="21"/>
        </w:rPr>
      </w:pPr>
      <w:r>
        <w:rPr>
          <w:rFonts w:ascii="宋体" w:hAnsi="宋体" w:hint="eastAsia"/>
          <w:bCs/>
          <w:sz w:val="21"/>
          <w:szCs w:val="21"/>
        </w:rPr>
        <w:t>（2）在货物采购项目中，货物由中小企业制造，即货物由中小企业生产且使用该中小企业商号或者注册商标；</w:t>
      </w:r>
    </w:p>
    <w:p w:rsidR="003B3955" w:rsidRDefault="003B3955" w:rsidP="003B3955">
      <w:pPr>
        <w:spacing w:line="500" w:lineRule="exact"/>
        <w:ind w:firstLineChars="200" w:firstLine="420"/>
        <w:rPr>
          <w:rFonts w:ascii="宋体" w:hAnsi="宋体" w:hint="eastAsia"/>
          <w:bCs/>
          <w:sz w:val="21"/>
          <w:szCs w:val="21"/>
        </w:rPr>
      </w:pPr>
      <w:r>
        <w:rPr>
          <w:rFonts w:ascii="宋体" w:hAnsi="宋体" w:hint="eastAsia"/>
          <w:bCs/>
          <w:sz w:val="21"/>
          <w:szCs w:val="21"/>
        </w:rPr>
        <w:t>（3）在工程采购项目中，工程由中小企业承建，即工程施工单位为中小企业；</w:t>
      </w:r>
    </w:p>
    <w:p w:rsidR="003B3955" w:rsidRDefault="003B3955" w:rsidP="003B3955">
      <w:pPr>
        <w:spacing w:line="500" w:lineRule="exact"/>
        <w:ind w:firstLineChars="200" w:firstLine="420"/>
        <w:rPr>
          <w:rFonts w:ascii="宋体" w:hAnsi="宋体" w:hint="eastAsia"/>
          <w:bCs/>
          <w:sz w:val="21"/>
          <w:szCs w:val="21"/>
        </w:rPr>
      </w:pPr>
      <w:r>
        <w:rPr>
          <w:rFonts w:ascii="宋体" w:hAnsi="宋体" w:hint="eastAsia"/>
          <w:bCs/>
          <w:sz w:val="21"/>
          <w:szCs w:val="21"/>
        </w:rPr>
        <w:t>（4）在服务采购项目中，服务由中小企业承接，即提供服务的人员为中小企业依照《中华人民共和国民法典》订立劳动合同的从业人员。</w:t>
      </w:r>
    </w:p>
    <w:p w:rsidR="003B3955" w:rsidRDefault="003B3955" w:rsidP="003B3955">
      <w:pPr>
        <w:spacing w:line="500" w:lineRule="exact"/>
        <w:ind w:firstLineChars="200" w:firstLine="420"/>
        <w:rPr>
          <w:rFonts w:ascii="宋体" w:hAnsi="宋体" w:hint="eastAsia"/>
          <w:bCs/>
          <w:sz w:val="21"/>
          <w:szCs w:val="21"/>
        </w:rPr>
      </w:pPr>
      <w:r>
        <w:rPr>
          <w:rFonts w:ascii="宋体" w:hAnsi="宋体" w:hint="eastAsia"/>
          <w:bCs/>
          <w:sz w:val="21"/>
          <w:szCs w:val="21"/>
        </w:rPr>
        <w:t>在货物采购项目中，投标人提供的货物既有中小企业制造货物，也有大型企业制造货物的，不享受本招标文件规定的中小企业扶持政策。</w:t>
      </w:r>
    </w:p>
    <w:p w:rsidR="003B3955" w:rsidRDefault="003B3955" w:rsidP="003B3955">
      <w:pPr>
        <w:spacing w:line="500" w:lineRule="exact"/>
        <w:ind w:firstLineChars="200" w:firstLine="420"/>
        <w:rPr>
          <w:rFonts w:ascii="宋体" w:hAnsi="宋体" w:hint="eastAsia"/>
          <w:bCs/>
          <w:sz w:val="21"/>
          <w:szCs w:val="21"/>
        </w:rPr>
      </w:pPr>
      <w:r>
        <w:rPr>
          <w:rFonts w:ascii="宋体" w:hAnsi="宋体" w:hint="eastAsia"/>
          <w:bCs/>
          <w:sz w:val="21"/>
          <w:szCs w:val="21"/>
        </w:rPr>
        <w:t>以联合体形</w:t>
      </w:r>
      <w:proofErr w:type="gramStart"/>
      <w:r>
        <w:rPr>
          <w:rFonts w:ascii="宋体" w:hAnsi="宋体" w:hint="eastAsia"/>
          <w:bCs/>
          <w:sz w:val="21"/>
          <w:szCs w:val="21"/>
        </w:rPr>
        <w:t>式参加</w:t>
      </w:r>
      <w:proofErr w:type="gramEnd"/>
      <w:r>
        <w:rPr>
          <w:rFonts w:ascii="宋体" w:hAnsi="宋体" w:hint="eastAsia"/>
          <w:bCs/>
          <w:sz w:val="21"/>
          <w:szCs w:val="21"/>
        </w:rPr>
        <w:t>政府采购活动，联合体各方均为中小企业的，联合体视同中小企业。其中，联合体各方均为小</w:t>
      </w:r>
      <w:proofErr w:type="gramStart"/>
      <w:r>
        <w:rPr>
          <w:rFonts w:ascii="宋体" w:hAnsi="宋体" w:hint="eastAsia"/>
          <w:bCs/>
          <w:sz w:val="21"/>
          <w:szCs w:val="21"/>
        </w:rPr>
        <w:t>微企业</w:t>
      </w:r>
      <w:proofErr w:type="gramEnd"/>
      <w:r>
        <w:rPr>
          <w:rFonts w:ascii="宋体" w:hAnsi="宋体" w:hint="eastAsia"/>
          <w:bCs/>
          <w:sz w:val="21"/>
          <w:szCs w:val="21"/>
        </w:rPr>
        <w:t>的，联合体视同小微企业。</w:t>
      </w:r>
    </w:p>
    <w:p w:rsidR="003B3955" w:rsidRDefault="003B3955" w:rsidP="003B3955">
      <w:pPr>
        <w:spacing w:line="500" w:lineRule="exact"/>
        <w:ind w:firstLineChars="200" w:firstLine="420"/>
        <w:rPr>
          <w:rFonts w:ascii="宋体" w:hAnsi="宋体" w:hint="eastAsia"/>
          <w:bCs/>
          <w:sz w:val="21"/>
          <w:szCs w:val="21"/>
        </w:rPr>
      </w:pPr>
      <w:r>
        <w:rPr>
          <w:rFonts w:ascii="宋体" w:hAnsi="宋体" w:hint="eastAsia"/>
          <w:bCs/>
          <w:sz w:val="21"/>
          <w:szCs w:val="21"/>
        </w:rPr>
        <w:t>投标人当按照招标文件规定出具《中小企业声明函》，否则不享受相关扶持政策；</w:t>
      </w:r>
    </w:p>
    <w:p w:rsidR="003B3955" w:rsidRDefault="003B3955" w:rsidP="003B3955">
      <w:pPr>
        <w:spacing w:line="500" w:lineRule="exact"/>
        <w:rPr>
          <w:rFonts w:ascii="宋体" w:hAnsi="宋体" w:hint="eastAsia"/>
          <w:bCs/>
          <w:sz w:val="21"/>
          <w:szCs w:val="21"/>
        </w:rPr>
      </w:pPr>
      <w:r>
        <w:rPr>
          <w:rFonts w:ascii="宋体" w:hAnsi="宋体" w:hint="eastAsia"/>
          <w:bCs/>
          <w:sz w:val="21"/>
          <w:szCs w:val="21"/>
        </w:rPr>
        <w:t xml:space="preserve">　　2.根据财库〔2014〕68号《财政部司法部关于政府采购支持监狱企业发展有关问题的通知》，监狱企业视同小微企业。提供由省级以上监狱管理局、戒毒管理局(含新疆生产建设兵团)出具的属于监狱企业的证明文件</w:t>
      </w:r>
      <w:r>
        <w:rPr>
          <w:rFonts w:ascii="宋体" w:hAnsi="宋体" w:hint="eastAsia"/>
          <w:b/>
          <w:bCs/>
          <w:sz w:val="21"/>
          <w:szCs w:val="21"/>
        </w:rPr>
        <w:t>（</w:t>
      </w:r>
      <w:r>
        <w:rPr>
          <w:rFonts w:ascii="宋体" w:hAnsi="宋体" w:hint="eastAsia"/>
          <w:b/>
          <w:bCs/>
          <w:kern w:val="0"/>
          <w:sz w:val="21"/>
          <w:szCs w:val="21"/>
        </w:rPr>
        <w:t>投标文件中附扫描件或复印件</w:t>
      </w:r>
      <w:r>
        <w:rPr>
          <w:rFonts w:ascii="宋体" w:hAnsi="宋体" w:hint="eastAsia"/>
          <w:b/>
          <w:bCs/>
          <w:sz w:val="21"/>
          <w:szCs w:val="21"/>
        </w:rPr>
        <w:t>）</w:t>
      </w:r>
      <w:r>
        <w:rPr>
          <w:rFonts w:ascii="宋体" w:hAnsi="宋体" w:hint="eastAsia"/>
          <w:bCs/>
          <w:sz w:val="21"/>
          <w:szCs w:val="21"/>
        </w:rPr>
        <w:t>，不再提供《中小</w:t>
      </w:r>
      <w:r>
        <w:rPr>
          <w:rFonts w:ascii="宋体" w:hAnsi="宋体" w:hint="eastAsia"/>
          <w:bCs/>
          <w:sz w:val="21"/>
          <w:szCs w:val="21"/>
        </w:rPr>
        <w:lastRenderedPageBreak/>
        <w:t>企业声明函》，投标人出具的监狱企业证明文件如有虚假，其成交资格将被取消，并根据相关规定进行处罚。</w:t>
      </w:r>
    </w:p>
    <w:p w:rsidR="002C1184" w:rsidRDefault="003B3955" w:rsidP="003B3955">
      <w:r>
        <w:rPr>
          <w:rFonts w:ascii="宋体" w:hAnsi="宋体" w:hint="eastAsia"/>
          <w:bCs/>
          <w:sz w:val="21"/>
          <w:szCs w:val="21"/>
        </w:rPr>
        <w:t>3.根据财库〔2017〕141号《三部门联合发布关于促进残疾人就业政府采购政策的通知》残疾人福利性单位视同小型、微型企业，残疾人福利性单位在参加政府采购活动时提供《残疾人福利性单位声明函》，不再提供《中小企业声明函》，投标人在《残疾人福利性单位声明函》中的承诺如有虚假，其成交资格将被取消，并根据相关规定进行处罚。</w:t>
      </w:r>
      <w:bookmarkStart w:id="1" w:name="_GoBack"/>
      <w:bookmarkEnd w:id="1"/>
    </w:p>
    <w:sectPr w:rsidR="002C1184" w:rsidSect="002C118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multilevel"/>
    <w:tmpl w:val="00000029"/>
    <w:lvl w:ilvl="0">
      <w:start w:val="1"/>
      <w:numFmt w:val="decimal"/>
      <w:lvlText w:val="%1."/>
      <w:lvlJc w:val="left"/>
      <w:pPr>
        <w:ind w:left="840" w:hanging="420"/>
      </w:pPr>
    </w:lvl>
    <w:lvl w:ilvl="1">
      <w:start w:val="1"/>
      <w:numFmt w:val="japaneseCounting"/>
      <w:lvlText w:val="（%2）"/>
      <w:lvlJc w:val="left"/>
      <w:pPr>
        <w:ind w:left="1725" w:hanging="885"/>
      </w:pPr>
    </w:lvl>
    <w:lvl w:ilvl="2">
      <w:start w:val="1"/>
      <w:numFmt w:val="decimal"/>
      <w:suff w:val="nothing"/>
      <w:lvlText w:val="%3."/>
      <w:lvlJc w:val="left"/>
      <w:pPr>
        <w:ind w:left="0" w:firstLine="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1">
    <w:nsid w:val="00000030"/>
    <w:multiLevelType w:val="multilevel"/>
    <w:tmpl w:val="00000030"/>
    <w:lvl w:ilvl="0">
      <w:start w:val="1"/>
      <w:numFmt w:val="decimal"/>
      <w:lvlText w:val="%1."/>
      <w:lvlJc w:val="left"/>
      <w:pPr>
        <w:ind w:left="840" w:hanging="420"/>
      </w:pPr>
    </w:lvl>
    <w:lvl w:ilvl="1">
      <w:start w:val="1"/>
      <w:numFmt w:val="lowerLetter"/>
      <w:lvlText w:val="%2)"/>
      <w:lvlJc w:val="left"/>
      <w:pPr>
        <w:ind w:left="1260" w:hanging="420"/>
      </w:pPr>
    </w:lvl>
    <w:lvl w:ilvl="2">
      <w:start w:val="1"/>
      <w:numFmt w:val="decimal"/>
      <w:suff w:val="nothing"/>
      <w:lvlText w:val="%3."/>
      <w:lvlJc w:val="left"/>
      <w:pPr>
        <w:ind w:left="0" w:firstLine="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8A7E02"/>
    <w:rsid w:val="00017921"/>
    <w:rsid w:val="002C1184"/>
    <w:rsid w:val="003B3955"/>
    <w:rsid w:val="008A7E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Firs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3955"/>
    <w:pPr>
      <w:widowControl w:val="0"/>
      <w:spacing w:line="240" w:lineRule="auto"/>
    </w:pPr>
    <w:rPr>
      <w:rFonts w:ascii="Book Antiqua" w:eastAsia="宋体" w:hAnsi="Book Antiqua" w:cs="宋体"/>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Char"/>
    <w:qFormat/>
    <w:rsid w:val="003B3955"/>
    <w:pPr>
      <w:spacing w:before="240" w:after="60"/>
      <w:jc w:val="center"/>
      <w:outlineLvl w:val="0"/>
    </w:pPr>
    <w:rPr>
      <w:rFonts w:ascii="Arial" w:hAnsi="Arial" w:cs="Arial"/>
      <w:b/>
      <w:bCs/>
      <w:sz w:val="32"/>
      <w:szCs w:val="32"/>
    </w:rPr>
  </w:style>
  <w:style w:type="character" w:customStyle="1" w:styleId="Char">
    <w:name w:val="标题 Char"/>
    <w:basedOn w:val="a0"/>
    <w:link w:val="a3"/>
    <w:rsid w:val="003B3955"/>
    <w:rPr>
      <w:rFonts w:ascii="Arial" w:eastAsia="宋体" w:hAnsi="Arial" w:cs="Arial"/>
      <w:b/>
      <w:bCs/>
      <w:sz w:val="32"/>
      <w:szCs w:val="32"/>
    </w:rPr>
  </w:style>
  <w:style w:type="paragraph" w:styleId="a4">
    <w:name w:val="Body Text Indent"/>
    <w:basedOn w:val="a"/>
    <w:link w:val="Char0"/>
    <w:uiPriority w:val="99"/>
    <w:semiHidden/>
    <w:unhideWhenUsed/>
    <w:rsid w:val="003B3955"/>
    <w:pPr>
      <w:spacing w:after="120"/>
      <w:ind w:leftChars="200" w:left="420"/>
    </w:pPr>
  </w:style>
  <w:style w:type="character" w:customStyle="1" w:styleId="Char0">
    <w:name w:val="正文文本缩进 Char"/>
    <w:basedOn w:val="a0"/>
    <w:link w:val="a4"/>
    <w:uiPriority w:val="99"/>
    <w:semiHidden/>
    <w:rsid w:val="003B3955"/>
    <w:rPr>
      <w:rFonts w:ascii="Book Antiqua" w:eastAsia="宋体" w:hAnsi="Book Antiqua" w:cs="宋体"/>
      <w:sz w:val="24"/>
      <w:szCs w:val="24"/>
    </w:rPr>
  </w:style>
  <w:style w:type="paragraph" w:styleId="2">
    <w:name w:val="Body Text First Indent 2"/>
    <w:basedOn w:val="a4"/>
    <w:link w:val="2Char"/>
    <w:unhideWhenUsed/>
    <w:rsid w:val="003B3955"/>
    <w:pPr>
      <w:ind w:firstLineChars="200" w:firstLine="420"/>
    </w:pPr>
  </w:style>
  <w:style w:type="character" w:customStyle="1" w:styleId="2Char">
    <w:name w:val="正文首行缩进 2 Char"/>
    <w:basedOn w:val="Char0"/>
    <w:link w:val="2"/>
    <w:rsid w:val="003B3955"/>
    <w:rPr>
      <w:rFonts w:ascii="Book Antiqua" w:eastAsia="宋体" w:hAnsi="Book Antiqua"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61471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616</Words>
  <Characters>3512</Characters>
  <Application>Microsoft Office Word</Application>
  <DocSecurity>0</DocSecurity>
  <Lines>29</Lines>
  <Paragraphs>8</Paragraphs>
  <ScaleCrop>false</ScaleCrop>
  <Company>Sky123.Org</Company>
  <LinksUpToDate>false</LinksUpToDate>
  <CharactersWithSpaces>4120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2</cp:revision>
  <dcterms:created xsi:type="dcterms:W3CDTF">2022-06-08T02:21:00Z</dcterms:created>
  <dcterms:modified xsi:type="dcterms:W3CDTF">2022-06-08T02:21:00Z</dcterms:modified>
</cp:coreProperties>
</file>