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/>
        <w:spacing w:line="480" w:lineRule="exact"/>
        <w:ind w:right="-72" w:rightChars="-30"/>
        <w:rPr>
          <w:rFonts w:hint="eastAsia" w:ascii="宋体" w:hAnsi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cs="宋体"/>
          <w:color w:val="auto"/>
          <w:highlight w:val="none"/>
          <w:shd w:val="clear" w:color="auto" w:fill="auto"/>
        </w:rPr>
        <w:t>第四章 采购需求</w:t>
      </w:r>
    </w:p>
    <w:p>
      <w:pPr>
        <w:pStyle w:val="8"/>
        <w:shd w:val="clear"/>
        <w:spacing w:line="48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一、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商务要求</w:t>
      </w:r>
    </w:p>
    <w:p>
      <w:pPr>
        <w:pStyle w:val="8"/>
        <w:shd w:val="clear"/>
        <w:spacing w:line="48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（一）服务范围：武陟县污水处理厂产生的全部污泥，运营处理能力不少于100T/日。</w:t>
      </w:r>
    </w:p>
    <w:p>
      <w:pPr>
        <w:pStyle w:val="8"/>
        <w:shd w:val="clear"/>
        <w:spacing w:line="48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（二）服务内容：</w:t>
      </w:r>
    </w:p>
    <w:p>
      <w:pPr>
        <w:pStyle w:val="8"/>
        <w:shd w:val="clear"/>
        <w:spacing w:line="48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1.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eastAsia="zh-CN"/>
        </w:rPr>
        <w:t>对武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陟县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eastAsia="zh-CN"/>
        </w:rPr>
        <w:t>润天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污水处理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eastAsia="zh-CN"/>
        </w:rPr>
        <w:t>有限公司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2021年7月1日--2022年12月31日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eastAsia="zh-CN"/>
        </w:rPr>
        <w:t>所产生的污泥进行处理。</w:t>
      </w:r>
    </w:p>
    <w:p>
      <w:pPr>
        <w:pStyle w:val="8"/>
        <w:shd w:val="clear"/>
        <w:spacing w:line="48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.必须对武陟县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eastAsia="zh-CN"/>
        </w:rPr>
        <w:t>润天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污水处理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eastAsia="zh-CN"/>
        </w:rPr>
        <w:t>有限公司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产生的全部污泥进行无害化、可利用处理。</w:t>
      </w:r>
    </w:p>
    <w:p>
      <w:pPr>
        <w:pStyle w:val="8"/>
        <w:shd w:val="clear"/>
        <w:spacing w:line="48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（三）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要求</w:t>
      </w:r>
    </w:p>
    <w:p>
      <w:pPr>
        <w:pStyle w:val="8"/>
        <w:shd w:val="clear"/>
        <w:spacing w:line="480" w:lineRule="exact"/>
        <w:ind w:firstLine="630" w:firstLineChars="30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</w:pP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1.污泥处理处置单位进行污泥处置必须符合《城镇污水处理厂污泥处理处置及污染防治技术政策(试行》(建城〔2009〕23号)和《城镇污水处理厂污泥处理技术规范》 (DBJ41/T178-2017)的规定和有关标准要求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，污泥运送、贮存、处理、处置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过程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严格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管理,防止因污泥引发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二次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环境污染。</w:t>
      </w:r>
    </w:p>
    <w:p>
      <w:pPr>
        <w:pStyle w:val="8"/>
        <w:shd w:val="clear"/>
        <w:spacing w:line="480" w:lineRule="exact"/>
        <w:ind w:firstLine="630" w:firstLineChars="300"/>
        <w:rPr>
          <w:rFonts w:hint="default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若作为产品销售，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需经相关部门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批准后用于园林、绿化等综合利用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eastAsia="zh-CN"/>
        </w:rPr>
        <w:t>；污泥土地资源化利用应符合国家及地方的标准和规定。污泥用于土地改良时,泥质应符合《城镇污水处理厂污泥处置土地改良泥质》(CJ/T291-2008)和《城镇污水处理厂污泥土地利用技术规范》(DBJ41/T178-2017)的规定;污泥用于园林绿化时,泥质应满足《城镇污水处理厂污泥处置园林绿化用泥质》(CJ248-2007)和《城镇污水处理厂污泥土地利用技术规范》(DBJ41/T178-2017)的规定和有关标准要求。</w:t>
      </w:r>
    </w:p>
    <w:p>
      <w:pPr>
        <w:numPr>
          <w:ilvl w:val="0"/>
          <w:numId w:val="0"/>
        </w:numPr>
        <w:shd w:val="clear"/>
        <w:spacing w:line="360" w:lineRule="auto"/>
        <w:ind w:left="480" w:leftChars="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（四）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eastAsia="zh-CN"/>
        </w:rPr>
        <w:t>合同履行期限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：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自合同签订之日起至2022年12月31日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。</w:t>
      </w:r>
    </w:p>
    <w:p>
      <w:pPr>
        <w:numPr>
          <w:ilvl w:val="0"/>
          <w:numId w:val="0"/>
        </w:numPr>
        <w:shd w:val="clear"/>
        <w:spacing w:line="360" w:lineRule="auto"/>
        <w:ind w:left="480" w:leftChars="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（五）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付款方式：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按季度支付</w:t>
      </w:r>
    </w:p>
    <w:p>
      <w:pPr>
        <w:pStyle w:val="8"/>
        <w:shd w:val="clear"/>
        <w:spacing w:line="48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注:1.供应商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文件中必须提供项目具体的服务方案。包括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eastAsia="zh-CN"/>
        </w:rPr>
        <w:t>服务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方案、人员配置方案、运输处置方案等。</w:t>
      </w:r>
    </w:p>
    <w:p>
      <w:pPr>
        <w:widowControl/>
        <w:numPr>
          <w:ilvl w:val="0"/>
          <w:numId w:val="0"/>
        </w:numPr>
        <w:shd w:val="clear"/>
        <w:adjustRightInd w:val="0"/>
        <w:spacing w:line="500" w:lineRule="exact"/>
        <w:ind w:left="369" w:leftChars="0" w:firstLine="420" w:firstLineChars="200"/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eastAsia="zh-CN"/>
        </w:rPr>
      </w:pP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本项目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预算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570.96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万元，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污泥处置费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单价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208元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/吨（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包括项目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  <w:lang w:val="en-US" w:eastAsia="zh-CN"/>
        </w:rPr>
        <w:t>运输费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运营费、服务费、研发费、验收费等与其他协助单位产生的费用等，采购人不另行支付任何其他费用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highlight w:val="none"/>
          <w:shd w:val="clear" w:color="auto" w:fill="auto"/>
        </w:rPr>
        <w:t>，供应商报价超出预算单价的按废标处理。（污泥重量按：采用CW（生物）制剂絮凝脱水后的污泥）</w:t>
      </w:r>
      <w:r>
        <w:rPr>
          <w:rFonts w:hint="eastAsia" w:ascii="宋体" w:hAnsi="宋体" w:cs="宋体"/>
          <w:color w:val="auto"/>
          <w:sz w:val="21"/>
          <w:highlight w:val="none"/>
          <w:shd w:val="clear" w:color="auto" w:fill="auto"/>
          <w:lang w:eastAsia="zh-CN"/>
        </w:rPr>
        <w:t>。</w:t>
      </w:r>
    </w:p>
    <w:p>
      <w:pPr>
        <w:widowControl/>
        <w:shd w:val="clear"/>
        <w:adjustRightInd w:val="0"/>
        <w:spacing w:line="500" w:lineRule="exact"/>
        <w:ind w:firstLine="422" w:firstLineChars="200"/>
        <w:rPr>
          <w:rFonts w:hint="eastAsia" w:ascii="宋体" w:hAnsi="宋体"/>
          <w:b/>
          <w:color w:val="auto"/>
          <w:kern w:val="0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二、</w:t>
      </w:r>
      <w:r>
        <w:rPr>
          <w:rFonts w:hint="eastAsia" w:ascii="宋体" w:hAnsi="宋体"/>
          <w:b/>
          <w:color w:val="auto"/>
          <w:kern w:val="0"/>
          <w:sz w:val="21"/>
          <w:szCs w:val="21"/>
          <w:highlight w:val="none"/>
          <w:shd w:val="clear" w:color="auto" w:fill="auto"/>
        </w:rPr>
        <w:t>需要落实的政府采购政策：</w:t>
      </w:r>
    </w:p>
    <w:p>
      <w:pPr>
        <w:numPr>
          <w:ilvl w:val="1"/>
          <w:numId w:val="1"/>
        </w:numPr>
        <w:shd w:val="clear"/>
        <w:spacing w:line="500" w:lineRule="exact"/>
        <w:ind w:firstLine="422" w:firstLineChars="200"/>
        <w:rPr>
          <w:rFonts w:hint="eastAsia" w:ascii="宋体" w:hAnsi="宋体"/>
          <w:b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  <w:shd w:val="clear" w:color="auto" w:fill="auto"/>
        </w:rPr>
        <w:t>促进中小企业、监狱企业和残疾人福利性单位发展扶持政策</w:t>
      </w:r>
    </w:p>
    <w:p>
      <w:pPr>
        <w:shd w:val="clear"/>
        <w:spacing w:line="500" w:lineRule="exact"/>
        <w:ind w:firstLine="422" w:firstLineChars="200"/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  <w:shd w:val="clear" w:color="auto" w:fill="auto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：</w:t>
      </w:r>
    </w:p>
    <w:p>
      <w:pPr>
        <w:shd w:val="clear"/>
        <w:spacing w:line="500" w:lineRule="exact"/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1.中小企业认定：</w:t>
      </w:r>
    </w:p>
    <w:p>
      <w:pPr>
        <w:shd w:val="clear"/>
        <w:spacing w:line="500" w:lineRule="exact"/>
        <w:ind w:firstLine="420" w:firstLineChars="200"/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shd w:val="clear"/>
        <w:spacing w:line="500" w:lineRule="exact"/>
        <w:ind w:firstLine="420" w:firstLineChars="200"/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符合中小企业划分标准的个体工商户，在政府采购活动中视同中小企业。</w:t>
      </w:r>
    </w:p>
    <w:p>
      <w:pPr>
        <w:shd w:val="clear"/>
        <w:spacing w:line="500" w:lineRule="exact"/>
        <w:ind w:firstLine="420" w:firstLineChars="200"/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中小企业划分标准见《关于印发中小企业划型标准规定的通知》（工信部联企业〔2011〕300号）</w:t>
      </w:r>
    </w:p>
    <w:p>
      <w:pPr>
        <w:shd w:val="clear"/>
        <w:spacing w:line="500" w:lineRule="exact"/>
        <w:ind w:firstLine="420" w:firstLineChars="200"/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（2）在服务采购项目中，服务由中小企业承接，即提供服务的人员为中小企业依照《中华人民共和国劳动合同法》订立劳动合同的从业人员。</w:t>
      </w:r>
    </w:p>
    <w:p>
      <w:pPr>
        <w:shd w:val="clear"/>
        <w:spacing w:line="500" w:lineRule="exact"/>
        <w:ind w:firstLine="420" w:firstLineChars="200"/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投标人当按照招标文件规定出具《中小企业声明函》，否则不享受相关扶持政策；</w:t>
      </w:r>
    </w:p>
    <w:p>
      <w:pPr>
        <w:shd w:val="clear"/>
        <w:spacing w:line="500" w:lineRule="exact"/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　　2.根据财库〔2014〕68号《财政部司法部关于政府采购支持监狱企业发展有关问题的通知》，监狱企业视同小微企业。提供由省级以上监狱管理局、戒毒管理局(含新疆生产建设兵团)出具的属于监狱企业的证明文件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  <w:shd w:val="clear" w:color="auto" w:fill="auto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highlight w:val="none"/>
          <w:shd w:val="clear" w:color="auto" w:fill="auto"/>
        </w:rPr>
        <w:t>投标文件中附扫描件</w:t>
      </w: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  <w:shd w:val="clear" w:color="auto" w:fill="auto"/>
        </w:rPr>
        <w:t>）</w:t>
      </w: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，不再提供《中小企业声明函》，投标人出具的监狱企业证明文件如有虚假，其成交资格将被取消，并根据相关规定进行处罚。</w:t>
      </w:r>
    </w:p>
    <w:p>
      <w:pPr>
        <w:shd w:val="clear"/>
        <w:spacing w:line="500" w:lineRule="exact"/>
        <w:ind w:firstLine="420" w:firstLineChars="200"/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1"/>
          <w:szCs w:val="21"/>
          <w:highlight w:val="none"/>
          <w:shd w:val="clear" w:color="auto" w:fill="auto"/>
        </w:rPr>
        <w:t>3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shd w:val="clear" w:color="auto" w:fill="auto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shd w:val="clear" w:color="auto" w:fill="auto"/>
        </w:rPr>
        <w:t>中小企业声明函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shd w:val="clear" w:color="auto" w:fill="auto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F"/>
    <w:multiLevelType w:val="multilevel"/>
    <w:tmpl w:val="0000001F"/>
    <w:lvl w:ilvl="0" w:tentative="0">
      <w:start w:val="1"/>
      <w:numFmt w:val="chineseCountingThousand"/>
      <w:lvlText w:val="(%1)"/>
      <w:lvlJc w:val="left"/>
      <w:pPr>
        <w:ind w:left="982" w:hanging="420"/>
      </w:pPr>
    </w:lvl>
    <w:lvl w:ilvl="1" w:tentative="0">
      <w:start w:val="1"/>
      <w:numFmt w:val="chineseCountingThousand"/>
      <w:suff w:val="nothing"/>
      <w:lvlText w:val="(%2)"/>
      <w:lvlJc w:val="left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3NDQ3OTYzMmQ0NzZhMDdkM2QyMjZiNWE2Mzc3NGQifQ=="/>
  </w:docVars>
  <w:rsids>
    <w:rsidRoot w:val="117A29A5"/>
    <w:rsid w:val="117A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afterLines="0"/>
      <w:ind w:left="420" w:leftChars="200"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仿宋_GB2312" w:eastAsia="仿宋_GB2312"/>
      <w:kern w:val="2"/>
      <w:sz w:val="28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5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8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2022-06-17T06:04:00Z</dcterms:created>
  <dc:creator>laugh</dc:creator>
  <cp:lastModifiedBy>laugh</cp:lastModifiedBy>
  <dcterms:modified xsi:type="dcterms:W3CDTF">2022-06-17T06:05:20Z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B0F2EAA06D3E42A7A418EFCF11200B82</vt:lpwstr>
  </property>
</Properties>
</file>