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480" w:lineRule="exact"/>
        <w:ind w:right="-72" w:rightChars="-3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一、</w:t>
      </w:r>
      <w:r>
        <w:rPr>
          <w:rFonts w:ascii="宋体" w:hAnsi="宋体"/>
          <w:b/>
          <w:color w:val="auto"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bCs/>
          <w:color w:val="auto"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列出</w:t>
      </w:r>
      <w:r>
        <w:rPr>
          <w:rFonts w:ascii="宋体" w:hAnsi="宋体"/>
          <w:bCs/>
          <w:color w:val="auto"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量技术参数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型号</w:t>
      </w:r>
      <w:r>
        <w:rPr>
          <w:rFonts w:ascii="宋体" w:hAnsi="宋体"/>
          <w:bCs/>
          <w:color w:val="auto"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时</w:t>
      </w:r>
      <w:r>
        <w:rPr>
          <w:rFonts w:ascii="宋体" w:hAnsi="宋体"/>
          <w:bCs/>
          <w:color w:val="auto"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作为</w:t>
      </w:r>
      <w:r>
        <w:rPr>
          <w:rFonts w:ascii="宋体" w:hAnsi="宋体"/>
          <w:bCs/>
          <w:color w:val="auto"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投标产品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</w:t>
      </w:r>
      <w:r>
        <w:rPr>
          <w:rFonts w:ascii="宋体" w:hAnsi="宋体"/>
          <w:bCs/>
          <w:color w:val="auto"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强</w:t>
      </w:r>
      <w:r>
        <w:rPr>
          <w:rFonts w:ascii="宋体" w:hAnsi="宋体"/>
          <w:bCs/>
          <w:color w:val="auto"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color w:val="auto"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符合采购需求</w:t>
      </w:r>
      <w:r>
        <w:rPr>
          <w:rFonts w:ascii="宋体" w:hAnsi="宋体"/>
          <w:bCs/>
          <w:color w:val="auto"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更</w:t>
      </w:r>
      <w:r>
        <w:rPr>
          <w:rFonts w:ascii="宋体" w:hAnsi="宋体"/>
          <w:bCs/>
          <w:color w:val="auto"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color w:val="auto"/>
          <w:kern w:val="0"/>
          <w:sz w:val="21"/>
          <w:szCs w:val="21"/>
        </w:rPr>
        <w:t>的产品及</w:t>
      </w:r>
      <w:r>
        <w:rPr>
          <w:rFonts w:ascii="宋体" w:hAnsi="宋体"/>
          <w:bCs/>
          <w:color w:val="auto"/>
          <w:kern w:val="0"/>
          <w:sz w:val="21"/>
          <w:szCs w:val="21"/>
        </w:rPr>
        <w:t>方案</w:t>
      </w:r>
      <w:r>
        <w:rPr>
          <w:rFonts w:ascii="宋体" w:hAnsi="宋体"/>
          <w:color w:val="auto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kern w:val="0"/>
          <w:sz w:val="21"/>
          <w:szCs w:val="21"/>
        </w:rPr>
      </w:pPr>
      <w:r>
        <w:rPr>
          <w:rFonts w:ascii="宋体" w:hAnsi="宋体"/>
          <w:color w:val="auto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color w:val="auto"/>
          <w:kern w:val="0"/>
          <w:sz w:val="21"/>
          <w:szCs w:val="21"/>
        </w:rPr>
        <w:t>验收合格前</w:t>
      </w:r>
      <w:r>
        <w:rPr>
          <w:rFonts w:ascii="宋体" w:hAnsi="宋体"/>
          <w:color w:val="auto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color w:val="auto"/>
          <w:kern w:val="0"/>
          <w:sz w:val="21"/>
          <w:szCs w:val="21"/>
        </w:rPr>
        <w:t>均</w:t>
      </w:r>
      <w:r>
        <w:rPr>
          <w:rFonts w:ascii="宋体" w:hAnsi="宋体"/>
          <w:color w:val="auto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color w:val="auto"/>
          <w:kern w:val="0"/>
          <w:sz w:val="21"/>
          <w:szCs w:val="21"/>
        </w:rPr>
        <w:t>承担成交价格以外的</w:t>
      </w:r>
      <w:r>
        <w:rPr>
          <w:rFonts w:ascii="宋体" w:hAnsi="宋体"/>
          <w:color w:val="auto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合同签订之日起15日历天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供货（服务）地点：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育才学校新校区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全部供货完毕，经第三方验收（验收所需费用由中标人承担）合格后付合同款95%，剩余5%一年后无质量问题后一次性付清。本合同项下所有款项均以人民币支付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履约担保</w:t>
      </w:r>
      <w:r>
        <w:rPr>
          <w:rFonts w:hint="eastAsia" w:ascii="宋体" w:hAnsi="宋体"/>
          <w:color w:val="auto"/>
          <w:sz w:val="21"/>
          <w:szCs w:val="21"/>
        </w:rPr>
        <w:t>：中标人与采购人签订合同前，需向采购人提交中标金额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3  </w:t>
      </w:r>
      <w:r>
        <w:rPr>
          <w:rFonts w:hint="eastAsia" w:ascii="宋体" w:hAnsi="宋体"/>
          <w:color w:val="auto"/>
          <w:sz w:val="21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履约担保的形式：应当以支票、汇票、本票或者金融机构、担保机构出具的保函，非现金形式提交。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商品包装要求：</w:t>
      </w:r>
    </w:p>
    <w:p>
      <w:pPr>
        <w:widowControl/>
        <w:spacing w:line="360" w:lineRule="auto"/>
        <w:rPr>
          <w:rFonts w:hint="eastAsia" w:ascii="宋体" w:hAnsi="宋体"/>
          <w:color w:val="auto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 w:eastAsia="黑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    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 w:bidi="ar"/>
        </w:rPr>
        <w:t>7</w:t>
      </w: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.2商品包装环保要求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  <w:lang w:bidi="ar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  <w:rPr>
          <w:rFonts w:hint="default" w:ascii="宋体" w:hAnsi="宋体" w:eastAsia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/>
          <w:color w:val="auto"/>
          <w:kern w:val="0"/>
          <w:sz w:val="21"/>
          <w:szCs w:val="21"/>
          <w:lang w:bidi="ar"/>
        </w:rPr>
        <w:t>（7）木质商品包装的原料应来源于可持续性森林。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三、其他要求：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售后服务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要求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：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故障响应时间：7×24×365全年实施故障响应，接到故障通知后2小时内响应，24小时内到达现场维修并解决问题。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产品质量保证期从产品验收合格之日起计算，易损件及消耗品不在质保范围内。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在质保期内，维修、保养、配件供应(消耗品除外)免费。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instrText xml:space="preserve"> = 4 \* GB3 \* MERGEFORMAT </w:instrTex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④</w:t>
      </w:r>
      <w:r>
        <w:rPr>
          <w:rFonts w:hint="default" w:ascii="Calibri" w:hAnsi="Calibri" w:eastAsia="宋体" w:cs="Calibri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乙方对设备进行终身维修，只收取人工和零部件成本费。施工期内如有设备故障，乙方在接到甲方通知后2天内派人至甲方现场维修(本市范围内24小时到达)。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</w:p>
    <w:p>
      <w:pPr>
        <w:widowControl/>
        <w:shd w:val="clear" w:color="auto" w:fill="auto"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5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如货物经乙方两次维修仍不能达到本合同约定的质量标准，视作乙方未能按时交货，甲方有权退货并追究乙方的违约责任。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6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在甲方未完全掌握设备使用技术前，乙方须指派专人负责与甲方联系售后服务事宜。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7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⑦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甲方负责设备的安全施工管理。</w:t>
      </w:r>
    </w:p>
    <w:p>
      <w:pPr>
        <w:widowControl/>
        <w:adjustRightInd w:val="0"/>
        <w:spacing w:line="360" w:lineRule="auto"/>
        <w:ind w:left="210" w:hanging="210" w:hangingChars="100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instrText xml:space="preserve"> = 8 \* GB3 \* MERGEFORMAT </w:instrTex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separate"/>
      </w:r>
      <w:r>
        <w:rPr>
          <w:color w:val="auto"/>
        </w:rPr>
        <w:t>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fldChar w:fldCharType="end"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质保期外的售后服务按招标文件和乙方投标文件执行，如招标文件没有规定，可由甲乙双方另行约定。</w:t>
      </w:r>
    </w:p>
    <w:p>
      <w:pPr>
        <w:widowControl/>
        <w:shd w:val="clear" w:color="auto" w:fill="auto"/>
        <w:adjustRightInd w:val="0"/>
        <w:spacing w:line="360" w:lineRule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培训要求：乙方负责对甲方操作、维修人员和有关技术人员进行培训，使之完全掌握全部使用技术。</w:t>
      </w:r>
    </w:p>
    <w:p>
      <w:pPr>
        <w:pStyle w:val="14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验收要求：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四、采购内容及技术要求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1.本项目的核心产品为：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u w:val="single"/>
          <w:lang w:val="en-US" w:eastAsia="zh-CN"/>
        </w:rPr>
        <w:t xml:space="preserve"> 油烟一体机 </w:t>
      </w:r>
      <w:r>
        <w:rPr>
          <w:rFonts w:hint="eastAsia" w:ascii="宋体" w:hAnsi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（核心产品仅适用于本项目同一品牌的认定，同一品牌的认定详见投标人须知）</w:t>
      </w:r>
    </w:p>
    <w:p>
      <w:pPr>
        <w:pStyle w:val="5"/>
        <w:rPr>
          <w:rFonts w:hint="eastAsia"/>
          <w:color w:val="auto"/>
        </w:rPr>
      </w:pPr>
    </w:p>
    <w:tbl>
      <w:tblPr>
        <w:tblStyle w:val="12"/>
        <w:tblW w:w="9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137"/>
        <w:gridCol w:w="5635"/>
        <w:gridCol w:w="1178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油烟一体机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5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规格：1600mm*1000mm*12000mm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3、除烟，除味，目测无烟，超强吸力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4、高效净化，净化得到98%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12米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管道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规格：300mm*350mm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2、加厚不锈钢材质，防腐耐用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4165" cy="304800"/>
                  <wp:effectExtent l="0" t="0" r="0" b="0"/>
                  <wp:wrapNone/>
                  <wp:docPr id="3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6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3米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弯头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规格：300mm*350mm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2、加厚不锈钢材质，防腐耐用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1.3米大锅灶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4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6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2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05435" cy="304800"/>
                  <wp:effectExtent l="0" t="0" r="0" b="0"/>
                  <wp:wrapNone/>
                  <wp:docPr id="8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3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规格：1340mm*1500mm*800mm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2、加厚不锈钢机身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3、加粗高频发热管，多层环绕立体升温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双门消毒柜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规格：1310mm*620mm*1920mm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2、双门，加厚不锈钢材质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3、消毒方式，红外线+紫外线+臭氧，达到一定温度会自动停止加热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4、消毒温度达到30-125度+热风循环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8735" cy="78740"/>
                  <wp:effectExtent l="0" t="0" r="0" b="0"/>
                  <wp:wrapNone/>
                  <wp:docPr id="9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35" cy="7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24层蒸箱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规格：1300mm*500mm*1460mm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2、加厚不锈钢机体，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3、整体发泡，保温隔热，密封牢固，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4、304内胆，一次拉伸成型，食用级别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8735" cy="78740"/>
                  <wp:effectExtent l="0" t="0" r="0" b="0"/>
                  <wp:wrapNone/>
                  <wp:docPr id="10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35" cy="7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六门冰柜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规格：1800mm*700mm*1900mm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2、加厚不锈钢机体，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3、整体发泡，全铜管路 ，高效节能，品牌压缩机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4、精准电子控温，内胆食品级不锈钢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平冷工作台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规格：1800mm*800mm*800mm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2、加厚不锈钢机体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3、整体发泡，全铜管路，品牌压缩机，节能环保，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4、精准电子控温，内胆食品级不锈钢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1.8米*0.8米工作台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规格：1800mm*800mm*800mm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2、加厚不锈钢板材，防水，防锈，稳固地脚，可调节高度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夹层锅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规格：1560mm*1033mm*1050mm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2、不锈钢夹层锅内外锅体均采用304不锈钢材质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3、可倾斜式夹层锅，导油加热，食品级别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和面机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规格：1000mm*590mm970mm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2、纯铜高品质电机，整机加固高品质加厚不锈钢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3、不锈钢面桶，食品级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4、不锈钢搅拌棍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三连水池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规格：1750mm*600mm*800mm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2、无磁不锈钢，不锈钢支撑粱，可调节脚，圆角不结构圆滑不伤手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馒头机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规格：1390mm*460mm*900mm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2、400度高温烤漆不沾面对辊，成型标准，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3、国标大功率全铜电机，精密稳定磁轮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4、不锈钢绞龙食用级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多功能切菜机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规格：1300mm*600mm*1040mm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2、优质不锈钢机身。不含磁，不生锈，防水，防腐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3、安全护罩+护手隔离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4、加厚食品级传送带，光滑耐磨不留残渣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拌馅机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规格：630mm*450mm*850mm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2、不锈钢加厚料斗搅拌均匀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3、铜芯电机，行程开关控制，开盖停止工作的安全设置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4、食品级不锈钢绞龙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绞肉机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规格：560mm*390mm*830mm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2、不锈钢切丝，切片，刀片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3、大功率铜芯电机，加厚不锈钢材质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4、可拆卸机头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1.8米货架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规格：1800mm*450mm*1550mm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2、加厚不锈钢材质，加粗立柱，无异味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包子机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规格：1450mm*720mm*1700mm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2、立式出馅料斗，独立成型系统，45度输面系统出面均匀不伤手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3、大功率铜芯电机，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4、不锈钢机身，食品级绞龙，无异味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压面机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规格：620mm*410mm*870mm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2、不锈钢机身。精钢轧轮厚薄可调节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3、大功率铜芯电机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留样柜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规格：550mm*580mm*1900mm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2、玻璃防凝露强劲直冷打造360°保鲜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3、双层中空钢化玻璃，展示锁冷两不误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4、内胆一体成型，无缝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保洁柜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规格：1450mm*720mm*1700mm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2、加厚不锈钢材质，耐锈，耐腐蚀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3、整体焊接，平滑移动门，无异味，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菜板刀消毒柜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规格：1200mm*600mm*1800mm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2、紫外线消毒+红外线消毒+臭氧消毒+高温消毒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3、优质不锈钢板材，优质不锈钢砧板，不锈钢刀具架，食用级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全自动烘干一体洗碗机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规格：4100mm*900mm*1900mm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2、板材采用1.2MM厚不锈钢板材，主骨架均为1.5不锈钢管，底座钢板为6MM，进出口传动轴均为304不锈钢材质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3、不锈钢食品泵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4、烘干，加热，消毒，一体机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12米面案架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规格：300mm*500mm*1500mm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8套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2米风幕机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规格：2000mm*200mm*140mm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2、金属外壳，强劲风力，放热，防尘，防蝇虫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3、多角度风向叶片，风向可调节，大功率电机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平板二层餐车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规格：500mm*930mm*920mm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2、加厚不锈钢材质，静音脚轮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4台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1.5米货架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规格：1500mm*4500mm*1550mm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2、加厚不锈钢材质，可调节脚轮，无异味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诱蝇灯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规格：450*200*140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2、强力诱蝇粘贴，光照均匀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长把笊篱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规格：不规则体1.5米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不锈钢铲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规格：不规则体80公分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2把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80大盆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规格：直径800mm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60大盆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规格：直径600mm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90大盆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规格：直径900mm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肉敦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规格：不规则体500mm*50mm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2、PE材质，不发霉，不掉渣，食用级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炒勺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5把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刀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2、木质手柄。不锈钢刀身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4把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卤面叉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4把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油缸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规格：300mm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硅胶垫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规格：400mm*600mm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2、防粘性好，不脱胶，可清洗，无异味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72张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塑料筐特大号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规格：750mm*510mm*380mm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2、高密度聚乙烯，耐摔打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塑料筐大号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规格;650mm*450mm*300mm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2、高密度聚乙烯，耐摔打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塑料筐中号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规格：530mm*360mm*300mm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2、高密度聚乙烯，耐摔打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长把勺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规格：不规则体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45汤桶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规格：450mm*450mm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1、品牌厨具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2、优质不锈钢，无异味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3，符合国家相关质量标准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5个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收餐车</w:t>
            </w:r>
          </w:p>
        </w:tc>
        <w:tc>
          <w:tcPr>
            <w:tcW w:w="5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规格：450MM*800MM*930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1.品牌厨具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2、优质加厚不锈钢，静音脚轮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3、符合国家相关质量标准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3台 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Chars="0"/>
        <w:rPr>
          <w:rFonts w:hint="eastAsia" w:ascii="宋体" w:hAnsi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</w:rPr>
        <w:t>五、需要落实的政府采购政策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促进中小企业、监狱企业和残疾人福利性单位发展扶持政策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宋体" w:hAnsi="宋体"/>
          <w:bCs/>
          <w:color w:val="auto"/>
          <w:sz w:val="21"/>
          <w:szCs w:val="21"/>
        </w:rPr>
        <w:t>在工程采购项目中，工程由中小企业承建，即工程施工单位为中小企业；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（4）</w:t>
      </w:r>
      <w:r>
        <w:rPr>
          <w:rFonts w:hint="eastAsia" w:ascii="宋体" w:hAnsi="宋体"/>
          <w:bCs/>
          <w:color w:val="auto"/>
          <w:sz w:val="21"/>
          <w:szCs w:val="21"/>
        </w:rPr>
        <w:t>在服务采购项目中，服务由中小企业承接，即提供服务的人员为中小企业依照《中华人民共和国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民</w:t>
      </w:r>
      <w:r>
        <w:rPr>
          <w:rFonts w:hint="eastAsia" w:ascii="宋体" w:hAnsi="宋体"/>
          <w:bCs/>
          <w:color w:val="auto"/>
          <w:sz w:val="21"/>
          <w:szCs w:val="21"/>
        </w:rPr>
        <w:t>法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典</w:t>
      </w:r>
      <w:r>
        <w:rPr>
          <w:rFonts w:hint="eastAsia" w:ascii="宋体" w:hAnsi="宋体"/>
          <w:bCs/>
          <w:color w:val="auto"/>
          <w:sz w:val="21"/>
          <w:szCs w:val="21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在货物采购项目中，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　　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auto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/>
          <w:bCs/>
          <w:color w:val="auto"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80" w:lineRule="exact"/>
        <w:ind w:leftChars="0" w:firstLine="420" w:firstLineChars="200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-72" w:rightChars="-30" w:firstLine="422" w:firstLineChars="200"/>
        <w:jc w:val="left"/>
        <w:textAlignment w:val="auto"/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color w:val="auto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pStyle w:val="2"/>
        <w:rPr>
          <w:rFonts w:hint="eastAsia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hZDc2MmIzNzFkMzZiZDQ3MzBkZWIxYWM1NzE4YjIifQ=="/>
  </w:docVars>
  <w:rsids>
    <w:rsidRoot w:val="47110CD7"/>
    <w:rsid w:val="4711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uiPriority w:val="0"/>
    <w:rPr>
      <w:rFonts w:ascii="Times New Roman" w:hAnsi="Times New Roman" w:eastAsia="楷体_GB2312" w:cs="Times New Roman"/>
      <w:sz w:val="28"/>
      <w:szCs w:val="24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">
    <w:name w:val="Char Char10 Char Char Char Char"/>
    <w:basedOn w:val="1"/>
    <w:next w:val="8"/>
    <w:qFormat/>
    <w:uiPriority w:val="0"/>
  </w:style>
  <w:style w:type="paragraph" w:customStyle="1" w:styleId="8">
    <w:name w:val="xl87"/>
    <w:basedOn w:val="1"/>
    <w:next w:val="9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customStyle="1" w:styleId="9">
    <w:name w:val="xl72"/>
    <w:basedOn w:val="1"/>
    <w:next w:val="10"/>
    <w:qFormat/>
    <w:uiPriority w:val="0"/>
    <w:pPr>
      <w:widowControl/>
      <w:shd w:val="clear" w:color="FFFFFF" w:fill="FFFFFF"/>
      <w:spacing w:before="280" w:after="280"/>
      <w:jc w:val="right"/>
    </w:pPr>
    <w:rPr>
      <w:rFonts w:ascii="宋体"/>
      <w:sz w:val="24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14">
    <w:name w:val="表格文字"/>
    <w:basedOn w:val="1"/>
    <w:next w:val="5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2022-07-21T01:40:00Z</dcterms:created>
  <dc:creator>Administrator</dc:creator>
  <cp:lastModifiedBy>Administrator</cp:lastModifiedBy>
  <dcterms:modified xsi:type="dcterms:W3CDTF">2022-07-21T01:41:03Z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BF02345D8803454FBB4DB7042B3107C2</vt:lpwstr>
  </property>
</Properties>
</file>