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exact"/>
        <w:ind w:right="-72" w:rightChars="-30"/>
        <w:rPr>
          <w:rFonts w:hint="eastAsia" w:ascii="宋体" w:hAnsi="宋体" w:cs="宋体"/>
        </w:rPr>
      </w:pPr>
      <w:bookmarkStart w:id="0" w:name="_GoBack"/>
      <w:bookmarkEnd w:id="0"/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合同签订之日起15日历天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育才学校新校区和育才学校远创校区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三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全部供货完毕，经第三方验收（验收所需费用由中标人承担）合格后付合同款95%，剩余5%一年后无质量问题后一次性付清。本合同项下所有款项均以人民币支付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履约担保</w:t>
      </w:r>
      <w:r>
        <w:rPr>
          <w:rFonts w:hint="eastAsia" w:ascii="宋体" w:hAnsi="宋体"/>
          <w:color w:val="auto"/>
          <w:sz w:val="21"/>
          <w:szCs w:val="21"/>
        </w:rPr>
        <w:t>：中标人与采购人签订合同前，需向采购人提交中标金额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3  </w:t>
      </w:r>
      <w:r>
        <w:rPr>
          <w:rFonts w:hint="eastAsia" w:ascii="宋体" w:hAnsi="宋体"/>
          <w:color w:val="auto"/>
          <w:sz w:val="21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履约担保的形式：应当以支票、汇票、本票或者金融机构、担保机构出具的保函，非现金形式提交。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auto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黑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  <w:rPr>
          <w:rFonts w:hint="default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（7）木质商品包装的原料应来源于可持续性森林。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三、其他要求：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(1)售后服务要求：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①故障响应时间：7×24×365全年实施故障响应，接到故障通知后2小时内响应，24小时内到达现场维修并解决问题。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③产品质量保证期从产品验收合格之日起计算，易损件及消耗品不在质保范围内。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在质保期内，维修、保养、配件供应(消耗品除外)免费。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 xml:space="preserve">④乙方对设备进行终身维修，只收取人工和零部件成本费。施工期内如有设备故障，乙方在接到甲方通知后2天内派人至甲方现场维修(本市范围内24小时到达)。 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⑤如货物经乙方两次维修仍不能达到本合同约定的质量标准，视作乙方未能按时交货，甲方有权退货并追究乙方的违约责任。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⑥在甲方未完全掌握设备使用技术前，乙方须指派专人负责与甲方联系售后服务事宜。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⑦甲方负责设备的安全施工管理。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⑧质保期外的售后服务按招标文件和乙方投标文件执行，如招标文件没有规定，可由甲乙双方另行约定。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(2)培训要求：乙方负责对甲方操作、维修人员和有关技术人员进行培训，使之完全掌握全部使用技术。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(3)验收要求：符合国家现行及行业标准。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四、采购内容及技术要求</w:t>
      </w:r>
    </w:p>
    <w:p>
      <w:pPr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 w:ascii="宋体" w:hAnsi="宋体"/>
          <w:sz w:val="21"/>
          <w:szCs w:val="21"/>
        </w:rPr>
        <w:t>1.本项目的核心产品为：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计算机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7"/>
        <w:tblW w:w="8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938"/>
        <w:gridCol w:w="5921"/>
        <w:gridCol w:w="780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0" w:hRule="atLeast"/>
        </w:trPr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计算机</w:t>
            </w:r>
          </w:p>
        </w:tc>
        <w:tc>
          <w:tcPr>
            <w:tcW w:w="5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国产自主品牌。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★1、处理器：国产处理器≥ 8核 主频2.7GHz；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2、内存：≥8G DDR4 内存；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3、硬盘：≥256G SSD；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4、显卡：独立显卡≥2G；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☆5、网卡：≥1个10/100/1000Mbps以太网口，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（提供网线防雷检测报告复印件或扫描件加盖公章）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6、电源：≥200W节能电源；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☆7、机箱：≥标准立式机箱，静音设计，体积≥13L，机箱具备硬盘减震结构设计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（需提供硬盘减震证书复印件或扫描件加盖公章）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8、键鼠：USB有线光电抗菌键盘及鼠标，键盘具备IPX7级及以上防水功能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（提供第三方机构出具的检测报告复印件或扫描件加盖公章）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9、显示器：21.5英寸或以上尺寸，分辨率1920*1080；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10、操作系统：支持国产系统；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☆11、厂商实力：生产厂商通过ISO20000信息技术服务管理体系认证、生产厂商通过ISO27001-信息安全管理体系认证。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（注：以上证明文件提供证书复印件或扫描件并且加盖生产厂家公章。）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12、应用软件：支持网络同传功能、硬盘还原功能。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184台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Chars="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五、需要落实的政府采购政策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2" w:firstLineChars="200"/>
        <w:textAlignment w:val="auto"/>
        <w:rPr>
          <w:rFonts w:hint="eastAsia" w:ascii="宋体" w:hAnsi="宋体" w:eastAsia="宋体"/>
          <w:b/>
          <w:bCs w:val="0"/>
          <w:sz w:val="21"/>
          <w:szCs w:val="21"/>
          <w:shd w:val="clear" w:color="auto" w:fill="FFFF00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</w:rPr>
        <w:t>投标人同时为小型、微型企业、监狱企业、残疾人福利性单位任两种或以上情况的，评审中只享受一次价格扣除，不重复进行价格扣除。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2" w:firstLineChars="200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评标委员会根据投标人提供的《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</w:t>
      </w:r>
      <w:r>
        <w:rPr>
          <w:rFonts w:hint="eastAsia" w:ascii="宋体" w:hAnsi="宋体" w:eastAsia="宋体"/>
          <w:b/>
          <w:bCs w:val="0"/>
          <w:sz w:val="21"/>
          <w:szCs w:val="21"/>
        </w:rPr>
        <w:t>小型或微型企业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，被认定为</w:t>
      </w:r>
      <w:r>
        <w:rPr>
          <w:rFonts w:hint="eastAsia" w:ascii="宋体" w:hAnsi="宋体" w:eastAsia="宋体"/>
          <w:b/>
          <w:bCs w:val="0"/>
          <w:sz w:val="21"/>
          <w:szCs w:val="21"/>
        </w:rPr>
        <w:t>小型或微型企业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的方可</w:t>
      </w:r>
      <w:r>
        <w:rPr>
          <w:rFonts w:hint="eastAsia" w:ascii="宋体" w:hAnsi="宋体" w:eastAsia="宋体"/>
          <w:b/>
          <w:bCs w:val="0"/>
          <w:sz w:val="21"/>
          <w:szCs w:val="21"/>
        </w:rPr>
        <w:t>享受价格优惠。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/>
          <w:bCs/>
          <w:color w:val="FF0000"/>
          <w:sz w:val="21"/>
          <w:szCs w:val="21"/>
        </w:rPr>
      </w:pPr>
      <w:r>
        <w:rPr>
          <w:rFonts w:hint="eastAsia" w:ascii="宋体" w:hAnsi="宋体"/>
          <w:b/>
          <w:bCs/>
          <w:color w:val="FF0000"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bCs/>
          <w:color w:val="FF0000"/>
          <w:sz w:val="21"/>
          <w:szCs w:val="21"/>
        </w:rPr>
        <w:t>节能产品、环境标志产品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FF0000"/>
          <w:sz w:val="21"/>
          <w:szCs w:val="21"/>
        </w:rPr>
      </w:pPr>
      <w:r>
        <w:rPr>
          <w:rFonts w:hint="eastAsia" w:ascii="宋体" w:hAnsi="宋体"/>
          <w:bCs/>
          <w:color w:val="FF0000"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书</w:t>
      </w:r>
      <w:r>
        <w:rPr>
          <w:rFonts w:hint="eastAsia" w:ascii="宋体" w:hAnsi="宋体"/>
          <w:b/>
          <w:bCs/>
          <w:color w:val="FF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FF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FF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FF0000"/>
          <w:sz w:val="21"/>
          <w:szCs w:val="21"/>
        </w:rPr>
        <w:t>）</w:t>
      </w:r>
      <w:r>
        <w:rPr>
          <w:rFonts w:hint="eastAsia" w:ascii="宋体" w:hAnsi="宋体"/>
          <w:bCs/>
          <w:color w:val="FF0000"/>
          <w:sz w:val="21"/>
          <w:szCs w:val="21"/>
        </w:rPr>
        <w:t>，否则不予认定。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hZDc2MmIzNzFkMzZiZDQ3MzBkZWIxYWM1NzE4YjIifQ=="/>
  </w:docVars>
  <w:rsids>
    <w:rsidRoot w:val="68437CBD"/>
    <w:rsid w:val="6843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9">
    <w:name w:val="Char Char10 Char Char Char Char"/>
    <w:basedOn w:val="1"/>
    <w:next w:val="10"/>
    <w:qFormat/>
    <w:uiPriority w:val="0"/>
  </w:style>
  <w:style w:type="paragraph" w:customStyle="1" w:styleId="10">
    <w:name w:val="xl87"/>
    <w:basedOn w:val="1"/>
    <w:next w:val="11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customStyle="1" w:styleId="11">
    <w:name w:val="xl72"/>
    <w:basedOn w:val="1"/>
    <w:next w:val="5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2022-07-21T01:37:00Z</dcterms:created>
  <dc:creator>Administrator</dc:creator>
  <cp:lastModifiedBy>Administrator</cp:lastModifiedBy>
  <dcterms:modified xsi:type="dcterms:W3CDTF">2022-07-21T01:37:56Z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A12A196434944ACCBC4DC685ABC85227</vt:lpwstr>
  </property>
</Properties>
</file>