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ind w:right="-72" w:rightChars="-30"/>
        <w:rPr>
          <w:rFonts w:hint="eastAsia" w:ascii="宋体" w:hAnsi="宋体" w:cs="宋体"/>
        </w:rPr>
      </w:pPr>
      <w:bookmarkStart w:id="0" w:name="_Toc458698253"/>
      <w:bookmarkStart w:id="1" w:name="_Toc477166579"/>
      <w:bookmarkStart w:id="2" w:name="_Toc20971"/>
      <w:r>
        <w:rPr>
          <w:rFonts w:hint="eastAsia" w:ascii="宋体" w:hAnsi="宋体" w:cs="宋体"/>
        </w:rPr>
        <w:t>第四章 采购需求</w:t>
      </w:r>
      <w:bookmarkEnd w:id="0"/>
      <w:bookmarkEnd w:id="1"/>
      <w:bookmarkEnd w:id="2"/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bCs/>
          <w:kern w:val="0"/>
          <w:sz w:val="21"/>
          <w:szCs w:val="21"/>
        </w:rPr>
        <w:t>招标文件中</w:t>
      </w:r>
      <w:r>
        <w:rPr>
          <w:rFonts w:hint="eastAsia" w:ascii="宋体" w:hAnsi="宋体"/>
          <w:bCs/>
          <w:kern w:val="0"/>
          <w:sz w:val="21"/>
          <w:szCs w:val="21"/>
        </w:rPr>
        <w:t>列出</w:t>
      </w:r>
      <w:r>
        <w:rPr>
          <w:rFonts w:ascii="宋体" w:hAnsi="宋体"/>
          <w:bCs/>
          <w:kern w:val="0"/>
          <w:sz w:val="21"/>
          <w:szCs w:val="21"/>
        </w:rPr>
        <w:t>的质</w:t>
      </w:r>
      <w:r>
        <w:rPr>
          <w:rFonts w:hint="eastAsia" w:ascii="宋体" w:hAnsi="宋体"/>
          <w:bCs/>
          <w:kern w:val="0"/>
          <w:sz w:val="21"/>
          <w:szCs w:val="21"/>
        </w:rPr>
        <w:t>量技术参数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型号</w:t>
      </w:r>
      <w:r>
        <w:rPr>
          <w:rFonts w:ascii="宋体" w:hAnsi="宋体"/>
          <w:bCs/>
          <w:kern w:val="0"/>
          <w:sz w:val="21"/>
          <w:szCs w:val="21"/>
        </w:rPr>
        <w:t>与某产品相同</w:t>
      </w:r>
      <w:r>
        <w:rPr>
          <w:rFonts w:hint="eastAsia" w:ascii="宋体" w:hAnsi="宋体"/>
          <w:bCs/>
          <w:kern w:val="0"/>
          <w:sz w:val="21"/>
          <w:szCs w:val="21"/>
        </w:rPr>
        <w:t>时</w:t>
      </w:r>
      <w:r>
        <w:rPr>
          <w:rFonts w:ascii="宋体" w:hAnsi="宋体"/>
          <w:bCs/>
          <w:kern w:val="0"/>
          <w:sz w:val="21"/>
          <w:szCs w:val="21"/>
        </w:rPr>
        <w:t>仅</w:t>
      </w:r>
      <w:r>
        <w:rPr>
          <w:rFonts w:hint="eastAsia" w:ascii="宋体" w:hAnsi="宋体"/>
          <w:bCs/>
          <w:kern w:val="0"/>
          <w:sz w:val="21"/>
          <w:szCs w:val="21"/>
        </w:rPr>
        <w:t>作为</w:t>
      </w:r>
      <w:r>
        <w:rPr>
          <w:rFonts w:ascii="宋体" w:hAnsi="宋体"/>
          <w:bCs/>
          <w:kern w:val="0"/>
          <w:sz w:val="21"/>
          <w:szCs w:val="21"/>
        </w:rPr>
        <w:t>投标人选择</w:t>
      </w:r>
      <w:r>
        <w:rPr>
          <w:rFonts w:hint="eastAsia" w:ascii="宋体" w:hAnsi="宋体"/>
          <w:bCs/>
          <w:kern w:val="0"/>
          <w:sz w:val="21"/>
          <w:szCs w:val="21"/>
        </w:rPr>
        <w:t>投标产品</w:t>
      </w:r>
      <w:r>
        <w:rPr>
          <w:rFonts w:ascii="宋体" w:hAnsi="宋体"/>
          <w:bCs/>
          <w:kern w:val="0"/>
          <w:sz w:val="21"/>
          <w:szCs w:val="21"/>
        </w:rPr>
        <w:t>时在质量水平上</w:t>
      </w:r>
      <w:r>
        <w:rPr>
          <w:rFonts w:hint="eastAsia" w:ascii="宋体" w:hAnsi="宋体"/>
          <w:bCs/>
          <w:kern w:val="0"/>
          <w:sz w:val="21"/>
          <w:szCs w:val="21"/>
        </w:rPr>
        <w:t>的</w:t>
      </w:r>
      <w:r>
        <w:rPr>
          <w:rFonts w:ascii="宋体" w:hAnsi="宋体"/>
          <w:bCs/>
          <w:kern w:val="0"/>
          <w:sz w:val="21"/>
          <w:szCs w:val="21"/>
        </w:rPr>
        <w:t>参考，不</w:t>
      </w:r>
      <w:r>
        <w:rPr>
          <w:rFonts w:hint="eastAsia" w:ascii="宋体" w:hAnsi="宋体"/>
          <w:bCs/>
          <w:kern w:val="0"/>
          <w:sz w:val="21"/>
          <w:szCs w:val="21"/>
        </w:rPr>
        <w:t>强</w:t>
      </w:r>
      <w:r>
        <w:rPr>
          <w:rFonts w:ascii="宋体" w:hAnsi="宋体"/>
          <w:bCs/>
          <w:kern w:val="0"/>
          <w:sz w:val="21"/>
          <w:szCs w:val="21"/>
        </w:rPr>
        <w:t>制</w:t>
      </w:r>
      <w:r>
        <w:rPr>
          <w:rFonts w:hint="eastAsia" w:ascii="宋体" w:hAnsi="宋体"/>
          <w:bCs/>
          <w:kern w:val="0"/>
          <w:sz w:val="21"/>
          <w:szCs w:val="21"/>
        </w:rPr>
        <w:t>采购某一特定产品</w:t>
      </w:r>
      <w:r>
        <w:rPr>
          <w:rFonts w:ascii="宋体" w:hAnsi="宋体"/>
          <w:bCs/>
          <w:kern w:val="0"/>
          <w:sz w:val="21"/>
          <w:szCs w:val="21"/>
        </w:rPr>
        <w:t>，投标人可提供</w:t>
      </w:r>
      <w:r>
        <w:rPr>
          <w:rFonts w:hint="eastAsia" w:ascii="宋体" w:hAnsi="宋体"/>
          <w:bCs/>
          <w:kern w:val="0"/>
          <w:sz w:val="21"/>
          <w:szCs w:val="21"/>
        </w:rPr>
        <w:t>符合采购需求</w:t>
      </w:r>
      <w:r>
        <w:rPr>
          <w:rFonts w:ascii="宋体" w:hAnsi="宋体"/>
          <w:bCs/>
          <w:kern w:val="0"/>
          <w:sz w:val="21"/>
          <w:szCs w:val="21"/>
        </w:rPr>
        <w:t>或</w:t>
      </w:r>
      <w:r>
        <w:rPr>
          <w:rFonts w:hint="eastAsia" w:ascii="宋体" w:hAnsi="宋体"/>
          <w:bCs/>
          <w:kern w:val="0"/>
          <w:sz w:val="21"/>
          <w:szCs w:val="21"/>
        </w:rPr>
        <w:t>更</w:t>
      </w:r>
      <w:r>
        <w:rPr>
          <w:rFonts w:ascii="宋体" w:hAnsi="宋体"/>
          <w:bCs/>
          <w:kern w:val="0"/>
          <w:sz w:val="21"/>
          <w:szCs w:val="21"/>
        </w:rPr>
        <w:t>优</w:t>
      </w:r>
      <w:r>
        <w:rPr>
          <w:rFonts w:hint="eastAsia" w:ascii="宋体" w:hAnsi="宋体"/>
          <w:bCs/>
          <w:kern w:val="0"/>
          <w:sz w:val="21"/>
          <w:szCs w:val="21"/>
        </w:rPr>
        <w:t>的产品及</w:t>
      </w:r>
      <w:r>
        <w:rPr>
          <w:rFonts w:ascii="宋体" w:hAnsi="宋体"/>
          <w:bCs/>
          <w:kern w:val="0"/>
          <w:sz w:val="21"/>
          <w:szCs w:val="21"/>
        </w:rPr>
        <w:t>方案</w:t>
      </w:r>
      <w:r>
        <w:rPr>
          <w:rFonts w:ascii="宋体" w:hAnsi="宋体"/>
          <w:kern w:val="0"/>
          <w:sz w:val="21"/>
          <w:szCs w:val="21"/>
        </w:rPr>
        <w:t>。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合同履行期限：自合同签订之日起100日历天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项目地点：河南省武陟县产业集聚区和产业新城。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质量要求：符合国家、省、市有关法律、法规及标准的要求，最终通过河</w:t>
      </w:r>
      <w:r>
        <w:rPr>
          <w:rFonts w:hint="eastAsia" w:ascii="宋体" w:hAnsi="宋体"/>
          <w:sz w:val="21"/>
          <w:szCs w:val="21"/>
          <w:lang w:val="en-US" w:eastAsia="zh-CN"/>
        </w:rPr>
        <w:t>南</w:t>
      </w:r>
      <w:r>
        <w:rPr>
          <w:rFonts w:hint="eastAsia" w:ascii="宋体" w:hAnsi="宋体"/>
          <w:sz w:val="21"/>
          <w:szCs w:val="21"/>
        </w:rPr>
        <w:t>省地震局组织的审查。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付款方式：签订合同并进场工作后15日内支付合同金额的30%，出具报告成果并通过</w:t>
      </w:r>
      <w:r>
        <w:rPr>
          <w:rFonts w:hint="eastAsia" w:ascii="宋体" w:hAnsi="宋体"/>
          <w:sz w:val="21"/>
          <w:szCs w:val="21"/>
        </w:rPr>
        <w:t>河</w:t>
      </w:r>
      <w:r>
        <w:rPr>
          <w:rFonts w:hint="eastAsia" w:ascii="宋体" w:hAnsi="宋体"/>
          <w:sz w:val="21"/>
          <w:szCs w:val="21"/>
          <w:lang w:val="en-US" w:eastAsia="zh-CN"/>
        </w:rPr>
        <w:t>南</w:t>
      </w:r>
      <w:r>
        <w:rPr>
          <w:rFonts w:hint="eastAsia" w:ascii="宋体" w:hAnsi="宋体"/>
          <w:sz w:val="21"/>
          <w:szCs w:val="21"/>
        </w:rPr>
        <w:t>省地震局组织的审查</w:t>
      </w:r>
      <w:r>
        <w:rPr>
          <w:rFonts w:hint="eastAsia" w:ascii="宋体" w:hAnsi="宋体"/>
          <w:sz w:val="21"/>
          <w:szCs w:val="21"/>
          <w:highlight w:val="none"/>
        </w:rPr>
        <w:t>后支付到合同金额的80%，剩余的20%待服务结束三个月内一次性付清。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5.投标报价包括项目实施方案编写、区域地震安全性评价报告编制及评审、至评价报告通过有关地震主管部门审定所需的全部费用，包括但不限于编制费、评审费、人员工资、社保、差旅费、税金等。</w:t>
      </w:r>
    </w:p>
    <w:p>
      <w:pPr>
        <w:widowControl/>
        <w:numPr>
          <w:ilvl w:val="0"/>
          <w:numId w:val="3"/>
        </w:numPr>
        <w:adjustRightInd w:val="0"/>
        <w:spacing w:line="360" w:lineRule="auto"/>
        <w:rPr>
          <w:rFonts w:hint="eastAsia"/>
        </w:rPr>
      </w:pPr>
      <w:r>
        <w:rPr>
          <w:rFonts w:hint="eastAsia" w:ascii="宋体" w:hAnsi="宋体"/>
          <w:b/>
          <w:kern w:val="0"/>
          <w:sz w:val="21"/>
          <w:szCs w:val="21"/>
        </w:rPr>
        <w:t>采购内容</w:t>
      </w:r>
      <w:r>
        <w:rPr>
          <w:rFonts w:hint="eastAsia" w:ascii="宋体" w:hAnsi="宋体"/>
          <w:b/>
          <w:kern w:val="0"/>
          <w:sz w:val="21"/>
          <w:szCs w:val="21"/>
          <w:highlight w:val="none"/>
        </w:rPr>
        <w:t>及技术要求</w:t>
      </w:r>
      <w:r>
        <w:rPr>
          <w:rFonts w:hint="eastAsia" w:ascii="宋体" w:hAnsi="宋体"/>
          <w:b w:val="0"/>
          <w:bCs/>
          <w:kern w:val="0"/>
          <w:sz w:val="21"/>
          <w:szCs w:val="21"/>
          <w:highlight w:val="none"/>
          <w:lang w:eastAsia="zh-CN"/>
        </w:rPr>
        <w:t>（所属行业为</w:t>
      </w:r>
      <w:r>
        <w:rPr>
          <w:rFonts w:hint="eastAsia" w:ascii="宋体" w:hAnsi="宋体"/>
          <w:b w:val="0"/>
          <w:bCs/>
          <w:kern w:val="0"/>
          <w:sz w:val="21"/>
          <w:szCs w:val="21"/>
          <w:highlight w:val="none"/>
          <w:lang w:val="en-US" w:eastAsia="zh-CN"/>
        </w:rPr>
        <w:t>:</w:t>
      </w:r>
      <w:r>
        <w:rPr>
          <w:rFonts w:hint="eastAsia" w:ascii="宋体" w:hAnsi="宋体"/>
          <w:b w:val="0"/>
          <w:bCs/>
          <w:kern w:val="0"/>
          <w:sz w:val="21"/>
          <w:szCs w:val="21"/>
          <w:highlight w:val="none"/>
          <w:u w:val="single"/>
          <w:lang w:eastAsia="zh-CN"/>
        </w:rPr>
        <w:t>其他未列明行业</w:t>
      </w:r>
      <w:r>
        <w:rPr>
          <w:rFonts w:hint="eastAsia" w:ascii="宋体" w:hAnsi="宋体"/>
          <w:b w:val="0"/>
          <w:bCs/>
          <w:kern w:val="0"/>
          <w:sz w:val="21"/>
          <w:szCs w:val="21"/>
          <w:highlight w:val="none"/>
          <w:lang w:eastAsia="zh-CN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1、</w:t>
      </w:r>
      <w:r>
        <w:rPr>
          <w:rFonts w:hint="eastAsia" w:ascii="宋体" w:hAnsi="宋体"/>
          <w:sz w:val="21"/>
          <w:szCs w:val="21"/>
        </w:rPr>
        <w:t>本项目需要进行区域地震安全性评价的具体位置和占地面积如下：</w:t>
      </w:r>
    </w:p>
    <w:tbl>
      <w:tblPr>
        <w:tblStyle w:val="4"/>
        <w:tblW w:w="9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3715"/>
        <w:gridCol w:w="2586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位置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占地面积（亩）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辅仁西、杨怡药业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451.8453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河朔大道东侧、宜业路南侧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1040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default" w:ascii="宋体" w:hAnsi="宋体" w:eastAsia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中汽研西侧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两块地，每块520亩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车邦东邻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360.5549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智能制造产业园+智慧双创园区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中州电器西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76.4539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河朔大道与创业路交叉口东北角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城际西路东侧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149.65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黄河粮油二期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193.10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昌武路与鸿永路交叉口东北侧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121.6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昌武路与鸿永路交叉口东南侧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49.99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鸿源路与兴达路交叉口西北侧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32.63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兴晖路与鸿源路交叉口西北侧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135.07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鸿均路与兴达路交叉口西北侧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80.1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兴晖路与鸿均路交叉口东南侧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56.8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13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爱能森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62.6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1"/>
                <w:szCs w:val="21"/>
              </w:rPr>
              <w:t>省道104与昌武路交叉口西北角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14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鸿均路与兴达路交叉口西南侧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174.4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15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鑫属环保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54.77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鸿业路与兴达路交叉口西北角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16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鸿业路与昌武路交叉口东南侧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24.25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bidi="ar"/>
              </w:rPr>
              <w:t>17</w:t>
            </w:r>
          </w:p>
        </w:tc>
        <w:tc>
          <w:tcPr>
            <w:tcW w:w="3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省道104与兴晖路交叉口西南侧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</w:rPr>
              <w:t>178.71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合计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  <w:lang w:val="en-US" w:eastAsia="zh-CN"/>
              </w:rPr>
              <w:t>3242.52</w:t>
            </w:r>
          </w:p>
        </w:tc>
        <w:tc>
          <w:tcPr>
            <w:tcW w:w="21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2、编制该项目区域地震安全性评价报告。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3、该评价报告应通过有关地震主管部门的评审机构审定，取得通过评审意见批复。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4、编制实施方案,实施方案变更应当及时报省地震部门留存。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5、严格按照《区域性地震安全性评价工作大纲(试行)》(中震防函(2019)21 号)及重大工程场地地震安全性评价等相关技术标准，开展区域性地震安全性评价工作，确保区域性地震安全性评价结果精准服务采购人产业规划布局。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6、评价报告应当由专业技术人员编写并签名。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7、评价单位及相关责任人对评价工作质量和成果终身负责。评价单位应当加强质量管理，配合有关部门的监督检查，负责使用说明、人员培训、系统维护和后续的服务支持。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四、需要落实的政府采购政策</w:t>
      </w:r>
    </w:p>
    <w:p>
      <w:pPr>
        <w:spacing w:line="500" w:lineRule="exac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（一）促进中小企业、监狱企业和残疾人福利性单位发展扶持政策</w:t>
      </w:r>
    </w:p>
    <w:p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sz w:val="21"/>
          <w:szCs w:val="21"/>
        </w:rPr>
        <w:t>：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1.中小企业认定：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符合中小企业划分标准的个体工商户，在政府采购活动中视同中小企业。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在服务采购项目中，服务由中小企业承接，即提供服务的人员为中小企业依照《中华人民共和国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民</w:t>
      </w:r>
      <w:r>
        <w:rPr>
          <w:rFonts w:hint="eastAsia" w:ascii="宋体" w:hAnsi="宋体"/>
          <w:bCs/>
          <w:color w:val="auto"/>
          <w:sz w:val="21"/>
          <w:szCs w:val="21"/>
        </w:rPr>
        <w:t>法</w:t>
      </w: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典</w:t>
      </w:r>
      <w:r>
        <w:rPr>
          <w:rFonts w:hint="eastAsia" w:ascii="宋体" w:hAnsi="宋体"/>
          <w:bCs/>
          <w:color w:val="auto"/>
          <w:sz w:val="21"/>
          <w:szCs w:val="21"/>
        </w:rPr>
        <w:t>》订立劳动合同的从业人员。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2.根据财库〔2014〕68号《财政部司法部关于政府采购支持监狱企业发展有关问题的通知》，监狱企业视同小微企业。提供由省级以上监狱管理局、戒毒管理局(含新疆生产建设兵团)出具的属于监狱企业的证明文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3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spacing w:line="500" w:lineRule="exact"/>
        <w:ind w:firstLine="422" w:firstLineChars="2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采购人根据投标人提供的《中小企业声明函》认定该投标人是否属于中小企业，监狱企业和残疾人福利性单位视同小型、微型企业。不属于中小企业、监狱企业或残疾人福利性单位的拒绝参与本项目投标。</w:t>
      </w:r>
    </w:p>
    <w:p>
      <w:pPr>
        <w:spacing w:line="500" w:lineRule="exact"/>
        <w:ind w:left="480" w:left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（二）节能产品、环境标志产品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58847907"/>
    <w:multiLevelType w:val="singleLevel"/>
    <w:tmpl w:val="5884790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6F4AF682"/>
    <w:multiLevelType w:val="singleLevel"/>
    <w:tmpl w:val="6F4AF68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xZDNlYzc2YTJhMDAzMmM4NGU2YjNmZmIyOWU2MmUifQ=="/>
  </w:docVars>
  <w:rsids>
    <w:rsidRoot w:val="5D564872"/>
    <w:rsid w:val="5D56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qFormat/>
    <w:uiPriority w:val="0"/>
    <w:pPr>
      <w:ind w:left="600" w:leftChars="600"/>
    </w:pPr>
  </w:style>
  <w:style w:type="paragraph" w:styleId="3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2022-08-18T02:49:00Z</dcterms:created>
  <dc:creator>Administrator</dc:creator>
  <cp:lastModifiedBy>Administrator</cp:lastModifiedBy>
  <dcterms:modified xsi:type="dcterms:W3CDTF">2022-08-18T02:50:38Z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4C880D7665DD4F7C8D2539919B2879BD</vt:lpwstr>
  </property>
</Properties>
</file>