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ind w:right="-72" w:rightChars="-30"/>
        <w:rPr>
          <w:rFonts w:hint="eastAsia" w:ascii="宋体" w:hAnsi="宋体" w:cs="宋体"/>
        </w:rPr>
      </w:pPr>
      <w:bookmarkStart w:id="0" w:name="_GoBack"/>
      <w:bookmarkEnd w:id="0"/>
      <w:r>
        <w:rPr>
          <w:rFonts w:hint="eastAsia" w:ascii="宋体" w:hAnsi="宋体" w:cs="宋体"/>
        </w:rPr>
        <w:t>采购需求</w:t>
      </w:r>
    </w:p>
    <w:p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一、相关说明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ascii="宋体" w:hAnsi="宋体"/>
          <w:bCs/>
          <w:kern w:val="0"/>
          <w:sz w:val="21"/>
          <w:szCs w:val="21"/>
        </w:rPr>
        <w:t>招标文件中</w:t>
      </w:r>
      <w:r>
        <w:rPr>
          <w:rFonts w:hint="eastAsia" w:ascii="宋体" w:hAnsi="宋体"/>
          <w:bCs/>
          <w:kern w:val="0"/>
          <w:sz w:val="21"/>
          <w:szCs w:val="21"/>
        </w:rPr>
        <w:t>列出</w:t>
      </w:r>
      <w:r>
        <w:rPr>
          <w:rFonts w:ascii="宋体" w:hAnsi="宋体"/>
          <w:bCs/>
          <w:kern w:val="0"/>
          <w:sz w:val="21"/>
          <w:szCs w:val="21"/>
        </w:rPr>
        <w:t>的质</w:t>
      </w:r>
      <w:r>
        <w:rPr>
          <w:rFonts w:hint="eastAsia" w:ascii="宋体" w:hAnsi="宋体"/>
          <w:bCs/>
          <w:kern w:val="0"/>
          <w:sz w:val="21"/>
          <w:szCs w:val="21"/>
        </w:rPr>
        <w:t>量技术参数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型号</w:t>
      </w:r>
      <w:r>
        <w:rPr>
          <w:rFonts w:ascii="宋体" w:hAnsi="宋体"/>
          <w:bCs/>
          <w:kern w:val="0"/>
          <w:sz w:val="21"/>
          <w:szCs w:val="21"/>
        </w:rPr>
        <w:t>与某产品相同</w:t>
      </w:r>
      <w:r>
        <w:rPr>
          <w:rFonts w:hint="eastAsia" w:ascii="宋体" w:hAnsi="宋体"/>
          <w:bCs/>
          <w:kern w:val="0"/>
          <w:sz w:val="21"/>
          <w:szCs w:val="21"/>
        </w:rPr>
        <w:t>时</w:t>
      </w:r>
      <w:r>
        <w:rPr>
          <w:rFonts w:ascii="宋体" w:hAnsi="宋体"/>
          <w:bCs/>
          <w:kern w:val="0"/>
          <w:sz w:val="21"/>
          <w:szCs w:val="21"/>
        </w:rPr>
        <w:t>仅</w:t>
      </w:r>
      <w:r>
        <w:rPr>
          <w:rFonts w:hint="eastAsia" w:ascii="宋体" w:hAnsi="宋体"/>
          <w:bCs/>
          <w:kern w:val="0"/>
          <w:sz w:val="21"/>
          <w:szCs w:val="21"/>
        </w:rPr>
        <w:t>作为</w:t>
      </w:r>
      <w:r>
        <w:rPr>
          <w:rFonts w:ascii="宋体" w:hAnsi="宋体"/>
          <w:bCs/>
          <w:kern w:val="0"/>
          <w:sz w:val="21"/>
          <w:szCs w:val="21"/>
        </w:rPr>
        <w:t>投标人选择</w:t>
      </w:r>
      <w:r>
        <w:rPr>
          <w:rFonts w:hint="eastAsia" w:ascii="宋体" w:hAnsi="宋体"/>
          <w:bCs/>
          <w:kern w:val="0"/>
          <w:sz w:val="21"/>
          <w:szCs w:val="21"/>
        </w:rPr>
        <w:t>投标产品</w:t>
      </w:r>
      <w:r>
        <w:rPr>
          <w:rFonts w:ascii="宋体" w:hAnsi="宋体"/>
          <w:bCs/>
          <w:kern w:val="0"/>
          <w:sz w:val="21"/>
          <w:szCs w:val="21"/>
        </w:rPr>
        <w:t>时在质量水平上</w:t>
      </w:r>
      <w:r>
        <w:rPr>
          <w:rFonts w:hint="eastAsia" w:ascii="宋体" w:hAnsi="宋体"/>
          <w:bCs/>
          <w:kern w:val="0"/>
          <w:sz w:val="21"/>
          <w:szCs w:val="21"/>
        </w:rPr>
        <w:t>的</w:t>
      </w:r>
      <w:r>
        <w:rPr>
          <w:rFonts w:ascii="宋体" w:hAnsi="宋体"/>
          <w:bCs/>
          <w:kern w:val="0"/>
          <w:sz w:val="21"/>
          <w:szCs w:val="21"/>
        </w:rPr>
        <w:t>参考，不</w:t>
      </w:r>
      <w:r>
        <w:rPr>
          <w:rFonts w:hint="eastAsia" w:ascii="宋体" w:hAnsi="宋体"/>
          <w:bCs/>
          <w:kern w:val="0"/>
          <w:sz w:val="21"/>
          <w:szCs w:val="21"/>
        </w:rPr>
        <w:t>强</w:t>
      </w:r>
      <w:r>
        <w:rPr>
          <w:rFonts w:ascii="宋体" w:hAnsi="宋体"/>
          <w:bCs/>
          <w:kern w:val="0"/>
          <w:sz w:val="21"/>
          <w:szCs w:val="21"/>
        </w:rPr>
        <w:t>制</w:t>
      </w:r>
      <w:r>
        <w:rPr>
          <w:rFonts w:hint="eastAsia" w:ascii="宋体" w:hAnsi="宋体"/>
          <w:bCs/>
          <w:kern w:val="0"/>
          <w:sz w:val="21"/>
          <w:szCs w:val="21"/>
        </w:rPr>
        <w:t>采购某一特定产品</w:t>
      </w:r>
      <w:r>
        <w:rPr>
          <w:rFonts w:ascii="宋体" w:hAnsi="宋体"/>
          <w:bCs/>
          <w:kern w:val="0"/>
          <w:sz w:val="21"/>
          <w:szCs w:val="21"/>
        </w:rPr>
        <w:t>，投标人可提供</w:t>
      </w:r>
      <w:r>
        <w:rPr>
          <w:rFonts w:hint="eastAsia" w:ascii="宋体" w:hAnsi="宋体"/>
          <w:bCs/>
          <w:kern w:val="0"/>
          <w:sz w:val="21"/>
          <w:szCs w:val="21"/>
        </w:rPr>
        <w:t>符合采购需求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更</w:t>
      </w:r>
      <w:r>
        <w:rPr>
          <w:rFonts w:ascii="宋体" w:hAnsi="宋体"/>
          <w:bCs/>
          <w:kern w:val="0"/>
          <w:sz w:val="21"/>
          <w:szCs w:val="21"/>
        </w:rPr>
        <w:t>优</w:t>
      </w:r>
      <w:r>
        <w:rPr>
          <w:rFonts w:hint="eastAsia" w:ascii="宋体" w:hAnsi="宋体"/>
          <w:bCs/>
          <w:kern w:val="0"/>
          <w:sz w:val="21"/>
          <w:szCs w:val="21"/>
        </w:rPr>
        <w:t>的产品及</w:t>
      </w:r>
      <w:r>
        <w:rPr>
          <w:rFonts w:ascii="宋体" w:hAnsi="宋体"/>
          <w:bCs/>
          <w:kern w:val="0"/>
          <w:sz w:val="21"/>
          <w:szCs w:val="21"/>
        </w:rPr>
        <w:t>方案</w:t>
      </w:r>
      <w:r>
        <w:rPr>
          <w:rFonts w:ascii="宋体" w:hAnsi="宋体"/>
          <w:kern w:val="0"/>
          <w:sz w:val="21"/>
          <w:szCs w:val="21"/>
        </w:rPr>
        <w:t>。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本次采购内容如果要求的某些技术标准低于国家标准，均以最新的国家标准为准。招标技术要求中未明确的技术标准也均不得低于国家标准；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ascii="宋体" w:hAnsi="宋体"/>
          <w:kern w:val="0"/>
          <w:sz w:val="21"/>
          <w:szCs w:val="21"/>
        </w:rPr>
        <w:t>本采购项目为交钥匙项目，</w:t>
      </w:r>
      <w:r>
        <w:rPr>
          <w:rFonts w:hint="eastAsia" w:ascii="宋体" w:hAnsi="宋体"/>
          <w:kern w:val="0"/>
          <w:sz w:val="21"/>
          <w:szCs w:val="21"/>
        </w:rPr>
        <w:t>验收合格前</w:t>
      </w:r>
      <w:r>
        <w:rPr>
          <w:rFonts w:ascii="宋体" w:hAnsi="宋体"/>
          <w:kern w:val="0"/>
          <w:sz w:val="21"/>
          <w:szCs w:val="21"/>
        </w:rPr>
        <w:t>所需的一切费用</w:t>
      </w:r>
      <w:r>
        <w:rPr>
          <w:rFonts w:hint="eastAsia" w:ascii="宋体" w:hAnsi="宋体"/>
          <w:kern w:val="0"/>
          <w:sz w:val="21"/>
          <w:szCs w:val="21"/>
        </w:rPr>
        <w:t>均</w:t>
      </w:r>
      <w:r>
        <w:rPr>
          <w:rFonts w:ascii="宋体" w:hAnsi="宋体"/>
          <w:kern w:val="0"/>
          <w:sz w:val="21"/>
          <w:szCs w:val="21"/>
        </w:rPr>
        <w:t>包含在报价之中，采购人不</w:t>
      </w:r>
      <w:r>
        <w:rPr>
          <w:rFonts w:hint="eastAsia" w:ascii="宋体" w:hAnsi="宋体"/>
          <w:kern w:val="0"/>
          <w:sz w:val="21"/>
          <w:szCs w:val="21"/>
        </w:rPr>
        <w:t>承担成交价格以外的</w:t>
      </w:r>
      <w:r>
        <w:rPr>
          <w:rFonts w:ascii="宋体" w:hAnsi="宋体"/>
          <w:kern w:val="0"/>
          <w:sz w:val="21"/>
          <w:szCs w:val="21"/>
        </w:rPr>
        <w:t>任何费用。</w:t>
      </w:r>
    </w:p>
    <w:p>
      <w:pPr>
        <w:rPr>
          <w:rFonts w:ascii="宋体" w:hAnsi="宋体"/>
          <w:bCs/>
          <w:sz w:val="24"/>
          <w:szCs w:val="24"/>
          <w:highlight w:val="yellow"/>
        </w:rPr>
      </w:pPr>
      <w:r>
        <w:rPr>
          <w:rFonts w:hint="eastAsia" w:ascii="宋体" w:hAnsi="宋体"/>
          <w:b/>
          <w:sz w:val="24"/>
          <w:szCs w:val="24"/>
        </w:rPr>
        <w:t>二、商务要求：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1.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合同履行期限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合同签订之日起 30日历天内供货完成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供货（服务）地点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：武陟县辖区内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 xml:space="preserve">3.质量标准：合格 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4.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质量保证期：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一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年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.付款方式：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供货完成三个月后支付合同金额的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100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%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.履约担保：中标人与采购人签订合同前，需向采购人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提交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bidi="ar"/>
        </w:rPr>
        <w:t>中标金额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3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bidi="ar"/>
        </w:rPr>
        <w:t>%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的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的履约担保。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履约担保的形式：应当以支票、汇票、本票或者金融机构、担保机构出具的保函，非现金形式提交。</w:t>
      </w:r>
    </w:p>
    <w:p>
      <w:pPr>
        <w:widowControl/>
        <w:adjustRightInd w:val="0"/>
        <w:spacing w:line="360" w:lineRule="auto"/>
        <w:rPr>
          <w:rFonts w:hint="eastAsia" w:ascii="宋体" w:hAnsi="宋体"/>
          <w:b/>
          <w:kern w:val="0"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</w:rPr>
        <w:t>三、其他要求：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（1）供应商须保证所投产品是原装全新的、未使用过的，并且是非长期积压的库存货物，供应商应保证其提供的货物在正常使用和保养条件下，在规定的使用寿命期内具有满意的性能。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（2）投标文件中提供所投产品制造商售后服务机构情况，包括地址、技术人员及联系方式，售后技术人员力量、售后服务等。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（3）质保期内（以本项目供货完成之日算起）应当为采购人提供以下技术支持和服务：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电话咨询。乙方应当为采购人提供技术援助电话，解答采购人在使用中遇到的问题，及时为采购人提出解决问题的建议和办法。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（4）现场响应。采购人在使用产品过程中，乙方应继续向采购人提供良好的技术支持。提供全天候的热线技术支持服务，应当对采购人所反映的任何问题在 1小时之内做出及时响应，在 2小时之内赶到现场实地解决问题。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（5）质保期后应当为采购人提供以下技术支持和服务：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应同样提供免费电话咨询服务，并应承诺提供产品上门维护服务。应以优惠价格继续提供售后服务。</w:t>
      </w:r>
    </w:p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sz w:val="24"/>
          <w:szCs w:val="24"/>
        </w:rPr>
        <w:t>、采购内容及技术要求：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本项目的核心产品为：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道路洗扫车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（核心产品仅适用于本项目同一品牌的</w:t>
      </w:r>
      <w:r>
        <w:rPr>
          <w:rFonts w:hint="eastAsia" w:ascii="宋体" w:hAnsi="宋体" w:eastAsia="宋体" w:cs="宋体"/>
          <w:sz w:val="21"/>
          <w:szCs w:val="21"/>
        </w:rPr>
        <w:t>认定，同一品牌的认定详见投标人须知）</w:t>
      </w:r>
    </w:p>
    <w:p>
      <w:pPr>
        <w:spacing w:line="560" w:lineRule="exact"/>
        <w:ind w:firstLine="560" w:firstLineChars="200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对接垃圾车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174"/>
        <w:gridCol w:w="5591"/>
        <w:gridCol w:w="764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</w:rPr>
              <w:t>序号</w:t>
            </w:r>
          </w:p>
        </w:tc>
        <w:tc>
          <w:tcPr>
            <w:tcW w:w="1174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1"/>
                <w:szCs w:val="21"/>
                <w:lang w:eastAsia="zh-CN"/>
              </w:rPr>
              <w:t>标的</w:t>
            </w:r>
            <w:r>
              <w:rPr>
                <w:rFonts w:hint="eastAsia" w:ascii="宋体" w:hAnsi="宋体"/>
                <w:b/>
                <w:color w:val="auto"/>
                <w:kern w:val="0"/>
                <w:sz w:val="21"/>
                <w:szCs w:val="21"/>
              </w:rPr>
              <w:t>名称</w:t>
            </w:r>
          </w:p>
        </w:tc>
        <w:tc>
          <w:tcPr>
            <w:tcW w:w="5591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</w:rPr>
              <w:t>主要技术参数、性能、配置等要求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数量/单位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</w:rPr>
              <w:t>所属行业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对接垃圾车</w:t>
            </w:r>
          </w:p>
        </w:tc>
        <w:tc>
          <w:tcPr>
            <w:tcW w:w="55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1.整车尺寸参数（mm）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外形尺寸：≥6650×2510×3150；轴距：≥3950。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2.整车质量参数（kg）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总质量（整车）：≥18000；整备质量：≤7530；额定载质量：≥10200。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3.专用装置参数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箱体容积（m3）：≥15；液压系统工作压（MPa）：≥14；控制方式：电控+手动或优于；自卸角度或最大举升角（°）：≥45。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4.底盘参数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发动机功率（kW）：≥147；排放标准：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。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Style w:val="13"/>
                <w:color w:val="auto"/>
                <w:sz w:val="21"/>
                <w:szCs w:val="21"/>
                <w:highlight w:val="none"/>
                <w:lang w:val="en-US" w:eastAsia="zh-CN" w:bidi="ar"/>
              </w:rPr>
              <w:t>辆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工业</w:t>
            </w:r>
          </w:p>
        </w:tc>
      </w:tr>
    </w:tbl>
    <w:p>
      <w:pPr>
        <w:spacing w:line="360" w:lineRule="auto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性能要求：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1.卸料的全动作能在驾驶室内完成。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2.货箱可举升自卸，卸料工作循环时间≤60s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3.密封性强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（1）车厢为全封闭式车厢，底部安装有污水收集箱，防污水滴漏。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（2）密封式后门；后门采用全液压控制，厢体后部采用胶条密封、垃圾密封运输，垃圾和污水在转运过程中无撒漏。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4.可与环卫垂直式垃圾压缩机配套、对接，可实现一车多站，货箱可举升自卸。</w:t>
      </w:r>
    </w:p>
    <w:p>
      <w:pPr>
        <w:spacing w:line="560" w:lineRule="exact"/>
        <w:ind w:firstLine="560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道路洗扫车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174"/>
        <w:gridCol w:w="5591"/>
        <w:gridCol w:w="764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</w:rPr>
              <w:t>序号</w:t>
            </w:r>
          </w:p>
        </w:tc>
        <w:tc>
          <w:tcPr>
            <w:tcW w:w="1174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1"/>
                <w:szCs w:val="21"/>
                <w:lang w:eastAsia="zh-CN"/>
              </w:rPr>
              <w:t>标的</w:t>
            </w:r>
            <w:r>
              <w:rPr>
                <w:rFonts w:hint="eastAsia" w:ascii="宋体" w:hAnsi="宋体"/>
                <w:b/>
                <w:color w:val="auto"/>
                <w:kern w:val="0"/>
                <w:sz w:val="21"/>
                <w:szCs w:val="21"/>
              </w:rPr>
              <w:t>名称</w:t>
            </w:r>
          </w:p>
        </w:tc>
        <w:tc>
          <w:tcPr>
            <w:tcW w:w="5591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</w:rPr>
              <w:t>主要技术参数、性能、配置等要求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数量/单位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</w:rPr>
              <w:t>所属行业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道路洗扫车</w:t>
            </w:r>
          </w:p>
        </w:tc>
        <w:tc>
          <w:tcPr>
            <w:tcW w:w="5591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1.整车尺寸参数（mm）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"/>
              </w:rPr>
              <w:t>外形尺寸：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长×宽×高：≥9050×2500×3210；轴距：≥5300；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前悬/后悬：≥1400/2150。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2.整车质量参数（kg）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总质量（整车）：≥18000；整备质量：≤12100；额定载质量：≥5700。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3.专用装置参数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最大清扫宽度（m）：≥3.5；最大清扫能力（m²/h）：≥70000；清扫速度（km/h）：3～15；垃圾箱箱体总容积(m³)：≥7；清水箱容积（m³）：≥9。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4.底盘参数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发动机功率（kW）：≥154；驾驶室配置：排半、冷暖空调；排放标准：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。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13"/>
                <w:color w:val="auto"/>
                <w:sz w:val="21"/>
                <w:szCs w:val="21"/>
                <w:highlight w:val="none"/>
                <w:lang w:val="en-US" w:eastAsia="zh-CN" w:bidi="ar"/>
              </w:rPr>
              <w:t>辆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工业</w:t>
            </w:r>
          </w:p>
        </w:tc>
      </w:tr>
    </w:tbl>
    <w:p>
      <w:pPr>
        <w:pStyle w:val="5"/>
        <w:rPr>
          <w:rFonts w:hint="eastAsia"/>
          <w:highlight w:val="none"/>
          <w:lang w:val="en-US" w:eastAsia="zh-CN"/>
        </w:rPr>
      </w:pPr>
    </w:p>
    <w:p>
      <w:pPr>
        <w:spacing w:line="360" w:lineRule="auto"/>
        <w:rPr>
          <w:rFonts w:hint="eastAsia" w:eastAsia="宋体" w:cs="宋体"/>
          <w:b/>
          <w:sz w:val="24"/>
          <w:highlight w:val="none"/>
        </w:rPr>
      </w:pPr>
      <w:r>
        <w:rPr>
          <w:rFonts w:hint="eastAsia" w:eastAsia="宋体" w:cs="宋体"/>
          <w:b/>
          <w:sz w:val="24"/>
          <w:highlight w:val="none"/>
          <w:lang w:eastAsia="zh-CN"/>
        </w:rPr>
        <w:t>性能</w:t>
      </w:r>
      <w:r>
        <w:rPr>
          <w:rFonts w:hint="eastAsia" w:eastAsia="宋体" w:cs="宋体"/>
          <w:b/>
          <w:sz w:val="24"/>
          <w:highlight w:val="none"/>
        </w:rPr>
        <w:t>要求：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具有防撞避障功能的清扫刷盘及冲水架；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采用举升加高压冲水相结合的卸料方式；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超大流量低压冲水，冲洗宽度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大于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2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米；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垃圾箱采用不锈钢焊接；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采用先进的智能化控制系统，可在驾驶室内完成所有操作；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污水阀排放装置，可对污水、淤泥进行有效分离并随时根据垃圾箱内污水情况将污水单独排放；</w:t>
      </w:r>
    </w:p>
    <w:p>
      <w:pPr>
        <w:bidi w:val="0"/>
        <w:jc w:val="left"/>
        <w:rPr>
          <w:rFonts w:hint="eastAsia"/>
          <w:highlight w:val="none"/>
        </w:rPr>
      </w:pPr>
    </w:p>
    <w:p>
      <w:pPr>
        <w:pStyle w:val="14"/>
        <w:ind w:left="2400"/>
        <w:rPr>
          <w:rFonts w:hint="eastAsia" w:ascii="宋体" w:hAnsi="宋体"/>
          <w:b/>
          <w:sz w:val="32"/>
          <w:szCs w:val="32"/>
        </w:rPr>
      </w:pPr>
    </w:p>
    <w:p>
      <w:pPr>
        <w:widowControl/>
        <w:rPr>
          <w:rFonts w:hint="eastAsia" w:ascii="宋体" w:hAnsi="宋体"/>
          <w:color w:val="000000"/>
          <w:kern w:val="0"/>
          <w:sz w:val="20"/>
          <w:szCs w:val="20"/>
        </w:rPr>
        <w:sectPr>
          <w:headerReference r:id="rId3" w:type="default"/>
          <w:footerReference r:id="rId4" w:type="default"/>
          <w:pgSz w:w="11907" w:h="16840"/>
          <w:pgMar w:top="1418" w:right="1531" w:bottom="1418" w:left="1531" w:header="567" w:footer="998" w:gutter="0"/>
          <w:cols w:space="720" w:num="1"/>
          <w:docGrid w:type="linesAndChars" w:linePitch="380" w:charSpace="0"/>
        </w:sectPr>
      </w:pPr>
    </w:p>
    <w:p>
      <w:pPr>
        <w:widowControl/>
        <w:adjustRightInd w:val="0"/>
        <w:spacing w:line="500" w:lineRule="exact"/>
        <w:rPr>
          <w:rFonts w:hint="eastAsia" w:ascii="宋体" w:hAnsi="宋体"/>
          <w:b/>
          <w:kern w:val="0"/>
          <w:sz w:val="24"/>
          <w:szCs w:val="24"/>
        </w:rPr>
      </w:pPr>
      <w:r>
        <w:rPr>
          <w:rFonts w:hint="eastAsia" w:ascii="宋体" w:hAnsi="宋体"/>
          <w:b/>
          <w:kern w:val="0"/>
          <w:sz w:val="24"/>
          <w:szCs w:val="24"/>
        </w:rPr>
        <w:t>五、需要落实的政府采购政策</w:t>
      </w:r>
    </w:p>
    <w:p>
      <w:pPr>
        <w:spacing w:line="500" w:lineRule="exact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（一）促进中小企业、监狱企业和残疾人福利性单位发展扶持政策</w:t>
      </w:r>
    </w:p>
    <w:p>
      <w:pPr>
        <w:spacing w:line="500" w:lineRule="exact"/>
        <w:ind w:firstLine="422" w:firstLineChars="200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促进中小企业发展扶持政策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：</w:t>
      </w:r>
    </w:p>
    <w:p>
      <w:pPr>
        <w:spacing w:line="500" w:lineRule="exact"/>
        <w:ind w:left="0" w:leftChars="0" w:firstLine="478" w:firstLineChars="228"/>
        <w:jc w:val="left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Cs/>
          <w:sz w:val="21"/>
          <w:szCs w:val="21"/>
        </w:rPr>
        <w:t>中小企业认定：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（1）本文件所称中小企业，是指在中华人民共和国境内依法设立，依据国务院批准的中小企业划分标准确定的中型企业、小型企业和微型企业，但与大企业的负责人为同一人，或者与大企业存在直接控股、管理关系的除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符合中小企业划分标准的个体工商户，在政府采购活动中视同中小企业。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中小企业划分标准见《关于印发中小企业划型标准规定的通知》（工信部联企业〔2011〕300号）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在货物</w:t>
      </w:r>
      <w:r>
        <w:rPr>
          <w:rFonts w:hint="eastAsia" w:ascii="宋体" w:hAnsi="宋体"/>
          <w:bCs/>
          <w:color w:val="auto"/>
          <w:sz w:val="21"/>
          <w:szCs w:val="21"/>
        </w:rPr>
        <w:t>采购项目中，货物由中小企业制造，即货物由中小企业生产且使用该中小企业商号或者注册商标</w:t>
      </w:r>
      <w:r>
        <w:rPr>
          <w:rFonts w:hint="eastAsia" w:ascii="宋体" w:hAnsi="宋体"/>
          <w:bCs/>
          <w:color w:val="auto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在货物采购项目中，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提供的货物既有中小企业制造货物，也有大型企业制造货物的，不享受本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规定的中小企业扶持政策。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/>
          <w:highlight w:val="none"/>
        </w:rPr>
      </w:pPr>
      <w:r>
        <w:rPr>
          <w:rFonts w:hint="eastAsia" w:ascii="宋体" w:hAnsi="宋体"/>
          <w:bCs/>
          <w:color w:val="auto"/>
          <w:sz w:val="21"/>
          <w:szCs w:val="21"/>
          <w:highlight w:val="none"/>
        </w:rPr>
        <w:t>以联合体形式参加政府采购活动，联合体各方均为中小企业的，联合体视同中小企业。其中，联合体各方均为小微企业的，联合体视同小微企业。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eastAsia="zh-CN"/>
        </w:rPr>
        <w:t>投标人应当按照招标文件规定出具《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中小企业声明函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eastAsia="zh-CN"/>
        </w:rPr>
        <w:t>》，否则不享受相关扶持政策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；</w:t>
      </w:r>
    </w:p>
    <w:p>
      <w:pPr>
        <w:spacing w:line="500" w:lineRule="exact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　　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Cs/>
          <w:sz w:val="21"/>
          <w:szCs w:val="21"/>
        </w:rPr>
        <w:t>.根据财库〔2014〕68号《财政部司法部关于政府采购支持监狱企业发展有关问题的通知》，监狱企业视同小微企业。提供由省级以上监狱管理局、戒毒管理局(含新疆生产建设兵团)出具的属于监狱企业的证明文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件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（</w:t>
      </w:r>
      <w:r>
        <w:rPr>
          <w:rFonts w:hint="eastAsia" w:ascii="宋体" w:hAnsi="宋体"/>
          <w:b/>
          <w:bCs/>
          <w:color w:val="000000"/>
          <w:kern w:val="0"/>
          <w:sz w:val="21"/>
          <w:szCs w:val="21"/>
        </w:rPr>
        <w:t>投标文件中附扫描件</w:t>
      </w:r>
      <w:r>
        <w:rPr>
          <w:rFonts w:hint="eastAsia" w:ascii="宋体" w:hAnsi="宋体"/>
          <w:b/>
          <w:bCs/>
          <w:color w:val="000000"/>
          <w:kern w:val="0"/>
          <w:sz w:val="21"/>
          <w:szCs w:val="21"/>
          <w:lang w:eastAsia="zh-CN"/>
        </w:rPr>
        <w:t>或复印件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）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bCs/>
          <w:sz w:val="21"/>
          <w:szCs w:val="21"/>
        </w:rPr>
        <w:t>不再提供《中小企业声明函》，投标人出具的监狱企业证明文件如有虚假，其成交资格将被取消，并根据相关规定进行处罚。</w:t>
      </w:r>
    </w:p>
    <w:p>
      <w:pPr>
        <w:spacing w:line="50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21"/>
          <w:szCs w:val="21"/>
        </w:rPr>
        <w:t>.根据财库〔2017〕141号《三部门联合发布关于促进残疾人就业政府采购政策的通知》残疾人福利性单位视同小型、微型企业，残疾人福利性单位在参加政府采购活动时提供《残疾人福利性单位声明函》，不再提供《中小企业声明函》，投标人在《残疾人福利性单位声明函》中的承诺如有虚假，其成交资格将被取消，并根据相关规定进行处罚。</w:t>
      </w:r>
    </w:p>
    <w:p>
      <w:pPr>
        <w:numPr>
          <w:ilvl w:val="0"/>
          <w:numId w:val="0"/>
        </w:numPr>
        <w:spacing w:line="500" w:lineRule="exact"/>
        <w:ind w:left="0" w:leftChars="0" w:firstLine="481" w:firstLineChars="228"/>
        <w:jc w:val="left"/>
        <w:rPr>
          <w:rFonts w:hint="eastAsia" w:ascii="宋体" w:hAnsi="宋体" w:eastAsia="宋体"/>
          <w:b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bCs w:val="0"/>
          <w:sz w:val="21"/>
          <w:szCs w:val="21"/>
          <w:lang w:eastAsia="zh-CN"/>
        </w:rPr>
        <w:t>采购人根据投标人提供的《</w:t>
      </w:r>
      <w:r>
        <w:rPr>
          <w:rFonts w:hint="eastAsia" w:ascii="宋体" w:hAnsi="宋体" w:eastAsia="宋体"/>
          <w:b/>
          <w:bCs w:val="0"/>
          <w:sz w:val="21"/>
          <w:szCs w:val="21"/>
        </w:rPr>
        <w:t>中小企业声明函</w:t>
      </w:r>
      <w:r>
        <w:rPr>
          <w:rFonts w:hint="eastAsia" w:ascii="宋体" w:hAnsi="宋体" w:eastAsia="宋体"/>
          <w:b/>
          <w:bCs w:val="0"/>
          <w:sz w:val="21"/>
          <w:szCs w:val="21"/>
          <w:lang w:eastAsia="zh-CN"/>
        </w:rPr>
        <w:t>》认定该投标人是否属于中小企业，监狱企业和残疾人福利性单位视同小型、微型企业。不属于中小企业、监狱企业或残疾人福利性单位的拒绝参与本项目投标。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宋体" w:hAnsi="宋体"/>
                            </w:rPr>
                          </w:pPr>
                          <w:r>
                            <w:rPr>
                              <w:rFonts w:hint="eastAsia" w:ascii="宋体" w:hAnsi="宋体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</w:rPr>
                            <w:t>53</w:t>
                          </w:r>
                          <w:r>
                            <w:rPr>
                              <w:rFonts w:hint="eastAsia" w:ascii="宋体" w:hAnsi="宋体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宋体" w:hAnsi="宋体"/>
                      </w:rPr>
                    </w:pPr>
                    <w:r>
                      <w:rPr>
                        <w:rFonts w:hint="eastAsia" w:ascii="宋体" w:hAnsi="宋体"/>
                      </w:rPr>
                      <w:t xml:space="preserve">第 </w:t>
                    </w:r>
                    <w:r>
                      <w:rPr>
                        <w:rFonts w:hint="eastAsia" w:ascii="宋体" w:hAnsi="宋体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</w:rPr>
                      <w:fldChar w:fldCharType="separate"/>
                    </w:r>
                    <w:r>
                      <w:rPr>
                        <w:rFonts w:ascii="宋体" w:hAnsi="宋体"/>
                      </w:rPr>
                      <w:t>53</w:t>
                    </w:r>
                    <w:r>
                      <w:rPr>
                        <w:rFonts w:hint="eastAsia" w:ascii="宋体" w:hAnsi="宋体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3D779B"/>
    <w:multiLevelType w:val="singleLevel"/>
    <w:tmpl w:val="AE3D779B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000030"/>
    <w:multiLevelType w:val="multilevel"/>
    <w:tmpl w:val="0000003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MGQ3OWQ3NzBkNWRmMDUzMzEyMmRkMTc5YWY1OGUifQ=="/>
  </w:docVars>
  <w:rsids>
    <w:rsidRoot w:val="033260BF"/>
    <w:rsid w:val="0332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Book Antiqua" w:hAnsi="Book Antiqua" w:eastAsia="宋体" w:cs="宋体"/>
      <w:kern w:val="2"/>
      <w:sz w:val="24"/>
      <w:szCs w:val="24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iPriority w:val="0"/>
    <w:pPr>
      <w:spacing w:after="120" w:afterLines="0"/>
      <w:ind w:left="420" w:leftChars="200" w:firstLine="420"/>
    </w:pPr>
  </w:style>
  <w:style w:type="paragraph" w:styleId="3">
    <w:name w:val="Body Text Indent"/>
    <w:basedOn w:val="1"/>
    <w:next w:val="4"/>
    <w:uiPriority w:val="0"/>
    <w:pPr>
      <w:ind w:firstLine="560" w:firstLineChars="200"/>
    </w:pPr>
    <w:rPr>
      <w:rFonts w:ascii="仿宋_GB2312" w:hAnsi="Times New Roman" w:eastAsia="仿宋_GB2312" w:cs="Times New Roman"/>
      <w:sz w:val="28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6"/>
    <w:qFormat/>
    <w:uiPriority w:val="0"/>
    <w:rPr>
      <w:rFonts w:ascii="Times New Roman" w:hAnsi="Times New Roman" w:eastAsia="楷体_GB2312" w:cs="Times New Roman"/>
      <w:sz w:val="28"/>
      <w:szCs w:val="24"/>
    </w:rPr>
  </w:style>
  <w:style w:type="paragraph" w:styleId="6">
    <w:name w:val="Plain Text"/>
    <w:basedOn w:val="1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cs="Times New Roman"/>
      <w:sz w:val="18"/>
    </w:rPr>
  </w:style>
  <w:style w:type="paragraph" w:styleId="9">
    <w:name w:val="Title"/>
    <w:basedOn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font41"/>
    <w:basedOn w:val="12"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4">
    <w:name w:val="无间隔1"/>
    <w:basedOn w:val="1"/>
    <w:qFormat/>
    <w:uiPriority w:val="0"/>
    <w:pPr>
      <w:spacing w:line="400" w:lineRule="exact"/>
    </w:pPr>
    <w:rPr>
      <w:rFonts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2022-08-22T02:16:00Z</dcterms:created>
  <dc:creator>NTKO</dc:creator>
  <cp:lastModifiedBy>NTKO</cp:lastModifiedBy>
  <dcterms:modified xsi:type="dcterms:W3CDTF">2022-08-22T02:17:10Z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3776B837FCCE4B66BA275071BD9D2676</vt:lpwstr>
  </property>
</Properties>
</file>