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caps w:val="0"/>
          <w:color w:val="000000"/>
          <w:spacing w:val="0"/>
          <w:sz w:val="36"/>
          <w:szCs w:val="36"/>
          <w:shd w:val="clear" w:color="auto" w:fill="FFFFFF"/>
          <w:lang w:val="en-US" w:eastAsia="zh-CN"/>
        </w:rPr>
      </w:pPr>
    </w:p>
    <w:p>
      <w:pPr>
        <w:pStyle w:val="5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44"/>
          <w:szCs w:val="44"/>
          <w:lang w:eastAsia="zh-CN"/>
        </w:rPr>
      </w:pPr>
      <w:r>
        <w:rPr>
          <w:rFonts w:hint="eastAsia" w:ascii="宋体" w:hAnsi="宋体" w:cs="宋体"/>
          <w:b/>
          <w:sz w:val="44"/>
          <w:szCs w:val="44"/>
          <w:lang w:eastAsia="zh-CN"/>
        </w:rPr>
        <w:t>S308武济线总干桥桥梁加固工程施工招标项目</w:t>
      </w:r>
    </w:p>
    <w:p>
      <w:pPr>
        <w:pageBreakBefore w:val="0"/>
        <w:kinsoku/>
        <w:bidi w:val="0"/>
        <w:spacing w:line="360" w:lineRule="auto"/>
        <w:rPr>
          <w:rFonts w:hint="eastAsia" w:ascii="宋体" w:hAnsi="宋体" w:eastAsia="宋体" w:cs="宋体"/>
          <w:b/>
          <w:sz w:val="32"/>
          <w:szCs w:val="32"/>
        </w:rPr>
      </w:pPr>
    </w:p>
    <w:p>
      <w:pPr>
        <w:pageBreakBefore w:val="0"/>
        <w:kinsoku/>
        <w:bidi w:val="0"/>
        <w:spacing w:line="360" w:lineRule="auto"/>
        <w:jc w:val="center"/>
        <w:rPr>
          <w:rFonts w:hint="eastAsia" w:ascii="宋体" w:hAnsi="宋体" w:eastAsia="宋体" w:cs="宋体"/>
          <w:b/>
          <w:sz w:val="36"/>
          <w:szCs w:val="36"/>
        </w:rPr>
      </w:pPr>
    </w:p>
    <w:p>
      <w:pPr>
        <w:pageBreakBefore w:val="0"/>
        <w:kinsoku/>
        <w:bidi w:val="0"/>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 xml:space="preserve"> </w:t>
      </w:r>
    </w:p>
    <w:p>
      <w:pPr>
        <w:pageBreakBefore w:val="0"/>
        <w:kinsoku/>
        <w:bidi w:val="0"/>
        <w:spacing w:line="360" w:lineRule="auto"/>
        <w:jc w:val="center"/>
        <w:rPr>
          <w:rFonts w:hint="eastAsia" w:ascii="宋体" w:hAnsi="宋体" w:eastAsia="宋体" w:cs="宋体"/>
          <w:b/>
          <w:sz w:val="48"/>
          <w:szCs w:val="48"/>
        </w:rPr>
      </w:pPr>
    </w:p>
    <w:p>
      <w:pPr>
        <w:pageBreakBefore w:val="0"/>
        <w:kinsoku/>
        <w:bidi w:val="0"/>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竞争性磋商文件</w:t>
      </w:r>
    </w:p>
    <w:p>
      <w:pPr>
        <w:pageBreakBefore w:val="0"/>
        <w:kinsoku/>
        <w:bidi w:val="0"/>
        <w:spacing w:line="360" w:lineRule="auto"/>
        <w:jc w:val="center"/>
        <w:rPr>
          <w:rFonts w:hint="eastAsia" w:ascii="宋体" w:hAnsi="宋体" w:eastAsia="宋体" w:cs="宋体"/>
          <w:sz w:val="28"/>
          <w:szCs w:val="28"/>
        </w:rPr>
      </w:pPr>
    </w:p>
    <w:p>
      <w:pPr>
        <w:pageBreakBefore w:val="0"/>
        <w:kinsoku/>
        <w:bidi w:val="0"/>
        <w:spacing w:line="360" w:lineRule="auto"/>
        <w:ind w:firstLine="2240" w:firstLineChars="8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采购编号：武政磋商采购【2022】00</w:t>
      </w:r>
      <w:r>
        <w:rPr>
          <w:rFonts w:hint="eastAsia" w:ascii="宋体" w:hAnsi="宋体" w:cs="宋体"/>
          <w:sz w:val="28"/>
          <w:szCs w:val="28"/>
          <w:lang w:val="en-US" w:eastAsia="zh-CN"/>
        </w:rPr>
        <w:t>9</w:t>
      </w:r>
      <w:r>
        <w:rPr>
          <w:rFonts w:hint="eastAsia" w:ascii="宋体" w:hAnsi="宋体" w:eastAsia="宋体" w:cs="宋体"/>
          <w:sz w:val="28"/>
          <w:szCs w:val="28"/>
          <w:lang w:val="en-US" w:eastAsia="zh-CN"/>
        </w:rPr>
        <w:t>号</w:t>
      </w:r>
    </w:p>
    <w:p>
      <w:pPr>
        <w:pageBreakBefore w:val="0"/>
        <w:kinsoku/>
        <w:bidi w:val="0"/>
        <w:spacing w:line="360" w:lineRule="auto"/>
        <w:ind w:firstLine="2240" w:firstLineChars="800"/>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交易编号：</w:t>
      </w:r>
      <w:r>
        <w:rPr>
          <w:rFonts w:hint="eastAsia" w:ascii="宋体" w:hAnsi="宋体" w:eastAsia="宋体" w:cs="宋体"/>
          <w:sz w:val="28"/>
          <w:szCs w:val="28"/>
          <w:highlight w:val="none"/>
          <w:lang w:val="en-US" w:eastAsia="zh-CN"/>
        </w:rPr>
        <w:t>武交工JZCS2022-</w:t>
      </w:r>
      <w:r>
        <w:rPr>
          <w:rFonts w:hint="eastAsia" w:ascii="宋体" w:hAnsi="宋体" w:cs="宋体"/>
          <w:sz w:val="28"/>
          <w:szCs w:val="28"/>
          <w:highlight w:val="none"/>
          <w:lang w:val="en-US" w:eastAsia="zh-CN"/>
        </w:rPr>
        <w:t>007</w:t>
      </w:r>
      <w:r>
        <w:rPr>
          <w:rFonts w:hint="eastAsia" w:ascii="宋体" w:hAnsi="宋体" w:eastAsia="宋体" w:cs="宋体"/>
          <w:sz w:val="28"/>
          <w:szCs w:val="28"/>
          <w:highlight w:val="none"/>
          <w:lang w:val="en-US" w:eastAsia="zh-CN"/>
        </w:rPr>
        <w:t>号</w:t>
      </w:r>
    </w:p>
    <w:p>
      <w:pPr>
        <w:pageBreakBefore w:val="0"/>
        <w:kinsoku/>
        <w:bidi w:val="0"/>
        <w:spacing w:line="360" w:lineRule="auto"/>
        <w:rPr>
          <w:rFonts w:hint="eastAsia" w:ascii="宋体" w:hAnsi="宋体" w:eastAsia="宋体" w:cs="宋体"/>
          <w:sz w:val="28"/>
          <w:szCs w:val="28"/>
        </w:rPr>
      </w:pPr>
    </w:p>
    <w:p>
      <w:pPr>
        <w:pageBreakBefore w:val="0"/>
        <w:kinsoku/>
        <w:bidi w:val="0"/>
        <w:spacing w:line="360" w:lineRule="auto"/>
        <w:jc w:val="center"/>
        <w:rPr>
          <w:rFonts w:hint="eastAsia" w:ascii="宋体" w:hAnsi="宋体" w:eastAsia="宋体" w:cs="宋体"/>
        </w:rPr>
      </w:pPr>
    </w:p>
    <w:p>
      <w:pPr>
        <w:pageBreakBefore w:val="0"/>
        <w:kinsoku/>
        <w:bidi w:val="0"/>
        <w:spacing w:line="360" w:lineRule="auto"/>
        <w:jc w:val="center"/>
        <w:rPr>
          <w:rFonts w:hint="eastAsia" w:ascii="宋体" w:hAnsi="宋体" w:eastAsia="宋体" w:cs="宋体"/>
        </w:rPr>
      </w:pPr>
    </w:p>
    <w:p>
      <w:pPr>
        <w:pageBreakBefore w:val="0"/>
        <w:kinsoku/>
        <w:bidi w:val="0"/>
        <w:spacing w:line="360" w:lineRule="auto"/>
        <w:jc w:val="center"/>
        <w:rPr>
          <w:rFonts w:hint="eastAsia" w:ascii="宋体" w:hAnsi="宋体" w:eastAsia="宋体" w:cs="宋体"/>
        </w:rPr>
      </w:pPr>
    </w:p>
    <w:p>
      <w:pPr>
        <w:pageBreakBefore w:val="0"/>
        <w:kinsoku/>
        <w:bidi w:val="0"/>
        <w:spacing w:line="360" w:lineRule="auto"/>
        <w:jc w:val="center"/>
        <w:rPr>
          <w:rFonts w:hint="eastAsia" w:ascii="宋体" w:hAnsi="宋体" w:eastAsia="宋体" w:cs="宋体"/>
        </w:rPr>
      </w:pPr>
    </w:p>
    <w:p>
      <w:pPr>
        <w:pageBreakBefore w:val="0"/>
        <w:kinsoku/>
        <w:bidi w:val="0"/>
        <w:spacing w:line="360" w:lineRule="auto"/>
        <w:rPr>
          <w:rFonts w:hint="eastAsia" w:ascii="宋体" w:hAnsi="宋体" w:eastAsia="宋体" w:cs="宋体"/>
        </w:rPr>
      </w:pPr>
    </w:p>
    <w:p>
      <w:pPr>
        <w:pageBreakBefore w:val="0"/>
        <w:kinsoku/>
        <w:bidi w:val="0"/>
        <w:spacing w:line="360" w:lineRule="auto"/>
        <w:ind w:firstLine="1600" w:firstLineChars="500"/>
        <w:rPr>
          <w:rFonts w:hint="eastAsia" w:ascii="宋体" w:hAnsi="宋体" w:eastAsia="宋体" w:cs="宋体"/>
          <w:sz w:val="32"/>
        </w:rPr>
      </w:pPr>
    </w:p>
    <w:p>
      <w:pPr>
        <w:pageBreakBefore w:val="0"/>
        <w:kinsoku/>
        <w:bidi w:val="0"/>
        <w:spacing w:line="360" w:lineRule="auto"/>
        <w:ind w:firstLine="1600" w:firstLineChars="500"/>
        <w:rPr>
          <w:rFonts w:hint="eastAsia" w:ascii="宋体" w:hAnsi="宋体" w:eastAsia="宋体" w:cs="宋体"/>
          <w:sz w:val="32"/>
        </w:rPr>
      </w:pPr>
    </w:p>
    <w:p>
      <w:pPr>
        <w:pageBreakBefore w:val="0"/>
        <w:kinsoku/>
        <w:bidi w:val="0"/>
        <w:spacing w:line="360" w:lineRule="auto"/>
        <w:ind w:firstLine="1600" w:firstLineChars="500"/>
        <w:rPr>
          <w:rFonts w:hint="eastAsia" w:ascii="宋体" w:hAnsi="宋体" w:eastAsia="宋体" w:cs="宋体"/>
          <w:sz w:val="32"/>
          <w:lang w:eastAsia="zh-CN"/>
        </w:rPr>
      </w:pPr>
      <w:r>
        <w:rPr>
          <w:rFonts w:hint="eastAsia" w:ascii="宋体" w:hAnsi="宋体" w:eastAsia="宋体" w:cs="宋体"/>
          <w:sz w:val="32"/>
        </w:rPr>
        <w:t>采   购   人：</w:t>
      </w:r>
      <w:r>
        <w:rPr>
          <w:rFonts w:hint="eastAsia" w:ascii="宋体" w:hAnsi="宋体" w:cs="宋体"/>
          <w:sz w:val="32"/>
          <w:lang w:eastAsia="zh-CN"/>
        </w:rPr>
        <w:t>武陟县公路局</w:t>
      </w:r>
    </w:p>
    <w:p>
      <w:pPr>
        <w:pageBreakBefore w:val="0"/>
        <w:kinsoku/>
        <w:bidi w:val="0"/>
        <w:spacing w:line="360" w:lineRule="auto"/>
        <w:ind w:firstLine="1600" w:firstLineChars="500"/>
        <w:rPr>
          <w:rFonts w:hint="eastAsia" w:ascii="宋体" w:hAnsi="宋体" w:eastAsia="宋体" w:cs="宋体"/>
          <w:sz w:val="32"/>
        </w:rPr>
      </w:pPr>
      <w:r>
        <w:rPr>
          <w:rFonts w:hint="eastAsia" w:ascii="宋体" w:hAnsi="宋体" w:eastAsia="宋体" w:cs="宋体"/>
          <w:sz w:val="32"/>
        </w:rPr>
        <w:t>采购代理机构：</w:t>
      </w:r>
      <w:r>
        <w:rPr>
          <w:rFonts w:hint="eastAsia" w:ascii="宋体" w:hAnsi="宋体" w:cs="宋体"/>
          <w:sz w:val="32"/>
          <w:lang w:eastAsia="zh-CN"/>
        </w:rPr>
        <w:t>中常诚凯工程管理有限公司</w:t>
      </w:r>
      <w:r>
        <w:rPr>
          <w:rFonts w:hint="eastAsia" w:ascii="宋体" w:hAnsi="宋体" w:eastAsia="宋体" w:cs="宋体"/>
          <w:sz w:val="32"/>
        </w:rPr>
        <w:t xml:space="preserve">  </w:t>
      </w:r>
    </w:p>
    <w:p>
      <w:pPr>
        <w:pageBreakBefore w:val="0"/>
        <w:kinsoku/>
        <w:bidi w:val="0"/>
        <w:spacing w:line="360" w:lineRule="auto"/>
        <w:jc w:val="center"/>
        <w:rPr>
          <w:rFonts w:hint="eastAsia" w:ascii="宋体" w:hAnsi="宋体" w:eastAsia="宋体" w:cs="宋体"/>
          <w:sz w:val="32"/>
        </w:rPr>
      </w:pPr>
      <w:r>
        <w:rPr>
          <w:rFonts w:hint="eastAsia" w:ascii="宋体" w:hAnsi="宋体" w:eastAsia="宋体" w:cs="宋体"/>
          <w:sz w:val="32"/>
        </w:rPr>
        <w:t>2022年</w:t>
      </w:r>
      <w:r>
        <w:rPr>
          <w:rFonts w:hint="eastAsia" w:ascii="宋体" w:hAnsi="宋体" w:cs="宋体"/>
          <w:sz w:val="32"/>
          <w:lang w:val="en-US" w:eastAsia="zh-CN"/>
        </w:rPr>
        <w:t>10</w:t>
      </w:r>
      <w:r>
        <w:rPr>
          <w:rFonts w:hint="eastAsia" w:ascii="宋体" w:hAnsi="宋体" w:eastAsia="宋体" w:cs="宋体"/>
          <w:sz w:val="32"/>
        </w:rPr>
        <w:t>月</w:t>
      </w:r>
    </w:p>
    <w:p>
      <w:pPr>
        <w:pageBreakBefore w:val="0"/>
        <w:kinsoku/>
        <w:bidi w:val="0"/>
        <w:spacing w:line="360" w:lineRule="auto"/>
        <w:jc w:val="center"/>
        <w:rPr>
          <w:rFonts w:hint="eastAsia" w:ascii="宋体" w:hAnsi="宋体" w:eastAsia="宋体" w:cs="宋体"/>
          <w:b/>
          <w:bCs/>
          <w:sz w:val="44"/>
          <w:szCs w:val="32"/>
        </w:rPr>
        <w:sectPr>
          <w:headerReference r:id="rId4" w:type="first"/>
          <w:headerReference r:id="rId3" w:type="default"/>
          <w:footerReference r:id="rId5" w:type="default"/>
          <w:pgSz w:w="11906" w:h="16838"/>
          <w:pgMar w:top="1440" w:right="1230" w:bottom="1440" w:left="1230" w:header="851" w:footer="760" w:gutter="0"/>
          <w:pgNumType w:fmt="numberInDash" w:start="1"/>
          <w:cols w:space="720" w:num="1"/>
          <w:titlePg/>
          <w:docGrid w:type="linesAndChars" w:linePitch="312" w:charSpace="0"/>
        </w:sectPr>
      </w:pPr>
    </w:p>
    <w:p>
      <w:pPr>
        <w:pageBreakBefore w:val="0"/>
        <w:kinsoku/>
        <w:bidi w:val="0"/>
        <w:spacing w:line="360" w:lineRule="auto"/>
        <w:jc w:val="center"/>
        <w:rPr>
          <w:rFonts w:hint="eastAsia" w:ascii="宋体" w:hAnsi="宋体" w:eastAsia="宋体" w:cs="宋体"/>
          <w:b/>
          <w:bCs/>
          <w:sz w:val="44"/>
          <w:szCs w:val="32"/>
        </w:rPr>
      </w:pPr>
      <w:r>
        <w:rPr>
          <w:rFonts w:hint="eastAsia" w:ascii="宋体" w:hAnsi="宋体" w:eastAsia="宋体" w:cs="宋体"/>
          <w:b/>
          <w:bCs/>
          <w:sz w:val="44"/>
          <w:szCs w:val="32"/>
        </w:rPr>
        <w:t>目  录</w:t>
      </w:r>
    </w:p>
    <w:p>
      <w:pPr>
        <w:pStyle w:val="30"/>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TOC \o "1-3" \h  \u </w:instrText>
      </w:r>
      <w:r>
        <w:rPr>
          <w:rFonts w:hint="eastAsia" w:ascii="宋体" w:hAnsi="宋体" w:eastAsia="宋体" w:cs="宋体"/>
          <w:b/>
          <w:bCs/>
          <w:szCs w:val="21"/>
        </w:rPr>
        <w:fldChar w:fldCharType="separate"/>
      </w: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_Toc14075 </w:instrText>
      </w:r>
      <w:r>
        <w:rPr>
          <w:rFonts w:hint="eastAsia" w:ascii="宋体" w:hAnsi="宋体" w:eastAsia="宋体" w:cs="宋体"/>
          <w:bCs/>
          <w:szCs w:val="21"/>
        </w:rPr>
        <w:fldChar w:fldCharType="separate"/>
      </w:r>
      <w:r>
        <w:rPr>
          <w:rFonts w:hint="eastAsia" w:ascii="宋体" w:hAnsi="宋体" w:eastAsia="宋体" w:cs="宋体"/>
          <w:szCs w:val="32"/>
        </w:rPr>
        <w:t>第一章 竞争性磋商公告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_Toc14075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szCs w:val="21"/>
        </w:rPr>
        <w:fldChar w:fldCharType="end"/>
      </w:r>
    </w:p>
    <w:p>
      <w:pPr>
        <w:pStyle w:val="30"/>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_Toc7105 </w:instrText>
      </w:r>
      <w:r>
        <w:rPr>
          <w:rFonts w:hint="eastAsia" w:ascii="宋体" w:hAnsi="宋体" w:eastAsia="宋体" w:cs="宋体"/>
          <w:bCs/>
          <w:szCs w:val="21"/>
        </w:rPr>
        <w:fldChar w:fldCharType="separate"/>
      </w:r>
      <w:r>
        <w:rPr>
          <w:rFonts w:hint="eastAsia" w:ascii="宋体" w:hAnsi="宋体" w:eastAsia="宋体" w:cs="宋体"/>
          <w:szCs w:val="32"/>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_Toc7105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szCs w:val="21"/>
        </w:rPr>
        <w:fldChar w:fldCharType="end"/>
      </w:r>
    </w:p>
    <w:p>
      <w:pPr>
        <w:pStyle w:val="22"/>
        <w:pageBreakBefore w:val="0"/>
        <w:tabs>
          <w:tab w:val="right" w:leader="dot" w:pos="9446"/>
        </w:tabs>
        <w:kinsoku/>
        <w:bidi w:val="0"/>
        <w:spacing w:line="360" w:lineRule="auto"/>
        <w:ind w:left="0" w:leftChars="0" w:firstLine="420" w:firstLineChars="200"/>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_Toc25474 </w:instrText>
      </w:r>
      <w:r>
        <w:rPr>
          <w:rFonts w:hint="eastAsia" w:ascii="宋体" w:hAnsi="宋体" w:eastAsia="宋体" w:cs="宋体"/>
          <w:bCs/>
          <w:szCs w:val="21"/>
        </w:rPr>
        <w:fldChar w:fldCharType="separate"/>
      </w:r>
      <w:r>
        <w:rPr>
          <w:rFonts w:hint="eastAsia" w:ascii="宋体" w:hAnsi="宋体" w:eastAsia="宋体" w:cs="宋体"/>
          <w:bCs/>
          <w:kern w:val="0"/>
          <w:szCs w:val="24"/>
        </w:rPr>
        <w:t>一、总 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_Toc25474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_Toc27890 </w:instrText>
      </w:r>
      <w:r>
        <w:rPr>
          <w:rFonts w:hint="eastAsia" w:ascii="宋体" w:hAnsi="宋体" w:eastAsia="宋体" w:cs="宋体"/>
          <w:bCs/>
          <w:szCs w:val="21"/>
        </w:rPr>
        <w:fldChar w:fldCharType="separate"/>
      </w:r>
      <w:r>
        <w:rPr>
          <w:rFonts w:hint="eastAsia" w:ascii="宋体" w:hAnsi="宋体" w:eastAsia="宋体" w:cs="宋体"/>
          <w:szCs w:val="36"/>
        </w:rPr>
        <w:t>二、磋商文件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_Toc27890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_Toc9656 </w:instrText>
      </w:r>
      <w:r>
        <w:rPr>
          <w:rFonts w:hint="eastAsia" w:ascii="宋体" w:hAnsi="宋体" w:eastAsia="宋体" w:cs="宋体"/>
          <w:bCs/>
          <w:szCs w:val="21"/>
        </w:rPr>
        <w:fldChar w:fldCharType="separate"/>
      </w:r>
      <w:r>
        <w:rPr>
          <w:rFonts w:hint="eastAsia" w:ascii="宋体" w:hAnsi="宋体" w:eastAsia="宋体" w:cs="宋体"/>
          <w:szCs w:val="36"/>
        </w:rPr>
        <w:t>三、响应文件的编制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_Toc9656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_Toc22169 </w:instrText>
      </w:r>
      <w:r>
        <w:rPr>
          <w:rFonts w:hint="eastAsia" w:ascii="宋体" w:hAnsi="宋体" w:eastAsia="宋体" w:cs="宋体"/>
          <w:bCs/>
          <w:szCs w:val="21"/>
        </w:rPr>
        <w:fldChar w:fldCharType="separate"/>
      </w:r>
      <w:r>
        <w:rPr>
          <w:rFonts w:hint="eastAsia" w:ascii="宋体" w:hAnsi="宋体" w:eastAsia="宋体" w:cs="宋体"/>
          <w:szCs w:val="36"/>
        </w:rPr>
        <w:t>四、响应文件的提交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_Toc22169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_Toc25353 </w:instrText>
      </w:r>
      <w:r>
        <w:rPr>
          <w:rFonts w:hint="eastAsia" w:ascii="宋体" w:hAnsi="宋体" w:eastAsia="宋体" w:cs="宋体"/>
          <w:bCs/>
          <w:szCs w:val="21"/>
        </w:rPr>
        <w:fldChar w:fldCharType="separate"/>
      </w:r>
      <w:r>
        <w:rPr>
          <w:rFonts w:hint="eastAsia" w:ascii="宋体" w:hAnsi="宋体" w:eastAsia="宋体" w:cs="宋体"/>
          <w:szCs w:val="36"/>
        </w:rPr>
        <w:t>五、磋商和评审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_Toc25353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_Toc3696 </w:instrText>
      </w:r>
      <w:r>
        <w:rPr>
          <w:rFonts w:hint="eastAsia" w:ascii="宋体" w:hAnsi="宋体" w:eastAsia="宋体" w:cs="宋体"/>
          <w:bCs/>
          <w:szCs w:val="21"/>
        </w:rPr>
        <w:fldChar w:fldCharType="separate"/>
      </w:r>
      <w:r>
        <w:rPr>
          <w:rFonts w:hint="eastAsia" w:ascii="宋体" w:hAnsi="宋体" w:eastAsia="宋体" w:cs="宋体"/>
          <w:szCs w:val="36"/>
        </w:rPr>
        <w:t>六、合同的授予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_Toc3696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szCs w:val="21"/>
        </w:rPr>
        <w:fldChar w:fldCharType="end"/>
      </w:r>
    </w:p>
    <w:p>
      <w:pPr>
        <w:pStyle w:val="30"/>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_Toc20548 </w:instrText>
      </w:r>
      <w:r>
        <w:rPr>
          <w:rFonts w:hint="eastAsia" w:ascii="宋体" w:hAnsi="宋体" w:eastAsia="宋体" w:cs="宋体"/>
          <w:bCs/>
          <w:szCs w:val="21"/>
        </w:rPr>
        <w:fldChar w:fldCharType="separate"/>
      </w:r>
      <w:r>
        <w:rPr>
          <w:rFonts w:hint="eastAsia" w:ascii="宋体" w:hAnsi="宋体" w:eastAsia="宋体" w:cs="宋体"/>
          <w:szCs w:val="32"/>
        </w:rPr>
        <w:t>第三章 评审办法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_Toc20548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szCs w:val="21"/>
        </w:rPr>
        <w:fldChar w:fldCharType="end"/>
      </w:r>
    </w:p>
    <w:p>
      <w:pPr>
        <w:pStyle w:val="30"/>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_Toc23582 </w:instrText>
      </w:r>
      <w:r>
        <w:rPr>
          <w:rFonts w:hint="eastAsia" w:ascii="宋体" w:hAnsi="宋体" w:eastAsia="宋体" w:cs="宋体"/>
          <w:bCs/>
          <w:szCs w:val="21"/>
        </w:rPr>
        <w:fldChar w:fldCharType="separate"/>
      </w:r>
      <w:r>
        <w:rPr>
          <w:rFonts w:hint="eastAsia" w:ascii="宋体" w:hAnsi="宋体" w:eastAsia="宋体" w:cs="宋体"/>
          <w:szCs w:val="32"/>
        </w:rPr>
        <w:t>第四章 合同条款及格式</w:t>
      </w:r>
      <w:r>
        <w:rPr>
          <w:rFonts w:hint="eastAsia" w:ascii="宋体" w:hAnsi="宋体" w:eastAsia="宋体" w:cs="宋体"/>
          <w:szCs w:val="32"/>
          <w:lang w:eastAsia="zh-CN"/>
        </w:rPr>
        <w:t>（参考）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_Toc23582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bCs/>
          <w:szCs w:val="21"/>
        </w:rPr>
        <w:fldChar w:fldCharType="end"/>
      </w:r>
    </w:p>
    <w:p>
      <w:pPr>
        <w:pStyle w:val="30"/>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_Toc8701 </w:instrText>
      </w:r>
      <w:r>
        <w:rPr>
          <w:rFonts w:hint="eastAsia" w:ascii="宋体" w:hAnsi="宋体" w:eastAsia="宋体" w:cs="宋体"/>
          <w:bCs/>
          <w:szCs w:val="21"/>
        </w:rPr>
        <w:fldChar w:fldCharType="separate"/>
      </w:r>
      <w:r>
        <w:rPr>
          <w:rFonts w:hint="eastAsia" w:ascii="宋体" w:hAnsi="宋体" w:eastAsia="宋体" w:cs="宋体"/>
          <w:szCs w:val="32"/>
        </w:rPr>
        <w:t>第五章</w:t>
      </w:r>
      <w:r>
        <w:rPr>
          <w:rFonts w:hint="eastAsia" w:ascii="宋体" w:hAnsi="宋体" w:eastAsia="宋体" w:cs="宋体"/>
          <w:szCs w:val="32"/>
          <w:lang w:val="en-US" w:eastAsia="zh-CN"/>
        </w:rPr>
        <w:t xml:space="preserve"> </w:t>
      </w:r>
      <w:r>
        <w:rPr>
          <w:rFonts w:hint="eastAsia" w:ascii="宋体" w:hAnsi="宋体" w:eastAsia="宋体" w:cs="宋体"/>
          <w:szCs w:val="32"/>
          <w:lang w:val="en-US" w:eastAsia="zh-Hans"/>
        </w:rPr>
        <w:t>采</w:t>
      </w:r>
      <w:r>
        <w:rPr>
          <w:rFonts w:hint="eastAsia" w:ascii="宋体" w:hAnsi="宋体" w:eastAsia="宋体" w:cs="宋体"/>
          <w:szCs w:val="32"/>
          <w:lang w:val="en-US" w:eastAsia="zh-CN"/>
        </w:rPr>
        <w:t>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_Toc8701 \h </w:instrText>
      </w:r>
      <w:r>
        <w:rPr>
          <w:rFonts w:hint="eastAsia" w:ascii="宋体" w:hAnsi="宋体" w:eastAsia="宋体" w:cs="宋体"/>
        </w:rPr>
        <w:fldChar w:fldCharType="separate"/>
      </w:r>
      <w:r>
        <w:rPr>
          <w:rFonts w:hint="eastAsia" w:ascii="宋体" w:hAnsi="宋体" w:eastAsia="宋体" w:cs="宋体"/>
        </w:rPr>
        <w:t>- 62 -</w:t>
      </w:r>
      <w:r>
        <w:rPr>
          <w:rFonts w:hint="eastAsia" w:ascii="宋体" w:hAnsi="宋体" w:eastAsia="宋体" w:cs="宋体"/>
        </w:rPr>
        <w:fldChar w:fldCharType="end"/>
      </w:r>
      <w:r>
        <w:rPr>
          <w:rFonts w:hint="eastAsia" w:ascii="宋体" w:hAnsi="宋体" w:eastAsia="宋体" w:cs="宋体"/>
          <w:bCs/>
          <w:szCs w:val="21"/>
        </w:rPr>
        <w:fldChar w:fldCharType="end"/>
      </w:r>
    </w:p>
    <w:p>
      <w:pPr>
        <w:pStyle w:val="30"/>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_Toc30379 </w:instrText>
      </w:r>
      <w:r>
        <w:rPr>
          <w:rFonts w:hint="eastAsia" w:ascii="宋体" w:hAnsi="宋体" w:eastAsia="宋体" w:cs="宋体"/>
          <w:bCs/>
          <w:szCs w:val="21"/>
        </w:rPr>
        <w:fldChar w:fldCharType="separate"/>
      </w:r>
      <w:r>
        <w:rPr>
          <w:rFonts w:hint="eastAsia" w:ascii="宋体" w:hAnsi="宋体" w:eastAsia="宋体" w:cs="宋体"/>
          <w:szCs w:val="32"/>
        </w:rPr>
        <w:t>第</w:t>
      </w:r>
      <w:r>
        <w:rPr>
          <w:rFonts w:hint="eastAsia" w:ascii="宋体" w:hAnsi="宋体" w:eastAsia="宋体" w:cs="宋体"/>
          <w:szCs w:val="32"/>
          <w:lang w:eastAsia="zh-CN"/>
        </w:rPr>
        <w:t>六</w:t>
      </w:r>
      <w:r>
        <w:rPr>
          <w:rFonts w:hint="eastAsia" w:ascii="宋体" w:hAnsi="宋体" w:eastAsia="宋体" w:cs="宋体"/>
          <w:szCs w:val="32"/>
        </w:rPr>
        <w:t>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_Toc30379 \h </w:instrText>
      </w:r>
      <w:r>
        <w:rPr>
          <w:rFonts w:hint="eastAsia" w:ascii="宋体" w:hAnsi="宋体" w:eastAsia="宋体" w:cs="宋体"/>
        </w:rPr>
        <w:fldChar w:fldCharType="separate"/>
      </w:r>
      <w:r>
        <w:rPr>
          <w:rFonts w:hint="eastAsia" w:ascii="宋体" w:hAnsi="宋体" w:eastAsia="宋体" w:cs="宋体"/>
        </w:rPr>
        <w:t>- 63 -</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_Toc20132 </w:instrText>
      </w:r>
      <w:r>
        <w:rPr>
          <w:rFonts w:hint="eastAsia" w:ascii="宋体" w:hAnsi="宋体" w:eastAsia="宋体" w:cs="宋体"/>
          <w:bCs/>
          <w:szCs w:val="21"/>
        </w:rPr>
        <w:fldChar w:fldCharType="separate"/>
      </w:r>
      <w:r>
        <w:rPr>
          <w:rFonts w:hint="eastAsia" w:ascii="宋体" w:hAnsi="宋体" w:eastAsia="宋体" w:cs="宋体"/>
          <w:bCs/>
          <w:kern w:val="0"/>
          <w:szCs w:val="24"/>
        </w:rPr>
        <w:t>一、磋商函及磋商报表价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_Toc20132 \h </w:instrText>
      </w:r>
      <w:r>
        <w:rPr>
          <w:rFonts w:hint="eastAsia" w:ascii="宋体" w:hAnsi="宋体" w:eastAsia="宋体" w:cs="宋体"/>
        </w:rPr>
        <w:fldChar w:fldCharType="separate"/>
      </w:r>
      <w:r>
        <w:rPr>
          <w:rFonts w:hint="eastAsia" w:ascii="宋体" w:hAnsi="宋体" w:eastAsia="宋体" w:cs="宋体"/>
        </w:rPr>
        <w:t>- 64 -</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_Toc2272 </w:instrText>
      </w:r>
      <w:r>
        <w:rPr>
          <w:rFonts w:hint="eastAsia" w:ascii="宋体" w:hAnsi="宋体" w:eastAsia="宋体" w:cs="宋体"/>
          <w:bCs/>
          <w:szCs w:val="21"/>
        </w:rPr>
        <w:fldChar w:fldCharType="separate"/>
      </w:r>
      <w:r>
        <w:rPr>
          <w:rFonts w:hint="eastAsia" w:ascii="宋体" w:hAnsi="宋体" w:eastAsia="宋体" w:cs="宋体"/>
          <w:bCs/>
          <w:kern w:val="0"/>
          <w:szCs w:val="24"/>
        </w:rPr>
        <w:t>二、法定代表人身份证明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_Toc2272 \h </w:instrText>
      </w:r>
      <w:r>
        <w:rPr>
          <w:rFonts w:hint="eastAsia" w:ascii="宋体" w:hAnsi="宋体" w:eastAsia="宋体" w:cs="宋体"/>
        </w:rPr>
        <w:fldChar w:fldCharType="separate"/>
      </w:r>
      <w:r>
        <w:rPr>
          <w:rFonts w:hint="eastAsia" w:ascii="宋体" w:hAnsi="宋体" w:eastAsia="宋体" w:cs="宋体"/>
        </w:rPr>
        <w:t>- 66 -</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_Toc1833 </w:instrText>
      </w:r>
      <w:r>
        <w:rPr>
          <w:rFonts w:hint="eastAsia" w:ascii="宋体" w:hAnsi="宋体" w:eastAsia="宋体" w:cs="宋体"/>
          <w:bCs/>
          <w:szCs w:val="21"/>
        </w:rPr>
        <w:fldChar w:fldCharType="separate"/>
      </w:r>
      <w:r>
        <w:rPr>
          <w:rFonts w:hint="eastAsia" w:ascii="宋体" w:hAnsi="宋体" w:eastAsia="宋体" w:cs="宋体"/>
          <w:bCs/>
          <w:kern w:val="0"/>
          <w:szCs w:val="24"/>
        </w:rPr>
        <w:t>三、授权委托书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_Toc1833 \h </w:instrText>
      </w:r>
      <w:r>
        <w:rPr>
          <w:rFonts w:hint="eastAsia" w:ascii="宋体" w:hAnsi="宋体" w:eastAsia="宋体" w:cs="宋体"/>
        </w:rPr>
        <w:fldChar w:fldCharType="separate"/>
      </w:r>
      <w:r>
        <w:rPr>
          <w:rFonts w:hint="eastAsia" w:ascii="宋体" w:hAnsi="宋体" w:eastAsia="宋体" w:cs="宋体"/>
        </w:rPr>
        <w:t>- 67 -</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_Toc27395 </w:instrText>
      </w:r>
      <w:r>
        <w:rPr>
          <w:rFonts w:hint="eastAsia" w:ascii="宋体" w:hAnsi="宋体" w:eastAsia="宋体" w:cs="宋体"/>
          <w:bCs/>
          <w:szCs w:val="21"/>
        </w:rPr>
        <w:fldChar w:fldCharType="separate"/>
      </w:r>
      <w:r>
        <w:rPr>
          <w:rFonts w:hint="eastAsia" w:ascii="宋体" w:hAnsi="宋体" w:eastAsia="宋体" w:cs="宋体"/>
          <w:bCs w:val="0"/>
          <w:szCs w:val="28"/>
        </w:rPr>
        <w:t>五、资格审查资料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_Toc27395 \h </w:instrText>
      </w:r>
      <w:r>
        <w:rPr>
          <w:rFonts w:hint="eastAsia" w:ascii="宋体" w:hAnsi="宋体" w:eastAsia="宋体" w:cs="宋体"/>
        </w:rPr>
        <w:fldChar w:fldCharType="separate"/>
      </w:r>
      <w:r>
        <w:rPr>
          <w:rFonts w:hint="eastAsia" w:ascii="宋体" w:hAnsi="宋体" w:eastAsia="宋体" w:cs="宋体"/>
        </w:rPr>
        <w:t>- 70 -</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_Toc12866 </w:instrText>
      </w:r>
      <w:r>
        <w:rPr>
          <w:rFonts w:hint="eastAsia" w:ascii="宋体" w:hAnsi="宋体" w:eastAsia="宋体" w:cs="宋体"/>
          <w:bCs/>
          <w:szCs w:val="21"/>
        </w:rPr>
        <w:fldChar w:fldCharType="separate"/>
      </w:r>
      <w:r>
        <w:rPr>
          <w:rFonts w:hint="eastAsia" w:ascii="宋体" w:hAnsi="宋体" w:eastAsia="宋体" w:cs="宋体"/>
          <w:kern w:val="0"/>
          <w:szCs w:val="24"/>
        </w:rPr>
        <w:t>六、</w:t>
      </w:r>
      <w:r>
        <w:rPr>
          <w:rFonts w:hint="eastAsia" w:ascii="宋体" w:hAnsi="宋体" w:eastAsia="宋体" w:cs="宋体"/>
          <w:szCs w:val="24"/>
        </w:rPr>
        <w:t>无行贿犯罪记录承诺书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_Toc12866 \h </w:instrText>
      </w:r>
      <w:r>
        <w:rPr>
          <w:rFonts w:hint="eastAsia" w:ascii="宋体" w:hAnsi="宋体" w:eastAsia="宋体" w:cs="宋体"/>
        </w:rPr>
        <w:fldChar w:fldCharType="separate"/>
      </w:r>
      <w:r>
        <w:rPr>
          <w:rFonts w:hint="eastAsia" w:ascii="宋体" w:hAnsi="宋体" w:eastAsia="宋体" w:cs="宋体"/>
        </w:rPr>
        <w:t>- 74 -</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_Toc5971 </w:instrText>
      </w:r>
      <w:r>
        <w:rPr>
          <w:rFonts w:hint="eastAsia" w:ascii="宋体" w:hAnsi="宋体" w:eastAsia="宋体" w:cs="宋体"/>
          <w:bCs/>
          <w:szCs w:val="21"/>
        </w:rPr>
        <w:fldChar w:fldCharType="separate"/>
      </w:r>
      <w:r>
        <w:rPr>
          <w:rFonts w:hint="eastAsia" w:ascii="宋体" w:hAnsi="宋体" w:eastAsia="宋体" w:cs="宋体"/>
          <w:kern w:val="0"/>
          <w:szCs w:val="24"/>
        </w:rPr>
        <w:t>七、磋商保证金承诺书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_Toc5971 \h </w:instrText>
      </w:r>
      <w:r>
        <w:rPr>
          <w:rFonts w:hint="eastAsia" w:ascii="宋体" w:hAnsi="宋体" w:eastAsia="宋体" w:cs="宋体"/>
        </w:rPr>
        <w:fldChar w:fldCharType="separate"/>
      </w:r>
      <w:r>
        <w:rPr>
          <w:rFonts w:hint="eastAsia" w:ascii="宋体" w:hAnsi="宋体" w:eastAsia="宋体" w:cs="宋体"/>
        </w:rPr>
        <w:t>- 75 -</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_Toc15908 </w:instrText>
      </w:r>
      <w:r>
        <w:rPr>
          <w:rFonts w:hint="eastAsia" w:ascii="宋体" w:hAnsi="宋体" w:eastAsia="宋体" w:cs="宋体"/>
          <w:bCs/>
          <w:szCs w:val="21"/>
        </w:rPr>
        <w:fldChar w:fldCharType="separate"/>
      </w:r>
      <w:r>
        <w:rPr>
          <w:rFonts w:hint="eastAsia" w:ascii="宋体" w:hAnsi="宋体" w:eastAsia="宋体" w:cs="宋体"/>
          <w:bCs/>
          <w:kern w:val="0"/>
          <w:szCs w:val="24"/>
        </w:rPr>
        <w:t>八、</w:t>
      </w:r>
      <w:r>
        <w:rPr>
          <w:rFonts w:hint="eastAsia" w:ascii="宋体" w:hAnsi="宋体" w:eastAsia="宋体" w:cs="宋体"/>
          <w:bCs/>
          <w:kern w:val="0"/>
          <w:szCs w:val="24"/>
          <w:lang w:eastAsia="zh-CN"/>
        </w:rPr>
        <w:t>施工组织设计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_Toc15908 \h </w:instrText>
      </w:r>
      <w:r>
        <w:rPr>
          <w:rFonts w:hint="eastAsia" w:ascii="宋体" w:hAnsi="宋体" w:eastAsia="宋体" w:cs="宋体"/>
        </w:rPr>
        <w:fldChar w:fldCharType="separate"/>
      </w:r>
      <w:r>
        <w:rPr>
          <w:rFonts w:hint="eastAsia" w:ascii="宋体" w:hAnsi="宋体" w:eastAsia="宋体" w:cs="宋体"/>
        </w:rPr>
        <w:t>- 76 -</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_Toc29784 </w:instrText>
      </w:r>
      <w:r>
        <w:rPr>
          <w:rFonts w:hint="eastAsia" w:ascii="宋体" w:hAnsi="宋体" w:eastAsia="宋体" w:cs="宋体"/>
          <w:bCs/>
          <w:szCs w:val="21"/>
        </w:rPr>
        <w:fldChar w:fldCharType="separate"/>
      </w:r>
      <w:r>
        <w:rPr>
          <w:rFonts w:hint="eastAsia" w:ascii="宋体" w:hAnsi="宋体" w:eastAsia="宋体" w:cs="宋体"/>
          <w:bCs/>
          <w:kern w:val="0"/>
          <w:szCs w:val="24"/>
        </w:rPr>
        <w:t>九、焦作市政府采购供应商资格信用承诺函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_Toc29784 \h </w:instrText>
      </w:r>
      <w:r>
        <w:rPr>
          <w:rFonts w:hint="eastAsia" w:ascii="宋体" w:hAnsi="宋体" w:eastAsia="宋体" w:cs="宋体"/>
        </w:rPr>
        <w:fldChar w:fldCharType="separate"/>
      </w:r>
      <w:r>
        <w:rPr>
          <w:rFonts w:hint="eastAsia" w:ascii="宋体" w:hAnsi="宋体" w:eastAsia="宋体" w:cs="宋体"/>
        </w:rPr>
        <w:t>- 77 -</w:t>
      </w:r>
      <w:r>
        <w:rPr>
          <w:rFonts w:hint="eastAsia" w:ascii="宋体" w:hAnsi="宋体" w:eastAsia="宋体" w:cs="宋体"/>
        </w:rPr>
        <w:fldChar w:fldCharType="end"/>
      </w:r>
      <w:r>
        <w:rPr>
          <w:rFonts w:hint="eastAsia" w:ascii="宋体" w:hAnsi="宋体" w:eastAsia="宋体" w:cs="宋体"/>
          <w:bCs/>
          <w:szCs w:val="21"/>
        </w:rPr>
        <w:fldChar w:fldCharType="end"/>
      </w:r>
    </w:p>
    <w:p>
      <w:pPr>
        <w:pStyle w:val="35"/>
        <w:pageBreakBefore w:val="0"/>
        <w:tabs>
          <w:tab w:val="right" w:leader="dot" w:pos="9446"/>
        </w:tabs>
        <w:kinsoku/>
        <w:bidi w:val="0"/>
        <w:spacing w:line="360" w:lineRule="auto"/>
        <w:rPr>
          <w:rFonts w:hint="eastAsia" w:ascii="宋体" w:hAnsi="宋体" w:eastAsia="宋体" w:cs="宋体"/>
        </w:rPr>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_Toc3002 </w:instrText>
      </w:r>
      <w:r>
        <w:rPr>
          <w:rFonts w:hint="eastAsia" w:ascii="宋体" w:hAnsi="宋体" w:eastAsia="宋体" w:cs="宋体"/>
          <w:bCs/>
          <w:szCs w:val="21"/>
        </w:rPr>
        <w:fldChar w:fldCharType="separate"/>
      </w:r>
      <w:r>
        <w:rPr>
          <w:rFonts w:hint="eastAsia" w:ascii="宋体" w:hAnsi="宋体" w:eastAsia="宋体" w:cs="宋体"/>
          <w:bCs/>
          <w:kern w:val="0"/>
          <w:szCs w:val="24"/>
        </w:rPr>
        <w:t>十、磋商文件要求的或供应商认为需要加以说明的其他内容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_Toc3002 \h </w:instrText>
      </w:r>
      <w:r>
        <w:rPr>
          <w:rFonts w:hint="eastAsia" w:ascii="宋体" w:hAnsi="宋体" w:eastAsia="宋体" w:cs="宋体"/>
        </w:rPr>
        <w:fldChar w:fldCharType="separate"/>
      </w:r>
      <w:r>
        <w:rPr>
          <w:rFonts w:hint="eastAsia" w:ascii="宋体" w:hAnsi="宋体" w:eastAsia="宋体" w:cs="宋体"/>
        </w:rPr>
        <w:t>- 78 -</w:t>
      </w:r>
      <w:r>
        <w:rPr>
          <w:rFonts w:hint="eastAsia" w:ascii="宋体" w:hAnsi="宋体" w:eastAsia="宋体" w:cs="宋体"/>
        </w:rPr>
        <w:fldChar w:fldCharType="end"/>
      </w:r>
      <w:r>
        <w:rPr>
          <w:rFonts w:hint="eastAsia" w:ascii="宋体" w:hAnsi="宋体" w:eastAsia="宋体" w:cs="宋体"/>
          <w:bCs/>
          <w:szCs w:val="21"/>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sectPr>
          <w:footerReference r:id="rId7" w:type="first"/>
          <w:footerReference r:id="rId6" w:type="default"/>
          <w:pgSz w:w="11906" w:h="16838"/>
          <w:pgMar w:top="1440" w:right="1230" w:bottom="1440" w:left="1230" w:header="851" w:footer="760" w:gutter="0"/>
          <w:pgNumType w:fmt="numberInDash" w:start="1"/>
          <w:cols w:space="720" w:num="1"/>
          <w:docGrid w:type="linesAndChars" w:linePitch="312" w:charSpace="0"/>
        </w:sectPr>
      </w:pPr>
      <w:r>
        <w:rPr>
          <w:rFonts w:hint="eastAsia" w:ascii="宋体" w:hAnsi="宋体" w:eastAsia="宋体" w:cs="宋体"/>
          <w:bCs/>
          <w:szCs w:val="21"/>
        </w:rPr>
        <w:fldChar w:fldCharType="end"/>
      </w:r>
      <w:bookmarkStart w:id="0" w:name="_Toc12338"/>
    </w:p>
    <w:p>
      <w:pPr>
        <w:pStyle w:val="4"/>
        <w:pageBreakBefore w:val="0"/>
        <w:kinsoku/>
        <w:bidi w:val="0"/>
        <w:spacing w:before="0" w:after="0" w:line="360" w:lineRule="auto"/>
        <w:rPr>
          <w:rFonts w:hint="eastAsia" w:ascii="宋体" w:hAnsi="宋体" w:eastAsia="宋体" w:cs="宋体"/>
          <w:sz w:val="32"/>
          <w:szCs w:val="32"/>
        </w:rPr>
      </w:pPr>
      <w:bookmarkStart w:id="1" w:name="_Toc14075"/>
      <w:r>
        <w:rPr>
          <w:rFonts w:hint="eastAsia" w:ascii="宋体" w:hAnsi="宋体" w:eastAsia="宋体" w:cs="宋体"/>
          <w:sz w:val="32"/>
          <w:szCs w:val="32"/>
        </w:rPr>
        <w:t xml:space="preserve">第一章  </w:t>
      </w:r>
      <w:bookmarkEnd w:id="0"/>
      <w:r>
        <w:rPr>
          <w:rFonts w:hint="eastAsia" w:ascii="宋体" w:hAnsi="宋体" w:eastAsia="宋体" w:cs="宋体"/>
          <w:sz w:val="32"/>
          <w:szCs w:val="32"/>
        </w:rPr>
        <w:t>竞争性磋商公告</w:t>
      </w:r>
      <w:bookmarkEnd w:id="1"/>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0"/>
          <w:szCs w:val="21"/>
          <w:shd w:val="clear" w:color="auto" w:fill="FFFFFF"/>
        </w:rPr>
      </w:pPr>
      <w:bookmarkStart w:id="2" w:name="_Toc20619"/>
      <w:r>
        <w:rPr>
          <w:rFonts w:hint="eastAsia" w:ascii="宋体" w:hAnsi="宋体" w:eastAsia="宋体" w:cs="宋体"/>
          <w:b/>
          <w:bCs/>
          <w:kern w:val="0"/>
          <w:szCs w:val="21"/>
          <w:shd w:val="clear" w:color="auto" w:fill="FFFFFF"/>
        </w:rPr>
        <w:t>一、磋商条件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本磋商项目“</w:t>
      </w:r>
      <w:r>
        <w:rPr>
          <w:rFonts w:hint="eastAsia" w:ascii="宋体" w:hAnsi="宋体" w:cs="宋体"/>
          <w:kern w:val="0"/>
          <w:szCs w:val="21"/>
          <w:shd w:val="clear" w:color="auto" w:fill="FFFFFF"/>
          <w:lang w:eastAsia="zh-CN"/>
        </w:rPr>
        <w:t>S308武济线总干桥桥梁加固工程施工招标项目</w:t>
      </w:r>
      <w:r>
        <w:rPr>
          <w:rFonts w:hint="eastAsia" w:ascii="宋体" w:hAnsi="宋体" w:eastAsia="宋体" w:cs="宋体"/>
          <w:kern w:val="0"/>
          <w:szCs w:val="21"/>
          <w:shd w:val="clear" w:color="auto" w:fill="FFFFFF"/>
        </w:rPr>
        <w:t>”已由相关部门批准建设，</w:t>
      </w:r>
      <w:r>
        <w:rPr>
          <w:rFonts w:hint="eastAsia" w:ascii="宋体" w:hAnsi="宋体" w:cs="宋体"/>
          <w:kern w:val="0"/>
          <w:szCs w:val="21"/>
          <w:shd w:val="clear" w:color="auto" w:fill="FFFFFF"/>
          <w:lang w:eastAsia="zh-CN"/>
        </w:rPr>
        <w:t>采购人为武陟县公路局，</w:t>
      </w:r>
      <w:r>
        <w:rPr>
          <w:rFonts w:hint="eastAsia" w:ascii="宋体" w:hAnsi="宋体" w:eastAsia="宋体" w:cs="宋体"/>
          <w:kern w:val="0"/>
          <w:szCs w:val="21"/>
          <w:shd w:val="clear" w:color="auto" w:fill="FFFFFF"/>
        </w:rPr>
        <w:t>建设资金已落实，委托</w:t>
      </w:r>
      <w:r>
        <w:rPr>
          <w:rFonts w:hint="eastAsia" w:ascii="宋体" w:hAnsi="宋体" w:cs="宋体"/>
          <w:kern w:val="0"/>
          <w:szCs w:val="21"/>
          <w:shd w:val="clear" w:color="auto" w:fill="FFFFFF"/>
          <w:lang w:eastAsia="zh-CN"/>
        </w:rPr>
        <w:t>中常诚凯工程管理有限公司</w:t>
      </w:r>
      <w:r>
        <w:rPr>
          <w:rFonts w:hint="eastAsia" w:ascii="宋体" w:hAnsi="宋体" w:eastAsia="宋体" w:cs="宋体"/>
          <w:kern w:val="0"/>
          <w:szCs w:val="21"/>
          <w:shd w:val="clear" w:color="auto" w:fill="FFFFFF"/>
        </w:rPr>
        <w:t>代理本项目磋商事宜。项目已具备磋商条件，现对该项目进行竞争性磋商。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二、项目概况与磋商范围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rPr>
        <w:t>2.1、项目名称：</w:t>
      </w:r>
      <w:r>
        <w:rPr>
          <w:rFonts w:hint="eastAsia" w:ascii="宋体" w:hAnsi="宋体" w:cs="宋体"/>
          <w:kern w:val="0"/>
          <w:szCs w:val="21"/>
          <w:shd w:val="clear" w:color="auto" w:fill="FFFFFF"/>
          <w:lang w:eastAsia="zh-CN"/>
        </w:rPr>
        <w:t>S308武济线总干桥桥梁加固工程施工招标项目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Cs w:val="21"/>
          <w:highlight w:val="yellow"/>
          <w:shd w:val="clear" w:color="auto" w:fill="FFFFFF"/>
        </w:rPr>
      </w:pPr>
      <w:r>
        <w:rPr>
          <w:rFonts w:hint="eastAsia" w:ascii="宋体" w:hAnsi="宋体" w:eastAsia="宋体" w:cs="宋体"/>
          <w:kern w:val="0"/>
          <w:szCs w:val="21"/>
          <w:shd w:val="clear" w:color="auto" w:fill="FFFFFF"/>
        </w:rPr>
        <w:t>2.2、</w:t>
      </w:r>
      <w:r>
        <w:rPr>
          <w:rFonts w:hint="eastAsia" w:ascii="宋体" w:hAnsi="宋体" w:eastAsia="宋体" w:cs="宋体"/>
          <w:kern w:val="0"/>
          <w:szCs w:val="21"/>
          <w:shd w:val="clear" w:color="auto" w:fill="FFFFFF"/>
          <w:lang w:eastAsia="zh-CN"/>
        </w:rPr>
        <w:t>采购</w:t>
      </w:r>
      <w:r>
        <w:rPr>
          <w:rFonts w:hint="eastAsia" w:ascii="宋体" w:hAnsi="宋体" w:eastAsia="宋体" w:cs="宋体"/>
          <w:kern w:val="0"/>
          <w:szCs w:val="21"/>
          <w:shd w:val="clear" w:color="auto" w:fill="FFFFFF"/>
        </w:rPr>
        <w:t>编号：武政磋商采购【2022】</w:t>
      </w:r>
      <w:r>
        <w:rPr>
          <w:rFonts w:hint="eastAsia" w:ascii="宋体" w:hAnsi="宋体" w:eastAsia="宋体" w:cs="宋体"/>
          <w:kern w:val="0"/>
          <w:szCs w:val="21"/>
          <w:shd w:val="clear" w:color="auto" w:fill="FFFFFF"/>
          <w:lang w:val="en-US" w:eastAsia="zh-CN"/>
        </w:rPr>
        <w:t>00</w:t>
      </w:r>
      <w:r>
        <w:rPr>
          <w:rFonts w:hint="eastAsia" w:ascii="宋体" w:hAnsi="宋体" w:cs="宋体"/>
          <w:kern w:val="0"/>
          <w:szCs w:val="21"/>
          <w:shd w:val="clear" w:color="auto" w:fill="FFFFFF"/>
          <w:lang w:val="en-US" w:eastAsia="zh-CN"/>
        </w:rPr>
        <w:t>9</w:t>
      </w:r>
      <w:r>
        <w:rPr>
          <w:rFonts w:hint="eastAsia" w:ascii="宋体" w:hAnsi="宋体" w:eastAsia="宋体" w:cs="宋体"/>
          <w:kern w:val="0"/>
          <w:szCs w:val="21"/>
          <w:shd w:val="clear" w:color="auto" w:fill="FFFFFF"/>
          <w:lang w:val="en-US" w:eastAsia="zh-CN"/>
        </w:rPr>
        <w:t>号</w:t>
      </w:r>
      <w:r>
        <w:rPr>
          <w:rFonts w:hint="eastAsia" w:ascii="宋体" w:hAnsi="宋体" w:eastAsia="宋体" w:cs="宋体"/>
          <w:kern w:val="0"/>
          <w:szCs w:val="21"/>
          <w:shd w:val="clear" w:color="auto" w:fill="FFFFFF"/>
          <w:lang w:eastAsia="zh-CN"/>
        </w:rPr>
        <w:t xml:space="preserve">        </w:t>
      </w:r>
      <w:r>
        <w:rPr>
          <w:rFonts w:hint="eastAsia" w:ascii="宋体" w:hAnsi="宋体" w:eastAsia="宋体" w:cs="宋体"/>
          <w:szCs w:val="21"/>
        </w:rPr>
        <w:t>交易编号：</w:t>
      </w:r>
      <w:r>
        <w:rPr>
          <w:rFonts w:hint="eastAsia" w:ascii="宋体" w:hAnsi="宋体" w:eastAsia="宋体" w:cs="宋体"/>
          <w:szCs w:val="21"/>
          <w:highlight w:val="none"/>
        </w:rPr>
        <w:t>武交工JZCS2022-</w:t>
      </w:r>
      <w:r>
        <w:rPr>
          <w:rFonts w:hint="eastAsia" w:ascii="宋体" w:hAnsi="宋体" w:cs="宋体"/>
          <w:szCs w:val="21"/>
          <w:highlight w:val="none"/>
          <w:lang w:val="en-US" w:eastAsia="zh-CN"/>
        </w:rPr>
        <w:t>007</w:t>
      </w:r>
      <w:r>
        <w:rPr>
          <w:rFonts w:hint="eastAsia" w:ascii="宋体" w:hAnsi="宋体" w:eastAsia="宋体" w:cs="宋体"/>
          <w:szCs w:val="21"/>
          <w:highlight w:val="none"/>
        </w:rPr>
        <w:t>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2.3、采购方式：竞争性磋商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val="en-US" w:eastAsia="zh-CN"/>
        </w:rPr>
      </w:pPr>
      <w:r>
        <w:rPr>
          <w:rFonts w:hint="eastAsia" w:ascii="宋体" w:hAnsi="宋体" w:eastAsia="宋体" w:cs="宋体"/>
          <w:kern w:val="0"/>
          <w:szCs w:val="21"/>
          <w:shd w:val="clear" w:color="auto" w:fill="FFFFFF"/>
        </w:rPr>
        <w:t>2.4、</w:t>
      </w:r>
      <w:r>
        <w:rPr>
          <w:rFonts w:hint="eastAsia" w:ascii="宋体" w:hAnsi="宋体" w:eastAsia="宋体" w:cs="宋体"/>
          <w:kern w:val="0"/>
          <w:szCs w:val="21"/>
          <w:shd w:val="clear" w:color="auto" w:fill="FFFFFF"/>
          <w:lang w:eastAsia="zh-CN"/>
        </w:rPr>
        <w:t>预算金额</w:t>
      </w:r>
      <w:r>
        <w:rPr>
          <w:rFonts w:hint="eastAsia" w:ascii="宋体" w:hAnsi="宋体" w:eastAsia="宋体" w:cs="宋体"/>
          <w:kern w:val="0"/>
          <w:szCs w:val="21"/>
          <w:shd w:val="clear" w:color="auto" w:fill="FFFFFF"/>
        </w:rPr>
        <w:t>：</w:t>
      </w:r>
      <w:r>
        <w:rPr>
          <w:rFonts w:hint="eastAsia" w:ascii="宋体" w:hAnsi="宋体" w:cs="宋体"/>
          <w:kern w:val="0"/>
          <w:szCs w:val="21"/>
          <w:shd w:val="clear" w:color="auto" w:fill="FFFFFF"/>
          <w:lang w:val="en-US" w:eastAsia="zh-CN"/>
        </w:rPr>
        <w:t>2040788.13</w:t>
      </w:r>
      <w:r>
        <w:rPr>
          <w:rFonts w:hint="eastAsia" w:ascii="宋体" w:hAnsi="宋体" w:eastAsia="宋体" w:cs="宋体"/>
          <w:kern w:val="0"/>
          <w:szCs w:val="21"/>
          <w:shd w:val="clear" w:color="auto" w:fill="FFFFFF"/>
        </w:rPr>
        <w:t>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2.5、资金来源：</w:t>
      </w:r>
      <w:r>
        <w:rPr>
          <w:rFonts w:hint="eastAsia" w:ascii="宋体" w:hAnsi="宋体" w:cs="宋体"/>
          <w:kern w:val="0"/>
          <w:szCs w:val="21"/>
          <w:shd w:val="clear" w:color="auto" w:fill="FFFFFF"/>
          <w:lang w:eastAsia="zh-CN"/>
        </w:rPr>
        <w:t>上级资金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w:t>
      </w:r>
      <w:r>
        <w:rPr>
          <w:rFonts w:hint="eastAsia" w:ascii="宋体" w:hAnsi="宋体" w:eastAsia="宋体" w:cs="宋体"/>
          <w:kern w:val="0"/>
          <w:szCs w:val="21"/>
          <w:shd w:val="clear" w:color="auto" w:fill="FFFFFF"/>
          <w:lang w:val="en-US" w:eastAsia="zh-CN"/>
        </w:rPr>
        <w:t>6</w:t>
      </w:r>
      <w:r>
        <w:rPr>
          <w:rFonts w:hint="eastAsia" w:ascii="宋体" w:hAnsi="宋体" w:eastAsia="宋体" w:cs="宋体"/>
          <w:kern w:val="0"/>
          <w:szCs w:val="21"/>
          <w:shd w:val="clear" w:color="auto" w:fill="FFFFFF"/>
        </w:rPr>
        <w:t>、</w:t>
      </w:r>
      <w:r>
        <w:rPr>
          <w:rFonts w:hint="eastAsia" w:ascii="宋体" w:hAnsi="宋体" w:eastAsia="宋体" w:cs="宋体"/>
          <w:kern w:val="0"/>
          <w:szCs w:val="21"/>
          <w:shd w:val="clear" w:color="auto" w:fill="FFFFFF"/>
          <w:lang w:eastAsia="zh-CN"/>
        </w:rPr>
        <w:t>项目</w:t>
      </w:r>
      <w:r>
        <w:rPr>
          <w:rFonts w:hint="eastAsia" w:ascii="宋体" w:hAnsi="宋体" w:eastAsia="宋体" w:cs="宋体"/>
          <w:kern w:val="0"/>
          <w:szCs w:val="21"/>
          <w:shd w:val="clear" w:color="auto" w:fill="FFFFFF"/>
        </w:rPr>
        <w:t>地点：武陟县</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rPr>
        <w:t>2.</w:t>
      </w:r>
      <w:r>
        <w:rPr>
          <w:rFonts w:hint="eastAsia" w:ascii="宋体" w:hAnsi="宋体" w:eastAsia="宋体" w:cs="宋体"/>
          <w:kern w:val="0"/>
          <w:szCs w:val="21"/>
          <w:shd w:val="clear" w:color="auto" w:fill="FFFFFF"/>
          <w:lang w:val="en-US" w:eastAsia="zh-CN"/>
        </w:rPr>
        <w:t>7</w:t>
      </w:r>
      <w:r>
        <w:rPr>
          <w:rFonts w:hint="eastAsia" w:ascii="宋体" w:hAnsi="宋体" w:eastAsia="宋体" w:cs="宋体"/>
          <w:kern w:val="0"/>
          <w:szCs w:val="21"/>
          <w:shd w:val="clear" w:color="auto" w:fill="FFFFFF"/>
        </w:rPr>
        <w:t>、</w:t>
      </w:r>
      <w:r>
        <w:rPr>
          <w:rFonts w:hint="eastAsia" w:ascii="宋体" w:hAnsi="宋体" w:eastAsia="宋体" w:cs="宋体"/>
          <w:kern w:val="0"/>
          <w:szCs w:val="21"/>
          <w:shd w:val="clear" w:color="auto" w:fill="FFFFFF"/>
          <w:lang w:eastAsia="zh-CN"/>
        </w:rPr>
        <w:t>项目</w:t>
      </w:r>
      <w:r>
        <w:rPr>
          <w:rFonts w:hint="eastAsia" w:ascii="宋体" w:hAnsi="宋体" w:eastAsia="宋体" w:cs="宋体"/>
          <w:kern w:val="0"/>
          <w:szCs w:val="21"/>
          <w:shd w:val="clear" w:color="auto" w:fill="FFFFFF"/>
        </w:rPr>
        <w:t>概况</w:t>
      </w:r>
      <w:r>
        <w:rPr>
          <w:rFonts w:hint="eastAsia" w:ascii="宋体" w:hAnsi="宋体" w:cs="宋体"/>
          <w:kern w:val="0"/>
          <w:szCs w:val="21"/>
          <w:shd w:val="clear" w:color="auto" w:fill="FFFFFF"/>
          <w:lang w:eastAsia="zh-CN"/>
        </w:rPr>
        <w:t>：</w:t>
      </w:r>
      <w:r>
        <w:rPr>
          <w:rFonts w:hint="eastAsia" w:ascii="宋体" w:hAnsi="宋体" w:eastAsia="宋体" w:cs="宋体"/>
          <w:kern w:val="0"/>
          <w:szCs w:val="21"/>
          <w:shd w:val="clear" w:color="auto" w:fill="FFFFFF"/>
          <w:lang w:eastAsia="zh-CN"/>
        </w:rPr>
        <w:t>总干桥位于武陟县东南部S308武济线上跨共产主义渠处，中心桩号为K3+873桥梁全长91m，桥面宽度为17.5m，现对该桥进行加固。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主要加固方案：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1.桥面系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(1)凿除全桥铺装，重新设置双层钢筋网，铺筑15cm厚C50</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防水混凝土+FYT-1改进型防水层+5cm厚中粒式沥青混凝土，并加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强墩顶桥面连续。重划路面标线。</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(2)清理伸缩缝堵塞物，修补锚固区裂缝，更换橡胶条。(3)修补护栏裂缝，重新涂刷立面标记漆。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2.上部结构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(1)更换出现横缝、下挠的空心板，采用无机聚合物砂浆修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补其它空心板锈胀、剥落等病害。</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(2)空心板顶植筋并与铺装钢筋连接，重新浇筑铰缝混凝土。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(3)采用顶升法对偏移、脱空的支座及移位的空心板下支座</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进行复位。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3.下部结构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(1)重做墩台挡块，内侧粘贴橡胶块。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(2)墩台盖梁破损、锈胀等处采用无机聚合物砂浆修补。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(3)支座垫石剥落、掉角等处采用无机聚合物砂浆修补。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shd w:val="clear" w:color="auto" w:fill="FFFFFF"/>
        </w:rPr>
      </w:pPr>
      <w:r>
        <w:rPr>
          <w:rFonts w:hint="eastAsia" w:ascii="宋体" w:hAnsi="宋体" w:eastAsia="宋体" w:cs="宋体"/>
          <w:kern w:val="0"/>
          <w:szCs w:val="21"/>
          <w:shd w:val="clear" w:color="auto" w:fill="FFFFFF"/>
          <w:lang w:eastAsia="zh-CN"/>
        </w:rPr>
        <w:t>(4)采用30cm厚M75浆砌片石修复台前护坡。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kern w:val="0"/>
          <w:szCs w:val="21"/>
          <w:shd w:val="clear" w:color="auto" w:fill="FFFFFF"/>
        </w:rPr>
        <w:t>2.</w:t>
      </w:r>
      <w:r>
        <w:rPr>
          <w:rFonts w:hint="eastAsia" w:ascii="宋体" w:hAnsi="宋体" w:eastAsia="宋体" w:cs="宋体"/>
          <w:kern w:val="0"/>
          <w:szCs w:val="21"/>
          <w:shd w:val="clear" w:color="auto" w:fill="FFFFFF"/>
          <w:lang w:val="en-US" w:eastAsia="zh-CN"/>
        </w:rPr>
        <w:t>8</w:t>
      </w:r>
      <w:r>
        <w:rPr>
          <w:rFonts w:hint="eastAsia" w:ascii="宋体" w:hAnsi="宋体" w:eastAsia="宋体" w:cs="宋体"/>
          <w:kern w:val="0"/>
          <w:szCs w:val="21"/>
          <w:shd w:val="clear" w:color="auto" w:fill="FFFFFF"/>
        </w:rPr>
        <w:t>、标段划分：一个标段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w:t>
      </w:r>
      <w:r>
        <w:rPr>
          <w:rFonts w:hint="eastAsia" w:ascii="宋体" w:hAnsi="宋体" w:eastAsia="宋体" w:cs="宋体"/>
          <w:kern w:val="0"/>
          <w:szCs w:val="21"/>
          <w:shd w:val="clear" w:color="auto" w:fill="FFFFFF"/>
          <w:lang w:val="en-US" w:eastAsia="zh-CN"/>
        </w:rPr>
        <w:t>9</w:t>
      </w:r>
      <w:r>
        <w:rPr>
          <w:rFonts w:hint="eastAsia" w:ascii="宋体" w:hAnsi="宋体" w:eastAsia="宋体" w:cs="宋体"/>
          <w:kern w:val="0"/>
          <w:szCs w:val="21"/>
          <w:shd w:val="clear" w:color="auto" w:fill="FFFFFF"/>
        </w:rPr>
        <w:t>、磋商范围：</w:t>
      </w:r>
      <w:r>
        <w:rPr>
          <w:rFonts w:hint="eastAsia" w:ascii="宋体" w:hAnsi="宋体" w:eastAsia="宋体" w:cs="宋体"/>
          <w:kern w:val="0"/>
          <w:szCs w:val="21"/>
          <w:shd w:val="clear" w:color="auto" w:fill="FFFFFF"/>
          <w:lang w:eastAsia="zh-CN"/>
        </w:rPr>
        <w:t>竞争性磋商文件、图纸、</w:t>
      </w:r>
      <w:r>
        <w:rPr>
          <w:rFonts w:hint="eastAsia" w:ascii="宋体" w:hAnsi="宋体" w:eastAsia="宋体" w:cs="宋体"/>
          <w:kern w:val="0"/>
          <w:szCs w:val="21"/>
          <w:shd w:val="clear" w:color="auto" w:fill="FFFFFF"/>
        </w:rPr>
        <w:t>工程量清单范围内的所有内容</w:t>
      </w:r>
      <w:r>
        <w:rPr>
          <w:rFonts w:hint="eastAsia" w:ascii="宋体" w:hAnsi="宋体" w:eastAsia="宋体" w:cs="宋体"/>
          <w:kern w:val="0"/>
          <w:szCs w:val="21"/>
          <w:highlight w:val="none"/>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w:t>
      </w:r>
      <w:r>
        <w:rPr>
          <w:rFonts w:hint="eastAsia" w:ascii="宋体" w:hAnsi="宋体" w:eastAsia="宋体" w:cs="宋体"/>
          <w:kern w:val="0"/>
          <w:szCs w:val="21"/>
          <w:shd w:val="clear" w:color="auto" w:fill="FFFFFF"/>
          <w:lang w:val="en-US" w:eastAsia="zh-CN"/>
        </w:rPr>
        <w:t>10</w:t>
      </w:r>
      <w:r>
        <w:rPr>
          <w:rFonts w:hint="eastAsia" w:ascii="宋体" w:hAnsi="宋体" w:eastAsia="宋体" w:cs="宋体"/>
          <w:kern w:val="0"/>
          <w:szCs w:val="21"/>
          <w:shd w:val="clear" w:color="auto" w:fill="FFFFFF"/>
        </w:rPr>
        <w:t>、质量要求：</w:t>
      </w:r>
      <w:r>
        <w:rPr>
          <w:rFonts w:hint="eastAsia" w:ascii="宋体" w:hAnsi="宋体" w:eastAsia="宋体" w:cs="宋体"/>
          <w:kern w:val="0"/>
          <w:szCs w:val="21"/>
          <w:shd w:val="clear" w:color="auto" w:fill="FFFFFF"/>
          <w:lang w:val="en-US" w:eastAsia="zh-CN"/>
        </w:rPr>
        <w:t>交工验收的质量评定：合格；竣工验收的质量评定：优良。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2.1</w:t>
      </w:r>
      <w:r>
        <w:rPr>
          <w:rFonts w:hint="eastAsia" w:ascii="宋体" w:hAnsi="宋体" w:eastAsia="宋体" w:cs="宋体"/>
          <w:kern w:val="0"/>
          <w:szCs w:val="21"/>
          <w:shd w:val="clear" w:color="auto" w:fill="FFFFFF"/>
          <w:lang w:val="en-US" w:eastAsia="zh-CN"/>
        </w:rPr>
        <w:t>1</w:t>
      </w:r>
      <w:r>
        <w:rPr>
          <w:rFonts w:hint="eastAsia" w:ascii="宋体" w:hAnsi="宋体" w:eastAsia="宋体" w:cs="宋体"/>
          <w:kern w:val="0"/>
          <w:szCs w:val="21"/>
          <w:shd w:val="clear" w:color="auto" w:fill="FFFFFF"/>
        </w:rPr>
        <w:t>、</w:t>
      </w:r>
      <w:r>
        <w:rPr>
          <w:rFonts w:hint="eastAsia" w:ascii="宋体" w:hAnsi="宋体" w:eastAsia="宋体" w:cs="宋体"/>
          <w:kern w:val="0"/>
          <w:szCs w:val="21"/>
          <w:shd w:val="clear" w:color="auto" w:fill="FFFFFF"/>
          <w:lang w:eastAsia="zh-CN"/>
        </w:rPr>
        <w:t>工期</w:t>
      </w:r>
      <w:r>
        <w:rPr>
          <w:rFonts w:hint="eastAsia" w:ascii="宋体" w:hAnsi="宋体" w:eastAsia="宋体" w:cs="宋体"/>
          <w:kern w:val="0"/>
          <w:szCs w:val="21"/>
          <w:shd w:val="clear" w:color="auto" w:fill="FFFFFF"/>
        </w:rPr>
        <w:t>：</w:t>
      </w:r>
      <w:r>
        <w:rPr>
          <w:rFonts w:hint="eastAsia" w:ascii="宋体" w:hAnsi="宋体" w:cs="宋体"/>
          <w:kern w:val="0"/>
          <w:szCs w:val="21"/>
          <w:shd w:val="clear" w:color="auto" w:fill="FFFFFF"/>
          <w:lang w:val="en-US" w:eastAsia="zh-CN"/>
        </w:rPr>
        <w:t>120</w:t>
      </w:r>
      <w:r>
        <w:rPr>
          <w:rFonts w:hint="eastAsia" w:ascii="宋体" w:hAnsi="宋体" w:eastAsia="宋体" w:cs="宋体"/>
          <w:kern w:val="0"/>
          <w:szCs w:val="21"/>
          <w:shd w:val="clear" w:color="auto" w:fill="FFFFFF"/>
        </w:rPr>
        <w:t>日历天</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b/>
          <w:bCs/>
          <w:kern w:val="0"/>
          <w:szCs w:val="21"/>
          <w:shd w:val="clear" w:color="auto" w:fill="FFFFFF"/>
        </w:rPr>
        <w:t>三、供应商资格要求</w:t>
      </w:r>
    </w:p>
    <w:p>
      <w:pPr>
        <w:pStyle w:val="5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1.满足《中华人民共和国政府采购法》第二十二条规定；</w:t>
      </w:r>
    </w:p>
    <w:p>
      <w:pPr>
        <w:pStyle w:val="5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2.落实政府采购政策需满足的资格要求：本项目专门面向中小企业采购，供应商应为中小微企业；</w:t>
      </w:r>
    </w:p>
    <w:p>
      <w:pPr>
        <w:pStyle w:val="5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3.本项目的特定资格要求：</w:t>
      </w:r>
    </w:p>
    <w:p>
      <w:pPr>
        <w:pStyle w:val="5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3.1投标人须具有公路工程施工总承包贰级及以上资质，且同时具备公路养护工程二类乙级。且具备有效的安全生产许可证，并在人员、设备、资金等方面具有相应的施工能力；</w:t>
      </w:r>
    </w:p>
    <w:p>
      <w:pPr>
        <w:pStyle w:val="5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3.2拟派项目经理须具有公路工程二级及以上建造师资格证书，并具有交通专业或道桥专业中级及以上技术职称，具有有效期内安全生产考核合格证（B证），且目前未担任其他在建工程项目的项目经理。</w:t>
      </w:r>
    </w:p>
    <w:p>
      <w:pPr>
        <w:pStyle w:val="5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3.3业绩要求：投标人具有2017年1月1日以来类似项目业绩。</w:t>
      </w:r>
    </w:p>
    <w:p>
      <w:pPr>
        <w:pStyle w:val="5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3.4提供经中国人民银行备案的第三方征信机构出具的有效期内（未注明有效期的，自信用报告出具之日起有效期不得超过二年，如2018年10月1日出具的信用报告，信用报告上未体现有效期的，有效期截止2020年9月30日）的信用报告，且信用等级达到A级及以上；并提供出具该信用报告的第三方征信机构在中国人民银行备案的证明材料。</w:t>
      </w:r>
    </w:p>
    <w:p>
      <w:pPr>
        <w:pStyle w:val="5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3.5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pStyle w:val="5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lang w:val="en-US" w:eastAsia="zh-CN"/>
        </w:rPr>
        <w:t>、供应商及其法定代表人、委托代理人、项目经理均无行贿犯罪记录（提供无行贿犯罪记录承诺书）。</w:t>
      </w:r>
    </w:p>
    <w:p>
      <w:pPr>
        <w:pStyle w:val="5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lang w:val="en-US" w:eastAsia="zh-CN"/>
        </w:rPr>
        <w:t>本次招标不接受联合体投标</w:t>
      </w:r>
      <w:r>
        <w:rPr>
          <w:rFonts w:hint="eastAsia" w:ascii="宋体" w:hAnsi="宋体" w:eastAsia="宋体" w:cs="宋体"/>
          <w:b w:val="0"/>
          <w:bCs w:val="0"/>
          <w:sz w:val="21"/>
          <w:szCs w:val="21"/>
        </w:rPr>
        <w:t>。</w:t>
      </w:r>
    </w:p>
    <w:p>
      <w:pPr>
        <w:pStyle w:val="5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注：单位负责人为同一人或者存在直接控股、管理关系的不同单位，不得同时对该项目进行</w:t>
      </w:r>
      <w:r>
        <w:rPr>
          <w:rFonts w:hint="eastAsia" w:ascii="宋体" w:hAnsi="宋体" w:eastAsia="宋体" w:cs="宋体"/>
          <w:b/>
          <w:bCs/>
          <w:sz w:val="21"/>
          <w:szCs w:val="21"/>
          <w:lang w:eastAsia="zh-CN"/>
        </w:rPr>
        <w:t>磋商</w:t>
      </w:r>
      <w:r>
        <w:rPr>
          <w:rFonts w:hint="eastAsia" w:ascii="宋体" w:hAnsi="宋体" w:eastAsia="宋体" w:cs="宋体"/>
          <w:b/>
          <w:bCs/>
          <w:sz w:val="21"/>
          <w:szCs w:val="21"/>
        </w:rPr>
        <w:t>。</w:t>
      </w:r>
    </w:p>
    <w:p>
      <w:pPr>
        <w:pStyle w:val="5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四、获取磋商文件的时间、方式</w:t>
      </w:r>
    </w:p>
    <w:p>
      <w:pPr>
        <w:pStyle w:val="56"/>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4.1、获取磋商文件时间：202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u w:val="single"/>
          <w:lang w:val="en-US" w:eastAsia="zh-CN"/>
        </w:rPr>
        <w:t>10</w:t>
      </w:r>
      <w:r>
        <w:rPr>
          <w:rFonts w:hint="eastAsia" w:ascii="宋体" w:hAnsi="宋体" w:eastAsia="宋体" w:cs="宋体"/>
          <w:sz w:val="21"/>
          <w:szCs w:val="21"/>
        </w:rPr>
        <w:t>月</w:t>
      </w:r>
      <w:r>
        <w:rPr>
          <w:rFonts w:hint="eastAsia" w:ascii="宋体" w:hAnsi="宋体" w:cs="宋体"/>
          <w:sz w:val="21"/>
          <w:szCs w:val="21"/>
          <w:u w:val="single"/>
          <w:lang w:val="en-US" w:eastAsia="zh-CN"/>
        </w:rPr>
        <w:t>8</w:t>
      </w:r>
      <w:r>
        <w:rPr>
          <w:rFonts w:hint="eastAsia" w:ascii="宋体" w:hAnsi="宋体" w:eastAsia="宋体" w:cs="宋体"/>
          <w:sz w:val="21"/>
          <w:szCs w:val="21"/>
        </w:rPr>
        <w:t>日至202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cs="宋体"/>
          <w:sz w:val="21"/>
          <w:szCs w:val="21"/>
          <w:u w:val="single"/>
          <w:lang w:val="en-US" w:eastAsia="zh-CN"/>
        </w:rPr>
        <w:t>10</w:t>
      </w:r>
      <w:r>
        <w:rPr>
          <w:rFonts w:hint="eastAsia" w:ascii="宋体" w:hAnsi="宋体" w:eastAsia="宋体" w:cs="宋体"/>
          <w:sz w:val="21"/>
          <w:szCs w:val="21"/>
        </w:rPr>
        <w:t>月</w:t>
      </w:r>
      <w:r>
        <w:rPr>
          <w:rFonts w:hint="eastAsia" w:ascii="宋体" w:hAnsi="宋体" w:cs="宋体"/>
          <w:sz w:val="21"/>
          <w:szCs w:val="21"/>
          <w:u w:val="single"/>
          <w:lang w:val="en-US" w:eastAsia="zh-CN"/>
        </w:rPr>
        <w:t>13</w:t>
      </w:r>
      <w:r>
        <w:rPr>
          <w:rFonts w:hint="eastAsia" w:ascii="宋体" w:hAnsi="宋体" w:eastAsia="宋体" w:cs="宋体"/>
          <w:sz w:val="21"/>
          <w:szCs w:val="21"/>
        </w:rPr>
        <w:t>日（北京时间）。</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szCs w:val="21"/>
        </w:rPr>
      </w:pPr>
      <w:r>
        <w:rPr>
          <w:rFonts w:hint="eastAsia" w:ascii="宋体" w:hAnsi="宋体" w:eastAsia="宋体" w:cs="宋体"/>
          <w:szCs w:val="21"/>
        </w:rPr>
        <w:t>4.</w:t>
      </w:r>
      <w:r>
        <w:rPr>
          <w:rFonts w:hint="eastAsia" w:ascii="宋体" w:hAnsi="宋体" w:eastAsia="宋体" w:cs="宋体"/>
          <w:szCs w:val="21"/>
          <w:lang w:val="en-US" w:eastAsia="zh-CN"/>
        </w:rPr>
        <w:t>2</w:t>
      </w:r>
      <w:r>
        <w:rPr>
          <w:rFonts w:hint="eastAsia" w:ascii="宋体" w:hAnsi="宋体" w:eastAsia="宋体" w:cs="宋体"/>
          <w:szCs w:val="21"/>
        </w:rPr>
        <w:t>、获取磋商文件</w:t>
      </w:r>
      <w:r>
        <w:rPr>
          <w:rFonts w:hint="eastAsia" w:ascii="宋体" w:hAnsi="宋体" w:eastAsia="宋体" w:cs="宋体"/>
          <w:kern w:val="0"/>
          <w:szCs w:val="21"/>
          <w:shd w:val="clear" w:color="auto" w:fill="FFFFFF"/>
          <w:lang w:eastAsia="zh-CN"/>
        </w:rPr>
        <w:t>方式</w:t>
      </w:r>
      <w:r>
        <w:rPr>
          <w:rFonts w:hint="eastAsia" w:ascii="宋体" w:hAnsi="宋体" w:eastAsia="宋体" w:cs="宋体"/>
          <w:kern w:val="0"/>
          <w:szCs w:val="21"/>
          <w:shd w:val="clear" w:color="auto" w:fill="FFFFFF"/>
        </w:rPr>
        <w:t>：登陆武陟县公共资源交易中心网，进入焦作市公共资源交易中心网站会员系统进行网上下载。未在规定时间内通过规定方式下载磋商文件的供应商，其响应文件将被拒绝。</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0"/>
          <w:szCs w:val="21"/>
          <w:shd w:val="clear" w:color="auto" w:fill="FFFFFF"/>
          <w:lang w:val="en-US" w:eastAsia="zh-CN"/>
        </w:rPr>
      </w:pPr>
      <w:bookmarkStart w:id="3" w:name="_Toc13067"/>
      <w:r>
        <w:rPr>
          <w:rFonts w:hint="eastAsia" w:ascii="宋体" w:hAnsi="宋体" w:eastAsia="宋体" w:cs="宋体"/>
          <w:b/>
          <w:bCs/>
          <w:kern w:val="0"/>
          <w:szCs w:val="21"/>
          <w:shd w:val="clear" w:color="auto" w:fill="FFFFFF"/>
        </w:rPr>
        <w:t>特别提醒：下载文件前请到焦作市公共资源交易中心官网首页---</w:t>
      </w:r>
      <w:r>
        <w:rPr>
          <w:rFonts w:hint="eastAsia" w:ascii="宋体" w:hAnsi="宋体" w:cs="宋体"/>
          <w:b/>
          <w:bCs/>
          <w:kern w:val="0"/>
          <w:szCs w:val="21"/>
          <w:shd w:val="clear" w:color="auto" w:fill="FFFFFF"/>
          <w:lang w:eastAsia="zh-CN"/>
        </w:rPr>
        <w:t>公共服务</w:t>
      </w:r>
      <w:r>
        <w:rPr>
          <w:rFonts w:hint="eastAsia" w:ascii="宋体" w:hAnsi="宋体" w:eastAsia="宋体" w:cs="宋体"/>
          <w:b/>
          <w:bCs/>
          <w:kern w:val="0"/>
          <w:szCs w:val="21"/>
          <w:shd w:val="clear" w:color="auto" w:fill="FFFFFF"/>
        </w:rPr>
        <w:t>---下载</w:t>
      </w:r>
      <w:r>
        <w:rPr>
          <w:rFonts w:hint="eastAsia" w:ascii="宋体" w:hAnsi="宋体" w:cs="宋体"/>
          <w:b/>
          <w:bCs/>
          <w:kern w:val="0"/>
          <w:szCs w:val="21"/>
          <w:shd w:val="clear" w:color="auto" w:fill="FFFFFF"/>
          <w:lang w:eastAsia="zh-CN"/>
        </w:rPr>
        <w:t>专区</w:t>
      </w:r>
      <w:r>
        <w:rPr>
          <w:rFonts w:hint="eastAsia" w:ascii="宋体" w:hAnsi="宋体" w:eastAsia="宋体" w:cs="宋体"/>
          <w:b/>
          <w:bCs/>
          <w:kern w:val="0"/>
          <w:szCs w:val="21"/>
          <w:shd w:val="clear" w:color="auto" w:fill="FFFFFF"/>
        </w:rPr>
        <w:t>---下载《焦作市电子招投标系统操作手册》，按要求进行网上下载</w:t>
      </w:r>
      <w:r>
        <w:rPr>
          <w:rFonts w:hint="eastAsia" w:ascii="宋体" w:hAnsi="宋体" w:eastAsia="宋体" w:cs="宋体"/>
          <w:b/>
          <w:bCs/>
          <w:kern w:val="0"/>
          <w:szCs w:val="21"/>
          <w:shd w:val="clear" w:color="auto"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Cs w:val="21"/>
          <w:shd w:val="clear" w:color="auto" w:fill="FFFFFF"/>
        </w:rPr>
      </w:pPr>
      <w:r>
        <w:rPr>
          <w:rFonts w:hint="eastAsia" w:ascii="宋体" w:hAnsi="宋体" w:eastAsia="宋体" w:cs="宋体"/>
          <w:b/>
          <w:bCs/>
          <w:kern w:val="0"/>
          <w:szCs w:val="21"/>
          <w:shd w:val="clear" w:color="auto" w:fill="FFFFFF"/>
        </w:rPr>
        <w:t>五、发布公告的媒介</w:t>
      </w:r>
      <w:bookmarkEnd w:id="3"/>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次磋商公告同时在《中国招标投标公共服务平台》、《河南省电子招标投标公共服务平台》、《河南省政府采购网》、《焦作市公共资源交易中心网》、《武陟县公共资源交易中心网》及武陟县公共资源交易中心大屏幕上发布。</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bCs/>
          <w:kern w:val="0"/>
          <w:szCs w:val="21"/>
          <w:shd w:val="clear" w:color="auto" w:fill="FFFFFF"/>
        </w:rPr>
      </w:pPr>
      <w:r>
        <w:rPr>
          <w:rFonts w:hint="eastAsia" w:ascii="宋体" w:hAnsi="宋体" w:eastAsia="宋体" w:cs="宋体"/>
          <w:b/>
          <w:bCs/>
          <w:kern w:val="0"/>
          <w:szCs w:val="21"/>
          <w:shd w:val="clear" w:color="auto" w:fill="FFFFFF"/>
        </w:rPr>
        <w:t>六、响应文件递交信息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szCs w:val="21"/>
        </w:rPr>
        <w:t>6.1、响应文件</w:t>
      </w:r>
      <w:r>
        <w:rPr>
          <w:rFonts w:hint="eastAsia" w:ascii="宋体" w:hAnsi="宋体" w:eastAsia="宋体" w:cs="宋体"/>
          <w:color w:val="auto"/>
          <w:szCs w:val="21"/>
        </w:rPr>
        <w:t>递交截止时间</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日09:</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0:00</w:t>
      </w:r>
      <w:r>
        <w:rPr>
          <w:rFonts w:hint="eastAsia" w:ascii="宋体" w:hAnsi="宋体" w:eastAsia="宋体" w:cs="宋体"/>
          <w:color w:val="auto"/>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6.2、响应文件递交方式：网上提交，加密电子</w:t>
      </w:r>
      <w:r>
        <w:rPr>
          <w:rFonts w:hint="eastAsia" w:ascii="宋体" w:hAnsi="宋体" w:eastAsia="宋体" w:cs="宋体"/>
          <w:color w:val="auto"/>
          <w:szCs w:val="21"/>
          <w:lang w:eastAsia="zh-CN"/>
        </w:rPr>
        <w:t>响应</w:t>
      </w:r>
      <w:r>
        <w:rPr>
          <w:rFonts w:hint="eastAsia" w:ascii="宋体" w:hAnsi="宋体" w:eastAsia="宋体" w:cs="宋体"/>
          <w:color w:val="auto"/>
          <w:szCs w:val="21"/>
        </w:rPr>
        <w:t>文件须在焦作市公共资源交易中心电子交易平台中加密上传，上传时必须得到电脑“上传成功”的确认回复后方为上传成功。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3 逾期上传或者未按要求解密</w:t>
      </w:r>
      <w:r>
        <w:rPr>
          <w:rFonts w:hint="eastAsia" w:ascii="宋体" w:hAnsi="宋体" w:eastAsia="宋体" w:cs="宋体"/>
          <w:color w:val="auto"/>
          <w:szCs w:val="21"/>
          <w:lang w:eastAsia="zh-CN"/>
        </w:rPr>
        <w:t>响应</w:t>
      </w:r>
      <w:r>
        <w:rPr>
          <w:rFonts w:hint="eastAsia" w:ascii="宋体" w:hAnsi="宋体" w:eastAsia="宋体" w:cs="宋体"/>
          <w:color w:val="auto"/>
          <w:szCs w:val="21"/>
        </w:rPr>
        <w:t>文件，</w:t>
      </w:r>
      <w:r>
        <w:rPr>
          <w:rFonts w:hint="eastAsia" w:ascii="宋体" w:hAnsi="宋体" w:eastAsia="宋体" w:cs="宋体"/>
          <w:color w:val="auto"/>
          <w:szCs w:val="21"/>
          <w:lang w:eastAsia="zh-CN"/>
        </w:rPr>
        <w:t>采购</w:t>
      </w:r>
      <w:r>
        <w:rPr>
          <w:rFonts w:hint="eastAsia" w:ascii="宋体" w:hAnsi="宋体" w:eastAsia="宋体" w:cs="宋体"/>
          <w:color w:val="auto"/>
          <w:szCs w:val="21"/>
        </w:rPr>
        <w:t>人不予受理。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Cs w:val="21"/>
          <w:shd w:val="clear" w:color="auto" w:fill="FFFFFF"/>
        </w:rPr>
      </w:pPr>
      <w:r>
        <w:rPr>
          <w:rFonts w:hint="eastAsia" w:ascii="宋体" w:hAnsi="宋体" w:eastAsia="宋体" w:cs="宋体"/>
          <w:b/>
          <w:bCs/>
          <w:color w:val="auto"/>
          <w:kern w:val="0"/>
          <w:szCs w:val="21"/>
          <w:shd w:val="clear" w:color="auto" w:fill="FFFFFF"/>
        </w:rPr>
        <w:t>七、磋商时间及地点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7.1、磋商时间：同响应文件递交截止时间。</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7.2、</w:t>
      </w:r>
      <w:r>
        <w:rPr>
          <w:rFonts w:hint="eastAsia" w:ascii="宋体" w:hAnsi="宋体" w:eastAsia="宋体" w:cs="宋体"/>
          <w:color w:val="auto"/>
          <w:szCs w:val="21"/>
          <w:lang w:eastAsia="zh-CN"/>
        </w:rPr>
        <w:t>磋商地点：武陟县公共资源交易中心</w:t>
      </w:r>
      <w:r>
        <w:rPr>
          <w:rFonts w:hint="eastAsia" w:ascii="宋体" w:hAnsi="宋体" w:cs="宋体"/>
          <w:color w:val="auto"/>
          <w:szCs w:val="21"/>
          <w:lang w:eastAsia="zh-CN"/>
        </w:rPr>
        <w:t>开标一厅</w:t>
      </w:r>
      <w:r>
        <w:rPr>
          <w:rFonts w:hint="eastAsia" w:ascii="宋体" w:hAnsi="宋体" w:eastAsia="宋体" w:cs="宋体"/>
          <w:color w:val="auto"/>
          <w:szCs w:val="21"/>
          <w:u w:val="none"/>
          <w:lang w:eastAsia="zh-CN"/>
        </w:rPr>
        <w:t xml:space="preserve"> </w:t>
      </w:r>
      <w:r>
        <w:rPr>
          <w:rFonts w:hint="eastAsia" w:ascii="宋体" w:hAnsi="宋体" w:eastAsia="宋体" w:cs="宋体"/>
          <w:color w:val="auto"/>
          <w:szCs w:val="21"/>
          <w:lang w:val="en-US" w:eastAsia="zh-CN"/>
        </w:rPr>
        <w:t xml:space="preserve"> </w:t>
      </w:r>
    </w:p>
    <w:p>
      <w:pPr>
        <w:pStyle w:val="56"/>
        <w:pageBreakBefore w:val="0"/>
        <w:kinsoku/>
        <w:bidi w:val="0"/>
        <w:spacing w:line="360" w:lineRule="auto"/>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rPr>
        <w:t>八、特别提醒：</w:t>
      </w:r>
      <w:r>
        <w:rPr>
          <w:rFonts w:hint="eastAsia" w:ascii="宋体" w:hAnsi="宋体" w:eastAsia="宋体" w:cs="宋体"/>
          <w:color w:val="auto"/>
          <w:sz w:val="21"/>
          <w:szCs w:val="21"/>
          <w:highlight w:val="none"/>
        </w:rPr>
        <w:t>本项目采用远程不见面开标和全程电子评标方式，潜在供应商可提</w:t>
      </w:r>
      <w:r>
        <w:rPr>
          <w:rFonts w:hint="eastAsia" w:ascii="宋体" w:hAnsi="宋体" w:eastAsia="宋体" w:cs="宋体"/>
          <w:sz w:val="21"/>
          <w:szCs w:val="21"/>
          <w:highlight w:val="none"/>
        </w:rPr>
        <w:t>前在焦作市交易中心官网首页---公共服务---下载专区---下载</w:t>
      </w:r>
      <w:r>
        <w:rPr>
          <w:rFonts w:hint="eastAsia" w:ascii="宋体" w:hAnsi="宋体" w:eastAsia="宋体" w:cs="宋体"/>
          <w:color w:val="000000"/>
          <w:sz w:val="21"/>
          <w:szCs w:val="21"/>
          <w:highlight w:val="none"/>
          <w:shd w:val="clear" w:color="auto" w:fill="FFFFFF"/>
        </w:rPr>
        <w:t>《</w:t>
      </w:r>
      <w:r>
        <w:rPr>
          <w:rFonts w:hint="eastAsia" w:ascii="宋体" w:hAnsi="宋体" w:eastAsia="宋体" w:cs="宋体"/>
          <w:sz w:val="21"/>
          <w:szCs w:val="21"/>
          <w:highlight w:val="none"/>
        </w:rPr>
        <w:t>投标单位操作手册及视频》和新点投标文件制作软件等，查看操作说明，按要求进行响应文件制作和上传等。为避免网络拥堵等不可控因素影响响应文件的上传，请提前上传响应文件，并在开标截止时间前登录不见面开标大厅进行签到，按要求解密响应文件。响应文件的递交方式详见</w:t>
      </w:r>
      <w:r>
        <w:rPr>
          <w:rFonts w:hint="eastAsia" w:ascii="宋体" w:hAnsi="宋体" w:eastAsia="宋体" w:cs="宋体"/>
          <w:sz w:val="21"/>
          <w:szCs w:val="21"/>
          <w:highlight w:val="none"/>
          <w:lang w:val="en-US" w:eastAsia="zh-CN"/>
        </w:rPr>
        <w:t>竞争性</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文件前附表。因文件未及时上传导致投标失败的责任由供应商自行承担。</w:t>
      </w:r>
    </w:p>
    <w:p>
      <w:pPr>
        <w:pStyle w:val="56"/>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技术支持请联系：平台统一技术服务电话为：400-998-0000</w:t>
      </w:r>
    </w:p>
    <w:p>
      <w:pPr>
        <w:pStyle w:val="56"/>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清单造价技术问题请联系：姜工：13462813583</w:t>
      </w:r>
    </w:p>
    <w:p>
      <w:pPr>
        <w:pStyle w:val="56"/>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服务时间：周一至周日08:00-17:30</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b/>
          <w:bCs/>
          <w:kern w:val="0"/>
          <w:szCs w:val="21"/>
          <w:shd w:val="clear" w:color="auto" w:fill="FFFFFF"/>
          <w:lang w:eastAsia="zh-CN"/>
        </w:rPr>
        <w:t>九</w:t>
      </w:r>
      <w:r>
        <w:rPr>
          <w:rFonts w:hint="eastAsia" w:ascii="宋体" w:hAnsi="宋体" w:eastAsia="宋体" w:cs="宋体"/>
          <w:b/>
          <w:bCs/>
          <w:kern w:val="0"/>
          <w:szCs w:val="21"/>
          <w:shd w:val="clear" w:color="auto" w:fill="FFFFFF"/>
        </w:rPr>
        <w:t>、本次磋商联系事项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1.采购人信息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 w:val="21"/>
          <w:szCs w:val="21"/>
          <w:shd w:val="clear" w:color="auto" w:fill="FFFFFF"/>
          <w:lang w:eastAsia="zh-CN"/>
        </w:rPr>
      </w:pPr>
      <w:r>
        <w:rPr>
          <w:rFonts w:hint="eastAsia" w:ascii="宋体" w:hAnsi="宋体" w:eastAsia="宋体" w:cs="宋体"/>
          <w:kern w:val="0"/>
          <w:sz w:val="21"/>
          <w:szCs w:val="21"/>
          <w:shd w:val="clear" w:color="auto" w:fill="FFFFFF"/>
        </w:rPr>
        <w:t>名 称：</w:t>
      </w:r>
      <w:r>
        <w:rPr>
          <w:rFonts w:hint="eastAsia" w:ascii="宋体" w:hAnsi="宋体" w:cs="宋体"/>
          <w:kern w:val="0"/>
          <w:sz w:val="21"/>
          <w:szCs w:val="21"/>
          <w:shd w:val="clear" w:color="auto" w:fill="FFFFFF"/>
          <w:lang w:eastAsia="zh-CN"/>
        </w:rPr>
        <w:t>武陟县公路局</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 w:val="21"/>
          <w:szCs w:val="21"/>
          <w:shd w:val="clear" w:color="auto" w:fill="FFFFFF"/>
          <w:lang w:eastAsia="zh-CN"/>
        </w:rPr>
      </w:pPr>
      <w:r>
        <w:rPr>
          <w:rFonts w:hint="eastAsia" w:ascii="宋体" w:hAnsi="宋体" w:cs="宋体"/>
          <w:kern w:val="0"/>
          <w:sz w:val="21"/>
          <w:szCs w:val="21"/>
          <w:shd w:val="clear" w:color="auto" w:fill="FFFFFF"/>
          <w:lang w:eastAsia="zh-CN"/>
        </w:rPr>
        <w:t>地址：武陟县南大街31号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kern w:val="0"/>
          <w:sz w:val="21"/>
          <w:szCs w:val="21"/>
          <w:shd w:val="clear" w:color="auto" w:fill="FFFFFF"/>
          <w:lang w:eastAsia="zh-CN"/>
        </w:rPr>
      </w:pPr>
      <w:r>
        <w:rPr>
          <w:rFonts w:hint="eastAsia" w:ascii="宋体" w:hAnsi="宋体" w:cs="宋体"/>
          <w:kern w:val="0"/>
          <w:sz w:val="21"/>
          <w:szCs w:val="21"/>
          <w:shd w:val="clear" w:color="auto" w:fill="FFFFFF"/>
          <w:lang w:eastAsia="zh-CN"/>
        </w:rPr>
        <w:t>联系人：刘先生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shd w:val="clear" w:color="auto" w:fill="FFFFFF"/>
        </w:rPr>
      </w:pPr>
      <w:r>
        <w:rPr>
          <w:rFonts w:hint="eastAsia" w:ascii="宋体" w:hAnsi="宋体" w:cs="宋体"/>
          <w:kern w:val="0"/>
          <w:sz w:val="21"/>
          <w:szCs w:val="21"/>
          <w:shd w:val="clear" w:color="auto" w:fill="FFFFFF"/>
          <w:lang w:eastAsia="zh-CN"/>
        </w:rPr>
        <w:t xml:space="preserve">联系方式：13938135333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2.采购代理机构信息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shd w:val="clear" w:color="auto" w:fill="FFFFFF"/>
          <w:lang w:eastAsia="zh-CN"/>
        </w:rPr>
      </w:pPr>
      <w:r>
        <w:rPr>
          <w:rFonts w:hint="eastAsia" w:ascii="宋体" w:hAnsi="宋体" w:eastAsia="宋体" w:cs="宋体"/>
          <w:kern w:val="0"/>
          <w:sz w:val="21"/>
          <w:szCs w:val="21"/>
          <w:shd w:val="clear" w:color="auto" w:fill="FFFFFF"/>
        </w:rPr>
        <w:t>名 称：</w:t>
      </w:r>
      <w:r>
        <w:rPr>
          <w:rFonts w:hint="eastAsia" w:ascii="宋体" w:hAnsi="宋体" w:cs="宋体"/>
          <w:kern w:val="0"/>
          <w:sz w:val="21"/>
          <w:szCs w:val="21"/>
          <w:shd w:val="clear" w:color="auto" w:fill="FFFFFF"/>
          <w:lang w:eastAsia="zh-CN"/>
        </w:rPr>
        <w:t>中常诚凯工程管理有限公司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shd w:val="clear" w:color="auto" w:fill="FFFFFF"/>
        </w:rPr>
      </w:pPr>
      <w:r>
        <w:rPr>
          <w:rFonts w:hint="eastAsia" w:ascii="宋体" w:hAnsi="宋体" w:eastAsia="宋体" w:cs="宋体"/>
          <w:kern w:val="0"/>
          <w:sz w:val="21"/>
          <w:szCs w:val="21"/>
          <w:shd w:val="clear" w:color="auto" w:fill="FFFFFF"/>
        </w:rPr>
        <w:t>地　址：焦作市山阳区东苑路东城商务1号楼</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 w:val="21"/>
          <w:szCs w:val="21"/>
          <w:shd w:val="clear" w:color="auto" w:fill="FFFFFF"/>
          <w:lang w:eastAsia="zh-CN"/>
        </w:rPr>
      </w:pPr>
      <w:r>
        <w:rPr>
          <w:rFonts w:hint="eastAsia" w:ascii="宋体" w:hAnsi="宋体" w:eastAsia="宋体" w:cs="宋体"/>
          <w:color w:val="auto"/>
          <w:kern w:val="0"/>
          <w:sz w:val="21"/>
          <w:szCs w:val="21"/>
          <w:shd w:val="clear" w:color="auto" w:fill="FFFFFF"/>
        </w:rPr>
        <w:t>联系人：</w:t>
      </w:r>
      <w:r>
        <w:rPr>
          <w:rFonts w:hint="eastAsia" w:ascii="宋体" w:hAnsi="宋体" w:cs="宋体"/>
          <w:color w:val="auto"/>
          <w:kern w:val="0"/>
          <w:sz w:val="21"/>
          <w:szCs w:val="21"/>
          <w:shd w:val="clear" w:color="auto" w:fill="FFFFFF"/>
          <w:lang w:eastAsia="zh-CN"/>
        </w:rPr>
        <w:t>王女士</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rPr>
        <w:t>联系方式：</w:t>
      </w:r>
      <w:r>
        <w:rPr>
          <w:rFonts w:hint="eastAsia" w:ascii="宋体" w:hAnsi="宋体" w:eastAsia="宋体" w:cs="宋体"/>
          <w:color w:val="auto"/>
          <w:szCs w:val="21"/>
        </w:rPr>
        <w:t>0391-7289831</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shd w:val="clear" w:color="auto" w:fill="FFFFFF"/>
        </w:rPr>
      </w:pPr>
      <w:r>
        <w:rPr>
          <w:rFonts w:hint="eastAsia" w:ascii="宋体" w:hAnsi="宋体" w:eastAsia="宋体" w:cs="宋体"/>
          <w:kern w:val="0"/>
          <w:sz w:val="21"/>
          <w:szCs w:val="21"/>
          <w:shd w:val="clear" w:color="auto" w:fill="FFFFFF"/>
          <w:lang w:val="en-US" w:eastAsia="zh-CN"/>
        </w:rPr>
        <w:t>3.</w:t>
      </w:r>
      <w:r>
        <w:rPr>
          <w:rFonts w:hint="eastAsia" w:ascii="宋体" w:hAnsi="宋体" w:eastAsia="宋体" w:cs="宋体"/>
          <w:kern w:val="0"/>
          <w:sz w:val="21"/>
          <w:szCs w:val="21"/>
          <w:shd w:val="clear" w:color="auto" w:fill="FFFFFF"/>
        </w:rPr>
        <w:t>监督部门：武陟县</w:t>
      </w:r>
      <w:r>
        <w:rPr>
          <w:rFonts w:hint="eastAsia" w:ascii="宋体" w:hAnsi="宋体" w:eastAsia="宋体" w:cs="宋体"/>
          <w:kern w:val="0"/>
          <w:sz w:val="21"/>
          <w:szCs w:val="21"/>
          <w:shd w:val="clear" w:color="auto" w:fill="FFFFFF"/>
          <w:lang w:eastAsia="zh-CN"/>
        </w:rPr>
        <w:t>政府采购管理</w:t>
      </w:r>
      <w:r>
        <w:rPr>
          <w:rFonts w:hint="eastAsia" w:ascii="宋体" w:hAnsi="宋体" w:eastAsia="宋体" w:cs="宋体"/>
          <w:kern w:val="0"/>
          <w:sz w:val="21"/>
          <w:szCs w:val="21"/>
          <w:shd w:val="clear" w:color="auto" w:fill="FFFFFF"/>
        </w:rPr>
        <w:t>办公室</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shd w:val="clear" w:color="auto" w:fill="FFFFFF"/>
          <w:lang w:val="en-US" w:eastAsia="zh-CN"/>
        </w:rPr>
      </w:pPr>
      <w:r>
        <w:rPr>
          <w:rFonts w:hint="eastAsia" w:ascii="宋体" w:hAnsi="宋体" w:eastAsia="宋体" w:cs="宋体"/>
          <w:kern w:val="0"/>
          <w:sz w:val="21"/>
          <w:szCs w:val="21"/>
          <w:shd w:val="clear" w:color="auto" w:fill="FFFFFF"/>
          <w:lang w:eastAsia="zh-CN"/>
        </w:rPr>
        <w:t>联系方式</w:t>
      </w:r>
      <w:r>
        <w:rPr>
          <w:rFonts w:hint="eastAsia" w:ascii="宋体" w:hAnsi="宋体" w:eastAsia="宋体" w:cs="宋体"/>
          <w:kern w:val="0"/>
          <w:sz w:val="21"/>
          <w:szCs w:val="21"/>
          <w:shd w:val="clear" w:color="auto" w:fill="FFFFFF"/>
        </w:rPr>
        <w:t>：</w:t>
      </w:r>
      <w:r>
        <w:rPr>
          <w:rFonts w:hint="eastAsia" w:ascii="宋体" w:hAnsi="宋体" w:eastAsia="宋体" w:cs="宋体"/>
          <w:kern w:val="0"/>
          <w:sz w:val="21"/>
          <w:szCs w:val="21"/>
          <w:shd w:val="clear" w:color="auto" w:fill="FFFFFF"/>
          <w:lang w:val="en-US" w:eastAsia="zh-CN"/>
        </w:rPr>
        <w:t xml:space="preserve">0391-7290461  </w:t>
      </w:r>
    </w:p>
    <w:p>
      <w:pPr>
        <w:pStyle w:val="56"/>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lang w:eastAsia="zh-CN"/>
        </w:rPr>
      </w:pPr>
    </w:p>
    <w:p>
      <w:pPr>
        <w:pStyle w:val="56"/>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lang w:eastAsia="zh-CN"/>
        </w:rPr>
      </w:pPr>
      <w:r>
        <w:rPr>
          <w:rFonts w:hint="eastAsia" w:ascii="宋体" w:hAnsi="宋体" w:cs="宋体"/>
          <w:sz w:val="21"/>
          <w:szCs w:val="21"/>
          <w:lang w:eastAsia="zh-CN"/>
        </w:rPr>
        <w:t>武陟县公路局</w:t>
      </w:r>
    </w:p>
    <w:p>
      <w:pPr>
        <w:pStyle w:val="56"/>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lang w:eastAsia="zh-CN"/>
        </w:rPr>
      </w:pPr>
      <w:r>
        <w:rPr>
          <w:rFonts w:hint="eastAsia" w:ascii="宋体" w:hAnsi="宋体" w:cs="宋体"/>
          <w:sz w:val="21"/>
          <w:szCs w:val="21"/>
          <w:lang w:eastAsia="zh-CN"/>
        </w:rPr>
        <w:t>中常诚凯工程管理有限公司</w:t>
      </w:r>
    </w:p>
    <w:p>
      <w:pPr>
        <w:pageBreakBefore w:val="0"/>
        <w:kinsoku/>
        <w:bidi w:val="0"/>
        <w:spacing w:line="360" w:lineRule="auto"/>
        <w:jc w:val="right"/>
        <w:rPr>
          <w:rFonts w:hint="eastAsia" w:ascii="宋体" w:hAnsi="宋体" w:eastAsia="宋体" w:cs="宋体"/>
          <w:sz w:val="24"/>
          <w:szCs w:val="24"/>
        </w:rPr>
      </w:pPr>
      <w:r>
        <w:rPr>
          <w:rFonts w:hint="eastAsia" w:ascii="宋体" w:hAnsi="宋体" w:eastAsia="宋体" w:cs="宋体"/>
          <w:kern w:val="0"/>
          <w:sz w:val="21"/>
          <w:szCs w:val="21"/>
          <w:shd w:val="clear" w:color="auto" w:fill="FFFFFF"/>
        </w:rPr>
        <w:t>202</w:t>
      </w:r>
      <w:r>
        <w:rPr>
          <w:rFonts w:hint="eastAsia" w:ascii="宋体" w:hAnsi="宋体" w:eastAsia="宋体" w:cs="宋体"/>
          <w:kern w:val="0"/>
          <w:sz w:val="21"/>
          <w:szCs w:val="21"/>
          <w:shd w:val="clear" w:color="auto" w:fill="FFFFFF"/>
          <w:lang w:val="en-US" w:eastAsia="zh-CN"/>
        </w:rPr>
        <w:t>2</w:t>
      </w:r>
      <w:r>
        <w:rPr>
          <w:rFonts w:hint="eastAsia" w:ascii="宋体" w:hAnsi="宋体" w:eastAsia="宋体" w:cs="宋体"/>
          <w:kern w:val="0"/>
          <w:sz w:val="21"/>
          <w:szCs w:val="21"/>
          <w:shd w:val="clear" w:color="auto" w:fill="FFFFFF"/>
        </w:rPr>
        <w:t>年</w:t>
      </w:r>
      <w:r>
        <w:rPr>
          <w:rFonts w:hint="eastAsia" w:ascii="宋体" w:hAnsi="宋体" w:cs="宋体"/>
          <w:kern w:val="0"/>
          <w:sz w:val="21"/>
          <w:szCs w:val="21"/>
          <w:shd w:val="clear" w:color="auto" w:fill="FFFFFF"/>
          <w:lang w:val="en-US" w:eastAsia="zh-CN"/>
        </w:rPr>
        <w:t>10</w:t>
      </w:r>
      <w:r>
        <w:rPr>
          <w:rFonts w:hint="eastAsia" w:ascii="宋体" w:hAnsi="宋体" w:eastAsia="宋体" w:cs="宋体"/>
          <w:kern w:val="0"/>
          <w:sz w:val="21"/>
          <w:szCs w:val="21"/>
          <w:shd w:val="clear" w:color="auto" w:fill="FFFFFF"/>
        </w:rPr>
        <w:t>月</w:t>
      </w:r>
      <w:r>
        <w:rPr>
          <w:rFonts w:hint="eastAsia" w:ascii="宋体" w:hAnsi="宋体" w:cs="宋体"/>
          <w:kern w:val="0"/>
          <w:sz w:val="21"/>
          <w:szCs w:val="21"/>
          <w:shd w:val="clear" w:color="auto" w:fill="FFFFFF"/>
          <w:lang w:val="en-US" w:eastAsia="zh-CN"/>
        </w:rPr>
        <w:t>8</w:t>
      </w:r>
      <w:r>
        <w:rPr>
          <w:rFonts w:hint="eastAsia" w:ascii="宋体" w:hAnsi="宋体" w:eastAsia="宋体" w:cs="宋体"/>
          <w:kern w:val="0"/>
          <w:sz w:val="21"/>
          <w:szCs w:val="21"/>
          <w:shd w:val="clear" w:color="auto" w:fill="FFFFFF"/>
        </w:rPr>
        <w:t>日</w:t>
      </w:r>
    </w:p>
    <w:p>
      <w:pPr>
        <w:pStyle w:val="56"/>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bCs/>
          <w:kern w:val="36"/>
          <w:sz w:val="32"/>
          <w:szCs w:val="32"/>
        </w:rPr>
      </w:pPr>
      <w:r>
        <w:rPr>
          <w:rFonts w:hint="eastAsia" w:ascii="宋体" w:hAnsi="宋体" w:eastAsia="宋体" w:cs="宋体"/>
          <w:b/>
          <w:bCs/>
          <w:kern w:val="36"/>
          <w:sz w:val="32"/>
          <w:szCs w:val="32"/>
        </w:rPr>
        <w:br w:type="page"/>
      </w:r>
    </w:p>
    <w:p>
      <w:pPr>
        <w:pStyle w:val="4"/>
        <w:pageBreakBefore w:val="0"/>
        <w:kinsoku/>
        <w:bidi w:val="0"/>
        <w:spacing w:before="0" w:after="0" w:line="360" w:lineRule="auto"/>
        <w:rPr>
          <w:rFonts w:hint="eastAsia" w:ascii="宋体" w:hAnsi="宋体" w:eastAsia="宋体" w:cs="宋体"/>
          <w:sz w:val="32"/>
          <w:szCs w:val="32"/>
        </w:rPr>
      </w:pPr>
      <w:bookmarkStart w:id="4" w:name="_Toc7105"/>
      <w:r>
        <w:rPr>
          <w:rFonts w:hint="eastAsia" w:ascii="宋体" w:hAnsi="宋体" w:eastAsia="宋体" w:cs="宋体"/>
          <w:sz w:val="32"/>
          <w:szCs w:val="32"/>
        </w:rPr>
        <w:t xml:space="preserve">第二章 </w:t>
      </w:r>
      <w:bookmarkEnd w:id="2"/>
      <w:r>
        <w:rPr>
          <w:rFonts w:hint="eastAsia" w:ascii="宋体" w:hAnsi="宋体" w:eastAsia="宋体" w:cs="宋体"/>
          <w:sz w:val="32"/>
          <w:szCs w:val="32"/>
        </w:rPr>
        <w:t>供应商须知</w:t>
      </w:r>
      <w:bookmarkEnd w:id="4"/>
    </w:p>
    <w:p>
      <w:pPr>
        <w:pageBreakBefore w:val="0"/>
        <w:kinsoku/>
        <w:bidi w:val="0"/>
        <w:spacing w:line="360" w:lineRule="auto"/>
        <w:jc w:val="center"/>
        <w:rPr>
          <w:rFonts w:hint="eastAsia" w:ascii="宋体" w:hAnsi="宋体" w:eastAsia="宋体" w:cs="宋体"/>
          <w:sz w:val="32"/>
          <w:szCs w:val="32"/>
        </w:rPr>
      </w:pPr>
      <w:bookmarkStart w:id="5" w:name="_Toc374512408"/>
      <w:bookmarkStart w:id="6" w:name="_Toc408816341"/>
      <w:bookmarkStart w:id="7" w:name="_Toc373230021"/>
      <w:bookmarkStart w:id="8" w:name="_Toc22562"/>
      <w:bookmarkStart w:id="9" w:name="_Toc420513677"/>
      <w:r>
        <w:rPr>
          <w:rFonts w:hint="eastAsia" w:ascii="宋体" w:hAnsi="宋体" w:eastAsia="宋体" w:cs="宋体"/>
          <w:sz w:val="28"/>
          <w:szCs w:val="28"/>
        </w:rPr>
        <w:t>供应商须知前附表</w:t>
      </w:r>
      <w:bookmarkEnd w:id="5"/>
      <w:bookmarkEnd w:id="6"/>
      <w:bookmarkEnd w:id="7"/>
      <w:bookmarkEnd w:id="8"/>
    </w:p>
    <w:tbl>
      <w:tblPr>
        <w:tblStyle w:val="44"/>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900"/>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条款号</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条款名称</w:t>
            </w:r>
          </w:p>
        </w:tc>
        <w:tc>
          <w:tcPr>
            <w:tcW w:w="6928"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1</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采购人</w:t>
            </w:r>
          </w:p>
        </w:tc>
        <w:tc>
          <w:tcPr>
            <w:tcW w:w="6928" w:type="dxa"/>
            <w:vAlign w:val="center"/>
          </w:tcPr>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名 称：武陟县公路局</w:t>
            </w:r>
          </w:p>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地址：武陟县南大街31号</w:t>
            </w:r>
          </w:p>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联系人：刘先生</w:t>
            </w:r>
          </w:p>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联系方式：13938135333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bCs/>
                <w:szCs w:val="21"/>
              </w:rPr>
              <w:t>采购代理机构</w:t>
            </w:r>
          </w:p>
        </w:tc>
        <w:tc>
          <w:tcPr>
            <w:tcW w:w="6928" w:type="dxa"/>
            <w:vAlign w:val="center"/>
          </w:tcPr>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名 称：中常诚凯工程管理有限公司</w:t>
            </w:r>
          </w:p>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地　址：焦作市山阳区东苑路东城商务1号楼</w:t>
            </w:r>
          </w:p>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联系人：王女士</w:t>
            </w:r>
          </w:p>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联系方式：0391-7289831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3</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6928" w:type="dxa"/>
            <w:vAlign w:val="center"/>
          </w:tcPr>
          <w:p>
            <w:pPr>
              <w:pageBreakBefore w:val="0"/>
              <w:widowControl/>
              <w:kinsoku/>
              <w:bidi w:val="0"/>
              <w:spacing w:line="360" w:lineRule="auto"/>
              <w:jc w:val="left"/>
              <w:rPr>
                <w:rFonts w:hint="eastAsia" w:ascii="宋体" w:hAnsi="宋体" w:eastAsia="宋体" w:cs="宋体"/>
                <w:kern w:val="0"/>
                <w:szCs w:val="21"/>
                <w:lang w:eastAsia="zh-CN"/>
              </w:rPr>
            </w:pPr>
            <w:r>
              <w:rPr>
                <w:rFonts w:hint="eastAsia" w:ascii="宋体" w:hAnsi="宋体" w:cs="宋体"/>
                <w:kern w:val="0"/>
                <w:szCs w:val="21"/>
                <w:lang w:eastAsia="zh-CN"/>
              </w:rPr>
              <w:t>S308武济线总干桥桥梁加固工程施工招标项目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4</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lang w:eastAsia="zh-CN"/>
              </w:rPr>
              <w:t>项目</w:t>
            </w:r>
            <w:r>
              <w:rPr>
                <w:rFonts w:hint="eastAsia" w:ascii="宋体" w:hAnsi="宋体" w:eastAsia="宋体" w:cs="宋体"/>
                <w:szCs w:val="21"/>
              </w:rPr>
              <w:t>地点</w:t>
            </w:r>
          </w:p>
        </w:tc>
        <w:tc>
          <w:tcPr>
            <w:tcW w:w="6928" w:type="dxa"/>
            <w:vAlign w:val="center"/>
          </w:tcPr>
          <w:p>
            <w:pPr>
              <w:pageBreakBefore w:val="0"/>
              <w:kinsoku/>
              <w:bidi w:val="0"/>
              <w:spacing w:line="360" w:lineRule="auto"/>
              <w:jc w:val="left"/>
              <w:rPr>
                <w:rFonts w:hint="eastAsia"/>
              </w:rPr>
            </w:pPr>
            <w:r>
              <w:rPr>
                <w:rFonts w:hint="eastAsia"/>
                <w:lang w:eastAsia="zh-CN"/>
              </w:rPr>
              <w:t>武陟县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5</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lang w:eastAsia="zh-CN"/>
              </w:rPr>
              <w:t>项目</w:t>
            </w:r>
            <w:r>
              <w:rPr>
                <w:rFonts w:hint="eastAsia" w:ascii="宋体" w:hAnsi="宋体" w:eastAsia="宋体" w:cs="宋体"/>
                <w:szCs w:val="21"/>
              </w:rPr>
              <w:t>概况</w:t>
            </w:r>
          </w:p>
        </w:tc>
        <w:tc>
          <w:tcPr>
            <w:tcW w:w="6928" w:type="dxa"/>
            <w:vAlign w:val="center"/>
          </w:tcPr>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总干桥位于武陟县东南部S308武济线上跨共产主义渠处，中心桩号为K3+873桥梁全长91m，桥面宽度为17.5m，现对该桥进行加固。</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主要加固方案：</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1.桥面系</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(1)凿除全桥铺装，重新设置双层钢筋网，铺筑15cm厚C50</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防水混凝土+FYT-1改进型防水层+5cm厚中粒式沥青混凝土，并加</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强墩顶桥面连续。重划路面标线。</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(2)清理伸缩缝堵塞物，修补锚固区裂缝，更换橡胶条。(3)修补护栏裂缝，重新涂刷立面标记漆。</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2.上部结构</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(1)更换出现横缝、下挠的空心板，采用无机聚合物砂浆修</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补其它空心板锈胀、剥落等病害。</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(2)空心板顶植筋并与铺装钢筋连接，重新浇筑铰缝混凝土。</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(3)采用顶升法对偏移、脱空的支座及移位的空心板下支座</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进行复位。</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3.下部结构</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(1)重做墩台挡块，内侧粘贴橡胶块。</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(2)墩台盖梁破损、锈胀等处采用无机聚合物砂浆修补。</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lang w:eastAsia="zh-CN"/>
              </w:rPr>
            </w:pPr>
            <w:r>
              <w:rPr>
                <w:rFonts w:hint="eastAsia" w:ascii="宋体" w:hAnsi="宋体" w:eastAsia="宋体" w:cs="宋体"/>
                <w:kern w:val="0"/>
                <w:szCs w:val="21"/>
                <w:shd w:val="clear" w:color="auto" w:fill="FFFFFF"/>
                <w:lang w:eastAsia="zh-CN"/>
              </w:rPr>
              <w:t>(3)支座垫石剥落、掉角等处采用无机聚合物砂浆修补。</w:t>
            </w:r>
          </w:p>
          <w:p>
            <w:pPr>
              <w:pageBreakBefore w:val="0"/>
              <w:kinsoku/>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kern w:val="0"/>
                <w:szCs w:val="21"/>
                <w:shd w:val="clear" w:color="auto" w:fill="FFFFFF"/>
                <w:lang w:eastAsia="zh-CN"/>
              </w:rPr>
              <w:t>(4)采用30cm厚M75浆砌片石修复台前护坡。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资金来源</w:t>
            </w:r>
          </w:p>
        </w:tc>
        <w:tc>
          <w:tcPr>
            <w:tcW w:w="6928" w:type="dxa"/>
            <w:vAlign w:val="center"/>
          </w:tcPr>
          <w:p>
            <w:pPr>
              <w:pageBreakBefore w:val="0"/>
              <w:kinsoku/>
              <w:bidi w:val="0"/>
              <w:spacing w:line="360" w:lineRule="auto"/>
              <w:jc w:val="left"/>
              <w:rPr>
                <w:rFonts w:hint="eastAsia" w:ascii="宋体" w:hAnsi="宋体" w:eastAsia="宋体" w:cs="宋体"/>
                <w:szCs w:val="21"/>
              </w:rPr>
            </w:pPr>
            <w:r>
              <w:rPr>
                <w:rFonts w:hint="eastAsia" w:ascii="宋体" w:hAnsi="宋体" w:cs="宋体"/>
                <w:szCs w:val="21"/>
                <w:lang w:eastAsia="zh-CN"/>
              </w:rPr>
              <w:t>上级</w:t>
            </w:r>
            <w:r>
              <w:rPr>
                <w:rFonts w:hint="eastAsia" w:ascii="宋体" w:hAnsi="宋体" w:eastAsia="宋体" w:cs="宋体"/>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7</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出资比例</w:t>
            </w:r>
          </w:p>
        </w:tc>
        <w:tc>
          <w:tcPr>
            <w:tcW w:w="6928" w:type="dxa"/>
            <w:vAlign w:val="center"/>
          </w:tcPr>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8</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资金落实情况</w:t>
            </w:r>
          </w:p>
        </w:tc>
        <w:tc>
          <w:tcPr>
            <w:tcW w:w="6928" w:type="dxa"/>
            <w:vAlign w:val="center"/>
          </w:tcPr>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预算金额</w:t>
            </w:r>
          </w:p>
        </w:tc>
        <w:tc>
          <w:tcPr>
            <w:tcW w:w="6928" w:type="dxa"/>
            <w:vAlign w:val="center"/>
          </w:tcPr>
          <w:p>
            <w:pPr>
              <w:pageBreakBefore w:val="0"/>
              <w:widowControl/>
              <w:kinsoku/>
              <w:bidi w:val="0"/>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2040788.13元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磋商范围</w:t>
            </w:r>
          </w:p>
        </w:tc>
        <w:tc>
          <w:tcPr>
            <w:tcW w:w="6928" w:type="dxa"/>
            <w:vAlign w:val="center"/>
          </w:tcPr>
          <w:p>
            <w:pPr>
              <w:pageBreakBefore w:val="0"/>
              <w:widowControl/>
              <w:kinsoku/>
              <w:bidi w:val="0"/>
              <w:spacing w:line="360" w:lineRule="auto"/>
              <w:jc w:val="left"/>
              <w:rPr>
                <w:rFonts w:hint="eastAsia" w:ascii="宋体" w:hAnsi="宋体" w:eastAsia="宋体" w:cs="宋体"/>
                <w:szCs w:val="21"/>
                <w:lang w:eastAsia="zh-CN"/>
              </w:rPr>
            </w:pPr>
            <w:r>
              <w:rPr>
                <w:rFonts w:hint="eastAsia" w:ascii="宋体" w:hAnsi="宋体" w:eastAsia="宋体" w:cs="宋体"/>
                <w:kern w:val="0"/>
                <w:szCs w:val="21"/>
                <w:shd w:val="clear" w:color="auto" w:fill="FFFFFF"/>
                <w:lang w:eastAsia="zh-CN"/>
              </w:rPr>
              <w:t>竞争性磋商文件、图纸、</w:t>
            </w:r>
            <w:r>
              <w:rPr>
                <w:rFonts w:hint="eastAsia" w:ascii="宋体" w:hAnsi="宋体" w:eastAsia="宋体" w:cs="宋体"/>
                <w:kern w:val="0"/>
                <w:szCs w:val="21"/>
                <w:shd w:val="clear" w:color="auto" w:fill="FFFFFF"/>
              </w:rPr>
              <w:t>工程量清单范围内的所有内容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1900" w:type="dxa"/>
            <w:vAlign w:val="center"/>
          </w:tcPr>
          <w:p>
            <w:pPr>
              <w:pageBreakBefore w:val="0"/>
              <w:kinsoku/>
              <w:bidi w:val="0"/>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工期</w:t>
            </w:r>
          </w:p>
        </w:tc>
        <w:tc>
          <w:tcPr>
            <w:tcW w:w="6928" w:type="dxa"/>
            <w:vAlign w:val="center"/>
          </w:tcPr>
          <w:p>
            <w:pPr>
              <w:pageBreakBefore w:val="0"/>
              <w:kinsoku/>
              <w:bidi w:val="0"/>
              <w:spacing w:line="360" w:lineRule="auto"/>
              <w:jc w:val="left"/>
              <w:rPr>
                <w:rFonts w:hint="eastAsia"/>
              </w:rPr>
            </w:pPr>
            <w:r>
              <w:rPr>
                <w:rFonts w:hint="eastAsia"/>
                <w:lang w:val="en-US" w:eastAsia="zh-CN"/>
              </w:rPr>
              <w:t>120</w:t>
            </w:r>
            <w:r>
              <w:rPr>
                <w:rFonts w:hint="eastAsia"/>
              </w:rPr>
              <w:t>日历天</w:t>
            </w:r>
          </w:p>
          <w:p>
            <w:pPr>
              <w:pStyle w:val="2"/>
              <w:rPr>
                <w:rFonts w:hint="default" w:eastAsia="宋体"/>
                <w:lang w:val="en-US" w:eastAsia="zh-CN"/>
              </w:rPr>
            </w:pPr>
            <w:r>
              <w:rPr>
                <w:rFonts w:hint="eastAsia" w:ascii="宋体" w:hAnsi="宋体" w:cs="宋体"/>
                <w:color w:val="000000" w:themeColor="text1"/>
                <w:szCs w:val="21"/>
                <w:lang w:val="en-US" w:eastAsia="zh-CN"/>
                <w14:textFill>
                  <w14:solidFill>
                    <w14:schemeClr w14:val="tx1"/>
                  </w14:solidFill>
                </w14:textFill>
              </w:rPr>
              <w:t>缺陷责任期1年（通过交工验收之日算起）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质量要求</w:t>
            </w:r>
          </w:p>
        </w:tc>
        <w:tc>
          <w:tcPr>
            <w:tcW w:w="6928" w:type="dxa"/>
            <w:vAlign w:val="center"/>
          </w:tcPr>
          <w:p>
            <w:pPr>
              <w:pageBreakBefore w:val="0"/>
              <w:kinsoku/>
              <w:bidi w:val="0"/>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工程交工验收的质量评定：合格；</w:t>
            </w:r>
          </w:p>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lang w:val="en-US" w:eastAsia="zh-CN"/>
              </w:rPr>
              <w:t>竣工验收的质量评定：优良。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pPr>
              <w:pageBreakBefore w:val="0"/>
              <w:kinsoku/>
              <w:bidi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13</w:t>
            </w:r>
          </w:p>
        </w:tc>
        <w:tc>
          <w:tcPr>
            <w:tcW w:w="1900" w:type="dxa"/>
            <w:vAlign w:val="center"/>
          </w:tcPr>
          <w:p>
            <w:pPr>
              <w:pageBreakBefore w:val="0"/>
              <w:kinsoku/>
              <w:bidi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供应商资质条件、能力和信誉</w:t>
            </w:r>
          </w:p>
        </w:tc>
        <w:tc>
          <w:tcPr>
            <w:tcW w:w="6928" w:type="dxa"/>
            <w:vAlign w:val="center"/>
          </w:tcPr>
          <w:p>
            <w:pPr>
              <w:pageBreakBefore w:val="0"/>
              <w:kinsoku/>
              <w:bidi w:val="0"/>
              <w:spacing w:line="360" w:lineRule="auto"/>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1.满足《中华人民共和国政府采购法》第二十二条规定；</w:t>
            </w:r>
          </w:p>
          <w:p>
            <w:pPr>
              <w:pageBreakBefore w:val="0"/>
              <w:kinsoku/>
              <w:bidi w:val="0"/>
              <w:spacing w:line="360" w:lineRule="auto"/>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2.落实政府采购政策需满足的资格要求：本项目专门面向中小企业采购，供应商应为中小微企业；</w:t>
            </w:r>
          </w:p>
          <w:p>
            <w:pPr>
              <w:pageBreakBefore w:val="0"/>
              <w:kinsoku/>
              <w:bidi w:val="0"/>
              <w:spacing w:line="360" w:lineRule="auto"/>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3.本项目的特定资格要求：</w:t>
            </w:r>
          </w:p>
          <w:p>
            <w:pPr>
              <w:pageBreakBefore w:val="0"/>
              <w:kinsoku/>
              <w:bidi w:val="0"/>
              <w:spacing w:line="360" w:lineRule="auto"/>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3.1投标人须具有公路工程施工总承包贰级及以上资质，且同时具备公路养护工程二类乙级。且具备有效的安全生产许可证，并在人员、设备、资金等方面具有相应的施工能力；</w:t>
            </w:r>
          </w:p>
          <w:p>
            <w:pPr>
              <w:pageBreakBefore w:val="0"/>
              <w:kinsoku/>
              <w:bidi w:val="0"/>
              <w:spacing w:line="360" w:lineRule="auto"/>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3.2拟派项目经理须具有公路工程二级及以上建造师资格证书，并具有交通专业或道桥专业中级及以上技术职称，具有有效期内安全生产考核合格证（B证），且目前未担任其他在建工程项目的项目经理。</w:t>
            </w:r>
          </w:p>
          <w:p>
            <w:pPr>
              <w:pageBreakBefore w:val="0"/>
              <w:kinsoku/>
              <w:bidi w:val="0"/>
              <w:spacing w:line="360" w:lineRule="auto"/>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3.3业绩要求：投标人具有2017年1月1日以来类似项目业绩。</w:t>
            </w:r>
          </w:p>
          <w:p>
            <w:pPr>
              <w:pageBreakBefore w:val="0"/>
              <w:kinsoku/>
              <w:bidi w:val="0"/>
              <w:spacing w:line="360" w:lineRule="auto"/>
              <w:ind w:firstLine="210" w:firstLineChars="100"/>
              <w:jc w:val="left"/>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3.4</w:t>
            </w:r>
            <w:r>
              <w:rPr>
                <w:rFonts w:hint="eastAsia" w:ascii="宋体" w:hAnsi="宋体" w:eastAsia="宋体" w:cs="宋体"/>
                <w:b w:val="0"/>
                <w:bCs w:val="0"/>
                <w:sz w:val="21"/>
                <w:szCs w:val="21"/>
              </w:rPr>
              <w:t>提供经中国人民银行备案的第三方征信机构出具的有效期内（未注明有效期的，自信用报告出具之日起有效期不得超过二年，如2018年10月1日出具的信用报告，信用报告上未体现有效期的，有效期截止2020年9月30日）的信用报告，且信用等级达到A级及以上；并提供出具该信用报告的第三方征信机构在中国人民银行备案的证明材料。</w:t>
            </w:r>
          </w:p>
          <w:p>
            <w:pPr>
              <w:pageBreakBefore w:val="0"/>
              <w:kinsoku/>
              <w:bidi w:val="0"/>
              <w:spacing w:line="360" w:lineRule="auto"/>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rPr>
              <w:t>信誉要求：：按照《财政部关于在政府采购活动中查询及使用信用记录有关问题的通知》（财库〔2016〕125号）的要求，根据“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w:t>
            </w:r>
          </w:p>
          <w:p>
            <w:pPr>
              <w:pageBreakBefore w:val="0"/>
              <w:kinsoku/>
              <w:bidi w:val="0"/>
              <w:spacing w:line="360" w:lineRule="auto"/>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cs="宋体"/>
                <w:b w:val="0"/>
                <w:bCs w:val="0"/>
                <w:sz w:val="21"/>
                <w:szCs w:val="21"/>
                <w:lang w:val="en-US" w:eastAsia="zh-CN"/>
              </w:rPr>
              <w:t>6</w:t>
            </w:r>
            <w:r>
              <w:rPr>
                <w:rFonts w:hint="eastAsia" w:ascii="宋体" w:hAnsi="宋体" w:eastAsia="宋体" w:cs="宋体"/>
                <w:b w:val="0"/>
                <w:bCs w:val="0"/>
                <w:sz w:val="21"/>
                <w:szCs w:val="21"/>
              </w:rPr>
              <w:t>、供应商及其法定代表人、委托代理人、项目经理均无行贿犯罪记录（提供无行贿犯罪记录承诺书）。</w:t>
            </w:r>
          </w:p>
          <w:p>
            <w:pPr>
              <w:pageBreakBefore w:val="0"/>
              <w:kinsoku/>
              <w:bidi w:val="0"/>
              <w:spacing w:line="360" w:lineRule="auto"/>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cs="宋体"/>
                <w:b w:val="0"/>
                <w:bCs w:val="0"/>
                <w:sz w:val="21"/>
                <w:szCs w:val="21"/>
                <w:lang w:val="en-US" w:eastAsia="zh-CN"/>
              </w:rPr>
              <w:t>7</w:t>
            </w:r>
            <w:r>
              <w:rPr>
                <w:rFonts w:hint="eastAsia" w:ascii="宋体" w:hAnsi="宋体" w:eastAsia="宋体" w:cs="宋体"/>
                <w:b w:val="0"/>
                <w:bCs w:val="0"/>
                <w:sz w:val="21"/>
                <w:szCs w:val="21"/>
              </w:rPr>
              <w:t>本次招标不接受联合体投标。</w:t>
            </w:r>
          </w:p>
          <w:p>
            <w:pPr>
              <w:pageBreakBefore w:val="0"/>
              <w:kinsoku/>
              <w:bidi w:val="0"/>
              <w:spacing w:line="360" w:lineRule="auto"/>
              <w:ind w:firstLine="211" w:firstLineChars="100"/>
              <w:jc w:val="left"/>
              <w:rPr>
                <w:rFonts w:hint="eastAsia" w:ascii="宋体" w:hAnsi="宋体" w:eastAsia="宋体" w:cs="宋体"/>
                <w:szCs w:val="21"/>
              </w:rPr>
            </w:pPr>
            <w:r>
              <w:rPr>
                <w:rFonts w:hint="eastAsia" w:ascii="宋体" w:hAnsi="宋体" w:eastAsia="宋体" w:cs="宋体"/>
                <w:b/>
                <w:bCs/>
                <w:szCs w:val="21"/>
              </w:rPr>
              <w:t>注：单位负责人为同一人或者存在直接控股、管理关系的不同单位，不得同时对该项目进行磋商。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1" w:type="dxa"/>
            <w:vAlign w:val="center"/>
          </w:tcPr>
          <w:p>
            <w:pPr>
              <w:pageBreakBefore w:val="0"/>
              <w:kinsoku/>
              <w:bidi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14</w:t>
            </w:r>
          </w:p>
        </w:tc>
        <w:tc>
          <w:tcPr>
            <w:tcW w:w="1900" w:type="dxa"/>
            <w:vAlign w:val="center"/>
          </w:tcPr>
          <w:p>
            <w:pPr>
              <w:pageBreakBefore w:val="0"/>
              <w:kinsoku/>
              <w:bidi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踏勘现场</w:t>
            </w:r>
          </w:p>
        </w:tc>
        <w:tc>
          <w:tcPr>
            <w:tcW w:w="6928" w:type="dxa"/>
            <w:vAlign w:val="center"/>
          </w:tcPr>
          <w:p>
            <w:pPr>
              <w:pageBreakBefore w:val="0"/>
              <w:kinsoku/>
              <w:bidi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1" w:type="dxa"/>
            <w:vAlign w:val="center"/>
          </w:tcPr>
          <w:p>
            <w:pPr>
              <w:pageBreakBefore w:val="0"/>
              <w:kinsoku/>
              <w:bidi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15</w:t>
            </w:r>
          </w:p>
        </w:tc>
        <w:tc>
          <w:tcPr>
            <w:tcW w:w="1900" w:type="dxa"/>
            <w:vAlign w:val="center"/>
          </w:tcPr>
          <w:p>
            <w:pPr>
              <w:pageBreakBefore w:val="0"/>
              <w:kinsoku/>
              <w:bidi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磋商预备会</w:t>
            </w:r>
          </w:p>
        </w:tc>
        <w:tc>
          <w:tcPr>
            <w:tcW w:w="6928" w:type="dxa"/>
            <w:vAlign w:val="center"/>
          </w:tcPr>
          <w:p>
            <w:pPr>
              <w:pageBreakBefore w:val="0"/>
              <w:kinsoku/>
              <w:bidi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pPr>
              <w:pStyle w:val="28"/>
              <w:pageBreakBefore w:val="0"/>
              <w:kinsoku/>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900" w:type="dxa"/>
            <w:vAlign w:val="center"/>
          </w:tcPr>
          <w:p>
            <w:pPr>
              <w:pageBreakBefore w:val="0"/>
              <w:kinsoku/>
              <w:autoSpaceDE w:val="0"/>
              <w:autoSpaceDN w:val="0"/>
              <w:bidi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供应商提出问题的截止时间</w:t>
            </w:r>
          </w:p>
        </w:tc>
        <w:tc>
          <w:tcPr>
            <w:tcW w:w="6928" w:type="dxa"/>
            <w:vAlign w:val="center"/>
          </w:tcPr>
          <w:p>
            <w:pPr>
              <w:pageBreakBefore w:val="0"/>
              <w:kinsoku/>
              <w:autoSpaceDE w:val="0"/>
              <w:autoSpaceDN w:val="0"/>
              <w:bidi w:val="0"/>
              <w:adjustRightInd w:val="0"/>
              <w:spacing w:line="360" w:lineRule="auto"/>
              <w:rPr>
                <w:rFonts w:hint="eastAsia" w:ascii="宋体" w:hAnsi="宋体" w:eastAsia="宋体" w:cs="宋体"/>
                <w:kern w:val="0"/>
                <w:szCs w:val="21"/>
              </w:rPr>
            </w:pPr>
            <w:r>
              <w:rPr>
                <w:rFonts w:hint="eastAsia" w:ascii="宋体" w:hAnsi="宋体" w:eastAsia="宋体" w:cs="宋体"/>
                <w:kern w:val="0"/>
                <w:szCs w:val="21"/>
              </w:rPr>
              <w:t>响应文件递交截止时间5日前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pPr>
              <w:pStyle w:val="28"/>
              <w:pageBreakBefore w:val="0"/>
              <w:kinsoku/>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900" w:type="dxa"/>
            <w:vAlign w:val="center"/>
          </w:tcPr>
          <w:p>
            <w:pPr>
              <w:pageBreakBefore w:val="0"/>
              <w:kinsoku/>
              <w:autoSpaceDE w:val="0"/>
              <w:autoSpaceDN w:val="0"/>
              <w:bidi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采购人澄清的时间</w:t>
            </w:r>
          </w:p>
        </w:tc>
        <w:tc>
          <w:tcPr>
            <w:tcW w:w="6928" w:type="dxa"/>
            <w:vAlign w:val="center"/>
          </w:tcPr>
          <w:p>
            <w:pPr>
              <w:pageBreakBefore w:val="0"/>
              <w:kinsoku/>
              <w:autoSpaceDE w:val="0"/>
              <w:autoSpaceDN w:val="0"/>
              <w:bidi w:val="0"/>
              <w:adjustRightInd w:val="0"/>
              <w:spacing w:line="360" w:lineRule="auto"/>
              <w:rPr>
                <w:rFonts w:hint="eastAsia" w:ascii="宋体" w:hAnsi="宋体" w:eastAsia="宋体" w:cs="宋体"/>
                <w:kern w:val="0"/>
                <w:szCs w:val="21"/>
              </w:rPr>
            </w:pPr>
            <w:r>
              <w:rPr>
                <w:rFonts w:hint="eastAsia" w:ascii="宋体" w:hAnsi="宋体" w:eastAsia="宋体" w:cs="宋体"/>
                <w:kern w:val="0"/>
                <w:szCs w:val="21"/>
              </w:rPr>
              <w:t>响应文件递交截止时间5日前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pPr>
              <w:pageBreakBefore w:val="0"/>
              <w:kinsoku/>
              <w:bidi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18</w:t>
            </w:r>
          </w:p>
        </w:tc>
        <w:tc>
          <w:tcPr>
            <w:tcW w:w="1900" w:type="dxa"/>
            <w:vAlign w:val="center"/>
          </w:tcPr>
          <w:p>
            <w:pPr>
              <w:pageBreakBefore w:val="0"/>
              <w:kinsoku/>
              <w:bidi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分包</w:t>
            </w:r>
          </w:p>
        </w:tc>
        <w:tc>
          <w:tcPr>
            <w:tcW w:w="6928" w:type="dxa"/>
            <w:vAlign w:val="center"/>
          </w:tcPr>
          <w:p>
            <w:pPr>
              <w:pageBreakBefore w:val="0"/>
              <w:kinsoku/>
              <w:bidi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未经采购人许可不允许分包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11" w:type="dxa"/>
            <w:vAlign w:val="center"/>
          </w:tcPr>
          <w:p>
            <w:pPr>
              <w:pageBreakBefore w:val="0"/>
              <w:kinsoku/>
              <w:bidi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19</w:t>
            </w:r>
          </w:p>
        </w:tc>
        <w:tc>
          <w:tcPr>
            <w:tcW w:w="1900" w:type="dxa"/>
            <w:vAlign w:val="center"/>
          </w:tcPr>
          <w:p>
            <w:pPr>
              <w:pageBreakBefore w:val="0"/>
              <w:kinsoku/>
              <w:bidi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偏离</w:t>
            </w:r>
          </w:p>
        </w:tc>
        <w:tc>
          <w:tcPr>
            <w:tcW w:w="6928" w:type="dxa"/>
            <w:vAlign w:val="center"/>
          </w:tcPr>
          <w:p>
            <w:pPr>
              <w:pageBreakBefore w:val="0"/>
              <w:kinsoku/>
              <w:bidi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11" w:type="dxa"/>
            <w:vAlign w:val="center"/>
          </w:tcPr>
          <w:p>
            <w:pPr>
              <w:pageBreakBefore w:val="0"/>
              <w:kinsoku/>
              <w:bidi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w:t>
            </w:r>
          </w:p>
        </w:tc>
        <w:tc>
          <w:tcPr>
            <w:tcW w:w="1900" w:type="dxa"/>
            <w:vAlign w:val="center"/>
          </w:tcPr>
          <w:p>
            <w:pPr>
              <w:pageBreakBefore w:val="0"/>
              <w:kinsoku/>
              <w:bidi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构成磋商文件的其他材料</w:t>
            </w:r>
          </w:p>
        </w:tc>
        <w:tc>
          <w:tcPr>
            <w:tcW w:w="6928" w:type="dxa"/>
            <w:vAlign w:val="center"/>
          </w:tcPr>
          <w:p>
            <w:pPr>
              <w:pageBreakBefore w:val="0"/>
              <w:kinsoku/>
              <w:bidi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磋商文件的补充文件（如有）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w:t>
            </w:r>
          </w:p>
        </w:tc>
        <w:tc>
          <w:tcPr>
            <w:tcW w:w="1900" w:type="dxa"/>
            <w:vAlign w:val="center"/>
          </w:tcPr>
          <w:p>
            <w:pPr>
              <w:pageBreakBefore w:val="0"/>
              <w:kinsoku/>
              <w:autoSpaceDE w:val="0"/>
              <w:autoSpaceDN w:val="0"/>
              <w:bidi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供应商要求澄清磋商文件的截止时间</w:t>
            </w:r>
          </w:p>
        </w:tc>
        <w:tc>
          <w:tcPr>
            <w:tcW w:w="6928" w:type="dxa"/>
            <w:vAlign w:val="center"/>
          </w:tcPr>
          <w:p>
            <w:pPr>
              <w:pageBreakBefore w:val="0"/>
              <w:kinsoku/>
              <w:autoSpaceDE w:val="0"/>
              <w:autoSpaceDN w:val="0"/>
              <w:bidi w:val="0"/>
              <w:adjustRightIn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响应文件递交截止时间5日前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22</w:t>
            </w:r>
          </w:p>
        </w:tc>
        <w:tc>
          <w:tcPr>
            <w:tcW w:w="1900" w:type="dxa"/>
            <w:vAlign w:val="center"/>
          </w:tcPr>
          <w:p>
            <w:pPr>
              <w:pageBreakBefore w:val="0"/>
              <w:kinsoku/>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6928" w:type="dxa"/>
            <w:vAlign w:val="center"/>
          </w:tcPr>
          <w:p>
            <w:pPr>
              <w:pageBreakBefore w:val="0"/>
              <w:kinsoku/>
              <w:bidi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日09:</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0:00（北京时间，以开标厅电子时钟为准）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23</w:t>
            </w:r>
          </w:p>
        </w:tc>
        <w:tc>
          <w:tcPr>
            <w:tcW w:w="1900" w:type="dxa"/>
            <w:vAlign w:val="center"/>
          </w:tcPr>
          <w:p>
            <w:pPr>
              <w:pageBreakBefore w:val="0"/>
              <w:kinsoku/>
              <w:bidi w:val="0"/>
              <w:spacing w:line="360" w:lineRule="auto"/>
              <w:jc w:val="center"/>
              <w:rPr>
                <w:rFonts w:hint="eastAsia" w:ascii="宋体" w:hAnsi="宋体" w:eastAsia="宋体" w:cs="宋体"/>
                <w:kern w:val="0"/>
                <w:szCs w:val="21"/>
              </w:rPr>
            </w:pPr>
            <w:r>
              <w:rPr>
                <w:rFonts w:hint="eastAsia" w:ascii="宋体" w:hAnsi="宋体" w:eastAsia="宋体" w:cs="宋体"/>
                <w:szCs w:val="21"/>
              </w:rPr>
              <w:t>构成响应文件的其他材料</w:t>
            </w:r>
          </w:p>
        </w:tc>
        <w:tc>
          <w:tcPr>
            <w:tcW w:w="6928" w:type="dxa"/>
            <w:vAlign w:val="center"/>
          </w:tcPr>
          <w:p>
            <w:pPr>
              <w:pageBreakBefore w:val="0"/>
              <w:kinsoku/>
              <w:bidi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24</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磋商有效期</w:t>
            </w:r>
          </w:p>
        </w:tc>
        <w:tc>
          <w:tcPr>
            <w:tcW w:w="6928" w:type="dxa"/>
            <w:vAlign w:val="center"/>
          </w:tcPr>
          <w:p>
            <w:pPr>
              <w:pageBreakBefore w:val="0"/>
              <w:kinsoku/>
              <w:bidi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磋商保证金</w:t>
            </w:r>
          </w:p>
        </w:tc>
        <w:tc>
          <w:tcPr>
            <w:tcW w:w="6928" w:type="dxa"/>
          </w:tcPr>
          <w:p>
            <w:pPr>
              <w:pageBreakBefore w:val="0"/>
              <w:kinsoku/>
              <w:bidi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1.磋商保证金的金额：人民币</w:t>
            </w:r>
            <w:r>
              <w:rPr>
                <w:rFonts w:hint="eastAsia" w:ascii="宋体" w:hAnsi="宋体" w:cs="宋体"/>
                <w:color w:val="auto"/>
                <w:szCs w:val="21"/>
                <w:lang w:eastAsia="zh-CN"/>
              </w:rPr>
              <w:t>肆</w:t>
            </w:r>
            <w:r>
              <w:rPr>
                <w:rFonts w:hint="eastAsia" w:ascii="宋体" w:hAnsi="宋体" w:eastAsia="宋体" w:cs="宋体"/>
                <w:color w:val="auto"/>
                <w:szCs w:val="21"/>
                <w:lang w:eastAsia="zh-CN"/>
              </w:rPr>
              <w:t>万元整</w:t>
            </w: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b w:val="0"/>
                <w:bCs w:val="0"/>
                <w:color w:val="auto"/>
                <w:szCs w:val="21"/>
                <w:lang w:val="en-US" w:eastAsia="zh-CN"/>
              </w:rPr>
              <w:t>0</w:t>
            </w:r>
            <w:r>
              <w:rPr>
                <w:rFonts w:hint="eastAsia" w:ascii="宋体" w:hAnsi="宋体" w:eastAsia="宋体" w:cs="宋体"/>
                <w:b w:val="0"/>
                <w:bCs w:val="0"/>
                <w:color w:val="auto"/>
                <w:szCs w:val="21"/>
              </w:rPr>
              <w:t>000.00</w:t>
            </w:r>
            <w:r>
              <w:rPr>
                <w:rFonts w:hint="eastAsia" w:ascii="宋体" w:hAnsi="宋体" w:eastAsia="宋体" w:cs="宋体"/>
                <w:color w:val="auto"/>
                <w:szCs w:val="21"/>
              </w:rPr>
              <w:t>（暂不缴纳）</w:t>
            </w:r>
          </w:p>
          <w:p>
            <w:pPr>
              <w:pageBreakBefore w:val="0"/>
              <w:kinsoku/>
              <w:bidi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rPr>
              <w:t>2.供应商有下列情形之一的，采购人将追索磋商保证金人民币</w:t>
            </w:r>
            <w:r>
              <w:rPr>
                <w:rFonts w:hint="eastAsia" w:ascii="宋体" w:hAnsi="宋体" w:eastAsia="宋体" w:cs="宋体"/>
                <w:color w:val="auto"/>
                <w:szCs w:val="21"/>
                <w:lang w:eastAsia="zh-CN"/>
              </w:rPr>
              <w:t>肆万元整</w:t>
            </w: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b w:val="0"/>
                <w:bCs w:val="0"/>
                <w:color w:val="auto"/>
                <w:szCs w:val="21"/>
              </w:rPr>
              <w:t>0</w:t>
            </w:r>
            <w:r>
              <w:rPr>
                <w:rFonts w:hint="eastAsia" w:ascii="宋体" w:hAnsi="宋体" w:eastAsia="宋体" w:cs="宋体"/>
                <w:b w:val="0"/>
                <w:bCs w:val="0"/>
                <w:color w:val="auto"/>
                <w:szCs w:val="21"/>
                <w:lang w:val="en-US" w:eastAsia="zh-CN"/>
              </w:rPr>
              <w:t>0</w:t>
            </w:r>
            <w:r>
              <w:rPr>
                <w:rFonts w:hint="eastAsia" w:ascii="宋体" w:hAnsi="宋体" w:eastAsia="宋体" w:cs="宋体"/>
                <w:b w:val="0"/>
                <w:bCs w:val="0"/>
                <w:color w:val="auto"/>
                <w:szCs w:val="21"/>
              </w:rPr>
              <w:t>00.00</w:t>
            </w:r>
            <w:r>
              <w:rPr>
                <w:rFonts w:hint="eastAsia" w:ascii="宋体" w:hAnsi="宋体" w:eastAsia="宋体" w:cs="宋体"/>
                <w:color w:val="auto"/>
                <w:szCs w:val="21"/>
              </w:rPr>
              <w:t>，并予以没收，供应</w:t>
            </w:r>
            <w:r>
              <w:rPr>
                <w:rFonts w:hint="eastAsia" w:ascii="宋体" w:hAnsi="宋体" w:eastAsia="宋体" w:cs="宋体"/>
                <w:color w:val="auto"/>
                <w:szCs w:val="21"/>
                <w:highlight w:val="none"/>
              </w:rPr>
              <w:t>商应作出相应承诺（承诺书格式见第</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章响应文件格式中）：</w:t>
            </w:r>
          </w:p>
          <w:p>
            <w:pPr>
              <w:pageBreakBefore w:val="0"/>
              <w:kinsoku/>
              <w:bidi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highlight w:val="none"/>
              </w:rPr>
              <w:t>（1）供应商在提交响应文件截止时间</w:t>
            </w:r>
            <w:r>
              <w:rPr>
                <w:rFonts w:hint="eastAsia" w:ascii="宋体" w:hAnsi="宋体" w:eastAsia="宋体" w:cs="宋体"/>
                <w:color w:val="auto"/>
                <w:szCs w:val="21"/>
              </w:rPr>
              <w:t>后或磋商有效期内撤回响应文件的；</w:t>
            </w:r>
          </w:p>
          <w:p>
            <w:pPr>
              <w:pageBreakBefore w:val="0"/>
              <w:kinsoku/>
              <w:bidi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（2）供应商在响应文件中提供虚假材料的；</w:t>
            </w:r>
          </w:p>
          <w:p>
            <w:pPr>
              <w:pageBreakBefore w:val="0"/>
              <w:kinsoku/>
              <w:bidi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（3）除因不可抗力或竞争性磋商文件认可的情形以外，成交供应商不与采购人签订合同的；</w:t>
            </w:r>
          </w:p>
          <w:p>
            <w:pPr>
              <w:pageBreakBefore w:val="0"/>
              <w:kinsoku/>
              <w:bidi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（4）供应商与采购人、其他供应商或者采购代理机构恶意串通的。</w:t>
            </w:r>
          </w:p>
          <w:p>
            <w:pPr>
              <w:pageBreakBefore w:val="0"/>
              <w:kinsoku/>
              <w:bidi w:val="0"/>
              <w:spacing w:line="360" w:lineRule="auto"/>
              <w:jc w:val="left"/>
              <w:rPr>
                <w:rFonts w:hint="eastAsia" w:ascii="宋体" w:hAnsi="宋体" w:eastAsia="宋体" w:cs="宋体"/>
                <w:color w:val="auto"/>
              </w:rPr>
            </w:pPr>
            <w:r>
              <w:rPr>
                <w:rFonts w:hint="eastAsia" w:ascii="宋体" w:hAnsi="宋体" w:eastAsia="宋体" w:cs="宋体"/>
                <w:color w:val="auto"/>
                <w:szCs w:val="21"/>
              </w:rPr>
              <w:t>3.供应商违反上述规定且拒不支付磋商保证金的，采购人可向武陟县人民法院起诉追索磋商保证金。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26</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近年财务状况报告的年份要求</w:t>
            </w:r>
          </w:p>
        </w:tc>
        <w:tc>
          <w:tcPr>
            <w:tcW w:w="6928" w:type="dxa"/>
            <w:vAlign w:val="center"/>
          </w:tcPr>
          <w:p>
            <w:pPr>
              <w:pageBreakBefore w:val="0"/>
              <w:kinsoku/>
              <w:bidi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根据焦财采购【2021】8号文要求，符合《符合政府采购法》第二十二条规定的资格条件，按照采购文件约定提供资格承诺，不再提供资质材料，主要包括供应商在响应文件中无需提供营业执照、财务状况报告、依法缴纳税收和社会保障资金、具有履行合同所必需的设备和专业技术能力、参加政府采购活动前三年内在经营活动中没有重大违法记录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27</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是否允许递交备选磋商方案</w:t>
            </w:r>
          </w:p>
        </w:tc>
        <w:tc>
          <w:tcPr>
            <w:tcW w:w="6928" w:type="dxa"/>
            <w:vAlign w:val="center"/>
          </w:tcPr>
          <w:p>
            <w:pPr>
              <w:pageBreakBefore w:val="0"/>
              <w:kinsoku/>
              <w:bidi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28</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签字或盖章要求</w:t>
            </w:r>
          </w:p>
        </w:tc>
        <w:tc>
          <w:tcPr>
            <w:tcW w:w="6928" w:type="dxa"/>
            <w:vAlign w:val="center"/>
          </w:tcPr>
          <w:p>
            <w:pPr>
              <w:pStyle w:val="56"/>
              <w:pageBreakBefore w:val="0"/>
              <w:kinsoku/>
              <w:bidi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（1）所有要求供应商加盖公章的地方都须加盖供应商单位的 CA 印章。</w:t>
            </w:r>
          </w:p>
          <w:p>
            <w:pPr>
              <w:pStyle w:val="56"/>
              <w:pageBreakBefore w:val="0"/>
              <w:kinsoku/>
              <w:bidi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29</w:t>
            </w:r>
          </w:p>
        </w:tc>
        <w:tc>
          <w:tcPr>
            <w:tcW w:w="1900"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响应文件份数</w:t>
            </w:r>
          </w:p>
        </w:tc>
        <w:tc>
          <w:tcPr>
            <w:tcW w:w="6928" w:type="dxa"/>
            <w:vAlign w:val="center"/>
          </w:tcPr>
          <w:p>
            <w:pPr>
              <w:pageBreakBefore w:val="0"/>
              <w:kinsoku/>
              <w:bidi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加密的电子</w:t>
            </w:r>
            <w:r>
              <w:rPr>
                <w:rFonts w:hint="eastAsia" w:ascii="宋体" w:hAnsi="宋体" w:eastAsia="宋体" w:cs="宋体"/>
                <w:color w:val="auto"/>
                <w:szCs w:val="21"/>
                <w:lang w:eastAsia="zh-CN"/>
              </w:rPr>
              <w:t>响应</w:t>
            </w:r>
            <w:r>
              <w:rPr>
                <w:rFonts w:hint="eastAsia" w:ascii="宋体" w:hAnsi="宋体" w:eastAsia="宋体" w:cs="宋体"/>
                <w:color w:val="auto"/>
                <w:szCs w:val="21"/>
              </w:rPr>
              <w:t>文件一份（*.jztf 格式，在会员系统指定位置上传）。自备非加密的电子响应文件一份，如有紧急情况，在不见面开标按要求上传。</w:t>
            </w:r>
          </w:p>
          <w:p>
            <w:pPr>
              <w:pageBreakBefore w:val="0"/>
              <w:kinsoku/>
              <w:bidi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注：本项目</w:t>
            </w:r>
            <w:r>
              <w:rPr>
                <w:rFonts w:hint="eastAsia" w:ascii="宋体" w:hAnsi="宋体" w:eastAsia="宋体" w:cs="宋体"/>
                <w:color w:val="auto"/>
                <w:szCs w:val="21"/>
                <w:lang w:eastAsia="zh-CN"/>
              </w:rPr>
              <w:t>磋商</w:t>
            </w:r>
            <w:r>
              <w:rPr>
                <w:rFonts w:hint="eastAsia" w:ascii="宋体" w:hAnsi="宋体" w:eastAsia="宋体" w:cs="宋体"/>
                <w:color w:val="auto"/>
                <w:szCs w:val="21"/>
              </w:rPr>
              <w:t>时不需要提供纸质响应文件。成交供应商在确定</w:t>
            </w:r>
            <w:r>
              <w:rPr>
                <w:rFonts w:hint="eastAsia" w:ascii="宋体" w:hAnsi="宋体" w:cs="宋体"/>
                <w:color w:val="auto"/>
                <w:szCs w:val="21"/>
                <w:lang w:eastAsia="zh-CN"/>
              </w:rPr>
              <w:t>成交</w:t>
            </w:r>
            <w:r>
              <w:rPr>
                <w:rFonts w:hint="eastAsia" w:ascii="宋体" w:hAnsi="宋体" w:eastAsia="宋体" w:cs="宋体"/>
                <w:color w:val="auto"/>
                <w:szCs w:val="21"/>
              </w:rPr>
              <w:t>后，领取</w:t>
            </w:r>
            <w:r>
              <w:rPr>
                <w:rFonts w:hint="eastAsia" w:ascii="宋体" w:hAnsi="宋体" w:cs="宋体"/>
                <w:color w:val="auto"/>
                <w:szCs w:val="21"/>
                <w:lang w:eastAsia="zh-CN"/>
              </w:rPr>
              <w:t>成交</w:t>
            </w:r>
            <w:r>
              <w:rPr>
                <w:rFonts w:hint="eastAsia" w:ascii="宋体" w:hAnsi="宋体" w:eastAsia="宋体" w:cs="宋体"/>
                <w:color w:val="auto"/>
                <w:szCs w:val="21"/>
              </w:rPr>
              <w:t>通知书时需提供四份使用CA系统打印出来的完整的响应文件递交采购人或采购代理机构（其中，正本一份，副本三份）及不加密格式电子文件一份。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30</w:t>
            </w:r>
          </w:p>
        </w:tc>
        <w:tc>
          <w:tcPr>
            <w:tcW w:w="1900" w:type="dxa"/>
            <w:vAlign w:val="center"/>
          </w:tcPr>
          <w:p>
            <w:pPr>
              <w:pageBreakBefore w:val="0"/>
              <w:kinsoku/>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是否退还响应文件</w:t>
            </w:r>
          </w:p>
        </w:tc>
        <w:tc>
          <w:tcPr>
            <w:tcW w:w="6928" w:type="dxa"/>
            <w:vAlign w:val="center"/>
          </w:tcPr>
          <w:p>
            <w:pPr>
              <w:pageBreakBefore w:val="0"/>
              <w:kinsoku/>
              <w:bidi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31</w:t>
            </w:r>
          </w:p>
        </w:tc>
        <w:tc>
          <w:tcPr>
            <w:tcW w:w="1900" w:type="dxa"/>
            <w:vAlign w:val="center"/>
          </w:tcPr>
          <w:p>
            <w:pPr>
              <w:pageBreakBefore w:val="0"/>
              <w:kinsoku/>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磋商时间和地点</w:t>
            </w:r>
          </w:p>
        </w:tc>
        <w:tc>
          <w:tcPr>
            <w:tcW w:w="6928" w:type="dxa"/>
            <w:vAlign w:val="center"/>
          </w:tcPr>
          <w:p>
            <w:pPr>
              <w:pageBreakBefore w:val="0"/>
              <w:kinsoku/>
              <w:bidi w:val="0"/>
              <w:spacing w:line="360" w:lineRule="auto"/>
              <w:jc w:val="left"/>
              <w:rPr>
                <w:rFonts w:hint="eastAsia" w:ascii="宋体" w:hAnsi="宋体" w:eastAsia="宋体" w:cs="宋体"/>
                <w:b/>
                <w:color w:val="auto"/>
                <w:kern w:val="0"/>
                <w:szCs w:val="21"/>
                <w:highlight w:val="none"/>
                <w:lang w:val="en-US" w:eastAsia="zh-CN"/>
              </w:rPr>
            </w:pPr>
            <w:r>
              <w:rPr>
                <w:rFonts w:hint="eastAsia" w:ascii="宋体" w:hAnsi="宋体" w:eastAsia="宋体" w:cs="宋体"/>
                <w:color w:val="auto"/>
                <w:szCs w:val="21"/>
                <w:highlight w:val="none"/>
              </w:rPr>
              <w:t>时间：202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日09:</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0:00</w:t>
            </w: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eastAsia="zh-CN"/>
              </w:rPr>
              <w:t>电子投标文件必须凭制作投标文件所用的</w:t>
            </w:r>
            <w:r>
              <w:rPr>
                <w:rFonts w:hint="eastAsia" w:ascii="宋体" w:hAnsi="宋体" w:eastAsia="宋体" w:cs="宋体"/>
                <w:b/>
                <w:color w:val="auto"/>
                <w:kern w:val="0"/>
                <w:szCs w:val="21"/>
                <w:highlight w:val="none"/>
                <w:lang w:val="en-US" w:eastAsia="zh-CN"/>
              </w:rPr>
              <w:t>CA锁在30分钟内完成解密）</w:t>
            </w:r>
          </w:p>
          <w:p>
            <w:pPr>
              <w:pageBreakBefore w:val="0"/>
              <w:kinsoku/>
              <w:bidi w:val="0"/>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highlight w:val="none"/>
              </w:rPr>
              <w:t>地点：武陟县公共资源交易中心</w:t>
            </w:r>
            <w:r>
              <w:rPr>
                <w:rFonts w:hint="eastAsia" w:ascii="宋体" w:hAnsi="宋体" w:cs="宋体"/>
                <w:color w:val="auto"/>
                <w:szCs w:val="21"/>
                <w:highlight w:val="none"/>
                <w:u w:val="single"/>
                <w:lang w:eastAsia="zh-CN"/>
              </w:rPr>
              <w:t>开标一厅</w:t>
            </w:r>
            <w:r>
              <w:rPr>
                <w:rFonts w:hint="eastAsia" w:ascii="宋体" w:hAnsi="宋体" w:eastAsia="宋体" w:cs="宋体"/>
                <w:color w:val="auto"/>
                <w:szCs w:val="21"/>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32</w:t>
            </w:r>
          </w:p>
        </w:tc>
        <w:tc>
          <w:tcPr>
            <w:tcW w:w="1900" w:type="dxa"/>
            <w:vAlign w:val="center"/>
          </w:tcPr>
          <w:p>
            <w:pPr>
              <w:pageBreakBefore w:val="0"/>
              <w:kinsoku/>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递交</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文件方式</w:t>
            </w:r>
          </w:p>
        </w:tc>
        <w:tc>
          <w:tcPr>
            <w:tcW w:w="6928" w:type="dxa"/>
            <w:vAlign w:val="center"/>
          </w:tcPr>
          <w:p>
            <w:pPr>
              <w:pageBreakBefore w:val="0"/>
              <w:kinsoku/>
              <w:autoSpaceDE w:val="0"/>
              <w:autoSpaceDN w:val="0"/>
              <w:bidi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本项目采用“远程不见面”开标方式，远程开标大厅网址为（http://www.jzggzy.cn/BidOpeningHall/bidhall/default/login）。供应商不需到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现场参加</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会议，不需提交原件资料等。</w:t>
            </w:r>
          </w:p>
          <w:p>
            <w:pPr>
              <w:pageBreakBefore w:val="0"/>
              <w:kinsoku/>
              <w:autoSpaceDE w:val="0"/>
              <w:autoSpaceDN w:val="0"/>
              <w:bidi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（1）电子响应文件的递交</w:t>
            </w:r>
          </w:p>
          <w:p>
            <w:pPr>
              <w:pageBreakBefore w:val="0"/>
              <w:kinsoku/>
              <w:autoSpaceDE w:val="0"/>
              <w:autoSpaceDN w:val="0"/>
              <w:bidi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a、各供应商应在响应文件递交截止时间前上传加密的电子响应文件（.jztf 格式）到会员系统的指定位置。上传时必须得到电脑“上传成功”的确认回复。请供应商在上传时认真检查上传响应文件是否完整、正确。</w:t>
            </w:r>
          </w:p>
          <w:p>
            <w:pPr>
              <w:pageBreakBefore w:val="0"/>
              <w:kinsoku/>
              <w:autoSpaceDE w:val="0"/>
              <w:autoSpaceDN w:val="0"/>
              <w:bidi w:val="0"/>
              <w:adjustRightIn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b、如系统故故障需上传非加密文件时，供应商应按照采购人指示将非加密文件递交给采购人。</w:t>
            </w:r>
          </w:p>
          <w:p>
            <w:pPr>
              <w:pageBreakBefore w:val="0"/>
              <w:kinsoku/>
              <w:autoSpaceDE w:val="0"/>
              <w:autoSpaceDN w:val="0"/>
              <w:bidi w:val="0"/>
              <w:adjustRightIn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c、供应商因交易中心投标系统无法上传电子响应文件时，请在工作时间与焦作市公共资源交易中心联系，联系电话：0391-3568813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33</w:t>
            </w:r>
          </w:p>
        </w:tc>
        <w:tc>
          <w:tcPr>
            <w:tcW w:w="1900" w:type="dxa"/>
            <w:vAlign w:val="center"/>
          </w:tcPr>
          <w:p>
            <w:pPr>
              <w:pageBreakBefore w:val="0"/>
              <w:kinsoku/>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磋商会议程序</w:t>
            </w:r>
          </w:p>
        </w:tc>
        <w:tc>
          <w:tcPr>
            <w:tcW w:w="6928" w:type="dxa"/>
            <w:vAlign w:val="center"/>
          </w:tcPr>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（1）宣布磋商纪律；</w:t>
            </w:r>
          </w:p>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（2）主持人介绍到会的</w:t>
            </w:r>
            <w:r>
              <w:rPr>
                <w:rFonts w:hint="eastAsia" w:ascii="宋体" w:hAnsi="宋体" w:eastAsia="宋体" w:cs="宋体"/>
                <w:szCs w:val="21"/>
                <w:lang w:eastAsia="zh-CN"/>
              </w:rPr>
              <w:t>磋商</w:t>
            </w:r>
            <w:r>
              <w:rPr>
                <w:rFonts w:hint="eastAsia" w:ascii="宋体" w:hAnsi="宋体" w:eastAsia="宋体" w:cs="宋体"/>
                <w:szCs w:val="21"/>
              </w:rPr>
              <w:t>单位和有关人员，宣布会议监督人等人员名单；</w:t>
            </w:r>
          </w:p>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（3）电子响应文件解密；</w:t>
            </w:r>
          </w:p>
          <w:p>
            <w:pPr>
              <w:pageBreakBefore w:val="0"/>
              <w:kinsoku/>
              <w:bidi w:val="0"/>
              <w:spacing w:line="360" w:lineRule="auto"/>
              <w:jc w:val="left"/>
              <w:rPr>
                <w:rFonts w:hint="eastAsia" w:ascii="宋体" w:hAnsi="宋体" w:eastAsia="宋体" w:cs="宋体"/>
                <w:szCs w:val="21"/>
              </w:rPr>
            </w:pPr>
            <w:r>
              <w:rPr>
                <w:rFonts w:hint="eastAsia" w:ascii="宋体" w:hAnsi="宋体" w:eastAsia="宋体" w:cs="宋体"/>
                <w:szCs w:val="21"/>
              </w:rPr>
              <w:t>（4）经确认以上程序无误后，采购人、监督人等有关人员在</w:t>
            </w:r>
            <w:r>
              <w:rPr>
                <w:rFonts w:hint="eastAsia" w:ascii="宋体" w:hAnsi="宋体" w:eastAsia="宋体" w:cs="宋体"/>
                <w:szCs w:val="21"/>
                <w:lang w:eastAsia="zh-CN"/>
              </w:rPr>
              <w:t>磋商</w:t>
            </w:r>
            <w:r>
              <w:rPr>
                <w:rFonts w:hint="eastAsia" w:ascii="宋体" w:hAnsi="宋体" w:eastAsia="宋体" w:cs="宋体"/>
                <w:szCs w:val="21"/>
              </w:rPr>
              <w:t>记录上签字确认；</w:t>
            </w:r>
          </w:p>
          <w:p>
            <w:pPr>
              <w:pageBreakBefore w:val="0"/>
              <w:kinsoku/>
              <w:bidi w:val="0"/>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（5）磋商会议结束。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34</w:t>
            </w:r>
          </w:p>
        </w:tc>
        <w:tc>
          <w:tcPr>
            <w:tcW w:w="1900" w:type="dxa"/>
            <w:vAlign w:val="center"/>
          </w:tcPr>
          <w:p>
            <w:pPr>
              <w:pageBreakBefore w:val="0"/>
              <w:kinsoku/>
              <w:bidi w:val="0"/>
              <w:spacing w:line="360" w:lineRule="auto"/>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szCs w:val="21"/>
              </w:rPr>
              <w:t>磋商小组组成</w:t>
            </w:r>
          </w:p>
        </w:tc>
        <w:tc>
          <w:tcPr>
            <w:tcW w:w="6928" w:type="dxa"/>
            <w:vAlign w:val="center"/>
          </w:tcPr>
          <w:p>
            <w:pPr>
              <w:pageBreakBefore w:val="0"/>
              <w:kinsoku/>
              <w:bidi w:val="0"/>
              <w:spacing w:line="360" w:lineRule="auto"/>
              <w:ind w:firstLine="420" w:firstLineChars="200"/>
              <w:jc w:val="left"/>
              <w:rPr>
                <w:rFonts w:hint="eastAsia" w:ascii="宋体" w:hAnsi="宋体" w:eastAsia="宋体" w:cs="宋体"/>
                <w:kern w:val="2"/>
                <w:sz w:val="21"/>
                <w:szCs w:val="21"/>
                <w:u w:val="single"/>
                <w:lang w:val="en-US" w:eastAsia="zh-CN" w:bidi="ar-SA"/>
              </w:rPr>
            </w:pPr>
            <w:r>
              <w:rPr>
                <w:rFonts w:hint="eastAsia" w:ascii="宋体" w:hAnsi="宋体" w:eastAsia="宋体" w:cs="宋体"/>
                <w:szCs w:val="21"/>
              </w:rPr>
              <w:t>磋商小组由采购人代表和评审专家共3人及以上单数组成，其中评审专家人数不得少于磋商小组成员总数的三分之二。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35</w:t>
            </w:r>
          </w:p>
        </w:tc>
        <w:tc>
          <w:tcPr>
            <w:tcW w:w="1900" w:type="dxa"/>
            <w:vAlign w:val="center"/>
          </w:tcPr>
          <w:p>
            <w:pPr>
              <w:pageBreakBefore w:val="0"/>
              <w:kinsoku/>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履约</w:t>
            </w:r>
            <w:r>
              <w:rPr>
                <w:rFonts w:hint="eastAsia" w:ascii="宋体" w:hAnsi="宋体" w:eastAsia="宋体" w:cs="宋体"/>
                <w:color w:val="auto"/>
                <w:szCs w:val="21"/>
              </w:rPr>
              <w:t>保证金</w:t>
            </w:r>
          </w:p>
        </w:tc>
        <w:tc>
          <w:tcPr>
            <w:tcW w:w="6928" w:type="dxa"/>
            <w:vAlign w:val="center"/>
          </w:tcPr>
          <w:p>
            <w:pPr>
              <w:pageBreakBefore w:val="0"/>
              <w:kinsoku/>
              <w:bidi w:val="0"/>
              <w:spacing w:line="360" w:lineRule="auto"/>
              <w:jc w:val="left"/>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履约担保的形式：保函或银行转账，在合同签订前缴纳</w:t>
            </w:r>
          </w:p>
          <w:p>
            <w:pPr>
              <w:pageBreakBefore w:val="0"/>
              <w:kinsoku/>
              <w:bidi w:val="0"/>
              <w:spacing w:line="360" w:lineRule="auto"/>
              <w:jc w:val="left"/>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履约担保的金额：</w:t>
            </w:r>
            <w:r>
              <w:rPr>
                <w:rFonts w:hint="eastAsia" w:ascii="宋体" w:hAnsi="宋体" w:cs="宋体"/>
                <w:color w:val="auto"/>
                <w:kern w:val="2"/>
                <w:sz w:val="21"/>
                <w:szCs w:val="22"/>
                <w:lang w:val="en-US" w:eastAsia="zh-CN" w:bidi="ar-SA"/>
              </w:rPr>
              <w:t>成交</w:t>
            </w:r>
            <w:r>
              <w:rPr>
                <w:rFonts w:hint="eastAsia" w:ascii="宋体" w:hAnsi="宋体" w:eastAsia="宋体" w:cs="宋体"/>
                <w:color w:val="auto"/>
                <w:kern w:val="2"/>
                <w:sz w:val="21"/>
                <w:szCs w:val="22"/>
                <w:lang w:val="en-US" w:eastAsia="zh-CN" w:bidi="ar-SA"/>
              </w:rPr>
              <w:t>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36</w:t>
            </w:r>
          </w:p>
        </w:tc>
        <w:tc>
          <w:tcPr>
            <w:tcW w:w="8828" w:type="dxa"/>
            <w:gridSpan w:val="2"/>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cs="宋体"/>
                <w:szCs w:val="21"/>
                <w:lang w:val="en-US" w:eastAsia="zh-CN"/>
              </w:rPr>
              <w:t>6</w:t>
            </w:r>
            <w:r>
              <w:rPr>
                <w:rFonts w:hint="eastAsia" w:ascii="宋体" w:hAnsi="宋体" w:eastAsia="宋体" w:cs="宋体"/>
                <w:szCs w:val="21"/>
                <w:lang w:val="en-US" w:eastAsia="zh-CN"/>
              </w:rPr>
              <w:t>.1</w:t>
            </w:r>
          </w:p>
        </w:tc>
        <w:tc>
          <w:tcPr>
            <w:tcW w:w="8828" w:type="dxa"/>
            <w:gridSpan w:val="2"/>
            <w:vAlign w:val="center"/>
          </w:tcPr>
          <w:p>
            <w:pPr>
              <w:pageBreakBefore w:val="0"/>
              <w:kinsoku/>
              <w:bidi w:val="0"/>
              <w:spacing w:line="360" w:lineRule="auto"/>
              <w:jc w:val="left"/>
              <w:rPr>
                <w:rFonts w:hint="eastAsia" w:ascii="宋体" w:hAnsi="宋体" w:eastAsia="宋体" w:cs="宋体"/>
                <w:kern w:val="0"/>
                <w:szCs w:val="21"/>
                <w:shd w:val="clear" w:color="auto" w:fill="FFFFFF"/>
              </w:rPr>
            </w:pPr>
            <w:r>
              <w:rPr>
                <w:rFonts w:hint="eastAsia" w:ascii="宋体" w:hAnsi="宋体" w:eastAsia="宋体" w:cs="宋体"/>
                <w:szCs w:val="21"/>
              </w:rPr>
              <w:t>所属行业：</w:t>
            </w:r>
            <w:r>
              <w:rPr>
                <w:rFonts w:hint="eastAsia" w:ascii="宋体" w:hAnsi="宋体" w:eastAsia="宋体" w:cs="宋体"/>
                <w:szCs w:val="21"/>
                <w:lang w:eastAsia="zh-CN"/>
              </w:rPr>
              <w:t>建筑</w:t>
            </w:r>
            <w:r>
              <w:rPr>
                <w:rFonts w:hint="eastAsia" w:ascii="宋体" w:hAnsi="宋体" w:eastAsia="宋体" w:cs="宋体"/>
                <w:szCs w:val="21"/>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cs="宋体"/>
                <w:szCs w:val="21"/>
                <w:lang w:val="en-US" w:eastAsia="zh-CN"/>
              </w:rPr>
              <w:t>6</w:t>
            </w:r>
            <w:r>
              <w:rPr>
                <w:rFonts w:hint="eastAsia" w:ascii="宋体" w:hAnsi="宋体" w:eastAsia="宋体" w:cs="宋体"/>
                <w:szCs w:val="21"/>
                <w:lang w:val="en-US" w:eastAsia="zh-CN"/>
              </w:rPr>
              <w:t>.2</w:t>
            </w:r>
          </w:p>
        </w:tc>
        <w:tc>
          <w:tcPr>
            <w:tcW w:w="8828" w:type="dxa"/>
            <w:gridSpan w:val="2"/>
            <w:vAlign w:val="center"/>
          </w:tcPr>
          <w:p>
            <w:pPr>
              <w:pageBreakBefore w:val="0"/>
              <w:kinsoku/>
              <w:bidi w:val="0"/>
              <w:spacing w:line="360" w:lineRule="auto"/>
              <w:jc w:val="left"/>
              <w:rPr>
                <w:rFonts w:hint="eastAsia" w:ascii="宋体" w:hAnsi="宋体" w:eastAsia="宋体" w:cs="宋体"/>
                <w:kern w:val="0"/>
                <w:szCs w:val="21"/>
                <w:shd w:val="clear" w:color="auto" w:fill="FFFFFF"/>
              </w:rPr>
            </w:pPr>
            <w:r>
              <w:rPr>
                <w:rFonts w:hint="eastAsia" w:ascii="宋体" w:hAnsi="宋体" w:eastAsia="宋体" w:cs="宋体"/>
              </w:rPr>
              <w:t>本项目是否专门面向中小企业采购：是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cs="宋体"/>
                <w:szCs w:val="21"/>
                <w:lang w:val="en-US" w:eastAsia="zh-CN"/>
              </w:rPr>
              <w:t>6</w:t>
            </w:r>
            <w:r>
              <w:rPr>
                <w:rFonts w:hint="eastAsia" w:ascii="宋体" w:hAnsi="宋体" w:eastAsia="宋体" w:cs="宋体"/>
                <w:szCs w:val="21"/>
                <w:lang w:val="en-US" w:eastAsia="zh-CN"/>
              </w:rPr>
              <w:t>.3</w:t>
            </w:r>
          </w:p>
        </w:tc>
        <w:tc>
          <w:tcPr>
            <w:tcW w:w="8828"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rPr>
            </w:pPr>
            <w:r>
              <w:rPr>
                <w:rFonts w:hint="eastAsia" w:ascii="宋体" w:hAnsi="宋体" w:eastAsia="宋体" w:cs="宋体"/>
              </w:rPr>
              <w:t>中小企业认定：</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rPr>
            </w:pPr>
            <w:r>
              <w:rPr>
                <w:rFonts w:hint="eastAsia" w:ascii="宋体" w:hAnsi="宋体" w:eastAsia="宋体" w:cs="宋体"/>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rPr>
            </w:pPr>
            <w:r>
              <w:rPr>
                <w:rFonts w:hint="eastAsia" w:ascii="宋体" w:hAnsi="宋体" w:eastAsia="宋体" w:cs="宋体"/>
              </w:rPr>
              <w:t>符合中小企业划分标准的个体工商户，在政府采购活动中视同中小企业。</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rPr>
            </w:pPr>
            <w:r>
              <w:rPr>
                <w:rFonts w:hint="eastAsia" w:ascii="宋体" w:hAnsi="宋体" w:eastAsia="宋体" w:cs="宋体"/>
              </w:rPr>
              <w:t>中小企业划分标准见《关于印发中小企业划型标准规定的通知》（工信部联企业〔2011〕300号）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rPr>
            </w:pPr>
            <w:r>
              <w:rPr>
                <w:rFonts w:hint="eastAsia" w:ascii="宋体" w:hAnsi="宋体" w:eastAsia="宋体" w:cs="宋体"/>
              </w:rPr>
              <w:t>供应商须按照磋商文件规定出具《中小企业声明函》，否则不享受相关扶持政策；（</w:t>
            </w:r>
            <w:r>
              <w:rPr>
                <w:rFonts w:hint="eastAsia" w:ascii="宋体" w:hAnsi="宋体" w:eastAsia="宋体" w:cs="宋体"/>
                <w:lang w:eastAsia="zh-CN"/>
              </w:rPr>
              <w:t>扫描件</w:t>
            </w:r>
            <w:r>
              <w:rPr>
                <w:rFonts w:hint="eastAsia" w:ascii="宋体" w:hAnsi="宋体" w:eastAsia="宋体" w:cs="宋体"/>
              </w:rPr>
              <w:t>附响应文件中）</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rPr>
            </w:pPr>
            <w:r>
              <w:rPr>
                <w:rFonts w:hint="eastAsia" w:ascii="宋体" w:hAnsi="宋体" w:eastAsia="宋体" w:cs="宋体"/>
              </w:rPr>
              <w:t>2、根据财库〔2014〕68号《财政部司法部关于政府采购支持监狱企业发展有关问题的通知》，监狱企业视同小微企业。提供由省级以上监狱管理局、戒毒管理局(含新疆生产建设兵团)出具的属于监狱企业的证明文件（</w:t>
            </w:r>
            <w:r>
              <w:rPr>
                <w:rFonts w:hint="eastAsia" w:ascii="宋体" w:hAnsi="宋体" w:eastAsia="宋体" w:cs="宋体"/>
                <w:lang w:eastAsia="zh-CN"/>
              </w:rPr>
              <w:t>扫描件</w:t>
            </w:r>
            <w:r>
              <w:rPr>
                <w:rFonts w:hint="eastAsia" w:ascii="宋体" w:hAnsi="宋体" w:eastAsia="宋体" w:cs="宋体"/>
              </w:rPr>
              <w:t>附响应文件中），不再提供《中小企业声明函》, 供应商出具的监狱企业证明文件如有虚假，其</w:t>
            </w:r>
            <w:r>
              <w:rPr>
                <w:rFonts w:hint="eastAsia" w:ascii="宋体" w:hAnsi="宋体" w:cs="宋体"/>
                <w:lang w:eastAsia="zh-CN"/>
              </w:rPr>
              <w:t>成交</w:t>
            </w:r>
            <w:r>
              <w:rPr>
                <w:rFonts w:hint="eastAsia" w:ascii="宋体" w:hAnsi="宋体" w:eastAsia="宋体" w:cs="宋体"/>
              </w:rPr>
              <w:t>资格将被取消，并根据相关规定进行处罚。</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rPr>
            </w:pPr>
            <w:r>
              <w:rPr>
                <w:rFonts w:hint="eastAsia" w:ascii="宋体" w:hAnsi="宋体" w:eastAsia="宋体" w:cs="宋体"/>
              </w:rPr>
              <w:t>3、根据财库〔2017〕141号《三部门联合发布关于促进残疾人就业政府采购政策的通知》残疾人福利性单位视同小型、微型企业，残疾人福利性单位在参加政府采购活动时提供《残疾人福利性单位声明函》，（</w:t>
            </w:r>
            <w:r>
              <w:rPr>
                <w:rFonts w:hint="eastAsia" w:ascii="宋体" w:hAnsi="宋体" w:eastAsia="宋体" w:cs="宋体"/>
                <w:lang w:eastAsia="zh-CN"/>
              </w:rPr>
              <w:t>扫描件</w:t>
            </w:r>
            <w:r>
              <w:rPr>
                <w:rFonts w:hint="eastAsia" w:ascii="宋体" w:hAnsi="宋体" w:eastAsia="宋体" w:cs="宋体"/>
              </w:rPr>
              <w:t>附响应文件中）不再提供《中小企业声明函》，供应商在《残疾人福利性单位声明函》中的承诺如有虚假，其</w:t>
            </w:r>
            <w:r>
              <w:rPr>
                <w:rFonts w:hint="eastAsia" w:ascii="宋体" w:hAnsi="宋体" w:cs="宋体"/>
                <w:lang w:eastAsia="zh-CN"/>
              </w:rPr>
              <w:t>成交</w:t>
            </w:r>
            <w:r>
              <w:rPr>
                <w:rFonts w:hint="eastAsia" w:ascii="宋体" w:hAnsi="宋体" w:eastAsia="宋体" w:cs="宋体"/>
              </w:rPr>
              <w:t>资格将被取消，并根据相关规定进行处罚。</w:t>
            </w:r>
          </w:p>
          <w:p>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rPr>
            </w:pPr>
            <w:r>
              <w:rPr>
                <w:rFonts w:hint="eastAsia" w:ascii="宋体" w:hAnsi="宋体" w:eastAsia="宋体" w:cs="宋体"/>
              </w:rPr>
              <w:t>4、磋商小组根据供应商提供的《中小企业声明函》认定该供应商是否属于中小企业，监狱企业和残疾人福利性单位视同小型、微型企业。不属于中小企业、监狱企业或残疾人福利性单位的拒绝参与本项目磋商。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cs="宋体"/>
                <w:szCs w:val="21"/>
                <w:lang w:val="en-US" w:eastAsia="zh-CN"/>
              </w:rPr>
              <w:t>6</w:t>
            </w:r>
            <w:r>
              <w:rPr>
                <w:rFonts w:hint="eastAsia" w:ascii="宋体" w:hAnsi="宋体" w:eastAsia="宋体" w:cs="宋体"/>
                <w:szCs w:val="21"/>
                <w:lang w:val="en-US" w:eastAsia="zh-CN"/>
              </w:rPr>
              <w:t>.4</w:t>
            </w:r>
          </w:p>
        </w:tc>
        <w:tc>
          <w:tcPr>
            <w:tcW w:w="8828" w:type="dxa"/>
            <w:gridSpan w:val="2"/>
            <w:vAlign w:val="center"/>
          </w:tcPr>
          <w:p>
            <w:pPr>
              <w:pageBreakBefore w:val="0"/>
              <w:kinsoku/>
              <w:bidi w:val="0"/>
              <w:spacing w:line="360" w:lineRule="auto"/>
              <w:ind w:firstLine="420" w:firstLineChars="200"/>
              <w:jc w:val="left"/>
              <w:rPr>
                <w:rFonts w:hint="eastAsia" w:ascii="宋体" w:hAnsi="宋体" w:eastAsia="宋体" w:cs="宋体"/>
                <w:szCs w:val="21"/>
              </w:rPr>
            </w:pPr>
            <w:r>
              <w:rPr>
                <w:rFonts w:hint="eastAsia" w:ascii="宋体" w:hAnsi="宋体" w:cs="宋体"/>
                <w:color w:val="auto"/>
                <w:kern w:val="0"/>
                <w:szCs w:val="21"/>
                <w:highlight w:val="none"/>
                <w:shd w:val="clear" w:color="auto" w:fill="FFFFFF"/>
              </w:rPr>
              <w:t>本项目代理费</w:t>
            </w:r>
            <w:r>
              <w:rPr>
                <w:rFonts w:hint="eastAsia" w:ascii="宋体" w:hAnsi="宋体" w:cs="宋体"/>
                <w:color w:val="auto"/>
                <w:szCs w:val="21"/>
                <w:highlight w:val="none"/>
              </w:rPr>
              <w:t>参照计价格【2002】1980号文件、发改办【2003】857号文件及发改价格【2011】534号文</w:t>
            </w:r>
            <w:r>
              <w:rPr>
                <w:rFonts w:hint="eastAsia" w:ascii="宋体" w:hAnsi="宋体" w:cs="宋体"/>
                <w:color w:val="auto"/>
                <w:kern w:val="0"/>
                <w:szCs w:val="21"/>
                <w:highlight w:val="none"/>
                <w:shd w:val="clear" w:color="auto" w:fill="FFFFFF"/>
              </w:rPr>
              <w:t>计取，由成交人支付。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cs="宋体"/>
                <w:szCs w:val="21"/>
                <w:lang w:val="en-US" w:eastAsia="zh-CN"/>
              </w:rPr>
              <w:t>6</w:t>
            </w:r>
            <w:r>
              <w:rPr>
                <w:rFonts w:hint="eastAsia" w:ascii="宋体" w:hAnsi="宋体" w:eastAsia="宋体" w:cs="宋体"/>
                <w:szCs w:val="21"/>
                <w:lang w:val="en-US" w:eastAsia="zh-CN"/>
              </w:rPr>
              <w:t>.5</w:t>
            </w:r>
          </w:p>
        </w:tc>
        <w:tc>
          <w:tcPr>
            <w:tcW w:w="8828" w:type="dxa"/>
            <w:gridSpan w:val="2"/>
            <w:vAlign w:val="center"/>
          </w:tcPr>
          <w:p>
            <w:pPr>
              <w:pageBreakBefore w:val="0"/>
              <w:kinsoku/>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本项目设有最高磋商限价（磋商控制价）</w:t>
            </w:r>
          </w:p>
          <w:p>
            <w:pPr>
              <w:pageBreakBefore w:val="0"/>
              <w:kinsoku/>
              <w:bidi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r>
              <w:rPr>
                <w:rFonts w:hint="eastAsia" w:ascii="宋体" w:hAnsi="宋体" w:cs="宋体"/>
                <w:color w:val="auto"/>
                <w:szCs w:val="21"/>
                <w:highlight w:val="none"/>
                <w:lang w:val="en-US" w:eastAsia="zh-CN"/>
              </w:rPr>
              <w:t>贰佰零肆万零柒佰捌拾捌元壹角叁分</w:t>
            </w:r>
            <w:r>
              <w:rPr>
                <w:rFonts w:hint="eastAsia" w:ascii="宋体" w:hAnsi="宋体" w:eastAsia="宋体" w:cs="宋体"/>
                <w:color w:val="auto"/>
                <w:szCs w:val="21"/>
                <w:highlight w:val="none"/>
              </w:rPr>
              <w:t>（¥</w:t>
            </w:r>
            <w:r>
              <w:rPr>
                <w:rFonts w:hint="eastAsia" w:ascii="宋体" w:hAnsi="宋体" w:eastAsia="宋体" w:cs="宋体"/>
                <w:szCs w:val="21"/>
                <w:lang w:val="en-US" w:eastAsia="zh-CN"/>
              </w:rPr>
              <w:t>2040788.13元</w:t>
            </w:r>
            <w:r>
              <w:rPr>
                <w:rFonts w:hint="eastAsia" w:ascii="宋体" w:hAnsi="宋体" w:eastAsia="宋体" w:cs="宋体"/>
                <w:color w:val="auto"/>
                <w:szCs w:val="21"/>
                <w:highlight w:val="none"/>
              </w:rPr>
              <w:t>）</w:t>
            </w:r>
          </w:p>
          <w:p>
            <w:pPr>
              <w:pageBreakBefore w:val="0"/>
              <w:kinsoku/>
              <w:bidi w:val="0"/>
              <w:spacing w:line="360" w:lineRule="auto"/>
              <w:ind w:firstLine="420" w:firstLineChars="200"/>
              <w:jc w:val="left"/>
              <w:rPr>
                <w:rFonts w:hint="eastAsia" w:ascii="宋体" w:hAnsi="宋体" w:eastAsia="宋体" w:cs="宋体"/>
                <w:kern w:val="0"/>
                <w:szCs w:val="21"/>
                <w:shd w:val="clear" w:color="auto" w:fill="FFFFFF"/>
              </w:rPr>
            </w:pPr>
            <w:r>
              <w:rPr>
                <w:rFonts w:hint="eastAsia" w:ascii="宋体" w:hAnsi="宋体" w:eastAsia="宋体" w:cs="宋体"/>
                <w:szCs w:val="21"/>
              </w:rPr>
              <w:t>注：供应商报价高于最高磋商限价（磋商控制价）的将作废标处理，不再参与评审阶段的评审。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11" w:type="dxa"/>
            <w:vAlign w:val="center"/>
          </w:tcPr>
          <w:p>
            <w:pPr>
              <w:pageBreakBefore w:val="0"/>
              <w:kinsoku/>
              <w:bidi w:val="0"/>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cs="宋体"/>
                <w:szCs w:val="21"/>
                <w:lang w:val="en-US" w:eastAsia="zh-CN"/>
              </w:rPr>
              <w:t>6</w:t>
            </w:r>
            <w:r>
              <w:rPr>
                <w:rFonts w:hint="eastAsia" w:ascii="宋体" w:hAnsi="宋体" w:eastAsia="宋体" w:cs="宋体"/>
                <w:szCs w:val="21"/>
                <w:lang w:val="en-US" w:eastAsia="zh-CN"/>
              </w:rPr>
              <w:t>.6</w:t>
            </w:r>
          </w:p>
        </w:tc>
        <w:tc>
          <w:tcPr>
            <w:tcW w:w="8828" w:type="dxa"/>
            <w:gridSpan w:val="2"/>
            <w:vAlign w:val="center"/>
          </w:tcPr>
          <w:p>
            <w:pPr>
              <w:pageBreakBefore w:val="0"/>
              <w:kinsoku/>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此磋商文件解释权归采购人或其委托的代理机构，未尽事宜按国家相关法律法规执行。</w:t>
            </w:r>
          </w:p>
          <w:p>
            <w:pPr>
              <w:pageBreakBefore w:val="0"/>
              <w:kinsoku/>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供应商在磋商文件答疑或修正前未提出的问题，磋商现场由采购人或其委托的代理机构解释，供应商或其他人不得有异议；采购人或其委托的代理机构也可以授权磋商小组对异议进行表决，以磋商小组少数服从多数的原则作为对异议的最终解释；</w:t>
            </w:r>
          </w:p>
          <w:p>
            <w:pPr>
              <w:pageBreakBefore w:val="0"/>
              <w:kinsoku/>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2.在磋商过程中，磋商小组存在争议时，可以少数服从多数的原则解决争议；</w:t>
            </w:r>
          </w:p>
          <w:p>
            <w:pPr>
              <w:pageBreakBefore w:val="0"/>
              <w:kinsoku/>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在磋商过程中，采购人或其委托的代理机构认为磋商小组对磋商文件存在误解时，可对磋商文件做出解释，并承担相应责任，磋商小组应当依据该解释评审；磋商小组对采购人或其委托的代理机构的解释不承担责任，认为有必要的，可将该解释情况写入评审报告。</w:t>
            </w:r>
          </w:p>
        </w:tc>
      </w:tr>
    </w:tbl>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注：本项目磋商文件中内容与供应商须知前附表中内容不一致时，以供应商须知前附表内容为准。</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br w:type="page"/>
      </w:r>
    </w:p>
    <w:p>
      <w:pPr>
        <w:pageBreakBefore w:val="0"/>
        <w:kinsoku/>
        <w:autoSpaceDE w:val="0"/>
        <w:autoSpaceDN w:val="0"/>
        <w:bidi w:val="0"/>
        <w:adjustRightInd w:val="0"/>
        <w:spacing w:line="360" w:lineRule="auto"/>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附件1：</w:t>
      </w:r>
    </w:p>
    <w:p>
      <w:pPr>
        <w:pageBreakBefore w:val="0"/>
        <w:kinsoku/>
        <w:autoSpaceDE w:val="0"/>
        <w:autoSpaceDN w:val="0"/>
        <w:bidi w:val="0"/>
        <w:adjustRightIn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河南省政府采购合同融资政策告知函</w:t>
      </w:r>
    </w:p>
    <w:p>
      <w:pPr>
        <w:pageBreakBefore w:val="0"/>
        <w:kinsoku/>
        <w:autoSpaceDE w:val="0"/>
        <w:autoSpaceDN w:val="0"/>
        <w:bidi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各供应商：</w:t>
      </w:r>
    </w:p>
    <w:p>
      <w:pPr>
        <w:pageBreakBefore w:val="0"/>
        <w:kinsoku/>
        <w:autoSpaceDE w:val="0"/>
        <w:autoSpaceDN w:val="0"/>
        <w:bidi w:val="0"/>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欢迎贵公司参与河南省政府采购活动！</w:t>
      </w:r>
    </w:p>
    <w:p>
      <w:pPr>
        <w:pageBreakBefore w:val="0"/>
        <w:kinsoku/>
        <w:autoSpaceDE w:val="0"/>
        <w:autoSpaceDN w:val="0"/>
        <w:bidi w:val="0"/>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政府采购合同融资是河南省财政厅支持中小微企业发展，针对参与政府采购活动的供应商融资难、融资贵问题推出的一项融资政策。贵公司若成为本次政府采购项目的</w:t>
      </w:r>
      <w:r>
        <w:rPr>
          <w:rFonts w:hint="eastAsia" w:ascii="宋体" w:hAnsi="宋体" w:cs="宋体"/>
          <w:sz w:val="24"/>
          <w:szCs w:val="24"/>
          <w:highlight w:val="none"/>
          <w:lang w:eastAsia="zh-CN"/>
        </w:rPr>
        <w:t>成交</w:t>
      </w:r>
      <w:r>
        <w:rPr>
          <w:rFonts w:hint="eastAsia" w:ascii="宋体" w:hAnsi="宋体" w:eastAsia="宋体" w:cs="宋体"/>
          <w:sz w:val="24"/>
          <w:szCs w:val="24"/>
          <w:highlight w:val="none"/>
        </w:rPr>
        <w:t>成交供应商，可持政府采购合同向金融机构申请贷款，无需抵押、担保，融资机构将根据《河南省政府采购合同融资工作实施方案》（豫财购[2017]10 号），按照双方自愿的原则提供便捷、优惠的贷款服务。</w:t>
      </w:r>
    </w:p>
    <w:p>
      <w:pPr>
        <w:pageBreakBefore w:val="0"/>
        <w:kinsoku/>
        <w:autoSpaceDE w:val="0"/>
        <w:autoSpaceDN w:val="0"/>
        <w:bidi w:val="0"/>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贷款渠道和提供贷款的金融机构，可在河南省政府采购网“河南省政府采购合同融资平台”查询联系。</w:t>
      </w:r>
    </w:p>
    <w:p>
      <w:pPr>
        <w:pStyle w:val="57"/>
        <w:pageBreakBefore w:val="0"/>
        <w:kinsoku/>
        <w:bidi w:val="0"/>
        <w:spacing w:line="360" w:lineRule="auto"/>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bCs w:val="0"/>
          <w:kern w:val="0"/>
          <w:sz w:val="24"/>
          <w:szCs w:val="24"/>
          <w:highlight w:val="none"/>
        </w:rPr>
        <w:t>注：此函仅为告知，不作为响应文件组成部分</w:t>
      </w:r>
      <w:r>
        <w:rPr>
          <w:rFonts w:hint="eastAsia" w:ascii="宋体" w:hAnsi="宋体" w:eastAsia="宋体" w:cs="宋体"/>
          <w:b w:val="0"/>
          <w:bCs w:val="0"/>
          <w:kern w:val="0"/>
          <w:sz w:val="24"/>
          <w:szCs w:val="24"/>
          <w:highlight w:val="none"/>
        </w:rPr>
        <w:t>。</w:t>
      </w:r>
    </w:p>
    <w:p>
      <w:pPr>
        <w:pageBreakBefore w:val="0"/>
        <w:kinsoku/>
        <w:bidi w:val="0"/>
        <w:spacing w:line="360" w:lineRule="auto"/>
        <w:rPr>
          <w:rFonts w:hint="eastAsia" w:ascii="宋体" w:hAnsi="宋体" w:eastAsia="宋体" w:cs="宋体"/>
          <w:highlight w:val="none"/>
        </w:rPr>
      </w:pPr>
    </w:p>
    <w:p>
      <w:pPr>
        <w:pStyle w:val="56"/>
        <w:pageBreakBefore w:val="0"/>
        <w:kinsoku/>
        <w:bidi w:val="0"/>
        <w:spacing w:line="360" w:lineRule="auto"/>
        <w:rPr>
          <w:rFonts w:hint="eastAsia" w:ascii="宋体" w:hAnsi="宋体" w:eastAsia="宋体" w:cs="宋体"/>
          <w:highlight w:val="none"/>
        </w:rPr>
      </w:pPr>
    </w:p>
    <w:p>
      <w:pPr>
        <w:pageBreakBefore w:val="0"/>
        <w:kinsoku/>
        <w:bidi w:val="0"/>
        <w:spacing w:line="360" w:lineRule="auto"/>
        <w:rPr>
          <w:rFonts w:hint="eastAsia" w:ascii="宋体" w:hAnsi="宋体" w:eastAsia="宋体" w:cs="宋体"/>
          <w:szCs w:val="21"/>
        </w:rPr>
      </w:pPr>
      <w:r>
        <w:rPr>
          <w:rFonts w:hint="eastAsia" w:ascii="宋体" w:hAnsi="宋体" w:eastAsia="宋体" w:cs="宋体"/>
          <w:szCs w:val="21"/>
        </w:rPr>
        <w:br w:type="page"/>
      </w:r>
      <w:bookmarkEnd w:id="9"/>
    </w:p>
    <w:p>
      <w:pPr>
        <w:pageBreakBefore w:val="0"/>
        <w:widowControl/>
        <w:kinsoku/>
        <w:bidi w:val="0"/>
        <w:spacing w:line="360" w:lineRule="auto"/>
        <w:jc w:val="center"/>
        <w:outlineLvl w:val="2"/>
        <w:rPr>
          <w:rFonts w:hint="eastAsia" w:ascii="宋体" w:hAnsi="宋体" w:eastAsia="宋体" w:cs="宋体"/>
          <w:b/>
          <w:bCs/>
          <w:kern w:val="0"/>
          <w:sz w:val="24"/>
          <w:szCs w:val="24"/>
        </w:rPr>
      </w:pPr>
      <w:bookmarkStart w:id="10" w:name="_Toc48809193"/>
      <w:bookmarkStart w:id="11" w:name="_Toc25474"/>
      <w:bookmarkStart w:id="12" w:name="_Toc49166039"/>
      <w:bookmarkStart w:id="13" w:name="_Toc20098"/>
      <w:bookmarkStart w:id="14" w:name="_Toc48808911"/>
      <w:bookmarkStart w:id="15" w:name="_Toc420513686"/>
      <w:bookmarkStart w:id="16" w:name="_Toc420513707"/>
      <w:bookmarkStart w:id="17" w:name="_Toc420513734"/>
      <w:bookmarkStart w:id="18" w:name="_Toc421695640"/>
      <w:bookmarkStart w:id="19" w:name="_Toc373230030"/>
      <w:bookmarkStart w:id="20" w:name="_Toc374512417"/>
      <w:r>
        <w:rPr>
          <w:rFonts w:hint="eastAsia" w:ascii="宋体" w:hAnsi="宋体" w:eastAsia="宋体" w:cs="宋体"/>
          <w:b/>
          <w:bCs/>
          <w:kern w:val="0"/>
          <w:sz w:val="24"/>
          <w:szCs w:val="24"/>
        </w:rPr>
        <w:t>一、总 则</w:t>
      </w:r>
      <w:bookmarkEnd w:id="10"/>
      <w:bookmarkEnd w:id="11"/>
      <w:bookmarkEnd w:id="12"/>
      <w:bookmarkEnd w:id="13"/>
      <w:bookmarkEnd w:id="14"/>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适用范围</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本磋商文件仅适用于本次竞争性磋商活动所述的服务。</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定义</w:t>
      </w:r>
    </w:p>
    <w:p>
      <w:pPr>
        <w:pageBreakBefore w:val="0"/>
        <w:numPr>
          <w:ilvl w:val="1"/>
          <w:numId w:val="2"/>
        </w:numPr>
        <w:kinsoku/>
        <w:bidi w:val="0"/>
        <w:spacing w:line="360" w:lineRule="auto"/>
        <w:rPr>
          <w:rFonts w:hint="eastAsia" w:ascii="宋体" w:hAnsi="宋体" w:eastAsia="宋体" w:cs="宋体"/>
          <w:szCs w:val="21"/>
        </w:rPr>
      </w:pPr>
      <w:r>
        <w:rPr>
          <w:rFonts w:hint="eastAsia" w:ascii="宋体" w:hAnsi="宋体" w:eastAsia="宋体" w:cs="宋体"/>
          <w:szCs w:val="21"/>
        </w:rPr>
        <w:t>采购人：见供应商须知前附表；</w:t>
      </w:r>
    </w:p>
    <w:p>
      <w:pPr>
        <w:pageBreakBefore w:val="0"/>
        <w:numPr>
          <w:ilvl w:val="1"/>
          <w:numId w:val="2"/>
        </w:numPr>
        <w:kinsoku/>
        <w:bidi w:val="0"/>
        <w:spacing w:line="360" w:lineRule="auto"/>
        <w:rPr>
          <w:rFonts w:hint="eastAsia" w:ascii="宋体" w:hAnsi="宋体" w:eastAsia="宋体" w:cs="宋体"/>
          <w:szCs w:val="21"/>
        </w:rPr>
      </w:pPr>
      <w:r>
        <w:rPr>
          <w:rFonts w:hint="eastAsia" w:ascii="宋体" w:hAnsi="宋体" w:eastAsia="宋体" w:cs="宋体"/>
          <w:szCs w:val="21"/>
        </w:rPr>
        <w:t>采购代理机构：见供应商须知前附表；</w:t>
      </w:r>
    </w:p>
    <w:p>
      <w:pPr>
        <w:pageBreakBefore w:val="0"/>
        <w:numPr>
          <w:ilvl w:val="1"/>
          <w:numId w:val="2"/>
        </w:numPr>
        <w:kinsoku/>
        <w:bidi w:val="0"/>
        <w:spacing w:line="360" w:lineRule="auto"/>
        <w:rPr>
          <w:rFonts w:hint="eastAsia" w:ascii="宋体" w:hAnsi="宋体" w:eastAsia="宋体" w:cs="宋体"/>
          <w:szCs w:val="21"/>
        </w:rPr>
      </w:pPr>
      <w:r>
        <w:rPr>
          <w:rFonts w:hint="eastAsia" w:ascii="宋体" w:hAnsi="宋体" w:eastAsia="宋体" w:cs="宋体"/>
          <w:szCs w:val="21"/>
        </w:rPr>
        <w:t>合格供应商：</w:t>
      </w:r>
    </w:p>
    <w:p>
      <w:pPr>
        <w:pageBreakBefore w:val="0"/>
        <w:kinsoku/>
        <w:bidi w:val="0"/>
        <w:spacing w:line="360" w:lineRule="auto"/>
        <w:ind w:firstLine="210" w:firstLineChars="100"/>
        <w:rPr>
          <w:rFonts w:hint="eastAsia" w:ascii="宋体" w:hAnsi="宋体" w:eastAsia="宋体" w:cs="宋体"/>
          <w:bCs/>
          <w:szCs w:val="21"/>
        </w:rPr>
      </w:pPr>
      <w:r>
        <w:rPr>
          <w:rFonts w:hint="eastAsia" w:ascii="宋体" w:hAnsi="宋体" w:eastAsia="宋体" w:cs="宋体"/>
          <w:szCs w:val="21"/>
        </w:rPr>
        <w:t>2.3.1</w:t>
      </w:r>
      <w:r>
        <w:rPr>
          <w:rFonts w:hint="eastAsia" w:ascii="宋体" w:hAnsi="宋体" w:eastAsia="宋体" w:cs="宋体"/>
          <w:bCs/>
          <w:szCs w:val="21"/>
        </w:rPr>
        <w:t>符合《中华人民共和国政府采购法》第二十二条规定的条件。</w:t>
      </w:r>
    </w:p>
    <w:p>
      <w:pPr>
        <w:pageBreakBefore w:val="0"/>
        <w:kinsoku/>
        <w:bidi w:val="0"/>
        <w:spacing w:line="360" w:lineRule="auto"/>
        <w:ind w:firstLine="210" w:firstLineChars="100"/>
        <w:rPr>
          <w:rFonts w:hint="eastAsia" w:ascii="宋体" w:hAnsi="宋体" w:eastAsia="宋体" w:cs="宋体"/>
          <w:bCs/>
          <w:szCs w:val="21"/>
        </w:rPr>
      </w:pPr>
      <w:r>
        <w:rPr>
          <w:rFonts w:hint="eastAsia" w:ascii="宋体" w:hAnsi="宋体" w:eastAsia="宋体" w:cs="宋体"/>
          <w:szCs w:val="21"/>
        </w:rPr>
        <w:t>2.3.2</w:t>
      </w:r>
      <w:r>
        <w:rPr>
          <w:rFonts w:hint="eastAsia" w:ascii="宋体" w:hAnsi="宋体" w:eastAsia="宋体" w:cs="宋体"/>
          <w:bCs/>
          <w:szCs w:val="21"/>
        </w:rPr>
        <w:t>符合本竞争性磋商文件规定的资格要求及项目要求的其它条件，并按照要求提供相关证明材料。</w:t>
      </w:r>
    </w:p>
    <w:p>
      <w:pPr>
        <w:pageBreakBefore w:val="0"/>
        <w:kinsoku/>
        <w:bidi w:val="0"/>
        <w:spacing w:line="360" w:lineRule="auto"/>
        <w:ind w:firstLine="210" w:firstLineChars="100"/>
        <w:rPr>
          <w:rFonts w:hint="eastAsia" w:ascii="宋体" w:hAnsi="宋体" w:eastAsia="宋体" w:cs="宋体"/>
          <w:bCs/>
          <w:szCs w:val="21"/>
        </w:rPr>
      </w:pPr>
      <w:r>
        <w:rPr>
          <w:rFonts w:hint="eastAsia" w:ascii="宋体" w:hAnsi="宋体" w:eastAsia="宋体" w:cs="宋体"/>
          <w:szCs w:val="21"/>
        </w:rPr>
        <w:t>2.3.3</w:t>
      </w:r>
      <w:r>
        <w:rPr>
          <w:rFonts w:hint="eastAsia" w:ascii="宋体" w:hAnsi="宋体" w:eastAsia="宋体" w:cs="宋体"/>
          <w:bCs/>
          <w:szCs w:val="21"/>
        </w:rPr>
        <w:t>供应商应遵守国家法律、法规和有关政府采购的规定。</w:t>
      </w:r>
    </w:p>
    <w:p>
      <w:pPr>
        <w:pStyle w:val="23"/>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bCs/>
          <w:szCs w:val="21"/>
        </w:rPr>
        <w:t>2.4.供应商</w:t>
      </w:r>
      <w:r>
        <w:rPr>
          <w:rFonts w:hint="eastAsia" w:ascii="宋体" w:hAnsi="宋体" w:eastAsia="宋体" w:cs="宋体"/>
          <w:szCs w:val="21"/>
        </w:rPr>
        <w:t>不得存在下列情形之一：</w:t>
      </w:r>
    </w:p>
    <w:p>
      <w:pPr>
        <w:pStyle w:val="23"/>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（1）为采购人不具有独立法人资格的附属机构（单位）；</w:t>
      </w:r>
    </w:p>
    <w:p>
      <w:pPr>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（2）为本项目前期准备提供设计或咨询服务的，但设计施工总承包的除外；</w:t>
      </w:r>
    </w:p>
    <w:p>
      <w:pPr>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（3）为本项目的监理人；</w:t>
      </w:r>
    </w:p>
    <w:p>
      <w:pPr>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（4）为本项目的代建人；</w:t>
      </w:r>
    </w:p>
    <w:p>
      <w:pPr>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（5）为本项目提供采购代理服务的；</w:t>
      </w:r>
    </w:p>
    <w:p>
      <w:pPr>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（6）与本项目的监理人或代建人或采购代理机构同为一个法定代表人的；</w:t>
      </w:r>
    </w:p>
    <w:p>
      <w:pPr>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（7）与本项目的监理人或代建人或采购代理机构相互控股或参股的；</w:t>
      </w:r>
    </w:p>
    <w:p>
      <w:pPr>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（8）与本项目的监理人或代建人或采购代理机构相互任职或工作的；</w:t>
      </w:r>
    </w:p>
    <w:p>
      <w:pPr>
        <w:pStyle w:val="23"/>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（9）被责令停业的；</w:t>
      </w:r>
    </w:p>
    <w:p>
      <w:pPr>
        <w:pStyle w:val="23"/>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（10）被暂停或取消</w:t>
      </w:r>
      <w:r>
        <w:rPr>
          <w:rFonts w:hint="eastAsia" w:ascii="宋体" w:hAnsi="宋体" w:eastAsia="宋体" w:cs="宋体"/>
          <w:bCs/>
          <w:szCs w:val="21"/>
          <w:lang w:eastAsia="zh-CN"/>
        </w:rPr>
        <w:t>磋商</w:t>
      </w:r>
      <w:r>
        <w:rPr>
          <w:rFonts w:hint="eastAsia" w:ascii="宋体" w:hAnsi="宋体" w:eastAsia="宋体" w:cs="宋体"/>
          <w:bCs/>
          <w:szCs w:val="21"/>
        </w:rPr>
        <w:t>资格的；</w:t>
      </w:r>
    </w:p>
    <w:p>
      <w:pPr>
        <w:pStyle w:val="23"/>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（11）财产被接管或冻结的；</w:t>
      </w:r>
    </w:p>
    <w:p>
      <w:pPr>
        <w:pStyle w:val="23"/>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（12）有骗取</w:t>
      </w:r>
      <w:r>
        <w:rPr>
          <w:rFonts w:hint="eastAsia" w:hAnsi="宋体" w:eastAsia="宋体" w:cs="宋体"/>
          <w:bCs/>
          <w:szCs w:val="21"/>
          <w:lang w:eastAsia="zh-CN"/>
        </w:rPr>
        <w:t>成交</w:t>
      </w:r>
      <w:r>
        <w:rPr>
          <w:rFonts w:hint="eastAsia" w:ascii="宋体" w:hAnsi="宋体" w:eastAsia="宋体" w:cs="宋体"/>
          <w:bCs/>
          <w:szCs w:val="21"/>
        </w:rPr>
        <w:t>或严重违约或重大工程质量问题的（各有关机构作出的限制投标决定，对本项目产生直接影响且在有效期内的）；</w:t>
      </w:r>
    </w:p>
    <w:p>
      <w:pPr>
        <w:pStyle w:val="23"/>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（13）被市场监督管理部门列入经营异常名录的（以信用中国查询为准）；</w:t>
      </w:r>
    </w:p>
    <w:p>
      <w:pPr>
        <w:pStyle w:val="23"/>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（14）被列入严重违法失信企业名单的（以国家企业信用公示系统查询为准）；</w:t>
      </w:r>
    </w:p>
    <w:p>
      <w:pPr>
        <w:pStyle w:val="23"/>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（15）被人民法院公布的失信被执行人（以信用中国查询为准）；</w:t>
      </w:r>
    </w:p>
    <w:p>
      <w:pPr>
        <w:pStyle w:val="23"/>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（16）被列入</w:t>
      </w:r>
      <w:r>
        <w:rPr>
          <w:rFonts w:hint="eastAsia" w:ascii="宋体" w:hAnsi="宋体" w:eastAsia="宋体" w:cs="宋体"/>
          <w:b w:val="0"/>
          <w:bCs w:val="0"/>
          <w:sz w:val="21"/>
          <w:szCs w:val="21"/>
        </w:rPr>
        <w:t>重大税收违法</w:t>
      </w:r>
      <w:r>
        <w:rPr>
          <w:rFonts w:hint="eastAsia" w:ascii="宋体" w:hAnsi="宋体" w:eastAsia="宋体" w:cs="宋体"/>
          <w:b w:val="0"/>
          <w:bCs w:val="0"/>
          <w:sz w:val="21"/>
          <w:szCs w:val="21"/>
          <w:lang w:eastAsia="zh-CN"/>
        </w:rPr>
        <w:t>税收失信主体</w:t>
      </w:r>
      <w:r>
        <w:rPr>
          <w:rFonts w:hint="eastAsia" w:ascii="宋体" w:hAnsi="宋体" w:eastAsia="宋体" w:cs="宋体"/>
          <w:bCs/>
          <w:szCs w:val="21"/>
        </w:rPr>
        <w:t>的（以信用中国查询为准）；</w:t>
      </w:r>
    </w:p>
    <w:p>
      <w:pPr>
        <w:pStyle w:val="23"/>
        <w:pageBreakBefore w:val="0"/>
        <w:kinsoku/>
        <w:bidi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（17）有行贿犯罪记录的。</w:t>
      </w:r>
    </w:p>
    <w:p>
      <w:pPr>
        <w:pStyle w:val="23"/>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注：信用中国及国家企业信用公示系统查询信息，以磋商时间截止后采购人、采购代理机构在信用中国及国家企业信用公示系统网站查询结果为准。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sz w:val="21"/>
          <w:szCs w:val="21"/>
          <w:lang w:val="en-US" w:eastAsia="zh-CN"/>
        </w:rPr>
        <w:t>2.5.</w:t>
      </w:r>
      <w:r>
        <w:rPr>
          <w:rFonts w:hint="eastAsia" w:ascii="宋体" w:hAnsi="宋体" w:eastAsia="宋体" w:cs="宋体"/>
          <w:szCs w:val="21"/>
        </w:rPr>
        <w:t>成交供应商：接受成交通知书，最终被授予合同的供应商；</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2.6.响应文件：指供应商根据竞争性磋商文件提交的所有文件；</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2.7.货物或服务：按照竞争性磋商文件规定，供应商向采购人提供的货物或服务；</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2.8.“重大违法行为”系指供应商因违法经营受到刑事处罚或者责令停业停产、吊销许可证或者执照、较大数额罚款等行政处罚；</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2.9.“法定代表人”系指法人单位（企业）法人营业执照（或登记证书）上注明的法定代表人；如为其他组织或个体经营者参加磋商的，指营业执照（或登记证书）上注明的负责人或经营者。</w:t>
      </w:r>
    </w:p>
    <w:p>
      <w:pPr>
        <w:pageBreakBefore w:val="0"/>
        <w:numPr>
          <w:ilvl w:val="0"/>
          <w:numId w:val="2"/>
        </w:numPr>
        <w:kinsoku/>
        <w:bidi w:val="0"/>
        <w:spacing w:line="360" w:lineRule="auto"/>
        <w:rPr>
          <w:rFonts w:hint="eastAsia" w:ascii="宋体" w:hAnsi="宋体" w:eastAsia="宋体" w:cs="宋体"/>
          <w:b/>
          <w:bCs/>
          <w:szCs w:val="21"/>
        </w:rPr>
      </w:pPr>
      <w:r>
        <w:rPr>
          <w:rFonts w:hint="eastAsia" w:ascii="宋体" w:hAnsi="宋体" w:eastAsia="宋体" w:cs="宋体"/>
          <w:b/>
          <w:bCs/>
          <w:szCs w:val="21"/>
        </w:rPr>
        <w:t>通知</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对与本项目有关的通知（包括澄清、修改、补充等），采购代理机构将在《中国招标投标公共服务平台》、《河南省电子招标投标公共服务平台》、《河南省政府采购网》、《焦作市公共资源交易中心网》、《武陟县公共资源交易中心网》相关媒体上以书面形式向供应商发出，各供应商应当时刻关注以上网站所发出关于本项目的相关通知。</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磋商费用</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供应商应承担所有与准备和参加磋商有关的费用。不论磋商结果如何，采购代理机构、采购人均无义务和责任承担这些费用。</w:t>
      </w:r>
    </w:p>
    <w:p>
      <w:pPr>
        <w:pStyle w:val="5"/>
        <w:pageBreakBefore w:val="0"/>
        <w:kinsoku/>
        <w:bidi w:val="0"/>
        <w:spacing w:before="0" w:after="0" w:line="360" w:lineRule="auto"/>
        <w:jc w:val="center"/>
        <w:rPr>
          <w:rFonts w:hint="eastAsia" w:ascii="宋体" w:hAnsi="宋体" w:eastAsia="宋体" w:cs="宋体"/>
          <w:sz w:val="36"/>
          <w:szCs w:val="36"/>
        </w:rPr>
      </w:pPr>
      <w:bookmarkStart w:id="21" w:name="_Toc25496"/>
      <w:bookmarkStart w:id="22" w:name="_Toc23018"/>
      <w:bookmarkStart w:id="23" w:name="_Toc48809194"/>
      <w:bookmarkStart w:id="24" w:name="_Toc490161261"/>
      <w:bookmarkStart w:id="25" w:name="_Toc27890"/>
      <w:bookmarkStart w:id="26" w:name="_Toc22215061"/>
      <w:bookmarkStart w:id="27" w:name="_Toc487805904"/>
      <w:bookmarkStart w:id="28" w:name="_Toc373230024"/>
      <w:bookmarkStart w:id="29" w:name="_Toc461962052"/>
      <w:bookmarkStart w:id="30" w:name="_Toc477423244"/>
      <w:bookmarkStart w:id="31" w:name="_Toc49166040"/>
      <w:bookmarkStart w:id="32" w:name="_Toc48808912"/>
      <w:bookmarkStart w:id="33" w:name="_Toc374512411"/>
      <w:r>
        <w:rPr>
          <w:rFonts w:hint="eastAsia" w:ascii="宋体" w:hAnsi="宋体" w:eastAsia="宋体" w:cs="宋体"/>
          <w:sz w:val="36"/>
          <w:szCs w:val="36"/>
        </w:rPr>
        <w:t>二、磋商文件</w:t>
      </w:r>
      <w:bookmarkEnd w:id="21"/>
      <w:bookmarkEnd w:id="22"/>
      <w:bookmarkEnd w:id="23"/>
      <w:bookmarkEnd w:id="24"/>
      <w:bookmarkEnd w:id="25"/>
      <w:bookmarkEnd w:id="26"/>
      <w:bookmarkEnd w:id="27"/>
      <w:bookmarkEnd w:id="28"/>
      <w:bookmarkEnd w:id="29"/>
      <w:bookmarkEnd w:id="30"/>
      <w:bookmarkEnd w:id="31"/>
      <w:bookmarkEnd w:id="32"/>
      <w:bookmarkEnd w:id="33"/>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磋商文件的组成</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5.1磋商文件包括下列内容：</w:t>
      </w:r>
    </w:p>
    <w:p>
      <w:pPr>
        <w:pageBreakBefore w:val="0"/>
        <w:numPr>
          <w:ilvl w:val="5"/>
          <w:numId w:val="3"/>
        </w:numPr>
        <w:tabs>
          <w:tab w:val="left" w:pos="1442"/>
          <w:tab w:val="clear" w:pos="2535"/>
        </w:tabs>
        <w:kinsoku/>
        <w:bidi w:val="0"/>
        <w:spacing w:line="360" w:lineRule="auto"/>
        <w:ind w:left="0" w:firstLine="315" w:firstLineChars="150"/>
        <w:rPr>
          <w:rFonts w:hint="eastAsia" w:ascii="宋体" w:hAnsi="宋体" w:eastAsia="宋体" w:cs="宋体"/>
          <w:szCs w:val="21"/>
        </w:rPr>
      </w:pPr>
      <w:r>
        <w:rPr>
          <w:rFonts w:hint="eastAsia" w:ascii="宋体" w:hAnsi="宋体" w:eastAsia="宋体" w:cs="宋体"/>
          <w:szCs w:val="21"/>
        </w:rPr>
        <w:t>竞争性磋商公告</w:t>
      </w:r>
    </w:p>
    <w:p>
      <w:pPr>
        <w:pageBreakBefore w:val="0"/>
        <w:numPr>
          <w:ilvl w:val="5"/>
          <w:numId w:val="3"/>
        </w:numPr>
        <w:tabs>
          <w:tab w:val="left" w:pos="1442"/>
          <w:tab w:val="clear" w:pos="2535"/>
        </w:tabs>
        <w:kinsoku/>
        <w:bidi w:val="0"/>
        <w:spacing w:line="360" w:lineRule="auto"/>
        <w:ind w:left="0" w:firstLine="315" w:firstLineChars="150"/>
        <w:rPr>
          <w:rFonts w:hint="eastAsia" w:ascii="宋体" w:hAnsi="宋体" w:eastAsia="宋体" w:cs="宋体"/>
          <w:szCs w:val="21"/>
        </w:rPr>
      </w:pPr>
      <w:r>
        <w:rPr>
          <w:rFonts w:hint="eastAsia" w:ascii="宋体" w:hAnsi="宋体" w:eastAsia="宋体" w:cs="宋体"/>
          <w:szCs w:val="21"/>
        </w:rPr>
        <w:t>供应商须知</w:t>
      </w:r>
    </w:p>
    <w:p>
      <w:pPr>
        <w:pageBreakBefore w:val="0"/>
        <w:numPr>
          <w:ilvl w:val="5"/>
          <w:numId w:val="3"/>
        </w:numPr>
        <w:tabs>
          <w:tab w:val="left" w:pos="1442"/>
          <w:tab w:val="clear" w:pos="2535"/>
        </w:tabs>
        <w:kinsoku/>
        <w:bidi w:val="0"/>
        <w:spacing w:line="360" w:lineRule="auto"/>
        <w:ind w:left="0" w:firstLine="315" w:firstLineChars="150"/>
        <w:rPr>
          <w:rFonts w:hint="eastAsia" w:ascii="宋体" w:hAnsi="宋体" w:eastAsia="宋体" w:cs="宋体"/>
          <w:szCs w:val="21"/>
        </w:rPr>
      </w:pPr>
      <w:r>
        <w:rPr>
          <w:rFonts w:hint="eastAsia" w:ascii="宋体" w:hAnsi="宋体" w:eastAsia="宋体" w:cs="宋体"/>
          <w:szCs w:val="21"/>
        </w:rPr>
        <w:t>评审办法</w:t>
      </w:r>
    </w:p>
    <w:p>
      <w:pPr>
        <w:pageBreakBefore w:val="0"/>
        <w:numPr>
          <w:ilvl w:val="5"/>
          <w:numId w:val="3"/>
        </w:numPr>
        <w:tabs>
          <w:tab w:val="left" w:pos="1442"/>
          <w:tab w:val="clear" w:pos="2535"/>
        </w:tabs>
        <w:kinsoku/>
        <w:bidi w:val="0"/>
        <w:spacing w:line="360" w:lineRule="auto"/>
        <w:ind w:left="0" w:firstLine="315" w:firstLineChars="150"/>
        <w:rPr>
          <w:rFonts w:hint="eastAsia" w:ascii="宋体" w:hAnsi="宋体" w:eastAsia="宋体" w:cs="宋体"/>
          <w:szCs w:val="21"/>
        </w:rPr>
      </w:pPr>
      <w:r>
        <w:rPr>
          <w:rFonts w:hint="eastAsia" w:ascii="宋体" w:hAnsi="宋体" w:eastAsia="宋体" w:cs="宋体"/>
          <w:szCs w:val="21"/>
        </w:rPr>
        <w:t>合同条款及格式</w:t>
      </w:r>
    </w:p>
    <w:p>
      <w:pPr>
        <w:pageBreakBefore w:val="0"/>
        <w:numPr>
          <w:ilvl w:val="5"/>
          <w:numId w:val="3"/>
        </w:numPr>
        <w:tabs>
          <w:tab w:val="left" w:pos="1442"/>
          <w:tab w:val="clear" w:pos="2535"/>
        </w:tabs>
        <w:kinsoku/>
        <w:bidi w:val="0"/>
        <w:spacing w:line="360" w:lineRule="auto"/>
        <w:ind w:left="0" w:firstLine="315" w:firstLineChars="150"/>
        <w:rPr>
          <w:rFonts w:hint="eastAsia" w:ascii="宋体" w:hAnsi="宋体" w:eastAsia="宋体" w:cs="宋体"/>
          <w:szCs w:val="21"/>
        </w:rPr>
      </w:pPr>
      <w:r>
        <w:rPr>
          <w:rFonts w:hint="eastAsia" w:ascii="宋体" w:hAnsi="宋体" w:eastAsia="宋体" w:cs="宋体"/>
          <w:szCs w:val="21"/>
          <w:lang w:eastAsia="zh-CN"/>
        </w:rPr>
        <w:t>采购需求</w:t>
      </w:r>
    </w:p>
    <w:p>
      <w:pPr>
        <w:pageBreakBefore w:val="0"/>
        <w:numPr>
          <w:ilvl w:val="5"/>
          <w:numId w:val="3"/>
        </w:numPr>
        <w:tabs>
          <w:tab w:val="left" w:pos="1442"/>
          <w:tab w:val="clear" w:pos="2535"/>
        </w:tabs>
        <w:kinsoku/>
        <w:bidi w:val="0"/>
        <w:spacing w:line="360" w:lineRule="auto"/>
        <w:ind w:left="0" w:firstLine="315" w:firstLineChars="150"/>
        <w:rPr>
          <w:rFonts w:hint="eastAsia" w:ascii="宋体" w:hAnsi="宋体" w:eastAsia="宋体" w:cs="宋体"/>
          <w:szCs w:val="21"/>
        </w:rPr>
      </w:pPr>
      <w:r>
        <w:rPr>
          <w:rFonts w:hint="eastAsia" w:ascii="宋体" w:hAnsi="宋体" w:eastAsia="宋体" w:cs="宋体"/>
          <w:szCs w:val="21"/>
        </w:rPr>
        <w:t>响应文件格式</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5.2除以上内容外，采购代理机构在提交响应文件截止时间前，在《中国招标投标公共服务平台》、《河南省电子招标投标公共服务平台》、《河南省政府采购网》、《焦作市公共资源交易中心网》、《武陟县公共资源交易中心网》网上发出的对磋商文件的澄清或修改内容，均为磋商文件的组成部分，对采购人和供应商起约束作用；</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5.3.供应商获取磋商文件后，应仔细检查磋商文件的所有内容，如有问题应在获得</w:t>
      </w:r>
      <w:r>
        <w:rPr>
          <w:rFonts w:hint="eastAsia" w:ascii="宋体" w:hAnsi="宋体" w:eastAsia="宋体" w:cs="宋体"/>
          <w:szCs w:val="21"/>
          <w:lang w:eastAsia="zh-CN"/>
        </w:rPr>
        <w:t>竞争性</w:t>
      </w:r>
      <w:r>
        <w:rPr>
          <w:rFonts w:hint="eastAsia" w:ascii="宋体" w:hAnsi="宋体" w:eastAsia="宋体" w:cs="宋体"/>
          <w:szCs w:val="21"/>
        </w:rPr>
        <w:t>磋商文件后立即登陆焦作市公共资源交易中心网站，并进入在线招标系统提出，要求采购人对</w:t>
      </w:r>
      <w:r>
        <w:rPr>
          <w:rFonts w:hint="eastAsia" w:ascii="宋体" w:hAnsi="宋体" w:eastAsia="宋体" w:cs="宋体"/>
          <w:szCs w:val="21"/>
          <w:lang w:eastAsia="zh-CN"/>
        </w:rPr>
        <w:t>竞争性</w:t>
      </w:r>
      <w:r>
        <w:rPr>
          <w:rFonts w:hint="eastAsia" w:ascii="宋体" w:hAnsi="宋体" w:eastAsia="宋体" w:cs="宋体"/>
          <w:szCs w:val="21"/>
        </w:rPr>
        <w:t>磋商文件予以澄清。否则，由此引起的损失由供应商自己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将拒绝其参与磋商。</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磋商文件的澄清或修改</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6.1.磋商文件发出后，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pPr>
        <w:pageBreakBefore w:val="0"/>
        <w:kinsoku/>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6.2.磋商文件的澄清、修改、补充等在同一内容的表述不一致时，以最后发出的文件为准；</w:t>
      </w:r>
    </w:p>
    <w:p>
      <w:pPr>
        <w:pageBreakBefore w:val="0"/>
        <w:kinsoku/>
        <w:bidi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6.3.为使供应商在编制响应文件时有充分的时间对磋商文件的澄清、修改、补充等内容进行研究，采购人将酌情延长提交响应文件的截止时间，具体时间将在磋商文件的修改、补充通知中予以明确。</w:t>
      </w:r>
    </w:p>
    <w:p>
      <w:pPr>
        <w:pStyle w:val="5"/>
        <w:pageBreakBefore w:val="0"/>
        <w:kinsoku/>
        <w:bidi w:val="0"/>
        <w:spacing w:before="0" w:after="0" w:line="360" w:lineRule="auto"/>
        <w:ind w:firstLine="2711" w:firstLineChars="750"/>
        <w:rPr>
          <w:rFonts w:hint="eastAsia" w:ascii="宋体" w:hAnsi="宋体" w:eastAsia="宋体" w:cs="宋体"/>
          <w:sz w:val="36"/>
          <w:szCs w:val="36"/>
        </w:rPr>
      </w:pPr>
      <w:bookmarkStart w:id="34" w:name="_Toc374512412"/>
      <w:bookmarkStart w:id="35" w:name="_Toc461962053"/>
      <w:bookmarkStart w:id="36" w:name="_Toc305"/>
      <w:bookmarkStart w:id="37" w:name="_Toc26181"/>
      <w:bookmarkStart w:id="38" w:name="_Toc487805905"/>
      <w:bookmarkStart w:id="39" w:name="_Toc477423245"/>
      <w:bookmarkStart w:id="40" w:name="_Toc490161262"/>
      <w:bookmarkStart w:id="41" w:name="_Toc48808913"/>
      <w:bookmarkStart w:id="42" w:name="_Toc48809195"/>
      <w:bookmarkStart w:id="43" w:name="_Toc373230025"/>
      <w:bookmarkStart w:id="44" w:name="_Toc9656"/>
      <w:bookmarkStart w:id="45" w:name="_Toc22215062"/>
      <w:bookmarkStart w:id="46" w:name="_Toc49166041"/>
      <w:r>
        <w:rPr>
          <w:rFonts w:hint="eastAsia" w:ascii="宋体" w:hAnsi="宋体" w:eastAsia="宋体" w:cs="宋体"/>
          <w:sz w:val="36"/>
          <w:szCs w:val="36"/>
        </w:rPr>
        <w:t>三、响应文件的编制</w:t>
      </w:r>
      <w:bookmarkEnd w:id="34"/>
      <w:bookmarkEnd w:id="35"/>
      <w:bookmarkEnd w:id="36"/>
      <w:bookmarkEnd w:id="37"/>
      <w:bookmarkEnd w:id="38"/>
      <w:bookmarkEnd w:id="39"/>
      <w:bookmarkEnd w:id="40"/>
      <w:bookmarkEnd w:id="41"/>
      <w:bookmarkEnd w:id="42"/>
      <w:bookmarkEnd w:id="43"/>
      <w:bookmarkEnd w:id="44"/>
      <w:bookmarkEnd w:id="45"/>
      <w:bookmarkEnd w:id="46"/>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响应文件的语言及度量衡单位</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7.1响应文件和与磋商有关的所有文件均应使用</w:t>
      </w:r>
      <w:r>
        <w:rPr>
          <w:rFonts w:hint="eastAsia" w:ascii="宋体" w:hAnsi="宋体" w:eastAsia="宋体" w:cs="宋体"/>
          <w:szCs w:val="21"/>
          <w:u w:val="single"/>
        </w:rPr>
        <w:t xml:space="preserve"> 中文 </w:t>
      </w:r>
      <w:r>
        <w:rPr>
          <w:rFonts w:hint="eastAsia" w:ascii="宋体" w:hAnsi="宋体" w:eastAsia="宋体" w:cs="宋体"/>
          <w:szCs w:val="21"/>
        </w:rPr>
        <w:t>，供应商提交的支持资料和已印制的文献可以用另一种语言，但相应内容应附有中文翻译本，并提供附有公证书的中文翻译文件或者与原版文件签章相一致的中文翻译文件，在解释响应文件时以中文翻译本为准；</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7.2除相关技术规范另有规定外，响应文件使用的度量衡单位，均采用中华人民共和国法定计量单位；</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7.3本竞争性磋商文件所表述的时间均为北京时间(以武陟县公共资源交易中心开标厅电子时钟为准)。</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响应文件的组成</w:t>
      </w:r>
    </w:p>
    <w:p>
      <w:pPr>
        <w:pageBreakBefore w:val="0"/>
        <w:kinsoku/>
        <w:bidi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供应商提交的响应文件应当使用磋商文件所提供的响应文件格式，未提供格式的供应商自拟。</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报价</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9.1.报价包括所投入的全部人工成本、安装、调试、差旅费、现场管理费、企业管理费、评审费用、利润和税金等所有费用。</w:t>
      </w:r>
    </w:p>
    <w:p>
      <w:pPr>
        <w:pageBreakBefore w:val="0"/>
        <w:kinsoku/>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Cs w:val="21"/>
        </w:rPr>
        <w:t>9.2.响应文件中的报价</w:t>
      </w:r>
      <w:r>
        <w:rPr>
          <w:rFonts w:hint="eastAsia" w:ascii="宋体" w:hAnsi="宋体" w:eastAsia="宋体" w:cs="宋体"/>
          <w:sz w:val="21"/>
          <w:szCs w:val="21"/>
        </w:rPr>
        <w:t>并非最后报价，在磋商结束后由供应商在规定时间内提交最后报价，磋商小组根据供应商的综合得分确定成交供应商，成交供应商其最后的报价为成交价。</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.3第二轮报价需单独提供。</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 xml:space="preserve">.4采购机构不接受有选择的报价。 </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.5 报价不得超过</w:t>
      </w:r>
      <w:r>
        <w:rPr>
          <w:rFonts w:hint="eastAsia" w:ascii="宋体" w:hAnsi="宋体" w:eastAsia="宋体" w:cs="宋体"/>
          <w:sz w:val="21"/>
          <w:szCs w:val="21"/>
          <w:highlight w:val="none"/>
          <w:lang w:eastAsia="zh-CN"/>
        </w:rPr>
        <w:t>最高磋商限价</w:t>
      </w:r>
      <w:r>
        <w:rPr>
          <w:rFonts w:hint="eastAsia" w:ascii="宋体" w:hAnsi="宋体" w:eastAsia="宋体" w:cs="宋体"/>
          <w:sz w:val="21"/>
          <w:szCs w:val="21"/>
          <w:highlight w:val="none"/>
        </w:rPr>
        <w:t xml:space="preserve">。 </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.6报价均须以人民币为计算单位。</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小微企业应当提供《中小企业声明函》（见格式），否则不予认可。</w:t>
      </w:r>
    </w:p>
    <w:p>
      <w:pPr>
        <w:pageBreakBefore w:val="0"/>
        <w:kinsoku/>
        <w:bidi w:val="0"/>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备注：</w:t>
      </w:r>
    </w:p>
    <w:p>
      <w:pPr>
        <w:pageBreakBefore w:val="0"/>
        <w:kinsoku/>
        <w:bidi w:val="0"/>
        <w:spacing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1、第二轮总报价为最终报价，且不高于第一轮报价，供应商在系统进行第二轮报价时，需在提交第二轮报价的同时以附件方式上传已标价工程量清单电子版(PDF 格式)和第二轮报价表。 </w:t>
      </w:r>
    </w:p>
    <w:p>
      <w:pPr>
        <w:pageBreakBefore w:val="0"/>
        <w:kinsoku/>
        <w:bidi w:val="0"/>
        <w:spacing w:line="360" w:lineRule="auto"/>
        <w:ind w:firstLine="420" w:firstLineChars="200"/>
        <w:rPr>
          <w:rFonts w:hint="eastAsia" w:ascii="宋体" w:hAnsi="宋体" w:eastAsia="宋体" w:cs="宋体"/>
        </w:rPr>
      </w:pPr>
      <w:r>
        <w:rPr>
          <w:rFonts w:hint="eastAsia" w:ascii="宋体" w:hAnsi="宋体" w:eastAsia="宋体" w:cs="宋体"/>
          <w:sz w:val="21"/>
          <w:szCs w:val="21"/>
          <w:highlight w:val="none"/>
        </w:rPr>
        <w:t xml:space="preserve">2、供应商各分项报价应在市场价范围内报价，不得严重偏离市场报价。 </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磋商货币</w:t>
      </w:r>
    </w:p>
    <w:p>
      <w:pPr>
        <w:pageBreakBefore w:val="0"/>
        <w:kinsoku/>
        <w:bidi w:val="0"/>
        <w:spacing w:line="360" w:lineRule="auto"/>
        <w:ind w:firstLine="630" w:firstLineChars="300"/>
        <w:rPr>
          <w:rFonts w:hint="eastAsia" w:ascii="宋体" w:hAnsi="宋体" w:eastAsia="宋体" w:cs="宋体"/>
          <w:szCs w:val="21"/>
        </w:rPr>
      </w:pPr>
      <w:r>
        <w:rPr>
          <w:rFonts w:hint="eastAsia" w:ascii="宋体" w:hAnsi="宋体" w:eastAsia="宋体" w:cs="宋体"/>
          <w:szCs w:val="21"/>
        </w:rPr>
        <w:t>供应商以人民币填报所有单价或价格，合同实施时亦以人民币支付。</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磋商有效期</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11.1磋商有效期见本须知前附表所规定的期限，在此期限内，凡符合本磋商文件要求的响应文件均保持有效；</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11.2在特殊情况下，采购人可以根据需要向供应商提出延长磋商有效期的要求，对此要求供应商予以答复。供应商可以拒绝采购人这种要求，而不被没收磋商保证金。同意延长磋商有效期的供应商既不能要求也不允许修改其响应文件，但需要相应的延长磋商保证金的有效期，在延长的磋商有效期内，本须知第3.4条关于磋商保证金没收的规定仍然适用。</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磋商保证金</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详见</w:t>
      </w:r>
      <w:r>
        <w:rPr>
          <w:rFonts w:hint="eastAsia" w:ascii="宋体" w:hAnsi="宋体" w:eastAsia="宋体" w:cs="宋体"/>
          <w:kern w:val="0"/>
          <w:szCs w:val="21"/>
        </w:rPr>
        <w:t>供应商须知前附表</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响应文件的份数和签署</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 xml:space="preserve">.1供应商登录“焦作市公共资源交易中心”网站，按要求下载“新点投标文件制作软件”。 </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.2 供应商凭CA 锁登录，并按网上提示自行下载竞争性磋商文件。使用“新点投标文件制作软件”按要求制作电子</w:t>
      </w:r>
      <w:r>
        <w:rPr>
          <w:rFonts w:hint="eastAsia" w:ascii="宋体" w:hAnsi="宋体" w:eastAsia="宋体" w:cs="宋体"/>
          <w:szCs w:val="21"/>
          <w:lang w:eastAsia="zh-CN"/>
        </w:rPr>
        <w:t>响应</w:t>
      </w:r>
      <w:r>
        <w:rPr>
          <w:rFonts w:hint="eastAsia" w:ascii="宋体" w:hAnsi="宋体" w:eastAsia="宋体" w:cs="宋体"/>
          <w:szCs w:val="21"/>
        </w:rPr>
        <w:t>文件。供应商在制作电子</w:t>
      </w:r>
      <w:r>
        <w:rPr>
          <w:rFonts w:hint="eastAsia" w:ascii="宋体" w:hAnsi="宋体" w:eastAsia="宋体" w:cs="宋体"/>
          <w:szCs w:val="21"/>
          <w:lang w:eastAsia="zh-CN"/>
        </w:rPr>
        <w:t>响应</w:t>
      </w:r>
      <w:r>
        <w:rPr>
          <w:rFonts w:hint="eastAsia" w:ascii="宋体" w:hAnsi="宋体" w:eastAsia="宋体" w:cs="宋体"/>
          <w:szCs w:val="21"/>
        </w:rPr>
        <w:t>文件时，应按要求进行电子签章。供应商编辑电子</w:t>
      </w:r>
      <w:r>
        <w:rPr>
          <w:rFonts w:hint="eastAsia" w:ascii="宋体" w:hAnsi="宋体" w:eastAsia="宋体" w:cs="宋体"/>
          <w:szCs w:val="21"/>
          <w:lang w:eastAsia="zh-CN"/>
        </w:rPr>
        <w:t>响应</w:t>
      </w:r>
      <w:r>
        <w:rPr>
          <w:rFonts w:hint="eastAsia" w:ascii="宋体" w:hAnsi="宋体" w:eastAsia="宋体" w:cs="宋体"/>
          <w:szCs w:val="21"/>
        </w:rPr>
        <w:t xml:space="preserve">文件时，根据竞争性磋商文件要求用法定代表人CA锁和企业CA锁进行签章制作；最后一步生成电子响应文件时，只能用本单位的企业CA 锁。 </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.3加密的电子</w:t>
      </w:r>
      <w:r>
        <w:rPr>
          <w:rFonts w:hint="eastAsia" w:ascii="宋体" w:hAnsi="宋体" w:eastAsia="宋体" w:cs="宋体"/>
          <w:szCs w:val="21"/>
          <w:lang w:eastAsia="zh-CN"/>
        </w:rPr>
        <w:t>响应</w:t>
      </w:r>
      <w:r>
        <w:rPr>
          <w:rFonts w:hint="eastAsia" w:ascii="宋体" w:hAnsi="宋体" w:eastAsia="宋体" w:cs="宋体"/>
          <w:szCs w:val="21"/>
        </w:rPr>
        <w:t>文件为“焦作市公共资源交易中心”网站提供的“新点投标文件制作软件”制作生成的加密版</w:t>
      </w:r>
      <w:r>
        <w:rPr>
          <w:rFonts w:hint="eastAsia" w:ascii="宋体" w:hAnsi="宋体" w:eastAsia="宋体" w:cs="宋体"/>
          <w:szCs w:val="21"/>
          <w:lang w:eastAsia="zh-CN"/>
        </w:rPr>
        <w:t>响应</w:t>
      </w:r>
      <w:r>
        <w:rPr>
          <w:rFonts w:hint="eastAsia" w:ascii="宋体" w:hAnsi="宋体" w:eastAsia="宋体" w:cs="宋体"/>
          <w:szCs w:val="21"/>
        </w:rPr>
        <w:t>文件。未加密的电子</w:t>
      </w:r>
      <w:r>
        <w:rPr>
          <w:rFonts w:hint="eastAsia" w:ascii="宋体" w:hAnsi="宋体" w:eastAsia="宋体" w:cs="宋体"/>
          <w:szCs w:val="21"/>
          <w:lang w:eastAsia="zh-CN"/>
        </w:rPr>
        <w:t>响应</w:t>
      </w:r>
      <w:r>
        <w:rPr>
          <w:rFonts w:hint="eastAsia" w:ascii="宋体" w:hAnsi="宋体" w:eastAsia="宋体" w:cs="宋体"/>
          <w:szCs w:val="21"/>
        </w:rPr>
        <w:t>文件应与加密的电子</w:t>
      </w:r>
      <w:r>
        <w:rPr>
          <w:rFonts w:hint="eastAsia" w:ascii="宋体" w:hAnsi="宋体" w:eastAsia="宋体" w:cs="宋体"/>
          <w:szCs w:val="21"/>
          <w:lang w:eastAsia="zh-CN"/>
        </w:rPr>
        <w:t>响应</w:t>
      </w:r>
      <w:r>
        <w:rPr>
          <w:rFonts w:hint="eastAsia" w:ascii="宋体" w:hAnsi="宋体" w:eastAsia="宋体" w:cs="宋体"/>
          <w:szCs w:val="21"/>
        </w:rPr>
        <w:t xml:space="preserve">文件为同时生成的版本。 </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.4</w:t>
      </w:r>
      <w:r>
        <w:rPr>
          <w:rFonts w:hint="eastAsia" w:ascii="宋体" w:hAnsi="宋体" w:eastAsia="宋体" w:cs="宋体"/>
          <w:szCs w:val="21"/>
          <w:lang w:eastAsia="zh-CN"/>
        </w:rPr>
        <w:t>响应</w:t>
      </w:r>
      <w:r>
        <w:rPr>
          <w:rFonts w:hint="eastAsia" w:ascii="宋体" w:hAnsi="宋体" w:eastAsia="宋体" w:cs="宋体"/>
          <w:szCs w:val="21"/>
        </w:rPr>
        <w:t>文件格式所要求包含的全部资料应全部制作在</w:t>
      </w:r>
      <w:r>
        <w:rPr>
          <w:rFonts w:hint="eastAsia" w:ascii="宋体" w:hAnsi="宋体" w:eastAsia="宋体" w:cs="宋体"/>
          <w:szCs w:val="21"/>
          <w:lang w:eastAsia="zh-CN"/>
        </w:rPr>
        <w:t>响应</w:t>
      </w:r>
      <w:r>
        <w:rPr>
          <w:rFonts w:hint="eastAsia" w:ascii="宋体" w:hAnsi="宋体" w:eastAsia="宋体" w:cs="宋体"/>
          <w:szCs w:val="21"/>
        </w:rPr>
        <w:t>文件内，严格按照本项目</w:t>
      </w:r>
      <w:r>
        <w:rPr>
          <w:rFonts w:hint="eastAsia" w:ascii="宋体" w:hAnsi="宋体" w:eastAsia="宋体" w:cs="宋体"/>
          <w:szCs w:val="21"/>
          <w:lang w:eastAsia="zh-CN"/>
        </w:rPr>
        <w:t>响应</w:t>
      </w:r>
      <w:r>
        <w:rPr>
          <w:rFonts w:hint="eastAsia" w:ascii="宋体" w:hAnsi="宋体" w:eastAsia="宋体" w:cs="宋体"/>
          <w:szCs w:val="21"/>
        </w:rPr>
        <w:t>文件所有格式如实填写（不涉及的内容除外），不应存在漏项或缺项，否则将存在</w:t>
      </w:r>
      <w:r>
        <w:rPr>
          <w:rFonts w:hint="eastAsia" w:ascii="宋体" w:hAnsi="宋体" w:eastAsia="宋体" w:cs="宋体"/>
          <w:szCs w:val="21"/>
          <w:lang w:eastAsia="zh-CN"/>
        </w:rPr>
        <w:t>响应</w:t>
      </w:r>
      <w:r>
        <w:rPr>
          <w:rFonts w:hint="eastAsia" w:ascii="宋体" w:hAnsi="宋体" w:eastAsia="宋体" w:cs="宋体"/>
          <w:szCs w:val="21"/>
        </w:rPr>
        <w:t xml:space="preserve">文件被否决的风险。 </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.5 响应文件所附证明材料应按照竞争性磋商文件要求提供，尺寸和清晰度应该能够在电脑上被阅读、识别和判断；若供应商未按要求提供证明材料或提供不清晰的扫描件（或照片）的，磋商小组有权认定其响应文件未对竞争性磋商文件有关要求进行响应，涉及资格审查性或符合性审查的将不予通过。</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.6 供应商可按本竞争性竞争性磋商文件规定的格式编制</w:t>
      </w:r>
      <w:r>
        <w:rPr>
          <w:rFonts w:hint="eastAsia" w:ascii="宋体" w:hAnsi="宋体" w:eastAsia="宋体" w:cs="宋体"/>
          <w:szCs w:val="21"/>
          <w:lang w:eastAsia="zh-CN"/>
        </w:rPr>
        <w:t>响应</w:t>
      </w:r>
      <w:r>
        <w:rPr>
          <w:rFonts w:hint="eastAsia" w:ascii="宋体" w:hAnsi="宋体" w:eastAsia="宋体" w:cs="宋体"/>
          <w:szCs w:val="21"/>
        </w:rPr>
        <w:t>文件。</w:t>
      </w:r>
      <w:r>
        <w:rPr>
          <w:rFonts w:hint="eastAsia" w:ascii="宋体" w:hAnsi="宋体" w:eastAsia="宋体" w:cs="宋体"/>
          <w:szCs w:val="21"/>
          <w:lang w:eastAsia="zh-CN"/>
        </w:rPr>
        <w:t>响应</w:t>
      </w:r>
      <w:r>
        <w:rPr>
          <w:rFonts w:hint="eastAsia" w:ascii="宋体" w:hAnsi="宋体" w:eastAsia="宋体" w:cs="宋体"/>
          <w:szCs w:val="21"/>
        </w:rPr>
        <w:t>文件内容不完整、编排混乱导致被误读、漏读或者查找不到相关内容的，由供应商负责。</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.7 响应文件未按要求签字或加盖电子签章的视为无效文件。本采购文件所表述（指定）的电子签章是指法人（供应商）行政电子签章，不包括专用章。</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 xml:space="preserve">.8 </w:t>
      </w:r>
      <w:r>
        <w:rPr>
          <w:rFonts w:hint="eastAsia" w:ascii="宋体" w:hAnsi="宋体" w:eastAsia="宋体" w:cs="宋体"/>
          <w:szCs w:val="21"/>
          <w:lang w:eastAsia="zh-CN"/>
        </w:rPr>
        <w:t>响应</w:t>
      </w:r>
      <w:r>
        <w:rPr>
          <w:rFonts w:hint="eastAsia" w:ascii="宋体" w:hAnsi="宋体" w:eastAsia="宋体" w:cs="宋体"/>
          <w:szCs w:val="21"/>
        </w:rPr>
        <w:t>文件应无涂改和行间插字，除非这些改动是为改正供应商造成的必须修改的错误进行的。有改动时，修改处应由供应商代表签署证明或加盖电子签章，但非供应商出具的材料，供应商改动无效。</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.9供应商提交的资料应证明其满足竞争性竞争性磋商文件要求，该文件可以是文字资料、图纸和数据，以及拟提供货物的主要技术参数、指标和性能，提供服务的详细描述等资料。</w:t>
      </w:r>
    </w:p>
    <w:p>
      <w:pPr>
        <w:pStyle w:val="5"/>
        <w:pageBreakBefore w:val="0"/>
        <w:kinsoku/>
        <w:bidi w:val="0"/>
        <w:spacing w:before="0" w:after="0" w:line="360" w:lineRule="auto"/>
        <w:jc w:val="center"/>
        <w:rPr>
          <w:rFonts w:hint="eastAsia" w:ascii="宋体" w:hAnsi="宋体" w:eastAsia="宋体" w:cs="宋体"/>
          <w:sz w:val="36"/>
          <w:szCs w:val="36"/>
        </w:rPr>
      </w:pPr>
      <w:bookmarkStart w:id="47" w:name="_Toc22215063"/>
      <w:bookmarkStart w:id="48" w:name="_Toc48808914"/>
      <w:bookmarkStart w:id="49" w:name="_Toc373230026"/>
      <w:bookmarkStart w:id="50" w:name="_Toc22169"/>
      <w:bookmarkStart w:id="51" w:name="_Toc21188"/>
      <w:bookmarkStart w:id="52" w:name="_Toc461962054"/>
      <w:bookmarkStart w:id="53" w:name="_Toc487805906"/>
      <w:bookmarkStart w:id="54" w:name="_Toc374512413"/>
      <w:bookmarkStart w:id="55" w:name="_Toc48809196"/>
      <w:bookmarkStart w:id="56" w:name="_Toc477423246"/>
      <w:bookmarkStart w:id="57" w:name="_Toc490161263"/>
      <w:bookmarkStart w:id="58" w:name="_Toc49166042"/>
      <w:bookmarkStart w:id="59" w:name="_Toc10798"/>
      <w:r>
        <w:rPr>
          <w:rFonts w:hint="eastAsia" w:ascii="宋体" w:hAnsi="宋体" w:eastAsia="宋体" w:cs="宋体"/>
          <w:sz w:val="36"/>
          <w:szCs w:val="36"/>
        </w:rPr>
        <w:t>四、响应文件的提交</w:t>
      </w:r>
      <w:bookmarkEnd w:id="47"/>
      <w:bookmarkEnd w:id="48"/>
      <w:bookmarkEnd w:id="49"/>
      <w:bookmarkEnd w:id="50"/>
      <w:bookmarkEnd w:id="51"/>
      <w:bookmarkEnd w:id="52"/>
      <w:bookmarkEnd w:id="53"/>
      <w:bookmarkEnd w:id="54"/>
      <w:bookmarkEnd w:id="55"/>
      <w:bookmarkEnd w:id="56"/>
      <w:bookmarkEnd w:id="57"/>
      <w:bookmarkEnd w:id="58"/>
      <w:bookmarkEnd w:id="59"/>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响应文件的提交</w:t>
      </w:r>
    </w:p>
    <w:p>
      <w:pPr>
        <w:pStyle w:val="56"/>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采用电子开评标方式，潜在供应商可提前在焦作市交易中心官网首页---公共服务---下载专区--下载《焦作市电子招投标系统操作手册》、《焦作市公共资源交易平台不见面开标操作手册》和《响应文件制作工作工具》等查看操作说明，按要求进行响应文件制作和上传等。为避免网络拥堵等不可控因素影响响应文件的上传，请提前上传响应文件，并在响应文件递交截止时间前登录不见面开标大厅进行签到，按要求解密响应文件。因文件未及时上传导致投标失败的责任由</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自行承担。</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响应文件递交的截止时间</w:t>
      </w:r>
    </w:p>
    <w:p>
      <w:pPr>
        <w:pageBreakBefore w:val="0"/>
        <w:kinsoku/>
        <w:bidi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16.1响应文件</w:t>
      </w:r>
      <w:r>
        <w:rPr>
          <w:rFonts w:hint="eastAsia" w:ascii="宋体" w:hAnsi="宋体" w:eastAsia="宋体" w:cs="宋体"/>
          <w:szCs w:val="21"/>
          <w:lang w:eastAsia="zh-CN"/>
        </w:rPr>
        <w:t>应</w:t>
      </w:r>
      <w:r>
        <w:rPr>
          <w:rFonts w:hint="eastAsia" w:ascii="宋体" w:hAnsi="宋体" w:eastAsia="宋体" w:cs="宋体"/>
          <w:szCs w:val="21"/>
        </w:rPr>
        <w:t>在不迟于“供应商须知前附表”中规定的截止日期和时间递交响应文件。</w:t>
      </w:r>
    </w:p>
    <w:p>
      <w:pPr>
        <w:pageBreakBefore w:val="0"/>
        <w:kinsoku/>
        <w:bidi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16.2</w:t>
      </w:r>
      <w:r>
        <w:rPr>
          <w:rFonts w:hint="eastAsia" w:ascii="宋体" w:hAnsi="宋体" w:eastAsia="宋体" w:cs="宋体"/>
          <w:szCs w:val="24"/>
          <w:highlight w:val="none"/>
        </w:rPr>
        <w:t>采购人及采购代理机构可以按规定，通过修改</w:t>
      </w:r>
      <w:r>
        <w:rPr>
          <w:rFonts w:hint="eastAsia" w:ascii="宋体" w:hAnsi="宋体" w:eastAsia="宋体" w:cs="宋体"/>
          <w:sz w:val="24"/>
          <w:szCs w:val="24"/>
          <w:highlight w:val="none"/>
          <w:lang w:val="en-US" w:eastAsia="zh-CN"/>
        </w:rPr>
        <w:t>竞争性</w:t>
      </w:r>
      <w:r>
        <w:rPr>
          <w:rFonts w:hint="eastAsia" w:ascii="宋体" w:hAnsi="宋体" w:eastAsia="宋体" w:cs="宋体"/>
          <w:szCs w:val="24"/>
          <w:highlight w:val="none"/>
          <w:lang w:eastAsia="zh-CN"/>
        </w:rPr>
        <w:t>磋商</w:t>
      </w:r>
      <w:r>
        <w:rPr>
          <w:rFonts w:hint="eastAsia" w:ascii="宋体" w:hAnsi="宋体" w:eastAsia="宋体" w:cs="宋体"/>
          <w:szCs w:val="24"/>
          <w:highlight w:val="none"/>
        </w:rPr>
        <w:t>文件自行决定酌情延长</w:t>
      </w:r>
      <w:r>
        <w:rPr>
          <w:rFonts w:hint="eastAsia" w:ascii="宋体" w:hAnsi="宋体" w:eastAsia="宋体" w:cs="宋体"/>
          <w:szCs w:val="24"/>
          <w:highlight w:val="none"/>
          <w:lang w:eastAsia="zh-CN"/>
        </w:rPr>
        <w:t>磋商</w:t>
      </w:r>
      <w:r>
        <w:rPr>
          <w:rFonts w:hint="eastAsia" w:ascii="宋体" w:hAnsi="宋体" w:eastAsia="宋体" w:cs="宋体"/>
          <w:szCs w:val="24"/>
          <w:highlight w:val="none"/>
        </w:rPr>
        <w:t>截止期限。在此情况下，采购人和</w:t>
      </w:r>
      <w:r>
        <w:rPr>
          <w:rFonts w:hint="eastAsia" w:ascii="宋体" w:hAnsi="宋体" w:eastAsia="宋体" w:cs="宋体"/>
          <w:szCs w:val="24"/>
          <w:highlight w:val="none"/>
          <w:lang w:eastAsia="zh-CN"/>
        </w:rPr>
        <w:t>供应商方</w:t>
      </w:r>
      <w:r>
        <w:rPr>
          <w:rFonts w:hint="eastAsia" w:ascii="宋体" w:hAnsi="宋体" w:eastAsia="宋体" w:cs="宋体"/>
          <w:szCs w:val="24"/>
          <w:highlight w:val="none"/>
        </w:rPr>
        <w:t>受</w:t>
      </w:r>
      <w:r>
        <w:rPr>
          <w:rFonts w:hint="eastAsia" w:ascii="宋体" w:hAnsi="宋体" w:eastAsia="宋体" w:cs="宋体"/>
          <w:szCs w:val="24"/>
          <w:highlight w:val="none"/>
          <w:lang w:eastAsia="zh-CN"/>
        </w:rPr>
        <w:t>磋商</w:t>
      </w:r>
      <w:r>
        <w:rPr>
          <w:rFonts w:hint="eastAsia" w:ascii="宋体" w:hAnsi="宋体" w:eastAsia="宋体" w:cs="宋体"/>
          <w:szCs w:val="24"/>
          <w:highlight w:val="none"/>
        </w:rPr>
        <w:t>截止期制约的所有权利和义务均应延长至新的截止日期</w:t>
      </w:r>
      <w:r>
        <w:rPr>
          <w:rFonts w:hint="eastAsia" w:ascii="宋体" w:hAnsi="宋体" w:eastAsia="宋体" w:cs="宋体"/>
          <w:szCs w:val="21"/>
        </w:rPr>
        <w:t>。</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响应文件的补充、修改与撤回</w:t>
      </w:r>
    </w:p>
    <w:p>
      <w:pPr>
        <w:pageBreakBefore w:val="0"/>
        <w:kinsoku/>
        <w:bidi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17.1在本项目规定的响应文件递交截止时间前，</w:t>
      </w:r>
      <w:r>
        <w:rPr>
          <w:rFonts w:hint="eastAsia" w:ascii="宋体" w:hAnsi="宋体" w:eastAsia="宋体" w:cs="宋体"/>
          <w:szCs w:val="21"/>
          <w:lang w:eastAsia="zh-CN"/>
        </w:rPr>
        <w:t>供应商</w:t>
      </w:r>
      <w:r>
        <w:rPr>
          <w:rFonts w:hint="eastAsia" w:ascii="宋体" w:hAnsi="宋体" w:eastAsia="宋体" w:cs="宋体"/>
          <w:szCs w:val="21"/>
        </w:rPr>
        <w:t>可以修改或撤回已上传的响应文件。</w:t>
      </w:r>
    </w:p>
    <w:p>
      <w:pPr>
        <w:pStyle w:val="5"/>
        <w:pageBreakBefore w:val="0"/>
        <w:kinsoku/>
        <w:bidi w:val="0"/>
        <w:spacing w:before="0" w:after="0" w:line="360" w:lineRule="auto"/>
        <w:ind w:firstLine="3253" w:firstLineChars="900"/>
        <w:rPr>
          <w:rFonts w:hint="eastAsia" w:ascii="宋体" w:hAnsi="宋体" w:eastAsia="宋体" w:cs="宋体"/>
          <w:sz w:val="36"/>
          <w:szCs w:val="36"/>
        </w:rPr>
      </w:pPr>
      <w:bookmarkStart w:id="60" w:name="_Toc217235123"/>
      <w:bookmarkStart w:id="61" w:name="_Toc374512414"/>
      <w:bookmarkStart w:id="62" w:name="_Toc461962055"/>
      <w:bookmarkStart w:id="63" w:name="_Toc373230027"/>
      <w:bookmarkStart w:id="64" w:name="_Toc487805907"/>
      <w:bookmarkStart w:id="65" w:name="_Toc22215064"/>
      <w:bookmarkStart w:id="66" w:name="_Toc48808915"/>
      <w:bookmarkStart w:id="67" w:name="_Toc49166043"/>
      <w:bookmarkStart w:id="68" w:name="_Toc48809197"/>
      <w:bookmarkStart w:id="69" w:name="_Toc23588"/>
      <w:bookmarkStart w:id="70" w:name="_Toc477423247"/>
      <w:bookmarkStart w:id="71" w:name="_Toc490161264"/>
      <w:bookmarkStart w:id="72" w:name="_Toc25353"/>
      <w:bookmarkStart w:id="73" w:name="_Toc9653"/>
      <w:r>
        <w:rPr>
          <w:rFonts w:hint="eastAsia" w:ascii="宋体" w:hAnsi="宋体" w:eastAsia="宋体" w:cs="宋体"/>
          <w:sz w:val="36"/>
          <w:szCs w:val="36"/>
        </w:rPr>
        <w:t>五、磋商</w:t>
      </w:r>
      <w:bookmarkEnd w:id="60"/>
      <w:bookmarkEnd w:id="61"/>
      <w:bookmarkEnd w:id="62"/>
      <w:bookmarkEnd w:id="63"/>
      <w:r>
        <w:rPr>
          <w:rFonts w:hint="eastAsia" w:ascii="宋体" w:hAnsi="宋体" w:eastAsia="宋体" w:cs="宋体"/>
          <w:sz w:val="36"/>
          <w:szCs w:val="36"/>
        </w:rPr>
        <w:t>和评审</w:t>
      </w:r>
      <w:bookmarkEnd w:id="64"/>
      <w:bookmarkEnd w:id="65"/>
      <w:bookmarkEnd w:id="66"/>
      <w:bookmarkEnd w:id="67"/>
      <w:bookmarkEnd w:id="68"/>
      <w:bookmarkEnd w:id="69"/>
      <w:bookmarkEnd w:id="70"/>
      <w:bookmarkEnd w:id="71"/>
      <w:bookmarkEnd w:id="72"/>
      <w:bookmarkEnd w:id="73"/>
    </w:p>
    <w:p>
      <w:pPr>
        <w:pageBreakBefore w:val="0"/>
        <w:numPr>
          <w:ilvl w:val="0"/>
          <w:numId w:val="2"/>
        </w:numPr>
        <w:kinsoku/>
        <w:bidi w:val="0"/>
        <w:spacing w:line="360" w:lineRule="auto"/>
        <w:jc w:val="left"/>
        <w:rPr>
          <w:rFonts w:hint="eastAsia" w:ascii="宋体" w:hAnsi="宋体" w:eastAsia="宋体" w:cs="宋体"/>
          <w:b/>
          <w:szCs w:val="21"/>
        </w:rPr>
      </w:pPr>
      <w:r>
        <w:rPr>
          <w:rFonts w:hint="eastAsia" w:ascii="宋体" w:hAnsi="宋体" w:eastAsia="宋体" w:cs="宋体"/>
          <w:b/>
          <w:szCs w:val="21"/>
        </w:rPr>
        <w:t>磋商</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采购人在规定的响应文件递交截止时间（开标时间）和供应商须知前附表规定的地点举行</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会议。本项目采用“远程不见面”的开标方式,载明远程开标大厅网址（http://www.jzggzy.cn/BidOpeningHall/bidhall/default/login）。供应商无需到现场参加</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会议，无需到达现场提交原件资料。供应商应当在响应文件递交截止时间前，登录远程开标大厅，在线准时参加</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活动并进行文件解密、答疑澄清等。在规定时间内响应文件未解密的供应商，视为放弃</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所有响应文件必须在本</w:t>
      </w:r>
      <w:r>
        <w:rPr>
          <w:rFonts w:hint="eastAsia" w:ascii="宋体" w:hAnsi="宋体" w:eastAsia="宋体" w:cs="宋体"/>
          <w:sz w:val="21"/>
          <w:szCs w:val="21"/>
          <w:highlight w:val="none"/>
          <w:lang w:val="en-US" w:eastAsia="zh-CN"/>
        </w:rPr>
        <w:t>竞争性磋商</w:t>
      </w:r>
      <w:r>
        <w:rPr>
          <w:rFonts w:hint="eastAsia" w:ascii="宋体" w:hAnsi="宋体" w:eastAsia="宋体" w:cs="宋体"/>
          <w:sz w:val="21"/>
          <w:szCs w:val="21"/>
          <w:highlight w:val="none"/>
        </w:rPr>
        <w:t>文件中规定的</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截止时间之前提前上传</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文件，并在</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截止时间前登录不见面开标大厅进行签到，按要求解密</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文件，不能按时上传、签到、解密者视为自动放弃</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供应商不足3家的，不得</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 xml:space="preserve">。 </w:t>
      </w:r>
    </w:p>
    <w:p>
      <w:pPr>
        <w:pageBreakBefore w:val="0"/>
        <w:kinsoku/>
        <w:bidi w:val="0"/>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eastAsia="宋体" w:cs="宋体"/>
          <w:b/>
          <w:sz w:val="21"/>
          <w:szCs w:val="21"/>
          <w:highlight w:val="none"/>
          <w:lang w:val="en-US" w:eastAsia="zh-CN"/>
        </w:rPr>
        <w:t>竞争性磋商</w:t>
      </w:r>
      <w:r>
        <w:rPr>
          <w:rFonts w:hint="eastAsia" w:ascii="宋体" w:hAnsi="宋体" w:eastAsia="宋体" w:cs="宋体"/>
          <w:b/>
          <w:sz w:val="21"/>
          <w:szCs w:val="21"/>
          <w:highlight w:val="none"/>
        </w:rPr>
        <w:t>文件中要求提供扫描件的相关证明资料，在成交结果确定后，成交企业按要求向采购人及代理机构提供与扫描件一致的证书原件以备查验</w:t>
      </w:r>
      <w:r>
        <w:rPr>
          <w:rFonts w:hint="eastAsia" w:ascii="宋体" w:hAnsi="宋体" w:eastAsia="宋体" w:cs="宋体"/>
          <w:sz w:val="21"/>
          <w:szCs w:val="21"/>
          <w:highlight w:val="none"/>
        </w:rPr>
        <w:t>。</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会议当日采购代理机构对供应商信用记录进行甄别，对列入失信被执行人、</w:t>
      </w:r>
      <w:r>
        <w:rPr>
          <w:rFonts w:hint="eastAsia" w:ascii="宋体" w:hAnsi="宋体" w:eastAsia="宋体" w:cs="宋体"/>
          <w:b w:val="0"/>
          <w:bCs w:val="0"/>
          <w:sz w:val="21"/>
          <w:szCs w:val="21"/>
        </w:rPr>
        <w:t>重大税收违法</w:t>
      </w:r>
      <w:r>
        <w:rPr>
          <w:rFonts w:hint="eastAsia" w:ascii="宋体" w:hAnsi="宋体" w:eastAsia="宋体" w:cs="宋体"/>
          <w:b w:val="0"/>
          <w:bCs w:val="0"/>
          <w:sz w:val="21"/>
          <w:szCs w:val="21"/>
          <w:lang w:eastAsia="zh-CN"/>
        </w:rPr>
        <w:t>税收失信主体</w:t>
      </w:r>
      <w:r>
        <w:rPr>
          <w:rFonts w:hint="eastAsia" w:ascii="宋体" w:hAnsi="宋体" w:eastAsia="宋体" w:cs="宋体"/>
          <w:sz w:val="21"/>
          <w:szCs w:val="21"/>
          <w:highlight w:val="none"/>
        </w:rPr>
        <w:t>、政府采购严重违法失信行为记录名单的供应商，应当拒绝其参与政府采购活动。</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7</w:t>
      </w:r>
      <w:r>
        <w:rPr>
          <w:rFonts w:hint="eastAsia" w:ascii="宋体" w:hAnsi="宋体" w:eastAsia="宋体" w:cs="宋体"/>
          <w:szCs w:val="21"/>
        </w:rPr>
        <w:t>.2磋商会议由采购代理机构主持，在相关部门监督下进行。</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Cs w:val="21"/>
        </w:rPr>
        <w:t>1</w:t>
      </w:r>
      <w:r>
        <w:rPr>
          <w:rFonts w:hint="eastAsia" w:ascii="宋体" w:hAnsi="宋体" w:eastAsia="宋体" w:cs="宋体"/>
          <w:szCs w:val="21"/>
          <w:lang w:val="en-US" w:eastAsia="zh-CN"/>
        </w:rPr>
        <w:t>7</w:t>
      </w:r>
      <w:r>
        <w:rPr>
          <w:rFonts w:hint="eastAsia" w:ascii="宋体" w:hAnsi="宋体" w:eastAsia="宋体" w:cs="宋体"/>
          <w:szCs w:val="21"/>
        </w:rPr>
        <w:t>.3宣布</w:t>
      </w:r>
      <w:r>
        <w:rPr>
          <w:rFonts w:hint="eastAsia" w:ascii="宋体" w:hAnsi="宋体" w:eastAsia="宋体" w:cs="宋体"/>
          <w:sz w:val="21"/>
          <w:szCs w:val="21"/>
          <w:highlight w:val="none"/>
        </w:rPr>
        <w:t>会场纪律；</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17.4</w:t>
      </w:r>
      <w:r>
        <w:rPr>
          <w:rFonts w:hint="eastAsia" w:ascii="宋体" w:hAnsi="宋体" w:eastAsia="宋体" w:cs="宋体"/>
          <w:sz w:val="21"/>
          <w:szCs w:val="21"/>
          <w:highlight w:val="none"/>
        </w:rPr>
        <w:t>主持人介绍到会的</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单位和有关人员，宣布会议监督人等人员名单；</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17.5</w:t>
      </w:r>
      <w:r>
        <w:rPr>
          <w:rFonts w:hint="eastAsia" w:ascii="宋体" w:hAnsi="宋体" w:eastAsia="宋体" w:cs="宋体"/>
          <w:sz w:val="21"/>
          <w:szCs w:val="21"/>
          <w:highlight w:val="none"/>
        </w:rPr>
        <w:t>电子响应文件解密；</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17.6</w:t>
      </w:r>
      <w:r>
        <w:rPr>
          <w:rFonts w:hint="eastAsia" w:ascii="宋体" w:hAnsi="宋体" w:eastAsia="宋体" w:cs="宋体"/>
          <w:sz w:val="21"/>
          <w:szCs w:val="21"/>
          <w:highlight w:val="none"/>
        </w:rPr>
        <w:t>经确认以上程序无误后，采购人、监督人等有关人员在</w:t>
      </w:r>
      <w:r>
        <w:rPr>
          <w:rFonts w:hint="eastAsia" w:ascii="宋体" w:hAnsi="宋体" w:eastAsia="宋体" w:cs="宋体"/>
          <w:sz w:val="21"/>
          <w:szCs w:val="21"/>
          <w:highlight w:val="none"/>
          <w:lang w:eastAsia="zh-CN"/>
        </w:rPr>
        <w:t>磋商</w:t>
      </w:r>
      <w:r>
        <w:rPr>
          <w:rFonts w:hint="eastAsia" w:ascii="宋体" w:hAnsi="宋体" w:eastAsia="宋体" w:cs="宋体"/>
          <w:sz w:val="21"/>
          <w:szCs w:val="21"/>
          <w:highlight w:val="none"/>
        </w:rPr>
        <w:t>记录上签字确认；</w:t>
      </w:r>
    </w:p>
    <w:p>
      <w:pPr>
        <w:pageBreakBefore w:val="0"/>
        <w:kinsoku/>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17.7</w:t>
      </w:r>
      <w:r>
        <w:rPr>
          <w:rFonts w:hint="eastAsia" w:ascii="宋体" w:hAnsi="宋体" w:eastAsia="宋体" w:cs="宋体"/>
          <w:sz w:val="21"/>
          <w:szCs w:val="21"/>
          <w:highlight w:val="none"/>
        </w:rPr>
        <w:t>开标结束；</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szCs w:val="21"/>
        </w:rPr>
        <w:t>逾期上传或者未按要求解密响应文件，采购人不予受理。</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磋商小组</w:t>
      </w:r>
    </w:p>
    <w:p>
      <w:pPr>
        <w:pageBreakBefore w:val="0"/>
        <w:kinsoku/>
        <w:bidi w:val="0"/>
        <w:spacing w:line="360" w:lineRule="auto"/>
        <w:ind w:firstLine="420" w:firstLineChars="200"/>
        <w:rPr>
          <w:rFonts w:hint="eastAsia" w:ascii="宋体" w:hAnsi="宋体" w:eastAsia="宋体" w:cs="宋体"/>
          <w:b/>
          <w:szCs w:val="21"/>
        </w:rPr>
      </w:pPr>
      <w:r>
        <w:rPr>
          <w:rFonts w:hint="eastAsia" w:ascii="宋体" w:hAnsi="宋体" w:eastAsia="宋体" w:cs="宋体"/>
          <w:szCs w:val="21"/>
          <w:lang w:val="en-US" w:eastAsia="zh-CN"/>
        </w:rPr>
        <w:t>19</w:t>
      </w:r>
      <w:r>
        <w:rPr>
          <w:rFonts w:hint="eastAsia" w:ascii="宋体" w:hAnsi="宋体" w:eastAsia="宋体" w:cs="宋体"/>
          <w:szCs w:val="21"/>
        </w:rPr>
        <w:t>.1.采购人按照有关规定组建磋商小组。</w:t>
      </w:r>
    </w:p>
    <w:p>
      <w:pPr>
        <w:pageBreakBefore w:val="0"/>
        <w:kinsoku/>
        <w:autoSpaceDE w:val="0"/>
        <w:autoSpaceDN w:val="0"/>
        <w:bidi w:val="0"/>
        <w:adjustRightInd w:val="0"/>
        <w:spacing w:line="360" w:lineRule="auto"/>
        <w:ind w:firstLine="420" w:firstLineChars="200"/>
        <w:rPr>
          <w:rFonts w:hint="eastAsia" w:ascii="宋体" w:hAnsi="宋体" w:eastAsia="宋体" w:cs="宋体"/>
          <w:kern w:val="0"/>
          <w:szCs w:val="21"/>
        </w:rPr>
      </w:pPr>
      <w:r>
        <w:rPr>
          <w:rFonts w:hint="eastAsia" w:ascii="宋体" w:hAnsi="宋体" w:eastAsia="宋体" w:cs="宋体"/>
          <w:szCs w:val="21"/>
          <w:lang w:val="en-US" w:eastAsia="zh-CN"/>
        </w:rPr>
        <w:t>19</w:t>
      </w:r>
      <w:r>
        <w:rPr>
          <w:rFonts w:hint="eastAsia" w:ascii="宋体" w:hAnsi="宋体" w:eastAsia="宋体" w:cs="宋体"/>
          <w:szCs w:val="21"/>
        </w:rPr>
        <w:t>.2. 磋商小组由采购人代表和评审专家共3人及以上单数组成，其中评审专家人数不得少于磋商小组成员总数的三分之二。</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19</w:t>
      </w:r>
      <w:r>
        <w:rPr>
          <w:rFonts w:hint="eastAsia" w:ascii="宋体" w:hAnsi="宋体" w:eastAsia="宋体" w:cs="宋体"/>
          <w:szCs w:val="21"/>
        </w:rPr>
        <w:t>.3.磋商小组负责评审工作，对响应文件进行审查和评估，并向采购人提交书面评审报告。</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响应文件的初步评审</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0</w:t>
      </w:r>
      <w:r>
        <w:rPr>
          <w:rFonts w:hint="eastAsia" w:ascii="宋体" w:hAnsi="宋体" w:eastAsia="宋体" w:cs="宋体"/>
          <w:szCs w:val="21"/>
        </w:rPr>
        <w:t>.1初步评审分为资格性审查和符合性审查。资格性审查确定磋商单位是否满足磋商文件规定的资格；符合性审查确定响应文件是否对磋商文件的实质性要求作出响应。</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0</w:t>
      </w:r>
      <w:r>
        <w:rPr>
          <w:rFonts w:hint="eastAsia" w:ascii="宋体" w:hAnsi="宋体" w:eastAsia="宋体" w:cs="宋体"/>
          <w:szCs w:val="21"/>
        </w:rPr>
        <w:t>.2磋商小组将首先对每份响应文件进行资格性审查和符合性审查，如果响应文件未通过资格性审查和符合性审查，磋商小组将予以拒绝，并且不允许供应商通过修改或撤销其不符合要求的差异或保留，使之成为具有</w:t>
      </w:r>
      <w:r>
        <w:rPr>
          <w:rFonts w:hint="eastAsia" w:ascii="宋体" w:hAnsi="宋体" w:eastAsia="宋体" w:cs="宋体"/>
          <w:szCs w:val="21"/>
          <w:lang w:eastAsia="zh-CN"/>
        </w:rPr>
        <w:t>响应</w:t>
      </w:r>
      <w:r>
        <w:rPr>
          <w:rFonts w:hint="eastAsia" w:ascii="宋体" w:hAnsi="宋体" w:eastAsia="宋体" w:cs="宋体"/>
          <w:szCs w:val="21"/>
        </w:rPr>
        <w:t>的磋商。</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0</w:t>
      </w:r>
      <w:r>
        <w:rPr>
          <w:rFonts w:hint="eastAsia" w:ascii="宋体" w:hAnsi="宋体" w:eastAsia="宋体" w:cs="宋体"/>
          <w:szCs w:val="21"/>
        </w:rPr>
        <w:t>.3</w:t>
      </w:r>
      <w:r>
        <w:rPr>
          <w:rFonts w:hint="eastAsia" w:ascii="宋体" w:hAnsi="宋体" w:eastAsia="宋体" w:cs="宋体"/>
          <w:kern w:val="0"/>
          <w:szCs w:val="21"/>
        </w:rPr>
        <w:t>资格审查资料</w:t>
      </w:r>
      <w:r>
        <w:rPr>
          <w:rFonts w:hint="eastAsia" w:ascii="宋体" w:hAnsi="宋体" w:eastAsia="宋体" w:cs="宋体"/>
          <w:szCs w:val="21"/>
        </w:rPr>
        <w:t>：</w:t>
      </w:r>
    </w:p>
    <w:p>
      <w:pPr>
        <w:pageBreakBefore w:val="0"/>
        <w:kinsoku/>
        <w:bidi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（1）“供应商基本情况表”应附焦作市政府采购供应商资格信用承诺函</w:t>
      </w:r>
      <w:r>
        <w:rPr>
          <w:rFonts w:hint="eastAsia" w:ascii="宋体" w:hAnsi="宋体" w:eastAsia="宋体" w:cs="宋体"/>
          <w:color w:val="000000"/>
          <w:szCs w:val="21"/>
          <w:lang w:eastAsia="zh-CN"/>
        </w:rPr>
        <w:t>、</w:t>
      </w:r>
      <w:r>
        <w:rPr>
          <w:rFonts w:hint="eastAsia" w:ascii="宋体" w:hAnsi="宋体" w:eastAsia="宋体" w:cs="宋体"/>
          <w:color w:val="000000"/>
          <w:szCs w:val="21"/>
        </w:rPr>
        <w:t>供应商</w:t>
      </w:r>
      <w:r>
        <w:rPr>
          <w:rFonts w:hint="eastAsia" w:ascii="宋体" w:hAnsi="宋体" w:eastAsia="宋体" w:cs="宋体"/>
          <w:color w:val="000000"/>
          <w:szCs w:val="21"/>
          <w:lang w:eastAsia="zh-CN"/>
        </w:rPr>
        <w:t>的</w:t>
      </w:r>
      <w:r>
        <w:rPr>
          <w:rFonts w:hint="eastAsia" w:ascii="宋体" w:hAnsi="宋体" w:eastAsia="宋体" w:cs="宋体"/>
          <w:color w:val="000000"/>
          <w:szCs w:val="21"/>
        </w:rPr>
        <w:t>资质证书（副本）等材料的</w:t>
      </w:r>
      <w:r>
        <w:rPr>
          <w:rFonts w:hint="eastAsia" w:ascii="宋体" w:hAnsi="宋体" w:eastAsia="宋体" w:cs="宋体"/>
          <w:color w:val="000000"/>
          <w:szCs w:val="21"/>
          <w:lang w:eastAsia="zh-CN"/>
        </w:rPr>
        <w:t>扫描</w:t>
      </w:r>
      <w:r>
        <w:rPr>
          <w:rFonts w:hint="eastAsia" w:ascii="宋体" w:hAnsi="宋体" w:eastAsia="宋体" w:cs="宋体"/>
          <w:color w:val="000000"/>
          <w:szCs w:val="21"/>
        </w:rPr>
        <w:t>件。</w:t>
      </w:r>
    </w:p>
    <w:p>
      <w:pPr>
        <w:pageBreakBefore w:val="0"/>
        <w:kinsoku/>
        <w:bidi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（2）项目经理建造师证及B证、无在建承诺。</w:t>
      </w:r>
    </w:p>
    <w:p>
      <w:pPr>
        <w:pageBreakBefore w:val="0"/>
        <w:kinsoku/>
        <w:bidi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20.4响应文件有下列情形之一的，其磋商视为没有通过符合性审查：</w:t>
      </w:r>
    </w:p>
    <w:p>
      <w:pPr>
        <w:pageBreakBefore w:val="0"/>
        <w:kinsoku/>
        <w:bidi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（1）</w:t>
      </w:r>
      <w:r>
        <w:rPr>
          <w:rFonts w:hint="eastAsia" w:ascii="宋体" w:hAnsi="宋体" w:eastAsia="宋体" w:cs="宋体"/>
          <w:szCs w:val="21"/>
          <w:lang w:val="en-US" w:eastAsia="zh-CN"/>
        </w:rPr>
        <w:t>第一轮报价超过磋商文件中规定的最高磋商限价的；</w:t>
      </w:r>
    </w:p>
    <w:p>
      <w:pPr>
        <w:pageBreakBefore w:val="0"/>
        <w:kinsoku/>
        <w:bidi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（2）</w:t>
      </w:r>
      <w:r>
        <w:rPr>
          <w:rFonts w:hint="eastAsia" w:ascii="宋体" w:hAnsi="宋体" w:eastAsia="宋体" w:cs="宋体"/>
          <w:szCs w:val="21"/>
          <w:lang w:val="en-US" w:eastAsia="zh-CN"/>
        </w:rPr>
        <w:t>响应文件未按磋商文件要求签字、盖章的；</w:t>
      </w:r>
    </w:p>
    <w:p>
      <w:pPr>
        <w:pageBreakBefore w:val="0"/>
        <w:kinsoku/>
        <w:bidi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（3）</w:t>
      </w:r>
      <w:r>
        <w:rPr>
          <w:rFonts w:hint="eastAsia" w:ascii="宋体" w:hAnsi="宋体" w:eastAsia="宋体" w:cs="宋体"/>
          <w:szCs w:val="21"/>
          <w:lang w:val="en-US" w:eastAsia="zh-CN"/>
        </w:rPr>
        <w:t>响应文件格式不符合磋商文件中响应文件格式要求的；</w:t>
      </w:r>
    </w:p>
    <w:p>
      <w:pPr>
        <w:pageBreakBefore w:val="0"/>
        <w:kinsoku/>
        <w:bidi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（4）</w:t>
      </w:r>
      <w:r>
        <w:rPr>
          <w:rFonts w:hint="eastAsia" w:ascii="宋体" w:hAnsi="宋体" w:eastAsia="宋体" w:cs="宋体"/>
          <w:szCs w:val="21"/>
          <w:lang w:val="en-US" w:eastAsia="zh-CN"/>
        </w:rPr>
        <w:t>磋商有效期不足的</w:t>
      </w:r>
    </w:p>
    <w:p>
      <w:pPr>
        <w:pageBreakBefore w:val="0"/>
        <w:kinsoku/>
        <w:bidi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（5）</w:t>
      </w:r>
      <w:r>
        <w:rPr>
          <w:rFonts w:hint="eastAsia" w:ascii="宋体" w:hAnsi="宋体" w:eastAsia="宋体" w:cs="宋体"/>
          <w:szCs w:val="21"/>
          <w:lang w:val="en-US" w:eastAsia="zh-CN"/>
        </w:rPr>
        <w:t>不响应磋商文件第五章采购需求的；</w:t>
      </w:r>
    </w:p>
    <w:p>
      <w:pPr>
        <w:pageBreakBefore w:val="0"/>
        <w:kinsoku/>
        <w:bidi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（6）</w:t>
      </w:r>
      <w:r>
        <w:rPr>
          <w:rFonts w:hint="eastAsia" w:ascii="宋体" w:hAnsi="宋体" w:eastAsia="宋体" w:cs="宋体"/>
          <w:szCs w:val="21"/>
          <w:lang w:val="en-US" w:eastAsia="zh-CN"/>
        </w:rPr>
        <w:t>响应文件含有采购人不能接受的附加条件的；</w:t>
      </w:r>
    </w:p>
    <w:p>
      <w:pPr>
        <w:pageBreakBefore w:val="0"/>
        <w:kinsoku/>
        <w:bidi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eastAsia="zh-CN"/>
        </w:rPr>
        <w:t>（7）</w:t>
      </w:r>
      <w:r>
        <w:rPr>
          <w:rFonts w:hint="eastAsia" w:ascii="宋体" w:hAnsi="宋体" w:eastAsia="宋体" w:cs="宋体"/>
          <w:szCs w:val="21"/>
          <w:lang w:val="en-US" w:eastAsia="zh-CN"/>
        </w:rPr>
        <w:t xml:space="preserve">法律、法规和磋商文件规定的其他无效情形。 </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响应文件的澄清</w:t>
      </w:r>
    </w:p>
    <w:p>
      <w:pPr>
        <w:pageBreakBefore w:val="0"/>
        <w:kinsoku/>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.1竞争性磋商小组在对</w:t>
      </w:r>
      <w:r>
        <w:rPr>
          <w:rFonts w:hint="eastAsia" w:ascii="宋体" w:hAnsi="宋体" w:eastAsia="宋体" w:cs="宋体"/>
          <w:sz w:val="21"/>
          <w:szCs w:val="21"/>
          <w:lang w:eastAsia="zh-CN"/>
        </w:rPr>
        <w:t>响应</w:t>
      </w:r>
      <w:r>
        <w:rPr>
          <w:rFonts w:hint="eastAsia" w:ascii="宋体" w:hAnsi="宋体" w:eastAsia="宋体" w:cs="宋体"/>
          <w:sz w:val="21"/>
          <w:szCs w:val="21"/>
        </w:rPr>
        <w:t>文件的有效性、完整性和响应程度进行审查时，可以要求供应商对</w:t>
      </w:r>
      <w:r>
        <w:rPr>
          <w:rFonts w:hint="eastAsia" w:ascii="宋体" w:hAnsi="宋体" w:eastAsia="宋体" w:cs="宋体"/>
          <w:sz w:val="21"/>
          <w:szCs w:val="21"/>
          <w:lang w:eastAsia="zh-CN"/>
        </w:rPr>
        <w:t>响应</w:t>
      </w:r>
      <w:r>
        <w:rPr>
          <w:rFonts w:hint="eastAsia" w:ascii="宋体" w:hAnsi="宋体" w:eastAsia="宋体" w:cs="宋体"/>
          <w:sz w:val="21"/>
          <w:szCs w:val="21"/>
        </w:rPr>
        <w:t>文件中含义不明确、同类问题表述不一致或者有明显文字和计算错误的内容等作出必要的澄清、说明或者更正。供应商的澄清、说明或者更正不得超出</w:t>
      </w:r>
      <w:r>
        <w:rPr>
          <w:rFonts w:hint="eastAsia" w:ascii="宋体" w:hAnsi="宋体" w:eastAsia="宋体" w:cs="宋体"/>
          <w:sz w:val="21"/>
          <w:szCs w:val="21"/>
          <w:lang w:eastAsia="zh-CN"/>
        </w:rPr>
        <w:t>响应</w:t>
      </w:r>
      <w:r>
        <w:rPr>
          <w:rFonts w:hint="eastAsia" w:ascii="宋体" w:hAnsi="宋体" w:eastAsia="宋体" w:cs="宋体"/>
          <w:sz w:val="21"/>
          <w:szCs w:val="21"/>
        </w:rPr>
        <w:t>文件的范围或者改变</w:t>
      </w:r>
      <w:r>
        <w:rPr>
          <w:rFonts w:hint="eastAsia" w:ascii="宋体" w:hAnsi="宋体" w:eastAsia="宋体" w:cs="宋体"/>
          <w:sz w:val="21"/>
          <w:szCs w:val="21"/>
          <w:lang w:eastAsia="zh-CN"/>
        </w:rPr>
        <w:t>响应</w:t>
      </w:r>
      <w:r>
        <w:rPr>
          <w:rFonts w:hint="eastAsia" w:ascii="宋体" w:hAnsi="宋体" w:eastAsia="宋体" w:cs="宋体"/>
          <w:sz w:val="21"/>
          <w:szCs w:val="21"/>
        </w:rPr>
        <w:t>文件的实质性内容。</w:t>
      </w:r>
    </w:p>
    <w:p>
      <w:pPr>
        <w:pageBreakBefore w:val="0"/>
        <w:kinsoku/>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.2竞争性磋商小组要求供应商澄清、说明或者更正响应文件应当以</w:t>
      </w:r>
      <w:r>
        <w:rPr>
          <w:rFonts w:hint="eastAsia" w:ascii="宋体" w:hAnsi="宋体" w:eastAsia="宋体" w:cs="宋体"/>
          <w:sz w:val="21"/>
          <w:szCs w:val="21"/>
          <w:lang w:eastAsia="zh-CN"/>
        </w:rPr>
        <w:t>线上方式</w:t>
      </w:r>
      <w:r>
        <w:rPr>
          <w:rFonts w:hint="eastAsia" w:ascii="宋体" w:hAnsi="宋体" w:eastAsia="宋体" w:cs="宋体"/>
          <w:sz w:val="21"/>
          <w:szCs w:val="21"/>
        </w:rPr>
        <w:t>作出。供应商</w:t>
      </w:r>
      <w:r>
        <w:rPr>
          <w:rFonts w:hint="eastAsia" w:ascii="宋体" w:hAnsi="宋体" w:eastAsia="宋体" w:cs="宋体"/>
          <w:sz w:val="21"/>
          <w:szCs w:val="21"/>
          <w:lang w:eastAsia="zh-CN"/>
        </w:rPr>
        <w:t>应在线准时参加磋商活动的答疑澄清。</w:t>
      </w:r>
    </w:p>
    <w:p>
      <w:pPr>
        <w:pageBreakBefore w:val="0"/>
        <w:kinsoku/>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.3供应商拒不进行澄清、说明、补正的，或者不能在竞争性磋商小组规定时间内作出澄清、说明、补正的，其</w:t>
      </w:r>
      <w:r>
        <w:rPr>
          <w:rFonts w:hint="eastAsia" w:ascii="宋体" w:hAnsi="宋体" w:eastAsia="宋体" w:cs="宋体"/>
          <w:sz w:val="21"/>
          <w:szCs w:val="21"/>
          <w:lang w:eastAsia="zh-CN"/>
        </w:rPr>
        <w:t>响应</w:t>
      </w:r>
      <w:r>
        <w:rPr>
          <w:rFonts w:hint="eastAsia" w:ascii="宋体" w:hAnsi="宋体" w:eastAsia="宋体" w:cs="宋体"/>
          <w:sz w:val="21"/>
          <w:szCs w:val="21"/>
        </w:rPr>
        <w:t>文件将被作为无效处理。</w:t>
      </w:r>
    </w:p>
    <w:p>
      <w:pPr>
        <w:pageBreakBefore w:val="0"/>
        <w:kinsoku/>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.4供应商的澄清材料作为</w:t>
      </w:r>
      <w:r>
        <w:rPr>
          <w:rFonts w:hint="eastAsia" w:ascii="宋体" w:hAnsi="宋体" w:eastAsia="宋体" w:cs="宋体"/>
          <w:sz w:val="21"/>
          <w:szCs w:val="21"/>
          <w:lang w:eastAsia="zh-CN"/>
        </w:rPr>
        <w:t>响应</w:t>
      </w:r>
      <w:r>
        <w:rPr>
          <w:rFonts w:hint="eastAsia" w:ascii="宋体" w:hAnsi="宋体" w:eastAsia="宋体" w:cs="宋体"/>
          <w:sz w:val="21"/>
          <w:szCs w:val="21"/>
        </w:rPr>
        <w:t xml:space="preserve">文件的补充。 </w:t>
      </w:r>
    </w:p>
    <w:p>
      <w:pPr>
        <w:pageBreakBefore w:val="0"/>
        <w:kinsoku/>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.5 竞争性磋商小组不得接受供应商主动提出的澄清和解释。 </w:t>
      </w:r>
    </w:p>
    <w:p>
      <w:pPr>
        <w:pStyle w:val="2"/>
        <w:pageBreakBefore w:val="0"/>
        <w:kinsoku/>
        <w:bidi w:val="0"/>
        <w:spacing w:after="0" w:line="360" w:lineRule="auto"/>
        <w:rPr>
          <w:rFonts w:hint="eastAsia" w:ascii="宋体" w:hAnsi="宋体" w:eastAsia="宋体" w:cs="宋体"/>
          <w:lang w:val="en-US" w:eastAsia="zh-CN"/>
        </w:rPr>
      </w:pPr>
      <w:r>
        <w:rPr>
          <w:rFonts w:hint="eastAsia" w:ascii="宋体" w:hAnsi="宋体" w:eastAsia="宋体" w:cs="宋体"/>
          <w:sz w:val="21"/>
          <w:szCs w:val="21"/>
          <w:lang w:val="en-US" w:eastAsia="zh-CN"/>
        </w:rPr>
        <w:t xml:space="preserve">    21.6并非每个供应商都将被询问、澄清。</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磋商过程及响应文件计算错误的修正</w:t>
      </w:r>
    </w:p>
    <w:p>
      <w:pPr>
        <w:pageBreakBefore w:val="0"/>
        <w:kinsoku/>
        <w:bidi w:val="0"/>
        <w:spacing w:line="360" w:lineRule="auto"/>
        <w:ind w:firstLine="420" w:firstLineChars="200"/>
        <w:rPr>
          <w:rFonts w:hint="eastAsia" w:ascii="宋体" w:hAnsi="宋体" w:eastAsia="宋体" w:cs="宋体"/>
          <w:szCs w:val="21"/>
        </w:rPr>
      </w:pPr>
      <w:bookmarkStart w:id="74" w:name="_Toc374512415"/>
      <w:bookmarkStart w:id="75" w:name="_Toc373230028"/>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.1磋商小组将对确定为实质上响应磋商文件要求的响应文件进行校核，核验是否有计算或表达上的错误，修正错误的原则如下：</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.1.1当以数字表示的金额与文字表示的金额有差异时，以文字表示的金额为准；</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.1.2总价金额与单价金额不一致的，以单价金额为准修正总价，但单价金额小数点有明显错误的除外；</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.1.3对不同文字文本响应文件的解释发生异议的，以中文文本为准。</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2</w:t>
      </w:r>
      <w:r>
        <w:rPr>
          <w:rFonts w:hint="eastAsia" w:ascii="宋体" w:hAnsi="宋体" w:eastAsia="宋体" w:cs="宋体"/>
          <w:szCs w:val="21"/>
        </w:rPr>
        <w:t>.2按上述修正错误的原则及方法调整或修正响应文件的磋商报价，供应商同意后，调整后的磋商报价对其起约束作用。如果供应商不接受修正后的报价，则其响应文件将被拒绝。</w:t>
      </w:r>
    </w:p>
    <w:p>
      <w:pPr>
        <w:pageBreakBefore w:val="0"/>
        <w:numPr>
          <w:ilvl w:val="0"/>
          <w:numId w:val="2"/>
        </w:numPr>
        <w:kinsoku/>
        <w:bidi w:val="0"/>
        <w:spacing w:line="360" w:lineRule="auto"/>
        <w:rPr>
          <w:rFonts w:hint="eastAsia" w:ascii="宋体" w:hAnsi="宋体" w:eastAsia="宋体" w:cs="宋体"/>
          <w:szCs w:val="21"/>
        </w:rPr>
      </w:pPr>
      <w:r>
        <w:rPr>
          <w:rFonts w:hint="eastAsia" w:ascii="宋体" w:hAnsi="宋体" w:eastAsia="宋体" w:cs="宋体"/>
          <w:b/>
          <w:szCs w:val="21"/>
        </w:rPr>
        <w:t>竞争性磋商：</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.1 资格性审查、符合性审查合格的供应商，将进入本次竞争性磋商程序。</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.2磋商内容包括：</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.2.1按照竞争性磋商文件，对供应商提交的响应文件逐一进行比较各项指标和要求；</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2.2在磋商中，磋商的任何一方不得透露与磋商有关的其他供应商的技术资料、价格和其他信息。磋商结束后，磋商小组可以要求所有参加磋商的供应商在规定时间内进行最后报价（各供应商应对其磋商代表进行相应授权，并做好在当天规定时间内完成有关澄清、磋商和最后报价的准备工作）。</w:t>
      </w:r>
    </w:p>
    <w:p>
      <w:pPr>
        <w:pageBreakBefore w:val="0"/>
        <w:kinsoku/>
        <w:bidi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 xml:space="preserve">.3 </w:t>
      </w:r>
      <w:r>
        <w:rPr>
          <w:rFonts w:hint="eastAsia" w:ascii="宋体" w:hAnsi="宋体" w:eastAsia="宋体" w:cs="宋体"/>
          <w:szCs w:val="21"/>
          <w:lang w:val="zh-CN"/>
        </w:rPr>
        <w:t>在竞争性磋商过程中，竞争性磋商小组可以根据竞争性磋商文件和竞争性磋商情况实质性变动，但不得变动竞争性磋商文件中的其他内容。实质性变动的内容，须经采购人代表确定。</w:t>
      </w:r>
    </w:p>
    <w:p>
      <w:pPr>
        <w:pageBreakBefore w:val="0"/>
        <w:kinsoku/>
        <w:bidi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23</w:t>
      </w:r>
      <w:r>
        <w:rPr>
          <w:rFonts w:hint="eastAsia" w:ascii="宋体" w:hAnsi="宋体" w:eastAsia="宋体" w:cs="宋体"/>
          <w:szCs w:val="21"/>
        </w:rPr>
        <w:t>.3.1</w:t>
      </w:r>
      <w:r>
        <w:rPr>
          <w:rFonts w:hint="eastAsia" w:ascii="宋体" w:hAnsi="宋体" w:eastAsia="宋体" w:cs="宋体"/>
          <w:szCs w:val="21"/>
          <w:lang w:val="zh-CN"/>
        </w:rPr>
        <w:t>对竞争性磋商文件作出实质性变动是竞争性磋商文件的有效组成部分，竞争性磋商小组应当及时以书面形式同时通知所有参加竞争性磋商的供应商。</w:t>
      </w:r>
    </w:p>
    <w:p>
      <w:pPr>
        <w:pageBreakBefore w:val="0"/>
        <w:kinsoku/>
        <w:bidi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.3.2供应商应当按照竞争性磋商文件的变动情况和竞争性磋商小组的要求重新提交响应文件，并由其法定代表人或委</w:t>
      </w:r>
      <w:r>
        <w:rPr>
          <w:rFonts w:hint="eastAsia" w:ascii="宋体" w:hAnsi="宋体" w:eastAsia="宋体" w:cs="宋体"/>
          <w:sz w:val="21"/>
          <w:szCs w:val="21"/>
        </w:rPr>
        <w:t>托代理人签字或盖章，并加盖单位公章</w:t>
      </w:r>
      <w:r>
        <w:rPr>
          <w:rFonts w:hint="eastAsia" w:ascii="宋体" w:hAnsi="宋体" w:eastAsia="宋体" w:cs="宋体"/>
          <w:sz w:val="21"/>
          <w:szCs w:val="21"/>
          <w:lang w:val="zh-CN"/>
        </w:rPr>
        <w:t>。</w:t>
      </w:r>
    </w:p>
    <w:p>
      <w:pPr>
        <w:pageBreakBefore w:val="0"/>
        <w:kinsoku/>
        <w:bidi w:val="0"/>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lang w:val="zh-CN"/>
        </w:rPr>
        <w:t>2</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.4</w:t>
      </w:r>
      <w:r>
        <w:rPr>
          <w:rFonts w:hint="eastAsia" w:ascii="宋体" w:hAnsi="宋体" w:eastAsia="宋体" w:cs="宋体"/>
          <w:b/>
          <w:bCs/>
          <w:sz w:val="21"/>
          <w:szCs w:val="21"/>
          <w:lang w:val="zh-CN"/>
        </w:rPr>
        <w:t>本次竞争性磋商进行2轮次报价。</w:t>
      </w:r>
      <w:r>
        <w:rPr>
          <w:rFonts w:hint="eastAsia" w:ascii="宋体" w:hAnsi="宋体" w:eastAsia="宋体" w:cs="宋体"/>
          <w:b/>
          <w:bCs/>
          <w:sz w:val="21"/>
          <w:szCs w:val="21"/>
        </w:rPr>
        <w:t>由采购人（代理公司）通知通过初步审查的</w:t>
      </w:r>
      <w:r>
        <w:rPr>
          <w:rFonts w:hint="eastAsia" w:ascii="宋体" w:hAnsi="宋体" w:eastAsia="宋体" w:cs="宋体"/>
          <w:b/>
          <w:bCs/>
          <w:sz w:val="21"/>
          <w:szCs w:val="21"/>
          <w:lang w:eastAsia="zh-CN"/>
        </w:rPr>
        <w:t>供应商</w:t>
      </w:r>
      <w:r>
        <w:rPr>
          <w:rFonts w:hint="eastAsia" w:ascii="宋体" w:hAnsi="宋体" w:eastAsia="宋体" w:cs="宋体"/>
          <w:b/>
          <w:bCs/>
          <w:sz w:val="21"/>
          <w:szCs w:val="21"/>
        </w:rPr>
        <w:t>在规定时间内通过不见面开标系统进行二轮报价。</w:t>
      </w:r>
      <w:r>
        <w:rPr>
          <w:rFonts w:hint="eastAsia" w:ascii="宋体" w:hAnsi="宋体" w:eastAsia="宋体" w:cs="宋体"/>
          <w:b/>
          <w:bCs/>
          <w:sz w:val="21"/>
          <w:szCs w:val="21"/>
          <w:lang w:val="zh-CN"/>
        </w:rPr>
        <w:t>响应</w:t>
      </w:r>
      <w:r>
        <w:rPr>
          <w:rFonts w:hint="eastAsia" w:ascii="宋体" w:hAnsi="宋体" w:eastAsia="宋体" w:cs="宋体"/>
          <w:b/>
          <w:bCs/>
          <w:sz w:val="21"/>
          <w:szCs w:val="21"/>
        </w:rPr>
        <w:t>文件中报价为第一轮次报价，以后轮次报价不得高于上一轮次报价（除竞争性磋商文件有实质性变动外），否则将被视为未实质性响应竞争性磋商文件。</w:t>
      </w:r>
    </w:p>
    <w:p>
      <w:pPr>
        <w:pageBreakBefore w:val="0"/>
        <w:kinsoku/>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.5</w:t>
      </w:r>
      <w:r>
        <w:rPr>
          <w:rFonts w:hint="eastAsia" w:ascii="宋体" w:hAnsi="宋体" w:eastAsia="宋体" w:cs="宋体"/>
          <w:sz w:val="21"/>
          <w:szCs w:val="21"/>
        </w:rPr>
        <w:t>供应商在系统进行第二轮报价时，需在提交第二轮报价的同时以附件方式上传已标价工程量清单电子版(PDF格式)和第二轮报价表</w:t>
      </w:r>
      <w:r>
        <w:rPr>
          <w:rFonts w:hint="eastAsia" w:ascii="宋体" w:hAnsi="宋体" w:eastAsia="宋体" w:cs="宋体"/>
          <w:sz w:val="21"/>
          <w:szCs w:val="21"/>
          <w:lang w:eastAsia="zh-CN"/>
        </w:rPr>
        <w:t>（最终报价表）</w:t>
      </w:r>
      <w:r>
        <w:rPr>
          <w:rFonts w:hint="eastAsia" w:ascii="宋体" w:hAnsi="宋体" w:eastAsia="宋体" w:cs="宋体"/>
          <w:sz w:val="21"/>
          <w:szCs w:val="21"/>
        </w:rPr>
        <w:t>。</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.6已提交响应文件的供应商，在提交最后报价之前，可以根据竞争性磋商情况退出竞争性磋商。</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.7磋商结束后，磋商小组应当要求所有实质性响应的供应商在规定时间内提交最后报价，提交最后报价的供应商不得少于3家。符合</w:t>
      </w:r>
      <w:bookmarkStart w:id="76" w:name="_Toc32423"/>
      <w:r>
        <w:rPr>
          <w:rFonts w:hint="eastAsia" w:ascii="宋体" w:hAnsi="宋体" w:eastAsia="宋体" w:cs="宋体"/>
          <w:szCs w:val="21"/>
        </w:rPr>
        <w:t>《政府采购竞争性磋商采购方式管理暂行办法</w:t>
      </w:r>
      <w:bookmarkEnd w:id="76"/>
      <w:r>
        <w:rPr>
          <w:rFonts w:hint="eastAsia" w:ascii="宋体" w:hAnsi="宋体" w:eastAsia="宋体" w:cs="宋体"/>
          <w:szCs w:val="21"/>
        </w:rPr>
        <w:t>》第三条第四项情形的，提交最后报价的供应商可以为2家</w:t>
      </w:r>
      <w:bookmarkStart w:id="77" w:name="_Toc5652"/>
      <w:r>
        <w:rPr>
          <w:rFonts w:hint="eastAsia" w:ascii="宋体" w:hAnsi="宋体" w:eastAsia="宋体" w:cs="宋体"/>
          <w:szCs w:val="21"/>
        </w:rPr>
        <w:t>或符合《财政部关于政府采购竞争性磋商采购方式管理暂行办法有关问题的补充通知</w:t>
      </w:r>
      <w:bookmarkEnd w:id="77"/>
      <w:r>
        <w:rPr>
          <w:rFonts w:hint="eastAsia" w:ascii="宋体" w:hAnsi="宋体" w:eastAsia="宋体" w:cs="宋体"/>
          <w:szCs w:val="21"/>
        </w:rPr>
        <w:t>》，采用竞争性磋商采购方式采购的政府购买服务项目（含政府和社会资本合作项目），在采购过程中符合要求的供应商（社会资本）只有2家的，竞争性磋商采购活动可以继续进行。 最后报价是供应商响应文件的有效组成部分。</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经磋商确定最终采购需求和提交最后报价的供应商后，由磋商小组采用综合评分法对提交最后报价的供应商的响应文件和最后报价进行综合评分。</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8磋商小组应当根据综合评分情况，按照评审得分由高到低顺序推荐3名成交候选供应商，并编写评审报告。符合《政府采购竞争性磋商采购方式管理暂行办法》第三条第四项情形的或符合《财政部关于政府采购竞争性磋商采购方式管理暂行办法有关问题的补充通知》的可以推荐2家成交候选供应商。评审得分相同的，按照最后报价由低到高的顺序推荐。评审得分且最后报价相同的，按照技术指标优劣顺序推荐。</w:t>
      </w:r>
    </w:p>
    <w:p>
      <w:pPr>
        <w:pageBreakBefore w:val="0"/>
        <w:numPr>
          <w:ilvl w:val="0"/>
          <w:numId w:val="2"/>
        </w:numPr>
        <w:kinsoku/>
        <w:bidi w:val="0"/>
        <w:spacing w:line="360" w:lineRule="auto"/>
        <w:jc w:val="left"/>
        <w:rPr>
          <w:rFonts w:hint="eastAsia" w:ascii="宋体" w:hAnsi="宋体" w:eastAsia="宋体" w:cs="宋体"/>
          <w:b/>
          <w:szCs w:val="21"/>
        </w:rPr>
      </w:pPr>
      <w:r>
        <w:rPr>
          <w:rFonts w:hint="eastAsia" w:ascii="宋体" w:hAnsi="宋体" w:eastAsia="宋体" w:cs="宋体"/>
          <w:b/>
          <w:szCs w:val="21"/>
        </w:rPr>
        <w:t>采购人将根据评审报告，确定排名第一的成交候选人为成交供应商，也可以书面授权磋商小组直接确定成交供应商。</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pacing w:val="-6"/>
          <w:szCs w:val="21"/>
        </w:rPr>
        <w:t>保密及其他注意事项</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.1磋商小组将遵照评审原则，公平、公正地对待所有供应商。</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.2在评审期间，供应商不得向磋商小组成员询问评审情况，不得进行旨在影响成交结果的活动。</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3</w:t>
      </w:r>
      <w:r>
        <w:rPr>
          <w:rFonts w:hint="eastAsia" w:ascii="宋体" w:hAnsi="宋体" w:eastAsia="宋体" w:cs="宋体"/>
          <w:szCs w:val="21"/>
        </w:rPr>
        <w:t>.3为保证成交结果的公正性，直至授予成交供应商合同时，凡是属于审查、澄清、评价和比较的有关资料以及授标意向等，均不向供应商或其他与评审无关的人员透露。在评审结束后，凡与评审情况有接触的任何人不得也不应将评审情况扩散出磋商小组成员之外。</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成交结果的公告</w:t>
      </w:r>
    </w:p>
    <w:p>
      <w:pPr>
        <w:pageBreakBefore w:val="0"/>
        <w:kinsoku/>
        <w:bidi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成交供应商确定后，成交结果将在《中国招标投标公共服务平台》、《河南省电子招标投标公共服务平台》、《河南省政府采购网》、《焦作市公共资源交易中心网》、《武陟县公共资源交易中心网》网站进行公告。</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成交通知书</w:t>
      </w:r>
    </w:p>
    <w:p>
      <w:pPr>
        <w:pageBreakBefore w:val="0"/>
        <w:kinsoku/>
        <w:bidi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7</w:t>
      </w:r>
      <w:r>
        <w:rPr>
          <w:rFonts w:hint="eastAsia" w:ascii="宋体" w:hAnsi="宋体" w:eastAsia="宋体" w:cs="宋体"/>
          <w:szCs w:val="21"/>
        </w:rPr>
        <w:t>.1在发布成交公告的同时向成交供应商发出成交通知书；</w:t>
      </w:r>
    </w:p>
    <w:p>
      <w:pPr>
        <w:pageBreakBefore w:val="0"/>
        <w:kinsoku/>
        <w:bidi w:val="0"/>
        <w:spacing w:line="360" w:lineRule="auto"/>
        <w:ind w:firstLine="315" w:firstLineChars="15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7</w:t>
      </w:r>
      <w:r>
        <w:rPr>
          <w:rFonts w:hint="eastAsia" w:ascii="宋体" w:hAnsi="宋体" w:eastAsia="宋体" w:cs="宋体"/>
          <w:szCs w:val="21"/>
        </w:rPr>
        <w:t>.2成交通知书将作为进行合同磋商和签订的依据。</w:t>
      </w:r>
      <w:bookmarkStart w:id="78" w:name="_Toc5841"/>
      <w:bookmarkStart w:id="79" w:name="_Toc477423248"/>
      <w:bookmarkStart w:id="80" w:name="_Toc487805908"/>
      <w:bookmarkStart w:id="81" w:name="_Toc490161265"/>
    </w:p>
    <w:p>
      <w:pPr>
        <w:pStyle w:val="5"/>
        <w:pageBreakBefore w:val="0"/>
        <w:kinsoku/>
        <w:bidi w:val="0"/>
        <w:spacing w:before="0" w:after="0" w:line="360" w:lineRule="auto"/>
        <w:jc w:val="center"/>
        <w:rPr>
          <w:rFonts w:hint="eastAsia" w:ascii="宋体" w:hAnsi="宋体" w:eastAsia="宋体" w:cs="宋体"/>
          <w:sz w:val="36"/>
          <w:szCs w:val="36"/>
        </w:rPr>
      </w:pPr>
      <w:bookmarkStart w:id="82" w:name="_Toc48808916"/>
      <w:bookmarkStart w:id="83" w:name="_Toc3630"/>
      <w:bookmarkStart w:id="84" w:name="_Toc3696"/>
      <w:bookmarkStart w:id="85" w:name="_Toc49166044"/>
      <w:bookmarkStart w:id="86" w:name="_Toc22215065"/>
      <w:bookmarkStart w:id="87" w:name="_Toc48809198"/>
      <w:r>
        <w:rPr>
          <w:rFonts w:hint="eastAsia" w:ascii="宋体" w:hAnsi="宋体" w:eastAsia="宋体" w:cs="宋体"/>
          <w:sz w:val="36"/>
          <w:szCs w:val="36"/>
        </w:rPr>
        <w:t>六、合同的授予</w:t>
      </w:r>
      <w:bookmarkEnd w:id="74"/>
      <w:bookmarkEnd w:id="75"/>
      <w:bookmarkEnd w:id="78"/>
      <w:bookmarkEnd w:id="79"/>
      <w:bookmarkEnd w:id="80"/>
      <w:bookmarkEnd w:id="81"/>
      <w:bookmarkEnd w:id="82"/>
      <w:bookmarkEnd w:id="83"/>
      <w:bookmarkEnd w:id="84"/>
      <w:bookmarkEnd w:id="85"/>
      <w:bookmarkEnd w:id="86"/>
      <w:bookmarkEnd w:id="87"/>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本</w:t>
      </w:r>
      <w:r>
        <w:rPr>
          <w:rFonts w:hint="eastAsia" w:ascii="宋体" w:hAnsi="宋体" w:eastAsia="宋体" w:cs="宋体"/>
          <w:b/>
          <w:spacing w:val="-6"/>
          <w:szCs w:val="21"/>
        </w:rPr>
        <w:t>项目的合同将授予按本须知第2</w:t>
      </w:r>
      <w:r>
        <w:rPr>
          <w:rFonts w:hint="eastAsia" w:ascii="宋体" w:hAnsi="宋体" w:eastAsia="宋体" w:cs="宋体"/>
          <w:b/>
          <w:spacing w:val="-6"/>
          <w:szCs w:val="21"/>
          <w:lang w:val="en-US" w:eastAsia="zh-CN"/>
        </w:rPr>
        <w:t>4</w:t>
      </w:r>
      <w:r>
        <w:rPr>
          <w:rFonts w:hint="eastAsia" w:ascii="宋体" w:hAnsi="宋体" w:eastAsia="宋体" w:cs="宋体"/>
          <w:b/>
          <w:spacing w:val="-6"/>
          <w:szCs w:val="21"/>
        </w:rPr>
        <w:t>条所确定的成交供应商。</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合同协议书的签订</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lang w:val="en-US" w:eastAsia="zh-CN"/>
        </w:rPr>
        <w:t>29.1</w:t>
      </w:r>
      <w:r>
        <w:rPr>
          <w:rFonts w:hint="eastAsia" w:ascii="宋体" w:hAnsi="宋体" w:eastAsia="宋体" w:cs="宋体"/>
          <w:szCs w:val="21"/>
        </w:rPr>
        <w:t>签订合同时，采购人和成交供应商不得订立背离合同实质性内容的其他协议。</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lang w:val="en-US" w:eastAsia="zh-CN"/>
        </w:rPr>
        <w:t>29.2</w:t>
      </w:r>
      <w:r>
        <w:rPr>
          <w:rFonts w:hint="eastAsia" w:ascii="宋体" w:hAnsi="宋体" w:eastAsia="宋体" w:cs="宋体"/>
          <w:szCs w:val="21"/>
        </w:rPr>
        <w:t>成交供应商如不按成交通知书规定的时间内与采购人订立合同，则采购人将废除授标，给采购人造成的损失的，应当对超过部分予以赔偿，同时依法承担相应法律责任。</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lang w:val="en-US" w:eastAsia="zh-CN"/>
        </w:rPr>
        <w:t>29.3</w:t>
      </w:r>
      <w:r>
        <w:rPr>
          <w:rFonts w:hint="eastAsia" w:ascii="宋体" w:hAnsi="宋体" w:eastAsia="宋体" w:cs="宋体"/>
          <w:szCs w:val="21"/>
        </w:rPr>
        <w:t>成交供应商应当按照合同约定履行义务，完成成交项目，不得将成交项目转让(转包)给他人。</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lang w:val="en-US" w:eastAsia="zh-CN"/>
        </w:rPr>
        <w:t>29.4</w:t>
      </w:r>
      <w:r>
        <w:rPr>
          <w:rFonts w:hint="eastAsia" w:ascii="宋体" w:hAnsi="宋体" w:eastAsia="宋体" w:cs="宋体"/>
          <w:szCs w:val="21"/>
          <w:lang w:eastAsia="zh-CN"/>
        </w:rPr>
        <w:t>根据《政府采购促进中小企业发展管理办法》规定，成交供应商为小微企业的不得将合同分包给大中型企业，成交供应商为中型企业的不得将合同分包给大型企业。</w:t>
      </w:r>
    </w:p>
    <w:p>
      <w:pPr>
        <w:pageBreakBefore w:val="0"/>
        <w:numPr>
          <w:ilvl w:val="0"/>
          <w:numId w:val="2"/>
        </w:numPr>
        <w:kinsoku/>
        <w:bidi w:val="0"/>
        <w:spacing w:line="360" w:lineRule="auto"/>
        <w:rPr>
          <w:rFonts w:hint="eastAsia" w:ascii="宋体" w:hAnsi="宋体" w:eastAsia="宋体" w:cs="宋体"/>
          <w:b/>
          <w:szCs w:val="21"/>
        </w:rPr>
      </w:pPr>
      <w:r>
        <w:rPr>
          <w:rFonts w:hint="eastAsia" w:ascii="宋体" w:hAnsi="宋体" w:eastAsia="宋体" w:cs="宋体"/>
          <w:b/>
          <w:szCs w:val="21"/>
        </w:rPr>
        <w:t>成交供应商应在采购合同签订之日起</w:t>
      </w:r>
      <w:r>
        <w:rPr>
          <w:rFonts w:hint="eastAsia" w:ascii="宋体" w:hAnsi="宋体" w:eastAsia="宋体" w:cs="宋体"/>
          <w:b/>
          <w:szCs w:val="21"/>
          <w:lang w:val="en-US" w:eastAsia="zh-CN"/>
        </w:rPr>
        <w:t>1</w:t>
      </w:r>
      <w:r>
        <w:rPr>
          <w:rFonts w:hint="eastAsia" w:ascii="宋体" w:hAnsi="宋体" w:eastAsia="宋体" w:cs="宋体"/>
          <w:b/>
          <w:szCs w:val="21"/>
        </w:rPr>
        <w:t>个工作日内</w:t>
      </w:r>
      <w:r>
        <w:rPr>
          <w:rFonts w:hint="eastAsia" w:ascii="宋体" w:hAnsi="宋体" w:cs="宋体"/>
          <w:b/>
          <w:szCs w:val="21"/>
          <w:lang w:eastAsia="zh-CN"/>
        </w:rPr>
        <w:t>，及时在“河南政府采购网”依法公开政府采购合同信息并</w:t>
      </w:r>
      <w:r>
        <w:rPr>
          <w:rFonts w:hint="eastAsia" w:ascii="宋体" w:hAnsi="宋体" w:eastAsia="宋体" w:cs="宋体"/>
          <w:b/>
          <w:szCs w:val="21"/>
        </w:rPr>
        <w:t>将合同报武陟县公共资源交易中心备案。</w:t>
      </w:r>
    </w:p>
    <w:p>
      <w:pPr>
        <w:pStyle w:val="14"/>
        <w:pageBreakBefore w:val="0"/>
        <w:kinsoku/>
        <w:bidi w:val="0"/>
        <w:snapToGrid w:val="0"/>
        <w:spacing w:line="360" w:lineRule="auto"/>
        <w:ind w:firstLine="0" w:firstLineChars="0"/>
        <w:rPr>
          <w:rFonts w:hint="eastAsia" w:ascii="宋体" w:hAnsi="宋体" w:eastAsia="宋体" w:cs="宋体"/>
          <w:b/>
          <w:szCs w:val="21"/>
        </w:rPr>
      </w:pPr>
      <w:r>
        <w:rPr>
          <w:rFonts w:hint="eastAsia" w:ascii="宋体" w:hAnsi="宋体" w:eastAsia="宋体" w:cs="宋体"/>
          <w:b/>
          <w:szCs w:val="21"/>
        </w:rPr>
        <w:t>3</w:t>
      </w:r>
      <w:r>
        <w:rPr>
          <w:rFonts w:hint="eastAsia" w:ascii="宋体" w:hAnsi="宋体" w:eastAsia="宋体" w:cs="宋体"/>
          <w:b/>
          <w:szCs w:val="21"/>
          <w:lang w:val="en-US" w:eastAsia="zh-CN"/>
        </w:rPr>
        <w:t>1</w:t>
      </w:r>
      <w:r>
        <w:rPr>
          <w:rFonts w:hint="eastAsia" w:ascii="宋体" w:hAnsi="宋体" w:eastAsia="宋体" w:cs="宋体"/>
          <w:b/>
          <w:szCs w:val="21"/>
        </w:rPr>
        <w:t>.质疑</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1</w:t>
      </w:r>
      <w:r>
        <w:rPr>
          <w:rFonts w:hint="eastAsia" w:ascii="宋体" w:hAnsi="宋体" w:eastAsia="宋体" w:cs="宋体"/>
          <w:szCs w:val="21"/>
        </w:rPr>
        <w:t>.1供应商认为磋商文件、磋商过程、</w:t>
      </w:r>
      <w:r>
        <w:rPr>
          <w:rFonts w:hint="eastAsia" w:ascii="宋体" w:hAnsi="宋体" w:cs="宋体"/>
          <w:szCs w:val="21"/>
          <w:lang w:eastAsia="zh-CN"/>
        </w:rPr>
        <w:t>成交</w:t>
      </w:r>
      <w:r>
        <w:rPr>
          <w:rFonts w:hint="eastAsia" w:ascii="宋体" w:hAnsi="宋体" w:eastAsia="宋体" w:cs="宋体"/>
          <w:szCs w:val="21"/>
        </w:rPr>
        <w:t>或者成交结果使自己的权益受到损害的，可以在知道或者应知其权益受到损害之日起7个工作日内，以书面形式向采购人、采购代理机构提出质疑</w:t>
      </w:r>
      <w:r>
        <w:rPr>
          <w:rFonts w:hint="eastAsia" w:ascii="宋体" w:hAnsi="宋体" w:cs="宋体"/>
          <w:szCs w:val="21"/>
          <w:lang w:eastAsia="zh-CN"/>
        </w:rPr>
        <w:t>，质疑答复之日起1个工作日内河南省电子化政府采购系统录入质疑答复信息。</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1</w:t>
      </w:r>
      <w:r>
        <w:rPr>
          <w:rFonts w:hint="eastAsia" w:ascii="宋体" w:hAnsi="宋体" w:eastAsia="宋体" w:cs="宋体"/>
          <w:szCs w:val="21"/>
        </w:rPr>
        <w:t>.2供应商应在法定质疑期内一次性提出针对同一采购程序环节的质疑。</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1</w:t>
      </w:r>
      <w:r>
        <w:rPr>
          <w:rFonts w:hint="eastAsia" w:ascii="宋体" w:hAnsi="宋体" w:eastAsia="宋体" w:cs="宋体"/>
          <w:szCs w:val="21"/>
        </w:rPr>
        <w:t>.3提出质疑的供应商应当是参与所质疑项目采购活动的供应商。</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1</w:t>
      </w:r>
      <w:r>
        <w:rPr>
          <w:rFonts w:hint="eastAsia" w:ascii="宋体" w:hAnsi="宋体" w:eastAsia="宋体" w:cs="宋体"/>
          <w:szCs w:val="21"/>
        </w:rPr>
        <w:t>.4潜在供应商已依法获取其可质疑的磋商文件的，可以对该文件提出质疑。对磋商文件提出质疑的，应当在获取磋商文件之日起7个工作日内提出。</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1</w:t>
      </w:r>
      <w:r>
        <w:rPr>
          <w:rFonts w:hint="eastAsia" w:ascii="宋体" w:hAnsi="宋体" w:eastAsia="宋体" w:cs="宋体"/>
          <w:szCs w:val="21"/>
        </w:rPr>
        <w:t>.5供应商提出质疑应当提交质疑函和必要的证明材料。</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lang w:val="en-US" w:eastAsia="zh-CN"/>
        </w:rPr>
        <w:t>31</w:t>
      </w:r>
      <w:r>
        <w:rPr>
          <w:rFonts w:hint="eastAsia" w:ascii="宋体" w:hAnsi="宋体" w:eastAsia="宋体" w:cs="宋体"/>
          <w:szCs w:val="21"/>
        </w:rPr>
        <w:t>.6供应商不得虚假质疑和恶意质疑，并对质疑内容的真实性承担责任。供应商或者其他利害关系人通过捏造事实、伪造证明材料等方式提出异议或投诉，阻碍采购活动正常进行的，属于严重不良行为，采购代理机构将提请政府采购监管部门将其列入不良行为记录名单，依法予以处罚。</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1</w:t>
      </w:r>
      <w:r>
        <w:rPr>
          <w:rFonts w:hint="eastAsia" w:ascii="宋体" w:hAnsi="宋体" w:eastAsia="宋体" w:cs="宋体"/>
          <w:szCs w:val="21"/>
        </w:rPr>
        <w:t>.7质疑文件格式详见《中国政府采购网》下载专区“</w:t>
      </w:r>
      <w:r>
        <w:rPr>
          <w:rFonts w:hint="eastAsia" w:ascii="宋体" w:hAnsi="宋体" w:eastAsia="宋体" w:cs="宋体"/>
        </w:rPr>
        <w:fldChar w:fldCharType="begin"/>
      </w:r>
      <w:r>
        <w:rPr>
          <w:rFonts w:hint="eastAsia" w:ascii="宋体" w:hAnsi="宋体" w:eastAsia="宋体" w:cs="宋体"/>
        </w:rPr>
        <w:instrText xml:space="preserve"> HYPERLINK "http://download.ccgp.gov.cn/2018/zhiyihanfanben.zip" </w:instrText>
      </w:r>
      <w:r>
        <w:rPr>
          <w:rFonts w:hint="eastAsia" w:ascii="宋体" w:hAnsi="宋体" w:eastAsia="宋体" w:cs="宋体"/>
        </w:rPr>
        <w:fldChar w:fldCharType="separate"/>
      </w:r>
      <w:r>
        <w:rPr>
          <w:rFonts w:hint="eastAsia" w:ascii="宋体" w:hAnsi="宋体" w:eastAsia="宋体" w:cs="宋体"/>
          <w:szCs w:val="21"/>
        </w:rPr>
        <w:t>政府采购供应商质疑函范本</w:t>
      </w:r>
      <w:r>
        <w:rPr>
          <w:rFonts w:hint="eastAsia" w:ascii="宋体" w:hAnsi="宋体" w:eastAsia="宋体" w:cs="宋体"/>
          <w:szCs w:val="21"/>
        </w:rPr>
        <w:fldChar w:fldCharType="end"/>
      </w:r>
      <w:r>
        <w:rPr>
          <w:rFonts w:hint="eastAsia" w:ascii="宋体" w:hAnsi="宋体" w:eastAsia="宋体" w:cs="宋体"/>
          <w:szCs w:val="21"/>
        </w:rPr>
        <w:t>”，并按照“谁主张、谁举证”的原则，附上相关证明材料。否则，采购人或采购代理机构不予受理, 质疑文件及相关证明材料一式二份，采购人、采购代理机构各执一份。</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1</w:t>
      </w:r>
      <w:r>
        <w:rPr>
          <w:rFonts w:hint="eastAsia" w:ascii="宋体" w:hAnsi="宋体" w:eastAsia="宋体" w:cs="宋体"/>
          <w:szCs w:val="21"/>
        </w:rPr>
        <w:t>.8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应当提交供应商签署的授权委托书。</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1</w:t>
      </w:r>
      <w:r>
        <w:rPr>
          <w:rFonts w:hint="eastAsia" w:ascii="宋体" w:hAnsi="宋体" w:eastAsia="宋体" w:cs="宋体"/>
          <w:szCs w:val="21"/>
        </w:rPr>
        <w:t>.9采购人或采购代理机构将在收到符合上述条件的书面质疑后7个工作日内审查质疑事项，作出答复或相关处理决定，并以书面形式通知质疑供应商和其他有关供应商，但答复的内容不涉及商业秘密。采购代理机构遵循“谁过错谁负担”的原则，有过错的一方承担调查论证费用。</w:t>
      </w:r>
    </w:p>
    <w:p>
      <w:pPr>
        <w:pageBreakBefore w:val="0"/>
        <w:kinsoku/>
        <w:bidi w:val="0"/>
        <w:spacing w:line="360" w:lineRule="auto"/>
        <w:ind w:firstLine="210" w:firstLineChars="1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1</w:t>
      </w:r>
      <w:r>
        <w:rPr>
          <w:rFonts w:hint="eastAsia" w:ascii="宋体" w:hAnsi="宋体" w:eastAsia="宋体" w:cs="宋体"/>
          <w:szCs w:val="21"/>
        </w:rPr>
        <w:t>.9.1质疑供应商对采购人或采购代理机构的答复不满意以及采购人或采购代理机构未在规定的时间内做出答复的，可以在答复期满后15个工作日内向同级财政部门投诉。</w:t>
      </w:r>
    </w:p>
    <w:p>
      <w:pPr>
        <w:pStyle w:val="4"/>
        <w:pageBreakBefore w:val="0"/>
        <w:kinsoku/>
        <w:bidi w:val="0"/>
        <w:spacing w:before="0" w:after="0" w:line="360" w:lineRule="auto"/>
        <w:rPr>
          <w:rFonts w:hint="eastAsia" w:ascii="宋体" w:hAnsi="宋体" w:eastAsia="宋体" w:cs="宋体"/>
          <w:sz w:val="32"/>
          <w:szCs w:val="32"/>
        </w:rPr>
      </w:pPr>
      <w:bookmarkStart w:id="88" w:name="_Toc20548"/>
      <w:r>
        <w:rPr>
          <w:rFonts w:hint="eastAsia" w:ascii="宋体" w:hAnsi="宋体" w:eastAsia="宋体" w:cs="宋体"/>
          <w:sz w:val="32"/>
          <w:szCs w:val="32"/>
        </w:rPr>
        <w:t>第三章  评审办法</w:t>
      </w:r>
      <w:bookmarkEnd w:id="15"/>
      <w:bookmarkEnd w:id="16"/>
      <w:bookmarkEnd w:id="17"/>
      <w:bookmarkEnd w:id="18"/>
      <w:bookmarkEnd w:id="88"/>
    </w:p>
    <w:p>
      <w:pPr>
        <w:pageBreakBefore w:val="0"/>
        <w:kinsoku/>
        <w:autoSpaceDE w:val="0"/>
        <w:autoSpaceDN w:val="0"/>
        <w:bidi w:val="0"/>
        <w:adjustRightInd w:val="0"/>
        <w:spacing w:line="360" w:lineRule="auto"/>
        <w:ind w:right="97"/>
        <w:jc w:val="left"/>
        <w:rPr>
          <w:rFonts w:hint="eastAsia" w:ascii="宋体" w:hAnsi="宋体" w:eastAsia="宋体" w:cs="宋体"/>
          <w:b/>
          <w:szCs w:val="21"/>
        </w:rPr>
      </w:pPr>
      <w:bookmarkStart w:id="89" w:name="_Toc356372649"/>
      <w:bookmarkEnd w:id="89"/>
      <w:r>
        <w:rPr>
          <w:rFonts w:hint="eastAsia" w:ascii="宋体" w:hAnsi="宋体" w:eastAsia="宋体" w:cs="宋体"/>
          <w:b/>
          <w:bCs/>
          <w:szCs w:val="21"/>
        </w:rPr>
        <w:t>1、</w:t>
      </w:r>
      <w:r>
        <w:rPr>
          <w:rFonts w:hint="eastAsia" w:ascii="宋体" w:hAnsi="宋体" w:eastAsia="宋体" w:cs="宋体"/>
          <w:b/>
          <w:szCs w:val="21"/>
        </w:rPr>
        <w:t xml:space="preserve"> 评审标准</w:t>
      </w:r>
    </w:p>
    <w:p>
      <w:pPr>
        <w:pageBreakBefore w:val="0"/>
        <w:kinsoku/>
        <w:autoSpaceDE w:val="0"/>
        <w:autoSpaceDN w:val="0"/>
        <w:bidi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1.1  评审过程将遵循“公平、公正、科学、择优”的原则进行。</w:t>
      </w:r>
    </w:p>
    <w:p>
      <w:pPr>
        <w:pageBreakBefore w:val="0"/>
        <w:kinsoku/>
        <w:autoSpaceDE w:val="0"/>
        <w:autoSpaceDN w:val="0"/>
        <w:bidi w:val="0"/>
        <w:adjustRightInd w:val="0"/>
        <w:spacing w:line="360" w:lineRule="auto"/>
        <w:ind w:firstLine="420" w:firstLineChars="200"/>
        <w:rPr>
          <w:rFonts w:hint="eastAsia" w:ascii="宋体" w:hAnsi="宋体" w:eastAsia="宋体" w:cs="宋体"/>
          <w:kern w:val="0"/>
          <w:szCs w:val="21"/>
        </w:rPr>
      </w:pPr>
      <w:r>
        <w:rPr>
          <w:rFonts w:hint="eastAsia" w:ascii="宋体" w:hAnsi="宋体" w:eastAsia="宋体" w:cs="宋体"/>
          <w:szCs w:val="21"/>
        </w:rPr>
        <w:t>1.2  评审将严格按照磋商文</w:t>
      </w:r>
      <w:r>
        <w:rPr>
          <w:rFonts w:hint="eastAsia" w:ascii="宋体" w:hAnsi="宋体" w:eastAsia="宋体" w:cs="宋体"/>
          <w:kern w:val="0"/>
          <w:szCs w:val="21"/>
        </w:rPr>
        <w:t>件的要求和条件进行。</w:t>
      </w:r>
    </w:p>
    <w:p>
      <w:pPr>
        <w:pageBreakBefore w:val="0"/>
        <w:kinsoku/>
        <w:autoSpaceDE w:val="0"/>
        <w:autoSpaceDN w:val="0"/>
        <w:bidi w:val="0"/>
        <w:adjustRightInd w:val="0"/>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1.3  本</w:t>
      </w:r>
      <w:r>
        <w:rPr>
          <w:rFonts w:hint="eastAsia" w:ascii="宋体" w:hAnsi="宋体" w:eastAsia="宋体" w:cs="宋体"/>
          <w:szCs w:val="21"/>
        </w:rPr>
        <w:t>次评审采用综合评分法。</w:t>
      </w:r>
    </w:p>
    <w:p>
      <w:pPr>
        <w:pageBreakBefore w:val="0"/>
        <w:kinsoku/>
        <w:autoSpaceDE w:val="0"/>
        <w:autoSpaceDN w:val="0"/>
        <w:bidi w:val="0"/>
        <w:adjustRightInd w:val="0"/>
        <w:spacing w:line="360" w:lineRule="auto"/>
        <w:ind w:right="97"/>
        <w:jc w:val="left"/>
        <w:rPr>
          <w:rFonts w:hint="eastAsia" w:ascii="宋体" w:hAnsi="宋体" w:eastAsia="宋体" w:cs="宋体"/>
          <w:b/>
          <w:szCs w:val="21"/>
        </w:rPr>
      </w:pPr>
      <w:r>
        <w:rPr>
          <w:rFonts w:hint="eastAsia" w:ascii="宋体" w:hAnsi="宋体" w:eastAsia="宋体" w:cs="宋体"/>
          <w:b/>
          <w:szCs w:val="21"/>
        </w:rPr>
        <w:t>2、</w:t>
      </w:r>
      <w:bookmarkStart w:id="90" w:name="_Toc12846"/>
      <w:bookmarkEnd w:id="90"/>
      <w:bookmarkStart w:id="91" w:name="_Toc31554"/>
      <w:bookmarkEnd w:id="91"/>
      <w:bookmarkStart w:id="92" w:name="_Toc647"/>
      <w:bookmarkEnd w:id="92"/>
      <w:r>
        <w:rPr>
          <w:rFonts w:hint="eastAsia" w:ascii="宋体" w:hAnsi="宋体" w:eastAsia="宋体" w:cs="宋体"/>
          <w:b/>
          <w:szCs w:val="21"/>
        </w:rPr>
        <w:t>评审方法</w:t>
      </w:r>
      <w:bookmarkStart w:id="93" w:name="_Toc184635094"/>
      <w:bookmarkEnd w:id="93"/>
    </w:p>
    <w:p>
      <w:pPr>
        <w:pageBreakBefore w:val="0"/>
        <w:kinsoku/>
        <w:autoSpaceDE w:val="0"/>
        <w:autoSpaceDN w:val="0"/>
        <w:bidi w:val="0"/>
        <w:adjustRightInd w:val="0"/>
        <w:spacing w:line="360" w:lineRule="auto"/>
        <w:ind w:right="97" w:firstLine="420" w:firstLineChars="200"/>
        <w:jc w:val="left"/>
        <w:rPr>
          <w:rFonts w:hint="eastAsia" w:ascii="宋体" w:hAnsi="宋体" w:eastAsia="宋体" w:cs="宋体"/>
          <w:b/>
          <w:bCs/>
          <w:kern w:val="0"/>
          <w:szCs w:val="21"/>
        </w:rPr>
      </w:pPr>
      <w:r>
        <w:rPr>
          <w:rFonts w:hint="eastAsia" w:ascii="宋体" w:hAnsi="宋体" w:eastAsia="宋体" w:cs="宋体"/>
          <w:bCs/>
          <w:szCs w:val="21"/>
        </w:rPr>
        <w:t>经磋商确定最终采购需求和提交最后报价的供应商后，磋商小组采用综合评分法对提交最后报价的供应商的响应文件和最后报价进行综合评分。</w:t>
      </w:r>
    </w:p>
    <w:tbl>
      <w:tblPr>
        <w:tblStyle w:val="4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58"/>
        <w:gridCol w:w="944"/>
        <w:gridCol w:w="1547"/>
        <w:gridCol w:w="600"/>
        <w:gridCol w:w="4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2123" w:type="dxa"/>
            <w:gridSpan w:val="3"/>
            <w:noWrap/>
            <w:vAlign w:val="center"/>
          </w:tcPr>
          <w:p>
            <w:pPr>
              <w:pageBreakBefore w:val="0"/>
              <w:kinsoku/>
              <w:autoSpaceDE w:val="0"/>
              <w:autoSpaceDN w:val="0"/>
              <w:bidi w:val="0"/>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条款号</w:t>
            </w: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4676" w:type="dxa"/>
            <w:noWrap/>
            <w:vAlign w:val="center"/>
          </w:tcPr>
          <w:p>
            <w:pPr>
              <w:pageBreakBefore w:val="0"/>
              <w:kinsoku/>
              <w:autoSpaceDE w:val="0"/>
              <w:autoSpaceDN w:val="0"/>
              <w:bidi w:val="0"/>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restart"/>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2.1.1</w:t>
            </w:r>
          </w:p>
        </w:tc>
        <w:tc>
          <w:tcPr>
            <w:tcW w:w="944" w:type="dxa"/>
            <w:vMerge w:val="restart"/>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形式评审标准</w:t>
            </w: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供应商名称</w:t>
            </w:r>
          </w:p>
        </w:tc>
        <w:tc>
          <w:tcPr>
            <w:tcW w:w="4676" w:type="dxa"/>
            <w:noWrap/>
            <w:vAlign w:val="center"/>
          </w:tcPr>
          <w:p>
            <w:pPr>
              <w:pageBreakBefore w:val="0"/>
              <w:kinsoku/>
              <w:autoSpaceDE w:val="0"/>
              <w:autoSpaceDN w:val="0"/>
              <w:bidi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与资质证书一致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179" w:type="dxa"/>
            <w:gridSpan w:val="2"/>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944" w:type="dxa"/>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签字盖章</w:t>
            </w:r>
          </w:p>
        </w:tc>
        <w:tc>
          <w:tcPr>
            <w:tcW w:w="4676" w:type="dxa"/>
            <w:noWrap/>
            <w:vAlign w:val="center"/>
          </w:tcPr>
          <w:p>
            <w:pPr>
              <w:pageBreakBefore w:val="0"/>
              <w:kinsoku/>
              <w:autoSpaceDE w:val="0"/>
              <w:autoSpaceDN w:val="0"/>
              <w:bidi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由法定代表人或其委托代理人签字或盖章，并加盖单位公章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944" w:type="dxa"/>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响应文件格式</w:t>
            </w:r>
          </w:p>
        </w:tc>
        <w:tc>
          <w:tcPr>
            <w:tcW w:w="4676" w:type="dxa"/>
            <w:noWrap/>
            <w:vAlign w:val="center"/>
          </w:tcPr>
          <w:p>
            <w:pPr>
              <w:pageBreakBefore w:val="0"/>
              <w:kinsoku/>
              <w:autoSpaceDE w:val="0"/>
              <w:autoSpaceDN w:val="0"/>
              <w:bidi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w:t>
            </w:r>
            <w:r>
              <w:rPr>
                <w:rFonts w:hint="eastAsia" w:ascii="宋体" w:hAnsi="宋体" w:eastAsia="宋体" w:cs="宋体"/>
                <w:kern w:val="0"/>
                <w:sz w:val="21"/>
                <w:szCs w:val="21"/>
                <w:highlight w:val="none"/>
                <w:lang w:eastAsia="zh-CN"/>
              </w:rPr>
              <w:t>六</w:t>
            </w:r>
            <w:r>
              <w:rPr>
                <w:rFonts w:hint="eastAsia" w:ascii="宋体" w:hAnsi="宋体" w:eastAsia="宋体" w:cs="宋体"/>
                <w:kern w:val="0"/>
                <w:sz w:val="21"/>
                <w:szCs w:val="21"/>
                <w:highlight w:val="none"/>
              </w:rPr>
              <w:t>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944" w:type="dxa"/>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报价唯一</w:t>
            </w:r>
          </w:p>
        </w:tc>
        <w:tc>
          <w:tcPr>
            <w:tcW w:w="4676" w:type="dxa"/>
            <w:noWrap/>
            <w:vAlign w:val="center"/>
          </w:tcPr>
          <w:p>
            <w:pPr>
              <w:pageBreakBefore w:val="0"/>
              <w:kinsoku/>
              <w:autoSpaceDE w:val="0"/>
              <w:autoSpaceDN w:val="0"/>
              <w:bidi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179" w:type="dxa"/>
            <w:gridSpan w:val="2"/>
            <w:vMerge w:val="restart"/>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2.1.2</w:t>
            </w:r>
          </w:p>
        </w:tc>
        <w:tc>
          <w:tcPr>
            <w:tcW w:w="944" w:type="dxa"/>
            <w:vMerge w:val="restart"/>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资格评审标准</w:t>
            </w: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焦作市政府采购供应商资格信用承诺函</w:t>
            </w:r>
          </w:p>
        </w:tc>
        <w:tc>
          <w:tcPr>
            <w:tcW w:w="4676" w:type="dxa"/>
            <w:noWrap/>
            <w:vAlign w:val="center"/>
          </w:tcPr>
          <w:p>
            <w:pPr>
              <w:pageBreakBefore w:val="0"/>
              <w:kinsoku/>
              <w:autoSpaceDE w:val="0"/>
              <w:autoSpaceDN w:val="0"/>
              <w:bidi w:val="0"/>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符合第</w:t>
            </w:r>
            <w:r>
              <w:rPr>
                <w:rFonts w:hint="eastAsia" w:ascii="宋体" w:hAnsi="宋体" w:eastAsia="宋体" w:cs="宋体"/>
                <w:kern w:val="0"/>
                <w:sz w:val="21"/>
                <w:szCs w:val="21"/>
                <w:highlight w:val="none"/>
                <w:lang w:eastAsia="zh-CN"/>
              </w:rPr>
              <w:t>六</w:t>
            </w:r>
            <w:r>
              <w:rPr>
                <w:rFonts w:hint="eastAsia" w:ascii="宋体" w:hAnsi="宋体" w:eastAsia="宋体" w:cs="宋体"/>
                <w:kern w:val="0"/>
                <w:sz w:val="21"/>
                <w:szCs w:val="21"/>
                <w:highlight w:val="none"/>
              </w:rPr>
              <w:t>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continue"/>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rPr>
            </w:pPr>
          </w:p>
        </w:tc>
        <w:tc>
          <w:tcPr>
            <w:tcW w:w="944" w:type="dxa"/>
            <w:vMerge w:val="continue"/>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rPr>
            </w:pP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中小企业</w:t>
            </w:r>
          </w:p>
        </w:tc>
        <w:tc>
          <w:tcPr>
            <w:tcW w:w="4676" w:type="dxa"/>
            <w:noWrap/>
            <w:vAlign w:val="center"/>
          </w:tcPr>
          <w:p>
            <w:pPr>
              <w:pageBreakBefore w:val="0"/>
              <w:kinsoku/>
              <w:bidi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符合“供应商须知</w:t>
            </w:r>
            <w:r>
              <w:rPr>
                <w:rFonts w:hint="eastAsia" w:ascii="宋体" w:hAnsi="宋体" w:eastAsia="宋体" w:cs="宋体"/>
                <w:kern w:val="0"/>
                <w:sz w:val="21"/>
                <w:szCs w:val="21"/>
              </w:rPr>
              <w:t>前附表</w:t>
            </w:r>
            <w:r>
              <w:rPr>
                <w:rFonts w:hint="eastAsia" w:ascii="宋体" w:hAnsi="宋体" w:eastAsia="宋体" w:cs="宋体"/>
                <w:sz w:val="21"/>
                <w:szCs w:val="21"/>
              </w:rPr>
              <w:t>”</w:t>
            </w:r>
            <w:r>
              <w:rPr>
                <w:rFonts w:hint="eastAsia" w:ascii="宋体" w:hAnsi="宋体" w:eastAsia="宋体" w:cs="宋体"/>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944" w:type="dxa"/>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资质</w:t>
            </w:r>
            <w:r>
              <w:rPr>
                <w:rFonts w:hint="eastAsia" w:ascii="宋体" w:hAnsi="宋体" w:eastAsia="宋体" w:cs="宋体"/>
                <w:kern w:val="0"/>
                <w:sz w:val="21"/>
                <w:szCs w:val="21"/>
                <w:lang w:eastAsia="zh-CN"/>
              </w:rPr>
              <w:t>证书</w:t>
            </w:r>
          </w:p>
        </w:tc>
        <w:tc>
          <w:tcPr>
            <w:tcW w:w="4676" w:type="dxa"/>
            <w:noWrap/>
            <w:vAlign w:val="center"/>
          </w:tcPr>
          <w:p>
            <w:pPr>
              <w:pageBreakBefore w:val="0"/>
              <w:kinsoku/>
              <w:bidi w:val="0"/>
              <w:spacing w:line="360" w:lineRule="auto"/>
              <w:rPr>
                <w:rFonts w:hint="eastAsia" w:ascii="宋体" w:hAnsi="宋体" w:eastAsia="宋体" w:cs="宋体"/>
                <w:sz w:val="21"/>
                <w:szCs w:val="21"/>
              </w:rPr>
            </w:pPr>
            <w:r>
              <w:rPr>
                <w:rFonts w:hint="eastAsia" w:ascii="宋体" w:hAnsi="宋体" w:eastAsia="宋体" w:cs="宋体"/>
                <w:kern w:val="0"/>
                <w:sz w:val="21"/>
                <w:szCs w:val="21"/>
              </w:rPr>
              <w:t>符合“供应商须知前附表”要求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944" w:type="dxa"/>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经理</w:t>
            </w:r>
          </w:p>
        </w:tc>
        <w:tc>
          <w:tcPr>
            <w:tcW w:w="4676" w:type="dxa"/>
            <w:noWrap/>
            <w:vAlign w:val="center"/>
          </w:tcPr>
          <w:p>
            <w:pPr>
              <w:pageBreakBefore w:val="0"/>
              <w:kinsoku/>
              <w:bidi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符合“供应商须知前附表”要求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944" w:type="dxa"/>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信用报告</w:t>
            </w:r>
          </w:p>
        </w:tc>
        <w:tc>
          <w:tcPr>
            <w:tcW w:w="4676" w:type="dxa"/>
            <w:noWrap/>
            <w:vAlign w:val="center"/>
          </w:tcPr>
          <w:p>
            <w:pPr>
              <w:pageBreakBefore w:val="0"/>
              <w:kinsoku/>
              <w:bidi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符合“供应商须知前附表”要求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944" w:type="dxa"/>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无行贿犯罪档案</w:t>
            </w:r>
          </w:p>
        </w:tc>
        <w:tc>
          <w:tcPr>
            <w:tcW w:w="4676" w:type="dxa"/>
            <w:noWrap/>
            <w:vAlign w:val="center"/>
          </w:tcPr>
          <w:p>
            <w:pPr>
              <w:pageBreakBefore w:val="0"/>
              <w:kinsoku/>
              <w:bidi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符合“供应商须知前附表”要求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restart"/>
            <w:noWrap/>
            <w:vAlign w:val="center"/>
          </w:tcPr>
          <w:p>
            <w:pPr>
              <w:pageBreakBefore w:val="0"/>
              <w:widowControl/>
              <w:kinsoku/>
              <w:bidi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2.1.3</w:t>
            </w:r>
          </w:p>
        </w:tc>
        <w:tc>
          <w:tcPr>
            <w:tcW w:w="944" w:type="dxa"/>
            <w:vMerge w:val="restart"/>
            <w:noWrap/>
            <w:vAlign w:val="center"/>
          </w:tcPr>
          <w:p>
            <w:pPr>
              <w:pageBreakBefore w:val="0"/>
              <w:widowControl/>
              <w:kinsoku/>
              <w:bidi w:val="0"/>
              <w:spacing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响应</w:t>
            </w:r>
            <w:r>
              <w:rPr>
                <w:rFonts w:hint="eastAsia" w:ascii="宋体" w:hAnsi="宋体" w:eastAsia="宋体" w:cs="宋体"/>
                <w:kern w:val="0"/>
                <w:sz w:val="21"/>
                <w:szCs w:val="21"/>
              </w:rPr>
              <w:t>评审</w:t>
            </w: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磋商范围</w:t>
            </w:r>
          </w:p>
        </w:tc>
        <w:tc>
          <w:tcPr>
            <w:tcW w:w="4676" w:type="dxa"/>
            <w:noWrap/>
            <w:vAlign w:val="center"/>
          </w:tcPr>
          <w:p>
            <w:pPr>
              <w:pageBreakBefore w:val="0"/>
              <w:tabs>
                <w:tab w:val="left" w:pos="2370"/>
              </w:tabs>
              <w:kinsoku/>
              <w:bidi w:val="0"/>
              <w:spacing w:line="360" w:lineRule="auto"/>
              <w:rPr>
                <w:rFonts w:hint="eastAsia" w:ascii="宋体" w:hAnsi="宋体" w:eastAsia="宋体" w:cs="宋体"/>
                <w:sz w:val="21"/>
                <w:szCs w:val="21"/>
              </w:rPr>
            </w:pPr>
            <w:r>
              <w:rPr>
                <w:rFonts w:hint="eastAsia" w:ascii="宋体" w:hAnsi="宋体" w:eastAsia="宋体" w:cs="宋体"/>
                <w:kern w:val="0"/>
                <w:sz w:val="21"/>
                <w:szCs w:val="21"/>
              </w:rPr>
              <w:t>符合“供应商须知前附表”规定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944" w:type="dxa"/>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磋商有效期</w:t>
            </w:r>
          </w:p>
        </w:tc>
        <w:tc>
          <w:tcPr>
            <w:tcW w:w="4676" w:type="dxa"/>
            <w:noWrap/>
            <w:vAlign w:val="center"/>
          </w:tcPr>
          <w:p>
            <w:pPr>
              <w:pageBreakBefore w:val="0"/>
              <w:tabs>
                <w:tab w:val="left" w:pos="2370"/>
              </w:tabs>
              <w:kinsoku/>
              <w:bidi w:val="0"/>
              <w:spacing w:line="360" w:lineRule="auto"/>
              <w:rPr>
                <w:rFonts w:hint="eastAsia" w:ascii="宋体" w:hAnsi="宋体" w:eastAsia="宋体" w:cs="宋体"/>
                <w:sz w:val="21"/>
                <w:szCs w:val="21"/>
              </w:rPr>
            </w:pPr>
            <w:r>
              <w:rPr>
                <w:rFonts w:hint="eastAsia" w:ascii="宋体" w:hAnsi="宋体" w:eastAsia="宋体" w:cs="宋体"/>
                <w:kern w:val="0"/>
                <w:sz w:val="21"/>
                <w:szCs w:val="21"/>
              </w:rPr>
              <w:t>符合“供应商须知前附表”规定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944" w:type="dxa"/>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2147" w:type="dxa"/>
            <w:gridSpan w:val="2"/>
            <w:noWrap/>
            <w:vAlign w:val="center"/>
          </w:tcPr>
          <w:p>
            <w:pPr>
              <w:pageBreakBefore w:val="0"/>
              <w:kinsoku/>
              <w:autoSpaceDE w:val="0"/>
              <w:autoSpaceDN w:val="0"/>
              <w:bidi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磋商保证金承诺书</w:t>
            </w:r>
          </w:p>
        </w:tc>
        <w:tc>
          <w:tcPr>
            <w:tcW w:w="4676" w:type="dxa"/>
            <w:noWrap/>
            <w:vAlign w:val="center"/>
          </w:tcPr>
          <w:p>
            <w:pPr>
              <w:pageBreakBefore w:val="0"/>
              <w:tabs>
                <w:tab w:val="left" w:pos="2370"/>
              </w:tabs>
              <w:kinsoku/>
              <w:bidi w:val="0"/>
              <w:spacing w:line="360" w:lineRule="auto"/>
              <w:rPr>
                <w:rFonts w:hint="eastAsia" w:ascii="宋体" w:hAnsi="宋体" w:eastAsia="宋体" w:cs="宋体"/>
                <w:sz w:val="21"/>
                <w:szCs w:val="21"/>
              </w:rPr>
            </w:pPr>
            <w:r>
              <w:rPr>
                <w:rFonts w:hint="eastAsia" w:ascii="宋体" w:hAnsi="宋体" w:eastAsia="宋体" w:cs="宋体"/>
                <w:kern w:val="0"/>
                <w:sz w:val="21"/>
                <w:szCs w:val="21"/>
              </w:rPr>
              <w:t>符合“供应商须知前附表”规定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944" w:type="dxa"/>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2147" w:type="dxa"/>
            <w:gridSpan w:val="2"/>
            <w:noWrap/>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工期</w:t>
            </w:r>
          </w:p>
        </w:tc>
        <w:tc>
          <w:tcPr>
            <w:tcW w:w="4676" w:type="dxa"/>
            <w:noWrap/>
            <w:vAlign w:val="center"/>
          </w:tcPr>
          <w:p>
            <w:pPr>
              <w:pageBreakBefore w:val="0"/>
              <w:kinsoku/>
              <w:bidi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符合“供应商须知前附表”规定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944" w:type="dxa"/>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2147" w:type="dxa"/>
            <w:gridSpan w:val="2"/>
            <w:noWrap/>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spacing w:val="1"/>
                <w:kern w:val="0"/>
                <w:sz w:val="21"/>
                <w:szCs w:val="21"/>
              </w:rPr>
              <w:t>质量要求</w:t>
            </w:r>
          </w:p>
        </w:tc>
        <w:tc>
          <w:tcPr>
            <w:tcW w:w="4676" w:type="dxa"/>
            <w:noWrap/>
            <w:vAlign w:val="center"/>
          </w:tcPr>
          <w:p>
            <w:pPr>
              <w:pageBreakBefore w:val="0"/>
              <w:kinsoku/>
              <w:bidi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符合“供应商须知前附表”规定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79" w:type="dxa"/>
            <w:gridSpan w:val="2"/>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944" w:type="dxa"/>
            <w:vMerge w:val="continue"/>
            <w:noWrap/>
            <w:vAlign w:val="center"/>
          </w:tcPr>
          <w:p>
            <w:pPr>
              <w:pageBreakBefore w:val="0"/>
              <w:widowControl/>
              <w:kinsoku/>
              <w:bidi w:val="0"/>
              <w:spacing w:line="360" w:lineRule="auto"/>
              <w:jc w:val="left"/>
              <w:rPr>
                <w:rFonts w:hint="eastAsia" w:ascii="宋体" w:hAnsi="宋体" w:eastAsia="宋体" w:cs="宋体"/>
                <w:kern w:val="0"/>
                <w:sz w:val="21"/>
                <w:szCs w:val="21"/>
              </w:rPr>
            </w:pPr>
          </w:p>
        </w:tc>
        <w:tc>
          <w:tcPr>
            <w:tcW w:w="6823" w:type="dxa"/>
            <w:gridSpan w:val="3"/>
            <w:noWrap/>
            <w:vAlign w:val="center"/>
          </w:tcPr>
          <w:p>
            <w:pPr>
              <w:pageBreakBefore w:val="0"/>
              <w:kinsoku/>
              <w:autoSpaceDE w:val="0"/>
              <w:autoSpaceDN w:val="0"/>
              <w:bidi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备注：以上各项如有一项不合格按响应无效处理，不得进入详细评审。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21" w:type="dxa"/>
            <w:noWrap w:val="0"/>
            <w:vAlign w:val="center"/>
          </w:tcPr>
          <w:p>
            <w:pPr>
              <w:pStyle w:val="130"/>
              <w:keepNext w:val="0"/>
              <w:keepLines w:val="0"/>
              <w:suppressLineNumbers w:val="0"/>
              <w:tabs>
                <w:tab w:val="left" w:pos="-900"/>
              </w:tabs>
              <w:spacing w:before="0" w:beforeAutospacing="0" w:after="0" w:afterAutospacing="0" w:line="340" w:lineRule="exact"/>
              <w:ind w:left="0" w:leftChars="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类别</w:t>
            </w:r>
          </w:p>
        </w:tc>
        <w:tc>
          <w:tcPr>
            <w:tcW w:w="2849" w:type="dxa"/>
            <w:gridSpan w:val="3"/>
            <w:noWrap w:val="0"/>
            <w:vAlign w:val="center"/>
          </w:tcPr>
          <w:p>
            <w:pPr>
              <w:pStyle w:val="130"/>
              <w:keepNext w:val="0"/>
              <w:keepLines w:val="0"/>
              <w:suppressLineNumbers w:val="0"/>
              <w:tabs>
                <w:tab w:val="left" w:pos="-900"/>
              </w:tabs>
              <w:spacing w:before="0" w:beforeAutospacing="0" w:after="0" w:afterAutospacing="0" w:line="34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276" w:type="dxa"/>
            <w:gridSpan w:val="2"/>
            <w:noWrap w:val="0"/>
            <w:vAlign w:val="center"/>
          </w:tcPr>
          <w:p>
            <w:pPr>
              <w:pStyle w:val="130"/>
              <w:keepNext w:val="0"/>
              <w:keepLines w:val="0"/>
              <w:suppressLineNumbers w:val="0"/>
              <w:tabs>
                <w:tab w:val="left" w:pos="-900"/>
              </w:tabs>
              <w:spacing w:before="0" w:beforeAutospacing="0" w:after="0" w:afterAutospacing="0" w:line="440" w:lineRule="exact"/>
              <w:ind w:left="0" w:right="0" w:firstLine="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821" w:type="dxa"/>
            <w:noWrap w:val="0"/>
            <w:vAlign w:val="center"/>
          </w:tcPr>
          <w:p>
            <w:pPr>
              <w:pStyle w:val="130"/>
              <w:keepNext w:val="0"/>
              <w:keepLines w:val="0"/>
              <w:suppressLineNumbers w:val="0"/>
              <w:tabs>
                <w:tab w:val="left" w:pos="-900"/>
              </w:tabs>
              <w:spacing w:before="0" w:beforeAutospacing="0" w:after="0" w:afterAutospacing="0" w:line="340" w:lineRule="exact"/>
              <w:ind w:left="0" w:leftChars="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价格</w:t>
            </w:r>
          </w:p>
          <w:p>
            <w:pPr>
              <w:pStyle w:val="130"/>
              <w:keepNext w:val="0"/>
              <w:keepLines w:val="0"/>
              <w:suppressLineNumbers w:val="0"/>
              <w:tabs>
                <w:tab w:val="left" w:pos="-900"/>
              </w:tabs>
              <w:spacing w:before="0" w:beforeAutospacing="0" w:after="0" w:afterAutospacing="0" w:line="340" w:lineRule="exact"/>
              <w:ind w:left="0" w:leftChars="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部分</w:t>
            </w:r>
          </w:p>
        </w:tc>
        <w:tc>
          <w:tcPr>
            <w:tcW w:w="2849" w:type="dxa"/>
            <w:gridSpan w:val="3"/>
            <w:noWrap w:val="0"/>
            <w:vAlign w:val="center"/>
          </w:tcPr>
          <w:p>
            <w:pPr>
              <w:pStyle w:val="130"/>
              <w:keepNext w:val="0"/>
              <w:keepLines w:val="0"/>
              <w:suppressLineNumbers w:val="0"/>
              <w:tabs>
                <w:tab w:val="left" w:pos="-900"/>
              </w:tabs>
              <w:spacing w:before="0" w:beforeAutospacing="0" w:after="0" w:afterAutospacing="0" w:line="34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p>
        </w:tc>
        <w:tc>
          <w:tcPr>
            <w:tcW w:w="5276" w:type="dxa"/>
            <w:gridSpan w:val="2"/>
            <w:noWrap w:val="0"/>
            <w:vAlign w:val="center"/>
          </w:tcPr>
          <w:p>
            <w:pPr>
              <w:pStyle w:val="130"/>
              <w:keepNext w:val="0"/>
              <w:keepLines w:val="0"/>
              <w:suppressLineNumbers w:val="0"/>
              <w:tabs>
                <w:tab w:val="left" w:pos="-900"/>
              </w:tabs>
              <w:spacing w:before="0" w:beforeAutospacing="0" w:after="0" w:afterAutospacing="0" w:line="44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满足磋商文件要求且最低的磋商报价为评标基准价，其价格分为满分（30分）。其他供应商的价格分统一按照下列公式计算：</w:t>
            </w:r>
          </w:p>
          <w:p>
            <w:pPr>
              <w:pStyle w:val="130"/>
              <w:keepNext w:val="0"/>
              <w:keepLines w:val="0"/>
              <w:suppressLineNumbers w:val="0"/>
              <w:tabs>
                <w:tab w:val="left" w:pos="-900"/>
              </w:tabs>
              <w:spacing w:before="0" w:beforeAutospacing="0" w:after="0" w:afterAutospacing="0" w:line="440" w:lineRule="exact"/>
              <w:ind w:left="0" w:right="0" w:firstLine="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磋商报价得分=（评标基准价/磋商报价）×30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21" w:type="dxa"/>
            <w:vMerge w:val="restart"/>
            <w:noWrap w:val="0"/>
            <w:vAlign w:val="center"/>
          </w:tcPr>
          <w:p>
            <w:pPr>
              <w:pStyle w:val="130"/>
              <w:keepNext w:val="0"/>
              <w:keepLines w:val="0"/>
              <w:suppressLineNumbers w:val="0"/>
              <w:tabs>
                <w:tab w:val="left" w:pos="-900"/>
              </w:tabs>
              <w:spacing w:before="0" w:beforeAutospacing="0" w:after="0" w:afterAutospacing="0" w:line="340" w:lineRule="exact"/>
              <w:ind w:left="0" w:leftChars="0" w:right="0"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技术部分</w:t>
            </w:r>
          </w:p>
          <w:p>
            <w:pPr>
              <w:pStyle w:val="130"/>
              <w:keepNext w:val="0"/>
              <w:keepLines w:val="0"/>
              <w:suppressLineNumbers w:val="0"/>
              <w:tabs>
                <w:tab w:val="left" w:pos="-900"/>
              </w:tabs>
              <w:spacing w:before="0" w:beforeAutospacing="0" w:after="0" w:afterAutospacing="0" w:line="340" w:lineRule="exact"/>
              <w:ind w:left="0" w:leftChars="0" w:right="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（55分）</w:t>
            </w:r>
          </w:p>
        </w:tc>
        <w:tc>
          <w:tcPr>
            <w:tcW w:w="2849" w:type="dxa"/>
            <w:gridSpan w:val="3"/>
            <w:noWrap w:val="0"/>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rPr>
              <w:t>总体施工组织布置及规划</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9分）</w:t>
            </w:r>
          </w:p>
        </w:tc>
        <w:tc>
          <w:tcPr>
            <w:tcW w:w="5276" w:type="dxa"/>
            <w:gridSpan w:val="2"/>
            <w:noWrap w:val="0"/>
            <w:vAlign w:val="center"/>
          </w:tcPr>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措施基本可行，得该项分值的</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2分</w:t>
            </w:r>
            <w:r>
              <w:rPr>
                <w:rFonts w:hint="eastAsia" w:ascii="宋体" w:hAnsi="宋体" w:eastAsia="宋体" w:cs="宋体"/>
                <w:sz w:val="21"/>
                <w:szCs w:val="21"/>
              </w:rPr>
              <w:t>；</w:t>
            </w:r>
          </w:p>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措施合理，比较有针对性，得该项分值的</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5分</w:t>
            </w:r>
            <w:r>
              <w:rPr>
                <w:rFonts w:hint="eastAsia" w:ascii="宋体" w:hAnsi="宋体" w:eastAsia="宋体" w:cs="宋体"/>
                <w:sz w:val="21"/>
                <w:szCs w:val="21"/>
              </w:rPr>
              <w:t>；</w:t>
            </w:r>
          </w:p>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措施科学合理，针对性强，得该项分值的</w:t>
            </w:r>
            <w:r>
              <w:rPr>
                <w:rFonts w:hint="eastAsia" w:ascii="宋体" w:hAnsi="宋体" w:eastAsia="宋体" w:cs="宋体"/>
                <w:sz w:val="21"/>
                <w:szCs w:val="21"/>
                <w:lang w:val="en-US" w:eastAsia="zh-CN"/>
              </w:rPr>
              <w:t>5-9分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21" w:type="dxa"/>
            <w:vMerge w:val="continue"/>
            <w:noWrap w:val="0"/>
            <w:vAlign w:val="center"/>
          </w:tcPr>
          <w:p>
            <w:pPr>
              <w:pStyle w:val="130"/>
              <w:keepNext w:val="0"/>
              <w:keepLines w:val="0"/>
              <w:suppressLineNumbers w:val="0"/>
              <w:tabs>
                <w:tab w:val="left" w:pos="-900"/>
              </w:tabs>
              <w:spacing w:before="0" w:beforeAutospacing="0" w:after="0" w:afterAutospacing="0" w:line="340" w:lineRule="exact"/>
              <w:ind w:left="0" w:right="0" w:firstLine="0"/>
              <w:jc w:val="left"/>
              <w:textAlignment w:val="auto"/>
              <w:rPr>
                <w:rFonts w:hint="eastAsia" w:ascii="宋体" w:hAnsi="宋体" w:eastAsia="宋体" w:cs="宋体"/>
                <w:sz w:val="21"/>
                <w:szCs w:val="21"/>
                <w:highlight w:val="none"/>
              </w:rPr>
            </w:pPr>
          </w:p>
        </w:tc>
        <w:tc>
          <w:tcPr>
            <w:tcW w:w="2849" w:type="dxa"/>
            <w:gridSpan w:val="3"/>
            <w:noWrap w:val="0"/>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rPr>
              <w:t>主要工程项目的施工方案、方法与技术措施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9分）</w:t>
            </w:r>
          </w:p>
        </w:tc>
        <w:tc>
          <w:tcPr>
            <w:tcW w:w="5276" w:type="dxa"/>
            <w:gridSpan w:val="2"/>
            <w:noWrap w:val="0"/>
            <w:vAlign w:val="center"/>
          </w:tcPr>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措施基本可行，得该项分值的</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2分</w:t>
            </w:r>
            <w:r>
              <w:rPr>
                <w:rFonts w:hint="eastAsia" w:ascii="宋体" w:hAnsi="宋体" w:eastAsia="宋体" w:cs="宋体"/>
                <w:sz w:val="21"/>
                <w:szCs w:val="21"/>
              </w:rPr>
              <w:t>；</w:t>
            </w:r>
          </w:p>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措施合理，比较有针对性，得该项分值的</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5分</w:t>
            </w:r>
            <w:r>
              <w:rPr>
                <w:rFonts w:hint="eastAsia" w:ascii="宋体" w:hAnsi="宋体" w:eastAsia="宋体" w:cs="宋体"/>
                <w:sz w:val="21"/>
                <w:szCs w:val="21"/>
              </w:rPr>
              <w:t>；</w:t>
            </w:r>
          </w:p>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措施科学合理，针对性强，得该项分值的</w:t>
            </w:r>
            <w:r>
              <w:rPr>
                <w:rFonts w:hint="eastAsia" w:ascii="宋体" w:hAnsi="宋体" w:eastAsia="宋体" w:cs="宋体"/>
                <w:sz w:val="21"/>
                <w:szCs w:val="21"/>
                <w:lang w:val="en-US" w:eastAsia="zh-CN"/>
              </w:rPr>
              <w:t>5-9分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21" w:type="dxa"/>
            <w:vMerge w:val="continue"/>
            <w:noWrap w:val="0"/>
            <w:vAlign w:val="center"/>
          </w:tcPr>
          <w:p>
            <w:pPr>
              <w:pStyle w:val="130"/>
              <w:keepNext w:val="0"/>
              <w:keepLines w:val="0"/>
              <w:suppressLineNumbers w:val="0"/>
              <w:tabs>
                <w:tab w:val="left" w:pos="-900"/>
              </w:tabs>
              <w:spacing w:before="0" w:beforeAutospacing="0" w:after="0" w:afterAutospacing="0" w:line="340" w:lineRule="exact"/>
              <w:ind w:left="0" w:right="0" w:firstLine="0"/>
              <w:jc w:val="left"/>
              <w:textAlignment w:val="auto"/>
              <w:rPr>
                <w:rFonts w:hint="eastAsia" w:ascii="宋体" w:hAnsi="宋体" w:eastAsia="宋体" w:cs="宋体"/>
                <w:sz w:val="21"/>
                <w:szCs w:val="21"/>
                <w:highlight w:val="none"/>
              </w:rPr>
            </w:pPr>
          </w:p>
        </w:tc>
        <w:tc>
          <w:tcPr>
            <w:tcW w:w="2849" w:type="dxa"/>
            <w:gridSpan w:val="3"/>
            <w:noWrap w:val="0"/>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质量保证措施、进度保证措施、安全保证措施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9分）</w:t>
            </w:r>
          </w:p>
        </w:tc>
        <w:tc>
          <w:tcPr>
            <w:tcW w:w="5276" w:type="dxa"/>
            <w:gridSpan w:val="2"/>
            <w:noWrap w:val="0"/>
            <w:vAlign w:val="center"/>
          </w:tcPr>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措施基本可行，得该项分值的</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2分</w:t>
            </w:r>
            <w:r>
              <w:rPr>
                <w:rFonts w:hint="eastAsia" w:ascii="宋体" w:hAnsi="宋体" w:eastAsia="宋体" w:cs="宋体"/>
                <w:sz w:val="21"/>
                <w:szCs w:val="21"/>
              </w:rPr>
              <w:t>；</w:t>
            </w:r>
          </w:p>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措施合理，比较有针对性，得该项分值的</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5分</w:t>
            </w:r>
            <w:r>
              <w:rPr>
                <w:rFonts w:hint="eastAsia" w:ascii="宋体" w:hAnsi="宋体" w:eastAsia="宋体" w:cs="宋体"/>
                <w:sz w:val="21"/>
                <w:szCs w:val="21"/>
              </w:rPr>
              <w:t>；</w:t>
            </w:r>
          </w:p>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措施科学合理，针对性强，得该项分值的</w:t>
            </w:r>
            <w:r>
              <w:rPr>
                <w:rFonts w:hint="eastAsia" w:ascii="宋体" w:hAnsi="宋体" w:eastAsia="宋体" w:cs="宋体"/>
                <w:sz w:val="21"/>
                <w:szCs w:val="21"/>
                <w:lang w:val="en-US" w:eastAsia="zh-CN"/>
              </w:rPr>
              <w:t>5-9分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1" w:type="dxa"/>
            <w:vMerge w:val="continue"/>
            <w:noWrap w:val="0"/>
            <w:vAlign w:val="center"/>
          </w:tcPr>
          <w:p>
            <w:pPr>
              <w:pStyle w:val="130"/>
              <w:keepNext w:val="0"/>
              <w:keepLines w:val="0"/>
              <w:suppressLineNumbers w:val="0"/>
              <w:tabs>
                <w:tab w:val="left" w:pos="-900"/>
              </w:tabs>
              <w:spacing w:before="0" w:beforeAutospacing="0" w:after="0" w:afterAutospacing="0" w:line="340" w:lineRule="exact"/>
              <w:ind w:left="0" w:right="0" w:firstLine="0"/>
              <w:jc w:val="left"/>
              <w:textAlignment w:val="auto"/>
              <w:rPr>
                <w:rFonts w:hint="eastAsia" w:ascii="宋体" w:hAnsi="宋体" w:eastAsia="宋体" w:cs="宋体"/>
                <w:sz w:val="21"/>
                <w:szCs w:val="21"/>
                <w:highlight w:val="none"/>
              </w:rPr>
            </w:pPr>
          </w:p>
        </w:tc>
        <w:tc>
          <w:tcPr>
            <w:tcW w:w="2849" w:type="dxa"/>
            <w:gridSpan w:val="3"/>
            <w:noWrap w:val="0"/>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环境保护、文明施工保证体系及保证措施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9分）</w:t>
            </w:r>
          </w:p>
        </w:tc>
        <w:tc>
          <w:tcPr>
            <w:tcW w:w="5276" w:type="dxa"/>
            <w:gridSpan w:val="2"/>
            <w:noWrap w:val="0"/>
            <w:vAlign w:val="center"/>
          </w:tcPr>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措施基本可行，得该项分值的</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2分</w:t>
            </w:r>
            <w:r>
              <w:rPr>
                <w:rFonts w:hint="eastAsia" w:ascii="宋体" w:hAnsi="宋体" w:eastAsia="宋体" w:cs="宋体"/>
                <w:sz w:val="21"/>
                <w:szCs w:val="21"/>
              </w:rPr>
              <w:t>；</w:t>
            </w:r>
          </w:p>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措施合理，比较有针对性，得该项分值的</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5分</w:t>
            </w:r>
            <w:r>
              <w:rPr>
                <w:rFonts w:hint="eastAsia" w:ascii="宋体" w:hAnsi="宋体" w:eastAsia="宋体" w:cs="宋体"/>
                <w:sz w:val="21"/>
                <w:szCs w:val="21"/>
              </w:rPr>
              <w:t>；</w:t>
            </w:r>
          </w:p>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措施科学合理，针对性强，得该项分值的</w:t>
            </w:r>
            <w:r>
              <w:rPr>
                <w:rFonts w:hint="eastAsia" w:ascii="宋体" w:hAnsi="宋体" w:eastAsia="宋体" w:cs="宋体"/>
                <w:sz w:val="21"/>
                <w:szCs w:val="21"/>
                <w:lang w:val="en-US" w:eastAsia="zh-CN"/>
              </w:rPr>
              <w:t>5-9分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1" w:type="dxa"/>
            <w:vMerge w:val="continue"/>
            <w:noWrap w:val="0"/>
            <w:vAlign w:val="center"/>
          </w:tcPr>
          <w:p>
            <w:pPr>
              <w:pStyle w:val="130"/>
              <w:keepNext w:val="0"/>
              <w:keepLines w:val="0"/>
              <w:suppressLineNumbers w:val="0"/>
              <w:tabs>
                <w:tab w:val="left" w:pos="-900"/>
              </w:tabs>
              <w:spacing w:before="0" w:beforeAutospacing="0" w:after="0" w:afterAutospacing="0" w:line="340" w:lineRule="exact"/>
              <w:ind w:left="0" w:right="0" w:firstLine="0"/>
              <w:jc w:val="left"/>
              <w:textAlignment w:val="auto"/>
              <w:rPr>
                <w:rFonts w:hint="eastAsia" w:ascii="宋体" w:hAnsi="宋体" w:eastAsia="宋体" w:cs="宋体"/>
                <w:sz w:val="21"/>
                <w:szCs w:val="21"/>
                <w:highlight w:val="none"/>
              </w:rPr>
            </w:pPr>
          </w:p>
        </w:tc>
        <w:tc>
          <w:tcPr>
            <w:tcW w:w="2849" w:type="dxa"/>
            <w:gridSpan w:val="3"/>
            <w:noWrap w:val="0"/>
            <w:vAlign w:val="center"/>
          </w:tcPr>
          <w:p>
            <w:pPr>
              <w:keepNext w:val="0"/>
              <w:keepLines w:val="0"/>
              <w:suppressLineNumbers w:val="0"/>
              <w:bidi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项目风险预测与防范，事故应急预案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9分）</w:t>
            </w:r>
          </w:p>
        </w:tc>
        <w:tc>
          <w:tcPr>
            <w:tcW w:w="5276" w:type="dxa"/>
            <w:gridSpan w:val="2"/>
            <w:noWrap w:val="0"/>
            <w:vAlign w:val="center"/>
          </w:tcPr>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措施基本可行，得该项分值的</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2分</w:t>
            </w:r>
            <w:r>
              <w:rPr>
                <w:rFonts w:hint="eastAsia" w:ascii="宋体" w:hAnsi="宋体" w:eastAsia="宋体" w:cs="宋体"/>
                <w:sz w:val="21"/>
                <w:szCs w:val="21"/>
              </w:rPr>
              <w:t>；</w:t>
            </w:r>
          </w:p>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措施合理，比较有针对性，得该项分值的</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5分</w:t>
            </w:r>
            <w:r>
              <w:rPr>
                <w:rFonts w:hint="eastAsia" w:ascii="宋体" w:hAnsi="宋体" w:eastAsia="宋体" w:cs="宋体"/>
                <w:sz w:val="21"/>
                <w:szCs w:val="21"/>
              </w:rPr>
              <w:t>；</w:t>
            </w:r>
          </w:p>
          <w:p>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措施科学合理，针对性强，得该项分值的</w:t>
            </w:r>
            <w:r>
              <w:rPr>
                <w:rFonts w:hint="eastAsia" w:ascii="宋体" w:hAnsi="宋体" w:eastAsia="宋体" w:cs="宋体"/>
                <w:sz w:val="21"/>
                <w:szCs w:val="21"/>
                <w:lang w:val="en-US" w:eastAsia="zh-CN"/>
              </w:rPr>
              <w:t>5-9分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1" w:type="dxa"/>
            <w:vMerge w:val="continue"/>
            <w:noWrap w:val="0"/>
            <w:vAlign w:val="center"/>
          </w:tcPr>
          <w:p>
            <w:pPr>
              <w:pStyle w:val="130"/>
              <w:keepNext w:val="0"/>
              <w:keepLines w:val="0"/>
              <w:suppressLineNumbers w:val="0"/>
              <w:tabs>
                <w:tab w:val="left" w:pos="-900"/>
              </w:tabs>
              <w:spacing w:before="0" w:beforeAutospacing="0" w:after="0" w:afterAutospacing="0" w:line="340" w:lineRule="exact"/>
              <w:ind w:left="0" w:right="0" w:firstLine="0"/>
              <w:jc w:val="left"/>
              <w:textAlignment w:val="auto"/>
              <w:rPr>
                <w:rFonts w:hint="eastAsia" w:ascii="宋体" w:hAnsi="宋体" w:eastAsia="宋体" w:cs="宋体"/>
                <w:sz w:val="21"/>
                <w:szCs w:val="21"/>
                <w:highlight w:val="none"/>
              </w:rPr>
            </w:pPr>
          </w:p>
        </w:tc>
        <w:tc>
          <w:tcPr>
            <w:tcW w:w="2849" w:type="dxa"/>
            <w:gridSpan w:val="3"/>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rPr>
              <w:t>项目经理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5分）</w:t>
            </w:r>
          </w:p>
        </w:tc>
        <w:tc>
          <w:tcPr>
            <w:tcW w:w="5276" w:type="dxa"/>
            <w:gridSpan w:val="2"/>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项目经理具有公路工程或交通工程高级及以上技术职称的，加</w:t>
            </w:r>
            <w:r>
              <w:rPr>
                <w:rFonts w:hint="eastAsia" w:ascii="宋体" w:hAnsi="宋体" w:eastAsia="宋体" w:cs="宋体"/>
                <w:sz w:val="21"/>
                <w:szCs w:val="21"/>
                <w:lang w:val="en-US" w:eastAsia="zh-CN"/>
              </w:rPr>
              <w:t>2</w:t>
            </w:r>
            <w:r>
              <w:rPr>
                <w:rFonts w:hint="eastAsia" w:ascii="宋体" w:hAnsi="宋体" w:eastAsia="宋体" w:cs="宋体"/>
                <w:sz w:val="21"/>
                <w:szCs w:val="21"/>
              </w:rPr>
              <w:t>分（须附职称网站查询截图）。</w:t>
            </w:r>
          </w:p>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.以项目经理身份每承担过1个干线公路桥梁新建或加固改造工程业绩加1分</w:t>
            </w:r>
            <w:r>
              <w:rPr>
                <w:rFonts w:hint="eastAsia" w:ascii="宋体" w:hAnsi="宋体" w:eastAsia="宋体" w:cs="宋体"/>
                <w:sz w:val="21"/>
                <w:szCs w:val="21"/>
                <w:lang w:eastAsia="zh-CN"/>
              </w:rPr>
              <w:t>，最多加</w:t>
            </w:r>
            <w:r>
              <w:rPr>
                <w:rFonts w:hint="eastAsia" w:ascii="宋体" w:hAnsi="宋体" w:eastAsia="宋体" w:cs="宋体"/>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21" w:type="dxa"/>
            <w:vMerge w:val="continue"/>
            <w:noWrap w:val="0"/>
            <w:vAlign w:val="center"/>
          </w:tcPr>
          <w:p>
            <w:pPr>
              <w:pStyle w:val="130"/>
              <w:keepNext w:val="0"/>
              <w:keepLines w:val="0"/>
              <w:suppressLineNumbers w:val="0"/>
              <w:tabs>
                <w:tab w:val="left" w:pos="-900"/>
              </w:tabs>
              <w:spacing w:before="0" w:beforeAutospacing="0" w:after="0" w:afterAutospacing="0" w:line="340" w:lineRule="exact"/>
              <w:ind w:left="0" w:right="0" w:firstLine="0"/>
              <w:jc w:val="left"/>
              <w:textAlignment w:val="auto"/>
              <w:rPr>
                <w:rFonts w:hint="eastAsia" w:ascii="宋体" w:hAnsi="宋体" w:eastAsia="宋体" w:cs="宋体"/>
                <w:sz w:val="21"/>
                <w:szCs w:val="21"/>
                <w:highlight w:val="none"/>
              </w:rPr>
            </w:pPr>
          </w:p>
        </w:tc>
        <w:tc>
          <w:tcPr>
            <w:tcW w:w="2849" w:type="dxa"/>
            <w:gridSpan w:val="3"/>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项目总工（</w:t>
            </w:r>
            <w:r>
              <w:rPr>
                <w:rFonts w:hint="eastAsia" w:ascii="宋体" w:hAnsi="宋体" w:eastAsia="宋体" w:cs="宋体"/>
                <w:sz w:val="21"/>
                <w:szCs w:val="21"/>
                <w:lang w:val="en-US" w:eastAsia="zh-CN"/>
              </w:rPr>
              <w:t>5分）</w:t>
            </w:r>
          </w:p>
        </w:tc>
        <w:tc>
          <w:tcPr>
            <w:tcW w:w="5276" w:type="dxa"/>
            <w:gridSpan w:val="2"/>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.项目总工具有公路工程或交通工程高级及以上技术职称的，加</w:t>
            </w:r>
            <w:r>
              <w:rPr>
                <w:rFonts w:hint="eastAsia" w:ascii="宋体" w:hAnsi="宋体" w:eastAsia="宋体" w:cs="宋体"/>
                <w:sz w:val="21"/>
                <w:szCs w:val="21"/>
                <w:lang w:val="en-US" w:eastAsia="zh-CN"/>
              </w:rPr>
              <w:t>2</w:t>
            </w:r>
            <w:r>
              <w:rPr>
                <w:rFonts w:hint="eastAsia" w:ascii="宋体" w:hAnsi="宋体" w:eastAsia="宋体" w:cs="宋体"/>
                <w:sz w:val="21"/>
                <w:szCs w:val="21"/>
              </w:rPr>
              <w:t>分（须附职称网站查询截图）。</w:t>
            </w:r>
          </w:p>
          <w:p>
            <w:pPr>
              <w:keepNext w:val="0"/>
              <w:keepLines w:val="0"/>
              <w:suppressLineNumbers w:val="0"/>
              <w:spacing w:before="0" w:beforeAutospacing="0" w:after="0" w:afterAutospacing="0"/>
              <w:ind w:left="0" w:right="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rPr>
              <w:t>.以项目总工身份每承担过1个干线公路桥梁新建或加固改造工程业绩加1分</w:t>
            </w:r>
            <w:r>
              <w:rPr>
                <w:rFonts w:hint="eastAsia" w:ascii="宋体" w:hAnsi="宋体" w:eastAsia="宋体" w:cs="宋体"/>
                <w:sz w:val="21"/>
                <w:szCs w:val="21"/>
                <w:lang w:eastAsia="zh-CN"/>
              </w:rPr>
              <w:t>，最多加</w:t>
            </w:r>
            <w:r>
              <w:rPr>
                <w:rFonts w:hint="eastAsia" w:ascii="宋体" w:hAnsi="宋体" w:eastAsia="宋体" w:cs="宋体"/>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821" w:type="dxa"/>
            <w:vMerge w:val="restart"/>
            <w:noWrap w:val="0"/>
            <w:vAlign w:val="center"/>
          </w:tcPr>
          <w:p>
            <w:pPr>
              <w:pStyle w:val="130"/>
              <w:keepNext w:val="0"/>
              <w:keepLines w:val="0"/>
              <w:suppressLineNumbers w:val="0"/>
              <w:tabs>
                <w:tab w:val="left" w:pos="-900"/>
              </w:tabs>
              <w:spacing w:before="0" w:beforeAutospacing="0" w:after="0" w:afterAutospacing="0" w:line="340" w:lineRule="exact"/>
              <w:ind w:left="0" w:leftChars="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综合</w:t>
            </w:r>
          </w:p>
          <w:p>
            <w:pPr>
              <w:pStyle w:val="130"/>
              <w:keepNext w:val="0"/>
              <w:keepLines w:val="0"/>
              <w:suppressLineNumbers w:val="0"/>
              <w:tabs>
                <w:tab w:val="left" w:pos="-900"/>
              </w:tabs>
              <w:spacing w:before="0" w:beforeAutospacing="0" w:after="0" w:afterAutospacing="0" w:line="340" w:lineRule="exact"/>
              <w:ind w:left="0" w:leftChars="0" w:right="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部分</w:t>
            </w:r>
          </w:p>
          <w:p>
            <w:pPr>
              <w:pStyle w:val="130"/>
              <w:keepNext w:val="0"/>
              <w:keepLines w:val="0"/>
              <w:suppressLineNumbers w:val="0"/>
              <w:tabs>
                <w:tab w:val="left" w:pos="-900"/>
              </w:tabs>
              <w:spacing w:before="0" w:beforeAutospacing="0" w:after="0" w:afterAutospacing="0" w:line="340" w:lineRule="exact"/>
              <w:ind w:left="0" w:leftChars="0" w:right="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（15分）</w:t>
            </w:r>
          </w:p>
        </w:tc>
        <w:tc>
          <w:tcPr>
            <w:tcW w:w="2849" w:type="dxa"/>
            <w:gridSpan w:val="3"/>
            <w:noWrap w:val="0"/>
            <w:vAlign w:val="center"/>
          </w:tcPr>
          <w:p>
            <w:pPr>
              <w:pStyle w:val="141"/>
              <w:keepNext w:val="0"/>
              <w:keepLines w:val="0"/>
              <w:suppressLineNumbers w:val="0"/>
              <w:tabs>
                <w:tab w:val="left" w:pos="428"/>
              </w:tabs>
              <w:spacing w:before="111" w:beforeAutospacing="0" w:after="0" w:afterAutospacing="0" w:line="250" w:lineRule="exact"/>
              <w:ind w:left="111"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企业业绩</w:t>
            </w:r>
          </w:p>
          <w:p>
            <w:pPr>
              <w:pStyle w:val="141"/>
              <w:keepNext w:val="0"/>
              <w:keepLines w:val="0"/>
              <w:suppressLineNumbers w:val="0"/>
              <w:tabs>
                <w:tab w:val="left" w:pos="428"/>
              </w:tabs>
              <w:spacing w:before="111" w:beforeAutospacing="0" w:after="0" w:afterAutospacing="0" w:line="250" w:lineRule="exact"/>
              <w:ind w:left="111"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8分）</w:t>
            </w:r>
          </w:p>
        </w:tc>
        <w:tc>
          <w:tcPr>
            <w:tcW w:w="5276" w:type="dxa"/>
            <w:gridSpan w:val="2"/>
            <w:noWrap w:val="0"/>
            <w:vAlign w:val="top"/>
          </w:tcPr>
          <w:p>
            <w:pPr>
              <w:pStyle w:val="141"/>
              <w:keepNext w:val="0"/>
              <w:keepLines w:val="0"/>
              <w:pageBreakBefore w:val="0"/>
              <w:widowControl w:val="0"/>
              <w:suppressLineNumbers w:val="0"/>
              <w:kinsoku/>
              <w:wordWrap/>
              <w:overflowPunct/>
              <w:topLinePunct w:val="0"/>
              <w:autoSpaceDE w:val="0"/>
              <w:autoSpaceDN w:val="0"/>
              <w:bidi w:val="0"/>
              <w:adjustRightInd/>
              <w:snapToGrid/>
              <w:spacing w:before="135" w:beforeAutospacing="0" w:after="0" w:afterAutospacing="0" w:line="360" w:lineRule="exact"/>
              <w:ind w:left="0" w:leftChars="0" w:right="346" w:rightChars="0"/>
              <w:jc w:val="both"/>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投标人近5年（201</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年1月1日至投标截止时间，以交（竣）工日期为准</w:t>
            </w:r>
            <w:bookmarkStart w:id="556" w:name="_GoBack"/>
            <w:bookmarkEnd w:id="556"/>
            <w:r>
              <w:rPr>
                <w:rFonts w:hint="eastAsia" w:ascii="宋体" w:hAnsi="宋体" w:eastAsia="宋体" w:cs="宋体"/>
                <w:kern w:val="0"/>
                <w:sz w:val="21"/>
                <w:szCs w:val="21"/>
                <w:highlight w:val="none"/>
              </w:rPr>
              <w:t>）每多完成过1个干线公路桥梁新建或加固改造工程施工业绩加</w:t>
            </w: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分。本项最高得分为</w:t>
            </w:r>
            <w:r>
              <w:rPr>
                <w:rFonts w:hint="eastAsia" w:ascii="宋体" w:hAnsi="宋体" w:eastAsia="宋体" w:cs="宋体"/>
                <w:kern w:val="0"/>
                <w:sz w:val="21"/>
                <w:szCs w:val="21"/>
                <w:highlight w:val="none"/>
                <w:lang w:val="en-US" w:eastAsia="zh-CN"/>
              </w:rPr>
              <w:t>8</w:t>
            </w:r>
            <w:r>
              <w:rPr>
                <w:rFonts w:hint="eastAsia" w:ascii="宋体" w:hAnsi="宋体" w:eastAsia="宋体" w:cs="宋体"/>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21" w:type="dxa"/>
            <w:vMerge w:val="continue"/>
            <w:noWrap w:val="0"/>
            <w:vAlign w:val="center"/>
          </w:tcPr>
          <w:p>
            <w:pPr>
              <w:pStyle w:val="130"/>
              <w:keepNext w:val="0"/>
              <w:keepLines w:val="0"/>
              <w:suppressLineNumbers w:val="0"/>
              <w:tabs>
                <w:tab w:val="left" w:pos="-900"/>
              </w:tabs>
              <w:spacing w:before="0" w:beforeAutospacing="0" w:after="0" w:afterAutospacing="0" w:line="340" w:lineRule="exact"/>
              <w:ind w:left="0" w:right="0" w:firstLine="0"/>
              <w:jc w:val="left"/>
              <w:textAlignment w:val="auto"/>
              <w:rPr>
                <w:rFonts w:hint="eastAsia" w:ascii="宋体" w:hAnsi="宋体" w:eastAsia="宋体" w:cs="宋体"/>
                <w:sz w:val="21"/>
                <w:szCs w:val="21"/>
                <w:highlight w:val="none"/>
              </w:rPr>
            </w:pPr>
          </w:p>
        </w:tc>
        <w:tc>
          <w:tcPr>
            <w:tcW w:w="2849" w:type="dxa"/>
            <w:gridSpan w:val="3"/>
            <w:noWrap w:val="0"/>
            <w:vAlign w:val="center"/>
          </w:tcPr>
          <w:p>
            <w:pPr>
              <w:pStyle w:val="141"/>
              <w:keepNext w:val="0"/>
              <w:keepLines w:val="0"/>
              <w:suppressLineNumbers w:val="0"/>
              <w:tabs>
                <w:tab w:val="left" w:pos="428"/>
              </w:tabs>
              <w:spacing w:before="111" w:beforeAutospacing="0" w:after="0" w:afterAutospacing="0" w:line="250" w:lineRule="exact"/>
              <w:ind w:left="111" w:leftChars="0" w:right="0" w:right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信用等级</w:t>
            </w:r>
          </w:p>
          <w:p>
            <w:pPr>
              <w:pStyle w:val="141"/>
              <w:keepNext w:val="0"/>
              <w:keepLines w:val="0"/>
              <w:suppressLineNumbers w:val="0"/>
              <w:tabs>
                <w:tab w:val="left" w:pos="428"/>
              </w:tabs>
              <w:spacing w:before="111" w:beforeAutospacing="0" w:after="0" w:afterAutospacing="0" w:line="250" w:lineRule="exact"/>
              <w:ind w:left="111" w:leftChars="0"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7分）</w:t>
            </w:r>
          </w:p>
        </w:tc>
        <w:tc>
          <w:tcPr>
            <w:tcW w:w="5276" w:type="dxa"/>
            <w:gridSpan w:val="2"/>
            <w:noWrap w:val="0"/>
            <w:vAlign w:val="top"/>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exact"/>
              <w:ind w:left="0" w:right="0"/>
              <w:jc w:val="both"/>
              <w:textAlignment w:val="auto"/>
              <w:rPr>
                <w:rFonts w:hint="eastAsia" w:ascii="宋体" w:hAnsi="宋体" w:eastAsia="宋体" w:cs="宋体"/>
                <w:kern w:val="0"/>
                <w:sz w:val="21"/>
                <w:szCs w:val="21"/>
                <w:lang w:val="zh-CN" w:eastAsia="zh-CN" w:bidi="zh-CN"/>
              </w:rPr>
            </w:pPr>
            <w:r>
              <w:rPr>
                <w:rFonts w:hint="eastAsia" w:ascii="宋体" w:hAnsi="宋体" w:eastAsia="宋体" w:cs="宋体"/>
                <w:bCs/>
                <w:color w:val="000000"/>
                <w:sz w:val="21"/>
                <w:szCs w:val="21"/>
                <w:lang w:val="en-US" w:eastAsia="zh-CN"/>
              </w:rPr>
              <w:t>投标人</w:t>
            </w:r>
            <w:r>
              <w:rPr>
                <w:rFonts w:hint="eastAsia" w:ascii="宋体" w:hAnsi="宋体" w:eastAsia="宋体" w:cs="宋体"/>
                <w:bCs/>
                <w:color w:val="000000"/>
                <w:sz w:val="21"/>
                <w:szCs w:val="21"/>
              </w:rPr>
              <w:t>信用等级</w:t>
            </w:r>
            <w:r>
              <w:rPr>
                <w:rFonts w:hint="eastAsia" w:ascii="宋体" w:hAnsi="宋体" w:eastAsia="宋体" w:cs="宋体"/>
                <w:kern w:val="0"/>
                <w:sz w:val="21"/>
                <w:szCs w:val="21"/>
                <w:lang w:val="zh-CN" w:eastAsia="zh-CN" w:bidi="zh-CN"/>
              </w:rPr>
              <w:t>被河南省交通运输厅评定为</w:t>
            </w:r>
            <w:r>
              <w:rPr>
                <w:rFonts w:hint="eastAsia" w:ascii="宋体" w:hAnsi="宋体" w:eastAsia="宋体" w:cs="宋体"/>
                <w:bCs/>
                <w:color w:val="000000"/>
                <w:sz w:val="21"/>
                <w:szCs w:val="21"/>
              </w:rPr>
              <w:t>评定</w:t>
            </w:r>
            <w:r>
              <w:rPr>
                <w:rFonts w:hint="eastAsia" w:ascii="宋体" w:hAnsi="宋体" w:eastAsia="宋体" w:cs="宋体"/>
                <w:bCs/>
                <w:color w:val="000000"/>
                <w:sz w:val="21"/>
                <w:szCs w:val="21"/>
                <w:lang w:val="en-US" w:eastAsia="zh-CN"/>
              </w:rPr>
              <w:t>B级及C</w:t>
            </w:r>
            <w:r>
              <w:rPr>
                <w:rFonts w:hint="eastAsia" w:ascii="宋体" w:hAnsi="宋体" w:eastAsia="宋体" w:cs="宋体"/>
                <w:bCs/>
                <w:color w:val="000000"/>
                <w:sz w:val="21"/>
                <w:szCs w:val="21"/>
              </w:rPr>
              <w:t>级</w:t>
            </w:r>
            <w:r>
              <w:rPr>
                <w:rFonts w:hint="eastAsia" w:ascii="宋体" w:hAnsi="宋体" w:eastAsia="宋体" w:cs="宋体"/>
                <w:bCs/>
                <w:color w:val="000000"/>
                <w:sz w:val="21"/>
                <w:szCs w:val="21"/>
                <w:lang w:val="en-US" w:eastAsia="zh-CN"/>
              </w:rPr>
              <w:t>的得2分。</w:t>
            </w:r>
            <w:r>
              <w:rPr>
                <w:rFonts w:hint="eastAsia" w:ascii="宋体" w:hAnsi="宋体" w:eastAsia="宋体" w:cs="宋体"/>
                <w:kern w:val="0"/>
                <w:sz w:val="21"/>
                <w:szCs w:val="21"/>
                <w:lang w:val="zh-CN" w:eastAsia="zh-CN" w:bidi="zh-CN"/>
              </w:rPr>
              <w:t>投标人最近5年（201</w:t>
            </w:r>
            <w:r>
              <w:rPr>
                <w:rFonts w:hint="eastAsia" w:ascii="宋体" w:hAnsi="宋体" w:eastAsia="宋体" w:cs="宋体"/>
                <w:kern w:val="0"/>
                <w:sz w:val="21"/>
                <w:szCs w:val="21"/>
                <w:lang w:val="en-US" w:eastAsia="zh-CN" w:bidi="zh-CN"/>
              </w:rPr>
              <w:t>7</w:t>
            </w:r>
            <w:r>
              <w:rPr>
                <w:rFonts w:hint="eastAsia" w:ascii="宋体" w:hAnsi="宋体" w:eastAsia="宋体" w:cs="宋体"/>
                <w:kern w:val="0"/>
                <w:sz w:val="21"/>
                <w:szCs w:val="21"/>
                <w:lang w:val="zh-CN" w:eastAsia="zh-CN" w:bidi="zh-CN"/>
              </w:rPr>
              <w:t>年-202</w:t>
            </w:r>
            <w:r>
              <w:rPr>
                <w:rFonts w:hint="eastAsia" w:ascii="宋体" w:hAnsi="宋体" w:eastAsia="宋体" w:cs="宋体"/>
                <w:kern w:val="0"/>
                <w:sz w:val="21"/>
                <w:szCs w:val="21"/>
                <w:lang w:val="en-US" w:eastAsia="zh-CN" w:bidi="zh-CN"/>
              </w:rPr>
              <w:t>1</w:t>
            </w:r>
            <w:r>
              <w:rPr>
                <w:rFonts w:hint="eastAsia" w:ascii="宋体" w:hAnsi="宋体" w:eastAsia="宋体" w:cs="宋体"/>
                <w:kern w:val="0"/>
                <w:sz w:val="21"/>
                <w:szCs w:val="21"/>
                <w:lang w:val="zh-CN" w:eastAsia="zh-CN" w:bidi="zh-CN"/>
              </w:rPr>
              <w:t>年）信用等级A级及以上等级的，每年加</w:t>
            </w:r>
            <w:r>
              <w:rPr>
                <w:rFonts w:hint="eastAsia" w:ascii="宋体" w:hAnsi="宋体" w:eastAsia="宋体" w:cs="宋体"/>
                <w:kern w:val="0"/>
                <w:sz w:val="21"/>
                <w:szCs w:val="21"/>
                <w:lang w:val="en-US" w:eastAsia="zh-CN" w:bidi="zh-CN"/>
              </w:rPr>
              <w:t>1</w:t>
            </w:r>
            <w:r>
              <w:rPr>
                <w:rFonts w:hint="eastAsia" w:ascii="宋体" w:hAnsi="宋体" w:eastAsia="宋体" w:cs="宋体"/>
                <w:kern w:val="0"/>
                <w:sz w:val="21"/>
                <w:szCs w:val="21"/>
                <w:lang w:val="zh-CN" w:eastAsia="zh-CN" w:bidi="zh-CN"/>
              </w:rPr>
              <w:t>分，其他等级不加分。</w:t>
            </w:r>
          </w:p>
          <w:p>
            <w:pPr>
              <w:pStyle w:val="141"/>
              <w:keepNext w:val="0"/>
              <w:keepLines w:val="0"/>
              <w:pageBreakBefore w:val="0"/>
              <w:widowControl w:val="0"/>
              <w:suppressLineNumbers w:val="0"/>
              <w:kinsoku/>
              <w:wordWrap/>
              <w:overflowPunct/>
              <w:topLinePunct w:val="0"/>
              <w:bidi w:val="0"/>
              <w:adjustRightInd/>
              <w:snapToGrid/>
              <w:spacing w:before="135" w:beforeAutospacing="0" w:after="0" w:afterAutospacing="0" w:line="360" w:lineRule="exact"/>
              <w:ind w:left="0" w:leftChars="0" w:right="345" w:rightChars="0"/>
              <w:jc w:val="both"/>
              <w:textAlignment w:val="auto"/>
              <w:rPr>
                <w:rFonts w:hint="eastAsia" w:ascii="宋体" w:hAnsi="宋体" w:eastAsia="宋体" w:cs="宋体"/>
                <w:sz w:val="21"/>
                <w:szCs w:val="21"/>
                <w:highlight w:val="none"/>
              </w:rPr>
            </w:pPr>
            <w:r>
              <w:rPr>
                <w:rFonts w:hint="eastAsia" w:ascii="宋体" w:hAnsi="宋体" w:eastAsia="宋体" w:cs="宋体"/>
                <w:kern w:val="0"/>
                <w:sz w:val="21"/>
                <w:szCs w:val="21"/>
                <w:lang w:val="zh-CN" w:eastAsia="zh-CN" w:bidi="zh-CN"/>
              </w:rPr>
              <w:t>注：投标人须提供本单位的信用等级评价结果证明材料(以河南省交通运输厅官网最终公布结果为准），投标人的信用等级评价结果可以由评标委员会进行再复核。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46" w:type="dxa"/>
            <w:gridSpan w:val="6"/>
            <w:noWrap/>
            <w:vAlign w:val="center"/>
          </w:tcPr>
          <w:p>
            <w:pPr>
              <w:pageBreakBefore w:val="0"/>
              <w:tabs>
                <w:tab w:val="left" w:pos="0"/>
                <w:tab w:val="left" w:pos="1215"/>
                <w:tab w:val="left" w:pos="1320"/>
              </w:tabs>
              <w:kinsoku/>
              <w:bidi w:val="0"/>
              <w:spacing w:line="360" w:lineRule="auto"/>
              <w:jc w:val="left"/>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946" w:type="dxa"/>
            <w:gridSpan w:val="6"/>
            <w:noWrap/>
            <w:vAlign w:val="center"/>
          </w:tcPr>
          <w:p>
            <w:pPr>
              <w:pageBreakBefore w:val="0"/>
              <w:tabs>
                <w:tab w:val="left" w:pos="0"/>
                <w:tab w:val="left" w:pos="1215"/>
                <w:tab w:val="left" w:pos="1320"/>
              </w:tabs>
              <w:kinsoku/>
              <w:bidi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注：供应商最后得分：供应商最后得分=施工组织设计得分+综合标得分+报价得分。</w:t>
            </w:r>
          </w:p>
        </w:tc>
      </w:tr>
    </w:tbl>
    <w:p>
      <w:pPr>
        <w:pageBreakBefore w:val="0"/>
        <w:kinsoku/>
        <w:bidi w:val="0"/>
        <w:spacing w:line="360" w:lineRule="auto"/>
        <w:rPr>
          <w:rFonts w:hint="eastAsia" w:ascii="宋体" w:hAnsi="宋体" w:eastAsia="宋体" w:cs="宋体"/>
          <w:szCs w:val="21"/>
        </w:rPr>
      </w:pPr>
      <w:r>
        <w:rPr>
          <w:rFonts w:hint="eastAsia" w:ascii="宋体" w:hAnsi="宋体" w:eastAsia="宋体" w:cs="宋体"/>
          <w:szCs w:val="21"/>
        </w:rPr>
        <w:t>注：</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根据焦财采购【2021】8号文要求，符合《符合政府采购法》第二十二条规定的资格条件，按照采购文件约定提供资格承诺，不再提供资质材料，主要包括供应商在响应文件中无需提供营业执照、财务状况报告、依法缴纳税收和社会保障资金、具有履行合同所必需的设备和专业技术能力、参加政府采购活动前三年内在经营活动中没有重大违法记录相关证明材料。</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、政府采购供应商应当以书面形式向采购人或政府采购代理机构作出信用承诺函（格式见附件）。</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评分分值及计算结果精确到小数点后二位，二位以后四舍五入。</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、评审时，磋商小组各成员应当独立对每个有效供应商的磋商文件进行评价、打分，然后汇总每个供应商每项评分因素的得分，取磋商小组各成员评分的算术平均数作为供应商的评审最后得分。</w:t>
      </w:r>
    </w:p>
    <w:p>
      <w:pPr>
        <w:pageBreakBefore w:val="0"/>
        <w:kinsoku/>
        <w:bidi w:val="0"/>
        <w:spacing w:line="360" w:lineRule="auto"/>
        <w:ind w:firstLine="420" w:firstLineChars="200"/>
        <w:rPr>
          <w:rFonts w:hint="eastAsia" w:ascii="宋体" w:hAnsi="宋体" w:eastAsia="宋体" w:cs="宋体"/>
        </w:rPr>
      </w:pPr>
      <w:r>
        <w:rPr>
          <w:rFonts w:hint="eastAsia" w:ascii="宋体" w:hAnsi="宋体" w:eastAsia="宋体" w:cs="宋体"/>
          <w:szCs w:val="21"/>
          <w:lang w:val="en-US" w:eastAsia="zh-CN"/>
        </w:rPr>
        <w:t>5</w:t>
      </w:r>
      <w:r>
        <w:rPr>
          <w:rFonts w:hint="eastAsia" w:ascii="宋体" w:hAnsi="宋体" w:eastAsia="宋体" w:cs="宋体"/>
          <w:szCs w:val="21"/>
        </w:rPr>
        <w:t>、磋商小组应当根据综合评分情况，按照评审得分由高到低顺序推荐3名成交候选供应商，并编写评审报告。符合《政府采购竞争性磋商采购方式管理暂行办法》第三条第四项情形的或符合《财政部关于政府采购竞争性磋商采购方式管理暂行办法有关问题的补充通知》的可以推荐2家成交候选供应商。评审得分相同的，按照最后报价由低到高的顺序推荐。评审得分且最后报价相同的，按照技术指标优劣顺序推荐。</w:t>
      </w:r>
      <w:r>
        <w:rPr>
          <w:rFonts w:hint="eastAsia" w:ascii="宋体" w:hAnsi="宋体" w:eastAsia="宋体" w:cs="宋体"/>
        </w:rPr>
        <w:br w:type="page"/>
      </w:r>
    </w:p>
    <w:p>
      <w:pPr>
        <w:pStyle w:val="4"/>
        <w:pageBreakBefore w:val="0"/>
        <w:kinsoku/>
        <w:bidi w:val="0"/>
        <w:spacing w:before="0" w:after="0" w:line="360" w:lineRule="auto"/>
        <w:rPr>
          <w:rFonts w:hint="eastAsia" w:ascii="宋体" w:hAnsi="宋体" w:eastAsia="宋体" w:cs="宋体"/>
          <w:sz w:val="32"/>
          <w:szCs w:val="32"/>
          <w:lang w:eastAsia="zh-CN"/>
        </w:rPr>
      </w:pPr>
      <w:bookmarkStart w:id="94" w:name="_Toc23582"/>
      <w:r>
        <w:rPr>
          <w:rFonts w:hint="eastAsia" w:ascii="宋体" w:hAnsi="宋体" w:eastAsia="宋体" w:cs="宋体"/>
          <w:sz w:val="32"/>
          <w:szCs w:val="32"/>
        </w:rPr>
        <w:t>第四章  合同条款及格式</w:t>
      </w:r>
      <w:bookmarkStart w:id="95" w:name="_Toc384126290"/>
      <w:r>
        <w:rPr>
          <w:rFonts w:hint="eastAsia" w:ascii="宋体" w:hAnsi="宋体" w:eastAsia="宋体" w:cs="宋体"/>
          <w:sz w:val="32"/>
          <w:szCs w:val="32"/>
          <w:lang w:eastAsia="zh-CN"/>
        </w:rPr>
        <w:t>（参考）</w:t>
      </w:r>
      <w:bookmarkEnd w:id="94"/>
    </w:p>
    <w:bookmarkEnd w:id="19"/>
    <w:bookmarkEnd w:id="20"/>
    <w:bookmarkEnd w:id="95"/>
    <w:p>
      <w:pPr>
        <w:spacing w:line="560" w:lineRule="exact"/>
        <w:ind w:firstLine="640" w:firstLineChars="200"/>
        <w:jc w:val="left"/>
        <w:rPr>
          <w:rFonts w:hint="eastAsia" w:ascii="仿宋" w:hAnsi="仿宋" w:eastAsia="仿宋" w:cs="仿宋"/>
          <w:color w:val="auto"/>
          <w:sz w:val="32"/>
          <w:szCs w:val="32"/>
          <w:highlight w:val="none"/>
          <w:lang w:val="en-US" w:eastAsia="zh-CN"/>
        </w:rPr>
      </w:pPr>
    </w:p>
    <w:p>
      <w:pPr>
        <w:tabs>
          <w:tab w:val="left" w:pos="4500"/>
        </w:tabs>
        <w:jc w:val="center"/>
        <w:rPr>
          <w:rFonts w:hint="eastAsia" w:ascii="宋体" w:hAnsi="宋体" w:eastAsia="宋体" w:cs="宋体"/>
          <w:b/>
          <w:bCs/>
          <w:sz w:val="24"/>
          <w:szCs w:val="24"/>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sz w:val="24"/>
          <w:szCs w:val="24"/>
        </w:rPr>
        <w:t>第一节 通用合同条款</w:t>
      </w:r>
    </w:p>
    <w:p>
      <w:pPr>
        <w:adjustRightInd w:val="0"/>
        <w:snapToGrid w:val="0"/>
        <w:jc w:val="center"/>
        <w:rPr>
          <w:rFonts w:hint="eastAsia" w:ascii="宋体" w:hAnsi="宋体" w:eastAsia="宋体" w:cs="宋体"/>
          <w:b/>
          <w:bCs/>
          <w:sz w:val="24"/>
          <w:szCs w:val="24"/>
        </w:rPr>
      </w:pPr>
      <w:r>
        <w:rPr>
          <w:rFonts w:hint="eastAsia" w:ascii="宋体" w:hAnsi="宋体" w:eastAsia="宋体" w:cs="宋体"/>
          <w:sz w:val="24"/>
          <w:szCs w:val="24"/>
        </w:rPr>
        <w:t>“通用合同条款”采用《标准施工招标文件》的“通用合同条款”</w:t>
      </w:r>
    </w:p>
    <w:p>
      <w:pPr>
        <w:tabs>
          <w:tab w:val="left" w:pos="4500"/>
        </w:tabs>
        <w:jc w:val="center"/>
        <w:rPr>
          <w:rFonts w:hint="eastAsia" w:ascii="宋体" w:hAnsi="宋体" w:eastAsia="宋体" w:cs="宋体"/>
          <w:b/>
          <w:bCs/>
          <w:sz w:val="24"/>
          <w:szCs w:val="24"/>
        </w:rPr>
      </w:pPr>
    </w:p>
    <w:p>
      <w:pPr>
        <w:tabs>
          <w:tab w:val="left" w:pos="4500"/>
        </w:tabs>
        <w:jc w:val="center"/>
        <w:rPr>
          <w:rFonts w:hint="eastAsia" w:ascii="宋体" w:hAnsi="宋体" w:eastAsia="宋体" w:cs="宋体"/>
          <w:b/>
          <w:bCs/>
          <w:sz w:val="24"/>
          <w:szCs w:val="24"/>
        </w:rPr>
      </w:pPr>
    </w:p>
    <w:p>
      <w:pPr>
        <w:tabs>
          <w:tab w:val="left" w:pos="4500"/>
        </w:tabs>
        <w:jc w:val="center"/>
        <w:rPr>
          <w:rFonts w:hint="eastAsia" w:ascii="宋体" w:hAnsi="宋体" w:eastAsia="宋体" w:cs="宋体"/>
          <w:b/>
          <w:bCs/>
          <w:sz w:val="24"/>
          <w:szCs w:val="24"/>
        </w:rPr>
      </w:pPr>
      <w:r>
        <w:rPr>
          <w:rFonts w:hint="eastAsia" w:ascii="宋体" w:hAnsi="宋体" w:eastAsia="宋体" w:cs="宋体"/>
          <w:b/>
          <w:bCs/>
          <w:sz w:val="24"/>
          <w:szCs w:val="24"/>
        </w:rPr>
        <w:t>第二节 专用合同条款</w:t>
      </w:r>
    </w:p>
    <w:p>
      <w:pPr>
        <w:tabs>
          <w:tab w:val="left" w:pos="780"/>
        </w:tabs>
        <w:ind w:left="420" w:right="2" w:rightChars="1"/>
        <w:jc w:val="center"/>
        <w:outlineLvl w:val="0"/>
        <w:rPr>
          <w:rFonts w:hint="eastAsia" w:ascii="宋体" w:hAnsi="宋体" w:eastAsia="宋体" w:cs="宋体"/>
          <w:b/>
          <w:sz w:val="24"/>
          <w:szCs w:val="24"/>
        </w:rPr>
      </w:pPr>
      <w:bookmarkStart w:id="96" w:name="_Toc30929"/>
      <w:bookmarkStart w:id="97" w:name="_Toc26753"/>
      <w:r>
        <w:rPr>
          <w:rFonts w:hint="eastAsia" w:ascii="宋体" w:hAnsi="宋体" w:eastAsia="宋体" w:cs="宋体"/>
          <w:b/>
          <w:sz w:val="24"/>
          <w:szCs w:val="24"/>
        </w:rPr>
        <w:t>A.公路工程专用合同条款</w:t>
      </w:r>
      <w:bookmarkEnd w:id="96"/>
      <w:bookmarkEnd w:id="97"/>
    </w:p>
    <w:p>
      <w:pPr>
        <w:pStyle w:val="4"/>
        <w:spacing w:before="100" w:after="100" w:line="400" w:lineRule="exact"/>
        <w:ind w:right="2" w:rightChars="1"/>
        <w:rPr>
          <w:rFonts w:hint="eastAsia" w:ascii="宋体" w:hAnsi="宋体" w:eastAsia="宋体" w:cs="宋体"/>
          <w:sz w:val="24"/>
          <w:szCs w:val="24"/>
        </w:rPr>
      </w:pPr>
      <w:bookmarkStart w:id="98" w:name="_Toc234382841"/>
      <w:bookmarkStart w:id="99" w:name="_Toc12464"/>
      <w:bookmarkStart w:id="100" w:name="_Toc3990"/>
      <w:r>
        <w:rPr>
          <w:rFonts w:hint="eastAsia" w:ascii="宋体" w:hAnsi="宋体" w:eastAsia="宋体" w:cs="宋体"/>
          <w:sz w:val="24"/>
          <w:szCs w:val="24"/>
        </w:rPr>
        <w:t>1．一般约定</w:t>
      </w:r>
      <w:bookmarkEnd w:id="98"/>
      <w:bookmarkEnd w:id="99"/>
      <w:bookmarkEnd w:id="100"/>
    </w:p>
    <w:p>
      <w:pPr>
        <w:pStyle w:val="4"/>
        <w:spacing w:before="0" w:after="0" w:line="400" w:lineRule="exact"/>
        <w:ind w:right="2" w:rightChars="1"/>
        <w:rPr>
          <w:rFonts w:hint="eastAsia" w:ascii="宋体" w:hAnsi="宋体" w:eastAsia="宋体" w:cs="宋体"/>
          <w:sz w:val="24"/>
          <w:szCs w:val="24"/>
        </w:rPr>
      </w:pPr>
      <w:bookmarkStart w:id="101" w:name="_Toc29867"/>
      <w:bookmarkStart w:id="102" w:name="_Toc234382842"/>
      <w:bookmarkStart w:id="103" w:name="_Toc20532"/>
      <w:r>
        <w:rPr>
          <w:rFonts w:hint="eastAsia" w:ascii="宋体" w:hAnsi="宋体" w:eastAsia="宋体" w:cs="宋体"/>
          <w:sz w:val="24"/>
          <w:szCs w:val="24"/>
        </w:rPr>
        <w:t>1.1词语定义</w:t>
      </w:r>
      <w:bookmarkEnd w:id="101"/>
      <w:bookmarkEnd w:id="102"/>
      <w:bookmarkEnd w:id="103"/>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1.1.1合同</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第1.1.1.6目细化为：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技术规范：为本合同所约定的技术标准和要求，是合同文件的组成部分。通用合同条款中“技术标准和要求”一词具有相同含义。</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第1.1.1.8目细化为：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本项补充第1.1.1.10目：</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1.1.1.10补遗书：指发出招标文件之后由招标人向已取得招标文件的投标人发出的、编号的对招标文件所作的澄清、修改书。</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1.1.2合同当事人和人员</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本项补充第1.1.2.8目：</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1.1.2.8 承包人项目总工：指由承包人书面委派常驻现场负责管理本合同工程的总工程师或技术总负责人。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1.1.3 工程和设备</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第1.1.3.4目细化为：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单位工程：指在建设项目中，根据签订的合同，具有独立施工条件的工程。</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1.1.3.10目细化为：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永久占地：指为实施本合同工程而需要的一切永久占用的土地，包括公路两侧路权范围内的用地。</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第1.1.3.11目细化为：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临时占地：指为实施本合同工程而需要的一切临时占用的土地，包括施工所用的临时支线、便道、便桥和现场的临时出入通道，以及生产（办公）、生活等临时设施用地等。</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本项补充第1.1.3.12目、第1.1.3.13目：</w:t>
      </w:r>
    </w:p>
    <w:p>
      <w:pPr>
        <w:spacing w:line="400" w:lineRule="exact"/>
        <w:ind w:right="2" w:rightChars="1" w:firstLine="480" w:firstLineChars="200"/>
        <w:outlineLvl w:val="0"/>
        <w:rPr>
          <w:rFonts w:hint="eastAsia" w:ascii="宋体" w:hAnsi="宋体" w:eastAsia="宋体" w:cs="宋体"/>
          <w:sz w:val="24"/>
          <w:szCs w:val="24"/>
        </w:rPr>
      </w:pPr>
      <w:bookmarkStart w:id="104" w:name="_Toc25055"/>
      <w:bookmarkStart w:id="105" w:name="_Toc13296"/>
      <w:r>
        <w:rPr>
          <w:rFonts w:hint="eastAsia" w:ascii="宋体" w:hAnsi="宋体" w:eastAsia="宋体" w:cs="宋体"/>
          <w:sz w:val="24"/>
          <w:szCs w:val="24"/>
        </w:rPr>
        <w:t>1.1.3.12 分部工程：指在单位工程中，按结构部位、路段长度及施工特点或施工任务划分的若干个工程。</w:t>
      </w:r>
      <w:bookmarkEnd w:id="104"/>
      <w:bookmarkEnd w:id="105"/>
    </w:p>
    <w:p>
      <w:pPr>
        <w:spacing w:line="400" w:lineRule="exact"/>
        <w:ind w:right="2" w:rightChars="1" w:firstLine="480" w:firstLineChars="200"/>
        <w:outlineLvl w:val="0"/>
        <w:rPr>
          <w:rFonts w:hint="eastAsia" w:ascii="宋体" w:hAnsi="宋体" w:eastAsia="宋体" w:cs="宋体"/>
          <w:sz w:val="24"/>
          <w:szCs w:val="24"/>
        </w:rPr>
      </w:pPr>
      <w:bookmarkStart w:id="106" w:name="_Toc665"/>
      <w:bookmarkStart w:id="107" w:name="_Toc15057"/>
      <w:r>
        <w:rPr>
          <w:rFonts w:hint="eastAsia" w:ascii="宋体" w:hAnsi="宋体" w:eastAsia="宋体" w:cs="宋体"/>
          <w:sz w:val="24"/>
          <w:szCs w:val="24"/>
        </w:rPr>
        <w:t>1.1.3.13 分项工程：指在分部工程中，按不同的施工方法、材料、工序及路段长度等划分的若干个过程。</w:t>
      </w:r>
      <w:bookmarkEnd w:id="106"/>
      <w:bookmarkEnd w:id="107"/>
    </w:p>
    <w:p>
      <w:pPr>
        <w:spacing w:line="400" w:lineRule="exact"/>
        <w:ind w:right="2" w:rightChars="1" w:firstLine="480"/>
        <w:rPr>
          <w:rFonts w:hint="eastAsia" w:ascii="宋体" w:hAnsi="宋体" w:eastAsia="宋体" w:cs="宋体"/>
          <w:sz w:val="24"/>
          <w:szCs w:val="24"/>
        </w:rPr>
      </w:pPr>
      <w:r>
        <w:rPr>
          <w:rFonts w:hint="eastAsia" w:ascii="宋体" w:hAnsi="宋体" w:eastAsia="宋体" w:cs="宋体"/>
          <w:sz w:val="24"/>
          <w:szCs w:val="24"/>
        </w:rPr>
        <w:t>1.1.6 其他</w:t>
      </w:r>
    </w:p>
    <w:p>
      <w:pPr>
        <w:spacing w:line="400" w:lineRule="exact"/>
        <w:ind w:right="2" w:rightChars="1" w:firstLine="480"/>
        <w:rPr>
          <w:rFonts w:hint="eastAsia" w:ascii="宋体" w:hAnsi="宋体" w:eastAsia="宋体" w:cs="宋体"/>
          <w:sz w:val="24"/>
          <w:szCs w:val="24"/>
        </w:rPr>
      </w:pPr>
      <w:r>
        <w:rPr>
          <w:rFonts w:hint="eastAsia" w:ascii="宋体" w:hAnsi="宋体" w:eastAsia="宋体" w:cs="宋体"/>
          <w:sz w:val="24"/>
          <w:szCs w:val="24"/>
        </w:rPr>
        <w:t>本项补充第1.1.6.2目～1.1.6.8目：</w:t>
      </w:r>
    </w:p>
    <w:p>
      <w:pPr>
        <w:spacing w:line="400" w:lineRule="exact"/>
        <w:ind w:right="2" w:rightChars="1" w:firstLine="480"/>
        <w:outlineLvl w:val="0"/>
        <w:rPr>
          <w:rFonts w:hint="eastAsia" w:ascii="宋体" w:hAnsi="宋体" w:eastAsia="宋体" w:cs="宋体"/>
          <w:sz w:val="24"/>
          <w:szCs w:val="24"/>
        </w:rPr>
      </w:pPr>
      <w:bookmarkStart w:id="108" w:name="_Toc25891"/>
      <w:bookmarkStart w:id="109" w:name="_Toc28252"/>
      <w:r>
        <w:rPr>
          <w:rFonts w:hint="eastAsia" w:ascii="宋体" w:hAnsi="宋体" w:eastAsia="宋体" w:cs="宋体"/>
          <w:sz w:val="24"/>
          <w:szCs w:val="24"/>
        </w:rPr>
        <w:t>1.1.6.2 竣工验收：指《公路工程竣（交）工验收办法》中的竣工验收。通用合同条款中“国家验收”一词具有相同含义。</w:t>
      </w:r>
      <w:bookmarkEnd w:id="108"/>
      <w:bookmarkEnd w:id="109"/>
    </w:p>
    <w:p>
      <w:pPr>
        <w:spacing w:line="400" w:lineRule="exact"/>
        <w:ind w:right="2" w:rightChars="1" w:firstLine="480"/>
        <w:rPr>
          <w:rFonts w:hint="eastAsia" w:ascii="宋体" w:hAnsi="宋体" w:eastAsia="宋体" w:cs="宋体"/>
          <w:sz w:val="24"/>
          <w:szCs w:val="24"/>
        </w:rPr>
      </w:pPr>
      <w:r>
        <w:rPr>
          <w:rFonts w:hint="eastAsia" w:ascii="宋体" w:hAnsi="宋体" w:eastAsia="宋体" w:cs="宋体"/>
          <w:sz w:val="24"/>
          <w:szCs w:val="24"/>
        </w:rPr>
        <w:t>1.1.6.3 交工：指《公路工程竣（交）工验收办法》中的交工验收。通用合同条款中“竣工”一词具有相同含义。</w:t>
      </w:r>
    </w:p>
    <w:p>
      <w:pPr>
        <w:spacing w:line="400" w:lineRule="exact"/>
        <w:ind w:right="2" w:rightChars="1" w:firstLine="480"/>
        <w:rPr>
          <w:rFonts w:hint="eastAsia" w:ascii="宋体" w:hAnsi="宋体" w:eastAsia="宋体" w:cs="宋体"/>
          <w:sz w:val="24"/>
          <w:szCs w:val="24"/>
        </w:rPr>
      </w:pPr>
      <w:r>
        <w:rPr>
          <w:rFonts w:hint="eastAsia" w:ascii="宋体" w:hAnsi="宋体" w:eastAsia="宋体" w:cs="宋体"/>
          <w:sz w:val="24"/>
          <w:szCs w:val="24"/>
        </w:rPr>
        <w:t>1.1.6.4 交工验收证书：指《公路工程竣（交）工验收办法》中的交工验收证书。通用合同条款中“工程接收证书”一词具有相同含义。</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1.1.6.5 转包：指承包人违反法律和不履行合同规定的责任和义务，将中标工程全部委托或以专业分包的名义将中标工程肢解后全部委托给其他施工企业施工的行为。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1.1.6.6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1.1.6.7 劳务分包：指承包人与具有劳务分包资质的劳务企业签订劳务分包，由劳务企业提供劳务人员及机具，由承包人统一组织施工，统一控制工程质量、施工进度、材料采购、生产安全的施工行为。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1.1.6.8 雇佣民工：指承包人与具有相应劳动能力的自然人签订劳动合同，由承包人统一组织管理，从事分项工程施工或配套工程施工的行为。</w:t>
      </w:r>
    </w:p>
    <w:p>
      <w:pPr>
        <w:pStyle w:val="4"/>
        <w:spacing w:before="0" w:after="0" w:line="400" w:lineRule="exact"/>
        <w:ind w:right="2" w:rightChars="1"/>
        <w:rPr>
          <w:rFonts w:hint="eastAsia" w:ascii="宋体" w:hAnsi="宋体" w:eastAsia="宋体" w:cs="宋体"/>
          <w:sz w:val="24"/>
          <w:szCs w:val="24"/>
        </w:rPr>
      </w:pPr>
      <w:bookmarkStart w:id="110" w:name="_Toc234382843"/>
      <w:bookmarkStart w:id="111" w:name="_Toc27758"/>
      <w:bookmarkStart w:id="112" w:name="_Toc27069"/>
      <w:r>
        <w:rPr>
          <w:rFonts w:hint="eastAsia" w:ascii="宋体" w:hAnsi="宋体" w:eastAsia="宋体" w:cs="宋体"/>
          <w:sz w:val="24"/>
          <w:szCs w:val="24"/>
        </w:rPr>
        <w:t>1.4合同文件的优先顺序</w:t>
      </w:r>
      <w:bookmarkEnd w:id="110"/>
      <w:bookmarkEnd w:id="111"/>
      <w:bookmarkEnd w:id="112"/>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组成合同的各项文件应互相解释，互为说明。除项目专用合同条款另有约定外，解释合同文件的优先顺序如下：</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（1）合同协议书及各种合同附件（含评标期间和合同谈判过程中的澄清文件和补充资料）；</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（2）中标通知书；</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（3）投标函及投标函附录；</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（4）项目专用合同条款；</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（5）公路工程专用合同条款；</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（6）通用合同条款；</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（7）技术规范；</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（8）图纸；</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（9）已标价工程量清单；</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（10）承包人有关人员、设备投入的承诺及投标文件中的施工组织设计；</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（11）其他合同文件。</w:t>
      </w:r>
    </w:p>
    <w:p>
      <w:pPr>
        <w:pStyle w:val="4"/>
        <w:spacing w:before="0" w:after="0" w:line="400" w:lineRule="exact"/>
        <w:ind w:right="2" w:rightChars="1"/>
        <w:rPr>
          <w:rFonts w:hint="eastAsia" w:ascii="宋体" w:hAnsi="宋体" w:eastAsia="宋体" w:cs="宋体"/>
          <w:sz w:val="24"/>
          <w:szCs w:val="24"/>
        </w:rPr>
      </w:pPr>
      <w:bookmarkStart w:id="113" w:name="_Toc234382844"/>
      <w:bookmarkStart w:id="114" w:name="_Toc27794"/>
      <w:bookmarkStart w:id="115" w:name="_Toc20463"/>
      <w:r>
        <w:rPr>
          <w:rFonts w:hint="eastAsia" w:ascii="宋体" w:hAnsi="宋体" w:eastAsia="宋体" w:cs="宋体"/>
          <w:sz w:val="24"/>
          <w:szCs w:val="24"/>
        </w:rPr>
        <w:t>1.5合同协议书</w:t>
      </w:r>
      <w:bookmarkEnd w:id="113"/>
      <w:bookmarkEnd w:id="114"/>
      <w:bookmarkEnd w:id="115"/>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制备本合同文件的费用由发包人承担。在合同协议书签订并生效之前，投标函和中标通知书将对双方具有约束力。</w:t>
      </w:r>
    </w:p>
    <w:p>
      <w:pPr>
        <w:pStyle w:val="4"/>
        <w:spacing w:before="0" w:after="0" w:line="400" w:lineRule="exact"/>
        <w:ind w:right="2" w:rightChars="1"/>
        <w:rPr>
          <w:rFonts w:hint="eastAsia" w:ascii="宋体" w:hAnsi="宋体" w:eastAsia="宋体" w:cs="宋体"/>
          <w:sz w:val="24"/>
          <w:szCs w:val="24"/>
        </w:rPr>
      </w:pPr>
      <w:bookmarkStart w:id="116" w:name="_Toc234382845"/>
      <w:bookmarkStart w:id="117" w:name="_Toc460"/>
      <w:bookmarkStart w:id="118" w:name="_Toc1353"/>
      <w:r>
        <w:rPr>
          <w:rFonts w:hint="eastAsia" w:ascii="宋体" w:hAnsi="宋体" w:eastAsia="宋体" w:cs="宋体"/>
          <w:sz w:val="24"/>
          <w:szCs w:val="24"/>
        </w:rPr>
        <w:t>1.6图纸和承包人文件</w:t>
      </w:r>
      <w:bookmarkEnd w:id="116"/>
      <w:bookmarkEnd w:id="117"/>
      <w:bookmarkEnd w:id="118"/>
    </w:p>
    <w:p>
      <w:pPr>
        <w:spacing w:line="400" w:lineRule="exact"/>
        <w:ind w:right="2" w:rightChars="1" w:firstLine="480" w:firstLineChars="200"/>
        <w:outlineLvl w:val="0"/>
        <w:rPr>
          <w:rFonts w:hint="eastAsia" w:ascii="宋体" w:hAnsi="宋体" w:eastAsia="宋体" w:cs="宋体"/>
          <w:sz w:val="24"/>
          <w:szCs w:val="24"/>
        </w:rPr>
      </w:pPr>
      <w:bookmarkStart w:id="119" w:name="_Toc13090"/>
      <w:bookmarkStart w:id="120" w:name="_Toc8605"/>
      <w:r>
        <w:rPr>
          <w:rFonts w:hint="eastAsia" w:ascii="宋体" w:hAnsi="宋体" w:eastAsia="宋体" w:cs="宋体"/>
          <w:sz w:val="24"/>
          <w:szCs w:val="24"/>
        </w:rPr>
        <w:t>1.6.1 图纸的提供</w:t>
      </w:r>
      <w:bookmarkEnd w:id="119"/>
      <w:bookmarkEnd w:id="120"/>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1.6.2承包人提供的文件</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有下列情形之一的，承包人应免费向监理人提交相关部分工程的施工图纸3份，并附必要的计算书、技术资料，或施工工艺图、设备安装图及安装设备的使用和维护手册各2份供监理人批准。</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（1）为使第1.6.1项所述的施工图纸适合于经现场测量后的纵、横断面；</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（2）为使第1.6.1项所述的施工图纸适合于现场具体地形；</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（3）为使第1.6.1项所述的施工图纸适合于因尺寸与位置变化而引起局部变更；</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（4）由于合同要求与施工需要。</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1.6.4图纸的错误</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4"/>
        <w:spacing w:before="0" w:after="0" w:line="400" w:lineRule="exact"/>
        <w:ind w:right="2" w:rightChars="1"/>
        <w:rPr>
          <w:rFonts w:hint="eastAsia" w:ascii="宋体" w:hAnsi="宋体" w:eastAsia="宋体" w:cs="宋体"/>
          <w:sz w:val="24"/>
          <w:szCs w:val="24"/>
        </w:rPr>
      </w:pPr>
      <w:bookmarkStart w:id="121" w:name="_Toc30272"/>
      <w:bookmarkStart w:id="122" w:name="_Toc234382846"/>
      <w:bookmarkStart w:id="123" w:name="_Toc31467"/>
      <w:r>
        <w:rPr>
          <w:rFonts w:hint="eastAsia" w:ascii="宋体" w:hAnsi="宋体" w:eastAsia="宋体" w:cs="宋体"/>
          <w:sz w:val="24"/>
          <w:szCs w:val="24"/>
        </w:rPr>
        <w:t>1.9严禁贿赂</w:t>
      </w:r>
      <w:bookmarkEnd w:id="121"/>
      <w:bookmarkEnd w:id="122"/>
      <w:bookmarkEnd w:id="123"/>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4"/>
        <w:spacing w:before="0" w:after="0" w:line="400" w:lineRule="exact"/>
        <w:ind w:right="2" w:rightChars="1"/>
        <w:rPr>
          <w:rFonts w:hint="eastAsia" w:ascii="宋体" w:hAnsi="宋体" w:eastAsia="宋体" w:cs="宋体"/>
          <w:sz w:val="24"/>
          <w:szCs w:val="24"/>
        </w:rPr>
      </w:pPr>
      <w:bookmarkStart w:id="124" w:name="_Toc26867"/>
      <w:bookmarkStart w:id="125" w:name="_Toc234382847"/>
      <w:bookmarkStart w:id="126" w:name="_Toc31187"/>
      <w:r>
        <w:rPr>
          <w:rFonts w:hint="eastAsia" w:ascii="宋体" w:hAnsi="宋体" w:eastAsia="宋体" w:cs="宋体"/>
          <w:sz w:val="24"/>
          <w:szCs w:val="24"/>
        </w:rPr>
        <w:t>2．发包人义务</w:t>
      </w:r>
      <w:bookmarkEnd w:id="124"/>
      <w:bookmarkEnd w:id="125"/>
      <w:bookmarkEnd w:id="126"/>
    </w:p>
    <w:p>
      <w:pPr>
        <w:pStyle w:val="4"/>
        <w:spacing w:before="0" w:after="0" w:line="400" w:lineRule="exact"/>
        <w:ind w:right="2" w:rightChars="1"/>
        <w:rPr>
          <w:rFonts w:hint="eastAsia" w:ascii="宋体" w:hAnsi="宋体" w:eastAsia="宋体" w:cs="宋体"/>
          <w:sz w:val="24"/>
          <w:szCs w:val="24"/>
        </w:rPr>
      </w:pPr>
      <w:bookmarkStart w:id="127" w:name="_Toc23442"/>
      <w:bookmarkStart w:id="128" w:name="_Toc234382848"/>
      <w:bookmarkStart w:id="129" w:name="_Toc22632"/>
      <w:r>
        <w:rPr>
          <w:rFonts w:hint="eastAsia" w:ascii="宋体" w:hAnsi="宋体" w:eastAsia="宋体" w:cs="宋体"/>
          <w:sz w:val="24"/>
          <w:szCs w:val="24"/>
        </w:rPr>
        <w:t>2.3提供施工场地</w:t>
      </w:r>
      <w:bookmarkEnd w:id="127"/>
      <w:bookmarkEnd w:id="128"/>
      <w:bookmarkEnd w:id="129"/>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4"/>
        <w:spacing w:before="0" w:after="0" w:line="400" w:lineRule="exact"/>
        <w:ind w:right="2" w:rightChars="1"/>
        <w:rPr>
          <w:rFonts w:hint="eastAsia" w:ascii="宋体" w:hAnsi="宋体" w:eastAsia="宋体" w:cs="宋体"/>
          <w:sz w:val="24"/>
          <w:szCs w:val="24"/>
        </w:rPr>
      </w:pPr>
      <w:bookmarkStart w:id="130" w:name="_Toc78"/>
      <w:bookmarkStart w:id="131" w:name="_Toc234382849"/>
      <w:bookmarkStart w:id="132" w:name="_Toc24097"/>
      <w:r>
        <w:rPr>
          <w:rFonts w:hint="eastAsia" w:ascii="宋体" w:hAnsi="宋体" w:eastAsia="宋体" w:cs="宋体"/>
          <w:sz w:val="24"/>
          <w:szCs w:val="24"/>
        </w:rPr>
        <w:t>3．监理人</w:t>
      </w:r>
      <w:bookmarkEnd w:id="130"/>
      <w:bookmarkEnd w:id="131"/>
      <w:bookmarkEnd w:id="132"/>
    </w:p>
    <w:p>
      <w:pPr>
        <w:pStyle w:val="4"/>
        <w:spacing w:before="0" w:after="0" w:line="400" w:lineRule="exact"/>
        <w:ind w:right="2" w:rightChars="1"/>
        <w:rPr>
          <w:rFonts w:hint="eastAsia" w:ascii="宋体" w:hAnsi="宋体" w:eastAsia="宋体" w:cs="宋体"/>
          <w:sz w:val="24"/>
          <w:szCs w:val="24"/>
        </w:rPr>
      </w:pPr>
      <w:bookmarkStart w:id="133" w:name="_Toc32510"/>
      <w:bookmarkStart w:id="134" w:name="_Toc21889"/>
      <w:bookmarkStart w:id="135" w:name="_Toc234382850"/>
      <w:r>
        <w:rPr>
          <w:rFonts w:hint="eastAsia" w:ascii="宋体" w:hAnsi="宋体" w:eastAsia="宋体" w:cs="宋体"/>
          <w:sz w:val="24"/>
          <w:szCs w:val="24"/>
        </w:rPr>
        <w:t>3.1监理人的职责和权力</w:t>
      </w:r>
      <w:bookmarkEnd w:id="133"/>
      <w:bookmarkEnd w:id="134"/>
      <w:bookmarkEnd w:id="135"/>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第3.1.1项补充：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监理人在行使下列权力前需要经发包人事先批准：</w:t>
      </w:r>
    </w:p>
    <w:p>
      <w:pPr>
        <w:spacing w:line="400" w:lineRule="exact"/>
        <w:ind w:right="2" w:rightChars="1" w:firstLine="480" w:firstLineChars="200"/>
        <w:outlineLvl w:val="0"/>
        <w:rPr>
          <w:rFonts w:hint="eastAsia" w:ascii="宋体" w:hAnsi="宋体" w:eastAsia="宋体" w:cs="宋体"/>
          <w:sz w:val="24"/>
          <w:szCs w:val="24"/>
        </w:rPr>
      </w:pPr>
      <w:bookmarkStart w:id="136" w:name="_Toc20195"/>
      <w:bookmarkStart w:id="137" w:name="_Toc21559"/>
      <w:r>
        <w:rPr>
          <w:rFonts w:hint="eastAsia" w:ascii="宋体" w:hAnsi="宋体" w:eastAsia="宋体" w:cs="宋体"/>
          <w:sz w:val="24"/>
          <w:szCs w:val="24"/>
        </w:rPr>
        <w:t>（1）根据第4.3款，同意分包本工程的某些非主体和非关键性工作；</w:t>
      </w:r>
      <w:bookmarkEnd w:id="136"/>
      <w:bookmarkEnd w:id="137"/>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（2）确定第4.11款下产生的费用增加额；</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（3）根据第11.1款、第12.3款、第12.4款发布开工通知、暂停施工指示或复工通知；</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（4）决定第11.3款、第11.4款下的工期延长；</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（5）审查批准技术规范或设计的变更；</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（6）根据第15.3款发出的变更指令，其单项工程变更或累计变更设计的金额超过了项目专用合同条款数据表中规定的金额；</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（7）确定第15.4款下变更工作的单价；</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（8）按照第15.6款决定有关暂列金额的使用；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（9）确定第15.8款项下的暂估价金额；</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（10）确定第23.1款项下的索赔额。</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如果发生紧急情况，监理人认为将造成人员伤亡，或危及本工程或邻近的财产需立即采取行动，监理人有权在未征得发包人的批准的情况下发布处理紧急情况所比需的指令，承包人应予执行，由此造成的费用增加由监理人按第3.5款商定或确定。</w:t>
      </w:r>
    </w:p>
    <w:p>
      <w:pPr>
        <w:pStyle w:val="4"/>
        <w:spacing w:before="0" w:after="0" w:line="400" w:lineRule="exact"/>
        <w:ind w:right="2" w:rightChars="1"/>
        <w:rPr>
          <w:rFonts w:hint="eastAsia" w:ascii="宋体" w:hAnsi="宋体" w:eastAsia="宋体" w:cs="宋体"/>
          <w:sz w:val="24"/>
          <w:szCs w:val="24"/>
        </w:rPr>
      </w:pPr>
      <w:bookmarkStart w:id="138" w:name="_Toc865"/>
      <w:bookmarkStart w:id="139" w:name="_Toc28201"/>
      <w:bookmarkStart w:id="140" w:name="_Toc234382851"/>
      <w:r>
        <w:rPr>
          <w:rFonts w:hint="eastAsia" w:ascii="宋体" w:hAnsi="宋体" w:eastAsia="宋体" w:cs="宋体"/>
          <w:sz w:val="24"/>
          <w:szCs w:val="24"/>
        </w:rPr>
        <w:t>3.5商定或确定</w:t>
      </w:r>
      <w:bookmarkEnd w:id="138"/>
      <w:bookmarkEnd w:id="139"/>
      <w:bookmarkEnd w:id="140"/>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第3.5.1 项补充：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如果这项商定或确定导致费用增加和（或）工期延长，或者涉及确定变更工程的价格，则总监理工程师在发出通知前，应征得发包人的同意。</w:t>
      </w:r>
    </w:p>
    <w:p>
      <w:pPr>
        <w:pStyle w:val="4"/>
        <w:spacing w:before="0" w:after="0" w:line="400" w:lineRule="exact"/>
        <w:ind w:right="2" w:rightChars="1"/>
        <w:rPr>
          <w:rFonts w:hint="eastAsia" w:ascii="宋体" w:hAnsi="宋体" w:eastAsia="宋体" w:cs="宋体"/>
          <w:sz w:val="24"/>
          <w:szCs w:val="24"/>
        </w:rPr>
      </w:pPr>
      <w:bookmarkStart w:id="141" w:name="_Toc234382852"/>
      <w:bookmarkStart w:id="142" w:name="_Toc12357"/>
      <w:bookmarkStart w:id="143" w:name="_Toc16722"/>
      <w:r>
        <w:rPr>
          <w:rFonts w:hint="eastAsia" w:ascii="宋体" w:hAnsi="宋体" w:eastAsia="宋体" w:cs="宋体"/>
          <w:sz w:val="24"/>
          <w:szCs w:val="24"/>
        </w:rPr>
        <w:t>4.承包人</w:t>
      </w:r>
      <w:bookmarkEnd w:id="141"/>
      <w:bookmarkEnd w:id="142"/>
      <w:bookmarkEnd w:id="143"/>
    </w:p>
    <w:p>
      <w:pPr>
        <w:pStyle w:val="4"/>
        <w:spacing w:before="0" w:after="0" w:line="400" w:lineRule="exact"/>
        <w:ind w:right="2" w:rightChars="1"/>
        <w:rPr>
          <w:rFonts w:hint="eastAsia" w:ascii="宋体" w:hAnsi="宋体" w:eastAsia="宋体" w:cs="宋体"/>
          <w:sz w:val="24"/>
          <w:szCs w:val="24"/>
        </w:rPr>
      </w:pPr>
      <w:bookmarkStart w:id="144" w:name="_Toc234382853"/>
      <w:bookmarkStart w:id="145" w:name="_Toc915"/>
      <w:bookmarkStart w:id="146" w:name="_Toc23904"/>
      <w:r>
        <w:rPr>
          <w:rFonts w:hint="eastAsia" w:ascii="宋体" w:hAnsi="宋体" w:eastAsia="宋体" w:cs="宋体"/>
          <w:sz w:val="24"/>
          <w:szCs w:val="24"/>
        </w:rPr>
        <w:t>4.1承包工的一般义务</w:t>
      </w:r>
      <w:bookmarkEnd w:id="144"/>
      <w:bookmarkEnd w:id="145"/>
      <w:bookmarkEnd w:id="146"/>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4.1.9工程的维护和照管</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4.1.10其他义务</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（1）临时占地由承包人向当地政府土地管理部门申请，并办理租用手续，承包人按有关规定直接支付其费用，发包人对此将予以协调。</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工资支付表应如实记录支付单位、支付时间、支付对象、支付数额、支付对象的身份证号和签字等信息。民工花名册和工资支付表应报监理人备查。</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督，确保专款专用。开户银行发现账户资金不足、被挪用等情况，应及时向人力资源社会保障部门和交通运输主管部门报告。</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承包人应严格执行招标文件技术规范对施工标准化提出的具体要求，结合本单位施工能力和技术优势，积极采取有利于标准化施工的组织方式和工艺流程，加强工地建设、工艺控制、人员管理和业内资料管理，强化对施工一线操作人员的培训，改善职工生产生活条件，与此相关的费用承包人应列入工程量清单100章中。</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（6）承包人应履行项目专用合同条款约定的其他义务</w:t>
      </w:r>
    </w:p>
    <w:p>
      <w:pPr>
        <w:pStyle w:val="4"/>
        <w:spacing w:before="0" w:after="0" w:line="400" w:lineRule="exact"/>
        <w:ind w:right="2" w:rightChars="1"/>
        <w:rPr>
          <w:rFonts w:hint="eastAsia" w:ascii="宋体" w:hAnsi="宋体" w:eastAsia="宋体" w:cs="宋体"/>
          <w:sz w:val="24"/>
          <w:szCs w:val="24"/>
        </w:rPr>
      </w:pPr>
      <w:bookmarkStart w:id="147" w:name="_Toc7944"/>
      <w:bookmarkStart w:id="148" w:name="_Toc4214"/>
      <w:r>
        <w:rPr>
          <w:rFonts w:hint="eastAsia" w:ascii="宋体" w:hAnsi="宋体" w:eastAsia="宋体" w:cs="宋体"/>
          <w:sz w:val="24"/>
          <w:szCs w:val="24"/>
        </w:rPr>
        <w:t>4.2履约保证金</w:t>
      </w:r>
      <w:bookmarkEnd w:id="147"/>
      <w:bookmarkEnd w:id="148"/>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承包人应保证其履约保证金签发交工验收证书且承包人按照合同约定缴纳质量保证金 前一致有效。发包人应在收到承包人缴纳的质量保证金28天内把履约保证金退还给承包人。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承包人拒绝按照本合同约定缴纳质量保证金的，发包人有权从竣工付款证书中扣留相应金额作为质量保证金，或者直接将履约保证金金额用于保证承包人在缺陷责任期内履行缺陷修复义务。</w:t>
      </w:r>
    </w:p>
    <w:p>
      <w:pPr>
        <w:pStyle w:val="4"/>
        <w:spacing w:before="0" w:after="0" w:line="400" w:lineRule="exact"/>
        <w:ind w:right="2" w:rightChars="1"/>
        <w:rPr>
          <w:rFonts w:hint="eastAsia" w:ascii="宋体" w:hAnsi="宋体" w:eastAsia="宋体" w:cs="宋体"/>
          <w:sz w:val="24"/>
          <w:szCs w:val="24"/>
        </w:rPr>
      </w:pPr>
      <w:bookmarkStart w:id="149" w:name="_Toc6744"/>
      <w:bookmarkStart w:id="150" w:name="_Toc4679"/>
      <w:bookmarkStart w:id="151" w:name="_Toc234382854"/>
      <w:r>
        <w:rPr>
          <w:rFonts w:hint="eastAsia" w:ascii="宋体" w:hAnsi="宋体" w:eastAsia="宋体" w:cs="宋体"/>
          <w:sz w:val="24"/>
          <w:szCs w:val="24"/>
        </w:rPr>
        <w:t>4.3 分包</w:t>
      </w:r>
      <w:bookmarkEnd w:id="149"/>
      <w:bookmarkEnd w:id="150"/>
      <w:bookmarkEnd w:id="151"/>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第4.3.2项～第4.3.4项细化为：</w:t>
      </w:r>
    </w:p>
    <w:p>
      <w:pPr>
        <w:spacing w:line="400" w:lineRule="exact"/>
        <w:ind w:right="2" w:rightChars="1" w:firstLine="480" w:firstLineChars="200"/>
        <w:outlineLvl w:val="0"/>
        <w:rPr>
          <w:rFonts w:hint="eastAsia" w:ascii="宋体" w:hAnsi="宋体" w:eastAsia="宋体" w:cs="宋体"/>
          <w:sz w:val="24"/>
          <w:szCs w:val="24"/>
        </w:rPr>
      </w:pPr>
      <w:bookmarkStart w:id="152" w:name="_Toc23617"/>
      <w:bookmarkStart w:id="153" w:name="_Toc25298"/>
      <w:r>
        <w:rPr>
          <w:rFonts w:hint="eastAsia" w:ascii="宋体" w:hAnsi="宋体" w:eastAsia="宋体" w:cs="宋体"/>
          <w:sz w:val="24"/>
          <w:szCs w:val="24"/>
        </w:rPr>
        <w:t>4.3.2 承包人不得将工程主体、关键性工作分包给第三人。经发包人同意，承包人可将工程的其他部分或工作分包给第三人。分包包括专业分包和劳务分包。</w:t>
      </w:r>
      <w:bookmarkEnd w:id="152"/>
      <w:bookmarkEnd w:id="153"/>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4.3.3专业分包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在工程施工过程中，承包人进行专业分包必须遵守以下规定：</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允许专业分包的工程范围仅限于非关键性工程或者适合专业化队伍施工的专项工程，未列入投标文件的专项工程，承包人不得分包。但因工程变更增加了有特殊技术要求、特殊工艺或涉及专利保护等的专项工程，且按规定无须再进行招标的，由承包人提出书面申请，经发包人书面同意，可以分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（2）专业分包人的资格能力（含安全生产能力）应与其分包工程的标准和规模相适应，且应具备以下条件:</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a.具有经工商登记的法人资格；</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b.具有从事类似工程经验的管理和技术人员；</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c.具有（自有或租赁）分包工程所需的施工设备。</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承包人应向监理人提交专业分包人的资格能力证明材料，经监理人审查并报发包人批准后，可以将相应专业工程分包给该专业分包人。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（3）专业分工程不得再次分包。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承包人和专业分包人应当按照交通运输主管部门制定的统一格式依法签订专业分包合同，并同履行合同约定的义务。专业分包合同必须遵循承包合同的各项原则，满足承包合同中的质量、安全、进度、环保一级其他技术、经济等要求。专业分包合同必须明确约定工程款支付条款、结算方式以及保证按期支付的相应措施，确保工程款的支付。承包人应在工程实施前，经经监理人审查同意的分包合同报发包人备案。</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专业分包人应当设立项目管理机构，对所分包工程的施工活动实施管理。项目管理机构应当具有与分包工程的规模、技术复杂程度相适应的技术、经济管理人员，其中项目负责人和技术、财务、计量、安全等主要管理人员是专业分包人本单位人员。</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6）承包人应当建立健全相关分包管理制度和台账，对专业分包工程的质量、安全、进度和专业分包人的行为等实施全过程管理，按照本办法规定和合同约定对专业分包工程的实施向发包人负责，并承担赔偿责任。专业分包合同不免除承包合同中规定的承包人的责任或者义务。</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（7）专业分包人应当依据专业分包合同的约定，组织分包工程的施工，并对分包工程的质量、安全和进度等实施有效控制。专业分包人对其分包的工程向承包人负责，并就所分包的工程向发包人承担连带责任。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8）承包人对施工现场安全负总责，并对专业分包人的安全生产进行培训和管理。专业分包人应将其专业分包工程的施工组织设计和施工安全方案报承包人备案。专业分包人对分包施工现场安全负责，发生事故隐患，应及时处理。</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违反上述规定之一者属违规分包。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4.3.4劳务分包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在工程施工过程中，承包人进行劳务分包必须遵守以下规定：</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（1）劳务分包人应具有施工劳务分包资质。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（4）承包人应当对劳务分包人员进行安全培训和管理，劳务分包人不得将其分包的劳务作业再次分包。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违反上述规定之一者属违规分包。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本款补充第4.3.6项、4.3.7项：</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4.3.6 发包人对承包人与分包人之间的法律与经济纠纷不承担任何责任和义务。</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4.3.7本项目的各项分包工作均应遵守《公路工程施工分包管理办法》的有关规定。</w:t>
      </w:r>
    </w:p>
    <w:p>
      <w:pPr>
        <w:pStyle w:val="4"/>
        <w:spacing w:before="0" w:after="0" w:line="400" w:lineRule="exact"/>
        <w:ind w:right="2" w:rightChars="1"/>
        <w:rPr>
          <w:rFonts w:hint="eastAsia" w:ascii="宋体" w:hAnsi="宋体" w:eastAsia="宋体" w:cs="宋体"/>
          <w:sz w:val="24"/>
          <w:szCs w:val="24"/>
        </w:rPr>
      </w:pPr>
      <w:bookmarkStart w:id="154" w:name="_Toc234382855"/>
      <w:bookmarkStart w:id="155" w:name="_Toc14729"/>
      <w:bookmarkStart w:id="156" w:name="_Toc25670"/>
      <w:r>
        <w:rPr>
          <w:rFonts w:hint="eastAsia" w:ascii="宋体" w:hAnsi="宋体" w:eastAsia="宋体" w:cs="宋体"/>
          <w:sz w:val="24"/>
          <w:szCs w:val="24"/>
        </w:rPr>
        <w:t>4.4联合体</w:t>
      </w:r>
      <w:bookmarkEnd w:id="154"/>
      <w:bookmarkEnd w:id="155"/>
      <w:bookmarkEnd w:id="156"/>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本款增加第4.4.4项：</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4.4.4未经发包人事先同意，联合体的组成与结构不得变动。</w:t>
      </w:r>
    </w:p>
    <w:p>
      <w:pPr>
        <w:pStyle w:val="4"/>
        <w:spacing w:before="0" w:after="0" w:line="400" w:lineRule="exact"/>
        <w:ind w:right="2" w:rightChars="1"/>
        <w:rPr>
          <w:rFonts w:hint="eastAsia" w:ascii="宋体" w:hAnsi="宋体" w:eastAsia="宋体" w:cs="宋体"/>
          <w:sz w:val="24"/>
          <w:szCs w:val="24"/>
        </w:rPr>
      </w:pPr>
      <w:bookmarkStart w:id="157" w:name="_Toc234382856"/>
      <w:bookmarkStart w:id="158" w:name="_Toc23978"/>
      <w:bookmarkStart w:id="159" w:name="_Toc18126"/>
      <w:r>
        <w:rPr>
          <w:rFonts w:hint="eastAsia" w:ascii="宋体" w:hAnsi="宋体" w:eastAsia="宋体" w:cs="宋体"/>
          <w:sz w:val="24"/>
          <w:szCs w:val="24"/>
        </w:rPr>
        <w:t>4.6承包人人员的管理</w:t>
      </w:r>
      <w:bookmarkEnd w:id="157"/>
      <w:bookmarkEnd w:id="158"/>
      <w:bookmarkEnd w:id="159"/>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第4.6.3项细化为：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本款补充第4.6.5项：</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4"/>
        <w:spacing w:before="0" w:after="0" w:line="400" w:lineRule="exact"/>
        <w:ind w:right="2" w:rightChars="1"/>
        <w:rPr>
          <w:rFonts w:hint="eastAsia" w:ascii="宋体" w:hAnsi="宋体" w:eastAsia="宋体" w:cs="宋体"/>
          <w:sz w:val="24"/>
          <w:szCs w:val="24"/>
        </w:rPr>
      </w:pPr>
      <w:bookmarkStart w:id="160" w:name="_Toc3347"/>
      <w:bookmarkStart w:id="161" w:name="_Toc27510"/>
      <w:bookmarkStart w:id="162" w:name="_Toc234382857"/>
      <w:r>
        <w:rPr>
          <w:rFonts w:hint="eastAsia" w:ascii="宋体" w:hAnsi="宋体" w:eastAsia="宋体" w:cs="宋体"/>
          <w:sz w:val="24"/>
          <w:szCs w:val="24"/>
        </w:rPr>
        <w:t>4.7撤换承包人项目经理和其他人员</w:t>
      </w:r>
      <w:bookmarkEnd w:id="160"/>
      <w:bookmarkEnd w:id="161"/>
      <w:bookmarkEnd w:id="162"/>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4"/>
        <w:spacing w:before="0" w:after="0" w:line="400" w:lineRule="exact"/>
        <w:ind w:right="2" w:rightChars="1"/>
        <w:rPr>
          <w:rFonts w:hint="eastAsia" w:ascii="宋体" w:hAnsi="宋体" w:eastAsia="宋体" w:cs="宋体"/>
          <w:sz w:val="24"/>
          <w:szCs w:val="24"/>
        </w:rPr>
      </w:pPr>
      <w:bookmarkStart w:id="163" w:name="_Toc31814"/>
      <w:bookmarkStart w:id="164" w:name="_Toc234382858"/>
      <w:bookmarkStart w:id="165" w:name="_Toc22025"/>
      <w:r>
        <w:rPr>
          <w:rFonts w:hint="eastAsia" w:ascii="宋体" w:hAnsi="宋体" w:eastAsia="宋体" w:cs="宋体"/>
          <w:sz w:val="24"/>
          <w:szCs w:val="24"/>
        </w:rPr>
        <w:t>4.9工程价款应专款专用</w:t>
      </w:r>
      <w:bookmarkEnd w:id="163"/>
      <w:bookmarkEnd w:id="164"/>
      <w:bookmarkEnd w:id="165"/>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4"/>
        <w:spacing w:before="0" w:after="0" w:line="400" w:lineRule="exact"/>
        <w:ind w:right="2" w:rightChars="1"/>
        <w:rPr>
          <w:rFonts w:hint="eastAsia" w:ascii="宋体" w:hAnsi="宋体" w:eastAsia="宋体" w:cs="宋体"/>
          <w:sz w:val="24"/>
          <w:szCs w:val="24"/>
        </w:rPr>
      </w:pPr>
      <w:bookmarkStart w:id="166" w:name="_Toc234382859"/>
      <w:bookmarkStart w:id="167" w:name="_Toc4828"/>
      <w:bookmarkStart w:id="168" w:name="_Toc1495"/>
      <w:r>
        <w:rPr>
          <w:rFonts w:hint="eastAsia" w:ascii="宋体" w:hAnsi="宋体" w:eastAsia="宋体" w:cs="宋体"/>
          <w:sz w:val="24"/>
          <w:szCs w:val="24"/>
        </w:rPr>
        <w:t>4.10承包人现场查勘</w:t>
      </w:r>
      <w:bookmarkEnd w:id="166"/>
      <w:bookmarkEnd w:id="167"/>
      <w:bookmarkEnd w:id="168"/>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第4.10.1项细化为：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4"/>
        <w:spacing w:before="0" w:after="0" w:line="400" w:lineRule="exact"/>
        <w:ind w:right="2" w:rightChars="1"/>
        <w:rPr>
          <w:rFonts w:hint="eastAsia" w:ascii="宋体" w:hAnsi="宋体" w:eastAsia="宋体" w:cs="宋体"/>
          <w:sz w:val="24"/>
          <w:szCs w:val="24"/>
        </w:rPr>
      </w:pPr>
      <w:bookmarkStart w:id="169" w:name="_Toc13657"/>
      <w:bookmarkStart w:id="170" w:name="_Toc5165"/>
      <w:bookmarkStart w:id="171" w:name="_Toc234382860"/>
      <w:r>
        <w:rPr>
          <w:rFonts w:hint="eastAsia" w:ascii="宋体" w:hAnsi="宋体" w:eastAsia="宋体" w:cs="宋体"/>
          <w:sz w:val="24"/>
          <w:szCs w:val="24"/>
        </w:rPr>
        <w:t>4.11不利物质条件</w:t>
      </w:r>
      <w:bookmarkEnd w:id="169"/>
      <w:bookmarkEnd w:id="170"/>
      <w:bookmarkEnd w:id="171"/>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第4.11.2项细化为：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本款补充第4.11.3项：</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4.11.3 可预见的不利物质条件</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（2）对于项目专用合同条款未明确指出，但是在不利物质条件发生之前，监理人已经指示承包人有可能发生，但承包人未能及时采取有效措施，而导致的损失和后果均由承包人承担。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补充第4.12款、4.13款：</w:t>
      </w:r>
    </w:p>
    <w:p>
      <w:pPr>
        <w:pStyle w:val="4"/>
        <w:spacing w:before="0" w:after="0" w:line="400" w:lineRule="exact"/>
        <w:ind w:right="2" w:rightChars="1"/>
        <w:rPr>
          <w:rFonts w:hint="eastAsia" w:ascii="宋体" w:hAnsi="宋体" w:eastAsia="宋体" w:cs="宋体"/>
          <w:sz w:val="24"/>
          <w:szCs w:val="24"/>
        </w:rPr>
      </w:pPr>
      <w:bookmarkStart w:id="172" w:name="_Toc3361"/>
      <w:bookmarkStart w:id="173" w:name="_Toc8333"/>
      <w:bookmarkStart w:id="174" w:name="_Toc234382861"/>
      <w:r>
        <w:rPr>
          <w:rFonts w:hint="eastAsia" w:ascii="宋体" w:hAnsi="宋体" w:eastAsia="宋体" w:cs="宋体"/>
          <w:sz w:val="24"/>
          <w:szCs w:val="24"/>
        </w:rPr>
        <w:t>4.12投标文件的完备性</w:t>
      </w:r>
      <w:bookmarkEnd w:id="172"/>
      <w:bookmarkEnd w:id="173"/>
      <w:bookmarkEnd w:id="174"/>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4"/>
        <w:spacing w:before="0" w:after="0" w:line="400" w:lineRule="exact"/>
        <w:ind w:right="2" w:rightChars="1"/>
        <w:rPr>
          <w:rFonts w:hint="eastAsia" w:ascii="宋体" w:hAnsi="宋体" w:eastAsia="宋体" w:cs="宋体"/>
          <w:sz w:val="24"/>
          <w:szCs w:val="24"/>
          <w:lang w:eastAsia="zh-CN"/>
        </w:rPr>
      </w:pPr>
      <w:bookmarkStart w:id="175" w:name="_Toc12817"/>
      <w:bookmarkStart w:id="176" w:name="_Toc25449"/>
      <w:r>
        <w:rPr>
          <w:rFonts w:hint="eastAsia" w:ascii="宋体" w:hAnsi="宋体" w:eastAsia="宋体" w:cs="宋体"/>
          <w:sz w:val="24"/>
          <w:szCs w:val="24"/>
        </w:rPr>
        <w:t>4.13</w:t>
      </w:r>
      <w:r>
        <w:rPr>
          <w:rFonts w:hint="eastAsia" w:ascii="宋体" w:hAnsi="宋体" w:eastAsia="宋体" w:cs="宋体"/>
          <w:sz w:val="24"/>
          <w:szCs w:val="24"/>
          <w:lang w:eastAsia="zh-CN"/>
        </w:rPr>
        <w:t xml:space="preserve">  开展党建工作要求</w:t>
      </w:r>
      <w:bookmarkEnd w:id="175"/>
      <w:bookmarkEnd w:id="176"/>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对于政府投资的国有高速公路项目，或承包人为国有控股或参股企业的，承包人应按规定在项目现场设立基层党组织。承包人为非国有控股或参股企业的，应创造条件使党员能够参加党组织生活并接受相应管理。</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4"/>
        <w:spacing w:before="0" w:after="0" w:line="400" w:lineRule="exact"/>
        <w:ind w:right="2" w:rightChars="1"/>
        <w:rPr>
          <w:rFonts w:hint="eastAsia" w:ascii="宋体" w:hAnsi="宋体" w:eastAsia="宋体" w:cs="宋体"/>
          <w:sz w:val="24"/>
          <w:szCs w:val="24"/>
        </w:rPr>
      </w:pPr>
      <w:bookmarkStart w:id="177" w:name="_Toc22546"/>
      <w:bookmarkStart w:id="178" w:name="_Toc24799"/>
      <w:bookmarkStart w:id="179" w:name="_Toc234382862"/>
      <w:r>
        <w:rPr>
          <w:rFonts w:hint="eastAsia" w:ascii="宋体" w:hAnsi="宋体" w:eastAsia="宋体" w:cs="宋体"/>
          <w:sz w:val="24"/>
          <w:szCs w:val="24"/>
        </w:rPr>
        <w:t>5．材料和工程设备</w:t>
      </w:r>
      <w:bookmarkEnd w:id="177"/>
      <w:bookmarkEnd w:id="178"/>
      <w:bookmarkEnd w:id="179"/>
    </w:p>
    <w:p>
      <w:pPr>
        <w:pStyle w:val="4"/>
        <w:spacing w:before="0" w:after="0" w:line="400" w:lineRule="exact"/>
        <w:ind w:right="2" w:rightChars="1"/>
        <w:rPr>
          <w:rFonts w:hint="eastAsia" w:ascii="宋体" w:hAnsi="宋体" w:eastAsia="宋体" w:cs="宋体"/>
          <w:sz w:val="24"/>
          <w:szCs w:val="24"/>
        </w:rPr>
      </w:pPr>
      <w:bookmarkStart w:id="180" w:name="_Toc234382863"/>
      <w:bookmarkStart w:id="181" w:name="_Toc8910"/>
      <w:bookmarkStart w:id="182" w:name="_Toc21577"/>
      <w:r>
        <w:rPr>
          <w:rFonts w:hint="eastAsia" w:ascii="宋体" w:hAnsi="宋体" w:eastAsia="宋体" w:cs="宋体"/>
          <w:sz w:val="24"/>
          <w:szCs w:val="24"/>
        </w:rPr>
        <w:t>5.2发包人提供的材料和工程设备</w:t>
      </w:r>
      <w:bookmarkEnd w:id="180"/>
      <w:bookmarkEnd w:id="181"/>
      <w:bookmarkEnd w:id="182"/>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第5.2.3项补充：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4"/>
        <w:spacing w:before="0" w:after="0" w:line="400" w:lineRule="exact"/>
        <w:ind w:right="2" w:rightChars="1"/>
        <w:rPr>
          <w:rFonts w:hint="eastAsia" w:ascii="宋体" w:hAnsi="宋体" w:eastAsia="宋体" w:cs="宋体"/>
          <w:sz w:val="24"/>
          <w:szCs w:val="24"/>
        </w:rPr>
      </w:pPr>
      <w:bookmarkStart w:id="183" w:name="_Toc12412"/>
      <w:bookmarkStart w:id="184" w:name="_Toc26401"/>
      <w:bookmarkStart w:id="185" w:name="_Toc234382864"/>
      <w:r>
        <w:rPr>
          <w:rFonts w:hint="eastAsia" w:ascii="宋体" w:hAnsi="宋体" w:eastAsia="宋体" w:cs="宋体"/>
          <w:sz w:val="24"/>
          <w:szCs w:val="24"/>
        </w:rPr>
        <w:t>6．施工设备和临时设施</w:t>
      </w:r>
      <w:bookmarkEnd w:id="183"/>
      <w:bookmarkEnd w:id="184"/>
      <w:bookmarkEnd w:id="185"/>
    </w:p>
    <w:p>
      <w:pPr>
        <w:pStyle w:val="4"/>
        <w:spacing w:before="0" w:after="0" w:line="400" w:lineRule="exact"/>
        <w:ind w:right="2" w:rightChars="1"/>
        <w:rPr>
          <w:rFonts w:hint="eastAsia" w:ascii="宋体" w:hAnsi="宋体" w:eastAsia="宋体" w:cs="宋体"/>
          <w:sz w:val="24"/>
          <w:szCs w:val="24"/>
        </w:rPr>
      </w:pPr>
      <w:bookmarkStart w:id="186" w:name="_Toc4225"/>
      <w:bookmarkStart w:id="187" w:name="_Toc5823"/>
      <w:bookmarkStart w:id="188" w:name="_Toc234382865"/>
      <w:r>
        <w:rPr>
          <w:rFonts w:hint="eastAsia" w:ascii="宋体" w:hAnsi="宋体" w:eastAsia="宋体" w:cs="宋体"/>
          <w:sz w:val="24"/>
          <w:szCs w:val="24"/>
        </w:rPr>
        <w:t>6.2承包人提供的施工设备和临时设施</w:t>
      </w:r>
      <w:bookmarkEnd w:id="186"/>
      <w:bookmarkEnd w:id="187"/>
      <w:bookmarkEnd w:id="188"/>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第6.1.2项约定为：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承包人应自行承担修建临时设施的费用，需要临时占地的，应由承包人按第4.1.10项（1）目的规定办理。</w:t>
      </w:r>
    </w:p>
    <w:p>
      <w:pPr>
        <w:pStyle w:val="4"/>
        <w:spacing w:before="0" w:after="0" w:line="400" w:lineRule="exact"/>
        <w:ind w:right="2" w:rightChars="1"/>
        <w:rPr>
          <w:rFonts w:hint="eastAsia" w:ascii="宋体" w:hAnsi="宋体" w:eastAsia="宋体" w:cs="宋体"/>
          <w:sz w:val="24"/>
          <w:szCs w:val="24"/>
        </w:rPr>
      </w:pPr>
      <w:bookmarkStart w:id="189" w:name="_Toc17801"/>
      <w:bookmarkStart w:id="190" w:name="_Toc234382866"/>
      <w:bookmarkStart w:id="191" w:name="_Toc22741"/>
      <w:r>
        <w:rPr>
          <w:rFonts w:hint="eastAsia" w:ascii="宋体" w:hAnsi="宋体" w:eastAsia="宋体" w:cs="宋体"/>
          <w:sz w:val="24"/>
          <w:szCs w:val="24"/>
        </w:rPr>
        <w:t>6.3要求承包人增加或更换施工设备</w:t>
      </w:r>
      <w:bookmarkEnd w:id="189"/>
      <w:bookmarkEnd w:id="190"/>
      <w:bookmarkEnd w:id="191"/>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4"/>
        <w:spacing w:before="0" w:after="0" w:line="400" w:lineRule="exact"/>
        <w:ind w:right="2" w:rightChars="1"/>
        <w:rPr>
          <w:rFonts w:hint="eastAsia" w:ascii="宋体" w:hAnsi="宋体" w:eastAsia="宋体" w:cs="宋体"/>
          <w:sz w:val="24"/>
          <w:szCs w:val="24"/>
        </w:rPr>
      </w:pPr>
      <w:bookmarkStart w:id="192" w:name="_Toc5731"/>
      <w:bookmarkStart w:id="193" w:name="_Toc17315"/>
      <w:bookmarkStart w:id="194" w:name="_Toc234382867"/>
      <w:r>
        <w:rPr>
          <w:rFonts w:hint="eastAsia" w:ascii="宋体" w:hAnsi="宋体" w:eastAsia="宋体" w:cs="宋体"/>
          <w:sz w:val="24"/>
          <w:szCs w:val="24"/>
        </w:rPr>
        <w:t>7．交通运输</w:t>
      </w:r>
      <w:bookmarkEnd w:id="192"/>
      <w:bookmarkEnd w:id="193"/>
      <w:bookmarkEnd w:id="194"/>
    </w:p>
    <w:p>
      <w:pPr>
        <w:pStyle w:val="4"/>
        <w:spacing w:before="0" w:after="0" w:line="400" w:lineRule="exact"/>
        <w:ind w:right="2" w:rightChars="1"/>
        <w:rPr>
          <w:rFonts w:hint="eastAsia" w:ascii="宋体" w:hAnsi="宋体" w:eastAsia="宋体" w:cs="宋体"/>
          <w:sz w:val="24"/>
          <w:szCs w:val="24"/>
        </w:rPr>
      </w:pPr>
      <w:bookmarkStart w:id="195" w:name="_Toc2482"/>
      <w:bookmarkStart w:id="196" w:name="_Toc234382868"/>
      <w:bookmarkStart w:id="197" w:name="_Toc249"/>
      <w:r>
        <w:rPr>
          <w:rFonts w:hint="eastAsia" w:ascii="宋体" w:hAnsi="宋体" w:eastAsia="宋体" w:cs="宋体"/>
          <w:sz w:val="24"/>
          <w:szCs w:val="24"/>
        </w:rPr>
        <w:t>7.1道路通行权和场外设施</w:t>
      </w:r>
      <w:bookmarkEnd w:id="195"/>
      <w:bookmarkEnd w:id="196"/>
      <w:bookmarkEnd w:id="197"/>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本款约定为：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4"/>
        <w:spacing w:before="0" w:after="0" w:line="400" w:lineRule="exact"/>
        <w:ind w:right="2" w:rightChars="1"/>
        <w:rPr>
          <w:rFonts w:hint="eastAsia" w:ascii="宋体" w:hAnsi="宋体" w:eastAsia="宋体" w:cs="宋体"/>
          <w:sz w:val="24"/>
          <w:szCs w:val="24"/>
        </w:rPr>
      </w:pPr>
      <w:bookmarkStart w:id="198" w:name="_Toc234382869"/>
      <w:bookmarkStart w:id="199" w:name="_Toc7460"/>
      <w:bookmarkStart w:id="200" w:name="_Toc23779"/>
      <w:r>
        <w:rPr>
          <w:rFonts w:hint="eastAsia" w:ascii="宋体" w:hAnsi="宋体" w:eastAsia="宋体" w:cs="宋体"/>
          <w:sz w:val="24"/>
          <w:szCs w:val="24"/>
        </w:rPr>
        <w:t>8．测量放线</w:t>
      </w:r>
      <w:bookmarkEnd w:id="198"/>
      <w:bookmarkEnd w:id="199"/>
      <w:bookmarkEnd w:id="200"/>
    </w:p>
    <w:p>
      <w:pPr>
        <w:pStyle w:val="4"/>
        <w:spacing w:before="0" w:after="0" w:line="400" w:lineRule="exact"/>
        <w:ind w:right="2" w:rightChars="1"/>
        <w:rPr>
          <w:rFonts w:hint="eastAsia" w:ascii="宋体" w:hAnsi="宋体" w:eastAsia="宋体" w:cs="宋体"/>
          <w:sz w:val="24"/>
          <w:szCs w:val="24"/>
        </w:rPr>
      </w:pPr>
      <w:bookmarkStart w:id="201" w:name="_Toc32223"/>
      <w:bookmarkStart w:id="202" w:name="_Toc234382870"/>
      <w:bookmarkStart w:id="203" w:name="_Toc9684"/>
      <w:r>
        <w:rPr>
          <w:rFonts w:hint="eastAsia" w:ascii="宋体" w:hAnsi="宋体" w:eastAsia="宋体" w:cs="宋体"/>
          <w:sz w:val="24"/>
          <w:szCs w:val="24"/>
        </w:rPr>
        <w:t>8.4监理人使用施工控制网</w:t>
      </w:r>
      <w:bookmarkEnd w:id="201"/>
      <w:bookmarkEnd w:id="202"/>
      <w:bookmarkEnd w:id="203"/>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经监理人批准，其他相关承包人也可免费使用施工控制网。</w:t>
      </w:r>
    </w:p>
    <w:p>
      <w:pPr>
        <w:pStyle w:val="4"/>
        <w:spacing w:before="0" w:after="0" w:line="400" w:lineRule="exact"/>
        <w:ind w:right="2" w:rightChars="1"/>
        <w:rPr>
          <w:rFonts w:hint="eastAsia" w:ascii="宋体" w:hAnsi="宋体" w:eastAsia="宋体" w:cs="宋体"/>
          <w:sz w:val="24"/>
          <w:szCs w:val="24"/>
        </w:rPr>
      </w:pPr>
      <w:bookmarkStart w:id="204" w:name="_Toc234382871"/>
      <w:bookmarkStart w:id="205" w:name="_Toc8421"/>
      <w:bookmarkStart w:id="206" w:name="_Toc11175"/>
      <w:r>
        <w:rPr>
          <w:rFonts w:hint="eastAsia" w:ascii="宋体" w:hAnsi="宋体" w:eastAsia="宋体" w:cs="宋体"/>
          <w:sz w:val="24"/>
          <w:szCs w:val="24"/>
        </w:rPr>
        <w:t>9．施工安全、治安保卫和环境保护</w:t>
      </w:r>
      <w:bookmarkEnd w:id="204"/>
      <w:bookmarkEnd w:id="205"/>
      <w:bookmarkEnd w:id="206"/>
    </w:p>
    <w:p>
      <w:pPr>
        <w:pStyle w:val="4"/>
        <w:spacing w:before="0" w:after="0" w:line="400" w:lineRule="exact"/>
        <w:ind w:right="2" w:rightChars="1"/>
        <w:rPr>
          <w:rFonts w:hint="eastAsia" w:ascii="宋体" w:hAnsi="宋体" w:eastAsia="宋体" w:cs="宋体"/>
          <w:sz w:val="24"/>
          <w:szCs w:val="24"/>
        </w:rPr>
      </w:pPr>
      <w:bookmarkStart w:id="207" w:name="_Toc234382872"/>
      <w:bookmarkStart w:id="208" w:name="_Toc21547"/>
      <w:bookmarkStart w:id="209" w:name="_Toc25821"/>
      <w:r>
        <w:rPr>
          <w:rFonts w:hint="eastAsia" w:ascii="宋体" w:hAnsi="宋体" w:eastAsia="宋体" w:cs="宋体"/>
          <w:sz w:val="24"/>
          <w:szCs w:val="24"/>
        </w:rPr>
        <w:t>9．2承包人的施工安全责任</w:t>
      </w:r>
      <w:bookmarkEnd w:id="207"/>
      <w:bookmarkEnd w:id="208"/>
      <w:bookmarkEnd w:id="209"/>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第9.2.1项细化为：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本项目需要编制专项施工方案的工程包括但不限于以下内容：</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（1）不良地质条件下有潜在危险性的土方、石方开挖；</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（2）滑坡和高边坡处理；</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（3）桩基础、挡墙基础、深水基础及围堰工程；</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（4）桥梁工程中的梁、拱、柱等构件施工等；</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（5）隧道工程中的不良地质隧道、高瓦斯隧道等；</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（6）水上工程中的打桩船作业、施工船作业、外海孤岛作业、边通航边施工作业等；</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（7）水下工程中的水下焊接、混凝土浇筑、爆破工程等；</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（8）爆破工程；</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（9）大型临时工程中的大型支架、模板、便桥的架设与拆除；桥梁、码头的加固与拆除；</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（10）其他危险性较大的工程。</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监理人和发包人在检查中发现有安全问题或有违反安全管理规章制度的情况时，可视其为承包人违约，应按第22.1款的规定处理。</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第9.2.5项细化为：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除专用合同条件另有约定外，安全生产费用应为投标报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及满足项目施工需求，则承包人应在本项目工程量清单其他相关子目中的单价或总额中予以考虑，发包人不再另行支付。因采取合同未约定的特殊防护措施增加的费用，由监理人按第3.5款商定或确定。</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本款第9.2.8项-第9.2.11项：</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9.2.8承包人应充分关注和保障所有在现场工作的人员的安全，采取以下有效措施，使现场和本合同工程的实施保持有条不紊，以免使让述人员的安全受到威胁。</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（1）按《公路水运工程安全生产临督管理办法》规定的最低数量和资质条件配备专职安全生产管理人员；</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（3）所有施工机具设备和高空作业设备均应定期检查，并有安全员的签字记录。</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（4）根据本合同各单位工程的特点，严格执行《公路水运工程安全生产监督管理办法》、《公路工程施工安全技术规程》与《公路筑养路机械操作规程》的具体规定。</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9.2.10在通航水域施工时，承包人应与当地主管部门取得联系，设置必要的导航标志，及时发布航行通告，确保施工水域安全。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4"/>
        <w:spacing w:before="0" w:after="0" w:line="400" w:lineRule="exact"/>
        <w:ind w:right="2" w:rightChars="1"/>
        <w:rPr>
          <w:rFonts w:hint="eastAsia" w:ascii="宋体" w:hAnsi="宋体" w:eastAsia="宋体" w:cs="宋体"/>
          <w:sz w:val="24"/>
          <w:szCs w:val="24"/>
        </w:rPr>
      </w:pPr>
      <w:bookmarkStart w:id="210" w:name="_Toc23496"/>
      <w:bookmarkStart w:id="211" w:name="_Toc234382873"/>
      <w:bookmarkStart w:id="212" w:name="_Toc22742"/>
      <w:r>
        <w:rPr>
          <w:rFonts w:hint="eastAsia" w:ascii="宋体" w:hAnsi="宋体" w:eastAsia="宋体" w:cs="宋体"/>
          <w:sz w:val="24"/>
          <w:szCs w:val="24"/>
        </w:rPr>
        <w:t>9．4环境保护</w:t>
      </w:r>
      <w:bookmarkEnd w:id="210"/>
      <w:bookmarkEnd w:id="211"/>
      <w:bookmarkEnd w:id="212"/>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本款补充第9.4.7～第9.4.11项：</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9.4.7 承包人应切实执行技术规范中有关环境保护方面的条款和规定。</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（2）对于公路施工中粉尘污染的主要污染源——灰土拌和、施工车辆和筑路机械运行及运输产生的扬尘，应采取有效措施减轻施工现场的大气污染，保护人民健康，如：</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a.拌和设备应有较好的密封，或有防尘设备。</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b.施工通道、沥青混凝土拌和站及灰土拌和站应经常进行洒水降尘。</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c.路面施工应注意保持水分，以免扬尘。</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d.隧道出渣和桥梁钻孔灌注桩施工时排出的泥浆要进行妥善处理，严禁向河流或农田排放。</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（3）采取可靠措施保证原有交通的正常通行，维持沿线村镇的居民饮水、农田灌溉、生产生活用电及通讯等管线的正常使用。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9.4.9在施工期间，承包人应随时保持现场整洁，施工设备和材料、工程设备应整齐妥善存放和储存，废料与垃圾及不再需要的临时设施应及时从现场清除、拆除并运走。</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9.4.12 我市目前正处于大气污染防治攻坚阶段，承包单位应严格按照河南省交通运输厅《关于印发河南省公路水运工程施工扬尘污染防治标准（试行）的通知》（豫交文〔2016〕436 号）做好公路水运工程施工扬尘污染防治工作，改善大气环境质量。</w:t>
      </w:r>
    </w:p>
    <w:p>
      <w:pPr>
        <w:pStyle w:val="4"/>
        <w:spacing w:before="0" w:after="0" w:line="400" w:lineRule="exact"/>
        <w:ind w:right="2" w:rightChars="1"/>
        <w:rPr>
          <w:rFonts w:hint="eastAsia" w:ascii="宋体" w:hAnsi="宋体" w:eastAsia="宋体" w:cs="宋体"/>
          <w:sz w:val="24"/>
          <w:szCs w:val="24"/>
        </w:rPr>
      </w:pPr>
      <w:bookmarkStart w:id="213" w:name="_Toc4288"/>
      <w:bookmarkStart w:id="214" w:name="_Toc234382874"/>
      <w:bookmarkStart w:id="215" w:name="_Toc2974"/>
      <w:r>
        <w:rPr>
          <w:rFonts w:hint="eastAsia" w:ascii="宋体" w:hAnsi="宋体" w:eastAsia="宋体" w:cs="宋体"/>
          <w:sz w:val="24"/>
          <w:szCs w:val="24"/>
        </w:rPr>
        <w:t>10．进度计划</w:t>
      </w:r>
      <w:bookmarkEnd w:id="213"/>
      <w:bookmarkEnd w:id="214"/>
      <w:bookmarkEnd w:id="215"/>
    </w:p>
    <w:p>
      <w:pPr>
        <w:pStyle w:val="4"/>
        <w:spacing w:before="0" w:after="0" w:line="400" w:lineRule="exact"/>
        <w:ind w:right="2" w:rightChars="1"/>
        <w:rPr>
          <w:rFonts w:hint="eastAsia" w:ascii="宋体" w:hAnsi="宋体" w:eastAsia="宋体" w:cs="宋体"/>
          <w:sz w:val="24"/>
          <w:szCs w:val="24"/>
        </w:rPr>
      </w:pPr>
      <w:bookmarkStart w:id="216" w:name="_Toc234382875"/>
      <w:bookmarkStart w:id="217" w:name="_Toc15904"/>
      <w:bookmarkStart w:id="218" w:name="_Toc16029"/>
      <w:r>
        <w:rPr>
          <w:rFonts w:hint="eastAsia" w:ascii="宋体" w:hAnsi="宋体" w:eastAsia="宋体" w:cs="宋体"/>
          <w:sz w:val="24"/>
          <w:szCs w:val="24"/>
        </w:rPr>
        <w:t>10.1合同进度计划</w:t>
      </w:r>
      <w:bookmarkEnd w:id="216"/>
      <w:bookmarkEnd w:id="217"/>
      <w:bookmarkEnd w:id="218"/>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承包人编制施工方案说明的内容见项目专用合同条款。</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承包人向监理人报送施工进度计划和施工方案说明的期限：签订合同协议书后28天之内。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监理人应在14天内对承包人施工进度计划和施工方案说明予以批复或提出修改意见。</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合同进度计划应按照关键线路网络图和主要工作横道图两种形式分别编绘，并应包括每月预计完成的工作量和形象进度。</w:t>
      </w:r>
    </w:p>
    <w:p>
      <w:pPr>
        <w:pStyle w:val="4"/>
        <w:spacing w:before="0" w:after="0" w:line="400" w:lineRule="exact"/>
        <w:ind w:right="2" w:rightChars="1"/>
        <w:rPr>
          <w:rFonts w:hint="eastAsia" w:ascii="宋体" w:hAnsi="宋体" w:eastAsia="宋体" w:cs="宋体"/>
          <w:sz w:val="24"/>
          <w:szCs w:val="24"/>
        </w:rPr>
      </w:pPr>
      <w:bookmarkStart w:id="219" w:name="_Toc17620"/>
      <w:bookmarkStart w:id="220" w:name="_Toc23173"/>
      <w:bookmarkStart w:id="221" w:name="_Toc234382876"/>
      <w:r>
        <w:rPr>
          <w:rFonts w:hint="eastAsia" w:ascii="宋体" w:hAnsi="宋体" w:eastAsia="宋体" w:cs="宋体"/>
          <w:sz w:val="24"/>
          <w:szCs w:val="24"/>
        </w:rPr>
        <w:t>10.2合同进度计划的修订</w:t>
      </w:r>
      <w:bookmarkEnd w:id="219"/>
      <w:bookmarkEnd w:id="220"/>
      <w:bookmarkEnd w:id="221"/>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承包人提交合同进度计划修订申请报告，并附有关措施和相关资料的期限：实际进度发生滞后的当月25日前。</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监理人批复修订合同进度计划的期限：收到修订合同进度计划后14天内。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补充第10.3、10.4款：</w:t>
      </w:r>
    </w:p>
    <w:p>
      <w:pPr>
        <w:pStyle w:val="4"/>
        <w:spacing w:before="0" w:after="0" w:line="400" w:lineRule="exact"/>
        <w:ind w:right="2" w:rightChars="1"/>
        <w:rPr>
          <w:rFonts w:hint="eastAsia" w:ascii="宋体" w:hAnsi="宋体" w:eastAsia="宋体" w:cs="宋体"/>
          <w:sz w:val="24"/>
          <w:szCs w:val="24"/>
        </w:rPr>
      </w:pPr>
      <w:bookmarkStart w:id="222" w:name="_Toc25422"/>
      <w:bookmarkStart w:id="223" w:name="_Toc26924"/>
      <w:bookmarkStart w:id="224" w:name="_Toc234382877"/>
      <w:r>
        <w:rPr>
          <w:rFonts w:hint="eastAsia" w:ascii="宋体" w:hAnsi="宋体" w:eastAsia="宋体" w:cs="宋体"/>
          <w:sz w:val="24"/>
          <w:szCs w:val="24"/>
        </w:rPr>
        <w:t>10.3年度施工计划</w:t>
      </w:r>
      <w:bookmarkEnd w:id="222"/>
      <w:bookmarkEnd w:id="223"/>
      <w:bookmarkEnd w:id="224"/>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4"/>
        <w:spacing w:before="0" w:after="0" w:line="400" w:lineRule="exact"/>
        <w:ind w:right="2" w:rightChars="1"/>
        <w:rPr>
          <w:rFonts w:hint="eastAsia" w:ascii="宋体" w:hAnsi="宋体" w:eastAsia="宋体" w:cs="宋体"/>
          <w:sz w:val="24"/>
          <w:szCs w:val="24"/>
        </w:rPr>
      </w:pPr>
      <w:bookmarkStart w:id="225" w:name="_Toc234382878"/>
      <w:bookmarkStart w:id="226" w:name="_Toc25596"/>
      <w:bookmarkStart w:id="227" w:name="_Toc482"/>
      <w:r>
        <w:rPr>
          <w:rFonts w:hint="eastAsia" w:ascii="宋体" w:hAnsi="宋体" w:eastAsia="宋体" w:cs="宋体"/>
          <w:sz w:val="24"/>
          <w:szCs w:val="24"/>
        </w:rPr>
        <w:t>10.4合同用款计划</w:t>
      </w:r>
      <w:bookmarkEnd w:id="225"/>
      <w:bookmarkEnd w:id="226"/>
      <w:bookmarkEnd w:id="227"/>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4"/>
        <w:spacing w:before="0" w:after="0" w:line="400" w:lineRule="exact"/>
        <w:ind w:right="2" w:rightChars="1"/>
        <w:rPr>
          <w:rFonts w:hint="eastAsia" w:ascii="宋体" w:hAnsi="宋体" w:eastAsia="宋体" w:cs="宋体"/>
          <w:sz w:val="24"/>
          <w:szCs w:val="24"/>
        </w:rPr>
      </w:pPr>
      <w:bookmarkStart w:id="228" w:name="_Toc20495"/>
      <w:bookmarkStart w:id="229" w:name="_Toc18546"/>
      <w:bookmarkStart w:id="230" w:name="_Toc234382879"/>
      <w:r>
        <w:rPr>
          <w:rFonts w:hint="eastAsia" w:ascii="宋体" w:hAnsi="宋体" w:eastAsia="宋体" w:cs="宋体"/>
          <w:sz w:val="24"/>
          <w:szCs w:val="24"/>
        </w:rPr>
        <w:t>11．开工和竣工</w:t>
      </w:r>
      <w:bookmarkEnd w:id="228"/>
      <w:bookmarkEnd w:id="229"/>
      <w:bookmarkEnd w:id="230"/>
    </w:p>
    <w:p>
      <w:pPr>
        <w:pStyle w:val="4"/>
        <w:spacing w:before="0" w:after="0" w:line="400" w:lineRule="exact"/>
        <w:ind w:right="2" w:rightChars="1"/>
        <w:rPr>
          <w:rFonts w:hint="eastAsia" w:ascii="宋体" w:hAnsi="宋体" w:eastAsia="宋体" w:cs="宋体"/>
          <w:sz w:val="24"/>
          <w:szCs w:val="24"/>
        </w:rPr>
      </w:pPr>
      <w:bookmarkStart w:id="231" w:name="_Toc14092"/>
      <w:bookmarkStart w:id="232" w:name="_Toc10688"/>
      <w:bookmarkStart w:id="233" w:name="_Toc234382880"/>
      <w:r>
        <w:rPr>
          <w:rFonts w:hint="eastAsia" w:ascii="宋体" w:hAnsi="宋体" w:eastAsia="宋体" w:cs="宋体"/>
          <w:sz w:val="24"/>
          <w:szCs w:val="24"/>
        </w:rPr>
        <w:t>11.1开工</w:t>
      </w:r>
      <w:bookmarkEnd w:id="231"/>
      <w:bookmarkEnd w:id="232"/>
      <w:bookmarkEnd w:id="233"/>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第11.1.2项补充：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承包人应在分部工程开工前14天向监理人提交分部工程开工报审表，若承包人的开工准备、工作计划和质量控制方法是可接受的且已获得批准，则经监理人书面同意，分部工程才能开工。</w:t>
      </w:r>
    </w:p>
    <w:p>
      <w:pPr>
        <w:pStyle w:val="4"/>
        <w:spacing w:before="0" w:after="0" w:line="400" w:lineRule="exact"/>
        <w:ind w:right="2" w:rightChars="1"/>
        <w:rPr>
          <w:rFonts w:hint="eastAsia" w:ascii="宋体" w:hAnsi="宋体" w:eastAsia="宋体" w:cs="宋体"/>
          <w:sz w:val="24"/>
          <w:szCs w:val="24"/>
        </w:rPr>
      </w:pPr>
      <w:bookmarkStart w:id="234" w:name="_Toc18994"/>
      <w:bookmarkStart w:id="235" w:name="_Toc234382881"/>
      <w:bookmarkStart w:id="236" w:name="_Toc1854"/>
      <w:r>
        <w:rPr>
          <w:rFonts w:hint="eastAsia" w:ascii="宋体" w:hAnsi="宋体" w:eastAsia="宋体" w:cs="宋体"/>
          <w:sz w:val="24"/>
          <w:szCs w:val="24"/>
        </w:rPr>
        <w:t>11.3发包人的工期延误</w:t>
      </w:r>
      <w:bookmarkEnd w:id="234"/>
      <w:bookmarkEnd w:id="235"/>
      <w:bookmarkEnd w:id="236"/>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即使由于上述原因造成工期延误，如果受影响的工程并非处在工程施工进度网络计划的关键线路上，则承包人无权要求延长总工期。</w:t>
      </w:r>
    </w:p>
    <w:p>
      <w:pPr>
        <w:pStyle w:val="4"/>
        <w:spacing w:before="0" w:after="0" w:line="400" w:lineRule="exact"/>
        <w:ind w:right="2" w:rightChars="1"/>
        <w:rPr>
          <w:rFonts w:hint="eastAsia" w:ascii="宋体" w:hAnsi="宋体" w:eastAsia="宋体" w:cs="宋体"/>
          <w:sz w:val="24"/>
          <w:szCs w:val="24"/>
        </w:rPr>
      </w:pPr>
      <w:bookmarkStart w:id="237" w:name="_Toc13021"/>
      <w:bookmarkStart w:id="238" w:name="_Toc12730"/>
      <w:bookmarkStart w:id="239" w:name="_Toc234382882"/>
      <w:r>
        <w:rPr>
          <w:rFonts w:hint="eastAsia" w:ascii="宋体" w:hAnsi="宋体" w:eastAsia="宋体" w:cs="宋体"/>
          <w:sz w:val="24"/>
          <w:szCs w:val="24"/>
        </w:rPr>
        <w:t>11.4异常恶劣的气候条件</w:t>
      </w:r>
      <w:bookmarkEnd w:id="237"/>
      <w:bookmarkEnd w:id="238"/>
      <w:bookmarkEnd w:id="239"/>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异常气候条件是指项目所在地30年一遇的罕见气候现象（包括温度、降水、降雪、风等）。异常恶劣的气候条件在项目专用合同条款中作具体规定。</w:t>
      </w:r>
    </w:p>
    <w:p>
      <w:pPr>
        <w:pStyle w:val="4"/>
        <w:spacing w:before="0" w:after="0" w:line="400" w:lineRule="exact"/>
        <w:ind w:right="2" w:rightChars="1"/>
        <w:rPr>
          <w:rFonts w:hint="eastAsia" w:ascii="宋体" w:hAnsi="宋体" w:eastAsia="宋体" w:cs="宋体"/>
          <w:sz w:val="24"/>
          <w:szCs w:val="24"/>
        </w:rPr>
      </w:pPr>
      <w:bookmarkStart w:id="240" w:name="_Toc27701"/>
      <w:bookmarkStart w:id="241" w:name="_Toc234382883"/>
      <w:bookmarkStart w:id="242" w:name="_Toc19152"/>
      <w:r>
        <w:rPr>
          <w:rFonts w:hint="eastAsia" w:ascii="宋体" w:hAnsi="宋体" w:eastAsia="宋体" w:cs="宋体"/>
          <w:sz w:val="24"/>
          <w:szCs w:val="24"/>
        </w:rPr>
        <w:t>11.5承包人的工期延误</w:t>
      </w:r>
      <w:bookmarkEnd w:id="240"/>
      <w:bookmarkEnd w:id="241"/>
      <w:bookmarkEnd w:id="242"/>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 xml:space="preserve">（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 </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w:t>
      </w:r>
      <w:r>
        <w:rPr>
          <w:rFonts w:hint="eastAsia" w:ascii="宋体" w:hAnsi="宋体" w:eastAsia="宋体" w:cs="宋体"/>
          <w:vanish/>
          <w:sz w:val="24"/>
          <w:szCs w:val="24"/>
        </w:rPr>
        <w:t>证书人</w:t>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pgNum/>
      </w:r>
      <w:r>
        <w:rPr>
          <w:rFonts w:hint="eastAsia" w:ascii="宋体" w:hAnsi="宋体" w:eastAsia="宋体" w:cs="宋体"/>
          <w:vanish/>
          <w:sz w:val="24"/>
          <w:szCs w:val="24"/>
        </w:rPr>
        <w:t>，，</w:t>
      </w:r>
      <w:r>
        <w:rPr>
          <w:rFonts w:hint="eastAsia" w:ascii="宋体" w:hAnsi="宋体" w:eastAsia="宋体" w:cs="宋体"/>
          <w:sz w:val="24"/>
          <w:szCs w:val="24"/>
        </w:rPr>
        <w:t>逾期交工违约金累计金额最高不超过项目专用合同条款数据表中写明的限额。发包人可以从应付或到期应付给承包人的任何款项中或采用其他方法扣除此违约金。</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（4）承包人支付逾期竣工建约金，不免除承包人完成工程及修补缺陷的义务。</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4"/>
        <w:spacing w:before="0" w:after="0" w:line="400" w:lineRule="exact"/>
        <w:ind w:right="2" w:rightChars="1"/>
        <w:rPr>
          <w:rFonts w:hint="eastAsia" w:ascii="宋体" w:hAnsi="宋体" w:eastAsia="宋体" w:cs="宋体"/>
          <w:sz w:val="24"/>
          <w:szCs w:val="24"/>
        </w:rPr>
      </w:pPr>
      <w:bookmarkStart w:id="243" w:name="_Toc18044"/>
      <w:bookmarkStart w:id="244" w:name="_Toc234382884"/>
      <w:bookmarkStart w:id="245" w:name="_Toc9269"/>
      <w:r>
        <w:rPr>
          <w:rFonts w:hint="eastAsia" w:ascii="宋体" w:hAnsi="宋体" w:eastAsia="宋体" w:cs="宋体"/>
          <w:sz w:val="24"/>
          <w:szCs w:val="24"/>
        </w:rPr>
        <w:t>11．6工期提前</w:t>
      </w:r>
      <w:bookmarkEnd w:id="243"/>
      <w:bookmarkEnd w:id="244"/>
      <w:bookmarkEnd w:id="245"/>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发包人不得随意要求承包人提前交工，承包人也不得随意提出提前交工的建议。如遇特殊情况，确需将工期提前的，发包人和承包人必须采取有效措施，确保工程质量。</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补充11.7款：</w:t>
      </w:r>
    </w:p>
    <w:p>
      <w:pPr>
        <w:pStyle w:val="4"/>
        <w:spacing w:before="0" w:after="0" w:line="400" w:lineRule="exact"/>
        <w:ind w:right="2" w:rightChars="1"/>
        <w:rPr>
          <w:rFonts w:hint="eastAsia" w:ascii="宋体" w:hAnsi="宋体" w:eastAsia="宋体" w:cs="宋体"/>
          <w:sz w:val="24"/>
          <w:szCs w:val="24"/>
        </w:rPr>
      </w:pPr>
      <w:bookmarkStart w:id="246" w:name="_Toc17325"/>
      <w:bookmarkStart w:id="247" w:name="_Toc7995"/>
      <w:bookmarkStart w:id="248" w:name="_Toc234382885"/>
      <w:r>
        <w:rPr>
          <w:rFonts w:hint="eastAsia" w:ascii="宋体" w:hAnsi="宋体" w:eastAsia="宋体" w:cs="宋体"/>
          <w:sz w:val="24"/>
          <w:szCs w:val="24"/>
        </w:rPr>
        <w:t>11．7工作时间的限制</w:t>
      </w:r>
      <w:bookmarkEnd w:id="246"/>
      <w:bookmarkEnd w:id="247"/>
      <w:bookmarkEnd w:id="248"/>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承包人在夜间或国家规定的节假日进行永久工程的施工，应向监理人报告，以便监理人履行监理人履行监理职责和义务。</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但是，为了抢救生命或保护财产，或为了工程的安全、质量而不可避免地短暂作业，则不必事先向监理人报告。但承包人应在事后立即向监理人报告。</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本款规定不适用于习惯上或施工本身要求实行连续生产的作业。</w:t>
      </w:r>
    </w:p>
    <w:p>
      <w:pPr>
        <w:pStyle w:val="4"/>
        <w:spacing w:before="0" w:after="0" w:line="400" w:lineRule="exact"/>
        <w:ind w:right="2" w:rightChars="1"/>
        <w:rPr>
          <w:rFonts w:hint="eastAsia" w:ascii="宋体" w:hAnsi="宋体" w:eastAsia="宋体" w:cs="宋体"/>
          <w:sz w:val="24"/>
          <w:szCs w:val="24"/>
        </w:rPr>
      </w:pPr>
      <w:bookmarkStart w:id="249" w:name="_Toc27768"/>
      <w:bookmarkStart w:id="250" w:name="_Toc6071"/>
      <w:bookmarkStart w:id="251" w:name="_Toc234382886"/>
      <w:r>
        <w:rPr>
          <w:rFonts w:hint="eastAsia" w:ascii="宋体" w:hAnsi="宋体" w:eastAsia="宋体" w:cs="宋体"/>
          <w:sz w:val="24"/>
          <w:szCs w:val="24"/>
        </w:rPr>
        <w:t>12．暂停施工</w:t>
      </w:r>
      <w:bookmarkEnd w:id="249"/>
      <w:bookmarkEnd w:id="250"/>
      <w:bookmarkEnd w:id="251"/>
    </w:p>
    <w:p>
      <w:pPr>
        <w:pStyle w:val="4"/>
        <w:spacing w:before="0" w:after="0" w:line="400" w:lineRule="exact"/>
        <w:ind w:right="2" w:rightChars="1"/>
        <w:rPr>
          <w:rFonts w:hint="eastAsia" w:ascii="宋体" w:hAnsi="宋体" w:eastAsia="宋体" w:cs="宋体"/>
          <w:sz w:val="24"/>
          <w:szCs w:val="24"/>
        </w:rPr>
      </w:pPr>
      <w:bookmarkStart w:id="252" w:name="_Toc13321"/>
      <w:bookmarkStart w:id="253" w:name="_Toc234382887"/>
      <w:bookmarkStart w:id="254" w:name="_Toc945"/>
      <w:r>
        <w:rPr>
          <w:rFonts w:hint="eastAsia" w:ascii="宋体" w:hAnsi="宋体" w:eastAsia="宋体" w:cs="宋体"/>
          <w:sz w:val="24"/>
          <w:szCs w:val="24"/>
        </w:rPr>
        <w:t>12．1承包人暂停施工的责任</w:t>
      </w:r>
      <w:bookmarkEnd w:id="252"/>
      <w:bookmarkEnd w:id="253"/>
      <w:bookmarkEnd w:id="254"/>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本款第（5）项细化为：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（5）现场气候条件导致的必要停工（第11.4款规定的异常恶劣的气候条件除外）；</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（6）项目专用合同条款约定的由承包人承担的其他暂停施工。</w:t>
      </w:r>
    </w:p>
    <w:p>
      <w:pPr>
        <w:pStyle w:val="4"/>
        <w:spacing w:before="0" w:after="0" w:line="400" w:lineRule="exact"/>
        <w:ind w:right="2" w:rightChars="1"/>
        <w:rPr>
          <w:rFonts w:hint="eastAsia" w:ascii="宋体" w:hAnsi="宋体" w:eastAsia="宋体" w:cs="宋体"/>
          <w:sz w:val="24"/>
          <w:szCs w:val="24"/>
        </w:rPr>
      </w:pPr>
      <w:bookmarkStart w:id="255" w:name="_Toc18031"/>
      <w:bookmarkStart w:id="256" w:name="_Toc28970"/>
      <w:bookmarkStart w:id="257" w:name="_Toc234382888"/>
      <w:r>
        <w:rPr>
          <w:rFonts w:hint="eastAsia" w:ascii="宋体" w:hAnsi="宋体" w:eastAsia="宋体" w:cs="宋体"/>
          <w:sz w:val="24"/>
          <w:szCs w:val="24"/>
        </w:rPr>
        <w:t>13．工程质量</w:t>
      </w:r>
      <w:bookmarkEnd w:id="255"/>
      <w:bookmarkEnd w:id="256"/>
      <w:bookmarkEnd w:id="257"/>
    </w:p>
    <w:p>
      <w:pPr>
        <w:pStyle w:val="4"/>
        <w:spacing w:before="0" w:after="0" w:line="400" w:lineRule="exact"/>
        <w:ind w:right="2" w:rightChars="1"/>
        <w:rPr>
          <w:rFonts w:hint="eastAsia" w:ascii="宋体" w:hAnsi="宋体" w:eastAsia="宋体" w:cs="宋体"/>
          <w:sz w:val="24"/>
          <w:szCs w:val="24"/>
        </w:rPr>
      </w:pPr>
      <w:bookmarkStart w:id="258" w:name="_Toc6018"/>
      <w:bookmarkStart w:id="259" w:name="_Toc12056"/>
      <w:bookmarkStart w:id="260" w:name="_Toc234382889"/>
      <w:r>
        <w:rPr>
          <w:rFonts w:hint="eastAsia" w:ascii="宋体" w:hAnsi="宋体" w:eastAsia="宋体" w:cs="宋体"/>
          <w:sz w:val="24"/>
          <w:szCs w:val="24"/>
        </w:rPr>
        <w:t>13．1工程质量要求</w:t>
      </w:r>
      <w:bookmarkEnd w:id="258"/>
      <w:bookmarkEnd w:id="259"/>
      <w:bookmarkEnd w:id="260"/>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第13.1.1项约定为：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工程质量验收按技术规范及《公路工程质量检验评定标准》执行。</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本款补充第13.1.4和13.1.5项：</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13.1.4发包人和承包人应严格遵守《关于严格落实公路工程质量责任制的若干意见》的相关规定，认真执行工程质量责任登记制度并按要求填写工程质量责任登记表。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13.1.5本项目严格执行质量责任追究制度。质量事故处理实行“四不放过”原则：事故原因调查不清不放过；事故责任者没有受到教育不放过；没有防范措施不放过；相关责任人没受到处理不放过。</w:t>
      </w:r>
    </w:p>
    <w:p>
      <w:pPr>
        <w:pStyle w:val="4"/>
        <w:spacing w:before="0" w:after="0" w:line="400" w:lineRule="exact"/>
        <w:ind w:right="2" w:rightChars="1"/>
        <w:rPr>
          <w:rFonts w:hint="eastAsia" w:ascii="宋体" w:hAnsi="宋体" w:eastAsia="宋体" w:cs="宋体"/>
          <w:sz w:val="24"/>
          <w:szCs w:val="24"/>
        </w:rPr>
      </w:pPr>
      <w:bookmarkStart w:id="261" w:name="_Toc21440"/>
      <w:bookmarkStart w:id="262" w:name="_Toc234382890"/>
      <w:bookmarkStart w:id="263" w:name="_Toc32674"/>
      <w:r>
        <w:rPr>
          <w:rFonts w:hint="eastAsia" w:ascii="宋体" w:hAnsi="宋体" w:eastAsia="宋体" w:cs="宋体"/>
          <w:sz w:val="24"/>
          <w:szCs w:val="24"/>
        </w:rPr>
        <w:t>13．2承包人的质量管理</w:t>
      </w:r>
      <w:bookmarkEnd w:id="261"/>
      <w:bookmarkEnd w:id="262"/>
      <w:bookmarkEnd w:id="263"/>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第13.2.1项补充：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承包人提交工程质量保证措施文件的期限：签订合同协议书后28天之内。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本款补充第13.2.3项～第13.2.10项：</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13.2.3公路工程实行质量责任终身制。承包人应当书面明确相应的项目负责人和质量负责人。承包人的相关人员按照国家法律法规和有关规定在合理使用年限内承担相应的质量责任。</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13.2.4承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13.2.5承包人对工程施工质量负责，应当按合同约定设立现场质量管理机构、配备工程技术人员和质量管理人员，落实工程施工质量责任制。</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13.2.6承包人应当严格按照工程设计图纸、施工技术标准和合同约定施工，对原材料、混合料、构配件、工程实体、机电设备等进行检验；按规定实行班组自检、工序交接检、专职质检员的质量控制程序；对分项工程、分部工程和单位工程进行质量自评。检验或者自评不合格的，不得进入下道工序或者投入使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13.2.7承包人应当加强施工过程质量控制，并形成完整、可追溯的施工质量管理资料，主体工程的隐蔽部位施工还应当保留影像资料。对施工中出现的质量问题或验收不合格的工程，应当负责返工处理；对在保修范围和保修期限内发生的质量问题的工程，应当履行保修义务。</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13.2.8承包人应当按照合同约定设立工地临时实验室，配备检测和实验仪器、仪表，及时矫正确保其精度；严格按照工程技术标准、检测规范和规程，在核定的实验检测参数范围内开展实验检测活动，并确保规范规定的检验、抽检频率。承包人应当对其设立的工地临时实验室所出具的实验检测数据和报告的真实性、客观性、准确性负责。</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13.2.9承包人应当依法规范分包行为，并对承担的工程质量负总责，分包单位对分包合同范围内的工程质量负责。</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13.2.10承包人驻工程现场机构应在现场驻地和重要的分部、分项工程施工现场设置明显的工程质量责任登记表公示牌。</w:t>
      </w:r>
    </w:p>
    <w:p>
      <w:pPr>
        <w:pStyle w:val="4"/>
        <w:spacing w:before="0" w:after="0" w:line="400" w:lineRule="exact"/>
        <w:ind w:right="2" w:rightChars="1"/>
        <w:rPr>
          <w:rFonts w:hint="eastAsia" w:ascii="宋体" w:hAnsi="宋体" w:eastAsia="宋体" w:cs="宋体"/>
          <w:sz w:val="24"/>
          <w:szCs w:val="24"/>
        </w:rPr>
      </w:pPr>
      <w:bookmarkStart w:id="264" w:name="_Toc20303"/>
      <w:bookmarkStart w:id="265" w:name="_Toc32637"/>
      <w:bookmarkStart w:id="266" w:name="_Toc234382891"/>
      <w:r>
        <w:rPr>
          <w:rFonts w:hint="eastAsia" w:ascii="宋体" w:hAnsi="宋体" w:eastAsia="宋体" w:cs="宋体"/>
          <w:sz w:val="24"/>
          <w:szCs w:val="24"/>
        </w:rPr>
        <w:t>13．4监理人的质量检查</w:t>
      </w:r>
      <w:bookmarkEnd w:id="264"/>
      <w:bookmarkEnd w:id="265"/>
      <w:bookmarkEnd w:id="266"/>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监理人及其委派的检验人员，应能进入工程现场，以及材料或工程设备的制造、加工或制配的车间和场所，包括不属于承包人的车间或场所进行检查，承包人应为此提供便利和协助。</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监理人可以将材料或工程设备的检查委托给一家独立的有质量检验认证资格的检验单位。该独立检验单位的检验结果应视为监理人完成的。监理人应将这种委托的通知书不少于7天交给承包人。</w:t>
      </w:r>
    </w:p>
    <w:p>
      <w:pPr>
        <w:pStyle w:val="4"/>
        <w:spacing w:before="0" w:after="0" w:line="400" w:lineRule="exact"/>
        <w:ind w:right="2" w:rightChars="1"/>
        <w:rPr>
          <w:rFonts w:hint="eastAsia" w:ascii="宋体" w:hAnsi="宋体" w:eastAsia="宋体" w:cs="宋体"/>
          <w:sz w:val="24"/>
          <w:szCs w:val="24"/>
        </w:rPr>
      </w:pPr>
      <w:bookmarkStart w:id="267" w:name="_Toc14889"/>
      <w:bookmarkStart w:id="268" w:name="_Toc234382892"/>
      <w:bookmarkStart w:id="269" w:name="_Toc20411"/>
      <w:r>
        <w:rPr>
          <w:rFonts w:hint="eastAsia" w:ascii="宋体" w:hAnsi="宋体" w:eastAsia="宋体" w:cs="宋体"/>
          <w:sz w:val="24"/>
          <w:szCs w:val="24"/>
        </w:rPr>
        <w:t>13．5工程隐蔽部位覆盖前的检查</w:t>
      </w:r>
      <w:bookmarkEnd w:id="267"/>
      <w:bookmarkEnd w:id="268"/>
      <w:bookmarkEnd w:id="269"/>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第13.5.1项补充：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4"/>
        <w:spacing w:before="0" w:after="0" w:line="400" w:lineRule="exact"/>
        <w:ind w:right="2" w:rightChars="1"/>
        <w:rPr>
          <w:rFonts w:hint="eastAsia" w:ascii="宋体" w:hAnsi="宋体" w:eastAsia="宋体" w:cs="宋体"/>
          <w:sz w:val="24"/>
          <w:szCs w:val="24"/>
        </w:rPr>
      </w:pPr>
      <w:bookmarkStart w:id="270" w:name="_Toc9761"/>
      <w:bookmarkStart w:id="271" w:name="_Toc234382893"/>
      <w:bookmarkStart w:id="272" w:name="_Toc29343"/>
      <w:r>
        <w:rPr>
          <w:rFonts w:hint="eastAsia" w:ascii="宋体" w:hAnsi="宋体" w:eastAsia="宋体" w:cs="宋体"/>
          <w:sz w:val="24"/>
          <w:szCs w:val="24"/>
        </w:rPr>
        <w:t>13．6清除不合格工程</w:t>
      </w:r>
      <w:bookmarkEnd w:id="270"/>
      <w:bookmarkEnd w:id="271"/>
      <w:bookmarkEnd w:id="272"/>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第13.6.1项细化为：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（2）如果承包人未在规定时间内执行监理人的指示，发包人有权雇用他人执行，由此增加的费用和（或）工期延误由承包人承担。</w:t>
      </w:r>
    </w:p>
    <w:p>
      <w:pPr>
        <w:pStyle w:val="4"/>
        <w:spacing w:before="0" w:after="0" w:line="400" w:lineRule="exact"/>
        <w:ind w:right="2" w:rightChars="1"/>
        <w:rPr>
          <w:rFonts w:hint="eastAsia" w:ascii="宋体" w:hAnsi="宋体" w:eastAsia="宋体" w:cs="宋体"/>
          <w:sz w:val="24"/>
          <w:szCs w:val="24"/>
        </w:rPr>
      </w:pPr>
      <w:bookmarkStart w:id="273" w:name="_Toc2619"/>
      <w:bookmarkStart w:id="274" w:name="_Toc18722"/>
      <w:bookmarkStart w:id="275" w:name="_Toc234382894"/>
      <w:r>
        <w:rPr>
          <w:rFonts w:hint="eastAsia" w:ascii="宋体" w:hAnsi="宋体" w:eastAsia="宋体" w:cs="宋体"/>
          <w:sz w:val="24"/>
          <w:szCs w:val="24"/>
        </w:rPr>
        <w:t>14．试验和检验</w:t>
      </w:r>
      <w:bookmarkEnd w:id="273"/>
      <w:bookmarkEnd w:id="274"/>
      <w:bookmarkEnd w:id="275"/>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补充第14.4款：</w:t>
      </w:r>
    </w:p>
    <w:p>
      <w:pPr>
        <w:pStyle w:val="4"/>
        <w:spacing w:before="0" w:after="0" w:line="400" w:lineRule="exact"/>
        <w:ind w:right="2" w:rightChars="1"/>
        <w:rPr>
          <w:rFonts w:hint="eastAsia" w:ascii="宋体" w:hAnsi="宋体" w:eastAsia="宋体" w:cs="宋体"/>
          <w:sz w:val="24"/>
          <w:szCs w:val="24"/>
        </w:rPr>
      </w:pPr>
      <w:bookmarkStart w:id="276" w:name="_Toc20769"/>
      <w:bookmarkStart w:id="277" w:name="_Toc9715"/>
      <w:bookmarkStart w:id="278" w:name="_Toc234382895"/>
      <w:r>
        <w:rPr>
          <w:rFonts w:hint="eastAsia" w:ascii="宋体" w:hAnsi="宋体" w:eastAsia="宋体" w:cs="宋体"/>
          <w:sz w:val="24"/>
          <w:szCs w:val="24"/>
        </w:rPr>
        <w:t>14．4试验和检验费用</w:t>
      </w:r>
      <w:bookmarkEnd w:id="276"/>
      <w:bookmarkEnd w:id="277"/>
      <w:bookmarkEnd w:id="278"/>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（1）承包人应负责提供合同和技术规范规定的试验和检验所需的全部样品，并承担其费用。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（2）在合同中明确规定的试验和检验，包括无须在工程量清单中单独列项和已在工程量清单中单独列项的试验和检验，其试验和检验的费用由承包人承担。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4"/>
        <w:spacing w:before="0" w:after="0" w:line="400" w:lineRule="exact"/>
        <w:ind w:right="2" w:rightChars="1"/>
        <w:rPr>
          <w:rFonts w:hint="eastAsia" w:ascii="宋体" w:hAnsi="宋体" w:eastAsia="宋体" w:cs="宋体"/>
          <w:sz w:val="24"/>
          <w:szCs w:val="24"/>
        </w:rPr>
      </w:pPr>
      <w:bookmarkStart w:id="279" w:name="_Toc21679"/>
      <w:bookmarkStart w:id="280" w:name="_Toc8495"/>
      <w:bookmarkStart w:id="281" w:name="_Toc234382896"/>
      <w:r>
        <w:rPr>
          <w:rFonts w:hint="eastAsia" w:ascii="宋体" w:hAnsi="宋体" w:eastAsia="宋体" w:cs="宋体"/>
          <w:sz w:val="24"/>
          <w:szCs w:val="24"/>
        </w:rPr>
        <w:t>15．变更</w:t>
      </w:r>
      <w:bookmarkEnd w:id="279"/>
      <w:bookmarkEnd w:id="280"/>
      <w:bookmarkEnd w:id="281"/>
    </w:p>
    <w:p>
      <w:pPr>
        <w:pStyle w:val="4"/>
        <w:spacing w:before="0" w:after="0" w:line="400" w:lineRule="exact"/>
        <w:ind w:right="2" w:rightChars="1"/>
        <w:rPr>
          <w:rFonts w:hint="eastAsia" w:ascii="宋体" w:hAnsi="宋体" w:eastAsia="宋体" w:cs="宋体"/>
          <w:sz w:val="24"/>
          <w:szCs w:val="24"/>
        </w:rPr>
      </w:pPr>
      <w:bookmarkStart w:id="282" w:name="_Toc234382897"/>
      <w:bookmarkStart w:id="283" w:name="_Toc29920"/>
      <w:bookmarkStart w:id="284" w:name="_Toc6388"/>
      <w:r>
        <w:rPr>
          <w:rFonts w:hint="eastAsia" w:ascii="宋体" w:hAnsi="宋体" w:eastAsia="宋体" w:cs="宋体"/>
          <w:sz w:val="24"/>
          <w:szCs w:val="24"/>
        </w:rPr>
        <w:t>15．1变更的范围和内容</w:t>
      </w:r>
      <w:bookmarkEnd w:id="282"/>
      <w:bookmarkEnd w:id="283"/>
      <w:bookmarkEnd w:id="284"/>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本款第（1）项细化为：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（1）取消合同中任何一项工作，但被取消的工作不能转由发包人或其他人实施，由于承包人违约造成的情况除外；</w:t>
      </w:r>
    </w:p>
    <w:p>
      <w:pPr>
        <w:pStyle w:val="4"/>
        <w:spacing w:before="0" w:after="0" w:line="400" w:lineRule="exact"/>
        <w:ind w:right="2" w:rightChars="1"/>
        <w:rPr>
          <w:rFonts w:hint="eastAsia" w:ascii="宋体" w:hAnsi="宋体" w:eastAsia="宋体" w:cs="宋体"/>
          <w:sz w:val="24"/>
          <w:szCs w:val="24"/>
        </w:rPr>
      </w:pPr>
      <w:bookmarkStart w:id="285" w:name="_Toc23375"/>
      <w:bookmarkStart w:id="286" w:name="_Toc14148"/>
      <w:bookmarkStart w:id="287" w:name="_Toc234382898"/>
      <w:r>
        <w:rPr>
          <w:rFonts w:hint="eastAsia" w:ascii="宋体" w:hAnsi="宋体" w:eastAsia="宋体" w:cs="宋体"/>
          <w:sz w:val="24"/>
          <w:szCs w:val="24"/>
        </w:rPr>
        <w:t>15．3变更程序</w:t>
      </w:r>
      <w:bookmarkEnd w:id="285"/>
      <w:bookmarkEnd w:id="286"/>
      <w:bookmarkEnd w:id="287"/>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本款补充第15.3.4项：</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15.3.4设计变更程序应执行《河南省普通干线公路养护项目设计变更管理办法（试行）》的相关规定。</w:t>
      </w:r>
    </w:p>
    <w:p>
      <w:pPr>
        <w:pStyle w:val="4"/>
        <w:spacing w:before="0" w:after="0" w:line="400" w:lineRule="exact"/>
        <w:ind w:right="2" w:rightChars="1"/>
        <w:rPr>
          <w:rFonts w:hint="eastAsia" w:ascii="宋体" w:hAnsi="宋体" w:eastAsia="宋体" w:cs="宋体"/>
          <w:sz w:val="24"/>
          <w:szCs w:val="24"/>
        </w:rPr>
      </w:pPr>
      <w:bookmarkStart w:id="288" w:name="_Toc234382899"/>
      <w:bookmarkStart w:id="289" w:name="_Toc11888"/>
      <w:bookmarkStart w:id="290" w:name="_Toc21289"/>
      <w:r>
        <w:rPr>
          <w:rFonts w:hint="eastAsia" w:ascii="宋体" w:hAnsi="宋体" w:eastAsia="宋体" w:cs="宋体"/>
          <w:sz w:val="24"/>
          <w:szCs w:val="24"/>
        </w:rPr>
        <w:t>15．4变更的估价原则</w:t>
      </w:r>
      <w:bookmarkEnd w:id="288"/>
      <w:bookmarkEnd w:id="289"/>
      <w:bookmarkEnd w:id="290"/>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除项目专用合同条款另有约定外，因变更引起的价格调整按照本款约定处理。</w:t>
      </w:r>
    </w:p>
    <w:p>
      <w:pPr>
        <w:spacing w:line="400" w:lineRule="exact"/>
        <w:ind w:right="2" w:rightChars="1" w:firstLine="480" w:firstLineChars="200"/>
        <w:outlineLvl w:val="0"/>
        <w:rPr>
          <w:rFonts w:hint="eastAsia" w:ascii="宋体" w:hAnsi="宋体" w:eastAsia="宋体" w:cs="宋体"/>
          <w:sz w:val="24"/>
          <w:szCs w:val="24"/>
        </w:rPr>
      </w:pPr>
      <w:bookmarkStart w:id="291" w:name="_Toc17387"/>
      <w:bookmarkStart w:id="292" w:name="_Toc20335"/>
      <w:r>
        <w:rPr>
          <w:rFonts w:hint="eastAsia" w:ascii="宋体" w:hAnsi="宋体" w:eastAsia="宋体" w:cs="宋体"/>
          <w:sz w:val="24"/>
          <w:szCs w:val="24"/>
        </w:rPr>
        <w:t>15.4.1如果取消某项工作，则该项工作的总额价不予以支付；</w:t>
      </w:r>
      <w:bookmarkEnd w:id="291"/>
      <w:bookmarkEnd w:id="292"/>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15.4.2已标价工程量清单中有适用于变更工作的子目的，采用该子目的单价。</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15.4.3已标价工程量清单中无适用于变更工作的子目，但有类似子目的，可在合理范围内参照类似子目的单价，由监理人按第3.5款商定或确定变更工作的单价。</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15.4.4已标价工程量清单中无适用或类似子目的单价，可在综合考虑承包人在投标时所提供的单价分析表的基础上，由监理人按第3.5款商定或确定变更工作的单价。</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15.4.5如果本工程的变更指示是因承包人过错、承包人建反合同或承包人责任造成的，则这种违约引起的任何额外费用应由承包人承担。</w:t>
      </w:r>
    </w:p>
    <w:p>
      <w:pPr>
        <w:pStyle w:val="4"/>
        <w:spacing w:before="0" w:after="0" w:line="400" w:lineRule="exact"/>
        <w:ind w:right="2" w:rightChars="1"/>
        <w:rPr>
          <w:rFonts w:hint="eastAsia" w:ascii="宋体" w:hAnsi="宋体" w:eastAsia="宋体" w:cs="宋体"/>
          <w:sz w:val="24"/>
          <w:szCs w:val="24"/>
        </w:rPr>
      </w:pPr>
      <w:bookmarkStart w:id="293" w:name="_Toc21568"/>
      <w:bookmarkStart w:id="294" w:name="_Toc27013"/>
      <w:bookmarkStart w:id="295" w:name="_Toc234382900"/>
      <w:r>
        <w:rPr>
          <w:rFonts w:hint="eastAsia" w:ascii="宋体" w:hAnsi="宋体" w:eastAsia="宋体" w:cs="宋体"/>
          <w:sz w:val="24"/>
          <w:szCs w:val="24"/>
        </w:rPr>
        <w:t>15.5承包人的合理化建议</w:t>
      </w:r>
      <w:bookmarkEnd w:id="293"/>
      <w:bookmarkEnd w:id="294"/>
      <w:bookmarkEnd w:id="295"/>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第15.5.2项约定为：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承包人提出的合理化建议缩短了工期，发包人按第11.6款的规定给予奖励。</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承包人提出的合理化建议降低了合同价格或者提高了工程经济效益的，发包人按项目专用合同条款数据表中规定的金额给予奖励。</w:t>
      </w:r>
    </w:p>
    <w:p>
      <w:pPr>
        <w:pStyle w:val="4"/>
        <w:spacing w:before="0" w:after="0" w:line="400" w:lineRule="exact"/>
        <w:ind w:right="2" w:rightChars="1"/>
        <w:rPr>
          <w:rFonts w:hint="eastAsia" w:ascii="宋体" w:hAnsi="宋体" w:eastAsia="宋体" w:cs="宋体"/>
          <w:sz w:val="24"/>
          <w:szCs w:val="24"/>
        </w:rPr>
      </w:pPr>
      <w:bookmarkStart w:id="296" w:name="_Toc10645"/>
      <w:bookmarkStart w:id="297" w:name="_Toc387"/>
      <w:bookmarkStart w:id="298" w:name="_Toc234382901"/>
      <w:r>
        <w:rPr>
          <w:rFonts w:hint="eastAsia" w:ascii="宋体" w:hAnsi="宋体" w:eastAsia="宋体" w:cs="宋体"/>
          <w:sz w:val="24"/>
          <w:szCs w:val="24"/>
        </w:rPr>
        <w:t>15.6暂列金额</w:t>
      </w:r>
      <w:bookmarkEnd w:id="296"/>
      <w:bookmarkEnd w:id="297"/>
      <w:bookmarkEnd w:id="298"/>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本款细化为：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15.6.l暂列金额应由监理人报发包人批准后指令全部或部分地使用，或者根本不予动用。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15.6.3当监理人提出要求时，承包人应提供有关暂列金额支出的所有报价单、发票、凭证和账单或收据，除非该工作是根据已标价工程量清单列明的单价或总额价进行的估价。</w:t>
      </w:r>
    </w:p>
    <w:p>
      <w:pPr>
        <w:pStyle w:val="4"/>
        <w:spacing w:before="0" w:after="0" w:line="400" w:lineRule="exact"/>
        <w:ind w:right="2" w:rightChars="1"/>
        <w:rPr>
          <w:rFonts w:hint="eastAsia" w:ascii="宋体" w:hAnsi="宋体" w:eastAsia="宋体" w:cs="宋体"/>
          <w:sz w:val="24"/>
          <w:szCs w:val="24"/>
        </w:rPr>
      </w:pPr>
      <w:bookmarkStart w:id="299" w:name="_Toc3542"/>
      <w:bookmarkStart w:id="300" w:name="_Toc234382902"/>
      <w:bookmarkStart w:id="301" w:name="_Toc27819"/>
      <w:r>
        <w:rPr>
          <w:rFonts w:hint="eastAsia" w:ascii="宋体" w:hAnsi="宋体" w:eastAsia="宋体" w:cs="宋体"/>
          <w:sz w:val="24"/>
          <w:szCs w:val="24"/>
        </w:rPr>
        <w:t>16.价格调整</w:t>
      </w:r>
      <w:bookmarkEnd w:id="299"/>
      <w:bookmarkEnd w:id="300"/>
      <w:bookmarkEnd w:id="301"/>
    </w:p>
    <w:p>
      <w:pPr>
        <w:pStyle w:val="4"/>
        <w:spacing w:before="0" w:after="0" w:line="400" w:lineRule="exact"/>
        <w:ind w:right="2" w:rightChars="1"/>
        <w:rPr>
          <w:rFonts w:hint="eastAsia" w:ascii="宋体" w:hAnsi="宋体" w:eastAsia="宋体" w:cs="宋体"/>
          <w:sz w:val="24"/>
          <w:szCs w:val="24"/>
        </w:rPr>
      </w:pPr>
      <w:bookmarkStart w:id="302" w:name="_Toc20184"/>
      <w:bookmarkStart w:id="303" w:name="_Toc234382903"/>
      <w:bookmarkStart w:id="304" w:name="_Toc24553"/>
      <w:r>
        <w:rPr>
          <w:rFonts w:hint="eastAsia" w:ascii="宋体" w:hAnsi="宋体" w:eastAsia="宋体" w:cs="宋体"/>
          <w:sz w:val="24"/>
          <w:szCs w:val="24"/>
        </w:rPr>
        <w:t>16.1物价波动引起的价格调整</w:t>
      </w:r>
      <w:bookmarkEnd w:id="302"/>
      <w:bookmarkEnd w:id="303"/>
      <w:bookmarkEnd w:id="304"/>
    </w:p>
    <w:p>
      <w:pPr>
        <w:spacing w:line="400" w:lineRule="exact"/>
        <w:ind w:right="2" w:righ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本款约定为：</w:t>
      </w:r>
    </w:p>
    <w:p>
      <w:pPr>
        <w:spacing w:line="400" w:lineRule="exact"/>
        <w:ind w:right="2" w:righ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（1）除项目专用合同条款另有约定外，因物价波动引起的价格调整应按项目专用合同条款数据表的规定，按照第16.1.1项或第16.1.2项约定的原则处理；或者</w:t>
      </w:r>
    </w:p>
    <w:p>
      <w:pPr>
        <w:spacing w:line="400" w:lineRule="exact"/>
        <w:ind w:right="2" w:righ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（2）在合同执行期间（包括工期拖延期间），由于人工、材料和设备价格的上涨而引起工程施工成本增加的风险由承包人自行承担，合同价格不会因此而调整。</w:t>
      </w:r>
    </w:p>
    <w:p>
      <w:pPr>
        <w:pStyle w:val="4"/>
        <w:spacing w:before="0" w:after="0" w:line="400" w:lineRule="exact"/>
        <w:ind w:right="2" w:rightChars="1" w:firstLine="720" w:firstLineChars="300"/>
        <w:jc w:val="left"/>
        <w:rPr>
          <w:rFonts w:hint="eastAsia" w:ascii="宋体" w:hAnsi="宋体" w:eastAsia="宋体" w:cs="宋体"/>
          <w:sz w:val="24"/>
          <w:szCs w:val="24"/>
          <w:highlight w:val="none"/>
        </w:rPr>
      </w:pPr>
      <w:r>
        <w:rPr>
          <w:rFonts w:hint="eastAsia" w:ascii="宋体" w:hAnsi="宋体" w:eastAsia="宋体" w:cs="宋体"/>
          <w:b w:val="0"/>
          <w:bCs/>
          <w:color w:val="auto"/>
          <w:sz w:val="24"/>
          <w:szCs w:val="24"/>
          <w:highlight w:val="none"/>
        </w:rPr>
        <w:t>16.1.1 按照河南省交通运输厅豫交建管函（2021）15号文《关于交通建设项目工程施工主要材料价差调整的指导意见》执行。</w:t>
      </w:r>
    </w:p>
    <w:p>
      <w:pPr>
        <w:pStyle w:val="4"/>
        <w:spacing w:before="0" w:after="0" w:line="400" w:lineRule="exact"/>
        <w:ind w:right="2" w:rightChars="1"/>
        <w:rPr>
          <w:rFonts w:hint="eastAsia" w:ascii="宋体" w:hAnsi="宋体" w:eastAsia="宋体" w:cs="宋体"/>
          <w:sz w:val="24"/>
          <w:szCs w:val="24"/>
        </w:rPr>
      </w:pPr>
      <w:bookmarkStart w:id="305" w:name="_Toc2034"/>
      <w:bookmarkStart w:id="306" w:name="_Toc26814"/>
      <w:bookmarkStart w:id="307" w:name="_Toc234382904"/>
      <w:r>
        <w:rPr>
          <w:rFonts w:hint="eastAsia" w:ascii="宋体" w:hAnsi="宋体" w:eastAsia="宋体" w:cs="宋体"/>
          <w:sz w:val="24"/>
          <w:szCs w:val="24"/>
        </w:rPr>
        <w:t>17.计量与支付</w:t>
      </w:r>
      <w:bookmarkEnd w:id="305"/>
      <w:bookmarkEnd w:id="306"/>
      <w:bookmarkEnd w:id="307"/>
    </w:p>
    <w:p>
      <w:pPr>
        <w:pStyle w:val="4"/>
        <w:spacing w:before="0" w:after="0" w:line="400" w:lineRule="exact"/>
        <w:ind w:right="2" w:rightChars="1"/>
        <w:rPr>
          <w:rFonts w:hint="eastAsia" w:ascii="宋体" w:hAnsi="宋体" w:eastAsia="宋体" w:cs="宋体"/>
          <w:sz w:val="24"/>
          <w:szCs w:val="24"/>
        </w:rPr>
      </w:pPr>
      <w:bookmarkStart w:id="308" w:name="_Toc25731"/>
      <w:bookmarkStart w:id="309" w:name="_Toc234382905"/>
      <w:bookmarkStart w:id="310" w:name="_Toc22514"/>
      <w:r>
        <w:rPr>
          <w:rFonts w:hint="eastAsia" w:ascii="宋体" w:hAnsi="宋体" w:eastAsia="宋体" w:cs="宋体"/>
          <w:sz w:val="24"/>
          <w:szCs w:val="24"/>
        </w:rPr>
        <w:t>17.1计量</w:t>
      </w:r>
      <w:bookmarkEnd w:id="308"/>
      <w:bookmarkEnd w:id="309"/>
      <w:bookmarkEnd w:id="310"/>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17.1.2计量方法</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本项约定为：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工程的计量应以净值为准，除非项目专用合同条款另有约定。工程量清单中各个子目的具体计量方法按本合同文件技术标准中的规定执行。</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17.1.4单价子目的计量</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本项补充：</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（7）承包人未在已标价工程量清单中填入单价或总额价的工程子目，将被认为其已包含在本合同的其他子目的单价和总额价中，发包人将不另行支付。</w:t>
      </w:r>
    </w:p>
    <w:p>
      <w:pPr>
        <w:pStyle w:val="4"/>
        <w:spacing w:before="0" w:after="0" w:line="400" w:lineRule="exact"/>
        <w:ind w:right="2" w:rightChars="1"/>
        <w:rPr>
          <w:rFonts w:hint="eastAsia" w:ascii="宋体" w:hAnsi="宋体" w:eastAsia="宋体" w:cs="宋体"/>
          <w:sz w:val="24"/>
          <w:szCs w:val="24"/>
        </w:rPr>
      </w:pPr>
      <w:bookmarkStart w:id="311" w:name="_Toc234382906"/>
      <w:bookmarkStart w:id="312" w:name="_Toc13332"/>
      <w:bookmarkStart w:id="313" w:name="_Toc26489"/>
      <w:r>
        <w:rPr>
          <w:rFonts w:hint="eastAsia" w:ascii="宋体" w:hAnsi="宋体" w:eastAsia="宋体" w:cs="宋体"/>
          <w:sz w:val="24"/>
          <w:szCs w:val="24"/>
        </w:rPr>
        <w:t>17.2预付款</w:t>
      </w:r>
      <w:bookmarkEnd w:id="311"/>
      <w:bookmarkEnd w:id="312"/>
      <w:bookmarkEnd w:id="313"/>
    </w:p>
    <w:p>
      <w:pPr>
        <w:pStyle w:val="4"/>
        <w:spacing w:before="0" w:after="0" w:line="400" w:lineRule="exact"/>
        <w:ind w:right="2" w:rightChars="1" w:firstLine="720" w:firstLineChars="300"/>
        <w:rPr>
          <w:rFonts w:hint="eastAsia" w:ascii="宋体" w:hAnsi="宋体" w:eastAsia="宋体" w:cs="宋体"/>
          <w:b w:val="0"/>
          <w:bCs/>
          <w:color w:val="auto"/>
          <w:sz w:val="24"/>
          <w:szCs w:val="24"/>
          <w:lang w:eastAsia="zh-CN"/>
        </w:rPr>
      </w:pPr>
      <w:bookmarkStart w:id="314" w:name="_Toc234382907"/>
      <w:bookmarkStart w:id="315" w:name="_Toc11189"/>
      <w:bookmarkStart w:id="316" w:name="_Toc9726"/>
      <w:r>
        <w:rPr>
          <w:rFonts w:hint="eastAsia" w:ascii="宋体" w:hAnsi="宋体" w:eastAsia="宋体" w:cs="宋体"/>
          <w:b w:val="0"/>
          <w:bCs/>
          <w:color w:val="auto"/>
          <w:sz w:val="24"/>
          <w:szCs w:val="24"/>
          <w:lang w:eastAsia="zh-CN"/>
        </w:rPr>
        <w:t>无预付款</w:t>
      </w:r>
    </w:p>
    <w:p>
      <w:pPr>
        <w:pStyle w:val="4"/>
        <w:spacing w:before="0" w:after="0" w:line="400" w:lineRule="exact"/>
        <w:ind w:right="2" w:rightChars="1"/>
        <w:rPr>
          <w:rFonts w:hint="eastAsia" w:ascii="宋体" w:hAnsi="宋体" w:eastAsia="宋体" w:cs="宋体"/>
          <w:color w:val="auto"/>
          <w:sz w:val="24"/>
          <w:szCs w:val="24"/>
        </w:rPr>
      </w:pPr>
      <w:r>
        <w:rPr>
          <w:rFonts w:hint="eastAsia" w:ascii="宋体" w:hAnsi="宋体" w:eastAsia="宋体" w:cs="宋体"/>
          <w:color w:val="auto"/>
          <w:sz w:val="24"/>
          <w:szCs w:val="24"/>
        </w:rPr>
        <w:t>17.3工程进度付款</w:t>
      </w:r>
      <w:bookmarkEnd w:id="314"/>
      <w:bookmarkEnd w:id="315"/>
      <w:bookmarkEnd w:id="316"/>
    </w:p>
    <w:p>
      <w:pPr>
        <w:spacing w:line="400" w:lineRule="exact"/>
        <w:ind w:right="2" w:rightChars="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pPr>
        <w:tabs>
          <w:tab w:val="left" w:pos="3193"/>
        </w:tabs>
        <w:spacing w:line="400" w:lineRule="exact"/>
        <w:ind w:right="2" w:rightChars="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本项（1）目补充：</w:t>
      </w:r>
      <w:r>
        <w:rPr>
          <w:rFonts w:hint="eastAsia" w:ascii="宋体" w:hAnsi="宋体" w:eastAsia="宋体" w:cs="宋体"/>
          <w:color w:val="auto"/>
          <w:sz w:val="24"/>
          <w:szCs w:val="24"/>
        </w:rPr>
        <w:tab/>
      </w:r>
    </w:p>
    <w:p>
      <w:pPr>
        <w:tabs>
          <w:tab w:val="left" w:pos="3193"/>
        </w:tabs>
        <w:spacing w:line="400" w:lineRule="exact"/>
        <w:ind w:right="2" w:rightChars="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工程款支付</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工预付10%的签约合同价，工程按月进行计量，经监理审查，报业主核定后，支付计量款的98.5%作为月进度款。竣工验收合格或承包人向发包人缴纳规定的质量保证函后一次性付清剩余款项。用支票、汇票、本票、保险、保函等形式替代预留保证金的，发包人不得同时预留工程质量保证金。</w:t>
      </w:r>
    </w:p>
    <w:p>
      <w:pPr>
        <w:tabs>
          <w:tab w:val="left" w:pos="3193"/>
        </w:tabs>
        <w:spacing w:line="400" w:lineRule="exact"/>
        <w:ind w:right="2" w:rightChars="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本款补充第13.7.5项：</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17.3.5农民工工资保证金</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（1）为确保施工过程中农名工工资落实时、足额发放到位，承包人应按照项目专用合同条款约定的时间和金额缴存农民工工资保证金。</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（2）农名工工资保证金可采用银行保函或现金、支票形式。采用银行保函时，出具保函的银行须具有相应的承担能力，且按照发包人批准的格式出具，所需费用由承包人承担。</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（3）农民工工资保证金的扣留条件、返还时间按照项目专用合同条款的约定执行。</w:t>
      </w:r>
    </w:p>
    <w:p>
      <w:pPr>
        <w:pStyle w:val="4"/>
        <w:spacing w:before="0" w:after="0" w:line="400" w:lineRule="exact"/>
        <w:ind w:right="2" w:rightChars="1"/>
        <w:rPr>
          <w:rFonts w:hint="eastAsia" w:ascii="宋体" w:hAnsi="宋体" w:eastAsia="宋体" w:cs="宋体"/>
          <w:sz w:val="24"/>
          <w:szCs w:val="24"/>
        </w:rPr>
      </w:pPr>
      <w:bookmarkStart w:id="317" w:name="_Toc8208"/>
      <w:bookmarkStart w:id="318" w:name="_Toc234382908"/>
      <w:bookmarkStart w:id="319" w:name="_Toc17671"/>
      <w:r>
        <w:rPr>
          <w:rFonts w:hint="eastAsia" w:ascii="宋体" w:hAnsi="宋体" w:eastAsia="宋体" w:cs="宋体"/>
          <w:sz w:val="24"/>
          <w:szCs w:val="24"/>
        </w:rPr>
        <w:t>17.4质量保证金</w:t>
      </w:r>
      <w:bookmarkEnd w:id="317"/>
      <w:bookmarkEnd w:id="318"/>
      <w:bookmarkEnd w:id="319"/>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第17.4.、17.4.21项细化为：</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17.4.1交工验收证书签发后14天内，承包人应向发包人缴纳质量保证金。质量保证金可采用银行保函或现金、支票形式，金额应符合项目专用合同条款数据表的规定。采用银行保函时，出具保函的银行须具有相应的担保能力，且按照发包人批准的格式出具，所需费用由承包人承担。</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质量保证金可采用现金、支票形式提交的，发包人应在项目专用合同条款数据表中明确是否计付利息以及利息的计算方式。</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17.4.2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pPr>
        <w:pStyle w:val="4"/>
        <w:spacing w:before="0" w:after="0" w:line="400" w:lineRule="exact"/>
        <w:ind w:right="2" w:rightChars="1"/>
        <w:rPr>
          <w:rFonts w:hint="eastAsia" w:ascii="宋体" w:hAnsi="宋体" w:eastAsia="宋体" w:cs="宋体"/>
          <w:sz w:val="24"/>
          <w:szCs w:val="24"/>
        </w:rPr>
      </w:pPr>
      <w:bookmarkStart w:id="320" w:name="_Toc7900"/>
      <w:bookmarkStart w:id="321" w:name="_Toc23081"/>
      <w:bookmarkStart w:id="322" w:name="_Toc234382909"/>
      <w:r>
        <w:rPr>
          <w:rFonts w:hint="eastAsia" w:ascii="宋体" w:hAnsi="宋体" w:eastAsia="宋体" w:cs="宋体"/>
          <w:sz w:val="24"/>
          <w:szCs w:val="24"/>
        </w:rPr>
        <w:t>17.5交工结算</w:t>
      </w:r>
      <w:bookmarkEnd w:id="320"/>
      <w:bookmarkEnd w:id="321"/>
      <w:bookmarkEnd w:id="322"/>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17.5.l交工付款申请单</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本项（l）目约定为：</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承包人向监理人提交交工付款申请单（包括相关证明材料）的份数在项目专用合同条款数据表中约定；期限：交工验收证书签发后42天内。</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17.5.2交工付款证书及支付时间</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本项（2）目细化为：</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承包人应在监理人出具交工付款证书且承包人提交了合格的增值税专用发票后的14天内，将应支付款支付给承包人发包人不按期支付的，按第17.3.3（2）目的约定，将逾期付款违约金支付给承包人。</w:t>
      </w:r>
    </w:p>
    <w:p>
      <w:pPr>
        <w:pStyle w:val="4"/>
        <w:spacing w:before="0" w:after="0" w:line="400" w:lineRule="exact"/>
        <w:ind w:right="2" w:rightChars="1"/>
        <w:rPr>
          <w:rFonts w:hint="eastAsia" w:ascii="宋体" w:hAnsi="宋体" w:eastAsia="宋体" w:cs="宋体"/>
          <w:sz w:val="24"/>
          <w:szCs w:val="24"/>
        </w:rPr>
      </w:pPr>
      <w:bookmarkStart w:id="323" w:name="_Toc5986"/>
      <w:bookmarkStart w:id="324" w:name="_Toc27820"/>
      <w:bookmarkStart w:id="325" w:name="_Toc234382910"/>
      <w:r>
        <w:rPr>
          <w:rFonts w:hint="eastAsia" w:ascii="宋体" w:hAnsi="宋体" w:eastAsia="宋体" w:cs="宋体"/>
          <w:sz w:val="24"/>
          <w:szCs w:val="24"/>
        </w:rPr>
        <w:t>17.6最终结清</w:t>
      </w:r>
      <w:bookmarkEnd w:id="323"/>
      <w:bookmarkEnd w:id="324"/>
      <w:bookmarkEnd w:id="325"/>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17.6.1最终结清申请单</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本项（1）目约定为：</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承包人向监理人提交最终结清申请单（包括相关证明材料）的份数在项目专用合同条款数据表中约定；期限：缺陷责任期终止证书签发后28天内。</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最终结清申请单中的总金额应认为是代表了根据合同规定应付给承包人的全部款项的最后结算。</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17.6.2最终结清证书和支付时间</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本项（2）目细化为：</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（2）发包人应在监理人出具最终结清证书且承包人提交了合格的增值税专用发票后的14天内，将应支付款支付给承包人。发包人不按期支付的，按第17.3.3（2）目的约定，将逾期付款违约金支付给承包人。</w:t>
      </w:r>
    </w:p>
    <w:p>
      <w:pPr>
        <w:pStyle w:val="4"/>
        <w:spacing w:before="0" w:after="0" w:line="400" w:lineRule="exact"/>
        <w:ind w:right="2" w:rightChars="1"/>
        <w:rPr>
          <w:rFonts w:hint="eastAsia" w:ascii="宋体" w:hAnsi="宋体" w:eastAsia="宋体" w:cs="宋体"/>
          <w:sz w:val="24"/>
          <w:szCs w:val="24"/>
        </w:rPr>
      </w:pPr>
      <w:bookmarkStart w:id="326" w:name="_Toc19267"/>
      <w:bookmarkStart w:id="327" w:name="_Toc234382911"/>
      <w:bookmarkStart w:id="328" w:name="_Toc12249"/>
      <w:r>
        <w:rPr>
          <w:rFonts w:hint="eastAsia" w:ascii="宋体" w:hAnsi="宋体" w:eastAsia="宋体" w:cs="宋体"/>
          <w:sz w:val="24"/>
          <w:szCs w:val="24"/>
        </w:rPr>
        <w:t>18．交工验收</w:t>
      </w:r>
      <w:bookmarkEnd w:id="326"/>
      <w:bookmarkEnd w:id="327"/>
      <w:bookmarkEnd w:id="328"/>
    </w:p>
    <w:p>
      <w:pPr>
        <w:pStyle w:val="4"/>
        <w:spacing w:before="0" w:after="0" w:line="400" w:lineRule="exact"/>
        <w:ind w:right="2" w:rightChars="1"/>
        <w:rPr>
          <w:rFonts w:hint="eastAsia" w:ascii="宋体" w:hAnsi="宋体" w:eastAsia="宋体" w:cs="宋体"/>
          <w:sz w:val="24"/>
          <w:szCs w:val="24"/>
        </w:rPr>
      </w:pPr>
      <w:bookmarkStart w:id="329" w:name="_Toc2457"/>
      <w:bookmarkStart w:id="330" w:name="_Toc32256"/>
      <w:bookmarkStart w:id="331" w:name="_Toc234382912"/>
      <w:r>
        <w:rPr>
          <w:rFonts w:hint="eastAsia" w:ascii="宋体" w:hAnsi="宋体" w:eastAsia="宋体" w:cs="宋体"/>
          <w:sz w:val="24"/>
          <w:szCs w:val="24"/>
        </w:rPr>
        <w:t>18.2交工验收申请报告</w:t>
      </w:r>
      <w:bookmarkEnd w:id="329"/>
      <w:bookmarkEnd w:id="330"/>
      <w:bookmarkEnd w:id="331"/>
    </w:p>
    <w:p>
      <w:pPr>
        <w:tabs>
          <w:tab w:val="left" w:pos="3193"/>
        </w:tabs>
        <w:spacing w:line="400" w:lineRule="exact"/>
        <w:ind w:right="2" w:rightChars="1" w:firstLine="480" w:firstLineChars="200"/>
        <w:rPr>
          <w:rFonts w:hint="eastAsia" w:ascii="宋体" w:hAnsi="宋体" w:eastAsia="宋体" w:cs="宋体"/>
          <w:color w:val="000000"/>
          <w:sz w:val="24"/>
          <w:szCs w:val="24"/>
        </w:rPr>
      </w:pPr>
      <w:bookmarkStart w:id="332" w:name="_Toc234382913"/>
      <w:r>
        <w:rPr>
          <w:rFonts w:hint="eastAsia" w:ascii="宋体" w:hAnsi="宋体" w:eastAsia="宋体" w:cs="宋体"/>
          <w:color w:val="000000"/>
          <w:sz w:val="24"/>
          <w:szCs w:val="24"/>
        </w:rPr>
        <w:t>本款第（2）项约定为：</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竣（交）工资料的内容：承包人应按照《河南省普通干线公路养护工程竣（交）工验收办法》和相关规定编制竣工资料。</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竣（交）工资料的份数在项目专用合同条款数据表中约定。</w:t>
      </w:r>
    </w:p>
    <w:p>
      <w:pPr>
        <w:pStyle w:val="4"/>
        <w:spacing w:before="0" w:after="0" w:line="400" w:lineRule="exact"/>
        <w:ind w:right="2" w:rightChars="1"/>
        <w:rPr>
          <w:rFonts w:hint="eastAsia" w:ascii="宋体" w:hAnsi="宋体" w:eastAsia="宋体" w:cs="宋体"/>
          <w:sz w:val="24"/>
          <w:szCs w:val="24"/>
          <w:lang w:eastAsia="zh-CN"/>
        </w:rPr>
      </w:pPr>
      <w:bookmarkStart w:id="333" w:name="_Toc29973"/>
      <w:bookmarkStart w:id="334" w:name="_Toc27060"/>
      <w:r>
        <w:rPr>
          <w:rFonts w:hint="eastAsia" w:ascii="宋体" w:hAnsi="宋体" w:eastAsia="宋体" w:cs="宋体"/>
          <w:sz w:val="24"/>
          <w:szCs w:val="24"/>
        </w:rPr>
        <w:t>18.3 验收</w:t>
      </w:r>
      <w:bookmarkEnd w:id="332"/>
      <w:bookmarkEnd w:id="333"/>
      <w:bookmarkEnd w:id="334"/>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第18.3.2项补充：</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第18.3.5项约定为：</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经验收合格工程的实际交工日期，以最终提交交工验收申请报告的日期为准，并在交工验收证书中写明。</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本款补充第18.3.7项：</w:t>
      </w:r>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组织办理交工验收和签发交工验收证书的费用由发包人承担。但按照第18.3.4项规定达不到合格标准的交工验收费用由承包人承担。</w:t>
      </w:r>
    </w:p>
    <w:p>
      <w:pPr>
        <w:rPr>
          <w:rFonts w:hint="eastAsia" w:ascii="宋体" w:hAnsi="宋体" w:eastAsia="宋体" w:cs="宋体"/>
          <w:color w:val="000000"/>
          <w:sz w:val="24"/>
          <w:szCs w:val="24"/>
        </w:rPr>
      </w:pPr>
      <w:r>
        <w:rPr>
          <w:rFonts w:hint="eastAsia" w:ascii="宋体" w:hAnsi="宋体" w:eastAsia="宋体" w:cs="宋体"/>
          <w:color w:val="000000"/>
          <w:sz w:val="24"/>
          <w:szCs w:val="24"/>
        </w:rPr>
        <w:t>本条补充第18.9款：</w:t>
      </w:r>
    </w:p>
    <w:p>
      <w:pPr>
        <w:pStyle w:val="4"/>
        <w:spacing w:before="0" w:after="0" w:line="400" w:lineRule="exact"/>
        <w:ind w:right="2" w:rightChars="1"/>
        <w:rPr>
          <w:rFonts w:hint="eastAsia" w:ascii="宋体" w:hAnsi="宋体" w:eastAsia="宋体" w:cs="宋体"/>
          <w:color w:val="000000"/>
          <w:sz w:val="24"/>
          <w:szCs w:val="24"/>
        </w:rPr>
      </w:pPr>
      <w:bookmarkStart w:id="335" w:name="_Toc12965"/>
      <w:bookmarkStart w:id="336" w:name="_Toc15291"/>
      <w:bookmarkStart w:id="337" w:name="_Toc234382914"/>
      <w:r>
        <w:rPr>
          <w:rFonts w:hint="eastAsia" w:ascii="宋体" w:hAnsi="宋体" w:eastAsia="宋体" w:cs="宋体"/>
          <w:color w:val="000000"/>
          <w:sz w:val="24"/>
          <w:szCs w:val="24"/>
        </w:rPr>
        <w:t>18.9竣工文件</w:t>
      </w:r>
      <w:bookmarkEnd w:id="335"/>
      <w:bookmarkEnd w:id="336"/>
      <w:bookmarkEnd w:id="337"/>
    </w:p>
    <w:p>
      <w:pPr>
        <w:tabs>
          <w:tab w:val="left" w:pos="3193"/>
        </w:tabs>
        <w:spacing w:line="400" w:lineRule="exact"/>
        <w:ind w:right="2" w:rightChars="1"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承包人应按照《公路工程竣（交）工验收办法》中的相关规定，在缺陷责任期内为竣工验收补充竣工资料，并在签发缺陷责任期终止证书之前提交。</w:t>
      </w:r>
    </w:p>
    <w:p>
      <w:pPr>
        <w:pStyle w:val="4"/>
        <w:spacing w:before="0" w:after="0" w:line="400" w:lineRule="exact"/>
        <w:ind w:right="2" w:rightChars="1"/>
        <w:rPr>
          <w:rFonts w:hint="eastAsia" w:ascii="宋体" w:hAnsi="宋体" w:eastAsia="宋体" w:cs="宋体"/>
          <w:sz w:val="24"/>
          <w:szCs w:val="24"/>
        </w:rPr>
      </w:pPr>
      <w:bookmarkStart w:id="338" w:name="_Toc234382915"/>
      <w:bookmarkStart w:id="339" w:name="_Toc31547"/>
      <w:bookmarkStart w:id="340" w:name="_Toc25486"/>
      <w:r>
        <w:rPr>
          <w:rFonts w:hint="eastAsia" w:ascii="宋体" w:hAnsi="宋体" w:eastAsia="宋体" w:cs="宋体"/>
          <w:sz w:val="24"/>
          <w:szCs w:val="24"/>
        </w:rPr>
        <w:t>19．缺陷责任与保修责任</w:t>
      </w:r>
      <w:bookmarkEnd w:id="338"/>
      <w:bookmarkEnd w:id="339"/>
      <w:bookmarkEnd w:id="340"/>
    </w:p>
    <w:p>
      <w:pPr>
        <w:pStyle w:val="4"/>
        <w:spacing w:before="0" w:after="0" w:line="400" w:lineRule="exact"/>
        <w:ind w:right="2" w:rightChars="1"/>
        <w:rPr>
          <w:rFonts w:hint="eastAsia" w:ascii="宋体" w:hAnsi="宋体" w:eastAsia="宋体" w:cs="宋体"/>
          <w:sz w:val="24"/>
          <w:szCs w:val="24"/>
        </w:rPr>
      </w:pPr>
      <w:bookmarkStart w:id="341" w:name="_Toc29584"/>
      <w:bookmarkStart w:id="342" w:name="_Toc234382916"/>
      <w:bookmarkStart w:id="343" w:name="_Toc8348"/>
      <w:r>
        <w:rPr>
          <w:rFonts w:hint="eastAsia" w:ascii="宋体" w:hAnsi="宋体" w:eastAsia="宋体" w:cs="宋体"/>
          <w:sz w:val="24"/>
          <w:szCs w:val="24"/>
        </w:rPr>
        <w:t>19.2缺陷责任</w:t>
      </w:r>
      <w:bookmarkEnd w:id="341"/>
      <w:bookmarkEnd w:id="342"/>
      <w:bookmarkEnd w:id="343"/>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第19.2.2项补充：</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在缺陷责任期内，承包人应尽快完成在交工验收证书中写明的未完成工作，并完成对本工程缺陷的修复或监理人指令的修补工作。</w:t>
      </w:r>
    </w:p>
    <w:p>
      <w:pPr>
        <w:pStyle w:val="4"/>
        <w:spacing w:before="0" w:after="0" w:line="400" w:lineRule="exact"/>
        <w:ind w:right="2" w:rightChars="1"/>
        <w:rPr>
          <w:rFonts w:hint="eastAsia" w:ascii="宋体" w:hAnsi="宋体" w:eastAsia="宋体" w:cs="宋体"/>
          <w:sz w:val="24"/>
          <w:szCs w:val="24"/>
        </w:rPr>
      </w:pPr>
      <w:bookmarkStart w:id="344" w:name="_Toc27198"/>
      <w:bookmarkStart w:id="345" w:name="_Toc234382917"/>
      <w:bookmarkStart w:id="346" w:name="_Toc18822"/>
      <w:r>
        <w:rPr>
          <w:rFonts w:hint="eastAsia" w:ascii="宋体" w:hAnsi="宋体" w:eastAsia="宋体" w:cs="宋体"/>
          <w:sz w:val="24"/>
          <w:szCs w:val="24"/>
        </w:rPr>
        <w:t>19.5承包人的进入权</w:t>
      </w:r>
      <w:bookmarkEnd w:id="344"/>
      <w:bookmarkEnd w:id="345"/>
      <w:bookmarkEnd w:id="346"/>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本款补充：</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承包人在缺陷修复施工过程中，应服从管养单位的有关安全管理规定，由于承包人自身原因造成的人员伤亡、设备和材料的损毁及罚款等责任由承包人自负。</w:t>
      </w:r>
    </w:p>
    <w:p>
      <w:pPr>
        <w:pStyle w:val="4"/>
        <w:spacing w:before="0" w:after="0" w:line="400" w:lineRule="exact"/>
        <w:ind w:right="2" w:rightChars="1"/>
        <w:rPr>
          <w:rFonts w:hint="eastAsia" w:ascii="宋体" w:hAnsi="宋体" w:eastAsia="宋体" w:cs="宋体"/>
          <w:sz w:val="24"/>
          <w:szCs w:val="24"/>
        </w:rPr>
      </w:pPr>
      <w:bookmarkStart w:id="347" w:name="_Toc8291"/>
      <w:bookmarkStart w:id="348" w:name="_Toc234382918"/>
      <w:bookmarkStart w:id="349" w:name="_Toc31355"/>
      <w:r>
        <w:rPr>
          <w:rFonts w:hint="eastAsia" w:ascii="宋体" w:hAnsi="宋体" w:eastAsia="宋体" w:cs="宋体"/>
          <w:sz w:val="24"/>
          <w:szCs w:val="24"/>
        </w:rPr>
        <w:t>19.7保修责任</w:t>
      </w:r>
      <w:bookmarkEnd w:id="347"/>
      <w:bookmarkEnd w:id="348"/>
      <w:bookmarkEnd w:id="349"/>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本款细化为：</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（2）在全部工程交工验收前，已经发包人提前验收的单位工程，其保修期的起算日期相应提前。</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（3）工程保修期终止后28天内，监理人签发保修期终止证书。</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（4）若承包人不履行保修义务和责任，则承包人应承担由于违约造成的法律后果，并由发包人将其违约行为上报省级交通主管部门，作为不良记录纳入公路建设市场信用信息管理系统。</w:t>
      </w:r>
    </w:p>
    <w:p>
      <w:pPr>
        <w:pStyle w:val="4"/>
        <w:spacing w:before="0" w:after="0" w:line="400" w:lineRule="exact"/>
        <w:ind w:right="2" w:rightChars="1"/>
        <w:rPr>
          <w:rFonts w:hint="eastAsia" w:ascii="宋体" w:hAnsi="宋体" w:eastAsia="宋体" w:cs="宋体"/>
          <w:sz w:val="24"/>
          <w:szCs w:val="24"/>
        </w:rPr>
      </w:pPr>
      <w:bookmarkStart w:id="350" w:name="_Toc31631"/>
      <w:bookmarkStart w:id="351" w:name="_Toc4480"/>
      <w:r>
        <w:rPr>
          <w:rFonts w:hint="eastAsia" w:ascii="宋体" w:hAnsi="宋体" w:eastAsia="宋体" w:cs="宋体"/>
          <w:sz w:val="24"/>
          <w:szCs w:val="24"/>
        </w:rPr>
        <w:t>20．保险</w:t>
      </w:r>
      <w:bookmarkEnd w:id="350"/>
      <w:bookmarkEnd w:id="351"/>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20．1  工程保险</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本款约定为：</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建筑工程一切险的投保内容：为本合同工程的永久工程、临时工程和设备及已运至施工工地用于永久工程的材料和设备所投的保险。</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保险金额：工程量清单第100章(不含建筑工程一切险及第三者责任险的保险费：至700章的合计金额。</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保险费率：在项目专用合同条款数据表中约定。</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保险期限：开工日起直至本合同工程签发缺陷责任期终止证书止(即合同工期+缺陷责任期)。</w:t>
      </w:r>
    </w:p>
    <w:p>
      <w:pPr>
        <w:spacing w:line="400" w:lineRule="exact"/>
        <w:ind w:firstLine="435"/>
        <w:rPr>
          <w:rFonts w:hint="eastAsia" w:ascii="宋体" w:hAnsi="宋体" w:eastAsia="宋体" w:cs="宋体"/>
          <w:b/>
          <w:sz w:val="24"/>
          <w:szCs w:val="24"/>
        </w:rPr>
      </w:pPr>
      <w:r>
        <w:rPr>
          <w:rFonts w:hint="eastAsia" w:ascii="宋体" w:hAnsi="宋体" w:eastAsia="宋体" w:cs="宋体"/>
          <w:sz w:val="24"/>
          <w:szCs w:val="24"/>
        </w:rPr>
        <w:t>20.4</w:t>
      </w:r>
      <w:r>
        <w:rPr>
          <w:rFonts w:hint="eastAsia" w:ascii="宋体" w:hAnsi="宋体" w:eastAsia="宋体" w:cs="宋体"/>
          <w:b/>
          <w:sz w:val="24"/>
          <w:szCs w:val="24"/>
        </w:rPr>
        <w:t xml:space="preserve"> 第三者责任险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 20.4.2 项补充：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第三者责任险的保险费由承包人报价时列入工程量清单第 100 章内。发包人在</w:t>
      </w:r>
    </w:p>
    <w:p>
      <w:pPr>
        <w:spacing w:line="400" w:lineRule="exact"/>
        <w:rPr>
          <w:rFonts w:hint="eastAsia" w:ascii="宋体" w:hAnsi="宋体" w:eastAsia="宋体" w:cs="宋体"/>
          <w:sz w:val="24"/>
          <w:szCs w:val="24"/>
        </w:rPr>
      </w:pPr>
      <w:r>
        <w:rPr>
          <w:rFonts w:hint="eastAsia" w:ascii="宋体" w:hAnsi="宋体" w:eastAsia="宋体" w:cs="宋体"/>
          <w:sz w:val="24"/>
          <w:szCs w:val="24"/>
        </w:rPr>
        <w:t>接到保险单后，将按照保险单的费用直接向承包人支付。</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20．5</w:t>
      </w:r>
      <w:r>
        <w:rPr>
          <w:rFonts w:hint="eastAsia" w:ascii="宋体" w:hAnsi="宋体" w:eastAsia="宋体" w:cs="宋体"/>
          <w:b/>
          <w:sz w:val="24"/>
          <w:szCs w:val="24"/>
        </w:rPr>
        <w:t>其他保险</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本款约定为：</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承包人应为其施工设备等办理保险，其投保金额应足以现场重置。办理本款保险的一切费用均由承包人承担，并包括在工程量清单的单价及总额价中，发包人不单独支付。</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20．6</w:t>
      </w:r>
      <w:r>
        <w:rPr>
          <w:rFonts w:hint="eastAsia" w:ascii="宋体" w:hAnsi="宋体" w:eastAsia="宋体" w:cs="宋体"/>
          <w:b/>
          <w:sz w:val="24"/>
          <w:szCs w:val="24"/>
        </w:rPr>
        <w:t>对各项保险的一般要求</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20．6．1  保险凭证</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本项约定为：</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承包人向发包人提交各项保险生效的证据和保险单副本的期限：开工后56天内。</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20．6．3持续保险</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本项补充：</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在整个合同期内，承包人应按合同条款规定保证足够的保险额。</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20．6．4保险金不足的补偿</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本项细化为：</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保险金不足以补偿损失的(包括免赔额和超过赔偿限额的部分)，应由承包人和</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(或)发包人按合同约定负责补偿。</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20．6．5未按约定投保的补救</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本项(2)目细化为：</w:t>
      </w:r>
    </w:p>
    <w:p>
      <w:pPr>
        <w:spacing w:line="400" w:lineRule="exact"/>
        <w:ind w:firstLine="435"/>
        <w:rPr>
          <w:rFonts w:hint="eastAsia" w:ascii="宋体" w:hAnsi="宋体" w:eastAsia="宋体" w:cs="宋体"/>
          <w:sz w:val="24"/>
          <w:szCs w:val="24"/>
        </w:rPr>
      </w:pPr>
      <w:r>
        <w:rPr>
          <w:rFonts w:hint="eastAsia" w:ascii="宋体" w:hAnsi="宋体" w:eastAsia="宋体" w:cs="宋体"/>
          <w:sz w:val="24"/>
          <w:szCs w:val="24"/>
        </w:rPr>
        <w:t xml:space="preserve">  (2)由于负有投保义务的一方当事人未按合同约定办理某项保险，或未按保险单规定的条件和期限及时向保险人报告事故情况，或未按要求的保险期限进行投保，或未接要求投保足够的保险金额，导致受益人未能或未能全部得到保险人的赔偿，原应从该项保险得到的保险金应由负有投保义务的一方当事人支付。</w:t>
      </w:r>
    </w:p>
    <w:p>
      <w:pPr>
        <w:pStyle w:val="4"/>
        <w:spacing w:before="0" w:after="0" w:line="400" w:lineRule="exact"/>
        <w:ind w:right="2" w:rightChars="1"/>
        <w:rPr>
          <w:rFonts w:hint="eastAsia" w:ascii="宋体" w:hAnsi="宋体" w:eastAsia="宋体" w:cs="宋体"/>
          <w:sz w:val="24"/>
          <w:szCs w:val="24"/>
        </w:rPr>
      </w:pPr>
      <w:bookmarkStart w:id="352" w:name="_Toc7489"/>
      <w:bookmarkStart w:id="353" w:name="_Toc234382924"/>
      <w:bookmarkStart w:id="354" w:name="_Toc426"/>
      <w:r>
        <w:rPr>
          <w:rFonts w:hint="eastAsia" w:ascii="宋体" w:hAnsi="宋体" w:eastAsia="宋体" w:cs="宋体"/>
          <w:sz w:val="24"/>
          <w:szCs w:val="24"/>
        </w:rPr>
        <w:t>21．不可抗力</w:t>
      </w:r>
      <w:bookmarkEnd w:id="352"/>
      <w:bookmarkEnd w:id="353"/>
      <w:bookmarkEnd w:id="354"/>
    </w:p>
    <w:p>
      <w:pPr>
        <w:pStyle w:val="4"/>
        <w:spacing w:before="0" w:after="0" w:line="400" w:lineRule="exact"/>
        <w:ind w:right="2" w:rightChars="1"/>
        <w:rPr>
          <w:rFonts w:hint="eastAsia" w:ascii="宋体" w:hAnsi="宋体" w:eastAsia="宋体" w:cs="宋体"/>
          <w:sz w:val="24"/>
          <w:szCs w:val="24"/>
        </w:rPr>
      </w:pPr>
      <w:bookmarkStart w:id="355" w:name="_Toc28064"/>
      <w:bookmarkStart w:id="356" w:name="_Toc23587"/>
      <w:bookmarkStart w:id="357" w:name="_Toc234382925"/>
      <w:r>
        <w:rPr>
          <w:rFonts w:hint="eastAsia" w:ascii="宋体" w:hAnsi="宋体" w:eastAsia="宋体" w:cs="宋体"/>
          <w:sz w:val="24"/>
          <w:szCs w:val="24"/>
        </w:rPr>
        <w:t>21.1不可抗力的确认</w:t>
      </w:r>
      <w:bookmarkEnd w:id="355"/>
      <w:bookmarkEnd w:id="356"/>
      <w:bookmarkEnd w:id="357"/>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21.1.1项细化为：</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不可抗力是指承包人和发包人在订立合同时不可预见，在工程施工过程中不可避免发生并不能克服的自然灾害和社会性突发事件。包括但不限于：</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（1）地震、海啸、火山爆发、泥石流、暴雨（雪）、台风、龙卷风、水灾等自然灾害；</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（2）战争、骚乱、暴动，但纯属承包人或其分包人派遣与雇用的人员由于本合同工程施工原因引起者除外；</w:t>
      </w:r>
    </w:p>
    <w:p>
      <w:pPr>
        <w:tabs>
          <w:tab w:val="left" w:pos="3193"/>
        </w:tabs>
        <w:spacing w:line="400" w:lineRule="exact"/>
        <w:ind w:right="2" w:rightChars="1" w:firstLine="480" w:firstLineChars="200"/>
        <w:outlineLvl w:val="0"/>
        <w:rPr>
          <w:rFonts w:hint="eastAsia" w:ascii="宋体" w:hAnsi="宋体" w:eastAsia="宋体" w:cs="宋体"/>
          <w:sz w:val="24"/>
          <w:szCs w:val="24"/>
        </w:rPr>
      </w:pPr>
      <w:bookmarkStart w:id="358" w:name="_Toc15040"/>
      <w:bookmarkStart w:id="359" w:name="_Toc22171"/>
      <w:r>
        <w:rPr>
          <w:rFonts w:hint="eastAsia" w:ascii="宋体" w:hAnsi="宋体" w:eastAsia="宋体" w:cs="宋体"/>
          <w:sz w:val="24"/>
          <w:szCs w:val="24"/>
        </w:rPr>
        <w:t>（3）核反应、辐射或放射性污染；</w:t>
      </w:r>
      <w:bookmarkEnd w:id="358"/>
      <w:bookmarkEnd w:id="359"/>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（4）空中飞行物体附落或非发包人或承包人责任造成的爆炸、火灾；</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（5）瘟疫；</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（6）项目专用合同条款约定的其他情形。</w:t>
      </w:r>
    </w:p>
    <w:p>
      <w:pPr>
        <w:pStyle w:val="4"/>
        <w:spacing w:before="0" w:after="0" w:line="400" w:lineRule="exact"/>
        <w:ind w:right="2" w:rightChars="1"/>
        <w:rPr>
          <w:rFonts w:hint="eastAsia" w:ascii="宋体" w:hAnsi="宋体" w:eastAsia="宋体" w:cs="宋体"/>
          <w:sz w:val="24"/>
          <w:szCs w:val="24"/>
        </w:rPr>
      </w:pPr>
      <w:bookmarkStart w:id="360" w:name="_Toc18450"/>
      <w:bookmarkStart w:id="361" w:name="_Toc24066"/>
      <w:bookmarkStart w:id="362" w:name="_Toc234382926"/>
      <w:r>
        <w:rPr>
          <w:rFonts w:hint="eastAsia" w:ascii="宋体" w:hAnsi="宋体" w:eastAsia="宋体" w:cs="宋体"/>
          <w:sz w:val="24"/>
          <w:szCs w:val="24"/>
        </w:rPr>
        <w:t>21.3不可抗力后果及其处理</w:t>
      </w:r>
      <w:bookmarkEnd w:id="360"/>
      <w:bookmarkEnd w:id="361"/>
      <w:bookmarkEnd w:id="362"/>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21.3.4因不可抗力解除合同</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本项细化为：</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pPr>
        <w:pStyle w:val="4"/>
        <w:spacing w:before="0" w:after="0" w:line="400" w:lineRule="exact"/>
        <w:ind w:right="2" w:rightChars="1"/>
        <w:rPr>
          <w:rFonts w:hint="eastAsia" w:ascii="宋体" w:hAnsi="宋体" w:eastAsia="宋体" w:cs="宋体"/>
          <w:sz w:val="24"/>
          <w:szCs w:val="24"/>
        </w:rPr>
      </w:pPr>
      <w:bookmarkStart w:id="363" w:name="_Toc29645"/>
      <w:bookmarkStart w:id="364" w:name="_Toc234382927"/>
      <w:bookmarkStart w:id="365" w:name="_Toc1040"/>
      <w:r>
        <w:rPr>
          <w:rFonts w:hint="eastAsia" w:ascii="宋体" w:hAnsi="宋体" w:eastAsia="宋体" w:cs="宋体"/>
          <w:sz w:val="24"/>
          <w:szCs w:val="24"/>
        </w:rPr>
        <w:t>22．违约</w:t>
      </w:r>
      <w:bookmarkEnd w:id="363"/>
      <w:bookmarkEnd w:id="364"/>
      <w:bookmarkEnd w:id="365"/>
    </w:p>
    <w:p>
      <w:pPr>
        <w:pStyle w:val="4"/>
        <w:spacing w:before="0" w:after="0" w:line="400" w:lineRule="exact"/>
        <w:ind w:right="2" w:rightChars="1"/>
        <w:rPr>
          <w:rFonts w:hint="eastAsia" w:ascii="宋体" w:hAnsi="宋体" w:eastAsia="宋体" w:cs="宋体"/>
          <w:sz w:val="24"/>
          <w:szCs w:val="24"/>
        </w:rPr>
      </w:pPr>
      <w:bookmarkStart w:id="366" w:name="_Toc18422"/>
      <w:bookmarkStart w:id="367" w:name="_Toc234382928"/>
      <w:bookmarkStart w:id="368" w:name="_Toc5781"/>
      <w:r>
        <w:rPr>
          <w:rFonts w:hint="eastAsia" w:ascii="宋体" w:hAnsi="宋体" w:eastAsia="宋体" w:cs="宋体"/>
          <w:sz w:val="24"/>
          <w:szCs w:val="24"/>
        </w:rPr>
        <w:t>22.1承包人违约</w:t>
      </w:r>
      <w:bookmarkEnd w:id="366"/>
      <w:bookmarkEnd w:id="367"/>
      <w:bookmarkEnd w:id="368"/>
    </w:p>
    <w:p>
      <w:pPr>
        <w:tabs>
          <w:tab w:val="left" w:pos="3193"/>
        </w:tabs>
        <w:spacing w:line="400" w:lineRule="exact"/>
        <w:ind w:right="2" w:rightChars="1" w:firstLine="480" w:firstLineChars="200"/>
        <w:outlineLvl w:val="0"/>
        <w:rPr>
          <w:rFonts w:hint="eastAsia" w:ascii="宋体" w:hAnsi="宋体" w:eastAsia="宋体" w:cs="宋体"/>
          <w:sz w:val="24"/>
          <w:szCs w:val="24"/>
        </w:rPr>
      </w:pPr>
      <w:bookmarkStart w:id="369" w:name="_Toc11385"/>
      <w:bookmarkStart w:id="370" w:name="_Toc3613"/>
      <w:r>
        <w:rPr>
          <w:rFonts w:hint="eastAsia" w:ascii="宋体" w:hAnsi="宋体" w:eastAsia="宋体" w:cs="宋体"/>
          <w:sz w:val="24"/>
          <w:szCs w:val="24"/>
        </w:rPr>
        <w:t>22.1.1承包人违约的情形</w:t>
      </w:r>
      <w:bookmarkEnd w:id="369"/>
      <w:bookmarkEnd w:id="370"/>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本项（2）目细化为：</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（2）承包人违反第5.3款或第6.4款的约定，未经监理人批准，私自将已按合同约定进入施工场地的施工设备、临时设施、材料或工程设备撤离施工场地；</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本项（7）目细化为：</w:t>
      </w:r>
    </w:p>
    <w:p>
      <w:pPr>
        <w:tabs>
          <w:tab w:val="left" w:pos="3193"/>
        </w:tabs>
        <w:spacing w:line="400" w:lineRule="exact"/>
        <w:ind w:right="2" w:rightChars="1" w:firstLine="480" w:firstLineChars="200"/>
        <w:outlineLvl w:val="0"/>
        <w:rPr>
          <w:rFonts w:hint="eastAsia" w:ascii="宋体" w:hAnsi="宋体" w:eastAsia="宋体" w:cs="宋体"/>
          <w:sz w:val="24"/>
          <w:szCs w:val="24"/>
        </w:rPr>
      </w:pPr>
      <w:bookmarkStart w:id="371" w:name="_Toc22964"/>
      <w:bookmarkStart w:id="372" w:name="_Toc1701"/>
      <w:r>
        <w:rPr>
          <w:rFonts w:hint="eastAsia" w:ascii="宋体" w:hAnsi="宋体" w:eastAsia="宋体" w:cs="宋体"/>
          <w:sz w:val="24"/>
          <w:szCs w:val="24"/>
        </w:rPr>
        <w:t>（7）承包人未能按期开工；</w:t>
      </w:r>
      <w:bookmarkEnd w:id="371"/>
      <w:bookmarkEnd w:id="372"/>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（8）承包人违反第4.6款或6.3款的规定，未按承诺或未按监理人的要求及时配备称职的主要管理人员、技术骨干或关键施工设备；</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（9）经监理人和发包人检查，发现承包人有安全问题或有违反安全管理规章制度的情况；</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（10）承包人不按合同约定履行义务的其他情况。</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22.1.2对承包人违约的处理</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本项补充：</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（4）承包人发生第22.1.1项约定的违约情况时，无论发包人是否解除合同，发包人均有权向承包人课以项目专用合同条款中规定的违约金，并由发包人将其违约行为上报省级交通主管部门，作为不良记录。</w:t>
      </w:r>
    </w:p>
    <w:p>
      <w:pPr>
        <w:pStyle w:val="4"/>
        <w:spacing w:before="0" w:after="0" w:line="400" w:lineRule="exact"/>
        <w:ind w:right="2" w:rightChars="1"/>
        <w:rPr>
          <w:rFonts w:hint="eastAsia" w:ascii="宋体" w:hAnsi="宋体" w:eastAsia="宋体" w:cs="宋体"/>
          <w:sz w:val="24"/>
          <w:szCs w:val="24"/>
        </w:rPr>
      </w:pPr>
      <w:bookmarkStart w:id="373" w:name="_Toc10999"/>
      <w:bookmarkStart w:id="374" w:name="_Toc22542"/>
      <w:bookmarkStart w:id="375" w:name="_Toc234382929"/>
      <w:r>
        <w:rPr>
          <w:rFonts w:hint="eastAsia" w:ascii="宋体" w:hAnsi="宋体" w:eastAsia="宋体" w:cs="宋体"/>
          <w:sz w:val="24"/>
          <w:szCs w:val="24"/>
        </w:rPr>
        <w:t>22.2发包人违约</w:t>
      </w:r>
      <w:bookmarkEnd w:id="373"/>
      <w:bookmarkEnd w:id="374"/>
      <w:bookmarkEnd w:id="375"/>
    </w:p>
    <w:p>
      <w:pPr>
        <w:tabs>
          <w:tab w:val="left" w:pos="3193"/>
        </w:tabs>
        <w:spacing w:line="400" w:lineRule="exact"/>
        <w:ind w:right="2" w:rightChars="1" w:firstLine="480" w:firstLineChars="200"/>
        <w:outlineLvl w:val="0"/>
        <w:rPr>
          <w:rFonts w:hint="eastAsia" w:ascii="宋体" w:hAnsi="宋体" w:eastAsia="宋体" w:cs="宋体"/>
          <w:sz w:val="24"/>
          <w:szCs w:val="24"/>
        </w:rPr>
      </w:pPr>
      <w:bookmarkStart w:id="376" w:name="_Toc27064"/>
      <w:bookmarkStart w:id="377" w:name="_Toc12427"/>
      <w:r>
        <w:rPr>
          <w:rFonts w:hint="eastAsia" w:ascii="宋体" w:hAnsi="宋体" w:eastAsia="宋体" w:cs="宋体"/>
          <w:sz w:val="24"/>
          <w:szCs w:val="24"/>
        </w:rPr>
        <w:t>22.2.1发包人违约的情形</w:t>
      </w:r>
      <w:bookmarkEnd w:id="376"/>
      <w:bookmarkEnd w:id="377"/>
    </w:p>
    <w:p>
      <w:pPr>
        <w:tabs>
          <w:tab w:val="left" w:pos="3193"/>
        </w:tabs>
        <w:spacing w:line="400" w:lineRule="exact"/>
        <w:ind w:right="2" w:rightChars="1" w:firstLine="480" w:firstLineChars="200"/>
        <w:outlineLvl w:val="0"/>
        <w:rPr>
          <w:rFonts w:hint="eastAsia" w:ascii="宋体" w:hAnsi="宋体" w:eastAsia="宋体" w:cs="宋体"/>
          <w:sz w:val="24"/>
          <w:szCs w:val="24"/>
        </w:rPr>
      </w:pPr>
      <w:bookmarkStart w:id="378" w:name="_Toc13160"/>
      <w:bookmarkStart w:id="379" w:name="_Toc29175"/>
      <w:r>
        <w:rPr>
          <w:rFonts w:hint="eastAsia" w:ascii="宋体" w:hAnsi="宋体" w:eastAsia="宋体" w:cs="宋体"/>
          <w:sz w:val="24"/>
          <w:szCs w:val="24"/>
        </w:rPr>
        <w:t>本项（5）目细化为：</w:t>
      </w:r>
      <w:bookmarkEnd w:id="378"/>
      <w:bookmarkEnd w:id="379"/>
    </w:p>
    <w:p>
      <w:pPr>
        <w:tabs>
          <w:tab w:val="left" w:pos="3193"/>
        </w:tabs>
        <w:spacing w:line="400" w:lineRule="exact"/>
        <w:ind w:right="2" w:rightChars="1" w:firstLine="480" w:firstLineChars="200"/>
        <w:outlineLvl w:val="0"/>
        <w:rPr>
          <w:rFonts w:hint="eastAsia" w:ascii="宋体" w:hAnsi="宋体" w:eastAsia="宋体" w:cs="宋体"/>
          <w:sz w:val="24"/>
          <w:szCs w:val="24"/>
        </w:rPr>
      </w:pPr>
      <w:bookmarkStart w:id="380" w:name="_Toc12527"/>
      <w:bookmarkStart w:id="381" w:name="_Toc29879"/>
      <w:r>
        <w:rPr>
          <w:rFonts w:hint="eastAsia" w:ascii="宋体" w:hAnsi="宋体" w:eastAsia="宋体" w:cs="宋体"/>
          <w:sz w:val="24"/>
          <w:szCs w:val="24"/>
        </w:rPr>
        <w:t>（5）发包人无正当理由不按时返还履约保证金、质量保证金或农名工工资保证金的；</w:t>
      </w:r>
      <w:bookmarkEnd w:id="380"/>
      <w:bookmarkEnd w:id="381"/>
    </w:p>
    <w:p>
      <w:pPr>
        <w:tabs>
          <w:tab w:val="left" w:pos="3193"/>
        </w:tabs>
        <w:spacing w:line="400" w:lineRule="exact"/>
        <w:ind w:right="2" w:rightChars="1" w:firstLine="480" w:firstLineChars="200"/>
        <w:outlineLvl w:val="0"/>
        <w:rPr>
          <w:rFonts w:hint="eastAsia" w:ascii="宋体" w:hAnsi="宋体" w:eastAsia="宋体" w:cs="宋体"/>
          <w:sz w:val="24"/>
          <w:szCs w:val="24"/>
        </w:rPr>
      </w:pPr>
      <w:bookmarkStart w:id="382" w:name="_Toc9010"/>
      <w:bookmarkStart w:id="383" w:name="_Toc24683"/>
      <w:r>
        <w:rPr>
          <w:rFonts w:hint="eastAsia" w:ascii="宋体" w:hAnsi="宋体" w:eastAsia="宋体" w:cs="宋体"/>
          <w:sz w:val="24"/>
          <w:szCs w:val="24"/>
        </w:rPr>
        <w:t>（6）发包人不履行合同约定其他义务的。</w:t>
      </w:r>
      <w:bookmarkEnd w:id="382"/>
      <w:bookmarkEnd w:id="383"/>
    </w:p>
    <w:p>
      <w:pPr>
        <w:tabs>
          <w:tab w:val="left" w:pos="3193"/>
        </w:tabs>
        <w:spacing w:line="400" w:lineRule="exact"/>
        <w:ind w:right="2" w:rightChars="1" w:firstLine="480" w:firstLineChars="200"/>
        <w:outlineLvl w:val="0"/>
        <w:rPr>
          <w:rFonts w:hint="eastAsia" w:ascii="宋体" w:hAnsi="宋体" w:eastAsia="宋体" w:cs="宋体"/>
          <w:sz w:val="24"/>
          <w:szCs w:val="24"/>
        </w:rPr>
      </w:pPr>
      <w:bookmarkStart w:id="384" w:name="_Toc11812"/>
      <w:bookmarkStart w:id="385" w:name="_Toc21587"/>
      <w:r>
        <w:rPr>
          <w:rFonts w:hint="eastAsia" w:ascii="宋体" w:hAnsi="宋体" w:eastAsia="宋体" w:cs="宋体"/>
          <w:sz w:val="24"/>
          <w:szCs w:val="24"/>
        </w:rPr>
        <w:t>22.2.2承包人有权暂停施工</w:t>
      </w:r>
      <w:bookmarkEnd w:id="384"/>
      <w:bookmarkEnd w:id="385"/>
    </w:p>
    <w:p>
      <w:pPr>
        <w:tabs>
          <w:tab w:val="left" w:pos="3193"/>
        </w:tabs>
        <w:spacing w:line="400" w:lineRule="exact"/>
        <w:ind w:right="2" w:rightChars="1" w:firstLine="480" w:firstLineChars="200"/>
        <w:outlineLvl w:val="0"/>
        <w:rPr>
          <w:rFonts w:hint="eastAsia" w:ascii="宋体" w:hAnsi="宋体" w:eastAsia="宋体" w:cs="宋体"/>
          <w:sz w:val="24"/>
          <w:szCs w:val="24"/>
        </w:rPr>
      </w:pPr>
      <w:bookmarkStart w:id="386" w:name="_Toc4068"/>
      <w:bookmarkStart w:id="387" w:name="_Toc3177"/>
      <w:r>
        <w:rPr>
          <w:rFonts w:hint="eastAsia" w:ascii="宋体" w:hAnsi="宋体" w:eastAsia="宋体" w:cs="宋体"/>
          <w:sz w:val="24"/>
          <w:szCs w:val="24"/>
        </w:rPr>
        <w:t>本项细化为：</w:t>
      </w:r>
      <w:bookmarkEnd w:id="386"/>
      <w:bookmarkEnd w:id="387"/>
    </w:p>
    <w:p>
      <w:pPr>
        <w:tabs>
          <w:tab w:val="left" w:pos="3193"/>
        </w:tabs>
        <w:spacing w:line="400" w:lineRule="exact"/>
        <w:ind w:right="2" w:rightChars="1" w:firstLine="480" w:firstLineChars="200"/>
        <w:outlineLvl w:val="0"/>
        <w:rPr>
          <w:rFonts w:hint="eastAsia" w:ascii="宋体" w:hAnsi="宋体" w:eastAsia="宋体" w:cs="宋体"/>
          <w:sz w:val="24"/>
          <w:szCs w:val="24"/>
        </w:rPr>
      </w:pPr>
      <w:bookmarkStart w:id="388" w:name="_Toc31817"/>
      <w:bookmarkStart w:id="389" w:name="_Toc28029"/>
      <w:r>
        <w:rPr>
          <w:rFonts w:hint="eastAsia" w:ascii="宋体" w:hAnsi="宋体" w:eastAsia="宋体" w:cs="宋体"/>
          <w:sz w:val="24"/>
          <w:szCs w:val="24"/>
        </w:rPr>
        <w:t>发包人发生除22.2.1（4）、（5）目以外的违约情况时，承包人可向发包人发出通知，要求发包人采取有效措施纠正违约行为。发包人收到承包人通知后的第28天内扔不履行合同义务，承包人有权暂停施工，并通知监理人，发包人应承担由此增加的费用和（或）工期延误，并支付承包人合理利润。</w:t>
      </w:r>
      <w:bookmarkEnd w:id="388"/>
      <w:bookmarkEnd w:id="389"/>
    </w:p>
    <w:p>
      <w:pPr>
        <w:tabs>
          <w:tab w:val="left" w:pos="3193"/>
        </w:tabs>
        <w:spacing w:line="400" w:lineRule="exact"/>
        <w:ind w:right="2" w:rightChars="1" w:firstLine="480" w:firstLineChars="200"/>
        <w:outlineLvl w:val="0"/>
        <w:rPr>
          <w:rFonts w:hint="eastAsia" w:ascii="宋体" w:hAnsi="宋体" w:eastAsia="宋体" w:cs="宋体"/>
          <w:sz w:val="24"/>
          <w:szCs w:val="24"/>
        </w:rPr>
      </w:pPr>
      <w:bookmarkStart w:id="390" w:name="_Toc30206"/>
      <w:bookmarkStart w:id="391" w:name="_Toc8197"/>
      <w:r>
        <w:rPr>
          <w:rFonts w:hint="eastAsia" w:ascii="宋体" w:hAnsi="宋体" w:eastAsia="宋体" w:cs="宋体"/>
          <w:sz w:val="24"/>
          <w:szCs w:val="24"/>
        </w:rPr>
        <w:t>发包人发生地22.2.1（5）目的违约情况时，承包人可向发包人发出通知，要求发包人采取有效措施纠正违约行为。发包人收到承包通知后的28天内仍不返还履约保证金、质量保证金或农民工工资保证金的，发包人应按项目专用合同条款的约定向承包人支付逾期返还保证金的违约金。</w:t>
      </w:r>
      <w:bookmarkEnd w:id="390"/>
      <w:bookmarkEnd w:id="391"/>
    </w:p>
    <w:p>
      <w:pPr>
        <w:tabs>
          <w:tab w:val="left" w:pos="3193"/>
        </w:tabs>
        <w:spacing w:line="400" w:lineRule="exact"/>
        <w:ind w:right="2" w:rightChars="1" w:firstLine="480" w:firstLineChars="200"/>
        <w:outlineLvl w:val="0"/>
        <w:rPr>
          <w:rFonts w:hint="eastAsia" w:ascii="宋体" w:hAnsi="宋体" w:eastAsia="宋体" w:cs="宋体"/>
          <w:sz w:val="24"/>
          <w:szCs w:val="24"/>
        </w:rPr>
      </w:pPr>
      <w:bookmarkStart w:id="392" w:name="_Toc27342"/>
      <w:bookmarkStart w:id="393" w:name="_Toc14241"/>
      <w:r>
        <w:rPr>
          <w:rFonts w:hint="eastAsia" w:ascii="宋体" w:hAnsi="宋体" w:eastAsia="宋体" w:cs="宋体"/>
          <w:sz w:val="24"/>
          <w:szCs w:val="24"/>
        </w:rPr>
        <w:t>22.2.4 解除合同后的付款</w:t>
      </w:r>
      <w:bookmarkEnd w:id="392"/>
      <w:bookmarkEnd w:id="393"/>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本项（2）目细化为：</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（2）承包人为该工程施工订购并已付款的材料、工程设备和其他物品的金额，发包人付款后，该材料、工程设备和其他物品归发包人所有；</w:t>
      </w:r>
    </w:p>
    <w:p>
      <w:pPr>
        <w:pStyle w:val="4"/>
        <w:spacing w:before="0" w:after="0" w:line="400" w:lineRule="exact"/>
        <w:ind w:right="2" w:rightChars="1"/>
        <w:rPr>
          <w:rFonts w:hint="eastAsia" w:ascii="宋体" w:hAnsi="宋体" w:eastAsia="宋体" w:cs="宋体"/>
          <w:sz w:val="24"/>
          <w:szCs w:val="24"/>
        </w:rPr>
      </w:pPr>
      <w:bookmarkStart w:id="394" w:name="_Toc25630"/>
      <w:bookmarkStart w:id="395" w:name="_Toc30785"/>
      <w:bookmarkStart w:id="396" w:name="_Toc234382930"/>
      <w:r>
        <w:rPr>
          <w:rFonts w:hint="eastAsia" w:ascii="宋体" w:hAnsi="宋体" w:eastAsia="宋体" w:cs="宋体"/>
          <w:sz w:val="24"/>
          <w:szCs w:val="24"/>
        </w:rPr>
        <w:t>23.索赔</w:t>
      </w:r>
      <w:bookmarkEnd w:id="394"/>
      <w:bookmarkEnd w:id="395"/>
      <w:bookmarkEnd w:id="396"/>
    </w:p>
    <w:p>
      <w:pPr>
        <w:pStyle w:val="4"/>
        <w:spacing w:before="0" w:after="0" w:line="400" w:lineRule="exact"/>
        <w:ind w:right="2" w:rightChars="1"/>
        <w:rPr>
          <w:rFonts w:hint="eastAsia" w:ascii="宋体" w:hAnsi="宋体" w:eastAsia="宋体" w:cs="宋体"/>
          <w:sz w:val="24"/>
          <w:szCs w:val="24"/>
        </w:rPr>
      </w:pPr>
      <w:bookmarkStart w:id="397" w:name="_Toc1965"/>
      <w:bookmarkStart w:id="398" w:name="_Toc234382931"/>
      <w:bookmarkStart w:id="399" w:name="_Toc20841"/>
      <w:r>
        <w:rPr>
          <w:rFonts w:hint="eastAsia" w:ascii="宋体" w:hAnsi="宋体" w:eastAsia="宋体" w:cs="宋体"/>
          <w:sz w:val="24"/>
          <w:szCs w:val="24"/>
        </w:rPr>
        <w:t>23.1承包人索赔的提出</w:t>
      </w:r>
      <w:bookmarkEnd w:id="397"/>
      <w:bookmarkEnd w:id="398"/>
      <w:bookmarkEnd w:id="399"/>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本款第（4）项细化为：</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（4）在索赔事件影响结束后的28天内，承包人应向监理人递交最终索赔通知书，说明最终要求索赔的追加付款金额和（或）延长的工期，并附必要的记录和证明材料。</w:t>
      </w:r>
    </w:p>
    <w:p>
      <w:pPr>
        <w:pStyle w:val="4"/>
        <w:spacing w:before="0" w:after="0" w:line="400" w:lineRule="exact"/>
        <w:ind w:right="2" w:rightChars="1"/>
        <w:rPr>
          <w:rFonts w:hint="eastAsia" w:ascii="宋体" w:hAnsi="宋体" w:eastAsia="宋体" w:cs="宋体"/>
          <w:sz w:val="24"/>
          <w:szCs w:val="24"/>
        </w:rPr>
      </w:pPr>
      <w:bookmarkStart w:id="400" w:name="_Toc234382932"/>
      <w:bookmarkStart w:id="401" w:name="_Toc28302"/>
      <w:bookmarkStart w:id="402" w:name="_Toc7285"/>
      <w:r>
        <w:rPr>
          <w:rFonts w:hint="eastAsia" w:ascii="宋体" w:hAnsi="宋体" w:eastAsia="宋体" w:cs="宋体"/>
          <w:sz w:val="24"/>
          <w:szCs w:val="24"/>
        </w:rPr>
        <w:t>23.2承包人索赔处理程序</w:t>
      </w:r>
      <w:bookmarkEnd w:id="400"/>
      <w:bookmarkEnd w:id="401"/>
      <w:bookmarkEnd w:id="402"/>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本款第（2）项细化为：</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当予以核实的那部分款额外负担和（或）工期延长天数。</w:t>
      </w:r>
    </w:p>
    <w:p>
      <w:pPr>
        <w:pStyle w:val="4"/>
        <w:spacing w:before="0" w:after="0" w:line="400" w:lineRule="exact"/>
        <w:ind w:right="2" w:rightChars="1"/>
        <w:rPr>
          <w:rFonts w:hint="eastAsia" w:ascii="宋体" w:hAnsi="宋体" w:eastAsia="宋体" w:cs="宋体"/>
          <w:sz w:val="24"/>
          <w:szCs w:val="24"/>
        </w:rPr>
      </w:pPr>
      <w:bookmarkStart w:id="403" w:name="_Toc234382933"/>
      <w:bookmarkStart w:id="404" w:name="_Toc18210"/>
      <w:bookmarkStart w:id="405" w:name="_Toc1329"/>
      <w:r>
        <w:rPr>
          <w:rFonts w:hint="eastAsia" w:ascii="宋体" w:hAnsi="宋体" w:eastAsia="宋体" w:cs="宋体"/>
          <w:sz w:val="24"/>
          <w:szCs w:val="24"/>
        </w:rPr>
        <w:t>24．争议的解决</w:t>
      </w:r>
      <w:bookmarkEnd w:id="403"/>
      <w:bookmarkEnd w:id="404"/>
      <w:bookmarkEnd w:id="405"/>
    </w:p>
    <w:p>
      <w:pPr>
        <w:pStyle w:val="4"/>
        <w:spacing w:before="0" w:after="0" w:line="400" w:lineRule="exact"/>
        <w:ind w:right="2" w:rightChars="1"/>
        <w:rPr>
          <w:rFonts w:hint="eastAsia" w:ascii="宋体" w:hAnsi="宋体" w:eastAsia="宋体" w:cs="宋体"/>
          <w:sz w:val="24"/>
          <w:szCs w:val="24"/>
        </w:rPr>
      </w:pPr>
      <w:bookmarkStart w:id="406" w:name="_Toc234382934"/>
      <w:bookmarkStart w:id="407" w:name="_Toc2939"/>
      <w:bookmarkStart w:id="408" w:name="_Toc32610"/>
      <w:r>
        <w:rPr>
          <w:rFonts w:hint="eastAsia" w:ascii="宋体" w:hAnsi="宋体" w:eastAsia="宋体" w:cs="宋体"/>
          <w:sz w:val="24"/>
          <w:szCs w:val="24"/>
        </w:rPr>
        <w:t>24.3争议评审</w:t>
      </w:r>
      <w:bookmarkEnd w:id="406"/>
      <w:bookmarkEnd w:id="407"/>
      <w:bookmarkEnd w:id="408"/>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第24.3.1项补充：</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本条补充第24.4、第24.5款（适用于采用仲裁方式最终解决争议的项目）：</w:t>
      </w:r>
    </w:p>
    <w:p>
      <w:pPr>
        <w:pStyle w:val="4"/>
        <w:spacing w:before="0" w:after="0" w:line="400" w:lineRule="exact"/>
        <w:ind w:right="2" w:rightChars="1"/>
        <w:rPr>
          <w:rFonts w:hint="eastAsia" w:ascii="宋体" w:hAnsi="宋体" w:eastAsia="宋体" w:cs="宋体"/>
          <w:sz w:val="24"/>
          <w:szCs w:val="24"/>
        </w:rPr>
      </w:pPr>
      <w:bookmarkStart w:id="409" w:name="_Toc234382935"/>
      <w:bookmarkStart w:id="410" w:name="_Toc14002"/>
      <w:bookmarkStart w:id="411" w:name="_Toc25633"/>
      <w:r>
        <w:rPr>
          <w:rFonts w:hint="eastAsia" w:ascii="宋体" w:hAnsi="宋体" w:eastAsia="宋体" w:cs="宋体"/>
          <w:sz w:val="24"/>
          <w:szCs w:val="24"/>
        </w:rPr>
        <w:t>24.4仲裁</w:t>
      </w:r>
      <w:bookmarkEnd w:id="409"/>
      <w:bookmarkEnd w:id="410"/>
      <w:bookmarkEnd w:id="411"/>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（1）对于未能友好解决或通过争议评审解决的争议，发包人或承包人任一方均有权提交给第24.1款约定的仲裁委员会仲裁。</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（3）仲裁裁决是终局性的并对发包人和承包人双方具有约束力。</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（4）全部仲裁费用应由败诉方承担；或按仲裁员会裁决的比例分担。</w:t>
      </w:r>
    </w:p>
    <w:p>
      <w:pPr>
        <w:pStyle w:val="4"/>
        <w:spacing w:before="0" w:after="0" w:line="400" w:lineRule="exact"/>
        <w:ind w:right="2" w:rightChars="1"/>
        <w:rPr>
          <w:rFonts w:hint="eastAsia" w:ascii="宋体" w:hAnsi="宋体" w:eastAsia="宋体" w:cs="宋体"/>
          <w:sz w:val="24"/>
          <w:szCs w:val="24"/>
        </w:rPr>
      </w:pPr>
      <w:bookmarkStart w:id="412" w:name="_Toc234382936"/>
      <w:bookmarkStart w:id="413" w:name="_Toc27274"/>
      <w:bookmarkStart w:id="414" w:name="_Toc16015"/>
      <w:r>
        <w:rPr>
          <w:rFonts w:hint="eastAsia" w:ascii="宋体" w:hAnsi="宋体" w:eastAsia="宋体" w:cs="宋体"/>
          <w:sz w:val="24"/>
          <w:szCs w:val="24"/>
        </w:rPr>
        <w:t>24.5仲裁的执行</w:t>
      </w:r>
      <w:bookmarkEnd w:id="412"/>
      <w:bookmarkEnd w:id="413"/>
      <w:bookmarkEnd w:id="414"/>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（1）任何一方不履行仲裁机构的裁决的，对方可以向有管辖权的人民法院申请执行。</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pPr>
        <w:tabs>
          <w:tab w:val="left" w:pos="3193"/>
        </w:tabs>
        <w:spacing w:line="400" w:lineRule="exact"/>
        <w:ind w:right="2" w:rightChars="1" w:firstLine="480" w:firstLineChars="200"/>
        <w:rPr>
          <w:rFonts w:hint="eastAsia" w:ascii="宋体" w:hAnsi="宋体" w:eastAsia="宋体" w:cs="宋体"/>
          <w:sz w:val="24"/>
          <w:szCs w:val="24"/>
        </w:rPr>
      </w:pPr>
    </w:p>
    <w:p>
      <w:pPr>
        <w:tabs>
          <w:tab w:val="left" w:pos="3193"/>
        </w:tabs>
        <w:spacing w:line="400" w:lineRule="exact"/>
        <w:ind w:right="2" w:rightChars="1" w:firstLine="480" w:firstLineChars="200"/>
        <w:rPr>
          <w:rFonts w:hint="eastAsia" w:ascii="宋体" w:hAnsi="宋体" w:eastAsia="宋体" w:cs="宋体"/>
          <w:sz w:val="24"/>
          <w:szCs w:val="24"/>
        </w:rPr>
      </w:pPr>
    </w:p>
    <w:p>
      <w:pPr>
        <w:tabs>
          <w:tab w:val="left" w:pos="3193"/>
        </w:tabs>
        <w:spacing w:line="400" w:lineRule="exact"/>
        <w:ind w:right="2" w:rightChars="1" w:firstLine="480" w:firstLineChars="200"/>
        <w:rPr>
          <w:rFonts w:hint="eastAsia" w:ascii="宋体" w:hAnsi="宋体" w:eastAsia="宋体" w:cs="宋体"/>
          <w:sz w:val="24"/>
          <w:szCs w:val="24"/>
        </w:rPr>
      </w:pPr>
    </w:p>
    <w:p>
      <w:pPr>
        <w:tabs>
          <w:tab w:val="left" w:pos="3193"/>
        </w:tabs>
        <w:spacing w:line="400" w:lineRule="exact"/>
        <w:ind w:right="2" w:rightChars="1" w:firstLine="480" w:firstLineChars="200"/>
        <w:rPr>
          <w:rFonts w:hint="eastAsia" w:ascii="宋体" w:hAnsi="宋体" w:eastAsia="宋体" w:cs="宋体"/>
          <w:sz w:val="24"/>
          <w:szCs w:val="24"/>
        </w:rPr>
      </w:pPr>
    </w:p>
    <w:p>
      <w:pPr>
        <w:tabs>
          <w:tab w:val="left" w:pos="3193"/>
        </w:tabs>
        <w:spacing w:line="400" w:lineRule="exact"/>
        <w:ind w:right="2" w:rightChars="1" w:firstLine="480" w:firstLineChars="200"/>
        <w:rPr>
          <w:rFonts w:hint="eastAsia" w:ascii="宋体" w:hAnsi="宋体" w:eastAsia="宋体" w:cs="宋体"/>
          <w:sz w:val="24"/>
          <w:szCs w:val="24"/>
        </w:rPr>
      </w:pPr>
    </w:p>
    <w:p>
      <w:pPr>
        <w:ind w:right="2" w:rightChars="1"/>
        <w:jc w:val="center"/>
        <w:outlineLvl w:val="0"/>
        <w:rPr>
          <w:rFonts w:hint="eastAsia" w:ascii="宋体" w:hAnsi="宋体" w:eastAsia="宋体" w:cs="宋体"/>
          <w:sz w:val="24"/>
          <w:szCs w:val="24"/>
        </w:rPr>
      </w:pPr>
      <w:bookmarkStart w:id="415" w:name="_Toc25070"/>
      <w:bookmarkStart w:id="416" w:name="_Toc32577"/>
    </w:p>
    <w:p>
      <w:pPr>
        <w:ind w:right="2" w:rightChars="1"/>
        <w:jc w:val="center"/>
        <w:outlineLvl w:val="0"/>
        <w:rPr>
          <w:rFonts w:hint="eastAsia" w:ascii="宋体" w:hAnsi="宋体" w:eastAsia="宋体" w:cs="宋体"/>
          <w:sz w:val="24"/>
          <w:szCs w:val="24"/>
        </w:rPr>
      </w:pPr>
    </w:p>
    <w:p>
      <w:pPr>
        <w:ind w:right="2" w:rightChars="1"/>
        <w:jc w:val="center"/>
        <w:outlineLvl w:val="0"/>
        <w:rPr>
          <w:rFonts w:hint="eastAsia" w:ascii="宋体" w:hAnsi="宋体" w:eastAsia="宋体" w:cs="宋体"/>
          <w:sz w:val="24"/>
          <w:szCs w:val="24"/>
        </w:rPr>
      </w:pPr>
    </w:p>
    <w:p>
      <w:pPr>
        <w:ind w:right="2" w:rightChars="1"/>
        <w:jc w:val="center"/>
        <w:outlineLvl w:val="0"/>
        <w:rPr>
          <w:rFonts w:hint="eastAsia" w:ascii="宋体" w:hAnsi="宋体" w:eastAsia="宋体" w:cs="宋体"/>
          <w:sz w:val="24"/>
          <w:szCs w:val="24"/>
        </w:rPr>
      </w:pPr>
    </w:p>
    <w:p>
      <w:pPr>
        <w:ind w:right="2" w:rightChars="1"/>
        <w:jc w:val="center"/>
        <w:outlineLvl w:val="0"/>
        <w:rPr>
          <w:rFonts w:hint="eastAsia" w:ascii="宋体" w:hAnsi="宋体" w:eastAsia="宋体" w:cs="宋体"/>
          <w:sz w:val="24"/>
          <w:szCs w:val="24"/>
        </w:rPr>
      </w:pPr>
    </w:p>
    <w:p>
      <w:pPr>
        <w:ind w:right="2" w:rightChars="1"/>
        <w:jc w:val="center"/>
        <w:outlineLvl w:val="0"/>
        <w:rPr>
          <w:rFonts w:hint="eastAsia" w:ascii="宋体" w:hAnsi="宋体" w:eastAsia="宋体" w:cs="宋体"/>
          <w:sz w:val="24"/>
          <w:szCs w:val="24"/>
        </w:rPr>
      </w:pPr>
      <w:r>
        <w:rPr>
          <w:rFonts w:hint="eastAsia" w:ascii="宋体" w:hAnsi="宋体" w:eastAsia="宋体" w:cs="宋体"/>
          <w:sz w:val="24"/>
          <w:szCs w:val="24"/>
        </w:rPr>
        <w:t>B、项目专用合同条款</w:t>
      </w:r>
      <w:bookmarkEnd w:id="415"/>
      <w:bookmarkEnd w:id="416"/>
    </w:p>
    <w:p>
      <w:pPr>
        <w:spacing w:line="360" w:lineRule="exact"/>
        <w:ind w:right="2" w:rightChars="1" w:firstLine="482" w:firstLineChars="200"/>
        <w:rPr>
          <w:rFonts w:hint="eastAsia" w:ascii="宋体" w:hAnsi="宋体" w:eastAsia="宋体" w:cs="宋体"/>
          <w:b/>
          <w:sz w:val="24"/>
          <w:szCs w:val="24"/>
        </w:rPr>
      </w:pPr>
      <w:r>
        <w:rPr>
          <w:rFonts w:hint="eastAsia" w:ascii="宋体" w:hAnsi="宋体" w:eastAsia="宋体" w:cs="宋体"/>
          <w:b/>
          <w:sz w:val="24"/>
          <w:szCs w:val="24"/>
        </w:rPr>
        <w:t>说明：</w:t>
      </w:r>
    </w:p>
    <w:p>
      <w:pPr>
        <w:spacing w:line="48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及“公路工程专用合同条款”明确“项目专用合同条款”可作出不同约定外，补充和细化的内容不得与“通用合同条款”及“公路工程专用合同条款”强制性规定相抵触。同时，补充、细化的不同内容，不得违反法律、行政法规的强制性规定和平等、自愿、公平和诚实信用原则。</w:t>
      </w:r>
    </w:p>
    <w:p>
      <w:pPr>
        <w:spacing w:line="48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2.项目专用合同条款的编号应与通用合同条款和公路工程专用合同条款一致。</w:t>
      </w:r>
    </w:p>
    <w:p>
      <w:pPr>
        <w:spacing w:line="48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3.项目专用合同条款可对下列内容进行补充和细化：</w:t>
      </w:r>
    </w:p>
    <w:p>
      <w:pPr>
        <w:spacing w:line="48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pacing w:line="48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公路工程专用合同条款”中明确指出“项目专用合同条款”可对“公路工程专用合同条款”进行修改的内容（在“公路工程专用合同条款”中用“除项目专用合同条款里有约定外”。“项目专用合同条款可能约定的”，“项目专用合同条款约定的其他情形”等多种文字形式表达）；</w:t>
      </w:r>
    </w:p>
    <w:p>
      <w:pPr>
        <w:spacing w:line="48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（3）其他需要补充、细化的内容。</w:t>
      </w:r>
    </w:p>
    <w:p>
      <w:pPr>
        <w:adjustRightInd w:val="0"/>
        <w:snapToGrid w:val="0"/>
        <w:spacing w:before="120" w:beforeLines="50" w:after="120" w:afterLines="50" w:line="360" w:lineRule="auto"/>
        <w:ind w:right="2" w:rightChars="1"/>
        <w:jc w:val="center"/>
        <w:rPr>
          <w:rFonts w:hint="eastAsia" w:ascii="宋体" w:hAnsi="宋体" w:eastAsia="宋体" w:cs="宋体"/>
          <w:sz w:val="24"/>
          <w:szCs w:val="24"/>
        </w:rPr>
      </w:pPr>
    </w:p>
    <w:p>
      <w:pPr>
        <w:adjustRightInd w:val="0"/>
        <w:snapToGrid w:val="0"/>
        <w:spacing w:before="120" w:beforeLines="50" w:after="120" w:afterLines="50"/>
        <w:ind w:right="2" w:rightChars="1"/>
        <w:jc w:val="center"/>
        <w:rPr>
          <w:rFonts w:hint="eastAsia" w:ascii="宋体" w:hAnsi="宋体" w:eastAsia="宋体" w:cs="宋体"/>
          <w:sz w:val="24"/>
          <w:szCs w:val="24"/>
        </w:rPr>
      </w:pPr>
    </w:p>
    <w:p>
      <w:pPr>
        <w:adjustRightInd w:val="0"/>
        <w:snapToGrid w:val="0"/>
        <w:spacing w:before="120" w:beforeLines="50" w:after="120" w:afterLines="50"/>
        <w:ind w:right="2" w:rightChars="1"/>
        <w:jc w:val="center"/>
        <w:rPr>
          <w:rFonts w:hint="eastAsia" w:ascii="宋体" w:hAnsi="宋体" w:eastAsia="宋体" w:cs="宋体"/>
          <w:sz w:val="24"/>
          <w:szCs w:val="24"/>
        </w:rPr>
      </w:pPr>
    </w:p>
    <w:p>
      <w:pPr>
        <w:adjustRightInd w:val="0"/>
        <w:snapToGrid w:val="0"/>
        <w:spacing w:before="120" w:beforeLines="50" w:after="120" w:afterLines="50"/>
        <w:ind w:right="2" w:rightChars="1"/>
        <w:jc w:val="center"/>
        <w:rPr>
          <w:rFonts w:hint="eastAsia" w:ascii="宋体" w:hAnsi="宋体" w:eastAsia="宋体" w:cs="宋体"/>
          <w:sz w:val="24"/>
          <w:szCs w:val="24"/>
        </w:rPr>
      </w:pPr>
    </w:p>
    <w:p>
      <w:pPr>
        <w:adjustRightInd w:val="0"/>
        <w:snapToGrid w:val="0"/>
        <w:spacing w:before="120" w:beforeLines="50" w:after="120" w:afterLines="50"/>
        <w:ind w:right="2" w:rightChars="1"/>
        <w:jc w:val="center"/>
        <w:rPr>
          <w:rFonts w:hint="eastAsia" w:ascii="宋体" w:hAnsi="宋体" w:eastAsia="宋体" w:cs="宋体"/>
          <w:sz w:val="24"/>
          <w:szCs w:val="24"/>
        </w:rPr>
      </w:pPr>
    </w:p>
    <w:p>
      <w:pPr>
        <w:adjustRightInd w:val="0"/>
        <w:snapToGrid w:val="0"/>
        <w:spacing w:before="120" w:beforeLines="50" w:after="120" w:afterLines="50"/>
        <w:ind w:right="2" w:rightChars="1"/>
        <w:jc w:val="center"/>
        <w:rPr>
          <w:rFonts w:hint="eastAsia" w:ascii="宋体" w:hAnsi="宋体" w:eastAsia="宋体" w:cs="宋体"/>
          <w:sz w:val="24"/>
          <w:szCs w:val="24"/>
        </w:rPr>
      </w:pPr>
    </w:p>
    <w:p>
      <w:pPr>
        <w:adjustRightInd w:val="0"/>
        <w:snapToGrid w:val="0"/>
        <w:spacing w:before="120" w:beforeLines="50" w:after="120" w:afterLines="50"/>
        <w:ind w:right="2" w:rightChars="1"/>
        <w:jc w:val="center"/>
        <w:rPr>
          <w:rFonts w:hint="eastAsia" w:ascii="宋体" w:hAnsi="宋体" w:eastAsia="宋体" w:cs="宋体"/>
          <w:sz w:val="24"/>
          <w:szCs w:val="24"/>
        </w:rPr>
      </w:pPr>
    </w:p>
    <w:p>
      <w:pPr>
        <w:adjustRightInd w:val="0"/>
        <w:snapToGrid w:val="0"/>
        <w:spacing w:before="120" w:beforeLines="50" w:after="120" w:afterLines="50"/>
        <w:ind w:right="2" w:rightChars="1"/>
        <w:jc w:val="center"/>
        <w:rPr>
          <w:rFonts w:hint="eastAsia" w:ascii="宋体" w:hAnsi="宋体" w:eastAsia="宋体" w:cs="宋体"/>
          <w:b/>
          <w:color w:val="000000"/>
          <w:sz w:val="24"/>
          <w:szCs w:val="24"/>
        </w:rPr>
      </w:pPr>
    </w:p>
    <w:p>
      <w:pPr>
        <w:adjustRightInd w:val="0"/>
        <w:snapToGrid w:val="0"/>
        <w:spacing w:before="120" w:beforeLines="50" w:after="120" w:afterLines="50"/>
        <w:ind w:right="2" w:rightChars="1"/>
        <w:jc w:val="center"/>
        <w:rPr>
          <w:rFonts w:hint="eastAsia" w:ascii="宋体" w:hAnsi="宋体" w:eastAsia="宋体" w:cs="宋体"/>
          <w:b/>
          <w:color w:val="000000"/>
          <w:sz w:val="24"/>
          <w:szCs w:val="24"/>
        </w:rPr>
      </w:pPr>
    </w:p>
    <w:p>
      <w:pPr>
        <w:adjustRightInd w:val="0"/>
        <w:snapToGrid w:val="0"/>
        <w:spacing w:before="120" w:beforeLines="50" w:after="120" w:afterLines="50"/>
        <w:ind w:right="2" w:rightChars="1"/>
        <w:jc w:val="center"/>
        <w:rPr>
          <w:rFonts w:hint="eastAsia" w:ascii="宋体" w:hAnsi="宋体" w:eastAsia="宋体" w:cs="宋体"/>
          <w:b/>
          <w:color w:val="000000"/>
          <w:sz w:val="24"/>
          <w:szCs w:val="24"/>
        </w:rPr>
      </w:pPr>
    </w:p>
    <w:p>
      <w:pPr>
        <w:spacing w:line="400" w:lineRule="exact"/>
        <w:ind w:right="2" w:rightChars="1"/>
        <w:jc w:val="center"/>
        <w:rPr>
          <w:rFonts w:hint="eastAsia" w:ascii="宋体" w:hAnsi="宋体" w:eastAsia="宋体" w:cs="宋体"/>
          <w:sz w:val="24"/>
          <w:szCs w:val="24"/>
        </w:rPr>
      </w:pPr>
      <w:r>
        <w:rPr>
          <w:rFonts w:hint="eastAsia" w:ascii="宋体" w:hAnsi="宋体" w:eastAsia="宋体" w:cs="宋体"/>
          <w:b/>
          <w:sz w:val="24"/>
          <w:szCs w:val="24"/>
        </w:rPr>
        <w:t>项目专用合同条款</w:t>
      </w:r>
    </w:p>
    <w:p>
      <w:pPr>
        <w:spacing w:line="400" w:lineRule="exact"/>
        <w:ind w:right="2" w:rightChars="1" w:firstLine="360" w:firstLineChars="150"/>
        <w:rPr>
          <w:rFonts w:hint="eastAsia" w:ascii="宋体" w:hAnsi="宋体" w:eastAsia="宋体" w:cs="宋体"/>
          <w:sz w:val="24"/>
          <w:szCs w:val="24"/>
        </w:rPr>
      </w:pPr>
      <w:r>
        <w:rPr>
          <w:rFonts w:hint="eastAsia" w:ascii="宋体" w:hAnsi="宋体" w:eastAsia="宋体" w:cs="宋体"/>
          <w:sz w:val="24"/>
          <w:szCs w:val="24"/>
        </w:rPr>
        <w:t>说明：本部分所列的项目专用合同条款是对“公路工程专用合同条款”中规定必须在项目专用合同条款中明确的内容的集中，招标人编制的“项目专用合同条款”不限于本部分所列内容。</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428"/>
        <w:gridCol w:w="71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exact"/>
          <w:jc w:val="center"/>
        </w:trPr>
        <w:tc>
          <w:tcPr>
            <w:tcW w:w="701"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b/>
                <w:color w:val="000000"/>
                <w:sz w:val="24"/>
                <w:szCs w:val="24"/>
              </w:rPr>
            </w:pPr>
            <w:bookmarkStart w:id="417" w:name="_Toc234382937"/>
            <w:bookmarkStart w:id="418" w:name="_Toc20284"/>
            <w:bookmarkStart w:id="419" w:name="_Toc26838"/>
            <w:r>
              <w:rPr>
                <w:rFonts w:hint="eastAsia" w:ascii="宋体" w:hAnsi="宋体" w:eastAsia="宋体" w:cs="宋体"/>
                <w:b/>
                <w:color w:val="000000"/>
                <w:sz w:val="24"/>
                <w:szCs w:val="24"/>
              </w:rPr>
              <w:t>序号</w:t>
            </w:r>
          </w:p>
        </w:tc>
        <w:tc>
          <w:tcPr>
            <w:tcW w:w="1428"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条款号</w:t>
            </w:r>
          </w:p>
        </w:tc>
        <w:tc>
          <w:tcPr>
            <w:tcW w:w="7145"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exact"/>
          <w:jc w:val="center"/>
        </w:trPr>
        <w:tc>
          <w:tcPr>
            <w:tcW w:w="701"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28"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1.1.2.2</w:t>
            </w:r>
          </w:p>
        </w:tc>
        <w:tc>
          <w:tcPr>
            <w:tcW w:w="7145" w:type="dxa"/>
            <w:noWrap w:val="0"/>
            <w:vAlign w:val="center"/>
          </w:tcPr>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发 包 人：</w:t>
            </w:r>
            <w:r>
              <w:rPr>
                <w:rFonts w:hint="eastAsia" w:ascii="宋体" w:hAnsi="宋体" w:eastAsia="宋体" w:cs="宋体"/>
                <w:color w:val="000000"/>
                <w:sz w:val="24"/>
                <w:szCs w:val="24"/>
                <w:lang w:eastAsia="zh-CN"/>
              </w:rPr>
              <w:t>武陟县公路局</w:t>
            </w:r>
          </w:p>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邮政编码：454000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exact"/>
          <w:jc w:val="center"/>
        </w:trPr>
        <w:tc>
          <w:tcPr>
            <w:tcW w:w="701"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28"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1.1.2.6</w:t>
            </w:r>
          </w:p>
        </w:tc>
        <w:tc>
          <w:tcPr>
            <w:tcW w:w="7145" w:type="dxa"/>
            <w:noWrap w:val="0"/>
            <w:vAlign w:val="center"/>
          </w:tcPr>
          <w:p>
            <w:pPr>
              <w:keepNext w:val="0"/>
              <w:keepLines w:val="0"/>
              <w:suppressLineNumbers w:val="0"/>
              <w:spacing w:before="0" w:beforeAutospacing="0" w:after="0" w:afterAutospacing="0"/>
              <w:ind w:left="0" w:right="2" w:rightChars="1"/>
              <w:rPr>
                <w:rFonts w:hint="eastAsia" w:ascii="宋体" w:hAnsi="宋体" w:eastAsia="宋体" w:cs="宋体"/>
                <w:color w:val="auto"/>
                <w:sz w:val="24"/>
                <w:szCs w:val="24"/>
              </w:rPr>
            </w:pPr>
            <w:r>
              <w:rPr>
                <w:rFonts w:hint="eastAsia" w:ascii="宋体" w:hAnsi="宋体" w:eastAsia="宋体" w:cs="宋体"/>
                <w:color w:val="auto"/>
                <w:sz w:val="24"/>
                <w:szCs w:val="24"/>
              </w:rPr>
              <w:t xml:space="preserve">监 理 人： </w:t>
            </w:r>
          </w:p>
          <w:p>
            <w:pPr>
              <w:keepNext w:val="0"/>
              <w:keepLines w:val="0"/>
              <w:suppressLineNumbers w:val="0"/>
              <w:spacing w:before="0" w:beforeAutospacing="0" w:after="0" w:afterAutospacing="0"/>
              <w:ind w:left="0" w:right="2" w:rightChars="1"/>
              <w:rPr>
                <w:rFonts w:hint="eastAsia" w:ascii="宋体" w:hAnsi="宋体" w:eastAsia="宋体" w:cs="宋体"/>
                <w:color w:val="auto"/>
                <w:sz w:val="24"/>
                <w:szCs w:val="24"/>
              </w:rPr>
            </w:pPr>
            <w:r>
              <w:rPr>
                <w:rFonts w:hint="eastAsia" w:ascii="宋体" w:hAnsi="宋体" w:eastAsia="宋体" w:cs="宋体"/>
                <w:color w:val="auto"/>
                <w:sz w:val="24"/>
                <w:szCs w:val="24"/>
              </w:rPr>
              <w:t>地址：                 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exact"/>
          <w:jc w:val="center"/>
        </w:trPr>
        <w:tc>
          <w:tcPr>
            <w:tcW w:w="701"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28"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1.1.4.5</w:t>
            </w:r>
          </w:p>
        </w:tc>
        <w:tc>
          <w:tcPr>
            <w:tcW w:w="7145" w:type="dxa"/>
            <w:noWrap w:val="0"/>
            <w:vAlign w:val="center"/>
          </w:tcPr>
          <w:p>
            <w:pPr>
              <w:keepNext w:val="0"/>
              <w:keepLines w:val="0"/>
              <w:suppressLineNumbers w:val="0"/>
              <w:spacing w:before="0" w:beforeAutospacing="0" w:after="0" w:afterAutospacing="0"/>
              <w:ind w:left="0" w:right="2" w:rightChars="1"/>
              <w:rPr>
                <w:rFonts w:hint="eastAsia" w:ascii="宋体" w:hAnsi="宋体" w:eastAsia="宋体" w:cs="宋体"/>
                <w:color w:val="auto"/>
                <w:sz w:val="24"/>
                <w:szCs w:val="24"/>
              </w:rPr>
            </w:pPr>
            <w:r>
              <w:rPr>
                <w:rFonts w:hint="eastAsia" w:ascii="宋体" w:hAnsi="宋体" w:eastAsia="宋体" w:cs="宋体"/>
                <w:color w:val="auto"/>
                <w:sz w:val="24"/>
                <w:szCs w:val="24"/>
              </w:rPr>
              <w:t>缺陷责任期：自实际交工日期起计算</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701"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428"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1.6.3</w:t>
            </w:r>
          </w:p>
        </w:tc>
        <w:tc>
          <w:tcPr>
            <w:tcW w:w="7145" w:type="dxa"/>
            <w:noWrap w:val="0"/>
            <w:vAlign w:val="center"/>
          </w:tcPr>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rPr>
            </w:pPr>
            <w:r>
              <w:rPr>
                <w:rFonts w:hint="eastAsia" w:ascii="宋体" w:hAnsi="宋体" w:eastAsia="宋体" w:cs="宋体"/>
                <w:color w:val="000000"/>
                <w:sz w:val="24"/>
                <w:szCs w:val="24"/>
              </w:rPr>
              <w:t>图纸需要修改和补充的，应由监理人取得发包人同意后，在该项工程或工程相应部位施工前</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7" w:hRule="atLeast"/>
          <w:jc w:val="center"/>
        </w:trPr>
        <w:tc>
          <w:tcPr>
            <w:tcW w:w="701"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428"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3.1.1</w:t>
            </w:r>
          </w:p>
        </w:tc>
        <w:tc>
          <w:tcPr>
            <w:tcW w:w="7145" w:type="dxa"/>
            <w:noWrap w:val="0"/>
            <w:vAlign w:val="center"/>
          </w:tcPr>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rPr>
            </w:pPr>
            <w:r>
              <w:rPr>
                <w:rFonts w:hint="eastAsia" w:ascii="宋体" w:hAnsi="宋体" w:eastAsia="宋体" w:cs="宋体"/>
                <w:color w:val="000000"/>
                <w:sz w:val="24"/>
                <w:szCs w:val="24"/>
              </w:rPr>
              <w:t>监理人在行驶下列权利前需要经发包人事先批准：</w:t>
            </w:r>
          </w:p>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rPr>
            </w:pPr>
            <w:r>
              <w:rPr>
                <w:rFonts w:hint="eastAsia" w:ascii="宋体" w:hAnsi="宋体" w:eastAsia="宋体" w:cs="宋体"/>
                <w:color w:val="000000"/>
                <w:sz w:val="24"/>
                <w:szCs w:val="24"/>
              </w:rPr>
              <w:t>根据第15.3款发出的变更指示，其单项工程变更设计的金额超过了该单项工程签约时合同价的</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rPr>
              <w:t>%或累计变更超过了签约合同价的</w:t>
            </w:r>
            <w:r>
              <w:rPr>
                <w:rFonts w:hint="eastAsia" w:ascii="宋体" w:hAnsi="宋体" w:eastAsia="宋体" w:cs="宋体"/>
                <w:color w:val="000000"/>
                <w:sz w:val="24"/>
                <w:szCs w:val="24"/>
                <w:u w:val="single"/>
                <w:lang w:val="en-US" w:eastAsia="zh-CN"/>
              </w:rPr>
              <w:t>/</w:t>
            </w:r>
            <w:r>
              <w:rPr>
                <w:rFonts w:hint="eastAsia" w:ascii="宋体" w:hAnsi="宋体" w:eastAsia="宋体" w:cs="宋体"/>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exact"/>
          <w:jc w:val="center"/>
        </w:trPr>
        <w:tc>
          <w:tcPr>
            <w:tcW w:w="701"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428"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5.2.1</w:t>
            </w:r>
          </w:p>
        </w:tc>
        <w:tc>
          <w:tcPr>
            <w:tcW w:w="7145" w:type="dxa"/>
            <w:noWrap w:val="0"/>
            <w:vAlign w:val="center"/>
          </w:tcPr>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发包人是否提供材料或工程设备：</w:t>
            </w:r>
            <w:r>
              <w:rPr>
                <w:rFonts w:hint="eastAsia" w:ascii="宋体" w:hAnsi="宋体" w:eastAsia="宋体" w:cs="宋体"/>
                <w:color w:val="000000"/>
                <w:sz w:val="24"/>
                <w:szCs w:val="24"/>
                <w:u w:val="single"/>
              </w:rPr>
              <w:t>否</w:t>
            </w:r>
          </w:p>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rPr>
            </w:pPr>
            <w:r>
              <w:rPr>
                <w:rFonts w:hint="eastAsia" w:ascii="宋体" w:hAnsi="宋体" w:eastAsia="宋体" w:cs="宋体"/>
                <w:color w:val="000000"/>
                <w:sz w:val="24"/>
                <w:szCs w:val="24"/>
              </w:rPr>
              <w:t>如发包人负责提供部分材料或工程设备，相关规定如下：</w:t>
            </w:r>
            <w:r>
              <w:rPr>
                <w:rFonts w:hint="eastAsia" w:ascii="宋体" w:hAnsi="宋体" w:eastAsia="宋体" w:cs="宋体"/>
                <w:color w:val="000000"/>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exact"/>
          <w:jc w:val="center"/>
        </w:trPr>
        <w:tc>
          <w:tcPr>
            <w:tcW w:w="701"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428"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6.2</w:t>
            </w:r>
          </w:p>
        </w:tc>
        <w:tc>
          <w:tcPr>
            <w:tcW w:w="7145" w:type="dxa"/>
            <w:noWrap w:val="0"/>
            <w:vAlign w:val="center"/>
          </w:tcPr>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发包人是否提供施工设备和临时设施：</w:t>
            </w:r>
            <w:r>
              <w:rPr>
                <w:rFonts w:hint="eastAsia" w:ascii="宋体" w:hAnsi="宋体" w:eastAsia="宋体" w:cs="宋体"/>
                <w:color w:val="000000"/>
                <w:sz w:val="24"/>
                <w:szCs w:val="24"/>
                <w:u w:val="single"/>
              </w:rPr>
              <w:t>否</w:t>
            </w:r>
          </w:p>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rPr>
            </w:pPr>
            <w:r>
              <w:rPr>
                <w:rFonts w:hint="eastAsia" w:ascii="宋体" w:hAnsi="宋体" w:eastAsia="宋体" w:cs="宋体"/>
                <w:color w:val="000000"/>
                <w:sz w:val="24"/>
                <w:szCs w:val="24"/>
              </w:rPr>
              <w:t>如发包人负责提供部分施工设备和临时设施，相关规定如下：</w:t>
            </w:r>
            <w:r>
              <w:rPr>
                <w:rFonts w:hint="eastAsia" w:ascii="宋体" w:hAnsi="宋体" w:eastAsia="宋体" w:cs="宋体"/>
                <w:color w:val="000000"/>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8" w:hRule="exact"/>
          <w:jc w:val="center"/>
        </w:trPr>
        <w:tc>
          <w:tcPr>
            <w:tcW w:w="701"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428"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8.1.1</w:t>
            </w:r>
          </w:p>
        </w:tc>
        <w:tc>
          <w:tcPr>
            <w:tcW w:w="7145" w:type="dxa"/>
            <w:noWrap w:val="0"/>
            <w:vAlign w:val="center"/>
          </w:tcPr>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rPr>
            </w:pPr>
            <w:r>
              <w:rPr>
                <w:rFonts w:hint="eastAsia" w:ascii="宋体" w:hAnsi="宋体" w:eastAsia="宋体" w:cs="宋体"/>
                <w:color w:val="000000"/>
                <w:sz w:val="24"/>
                <w:szCs w:val="24"/>
              </w:rPr>
              <w:t>发包人提供测量基准点、基准线和水准点及其书面资料的期限：</w:t>
            </w:r>
            <w:r>
              <w:rPr>
                <w:rFonts w:hint="eastAsia" w:ascii="宋体" w:hAnsi="宋体" w:eastAsia="宋体" w:cs="宋体"/>
                <w:color w:val="000000"/>
                <w:sz w:val="24"/>
                <w:szCs w:val="24"/>
                <w:u w:val="single"/>
              </w:rPr>
              <w:t xml:space="preserve">施工单位进驻现场5天内  </w:t>
            </w:r>
          </w:p>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rPr>
            </w:pPr>
            <w:r>
              <w:rPr>
                <w:rFonts w:hint="eastAsia" w:ascii="宋体" w:hAnsi="宋体" w:eastAsia="宋体" w:cs="宋体"/>
                <w:color w:val="000000"/>
                <w:sz w:val="24"/>
                <w:szCs w:val="24"/>
              </w:rPr>
              <w:t>承包人将施工控制网资料报送监理人审批的期限：</w:t>
            </w:r>
            <w:r>
              <w:rPr>
                <w:rFonts w:hint="eastAsia" w:ascii="宋体" w:hAnsi="宋体" w:eastAsia="宋体" w:cs="宋体"/>
                <w:color w:val="000000"/>
                <w:sz w:val="24"/>
                <w:szCs w:val="24"/>
                <w:u w:val="single"/>
              </w:rPr>
              <w:t xml:space="preserve">施工单位进驻现场7天内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exact"/>
          <w:jc w:val="center"/>
        </w:trPr>
        <w:tc>
          <w:tcPr>
            <w:tcW w:w="701"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428"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11.5（3）</w:t>
            </w:r>
          </w:p>
        </w:tc>
        <w:tc>
          <w:tcPr>
            <w:tcW w:w="7145" w:type="dxa"/>
            <w:noWrap w:val="0"/>
            <w:vAlign w:val="center"/>
          </w:tcPr>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rPr>
            </w:pPr>
            <w:r>
              <w:rPr>
                <w:rFonts w:hint="eastAsia" w:ascii="宋体" w:hAnsi="宋体" w:eastAsia="宋体" w:cs="宋体"/>
                <w:color w:val="000000"/>
                <w:sz w:val="24"/>
                <w:szCs w:val="24"/>
              </w:rPr>
              <w:t>逾期交工违约金</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lang w:val="en-US" w:eastAsia="zh-CN"/>
              </w:rPr>
              <w:t>5000</w:t>
            </w:r>
            <w:r>
              <w:rPr>
                <w:rFonts w:hint="eastAsia" w:ascii="宋体" w:hAnsi="宋体" w:eastAsia="宋体" w:cs="宋体"/>
                <w:color w:val="000000"/>
                <w:sz w:val="24"/>
                <w:szCs w:val="24"/>
                <w:highlight w:val="none"/>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exact"/>
          <w:jc w:val="center"/>
        </w:trPr>
        <w:tc>
          <w:tcPr>
            <w:tcW w:w="701"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428"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11.5（3）</w:t>
            </w:r>
          </w:p>
        </w:tc>
        <w:tc>
          <w:tcPr>
            <w:tcW w:w="7145" w:type="dxa"/>
            <w:noWrap w:val="0"/>
            <w:vAlign w:val="center"/>
          </w:tcPr>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rPr>
            </w:pPr>
            <w:r>
              <w:rPr>
                <w:rFonts w:hint="eastAsia" w:ascii="宋体" w:hAnsi="宋体" w:eastAsia="宋体" w:cs="宋体"/>
                <w:color w:val="000000"/>
                <w:sz w:val="24"/>
                <w:szCs w:val="24"/>
              </w:rPr>
              <w:t>逾期交工违约金限额：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exact"/>
          <w:jc w:val="center"/>
        </w:trPr>
        <w:tc>
          <w:tcPr>
            <w:tcW w:w="701"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428"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11.6</w:t>
            </w:r>
          </w:p>
        </w:tc>
        <w:tc>
          <w:tcPr>
            <w:tcW w:w="7145" w:type="dxa"/>
            <w:noWrap w:val="0"/>
            <w:vAlign w:val="center"/>
          </w:tcPr>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rPr>
            </w:pPr>
            <w:r>
              <w:rPr>
                <w:rFonts w:hint="eastAsia" w:ascii="宋体" w:hAnsi="宋体" w:eastAsia="宋体" w:cs="宋体"/>
                <w:color w:val="000000"/>
                <w:sz w:val="24"/>
                <w:szCs w:val="24"/>
              </w:rPr>
              <w:t>提前交工的奖金：</w:t>
            </w:r>
            <w:r>
              <w:rPr>
                <w:rFonts w:hint="eastAsia" w:ascii="宋体" w:hAnsi="宋体" w:eastAsia="宋体" w:cs="宋体"/>
                <w:color w:val="000000"/>
                <w:sz w:val="24"/>
                <w:szCs w:val="24"/>
                <w:u w:val="single"/>
              </w:rPr>
              <w:t xml:space="preserve"> 0 </w:t>
            </w:r>
            <w:r>
              <w:rPr>
                <w:rFonts w:hint="eastAsia" w:ascii="宋体" w:hAnsi="宋体" w:eastAsia="宋体" w:cs="宋体"/>
                <w:color w:val="000000"/>
                <w:sz w:val="24"/>
                <w:szCs w:val="24"/>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exact"/>
          <w:jc w:val="center"/>
        </w:trPr>
        <w:tc>
          <w:tcPr>
            <w:tcW w:w="701"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428" w:type="dxa"/>
            <w:noWrap w:val="0"/>
            <w:vAlign w:val="center"/>
          </w:tcPr>
          <w:p>
            <w:pPr>
              <w:keepNext w:val="0"/>
              <w:keepLines w:val="0"/>
              <w:suppressLineNumbers w:val="0"/>
              <w:spacing w:before="0" w:beforeAutospacing="0" w:after="0" w:afterAutospacing="0"/>
              <w:ind w:left="0" w:right="2" w:rightChars="1"/>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11.6</w:t>
            </w:r>
          </w:p>
        </w:tc>
        <w:tc>
          <w:tcPr>
            <w:tcW w:w="7145" w:type="dxa"/>
            <w:noWrap w:val="0"/>
            <w:vAlign w:val="center"/>
          </w:tcPr>
          <w:p>
            <w:pPr>
              <w:keepNext w:val="0"/>
              <w:keepLines w:val="0"/>
              <w:suppressLineNumbers w:val="0"/>
              <w:spacing w:before="0" w:beforeAutospacing="0" w:after="0" w:afterAutospacing="0"/>
              <w:ind w:left="0" w:right="2" w:rightChars="1"/>
              <w:rPr>
                <w:rFonts w:hint="eastAsia" w:ascii="宋体" w:hAnsi="宋体" w:eastAsia="宋体" w:cs="宋体"/>
                <w:color w:val="000000"/>
                <w:sz w:val="24"/>
                <w:szCs w:val="24"/>
              </w:rPr>
            </w:pPr>
            <w:r>
              <w:rPr>
                <w:rFonts w:hint="eastAsia" w:ascii="宋体" w:hAnsi="宋体" w:eastAsia="宋体" w:cs="宋体"/>
                <w:color w:val="000000"/>
                <w:sz w:val="24"/>
                <w:szCs w:val="24"/>
              </w:rPr>
              <w:t>提前交工的奖金限额：</w:t>
            </w:r>
            <w:r>
              <w:rPr>
                <w:rFonts w:hint="eastAsia" w:ascii="宋体" w:hAnsi="宋体" w:eastAsia="宋体" w:cs="宋体"/>
                <w:color w:val="000000"/>
                <w:sz w:val="24"/>
                <w:szCs w:val="24"/>
                <w:u w:val="single"/>
              </w:rPr>
              <w:t xml:space="preserve"> 0 </w:t>
            </w:r>
            <w:r>
              <w:rPr>
                <w:rFonts w:hint="eastAsia" w:ascii="宋体" w:hAnsi="宋体" w:eastAsia="宋体" w:cs="宋体"/>
                <w:color w:val="000000"/>
                <w:sz w:val="24"/>
                <w:szCs w:val="24"/>
              </w:rPr>
              <w:t>%签约合同价</w:t>
            </w:r>
          </w:p>
        </w:tc>
      </w:tr>
    </w:tbl>
    <w:p>
      <w:pPr>
        <w:ind w:right="2" w:rightChars="1"/>
        <w:jc w:val="right"/>
        <w:rPr>
          <w:rFonts w:hint="eastAsia" w:ascii="宋体" w:hAnsi="宋体" w:eastAsia="宋体" w:cs="宋体"/>
          <w:color w:val="000000"/>
          <w:sz w:val="24"/>
          <w:szCs w:val="24"/>
        </w:rPr>
      </w:pPr>
    </w:p>
    <w:p>
      <w:pPr>
        <w:ind w:right="2" w:rightChars="1"/>
        <w:rPr>
          <w:rFonts w:hint="eastAsia" w:ascii="宋体" w:hAnsi="宋体" w:eastAsia="宋体" w:cs="宋体"/>
          <w:color w:val="000000"/>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tbl>
      <w:tblPr>
        <w:tblStyle w:val="44"/>
        <w:tblW w:w="0" w:type="auto"/>
        <w:tblInd w:w="1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32"/>
        <w:gridCol w:w="1420"/>
        <w:gridCol w:w="7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09" w:hRule="atLeast"/>
        </w:trPr>
        <w:tc>
          <w:tcPr>
            <w:tcW w:w="732"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序号</w:t>
            </w:r>
          </w:p>
        </w:tc>
        <w:tc>
          <w:tcPr>
            <w:tcW w:w="1420"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条款号</w:t>
            </w:r>
          </w:p>
        </w:tc>
        <w:tc>
          <w:tcPr>
            <w:tcW w:w="7115" w:type="dxa"/>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58"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16.1</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按专用条款16.1.1执行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77"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17.2.1（1）</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开工预付款金额：</w:t>
            </w:r>
            <w:r>
              <w:rPr>
                <w:rFonts w:hint="eastAsia" w:ascii="宋体" w:hAnsi="宋体" w:eastAsia="宋体" w:cs="宋体"/>
                <w:color w:val="auto"/>
                <w:kern w:val="2"/>
                <w:sz w:val="24"/>
                <w:szCs w:val="24"/>
                <w:highlight w:val="none"/>
                <w:u w:val="single"/>
                <w:lang w:val="en-US" w:eastAsia="zh-CN" w:bidi="ar"/>
              </w:rPr>
              <w:t xml:space="preserve"> 10</w:t>
            </w:r>
            <w:r>
              <w:rPr>
                <w:rFonts w:hint="eastAsia" w:ascii="宋体" w:hAnsi="宋体" w:eastAsia="宋体" w:cs="宋体"/>
                <w:color w:val="auto"/>
                <w:kern w:val="2"/>
                <w:sz w:val="24"/>
                <w:szCs w:val="24"/>
                <w:highlight w:val="none"/>
                <w:lang w:val="en-US" w:eastAsia="zh-CN" w:bidi="ar"/>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801"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17.2.1（2）</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材料、设备预付款比例：</w:t>
            </w:r>
            <w:r>
              <w:rPr>
                <w:rFonts w:hint="eastAsia" w:ascii="宋体" w:hAnsi="宋体" w:eastAsia="宋体" w:cs="宋体"/>
                <w:color w:val="auto"/>
                <w:sz w:val="24"/>
                <w:szCs w:val="24"/>
                <w:highlight w:val="none"/>
                <w:u w:val="single"/>
              </w:rPr>
              <w:t>沥青、水泥、砂、石</w:t>
            </w:r>
            <w:r>
              <w:rPr>
                <w:rFonts w:hint="eastAsia" w:ascii="宋体" w:hAnsi="宋体" w:eastAsia="宋体" w:cs="宋体"/>
                <w:color w:val="auto"/>
                <w:kern w:val="2"/>
                <w:sz w:val="24"/>
                <w:szCs w:val="24"/>
                <w:highlight w:val="none"/>
                <w:lang w:val="en-US" w:eastAsia="zh-CN" w:bidi="ar"/>
              </w:rPr>
              <w:t>等材料、设备单据所列费用的</w:t>
            </w:r>
            <w:r>
              <w:rPr>
                <w:rFonts w:hint="eastAsia" w:ascii="宋体" w:hAnsi="宋体" w:eastAsia="宋体" w:cs="宋体"/>
                <w:color w:val="auto"/>
                <w:kern w:val="2"/>
                <w:sz w:val="24"/>
                <w:szCs w:val="24"/>
                <w:highlight w:val="none"/>
                <w:u w:val="single"/>
                <w:lang w:val="en-US" w:eastAsia="zh-CN" w:bidi="ar"/>
              </w:rPr>
              <w:t xml:space="preserve"> / </w:t>
            </w:r>
            <w:r>
              <w:rPr>
                <w:rFonts w:hint="eastAsia" w:ascii="宋体" w:hAnsi="宋体" w:eastAsia="宋体" w:cs="宋体"/>
                <w:color w:val="auto"/>
                <w:kern w:val="2"/>
                <w:sz w:val="24"/>
                <w:szCs w:val="24"/>
                <w:highlight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94"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17.3.2</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240" w:right="2" w:rightChars="1" w:hanging="240" w:hangingChars="1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承包人在每个付款周期末向监理人提交进度付款申请单的份数：</w:t>
            </w:r>
            <w:r>
              <w:rPr>
                <w:rFonts w:hint="eastAsia" w:ascii="宋体" w:hAnsi="宋体" w:eastAsia="宋体" w:cs="宋体"/>
                <w:color w:val="auto"/>
                <w:kern w:val="2"/>
                <w:sz w:val="24"/>
                <w:szCs w:val="24"/>
                <w:highlight w:val="none"/>
                <w:u w:val="single"/>
                <w:lang w:val="en-US" w:eastAsia="zh-CN" w:bidi="ar"/>
              </w:rPr>
              <w:t xml:space="preserve">5  </w:t>
            </w:r>
          </w:p>
          <w:p>
            <w:pPr>
              <w:keepNext w:val="0"/>
              <w:keepLines w:val="0"/>
              <w:widowControl w:val="0"/>
              <w:suppressLineNumbers w:val="0"/>
              <w:spacing w:before="0" w:beforeAutospacing="0" w:after="0" w:afterAutospacing="0"/>
              <w:ind w:left="240" w:right="2" w:rightChars="1" w:hanging="240" w:hangingChars="1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32"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17.3.3（1）</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进度付款证书最低限额：</w:t>
            </w:r>
            <w:r>
              <w:rPr>
                <w:rFonts w:hint="eastAsia" w:ascii="宋体" w:hAnsi="宋体" w:eastAsia="宋体" w:cs="宋体"/>
                <w:color w:val="auto"/>
                <w:kern w:val="2"/>
                <w:sz w:val="24"/>
                <w:szCs w:val="24"/>
                <w:highlight w:val="none"/>
                <w:u w:val="single"/>
                <w:lang w:val="en-US" w:eastAsia="zh-CN" w:bidi="ar"/>
              </w:rPr>
              <w:t>/％签约合同价或/万元人民币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84"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17.3.3（2）</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逾期付款违约金的利率：</w:t>
            </w:r>
            <w:r>
              <w:rPr>
                <w:rFonts w:hint="eastAsia" w:ascii="宋体" w:hAnsi="宋体" w:eastAsia="宋体" w:cs="宋体"/>
                <w:color w:val="auto"/>
                <w:kern w:val="2"/>
                <w:sz w:val="24"/>
                <w:szCs w:val="24"/>
                <w:highlight w:val="none"/>
                <w:u w:val="single"/>
                <w:lang w:val="en-US" w:eastAsia="zh-CN" w:bidi="ar"/>
              </w:rPr>
              <w:t>0</w:t>
            </w:r>
            <w:r>
              <w:rPr>
                <w:rFonts w:hint="eastAsia" w:ascii="宋体" w:hAnsi="宋体" w:eastAsia="宋体" w:cs="宋体"/>
                <w:color w:val="auto"/>
                <w:kern w:val="2"/>
                <w:sz w:val="24"/>
                <w:szCs w:val="24"/>
                <w:highlight w:val="none"/>
                <w:lang w:val="en-US" w:eastAsia="zh-CN" w:bidi="ar"/>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374"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17.4.1</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质量保证金金额：</w:t>
            </w:r>
            <w:r>
              <w:rPr>
                <w:rFonts w:hint="eastAsia" w:ascii="宋体" w:hAnsi="宋体" w:eastAsia="宋体" w:cs="宋体"/>
                <w:color w:val="auto"/>
                <w:kern w:val="2"/>
                <w:sz w:val="24"/>
                <w:szCs w:val="24"/>
                <w:highlight w:val="none"/>
                <w:u w:val="single"/>
                <w:lang w:val="en-US" w:eastAsia="zh-CN" w:bidi="ar"/>
              </w:rPr>
              <w:t xml:space="preserve"> 1.5 </w:t>
            </w:r>
            <w:r>
              <w:rPr>
                <w:rFonts w:hint="eastAsia" w:ascii="宋体" w:hAnsi="宋体" w:eastAsia="宋体" w:cs="宋体"/>
                <w:color w:val="auto"/>
                <w:kern w:val="2"/>
                <w:sz w:val="24"/>
                <w:szCs w:val="24"/>
                <w:highlight w:val="none"/>
                <w:lang w:val="en-US" w:eastAsia="zh-CN" w:bidi="ar"/>
              </w:rPr>
              <w:t>%合同价格，若交工验收时承包人具备被招标项目所在地省级交通运输主管部门评定的最高信用等级，发包人给予</w:t>
            </w:r>
            <w:r>
              <w:rPr>
                <w:rFonts w:hint="eastAsia" w:ascii="宋体" w:hAnsi="宋体" w:eastAsia="宋体" w:cs="宋体"/>
                <w:color w:val="auto"/>
                <w:kern w:val="2"/>
                <w:sz w:val="24"/>
                <w:szCs w:val="24"/>
                <w:highlight w:val="none"/>
                <w:u w:val="single"/>
                <w:lang w:val="en-US" w:eastAsia="zh-CN" w:bidi="ar"/>
              </w:rPr>
              <w:t xml:space="preserve"> 0 </w:t>
            </w:r>
            <w:r>
              <w:rPr>
                <w:rFonts w:hint="eastAsia" w:ascii="宋体" w:hAnsi="宋体" w:eastAsia="宋体" w:cs="宋体"/>
                <w:color w:val="auto"/>
                <w:kern w:val="2"/>
                <w:sz w:val="24"/>
                <w:szCs w:val="24"/>
                <w:highlight w:val="none"/>
                <w:lang w:val="en-US" w:eastAsia="zh-CN" w:bidi="ar"/>
              </w:rPr>
              <w:t>%合同价格质量保证金的优惠。</w:t>
            </w:r>
          </w:p>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质量保证金是否计付利息：否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811"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17.5.1（1）</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承包人向监理人提交交工付款申请单（包括相关证明材料）的份数：   </w:t>
            </w:r>
            <w:r>
              <w:rPr>
                <w:rFonts w:hint="eastAsia" w:ascii="宋体" w:hAnsi="宋体" w:eastAsia="宋体" w:cs="宋体"/>
                <w:color w:val="auto"/>
                <w:kern w:val="2"/>
                <w:sz w:val="24"/>
                <w:szCs w:val="24"/>
                <w:highlight w:val="none"/>
                <w:u w:val="single"/>
                <w:lang w:val="en-US" w:eastAsia="zh-CN" w:bidi="ar"/>
              </w:rPr>
              <w:t>5</w:t>
            </w:r>
            <w:r>
              <w:rPr>
                <w:rFonts w:hint="eastAsia" w:ascii="宋体" w:hAnsi="宋体" w:eastAsia="宋体" w:cs="宋体"/>
                <w:color w:val="auto"/>
                <w:kern w:val="2"/>
                <w:sz w:val="24"/>
                <w:szCs w:val="24"/>
                <w:highlight w:val="none"/>
                <w:lang w:val="en-US" w:eastAsia="zh-CN" w:bidi="ar"/>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822"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17.6.1（1）</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承包人向监理人提交最终结清申请单（包括相关证明材料）的份数：   </w:t>
            </w:r>
            <w:r>
              <w:rPr>
                <w:rFonts w:hint="eastAsia" w:ascii="宋体" w:hAnsi="宋体" w:eastAsia="宋体" w:cs="宋体"/>
                <w:color w:val="auto"/>
                <w:kern w:val="2"/>
                <w:sz w:val="24"/>
                <w:szCs w:val="24"/>
                <w:highlight w:val="none"/>
                <w:u w:val="single"/>
                <w:lang w:val="en-US" w:eastAsia="zh-CN" w:bidi="ar"/>
              </w:rPr>
              <w:t>5</w:t>
            </w:r>
            <w:r>
              <w:rPr>
                <w:rFonts w:hint="eastAsia" w:ascii="宋体" w:hAnsi="宋体" w:eastAsia="宋体" w:cs="宋体"/>
                <w:color w:val="auto"/>
                <w:kern w:val="2"/>
                <w:sz w:val="24"/>
                <w:szCs w:val="24"/>
                <w:highlight w:val="none"/>
                <w:lang w:val="en-US" w:eastAsia="zh-CN" w:bidi="ar"/>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67"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18.2（2）</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竣工资料的份数：</w:t>
            </w:r>
            <w:r>
              <w:rPr>
                <w:rFonts w:hint="eastAsia" w:ascii="宋体" w:hAnsi="宋体" w:eastAsia="宋体" w:cs="宋体"/>
                <w:color w:val="auto"/>
                <w:kern w:val="2"/>
                <w:sz w:val="24"/>
                <w:szCs w:val="24"/>
                <w:highlight w:val="none"/>
                <w:u w:val="single"/>
                <w:lang w:val="en-US" w:eastAsia="zh-CN" w:bidi="ar"/>
              </w:rPr>
              <w:t>5</w:t>
            </w:r>
            <w:r>
              <w:rPr>
                <w:rFonts w:hint="eastAsia" w:ascii="宋体" w:hAnsi="宋体" w:eastAsia="宋体" w:cs="宋体"/>
                <w:color w:val="auto"/>
                <w:kern w:val="2"/>
                <w:sz w:val="24"/>
                <w:szCs w:val="24"/>
                <w:highlight w:val="none"/>
                <w:lang w:val="en-US" w:eastAsia="zh-CN" w:bidi="ar"/>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06"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24</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18.5.1</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单位工程或工程设备是否需投入施工期运行：</w:t>
            </w:r>
            <w:r>
              <w:rPr>
                <w:rFonts w:hint="eastAsia" w:ascii="宋体" w:hAnsi="宋体" w:eastAsia="宋体" w:cs="宋体"/>
                <w:color w:val="auto"/>
                <w:kern w:val="2"/>
                <w:sz w:val="24"/>
                <w:szCs w:val="24"/>
                <w:highlight w:val="none"/>
                <w:u w:val="single"/>
                <w:lang w:val="en-US" w:eastAsia="zh-CN" w:bidi="ar"/>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59"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18.6.1</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本工程及工程设备是否进行试运行：</w:t>
            </w:r>
            <w:r>
              <w:rPr>
                <w:rFonts w:hint="eastAsia" w:ascii="宋体" w:hAnsi="宋体" w:eastAsia="宋体" w:cs="宋体"/>
                <w:color w:val="auto"/>
                <w:kern w:val="2"/>
                <w:sz w:val="24"/>
                <w:szCs w:val="24"/>
                <w:highlight w:val="none"/>
                <w:u w:val="single"/>
                <w:lang w:val="en-US" w:eastAsia="zh-CN" w:bidi="ar"/>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26</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19.7（1）</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保修期：自实际交工日期起计算</w:t>
            </w:r>
            <w:r>
              <w:rPr>
                <w:rFonts w:hint="eastAsia" w:ascii="宋体" w:hAnsi="宋体" w:eastAsia="宋体" w:cs="宋体"/>
                <w:color w:val="auto"/>
                <w:kern w:val="2"/>
                <w:sz w:val="24"/>
                <w:szCs w:val="24"/>
                <w:highlight w:val="none"/>
                <w:u w:val="single"/>
                <w:lang w:val="en-US" w:eastAsia="zh-CN" w:bidi="ar"/>
              </w:rPr>
              <w:t>1</w:t>
            </w:r>
            <w:r>
              <w:rPr>
                <w:rFonts w:hint="eastAsia" w:ascii="宋体" w:hAnsi="宋体" w:eastAsia="宋体" w:cs="宋体"/>
                <w:color w:val="auto"/>
                <w:kern w:val="2"/>
                <w:sz w:val="24"/>
                <w:szCs w:val="24"/>
                <w:highlight w:val="none"/>
                <w:lang w:val="en-US" w:eastAsia="zh-CN" w:bidi="ar"/>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20.1</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建筑工程一切险的保险费率</w:t>
            </w:r>
            <w:r>
              <w:rPr>
                <w:rFonts w:hint="eastAsia" w:ascii="宋体" w:hAnsi="宋体" w:eastAsia="宋体" w:cs="宋体"/>
                <w:color w:val="auto"/>
                <w:kern w:val="2"/>
                <w:sz w:val="24"/>
                <w:szCs w:val="24"/>
                <w:highlight w:val="none"/>
                <w:u w:val="single"/>
                <w:lang w:val="en-US" w:eastAsia="zh-CN" w:bidi="ar"/>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732"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w:t>
            </w:r>
          </w:p>
        </w:tc>
        <w:tc>
          <w:tcPr>
            <w:tcW w:w="1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20.4.2</w:t>
            </w:r>
          </w:p>
        </w:tc>
        <w:tc>
          <w:tcPr>
            <w:tcW w:w="7115" w:type="dxa"/>
            <w:tcBorders>
              <w:top w:val="single" w:color="auto" w:sz="6"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第三者责任险的最低投保金额</w:t>
            </w:r>
            <w:r>
              <w:rPr>
                <w:rFonts w:hint="eastAsia" w:ascii="宋体" w:hAnsi="宋体" w:eastAsia="宋体" w:cs="宋体"/>
                <w:color w:val="auto"/>
                <w:kern w:val="2"/>
                <w:sz w:val="24"/>
                <w:szCs w:val="24"/>
                <w:highlight w:val="none"/>
                <w:u w:val="single"/>
                <w:lang w:val="en-US" w:eastAsia="zh-CN" w:bidi="ar"/>
              </w:rPr>
              <w:t xml:space="preserve"> 100</w:t>
            </w:r>
            <w:r>
              <w:rPr>
                <w:rFonts w:hint="eastAsia" w:ascii="宋体" w:hAnsi="宋体" w:eastAsia="宋体" w:cs="宋体"/>
                <w:color w:val="auto"/>
                <w:kern w:val="2"/>
                <w:sz w:val="24"/>
                <w:szCs w:val="24"/>
                <w:highlight w:val="none"/>
                <w:lang w:val="en-US" w:eastAsia="zh-CN" w:bidi="ar"/>
              </w:rPr>
              <w:t>万元，事故次数不限（不计免赔额）保险费率</w:t>
            </w:r>
            <w:r>
              <w:rPr>
                <w:rFonts w:hint="eastAsia" w:ascii="宋体" w:hAnsi="宋体" w:eastAsia="宋体" w:cs="宋体"/>
                <w:color w:val="auto"/>
                <w:kern w:val="2"/>
                <w:sz w:val="24"/>
                <w:szCs w:val="24"/>
                <w:highlight w:val="none"/>
                <w:u w:val="single"/>
                <w:lang w:val="en-US" w:eastAsia="zh-CN" w:bidi="ar"/>
              </w:rPr>
              <w:t xml:space="preserve">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732"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29</w:t>
            </w:r>
          </w:p>
        </w:tc>
        <w:tc>
          <w:tcPr>
            <w:tcW w:w="1420" w:type="dxa"/>
            <w:tcBorders>
              <w:top w:val="single" w:color="auto" w:sz="6" w:space="0"/>
              <w:left w:val="single" w:color="auto" w:sz="6" w:space="0"/>
              <w:bottom w:val="single" w:color="auto" w:sz="12" w:space="0"/>
              <w:right w:val="single" w:color="auto" w:sz="6" w:space="0"/>
            </w:tcBorders>
            <w:shd w:val="clear" w:color="auto" w:fill="auto"/>
            <w:vAlign w:val="center"/>
          </w:tcPr>
          <w:p>
            <w:pPr>
              <w:keepNext w:val="0"/>
              <w:keepLines w:val="0"/>
              <w:widowControl w:val="0"/>
              <w:suppressLineNumbers w:val="0"/>
              <w:spacing w:before="0" w:beforeAutospacing="0" w:after="0" w:afterAutospacing="0"/>
              <w:ind w:left="0" w:right="2" w:rightChars="1"/>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24.1</w:t>
            </w:r>
          </w:p>
        </w:tc>
        <w:tc>
          <w:tcPr>
            <w:tcW w:w="7115" w:type="dxa"/>
            <w:tcBorders>
              <w:top w:val="single" w:color="auto" w:sz="6" w:space="0"/>
              <w:left w:val="single" w:color="auto" w:sz="6" w:space="0"/>
              <w:bottom w:val="single" w:color="auto" w:sz="12" w:space="0"/>
              <w:right w:val="single" w:color="auto" w:sz="12" w:space="0"/>
            </w:tcBorders>
            <w:shd w:val="clear" w:color="auto" w:fill="auto"/>
            <w:vAlign w:val="center"/>
          </w:tcPr>
          <w:p>
            <w:pPr>
              <w:keepNext w:val="0"/>
              <w:keepLines w:val="0"/>
              <w:widowControl w:val="0"/>
              <w:suppressLineNumbers w:val="0"/>
              <w:spacing w:before="0" w:beforeAutospacing="0" w:after="0" w:afterAutospacing="0"/>
              <w:ind w:left="0" w:right="2" w:rightChars="1"/>
              <w:jc w:val="both"/>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争议的最终解决方式：</w:t>
            </w:r>
            <w:r>
              <w:rPr>
                <w:rFonts w:hint="eastAsia" w:ascii="宋体" w:hAnsi="宋体" w:eastAsia="宋体" w:cs="宋体"/>
                <w:color w:val="auto"/>
                <w:kern w:val="2"/>
                <w:sz w:val="24"/>
                <w:szCs w:val="24"/>
                <w:highlight w:val="none"/>
                <w:u w:val="single"/>
                <w:lang w:val="en-US" w:eastAsia="zh-CN" w:bidi="ar"/>
              </w:rPr>
              <w:t>诉讼。</w:t>
            </w:r>
          </w:p>
        </w:tc>
      </w:tr>
    </w:tbl>
    <w:p>
      <w:pPr>
        <w:bidi w:val="0"/>
        <w:rPr>
          <w:rFonts w:hint="eastAsia" w:ascii="宋体" w:hAnsi="宋体" w:eastAsia="宋体" w:cs="宋体"/>
          <w:sz w:val="24"/>
          <w:szCs w:val="24"/>
        </w:rPr>
      </w:pPr>
    </w:p>
    <w:p>
      <w:pPr>
        <w:pStyle w:val="4"/>
        <w:keepLines w:val="0"/>
        <w:spacing w:before="0" w:after="0" w:line="400" w:lineRule="exact"/>
        <w:ind w:left="720" w:right="2" w:rightChars="1" w:hanging="720"/>
        <w:jc w:val="both"/>
        <w:rPr>
          <w:rFonts w:hint="eastAsia" w:ascii="宋体" w:hAnsi="宋体" w:eastAsia="宋体" w:cs="宋体"/>
          <w:sz w:val="24"/>
          <w:szCs w:val="24"/>
        </w:rPr>
      </w:pPr>
      <w:r>
        <w:rPr>
          <w:rFonts w:hint="eastAsia" w:ascii="宋体" w:hAnsi="宋体" w:eastAsia="宋体" w:cs="宋体"/>
          <w:sz w:val="24"/>
          <w:szCs w:val="24"/>
        </w:rPr>
        <w:t>4.1承包人的一般义务</w:t>
      </w:r>
      <w:bookmarkEnd w:id="417"/>
      <w:bookmarkEnd w:id="418"/>
      <w:bookmarkEnd w:id="419"/>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4.1.10 其他义务</w:t>
      </w:r>
    </w:p>
    <w:p>
      <w:pPr>
        <w:tabs>
          <w:tab w:val="left" w:pos="3193"/>
        </w:tabs>
        <w:spacing w:line="400" w:lineRule="exact"/>
        <w:ind w:right="2" w:rightChars="1" w:firstLine="480" w:firstLineChars="200"/>
        <w:rPr>
          <w:rFonts w:hint="eastAsia" w:ascii="宋体" w:hAnsi="宋体" w:eastAsia="宋体" w:cs="宋体"/>
          <w:sz w:val="24"/>
          <w:szCs w:val="24"/>
          <w:u w:val="single"/>
        </w:rPr>
      </w:pPr>
      <w:r>
        <w:rPr>
          <w:rFonts w:hint="eastAsia" w:ascii="宋体" w:hAnsi="宋体" w:eastAsia="宋体" w:cs="宋体"/>
          <w:sz w:val="24"/>
          <w:szCs w:val="24"/>
        </w:rPr>
        <w:t>（4）承包人应履行的其他义务：</w:t>
      </w:r>
      <w:r>
        <w:rPr>
          <w:rFonts w:hint="eastAsia" w:ascii="宋体" w:hAnsi="宋体" w:eastAsia="宋体" w:cs="宋体"/>
          <w:sz w:val="24"/>
          <w:szCs w:val="24"/>
          <w:u w:val="single"/>
        </w:rPr>
        <w:t>承包人在施工期间，应熟知各级部门大气污染防治管控及公路工程施工扬尘防治的各项规定和要求，有义务遵守发包人的有关要求。</w:t>
      </w:r>
    </w:p>
    <w:p>
      <w:pPr>
        <w:adjustRightInd w:val="0"/>
        <w:snapToGrid w:val="0"/>
        <w:spacing w:line="400" w:lineRule="exact"/>
        <w:ind w:right="2" w:rightChars="1"/>
        <w:rPr>
          <w:rFonts w:hint="eastAsia" w:ascii="宋体" w:hAnsi="宋体" w:eastAsia="宋体" w:cs="宋体"/>
          <w:b/>
          <w:sz w:val="24"/>
          <w:szCs w:val="24"/>
        </w:rPr>
      </w:pPr>
    </w:p>
    <w:p>
      <w:pPr>
        <w:pStyle w:val="4"/>
        <w:keepLines w:val="0"/>
        <w:spacing w:before="0" w:after="0" w:line="400" w:lineRule="exact"/>
        <w:ind w:left="720" w:right="2" w:rightChars="1" w:hanging="720"/>
        <w:jc w:val="both"/>
        <w:rPr>
          <w:rFonts w:hint="eastAsia" w:ascii="宋体" w:hAnsi="宋体" w:eastAsia="宋体" w:cs="宋体"/>
          <w:sz w:val="24"/>
          <w:szCs w:val="24"/>
        </w:rPr>
      </w:pPr>
      <w:bookmarkStart w:id="420" w:name="_Toc6213"/>
      <w:bookmarkStart w:id="421" w:name="_Toc234382938"/>
      <w:bookmarkStart w:id="422" w:name="_Toc9745"/>
      <w:r>
        <w:rPr>
          <w:rFonts w:hint="eastAsia" w:ascii="宋体" w:hAnsi="宋体" w:eastAsia="宋体" w:cs="宋体"/>
          <w:sz w:val="24"/>
          <w:szCs w:val="24"/>
        </w:rPr>
        <w:t>4.11不利物质条件</w:t>
      </w:r>
      <w:bookmarkEnd w:id="420"/>
      <w:bookmarkEnd w:id="421"/>
      <w:bookmarkEnd w:id="422"/>
    </w:p>
    <w:p>
      <w:pPr>
        <w:tabs>
          <w:tab w:val="left" w:pos="3193"/>
        </w:tabs>
        <w:spacing w:line="400" w:lineRule="exact"/>
        <w:ind w:right="2" w:rightChars="1" w:firstLine="480" w:firstLineChars="200"/>
        <w:rPr>
          <w:rFonts w:hint="eastAsia" w:ascii="宋体" w:hAnsi="宋体" w:eastAsia="宋体" w:cs="宋体"/>
          <w:sz w:val="24"/>
          <w:szCs w:val="24"/>
          <w:u w:val="single"/>
        </w:rPr>
      </w:pPr>
      <w:r>
        <w:rPr>
          <w:rFonts w:hint="eastAsia" w:ascii="宋体" w:hAnsi="宋体" w:eastAsia="宋体" w:cs="宋体"/>
          <w:sz w:val="24"/>
          <w:szCs w:val="24"/>
        </w:rPr>
        <w:t>4.11.1不利物质条件的范围：</w:t>
      </w:r>
      <w:r>
        <w:rPr>
          <w:rFonts w:hint="eastAsia" w:ascii="宋体" w:hAnsi="宋体" w:eastAsia="宋体" w:cs="宋体"/>
          <w:sz w:val="24"/>
          <w:szCs w:val="24"/>
          <w:u w:val="single"/>
        </w:rPr>
        <w:t>灾害天气、地震、战争等</w:t>
      </w:r>
    </w:p>
    <w:p>
      <w:pPr>
        <w:pStyle w:val="4"/>
        <w:keepLines w:val="0"/>
        <w:spacing w:before="0" w:after="0" w:line="400" w:lineRule="exact"/>
        <w:ind w:left="720" w:right="2" w:rightChars="1" w:hanging="720"/>
        <w:jc w:val="both"/>
        <w:rPr>
          <w:rFonts w:hint="eastAsia" w:ascii="宋体" w:hAnsi="宋体" w:eastAsia="宋体" w:cs="宋体"/>
          <w:sz w:val="24"/>
          <w:szCs w:val="24"/>
        </w:rPr>
      </w:pPr>
      <w:bookmarkStart w:id="423" w:name="_Toc234382939"/>
      <w:bookmarkStart w:id="424" w:name="_Toc27897"/>
      <w:bookmarkStart w:id="425" w:name="_Toc1196"/>
      <w:r>
        <w:rPr>
          <w:rFonts w:hint="eastAsia" w:ascii="宋体" w:hAnsi="宋体" w:eastAsia="宋体" w:cs="宋体"/>
          <w:sz w:val="24"/>
          <w:szCs w:val="24"/>
        </w:rPr>
        <w:t>10.1 合同进度计划</w:t>
      </w:r>
      <w:bookmarkEnd w:id="423"/>
      <w:bookmarkEnd w:id="424"/>
      <w:bookmarkEnd w:id="425"/>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承包人编制施工方案的内容：</w:t>
      </w:r>
      <w:r>
        <w:rPr>
          <w:rFonts w:hint="eastAsia" w:ascii="宋体" w:hAnsi="宋体" w:eastAsia="宋体" w:cs="宋体"/>
          <w:sz w:val="24"/>
          <w:szCs w:val="24"/>
          <w:u w:val="single"/>
        </w:rPr>
        <w:t>工程概况、施工组织情况、施工工艺、质量控制措施等</w:t>
      </w:r>
    </w:p>
    <w:p>
      <w:pPr>
        <w:pStyle w:val="4"/>
        <w:keepLines w:val="0"/>
        <w:spacing w:before="0" w:after="0" w:line="400" w:lineRule="exact"/>
        <w:ind w:left="720" w:right="2" w:rightChars="1" w:hanging="720"/>
        <w:jc w:val="both"/>
        <w:rPr>
          <w:rFonts w:hint="eastAsia" w:ascii="宋体" w:hAnsi="宋体" w:eastAsia="宋体" w:cs="宋体"/>
          <w:sz w:val="24"/>
          <w:szCs w:val="24"/>
        </w:rPr>
      </w:pPr>
      <w:bookmarkStart w:id="426" w:name="_Toc32551"/>
      <w:bookmarkStart w:id="427" w:name="_Toc20897"/>
      <w:bookmarkStart w:id="428" w:name="_Toc234382940"/>
      <w:r>
        <w:rPr>
          <w:rFonts w:hint="eastAsia" w:ascii="宋体" w:hAnsi="宋体" w:eastAsia="宋体" w:cs="宋体"/>
          <w:sz w:val="24"/>
          <w:szCs w:val="24"/>
        </w:rPr>
        <w:t>11.4异常恶劣的气候条件</w:t>
      </w:r>
      <w:bookmarkEnd w:id="426"/>
      <w:bookmarkEnd w:id="427"/>
      <w:bookmarkEnd w:id="428"/>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异常恶劣的气候条件的范围：</w:t>
      </w:r>
      <w:r>
        <w:rPr>
          <w:rFonts w:hint="eastAsia" w:ascii="宋体" w:hAnsi="宋体" w:eastAsia="宋体" w:cs="宋体"/>
          <w:sz w:val="24"/>
          <w:szCs w:val="24"/>
          <w:u w:val="single"/>
        </w:rPr>
        <w:t>根据国家有关规定及判定标准</w:t>
      </w:r>
    </w:p>
    <w:p>
      <w:pPr>
        <w:pStyle w:val="4"/>
        <w:keepLines w:val="0"/>
        <w:spacing w:before="0" w:after="0" w:line="400" w:lineRule="exact"/>
        <w:ind w:left="720" w:right="2" w:rightChars="1" w:hanging="720"/>
        <w:jc w:val="both"/>
        <w:rPr>
          <w:rFonts w:hint="eastAsia" w:ascii="宋体" w:hAnsi="宋体" w:eastAsia="宋体" w:cs="宋体"/>
          <w:sz w:val="24"/>
          <w:szCs w:val="24"/>
        </w:rPr>
      </w:pPr>
      <w:bookmarkStart w:id="429" w:name="_Toc11228"/>
      <w:bookmarkStart w:id="430" w:name="_Toc234382941"/>
      <w:bookmarkStart w:id="431" w:name="_Toc14904"/>
      <w:r>
        <w:rPr>
          <w:rFonts w:hint="eastAsia" w:ascii="宋体" w:hAnsi="宋体" w:eastAsia="宋体" w:cs="宋体"/>
          <w:sz w:val="24"/>
          <w:szCs w:val="24"/>
        </w:rPr>
        <w:t>12.1承包人暂停施工的责任</w:t>
      </w:r>
      <w:bookmarkEnd w:id="429"/>
      <w:bookmarkEnd w:id="430"/>
      <w:bookmarkEnd w:id="431"/>
    </w:p>
    <w:p>
      <w:pPr>
        <w:tabs>
          <w:tab w:val="left" w:pos="3193"/>
        </w:tabs>
        <w:spacing w:line="400" w:lineRule="exact"/>
        <w:ind w:right="2" w:rightChars="1" w:firstLine="480" w:firstLineChars="200"/>
        <w:rPr>
          <w:rFonts w:hint="eastAsia" w:ascii="宋体" w:hAnsi="宋体" w:eastAsia="宋体" w:cs="宋体"/>
          <w:sz w:val="24"/>
          <w:szCs w:val="24"/>
          <w:u w:val="single"/>
        </w:rPr>
      </w:pPr>
      <w:r>
        <w:rPr>
          <w:rFonts w:hint="eastAsia" w:ascii="宋体" w:hAnsi="宋体" w:eastAsia="宋体" w:cs="宋体"/>
          <w:sz w:val="24"/>
          <w:szCs w:val="24"/>
        </w:rPr>
        <w:t>12.1（6）由承包人承担的其他暂停施工：</w:t>
      </w:r>
      <w:r>
        <w:rPr>
          <w:rFonts w:hint="eastAsia" w:ascii="宋体" w:hAnsi="宋体" w:eastAsia="宋体" w:cs="宋体"/>
          <w:sz w:val="24"/>
          <w:szCs w:val="24"/>
          <w:u w:val="single"/>
        </w:rPr>
        <w:t>按照省、市大气污染防治及公路工程施工扬尘治理相关规定要求启动预警暂停施工或违反相关规定要求责令停工的。</w:t>
      </w:r>
    </w:p>
    <w:p>
      <w:pPr>
        <w:pStyle w:val="4"/>
        <w:keepLines w:val="0"/>
        <w:spacing w:before="0" w:after="0" w:line="400" w:lineRule="exact"/>
        <w:ind w:left="720" w:right="2" w:rightChars="1" w:hanging="720"/>
        <w:jc w:val="both"/>
        <w:rPr>
          <w:rFonts w:hint="eastAsia" w:ascii="宋体" w:hAnsi="宋体" w:eastAsia="宋体" w:cs="宋体"/>
          <w:sz w:val="24"/>
          <w:szCs w:val="24"/>
        </w:rPr>
      </w:pPr>
      <w:bookmarkStart w:id="432" w:name="_Toc29740"/>
      <w:bookmarkStart w:id="433" w:name="_Toc16449"/>
      <w:r>
        <w:rPr>
          <w:rFonts w:hint="eastAsia" w:ascii="宋体" w:hAnsi="宋体" w:eastAsia="宋体" w:cs="宋体"/>
          <w:sz w:val="24"/>
          <w:szCs w:val="24"/>
        </w:rPr>
        <w:t>17.1 计量</w:t>
      </w:r>
      <w:bookmarkEnd w:id="432"/>
      <w:bookmarkEnd w:id="433"/>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17.1.5 本项目工程量清单中总额价子目的支付原则和支付进度：</w:t>
      </w:r>
      <w:r>
        <w:rPr>
          <w:rFonts w:hint="eastAsia" w:ascii="宋体" w:hAnsi="宋体" w:eastAsia="宋体" w:cs="宋体"/>
          <w:sz w:val="24"/>
          <w:szCs w:val="24"/>
          <w:u w:val="single"/>
        </w:rPr>
        <w:t xml:space="preserve"> / </w:t>
      </w:r>
    </w:p>
    <w:p>
      <w:pPr>
        <w:pStyle w:val="4"/>
        <w:keepLines w:val="0"/>
        <w:spacing w:before="0" w:after="0" w:line="400" w:lineRule="exact"/>
        <w:ind w:left="720" w:right="2" w:rightChars="1" w:hanging="720"/>
        <w:jc w:val="both"/>
        <w:rPr>
          <w:rFonts w:hint="eastAsia" w:ascii="宋体" w:hAnsi="宋体" w:eastAsia="宋体" w:cs="宋体"/>
          <w:sz w:val="24"/>
          <w:szCs w:val="24"/>
        </w:rPr>
      </w:pPr>
      <w:bookmarkStart w:id="434" w:name="_Toc9257"/>
      <w:bookmarkStart w:id="435" w:name="_Toc1888"/>
      <w:r>
        <w:rPr>
          <w:rFonts w:hint="eastAsia" w:ascii="宋体" w:hAnsi="宋体" w:eastAsia="宋体" w:cs="宋体"/>
          <w:sz w:val="24"/>
          <w:szCs w:val="24"/>
        </w:rPr>
        <w:t>17.3工程进度付款</w:t>
      </w:r>
      <w:bookmarkEnd w:id="434"/>
      <w:bookmarkEnd w:id="435"/>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17.3.5农民工工资保证金的缴存时间：</w:t>
      </w:r>
      <w:r>
        <w:rPr>
          <w:rFonts w:hint="eastAsia" w:ascii="宋体" w:hAnsi="宋体" w:eastAsia="宋体" w:cs="宋体"/>
          <w:sz w:val="24"/>
          <w:szCs w:val="24"/>
          <w:u w:val="single"/>
        </w:rPr>
        <w:t xml:space="preserve">    不适用     </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农民工工资保证金的缴存金额：</w:t>
      </w:r>
      <w:r>
        <w:rPr>
          <w:rFonts w:hint="eastAsia" w:ascii="宋体" w:hAnsi="宋体" w:eastAsia="宋体" w:cs="宋体"/>
          <w:sz w:val="24"/>
          <w:szCs w:val="24"/>
          <w:u w:val="single"/>
        </w:rPr>
        <w:t xml:space="preserve">      不适用      </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农民工工资保证金的扣留条件：</w:t>
      </w:r>
      <w:r>
        <w:rPr>
          <w:rFonts w:hint="eastAsia" w:ascii="宋体" w:hAnsi="宋体" w:eastAsia="宋体" w:cs="宋体"/>
          <w:sz w:val="24"/>
          <w:szCs w:val="24"/>
          <w:u w:val="single"/>
        </w:rPr>
        <w:t xml:space="preserve">      不适用     </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农民工工资保证金的返还条件：</w:t>
      </w:r>
      <w:r>
        <w:rPr>
          <w:rFonts w:hint="eastAsia" w:ascii="宋体" w:hAnsi="宋体" w:eastAsia="宋体" w:cs="宋体"/>
          <w:sz w:val="24"/>
          <w:szCs w:val="24"/>
          <w:u w:val="single"/>
        </w:rPr>
        <w:t xml:space="preserve">     不适用      </w:t>
      </w:r>
    </w:p>
    <w:p>
      <w:pPr>
        <w:pStyle w:val="4"/>
        <w:keepLines w:val="0"/>
        <w:spacing w:before="0" w:after="0" w:line="400" w:lineRule="exact"/>
        <w:ind w:left="720" w:right="2" w:rightChars="1" w:hanging="720"/>
        <w:jc w:val="both"/>
        <w:rPr>
          <w:rFonts w:hint="eastAsia" w:ascii="宋体" w:hAnsi="宋体" w:eastAsia="宋体" w:cs="宋体"/>
          <w:sz w:val="24"/>
          <w:szCs w:val="24"/>
        </w:rPr>
      </w:pPr>
      <w:bookmarkStart w:id="436" w:name="_Toc17163"/>
      <w:bookmarkStart w:id="437" w:name="_Toc234382942"/>
      <w:bookmarkStart w:id="438" w:name="_Toc13845"/>
      <w:r>
        <w:rPr>
          <w:rFonts w:hint="eastAsia" w:ascii="宋体" w:hAnsi="宋体" w:eastAsia="宋体" w:cs="宋体"/>
          <w:sz w:val="24"/>
          <w:szCs w:val="24"/>
        </w:rPr>
        <w:t>21.1不可抗力的确认</w:t>
      </w:r>
      <w:bookmarkEnd w:id="436"/>
      <w:bookmarkEnd w:id="437"/>
      <w:bookmarkEnd w:id="438"/>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21.1.1（6）不可抗力的其他情形：</w:t>
      </w:r>
      <w:r>
        <w:rPr>
          <w:rFonts w:hint="eastAsia" w:ascii="宋体" w:hAnsi="宋体" w:eastAsia="宋体" w:cs="宋体"/>
          <w:sz w:val="24"/>
          <w:szCs w:val="24"/>
          <w:u w:val="single"/>
        </w:rPr>
        <w:t>见本招标文件专用条款</w:t>
      </w:r>
    </w:p>
    <w:p>
      <w:pPr>
        <w:tabs>
          <w:tab w:val="left" w:pos="3193"/>
        </w:tabs>
        <w:spacing w:line="400" w:lineRule="exact"/>
        <w:ind w:right="2" w:rightChars="1"/>
        <w:rPr>
          <w:rFonts w:hint="eastAsia" w:ascii="宋体" w:hAnsi="宋体" w:eastAsia="宋体" w:cs="宋体"/>
          <w:b/>
          <w:sz w:val="24"/>
          <w:szCs w:val="24"/>
        </w:rPr>
      </w:pPr>
      <w:r>
        <w:rPr>
          <w:rFonts w:hint="eastAsia" w:ascii="宋体" w:hAnsi="宋体" w:eastAsia="宋体" w:cs="宋体"/>
          <w:b/>
          <w:sz w:val="24"/>
          <w:szCs w:val="24"/>
        </w:rPr>
        <w:t>22.1承包人违约</w:t>
      </w:r>
    </w:p>
    <w:p>
      <w:pPr>
        <w:tabs>
          <w:tab w:val="left" w:pos="3193"/>
        </w:tabs>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22.1.2当承包人发生第22.1.1项约定的违约情况时，发包人有权向承包人课以违约金，具体约定如下：</w:t>
      </w:r>
      <w:r>
        <w:rPr>
          <w:rFonts w:hint="eastAsia" w:ascii="宋体" w:hAnsi="宋体" w:eastAsia="宋体" w:cs="宋体"/>
          <w:sz w:val="24"/>
          <w:szCs w:val="24"/>
          <w:u w:val="single"/>
        </w:rPr>
        <w:t>按合同商谈纪要执行，若商谈纪要中没有相关条款，则根据实际情况处罚。</w:t>
      </w:r>
    </w:p>
    <w:p>
      <w:pPr>
        <w:spacing w:line="400" w:lineRule="exact"/>
        <w:ind w:right="2" w:rightChars="1"/>
        <w:jc w:val="both"/>
        <w:rPr>
          <w:rFonts w:hint="eastAsia" w:ascii="宋体" w:hAnsi="宋体" w:eastAsia="宋体" w:cs="宋体"/>
          <w:b/>
          <w:sz w:val="24"/>
          <w:szCs w:val="24"/>
        </w:rPr>
      </w:pPr>
      <w:r>
        <w:rPr>
          <w:rFonts w:hint="eastAsia" w:ascii="宋体" w:hAnsi="宋体" w:eastAsia="宋体" w:cs="宋体"/>
          <w:b/>
          <w:sz w:val="24"/>
          <w:szCs w:val="24"/>
        </w:rPr>
        <w:t>22.2发包人违约</w:t>
      </w:r>
    </w:p>
    <w:p>
      <w:pPr>
        <w:spacing w:line="400" w:lineRule="exact"/>
        <w:ind w:right="2" w:rightChars="1" w:firstLine="480"/>
        <w:rPr>
          <w:rFonts w:hint="eastAsia" w:ascii="宋体" w:hAnsi="宋体" w:eastAsia="宋体" w:cs="宋体"/>
          <w:sz w:val="24"/>
          <w:szCs w:val="24"/>
          <w:u w:val="single"/>
        </w:rPr>
      </w:pPr>
      <w:r>
        <w:rPr>
          <w:rFonts w:hint="eastAsia" w:ascii="宋体" w:hAnsi="宋体" w:eastAsia="宋体" w:cs="宋体"/>
          <w:sz w:val="24"/>
          <w:szCs w:val="24"/>
        </w:rPr>
        <w:t>22.2.2发包人无正当理由不按时返还履约保证金、质量保证金或农民工工资保证金的，发包人应向承包人支付的违约金如下：</w:t>
      </w:r>
      <w:r>
        <w:rPr>
          <w:rFonts w:hint="eastAsia" w:ascii="宋体" w:hAnsi="宋体" w:eastAsia="宋体" w:cs="宋体"/>
          <w:sz w:val="24"/>
          <w:szCs w:val="24"/>
          <w:u w:val="single"/>
        </w:rPr>
        <w:t xml:space="preserve">      不适用           </w:t>
      </w:r>
    </w:p>
    <w:p>
      <w:pPr>
        <w:pStyle w:val="4"/>
        <w:spacing w:after="120" w:line="240" w:lineRule="auto"/>
        <w:ind w:right="2" w:rightChars="1"/>
        <w:rPr>
          <w:rFonts w:hint="eastAsia" w:ascii="宋体" w:hAnsi="宋体" w:eastAsia="宋体" w:cs="宋体"/>
          <w:sz w:val="24"/>
          <w:szCs w:val="24"/>
        </w:rPr>
        <w:sectPr>
          <w:footnotePr>
            <w:numFmt w:val="decimalEnclosedCircleChinese"/>
            <w:numRestart w:val="eachPage"/>
          </w:footnotePr>
          <w:pgSz w:w="11906" w:h="16838"/>
          <w:pgMar w:top="1440" w:right="1383" w:bottom="1247" w:left="1361" w:header="851" w:footer="992" w:gutter="0"/>
          <w:pgNumType w:fmt="decimal"/>
          <w:cols w:space="720" w:num="1"/>
          <w:docGrid w:linePitch="312" w:charSpace="0"/>
        </w:sectPr>
      </w:pPr>
      <w:bookmarkStart w:id="439" w:name="_Toc234382944"/>
    </w:p>
    <w:p>
      <w:pPr>
        <w:pStyle w:val="4"/>
        <w:spacing w:after="120" w:line="240" w:lineRule="auto"/>
        <w:ind w:right="2" w:rightChars="1"/>
        <w:jc w:val="center"/>
        <w:rPr>
          <w:rFonts w:hint="eastAsia" w:ascii="宋体" w:hAnsi="宋体" w:eastAsia="宋体" w:cs="宋体"/>
          <w:sz w:val="24"/>
          <w:szCs w:val="24"/>
        </w:rPr>
      </w:pPr>
      <w:bookmarkStart w:id="440" w:name="_Toc17186"/>
      <w:bookmarkStart w:id="441" w:name="_Toc10326"/>
      <w:r>
        <w:rPr>
          <w:rFonts w:hint="eastAsia" w:ascii="宋体" w:hAnsi="宋体" w:eastAsia="宋体" w:cs="宋体"/>
          <w:sz w:val="24"/>
          <w:szCs w:val="24"/>
        </w:rPr>
        <w:t>第三节</w:t>
      </w:r>
      <w:r>
        <w:rPr>
          <w:rFonts w:hint="eastAsia" w:ascii="宋体" w:hAnsi="宋体" w:eastAsia="宋体" w:cs="宋体"/>
          <w:sz w:val="24"/>
          <w:szCs w:val="24"/>
        </w:rPr>
        <w:tab/>
      </w:r>
      <w:r>
        <w:rPr>
          <w:rFonts w:hint="eastAsia" w:ascii="宋体" w:hAnsi="宋体" w:eastAsia="宋体" w:cs="宋体"/>
          <w:sz w:val="24"/>
          <w:szCs w:val="24"/>
        </w:rPr>
        <w:t>合同附件格式</w:t>
      </w:r>
      <w:bookmarkEnd w:id="439"/>
      <w:bookmarkEnd w:id="440"/>
      <w:bookmarkEnd w:id="441"/>
    </w:p>
    <w:p>
      <w:pPr>
        <w:ind w:right="2" w:rightChars="1"/>
        <w:rPr>
          <w:rFonts w:hint="eastAsia" w:ascii="宋体" w:hAnsi="宋体" w:eastAsia="宋体" w:cs="宋体"/>
          <w:b/>
          <w:sz w:val="24"/>
          <w:szCs w:val="24"/>
        </w:rPr>
      </w:pPr>
      <w:r>
        <w:rPr>
          <w:rFonts w:hint="eastAsia" w:ascii="宋体" w:hAnsi="宋体" w:eastAsia="宋体" w:cs="宋体"/>
          <w:b/>
          <w:sz w:val="24"/>
          <w:szCs w:val="24"/>
        </w:rPr>
        <w:t>附件一   合同协议书</w:t>
      </w:r>
    </w:p>
    <w:p>
      <w:pPr>
        <w:spacing w:line="320" w:lineRule="exact"/>
        <w:ind w:right="2" w:rightChars="1"/>
        <w:jc w:val="center"/>
        <w:rPr>
          <w:rFonts w:hint="eastAsia" w:ascii="宋体" w:hAnsi="宋体" w:eastAsia="宋体" w:cs="宋体"/>
          <w:b/>
          <w:sz w:val="24"/>
          <w:szCs w:val="24"/>
        </w:rPr>
      </w:pPr>
      <w:r>
        <w:rPr>
          <w:rFonts w:hint="eastAsia" w:ascii="宋体" w:hAnsi="宋体" w:eastAsia="宋体" w:cs="宋体"/>
          <w:b/>
          <w:sz w:val="24"/>
          <w:szCs w:val="24"/>
        </w:rPr>
        <w:t xml:space="preserve"> 合同协议书</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（发包人名称，以下简称“发包人”）为实施</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（项目名称），已接受</w:t>
      </w:r>
      <w:r>
        <w:rPr>
          <w:rFonts w:hint="eastAsia" w:ascii="宋体" w:hAnsi="宋体" w:eastAsia="宋体" w:cs="宋体"/>
          <w:sz w:val="24"/>
          <w:szCs w:val="24"/>
          <w:u w:val="single"/>
        </w:rPr>
        <w:t xml:space="preserve">        </w:t>
      </w:r>
      <w:r>
        <w:rPr>
          <w:rFonts w:hint="eastAsia" w:ascii="宋体" w:hAnsi="宋体" w:eastAsia="宋体" w:cs="宋体"/>
          <w:sz w:val="24"/>
          <w:szCs w:val="24"/>
        </w:rPr>
        <w:t>（承包人名称，以下简称“承包人”）对该项目</w:t>
      </w:r>
      <w:r>
        <w:rPr>
          <w:rFonts w:hint="eastAsia" w:ascii="宋体" w:hAnsi="宋体" w:eastAsia="宋体" w:cs="宋体"/>
          <w:sz w:val="24"/>
          <w:szCs w:val="24"/>
          <w:u w:val="single"/>
        </w:rPr>
        <w:t xml:space="preserve">    </w:t>
      </w:r>
      <w:r>
        <w:rPr>
          <w:rFonts w:hint="eastAsia" w:ascii="宋体" w:hAnsi="宋体" w:eastAsia="宋体" w:cs="宋体"/>
          <w:sz w:val="24"/>
          <w:szCs w:val="24"/>
        </w:rPr>
        <w:t>标段施工的投标。 发包人和承包人共同达成如下协议。</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1．第</w:t>
      </w:r>
      <w:r>
        <w:rPr>
          <w:rFonts w:hint="eastAsia" w:ascii="宋体" w:hAnsi="宋体" w:eastAsia="宋体" w:cs="宋体"/>
          <w:sz w:val="24"/>
          <w:szCs w:val="24"/>
          <w:u w:val="single"/>
        </w:rPr>
        <w:t xml:space="preserve">  </w:t>
      </w:r>
      <w:r>
        <w:rPr>
          <w:rFonts w:hint="eastAsia" w:ascii="宋体" w:hAnsi="宋体" w:eastAsia="宋体" w:cs="宋体"/>
          <w:sz w:val="24"/>
          <w:szCs w:val="24"/>
        </w:rPr>
        <w:t>标段由K</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至K</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，长约</w:t>
      </w:r>
      <w:r>
        <w:rPr>
          <w:rFonts w:hint="eastAsia" w:ascii="宋体" w:hAnsi="宋体" w:eastAsia="宋体" w:cs="宋体"/>
          <w:sz w:val="24"/>
          <w:szCs w:val="24"/>
          <w:u w:val="single"/>
        </w:rPr>
        <w:t xml:space="preserve">    </w:t>
      </w:r>
      <w:r>
        <w:rPr>
          <w:rFonts w:hint="eastAsia" w:ascii="宋体" w:hAnsi="宋体" w:eastAsia="宋体" w:cs="宋体"/>
          <w:sz w:val="24"/>
          <w:szCs w:val="24"/>
        </w:rPr>
        <w:t>km，公路等级为</w:t>
      </w:r>
      <w:r>
        <w:rPr>
          <w:rFonts w:hint="eastAsia" w:ascii="宋体" w:hAnsi="宋体" w:eastAsia="宋体" w:cs="宋体"/>
          <w:sz w:val="24"/>
          <w:szCs w:val="24"/>
          <w:u w:val="single"/>
        </w:rPr>
        <w:t xml:space="preserve">     </w:t>
      </w:r>
      <w:r>
        <w:rPr>
          <w:rFonts w:hint="eastAsia" w:ascii="宋体" w:hAnsi="宋体" w:eastAsia="宋体" w:cs="宋体"/>
          <w:sz w:val="24"/>
          <w:szCs w:val="24"/>
        </w:rPr>
        <w:t>，设计速度为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路面，有</w:t>
      </w:r>
      <w:r>
        <w:rPr>
          <w:rFonts w:hint="eastAsia" w:ascii="宋体" w:hAnsi="宋体" w:eastAsia="宋体" w:cs="宋体"/>
          <w:sz w:val="24"/>
          <w:szCs w:val="24"/>
          <w:u w:val="single"/>
        </w:rPr>
        <w:t xml:space="preserve">  </w:t>
      </w:r>
      <w:r>
        <w:rPr>
          <w:rFonts w:hint="eastAsia" w:ascii="宋体" w:hAnsi="宋体" w:eastAsia="宋体" w:cs="宋体"/>
          <w:sz w:val="24"/>
          <w:szCs w:val="24"/>
        </w:rPr>
        <w:t>立交</w:t>
      </w:r>
      <w:r>
        <w:rPr>
          <w:rFonts w:hint="eastAsia" w:ascii="宋体" w:hAnsi="宋体" w:eastAsia="宋体" w:cs="宋体"/>
          <w:sz w:val="24"/>
          <w:szCs w:val="24"/>
          <w:u w:val="single"/>
        </w:rPr>
        <w:t xml:space="preserve">  </w:t>
      </w:r>
      <w:r>
        <w:rPr>
          <w:rFonts w:hint="eastAsia" w:ascii="宋体" w:hAnsi="宋体" w:eastAsia="宋体" w:cs="宋体"/>
          <w:sz w:val="24"/>
          <w:szCs w:val="24"/>
        </w:rPr>
        <w:t>处；特大桥</w:t>
      </w:r>
      <w:r>
        <w:rPr>
          <w:rFonts w:hint="eastAsia" w:ascii="宋体" w:hAnsi="宋体" w:eastAsia="宋体" w:cs="宋体"/>
          <w:sz w:val="24"/>
          <w:szCs w:val="24"/>
          <w:u w:val="single"/>
        </w:rPr>
        <w:t xml:space="preserve">   </w:t>
      </w:r>
      <w:r>
        <w:rPr>
          <w:rFonts w:hint="eastAsia" w:ascii="宋体" w:hAnsi="宋体" w:eastAsia="宋体" w:cs="宋体"/>
          <w:sz w:val="24"/>
          <w:szCs w:val="24"/>
        </w:rPr>
        <w:t>座，计长</w:t>
      </w:r>
      <w:r>
        <w:rPr>
          <w:rFonts w:hint="eastAsia" w:ascii="宋体" w:hAnsi="宋体" w:eastAsia="宋体" w:cs="宋体"/>
          <w:sz w:val="24"/>
          <w:szCs w:val="24"/>
          <w:u w:val="single"/>
        </w:rPr>
        <w:t xml:space="preserve">   </w:t>
      </w:r>
      <w:r>
        <w:rPr>
          <w:rFonts w:hint="eastAsia" w:ascii="宋体" w:hAnsi="宋体" w:eastAsia="宋体" w:cs="宋体"/>
          <w:sz w:val="24"/>
          <w:szCs w:val="24"/>
        </w:rPr>
        <w:t>m；大中桥</w:t>
      </w:r>
      <w:r>
        <w:rPr>
          <w:rFonts w:hint="eastAsia" w:ascii="宋体" w:hAnsi="宋体" w:eastAsia="宋体" w:cs="宋体"/>
          <w:sz w:val="24"/>
          <w:szCs w:val="24"/>
          <w:u w:val="single"/>
        </w:rPr>
        <w:t xml:space="preserve">  </w:t>
      </w:r>
      <w:r>
        <w:rPr>
          <w:rFonts w:hint="eastAsia" w:ascii="宋体" w:hAnsi="宋体" w:eastAsia="宋体" w:cs="宋体"/>
          <w:sz w:val="24"/>
          <w:szCs w:val="24"/>
        </w:rPr>
        <w:t>座，计长</w:t>
      </w:r>
      <w:r>
        <w:rPr>
          <w:rFonts w:hint="eastAsia" w:ascii="宋体" w:hAnsi="宋体" w:eastAsia="宋体" w:cs="宋体"/>
          <w:sz w:val="24"/>
          <w:szCs w:val="24"/>
          <w:u w:val="single"/>
        </w:rPr>
        <w:t xml:space="preserve">    </w:t>
      </w:r>
      <w:r>
        <w:rPr>
          <w:rFonts w:hint="eastAsia" w:ascii="宋体" w:hAnsi="宋体" w:eastAsia="宋体" w:cs="宋体"/>
          <w:sz w:val="24"/>
          <w:szCs w:val="24"/>
        </w:rPr>
        <w:t>m；隧道</w:t>
      </w:r>
      <w:r>
        <w:rPr>
          <w:rFonts w:hint="eastAsia" w:ascii="宋体" w:hAnsi="宋体" w:eastAsia="宋体" w:cs="宋体"/>
          <w:sz w:val="24"/>
          <w:szCs w:val="24"/>
          <w:u w:val="single"/>
        </w:rPr>
        <w:t xml:space="preserve">    </w:t>
      </w:r>
      <w:r>
        <w:rPr>
          <w:rFonts w:hint="eastAsia" w:ascii="宋体" w:hAnsi="宋体" w:eastAsia="宋体" w:cs="宋体"/>
          <w:sz w:val="24"/>
          <w:szCs w:val="24"/>
        </w:rPr>
        <w:t>座，计长</w:t>
      </w:r>
      <w:r>
        <w:rPr>
          <w:rFonts w:hint="eastAsia" w:ascii="宋体" w:hAnsi="宋体" w:eastAsia="宋体" w:cs="宋体"/>
          <w:sz w:val="24"/>
          <w:szCs w:val="24"/>
          <w:u w:val="single"/>
        </w:rPr>
        <w:t xml:space="preserve">    </w:t>
      </w:r>
      <w:r>
        <w:rPr>
          <w:rFonts w:hint="eastAsia" w:ascii="宋体" w:hAnsi="宋体" w:eastAsia="宋体" w:cs="宋体"/>
          <w:sz w:val="24"/>
          <w:szCs w:val="24"/>
        </w:rPr>
        <w:t>m以及其他构造物工程等。</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 下列文件应视为构成合同文件的组成部分：</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（1）本协议书及各种合同附件（含评标期间和合同谈判过程中的澄清文件和补充资料）；</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（2）中标通知书；</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（3）投标函及投标函附录；</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（4）项目专用合同条款；</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（5）公路工程专用合同条款；</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（6）通用合同条款；</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（7）工程量清单计量规则；</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（8）技术规范；</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（9）图纸；</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（10）已标价工程量清单；</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（11）承包人有关人员、设备投入的承诺及投标文件中的施工组织设计；</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（12）其他合同文件。</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上述合同文件互相补充和解释。如果合同文件质检存在矛盾或不一致之处，以上述文件的排列顺序在先者为准。</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 根据工程量清单所列的预计数量和单价或总额价计算的签约合同价：人民币（大写）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 承包人项目经理：</w:t>
      </w:r>
      <w:r>
        <w:rPr>
          <w:rFonts w:hint="eastAsia" w:ascii="宋体" w:hAnsi="宋体" w:eastAsia="宋体" w:cs="宋体"/>
          <w:sz w:val="24"/>
          <w:szCs w:val="24"/>
          <w:u w:val="single"/>
        </w:rPr>
        <w:t xml:space="preserve">        </w:t>
      </w:r>
      <w:r>
        <w:rPr>
          <w:rFonts w:hint="eastAsia" w:ascii="宋体" w:hAnsi="宋体" w:eastAsia="宋体" w:cs="宋体"/>
          <w:sz w:val="24"/>
          <w:szCs w:val="24"/>
        </w:rPr>
        <w:t>。承包人项目总工：</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 工程质量符合</w:t>
      </w:r>
      <w:r>
        <w:rPr>
          <w:rFonts w:hint="eastAsia" w:ascii="宋体" w:hAnsi="宋体" w:eastAsia="宋体" w:cs="宋体"/>
          <w:sz w:val="24"/>
          <w:szCs w:val="24"/>
          <w:u w:val="single"/>
        </w:rPr>
        <w:t xml:space="preserve">        </w:t>
      </w:r>
      <w:r>
        <w:rPr>
          <w:rFonts w:hint="eastAsia" w:ascii="宋体" w:hAnsi="宋体" w:eastAsia="宋体" w:cs="宋体"/>
          <w:sz w:val="24"/>
          <w:szCs w:val="24"/>
        </w:rPr>
        <w:t>标准。工程安全目标：</w:t>
      </w:r>
      <w:r>
        <w:rPr>
          <w:rFonts w:hint="eastAsia" w:ascii="宋体" w:hAnsi="宋体" w:eastAsia="宋体" w:cs="宋体"/>
          <w:sz w:val="24"/>
          <w:szCs w:val="24"/>
          <w:u w:val="single"/>
        </w:rPr>
        <w:t xml:space="preserve">       。</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6. 承包人承诺按合同约定承担工程的实施、完成及缺陷修复。</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7. 发包人承诺按合同约定的条件、时间和方式向承包人支付合同价款。</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8. 承包人应按照监理人指示开工，工期为</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 本协议书在承包人提供履约保证金后，由双方法定代表人或其委托代理人签署并加盖单位章后生效。全部工程完工后经交工验收合格、缺陷责任期满签发缺陷责任终止证书后失效。</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10．本协议书正本二份、副本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份，合同双方各执正本一份，副本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份，当正本与副本的内容不一致时，以正本为准。</w:t>
      </w:r>
    </w:p>
    <w:p>
      <w:pPr>
        <w:spacing w:line="3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11.合同未尽事宜，双方另行签订补充协议。补充协议是合同的组成部分。</w:t>
      </w:r>
    </w:p>
    <w:p>
      <w:pPr>
        <w:spacing w:line="300" w:lineRule="exact"/>
        <w:ind w:right="2" w:rightChars="1"/>
        <w:rPr>
          <w:rFonts w:hint="eastAsia" w:ascii="宋体" w:hAnsi="宋体" w:eastAsia="宋体" w:cs="宋体"/>
          <w:sz w:val="24"/>
          <w:szCs w:val="24"/>
        </w:rPr>
      </w:pPr>
    </w:p>
    <w:p>
      <w:pPr>
        <w:spacing w:line="300" w:lineRule="exact"/>
        <w:ind w:right="2" w:rightChars="1"/>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  承包人：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（盖单位章） </w:t>
      </w:r>
    </w:p>
    <w:p>
      <w:pPr>
        <w:spacing w:line="300" w:lineRule="exact"/>
        <w:ind w:right="2" w:rightChars="1"/>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300" w:lineRule="exact"/>
        <w:ind w:right="2" w:rightChars="1" w:firstLine="84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4"/>
        <w:spacing w:before="120" w:beforeLines="50" w:after="120" w:afterLines="50" w:line="400" w:lineRule="exact"/>
        <w:ind w:right="2" w:rightChars="1"/>
        <w:rPr>
          <w:rFonts w:hint="eastAsia" w:ascii="宋体" w:hAnsi="宋体" w:eastAsia="宋体" w:cs="宋体"/>
          <w:sz w:val="24"/>
          <w:szCs w:val="24"/>
        </w:rPr>
      </w:pPr>
      <w:bookmarkStart w:id="442" w:name="_Toc234382945"/>
      <w:r>
        <w:rPr>
          <w:rFonts w:hint="eastAsia" w:ascii="宋体" w:hAnsi="宋体" w:eastAsia="宋体" w:cs="宋体"/>
          <w:sz w:val="24"/>
          <w:szCs w:val="24"/>
        </w:rPr>
        <w:br w:type="page"/>
      </w:r>
      <w:bookmarkStart w:id="443" w:name="_Toc12485"/>
      <w:bookmarkStart w:id="444" w:name="_Toc30387"/>
      <w:r>
        <w:rPr>
          <w:rFonts w:hint="eastAsia" w:ascii="宋体" w:hAnsi="宋体" w:eastAsia="宋体" w:cs="宋体"/>
          <w:sz w:val="24"/>
          <w:szCs w:val="24"/>
        </w:rPr>
        <w:t>附件二   廉政合同</w:t>
      </w:r>
      <w:bookmarkEnd w:id="442"/>
      <w:bookmarkEnd w:id="443"/>
      <w:bookmarkEnd w:id="444"/>
    </w:p>
    <w:p>
      <w:pPr>
        <w:spacing w:before="120" w:after="120"/>
        <w:ind w:right="2" w:rightChars="1"/>
        <w:jc w:val="center"/>
        <w:rPr>
          <w:rFonts w:hint="eastAsia" w:ascii="宋体" w:hAnsi="宋体" w:eastAsia="宋体" w:cs="宋体"/>
          <w:b/>
          <w:sz w:val="24"/>
          <w:szCs w:val="24"/>
        </w:rPr>
      </w:pPr>
      <w:r>
        <w:rPr>
          <w:rFonts w:hint="eastAsia" w:ascii="宋体" w:hAnsi="宋体" w:eastAsia="宋体" w:cs="宋体"/>
          <w:b/>
          <w:sz w:val="24"/>
          <w:szCs w:val="24"/>
        </w:rPr>
        <w:t>廉政合同</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（项目名称）项目法人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（项目法人名称，以下简称“发包人”）与该项目</w:t>
      </w:r>
      <w:r>
        <w:rPr>
          <w:rFonts w:hint="eastAsia" w:ascii="宋体" w:hAnsi="宋体" w:eastAsia="宋体" w:cs="宋体"/>
          <w:sz w:val="24"/>
          <w:szCs w:val="24"/>
          <w:u w:val="single"/>
        </w:rPr>
        <w:t xml:space="preserve">    </w:t>
      </w:r>
      <w:r>
        <w:rPr>
          <w:rFonts w:hint="eastAsia" w:ascii="宋体" w:hAnsi="宋体" w:eastAsia="宋体" w:cs="宋体"/>
          <w:sz w:val="24"/>
          <w:szCs w:val="24"/>
        </w:rPr>
        <w:t>标段的施工单位</w:t>
      </w:r>
      <w:r>
        <w:rPr>
          <w:rFonts w:hint="eastAsia" w:ascii="宋体" w:hAnsi="宋体" w:eastAsia="宋体" w:cs="宋体"/>
          <w:sz w:val="24"/>
          <w:szCs w:val="24"/>
          <w:u w:val="single"/>
        </w:rPr>
        <w:t xml:space="preserve">      </w:t>
      </w:r>
      <w:r>
        <w:rPr>
          <w:rFonts w:hint="eastAsia" w:ascii="宋体" w:hAnsi="宋体" w:eastAsia="宋体" w:cs="宋体"/>
          <w:sz w:val="24"/>
          <w:szCs w:val="24"/>
        </w:rPr>
        <w:t>（施工单位名称，以下简称“承包人”），特订立如下合同。</w:t>
      </w:r>
    </w:p>
    <w:p>
      <w:pPr>
        <w:spacing w:line="400" w:lineRule="exact"/>
        <w:ind w:right="2" w:rightChars="1" w:firstLine="480" w:firstLineChars="200"/>
        <w:outlineLvl w:val="0"/>
        <w:rPr>
          <w:rFonts w:hint="eastAsia" w:ascii="宋体" w:hAnsi="宋体" w:eastAsia="宋体" w:cs="宋体"/>
          <w:sz w:val="24"/>
          <w:szCs w:val="24"/>
        </w:rPr>
      </w:pPr>
      <w:bookmarkStart w:id="445" w:name="_Toc1197"/>
      <w:bookmarkStart w:id="446" w:name="_Toc18583"/>
      <w:r>
        <w:rPr>
          <w:rFonts w:hint="eastAsia" w:ascii="宋体" w:hAnsi="宋体" w:eastAsia="宋体" w:cs="宋体"/>
          <w:sz w:val="24"/>
          <w:szCs w:val="24"/>
        </w:rPr>
        <w:t>1．发包人和承包人双方的权利和义务</w:t>
      </w:r>
      <w:bookmarkEnd w:id="445"/>
      <w:bookmarkEnd w:id="446"/>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（1）严格遵守党的政策规定和国家有关法律法规及交通运输部的有关规定。</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（2）严格执行</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标段施工合同文件，自觉按合同办事。</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（3）双方的业务活动坚持公开、公正、诚信、透明的原则（法律认定的商业秘密和合同文件另有规定除外），不得损害国家和集体利益，不得违反工程建设管理规章制度。</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（4）建立健全廉政制度，开展廉政教育，设立廉政告示牌，公布举报电话，监督并认真查处违法违纪行为。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（5）发现对方在业务活动中有违反廉政规定的行为，有及时提醒对方纠正的权利和义务。</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（6）发现对方严重违反本合同义务条款的行为，有向其上级有关部门举报、建议给予处理并要求告知处理结果的权利。</w:t>
      </w:r>
    </w:p>
    <w:p>
      <w:pPr>
        <w:spacing w:line="400" w:lineRule="exact"/>
        <w:ind w:right="2" w:rightChars="1" w:firstLine="480" w:firstLineChars="200"/>
        <w:outlineLvl w:val="0"/>
        <w:rPr>
          <w:rFonts w:hint="eastAsia" w:ascii="宋体" w:hAnsi="宋体" w:eastAsia="宋体" w:cs="宋体"/>
          <w:sz w:val="24"/>
          <w:szCs w:val="24"/>
        </w:rPr>
      </w:pPr>
      <w:bookmarkStart w:id="447" w:name="_Toc30266"/>
      <w:bookmarkStart w:id="448" w:name="_Toc8103"/>
      <w:r>
        <w:rPr>
          <w:rFonts w:hint="eastAsia" w:ascii="宋体" w:hAnsi="宋体" w:eastAsia="宋体" w:cs="宋体"/>
          <w:sz w:val="24"/>
          <w:szCs w:val="24"/>
        </w:rPr>
        <w:t>2．发包人的义务</w:t>
      </w:r>
      <w:bookmarkEnd w:id="447"/>
      <w:bookmarkEnd w:id="448"/>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（1）发包人及其工作人员不得索要或接受承包人的礼金、有价证券和贵重物品，不得让承包人报销任何应由发包人或发包人工作人员个人支付的费用等。</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（2）发包人工作人员不得参加承包人安排的超标准宴请和娱乐活动；不得接受承包人提供的通讯工具、交通工具和高档办公用品等。</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（3）发包人及其工作人员不利要求或者接受承包人为其住房装修、婚丧嫁娶活动、配偶子女的工作安排以及出国出境、旅游等提供方便等。</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（4）发包人工作人员及其配偶、子女不得从事与发包人工作有关的材料设备供应、工程分包、劳务等经济活动等。</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（5）发包人及期工作人员不得以任何理由向承包人推荐分包单位或推销材料，不得要求承包人购买合同规定外的材料和设备。</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（6）发包人工作人员要秉公办事，不准营私舞弊，不准利用职权从事各种个人有偿中介活动和安排个人施工队伍。</w:t>
      </w:r>
    </w:p>
    <w:p>
      <w:pPr>
        <w:spacing w:line="400" w:lineRule="exact"/>
        <w:ind w:right="2" w:rightChars="1" w:firstLine="480" w:firstLineChars="200"/>
        <w:outlineLvl w:val="0"/>
        <w:rPr>
          <w:rFonts w:hint="eastAsia" w:ascii="宋体" w:hAnsi="宋体" w:eastAsia="宋体" w:cs="宋体"/>
          <w:sz w:val="24"/>
          <w:szCs w:val="24"/>
        </w:rPr>
      </w:pPr>
      <w:bookmarkStart w:id="449" w:name="_Toc15570"/>
      <w:bookmarkStart w:id="450" w:name="_Toc31508"/>
      <w:r>
        <w:rPr>
          <w:rFonts w:hint="eastAsia" w:ascii="宋体" w:hAnsi="宋体" w:eastAsia="宋体" w:cs="宋体"/>
          <w:sz w:val="24"/>
          <w:szCs w:val="24"/>
        </w:rPr>
        <w:t>3．承包人的义务</w:t>
      </w:r>
      <w:bookmarkEnd w:id="449"/>
      <w:bookmarkEnd w:id="450"/>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（1）承包人不得以任何理由向发包人及其工作人员行贿或馈赠礼金、有价证券、贵重礼品。</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（2）承包人不得以任何名义为发包人及其工作人员报销应由发包人单位或个人支付的任何费用。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（3）承包人不得以任何理由安排发包人工作人员参加超标准宴请及娱乐活动。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（4）承包人不得为发包人单位和个人购置或提供通讯工具、交通工具和高档办公用品等。</w:t>
      </w:r>
    </w:p>
    <w:p>
      <w:pPr>
        <w:spacing w:line="400" w:lineRule="exact"/>
        <w:ind w:right="2" w:rightChars="1" w:firstLine="480" w:firstLineChars="200"/>
        <w:outlineLvl w:val="0"/>
        <w:rPr>
          <w:rFonts w:hint="eastAsia" w:ascii="宋体" w:hAnsi="宋体" w:eastAsia="宋体" w:cs="宋体"/>
          <w:sz w:val="24"/>
          <w:szCs w:val="24"/>
        </w:rPr>
      </w:pPr>
      <w:bookmarkStart w:id="451" w:name="_Toc7217"/>
      <w:bookmarkStart w:id="452" w:name="_Toc17519"/>
      <w:r>
        <w:rPr>
          <w:rFonts w:hint="eastAsia" w:ascii="宋体" w:hAnsi="宋体" w:eastAsia="宋体" w:cs="宋体"/>
          <w:sz w:val="24"/>
          <w:szCs w:val="24"/>
        </w:rPr>
        <w:t>4．违约责任</w:t>
      </w:r>
      <w:bookmarkEnd w:id="451"/>
      <w:bookmarkEnd w:id="452"/>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6.本合同有效期为发包人和承包人签署之日起至该工程项目竣工验收后止。</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7．本合同作为</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施工合同的附件，与工程施工合同具有同等的法律效力，经合同双方签署后立即生效。</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8．本合同一式四份，由发包人和承包人各执—份，送交发包人和承包人的监督单位各一份。</w:t>
      </w:r>
    </w:p>
    <w:p>
      <w:pPr>
        <w:spacing w:line="400" w:lineRule="exact"/>
        <w:ind w:right="2" w:rightChars="1"/>
        <w:rPr>
          <w:rFonts w:hint="eastAsia" w:ascii="宋体" w:hAnsi="宋体" w:eastAsia="宋体" w:cs="宋体"/>
          <w:sz w:val="24"/>
          <w:szCs w:val="24"/>
        </w:rPr>
      </w:pPr>
    </w:p>
    <w:p>
      <w:pPr>
        <w:spacing w:line="400" w:lineRule="exact"/>
        <w:ind w:right="2" w:rightChars="1"/>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  承包人：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（盖单位章） </w:t>
      </w:r>
    </w:p>
    <w:p>
      <w:pPr>
        <w:spacing w:line="400" w:lineRule="exact"/>
        <w:ind w:right="2" w:rightChars="1"/>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400" w:lineRule="exact"/>
        <w:ind w:right="2" w:rightChars="1" w:firstLine="84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400" w:lineRule="exact"/>
        <w:ind w:right="2" w:rightChars="1"/>
        <w:rPr>
          <w:rFonts w:hint="eastAsia" w:ascii="宋体" w:hAnsi="宋体" w:eastAsia="宋体" w:cs="宋体"/>
          <w:sz w:val="24"/>
          <w:szCs w:val="24"/>
        </w:rPr>
      </w:pPr>
      <w:r>
        <w:rPr>
          <w:rFonts w:hint="eastAsia" w:ascii="宋体" w:hAnsi="宋体" w:eastAsia="宋体" w:cs="宋体"/>
          <w:sz w:val="24"/>
          <w:szCs w:val="24"/>
        </w:rPr>
        <w:t>发包人监督单位：</w:t>
      </w:r>
      <w:r>
        <w:rPr>
          <w:rFonts w:hint="eastAsia" w:ascii="宋体" w:hAnsi="宋体" w:eastAsia="宋体" w:cs="宋体"/>
          <w:sz w:val="24"/>
          <w:szCs w:val="24"/>
          <w:u w:val="single"/>
        </w:rPr>
        <w:t>（全称） （盖单位章）</w:t>
      </w:r>
      <w:r>
        <w:rPr>
          <w:rFonts w:hint="eastAsia" w:ascii="宋体" w:hAnsi="宋体" w:eastAsia="宋体" w:cs="宋体"/>
          <w:sz w:val="24"/>
          <w:szCs w:val="24"/>
        </w:rPr>
        <w:t xml:space="preserve">  承包人监督单位：</w:t>
      </w:r>
      <w:r>
        <w:rPr>
          <w:rFonts w:hint="eastAsia" w:ascii="宋体" w:hAnsi="宋体" w:eastAsia="宋体" w:cs="宋体"/>
          <w:sz w:val="24"/>
          <w:szCs w:val="24"/>
          <w:u w:val="single"/>
        </w:rPr>
        <w:t>（全称） （盖单位章）</w:t>
      </w: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pStyle w:val="4"/>
        <w:spacing w:before="120" w:beforeLines="50" w:after="120" w:afterLines="50" w:line="400" w:lineRule="exact"/>
        <w:ind w:right="2" w:rightChars="1"/>
        <w:rPr>
          <w:rFonts w:hint="eastAsia" w:ascii="宋体" w:hAnsi="宋体" w:eastAsia="宋体" w:cs="宋体"/>
          <w:sz w:val="24"/>
          <w:szCs w:val="24"/>
        </w:rPr>
        <w:sectPr>
          <w:footnotePr>
            <w:numFmt w:val="decimalEnclosedCircleChinese"/>
            <w:numRestart w:val="eachPage"/>
          </w:footnotePr>
          <w:pgSz w:w="11906" w:h="16838"/>
          <w:pgMar w:top="1440" w:right="1383" w:bottom="1247" w:left="1361" w:header="851" w:footer="992" w:gutter="0"/>
          <w:pgNumType w:fmt="decimal"/>
          <w:cols w:space="720" w:num="1"/>
          <w:docGrid w:linePitch="312" w:charSpace="0"/>
        </w:sectPr>
      </w:pPr>
      <w:bookmarkStart w:id="453" w:name="_Toc234382946"/>
    </w:p>
    <w:p>
      <w:pPr>
        <w:pStyle w:val="4"/>
        <w:spacing w:before="120" w:beforeLines="50" w:after="120" w:afterLines="50" w:line="400" w:lineRule="exact"/>
        <w:ind w:right="2" w:rightChars="1"/>
        <w:rPr>
          <w:rFonts w:hint="eastAsia" w:ascii="宋体" w:hAnsi="宋体" w:eastAsia="宋体" w:cs="宋体"/>
          <w:sz w:val="24"/>
          <w:szCs w:val="24"/>
        </w:rPr>
      </w:pPr>
      <w:bookmarkStart w:id="454" w:name="_Toc13638"/>
      <w:bookmarkStart w:id="455" w:name="_Toc32178"/>
      <w:r>
        <w:rPr>
          <w:rFonts w:hint="eastAsia" w:ascii="宋体" w:hAnsi="宋体" w:eastAsia="宋体" w:cs="宋体"/>
          <w:sz w:val="24"/>
          <w:szCs w:val="24"/>
        </w:rPr>
        <w:t>附件三   安全生产合同</w:t>
      </w:r>
      <w:bookmarkEnd w:id="453"/>
      <w:bookmarkEnd w:id="454"/>
      <w:bookmarkEnd w:id="455"/>
    </w:p>
    <w:p>
      <w:pPr>
        <w:spacing w:before="120" w:after="120"/>
        <w:ind w:right="2" w:rightChars="1"/>
        <w:jc w:val="center"/>
        <w:rPr>
          <w:rFonts w:hint="eastAsia" w:ascii="宋体" w:hAnsi="宋体" w:eastAsia="宋体" w:cs="宋体"/>
          <w:b/>
          <w:sz w:val="24"/>
          <w:szCs w:val="24"/>
        </w:rPr>
      </w:pPr>
      <w:r>
        <w:rPr>
          <w:rFonts w:hint="eastAsia" w:ascii="宋体" w:hAnsi="宋体" w:eastAsia="宋体" w:cs="宋体"/>
          <w:b/>
          <w:sz w:val="24"/>
          <w:szCs w:val="24"/>
        </w:rPr>
        <w:t>安全生产合同</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为在</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（标段）施工合同的实施过程中创造安全、高效的施工环境，切实搞好本项目的安全管理工作，本项目发包人</w:t>
      </w:r>
      <w:r>
        <w:rPr>
          <w:rFonts w:hint="eastAsia" w:ascii="宋体" w:hAnsi="宋体" w:eastAsia="宋体" w:cs="宋体"/>
          <w:sz w:val="24"/>
          <w:szCs w:val="24"/>
          <w:u w:val="single"/>
        </w:rPr>
        <w:t xml:space="preserve">    </w:t>
      </w:r>
      <w:r>
        <w:rPr>
          <w:rFonts w:hint="eastAsia" w:ascii="宋体" w:hAnsi="宋体" w:eastAsia="宋体" w:cs="宋体"/>
          <w:sz w:val="24"/>
          <w:szCs w:val="24"/>
        </w:rPr>
        <w:t>（发包人名称，以下简称“发包人”）与承包人</w:t>
      </w:r>
      <w:r>
        <w:rPr>
          <w:rFonts w:hint="eastAsia" w:ascii="宋体" w:hAnsi="宋体" w:eastAsia="宋体" w:cs="宋体"/>
          <w:sz w:val="24"/>
          <w:szCs w:val="24"/>
          <w:u w:val="single"/>
        </w:rPr>
        <w:t xml:space="preserve">    </w:t>
      </w:r>
      <w:r>
        <w:rPr>
          <w:rFonts w:hint="eastAsia" w:ascii="宋体" w:hAnsi="宋体" w:eastAsia="宋体" w:cs="宋体"/>
          <w:sz w:val="24"/>
          <w:szCs w:val="24"/>
        </w:rPr>
        <w:t>（承包人名称，以下简称“承包人”）特此签订安全生产合同：</w:t>
      </w:r>
    </w:p>
    <w:p>
      <w:pPr>
        <w:spacing w:line="400" w:lineRule="exact"/>
        <w:ind w:right="2" w:rightChars="1" w:firstLine="480" w:firstLineChars="200"/>
        <w:outlineLvl w:val="0"/>
        <w:rPr>
          <w:rFonts w:hint="eastAsia" w:ascii="宋体" w:hAnsi="宋体" w:eastAsia="宋体" w:cs="宋体"/>
          <w:sz w:val="24"/>
          <w:szCs w:val="24"/>
        </w:rPr>
      </w:pPr>
      <w:bookmarkStart w:id="456" w:name="_Toc22858"/>
      <w:bookmarkStart w:id="457" w:name="_Toc4725"/>
      <w:r>
        <w:rPr>
          <w:rFonts w:hint="eastAsia" w:ascii="宋体" w:hAnsi="宋体" w:eastAsia="宋体" w:cs="宋体"/>
          <w:sz w:val="24"/>
          <w:szCs w:val="24"/>
        </w:rPr>
        <w:t>1.发包人职责</w:t>
      </w:r>
      <w:bookmarkEnd w:id="456"/>
      <w:bookmarkEnd w:id="457"/>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（1）严格遵守国家有关安全生产的法律法规，认真执行工程承包合同中的有关安全要求。</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（2）按照“安全第一、预防为主”和坚持“管生产必须管安全”的原则进行安全生产管理，做到生产与安全工作同时计划、布置、检查、总结和评比。</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（3）重要的安全设施必须坚持与主体工程“三同时”的原则，即：同时设计、审批，同时施工，同时验收，投入使用。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（4）定期召开安全生产调度会，及时传达中央及地方有关安全生产的精神。</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（5）组织对承包人施工现场安全生产检查，监督承包人及时处理发现的各种安全隐患。</w:t>
      </w:r>
    </w:p>
    <w:p>
      <w:pPr>
        <w:spacing w:line="400" w:lineRule="exact"/>
        <w:ind w:right="2" w:rightChars="1" w:firstLine="480" w:firstLineChars="200"/>
        <w:outlineLvl w:val="0"/>
        <w:rPr>
          <w:rFonts w:hint="eastAsia" w:ascii="宋体" w:hAnsi="宋体" w:eastAsia="宋体" w:cs="宋体"/>
          <w:sz w:val="24"/>
          <w:szCs w:val="24"/>
        </w:rPr>
      </w:pPr>
      <w:bookmarkStart w:id="458" w:name="_Toc2381"/>
      <w:bookmarkStart w:id="459" w:name="_Toc26771"/>
      <w:r>
        <w:rPr>
          <w:rFonts w:hint="eastAsia" w:ascii="宋体" w:hAnsi="宋体" w:eastAsia="宋体" w:cs="宋体"/>
          <w:sz w:val="24"/>
          <w:szCs w:val="24"/>
        </w:rPr>
        <w:t>2.承包人职责</w:t>
      </w:r>
      <w:bookmarkEnd w:id="458"/>
      <w:bookmarkEnd w:id="459"/>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严格遵守《中华人民共和国安全生产法》、《建设工程安全生产管理条例》等国家有关安全生产的法律法规、《公路水运工程安全生产监督管理办法》、《公路工程施工安全技术规范》等有关安全生产的规定。认真执行工程承包合同中的有关安全要求。</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（4）承包人在任何时候都应采取各种合理的预防措施，防止其员工发生任何违法、违禁、暴力或妨碍治安的行为。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（7）操作人员上岗，必须按规定穿戴防护用品。施工负责人和安全检查员应随时检查劳动防护用品的穿戴情况，不按规定穿戴防护用品的人员不得上岗。</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（8）所有施工机具设备和高空作业的设备均应定期检查，并有安全员的签字记录，保证其经常处于完好状态；不合格的机具、设备和劳动保护用品严禁使用：</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（9）施工中采用新技术、新工艺、新设备、新材料时，必须制定相应的安全技术措施，施工现场必须具有相关的安全标志牌。</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3.违约责任</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如因发包人或承包人违约造成安全事故，将依法追究责任。</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4.本合同由双方法定代表人或其授权的代理人签署并加盖单位章后生效，全部工程竣工验收后失效。</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5.本合同正本—式二份，副本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份，合同双方各执正本—份，副本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份，当正本与副本的内容不一致时，以正本为准。</w:t>
      </w:r>
    </w:p>
    <w:p>
      <w:pPr>
        <w:ind w:right="2" w:rightChars="1"/>
        <w:rPr>
          <w:rFonts w:hint="eastAsia" w:ascii="宋体" w:hAnsi="宋体" w:eastAsia="宋体" w:cs="宋体"/>
          <w:sz w:val="24"/>
          <w:szCs w:val="24"/>
        </w:rPr>
      </w:pPr>
    </w:p>
    <w:p>
      <w:pPr>
        <w:spacing w:line="400" w:lineRule="exact"/>
        <w:ind w:right="2" w:rightChars="1"/>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  承包人：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（盖单位章） </w:t>
      </w:r>
    </w:p>
    <w:p>
      <w:pPr>
        <w:spacing w:line="400" w:lineRule="exact"/>
        <w:ind w:right="2" w:rightChars="1"/>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400" w:lineRule="exact"/>
        <w:ind w:right="2" w:rightChars="1" w:firstLine="84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sectPr>
          <w:footnotePr>
            <w:numFmt w:val="decimalEnclosedCircleChinese"/>
            <w:numRestart w:val="eachPage"/>
          </w:footnotePr>
          <w:pgSz w:w="11906" w:h="16838"/>
          <w:pgMar w:top="1440" w:right="1383" w:bottom="1247" w:left="1361" w:header="851" w:footer="992" w:gutter="0"/>
          <w:pgNumType w:fmt="decimal"/>
          <w:cols w:space="720" w:num="1"/>
          <w:docGrid w:linePitch="312" w:charSpace="0"/>
        </w:sectPr>
      </w:pPr>
    </w:p>
    <w:p>
      <w:pPr>
        <w:ind w:left="241" w:hanging="240" w:hangingChars="100"/>
        <w:jc w:val="center"/>
        <w:rPr>
          <w:rFonts w:hint="eastAsia" w:ascii="宋体" w:hAnsi="宋体" w:eastAsia="宋体" w:cs="宋体"/>
          <w:b/>
          <w:kern w:val="44"/>
          <w:sz w:val="24"/>
          <w:szCs w:val="24"/>
          <w:lang w:eastAsia="zh-CN"/>
        </w:rPr>
      </w:pPr>
      <w:bookmarkStart w:id="460" w:name="_Toc234382947"/>
      <w:r>
        <w:rPr>
          <w:rFonts w:hint="eastAsia" w:ascii="宋体" w:hAnsi="宋体" w:eastAsia="宋体" w:cs="宋体"/>
          <w:b/>
          <w:kern w:val="44"/>
          <w:sz w:val="24"/>
          <w:szCs w:val="24"/>
        </w:rPr>
        <w:t>附件四   其他主要管理人员和技术人员最低要求</w:t>
      </w:r>
      <w:bookmarkEnd w:id="460"/>
    </w:p>
    <w:p>
      <w:pPr>
        <w:pStyle w:val="3"/>
        <w:rPr>
          <w:rFonts w:hint="eastAsia" w:ascii="宋体" w:hAnsi="宋体" w:eastAsia="宋体" w:cs="宋体"/>
          <w:sz w:val="24"/>
          <w:szCs w:val="24"/>
          <w:lang w:eastAsia="zh-CN"/>
        </w:rPr>
      </w:pPr>
    </w:p>
    <w:p>
      <w:pPr>
        <w:spacing w:line="400" w:lineRule="exact"/>
        <w:ind w:firstLine="235" w:firstLineChars="98"/>
        <w:jc w:val="both"/>
        <w:rPr>
          <w:rFonts w:hint="eastAsia" w:ascii="宋体" w:hAnsi="宋体" w:eastAsia="宋体" w:cs="宋体"/>
          <w:sz w:val="24"/>
          <w:szCs w:val="24"/>
        </w:rPr>
      </w:pPr>
      <w:r>
        <w:rPr>
          <w:rFonts w:hint="eastAsia" w:ascii="宋体" w:hAnsi="宋体" w:eastAsia="宋体" w:cs="宋体"/>
          <w:sz w:val="24"/>
          <w:szCs w:val="24"/>
        </w:rPr>
        <w:t>详见资格审查条件</w:t>
      </w:r>
    </w:p>
    <w:p>
      <w:pPr>
        <w:spacing w:line="360" w:lineRule="exact"/>
        <w:ind w:right="2" w:rightChars="1" w:firstLine="360" w:firstLineChars="150"/>
        <w:rPr>
          <w:rFonts w:hint="eastAsia" w:ascii="宋体" w:hAnsi="宋体" w:eastAsia="宋体" w:cs="宋体"/>
          <w:strike/>
          <w:color w:val="auto"/>
          <w:sz w:val="24"/>
          <w:szCs w:val="24"/>
        </w:rPr>
      </w:pPr>
      <w:r>
        <w:rPr>
          <w:rFonts w:hint="eastAsia" w:ascii="宋体" w:hAnsi="宋体" w:eastAsia="宋体" w:cs="宋体"/>
          <w:color w:val="auto"/>
          <w:sz w:val="24"/>
          <w:szCs w:val="24"/>
        </w:rPr>
        <w:t>注：招标人应在招标文件中规定若投标人在所投标标段中标需派驻的其他主要管理人员和技术人员。招标人将在发出中标通知书之前要求中标人按照本表的最低要求填报派驻本项目的其他主要管理人员和技术人员，在经招标人审批后作为派驻本项目的项目管理机构主要人员无正当理由不允许更换。</w:t>
      </w:r>
    </w:p>
    <w:p>
      <w:pPr>
        <w:ind w:right="2" w:rightChars="1"/>
        <w:rPr>
          <w:rFonts w:hint="eastAsia" w:ascii="宋体" w:hAnsi="宋体" w:eastAsia="宋体" w:cs="宋体"/>
          <w:color w:val="auto"/>
          <w:sz w:val="24"/>
          <w:szCs w:val="24"/>
        </w:rPr>
      </w:pPr>
    </w:p>
    <w:p>
      <w:pPr>
        <w:ind w:right="2" w:rightChars="1"/>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4"/>
        <w:spacing w:before="120" w:beforeLines="50" w:after="120" w:afterLines="50" w:line="400" w:lineRule="exact"/>
        <w:ind w:right="2" w:rightChars="1"/>
        <w:jc w:val="center"/>
        <w:rPr>
          <w:rFonts w:hint="eastAsia" w:ascii="宋体" w:hAnsi="宋体" w:eastAsia="宋体" w:cs="宋体"/>
          <w:sz w:val="24"/>
          <w:szCs w:val="24"/>
          <w:lang w:eastAsia="zh-CN"/>
        </w:rPr>
      </w:pPr>
      <w:bookmarkStart w:id="461" w:name="_Toc26130"/>
      <w:bookmarkStart w:id="462" w:name="_Toc10350"/>
      <w:bookmarkStart w:id="463" w:name="_Toc234382949"/>
      <w:r>
        <w:rPr>
          <w:rFonts w:hint="eastAsia" w:ascii="宋体" w:hAnsi="宋体" w:eastAsia="宋体" w:cs="宋体"/>
          <w:sz w:val="24"/>
          <w:szCs w:val="24"/>
        </w:rPr>
        <w:t>附件五  主要机械设备最低要求</w:t>
      </w:r>
      <w:bookmarkEnd w:id="461"/>
      <w:bookmarkEnd w:id="462"/>
    </w:p>
    <w:tbl>
      <w:tblPr>
        <w:tblStyle w:val="44"/>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30"/>
        <w:gridCol w:w="1480"/>
        <w:gridCol w:w="2625"/>
        <w:gridCol w:w="945"/>
        <w:gridCol w:w="84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83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4105"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设备类型和技术指标</w:t>
            </w: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单位</w:t>
            </w: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9027" w:type="dxa"/>
            <w:gridSpan w:val="7"/>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一、施工设备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027" w:type="dxa"/>
            <w:gridSpan w:val="7"/>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exact"/>
          <w:jc w:val="center"/>
        </w:trPr>
        <w:tc>
          <w:tcPr>
            <w:tcW w:w="9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3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262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94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13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r>
    </w:tbl>
    <w:p>
      <w:pPr>
        <w:bidi w:val="0"/>
        <w:rPr>
          <w:rFonts w:hint="eastAsia"/>
        </w:rPr>
      </w:pPr>
    </w:p>
    <w:p>
      <w:pPr>
        <w:pStyle w:val="42"/>
        <w:rPr>
          <w:rFonts w:hint="eastAsia"/>
        </w:rPr>
      </w:pPr>
    </w:p>
    <w:p>
      <w:pPr>
        <w:pStyle w:val="4"/>
        <w:spacing w:before="120" w:beforeLines="50" w:after="120" w:afterLines="50" w:line="400" w:lineRule="exact"/>
        <w:ind w:right="2" w:rightChars="1"/>
        <w:rPr>
          <w:rFonts w:hint="eastAsia" w:ascii="宋体" w:hAnsi="宋体" w:eastAsia="宋体" w:cs="宋体"/>
          <w:sz w:val="24"/>
          <w:szCs w:val="24"/>
        </w:rPr>
      </w:pPr>
      <w:bookmarkStart w:id="464" w:name="_Toc16558"/>
      <w:bookmarkStart w:id="465" w:name="_Toc10698"/>
      <w:r>
        <w:rPr>
          <w:rFonts w:hint="eastAsia" w:ascii="宋体" w:hAnsi="宋体" w:eastAsia="宋体" w:cs="宋体"/>
          <w:sz w:val="24"/>
          <w:szCs w:val="24"/>
        </w:rPr>
        <w:t>附件六   项目经理委托书</w:t>
      </w:r>
      <w:bookmarkEnd w:id="463"/>
      <w:bookmarkEnd w:id="464"/>
      <w:bookmarkEnd w:id="465"/>
    </w:p>
    <w:p>
      <w:pPr>
        <w:spacing w:line="400" w:lineRule="exact"/>
        <w:ind w:right="2" w:rightChars="1"/>
        <w:rPr>
          <w:rFonts w:hint="eastAsia" w:ascii="宋体" w:hAnsi="宋体" w:eastAsia="宋体" w:cs="宋体"/>
          <w:sz w:val="24"/>
          <w:szCs w:val="24"/>
        </w:rPr>
      </w:pPr>
    </w:p>
    <w:p>
      <w:pPr>
        <w:spacing w:line="400" w:lineRule="exact"/>
        <w:ind w:right="2" w:rightChars="1"/>
        <w:jc w:val="center"/>
        <w:rPr>
          <w:rFonts w:hint="eastAsia" w:ascii="宋体" w:hAnsi="宋体" w:eastAsia="宋体" w:cs="宋体"/>
          <w:sz w:val="24"/>
          <w:szCs w:val="24"/>
          <w:u w:val="single"/>
        </w:rPr>
      </w:pPr>
      <w:r>
        <w:rPr>
          <w:rFonts w:hint="eastAsia" w:ascii="宋体" w:hAnsi="宋体" w:eastAsia="宋体" w:cs="宋体"/>
          <w:sz w:val="24"/>
          <w:szCs w:val="24"/>
          <w:u w:val="single"/>
        </w:rPr>
        <w:t>（承包人全称）</w:t>
      </w:r>
    </w:p>
    <w:p>
      <w:pPr>
        <w:spacing w:line="400" w:lineRule="exact"/>
        <w:ind w:right="2" w:rightChars="1"/>
        <w:jc w:val="center"/>
        <w:rPr>
          <w:rFonts w:hint="eastAsia" w:ascii="宋体" w:hAnsi="宋体" w:eastAsia="宋体" w:cs="宋体"/>
          <w:sz w:val="24"/>
          <w:szCs w:val="24"/>
          <w:u w:val="single"/>
        </w:rPr>
      </w:pPr>
      <w:r>
        <w:rPr>
          <w:rFonts w:hint="eastAsia" w:ascii="宋体" w:hAnsi="宋体" w:eastAsia="宋体" w:cs="宋体"/>
          <w:sz w:val="24"/>
          <w:szCs w:val="24"/>
          <w:u w:val="single"/>
        </w:rPr>
        <w:t>（合同工程名称）</w:t>
      </w:r>
      <w:r>
        <w:rPr>
          <w:rFonts w:hint="eastAsia" w:ascii="宋体" w:hAnsi="宋体" w:eastAsia="宋体" w:cs="宋体"/>
          <w:sz w:val="24"/>
          <w:szCs w:val="24"/>
        </w:rPr>
        <w:t>项目经理委任书</w:t>
      </w:r>
    </w:p>
    <w:p>
      <w:pPr>
        <w:spacing w:line="400" w:lineRule="exact"/>
        <w:ind w:right="2" w:rightChars="1"/>
        <w:rPr>
          <w:rFonts w:hint="eastAsia" w:ascii="宋体" w:hAnsi="宋体" w:eastAsia="宋体" w:cs="宋体"/>
          <w:sz w:val="24"/>
          <w:szCs w:val="24"/>
        </w:rPr>
      </w:pPr>
    </w:p>
    <w:p>
      <w:pPr>
        <w:spacing w:line="400" w:lineRule="exact"/>
        <w:ind w:right="2" w:rightChars="1"/>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（发包人全称</w:t>
      </w:r>
      <w:r>
        <w:rPr>
          <w:rFonts w:hint="eastAsia" w:ascii="宋体" w:hAnsi="宋体" w:eastAsia="宋体" w:cs="宋体"/>
          <w:sz w:val="24"/>
          <w:szCs w:val="24"/>
        </w:rPr>
        <w:t>）</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u w:val="single"/>
        </w:rPr>
        <w:t>（承包人全称）</w:t>
      </w: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（职务、姓名）</w:t>
      </w:r>
      <w:r>
        <w:rPr>
          <w:rFonts w:hint="eastAsia" w:ascii="宋体" w:hAnsi="宋体" w:eastAsia="宋体" w:cs="宋体"/>
          <w:sz w:val="24"/>
          <w:szCs w:val="24"/>
        </w:rPr>
        <w:t xml:space="preserve"> 代表本单位委任 </w:t>
      </w:r>
      <w:r>
        <w:rPr>
          <w:rFonts w:hint="eastAsia" w:ascii="宋体" w:hAnsi="宋体" w:eastAsia="宋体" w:cs="宋体"/>
          <w:sz w:val="24"/>
          <w:szCs w:val="24"/>
          <w:u w:val="single"/>
        </w:rPr>
        <w:t>（职务、姓名）</w:t>
      </w:r>
      <w:r>
        <w:rPr>
          <w:rFonts w:hint="eastAsia" w:ascii="宋体" w:hAnsi="宋体" w:eastAsia="宋体" w:cs="宋体"/>
          <w:sz w:val="24"/>
          <w:szCs w:val="24"/>
        </w:rPr>
        <w:t xml:space="preserve"> 为</w:t>
      </w:r>
      <w:r>
        <w:rPr>
          <w:rFonts w:hint="eastAsia" w:ascii="宋体" w:hAnsi="宋体" w:eastAsia="宋体" w:cs="宋体"/>
          <w:sz w:val="24"/>
          <w:szCs w:val="24"/>
          <w:u w:val="single"/>
        </w:rPr>
        <w:t>（合同工程名称）</w:t>
      </w:r>
      <w:r>
        <w:rPr>
          <w:rFonts w:hint="eastAsia" w:ascii="宋体" w:hAnsi="宋体" w:eastAsia="宋体" w:cs="宋体"/>
          <w:sz w:val="24"/>
          <w:szCs w:val="24"/>
        </w:rPr>
        <w:t>的项目经理。凡本合同执行中的有关技术、工程进度、现场管理、质量检验、结算与支付等方面工作，由</w:t>
      </w:r>
      <w:r>
        <w:rPr>
          <w:rFonts w:hint="eastAsia" w:ascii="宋体" w:hAnsi="宋体" w:eastAsia="宋体" w:cs="宋体"/>
          <w:sz w:val="24"/>
          <w:szCs w:val="24"/>
          <w:u w:val="single"/>
        </w:rPr>
        <w:t xml:space="preserve"> （姓名） </w:t>
      </w:r>
      <w:r>
        <w:rPr>
          <w:rFonts w:hint="eastAsia" w:ascii="宋体" w:hAnsi="宋体" w:eastAsia="宋体" w:cs="宋体"/>
          <w:sz w:val="24"/>
          <w:szCs w:val="24"/>
        </w:rPr>
        <w:t>代表本单位全面负责。</w:t>
      </w:r>
    </w:p>
    <w:p>
      <w:pPr>
        <w:spacing w:line="400" w:lineRule="exact"/>
        <w:ind w:right="2" w:rightChars="1"/>
        <w:rPr>
          <w:rFonts w:hint="eastAsia" w:ascii="宋体" w:hAnsi="宋体" w:eastAsia="宋体" w:cs="宋体"/>
          <w:sz w:val="24"/>
          <w:szCs w:val="24"/>
        </w:rPr>
      </w:pPr>
    </w:p>
    <w:p>
      <w:pPr>
        <w:wordWrap w:val="0"/>
        <w:spacing w:line="400" w:lineRule="exact"/>
        <w:ind w:right="2" w:rightChars="1"/>
        <w:jc w:val="right"/>
        <w:rPr>
          <w:rFonts w:hint="eastAsia" w:ascii="宋体" w:hAnsi="宋体" w:eastAsia="宋体" w:cs="宋体"/>
          <w:sz w:val="24"/>
          <w:szCs w:val="24"/>
        </w:rPr>
      </w:pPr>
      <w:r>
        <w:rPr>
          <w:rFonts w:hint="eastAsia" w:ascii="宋体" w:hAnsi="宋体" w:eastAsia="宋体" w:cs="宋体"/>
          <w:sz w:val="24"/>
          <w:szCs w:val="24"/>
        </w:rPr>
        <w:t>承包人：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wordWrap w:val="0"/>
        <w:spacing w:line="400" w:lineRule="exact"/>
        <w:ind w:right="2" w:rightChars="1"/>
        <w:jc w:val="right"/>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（职务） </w:t>
      </w:r>
    </w:p>
    <w:p>
      <w:pPr>
        <w:wordWrap w:val="0"/>
        <w:spacing w:line="400" w:lineRule="exact"/>
        <w:ind w:right="2" w:rightChars="1" w:firstLine="1800" w:firstLineChars="750"/>
        <w:jc w:val="right"/>
        <w:rPr>
          <w:rFonts w:hint="eastAsia" w:ascii="宋体" w:hAnsi="宋体" w:eastAsia="宋体" w:cs="宋体"/>
          <w:sz w:val="24"/>
          <w:szCs w:val="24"/>
          <w:u w:val="single"/>
        </w:rPr>
      </w:pPr>
      <w:r>
        <w:rPr>
          <w:rFonts w:hint="eastAsia" w:ascii="宋体" w:hAnsi="宋体" w:eastAsia="宋体" w:cs="宋体"/>
          <w:sz w:val="24"/>
          <w:szCs w:val="24"/>
          <w:u w:val="single"/>
        </w:rPr>
        <w:t xml:space="preserve">  （姓名） </w:t>
      </w:r>
    </w:p>
    <w:p>
      <w:pPr>
        <w:wordWrap w:val="0"/>
        <w:spacing w:line="400" w:lineRule="exact"/>
        <w:ind w:right="2" w:rightChars="1" w:firstLine="1800" w:firstLineChars="750"/>
        <w:jc w:val="right"/>
        <w:rPr>
          <w:rFonts w:hint="eastAsia" w:ascii="宋体" w:hAnsi="宋体" w:eastAsia="宋体" w:cs="宋体"/>
          <w:sz w:val="24"/>
          <w:szCs w:val="24"/>
          <w:u w:val="single"/>
        </w:rPr>
      </w:pPr>
      <w:r>
        <w:rPr>
          <w:rFonts w:hint="eastAsia" w:ascii="宋体" w:hAnsi="宋体" w:eastAsia="宋体" w:cs="宋体"/>
          <w:sz w:val="24"/>
          <w:szCs w:val="24"/>
          <w:u w:val="single"/>
        </w:rPr>
        <w:t xml:space="preserve">  （签字） </w:t>
      </w:r>
    </w:p>
    <w:p>
      <w:pPr>
        <w:spacing w:line="400" w:lineRule="exact"/>
        <w:ind w:right="2" w:rightChars="1"/>
        <w:rPr>
          <w:rFonts w:hint="eastAsia" w:ascii="宋体" w:hAnsi="宋体" w:eastAsia="宋体" w:cs="宋体"/>
          <w:sz w:val="24"/>
          <w:szCs w:val="24"/>
        </w:rPr>
      </w:pPr>
    </w:p>
    <w:p>
      <w:pPr>
        <w:wordWrap w:val="0"/>
        <w:spacing w:line="400" w:lineRule="exact"/>
        <w:ind w:right="2" w:rightChars="1"/>
        <w:jc w:val="righ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日</w:t>
      </w:r>
    </w:p>
    <w:p>
      <w:pPr>
        <w:spacing w:line="400" w:lineRule="exact"/>
        <w:ind w:right="2" w:rightChars="1"/>
        <w:rPr>
          <w:rFonts w:hint="eastAsia" w:ascii="宋体" w:hAnsi="宋体" w:eastAsia="宋体" w:cs="宋体"/>
          <w:sz w:val="24"/>
          <w:szCs w:val="24"/>
        </w:rPr>
      </w:pPr>
    </w:p>
    <w:p>
      <w:pPr>
        <w:spacing w:line="400" w:lineRule="exact"/>
        <w:ind w:right="2" w:rightChars="1"/>
        <w:rPr>
          <w:rFonts w:hint="eastAsia" w:ascii="宋体" w:hAnsi="宋体" w:eastAsia="宋体" w:cs="宋体"/>
          <w:sz w:val="24"/>
          <w:szCs w:val="24"/>
        </w:rPr>
      </w:pPr>
      <w:r>
        <w:rPr>
          <w:rFonts w:hint="eastAsia" w:ascii="宋体" w:hAnsi="宋体" w:eastAsia="宋体" w:cs="宋体"/>
          <w:sz w:val="24"/>
          <w:szCs w:val="24"/>
        </w:rPr>
        <w:t>抄送：</w:t>
      </w:r>
      <w:r>
        <w:rPr>
          <w:rFonts w:hint="eastAsia" w:ascii="宋体" w:hAnsi="宋体" w:eastAsia="宋体" w:cs="宋体"/>
          <w:sz w:val="24"/>
          <w:szCs w:val="24"/>
          <w:u w:val="single"/>
        </w:rPr>
        <w:t xml:space="preserve">  （监理人）</w:t>
      </w:r>
    </w:p>
    <w:p>
      <w:pPr>
        <w:ind w:right="2" w:rightChars="1"/>
        <w:rPr>
          <w:rFonts w:hint="eastAsia" w:ascii="宋体" w:hAnsi="宋体" w:eastAsia="宋体" w:cs="宋体"/>
          <w:sz w:val="24"/>
          <w:szCs w:val="24"/>
        </w:rPr>
      </w:pPr>
    </w:p>
    <w:p>
      <w:pPr>
        <w:spacing w:line="400" w:lineRule="exact"/>
        <w:ind w:right="2" w:rightChars="1" w:firstLine="480" w:firstLineChars="200"/>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bidi w:val="0"/>
        <w:rPr>
          <w:rFonts w:hint="eastAsia"/>
        </w:rPr>
      </w:pPr>
    </w:p>
    <w:p>
      <w:pPr>
        <w:pStyle w:val="42"/>
        <w:rPr>
          <w:rFonts w:hint="eastAsia"/>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pStyle w:val="4"/>
        <w:spacing w:before="120" w:beforeLines="50" w:after="120" w:afterLines="50" w:line="400" w:lineRule="exact"/>
        <w:ind w:right="2" w:rightChars="1"/>
        <w:rPr>
          <w:rFonts w:hint="eastAsia" w:ascii="宋体" w:hAnsi="宋体" w:eastAsia="宋体" w:cs="宋体"/>
          <w:sz w:val="24"/>
          <w:szCs w:val="24"/>
        </w:rPr>
      </w:pPr>
      <w:bookmarkStart w:id="466" w:name="_Toc21801"/>
      <w:bookmarkStart w:id="467" w:name="_Toc234382950"/>
      <w:bookmarkStart w:id="468" w:name="_Toc12089"/>
      <w:r>
        <w:rPr>
          <w:rFonts w:hint="eastAsia" w:ascii="宋体" w:hAnsi="宋体" w:eastAsia="宋体" w:cs="宋体"/>
          <w:sz w:val="24"/>
          <w:szCs w:val="24"/>
        </w:rPr>
        <w:t>附件七   履约保证金格式</w:t>
      </w:r>
      <w:bookmarkEnd w:id="466"/>
      <w:bookmarkEnd w:id="467"/>
      <w:bookmarkEnd w:id="468"/>
    </w:p>
    <w:p>
      <w:pPr>
        <w:rPr>
          <w:rFonts w:hint="eastAsia" w:ascii="宋体" w:hAnsi="宋体" w:eastAsia="宋体" w:cs="宋体"/>
          <w:sz w:val="24"/>
          <w:szCs w:val="24"/>
        </w:rPr>
      </w:pPr>
      <w:r>
        <w:rPr>
          <w:rFonts w:hint="eastAsia" w:ascii="宋体" w:hAnsi="宋体" w:eastAsia="宋体" w:cs="宋体"/>
          <w:sz w:val="24"/>
          <w:szCs w:val="24"/>
        </w:rPr>
        <w:t>如采用银行保函，格式如下：</w:t>
      </w:r>
    </w:p>
    <w:p>
      <w:pPr>
        <w:ind w:right="2" w:rightChars="1"/>
        <w:jc w:val="center"/>
        <w:rPr>
          <w:rFonts w:hint="eastAsia" w:ascii="宋体" w:hAnsi="宋体" w:eastAsia="宋体" w:cs="宋体"/>
          <w:b/>
          <w:sz w:val="24"/>
          <w:szCs w:val="24"/>
        </w:rPr>
      </w:pPr>
    </w:p>
    <w:p>
      <w:pPr>
        <w:ind w:right="2" w:rightChars="1"/>
        <w:jc w:val="center"/>
        <w:rPr>
          <w:rFonts w:hint="eastAsia" w:ascii="宋体" w:hAnsi="宋体" w:eastAsia="宋体" w:cs="宋体"/>
          <w:b/>
          <w:sz w:val="24"/>
          <w:szCs w:val="24"/>
        </w:rPr>
      </w:pPr>
      <w:r>
        <w:rPr>
          <w:rFonts w:hint="eastAsia" w:ascii="宋体" w:hAnsi="宋体" w:eastAsia="宋体" w:cs="宋体"/>
          <w:b/>
          <w:sz w:val="24"/>
          <w:szCs w:val="24"/>
        </w:rPr>
        <w:t>履 约 保 证 金</w:t>
      </w: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（发包人名称）：</w:t>
      </w:r>
    </w:p>
    <w:p>
      <w:pPr>
        <w:ind w:right="2" w:rightChars="1"/>
        <w:rPr>
          <w:rFonts w:hint="eastAsia" w:ascii="宋体" w:hAnsi="宋体" w:eastAsia="宋体" w:cs="宋体"/>
          <w:sz w:val="24"/>
          <w:szCs w:val="24"/>
        </w:rPr>
      </w:pP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u w:val="single"/>
        </w:rPr>
        <w:t xml:space="preserve">        </w:t>
      </w:r>
      <w:r>
        <w:rPr>
          <w:rFonts w:hint="eastAsia" w:ascii="宋体" w:hAnsi="宋体" w:eastAsia="宋体" w:cs="宋体"/>
          <w:sz w:val="24"/>
          <w:szCs w:val="24"/>
        </w:rPr>
        <w:t>（发包人名称，以下简称“发包人”）接受</w:t>
      </w:r>
      <w:r>
        <w:rPr>
          <w:rFonts w:hint="eastAsia" w:ascii="宋体" w:hAnsi="宋体" w:eastAsia="宋体" w:cs="宋体"/>
          <w:sz w:val="24"/>
          <w:szCs w:val="24"/>
          <w:u w:val="single"/>
        </w:rPr>
        <w:t xml:space="preserve">        </w:t>
      </w:r>
      <w:r>
        <w:rPr>
          <w:rFonts w:hint="eastAsia" w:ascii="宋体" w:hAnsi="宋体" w:eastAsia="宋体" w:cs="宋体"/>
          <w:sz w:val="24"/>
          <w:szCs w:val="24"/>
        </w:rPr>
        <w:t>（承包人名称）（以下称“承包人”）于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标段施工的投标。我方愿意无条件地、不可撤销地就承包人履行与你方订立的合同，向你方提供担保。</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1.担保金额人民币（大写）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2.担保有效期自发包人与承包人签订的合同生效之日起至发包人签发工程接收交工验收证书且承包人按照约定缴纳质量保证金至日止。</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3.在本担保有效期内，因承包人违反合同约定的义务给你方造成经济损失时，我方在收到你方以书面形式提出的在担保金额内的赔偿要求后，在7天内无条件支付，无须你方出具证明或陈述理由。</w:t>
      </w:r>
    </w:p>
    <w:p>
      <w:pPr>
        <w:spacing w:line="400" w:lineRule="exact"/>
        <w:ind w:right="2" w:rightChars="1" w:firstLine="480" w:firstLineChars="200"/>
        <w:rPr>
          <w:rFonts w:hint="eastAsia" w:ascii="宋体" w:hAnsi="宋体" w:eastAsia="宋体" w:cs="宋体"/>
          <w:sz w:val="24"/>
          <w:szCs w:val="24"/>
        </w:rPr>
      </w:pPr>
      <w:r>
        <w:rPr>
          <w:rFonts w:hint="eastAsia" w:ascii="宋体" w:hAnsi="宋体" w:eastAsia="宋体" w:cs="宋体"/>
          <w:sz w:val="24"/>
          <w:szCs w:val="24"/>
        </w:rPr>
        <w:t>4.发包人和承包人按合同条款第15条变更合同时，无论我方是否收到该变更，我方承担本担保规定的义务不变。</w:t>
      </w: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spacing w:line="440" w:lineRule="exact"/>
        <w:ind w:right="2" w:rightChars="1"/>
        <w:rPr>
          <w:rFonts w:hint="eastAsia" w:ascii="宋体" w:hAnsi="宋体" w:eastAsia="宋体" w:cs="宋体"/>
          <w:sz w:val="24"/>
          <w:szCs w:val="24"/>
        </w:rPr>
      </w:pPr>
      <w:r>
        <w:rPr>
          <w:rFonts w:hint="eastAsia" w:ascii="宋体" w:hAnsi="宋体" w:eastAsia="宋体" w:cs="宋体"/>
          <w:sz w:val="24"/>
          <w:szCs w:val="24"/>
        </w:rPr>
        <w:t xml:space="preserve">                                 担保人名称：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440" w:lineRule="exact"/>
        <w:ind w:right="2" w:rightChars="1"/>
        <w:rPr>
          <w:rFonts w:hint="eastAsia" w:ascii="宋体" w:hAnsi="宋体" w:eastAsia="宋体" w:cs="宋体"/>
          <w:sz w:val="24"/>
          <w:szCs w:val="24"/>
        </w:rPr>
      </w:pPr>
      <w:r>
        <w:rPr>
          <w:rFonts w:hint="eastAsia" w:ascii="宋体" w:hAnsi="宋体" w:eastAsia="宋体" w:cs="宋体"/>
          <w:sz w:val="24"/>
          <w:szCs w:val="24"/>
        </w:rPr>
        <w:t xml:space="preserve">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440" w:lineRule="exact"/>
        <w:ind w:right="2" w:rightChars="1"/>
        <w:rPr>
          <w:rFonts w:hint="eastAsia" w:ascii="宋体" w:hAnsi="宋体" w:eastAsia="宋体" w:cs="宋体"/>
          <w:sz w:val="24"/>
          <w:szCs w:val="24"/>
        </w:rPr>
      </w:pPr>
      <w:r>
        <w:rPr>
          <w:rFonts w:hint="eastAsia" w:ascii="宋体" w:hAnsi="宋体" w:eastAsia="宋体" w:cs="宋体"/>
          <w:sz w:val="24"/>
          <w:szCs w:val="24"/>
        </w:rPr>
        <w:t xml:space="preserve">                                 地    址：</w:t>
      </w:r>
      <w:r>
        <w:rPr>
          <w:rFonts w:hint="eastAsia" w:ascii="宋体" w:hAnsi="宋体" w:eastAsia="宋体" w:cs="宋体"/>
          <w:sz w:val="24"/>
          <w:szCs w:val="24"/>
          <w:u w:val="single"/>
        </w:rPr>
        <w:t xml:space="preserve">                              </w:t>
      </w:r>
    </w:p>
    <w:p>
      <w:pPr>
        <w:spacing w:line="440" w:lineRule="exact"/>
        <w:ind w:right="2" w:rightChars="1"/>
        <w:rPr>
          <w:rFonts w:hint="eastAsia" w:ascii="宋体" w:hAnsi="宋体" w:eastAsia="宋体" w:cs="宋体"/>
          <w:sz w:val="24"/>
          <w:szCs w:val="24"/>
        </w:rPr>
      </w:pP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spacing w:line="440" w:lineRule="exact"/>
        <w:ind w:right="2" w:rightChars="1"/>
        <w:rPr>
          <w:rFonts w:hint="eastAsia" w:ascii="宋体" w:hAnsi="宋体" w:eastAsia="宋体" w:cs="宋体"/>
          <w:sz w:val="24"/>
          <w:szCs w:val="24"/>
        </w:rPr>
      </w:pP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w:t>
      </w:r>
    </w:p>
    <w:p>
      <w:pPr>
        <w:spacing w:line="440" w:lineRule="exact"/>
        <w:ind w:right="2" w:rightChars="1"/>
        <w:rPr>
          <w:rFonts w:hint="eastAsia" w:ascii="宋体" w:hAnsi="宋体" w:eastAsia="宋体" w:cs="宋体"/>
          <w:sz w:val="24"/>
          <w:szCs w:val="24"/>
        </w:rPr>
      </w:pPr>
      <w:r>
        <w:rPr>
          <w:rFonts w:hint="eastAsia" w:ascii="宋体" w:hAnsi="宋体" w:eastAsia="宋体" w:cs="宋体"/>
          <w:sz w:val="24"/>
          <w:szCs w:val="24"/>
        </w:rPr>
        <w:t xml:space="preserve">                                 传    真：</w:t>
      </w:r>
      <w:r>
        <w:rPr>
          <w:rFonts w:hint="eastAsia" w:ascii="宋体" w:hAnsi="宋体" w:eastAsia="宋体" w:cs="宋体"/>
          <w:sz w:val="24"/>
          <w:szCs w:val="24"/>
          <w:u w:val="single"/>
        </w:rPr>
        <w:t xml:space="preserve">                              </w:t>
      </w: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p>
    <w:p>
      <w:pPr>
        <w:ind w:right="2" w:rightChars="1"/>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3"/>
        <w:rPr>
          <w:rFonts w:hint="eastAsia" w:ascii="仿宋" w:hAnsi="仿宋" w:eastAsia="仿宋" w:cs="仿宋"/>
          <w:sz w:val="24"/>
          <w:szCs w:val="24"/>
        </w:rPr>
      </w:pPr>
    </w:p>
    <w:p>
      <w:pPr>
        <w:pStyle w:val="2"/>
        <w:spacing w:before="66"/>
        <w:ind w:left="424"/>
        <w:jc w:val="both"/>
        <w:rPr>
          <w:rFonts w:hint="eastAsia" w:ascii="仿宋" w:hAnsi="仿宋" w:eastAsia="仿宋" w:cs="仿宋"/>
          <w:color w:val="auto"/>
          <w:sz w:val="24"/>
          <w:szCs w:val="24"/>
          <w:highlight w:val="none"/>
        </w:rPr>
      </w:pPr>
    </w:p>
    <w:p>
      <w:pPr>
        <w:pStyle w:val="3"/>
        <w:rPr>
          <w:rFonts w:hint="eastAsia"/>
        </w:rPr>
      </w:pPr>
    </w:p>
    <w:p>
      <w:pPr>
        <w:pStyle w:val="4"/>
        <w:pageBreakBefore w:val="0"/>
        <w:kinsoku/>
        <w:bidi w:val="0"/>
        <w:spacing w:before="0" w:after="0" w:line="360" w:lineRule="auto"/>
        <w:rPr>
          <w:rFonts w:hint="eastAsia" w:ascii="宋体" w:hAnsi="宋体" w:eastAsia="宋体" w:cs="宋体"/>
          <w:sz w:val="32"/>
          <w:szCs w:val="32"/>
        </w:rPr>
      </w:pPr>
      <w:bookmarkStart w:id="469" w:name="_Toc8701"/>
      <w:r>
        <w:rPr>
          <w:rFonts w:hint="eastAsia" w:ascii="宋体" w:hAnsi="宋体" w:eastAsia="宋体" w:cs="宋体"/>
          <w:sz w:val="32"/>
          <w:szCs w:val="32"/>
        </w:rPr>
        <w:t>第五章</w:t>
      </w:r>
      <w:bookmarkStart w:id="470" w:name="_Toc5472"/>
      <w:r>
        <w:rPr>
          <w:rFonts w:hint="eastAsia" w:ascii="宋体" w:hAnsi="宋体" w:eastAsia="宋体" w:cs="宋体"/>
          <w:sz w:val="32"/>
          <w:szCs w:val="32"/>
          <w:lang w:val="en-US" w:eastAsia="zh-CN"/>
        </w:rPr>
        <w:t xml:space="preserve">   </w:t>
      </w:r>
      <w:bookmarkEnd w:id="470"/>
      <w:r>
        <w:rPr>
          <w:rFonts w:hint="eastAsia" w:ascii="宋体" w:hAnsi="宋体" w:eastAsia="宋体" w:cs="宋体"/>
          <w:sz w:val="32"/>
          <w:szCs w:val="32"/>
          <w:lang w:val="en-US" w:eastAsia="zh-CN"/>
        </w:rPr>
        <w:t>采购需求</w:t>
      </w:r>
      <w:bookmarkEnd w:id="469"/>
    </w:p>
    <w:p>
      <w:pPr>
        <w:pageBreakBefore w:val="0"/>
        <w:widowControl/>
        <w:tabs>
          <w:tab w:val="left" w:pos="4320"/>
        </w:tabs>
        <w:kinsoku/>
        <w:bidi w:val="0"/>
        <w:spacing w:line="360" w:lineRule="auto"/>
        <w:ind w:firstLine="480" w:firstLineChars="200"/>
        <w:rPr>
          <w:rFonts w:hint="eastAsia" w:ascii="宋体" w:hAnsi="宋体" w:eastAsia="宋体" w:cs="宋体"/>
          <w:b/>
          <w:sz w:val="24"/>
        </w:rPr>
      </w:pPr>
      <w:r>
        <w:rPr>
          <w:rFonts w:hint="eastAsia" w:ascii="宋体" w:hAnsi="宋体" w:eastAsia="宋体" w:cs="宋体"/>
          <w:b/>
          <w:sz w:val="24"/>
        </w:rPr>
        <w:t>一、项目概况：</w:t>
      </w:r>
    </w:p>
    <w:p>
      <w:pPr>
        <w:pageBreakBefore w:val="0"/>
        <w:kinsoku/>
        <w:bidi w:val="0"/>
        <w:spacing w:line="360" w:lineRule="auto"/>
        <w:ind w:firstLine="484" w:firstLineChars="202"/>
        <w:rPr>
          <w:rFonts w:hint="eastAsia" w:ascii="宋体" w:hAnsi="宋体" w:eastAsia="宋体" w:cs="宋体"/>
          <w:sz w:val="24"/>
        </w:rPr>
      </w:pPr>
      <w:bookmarkStart w:id="471" w:name="_Toc6846"/>
      <w:r>
        <w:rPr>
          <w:rFonts w:hint="eastAsia" w:ascii="宋体" w:hAnsi="宋体" w:eastAsia="宋体" w:cs="宋体"/>
          <w:sz w:val="24"/>
        </w:rPr>
        <w:t>总干桥位于武陟县东南部S308武济线上跨共产主义渠处，中心桩号为K3+873桥梁全长91m，桥面宽度为17.5m，现对该桥进行加固。</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主要加固方案：</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1.桥面系</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(1)凿除全桥铺装，重新设置双层钢筋网，铺筑15cm厚C50</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防水混凝土+FYT-1改进型防水层+5cm厚中粒式沥青混凝土，并加强墩顶桥面连续。重划路面标线。</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(2)清理伸缩缝堵塞物，修补锚固区裂缝，更换橡胶条。(3)修补护栏裂缝，重新涂刷立面标记漆。</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2.上部结构</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(1)更换出现横缝、下挠的空心板，采用无机聚合物砂浆修补其它空心板锈胀、剥落等病害。</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(2)空心板顶植筋并与铺装钢筋连接，重新浇筑铰缝混凝土。</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(3)采用顶升法对偏移、脱空的支座及移位的空心板下支座进行复位。</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3.下部结构</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(1)重做墩台挡块，内侧粘贴橡胶块。</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(2)墩台盖梁破损、锈胀等处采用无机聚合物砂浆修补。</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(3)支座垫石剥落、掉角等处采用无机聚合物砂浆修补。</w:t>
      </w:r>
    </w:p>
    <w:p>
      <w:pPr>
        <w:pageBreakBefore w:val="0"/>
        <w:kinsoku/>
        <w:bidi w:val="0"/>
        <w:spacing w:line="360" w:lineRule="auto"/>
        <w:ind w:firstLine="484" w:firstLineChars="202"/>
        <w:rPr>
          <w:rFonts w:hint="eastAsia" w:ascii="宋体" w:hAnsi="宋体" w:eastAsia="宋体" w:cs="宋体"/>
          <w:sz w:val="24"/>
        </w:rPr>
      </w:pPr>
      <w:r>
        <w:rPr>
          <w:rFonts w:hint="eastAsia" w:ascii="宋体" w:hAnsi="宋体" w:eastAsia="宋体" w:cs="宋体"/>
          <w:sz w:val="24"/>
        </w:rPr>
        <w:t>(4)采用30cm厚M75浆砌片石修复台前护坡。（详见磋商文件、图纸、工程量清单）</w:t>
      </w:r>
    </w:p>
    <w:p>
      <w:pPr>
        <w:pageBreakBefore w:val="0"/>
        <w:widowControl/>
        <w:tabs>
          <w:tab w:val="left" w:pos="4320"/>
        </w:tabs>
        <w:kinsoku/>
        <w:bidi w:val="0"/>
        <w:spacing w:line="360" w:lineRule="auto"/>
        <w:ind w:firstLine="480" w:firstLineChars="200"/>
        <w:rPr>
          <w:rFonts w:hint="eastAsia" w:ascii="宋体" w:hAnsi="宋体" w:eastAsia="宋体" w:cs="宋体"/>
          <w:b/>
          <w:sz w:val="24"/>
        </w:rPr>
      </w:pPr>
      <w:r>
        <w:rPr>
          <w:rFonts w:hint="eastAsia" w:ascii="宋体" w:hAnsi="宋体" w:eastAsia="宋体" w:cs="宋体"/>
          <w:b/>
          <w:sz w:val="24"/>
        </w:rPr>
        <w:t>二、</w:t>
      </w:r>
      <w:bookmarkEnd w:id="471"/>
      <w:r>
        <w:rPr>
          <w:rFonts w:hint="eastAsia" w:ascii="宋体" w:hAnsi="宋体" w:eastAsia="宋体" w:cs="宋体"/>
          <w:b/>
          <w:sz w:val="24"/>
          <w:lang w:eastAsia="zh-CN"/>
        </w:rPr>
        <w:t>图纸、</w:t>
      </w:r>
      <w:r>
        <w:rPr>
          <w:rFonts w:hint="eastAsia" w:ascii="宋体" w:hAnsi="宋体" w:eastAsia="宋体" w:cs="宋体"/>
          <w:b/>
          <w:sz w:val="24"/>
        </w:rPr>
        <w:t>工程量清单</w:t>
      </w:r>
      <w:r>
        <w:rPr>
          <w:rFonts w:hint="eastAsia" w:ascii="宋体" w:hAnsi="宋体" w:eastAsia="宋体" w:cs="宋体"/>
          <w:b/>
          <w:sz w:val="24"/>
        </w:rPr>
        <w:tab/>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图纸、</w:t>
      </w:r>
      <w:r>
        <w:rPr>
          <w:rFonts w:hint="eastAsia" w:ascii="宋体" w:hAnsi="宋体" w:eastAsia="宋体" w:cs="宋体"/>
          <w:sz w:val="24"/>
        </w:rPr>
        <w:t>工程量清单另附。</w:t>
      </w:r>
    </w:p>
    <w:p>
      <w:pPr>
        <w:pageBreakBefore w:val="0"/>
        <w:kinsoku/>
        <w:bidi w:val="0"/>
        <w:spacing w:line="360" w:lineRule="auto"/>
        <w:ind w:firstLine="480" w:firstLineChars="200"/>
        <w:rPr>
          <w:rFonts w:hint="eastAsia" w:ascii="宋体" w:hAnsi="宋体" w:eastAsia="宋体" w:cs="宋体"/>
          <w:b w:val="0"/>
          <w:bCs/>
          <w:sz w:val="24"/>
          <w:lang w:val="en-US" w:eastAsia="zh-CN"/>
        </w:rPr>
      </w:pPr>
      <w:r>
        <w:rPr>
          <w:rFonts w:hint="eastAsia" w:ascii="宋体" w:hAnsi="宋体" w:eastAsia="宋体" w:cs="宋体"/>
          <w:b/>
          <w:sz w:val="24"/>
          <w:lang w:eastAsia="zh-CN"/>
        </w:rPr>
        <w:t>三</w:t>
      </w:r>
      <w:r>
        <w:rPr>
          <w:rFonts w:hint="eastAsia" w:ascii="宋体" w:hAnsi="宋体" w:eastAsia="宋体" w:cs="宋体"/>
          <w:b/>
          <w:sz w:val="24"/>
        </w:rPr>
        <w:t>、</w:t>
      </w:r>
      <w:r>
        <w:rPr>
          <w:rFonts w:hint="eastAsia" w:ascii="宋体" w:hAnsi="宋体" w:eastAsia="宋体" w:cs="宋体"/>
          <w:b/>
          <w:sz w:val="24"/>
          <w:lang w:eastAsia="zh-CN"/>
        </w:rPr>
        <w:t>工期</w:t>
      </w:r>
      <w:r>
        <w:rPr>
          <w:rFonts w:hint="eastAsia" w:ascii="宋体" w:hAnsi="宋体" w:eastAsia="宋体" w:cs="宋体"/>
          <w:b/>
          <w:sz w:val="24"/>
        </w:rPr>
        <w:t>：</w:t>
      </w:r>
      <w:r>
        <w:rPr>
          <w:rFonts w:hint="eastAsia" w:ascii="宋体" w:hAnsi="宋体" w:eastAsia="宋体" w:cs="宋体"/>
          <w:b w:val="0"/>
          <w:bCs/>
          <w:sz w:val="24"/>
          <w:lang w:val="en-US" w:eastAsia="zh-CN"/>
        </w:rPr>
        <w:t>120日历天</w:t>
      </w:r>
    </w:p>
    <w:p>
      <w:pPr>
        <w:pageBreakBefore w:val="0"/>
        <w:kinsoku/>
        <w:bidi w:val="0"/>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lang w:val="en-US" w:eastAsia="zh-CN"/>
        </w:rPr>
        <w:t>缺陷责任期1年（通过交工验收之日算起）</w:t>
      </w:r>
      <w:r>
        <w:rPr>
          <w:rFonts w:hint="eastAsia" w:ascii="宋体" w:hAnsi="宋体" w:eastAsia="宋体" w:cs="宋体"/>
          <w:b w:val="0"/>
          <w:bCs/>
          <w:sz w:val="24"/>
        </w:rPr>
        <w:t>。</w:t>
      </w:r>
    </w:p>
    <w:p>
      <w:pPr>
        <w:pageBreakBefore w:val="0"/>
        <w:kinsoku/>
        <w:bidi w:val="0"/>
        <w:spacing w:line="360" w:lineRule="auto"/>
        <w:ind w:firstLine="480" w:firstLineChars="200"/>
        <w:rPr>
          <w:rFonts w:hint="eastAsia" w:ascii="宋体" w:hAnsi="宋体" w:eastAsia="宋体" w:cs="宋体"/>
          <w:sz w:val="24"/>
        </w:rPr>
      </w:pPr>
      <w:bookmarkStart w:id="472" w:name="_Toc25632"/>
      <w:bookmarkStart w:id="473" w:name="_Toc18645"/>
      <w:r>
        <w:rPr>
          <w:rFonts w:hint="eastAsia" w:ascii="宋体" w:hAnsi="宋体" w:eastAsia="宋体" w:cs="宋体"/>
          <w:b/>
          <w:sz w:val="24"/>
          <w:lang w:eastAsia="zh-CN"/>
        </w:rPr>
        <w:t>四</w:t>
      </w:r>
      <w:r>
        <w:rPr>
          <w:rFonts w:hint="eastAsia" w:ascii="宋体" w:hAnsi="宋体" w:eastAsia="宋体" w:cs="宋体"/>
          <w:b/>
          <w:sz w:val="24"/>
        </w:rPr>
        <w:t>、质量:</w:t>
      </w:r>
      <w:bookmarkEnd w:id="472"/>
      <w:bookmarkEnd w:id="473"/>
      <w:r>
        <w:rPr>
          <w:rFonts w:hint="eastAsia" w:ascii="宋体" w:hAnsi="宋体" w:eastAsia="宋体" w:cs="宋体"/>
          <w:sz w:val="24"/>
        </w:rPr>
        <w:t>工程交工验收的质量评定：合格；竣工验收的质量评定：优良。</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cs="宋体"/>
          <w:b/>
          <w:sz w:val="24"/>
          <w:lang w:eastAsia="zh-CN"/>
        </w:rPr>
        <w:t>五</w:t>
      </w:r>
      <w:r>
        <w:rPr>
          <w:rFonts w:hint="eastAsia" w:ascii="宋体" w:hAnsi="宋体" w:eastAsia="宋体" w:cs="宋体"/>
          <w:b/>
          <w:sz w:val="24"/>
        </w:rPr>
        <w:t>、</w:t>
      </w:r>
      <w:r>
        <w:rPr>
          <w:rFonts w:hint="eastAsia" w:ascii="宋体" w:hAnsi="宋体" w:eastAsia="宋体" w:cs="宋体"/>
          <w:b/>
          <w:bCs/>
          <w:sz w:val="24"/>
        </w:rPr>
        <w:t>付款方式</w:t>
      </w:r>
    </w:p>
    <w:p>
      <w:pPr>
        <w:pStyle w:val="2"/>
        <w:pageBreakBefore w:val="0"/>
        <w:numPr>
          <w:ilvl w:val="0"/>
          <w:numId w:val="0"/>
        </w:numPr>
        <w:kinsoku/>
        <w:bidi w:val="0"/>
        <w:spacing w:after="0" w:line="360" w:lineRule="auto"/>
        <w:ind w:firstLine="480" w:firstLineChars="200"/>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工程按月进行计量，经监理审查，报业主核定后，支付计量款的98.5%作为月进度款。竣工验收合格或承包人向发包人缴纳规定的质量保证函后一次性付清剩余款项。用支票、汇票、本票、保险、保函等形式替代预留保证金的，发包人不得同时预留工程质量保证金。</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pStyle w:val="4"/>
        <w:pageBreakBefore w:val="0"/>
        <w:kinsoku/>
        <w:bidi w:val="0"/>
        <w:spacing w:before="0" w:after="0" w:line="360" w:lineRule="auto"/>
        <w:jc w:val="center"/>
        <w:rPr>
          <w:rFonts w:hint="eastAsia" w:ascii="宋体" w:hAnsi="宋体" w:eastAsia="宋体" w:cs="宋体"/>
          <w:sz w:val="32"/>
          <w:szCs w:val="32"/>
        </w:rPr>
      </w:pPr>
      <w:bookmarkStart w:id="474" w:name="_Toc4426"/>
      <w:bookmarkStart w:id="475" w:name="_Toc30379"/>
      <w:bookmarkStart w:id="476" w:name="_Toc373230032"/>
      <w:bookmarkStart w:id="477" w:name="_Toc374512420"/>
      <w:r>
        <w:rPr>
          <w:rFonts w:hint="eastAsia" w:ascii="宋体" w:hAnsi="宋体" w:eastAsia="宋体" w:cs="宋体"/>
          <w:sz w:val="32"/>
          <w:szCs w:val="32"/>
        </w:rPr>
        <w:t>第</w:t>
      </w:r>
      <w:r>
        <w:rPr>
          <w:rFonts w:hint="eastAsia" w:ascii="宋体" w:hAnsi="宋体" w:eastAsia="宋体" w:cs="宋体"/>
          <w:sz w:val="32"/>
          <w:szCs w:val="32"/>
          <w:lang w:eastAsia="zh-CN"/>
        </w:rPr>
        <w:t>六</w:t>
      </w:r>
      <w:r>
        <w:rPr>
          <w:rFonts w:hint="eastAsia" w:ascii="宋体" w:hAnsi="宋体" w:eastAsia="宋体" w:cs="宋体"/>
          <w:sz w:val="32"/>
          <w:szCs w:val="32"/>
        </w:rPr>
        <w:t>章 响应文件格式</w:t>
      </w:r>
      <w:bookmarkEnd w:id="474"/>
      <w:bookmarkEnd w:id="475"/>
      <w:bookmarkEnd w:id="476"/>
      <w:bookmarkEnd w:id="477"/>
    </w:p>
    <w:p>
      <w:pPr>
        <w:pageBreakBefore w:val="0"/>
        <w:kinsoku/>
        <w:bidi w:val="0"/>
        <w:spacing w:line="360" w:lineRule="auto"/>
        <w:jc w:val="right"/>
        <w:rPr>
          <w:rFonts w:hint="eastAsia" w:ascii="宋体" w:hAnsi="宋体" w:eastAsia="宋体" w:cs="宋体"/>
          <w:b/>
          <w:sz w:val="44"/>
          <w:szCs w:val="44"/>
        </w:rPr>
      </w:pPr>
      <w:bookmarkStart w:id="478" w:name="_Toc11974"/>
      <w:bookmarkStart w:id="479" w:name="_Toc420513710"/>
      <w:bookmarkStart w:id="480" w:name="_Toc421695643"/>
      <w:bookmarkStart w:id="481" w:name="_Toc420513689"/>
      <w:bookmarkStart w:id="482" w:name="_Toc2280"/>
      <w:bookmarkStart w:id="483" w:name="_Toc420513737"/>
      <w:r>
        <w:rPr>
          <w:rFonts w:hint="eastAsia" w:ascii="宋体" w:hAnsi="宋体" w:eastAsia="宋体" w:cs="宋体"/>
          <w:b/>
          <w:bCs/>
          <w:sz w:val="28"/>
        </w:rPr>
        <w:t>正本/副本</w:t>
      </w:r>
    </w:p>
    <w:p>
      <w:pPr>
        <w:pageBreakBefore w:val="0"/>
        <w:kinsoku/>
        <w:bidi w:val="0"/>
        <w:spacing w:line="360" w:lineRule="auto"/>
        <w:jc w:val="center"/>
        <w:rPr>
          <w:rFonts w:hint="eastAsia" w:ascii="宋体" w:hAnsi="宋体" w:eastAsia="宋体" w:cs="宋体"/>
          <w:b/>
          <w:sz w:val="44"/>
          <w:szCs w:val="44"/>
        </w:rPr>
      </w:pPr>
    </w:p>
    <w:p>
      <w:pPr>
        <w:pageBreakBefore w:val="0"/>
        <w:kinsoku/>
        <w:bidi w:val="0"/>
        <w:spacing w:line="360" w:lineRule="auto"/>
        <w:jc w:val="center"/>
        <w:rPr>
          <w:rFonts w:hint="eastAsia" w:ascii="宋体" w:hAnsi="宋体" w:eastAsia="宋体" w:cs="宋体"/>
          <w:b/>
          <w:sz w:val="44"/>
          <w:szCs w:val="44"/>
        </w:rPr>
      </w:pPr>
    </w:p>
    <w:p>
      <w:pPr>
        <w:pageBreakBefore w:val="0"/>
        <w:kinsoku/>
        <w:bidi w:val="0"/>
        <w:spacing w:line="36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（项目名称）</w:t>
      </w:r>
    </w:p>
    <w:p>
      <w:pPr>
        <w:pageBreakBefore w:val="0"/>
        <w:kinsoku/>
        <w:bidi w:val="0"/>
        <w:spacing w:line="360" w:lineRule="auto"/>
        <w:jc w:val="center"/>
        <w:rPr>
          <w:rFonts w:hint="eastAsia" w:ascii="宋体" w:hAnsi="宋体" w:eastAsia="宋体" w:cs="宋体"/>
          <w:sz w:val="32"/>
        </w:rPr>
      </w:pPr>
    </w:p>
    <w:p>
      <w:pPr>
        <w:pageBreakBefore w:val="0"/>
        <w:kinsoku/>
        <w:bidi w:val="0"/>
        <w:spacing w:line="360" w:lineRule="auto"/>
        <w:ind w:firstLine="537" w:firstLineChars="192"/>
        <w:rPr>
          <w:rFonts w:hint="eastAsia" w:ascii="宋体" w:hAnsi="宋体" w:eastAsia="宋体" w:cs="宋体"/>
          <w:sz w:val="28"/>
          <w:szCs w:val="28"/>
        </w:rPr>
      </w:pPr>
    </w:p>
    <w:p>
      <w:pPr>
        <w:pStyle w:val="43"/>
        <w:pageBreakBefore w:val="0"/>
        <w:kinsoku/>
        <w:bidi w:val="0"/>
        <w:spacing w:after="0" w:line="360" w:lineRule="auto"/>
        <w:ind w:left="0" w:leftChars="0" w:firstLine="0" w:firstLineChars="0"/>
        <w:jc w:val="center"/>
        <w:rPr>
          <w:rFonts w:hint="eastAsia" w:ascii="宋体" w:hAnsi="宋体" w:eastAsia="宋体" w:cs="宋体"/>
          <w:b/>
          <w:bCs/>
          <w:sz w:val="52"/>
          <w:szCs w:val="52"/>
        </w:rPr>
      </w:pPr>
      <w:r>
        <w:rPr>
          <w:rFonts w:hint="eastAsia" w:ascii="宋体" w:hAnsi="宋体" w:eastAsia="宋体" w:cs="宋体"/>
          <w:sz w:val="84"/>
          <w:szCs w:val="84"/>
        </w:rPr>
        <w:t>响应文件</w:t>
      </w:r>
    </w:p>
    <w:p>
      <w:pPr>
        <w:pageBreakBefore w:val="0"/>
        <w:kinsoku/>
        <w:bidi w:val="0"/>
        <w:spacing w:line="360" w:lineRule="auto"/>
        <w:ind w:firstLine="3000" w:firstLineChars="1000"/>
        <w:rPr>
          <w:rFonts w:hint="eastAsia" w:ascii="宋体" w:hAnsi="宋体" w:eastAsia="宋体" w:cs="宋体"/>
          <w:sz w:val="30"/>
          <w:szCs w:val="30"/>
          <w:lang w:eastAsia="zh-CN"/>
        </w:rPr>
      </w:pPr>
      <w:r>
        <w:rPr>
          <w:rFonts w:hint="eastAsia" w:ascii="宋体" w:hAnsi="宋体" w:eastAsia="宋体" w:cs="宋体"/>
          <w:sz w:val="30"/>
          <w:szCs w:val="30"/>
          <w:lang w:eastAsia="zh-CN"/>
        </w:rPr>
        <w:t>采购编号：</w:t>
      </w:r>
    </w:p>
    <w:p>
      <w:pPr>
        <w:pageBreakBefore w:val="0"/>
        <w:kinsoku/>
        <w:bidi w:val="0"/>
        <w:spacing w:line="360" w:lineRule="auto"/>
        <w:ind w:firstLine="3000" w:firstLineChars="1000"/>
        <w:rPr>
          <w:rFonts w:hint="eastAsia" w:ascii="宋体" w:hAnsi="宋体" w:eastAsia="宋体" w:cs="宋体"/>
          <w:sz w:val="30"/>
          <w:szCs w:val="30"/>
        </w:rPr>
      </w:pPr>
      <w:r>
        <w:rPr>
          <w:rFonts w:hint="eastAsia" w:ascii="宋体" w:hAnsi="宋体" w:eastAsia="宋体" w:cs="宋体"/>
          <w:sz w:val="30"/>
          <w:szCs w:val="30"/>
        </w:rPr>
        <w:t>交易编号：</w:t>
      </w:r>
    </w:p>
    <w:p>
      <w:pPr>
        <w:pageBreakBefore w:val="0"/>
        <w:kinsoku/>
        <w:bidi w:val="0"/>
        <w:spacing w:line="360" w:lineRule="auto"/>
        <w:ind w:firstLine="537" w:firstLineChars="192"/>
        <w:rPr>
          <w:rFonts w:hint="eastAsia" w:ascii="宋体" w:hAnsi="宋体" w:eastAsia="宋体" w:cs="宋体"/>
          <w:sz w:val="28"/>
          <w:szCs w:val="28"/>
        </w:rPr>
      </w:pPr>
    </w:p>
    <w:p>
      <w:pPr>
        <w:pageBreakBefore w:val="0"/>
        <w:kinsoku/>
        <w:bidi w:val="0"/>
        <w:spacing w:line="360" w:lineRule="auto"/>
        <w:ind w:firstLine="537" w:firstLineChars="192"/>
        <w:rPr>
          <w:rFonts w:hint="eastAsia" w:ascii="宋体" w:hAnsi="宋体" w:eastAsia="宋体" w:cs="宋体"/>
          <w:sz w:val="28"/>
        </w:rPr>
      </w:pPr>
    </w:p>
    <w:p>
      <w:pPr>
        <w:pageBreakBefore w:val="0"/>
        <w:kinsoku/>
        <w:bidi w:val="0"/>
        <w:spacing w:line="360" w:lineRule="auto"/>
        <w:ind w:firstLine="537" w:firstLineChars="192"/>
        <w:rPr>
          <w:rFonts w:hint="eastAsia" w:ascii="宋体" w:hAnsi="宋体" w:eastAsia="宋体" w:cs="宋体"/>
          <w:sz w:val="28"/>
        </w:rPr>
      </w:pPr>
    </w:p>
    <w:p>
      <w:pPr>
        <w:pageBreakBefore w:val="0"/>
        <w:kinsoku/>
        <w:bidi w:val="0"/>
        <w:spacing w:line="360" w:lineRule="auto"/>
        <w:rPr>
          <w:rFonts w:hint="eastAsia" w:ascii="宋体" w:hAnsi="宋体" w:eastAsia="宋体" w:cs="宋体"/>
          <w:sz w:val="32"/>
        </w:rPr>
      </w:pPr>
    </w:p>
    <w:p>
      <w:pPr>
        <w:pageBreakBefore w:val="0"/>
        <w:kinsoku/>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供应商：（盖单位公章）</w:t>
      </w:r>
    </w:p>
    <w:p>
      <w:pPr>
        <w:pageBreakBefore w:val="0"/>
        <w:kinsoku/>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p>
    <w:p>
      <w:pPr>
        <w:pStyle w:val="23"/>
        <w:pageBreakBefore w:val="0"/>
        <w:kinsoku/>
        <w:bidi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磋商日期：  年   月   日</w:t>
      </w:r>
    </w:p>
    <w:p>
      <w:pPr>
        <w:pageBreakBefore w:val="0"/>
        <w:kinsoku/>
        <w:bidi w:val="0"/>
        <w:spacing w:line="360" w:lineRule="auto"/>
        <w:rPr>
          <w:rFonts w:hint="eastAsia" w:ascii="宋体" w:hAnsi="宋体" w:eastAsia="宋体" w:cs="宋体"/>
          <w:sz w:val="28"/>
          <w:szCs w:val="28"/>
        </w:rPr>
      </w:pPr>
      <w:r>
        <w:rPr>
          <w:rFonts w:hint="eastAsia" w:ascii="宋体" w:hAnsi="宋体" w:eastAsia="宋体" w:cs="宋体"/>
          <w:sz w:val="28"/>
          <w:szCs w:val="28"/>
        </w:rPr>
        <w:br w:type="page"/>
      </w:r>
      <w:bookmarkEnd w:id="478"/>
    </w:p>
    <w:p>
      <w:pPr>
        <w:pageBreakBefore w:val="0"/>
        <w:widowControl/>
        <w:numPr>
          <w:ilvl w:val="0"/>
          <w:numId w:val="4"/>
        </w:numPr>
        <w:kinsoku/>
        <w:bidi w:val="0"/>
        <w:spacing w:line="360" w:lineRule="auto"/>
        <w:jc w:val="center"/>
        <w:outlineLvl w:val="1"/>
        <w:rPr>
          <w:rFonts w:hint="eastAsia" w:ascii="宋体" w:hAnsi="宋体" w:eastAsia="宋体" w:cs="宋体"/>
          <w:b/>
          <w:bCs/>
          <w:kern w:val="0"/>
          <w:sz w:val="24"/>
          <w:szCs w:val="24"/>
        </w:rPr>
      </w:pPr>
      <w:bookmarkStart w:id="484" w:name="_Toc30148"/>
      <w:bookmarkStart w:id="485" w:name="_Toc22625"/>
      <w:bookmarkStart w:id="486" w:name="_Toc20132"/>
      <w:bookmarkStart w:id="487" w:name="_Toc49166054"/>
      <w:bookmarkStart w:id="488" w:name="_Toc11075"/>
      <w:bookmarkStart w:id="489" w:name="_Toc48809207"/>
      <w:bookmarkStart w:id="490" w:name="_Toc48808923"/>
      <w:r>
        <w:rPr>
          <w:rFonts w:hint="eastAsia" w:ascii="宋体" w:hAnsi="宋体" w:eastAsia="宋体" w:cs="宋体"/>
          <w:b/>
          <w:bCs/>
          <w:kern w:val="0"/>
          <w:sz w:val="24"/>
          <w:szCs w:val="24"/>
        </w:rPr>
        <w:t>磋商函</w:t>
      </w:r>
      <w:bookmarkEnd w:id="484"/>
      <w:bookmarkEnd w:id="485"/>
      <w:r>
        <w:rPr>
          <w:rFonts w:hint="eastAsia" w:ascii="宋体" w:hAnsi="宋体" w:eastAsia="宋体" w:cs="宋体"/>
          <w:b/>
          <w:bCs/>
          <w:kern w:val="0"/>
          <w:sz w:val="24"/>
          <w:szCs w:val="24"/>
        </w:rPr>
        <w:t>及磋商报表价</w:t>
      </w:r>
      <w:bookmarkEnd w:id="486"/>
      <w:bookmarkEnd w:id="487"/>
      <w:bookmarkEnd w:id="488"/>
      <w:bookmarkEnd w:id="489"/>
      <w:bookmarkEnd w:id="490"/>
    </w:p>
    <w:p>
      <w:pPr>
        <w:pStyle w:val="56"/>
        <w:pageBreakBefore w:val="0"/>
        <w:kinsoku/>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（一）磋商函</w:t>
      </w:r>
    </w:p>
    <w:p>
      <w:pPr>
        <w:pStyle w:val="23"/>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（采购人名称）</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在考察现场并充分研究</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（项目名称）（以下简称“本项目”）</w:t>
      </w:r>
      <w:r>
        <w:rPr>
          <w:rFonts w:hint="eastAsia" w:ascii="宋体" w:hAnsi="宋体" w:eastAsia="宋体" w:cs="宋体"/>
          <w:sz w:val="24"/>
          <w:szCs w:val="24"/>
          <w:lang w:eastAsia="zh-CN"/>
        </w:rPr>
        <w:t>磋商</w:t>
      </w:r>
      <w:r>
        <w:rPr>
          <w:rFonts w:hint="eastAsia" w:ascii="宋体" w:hAnsi="宋体" w:eastAsia="宋体" w:cs="宋体"/>
          <w:sz w:val="24"/>
          <w:szCs w:val="24"/>
        </w:rPr>
        <w:t>文件的全部内容后，我方兹以：人民币（大写）：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元的</w:t>
      </w:r>
      <w:r>
        <w:rPr>
          <w:rFonts w:hint="eastAsia" w:ascii="宋体" w:hAnsi="宋体" w:eastAsia="宋体" w:cs="宋体"/>
          <w:sz w:val="24"/>
          <w:szCs w:val="24"/>
          <w:lang w:eastAsia="zh-CN"/>
        </w:rPr>
        <w:t>磋商</w:t>
      </w:r>
      <w:r>
        <w:rPr>
          <w:rFonts w:hint="eastAsia" w:ascii="宋体" w:hAnsi="宋体" w:eastAsia="宋体" w:cs="宋体"/>
          <w:sz w:val="24"/>
          <w:szCs w:val="24"/>
        </w:rPr>
        <w:t>总报价，并严格按照合同约定，完成本项目并维修其中的任何缺陷。</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如果我方成交，我方保证按照合同约定的</w:t>
      </w:r>
      <w:r>
        <w:rPr>
          <w:rFonts w:hint="eastAsia" w:ascii="宋体" w:hAnsi="宋体" w:eastAsia="宋体" w:cs="宋体"/>
          <w:sz w:val="24"/>
          <w:szCs w:val="24"/>
          <w:lang w:eastAsia="zh-CN"/>
        </w:rPr>
        <w:t>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天（日历天）内完成，并确保质量达到合格。我方同意本</w:t>
      </w:r>
      <w:r>
        <w:rPr>
          <w:rFonts w:hint="eastAsia" w:ascii="宋体" w:hAnsi="宋体" w:eastAsia="宋体" w:cs="宋体"/>
          <w:sz w:val="24"/>
          <w:szCs w:val="24"/>
          <w:lang w:eastAsia="zh-CN"/>
        </w:rPr>
        <w:t>磋商</w:t>
      </w:r>
      <w:r>
        <w:rPr>
          <w:rFonts w:hint="eastAsia" w:ascii="宋体" w:hAnsi="宋体" w:eastAsia="宋体" w:cs="宋体"/>
          <w:sz w:val="24"/>
          <w:szCs w:val="24"/>
        </w:rPr>
        <w:t>函在</w:t>
      </w:r>
      <w:r>
        <w:rPr>
          <w:rFonts w:hint="eastAsia" w:ascii="宋体" w:hAnsi="宋体" w:eastAsia="宋体" w:cs="宋体"/>
          <w:sz w:val="24"/>
          <w:szCs w:val="24"/>
          <w:lang w:eastAsia="zh-CN"/>
        </w:rPr>
        <w:t>磋商</w:t>
      </w:r>
      <w:r>
        <w:rPr>
          <w:rFonts w:hint="eastAsia" w:ascii="宋体" w:hAnsi="宋体" w:eastAsia="宋体" w:cs="宋体"/>
          <w:sz w:val="24"/>
          <w:szCs w:val="24"/>
        </w:rPr>
        <w:t>文件规定的提交响应文件截止时间后，在</w:t>
      </w:r>
      <w:r>
        <w:rPr>
          <w:rFonts w:hint="eastAsia" w:ascii="宋体" w:hAnsi="宋体" w:eastAsia="宋体" w:cs="宋体"/>
          <w:sz w:val="24"/>
          <w:szCs w:val="24"/>
          <w:lang w:eastAsia="zh-CN"/>
        </w:rPr>
        <w:t>磋商</w:t>
      </w:r>
      <w:r>
        <w:rPr>
          <w:rFonts w:hint="eastAsia" w:ascii="宋体" w:hAnsi="宋体" w:eastAsia="宋体" w:cs="宋体"/>
          <w:sz w:val="24"/>
          <w:szCs w:val="24"/>
        </w:rPr>
        <w:t>文件规定的</w:t>
      </w:r>
      <w:r>
        <w:rPr>
          <w:rFonts w:hint="eastAsia" w:ascii="宋体" w:hAnsi="宋体" w:eastAsia="宋体" w:cs="宋体"/>
          <w:sz w:val="24"/>
          <w:szCs w:val="24"/>
          <w:lang w:eastAsia="zh-CN"/>
        </w:rPr>
        <w:t>磋商</w:t>
      </w:r>
      <w:r>
        <w:rPr>
          <w:rFonts w:hint="eastAsia" w:ascii="宋体" w:hAnsi="宋体" w:eastAsia="宋体" w:cs="宋体"/>
          <w:sz w:val="24"/>
          <w:szCs w:val="24"/>
        </w:rPr>
        <w:t>有效期（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日历天）前对我方具有约束力，且随时准备接受你方发出的成交通知书。</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随本</w:t>
      </w:r>
      <w:r>
        <w:rPr>
          <w:rFonts w:hint="eastAsia" w:ascii="宋体" w:hAnsi="宋体" w:eastAsia="宋体" w:cs="宋体"/>
          <w:sz w:val="24"/>
          <w:szCs w:val="24"/>
          <w:lang w:eastAsia="zh-CN"/>
        </w:rPr>
        <w:t>磋商</w:t>
      </w:r>
      <w:r>
        <w:rPr>
          <w:rFonts w:hint="eastAsia" w:ascii="宋体" w:hAnsi="宋体" w:eastAsia="宋体" w:cs="宋体"/>
          <w:sz w:val="24"/>
          <w:szCs w:val="24"/>
        </w:rPr>
        <w:t>函递交的</w:t>
      </w:r>
      <w:r>
        <w:rPr>
          <w:rFonts w:hint="eastAsia" w:ascii="宋体" w:hAnsi="宋体" w:eastAsia="宋体" w:cs="宋体"/>
          <w:sz w:val="24"/>
          <w:szCs w:val="24"/>
          <w:lang w:eastAsia="zh-CN"/>
        </w:rPr>
        <w:t>磋商</w:t>
      </w:r>
      <w:r>
        <w:rPr>
          <w:rFonts w:hint="eastAsia" w:ascii="宋体" w:hAnsi="宋体" w:eastAsia="宋体" w:cs="宋体"/>
          <w:sz w:val="24"/>
          <w:szCs w:val="24"/>
        </w:rPr>
        <w:t>报价表是本</w:t>
      </w:r>
      <w:r>
        <w:rPr>
          <w:rFonts w:hint="eastAsia" w:ascii="宋体" w:hAnsi="宋体" w:eastAsia="宋体" w:cs="宋体"/>
          <w:sz w:val="24"/>
          <w:szCs w:val="24"/>
          <w:lang w:eastAsia="zh-CN"/>
        </w:rPr>
        <w:t>磋商</w:t>
      </w:r>
      <w:r>
        <w:rPr>
          <w:rFonts w:hint="eastAsia" w:ascii="宋体" w:hAnsi="宋体" w:eastAsia="宋体" w:cs="宋体"/>
          <w:sz w:val="24"/>
          <w:szCs w:val="24"/>
        </w:rPr>
        <w:t>函的组成部分，对我方构成约束力。</w:t>
      </w:r>
    </w:p>
    <w:p>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在签署协议书之前，你方的成交通知书连同本</w:t>
      </w:r>
      <w:r>
        <w:rPr>
          <w:rFonts w:hint="eastAsia" w:ascii="宋体" w:hAnsi="宋体" w:eastAsia="宋体" w:cs="宋体"/>
          <w:sz w:val="24"/>
          <w:szCs w:val="24"/>
          <w:lang w:eastAsia="zh-CN"/>
        </w:rPr>
        <w:t>磋商</w:t>
      </w:r>
      <w:r>
        <w:rPr>
          <w:rFonts w:hint="eastAsia" w:ascii="宋体" w:hAnsi="宋体" w:eastAsia="宋体" w:cs="宋体"/>
          <w:sz w:val="24"/>
          <w:szCs w:val="24"/>
        </w:rPr>
        <w:t>函，包括</w:t>
      </w:r>
      <w:r>
        <w:rPr>
          <w:rFonts w:hint="eastAsia" w:ascii="宋体" w:hAnsi="宋体" w:eastAsia="宋体" w:cs="宋体"/>
          <w:sz w:val="24"/>
          <w:szCs w:val="24"/>
          <w:lang w:eastAsia="zh-CN"/>
        </w:rPr>
        <w:t>磋商</w:t>
      </w:r>
      <w:r>
        <w:rPr>
          <w:rFonts w:hint="eastAsia" w:ascii="宋体" w:hAnsi="宋体" w:eastAsia="宋体" w:cs="宋体"/>
          <w:sz w:val="24"/>
          <w:szCs w:val="24"/>
        </w:rPr>
        <w:t>报价表，对双方具有约束力。</w:t>
      </w:r>
    </w:p>
    <w:p>
      <w:pPr>
        <w:pStyle w:val="23"/>
        <w:pageBreakBefore w:val="0"/>
        <w:kinsoku/>
        <w:bidi w:val="0"/>
        <w:spacing w:line="360" w:lineRule="auto"/>
        <w:jc w:val="center"/>
        <w:rPr>
          <w:rFonts w:hint="eastAsia" w:ascii="宋体" w:hAnsi="宋体" w:eastAsia="宋体" w:cs="宋体"/>
          <w:sz w:val="24"/>
          <w:szCs w:val="24"/>
        </w:rPr>
      </w:pPr>
    </w:p>
    <w:p>
      <w:pPr>
        <w:pStyle w:val="23"/>
        <w:pageBreakBefore w:val="0"/>
        <w:kinsoku/>
        <w:bidi w:val="0"/>
        <w:spacing w:line="360" w:lineRule="auto"/>
        <w:jc w:val="center"/>
        <w:rPr>
          <w:rFonts w:hint="eastAsia" w:ascii="宋体" w:hAnsi="宋体" w:eastAsia="宋体" w:cs="宋体"/>
          <w:sz w:val="24"/>
          <w:szCs w:val="24"/>
        </w:rPr>
      </w:pPr>
    </w:p>
    <w:p>
      <w:pPr>
        <w:pStyle w:val="23"/>
        <w:pageBreakBefore w:val="0"/>
        <w:kinsoku/>
        <w:bidi w:val="0"/>
        <w:spacing w:line="360" w:lineRule="auto"/>
        <w:jc w:val="center"/>
        <w:rPr>
          <w:rFonts w:hint="eastAsia" w:ascii="宋体" w:hAnsi="宋体" w:eastAsia="宋体" w:cs="宋体"/>
          <w:sz w:val="24"/>
          <w:szCs w:val="24"/>
        </w:rPr>
      </w:pPr>
    </w:p>
    <w:p>
      <w:pPr>
        <w:pStyle w:val="23"/>
        <w:pageBreakBefore w:val="0"/>
        <w:kinsoku/>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供应商：（盖单位公章）</w:t>
      </w:r>
    </w:p>
    <w:p>
      <w:pPr>
        <w:pStyle w:val="23"/>
        <w:pageBreakBefore w:val="0"/>
        <w:kinsoku/>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法定代表人或其委托代理人：（签字或盖章）</w:t>
      </w:r>
    </w:p>
    <w:p>
      <w:pPr>
        <w:pageBreakBefore w:val="0"/>
        <w:kinsoku/>
        <w:bidi w:val="0"/>
        <w:spacing w:line="360" w:lineRule="auto"/>
        <w:ind w:firstLine="3720" w:firstLineChars="1550"/>
        <w:rPr>
          <w:rFonts w:hint="eastAsia" w:ascii="宋体" w:hAnsi="宋体" w:eastAsia="宋体" w:cs="宋体"/>
          <w:sz w:val="24"/>
          <w:szCs w:val="24"/>
        </w:rPr>
      </w:pPr>
      <w:r>
        <w:rPr>
          <w:rFonts w:hint="eastAsia" w:ascii="宋体" w:hAnsi="宋体" w:eastAsia="宋体" w:cs="宋体"/>
          <w:sz w:val="24"/>
          <w:szCs w:val="24"/>
        </w:rPr>
        <w:t>年      月      日</w:t>
      </w:r>
    </w:p>
    <w:p>
      <w:pPr>
        <w:pageBreakBefore w:val="0"/>
        <w:kinsoku/>
        <w:bidi w:val="0"/>
        <w:spacing w:line="360" w:lineRule="auto"/>
        <w:rPr>
          <w:rFonts w:hint="eastAsia" w:ascii="宋体" w:hAnsi="宋体" w:eastAsia="宋体" w:cs="宋体"/>
          <w:szCs w:val="21"/>
        </w:rPr>
      </w:pPr>
      <w:r>
        <w:rPr>
          <w:rFonts w:hint="eastAsia" w:ascii="宋体" w:hAnsi="宋体" w:eastAsia="宋体" w:cs="宋体"/>
          <w:szCs w:val="21"/>
        </w:rPr>
        <w:br w:type="page"/>
      </w:r>
    </w:p>
    <w:p>
      <w:pPr>
        <w:pageBreakBefore w:val="0"/>
        <w:kinsoku/>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（二）磋商报价表（一次）</w:t>
      </w:r>
    </w:p>
    <w:p>
      <w:pPr>
        <w:pageBreakBefore w:val="0"/>
        <w:kinsoku/>
        <w:bidi w:val="0"/>
        <w:spacing w:line="360" w:lineRule="auto"/>
        <w:jc w:val="right"/>
        <w:rPr>
          <w:rFonts w:hint="eastAsia" w:ascii="宋体" w:hAnsi="宋体" w:eastAsia="宋体" w:cs="宋体"/>
          <w:sz w:val="24"/>
          <w:szCs w:val="24"/>
        </w:rPr>
      </w:pPr>
    </w:p>
    <w:tbl>
      <w:tblPr>
        <w:tblStyle w:val="44"/>
        <w:tblW w:w="9479"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593"/>
        <w:gridCol w:w="1014"/>
        <w:gridCol w:w="1738"/>
        <w:gridCol w:w="1450"/>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646"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646"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注册证号</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项目经理是否有在建项目变更</w:t>
            </w:r>
          </w:p>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（填“是”或“否”）</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范围</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总报价（元）</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p>
            <w:pPr>
              <w:pageBreakBefore w:val="0"/>
              <w:kinsoku/>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工期</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需要说明的问题</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bl>
    <w:p>
      <w:pPr>
        <w:pStyle w:val="56"/>
        <w:pageBreakBefore w:val="0"/>
        <w:kinsoku/>
        <w:bidi w:val="0"/>
        <w:spacing w:line="360" w:lineRule="auto"/>
        <w:rPr>
          <w:rFonts w:hint="eastAsia" w:ascii="宋体" w:hAnsi="宋体" w:eastAsia="宋体" w:cs="宋体"/>
          <w:sz w:val="24"/>
          <w:szCs w:val="24"/>
        </w:rPr>
      </w:pPr>
    </w:p>
    <w:p>
      <w:pPr>
        <w:pStyle w:val="57"/>
        <w:pageBreakBefore w:val="0"/>
        <w:kinsoku/>
        <w:bidi w:val="0"/>
        <w:spacing w:line="360" w:lineRule="auto"/>
        <w:rPr>
          <w:rFonts w:hint="eastAsia" w:ascii="宋体" w:hAnsi="宋体" w:eastAsia="宋体" w:cs="宋体"/>
          <w:sz w:val="24"/>
          <w:szCs w:val="24"/>
        </w:rPr>
      </w:pPr>
    </w:p>
    <w:p>
      <w:pPr>
        <w:pStyle w:val="23"/>
        <w:pageBreakBefore w:val="0"/>
        <w:kinsoku/>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供应商：（盖单位公章）</w:t>
      </w:r>
    </w:p>
    <w:p>
      <w:pPr>
        <w:pStyle w:val="23"/>
        <w:pageBreakBefore w:val="0"/>
        <w:kinsoku/>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法定代表人或其委托代理人：（签字或盖章）</w:t>
      </w:r>
    </w:p>
    <w:p>
      <w:pPr>
        <w:pageBreakBefore w:val="0"/>
        <w:kinsoku/>
        <w:bidi w:val="0"/>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年    月     日</w:t>
      </w:r>
      <w:bookmarkEnd w:id="479"/>
      <w:bookmarkEnd w:id="480"/>
      <w:bookmarkEnd w:id="481"/>
      <w:bookmarkEnd w:id="482"/>
      <w:bookmarkEnd w:id="483"/>
      <w:bookmarkStart w:id="491" w:name="_Toc373230035"/>
      <w:bookmarkStart w:id="492" w:name="_Toc26310"/>
      <w:bookmarkStart w:id="493" w:name="_Toc408816353"/>
      <w:bookmarkStart w:id="494" w:name="_Toc374512423"/>
    </w:p>
    <w:p>
      <w:pPr>
        <w:pageBreakBefore w:val="0"/>
        <w:kinsoku/>
        <w:bidi w:val="0"/>
        <w:spacing w:line="360" w:lineRule="auto"/>
        <w:rPr>
          <w:rFonts w:hint="eastAsia" w:ascii="宋体" w:hAnsi="宋体" w:eastAsia="宋体" w:cs="宋体"/>
          <w:szCs w:val="21"/>
        </w:rPr>
      </w:pPr>
      <w:r>
        <w:rPr>
          <w:rFonts w:hint="eastAsia" w:ascii="宋体" w:hAnsi="宋体" w:eastAsia="宋体" w:cs="宋体"/>
          <w:szCs w:val="21"/>
        </w:rPr>
        <w:br w:type="page"/>
      </w:r>
    </w:p>
    <w:p>
      <w:pPr>
        <w:pageBreakBefore w:val="0"/>
        <w:widowControl/>
        <w:kinsoku/>
        <w:bidi w:val="0"/>
        <w:spacing w:line="360" w:lineRule="auto"/>
        <w:jc w:val="center"/>
        <w:outlineLvl w:val="1"/>
        <w:rPr>
          <w:rFonts w:hint="eastAsia" w:ascii="宋体" w:hAnsi="宋体" w:eastAsia="宋体" w:cs="宋体"/>
          <w:b/>
          <w:bCs/>
          <w:kern w:val="0"/>
          <w:sz w:val="24"/>
          <w:szCs w:val="24"/>
        </w:rPr>
      </w:pPr>
      <w:bookmarkStart w:id="495" w:name="_Toc2272"/>
      <w:bookmarkStart w:id="496" w:name="_Toc48809208"/>
      <w:bookmarkStart w:id="497" w:name="_Toc3841"/>
      <w:bookmarkStart w:id="498" w:name="_Toc16249"/>
      <w:bookmarkStart w:id="499" w:name="_Toc9046"/>
      <w:bookmarkStart w:id="500" w:name="_Toc49166055"/>
      <w:bookmarkStart w:id="501" w:name="_Toc48808924"/>
      <w:bookmarkStart w:id="502" w:name="_Toc179715757"/>
      <w:bookmarkStart w:id="503" w:name="_Toc144974468"/>
      <w:bookmarkStart w:id="504" w:name="_Toc152047264"/>
      <w:r>
        <w:rPr>
          <w:rFonts w:hint="eastAsia" w:ascii="宋体" w:hAnsi="宋体" w:eastAsia="宋体" w:cs="宋体"/>
          <w:b/>
          <w:bCs/>
          <w:kern w:val="0"/>
          <w:sz w:val="24"/>
          <w:szCs w:val="24"/>
        </w:rPr>
        <w:t>二、法定代表人身份证明</w:t>
      </w:r>
      <w:bookmarkEnd w:id="495"/>
      <w:bookmarkEnd w:id="496"/>
      <w:bookmarkEnd w:id="497"/>
      <w:bookmarkEnd w:id="498"/>
      <w:bookmarkEnd w:id="499"/>
      <w:bookmarkEnd w:id="500"/>
      <w:bookmarkEnd w:id="501"/>
    </w:p>
    <w:p>
      <w:pPr>
        <w:pageBreakBefore w:val="0"/>
        <w:kinsoku/>
        <w:bidi w:val="0"/>
        <w:spacing w:line="360" w:lineRule="auto"/>
        <w:rPr>
          <w:rFonts w:hint="eastAsia" w:ascii="宋体" w:hAnsi="宋体" w:eastAsia="宋体" w:cs="宋体"/>
          <w:sz w:val="24"/>
          <w:szCs w:val="24"/>
        </w:rPr>
      </w:pPr>
    </w:p>
    <w:p>
      <w:pPr>
        <w:pStyle w:val="23"/>
        <w:pageBreakBefore w:val="0"/>
        <w:kinsoku/>
        <w:bidi w:val="0"/>
        <w:spacing w:line="360" w:lineRule="auto"/>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p>
    <w:p>
      <w:pPr>
        <w:pStyle w:val="23"/>
        <w:pageBreakBefore w:val="0"/>
        <w:kinsoku/>
        <w:bidi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23"/>
        <w:pageBreakBefore w:val="0"/>
        <w:kinsoku/>
        <w:bidi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pStyle w:val="23"/>
        <w:pageBreakBefore w:val="0"/>
        <w:kinsoku/>
        <w:bidi w:val="0"/>
        <w:spacing w:line="360" w:lineRule="auto"/>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年       月      日         </w:t>
      </w:r>
    </w:p>
    <w:p>
      <w:pPr>
        <w:pStyle w:val="23"/>
        <w:pageBreakBefore w:val="0"/>
        <w:kinsoku/>
        <w:bidi w:val="0"/>
        <w:spacing w:line="360" w:lineRule="auto"/>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pStyle w:val="23"/>
        <w:pageBreakBefore w:val="0"/>
        <w:kinsoku/>
        <w:bidi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p>
    <w:p>
      <w:pPr>
        <w:pStyle w:val="23"/>
        <w:pageBreakBefore w:val="0"/>
        <w:kinsoku/>
        <w:bidi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pPr>
        <w:pStyle w:val="23"/>
        <w:pageBreakBefore w:val="0"/>
        <w:kinsoku/>
        <w:bidi w:val="0"/>
        <w:spacing w:line="360" w:lineRule="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w:t>
      </w:r>
    </w:p>
    <w:p>
      <w:pPr>
        <w:pStyle w:val="23"/>
        <w:pageBreakBefore w:val="0"/>
        <w:kinsoku/>
        <w:bidi w:val="0"/>
        <w:spacing w:line="360" w:lineRule="auto"/>
        <w:rPr>
          <w:rFonts w:hint="eastAsia" w:ascii="宋体" w:hAnsi="宋体" w:eastAsia="宋体" w:cs="宋体"/>
          <w:sz w:val="24"/>
          <w:szCs w:val="24"/>
        </w:rPr>
      </w:pPr>
    </w:p>
    <w:p>
      <w:pPr>
        <w:pStyle w:val="23"/>
        <w:pageBreakBefore w:val="0"/>
        <w:kinsoku/>
        <w:bidi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特此证明。</w:t>
      </w:r>
    </w:p>
    <w:p>
      <w:pPr>
        <w:pStyle w:val="23"/>
        <w:pageBreakBefore w:val="0"/>
        <w:kinsoku/>
        <w:bidi w:val="0"/>
        <w:spacing w:line="360" w:lineRule="auto"/>
        <w:rPr>
          <w:rFonts w:hint="eastAsia" w:ascii="宋体" w:hAnsi="宋体" w:eastAsia="宋体" w:cs="宋体"/>
          <w:sz w:val="24"/>
          <w:szCs w:val="24"/>
        </w:rPr>
      </w:pPr>
    </w:p>
    <w:p>
      <w:pPr>
        <w:pStyle w:val="23"/>
        <w:pageBreakBefore w:val="0"/>
        <w:kinsoku/>
        <w:bidi w:val="0"/>
        <w:spacing w:line="360" w:lineRule="auto"/>
        <w:rPr>
          <w:rFonts w:hint="eastAsia" w:ascii="宋体" w:hAnsi="宋体" w:eastAsia="宋体" w:cs="宋体"/>
          <w:sz w:val="24"/>
          <w:szCs w:val="24"/>
        </w:rPr>
      </w:pPr>
    </w:p>
    <w:p>
      <w:pPr>
        <w:pStyle w:val="23"/>
        <w:pageBreakBefore w:val="0"/>
        <w:kinsoku/>
        <w:bidi w:val="0"/>
        <w:spacing w:line="360" w:lineRule="auto"/>
        <w:rPr>
          <w:rFonts w:hint="eastAsia" w:ascii="宋体" w:hAnsi="宋体" w:eastAsia="宋体" w:cs="宋体"/>
          <w:sz w:val="24"/>
          <w:szCs w:val="24"/>
        </w:rPr>
      </w:pPr>
    </w:p>
    <w:p>
      <w:pPr>
        <w:pStyle w:val="23"/>
        <w:pageBreakBefore w:val="0"/>
        <w:kinsoku/>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 盖单位公章）</w:t>
      </w:r>
    </w:p>
    <w:p>
      <w:pPr>
        <w:pStyle w:val="23"/>
        <w:pageBreakBefore w:val="0"/>
        <w:kinsoku/>
        <w:bidi w:val="0"/>
        <w:spacing w:line="360" w:lineRule="auto"/>
        <w:ind w:right="480" w:firstLine="7080" w:firstLineChars="2950"/>
        <w:rPr>
          <w:rFonts w:hint="eastAsia" w:ascii="宋体" w:hAnsi="宋体" w:eastAsia="宋体" w:cs="宋体"/>
          <w:sz w:val="24"/>
          <w:szCs w:val="24"/>
        </w:rPr>
      </w:pPr>
      <w:r>
        <w:rPr>
          <w:rFonts w:hint="eastAsia" w:ascii="宋体" w:hAnsi="宋体" w:eastAsia="宋体" w:cs="宋体"/>
          <w:sz w:val="24"/>
          <w:szCs w:val="24"/>
        </w:rPr>
        <w:t>年   月    日</w:t>
      </w:r>
    </w:p>
    <w:p>
      <w:pPr>
        <w:pageBreakBefore w:val="0"/>
        <w:kinsoku/>
        <w:bidi w:val="0"/>
        <w:spacing w:line="360" w:lineRule="auto"/>
        <w:rPr>
          <w:rFonts w:hint="eastAsia" w:ascii="宋体" w:hAnsi="宋体" w:eastAsia="宋体" w:cs="宋体"/>
          <w:sz w:val="24"/>
          <w:szCs w:val="24"/>
        </w:rPr>
      </w:pPr>
      <w:r>
        <w:rPr>
          <w:rFonts w:hint="eastAsia" w:ascii="宋体" w:hAnsi="宋体" w:eastAsia="宋体" w:cs="宋体"/>
          <w:sz w:val="24"/>
          <w:szCs w:val="24"/>
        </w:rPr>
        <w:br w:type="page"/>
      </w:r>
      <w:bookmarkEnd w:id="502"/>
      <w:bookmarkEnd w:id="503"/>
      <w:bookmarkEnd w:id="504"/>
    </w:p>
    <w:p>
      <w:pPr>
        <w:pageBreakBefore w:val="0"/>
        <w:widowControl/>
        <w:kinsoku/>
        <w:bidi w:val="0"/>
        <w:spacing w:line="360" w:lineRule="auto"/>
        <w:jc w:val="center"/>
        <w:outlineLvl w:val="1"/>
        <w:rPr>
          <w:rFonts w:hint="eastAsia" w:ascii="宋体" w:hAnsi="宋体" w:eastAsia="宋体" w:cs="宋体"/>
          <w:b/>
          <w:bCs/>
          <w:kern w:val="0"/>
          <w:sz w:val="24"/>
          <w:szCs w:val="24"/>
        </w:rPr>
      </w:pPr>
      <w:bookmarkStart w:id="505" w:name="_Toc28422"/>
      <w:bookmarkStart w:id="506" w:name="_Toc49166056"/>
      <w:bookmarkStart w:id="507" w:name="_Toc1833"/>
      <w:bookmarkStart w:id="508" w:name="_Toc48809209"/>
      <w:bookmarkStart w:id="509" w:name="_Toc48808925"/>
      <w:bookmarkStart w:id="510" w:name="_Toc420513711"/>
      <w:bookmarkStart w:id="511" w:name="_Toc420513738"/>
      <w:bookmarkStart w:id="512" w:name="_Toc421695644"/>
      <w:bookmarkStart w:id="513" w:name="_Toc13621"/>
      <w:bookmarkStart w:id="514" w:name="_Toc420513690"/>
      <w:r>
        <w:rPr>
          <w:rFonts w:hint="eastAsia" w:ascii="宋体" w:hAnsi="宋体" w:eastAsia="宋体" w:cs="宋体"/>
          <w:b/>
          <w:bCs/>
          <w:kern w:val="0"/>
          <w:sz w:val="24"/>
          <w:szCs w:val="24"/>
        </w:rPr>
        <w:t>三、授权委托书</w:t>
      </w:r>
      <w:bookmarkEnd w:id="505"/>
      <w:bookmarkEnd w:id="506"/>
      <w:bookmarkEnd w:id="507"/>
      <w:bookmarkEnd w:id="508"/>
      <w:bookmarkEnd w:id="509"/>
    </w:p>
    <w:p>
      <w:pPr>
        <w:pStyle w:val="56"/>
        <w:pageBreakBefore w:val="0"/>
        <w:kinsoku/>
        <w:bidi w:val="0"/>
        <w:spacing w:line="360" w:lineRule="auto"/>
        <w:rPr>
          <w:rFonts w:hint="eastAsia" w:ascii="宋体" w:hAnsi="宋体" w:eastAsia="宋体" w:cs="宋体"/>
        </w:rPr>
      </w:pP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 修改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（项目名称）响应文件、签订合同和处理有关事宜，其法律后果由我方承担。</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代理人无转委托权。 </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附：法定代表人身份证明及法定代表人委托代理人身份证明</w:t>
      </w:r>
    </w:p>
    <w:p>
      <w:pPr>
        <w:pageBreakBefore w:val="0"/>
        <w:kinsoku/>
        <w:bidi w:val="0"/>
        <w:spacing w:line="360" w:lineRule="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inline distT="0" distB="0" distL="114300" distR="114300">
                <wp:extent cx="5495925" cy="1442720"/>
                <wp:effectExtent l="4445" t="4445" r="5080" b="19685"/>
                <wp:docPr id="4" name="Rectangle 4"/>
                <wp:cNvGraphicFramePr/>
                <a:graphic xmlns:a="http://schemas.openxmlformats.org/drawingml/2006/main">
                  <a:graphicData uri="http://schemas.microsoft.com/office/word/2010/wordprocessingShape">
                    <wps:wsp>
                      <wps:cNvSpPr/>
                      <wps:spPr>
                        <a:xfrm>
                          <a:off x="785495" y="3459480"/>
                          <a:ext cx="5495925" cy="1442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2"/>
                              </w:rPr>
                            </w:pPr>
                            <w:r>
                              <w:rPr>
                                <w:rFonts w:hint="eastAsia" w:ascii="宋体" w:hAnsi="宋体" w:cs="宋体"/>
                                <w:sz w:val="22"/>
                              </w:rPr>
                              <w:t>法定代表人身份证明</w:t>
                            </w:r>
                          </w:p>
                        </w:txbxContent>
                      </wps:txbx>
                      <wps:bodyPr vert="horz" upright="1"/>
                    </wps:wsp>
                  </a:graphicData>
                </a:graphic>
              </wp:inline>
            </w:drawing>
          </mc:Choice>
          <mc:Fallback>
            <w:pict>
              <v:rect id="Rectangle 4" o:spid="_x0000_s1026" o:spt="1" style="height:113.6pt;width:432.75pt;" fillcolor="#FFFFFF" filled="t" stroked="t" coordsize="21600,21600" o:gfxdata="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bNte1QAAAAUBAAAPAAAAAAAAAAEA&#10;IAAAACIAAABkcnMvZG93bnJldi54bWxQSwECFAAUAAAACACHTuJAiu5eqRICAABSBAAADgAAAAAA&#10;AAABACAAAAAkAQAAZHJzL2Uyb0RvYy54bWxQSwUGAAAAAAYABgBZAQAAqAUAAAAA&#10;">
                <v:fill on="t" focussize="0,0"/>
                <v:stroke color="#000000" joinstyle="miter"/>
                <v:imagedata o:title=""/>
                <o:lock v:ext="edit" aspectratio="f"/>
                <v:textbox>
                  <w:txbxContent>
                    <w:p>
                      <w:pPr>
                        <w:rPr>
                          <w:sz w:val="22"/>
                        </w:rPr>
                      </w:pPr>
                      <w:r>
                        <w:rPr>
                          <w:rFonts w:hint="eastAsia" w:ascii="宋体" w:hAnsi="宋体" w:cs="宋体"/>
                          <w:sz w:val="22"/>
                        </w:rPr>
                        <w:t>法定代表人身份证明</w:t>
                      </w:r>
                    </w:p>
                  </w:txbxContent>
                </v:textbox>
                <w10:wrap type="none"/>
                <w10:anchorlock/>
              </v:rect>
            </w:pict>
          </mc:Fallback>
        </mc:AlternateContent>
      </w:r>
    </w:p>
    <w:p>
      <w:pPr>
        <w:pageBreakBefore w:val="0"/>
        <w:kinsoku/>
        <w:bidi w:val="0"/>
        <w:spacing w:line="360" w:lineRule="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66040</wp:posOffset>
                </wp:positionV>
                <wp:extent cx="5486400" cy="1380490"/>
                <wp:effectExtent l="4445" t="5080" r="14605" b="5080"/>
                <wp:wrapNone/>
                <wp:docPr id="2" name="Rectangle 5"/>
                <wp:cNvGraphicFramePr/>
                <a:graphic xmlns:a="http://schemas.openxmlformats.org/drawingml/2006/main">
                  <a:graphicData uri="http://schemas.microsoft.com/office/word/2010/wordprocessingShape">
                    <wps:wsp>
                      <wps:cNvSpPr/>
                      <wps:spPr>
                        <a:xfrm>
                          <a:off x="0" y="0"/>
                          <a:ext cx="5486400" cy="1380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szCs w:val="24"/>
                              </w:rPr>
                            </w:pPr>
                            <w:r>
                              <w:rPr>
                                <w:rFonts w:hint="eastAsia"/>
                                <w:sz w:val="24"/>
                                <w:szCs w:val="24"/>
                              </w:rPr>
                              <w:t>法定代表人委托代理人身份证明</w:t>
                            </w:r>
                          </w:p>
                        </w:txbxContent>
                      </wps:txbx>
                      <wps:bodyPr vert="horz" upright="1"/>
                    </wps:wsp>
                  </a:graphicData>
                </a:graphic>
              </wp:anchor>
            </w:drawing>
          </mc:Choice>
          <mc:Fallback>
            <w:pict>
              <v:rect id="Rectangle 5" o:spid="_x0000_s1026" o:spt="1" style="position:absolute;left:0pt;margin-left:0pt;margin-top:5.2pt;height:108.7pt;width:432pt;z-index:251661312;mso-width-relative:page;mso-height-relative:page;" fillcolor="#FFFFFF" filled="t" stroked="t" coordsize="21600,21600" o:gfxdata="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oebV/VAAAABwEAAA8AAAAAAAAAAQAgAAAAIgAAAGRy&#10;cy9kb3ducmV2LnhtbFBLAQIUABQAAAAIAIdO4kACPN5xCAIAAEcEAAAOAAAAAAAAAAEAIAAAACQB&#10;AABkcnMvZTJvRG9jLnhtbFBLBQYAAAAABgAGAFkBAACeBQAAAAA=&#10;">
                <v:fill on="t" focussize="0,0"/>
                <v:stroke color="#000000" joinstyle="miter"/>
                <v:imagedata o:title=""/>
                <o:lock v:ext="edit" aspectratio="f"/>
                <v:textbox>
                  <w:txbxContent>
                    <w:p>
                      <w:pPr>
                        <w:rPr>
                          <w:sz w:val="24"/>
                          <w:szCs w:val="24"/>
                        </w:rPr>
                      </w:pPr>
                      <w:r>
                        <w:rPr>
                          <w:rFonts w:hint="eastAsia"/>
                          <w:sz w:val="24"/>
                          <w:szCs w:val="24"/>
                        </w:rPr>
                        <w:t>法定代表人委托代理人身份证明</w:t>
                      </w:r>
                    </w:p>
                  </w:txbxContent>
                </v:textbox>
              </v:rect>
            </w:pict>
          </mc:Fallback>
        </mc:AlternateContent>
      </w:r>
    </w:p>
    <w:p>
      <w:pPr>
        <w:pageBreakBefore w:val="0"/>
        <w:kinsoku/>
        <w:bidi w:val="0"/>
        <w:spacing w:line="360" w:lineRule="auto"/>
        <w:rPr>
          <w:rFonts w:hint="eastAsia" w:ascii="宋体" w:hAnsi="宋体" w:eastAsia="宋体" w:cs="宋体"/>
          <w:sz w:val="24"/>
          <w:szCs w:val="24"/>
        </w:rPr>
      </w:pPr>
    </w:p>
    <w:p>
      <w:pPr>
        <w:pageBreakBefore w:val="0"/>
        <w:kinsoku/>
        <w:bidi w:val="0"/>
        <w:spacing w:line="360" w:lineRule="auto"/>
        <w:rPr>
          <w:rFonts w:hint="eastAsia" w:ascii="宋体" w:hAnsi="宋体" w:eastAsia="宋体" w:cs="宋体"/>
          <w:sz w:val="24"/>
          <w:szCs w:val="24"/>
        </w:rPr>
      </w:pPr>
    </w:p>
    <w:p>
      <w:pPr>
        <w:pageBreakBefore w:val="0"/>
        <w:kinsoku/>
        <w:bidi w:val="0"/>
        <w:spacing w:line="360" w:lineRule="auto"/>
        <w:rPr>
          <w:rFonts w:hint="eastAsia" w:ascii="宋体" w:hAnsi="宋体" w:eastAsia="宋体" w:cs="宋体"/>
          <w:sz w:val="24"/>
          <w:szCs w:val="24"/>
        </w:rPr>
      </w:pPr>
    </w:p>
    <w:p>
      <w:pPr>
        <w:pageBreakBefore w:val="0"/>
        <w:kinsoku/>
        <w:bidi w:val="0"/>
        <w:spacing w:line="360" w:lineRule="auto"/>
        <w:rPr>
          <w:rFonts w:hint="eastAsia" w:ascii="宋体" w:hAnsi="宋体" w:eastAsia="宋体" w:cs="宋体"/>
          <w:sz w:val="24"/>
          <w:szCs w:val="24"/>
        </w:rPr>
      </w:pP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（盖单位公章）  </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pPr>
        <w:pageBreakBefore w:val="0"/>
        <w:kinsoku/>
        <w:bidi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身份证号码：</w:t>
      </w:r>
      <w:r>
        <w:rPr>
          <w:rFonts w:hint="eastAsia" w:ascii="宋体" w:hAnsi="宋体" w:eastAsia="宋体" w:cs="宋体"/>
          <w:sz w:val="24"/>
          <w:szCs w:val="24"/>
          <w:u w:val="single"/>
          <w:lang w:val="en-US" w:eastAsia="zh-CN"/>
        </w:rPr>
        <w:t xml:space="preserve">                     </w:t>
      </w:r>
    </w:p>
    <w:p>
      <w:pPr>
        <w:pageBreakBefore w:val="0"/>
        <w:kinsoku/>
        <w:bidi w:val="0"/>
        <w:spacing w:line="360" w:lineRule="auto"/>
        <w:ind w:right="420" w:firstLine="6240" w:firstLineChars="2600"/>
        <w:rPr>
          <w:rFonts w:hint="eastAsia" w:ascii="宋体" w:hAnsi="宋体" w:eastAsia="宋体" w:cs="宋体"/>
          <w:sz w:val="24"/>
          <w:szCs w:val="24"/>
        </w:rPr>
      </w:pPr>
      <w:r>
        <w:rPr>
          <w:rFonts w:hint="eastAsia" w:ascii="宋体" w:hAnsi="宋体" w:eastAsia="宋体" w:cs="宋体"/>
          <w:sz w:val="24"/>
          <w:szCs w:val="24"/>
        </w:rPr>
        <w:t>年    月    日</w:t>
      </w:r>
    </w:p>
    <w:p>
      <w:pPr>
        <w:pageBreakBefore w:val="0"/>
        <w:kinsoku/>
        <w:bidi w:val="0"/>
        <w:spacing w:line="360" w:lineRule="auto"/>
        <w:rPr>
          <w:rFonts w:hint="eastAsia" w:ascii="宋体" w:hAnsi="宋体" w:eastAsia="宋体" w:cs="宋体"/>
          <w:sz w:val="24"/>
          <w:szCs w:val="24"/>
        </w:rPr>
      </w:pPr>
    </w:p>
    <w:p>
      <w:pPr>
        <w:pageBreakBefore w:val="0"/>
        <w:kinsoku/>
        <w:bidi w:val="0"/>
        <w:spacing w:line="360" w:lineRule="auto"/>
        <w:rPr>
          <w:rFonts w:hint="eastAsia" w:ascii="宋体" w:hAnsi="宋体" w:eastAsia="宋体" w:cs="宋体"/>
          <w:szCs w:val="21"/>
        </w:rPr>
      </w:pPr>
      <w:r>
        <w:rPr>
          <w:rFonts w:hint="eastAsia" w:ascii="宋体" w:hAnsi="宋体" w:eastAsia="宋体" w:cs="宋体"/>
          <w:szCs w:val="21"/>
        </w:rPr>
        <w:t>备注：</w:t>
      </w:r>
    </w:p>
    <w:p>
      <w:pPr>
        <w:pageBreakBefore w:val="0"/>
        <w:kinsoku/>
        <w:bidi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1、如果由供应商的法定代表人签署响应文件的，则不需提交授权委托书。</w:t>
      </w:r>
    </w:p>
    <w:p>
      <w:pPr>
        <w:pageBreakBefore w:val="0"/>
        <w:kinsoku/>
        <w:bidi w:val="0"/>
        <w:spacing w:line="360" w:lineRule="auto"/>
        <w:rPr>
          <w:rFonts w:hint="eastAsia" w:ascii="宋体" w:hAnsi="宋体" w:eastAsia="宋体" w:cs="宋体"/>
          <w:szCs w:val="21"/>
        </w:rPr>
      </w:pPr>
      <w:r>
        <w:rPr>
          <w:rFonts w:hint="eastAsia" w:ascii="宋体" w:hAnsi="宋体" w:eastAsia="宋体" w:cs="宋体"/>
          <w:szCs w:val="21"/>
        </w:rPr>
        <w:br w:type="page"/>
      </w:r>
    </w:p>
    <w:p>
      <w:pPr>
        <w:pageBreakBefore w:val="0"/>
        <w:kinsoku/>
        <w:bidi w:val="0"/>
        <w:spacing w:line="360" w:lineRule="auto"/>
        <w:jc w:val="center"/>
        <w:rPr>
          <w:rFonts w:hint="eastAsia" w:ascii="宋体" w:hAnsi="宋体" w:eastAsia="宋体" w:cs="宋体"/>
          <w:b/>
          <w:bCs/>
          <w:kern w:val="0"/>
          <w:sz w:val="24"/>
          <w:szCs w:val="24"/>
        </w:rPr>
      </w:pPr>
      <w:bookmarkStart w:id="515" w:name="_Toc20281"/>
      <w:bookmarkStart w:id="516" w:name="_Toc21344"/>
      <w:r>
        <w:rPr>
          <w:rFonts w:hint="eastAsia" w:ascii="宋体" w:hAnsi="宋体" w:eastAsia="宋体" w:cs="宋体"/>
          <w:b/>
          <w:bCs/>
          <w:kern w:val="0"/>
          <w:sz w:val="24"/>
          <w:szCs w:val="24"/>
        </w:rPr>
        <w:t>四、项目管理机构</w:t>
      </w:r>
    </w:p>
    <w:p>
      <w:pPr>
        <w:pageBreakBefore w:val="0"/>
        <w:kinsoku/>
        <w:bidi w:val="0"/>
        <w:adjustRightInd w:val="0"/>
        <w:snapToGrid w:val="0"/>
        <w:spacing w:line="360" w:lineRule="auto"/>
        <w:rPr>
          <w:rFonts w:hint="eastAsia" w:ascii="宋体" w:hAnsi="宋体" w:eastAsia="宋体" w:cs="宋体"/>
          <w:szCs w:val="21"/>
        </w:rPr>
      </w:pPr>
    </w:p>
    <w:p>
      <w:pPr>
        <w:pageBreakBefore w:val="0"/>
        <w:kinsoku/>
        <w:bidi w:val="0"/>
        <w:spacing w:line="360" w:lineRule="auto"/>
        <w:jc w:val="center"/>
        <w:rPr>
          <w:rFonts w:hint="eastAsia" w:ascii="宋体" w:hAnsi="宋体" w:eastAsia="宋体" w:cs="宋体"/>
          <w:color w:val="000000"/>
          <w:sz w:val="24"/>
          <w:szCs w:val="24"/>
        </w:rPr>
      </w:pPr>
      <w:bookmarkStart w:id="517" w:name="_Toc429747002"/>
      <w:r>
        <w:rPr>
          <w:rFonts w:hint="eastAsia" w:ascii="宋体" w:hAnsi="宋体" w:eastAsia="宋体" w:cs="宋体"/>
          <w:color w:val="000000"/>
          <w:sz w:val="24"/>
          <w:szCs w:val="24"/>
        </w:rPr>
        <w:t>（一）项目管理机构组成表</w:t>
      </w:r>
      <w:bookmarkEnd w:id="517"/>
    </w:p>
    <w:p>
      <w:pPr>
        <w:pStyle w:val="56"/>
        <w:pageBreakBefore w:val="0"/>
        <w:kinsoku/>
        <w:bidi w:val="0"/>
        <w:spacing w:line="360" w:lineRule="auto"/>
        <w:rPr>
          <w:rFonts w:hint="eastAsia" w:ascii="宋体" w:hAnsi="宋体" w:eastAsia="宋体" w:cs="宋体"/>
          <w:sz w:val="24"/>
          <w:szCs w:val="24"/>
        </w:rPr>
      </w:pPr>
    </w:p>
    <w:tbl>
      <w:tblPr>
        <w:tblStyle w:val="44"/>
        <w:tblpPr w:leftFromText="180" w:rightFromText="180" w:vertAnchor="text" w:horzAnchor="page" w:tblpX="1665" w:tblpY="2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22"/>
        <w:gridCol w:w="722"/>
        <w:gridCol w:w="1154"/>
        <w:gridCol w:w="785"/>
        <w:gridCol w:w="2208"/>
        <w:gridCol w:w="1624"/>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vMerge w:val="restart"/>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722" w:type="dxa"/>
            <w:vMerge w:val="restart"/>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722" w:type="dxa"/>
            <w:vMerge w:val="restart"/>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5771" w:type="dxa"/>
            <w:gridSpan w:val="4"/>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执业或职业资格证明</w:t>
            </w: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vMerge w:val="continue"/>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vMerge w:val="continue"/>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vMerge w:val="continue"/>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5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78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220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证号</w:t>
            </w:r>
          </w:p>
        </w:tc>
        <w:tc>
          <w:tcPr>
            <w:tcW w:w="162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5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62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5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62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5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62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5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62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5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62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5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62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5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62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5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62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5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62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5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62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5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62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5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624"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21"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bl>
    <w:p>
      <w:pPr>
        <w:pageBreakBefore w:val="0"/>
        <w:kinsoku/>
        <w:autoSpaceDE w:val="0"/>
        <w:autoSpaceDN w:val="0"/>
        <w:bidi w:val="0"/>
        <w:adjustRightIn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注：表格可自行增加</w:t>
      </w:r>
    </w:p>
    <w:p>
      <w:pPr>
        <w:pageBreakBefore w:val="0"/>
        <w:kinsoku/>
        <w:bidi w:val="0"/>
        <w:spacing w:line="360" w:lineRule="auto"/>
        <w:rPr>
          <w:rFonts w:hint="eastAsia" w:ascii="宋体" w:hAnsi="宋体" w:eastAsia="宋体" w:cs="宋体"/>
          <w:color w:val="000000"/>
          <w:szCs w:val="21"/>
        </w:rPr>
      </w:pPr>
      <w:r>
        <w:rPr>
          <w:rFonts w:hint="eastAsia" w:ascii="宋体" w:hAnsi="宋体" w:eastAsia="宋体" w:cs="宋体"/>
          <w:color w:val="000000"/>
          <w:szCs w:val="21"/>
        </w:rPr>
        <w:br w:type="page"/>
      </w:r>
    </w:p>
    <w:p>
      <w:pPr>
        <w:pageBreakBefore w:val="0"/>
        <w:kinsoku/>
        <w:bidi w:val="0"/>
        <w:spacing w:line="360" w:lineRule="auto"/>
        <w:jc w:val="center"/>
        <w:rPr>
          <w:rFonts w:hint="eastAsia" w:ascii="宋体" w:hAnsi="宋体" w:eastAsia="宋体" w:cs="宋体"/>
          <w:sz w:val="24"/>
          <w:szCs w:val="24"/>
          <w:highlight w:val="none"/>
        </w:rPr>
      </w:pPr>
      <w:bookmarkStart w:id="518" w:name="_Toc429747003"/>
      <w:r>
        <w:rPr>
          <w:rFonts w:hint="eastAsia" w:ascii="宋体" w:hAnsi="宋体" w:eastAsia="宋体" w:cs="宋体"/>
          <w:sz w:val="24"/>
          <w:szCs w:val="24"/>
          <w:highlight w:val="none"/>
        </w:rPr>
        <w:t>（二）主要人员简历表</w:t>
      </w:r>
      <w:bookmarkEnd w:id="518"/>
    </w:p>
    <w:p>
      <w:pPr>
        <w:pageBreakBefore w:val="0"/>
        <w:kinsoku/>
        <w:bidi w:val="0"/>
        <w:spacing w:line="360" w:lineRule="auto"/>
        <w:jc w:val="center"/>
        <w:rPr>
          <w:rFonts w:hint="eastAsia" w:ascii="宋体" w:hAnsi="宋体" w:eastAsia="宋体" w:cs="宋体"/>
          <w:sz w:val="24"/>
          <w:szCs w:val="24"/>
          <w:highlight w:val="none"/>
        </w:rPr>
      </w:pPr>
    </w:p>
    <w:p>
      <w:pPr>
        <w:pageBreakBefore w:val="0"/>
        <w:kinsoku/>
        <w:bidi w:val="0"/>
        <w:spacing w:line="360" w:lineRule="auto"/>
        <w:ind w:left="-300" w:leftChars="-143"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“主要人员简历表”中的项目</w:t>
      </w:r>
      <w:r>
        <w:rPr>
          <w:rFonts w:hint="eastAsia" w:ascii="宋体" w:hAnsi="宋体" w:eastAsia="宋体" w:cs="宋体"/>
          <w:sz w:val="24"/>
          <w:szCs w:val="24"/>
          <w:highlight w:val="none"/>
          <w:lang w:eastAsia="zh-CN"/>
        </w:rPr>
        <w:t>经理</w:t>
      </w:r>
      <w:r>
        <w:rPr>
          <w:rFonts w:hint="eastAsia" w:ascii="宋体" w:hAnsi="宋体" w:eastAsia="宋体" w:cs="宋体"/>
          <w:sz w:val="24"/>
          <w:szCs w:val="24"/>
          <w:highlight w:val="none"/>
        </w:rPr>
        <w:t>应附身份证、</w:t>
      </w:r>
      <w:r>
        <w:rPr>
          <w:rFonts w:hint="eastAsia" w:ascii="宋体" w:hAnsi="宋体" w:eastAsia="宋体" w:cs="宋体"/>
          <w:sz w:val="24"/>
          <w:szCs w:val="24"/>
          <w:highlight w:val="none"/>
          <w:lang w:eastAsia="zh-CN"/>
        </w:rPr>
        <w:t>注册证书、安全考核</w:t>
      </w:r>
      <w:r>
        <w:rPr>
          <w:rFonts w:hint="eastAsia" w:ascii="宋体" w:hAnsi="宋体" w:eastAsia="宋体" w:cs="宋体"/>
          <w:sz w:val="24"/>
          <w:szCs w:val="24"/>
          <w:highlight w:val="none"/>
          <w:lang w:val="en-US" w:eastAsia="zh-CN"/>
        </w:rPr>
        <w:t>B证或</w:t>
      </w:r>
      <w:r>
        <w:rPr>
          <w:rFonts w:hint="eastAsia" w:ascii="宋体" w:hAnsi="宋体" w:eastAsia="宋体" w:cs="宋体"/>
          <w:sz w:val="24"/>
          <w:szCs w:val="24"/>
          <w:highlight w:val="none"/>
          <w:lang w:eastAsia="zh-CN"/>
        </w:rPr>
        <w:t>职称证（如有）</w:t>
      </w:r>
      <w:r>
        <w:rPr>
          <w:rFonts w:hint="eastAsia" w:ascii="宋体" w:hAnsi="宋体" w:eastAsia="宋体" w:cs="宋体"/>
          <w:sz w:val="24"/>
          <w:szCs w:val="24"/>
          <w:highlight w:val="none"/>
        </w:rPr>
        <w:t>的复印件；其他主要人员应附职称证（执业证或上岗证书）、身份证的复印件。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姓 名</w:t>
            </w:r>
          </w:p>
        </w:tc>
        <w:tc>
          <w:tcPr>
            <w:tcW w:w="1551"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1555" w:type="dxa"/>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 龄</w:t>
            </w:r>
          </w:p>
        </w:tc>
        <w:tc>
          <w:tcPr>
            <w:tcW w:w="1552" w:type="dxa"/>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1843"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学 历</w:t>
            </w:r>
          </w:p>
        </w:tc>
        <w:tc>
          <w:tcPr>
            <w:tcW w:w="1263" w:type="dxa"/>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职 称</w:t>
            </w:r>
          </w:p>
        </w:tc>
        <w:tc>
          <w:tcPr>
            <w:tcW w:w="1551"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1555" w:type="dxa"/>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职 务</w:t>
            </w:r>
          </w:p>
        </w:tc>
        <w:tc>
          <w:tcPr>
            <w:tcW w:w="1552" w:type="dxa"/>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1843"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拟在本合同任职</w:t>
            </w:r>
          </w:p>
        </w:tc>
        <w:tc>
          <w:tcPr>
            <w:tcW w:w="1263" w:type="dxa"/>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时 间</w:t>
            </w:r>
          </w:p>
        </w:tc>
        <w:tc>
          <w:tcPr>
            <w:tcW w:w="2329"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参加过的类似项目</w:t>
            </w:r>
          </w:p>
        </w:tc>
        <w:tc>
          <w:tcPr>
            <w:tcW w:w="2328"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担任职务</w:t>
            </w:r>
          </w:p>
        </w:tc>
        <w:tc>
          <w:tcPr>
            <w:tcW w:w="2330"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9"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8"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30"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9"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8"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30"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9"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8"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30"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9"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8"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30"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9"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8"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30"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9"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8"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30"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9"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8"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30"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9"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8"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30"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9"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28"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c>
          <w:tcPr>
            <w:tcW w:w="2330" w:type="dxa"/>
            <w:gridSpan w:val="2"/>
            <w:noWrap w:val="0"/>
            <w:vAlign w:val="center"/>
          </w:tcPr>
          <w:p>
            <w:pPr>
              <w:pageBreakBefore w:val="0"/>
              <w:kinsoku/>
              <w:autoSpaceDE w:val="0"/>
              <w:autoSpaceDN w:val="0"/>
              <w:bidi w:val="0"/>
              <w:adjustRightInd w:val="0"/>
              <w:spacing w:line="360" w:lineRule="auto"/>
              <w:jc w:val="center"/>
              <w:rPr>
                <w:rFonts w:hint="eastAsia" w:ascii="宋体" w:hAnsi="宋体" w:eastAsia="宋体" w:cs="宋体"/>
                <w:kern w:val="0"/>
                <w:sz w:val="24"/>
                <w:szCs w:val="24"/>
                <w:highlight w:val="none"/>
              </w:rPr>
            </w:pPr>
          </w:p>
        </w:tc>
      </w:tr>
    </w:tbl>
    <w:p>
      <w:pPr>
        <w:pageBreakBefore w:val="0"/>
        <w:kinsoku/>
        <w:autoSpaceDE w:val="0"/>
        <w:autoSpaceDN w:val="0"/>
        <w:bidi w:val="0"/>
        <w:adjustRightInd w:val="0"/>
        <w:spacing w:line="360" w:lineRule="auto"/>
        <w:jc w:val="left"/>
        <w:rPr>
          <w:rFonts w:hint="eastAsia" w:ascii="宋体" w:hAnsi="宋体" w:eastAsia="宋体" w:cs="宋体"/>
          <w:kern w:val="0"/>
          <w:sz w:val="24"/>
          <w:szCs w:val="24"/>
          <w:highlight w:val="none"/>
        </w:rPr>
      </w:pPr>
    </w:p>
    <w:p>
      <w:pPr>
        <w:pageBreakBefore w:val="0"/>
        <w:kinsoku/>
        <w:autoSpaceDE w:val="0"/>
        <w:autoSpaceDN w:val="0"/>
        <w:bidi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注：表格可自行增加</w:t>
      </w:r>
    </w:p>
    <w:p>
      <w:pPr>
        <w:pageBreakBefore w:val="0"/>
        <w:kinsoku/>
        <w:bidi w:val="0"/>
        <w:spacing w:line="360" w:lineRule="auto"/>
        <w:rPr>
          <w:rFonts w:hint="eastAsia" w:ascii="宋体" w:hAnsi="宋体" w:eastAsia="宋体" w:cs="宋体"/>
          <w:color w:val="000000"/>
          <w:szCs w:val="21"/>
        </w:rPr>
      </w:pPr>
      <w:r>
        <w:rPr>
          <w:rFonts w:hint="eastAsia" w:ascii="宋体" w:hAnsi="宋体" w:eastAsia="宋体" w:cs="宋体"/>
          <w:color w:val="000000"/>
          <w:szCs w:val="21"/>
        </w:rPr>
        <w:br w:type="page"/>
      </w:r>
    </w:p>
    <w:p>
      <w:pPr>
        <w:pStyle w:val="5"/>
        <w:pageBreakBefore w:val="0"/>
        <w:kinsoku/>
        <w:bidi w:val="0"/>
        <w:spacing w:before="0" w:after="0" w:line="360" w:lineRule="auto"/>
        <w:jc w:val="center"/>
        <w:rPr>
          <w:rFonts w:hint="eastAsia" w:ascii="宋体" w:hAnsi="宋体" w:eastAsia="宋体" w:cs="宋体"/>
          <w:bCs w:val="0"/>
          <w:color w:val="000000"/>
          <w:sz w:val="28"/>
          <w:szCs w:val="28"/>
        </w:rPr>
      </w:pPr>
      <w:bookmarkStart w:id="519" w:name="_Toc27395"/>
      <w:bookmarkStart w:id="520" w:name="_Toc49166057"/>
      <w:bookmarkStart w:id="521" w:name="_Toc48808926"/>
      <w:bookmarkStart w:id="522" w:name="_Toc13546"/>
      <w:bookmarkStart w:id="523" w:name="_Toc48809210"/>
      <w:r>
        <w:rPr>
          <w:rFonts w:hint="eastAsia" w:ascii="宋体" w:hAnsi="宋体" w:eastAsia="宋体" w:cs="宋体"/>
          <w:bCs w:val="0"/>
          <w:color w:val="000000"/>
          <w:sz w:val="28"/>
          <w:szCs w:val="28"/>
        </w:rPr>
        <w:t>五、资格审查资料</w:t>
      </w:r>
      <w:bookmarkEnd w:id="519"/>
      <w:bookmarkEnd w:id="520"/>
      <w:bookmarkEnd w:id="521"/>
      <w:bookmarkEnd w:id="522"/>
      <w:bookmarkEnd w:id="523"/>
    </w:p>
    <w:p>
      <w:pPr>
        <w:pageBreakBefore w:val="0"/>
        <w:kinsoku/>
        <w:bidi w:val="0"/>
        <w:spacing w:line="360" w:lineRule="auto"/>
        <w:jc w:val="center"/>
        <w:rPr>
          <w:rFonts w:hint="eastAsia" w:ascii="宋体" w:hAnsi="宋体" w:eastAsia="宋体" w:cs="宋体"/>
          <w:color w:val="000000"/>
          <w:szCs w:val="21"/>
        </w:rPr>
      </w:pPr>
      <w:bookmarkStart w:id="524" w:name="_Toc429747005"/>
    </w:p>
    <w:p>
      <w:pPr>
        <w:pageBreakBefore w:val="0"/>
        <w:kinsoku/>
        <w:bidi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（一）供应商基本情况表</w:t>
      </w:r>
      <w:bookmarkEnd w:id="524"/>
    </w:p>
    <w:p>
      <w:pPr>
        <w:pageBreakBefore w:val="0"/>
        <w:kinsoku/>
        <w:bidi w:val="0"/>
        <w:spacing w:line="360" w:lineRule="auto"/>
        <w:jc w:val="center"/>
        <w:rPr>
          <w:rFonts w:hint="eastAsia" w:ascii="宋体" w:hAnsi="宋体" w:eastAsia="宋体" w:cs="宋体"/>
          <w:color w:val="000000"/>
          <w:sz w:val="24"/>
          <w:szCs w:val="24"/>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995"/>
        <w:gridCol w:w="1133"/>
        <w:gridCol w:w="1102"/>
        <w:gridCol w:w="314"/>
        <w:gridCol w:w="217"/>
        <w:gridCol w:w="1382"/>
        <w:gridCol w:w="289"/>
        <w:gridCol w:w="786"/>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4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p>
        </w:tc>
        <w:tc>
          <w:tcPr>
            <w:tcW w:w="7791" w:type="dxa"/>
            <w:gridSpan w:val="9"/>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4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3761" w:type="dxa"/>
            <w:gridSpan w:val="5"/>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38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2648" w:type="dxa"/>
            <w:gridSpan w:val="3"/>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48" w:type="dxa"/>
            <w:vMerge w:val="restart"/>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99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766" w:type="dxa"/>
            <w:gridSpan w:val="4"/>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38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c>
          <w:tcPr>
            <w:tcW w:w="2648" w:type="dxa"/>
            <w:gridSpan w:val="3"/>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48" w:type="dxa"/>
            <w:vMerge w:val="continue"/>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99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tc>
        <w:tc>
          <w:tcPr>
            <w:tcW w:w="2766" w:type="dxa"/>
            <w:gridSpan w:val="4"/>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382"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网  址</w:t>
            </w:r>
          </w:p>
        </w:tc>
        <w:tc>
          <w:tcPr>
            <w:tcW w:w="2648" w:type="dxa"/>
            <w:gridSpan w:val="3"/>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4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组织结构</w:t>
            </w:r>
          </w:p>
        </w:tc>
        <w:tc>
          <w:tcPr>
            <w:tcW w:w="7791" w:type="dxa"/>
            <w:gridSpan w:val="9"/>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4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99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133"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416" w:type="dxa"/>
            <w:gridSpan w:val="2"/>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技术职称</w:t>
            </w:r>
          </w:p>
        </w:tc>
        <w:tc>
          <w:tcPr>
            <w:tcW w:w="1888" w:type="dxa"/>
            <w:gridSpan w:val="3"/>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6"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1573"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4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技术负责人</w:t>
            </w:r>
          </w:p>
        </w:tc>
        <w:tc>
          <w:tcPr>
            <w:tcW w:w="995"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133"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416" w:type="dxa"/>
            <w:gridSpan w:val="2"/>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技术职称</w:t>
            </w:r>
          </w:p>
        </w:tc>
        <w:tc>
          <w:tcPr>
            <w:tcW w:w="1888" w:type="dxa"/>
            <w:gridSpan w:val="3"/>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786"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1573"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4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p>
        </w:tc>
        <w:tc>
          <w:tcPr>
            <w:tcW w:w="2128" w:type="dxa"/>
            <w:gridSpan w:val="2"/>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5663" w:type="dxa"/>
            <w:gridSpan w:val="7"/>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4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企业资质等级</w:t>
            </w:r>
          </w:p>
        </w:tc>
        <w:tc>
          <w:tcPr>
            <w:tcW w:w="2128" w:type="dxa"/>
            <w:gridSpan w:val="2"/>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02" w:type="dxa"/>
            <w:vMerge w:val="restart"/>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其中</w:t>
            </w:r>
          </w:p>
        </w:tc>
        <w:tc>
          <w:tcPr>
            <w:tcW w:w="2202" w:type="dxa"/>
            <w:gridSpan w:val="4"/>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tc>
        <w:tc>
          <w:tcPr>
            <w:tcW w:w="2359" w:type="dxa"/>
            <w:gridSpan w:val="2"/>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4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营业执照号</w:t>
            </w:r>
          </w:p>
        </w:tc>
        <w:tc>
          <w:tcPr>
            <w:tcW w:w="2128" w:type="dxa"/>
            <w:gridSpan w:val="2"/>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02" w:type="dxa"/>
            <w:vMerge w:val="continue"/>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2" w:type="dxa"/>
            <w:gridSpan w:val="4"/>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高级职称人员</w:t>
            </w:r>
          </w:p>
        </w:tc>
        <w:tc>
          <w:tcPr>
            <w:tcW w:w="2359" w:type="dxa"/>
            <w:gridSpan w:val="2"/>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4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注册资金</w:t>
            </w:r>
          </w:p>
        </w:tc>
        <w:tc>
          <w:tcPr>
            <w:tcW w:w="2128" w:type="dxa"/>
            <w:gridSpan w:val="2"/>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02" w:type="dxa"/>
            <w:vMerge w:val="continue"/>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2" w:type="dxa"/>
            <w:gridSpan w:val="4"/>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中级职称人员</w:t>
            </w:r>
          </w:p>
        </w:tc>
        <w:tc>
          <w:tcPr>
            <w:tcW w:w="2359" w:type="dxa"/>
            <w:gridSpan w:val="2"/>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4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2128" w:type="dxa"/>
            <w:gridSpan w:val="2"/>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02" w:type="dxa"/>
            <w:vMerge w:val="continue"/>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2" w:type="dxa"/>
            <w:gridSpan w:val="4"/>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初级职称人员</w:t>
            </w:r>
          </w:p>
        </w:tc>
        <w:tc>
          <w:tcPr>
            <w:tcW w:w="2359" w:type="dxa"/>
            <w:gridSpan w:val="2"/>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4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2128" w:type="dxa"/>
            <w:gridSpan w:val="2"/>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102" w:type="dxa"/>
            <w:vMerge w:val="continue"/>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2202" w:type="dxa"/>
            <w:gridSpan w:val="4"/>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  工</w:t>
            </w:r>
          </w:p>
        </w:tc>
        <w:tc>
          <w:tcPr>
            <w:tcW w:w="2359" w:type="dxa"/>
            <w:gridSpan w:val="2"/>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64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c>
          <w:tcPr>
            <w:tcW w:w="7791" w:type="dxa"/>
            <w:gridSpan w:val="9"/>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48" w:type="dxa"/>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备注  </w:t>
            </w:r>
          </w:p>
        </w:tc>
        <w:tc>
          <w:tcPr>
            <w:tcW w:w="7791" w:type="dxa"/>
            <w:gridSpan w:val="9"/>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bl>
    <w:p>
      <w:pPr>
        <w:pageBreakBefore w:val="0"/>
        <w:kinsoku/>
        <w:bidi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备注：本表后应附供应商有效的资质证书副本等材料的复印件并加盖单位公章</w:t>
      </w:r>
      <w:r>
        <w:rPr>
          <w:rFonts w:hint="eastAsia" w:ascii="宋体" w:hAnsi="宋体" w:eastAsia="宋体" w:cs="宋体"/>
          <w:color w:val="000000"/>
          <w:szCs w:val="21"/>
          <w:lang w:eastAsia="zh-CN"/>
        </w:rPr>
        <w:t>。</w:t>
      </w:r>
    </w:p>
    <w:p>
      <w:pPr>
        <w:pageBreakBefore w:val="0"/>
        <w:kinsoku/>
        <w:bidi w:val="0"/>
        <w:spacing w:line="360" w:lineRule="auto"/>
        <w:rPr>
          <w:rFonts w:hint="eastAsia" w:ascii="宋体" w:hAnsi="宋体" w:eastAsia="宋体" w:cs="宋体"/>
          <w:color w:val="000000"/>
          <w:szCs w:val="21"/>
        </w:rPr>
      </w:pPr>
      <w:r>
        <w:rPr>
          <w:rFonts w:hint="eastAsia" w:ascii="宋体" w:hAnsi="宋体" w:eastAsia="宋体" w:cs="宋体"/>
          <w:color w:val="000000"/>
          <w:szCs w:val="21"/>
        </w:rPr>
        <w:br w:type="page"/>
      </w:r>
    </w:p>
    <w:p>
      <w:pPr>
        <w:pStyle w:val="2"/>
        <w:pageBreakBefore w:val="0"/>
        <w:kinsoku/>
        <w:bidi w:val="0"/>
        <w:spacing w:after="0" w:line="360" w:lineRule="auto"/>
        <w:rPr>
          <w:rFonts w:hint="eastAsia" w:ascii="宋体" w:hAnsi="宋体" w:eastAsia="宋体" w:cs="宋体"/>
          <w:color w:val="000000"/>
          <w:szCs w:val="21"/>
        </w:rPr>
      </w:pPr>
    </w:p>
    <w:p>
      <w:pPr>
        <w:pageBreakBefore w:val="0"/>
        <w:numPr>
          <w:ilvl w:val="0"/>
          <w:numId w:val="0"/>
        </w:numPr>
        <w:kinsoku/>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（二）企业信誉情况表</w:t>
      </w:r>
    </w:p>
    <w:p>
      <w:pPr>
        <w:pStyle w:val="3"/>
        <w:pageBreakBefore w:val="0"/>
        <w:kinsoku/>
        <w:bidi w:val="0"/>
        <w:spacing w:line="360" w:lineRule="auto"/>
        <w:rPr>
          <w:rFonts w:hint="eastAsia" w:ascii="宋体" w:hAnsi="宋体" w:eastAsia="宋体" w:cs="宋体"/>
          <w:color w:val="000000"/>
          <w:sz w:val="24"/>
          <w:szCs w:val="24"/>
        </w:rPr>
      </w:pPr>
    </w:p>
    <w:p>
      <w:pPr>
        <w:pStyle w:val="3"/>
        <w:pageBreakBefore w:val="0"/>
        <w:kinsoku/>
        <w:bidi w:val="0"/>
        <w:spacing w:line="360" w:lineRule="auto"/>
        <w:rPr>
          <w:rFonts w:hint="eastAsia" w:ascii="宋体" w:hAnsi="宋体" w:eastAsia="宋体" w:cs="宋体"/>
          <w:color w:val="000000"/>
          <w:sz w:val="24"/>
          <w:szCs w:val="24"/>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jc w:val="center"/>
        <w:rPr>
          <w:rFonts w:hint="eastAsia" w:ascii="宋体" w:hAnsi="宋体" w:eastAsia="宋体" w:cs="宋体"/>
          <w:color w:val="000000"/>
          <w:sz w:val="30"/>
          <w:szCs w:val="30"/>
          <w:lang w:eastAsia="zh-CN"/>
        </w:rPr>
      </w:pPr>
      <w:r>
        <w:rPr>
          <w:rFonts w:hint="eastAsia" w:ascii="宋体" w:hAnsi="宋体" w:eastAsia="宋体" w:cs="宋体"/>
          <w:color w:val="000000"/>
          <w:sz w:val="30"/>
          <w:szCs w:val="30"/>
          <w:lang w:eastAsia="zh-CN"/>
        </w:rPr>
        <w:t>在此附第三方征信机构出具的有效期内的信用报告扫描件</w:t>
      </w: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Style w:val="3"/>
        <w:pageBreakBefore w:val="0"/>
        <w:kinsoku/>
        <w:bidi w:val="0"/>
        <w:spacing w:line="360" w:lineRule="auto"/>
        <w:rPr>
          <w:rFonts w:hint="eastAsia" w:ascii="宋体" w:hAnsi="宋体" w:eastAsia="宋体" w:cs="宋体"/>
          <w:color w:val="000000"/>
          <w:szCs w:val="21"/>
        </w:rPr>
      </w:pPr>
    </w:p>
    <w:p>
      <w:pPr>
        <w:pageBreakBefore w:val="0"/>
        <w:numPr>
          <w:ilvl w:val="0"/>
          <w:numId w:val="0"/>
        </w:numPr>
        <w:kinsoku/>
        <w:bidi w:val="0"/>
        <w:spacing w:line="360" w:lineRule="auto"/>
        <w:jc w:val="center"/>
        <w:rPr>
          <w:rFonts w:hint="eastAsia" w:ascii="宋体" w:hAnsi="宋体" w:eastAsia="宋体" w:cs="宋体"/>
          <w:b/>
          <w:bCs/>
          <w:sz w:val="24"/>
          <w:szCs w:val="24"/>
        </w:rPr>
      </w:pPr>
      <w:bookmarkStart w:id="525" w:name="_Toc20130"/>
      <w:bookmarkStart w:id="526" w:name="_Toc529865892"/>
      <w:bookmarkStart w:id="527" w:name="_Toc48808927"/>
      <w:bookmarkStart w:id="528" w:name="_Toc48809211"/>
      <w:bookmarkStart w:id="529" w:name="_Toc23122"/>
      <w:bookmarkStart w:id="530" w:name="_Toc49166058"/>
      <w:r>
        <w:rPr>
          <w:rFonts w:hint="eastAsia" w:ascii="宋体" w:hAnsi="宋体" w:eastAsia="宋体" w:cs="宋体"/>
          <w:b/>
          <w:bCs/>
          <w:sz w:val="24"/>
          <w:szCs w:val="24"/>
          <w:lang w:eastAsia="zh-CN"/>
        </w:rPr>
        <w:t>（三）</w:t>
      </w:r>
      <w:r>
        <w:rPr>
          <w:rFonts w:hint="eastAsia" w:ascii="宋体" w:hAnsi="宋体" w:eastAsia="宋体" w:cs="宋体"/>
          <w:b/>
          <w:bCs/>
          <w:sz w:val="24"/>
          <w:szCs w:val="24"/>
        </w:rPr>
        <w:t>中小企业声明函</w:t>
      </w:r>
      <w:bookmarkEnd w:id="525"/>
      <w:bookmarkEnd w:id="526"/>
      <w:r>
        <w:rPr>
          <w:rFonts w:hint="eastAsia" w:ascii="宋体" w:hAnsi="宋体" w:eastAsia="宋体" w:cs="宋体"/>
          <w:b/>
          <w:bCs/>
          <w:sz w:val="24"/>
          <w:szCs w:val="24"/>
          <w:lang w:eastAsia="zh-CN"/>
        </w:rPr>
        <w:t>（工程、服务）</w:t>
      </w:r>
    </w:p>
    <w:p>
      <w:pPr>
        <w:pageBreakBefore w:val="0"/>
        <w:kinsoku/>
        <w:bidi w:val="0"/>
        <w:spacing w:line="360" w:lineRule="auto"/>
        <w:ind w:left="420" w:leftChars="200" w:firstLine="360" w:firstLineChars="15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rPr>
        <w:t xml:space="preserve">    （单位名称）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采购活动，提供的服务全部由符合政策要求的中小企业承接。相关企业的具体情况如下： </w:t>
      </w:r>
    </w:p>
    <w:p>
      <w:pPr>
        <w:pageBreakBefore w:val="0"/>
        <w:kinsoku/>
        <w:bidi w:val="0"/>
        <w:spacing w:line="360" w:lineRule="auto"/>
        <w:ind w:left="42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cs="宋体"/>
          <w:sz w:val="24"/>
          <w:szCs w:val="24"/>
          <w:u w:val="single"/>
          <w:lang w:eastAsia="zh-CN"/>
        </w:rPr>
        <w:t>S308武济线总干桥桥梁加固工程施工招标项目</w:t>
      </w:r>
      <w:r>
        <w:rPr>
          <w:rFonts w:hint="eastAsia" w:ascii="宋体" w:hAnsi="宋体" w:eastAsia="宋体" w:cs="宋体"/>
          <w:sz w:val="24"/>
          <w:szCs w:val="24"/>
          <w:u w:val="single"/>
        </w:rPr>
        <w:t xml:space="preserve"> </w:t>
      </w:r>
      <w:r>
        <w:rPr>
          <w:rFonts w:hint="eastAsia" w:ascii="宋体" w:hAnsi="宋体" w:eastAsia="宋体" w:cs="宋体"/>
          <w:sz w:val="24"/>
          <w:szCs w:val="24"/>
        </w:rPr>
        <w:t>，属于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pPr>
        <w:pageBreakBefore w:val="0"/>
        <w:kinsoku/>
        <w:bidi w:val="0"/>
        <w:spacing w:line="360" w:lineRule="auto"/>
        <w:ind w:left="420" w:firstLine="480" w:firstLineChars="200"/>
        <w:rPr>
          <w:rFonts w:hint="eastAsia" w:ascii="宋体" w:hAnsi="宋体" w:eastAsia="宋体" w:cs="宋体"/>
          <w:sz w:val="24"/>
          <w:szCs w:val="24"/>
        </w:rPr>
      </w:pPr>
      <w:r>
        <w:rPr>
          <w:rFonts w:hint="eastAsia" w:ascii="宋体" w:hAnsi="宋体" w:eastAsia="宋体" w:cs="宋体"/>
          <w:sz w:val="24"/>
          <w:szCs w:val="24"/>
        </w:rPr>
        <w:t>……</w:t>
      </w:r>
    </w:p>
    <w:p>
      <w:pPr>
        <w:pageBreakBefore w:val="0"/>
        <w:kinsoku/>
        <w:bidi w:val="0"/>
        <w:adjustRightInd w:val="0"/>
        <w:snapToGrid w:val="0"/>
        <w:spacing w:line="360" w:lineRule="auto"/>
        <w:ind w:left="420"/>
        <w:jc w:val="left"/>
        <w:textAlignment w:val="baseline"/>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ageBreakBefore w:val="0"/>
        <w:kinsoku/>
        <w:bidi w:val="0"/>
        <w:spacing w:line="360" w:lineRule="auto"/>
        <w:ind w:left="420"/>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本企业对上述声明内容的真实性负责。如有虚假，将依法承担相应责任。 </w:t>
      </w:r>
    </w:p>
    <w:p>
      <w:pPr>
        <w:pageBreakBefore w:val="0"/>
        <w:kinsoku/>
        <w:bidi w:val="0"/>
        <w:spacing w:line="360" w:lineRule="auto"/>
        <w:ind w:left="420" w:leftChars="200" w:firstLine="5880" w:firstLineChars="2450"/>
        <w:rPr>
          <w:rFonts w:hint="eastAsia" w:ascii="宋体" w:hAnsi="宋体" w:eastAsia="宋体" w:cs="宋体"/>
          <w:sz w:val="24"/>
          <w:szCs w:val="24"/>
        </w:rPr>
      </w:pPr>
      <w:r>
        <w:rPr>
          <w:rFonts w:hint="eastAsia" w:ascii="宋体" w:hAnsi="宋体" w:eastAsia="宋体" w:cs="宋体"/>
          <w:sz w:val="24"/>
          <w:szCs w:val="24"/>
        </w:rPr>
        <w:t xml:space="preserve">企业名称（盖章）： </w:t>
      </w:r>
    </w:p>
    <w:p>
      <w:pPr>
        <w:pageBreakBefore w:val="0"/>
        <w:kinsoku/>
        <w:bidi w:val="0"/>
        <w:spacing w:line="360" w:lineRule="auto"/>
        <w:ind w:left="420" w:leftChars="200" w:firstLine="5880" w:firstLineChars="2450"/>
        <w:rPr>
          <w:rFonts w:hint="eastAsia" w:ascii="宋体" w:hAnsi="宋体" w:eastAsia="宋体" w:cs="宋体"/>
          <w:sz w:val="24"/>
          <w:szCs w:val="24"/>
        </w:rPr>
      </w:pPr>
      <w:r>
        <w:rPr>
          <w:rFonts w:hint="eastAsia" w:ascii="宋体" w:hAnsi="宋体" w:eastAsia="宋体" w:cs="宋体"/>
          <w:sz w:val="24"/>
          <w:szCs w:val="24"/>
        </w:rPr>
        <w:t xml:space="preserve">日 期： </w:t>
      </w:r>
    </w:p>
    <w:p>
      <w:pPr>
        <w:pageBreakBefore w:val="0"/>
        <w:kinsoku/>
        <w:bidi w:val="0"/>
        <w:spacing w:line="360" w:lineRule="auto"/>
        <w:ind w:left="420"/>
        <w:rPr>
          <w:rFonts w:hint="eastAsia" w:ascii="宋体" w:hAnsi="宋体" w:eastAsia="宋体" w:cs="宋体"/>
          <w:sz w:val="24"/>
          <w:szCs w:val="24"/>
        </w:rPr>
      </w:pPr>
    </w:p>
    <w:p>
      <w:pPr>
        <w:pageBreakBefore w:val="0"/>
        <w:kinsoku/>
        <w:bidi w:val="0"/>
        <w:spacing w:line="360" w:lineRule="auto"/>
        <w:ind w:left="420"/>
        <w:rPr>
          <w:rFonts w:hint="eastAsia" w:ascii="宋体" w:hAnsi="宋体" w:eastAsia="宋体" w:cs="宋体"/>
          <w:sz w:val="24"/>
          <w:szCs w:val="24"/>
        </w:rPr>
      </w:pPr>
      <w:r>
        <w:rPr>
          <w:rFonts w:hint="eastAsia" w:ascii="宋体" w:hAnsi="宋体" w:eastAsia="宋体" w:cs="宋体"/>
          <w:sz w:val="24"/>
          <w:szCs w:val="24"/>
        </w:rPr>
        <w:t>从业人员、营业收入、资产总额填报上一年度数据，无上一年度数据的新成立企业可不填报。（此项仅作为告知，不作为格式要求。）</w:t>
      </w:r>
    </w:p>
    <w:p>
      <w:pPr>
        <w:pStyle w:val="5"/>
        <w:pageBreakBefore w:val="0"/>
        <w:kinsoku/>
        <w:bidi w:val="0"/>
        <w:spacing w:before="0" w:after="0" w:line="360" w:lineRule="auto"/>
        <w:jc w:val="center"/>
        <w:rPr>
          <w:rFonts w:hint="eastAsia" w:ascii="宋体" w:hAnsi="宋体" w:eastAsia="宋体" w:cs="宋体"/>
          <w:kern w:val="0"/>
          <w:sz w:val="24"/>
          <w:szCs w:val="24"/>
        </w:rPr>
      </w:pPr>
    </w:p>
    <w:p>
      <w:pPr>
        <w:pageBreakBefore w:val="0"/>
        <w:numPr>
          <w:ilvl w:val="0"/>
          <w:numId w:val="0"/>
        </w:numPr>
        <w:kinsoku/>
        <w:bidi w:val="0"/>
        <w:spacing w:line="360" w:lineRule="auto"/>
        <w:jc w:val="both"/>
        <w:rPr>
          <w:rFonts w:hint="eastAsia" w:ascii="宋体" w:hAnsi="宋体" w:eastAsia="宋体" w:cs="宋体"/>
          <w:b/>
          <w:bCs/>
          <w:szCs w:val="24"/>
          <w:lang w:eastAsia="zh-CN"/>
        </w:rPr>
      </w:pPr>
      <w:bookmarkStart w:id="531" w:name="_Toc530584403"/>
      <w:bookmarkStart w:id="532" w:name="_Toc18888"/>
    </w:p>
    <w:p>
      <w:pPr>
        <w:pageBreakBefore w:val="0"/>
        <w:numPr>
          <w:ilvl w:val="0"/>
          <w:numId w:val="0"/>
        </w:numPr>
        <w:kinsoku/>
        <w:bidi w:val="0"/>
        <w:spacing w:line="360" w:lineRule="auto"/>
        <w:jc w:val="both"/>
        <w:rPr>
          <w:rFonts w:hint="eastAsia" w:ascii="宋体" w:hAnsi="宋体" w:eastAsia="宋体" w:cs="宋体"/>
          <w:b/>
          <w:bCs/>
          <w:szCs w:val="24"/>
          <w:lang w:eastAsia="zh-CN"/>
        </w:rPr>
      </w:pPr>
    </w:p>
    <w:p>
      <w:pPr>
        <w:pageBreakBefore w:val="0"/>
        <w:numPr>
          <w:ilvl w:val="0"/>
          <w:numId w:val="0"/>
        </w:numPr>
        <w:kinsoku/>
        <w:bidi w:val="0"/>
        <w:spacing w:line="360" w:lineRule="auto"/>
        <w:jc w:val="both"/>
        <w:rPr>
          <w:rFonts w:hint="eastAsia" w:ascii="宋体" w:hAnsi="宋体" w:eastAsia="宋体" w:cs="宋体"/>
          <w:b/>
          <w:bCs/>
          <w:szCs w:val="24"/>
          <w:lang w:eastAsia="zh-CN"/>
        </w:rPr>
      </w:pPr>
    </w:p>
    <w:p>
      <w:pPr>
        <w:pageBreakBefore w:val="0"/>
        <w:numPr>
          <w:ilvl w:val="0"/>
          <w:numId w:val="0"/>
        </w:numPr>
        <w:kinsoku/>
        <w:bidi w:val="0"/>
        <w:spacing w:line="360" w:lineRule="auto"/>
        <w:jc w:val="both"/>
        <w:rPr>
          <w:rFonts w:hint="eastAsia" w:ascii="宋体" w:hAnsi="宋体" w:eastAsia="宋体" w:cs="宋体"/>
          <w:b/>
          <w:bCs/>
          <w:szCs w:val="24"/>
          <w:lang w:eastAsia="zh-CN"/>
        </w:rPr>
      </w:pPr>
    </w:p>
    <w:p>
      <w:pPr>
        <w:pageBreakBefore w:val="0"/>
        <w:numPr>
          <w:ilvl w:val="0"/>
          <w:numId w:val="0"/>
        </w:numPr>
        <w:kinsoku/>
        <w:bidi w:val="0"/>
        <w:spacing w:line="360" w:lineRule="auto"/>
        <w:jc w:val="both"/>
        <w:rPr>
          <w:rFonts w:hint="eastAsia" w:ascii="宋体" w:hAnsi="宋体" w:eastAsia="宋体" w:cs="宋体"/>
          <w:b/>
          <w:bCs/>
          <w:szCs w:val="24"/>
          <w:lang w:eastAsia="zh-CN"/>
        </w:rPr>
      </w:pPr>
    </w:p>
    <w:p>
      <w:pPr>
        <w:pStyle w:val="2"/>
        <w:pageBreakBefore w:val="0"/>
        <w:kinsoku/>
        <w:bidi w:val="0"/>
        <w:spacing w:after="0" w:line="360" w:lineRule="auto"/>
        <w:rPr>
          <w:rFonts w:hint="eastAsia" w:ascii="宋体" w:hAnsi="宋体" w:eastAsia="宋体" w:cs="宋体"/>
          <w:lang w:eastAsia="zh-CN"/>
        </w:rPr>
      </w:pPr>
    </w:p>
    <w:p>
      <w:pPr>
        <w:pageBreakBefore w:val="0"/>
        <w:numPr>
          <w:ilvl w:val="0"/>
          <w:numId w:val="0"/>
        </w:numPr>
        <w:kinsoku/>
        <w:bidi w:val="0"/>
        <w:spacing w:line="360" w:lineRule="auto"/>
        <w:jc w:val="both"/>
        <w:rPr>
          <w:rFonts w:hint="eastAsia" w:ascii="宋体" w:hAnsi="宋体" w:eastAsia="宋体" w:cs="宋体"/>
          <w:b/>
          <w:bCs/>
          <w:szCs w:val="24"/>
          <w:lang w:eastAsia="zh-CN"/>
        </w:rPr>
      </w:pPr>
    </w:p>
    <w:p>
      <w:pPr>
        <w:pageBreakBefore w:val="0"/>
        <w:numPr>
          <w:ilvl w:val="0"/>
          <w:numId w:val="0"/>
        </w:numPr>
        <w:kinsoku/>
        <w:bidi w:val="0"/>
        <w:spacing w:line="360" w:lineRule="auto"/>
        <w:jc w:val="both"/>
        <w:rPr>
          <w:rFonts w:hint="eastAsia" w:ascii="宋体" w:hAnsi="宋体" w:eastAsia="宋体" w:cs="宋体"/>
          <w:b/>
          <w:bCs/>
          <w:szCs w:val="24"/>
          <w:lang w:eastAsia="zh-CN"/>
        </w:rPr>
      </w:pPr>
    </w:p>
    <w:p>
      <w:pPr>
        <w:pageBreakBefore w:val="0"/>
        <w:numPr>
          <w:ilvl w:val="0"/>
          <w:numId w:val="0"/>
        </w:numPr>
        <w:kinsoku/>
        <w:bidi w:val="0"/>
        <w:spacing w:line="360" w:lineRule="auto"/>
        <w:jc w:val="both"/>
        <w:rPr>
          <w:rFonts w:hint="eastAsia" w:ascii="宋体" w:hAnsi="宋体" w:eastAsia="宋体" w:cs="宋体"/>
          <w:b/>
          <w:bCs/>
          <w:szCs w:val="24"/>
          <w:lang w:eastAsia="zh-CN"/>
        </w:rPr>
      </w:pPr>
    </w:p>
    <w:p>
      <w:pPr>
        <w:pageBreakBefore w:val="0"/>
        <w:numPr>
          <w:ilvl w:val="0"/>
          <w:numId w:val="0"/>
        </w:numPr>
        <w:kinsoku/>
        <w:bidi w:val="0"/>
        <w:spacing w:line="360" w:lineRule="auto"/>
        <w:jc w:val="both"/>
        <w:rPr>
          <w:rFonts w:hint="eastAsia" w:ascii="宋体" w:hAnsi="宋体" w:eastAsia="宋体" w:cs="宋体"/>
          <w:b/>
          <w:bCs/>
          <w:szCs w:val="24"/>
          <w:lang w:eastAsia="zh-CN"/>
        </w:rPr>
      </w:pPr>
    </w:p>
    <w:p>
      <w:pPr>
        <w:pageBreakBefore w:val="0"/>
        <w:numPr>
          <w:ilvl w:val="0"/>
          <w:numId w:val="0"/>
        </w:numPr>
        <w:kinsoku/>
        <w:bidi w:val="0"/>
        <w:spacing w:line="360" w:lineRule="auto"/>
        <w:jc w:val="both"/>
        <w:rPr>
          <w:rFonts w:hint="eastAsia" w:ascii="宋体" w:hAnsi="宋体" w:eastAsia="宋体" w:cs="宋体"/>
          <w:b/>
          <w:bCs/>
          <w:szCs w:val="24"/>
          <w:lang w:eastAsia="zh-CN"/>
        </w:rPr>
      </w:pPr>
    </w:p>
    <w:p>
      <w:pPr>
        <w:pageBreakBefore w:val="0"/>
        <w:numPr>
          <w:ilvl w:val="0"/>
          <w:numId w:val="0"/>
        </w:numPr>
        <w:kinsoku/>
        <w:bidi w:val="0"/>
        <w:spacing w:line="360" w:lineRule="auto"/>
        <w:jc w:val="both"/>
        <w:rPr>
          <w:rFonts w:hint="eastAsia" w:ascii="宋体" w:hAnsi="宋体" w:eastAsia="宋体" w:cs="宋体"/>
          <w:b/>
          <w:bCs/>
          <w:szCs w:val="24"/>
          <w:lang w:eastAsia="zh-CN"/>
        </w:rPr>
      </w:pPr>
    </w:p>
    <w:p>
      <w:pPr>
        <w:pageBreakBefore w:val="0"/>
        <w:numPr>
          <w:ilvl w:val="0"/>
          <w:numId w:val="0"/>
        </w:numPr>
        <w:kinsoku/>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残疾人福利性单位声明函</w:t>
      </w:r>
      <w:bookmarkEnd w:id="531"/>
      <w:bookmarkEnd w:id="532"/>
    </w:p>
    <w:p>
      <w:pPr>
        <w:pageBreakBefore w:val="0"/>
        <w:kinsoku/>
        <w:bidi w:val="0"/>
        <w:spacing w:line="360" w:lineRule="auto"/>
        <w:rPr>
          <w:rFonts w:hint="eastAsia" w:ascii="宋体" w:hAnsi="宋体" w:eastAsia="宋体" w:cs="宋体"/>
          <w:color w:val="auto"/>
          <w:sz w:val="24"/>
          <w:szCs w:val="24"/>
        </w:rPr>
      </w:pPr>
    </w:p>
    <w:p>
      <w:pPr>
        <w:pageBreakBefore w:val="0"/>
        <w:kinsoku/>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kinsoku/>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pageBreakBefore w:val="0"/>
        <w:kinsoku/>
        <w:bidi w:val="0"/>
        <w:spacing w:line="360" w:lineRule="auto"/>
        <w:ind w:firstLine="480" w:firstLineChars="200"/>
        <w:rPr>
          <w:rFonts w:hint="eastAsia" w:ascii="宋体" w:hAnsi="宋体" w:eastAsia="宋体" w:cs="宋体"/>
          <w:color w:val="auto"/>
          <w:sz w:val="24"/>
          <w:szCs w:val="24"/>
        </w:rPr>
      </w:pPr>
    </w:p>
    <w:p>
      <w:pPr>
        <w:pageBreakBefore w:val="0"/>
        <w:kinsoku/>
        <w:bidi w:val="0"/>
        <w:spacing w:line="360" w:lineRule="auto"/>
        <w:ind w:firstLine="480" w:firstLineChars="200"/>
        <w:rPr>
          <w:rFonts w:hint="eastAsia" w:ascii="宋体" w:hAnsi="宋体" w:eastAsia="宋体" w:cs="宋体"/>
          <w:color w:val="auto"/>
          <w:sz w:val="24"/>
          <w:szCs w:val="24"/>
        </w:rPr>
      </w:pPr>
    </w:p>
    <w:p>
      <w:pPr>
        <w:pageBreakBefore w:val="0"/>
        <w:tabs>
          <w:tab w:val="left" w:pos="4860"/>
        </w:tabs>
        <w:kinsoku/>
        <w:bidi w:val="0"/>
        <w:spacing w:line="360" w:lineRule="auto"/>
        <w:ind w:right="1560"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单位名称（盖章）：</w:t>
      </w:r>
    </w:p>
    <w:p>
      <w:pPr>
        <w:pageBreakBefore w:val="0"/>
        <w:tabs>
          <w:tab w:val="left" w:pos="4860"/>
        </w:tabs>
        <w:kinsoku/>
        <w:bidi w:val="0"/>
        <w:spacing w:line="360" w:lineRule="auto"/>
        <w:ind w:right="1560"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p>
    <w:p>
      <w:pPr>
        <w:pStyle w:val="56"/>
        <w:pageBreakBefore w:val="0"/>
        <w:kinsoku/>
        <w:bidi w:val="0"/>
        <w:spacing w:line="360" w:lineRule="auto"/>
        <w:rPr>
          <w:rFonts w:hint="eastAsia" w:ascii="宋体" w:hAnsi="宋体" w:eastAsia="宋体" w:cs="宋体"/>
          <w:kern w:val="0"/>
          <w:sz w:val="24"/>
          <w:szCs w:val="24"/>
        </w:rPr>
      </w:pPr>
      <w:r>
        <w:rPr>
          <w:rFonts w:hint="eastAsia" w:ascii="宋体" w:hAnsi="宋体" w:eastAsia="宋体" w:cs="宋体"/>
          <w:b/>
          <w:color w:val="auto"/>
          <w:sz w:val="24"/>
          <w:szCs w:val="24"/>
        </w:rPr>
        <w:t>说明：非残疾人福利性单位无需填写、递交该声明。</w:t>
      </w: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6"/>
        <w:pageBreakBefore w:val="0"/>
        <w:kinsoku/>
        <w:bidi w:val="0"/>
        <w:spacing w:line="360" w:lineRule="auto"/>
        <w:rPr>
          <w:rFonts w:hint="eastAsia" w:ascii="宋体" w:hAnsi="宋体" w:eastAsia="宋体" w:cs="宋体"/>
          <w:kern w:val="0"/>
          <w:sz w:val="24"/>
          <w:szCs w:val="24"/>
        </w:rPr>
      </w:pPr>
    </w:p>
    <w:p>
      <w:pPr>
        <w:pStyle w:val="57"/>
        <w:pageBreakBefore w:val="0"/>
        <w:kinsoku/>
        <w:bidi w:val="0"/>
        <w:spacing w:line="360" w:lineRule="auto"/>
        <w:rPr>
          <w:rFonts w:hint="eastAsia" w:ascii="宋体" w:hAnsi="宋体" w:eastAsia="宋体" w:cs="宋体"/>
        </w:rPr>
      </w:pPr>
    </w:p>
    <w:p>
      <w:pPr>
        <w:pStyle w:val="5"/>
        <w:pageBreakBefore w:val="0"/>
        <w:kinsoku/>
        <w:bidi w:val="0"/>
        <w:spacing w:before="0" w:after="0" w:line="360" w:lineRule="auto"/>
        <w:jc w:val="center"/>
        <w:rPr>
          <w:rFonts w:hint="eastAsia" w:ascii="宋体" w:hAnsi="宋体" w:eastAsia="宋体" w:cs="宋体"/>
          <w:color w:val="000000"/>
          <w:sz w:val="24"/>
          <w:szCs w:val="24"/>
        </w:rPr>
      </w:pPr>
      <w:bookmarkStart w:id="533" w:name="_Toc12866"/>
      <w:r>
        <w:rPr>
          <w:rFonts w:hint="eastAsia" w:ascii="宋体" w:hAnsi="宋体" w:eastAsia="宋体" w:cs="宋体"/>
          <w:kern w:val="0"/>
          <w:sz w:val="24"/>
          <w:szCs w:val="24"/>
        </w:rPr>
        <w:t>六、</w:t>
      </w:r>
      <w:r>
        <w:rPr>
          <w:rFonts w:hint="eastAsia" w:ascii="宋体" w:hAnsi="宋体" w:eastAsia="宋体" w:cs="宋体"/>
          <w:color w:val="000000"/>
          <w:sz w:val="24"/>
          <w:szCs w:val="24"/>
        </w:rPr>
        <w:t>无行贿犯罪记录承诺书</w:t>
      </w:r>
      <w:bookmarkEnd w:id="527"/>
      <w:bookmarkEnd w:id="528"/>
      <w:bookmarkEnd w:id="529"/>
      <w:bookmarkEnd w:id="530"/>
      <w:bookmarkEnd w:id="533"/>
    </w:p>
    <w:p>
      <w:pPr>
        <w:pageBreakBefore w:val="0"/>
        <w:kinsoku/>
        <w:bidi w:val="0"/>
        <w:spacing w:line="360" w:lineRule="auto"/>
        <w:rPr>
          <w:rFonts w:hint="eastAsia" w:ascii="宋体" w:hAnsi="宋体" w:eastAsia="宋体" w:cs="宋体"/>
        </w:rPr>
      </w:pPr>
    </w:p>
    <w:p>
      <w:pPr>
        <w:pageBreakBefore w:val="0"/>
        <w:kinsoku/>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承诺书</w:t>
      </w:r>
    </w:p>
    <w:p>
      <w:pPr>
        <w:pageBreakBefore w:val="0"/>
        <w:kinsoku/>
        <w:bidi w:val="0"/>
        <w:spacing w:line="360" w:lineRule="auto"/>
        <w:rPr>
          <w:rFonts w:hint="eastAsia" w:ascii="宋体" w:hAnsi="宋体" w:eastAsia="宋体" w:cs="宋体"/>
          <w:sz w:val="24"/>
          <w:szCs w:val="24"/>
        </w:rPr>
      </w:pPr>
      <w:r>
        <w:rPr>
          <w:rFonts w:hint="eastAsia" w:ascii="宋体" w:hAnsi="宋体" w:eastAsia="宋体" w:cs="宋体"/>
          <w:position w:val="-7"/>
          <w:sz w:val="24"/>
          <w:szCs w:val="24"/>
        </w:rPr>
        <w:t>————————</w:t>
      </w:r>
      <w:r>
        <w:rPr>
          <w:rFonts w:hint="eastAsia" w:ascii="宋体" w:hAnsi="宋体" w:eastAsia="宋体" w:cs="宋体"/>
          <w:sz w:val="24"/>
          <w:szCs w:val="24"/>
        </w:rPr>
        <w:t>（采购人名称）：</w:t>
      </w:r>
    </w:p>
    <w:p>
      <w:pPr>
        <w:pageBreakBefore w:val="0"/>
        <w:kinsoku/>
        <w:bidi w:val="0"/>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t>我方在此声明，我公司及法定代表人、法定代表人委托代理人、项目</w:t>
      </w:r>
      <w:r>
        <w:rPr>
          <w:rFonts w:hint="eastAsia" w:ascii="宋体" w:hAnsi="宋体" w:eastAsia="宋体" w:cs="宋体"/>
          <w:sz w:val="24"/>
          <w:szCs w:val="24"/>
          <w:lang w:eastAsia="zh-CN"/>
        </w:rPr>
        <w:t>经理</w:t>
      </w:r>
      <w:r>
        <w:rPr>
          <w:rFonts w:hint="eastAsia" w:ascii="宋体" w:hAnsi="宋体" w:eastAsia="宋体" w:cs="宋体"/>
          <w:color w:val="000000"/>
          <w:sz w:val="24"/>
          <w:szCs w:val="24"/>
          <w:shd w:val="clear" w:color="auto" w:fill="FFFFFF"/>
        </w:rPr>
        <w:t>均无行贿犯罪记录。</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我方保证上述信息的真实和准确，并愿意承担因我方就此弄虚作假所引起的一切法律后果。</w:t>
      </w:r>
    </w:p>
    <w:p>
      <w:pPr>
        <w:pageBreakBefore w:val="0"/>
        <w:kinsoku/>
        <w:bidi w:val="0"/>
        <w:spacing w:line="360" w:lineRule="auto"/>
        <w:ind w:firstLine="480" w:firstLineChars="200"/>
        <w:rPr>
          <w:rFonts w:hint="eastAsia" w:ascii="宋体" w:hAnsi="宋体" w:eastAsia="宋体" w:cs="宋体"/>
          <w:sz w:val="24"/>
          <w:szCs w:val="24"/>
        </w:rPr>
      </w:pPr>
    </w:p>
    <w:p>
      <w:pPr>
        <w:pageBreakBefore w:val="0"/>
        <w:kinsoku/>
        <w:bidi w:val="0"/>
        <w:spacing w:line="360" w:lineRule="auto"/>
        <w:ind w:firstLine="480" w:firstLineChars="200"/>
        <w:rPr>
          <w:rFonts w:hint="eastAsia" w:ascii="宋体" w:hAnsi="宋体" w:eastAsia="宋体" w:cs="宋体"/>
          <w:sz w:val="24"/>
          <w:szCs w:val="24"/>
        </w:rPr>
      </w:pP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pPr>
        <w:pageBreakBefore w:val="0"/>
        <w:kinsoku/>
        <w:bidi w:val="0"/>
        <w:spacing w:line="360" w:lineRule="auto"/>
        <w:ind w:firstLine="480" w:firstLineChars="200"/>
        <w:rPr>
          <w:rFonts w:hint="eastAsia" w:ascii="宋体" w:hAnsi="宋体" w:eastAsia="宋体" w:cs="宋体"/>
          <w:sz w:val="24"/>
          <w:szCs w:val="24"/>
        </w:rPr>
      </w:pPr>
    </w:p>
    <w:p>
      <w:pPr>
        <w:pageBreakBefore w:val="0"/>
        <w:kinsoku/>
        <w:bidi w:val="0"/>
        <w:spacing w:line="360" w:lineRule="auto"/>
        <w:jc w:val="left"/>
        <w:rPr>
          <w:rFonts w:hint="eastAsia" w:ascii="宋体" w:hAnsi="宋体" w:eastAsia="宋体" w:cs="宋体"/>
          <w:sz w:val="24"/>
          <w:szCs w:val="24"/>
        </w:rPr>
      </w:pPr>
    </w:p>
    <w:p>
      <w:pPr>
        <w:pageBreakBefore w:val="0"/>
        <w:kinsoku/>
        <w:bidi w:val="0"/>
        <w:spacing w:line="360" w:lineRule="auto"/>
        <w:jc w:val="left"/>
        <w:rPr>
          <w:rFonts w:hint="eastAsia" w:ascii="宋体" w:hAnsi="宋体" w:eastAsia="宋体" w:cs="宋体"/>
          <w:sz w:val="24"/>
          <w:szCs w:val="24"/>
        </w:rPr>
      </w:pPr>
    </w:p>
    <w:p>
      <w:pPr>
        <w:pageBreakBefore w:val="0"/>
        <w:kinsoku/>
        <w:bidi w:val="0"/>
        <w:spacing w:line="360" w:lineRule="auto"/>
        <w:jc w:val="left"/>
        <w:rPr>
          <w:rFonts w:hint="eastAsia" w:ascii="宋体" w:hAnsi="宋体" w:eastAsia="宋体" w:cs="宋体"/>
          <w:sz w:val="24"/>
          <w:szCs w:val="24"/>
        </w:rPr>
      </w:pPr>
    </w:p>
    <w:p>
      <w:pPr>
        <w:pageBreakBefore w:val="0"/>
        <w:kinsoku/>
        <w:bidi w:val="0"/>
        <w:spacing w:line="360" w:lineRule="auto"/>
        <w:jc w:val="left"/>
        <w:rPr>
          <w:rFonts w:hint="eastAsia" w:ascii="宋体" w:hAnsi="宋体" w:eastAsia="宋体" w:cs="宋体"/>
          <w:sz w:val="24"/>
          <w:szCs w:val="24"/>
        </w:rPr>
      </w:pPr>
    </w:p>
    <w:p>
      <w:pPr>
        <w:pageBreakBefore w:val="0"/>
        <w:kinsoku/>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供应商：（盖单位公章）</w:t>
      </w:r>
    </w:p>
    <w:p>
      <w:pPr>
        <w:pageBreakBefore w:val="0"/>
        <w:kinsoku/>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法定代表人或其委托代理人：（签字或盖章）</w:t>
      </w:r>
    </w:p>
    <w:p>
      <w:pPr>
        <w:pageBreakBefore w:val="0"/>
        <w:kinsoku/>
        <w:bidi w:val="0"/>
        <w:spacing w:line="360" w:lineRule="auto"/>
        <w:jc w:val="right"/>
        <w:rPr>
          <w:rFonts w:hint="eastAsia" w:ascii="宋体" w:hAnsi="宋体" w:eastAsia="宋体" w:cs="宋体"/>
          <w:sz w:val="24"/>
          <w:szCs w:val="24"/>
        </w:rPr>
      </w:pPr>
    </w:p>
    <w:p>
      <w:pPr>
        <w:pageBreakBefore w:val="0"/>
        <w:kinsoku/>
        <w:wordWrap w:val="0"/>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年   月   日</w:t>
      </w:r>
    </w:p>
    <w:p>
      <w:pPr>
        <w:pageBreakBefore w:val="0"/>
        <w:kinsoku/>
        <w:bidi w:val="0"/>
        <w:spacing w:line="360" w:lineRule="auto"/>
        <w:rPr>
          <w:rFonts w:hint="eastAsia" w:ascii="宋体" w:hAnsi="宋体" w:eastAsia="宋体" w:cs="宋体"/>
          <w:szCs w:val="21"/>
        </w:rPr>
      </w:pPr>
      <w:r>
        <w:rPr>
          <w:rFonts w:hint="eastAsia" w:ascii="宋体" w:hAnsi="宋体" w:eastAsia="宋体" w:cs="宋体"/>
          <w:szCs w:val="21"/>
        </w:rPr>
        <w:br w:type="page"/>
      </w:r>
    </w:p>
    <w:p>
      <w:pPr>
        <w:pStyle w:val="5"/>
        <w:pageBreakBefore w:val="0"/>
        <w:kinsoku/>
        <w:bidi w:val="0"/>
        <w:spacing w:before="0" w:after="0" w:line="360" w:lineRule="auto"/>
        <w:jc w:val="center"/>
        <w:rPr>
          <w:rFonts w:hint="eastAsia" w:ascii="宋体" w:hAnsi="宋体" w:eastAsia="宋体" w:cs="宋体"/>
          <w:color w:val="000000"/>
          <w:sz w:val="28"/>
          <w:szCs w:val="28"/>
        </w:rPr>
      </w:pPr>
      <w:bookmarkStart w:id="534" w:name="_Toc28428"/>
      <w:bookmarkStart w:id="535" w:name="_Toc49166059"/>
      <w:bookmarkStart w:id="536" w:name="_Toc48809212"/>
      <w:bookmarkStart w:id="537" w:name="_Toc5971"/>
      <w:bookmarkStart w:id="538" w:name="_Toc48808928"/>
      <w:r>
        <w:rPr>
          <w:rFonts w:hint="eastAsia" w:ascii="宋体" w:hAnsi="宋体" w:eastAsia="宋体" w:cs="宋体"/>
          <w:kern w:val="0"/>
          <w:sz w:val="24"/>
          <w:szCs w:val="24"/>
        </w:rPr>
        <w:t>七、磋商保证金承诺书</w:t>
      </w:r>
      <w:bookmarkEnd w:id="534"/>
      <w:bookmarkEnd w:id="535"/>
      <w:bookmarkEnd w:id="536"/>
      <w:bookmarkEnd w:id="537"/>
      <w:bookmarkEnd w:id="538"/>
    </w:p>
    <w:p>
      <w:pPr>
        <w:pageBreakBefore w:val="0"/>
        <w:kinsoku/>
        <w:bidi w:val="0"/>
        <w:spacing w:line="360" w:lineRule="auto"/>
        <w:jc w:val="center"/>
        <w:rPr>
          <w:rFonts w:hint="eastAsia" w:ascii="宋体" w:hAnsi="宋体" w:eastAsia="宋体" w:cs="宋体"/>
          <w:sz w:val="24"/>
          <w:szCs w:val="24"/>
        </w:rPr>
      </w:pPr>
      <w:bookmarkStart w:id="539" w:name="_Toc49166060"/>
      <w:bookmarkStart w:id="540" w:name="_Toc9082"/>
      <w:bookmarkStart w:id="541" w:name="_Toc48808929"/>
      <w:bookmarkStart w:id="542" w:name="_Toc48809213"/>
      <w:r>
        <w:rPr>
          <w:rFonts w:hint="eastAsia" w:ascii="宋体" w:hAnsi="宋体" w:eastAsia="宋体" w:cs="宋体"/>
          <w:sz w:val="24"/>
          <w:szCs w:val="24"/>
        </w:rPr>
        <w:t>承诺书</w:t>
      </w:r>
      <w:bookmarkEnd w:id="539"/>
      <w:bookmarkEnd w:id="540"/>
      <w:bookmarkEnd w:id="541"/>
      <w:bookmarkEnd w:id="542"/>
    </w:p>
    <w:p>
      <w:pPr>
        <w:pageBreakBefore w:val="0"/>
        <w:kinsoku/>
        <w:bidi w:val="0"/>
        <w:spacing w:line="360" w:lineRule="auto"/>
        <w:rPr>
          <w:rFonts w:hint="eastAsia" w:ascii="宋体" w:hAnsi="宋体" w:eastAsia="宋体" w:cs="宋体"/>
          <w:color w:val="000000"/>
          <w:sz w:val="24"/>
          <w:szCs w:val="24"/>
          <w:u w:val="single"/>
        </w:rPr>
      </w:pP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_______________________</w:t>
      </w:r>
      <w:r>
        <w:rPr>
          <w:rFonts w:hint="eastAsia" w:ascii="宋体" w:hAnsi="宋体" w:eastAsia="宋体" w:cs="宋体"/>
          <w:sz w:val="24"/>
          <w:szCs w:val="24"/>
        </w:rPr>
        <w:t>（采购人名称）：</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_______________________</w:t>
      </w:r>
      <w:r>
        <w:rPr>
          <w:rFonts w:hint="eastAsia" w:ascii="宋体" w:hAnsi="宋体" w:eastAsia="宋体" w:cs="宋体"/>
          <w:sz w:val="24"/>
          <w:szCs w:val="24"/>
        </w:rPr>
        <w:t>（代理机构名称）：</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我公司作为项目（交易编号：</w:t>
      </w:r>
      <w:r>
        <w:rPr>
          <w:rFonts w:hint="eastAsia" w:ascii="宋体" w:hAnsi="宋体" w:eastAsia="宋体" w:cs="宋体"/>
          <w:sz w:val="24"/>
          <w:szCs w:val="24"/>
          <w:u w:val="single"/>
        </w:rPr>
        <w:t xml:space="preserve">         </w:t>
      </w:r>
      <w:r>
        <w:rPr>
          <w:rFonts w:hint="eastAsia" w:ascii="宋体" w:hAnsi="宋体" w:eastAsia="宋体" w:cs="宋体"/>
          <w:sz w:val="24"/>
          <w:szCs w:val="24"/>
        </w:rPr>
        <w:t>）的供应商，现郑重承诺如下：</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在本次采购活动中，我公司存在下列情形之一的，自愿向采购人缴纳应缴的磋商保证金人民币</w:t>
      </w:r>
      <w:r>
        <w:rPr>
          <w:rFonts w:hint="eastAsia" w:ascii="宋体" w:hAnsi="宋体" w:eastAsia="宋体" w:cs="宋体"/>
          <w:color w:val="000000" w:themeColor="text1"/>
          <w:sz w:val="24"/>
          <w:szCs w:val="24"/>
          <w:highlight w:val="none"/>
          <w:lang w:eastAsia="zh-CN"/>
          <w14:textFill>
            <w14:solidFill>
              <w14:schemeClr w14:val="tx1"/>
            </w14:solidFill>
          </w14:textFill>
        </w:rPr>
        <w:t>肆万元整</w:t>
      </w:r>
      <w:r>
        <w:rPr>
          <w:rFonts w:hint="eastAsia" w:ascii="宋体" w:hAnsi="宋体" w:eastAsia="宋体" w:cs="宋体"/>
          <w:sz w:val="24"/>
          <w:szCs w:val="24"/>
        </w:rPr>
        <w:t>，由采购人没收，因此产生的一切后果和责任由我公司承担，我公司放弃对此提出的任何异议和权利：</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（1）在提交响应文件截止时间后或磋商有效期内撤回响应文件的；</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（2）在响应文件中提供虚假材料的；</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（3）如我公司成交，除因不可抗力或竞争性磋商文件认可的情形以外，我公司不与采购人签订合同的；</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（4）我公司与采购人、其他供应商或者采购代理机构恶意串通的。</w:t>
      </w:r>
    </w:p>
    <w:p>
      <w:pPr>
        <w:pageBreakBefore w:val="0"/>
        <w:kinsoku/>
        <w:bidi w:val="0"/>
        <w:spacing w:line="360" w:lineRule="auto"/>
        <w:ind w:firstLine="480" w:firstLineChars="200"/>
        <w:rPr>
          <w:rFonts w:hint="eastAsia" w:ascii="宋体" w:hAnsi="宋体" w:eastAsia="宋体" w:cs="宋体"/>
          <w:sz w:val="24"/>
          <w:szCs w:val="24"/>
        </w:rPr>
      </w:pP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pPr>
        <w:pageBreakBefore w:val="0"/>
        <w:kinsoku/>
        <w:bidi w:val="0"/>
        <w:spacing w:line="360" w:lineRule="auto"/>
        <w:ind w:firstLine="480" w:firstLineChars="200"/>
        <w:rPr>
          <w:rFonts w:hint="eastAsia" w:ascii="宋体" w:hAnsi="宋体" w:eastAsia="宋体" w:cs="宋体"/>
          <w:sz w:val="24"/>
          <w:szCs w:val="24"/>
        </w:rPr>
      </w:pPr>
    </w:p>
    <w:p>
      <w:pPr>
        <w:pageBreakBefore w:val="0"/>
        <w:kinsoku/>
        <w:bidi w:val="0"/>
        <w:spacing w:line="360" w:lineRule="auto"/>
        <w:ind w:firstLine="480" w:firstLineChars="200"/>
        <w:rPr>
          <w:rFonts w:hint="eastAsia" w:ascii="宋体" w:hAnsi="宋体" w:eastAsia="宋体" w:cs="宋体"/>
          <w:sz w:val="24"/>
          <w:szCs w:val="24"/>
        </w:rPr>
      </w:pPr>
    </w:p>
    <w:p>
      <w:pPr>
        <w:pageBreakBefore w:val="0"/>
        <w:kinsoku/>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供应商：（盖单位公章）</w:t>
      </w:r>
    </w:p>
    <w:p>
      <w:pPr>
        <w:pageBreakBefore w:val="0"/>
        <w:kinsoku/>
        <w:bidi w:val="0"/>
        <w:spacing w:line="360" w:lineRule="auto"/>
        <w:jc w:val="right"/>
        <w:rPr>
          <w:rFonts w:hint="eastAsia" w:ascii="宋体" w:hAnsi="宋体" w:eastAsia="宋体" w:cs="宋体"/>
          <w:sz w:val="24"/>
          <w:szCs w:val="24"/>
        </w:rPr>
      </w:pPr>
      <w:r>
        <w:rPr>
          <w:rFonts w:hint="eastAsia" w:ascii="宋体" w:hAnsi="宋体" w:eastAsia="宋体" w:cs="宋体"/>
          <w:sz w:val="24"/>
          <w:szCs w:val="24"/>
        </w:rPr>
        <w:t>法定代表人或其委托代理人：（签字或盖章）</w:t>
      </w:r>
    </w:p>
    <w:p>
      <w:pPr>
        <w:pageBreakBefore w:val="0"/>
        <w:kinsoku/>
        <w:bidi w:val="0"/>
        <w:spacing w:line="360" w:lineRule="auto"/>
        <w:jc w:val="right"/>
        <w:rPr>
          <w:rFonts w:hint="eastAsia" w:ascii="宋体" w:hAnsi="宋体" w:eastAsia="宋体" w:cs="宋体"/>
          <w:sz w:val="24"/>
          <w:szCs w:val="24"/>
        </w:rPr>
      </w:pPr>
    </w:p>
    <w:p>
      <w:pPr>
        <w:pageBreakBefore w:val="0"/>
        <w:kinsoku/>
        <w:wordWrap w:val="0"/>
        <w:bidi w:val="0"/>
        <w:spacing w:line="360" w:lineRule="auto"/>
        <w:jc w:val="right"/>
        <w:rPr>
          <w:rFonts w:hint="eastAsia" w:ascii="宋体" w:hAnsi="宋体" w:eastAsia="宋体" w:cs="宋体"/>
          <w:szCs w:val="21"/>
        </w:rPr>
      </w:pPr>
      <w:r>
        <w:rPr>
          <w:rFonts w:hint="eastAsia" w:ascii="宋体" w:hAnsi="宋体" w:eastAsia="宋体" w:cs="宋体"/>
          <w:sz w:val="24"/>
          <w:szCs w:val="24"/>
        </w:rPr>
        <w:t xml:space="preserve"> 年   月   日</w:t>
      </w:r>
    </w:p>
    <w:p>
      <w:pPr>
        <w:pageBreakBefore w:val="0"/>
        <w:kinsoku/>
        <w:bidi w:val="0"/>
        <w:spacing w:line="360" w:lineRule="auto"/>
        <w:rPr>
          <w:rFonts w:hint="eastAsia" w:ascii="宋体" w:hAnsi="宋体" w:eastAsia="宋体" w:cs="宋体"/>
          <w:szCs w:val="21"/>
        </w:rPr>
      </w:pPr>
      <w:r>
        <w:rPr>
          <w:rFonts w:hint="eastAsia" w:ascii="宋体" w:hAnsi="宋体" w:eastAsia="宋体" w:cs="宋体"/>
          <w:szCs w:val="21"/>
        </w:rPr>
        <w:br w:type="page"/>
      </w:r>
    </w:p>
    <w:p>
      <w:pPr>
        <w:pStyle w:val="3"/>
        <w:pageBreakBefore w:val="0"/>
        <w:kinsoku/>
        <w:bidi w:val="0"/>
        <w:spacing w:line="360" w:lineRule="auto"/>
        <w:rPr>
          <w:rFonts w:hint="eastAsia" w:ascii="宋体" w:hAnsi="宋体" w:eastAsia="宋体" w:cs="宋体"/>
        </w:rPr>
      </w:pPr>
    </w:p>
    <w:p>
      <w:pPr>
        <w:pageBreakBefore w:val="0"/>
        <w:widowControl/>
        <w:numPr>
          <w:ilvl w:val="0"/>
          <w:numId w:val="5"/>
        </w:numPr>
        <w:kinsoku/>
        <w:bidi w:val="0"/>
        <w:spacing w:line="360" w:lineRule="auto"/>
        <w:jc w:val="center"/>
        <w:outlineLvl w:val="1"/>
        <w:rPr>
          <w:rFonts w:hint="eastAsia" w:ascii="宋体" w:hAnsi="宋体" w:eastAsia="宋体" w:cs="宋体"/>
          <w:b/>
          <w:bCs/>
          <w:kern w:val="0"/>
          <w:sz w:val="24"/>
          <w:szCs w:val="24"/>
        </w:rPr>
      </w:pPr>
      <w:bookmarkStart w:id="543" w:name="_Toc15908"/>
      <w:bookmarkStart w:id="544" w:name="_Toc49166061"/>
      <w:bookmarkStart w:id="545" w:name="_Toc27150"/>
      <w:bookmarkStart w:id="546" w:name="_Toc48808930"/>
      <w:bookmarkStart w:id="547" w:name="_Toc48809214"/>
      <w:r>
        <w:rPr>
          <w:rFonts w:hint="eastAsia" w:ascii="宋体" w:hAnsi="宋体" w:eastAsia="宋体" w:cs="宋体"/>
          <w:b/>
          <w:bCs/>
          <w:kern w:val="0"/>
          <w:sz w:val="24"/>
          <w:szCs w:val="24"/>
          <w:lang w:eastAsia="zh-CN"/>
        </w:rPr>
        <w:t>施工组织设计</w:t>
      </w:r>
      <w:bookmarkEnd w:id="543"/>
    </w:p>
    <w:p>
      <w:pPr>
        <w:pStyle w:val="56"/>
        <w:pageBreakBefore w:val="0"/>
        <w:kinsoku/>
        <w:bidi w:val="0"/>
        <w:spacing w:line="360" w:lineRule="auto"/>
        <w:rPr>
          <w:rFonts w:hint="eastAsia" w:ascii="宋体" w:hAnsi="宋体" w:eastAsia="宋体" w:cs="宋体"/>
          <w:b/>
          <w:bCs/>
          <w:kern w:val="0"/>
          <w:sz w:val="24"/>
          <w:szCs w:val="24"/>
          <w:lang w:eastAsia="zh-CN"/>
        </w:rPr>
      </w:pPr>
    </w:p>
    <w:p>
      <w:pPr>
        <w:pStyle w:val="56"/>
        <w:pageBreakBefore w:val="0"/>
        <w:kinsoku/>
        <w:bidi w:val="0"/>
        <w:spacing w:line="360" w:lineRule="auto"/>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（格式自拟）</w:t>
      </w:r>
    </w:p>
    <w:p>
      <w:pPr>
        <w:pStyle w:val="56"/>
        <w:pageBreakBefore w:val="0"/>
        <w:kinsoku/>
        <w:bidi w:val="0"/>
        <w:spacing w:line="360" w:lineRule="auto"/>
        <w:rPr>
          <w:rFonts w:hint="eastAsia" w:ascii="宋体" w:hAnsi="宋体" w:eastAsia="宋体" w:cs="宋体"/>
          <w:b/>
          <w:bCs/>
          <w:kern w:val="0"/>
          <w:sz w:val="24"/>
          <w:szCs w:val="24"/>
          <w:lang w:eastAsia="zh-CN"/>
        </w:rPr>
      </w:pPr>
    </w:p>
    <w:p>
      <w:pPr>
        <w:pStyle w:val="56"/>
        <w:pageBreakBefore w:val="0"/>
        <w:kinsoku/>
        <w:bidi w:val="0"/>
        <w:spacing w:line="360" w:lineRule="auto"/>
        <w:rPr>
          <w:rFonts w:hint="eastAsia" w:ascii="宋体" w:hAnsi="宋体" w:eastAsia="宋体" w:cs="宋体"/>
          <w:b/>
          <w:bCs/>
          <w:kern w:val="0"/>
          <w:sz w:val="24"/>
          <w:szCs w:val="24"/>
          <w:lang w:eastAsia="zh-CN"/>
        </w:rPr>
      </w:pPr>
    </w:p>
    <w:p>
      <w:pPr>
        <w:pStyle w:val="56"/>
        <w:pageBreakBefore w:val="0"/>
        <w:kinsoku/>
        <w:bidi w:val="0"/>
        <w:spacing w:line="360" w:lineRule="auto"/>
        <w:rPr>
          <w:rFonts w:hint="eastAsia" w:ascii="宋体" w:hAnsi="宋体" w:eastAsia="宋体" w:cs="宋体"/>
          <w:b/>
          <w:bCs/>
          <w:kern w:val="0"/>
          <w:sz w:val="24"/>
          <w:szCs w:val="24"/>
          <w:lang w:eastAsia="zh-CN"/>
        </w:rPr>
      </w:pPr>
    </w:p>
    <w:p>
      <w:pPr>
        <w:pStyle w:val="56"/>
        <w:pageBreakBefore w:val="0"/>
        <w:kinsoku/>
        <w:bidi w:val="0"/>
        <w:spacing w:line="360" w:lineRule="auto"/>
        <w:rPr>
          <w:rFonts w:hint="eastAsia" w:ascii="宋体" w:hAnsi="宋体" w:eastAsia="宋体" w:cs="宋体"/>
          <w:b/>
          <w:bCs/>
          <w:kern w:val="0"/>
          <w:sz w:val="24"/>
          <w:szCs w:val="24"/>
          <w:lang w:eastAsia="zh-CN"/>
        </w:rPr>
      </w:pPr>
    </w:p>
    <w:p>
      <w:pPr>
        <w:pStyle w:val="56"/>
        <w:pageBreakBefore w:val="0"/>
        <w:kinsoku/>
        <w:bidi w:val="0"/>
        <w:spacing w:line="360" w:lineRule="auto"/>
        <w:rPr>
          <w:rFonts w:hint="eastAsia" w:ascii="宋体" w:hAnsi="宋体" w:eastAsia="宋体" w:cs="宋体"/>
          <w:b/>
          <w:bCs/>
          <w:kern w:val="0"/>
          <w:sz w:val="24"/>
          <w:szCs w:val="24"/>
          <w:lang w:eastAsia="zh-CN"/>
        </w:rPr>
      </w:pPr>
    </w:p>
    <w:p>
      <w:pPr>
        <w:pStyle w:val="56"/>
        <w:pageBreakBefore w:val="0"/>
        <w:kinsoku/>
        <w:bidi w:val="0"/>
        <w:spacing w:line="360" w:lineRule="auto"/>
        <w:rPr>
          <w:rFonts w:hint="eastAsia" w:ascii="宋体" w:hAnsi="宋体" w:eastAsia="宋体" w:cs="宋体"/>
          <w:b/>
          <w:bCs/>
          <w:kern w:val="0"/>
          <w:sz w:val="24"/>
          <w:szCs w:val="24"/>
          <w:lang w:eastAsia="zh-CN"/>
        </w:rPr>
      </w:pPr>
    </w:p>
    <w:p>
      <w:pPr>
        <w:pStyle w:val="57"/>
        <w:pageBreakBefore w:val="0"/>
        <w:kinsoku/>
        <w:bidi w:val="0"/>
        <w:spacing w:line="360" w:lineRule="auto"/>
        <w:rPr>
          <w:rFonts w:hint="eastAsia" w:ascii="宋体" w:hAnsi="宋体" w:eastAsia="宋体" w:cs="宋体"/>
          <w:b/>
          <w:bCs/>
          <w:kern w:val="0"/>
          <w:sz w:val="24"/>
          <w:szCs w:val="24"/>
          <w:lang w:eastAsia="zh-CN"/>
        </w:rPr>
      </w:pPr>
    </w:p>
    <w:p>
      <w:pPr>
        <w:pageBreakBefore w:val="0"/>
        <w:kinsoku/>
        <w:bidi w:val="0"/>
        <w:spacing w:line="360" w:lineRule="auto"/>
        <w:rPr>
          <w:rFonts w:hint="eastAsia" w:ascii="宋体" w:hAnsi="宋体" w:eastAsia="宋体" w:cs="宋体"/>
          <w:b/>
          <w:bCs/>
          <w:kern w:val="0"/>
          <w:sz w:val="24"/>
          <w:szCs w:val="24"/>
          <w:lang w:eastAsia="zh-CN"/>
        </w:rPr>
      </w:pPr>
    </w:p>
    <w:p>
      <w:pPr>
        <w:pStyle w:val="2"/>
        <w:pageBreakBefore w:val="0"/>
        <w:kinsoku/>
        <w:bidi w:val="0"/>
        <w:spacing w:after="0" w:line="360" w:lineRule="auto"/>
        <w:rPr>
          <w:rFonts w:hint="eastAsia" w:ascii="宋体" w:hAnsi="宋体" w:eastAsia="宋体" w:cs="宋体"/>
          <w:b/>
          <w:bCs/>
          <w:kern w:val="0"/>
          <w:sz w:val="24"/>
          <w:szCs w:val="24"/>
          <w:lang w:eastAsia="zh-CN"/>
        </w:rPr>
      </w:pPr>
    </w:p>
    <w:p>
      <w:pPr>
        <w:pageBreakBefore w:val="0"/>
        <w:kinsoku/>
        <w:bidi w:val="0"/>
        <w:spacing w:line="360" w:lineRule="auto"/>
        <w:rPr>
          <w:rFonts w:hint="eastAsia" w:ascii="宋体" w:hAnsi="宋体" w:eastAsia="宋体" w:cs="宋体"/>
          <w:b/>
          <w:bCs/>
          <w:kern w:val="0"/>
          <w:sz w:val="24"/>
          <w:szCs w:val="24"/>
          <w:lang w:eastAsia="zh-CN"/>
        </w:rPr>
      </w:pPr>
    </w:p>
    <w:p>
      <w:pPr>
        <w:pStyle w:val="2"/>
        <w:pageBreakBefore w:val="0"/>
        <w:kinsoku/>
        <w:bidi w:val="0"/>
        <w:spacing w:after="0" w:line="360" w:lineRule="auto"/>
        <w:rPr>
          <w:rFonts w:hint="eastAsia" w:ascii="宋体" w:hAnsi="宋体" w:eastAsia="宋体" w:cs="宋体"/>
          <w:b/>
          <w:bCs/>
          <w:kern w:val="0"/>
          <w:sz w:val="24"/>
          <w:szCs w:val="24"/>
          <w:lang w:eastAsia="zh-CN"/>
        </w:rPr>
      </w:pPr>
    </w:p>
    <w:p>
      <w:pPr>
        <w:pageBreakBefore w:val="0"/>
        <w:kinsoku/>
        <w:bidi w:val="0"/>
        <w:spacing w:line="360" w:lineRule="auto"/>
        <w:rPr>
          <w:rFonts w:hint="eastAsia" w:ascii="宋体" w:hAnsi="宋体" w:eastAsia="宋体" w:cs="宋体"/>
          <w:b/>
          <w:bCs/>
          <w:kern w:val="0"/>
          <w:sz w:val="24"/>
          <w:szCs w:val="24"/>
          <w:lang w:eastAsia="zh-CN"/>
        </w:rPr>
      </w:pPr>
    </w:p>
    <w:p>
      <w:pPr>
        <w:pStyle w:val="2"/>
        <w:pageBreakBefore w:val="0"/>
        <w:kinsoku/>
        <w:bidi w:val="0"/>
        <w:spacing w:after="0" w:line="360" w:lineRule="auto"/>
        <w:rPr>
          <w:rFonts w:hint="eastAsia" w:ascii="宋体" w:hAnsi="宋体" w:eastAsia="宋体" w:cs="宋体"/>
          <w:b/>
          <w:bCs/>
          <w:kern w:val="0"/>
          <w:sz w:val="24"/>
          <w:szCs w:val="24"/>
          <w:lang w:eastAsia="zh-CN"/>
        </w:rPr>
      </w:pPr>
    </w:p>
    <w:p>
      <w:pPr>
        <w:pageBreakBefore w:val="0"/>
        <w:kinsoku/>
        <w:bidi w:val="0"/>
        <w:spacing w:line="360" w:lineRule="auto"/>
        <w:rPr>
          <w:rFonts w:hint="eastAsia" w:ascii="宋体" w:hAnsi="宋体" w:eastAsia="宋体" w:cs="宋体"/>
          <w:b/>
          <w:bCs/>
          <w:kern w:val="0"/>
          <w:sz w:val="24"/>
          <w:szCs w:val="24"/>
          <w:lang w:eastAsia="zh-CN"/>
        </w:rPr>
      </w:pPr>
    </w:p>
    <w:p>
      <w:pPr>
        <w:pStyle w:val="2"/>
        <w:pageBreakBefore w:val="0"/>
        <w:kinsoku/>
        <w:bidi w:val="0"/>
        <w:spacing w:after="0" w:line="360" w:lineRule="auto"/>
        <w:rPr>
          <w:rFonts w:hint="eastAsia" w:ascii="宋体" w:hAnsi="宋体" w:eastAsia="宋体" w:cs="宋体"/>
          <w:b/>
          <w:bCs/>
          <w:kern w:val="0"/>
          <w:sz w:val="24"/>
          <w:szCs w:val="24"/>
          <w:lang w:eastAsia="zh-CN"/>
        </w:rPr>
      </w:pPr>
    </w:p>
    <w:p>
      <w:pPr>
        <w:pageBreakBefore w:val="0"/>
        <w:kinsoku/>
        <w:bidi w:val="0"/>
        <w:spacing w:line="360" w:lineRule="auto"/>
        <w:rPr>
          <w:rFonts w:hint="eastAsia" w:ascii="宋体" w:hAnsi="宋体" w:eastAsia="宋体" w:cs="宋体"/>
          <w:b/>
          <w:bCs/>
          <w:kern w:val="0"/>
          <w:sz w:val="24"/>
          <w:szCs w:val="24"/>
          <w:lang w:eastAsia="zh-CN"/>
        </w:rPr>
      </w:pPr>
    </w:p>
    <w:p>
      <w:pPr>
        <w:pStyle w:val="2"/>
        <w:pageBreakBefore w:val="0"/>
        <w:kinsoku/>
        <w:bidi w:val="0"/>
        <w:spacing w:after="0" w:line="360" w:lineRule="auto"/>
        <w:rPr>
          <w:rFonts w:hint="eastAsia" w:ascii="宋体" w:hAnsi="宋体" w:eastAsia="宋体" w:cs="宋体"/>
          <w:b/>
          <w:bCs/>
          <w:kern w:val="0"/>
          <w:sz w:val="24"/>
          <w:szCs w:val="24"/>
          <w:lang w:eastAsia="zh-CN"/>
        </w:rPr>
      </w:pPr>
    </w:p>
    <w:p>
      <w:pPr>
        <w:pageBreakBefore w:val="0"/>
        <w:kinsoku/>
        <w:bidi w:val="0"/>
        <w:spacing w:line="360" w:lineRule="auto"/>
        <w:rPr>
          <w:rFonts w:hint="eastAsia" w:ascii="宋体" w:hAnsi="宋体" w:eastAsia="宋体" w:cs="宋体"/>
          <w:b/>
          <w:bCs/>
          <w:kern w:val="0"/>
          <w:sz w:val="24"/>
          <w:szCs w:val="24"/>
          <w:lang w:eastAsia="zh-CN"/>
        </w:rPr>
      </w:pPr>
    </w:p>
    <w:p>
      <w:pPr>
        <w:pStyle w:val="2"/>
        <w:pageBreakBefore w:val="0"/>
        <w:kinsoku/>
        <w:bidi w:val="0"/>
        <w:spacing w:after="0" w:line="360" w:lineRule="auto"/>
        <w:rPr>
          <w:rFonts w:hint="eastAsia" w:ascii="宋体" w:hAnsi="宋体" w:eastAsia="宋体" w:cs="宋体"/>
          <w:b/>
          <w:bCs/>
          <w:kern w:val="0"/>
          <w:sz w:val="24"/>
          <w:szCs w:val="24"/>
          <w:lang w:eastAsia="zh-CN"/>
        </w:rPr>
      </w:pPr>
    </w:p>
    <w:p>
      <w:pPr>
        <w:pageBreakBefore w:val="0"/>
        <w:kinsoku/>
        <w:bidi w:val="0"/>
        <w:spacing w:line="360" w:lineRule="auto"/>
        <w:rPr>
          <w:rFonts w:hint="eastAsia" w:ascii="宋体" w:hAnsi="宋体" w:eastAsia="宋体" w:cs="宋体"/>
          <w:b/>
          <w:bCs/>
          <w:kern w:val="0"/>
          <w:sz w:val="24"/>
          <w:szCs w:val="24"/>
          <w:lang w:eastAsia="zh-CN"/>
        </w:rPr>
      </w:pPr>
    </w:p>
    <w:p>
      <w:pPr>
        <w:pStyle w:val="2"/>
        <w:pageBreakBefore w:val="0"/>
        <w:kinsoku/>
        <w:bidi w:val="0"/>
        <w:spacing w:after="0" w:line="360" w:lineRule="auto"/>
        <w:rPr>
          <w:rFonts w:hint="eastAsia" w:ascii="宋体" w:hAnsi="宋体" w:eastAsia="宋体" w:cs="宋体"/>
          <w:b/>
          <w:bCs/>
          <w:kern w:val="0"/>
          <w:sz w:val="24"/>
          <w:szCs w:val="24"/>
          <w:lang w:eastAsia="zh-CN"/>
        </w:rPr>
      </w:pPr>
    </w:p>
    <w:p>
      <w:pPr>
        <w:pageBreakBefore w:val="0"/>
        <w:kinsoku/>
        <w:bidi w:val="0"/>
        <w:spacing w:line="360" w:lineRule="auto"/>
        <w:rPr>
          <w:rFonts w:hint="eastAsia" w:ascii="宋体" w:hAnsi="宋体" w:eastAsia="宋体" w:cs="宋体"/>
          <w:b/>
          <w:bCs/>
          <w:kern w:val="0"/>
          <w:sz w:val="24"/>
          <w:szCs w:val="24"/>
          <w:lang w:eastAsia="zh-CN"/>
        </w:rPr>
      </w:pPr>
    </w:p>
    <w:p>
      <w:pPr>
        <w:pStyle w:val="2"/>
        <w:pageBreakBefore w:val="0"/>
        <w:kinsoku/>
        <w:bidi w:val="0"/>
        <w:spacing w:after="0" w:line="360" w:lineRule="auto"/>
        <w:rPr>
          <w:rFonts w:hint="eastAsia" w:ascii="宋体" w:hAnsi="宋体" w:eastAsia="宋体" w:cs="宋体"/>
          <w:b/>
          <w:bCs/>
          <w:kern w:val="0"/>
          <w:sz w:val="24"/>
          <w:szCs w:val="24"/>
          <w:lang w:eastAsia="zh-CN"/>
        </w:rPr>
      </w:pPr>
    </w:p>
    <w:p>
      <w:pPr>
        <w:pageBreakBefore w:val="0"/>
        <w:kinsoku/>
        <w:bidi w:val="0"/>
        <w:spacing w:line="360" w:lineRule="auto"/>
        <w:rPr>
          <w:rFonts w:hint="eastAsia" w:ascii="宋体" w:hAnsi="宋体" w:eastAsia="宋体" w:cs="宋体"/>
          <w:b/>
          <w:bCs/>
          <w:kern w:val="0"/>
          <w:sz w:val="24"/>
          <w:szCs w:val="24"/>
          <w:lang w:eastAsia="zh-CN"/>
        </w:rPr>
      </w:pPr>
    </w:p>
    <w:p>
      <w:pPr>
        <w:pStyle w:val="2"/>
        <w:pageBreakBefore w:val="0"/>
        <w:kinsoku/>
        <w:bidi w:val="0"/>
        <w:spacing w:after="0" w:line="360" w:lineRule="auto"/>
        <w:rPr>
          <w:rFonts w:hint="eastAsia" w:ascii="宋体" w:hAnsi="宋体" w:eastAsia="宋体" w:cs="宋体"/>
          <w:b/>
          <w:bCs/>
          <w:kern w:val="0"/>
          <w:sz w:val="24"/>
          <w:szCs w:val="24"/>
          <w:lang w:eastAsia="zh-CN"/>
        </w:rPr>
      </w:pPr>
    </w:p>
    <w:p>
      <w:pPr>
        <w:pageBreakBefore w:val="0"/>
        <w:widowControl/>
        <w:numPr>
          <w:ilvl w:val="0"/>
          <w:numId w:val="5"/>
        </w:numPr>
        <w:kinsoku/>
        <w:bidi w:val="0"/>
        <w:spacing w:line="360" w:lineRule="auto"/>
        <w:jc w:val="center"/>
        <w:outlineLvl w:val="1"/>
        <w:rPr>
          <w:rFonts w:hint="eastAsia" w:ascii="宋体" w:hAnsi="宋体" w:eastAsia="宋体" w:cs="宋体"/>
          <w:b/>
          <w:bCs/>
          <w:kern w:val="0"/>
          <w:sz w:val="24"/>
          <w:szCs w:val="24"/>
        </w:rPr>
      </w:pPr>
      <w:bookmarkStart w:id="548" w:name="_Toc29784"/>
      <w:r>
        <w:rPr>
          <w:rFonts w:hint="eastAsia" w:ascii="宋体" w:hAnsi="宋体" w:eastAsia="宋体" w:cs="宋体"/>
          <w:b/>
          <w:bCs/>
          <w:kern w:val="0"/>
          <w:sz w:val="24"/>
          <w:szCs w:val="24"/>
        </w:rPr>
        <w:t>焦作市政府采购供应商资格信用承诺函</w:t>
      </w:r>
      <w:bookmarkEnd w:id="548"/>
    </w:p>
    <w:p>
      <w:pPr>
        <w:pageBreakBefore w:val="0"/>
        <w:kinsoku/>
        <w:bidi w:val="0"/>
        <w:spacing w:line="360" w:lineRule="auto"/>
        <w:rPr>
          <w:rFonts w:hint="eastAsia" w:ascii="宋体" w:hAnsi="宋体" w:eastAsia="宋体" w:cs="宋体"/>
          <w:b/>
          <w:bCs/>
          <w:kern w:val="0"/>
          <w:sz w:val="24"/>
          <w:szCs w:val="24"/>
          <w:lang w:eastAsia="zh-CN"/>
        </w:rPr>
      </w:pPr>
    </w:p>
    <w:p>
      <w:pPr>
        <w:pageBreakBefore w:val="0"/>
        <w:kinsoku/>
        <w:bidi w:val="0"/>
        <w:adjustRightInd w:val="0"/>
        <w:snapToGrid w:val="0"/>
        <w:spacing w:line="360" w:lineRule="auto"/>
        <w:jc w:val="center"/>
        <w:rPr>
          <w:rFonts w:hint="eastAsia" w:ascii="宋体" w:hAnsi="宋体" w:eastAsia="宋体" w:cs="宋体"/>
        </w:rPr>
      </w:pPr>
      <w:r>
        <w:rPr>
          <w:rFonts w:hint="eastAsia" w:ascii="宋体" w:hAnsi="宋体" w:eastAsia="宋体" w:cs="宋体"/>
          <w:kern w:val="0"/>
          <w:sz w:val="36"/>
          <w:szCs w:val="36"/>
        </w:rPr>
        <w:t>焦作市政府采购供应商资格信用承诺函</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致（采购人或采购代理机构） ：                </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供应商名称：                </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统一社会信用代码：           </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供应商地址：                  </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 </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1.我单位具有符合采购文件资格要求独立承担民事责任的能力。</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2.我单位具有符合采购文件资格要求的财务状况报告。 </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3.我单位具有符合采购文件资格要求的依法缴纳税收和社会保障记录的良好记录。 </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4.我单位具有符合采购文件资格要求履行合同所必需的设备和专业技术能力。 </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若我单位承诺不实，自愿承担提供虚假材料谋取</w:t>
      </w:r>
      <w:r>
        <w:rPr>
          <w:rFonts w:hint="eastAsia" w:ascii="宋体" w:hAnsi="宋体" w:cs="宋体"/>
          <w:sz w:val="24"/>
          <w:lang w:eastAsia="zh-CN"/>
        </w:rPr>
        <w:t>成交</w:t>
      </w:r>
      <w:r>
        <w:rPr>
          <w:rFonts w:hint="eastAsia" w:ascii="宋体" w:hAnsi="宋体" w:eastAsia="宋体" w:cs="宋体"/>
          <w:sz w:val="24"/>
        </w:rPr>
        <w:t>、成交的法律责任。</w:t>
      </w:r>
    </w:p>
    <w:p>
      <w:pPr>
        <w:pageBreakBefore w:val="0"/>
        <w:kinsoku/>
        <w:bidi w:val="0"/>
        <w:spacing w:line="360" w:lineRule="auto"/>
        <w:ind w:firstLine="480" w:firstLineChars="200"/>
        <w:rPr>
          <w:rFonts w:hint="eastAsia" w:ascii="宋体" w:hAnsi="宋体" w:eastAsia="宋体" w:cs="宋体"/>
          <w:sz w:val="24"/>
        </w:rPr>
      </w:pP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承诺供应商（全称并加盖公章）： </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法定代表人（负责人）或委托代理人(签字或签章)： </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日期：   年   月  日 </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注：1.供应商须在</w:t>
      </w:r>
      <w:r>
        <w:rPr>
          <w:rFonts w:hint="eastAsia" w:ascii="宋体" w:hAnsi="宋体" w:eastAsia="宋体" w:cs="宋体"/>
          <w:sz w:val="24"/>
          <w:lang w:eastAsia="zh-CN"/>
        </w:rPr>
        <w:t>响应</w:t>
      </w:r>
      <w:r>
        <w:rPr>
          <w:rFonts w:hint="eastAsia" w:ascii="宋体" w:hAnsi="宋体" w:eastAsia="宋体" w:cs="宋体"/>
          <w:sz w:val="24"/>
        </w:rPr>
        <w:t>文件中按此模板提供承诺函，未提供视为未实质性响应</w:t>
      </w:r>
      <w:r>
        <w:rPr>
          <w:rFonts w:hint="eastAsia" w:ascii="宋体" w:hAnsi="宋体" w:eastAsia="宋体" w:cs="宋体"/>
          <w:sz w:val="24"/>
          <w:lang w:eastAsia="zh-CN"/>
        </w:rPr>
        <w:t>竞争性磋商</w:t>
      </w:r>
      <w:r>
        <w:rPr>
          <w:rFonts w:hint="eastAsia" w:ascii="宋体" w:hAnsi="宋体" w:eastAsia="宋体" w:cs="宋体"/>
          <w:sz w:val="24"/>
        </w:rPr>
        <w:t xml:space="preserve">文件要求，按无效标处理。 </w:t>
      </w:r>
    </w:p>
    <w:p>
      <w:pPr>
        <w:pageBreakBefore w:val="0"/>
        <w:kinsoku/>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供应商的法定代表人（其他组织的为负责人）或者委托代理人的签字或盖章应真实、有效，如由委托代理人签字或盖章的， 应提供“法定代表人（负责人）授权书”。 </w:t>
      </w:r>
    </w:p>
    <w:p>
      <w:pPr>
        <w:pStyle w:val="3"/>
        <w:pageBreakBefore w:val="0"/>
        <w:kinsoku/>
        <w:bidi w:val="0"/>
        <w:spacing w:line="360" w:lineRule="auto"/>
        <w:rPr>
          <w:rFonts w:hint="eastAsia" w:ascii="宋体" w:hAnsi="宋体" w:eastAsia="宋体" w:cs="宋体"/>
          <w:b/>
          <w:bCs/>
          <w:kern w:val="0"/>
          <w:sz w:val="24"/>
          <w:szCs w:val="24"/>
          <w:lang w:eastAsia="zh-CN"/>
        </w:rPr>
      </w:pPr>
    </w:p>
    <w:p>
      <w:pPr>
        <w:pStyle w:val="3"/>
        <w:pageBreakBefore w:val="0"/>
        <w:kinsoku/>
        <w:bidi w:val="0"/>
        <w:spacing w:line="360" w:lineRule="auto"/>
        <w:rPr>
          <w:rFonts w:hint="eastAsia" w:ascii="宋体" w:hAnsi="宋体" w:eastAsia="宋体" w:cs="宋体"/>
          <w:b/>
          <w:bCs/>
          <w:kern w:val="0"/>
          <w:sz w:val="24"/>
          <w:szCs w:val="24"/>
          <w:lang w:eastAsia="zh-CN"/>
        </w:rPr>
      </w:pPr>
    </w:p>
    <w:bookmarkEnd w:id="544"/>
    <w:bookmarkEnd w:id="545"/>
    <w:bookmarkEnd w:id="546"/>
    <w:bookmarkEnd w:id="547"/>
    <w:p>
      <w:pPr>
        <w:pStyle w:val="3"/>
        <w:pageBreakBefore w:val="0"/>
        <w:kinsoku/>
        <w:bidi w:val="0"/>
        <w:spacing w:line="360" w:lineRule="auto"/>
        <w:rPr>
          <w:rFonts w:hint="eastAsia" w:ascii="宋体" w:hAnsi="宋体" w:eastAsia="宋体" w:cs="宋体"/>
          <w:b/>
          <w:bCs/>
          <w:kern w:val="0"/>
          <w:sz w:val="24"/>
          <w:szCs w:val="24"/>
          <w:lang w:eastAsia="zh-CN"/>
        </w:rPr>
      </w:pPr>
    </w:p>
    <w:p>
      <w:pPr>
        <w:pStyle w:val="3"/>
        <w:pageBreakBefore w:val="0"/>
        <w:kinsoku/>
        <w:bidi w:val="0"/>
        <w:spacing w:line="360" w:lineRule="auto"/>
        <w:rPr>
          <w:rFonts w:hint="eastAsia" w:ascii="宋体" w:hAnsi="宋体" w:eastAsia="宋体" w:cs="宋体"/>
          <w:b/>
          <w:bCs/>
          <w:kern w:val="0"/>
          <w:sz w:val="24"/>
          <w:szCs w:val="24"/>
          <w:lang w:eastAsia="zh-CN"/>
        </w:rPr>
      </w:pPr>
    </w:p>
    <w:p>
      <w:pPr>
        <w:pStyle w:val="3"/>
        <w:pageBreakBefore w:val="0"/>
        <w:kinsoku/>
        <w:bidi w:val="0"/>
        <w:spacing w:line="360" w:lineRule="auto"/>
        <w:rPr>
          <w:rFonts w:hint="eastAsia" w:ascii="宋体" w:hAnsi="宋体" w:eastAsia="宋体" w:cs="宋体"/>
          <w:b/>
          <w:bCs/>
          <w:kern w:val="0"/>
          <w:sz w:val="24"/>
          <w:szCs w:val="24"/>
          <w:lang w:eastAsia="zh-CN"/>
        </w:rPr>
      </w:pPr>
    </w:p>
    <w:p>
      <w:pPr>
        <w:pageBreakBefore w:val="0"/>
        <w:widowControl/>
        <w:numPr>
          <w:ilvl w:val="0"/>
          <w:numId w:val="5"/>
        </w:numPr>
        <w:kinsoku/>
        <w:bidi w:val="0"/>
        <w:spacing w:line="360" w:lineRule="auto"/>
        <w:jc w:val="center"/>
        <w:outlineLvl w:val="1"/>
        <w:rPr>
          <w:rFonts w:hint="eastAsia" w:ascii="宋体" w:hAnsi="宋体" w:eastAsia="宋体" w:cs="宋体"/>
          <w:b/>
          <w:bCs/>
          <w:kern w:val="0"/>
          <w:sz w:val="24"/>
          <w:szCs w:val="24"/>
        </w:rPr>
      </w:pPr>
      <w:bookmarkStart w:id="549" w:name="_Toc3002"/>
      <w:r>
        <w:rPr>
          <w:rFonts w:hint="eastAsia" w:ascii="宋体" w:hAnsi="宋体" w:eastAsia="宋体" w:cs="宋体"/>
          <w:b/>
          <w:bCs/>
          <w:kern w:val="0"/>
          <w:sz w:val="24"/>
          <w:szCs w:val="24"/>
        </w:rPr>
        <w:t>磋商文件要求的或供应商认为需要加以说明的其他内容</w:t>
      </w:r>
      <w:bookmarkEnd w:id="491"/>
      <w:bookmarkEnd w:id="492"/>
      <w:bookmarkEnd w:id="493"/>
      <w:bookmarkEnd w:id="494"/>
      <w:bookmarkEnd w:id="510"/>
      <w:bookmarkEnd w:id="511"/>
      <w:bookmarkEnd w:id="512"/>
      <w:bookmarkEnd w:id="513"/>
      <w:bookmarkEnd w:id="514"/>
      <w:bookmarkEnd w:id="515"/>
      <w:bookmarkEnd w:id="516"/>
      <w:bookmarkEnd w:id="549"/>
    </w:p>
    <w:p>
      <w:pPr>
        <w:pStyle w:val="2"/>
        <w:pageBreakBefore w:val="0"/>
        <w:kinsoku/>
        <w:bidi w:val="0"/>
        <w:spacing w:after="0" w:line="360" w:lineRule="auto"/>
        <w:rPr>
          <w:rFonts w:hint="eastAsia" w:ascii="宋体" w:hAnsi="宋体" w:eastAsia="宋体" w:cs="宋体"/>
        </w:rPr>
      </w:pPr>
    </w:p>
    <w:p>
      <w:pPr>
        <w:pageBreakBefore w:val="0"/>
        <w:widowControl/>
        <w:kinsoku/>
        <w:bidi w:val="0"/>
        <w:spacing w:line="360" w:lineRule="auto"/>
        <w:jc w:val="center"/>
        <w:outlineLvl w:val="1"/>
        <w:rPr>
          <w:rFonts w:hint="eastAsia" w:ascii="宋体" w:hAnsi="宋体" w:eastAsia="宋体" w:cs="宋体"/>
          <w:b/>
          <w:bCs/>
          <w:kern w:val="0"/>
          <w:sz w:val="24"/>
          <w:szCs w:val="24"/>
        </w:rPr>
      </w:pPr>
      <w:bookmarkStart w:id="550" w:name="_Toc49166062"/>
      <w:bookmarkStart w:id="551" w:name="_Toc48809215"/>
      <w:bookmarkStart w:id="552" w:name="_Toc48808931"/>
      <w:bookmarkStart w:id="553" w:name="_Toc28823"/>
      <w:bookmarkStart w:id="554" w:name="_Toc1708"/>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Style w:val="2"/>
        <w:pageBreakBefore w:val="0"/>
        <w:kinsoku/>
        <w:bidi w:val="0"/>
        <w:spacing w:after="0" w:line="360" w:lineRule="auto"/>
        <w:rPr>
          <w:rFonts w:hint="eastAsia" w:ascii="宋体" w:hAnsi="宋体" w:eastAsia="宋体" w:cs="宋体"/>
          <w:b/>
          <w:bCs/>
          <w:kern w:val="0"/>
          <w:sz w:val="24"/>
          <w:szCs w:val="24"/>
        </w:rPr>
      </w:pPr>
    </w:p>
    <w:p>
      <w:pPr>
        <w:pageBreakBefore w:val="0"/>
        <w:kinsoku/>
        <w:bidi w:val="0"/>
        <w:spacing w:line="360" w:lineRule="auto"/>
        <w:rPr>
          <w:rFonts w:hint="eastAsia" w:ascii="宋体" w:hAnsi="宋体" w:eastAsia="宋体" w:cs="宋体"/>
          <w:b/>
          <w:bCs/>
          <w:kern w:val="0"/>
          <w:sz w:val="24"/>
          <w:szCs w:val="24"/>
        </w:rPr>
      </w:pPr>
    </w:p>
    <w:p>
      <w:pPr>
        <w:pStyle w:val="2"/>
        <w:pageBreakBefore w:val="0"/>
        <w:kinsoku/>
        <w:bidi w:val="0"/>
        <w:spacing w:after="0" w:line="360" w:lineRule="auto"/>
        <w:rPr>
          <w:rFonts w:hint="eastAsia" w:ascii="宋体" w:hAnsi="宋体" w:eastAsia="宋体" w:cs="宋体"/>
          <w:b/>
          <w:bCs/>
          <w:kern w:val="0"/>
          <w:sz w:val="24"/>
          <w:szCs w:val="24"/>
        </w:rPr>
      </w:pPr>
    </w:p>
    <w:p>
      <w:pPr>
        <w:pageBreakBefore w:val="0"/>
        <w:kinsoku/>
        <w:bidi w:val="0"/>
        <w:spacing w:line="360" w:lineRule="auto"/>
        <w:rPr>
          <w:rFonts w:hint="eastAsia" w:ascii="宋体" w:hAnsi="宋体" w:eastAsia="宋体" w:cs="宋体"/>
          <w:b/>
          <w:bCs/>
          <w:kern w:val="0"/>
          <w:sz w:val="24"/>
          <w:szCs w:val="24"/>
        </w:rPr>
      </w:pPr>
    </w:p>
    <w:p>
      <w:pPr>
        <w:pStyle w:val="2"/>
        <w:pageBreakBefore w:val="0"/>
        <w:kinsoku/>
        <w:bidi w:val="0"/>
        <w:spacing w:after="0" w:line="360" w:lineRule="auto"/>
        <w:rPr>
          <w:rFonts w:hint="eastAsia" w:ascii="宋体" w:hAnsi="宋体" w:eastAsia="宋体" w:cs="宋体"/>
          <w:b/>
          <w:bCs/>
          <w:kern w:val="0"/>
          <w:sz w:val="24"/>
          <w:szCs w:val="24"/>
        </w:rPr>
      </w:pPr>
    </w:p>
    <w:p>
      <w:pPr>
        <w:pageBreakBefore w:val="0"/>
        <w:kinsoku/>
        <w:bidi w:val="0"/>
        <w:spacing w:line="360" w:lineRule="auto"/>
        <w:rPr>
          <w:rFonts w:hint="eastAsia" w:ascii="宋体" w:hAnsi="宋体" w:eastAsia="宋体" w:cs="宋体"/>
          <w:b/>
          <w:bCs/>
          <w:kern w:val="0"/>
          <w:sz w:val="24"/>
          <w:szCs w:val="24"/>
        </w:rPr>
      </w:pPr>
    </w:p>
    <w:p>
      <w:pPr>
        <w:pStyle w:val="2"/>
        <w:pageBreakBefore w:val="0"/>
        <w:kinsoku/>
        <w:bidi w:val="0"/>
        <w:spacing w:after="0" w:line="360" w:lineRule="auto"/>
        <w:rPr>
          <w:rFonts w:hint="eastAsia" w:ascii="宋体" w:hAnsi="宋体" w:eastAsia="宋体" w:cs="宋体"/>
          <w:b/>
          <w:bCs/>
          <w:kern w:val="0"/>
          <w:sz w:val="24"/>
          <w:szCs w:val="24"/>
        </w:rPr>
      </w:pPr>
    </w:p>
    <w:p>
      <w:pPr>
        <w:pageBreakBefore w:val="0"/>
        <w:kinsoku/>
        <w:bidi w:val="0"/>
        <w:spacing w:line="360" w:lineRule="auto"/>
        <w:rPr>
          <w:rFonts w:hint="eastAsia" w:ascii="宋体" w:hAnsi="宋体" w:eastAsia="宋体" w:cs="宋体"/>
          <w:b/>
          <w:bCs/>
          <w:kern w:val="0"/>
          <w:sz w:val="24"/>
          <w:szCs w:val="24"/>
        </w:rPr>
      </w:pPr>
    </w:p>
    <w:p>
      <w:pPr>
        <w:pStyle w:val="2"/>
        <w:pageBreakBefore w:val="0"/>
        <w:kinsoku/>
        <w:bidi w:val="0"/>
        <w:spacing w:after="0" w:line="360" w:lineRule="auto"/>
        <w:rPr>
          <w:rFonts w:hint="eastAsia" w:ascii="宋体" w:hAnsi="宋体" w:eastAsia="宋体" w:cs="宋体"/>
          <w:b/>
          <w:bCs/>
          <w:kern w:val="0"/>
          <w:sz w:val="24"/>
          <w:szCs w:val="24"/>
        </w:rPr>
      </w:pPr>
    </w:p>
    <w:p>
      <w:pPr>
        <w:pageBreakBefore w:val="0"/>
        <w:kinsoku/>
        <w:bidi w:val="0"/>
        <w:spacing w:line="360" w:lineRule="auto"/>
        <w:rPr>
          <w:rFonts w:hint="eastAsia" w:ascii="宋体" w:hAnsi="宋体" w:eastAsia="宋体" w:cs="宋体"/>
          <w:b/>
          <w:bCs/>
          <w:kern w:val="0"/>
          <w:sz w:val="24"/>
          <w:szCs w:val="24"/>
        </w:rPr>
      </w:pPr>
    </w:p>
    <w:p>
      <w:pPr>
        <w:pStyle w:val="2"/>
        <w:pageBreakBefore w:val="0"/>
        <w:kinsoku/>
        <w:bidi w:val="0"/>
        <w:spacing w:after="0" w:line="360" w:lineRule="auto"/>
        <w:rPr>
          <w:rFonts w:hint="eastAsia" w:ascii="宋体" w:hAnsi="宋体" w:eastAsia="宋体" w:cs="宋体"/>
          <w:b/>
          <w:bCs/>
          <w:kern w:val="0"/>
          <w:sz w:val="24"/>
          <w:szCs w:val="24"/>
        </w:rPr>
      </w:pPr>
    </w:p>
    <w:p>
      <w:pPr>
        <w:pageBreakBefore w:val="0"/>
        <w:kinsoku/>
        <w:bidi w:val="0"/>
        <w:spacing w:line="360" w:lineRule="auto"/>
        <w:rPr>
          <w:rFonts w:hint="eastAsia" w:ascii="宋体" w:hAnsi="宋体" w:eastAsia="宋体" w:cs="宋体"/>
          <w:b/>
          <w:bCs/>
          <w:kern w:val="0"/>
          <w:sz w:val="24"/>
          <w:szCs w:val="24"/>
        </w:rPr>
      </w:pPr>
    </w:p>
    <w:p>
      <w:pPr>
        <w:pStyle w:val="2"/>
        <w:pageBreakBefore w:val="0"/>
        <w:kinsoku/>
        <w:bidi w:val="0"/>
        <w:spacing w:after="0" w:line="360" w:lineRule="auto"/>
        <w:rPr>
          <w:rFonts w:hint="eastAsia" w:ascii="宋体" w:hAnsi="宋体" w:eastAsia="宋体" w:cs="宋体"/>
        </w:rPr>
      </w:pPr>
    </w:p>
    <w:p>
      <w:pPr>
        <w:pageBreakBefore w:val="0"/>
        <w:widowControl/>
        <w:kinsoku/>
        <w:bidi w:val="0"/>
        <w:spacing w:line="360" w:lineRule="auto"/>
        <w:jc w:val="center"/>
        <w:outlineLvl w:val="1"/>
        <w:rPr>
          <w:rFonts w:hint="eastAsia" w:ascii="宋体" w:hAnsi="宋体" w:eastAsia="宋体" w:cs="宋体"/>
          <w:b/>
          <w:bCs/>
          <w:kern w:val="0"/>
          <w:sz w:val="24"/>
          <w:szCs w:val="24"/>
        </w:rPr>
      </w:pPr>
    </w:p>
    <w:p>
      <w:pPr>
        <w:pageBreakBefore w:val="0"/>
        <w:kinsoku/>
        <w:bidi w:val="0"/>
        <w:adjustRightInd w:val="0"/>
        <w:snapToGrid w:val="0"/>
        <w:spacing w:line="360" w:lineRule="auto"/>
        <w:jc w:val="center"/>
        <w:rPr>
          <w:rFonts w:hint="eastAsia" w:ascii="宋体" w:hAnsi="宋体" w:eastAsia="宋体" w:cs="宋体"/>
          <w:kern w:val="0"/>
          <w:sz w:val="36"/>
          <w:szCs w:val="36"/>
        </w:rPr>
      </w:pPr>
      <w:bookmarkStart w:id="555" w:name="_Toc17426"/>
      <w:r>
        <w:rPr>
          <w:rFonts w:hint="eastAsia" w:ascii="宋体" w:hAnsi="宋体" w:eastAsia="宋体" w:cs="宋体"/>
          <w:kern w:val="0"/>
          <w:sz w:val="36"/>
          <w:szCs w:val="36"/>
        </w:rPr>
        <w:t>磋商报价表（二次）</w:t>
      </w:r>
      <w:bookmarkEnd w:id="550"/>
      <w:bookmarkEnd w:id="551"/>
      <w:bookmarkEnd w:id="552"/>
      <w:bookmarkEnd w:id="553"/>
      <w:bookmarkEnd w:id="554"/>
      <w:bookmarkEnd w:id="555"/>
    </w:p>
    <w:p>
      <w:pPr>
        <w:pageBreakBefore w:val="0"/>
        <w:kinsoku/>
        <w:bidi w:val="0"/>
        <w:spacing w:line="360" w:lineRule="auto"/>
        <w:rPr>
          <w:rFonts w:hint="eastAsia" w:ascii="宋体" w:hAnsi="宋体" w:eastAsia="宋体" w:cs="宋体"/>
          <w:color w:val="000000" w:themeColor="text1"/>
          <w:szCs w:val="21"/>
          <w14:textFill>
            <w14:solidFill>
              <w14:schemeClr w14:val="tx1"/>
            </w14:solidFill>
          </w14:textFill>
        </w:rPr>
      </w:pPr>
    </w:p>
    <w:tbl>
      <w:tblPr>
        <w:tblStyle w:val="44"/>
        <w:tblW w:w="9479"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593"/>
        <w:gridCol w:w="1014"/>
        <w:gridCol w:w="1738"/>
        <w:gridCol w:w="1450"/>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646"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646"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33"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注册证号</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项目经理是否有在建项目变更</w:t>
            </w:r>
          </w:p>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（填“是”或“否”）</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范围</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总报价（元）</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p>
            <w:pPr>
              <w:pageBreakBefore w:val="0"/>
              <w:kinsoku/>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工期</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2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需要说明的问题</w:t>
            </w:r>
          </w:p>
        </w:tc>
        <w:tc>
          <w:tcPr>
            <w:tcW w:w="6053"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bidi w:val="0"/>
              <w:spacing w:line="360" w:lineRule="auto"/>
              <w:jc w:val="center"/>
              <w:rPr>
                <w:rFonts w:hint="eastAsia" w:ascii="宋体" w:hAnsi="宋体" w:eastAsia="宋体" w:cs="宋体"/>
                <w:sz w:val="24"/>
                <w:szCs w:val="24"/>
                <w:highlight w:val="none"/>
              </w:rPr>
            </w:pPr>
          </w:p>
        </w:tc>
      </w:tr>
    </w:tbl>
    <w:p>
      <w:pPr>
        <w:pageBreakBefore w:val="0"/>
        <w:kinsoku/>
        <w:bidi w:val="0"/>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注：</w:t>
      </w:r>
      <w:r>
        <w:rPr>
          <w:rFonts w:hint="eastAsia" w:ascii="宋体" w:hAnsi="宋体" w:eastAsia="宋体" w:cs="宋体"/>
          <w:sz w:val="24"/>
          <w:szCs w:val="24"/>
        </w:rPr>
        <w:t>1、供应商可根据实际情况自行</w:t>
      </w:r>
      <w:r>
        <w:rPr>
          <w:rFonts w:hint="eastAsia" w:ascii="宋体" w:hAnsi="宋体" w:eastAsia="宋体" w:cs="宋体"/>
          <w:bCs/>
          <w:sz w:val="24"/>
          <w:szCs w:val="24"/>
        </w:rPr>
        <w:t>添加</w:t>
      </w:r>
      <w:r>
        <w:rPr>
          <w:rFonts w:hint="eastAsia" w:ascii="宋体" w:hAnsi="宋体" w:eastAsia="宋体" w:cs="宋体"/>
          <w:sz w:val="24"/>
          <w:szCs w:val="24"/>
        </w:rPr>
        <w:t>表格内容。</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2、报价一经涂改，应在涂改处加盖单位公章或供应商代表签字或盖章，否则其响应作无效</w:t>
      </w:r>
      <w:r>
        <w:rPr>
          <w:rFonts w:hint="eastAsia" w:ascii="宋体" w:hAnsi="宋体" w:eastAsia="宋体" w:cs="宋体"/>
          <w:sz w:val="24"/>
          <w:szCs w:val="24"/>
          <w:lang w:eastAsia="zh-CN"/>
        </w:rPr>
        <w:t>响应</w:t>
      </w:r>
      <w:r>
        <w:rPr>
          <w:rFonts w:hint="eastAsia" w:ascii="宋体" w:hAnsi="宋体" w:eastAsia="宋体" w:cs="宋体"/>
          <w:sz w:val="24"/>
          <w:szCs w:val="24"/>
        </w:rPr>
        <w:t>文件处理。</w:t>
      </w:r>
    </w:p>
    <w:p>
      <w:pPr>
        <w:pageBreakBefore w:val="0"/>
        <w:kinsoku/>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供应商在系统进行第二轮报价时，需在提交第二轮报价的同时以附件方式上传已标价工程量清单电子版(PDF 格式)和第二轮报价表。 </w:t>
      </w:r>
    </w:p>
    <w:p>
      <w:pPr>
        <w:pageBreakBefore w:val="0"/>
        <w:kinsoku/>
        <w:bidi w:val="0"/>
        <w:spacing w:line="360" w:lineRule="auto"/>
        <w:ind w:left="420" w:leftChars="20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val="0"/>
        <w:topLinePunct/>
        <w:bidi w:val="0"/>
        <w:adjustRightInd w:val="0"/>
        <w:spacing w:line="360" w:lineRule="auto"/>
        <w:jc w:val="left"/>
        <w:textAlignment w:val="top"/>
        <w:rPr>
          <w:rFonts w:hint="eastAsia" w:ascii="宋体" w:hAnsi="宋体" w:eastAsia="宋体" w:cs="宋体"/>
          <w:sz w:val="24"/>
          <w:szCs w:val="24"/>
        </w:rPr>
      </w:pPr>
    </w:p>
    <w:p>
      <w:pPr>
        <w:pageBreakBefore w:val="0"/>
        <w:kinsoku/>
        <w:bidi w:val="0"/>
        <w:spacing w:line="360" w:lineRule="auto"/>
        <w:jc w:val="right"/>
        <w:rPr>
          <w:rFonts w:hint="eastAsia" w:ascii="宋体" w:hAnsi="宋体" w:eastAsia="宋体" w:cs="宋体"/>
          <w:sz w:val="24"/>
          <w:szCs w:val="24"/>
        </w:rPr>
      </w:pPr>
    </w:p>
    <w:p>
      <w:pPr>
        <w:pStyle w:val="23"/>
        <w:pageBreakBefore w:val="0"/>
        <w:kinsoku/>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供应商：（盖单位公章）</w:t>
      </w:r>
    </w:p>
    <w:p>
      <w:pPr>
        <w:pStyle w:val="23"/>
        <w:pageBreakBefore w:val="0"/>
        <w:kinsoku/>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法定代表人或其委托代理人：（签字或盖章）</w:t>
      </w:r>
    </w:p>
    <w:p>
      <w:pPr>
        <w:pageBreakBefore w:val="0"/>
        <w:widowControl/>
        <w:kinsoku/>
        <w:wordWrap w:val="0"/>
        <w:bidi w:val="0"/>
        <w:spacing w:line="360" w:lineRule="auto"/>
        <w:ind w:right="600"/>
        <w:jc w:val="right"/>
        <w:rPr>
          <w:rFonts w:hint="eastAsia" w:ascii="宋体" w:hAnsi="宋体" w:eastAsia="宋体" w:cs="宋体"/>
          <w:sz w:val="24"/>
          <w:szCs w:val="24"/>
        </w:rPr>
      </w:pPr>
      <w:r>
        <w:rPr>
          <w:rFonts w:hint="eastAsia" w:ascii="宋体" w:hAnsi="宋体" w:eastAsia="宋体" w:cs="宋体"/>
          <w:sz w:val="24"/>
          <w:szCs w:val="24"/>
        </w:rPr>
        <w:t>年    月     日</w:t>
      </w:r>
    </w:p>
    <w:sectPr>
      <w:headerReference r:id="rId8" w:type="first"/>
      <w:footerReference r:id="rId10" w:type="first"/>
      <w:footerReference r:id="rId9" w:type="default"/>
      <w:pgSz w:w="11906" w:h="16838"/>
      <w:pgMar w:top="1440" w:right="1230" w:bottom="1440" w:left="1230" w:header="851" w:footer="760"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860" w:firstLineChars="27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PlfknQAAAAAwEAAA8AAAAAAAAAAQAg&#10;AAAAIgAAAGRycy9kb3ducmV2LnhtbFBLAQIUABQAAAAIAIdO4kDH+gix3QEAAK4DAAAOAAAAAAAA&#10;AAEAIAAAAB8BAABkcnMvZTJvRG9jLnhtbFBLBQYAAAAABgAGAFkBAABu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860" w:firstLineChars="270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10rMkBAACa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XSsyQEAAJo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N0Vf2LcAQAArgMAAA4AAAAAAAAA&#10;AQAgAAAAHwEAAGRycy9lMm9Eb2MueG1sUEsFBgAAAAAGAAYAWQEAAG0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aanYMkBAACa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8&#10;yfr0AWpMuw+YmIa3fsCtmf2Azkx7UNHmLxIiGEd1z1d15ZCIyI/Wq/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pqdgyQEAAJo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860" w:firstLineChars="270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Jju78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mu&#10;sj59gBrT7gMmpuGdH3Lu5Ad0ZtqDijZ/kRDBOKp7vqorh0REfrRerdcVhgTG5gvisIfnIUJ6L70l&#10;2WhoxPEVVfnpI6QxdU7J1Zy/08agn9fG/eNAzOxhufexx2ylYT9Mje99e0Y+PU6+oQ4XnRLzwaGw&#10;eUlmI87GfjaOIepDV7Yo14Nwe0zYROktVxhhp8I4ssJuWq+8E4/vJevhl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mO7vyQEAAJo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42</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PlfknQAAAAAwEAAA8AAAAAAAAAAQAg&#10;AAAAIgAAAGRycy9kb3ducmV2LnhtbFBLAQIUABQAAAAIAIdO4kDPimeN3QEAAK4DAAAOAAAAAAAA&#10;AAEAIAAAAB8BAABkcnMvZTJvRG9jLnhtbFBLBQYAAAAABgAGAFkBAABu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guskBAACa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luC6yQEAAJo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rPr>
        <w:u w:val="single"/>
      </w:rPr>
    </w:pPr>
  </w:p>
  <w:p>
    <w:pPr>
      <w:pStyle w:val="2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rPr>
        <w:u w:val="single"/>
      </w:rPr>
    </w:pPr>
  </w:p>
  <w:p>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E8116"/>
    <w:multiLevelType w:val="singleLevel"/>
    <w:tmpl w:val="89CE8116"/>
    <w:lvl w:ilvl="0" w:tentative="0">
      <w:start w:val="1"/>
      <w:numFmt w:val="chineseCounting"/>
      <w:suff w:val="nothing"/>
      <w:lvlText w:val="%1、"/>
      <w:lvlJc w:val="left"/>
      <w:rPr>
        <w:rFonts w:hint="eastAsia"/>
      </w:rPr>
    </w:lvl>
  </w:abstractNum>
  <w:abstractNum w:abstractNumId="1">
    <w:nsid w:val="B9764003"/>
    <w:multiLevelType w:val="singleLevel"/>
    <w:tmpl w:val="B9764003"/>
    <w:lvl w:ilvl="0" w:tentative="0">
      <w:start w:val="8"/>
      <w:numFmt w:val="chineseCounting"/>
      <w:suff w:val="nothing"/>
      <w:lvlText w:val="%1、"/>
      <w:lvlJc w:val="left"/>
      <w:rPr>
        <w:rFonts w:hint="eastAsia"/>
      </w:rPr>
    </w:lvl>
  </w:abstractNum>
  <w:abstractNum w:abstractNumId="2">
    <w:nsid w:val="00000004"/>
    <w:multiLevelType w:val="multilevel"/>
    <w:tmpl w:val="00000004"/>
    <w:lvl w:ilvl="0" w:tentative="0">
      <w:start w:val="1"/>
      <w:numFmt w:val="decimal"/>
      <w:lvlText w:val="%1."/>
      <w:lvlJc w:val="left"/>
      <w:pPr>
        <w:ind w:left="284" w:hanging="284"/>
      </w:pPr>
      <w:rPr>
        <w:rFonts w:hint="eastAsia" w:ascii="宋体" w:hAnsi="宋体" w:eastAsia="宋体"/>
        <w:b/>
      </w:rPr>
    </w:lvl>
    <w:lvl w:ilvl="1" w:tentative="0">
      <w:start w:val="1"/>
      <w:numFmt w:val="decimal"/>
      <w:lvlText w:val="%1.%2."/>
      <w:lvlJc w:val="left"/>
      <w:pPr>
        <w:ind w:left="567" w:hanging="283"/>
      </w:pPr>
      <w:rPr>
        <w:rFonts w:hint="eastAsia" w:ascii="宋体" w:hAnsi="宋体" w:eastAsia="宋体"/>
        <w:b w:val="0"/>
        <w:color w:val="auto"/>
      </w:rPr>
    </w:lvl>
    <w:lvl w:ilvl="2" w:tentative="0">
      <w:start w:val="1"/>
      <w:numFmt w:val="decimal"/>
      <w:lvlText w:val="%1.%2.%3"/>
      <w:lvlJc w:val="left"/>
      <w:pPr>
        <w:ind w:left="1560" w:hanging="567"/>
      </w:pPr>
      <w:rPr>
        <w:rFonts w:hint="eastAsia" w:ascii="宋体" w:hAnsi="宋体" w:eastAsia="宋体"/>
      </w:rPr>
    </w:lvl>
    <w:lvl w:ilvl="3" w:tentative="0">
      <w:start w:val="1"/>
      <w:numFmt w:val="decimal"/>
      <w:lvlText w:val="%1.%2.%3.%4"/>
      <w:lvlJc w:val="left"/>
      <w:pPr>
        <w:ind w:left="1418" w:hanging="567"/>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0000008"/>
    <w:multiLevelType w:val="multilevel"/>
    <w:tmpl w:val="00000008"/>
    <w:lvl w:ilvl="0" w:tentative="0">
      <w:start w:val="5"/>
      <w:numFmt w:val="chineseCounting"/>
      <w:lvlText w:val="第%1章"/>
      <w:lvlJc w:val="left"/>
    </w:lvl>
    <w:lvl w:ilvl="1" w:tentative="0">
      <w:start w:val="1"/>
      <w:numFmt w:val="decimal"/>
      <w:lvlText w:val="%2．"/>
      <w:lvlJc w:val="left"/>
      <w:pPr>
        <w:tabs>
          <w:tab w:val="left" w:pos="360"/>
        </w:tabs>
        <w:ind w:left="360" w:hanging="360"/>
      </w:pPr>
      <w:rPr>
        <w:rFonts w:hint="eastAsia"/>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360"/>
        </w:tabs>
        <w:ind w:left="0" w:firstLine="0"/>
      </w:pPr>
      <w:rPr>
        <w:rFonts w:hint="default"/>
      </w:rPr>
    </w:lvl>
    <w:lvl w:ilvl="4" w:tentative="0">
      <w:start w:val="1"/>
      <w:numFmt w:val="lowerLetter"/>
      <w:lvlText w:val="%5)"/>
      <w:lvlJc w:val="left"/>
      <w:pPr>
        <w:tabs>
          <w:tab w:val="left" w:pos="1680"/>
        </w:tabs>
        <w:ind w:left="1680" w:hanging="420"/>
      </w:pPr>
    </w:lvl>
    <w:lvl w:ilvl="5" w:tentative="0">
      <w:start w:val="1"/>
      <w:numFmt w:val="japaneseCounting"/>
      <w:lvlText w:val="第%6章"/>
      <w:lvlJc w:val="left"/>
      <w:pPr>
        <w:tabs>
          <w:tab w:val="left" w:pos="2535"/>
        </w:tabs>
        <w:ind w:left="2535" w:hanging="855"/>
      </w:pPr>
      <w:rPr>
        <w:rFonts w:hint="eastAsia"/>
      </w:rPr>
    </w:lvl>
    <w:lvl w:ilvl="6" w:tentative="0">
      <w:start w:val="1"/>
      <w:numFmt w:val="decimal"/>
      <w:lvlText w:val="（%7）"/>
      <w:lvlJc w:val="left"/>
      <w:pPr>
        <w:tabs>
          <w:tab w:val="left" w:pos="720"/>
        </w:tabs>
        <w:ind w:left="56" w:hanging="56"/>
      </w:pPr>
      <w:rPr>
        <w:rFonts w:hint="eastAsia"/>
      </w:r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
    <w:nsid w:val="00000010"/>
    <w:multiLevelType w:val="multilevel"/>
    <w:tmpl w:val="00000010"/>
    <w:lvl w:ilvl="0" w:tentative="0">
      <w:start w:val="1"/>
      <w:numFmt w:val="decimal"/>
      <w:pStyle w:val="59"/>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275"/>
        </w:tabs>
        <w:ind w:left="275" w:hanging="170"/>
      </w:pPr>
      <w:rPr>
        <w:rFonts w:hint="eastAsia"/>
        <w:color w:val="auto"/>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ZDJmOTFmYmE3ZjY3YWQwMGZiMmE5ZTIxMGMzZjkifQ=="/>
  </w:docVars>
  <w:rsids>
    <w:rsidRoot w:val="00827CA1"/>
    <w:rsid w:val="00007093"/>
    <w:rsid w:val="00080664"/>
    <w:rsid w:val="000848B4"/>
    <w:rsid w:val="0008707D"/>
    <w:rsid w:val="000A74F5"/>
    <w:rsid w:val="000F7B4C"/>
    <w:rsid w:val="001117EA"/>
    <w:rsid w:val="00114725"/>
    <w:rsid w:val="00143081"/>
    <w:rsid w:val="001475B4"/>
    <w:rsid w:val="001553FE"/>
    <w:rsid w:val="00184935"/>
    <w:rsid w:val="00184B0D"/>
    <w:rsid w:val="001A4F9D"/>
    <w:rsid w:val="001A7828"/>
    <w:rsid w:val="001B27DD"/>
    <w:rsid w:val="001E1C8C"/>
    <w:rsid w:val="00203488"/>
    <w:rsid w:val="0021262A"/>
    <w:rsid w:val="002228A4"/>
    <w:rsid w:val="00253485"/>
    <w:rsid w:val="00263FE0"/>
    <w:rsid w:val="00277615"/>
    <w:rsid w:val="002917B9"/>
    <w:rsid w:val="00293A17"/>
    <w:rsid w:val="002C5825"/>
    <w:rsid w:val="002C6298"/>
    <w:rsid w:val="002D1302"/>
    <w:rsid w:val="002D1D1D"/>
    <w:rsid w:val="002F0B75"/>
    <w:rsid w:val="002F3F57"/>
    <w:rsid w:val="00313ABE"/>
    <w:rsid w:val="003411DF"/>
    <w:rsid w:val="00390F98"/>
    <w:rsid w:val="003B02C0"/>
    <w:rsid w:val="003C3948"/>
    <w:rsid w:val="003C61C0"/>
    <w:rsid w:val="003C6759"/>
    <w:rsid w:val="003F6B92"/>
    <w:rsid w:val="00410272"/>
    <w:rsid w:val="0041714E"/>
    <w:rsid w:val="004214BC"/>
    <w:rsid w:val="00421E2C"/>
    <w:rsid w:val="00425F4F"/>
    <w:rsid w:val="004553FC"/>
    <w:rsid w:val="00464400"/>
    <w:rsid w:val="0048030D"/>
    <w:rsid w:val="00490379"/>
    <w:rsid w:val="00490D13"/>
    <w:rsid w:val="004A1391"/>
    <w:rsid w:val="004A245E"/>
    <w:rsid w:val="004A688A"/>
    <w:rsid w:val="004E4973"/>
    <w:rsid w:val="005262CF"/>
    <w:rsid w:val="00580D4E"/>
    <w:rsid w:val="00585470"/>
    <w:rsid w:val="005D2A4D"/>
    <w:rsid w:val="005D3B93"/>
    <w:rsid w:val="00601E1C"/>
    <w:rsid w:val="00611A36"/>
    <w:rsid w:val="006577FB"/>
    <w:rsid w:val="006A4D6D"/>
    <w:rsid w:val="006B0201"/>
    <w:rsid w:val="006B7C30"/>
    <w:rsid w:val="006C2376"/>
    <w:rsid w:val="006D6E4D"/>
    <w:rsid w:val="006E52E8"/>
    <w:rsid w:val="0071358C"/>
    <w:rsid w:val="00714A43"/>
    <w:rsid w:val="00714ACB"/>
    <w:rsid w:val="00722FE0"/>
    <w:rsid w:val="0072541C"/>
    <w:rsid w:val="00756B9E"/>
    <w:rsid w:val="007B491C"/>
    <w:rsid w:val="007B5432"/>
    <w:rsid w:val="007E430C"/>
    <w:rsid w:val="007F3602"/>
    <w:rsid w:val="008103ED"/>
    <w:rsid w:val="00827CA1"/>
    <w:rsid w:val="00842D08"/>
    <w:rsid w:val="00856008"/>
    <w:rsid w:val="008B0204"/>
    <w:rsid w:val="0090560B"/>
    <w:rsid w:val="00914B0C"/>
    <w:rsid w:val="009206ED"/>
    <w:rsid w:val="00931523"/>
    <w:rsid w:val="00953B0A"/>
    <w:rsid w:val="00964854"/>
    <w:rsid w:val="00976263"/>
    <w:rsid w:val="009811F7"/>
    <w:rsid w:val="00990A2A"/>
    <w:rsid w:val="009E2079"/>
    <w:rsid w:val="009E4324"/>
    <w:rsid w:val="00A27264"/>
    <w:rsid w:val="00A744F6"/>
    <w:rsid w:val="00A74AE6"/>
    <w:rsid w:val="00A76D90"/>
    <w:rsid w:val="00AE35F5"/>
    <w:rsid w:val="00AF0CD1"/>
    <w:rsid w:val="00B06B95"/>
    <w:rsid w:val="00B14B4F"/>
    <w:rsid w:val="00B33B2C"/>
    <w:rsid w:val="00B43AF3"/>
    <w:rsid w:val="00B510B4"/>
    <w:rsid w:val="00B87A31"/>
    <w:rsid w:val="00B95802"/>
    <w:rsid w:val="00BD552E"/>
    <w:rsid w:val="00BD66E0"/>
    <w:rsid w:val="00C10216"/>
    <w:rsid w:val="00C40756"/>
    <w:rsid w:val="00C43CFC"/>
    <w:rsid w:val="00C7337D"/>
    <w:rsid w:val="00C914FA"/>
    <w:rsid w:val="00C922AD"/>
    <w:rsid w:val="00C94710"/>
    <w:rsid w:val="00CB3D1E"/>
    <w:rsid w:val="00CB7762"/>
    <w:rsid w:val="00CB7D9C"/>
    <w:rsid w:val="00CD650A"/>
    <w:rsid w:val="00CD690D"/>
    <w:rsid w:val="00CD6CC9"/>
    <w:rsid w:val="00D221F4"/>
    <w:rsid w:val="00D305ED"/>
    <w:rsid w:val="00D36E93"/>
    <w:rsid w:val="00DA6E38"/>
    <w:rsid w:val="00DC4BD8"/>
    <w:rsid w:val="00DD6C44"/>
    <w:rsid w:val="00DE3587"/>
    <w:rsid w:val="00E13BC8"/>
    <w:rsid w:val="00E25996"/>
    <w:rsid w:val="00E50C20"/>
    <w:rsid w:val="00E5770F"/>
    <w:rsid w:val="00E8092F"/>
    <w:rsid w:val="00EB3607"/>
    <w:rsid w:val="00EC4166"/>
    <w:rsid w:val="00ED7B4D"/>
    <w:rsid w:val="00EE0374"/>
    <w:rsid w:val="00EF37F4"/>
    <w:rsid w:val="00F02477"/>
    <w:rsid w:val="00F12736"/>
    <w:rsid w:val="00F32776"/>
    <w:rsid w:val="00F52953"/>
    <w:rsid w:val="00F62F28"/>
    <w:rsid w:val="00FA3262"/>
    <w:rsid w:val="00FB0AB1"/>
    <w:rsid w:val="00FE5378"/>
    <w:rsid w:val="013759A7"/>
    <w:rsid w:val="013C5F0B"/>
    <w:rsid w:val="01490E3C"/>
    <w:rsid w:val="016C6656"/>
    <w:rsid w:val="019626B9"/>
    <w:rsid w:val="0197274C"/>
    <w:rsid w:val="01BC69FC"/>
    <w:rsid w:val="01BC6DAB"/>
    <w:rsid w:val="02190F03"/>
    <w:rsid w:val="024E3BC3"/>
    <w:rsid w:val="024F0C13"/>
    <w:rsid w:val="025557CE"/>
    <w:rsid w:val="025B14D6"/>
    <w:rsid w:val="026102B5"/>
    <w:rsid w:val="027C18EC"/>
    <w:rsid w:val="0289121A"/>
    <w:rsid w:val="02A231C4"/>
    <w:rsid w:val="02C43C3A"/>
    <w:rsid w:val="02C505B4"/>
    <w:rsid w:val="02DA3B7D"/>
    <w:rsid w:val="02DC3A7F"/>
    <w:rsid w:val="02F840AA"/>
    <w:rsid w:val="030465B9"/>
    <w:rsid w:val="034212A8"/>
    <w:rsid w:val="034B7948"/>
    <w:rsid w:val="037103F2"/>
    <w:rsid w:val="03A35081"/>
    <w:rsid w:val="03CD6D7A"/>
    <w:rsid w:val="03E7107D"/>
    <w:rsid w:val="03F576A2"/>
    <w:rsid w:val="04A2204C"/>
    <w:rsid w:val="04A31BCB"/>
    <w:rsid w:val="04B81D35"/>
    <w:rsid w:val="053166F4"/>
    <w:rsid w:val="05392101"/>
    <w:rsid w:val="0558424B"/>
    <w:rsid w:val="05E630CC"/>
    <w:rsid w:val="05F42E2D"/>
    <w:rsid w:val="061F572D"/>
    <w:rsid w:val="06A93CE8"/>
    <w:rsid w:val="06C34C29"/>
    <w:rsid w:val="06DC1F29"/>
    <w:rsid w:val="070D535E"/>
    <w:rsid w:val="072F567F"/>
    <w:rsid w:val="073542FB"/>
    <w:rsid w:val="079F7C3F"/>
    <w:rsid w:val="08161005"/>
    <w:rsid w:val="085D3FC5"/>
    <w:rsid w:val="086C1340"/>
    <w:rsid w:val="08860449"/>
    <w:rsid w:val="089A4E50"/>
    <w:rsid w:val="08D15441"/>
    <w:rsid w:val="093E638D"/>
    <w:rsid w:val="09451447"/>
    <w:rsid w:val="09633F2A"/>
    <w:rsid w:val="09643149"/>
    <w:rsid w:val="097E4DD6"/>
    <w:rsid w:val="0981500D"/>
    <w:rsid w:val="09B928A4"/>
    <w:rsid w:val="09D50F7A"/>
    <w:rsid w:val="09F94648"/>
    <w:rsid w:val="0A763404"/>
    <w:rsid w:val="0A947444"/>
    <w:rsid w:val="0AAE17E2"/>
    <w:rsid w:val="0AC21213"/>
    <w:rsid w:val="0AE33FD5"/>
    <w:rsid w:val="0B196721"/>
    <w:rsid w:val="0B346BA8"/>
    <w:rsid w:val="0B3D53D9"/>
    <w:rsid w:val="0B516612"/>
    <w:rsid w:val="0B6B7127"/>
    <w:rsid w:val="0B7B4A93"/>
    <w:rsid w:val="0BC675A5"/>
    <w:rsid w:val="0BE77544"/>
    <w:rsid w:val="0BF45E6B"/>
    <w:rsid w:val="0BFA70B6"/>
    <w:rsid w:val="0C140691"/>
    <w:rsid w:val="0C291E4C"/>
    <w:rsid w:val="0C2C231D"/>
    <w:rsid w:val="0C320460"/>
    <w:rsid w:val="0C3B52A7"/>
    <w:rsid w:val="0C7E3FAC"/>
    <w:rsid w:val="0D1A52D6"/>
    <w:rsid w:val="0D327511"/>
    <w:rsid w:val="0D422013"/>
    <w:rsid w:val="0D6521AF"/>
    <w:rsid w:val="0D7D62E4"/>
    <w:rsid w:val="0DA369B5"/>
    <w:rsid w:val="0DE35244"/>
    <w:rsid w:val="0E2401CD"/>
    <w:rsid w:val="0E2C0B2D"/>
    <w:rsid w:val="0E551832"/>
    <w:rsid w:val="0E6F4E28"/>
    <w:rsid w:val="0E8A0EF0"/>
    <w:rsid w:val="0E991A33"/>
    <w:rsid w:val="0E9E15F7"/>
    <w:rsid w:val="0EAB26ED"/>
    <w:rsid w:val="0EB15EBF"/>
    <w:rsid w:val="0EBA1AD1"/>
    <w:rsid w:val="0EBE5877"/>
    <w:rsid w:val="0EBF1C92"/>
    <w:rsid w:val="0EDA3F61"/>
    <w:rsid w:val="0F13390B"/>
    <w:rsid w:val="0F142CE6"/>
    <w:rsid w:val="0F2C2DD6"/>
    <w:rsid w:val="0F303ED1"/>
    <w:rsid w:val="0F526E50"/>
    <w:rsid w:val="0F775F1E"/>
    <w:rsid w:val="0FC825D0"/>
    <w:rsid w:val="0FC836FB"/>
    <w:rsid w:val="10095BC2"/>
    <w:rsid w:val="101D5CAF"/>
    <w:rsid w:val="102352DC"/>
    <w:rsid w:val="1058761A"/>
    <w:rsid w:val="10657B93"/>
    <w:rsid w:val="10AD5127"/>
    <w:rsid w:val="10AF053E"/>
    <w:rsid w:val="10B450B9"/>
    <w:rsid w:val="10ED3B72"/>
    <w:rsid w:val="11285F9B"/>
    <w:rsid w:val="113C15F1"/>
    <w:rsid w:val="11CA3157"/>
    <w:rsid w:val="11D970CB"/>
    <w:rsid w:val="12012988"/>
    <w:rsid w:val="12322FC4"/>
    <w:rsid w:val="12414FC0"/>
    <w:rsid w:val="124603E8"/>
    <w:rsid w:val="124D3A86"/>
    <w:rsid w:val="12560B28"/>
    <w:rsid w:val="126B0A74"/>
    <w:rsid w:val="1279232C"/>
    <w:rsid w:val="128954AB"/>
    <w:rsid w:val="12EA3916"/>
    <w:rsid w:val="12F116B4"/>
    <w:rsid w:val="12F16D6B"/>
    <w:rsid w:val="132475E8"/>
    <w:rsid w:val="134C5C7B"/>
    <w:rsid w:val="13C14D53"/>
    <w:rsid w:val="13DB58EC"/>
    <w:rsid w:val="13E40B0C"/>
    <w:rsid w:val="14115F42"/>
    <w:rsid w:val="14393340"/>
    <w:rsid w:val="147222C2"/>
    <w:rsid w:val="14803335"/>
    <w:rsid w:val="14880117"/>
    <w:rsid w:val="14954301"/>
    <w:rsid w:val="149F6F10"/>
    <w:rsid w:val="14A109A0"/>
    <w:rsid w:val="14B06892"/>
    <w:rsid w:val="152248D1"/>
    <w:rsid w:val="153A5C89"/>
    <w:rsid w:val="15507937"/>
    <w:rsid w:val="156720F7"/>
    <w:rsid w:val="1574254E"/>
    <w:rsid w:val="159E5431"/>
    <w:rsid w:val="15AB5915"/>
    <w:rsid w:val="15B71E5E"/>
    <w:rsid w:val="15B96C11"/>
    <w:rsid w:val="15D8507F"/>
    <w:rsid w:val="15EC3A7D"/>
    <w:rsid w:val="162C1FC2"/>
    <w:rsid w:val="16341D2D"/>
    <w:rsid w:val="163E2E59"/>
    <w:rsid w:val="168465DB"/>
    <w:rsid w:val="16931E21"/>
    <w:rsid w:val="16A03054"/>
    <w:rsid w:val="16AB0851"/>
    <w:rsid w:val="16C000E9"/>
    <w:rsid w:val="16EC3442"/>
    <w:rsid w:val="16ED10FB"/>
    <w:rsid w:val="16EF0A46"/>
    <w:rsid w:val="171C4E02"/>
    <w:rsid w:val="17311DAA"/>
    <w:rsid w:val="173F34D3"/>
    <w:rsid w:val="17452616"/>
    <w:rsid w:val="177F15BD"/>
    <w:rsid w:val="17B853D2"/>
    <w:rsid w:val="17C274F3"/>
    <w:rsid w:val="17CF3C8A"/>
    <w:rsid w:val="181F3F47"/>
    <w:rsid w:val="183A3EE4"/>
    <w:rsid w:val="18545AE7"/>
    <w:rsid w:val="18586B12"/>
    <w:rsid w:val="186C1DC5"/>
    <w:rsid w:val="18890D78"/>
    <w:rsid w:val="188C1FAA"/>
    <w:rsid w:val="18926998"/>
    <w:rsid w:val="18A67264"/>
    <w:rsid w:val="18C11F89"/>
    <w:rsid w:val="18C81045"/>
    <w:rsid w:val="18EB77D2"/>
    <w:rsid w:val="18EE1253"/>
    <w:rsid w:val="19000519"/>
    <w:rsid w:val="192C4F37"/>
    <w:rsid w:val="194832B5"/>
    <w:rsid w:val="195230EB"/>
    <w:rsid w:val="195C5FE0"/>
    <w:rsid w:val="19630DE4"/>
    <w:rsid w:val="19932549"/>
    <w:rsid w:val="199F1E19"/>
    <w:rsid w:val="19BF2A8D"/>
    <w:rsid w:val="19BF57BC"/>
    <w:rsid w:val="19C1578E"/>
    <w:rsid w:val="19DA57A3"/>
    <w:rsid w:val="1A2056E5"/>
    <w:rsid w:val="1A8C0F99"/>
    <w:rsid w:val="1AA35689"/>
    <w:rsid w:val="1B0B1000"/>
    <w:rsid w:val="1B1A1056"/>
    <w:rsid w:val="1B325733"/>
    <w:rsid w:val="1B467B02"/>
    <w:rsid w:val="1B5F7E2D"/>
    <w:rsid w:val="1B682A77"/>
    <w:rsid w:val="1B8470FB"/>
    <w:rsid w:val="1BD07263"/>
    <w:rsid w:val="1BE55313"/>
    <w:rsid w:val="1BEE0253"/>
    <w:rsid w:val="1C19434C"/>
    <w:rsid w:val="1C501AAE"/>
    <w:rsid w:val="1C812C2D"/>
    <w:rsid w:val="1C874EF3"/>
    <w:rsid w:val="1CCC7841"/>
    <w:rsid w:val="1CD773A9"/>
    <w:rsid w:val="1CDD07B4"/>
    <w:rsid w:val="1CE3372C"/>
    <w:rsid w:val="1CFB0269"/>
    <w:rsid w:val="1D0555FF"/>
    <w:rsid w:val="1D124C0E"/>
    <w:rsid w:val="1D135963"/>
    <w:rsid w:val="1D32653E"/>
    <w:rsid w:val="1D40490F"/>
    <w:rsid w:val="1D6B0439"/>
    <w:rsid w:val="1DB617A6"/>
    <w:rsid w:val="1DDD081F"/>
    <w:rsid w:val="1DE574B1"/>
    <w:rsid w:val="1DFF15F7"/>
    <w:rsid w:val="1E024B5D"/>
    <w:rsid w:val="1E234569"/>
    <w:rsid w:val="1E29469C"/>
    <w:rsid w:val="1E2957AC"/>
    <w:rsid w:val="1E534E6B"/>
    <w:rsid w:val="1E825CBA"/>
    <w:rsid w:val="1E89254C"/>
    <w:rsid w:val="1EA9049C"/>
    <w:rsid w:val="1EBC5D6F"/>
    <w:rsid w:val="1EBC633E"/>
    <w:rsid w:val="1ECE409D"/>
    <w:rsid w:val="1EF62BC1"/>
    <w:rsid w:val="1F193ADA"/>
    <w:rsid w:val="1F2E4D31"/>
    <w:rsid w:val="1F325213"/>
    <w:rsid w:val="1F3B1A9D"/>
    <w:rsid w:val="1F886D42"/>
    <w:rsid w:val="1FA257F8"/>
    <w:rsid w:val="1FE56AC5"/>
    <w:rsid w:val="20421EB4"/>
    <w:rsid w:val="204B43E9"/>
    <w:rsid w:val="205A141E"/>
    <w:rsid w:val="20E53E98"/>
    <w:rsid w:val="2102499E"/>
    <w:rsid w:val="210D6A09"/>
    <w:rsid w:val="210F7137"/>
    <w:rsid w:val="2133478D"/>
    <w:rsid w:val="213775C9"/>
    <w:rsid w:val="214B169F"/>
    <w:rsid w:val="215A7E50"/>
    <w:rsid w:val="217843DC"/>
    <w:rsid w:val="21D94E3C"/>
    <w:rsid w:val="220F6144"/>
    <w:rsid w:val="22194E91"/>
    <w:rsid w:val="2228063B"/>
    <w:rsid w:val="223F2453"/>
    <w:rsid w:val="226732A1"/>
    <w:rsid w:val="22A729C5"/>
    <w:rsid w:val="22A8330D"/>
    <w:rsid w:val="22AE54AF"/>
    <w:rsid w:val="23121183"/>
    <w:rsid w:val="23391D49"/>
    <w:rsid w:val="235C2A56"/>
    <w:rsid w:val="23705E02"/>
    <w:rsid w:val="23902147"/>
    <w:rsid w:val="239A24F5"/>
    <w:rsid w:val="239A6779"/>
    <w:rsid w:val="23A17FC7"/>
    <w:rsid w:val="23A50977"/>
    <w:rsid w:val="23AC5AFB"/>
    <w:rsid w:val="23B02743"/>
    <w:rsid w:val="23C66DFC"/>
    <w:rsid w:val="23C874DA"/>
    <w:rsid w:val="23D4738F"/>
    <w:rsid w:val="23D72367"/>
    <w:rsid w:val="23EF6A68"/>
    <w:rsid w:val="23F65161"/>
    <w:rsid w:val="240E6072"/>
    <w:rsid w:val="24330241"/>
    <w:rsid w:val="24A70E21"/>
    <w:rsid w:val="24D02B1B"/>
    <w:rsid w:val="25112B3C"/>
    <w:rsid w:val="2523301F"/>
    <w:rsid w:val="25695866"/>
    <w:rsid w:val="25A50798"/>
    <w:rsid w:val="25A76FF4"/>
    <w:rsid w:val="25BA2015"/>
    <w:rsid w:val="25BC7C54"/>
    <w:rsid w:val="26223F83"/>
    <w:rsid w:val="262B1298"/>
    <w:rsid w:val="26302580"/>
    <w:rsid w:val="2645462F"/>
    <w:rsid w:val="264E5044"/>
    <w:rsid w:val="265E27A5"/>
    <w:rsid w:val="267E6021"/>
    <w:rsid w:val="26832EE8"/>
    <w:rsid w:val="26B252A3"/>
    <w:rsid w:val="26B326A7"/>
    <w:rsid w:val="26B415F4"/>
    <w:rsid w:val="26ED7E72"/>
    <w:rsid w:val="26EF0C97"/>
    <w:rsid w:val="26F827C8"/>
    <w:rsid w:val="27355F89"/>
    <w:rsid w:val="27805BBB"/>
    <w:rsid w:val="27932D96"/>
    <w:rsid w:val="28172509"/>
    <w:rsid w:val="284D45F2"/>
    <w:rsid w:val="28697778"/>
    <w:rsid w:val="286F13FE"/>
    <w:rsid w:val="28762ADA"/>
    <w:rsid w:val="28C2316F"/>
    <w:rsid w:val="28DB2574"/>
    <w:rsid w:val="28F25A77"/>
    <w:rsid w:val="28FE4325"/>
    <w:rsid w:val="29103FD3"/>
    <w:rsid w:val="292C2CA7"/>
    <w:rsid w:val="2943195F"/>
    <w:rsid w:val="294D2294"/>
    <w:rsid w:val="294E28EF"/>
    <w:rsid w:val="296407CA"/>
    <w:rsid w:val="297E07AE"/>
    <w:rsid w:val="29930D2E"/>
    <w:rsid w:val="29A90C34"/>
    <w:rsid w:val="29AA471D"/>
    <w:rsid w:val="29E16457"/>
    <w:rsid w:val="29E74E64"/>
    <w:rsid w:val="29FC3793"/>
    <w:rsid w:val="2A4C4B1E"/>
    <w:rsid w:val="2A833028"/>
    <w:rsid w:val="2A8D035E"/>
    <w:rsid w:val="2A8E4E09"/>
    <w:rsid w:val="2AAE50AB"/>
    <w:rsid w:val="2ACC3947"/>
    <w:rsid w:val="2AD820E2"/>
    <w:rsid w:val="2AE743DE"/>
    <w:rsid w:val="2AF311A1"/>
    <w:rsid w:val="2B0A23E4"/>
    <w:rsid w:val="2B320F32"/>
    <w:rsid w:val="2B794B8B"/>
    <w:rsid w:val="2B920E26"/>
    <w:rsid w:val="2BD726C5"/>
    <w:rsid w:val="2C055C1D"/>
    <w:rsid w:val="2C13511D"/>
    <w:rsid w:val="2C1D6E55"/>
    <w:rsid w:val="2C4716F7"/>
    <w:rsid w:val="2C606CC1"/>
    <w:rsid w:val="2C8F010F"/>
    <w:rsid w:val="2C9277B6"/>
    <w:rsid w:val="2CB3772A"/>
    <w:rsid w:val="2CB5783D"/>
    <w:rsid w:val="2CB96FDA"/>
    <w:rsid w:val="2CC2730F"/>
    <w:rsid w:val="2CC712EA"/>
    <w:rsid w:val="2D031C37"/>
    <w:rsid w:val="2D1068A9"/>
    <w:rsid w:val="2D242C35"/>
    <w:rsid w:val="2D39177D"/>
    <w:rsid w:val="2D4D19F5"/>
    <w:rsid w:val="2D52472C"/>
    <w:rsid w:val="2D702D4F"/>
    <w:rsid w:val="2D88722B"/>
    <w:rsid w:val="2D9E2A02"/>
    <w:rsid w:val="2E0375D7"/>
    <w:rsid w:val="2E3A4E70"/>
    <w:rsid w:val="2E8D64FC"/>
    <w:rsid w:val="2F19003A"/>
    <w:rsid w:val="2F332911"/>
    <w:rsid w:val="2F5A3BF7"/>
    <w:rsid w:val="2F9D5856"/>
    <w:rsid w:val="2FA312B4"/>
    <w:rsid w:val="2FB33D0C"/>
    <w:rsid w:val="2FB8224D"/>
    <w:rsid w:val="2FC64A56"/>
    <w:rsid w:val="2FCA7306"/>
    <w:rsid w:val="2FE15BBB"/>
    <w:rsid w:val="30053DDC"/>
    <w:rsid w:val="304A6FC4"/>
    <w:rsid w:val="3050283E"/>
    <w:rsid w:val="306476A5"/>
    <w:rsid w:val="30711876"/>
    <w:rsid w:val="30D62387"/>
    <w:rsid w:val="316776C7"/>
    <w:rsid w:val="317A40EC"/>
    <w:rsid w:val="31811F6B"/>
    <w:rsid w:val="31941B98"/>
    <w:rsid w:val="319724C9"/>
    <w:rsid w:val="31A73564"/>
    <w:rsid w:val="31BE740D"/>
    <w:rsid w:val="31C25482"/>
    <w:rsid w:val="31F95FEF"/>
    <w:rsid w:val="32017C33"/>
    <w:rsid w:val="320E3D6E"/>
    <w:rsid w:val="32115AFC"/>
    <w:rsid w:val="322306F1"/>
    <w:rsid w:val="32257B79"/>
    <w:rsid w:val="322618FA"/>
    <w:rsid w:val="32461BD0"/>
    <w:rsid w:val="327A0156"/>
    <w:rsid w:val="32834885"/>
    <w:rsid w:val="328A6743"/>
    <w:rsid w:val="32C4366D"/>
    <w:rsid w:val="32DB5696"/>
    <w:rsid w:val="32E76771"/>
    <w:rsid w:val="32F10657"/>
    <w:rsid w:val="331F0607"/>
    <w:rsid w:val="33484D53"/>
    <w:rsid w:val="334D18EF"/>
    <w:rsid w:val="339B164A"/>
    <w:rsid w:val="339C4EC6"/>
    <w:rsid w:val="33BB4BDC"/>
    <w:rsid w:val="341F057A"/>
    <w:rsid w:val="344779EC"/>
    <w:rsid w:val="3448071D"/>
    <w:rsid w:val="34645EFB"/>
    <w:rsid w:val="348C2A50"/>
    <w:rsid w:val="34A13AED"/>
    <w:rsid w:val="34C33560"/>
    <w:rsid w:val="34C62277"/>
    <w:rsid w:val="355C0299"/>
    <w:rsid w:val="357E5EC1"/>
    <w:rsid w:val="35A47453"/>
    <w:rsid w:val="35C75FDC"/>
    <w:rsid w:val="35D8589E"/>
    <w:rsid w:val="35E45291"/>
    <w:rsid w:val="36182531"/>
    <w:rsid w:val="363E1979"/>
    <w:rsid w:val="364E0C18"/>
    <w:rsid w:val="36625247"/>
    <w:rsid w:val="36B45B87"/>
    <w:rsid w:val="36D54D86"/>
    <w:rsid w:val="36DF7560"/>
    <w:rsid w:val="370B288B"/>
    <w:rsid w:val="372B5FE9"/>
    <w:rsid w:val="3730794B"/>
    <w:rsid w:val="376368C9"/>
    <w:rsid w:val="37802F9F"/>
    <w:rsid w:val="37847F1C"/>
    <w:rsid w:val="37AF1A7D"/>
    <w:rsid w:val="37B1586F"/>
    <w:rsid w:val="37C567E8"/>
    <w:rsid w:val="37DE6D1A"/>
    <w:rsid w:val="37F47E75"/>
    <w:rsid w:val="383F2126"/>
    <w:rsid w:val="38562044"/>
    <w:rsid w:val="385D703E"/>
    <w:rsid w:val="387177B2"/>
    <w:rsid w:val="38753529"/>
    <w:rsid w:val="38AD07AF"/>
    <w:rsid w:val="38B567AE"/>
    <w:rsid w:val="38BB1CBB"/>
    <w:rsid w:val="39101407"/>
    <w:rsid w:val="391D07DC"/>
    <w:rsid w:val="391F4969"/>
    <w:rsid w:val="39457091"/>
    <w:rsid w:val="394B66C7"/>
    <w:rsid w:val="398A4835"/>
    <w:rsid w:val="39AE2EE4"/>
    <w:rsid w:val="39E35680"/>
    <w:rsid w:val="3A0B6229"/>
    <w:rsid w:val="3A6148A2"/>
    <w:rsid w:val="3A6C1F45"/>
    <w:rsid w:val="3AD41EB5"/>
    <w:rsid w:val="3AF46A82"/>
    <w:rsid w:val="3B342135"/>
    <w:rsid w:val="3B4E2859"/>
    <w:rsid w:val="3B754D15"/>
    <w:rsid w:val="3B9D2411"/>
    <w:rsid w:val="3BB11D52"/>
    <w:rsid w:val="3BC6111D"/>
    <w:rsid w:val="3BEB7870"/>
    <w:rsid w:val="3C26603D"/>
    <w:rsid w:val="3C6C60F1"/>
    <w:rsid w:val="3C805CFF"/>
    <w:rsid w:val="3C867232"/>
    <w:rsid w:val="3CA1349F"/>
    <w:rsid w:val="3CC56DBE"/>
    <w:rsid w:val="3CCA5AC4"/>
    <w:rsid w:val="3CE148D5"/>
    <w:rsid w:val="3CF60F13"/>
    <w:rsid w:val="3D2E5C0E"/>
    <w:rsid w:val="3D2F03B6"/>
    <w:rsid w:val="3D692077"/>
    <w:rsid w:val="3D6C6268"/>
    <w:rsid w:val="3D6D5F96"/>
    <w:rsid w:val="3D8500A7"/>
    <w:rsid w:val="3D9209A6"/>
    <w:rsid w:val="3D9C14F1"/>
    <w:rsid w:val="3DA60A7F"/>
    <w:rsid w:val="3DAA20D8"/>
    <w:rsid w:val="3DAF458D"/>
    <w:rsid w:val="3DB25A6F"/>
    <w:rsid w:val="3DB50C0D"/>
    <w:rsid w:val="3E010C1D"/>
    <w:rsid w:val="3E091B28"/>
    <w:rsid w:val="3E141766"/>
    <w:rsid w:val="3E371080"/>
    <w:rsid w:val="3E37682D"/>
    <w:rsid w:val="3E4959CB"/>
    <w:rsid w:val="3E510266"/>
    <w:rsid w:val="3EB82C3F"/>
    <w:rsid w:val="3EC3257F"/>
    <w:rsid w:val="3EC94E0D"/>
    <w:rsid w:val="3F16706F"/>
    <w:rsid w:val="3F307ED9"/>
    <w:rsid w:val="3F345FF1"/>
    <w:rsid w:val="3F621B88"/>
    <w:rsid w:val="3F717A99"/>
    <w:rsid w:val="3F7441A2"/>
    <w:rsid w:val="3FCE6FDC"/>
    <w:rsid w:val="3FE31E09"/>
    <w:rsid w:val="3FEC034F"/>
    <w:rsid w:val="3FF12C90"/>
    <w:rsid w:val="3FF81865"/>
    <w:rsid w:val="40014FED"/>
    <w:rsid w:val="401922C2"/>
    <w:rsid w:val="4064223E"/>
    <w:rsid w:val="407832F1"/>
    <w:rsid w:val="40E22219"/>
    <w:rsid w:val="415A7A63"/>
    <w:rsid w:val="4168239C"/>
    <w:rsid w:val="41885CC6"/>
    <w:rsid w:val="41974F3F"/>
    <w:rsid w:val="41B13DA3"/>
    <w:rsid w:val="421A1DA6"/>
    <w:rsid w:val="426E055F"/>
    <w:rsid w:val="42900C80"/>
    <w:rsid w:val="4299427F"/>
    <w:rsid w:val="431C15F6"/>
    <w:rsid w:val="436B0AB0"/>
    <w:rsid w:val="437D42F1"/>
    <w:rsid w:val="43B575BD"/>
    <w:rsid w:val="43C157C8"/>
    <w:rsid w:val="43D72CD6"/>
    <w:rsid w:val="43E04726"/>
    <w:rsid w:val="43E23CF8"/>
    <w:rsid w:val="43ED2EFA"/>
    <w:rsid w:val="44040F84"/>
    <w:rsid w:val="445857B9"/>
    <w:rsid w:val="44604BD0"/>
    <w:rsid w:val="44752444"/>
    <w:rsid w:val="449D4396"/>
    <w:rsid w:val="44A92993"/>
    <w:rsid w:val="44AA0E46"/>
    <w:rsid w:val="44AA324B"/>
    <w:rsid w:val="44E15FB7"/>
    <w:rsid w:val="44E45DCD"/>
    <w:rsid w:val="452F34E9"/>
    <w:rsid w:val="45617122"/>
    <w:rsid w:val="45AA14C7"/>
    <w:rsid w:val="45C2715C"/>
    <w:rsid w:val="45C75C04"/>
    <w:rsid w:val="45D9728F"/>
    <w:rsid w:val="45E03EBE"/>
    <w:rsid w:val="46027AFA"/>
    <w:rsid w:val="465F525E"/>
    <w:rsid w:val="46837D5D"/>
    <w:rsid w:val="46D43A09"/>
    <w:rsid w:val="46DC2428"/>
    <w:rsid w:val="46EA01C2"/>
    <w:rsid w:val="46F65BBC"/>
    <w:rsid w:val="4744230D"/>
    <w:rsid w:val="476F32C3"/>
    <w:rsid w:val="478D4D9B"/>
    <w:rsid w:val="47E05294"/>
    <w:rsid w:val="481B181B"/>
    <w:rsid w:val="48275498"/>
    <w:rsid w:val="485420B1"/>
    <w:rsid w:val="48765CDF"/>
    <w:rsid w:val="488E6C72"/>
    <w:rsid w:val="48947ADA"/>
    <w:rsid w:val="48A91F23"/>
    <w:rsid w:val="48DB6A85"/>
    <w:rsid w:val="48F00062"/>
    <w:rsid w:val="491F65E1"/>
    <w:rsid w:val="49304BFE"/>
    <w:rsid w:val="494534A0"/>
    <w:rsid w:val="49676A0B"/>
    <w:rsid w:val="498F65C0"/>
    <w:rsid w:val="4A2F79BA"/>
    <w:rsid w:val="4A4472CB"/>
    <w:rsid w:val="4A66404E"/>
    <w:rsid w:val="4AC55A14"/>
    <w:rsid w:val="4ACE1ECF"/>
    <w:rsid w:val="4ADA68DA"/>
    <w:rsid w:val="4AEC7F33"/>
    <w:rsid w:val="4B1D31FA"/>
    <w:rsid w:val="4B2F06D0"/>
    <w:rsid w:val="4BB57D56"/>
    <w:rsid w:val="4BC27207"/>
    <w:rsid w:val="4C0146F3"/>
    <w:rsid w:val="4C132634"/>
    <w:rsid w:val="4C4046B4"/>
    <w:rsid w:val="4C8A0E9E"/>
    <w:rsid w:val="4C991C9A"/>
    <w:rsid w:val="4CA92A34"/>
    <w:rsid w:val="4D2C009A"/>
    <w:rsid w:val="4D3453CA"/>
    <w:rsid w:val="4D582B08"/>
    <w:rsid w:val="4D5A2B7A"/>
    <w:rsid w:val="4D7C6683"/>
    <w:rsid w:val="4D976E44"/>
    <w:rsid w:val="4D9A6460"/>
    <w:rsid w:val="4DF310CF"/>
    <w:rsid w:val="4E2D017E"/>
    <w:rsid w:val="4E3A4C92"/>
    <w:rsid w:val="4E78041D"/>
    <w:rsid w:val="4EBD2210"/>
    <w:rsid w:val="4EDD2241"/>
    <w:rsid w:val="4F055BAC"/>
    <w:rsid w:val="4F1B49BD"/>
    <w:rsid w:val="4F651C73"/>
    <w:rsid w:val="4F75761F"/>
    <w:rsid w:val="4F77287D"/>
    <w:rsid w:val="4FB97FEA"/>
    <w:rsid w:val="4FC255FC"/>
    <w:rsid w:val="4FDB6B15"/>
    <w:rsid w:val="4FF428FE"/>
    <w:rsid w:val="50464922"/>
    <w:rsid w:val="505D0990"/>
    <w:rsid w:val="5071053C"/>
    <w:rsid w:val="50753236"/>
    <w:rsid w:val="5094121F"/>
    <w:rsid w:val="50B16B7A"/>
    <w:rsid w:val="50DA313E"/>
    <w:rsid w:val="50DA3C74"/>
    <w:rsid w:val="5108329B"/>
    <w:rsid w:val="513B6A53"/>
    <w:rsid w:val="51432BDB"/>
    <w:rsid w:val="514C2224"/>
    <w:rsid w:val="515C46DD"/>
    <w:rsid w:val="51745870"/>
    <w:rsid w:val="51A056F2"/>
    <w:rsid w:val="51ED0157"/>
    <w:rsid w:val="52081ABF"/>
    <w:rsid w:val="52502EA8"/>
    <w:rsid w:val="526E2841"/>
    <w:rsid w:val="5270322D"/>
    <w:rsid w:val="527A3D47"/>
    <w:rsid w:val="52BB4D90"/>
    <w:rsid w:val="52BD6378"/>
    <w:rsid w:val="52C04A88"/>
    <w:rsid w:val="52D007EA"/>
    <w:rsid w:val="52E55224"/>
    <w:rsid w:val="5301319F"/>
    <w:rsid w:val="53486653"/>
    <w:rsid w:val="534D196F"/>
    <w:rsid w:val="53546988"/>
    <w:rsid w:val="538D75FE"/>
    <w:rsid w:val="53A35868"/>
    <w:rsid w:val="53A91046"/>
    <w:rsid w:val="53B22429"/>
    <w:rsid w:val="53C475ED"/>
    <w:rsid w:val="53CC720A"/>
    <w:rsid w:val="54021251"/>
    <w:rsid w:val="540F057C"/>
    <w:rsid w:val="544E0B49"/>
    <w:rsid w:val="54577C1F"/>
    <w:rsid w:val="54B60D8C"/>
    <w:rsid w:val="54D417BE"/>
    <w:rsid w:val="54D86FD5"/>
    <w:rsid w:val="54DA54C3"/>
    <w:rsid w:val="55237C6E"/>
    <w:rsid w:val="552D4699"/>
    <w:rsid w:val="552D67BF"/>
    <w:rsid w:val="55450224"/>
    <w:rsid w:val="554504BD"/>
    <w:rsid w:val="55454D70"/>
    <w:rsid w:val="55556288"/>
    <w:rsid w:val="55572FFE"/>
    <w:rsid w:val="55875D57"/>
    <w:rsid w:val="559F28BD"/>
    <w:rsid w:val="55A25F6F"/>
    <w:rsid w:val="55DE6A44"/>
    <w:rsid w:val="55EC5944"/>
    <w:rsid w:val="561F72D4"/>
    <w:rsid w:val="563F05D9"/>
    <w:rsid w:val="569710FE"/>
    <w:rsid w:val="56A75593"/>
    <w:rsid w:val="56C74AA3"/>
    <w:rsid w:val="56E021AF"/>
    <w:rsid w:val="57227425"/>
    <w:rsid w:val="57490A00"/>
    <w:rsid w:val="57AF4FA5"/>
    <w:rsid w:val="57B55228"/>
    <w:rsid w:val="57BF0F2C"/>
    <w:rsid w:val="57E15497"/>
    <w:rsid w:val="580A5E87"/>
    <w:rsid w:val="5832074E"/>
    <w:rsid w:val="58576D30"/>
    <w:rsid w:val="58736ACC"/>
    <w:rsid w:val="58A67EDA"/>
    <w:rsid w:val="58B442A9"/>
    <w:rsid w:val="58C1517F"/>
    <w:rsid w:val="58CB0A3D"/>
    <w:rsid w:val="58CE3663"/>
    <w:rsid w:val="58DB1B32"/>
    <w:rsid w:val="58DD3CA3"/>
    <w:rsid w:val="58F34F2C"/>
    <w:rsid w:val="58F875D7"/>
    <w:rsid w:val="5938311D"/>
    <w:rsid w:val="59431776"/>
    <w:rsid w:val="59466FB5"/>
    <w:rsid w:val="59AE5D7A"/>
    <w:rsid w:val="59EF226A"/>
    <w:rsid w:val="5A082B7B"/>
    <w:rsid w:val="5A160F90"/>
    <w:rsid w:val="5A275644"/>
    <w:rsid w:val="5A3A06C1"/>
    <w:rsid w:val="5A5207D7"/>
    <w:rsid w:val="5AFC4822"/>
    <w:rsid w:val="5B4D04AD"/>
    <w:rsid w:val="5B6106DA"/>
    <w:rsid w:val="5B7F54D1"/>
    <w:rsid w:val="5BBF2F23"/>
    <w:rsid w:val="5BFC5FFA"/>
    <w:rsid w:val="5C036EE6"/>
    <w:rsid w:val="5C191A87"/>
    <w:rsid w:val="5C33683E"/>
    <w:rsid w:val="5C4E7A17"/>
    <w:rsid w:val="5C5A09BC"/>
    <w:rsid w:val="5C736D18"/>
    <w:rsid w:val="5C845B18"/>
    <w:rsid w:val="5D2A3EA0"/>
    <w:rsid w:val="5D463188"/>
    <w:rsid w:val="5D61629D"/>
    <w:rsid w:val="5D830C47"/>
    <w:rsid w:val="5D9A7448"/>
    <w:rsid w:val="5D9B5109"/>
    <w:rsid w:val="5DAE1CAD"/>
    <w:rsid w:val="5DDB672E"/>
    <w:rsid w:val="5DEE2CA5"/>
    <w:rsid w:val="5E086D13"/>
    <w:rsid w:val="5E0E7A54"/>
    <w:rsid w:val="5E412029"/>
    <w:rsid w:val="5E442446"/>
    <w:rsid w:val="5E634F22"/>
    <w:rsid w:val="5E7E08A6"/>
    <w:rsid w:val="5E9C1D7C"/>
    <w:rsid w:val="5EDD7FC7"/>
    <w:rsid w:val="5F216B93"/>
    <w:rsid w:val="5F2367E4"/>
    <w:rsid w:val="5F5E40D2"/>
    <w:rsid w:val="5F7F34F0"/>
    <w:rsid w:val="5FB86858"/>
    <w:rsid w:val="5FD51F97"/>
    <w:rsid w:val="601501B3"/>
    <w:rsid w:val="601A5990"/>
    <w:rsid w:val="60216648"/>
    <w:rsid w:val="60322688"/>
    <w:rsid w:val="6064027E"/>
    <w:rsid w:val="60723032"/>
    <w:rsid w:val="608B6DF6"/>
    <w:rsid w:val="60A022F9"/>
    <w:rsid w:val="60AF0CEF"/>
    <w:rsid w:val="60D36707"/>
    <w:rsid w:val="60E96D7E"/>
    <w:rsid w:val="60EA530C"/>
    <w:rsid w:val="610329BA"/>
    <w:rsid w:val="610E37D4"/>
    <w:rsid w:val="613854D1"/>
    <w:rsid w:val="614E7A56"/>
    <w:rsid w:val="61671931"/>
    <w:rsid w:val="617612E1"/>
    <w:rsid w:val="618C6446"/>
    <w:rsid w:val="61A15AD5"/>
    <w:rsid w:val="61B57AA2"/>
    <w:rsid w:val="62006CE0"/>
    <w:rsid w:val="62013F7E"/>
    <w:rsid w:val="62250B0E"/>
    <w:rsid w:val="62286E72"/>
    <w:rsid w:val="62363521"/>
    <w:rsid w:val="62473EB7"/>
    <w:rsid w:val="624A65C5"/>
    <w:rsid w:val="62603B15"/>
    <w:rsid w:val="626C0237"/>
    <w:rsid w:val="6272713F"/>
    <w:rsid w:val="62BD2CE1"/>
    <w:rsid w:val="62BF7522"/>
    <w:rsid w:val="62D62E4C"/>
    <w:rsid w:val="62D92FC7"/>
    <w:rsid w:val="62E5183A"/>
    <w:rsid w:val="62FD6D09"/>
    <w:rsid w:val="6312196E"/>
    <w:rsid w:val="6314261F"/>
    <w:rsid w:val="6319524A"/>
    <w:rsid w:val="63427806"/>
    <w:rsid w:val="634A5F9A"/>
    <w:rsid w:val="634F6507"/>
    <w:rsid w:val="63537086"/>
    <w:rsid w:val="63902A23"/>
    <w:rsid w:val="63C53092"/>
    <w:rsid w:val="63FF5236"/>
    <w:rsid w:val="64000CCB"/>
    <w:rsid w:val="64107EA6"/>
    <w:rsid w:val="64170F4F"/>
    <w:rsid w:val="64213CCF"/>
    <w:rsid w:val="642645F7"/>
    <w:rsid w:val="642B6787"/>
    <w:rsid w:val="64415ABF"/>
    <w:rsid w:val="64432B0F"/>
    <w:rsid w:val="64437686"/>
    <w:rsid w:val="646205FC"/>
    <w:rsid w:val="6483040A"/>
    <w:rsid w:val="6496079B"/>
    <w:rsid w:val="64A01BF7"/>
    <w:rsid w:val="64B04E55"/>
    <w:rsid w:val="64D1270C"/>
    <w:rsid w:val="64DB3AF9"/>
    <w:rsid w:val="65073C01"/>
    <w:rsid w:val="651B1652"/>
    <w:rsid w:val="65282E1B"/>
    <w:rsid w:val="654C6A62"/>
    <w:rsid w:val="656745A2"/>
    <w:rsid w:val="658063E0"/>
    <w:rsid w:val="6592747C"/>
    <w:rsid w:val="65E91BC3"/>
    <w:rsid w:val="66103134"/>
    <w:rsid w:val="66724E79"/>
    <w:rsid w:val="667F76EA"/>
    <w:rsid w:val="66890956"/>
    <w:rsid w:val="66AA48F1"/>
    <w:rsid w:val="66AA54E7"/>
    <w:rsid w:val="66CE621B"/>
    <w:rsid w:val="66D57EB3"/>
    <w:rsid w:val="66D753DC"/>
    <w:rsid w:val="6748463A"/>
    <w:rsid w:val="67BE7E05"/>
    <w:rsid w:val="67C512A6"/>
    <w:rsid w:val="67D97E50"/>
    <w:rsid w:val="680476A7"/>
    <w:rsid w:val="681B1A42"/>
    <w:rsid w:val="683F49DE"/>
    <w:rsid w:val="6849635C"/>
    <w:rsid w:val="68842AF4"/>
    <w:rsid w:val="688B4280"/>
    <w:rsid w:val="688D4BA2"/>
    <w:rsid w:val="689B22B0"/>
    <w:rsid w:val="68D41394"/>
    <w:rsid w:val="691F2062"/>
    <w:rsid w:val="695A3E64"/>
    <w:rsid w:val="699C2CB6"/>
    <w:rsid w:val="69B629CD"/>
    <w:rsid w:val="69E84C61"/>
    <w:rsid w:val="69F215A1"/>
    <w:rsid w:val="69F21815"/>
    <w:rsid w:val="6A306030"/>
    <w:rsid w:val="6A3D5C90"/>
    <w:rsid w:val="6A692D97"/>
    <w:rsid w:val="6A696822"/>
    <w:rsid w:val="6AB659D2"/>
    <w:rsid w:val="6ABE6B04"/>
    <w:rsid w:val="6AE73E26"/>
    <w:rsid w:val="6AEE6150"/>
    <w:rsid w:val="6B05287E"/>
    <w:rsid w:val="6B07B331"/>
    <w:rsid w:val="6B141AA3"/>
    <w:rsid w:val="6B1424B6"/>
    <w:rsid w:val="6B4D747F"/>
    <w:rsid w:val="6B8675E7"/>
    <w:rsid w:val="6BA64467"/>
    <w:rsid w:val="6BC8735A"/>
    <w:rsid w:val="6BE31DD4"/>
    <w:rsid w:val="6BE83C5A"/>
    <w:rsid w:val="6BEC0894"/>
    <w:rsid w:val="6C3E02C7"/>
    <w:rsid w:val="6C594E58"/>
    <w:rsid w:val="6C59649E"/>
    <w:rsid w:val="6C66694A"/>
    <w:rsid w:val="6CBF063B"/>
    <w:rsid w:val="6CD44518"/>
    <w:rsid w:val="6CF95D47"/>
    <w:rsid w:val="6D033699"/>
    <w:rsid w:val="6D1728BC"/>
    <w:rsid w:val="6D190EAF"/>
    <w:rsid w:val="6D2F344E"/>
    <w:rsid w:val="6D687467"/>
    <w:rsid w:val="6D721D17"/>
    <w:rsid w:val="6D775A83"/>
    <w:rsid w:val="6D794F0E"/>
    <w:rsid w:val="6DA81C49"/>
    <w:rsid w:val="6DBB7883"/>
    <w:rsid w:val="6DD42B62"/>
    <w:rsid w:val="6E012FA1"/>
    <w:rsid w:val="6E0418BA"/>
    <w:rsid w:val="6E1D673A"/>
    <w:rsid w:val="6E423C44"/>
    <w:rsid w:val="6E527E72"/>
    <w:rsid w:val="6E846F9D"/>
    <w:rsid w:val="6EA50ADE"/>
    <w:rsid w:val="6ECF0E45"/>
    <w:rsid w:val="6ED61957"/>
    <w:rsid w:val="6EDC1517"/>
    <w:rsid w:val="6EEE1C98"/>
    <w:rsid w:val="6F025495"/>
    <w:rsid w:val="6F0E7D9B"/>
    <w:rsid w:val="6F763B10"/>
    <w:rsid w:val="6F8B6F04"/>
    <w:rsid w:val="6FE013B1"/>
    <w:rsid w:val="6FE84D95"/>
    <w:rsid w:val="70062B8A"/>
    <w:rsid w:val="701E370A"/>
    <w:rsid w:val="701F75D8"/>
    <w:rsid w:val="706A40A4"/>
    <w:rsid w:val="70F76E47"/>
    <w:rsid w:val="711D06E4"/>
    <w:rsid w:val="71320555"/>
    <w:rsid w:val="71502148"/>
    <w:rsid w:val="71601E40"/>
    <w:rsid w:val="71822A74"/>
    <w:rsid w:val="71844EAA"/>
    <w:rsid w:val="71872942"/>
    <w:rsid w:val="718A1E53"/>
    <w:rsid w:val="71C27F0D"/>
    <w:rsid w:val="71E57DF9"/>
    <w:rsid w:val="71F44CD4"/>
    <w:rsid w:val="71F717A5"/>
    <w:rsid w:val="71F91297"/>
    <w:rsid w:val="720A41AD"/>
    <w:rsid w:val="72240B80"/>
    <w:rsid w:val="72384D73"/>
    <w:rsid w:val="725116BA"/>
    <w:rsid w:val="728E31F8"/>
    <w:rsid w:val="72A648FE"/>
    <w:rsid w:val="72CC3092"/>
    <w:rsid w:val="72E06D0A"/>
    <w:rsid w:val="72EF7F6A"/>
    <w:rsid w:val="72F7300D"/>
    <w:rsid w:val="733701C1"/>
    <w:rsid w:val="73387A84"/>
    <w:rsid w:val="734D599E"/>
    <w:rsid w:val="73574BE4"/>
    <w:rsid w:val="737035E6"/>
    <w:rsid w:val="73716D04"/>
    <w:rsid w:val="73BE6DCC"/>
    <w:rsid w:val="73C43A41"/>
    <w:rsid w:val="73FA29FE"/>
    <w:rsid w:val="740B3071"/>
    <w:rsid w:val="74184539"/>
    <w:rsid w:val="74800980"/>
    <w:rsid w:val="74AC6EDA"/>
    <w:rsid w:val="74FA3C1C"/>
    <w:rsid w:val="75042362"/>
    <w:rsid w:val="75296933"/>
    <w:rsid w:val="75610591"/>
    <w:rsid w:val="758B4FC0"/>
    <w:rsid w:val="75A95458"/>
    <w:rsid w:val="75B50995"/>
    <w:rsid w:val="75C45975"/>
    <w:rsid w:val="763C37A9"/>
    <w:rsid w:val="76413FB2"/>
    <w:rsid w:val="76547AE8"/>
    <w:rsid w:val="767C6338"/>
    <w:rsid w:val="76AC432E"/>
    <w:rsid w:val="76B76F67"/>
    <w:rsid w:val="76C41828"/>
    <w:rsid w:val="76D30A74"/>
    <w:rsid w:val="7703618A"/>
    <w:rsid w:val="7719217F"/>
    <w:rsid w:val="77214E2D"/>
    <w:rsid w:val="7738532E"/>
    <w:rsid w:val="774677FB"/>
    <w:rsid w:val="774D4EB6"/>
    <w:rsid w:val="777D33EF"/>
    <w:rsid w:val="77A813C2"/>
    <w:rsid w:val="7817532C"/>
    <w:rsid w:val="785C520F"/>
    <w:rsid w:val="786D42E1"/>
    <w:rsid w:val="78896A63"/>
    <w:rsid w:val="78AE6113"/>
    <w:rsid w:val="78B34204"/>
    <w:rsid w:val="78EB6498"/>
    <w:rsid w:val="78FE4DE4"/>
    <w:rsid w:val="79424AF0"/>
    <w:rsid w:val="7957170C"/>
    <w:rsid w:val="795962CF"/>
    <w:rsid w:val="797A4863"/>
    <w:rsid w:val="797C0F55"/>
    <w:rsid w:val="79A2636F"/>
    <w:rsid w:val="79D00BAA"/>
    <w:rsid w:val="7A0640EC"/>
    <w:rsid w:val="7A0926DC"/>
    <w:rsid w:val="7A2410F0"/>
    <w:rsid w:val="7A332D68"/>
    <w:rsid w:val="7A3F097A"/>
    <w:rsid w:val="7A9715A6"/>
    <w:rsid w:val="7ACF2FFD"/>
    <w:rsid w:val="7AE6394C"/>
    <w:rsid w:val="7AF47D78"/>
    <w:rsid w:val="7B117B7E"/>
    <w:rsid w:val="7B1B38D7"/>
    <w:rsid w:val="7B303103"/>
    <w:rsid w:val="7B3437C8"/>
    <w:rsid w:val="7B763AF2"/>
    <w:rsid w:val="7B7B1E15"/>
    <w:rsid w:val="7BC85278"/>
    <w:rsid w:val="7C0B7856"/>
    <w:rsid w:val="7C2F189C"/>
    <w:rsid w:val="7C4E17CC"/>
    <w:rsid w:val="7C7E1898"/>
    <w:rsid w:val="7CA016B1"/>
    <w:rsid w:val="7D2A0819"/>
    <w:rsid w:val="7D795D68"/>
    <w:rsid w:val="7D7A7D3B"/>
    <w:rsid w:val="7D8828D0"/>
    <w:rsid w:val="7D993DC4"/>
    <w:rsid w:val="7DA713D9"/>
    <w:rsid w:val="7DA8542A"/>
    <w:rsid w:val="7DA95B23"/>
    <w:rsid w:val="7DAF2B83"/>
    <w:rsid w:val="7DB60447"/>
    <w:rsid w:val="7DBB0514"/>
    <w:rsid w:val="7DDD38B5"/>
    <w:rsid w:val="7E1D1D32"/>
    <w:rsid w:val="7E25427E"/>
    <w:rsid w:val="7E381595"/>
    <w:rsid w:val="7E412EE4"/>
    <w:rsid w:val="7E4751EB"/>
    <w:rsid w:val="7E4A3BBB"/>
    <w:rsid w:val="7E905319"/>
    <w:rsid w:val="7EBD563D"/>
    <w:rsid w:val="7EE241A1"/>
    <w:rsid w:val="7EF52702"/>
    <w:rsid w:val="7F3462FA"/>
    <w:rsid w:val="7F417967"/>
    <w:rsid w:val="7F46260B"/>
    <w:rsid w:val="7F7C6D4B"/>
    <w:rsid w:val="7FA06A63"/>
    <w:rsid w:val="7FD5DAD7"/>
    <w:rsid w:val="7FE57505"/>
    <w:rsid w:val="AFEB811D"/>
    <w:rsid w:val="BAB2A6D0"/>
    <w:rsid w:val="ECBE9A30"/>
    <w:rsid w:val="FF771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86"/>
    <w:qFormat/>
    <w:uiPriority w:val="0"/>
    <w:pPr>
      <w:keepNext/>
      <w:keepLines/>
      <w:spacing w:before="500" w:after="500" w:line="578" w:lineRule="auto"/>
      <w:jc w:val="center"/>
      <w:outlineLvl w:val="0"/>
    </w:pPr>
    <w:rPr>
      <w:b/>
      <w:bCs/>
      <w:kern w:val="44"/>
      <w:sz w:val="44"/>
      <w:szCs w:val="44"/>
    </w:rPr>
  </w:style>
  <w:style w:type="paragraph" w:styleId="5">
    <w:name w:val="heading 2"/>
    <w:basedOn w:val="1"/>
    <w:next w:val="1"/>
    <w:link w:val="84"/>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98"/>
    <w:unhideWhenUsed/>
    <w:qFormat/>
    <w:uiPriority w:val="0"/>
    <w:pPr>
      <w:keepNext/>
      <w:keepLines/>
      <w:spacing w:before="260" w:after="260" w:line="416" w:lineRule="auto"/>
      <w:outlineLvl w:val="2"/>
    </w:pPr>
    <w:rPr>
      <w:rFonts w:eastAsia="幼圆"/>
      <w:b/>
      <w:bCs/>
      <w:sz w:val="32"/>
      <w:szCs w:val="32"/>
    </w:rPr>
  </w:style>
  <w:style w:type="paragraph" w:styleId="7">
    <w:name w:val="heading 4"/>
    <w:basedOn w:val="1"/>
    <w:next w:val="1"/>
    <w:link w:val="78"/>
    <w:unhideWhenUsed/>
    <w:qFormat/>
    <w:uiPriority w:val="0"/>
    <w:pPr>
      <w:keepNext/>
      <w:keepLines/>
      <w:spacing w:line="360" w:lineRule="auto"/>
      <w:outlineLvl w:val="3"/>
    </w:pPr>
    <w:rPr>
      <w:rFonts w:ascii="Arial" w:hAnsi="Arial"/>
      <w:b/>
      <w:bCs/>
      <w:szCs w:val="28"/>
    </w:rPr>
  </w:style>
  <w:style w:type="paragraph" w:styleId="8">
    <w:name w:val="heading 5"/>
    <w:basedOn w:val="1"/>
    <w:next w:val="1"/>
    <w:link w:val="64"/>
    <w:qFormat/>
    <w:uiPriority w:val="0"/>
    <w:pPr>
      <w:keepNext/>
      <w:keepLines/>
      <w:spacing w:before="280" w:after="290" w:line="376" w:lineRule="auto"/>
      <w:outlineLvl w:val="4"/>
    </w:pPr>
    <w:rPr>
      <w:rFonts w:ascii="Times New Roman" w:hAnsi="Times New Roman" w:cs="Times New Roman"/>
      <w:b/>
      <w:bCs/>
      <w:sz w:val="28"/>
      <w:szCs w:val="28"/>
    </w:rPr>
  </w:style>
  <w:style w:type="paragraph" w:styleId="9">
    <w:name w:val="heading 6"/>
    <w:basedOn w:val="1"/>
    <w:next w:val="1"/>
    <w:link w:val="65"/>
    <w:qFormat/>
    <w:uiPriority w:val="0"/>
    <w:pPr>
      <w:keepNext/>
      <w:keepLines/>
      <w:widowControl/>
      <w:tabs>
        <w:tab w:val="left" w:pos="1440"/>
      </w:tabs>
      <w:spacing w:before="240" w:after="64" w:line="319" w:lineRule="auto"/>
      <w:ind w:left="1152" w:hanging="1152"/>
      <w:jc w:val="left"/>
      <w:outlineLvl w:val="5"/>
    </w:pPr>
    <w:rPr>
      <w:rFonts w:ascii="Arial" w:hAnsi="Arial" w:eastAsia="黑体" w:cs="Times New Roman"/>
      <w:b/>
      <w:bCs/>
      <w:sz w:val="24"/>
      <w:szCs w:val="24"/>
    </w:rPr>
  </w:style>
  <w:style w:type="paragraph" w:styleId="10">
    <w:name w:val="heading 7"/>
    <w:basedOn w:val="1"/>
    <w:next w:val="1"/>
    <w:link w:val="66"/>
    <w:qFormat/>
    <w:uiPriority w:val="0"/>
    <w:pPr>
      <w:keepNext/>
      <w:keepLines/>
      <w:widowControl/>
      <w:tabs>
        <w:tab w:val="left" w:pos="2520"/>
      </w:tabs>
      <w:spacing w:before="240" w:after="64" w:line="319" w:lineRule="auto"/>
      <w:ind w:left="1296" w:hanging="1296"/>
      <w:jc w:val="left"/>
      <w:outlineLvl w:val="6"/>
    </w:pPr>
    <w:rPr>
      <w:rFonts w:ascii="Times New Roman" w:hAnsi="Times New Roman" w:cs="Times New Roman"/>
      <w:b/>
      <w:bCs/>
      <w:sz w:val="24"/>
      <w:szCs w:val="24"/>
    </w:rPr>
  </w:style>
  <w:style w:type="paragraph" w:styleId="11">
    <w:name w:val="heading 8"/>
    <w:basedOn w:val="1"/>
    <w:next w:val="1"/>
    <w:link w:val="67"/>
    <w:qFormat/>
    <w:uiPriority w:val="0"/>
    <w:pPr>
      <w:keepNext/>
      <w:keepLines/>
      <w:widowControl/>
      <w:tabs>
        <w:tab w:val="left" w:pos="1440"/>
      </w:tabs>
      <w:spacing w:before="240" w:after="64" w:line="319" w:lineRule="auto"/>
      <w:ind w:left="1440" w:hanging="1440"/>
      <w:jc w:val="left"/>
      <w:outlineLvl w:val="7"/>
    </w:pPr>
    <w:rPr>
      <w:rFonts w:ascii="Arial" w:hAnsi="Arial" w:eastAsia="黑体" w:cs="Times New Roman"/>
      <w:sz w:val="24"/>
      <w:szCs w:val="24"/>
    </w:rPr>
  </w:style>
  <w:style w:type="paragraph" w:styleId="12">
    <w:name w:val="heading 9"/>
    <w:basedOn w:val="1"/>
    <w:next w:val="1"/>
    <w:link w:val="68"/>
    <w:qFormat/>
    <w:uiPriority w:val="0"/>
    <w:pPr>
      <w:keepNext/>
      <w:keepLines/>
      <w:widowControl/>
      <w:tabs>
        <w:tab w:val="left" w:pos="1584"/>
      </w:tabs>
      <w:spacing w:before="240" w:after="64" w:line="319" w:lineRule="auto"/>
      <w:ind w:left="1584" w:hanging="1584"/>
      <w:jc w:val="left"/>
      <w:outlineLvl w:val="8"/>
    </w:pPr>
    <w:rPr>
      <w:rFonts w:ascii="Arial" w:hAnsi="Arial" w:eastAsia="黑体" w:cs="Times New Roman"/>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13"/>
    <w:qFormat/>
    <w:uiPriority w:val="0"/>
    <w:pPr>
      <w:spacing w:after="120"/>
    </w:pPr>
  </w:style>
  <w:style w:type="paragraph" w:customStyle="1" w:styleId="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toc 7"/>
    <w:basedOn w:val="1"/>
    <w:next w:val="1"/>
    <w:qFormat/>
    <w:uiPriority w:val="0"/>
    <w:pPr>
      <w:ind w:left="2520" w:leftChars="1200"/>
    </w:pPr>
    <w:rPr>
      <w:rFonts w:ascii="Times New Roman" w:hAnsi="Times New Roman" w:cs="Times New Roman"/>
      <w:szCs w:val="24"/>
    </w:rPr>
  </w:style>
  <w:style w:type="paragraph" w:styleId="14">
    <w:name w:val="Normal Indent"/>
    <w:basedOn w:val="1"/>
    <w:qFormat/>
    <w:uiPriority w:val="0"/>
    <w:pPr>
      <w:ind w:firstLine="420" w:firstLineChars="200"/>
    </w:pPr>
    <w:rPr>
      <w:rFonts w:ascii="Times New Roman" w:hAnsi="Times New Roman" w:cs="Times New Roman"/>
      <w:szCs w:val="24"/>
    </w:rPr>
  </w:style>
  <w:style w:type="paragraph" w:styleId="15">
    <w:name w:val="Document Map"/>
    <w:basedOn w:val="1"/>
    <w:link w:val="112"/>
    <w:qFormat/>
    <w:uiPriority w:val="0"/>
    <w:pPr>
      <w:shd w:val="clear" w:color="auto" w:fill="000080"/>
    </w:pPr>
    <w:rPr>
      <w:rFonts w:ascii="Times New Roman" w:hAnsi="Times New Roman" w:cs="Times New Roman"/>
      <w:szCs w:val="24"/>
    </w:rPr>
  </w:style>
  <w:style w:type="paragraph" w:styleId="16">
    <w:name w:val="annotation text"/>
    <w:basedOn w:val="1"/>
    <w:link w:val="108"/>
    <w:qFormat/>
    <w:uiPriority w:val="0"/>
    <w:pPr>
      <w:jc w:val="left"/>
    </w:pPr>
  </w:style>
  <w:style w:type="paragraph" w:styleId="17">
    <w:name w:val="Body Text 3"/>
    <w:basedOn w:val="1"/>
    <w:link w:val="116"/>
    <w:qFormat/>
    <w:uiPriority w:val="0"/>
    <w:rPr>
      <w:rFonts w:ascii="宋体" w:hAnsi="Times New Roman" w:cs="Times New Roman"/>
      <w:sz w:val="24"/>
      <w:szCs w:val="20"/>
    </w:rPr>
  </w:style>
  <w:style w:type="paragraph" w:styleId="18">
    <w:name w:val="Body Text Indent"/>
    <w:basedOn w:val="1"/>
    <w:next w:val="19"/>
    <w:link w:val="118"/>
    <w:qFormat/>
    <w:uiPriority w:val="0"/>
    <w:pPr>
      <w:spacing w:after="120"/>
      <w:ind w:left="420" w:leftChars="200"/>
    </w:pPr>
    <w:rPr>
      <w:rFonts w:ascii="Times New Roman" w:hAnsi="Times New Roman" w:cs="Times New Roman"/>
      <w:szCs w:val="24"/>
    </w:rPr>
  </w:style>
  <w:style w:type="paragraph" w:styleId="19">
    <w:name w:val="envelope return"/>
    <w:basedOn w:val="1"/>
    <w:qFormat/>
    <w:uiPriority w:val="0"/>
    <w:pPr>
      <w:snapToGrid w:val="0"/>
    </w:pPr>
    <w:rPr>
      <w:rFonts w:ascii="Arial" w:hAnsi="Arial"/>
    </w:rPr>
  </w:style>
  <w:style w:type="paragraph" w:styleId="20">
    <w:name w:val="index 4"/>
    <w:basedOn w:val="1"/>
    <w:next w:val="1"/>
    <w:qFormat/>
    <w:uiPriority w:val="0"/>
    <w:pPr>
      <w:ind w:left="600" w:leftChars="600"/>
    </w:pPr>
    <w:rPr>
      <w:rFonts w:ascii="Times New Roman" w:hAnsi="Times New Roman" w:cs="Times New Roman"/>
      <w:szCs w:val="21"/>
    </w:rPr>
  </w:style>
  <w:style w:type="paragraph" w:styleId="21">
    <w:name w:val="toc 5"/>
    <w:basedOn w:val="1"/>
    <w:next w:val="1"/>
    <w:qFormat/>
    <w:uiPriority w:val="0"/>
    <w:pPr>
      <w:ind w:left="1680" w:leftChars="800"/>
    </w:pPr>
    <w:rPr>
      <w:rFonts w:ascii="Times New Roman" w:hAnsi="Times New Roman" w:cs="Times New Roman"/>
      <w:szCs w:val="24"/>
    </w:rPr>
  </w:style>
  <w:style w:type="paragraph" w:styleId="22">
    <w:name w:val="toc 3"/>
    <w:basedOn w:val="1"/>
    <w:next w:val="1"/>
    <w:qFormat/>
    <w:uiPriority w:val="39"/>
    <w:pPr>
      <w:ind w:left="840" w:leftChars="400"/>
    </w:pPr>
  </w:style>
  <w:style w:type="paragraph" w:styleId="23">
    <w:name w:val="Plain Text"/>
    <w:basedOn w:val="1"/>
    <w:link w:val="85"/>
    <w:qFormat/>
    <w:uiPriority w:val="0"/>
    <w:rPr>
      <w:rFonts w:ascii="宋体" w:hAnsi="Courier New" w:eastAsia="幼圆"/>
    </w:rPr>
  </w:style>
  <w:style w:type="paragraph" w:styleId="24">
    <w:name w:val="toc 8"/>
    <w:basedOn w:val="1"/>
    <w:next w:val="1"/>
    <w:qFormat/>
    <w:uiPriority w:val="0"/>
    <w:pPr>
      <w:ind w:left="2940" w:leftChars="1400"/>
    </w:pPr>
    <w:rPr>
      <w:rFonts w:ascii="Times New Roman" w:hAnsi="Times New Roman" w:cs="Times New Roman"/>
      <w:szCs w:val="24"/>
    </w:rPr>
  </w:style>
  <w:style w:type="paragraph" w:styleId="25">
    <w:name w:val="Date"/>
    <w:basedOn w:val="1"/>
    <w:next w:val="1"/>
    <w:link w:val="121"/>
    <w:qFormat/>
    <w:uiPriority w:val="0"/>
    <w:rPr>
      <w:rFonts w:ascii="Times New Roman" w:hAnsi="Times New Roman" w:cs="Times New Roman"/>
      <w:sz w:val="24"/>
      <w:szCs w:val="20"/>
    </w:rPr>
  </w:style>
  <w:style w:type="paragraph" w:styleId="26">
    <w:name w:val="Body Text Indent 2"/>
    <w:basedOn w:val="1"/>
    <w:link w:val="119"/>
    <w:qFormat/>
    <w:uiPriority w:val="0"/>
    <w:pPr>
      <w:spacing w:after="120" w:line="480" w:lineRule="auto"/>
      <w:ind w:left="420" w:leftChars="200"/>
    </w:pPr>
    <w:rPr>
      <w:rFonts w:ascii="Times New Roman" w:hAnsi="Times New Roman" w:cs="Times New Roman"/>
      <w:szCs w:val="24"/>
    </w:rPr>
  </w:style>
  <w:style w:type="paragraph" w:styleId="27">
    <w:name w:val="Balloon Text"/>
    <w:basedOn w:val="1"/>
    <w:link w:val="115"/>
    <w:qFormat/>
    <w:uiPriority w:val="0"/>
    <w:rPr>
      <w:rFonts w:ascii="Times New Roman" w:hAnsi="Times New Roman" w:cs="Times New Roman"/>
      <w:sz w:val="18"/>
      <w:szCs w:val="18"/>
    </w:rPr>
  </w:style>
  <w:style w:type="paragraph" w:styleId="28">
    <w:name w:val="footer"/>
    <w:basedOn w:val="1"/>
    <w:link w:val="80"/>
    <w:qFormat/>
    <w:uiPriority w:val="0"/>
    <w:pPr>
      <w:tabs>
        <w:tab w:val="center" w:pos="4153"/>
        <w:tab w:val="right" w:pos="8306"/>
      </w:tabs>
      <w:snapToGrid w:val="0"/>
      <w:jc w:val="left"/>
    </w:pPr>
    <w:rPr>
      <w:sz w:val="18"/>
      <w:szCs w:val="18"/>
    </w:rPr>
  </w:style>
  <w:style w:type="paragraph" w:styleId="29">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0"/>
    <w:pPr>
      <w:ind w:left="1260" w:leftChars="600"/>
    </w:pPr>
    <w:rPr>
      <w:rFonts w:ascii="Times New Roman" w:hAnsi="Times New Roman" w:cs="Times New Roman"/>
      <w:szCs w:val="24"/>
    </w:rPr>
  </w:style>
  <w:style w:type="paragraph" w:styleId="32">
    <w:name w:val="Subtitle"/>
    <w:basedOn w:val="1"/>
    <w:next w:val="1"/>
    <w:link w:val="120"/>
    <w:qFormat/>
    <w:uiPriority w:val="0"/>
    <w:pPr>
      <w:spacing w:before="240" w:after="60" w:line="312" w:lineRule="auto"/>
      <w:jc w:val="center"/>
      <w:outlineLvl w:val="1"/>
    </w:pPr>
    <w:rPr>
      <w:rFonts w:ascii="Cambria" w:hAnsi="Cambria" w:cs="Times New Roman"/>
      <w:b/>
      <w:bCs/>
      <w:kern w:val="28"/>
      <w:sz w:val="32"/>
      <w:szCs w:val="32"/>
    </w:rPr>
  </w:style>
  <w:style w:type="paragraph" w:styleId="33">
    <w:name w:val="toc 6"/>
    <w:basedOn w:val="1"/>
    <w:next w:val="1"/>
    <w:qFormat/>
    <w:uiPriority w:val="0"/>
    <w:pPr>
      <w:ind w:left="2100" w:leftChars="1000"/>
    </w:pPr>
    <w:rPr>
      <w:rFonts w:ascii="Times New Roman" w:hAnsi="Times New Roman" w:cs="Times New Roman"/>
      <w:szCs w:val="24"/>
    </w:rPr>
  </w:style>
  <w:style w:type="paragraph" w:styleId="34">
    <w:name w:val="Body Text Indent 3"/>
    <w:basedOn w:val="1"/>
    <w:link w:val="117"/>
    <w:qFormat/>
    <w:uiPriority w:val="0"/>
    <w:pPr>
      <w:spacing w:line="400" w:lineRule="exact"/>
      <w:ind w:firstLine="480" w:firstLineChars="200"/>
    </w:pPr>
    <w:rPr>
      <w:rFonts w:ascii="宋体" w:hAnsi="宋体" w:cs="Times New Roman"/>
      <w:color w:val="FF0000"/>
      <w:sz w:val="24"/>
      <w:szCs w:val="24"/>
    </w:rPr>
  </w:style>
  <w:style w:type="paragraph" w:styleId="35">
    <w:name w:val="toc 2"/>
    <w:basedOn w:val="1"/>
    <w:next w:val="1"/>
    <w:qFormat/>
    <w:uiPriority w:val="39"/>
    <w:pPr>
      <w:ind w:left="420" w:leftChars="200"/>
    </w:pPr>
  </w:style>
  <w:style w:type="paragraph" w:styleId="36">
    <w:name w:val="toc 9"/>
    <w:basedOn w:val="1"/>
    <w:next w:val="1"/>
    <w:qFormat/>
    <w:uiPriority w:val="0"/>
    <w:pPr>
      <w:ind w:left="3360" w:leftChars="1600"/>
    </w:pPr>
    <w:rPr>
      <w:rFonts w:ascii="Times New Roman" w:hAnsi="Times New Roman" w:cs="Times New Roman"/>
      <w:szCs w:val="24"/>
    </w:rPr>
  </w:style>
  <w:style w:type="paragraph" w:styleId="37">
    <w:name w:val="Body Text 2"/>
    <w:basedOn w:val="1"/>
    <w:next w:val="2"/>
    <w:qFormat/>
    <w:uiPriority w:val="0"/>
    <w:pPr>
      <w:spacing w:after="120" w:line="480" w:lineRule="auto"/>
    </w:pPr>
  </w:style>
  <w:style w:type="paragraph" w:styleId="38">
    <w:name w:val="Normal (Web)"/>
    <w:basedOn w:val="1"/>
    <w:qFormat/>
    <w:uiPriority w:val="0"/>
    <w:rPr>
      <w:rFonts w:ascii="Times New Roman" w:hAnsi="Times New Roman" w:cs="Times New Roman"/>
      <w:sz w:val="24"/>
      <w:szCs w:val="20"/>
    </w:rPr>
  </w:style>
  <w:style w:type="paragraph" w:styleId="39">
    <w:name w:val="index 1"/>
    <w:basedOn w:val="1"/>
    <w:next w:val="1"/>
    <w:qFormat/>
    <w:uiPriority w:val="0"/>
    <w:pPr>
      <w:spacing w:line="220" w:lineRule="exact"/>
      <w:jc w:val="center"/>
    </w:pPr>
    <w:rPr>
      <w:rFonts w:ascii="仿宋_GB2312" w:hAnsi="Times New Roman" w:eastAsia="仿宋_GB2312" w:cs="Times New Roman"/>
      <w:szCs w:val="21"/>
    </w:rPr>
  </w:style>
  <w:style w:type="paragraph" w:styleId="40">
    <w:name w:val="Title"/>
    <w:basedOn w:val="1"/>
    <w:link w:val="110"/>
    <w:qFormat/>
    <w:uiPriority w:val="0"/>
    <w:pPr>
      <w:adjustRightInd w:val="0"/>
      <w:spacing w:before="240" w:after="60" w:line="420" w:lineRule="atLeast"/>
      <w:jc w:val="center"/>
      <w:textAlignment w:val="baseline"/>
      <w:outlineLvl w:val="0"/>
    </w:pPr>
    <w:rPr>
      <w:rFonts w:ascii="Arial" w:hAnsi="Arial" w:cs="Times New Roman"/>
      <w:b/>
      <w:kern w:val="0"/>
      <w:sz w:val="32"/>
      <w:szCs w:val="20"/>
    </w:rPr>
  </w:style>
  <w:style w:type="paragraph" w:styleId="41">
    <w:name w:val="annotation subject"/>
    <w:basedOn w:val="16"/>
    <w:next w:val="16"/>
    <w:link w:val="109"/>
    <w:qFormat/>
    <w:uiPriority w:val="0"/>
    <w:rPr>
      <w:rFonts w:ascii="Arial" w:hAnsi="Arial" w:cs="Times New Roman"/>
      <w:b/>
      <w:bCs/>
      <w:szCs w:val="32"/>
    </w:rPr>
  </w:style>
  <w:style w:type="paragraph" w:styleId="42">
    <w:name w:val="Body Text First Indent"/>
    <w:basedOn w:val="2"/>
    <w:next w:val="43"/>
    <w:link w:val="114"/>
    <w:qFormat/>
    <w:uiPriority w:val="0"/>
    <w:pPr>
      <w:ind w:firstLine="420" w:firstLineChars="100"/>
    </w:pPr>
    <w:rPr>
      <w:rFonts w:ascii="Times New Roman" w:hAnsi="Times New Roman" w:cs="Times New Roman"/>
      <w:szCs w:val="20"/>
    </w:rPr>
  </w:style>
  <w:style w:type="paragraph" w:styleId="43">
    <w:name w:val="Body Text First Indent 2"/>
    <w:basedOn w:val="18"/>
    <w:next w:val="42"/>
    <w:qFormat/>
    <w:uiPriority w:val="0"/>
    <w:pPr>
      <w:ind w:firstLine="420" w:firstLineChars="200"/>
    </w:pPr>
  </w:style>
  <w:style w:type="table" w:styleId="45">
    <w:name w:val="Table Grid"/>
    <w:basedOn w:val="4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basedOn w:val="46"/>
    <w:qFormat/>
    <w:uiPriority w:val="0"/>
    <w:rPr>
      <w:color w:val="333333"/>
      <w:sz w:val="18"/>
      <w:szCs w:val="18"/>
      <w:u w:val="none"/>
    </w:rPr>
  </w:style>
  <w:style w:type="character" w:styleId="50">
    <w:name w:val="Emphasis"/>
    <w:basedOn w:val="46"/>
    <w:qFormat/>
    <w:uiPriority w:val="0"/>
    <w:rPr>
      <w:color w:val="F73131"/>
    </w:rPr>
  </w:style>
  <w:style w:type="character" w:styleId="51">
    <w:name w:val="Hyperlink"/>
    <w:basedOn w:val="46"/>
    <w:qFormat/>
    <w:uiPriority w:val="99"/>
    <w:rPr>
      <w:color w:val="000000"/>
      <w:u w:val="none"/>
    </w:rPr>
  </w:style>
  <w:style w:type="character" w:styleId="52">
    <w:name w:val="annotation reference"/>
    <w:basedOn w:val="46"/>
    <w:qFormat/>
    <w:uiPriority w:val="0"/>
    <w:rPr>
      <w:sz w:val="21"/>
      <w:szCs w:val="21"/>
    </w:rPr>
  </w:style>
  <w:style w:type="character" w:styleId="53">
    <w:name w:val="HTML Cite"/>
    <w:basedOn w:val="46"/>
    <w:qFormat/>
    <w:uiPriority w:val="0"/>
    <w:rPr>
      <w:color w:val="008000"/>
    </w:rPr>
  </w:style>
  <w:style w:type="paragraph" w:customStyle="1" w:styleId="54">
    <w:name w:val="style4"/>
    <w:basedOn w:val="1"/>
    <w:next w:val="55"/>
    <w:qFormat/>
    <w:uiPriority w:val="0"/>
    <w:pPr>
      <w:widowControl/>
      <w:spacing w:before="100" w:beforeAutospacing="1" w:after="100" w:afterAutospacing="1"/>
      <w:jc w:val="left"/>
    </w:pPr>
    <w:rPr>
      <w:rFonts w:ascii="宋体" w:hAnsi="宋体" w:eastAsia="Calibri" w:cs="宋体"/>
      <w:kern w:val="0"/>
      <w:sz w:val="18"/>
      <w:szCs w:val="18"/>
      <w:lang w:eastAsia="en-US"/>
    </w:rPr>
  </w:style>
  <w:style w:type="paragraph" w:customStyle="1" w:styleId="55">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无间隔1"/>
    <w:basedOn w:val="1"/>
    <w:next w:val="57"/>
    <w:qFormat/>
    <w:uiPriority w:val="0"/>
    <w:pPr>
      <w:spacing w:line="400" w:lineRule="exact"/>
    </w:pPr>
    <w:rPr>
      <w:sz w:val="24"/>
    </w:rPr>
  </w:style>
  <w:style w:type="paragraph" w:customStyle="1" w:styleId="57">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58">
    <w:name w:val="正文（首行缩进） Char"/>
    <w:basedOn w:val="1"/>
    <w:qFormat/>
    <w:uiPriority w:val="0"/>
    <w:pPr>
      <w:spacing w:line="360" w:lineRule="auto"/>
      <w:ind w:firstLine="480" w:firstLineChars="200"/>
    </w:pPr>
    <w:rPr>
      <w:rFonts w:ascii="Arial" w:hAnsi="Arial"/>
      <w:color w:val="000000"/>
      <w:sz w:val="24"/>
      <w:szCs w:val="24"/>
    </w:rPr>
  </w:style>
  <w:style w:type="paragraph" w:customStyle="1" w:styleId="59">
    <w:name w:val="标题3-1"/>
    <w:basedOn w:val="6"/>
    <w:qFormat/>
    <w:uiPriority w:val="0"/>
    <w:pPr>
      <w:numPr>
        <w:ilvl w:val="0"/>
        <w:numId w:val="1"/>
      </w:numPr>
    </w:pPr>
    <w:rPr>
      <w:sz w:val="24"/>
    </w:rPr>
  </w:style>
  <w:style w:type="paragraph" w:customStyle="1" w:styleId="60">
    <w:name w:val="Char"/>
    <w:basedOn w:val="1"/>
    <w:qFormat/>
    <w:uiPriority w:val="0"/>
  </w:style>
  <w:style w:type="paragraph" w:customStyle="1" w:styleId="61">
    <w:name w:val="表格标题"/>
    <w:basedOn w:val="1"/>
    <w:qFormat/>
    <w:uiPriority w:val="0"/>
    <w:pPr>
      <w:adjustRightInd w:val="0"/>
      <w:snapToGrid w:val="0"/>
      <w:spacing w:line="480" w:lineRule="exact"/>
      <w:ind w:left="508" w:leftChars="1" w:right="113" w:hanging="505"/>
      <w:jc w:val="center"/>
    </w:pPr>
    <w:rPr>
      <w:rFonts w:ascii="宋体" w:eastAsia="黑体"/>
      <w:sz w:val="36"/>
      <w:szCs w:val="28"/>
    </w:rPr>
  </w:style>
  <w:style w:type="paragraph" w:customStyle="1" w:styleId="62">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63">
    <w:name w:val="Char Char1"/>
    <w:qFormat/>
    <w:uiPriority w:val="0"/>
    <w:rPr>
      <w:rFonts w:ascii="宋体" w:hAnsi="Courier New" w:eastAsia="宋体" w:cs="Courier New"/>
      <w:kern w:val="2"/>
      <w:sz w:val="21"/>
      <w:szCs w:val="21"/>
      <w:lang w:val="en-US" w:eastAsia="zh-CN" w:bidi="ar-SA"/>
    </w:rPr>
  </w:style>
  <w:style w:type="character" w:customStyle="1" w:styleId="64">
    <w:name w:val="标题 5 Char"/>
    <w:basedOn w:val="46"/>
    <w:link w:val="8"/>
    <w:qFormat/>
    <w:uiPriority w:val="0"/>
    <w:rPr>
      <w:b/>
      <w:bCs/>
      <w:kern w:val="2"/>
      <w:sz w:val="28"/>
      <w:szCs w:val="28"/>
    </w:rPr>
  </w:style>
  <w:style w:type="character" w:customStyle="1" w:styleId="65">
    <w:name w:val="标题 6 Char"/>
    <w:basedOn w:val="46"/>
    <w:link w:val="9"/>
    <w:qFormat/>
    <w:uiPriority w:val="0"/>
    <w:rPr>
      <w:rFonts w:ascii="Arial" w:hAnsi="Arial" w:eastAsia="黑体"/>
      <w:b/>
      <w:bCs/>
      <w:kern w:val="2"/>
      <w:sz w:val="24"/>
      <w:szCs w:val="24"/>
    </w:rPr>
  </w:style>
  <w:style w:type="character" w:customStyle="1" w:styleId="66">
    <w:name w:val="标题 7 Char"/>
    <w:basedOn w:val="46"/>
    <w:link w:val="10"/>
    <w:qFormat/>
    <w:uiPriority w:val="0"/>
    <w:rPr>
      <w:b/>
      <w:bCs/>
      <w:kern w:val="2"/>
      <w:sz w:val="24"/>
      <w:szCs w:val="24"/>
    </w:rPr>
  </w:style>
  <w:style w:type="character" w:customStyle="1" w:styleId="67">
    <w:name w:val="标题 8 Char"/>
    <w:basedOn w:val="46"/>
    <w:link w:val="11"/>
    <w:qFormat/>
    <w:uiPriority w:val="0"/>
    <w:rPr>
      <w:rFonts w:ascii="Arial" w:hAnsi="Arial" w:eastAsia="黑体"/>
      <w:kern w:val="2"/>
      <w:sz w:val="24"/>
      <w:szCs w:val="24"/>
    </w:rPr>
  </w:style>
  <w:style w:type="character" w:customStyle="1" w:styleId="68">
    <w:name w:val="标题 9 Char"/>
    <w:basedOn w:val="46"/>
    <w:link w:val="12"/>
    <w:qFormat/>
    <w:uiPriority w:val="0"/>
    <w:rPr>
      <w:rFonts w:ascii="Arial" w:hAnsi="Arial" w:eastAsia="黑体"/>
      <w:kern w:val="2"/>
      <w:sz w:val="21"/>
      <w:szCs w:val="21"/>
    </w:rPr>
  </w:style>
  <w:style w:type="character" w:customStyle="1" w:styleId="69">
    <w:name w:val="Intense Quote Char Char"/>
    <w:link w:val="70"/>
    <w:qFormat/>
    <w:uiPriority w:val="0"/>
    <w:rPr>
      <w:b/>
      <w:bCs/>
      <w:i/>
      <w:iCs/>
      <w:color w:val="4F81BD"/>
      <w:kern w:val="2"/>
      <w:sz w:val="22"/>
      <w:szCs w:val="22"/>
    </w:rPr>
  </w:style>
  <w:style w:type="paragraph" w:customStyle="1" w:styleId="70">
    <w:name w:val="明显引用1"/>
    <w:basedOn w:val="1"/>
    <w:next w:val="1"/>
    <w:link w:val="69"/>
    <w:qFormat/>
    <w:uiPriority w:val="0"/>
    <w:pPr>
      <w:pBdr>
        <w:bottom w:val="single" w:color="4F81BD" w:sz="4" w:space="4"/>
      </w:pBdr>
      <w:spacing w:before="200" w:after="280"/>
      <w:ind w:left="936" w:right="936"/>
    </w:pPr>
    <w:rPr>
      <w:rFonts w:ascii="Times New Roman" w:hAnsi="Times New Roman" w:cs="Times New Roman"/>
      <w:b/>
      <w:bCs/>
      <w:i/>
      <w:iCs/>
      <w:color w:val="4F81BD"/>
      <w:sz w:val="22"/>
    </w:rPr>
  </w:style>
  <w:style w:type="character" w:customStyle="1" w:styleId="71">
    <w:name w:val="标题5 Char Char"/>
    <w:link w:val="72"/>
    <w:qFormat/>
    <w:uiPriority w:val="0"/>
    <w:rPr>
      <w:rFonts w:ascii="Arial" w:hAnsi="Arial"/>
      <w:b/>
      <w:bCs/>
      <w:sz w:val="32"/>
      <w:szCs w:val="32"/>
    </w:rPr>
  </w:style>
  <w:style w:type="paragraph" w:customStyle="1" w:styleId="72">
    <w:name w:val="标题5"/>
    <w:basedOn w:val="6"/>
    <w:link w:val="71"/>
    <w:qFormat/>
    <w:uiPriority w:val="0"/>
    <w:pPr>
      <w:spacing w:line="413" w:lineRule="auto"/>
    </w:pPr>
    <w:rPr>
      <w:rFonts w:ascii="Arial" w:hAnsi="Arial" w:eastAsia="宋体" w:cs="Times New Roman"/>
      <w:kern w:val="0"/>
    </w:rPr>
  </w:style>
  <w:style w:type="character" w:customStyle="1" w:styleId="73">
    <w:name w:val="无间隔 Char"/>
    <w:basedOn w:val="46"/>
    <w:link w:val="74"/>
    <w:qFormat/>
    <w:uiPriority w:val="0"/>
    <w:rPr>
      <w:rFonts w:ascii="Calibri" w:hAnsi="Calibri"/>
      <w:sz w:val="22"/>
      <w:szCs w:val="22"/>
    </w:rPr>
  </w:style>
  <w:style w:type="paragraph" w:customStyle="1" w:styleId="74">
    <w:name w:val="No Spacing"/>
    <w:link w:val="73"/>
    <w:qFormat/>
    <w:uiPriority w:val="0"/>
    <w:rPr>
      <w:rFonts w:ascii="Calibri" w:hAnsi="Calibri" w:eastAsia="宋体" w:cs="Times New Roman"/>
      <w:sz w:val="22"/>
      <w:szCs w:val="22"/>
      <w:lang w:val="en-US" w:eastAsia="zh-CN" w:bidi="ar-SA"/>
    </w:rPr>
  </w:style>
  <w:style w:type="character" w:customStyle="1" w:styleId="75">
    <w:name w:val="批注框文本 Char"/>
    <w:basedOn w:val="46"/>
    <w:link w:val="27"/>
    <w:qFormat/>
    <w:uiPriority w:val="0"/>
    <w:rPr>
      <w:kern w:val="2"/>
      <w:sz w:val="18"/>
      <w:szCs w:val="18"/>
    </w:rPr>
  </w:style>
  <w:style w:type="character" w:customStyle="1" w:styleId="76">
    <w:name w:val="标题 Char"/>
    <w:basedOn w:val="46"/>
    <w:link w:val="40"/>
    <w:qFormat/>
    <w:uiPriority w:val="0"/>
    <w:rPr>
      <w:rFonts w:ascii="Arial" w:hAnsi="Arial"/>
      <w:b/>
      <w:sz w:val="32"/>
    </w:rPr>
  </w:style>
  <w:style w:type="character" w:customStyle="1" w:styleId="77">
    <w:name w:val="副标题 Char"/>
    <w:basedOn w:val="46"/>
    <w:link w:val="32"/>
    <w:qFormat/>
    <w:uiPriority w:val="0"/>
    <w:rPr>
      <w:rFonts w:ascii="Cambria" w:hAnsi="Cambria"/>
      <w:b/>
      <w:bCs/>
      <w:kern w:val="28"/>
      <w:sz w:val="32"/>
      <w:szCs w:val="32"/>
    </w:rPr>
  </w:style>
  <w:style w:type="character" w:customStyle="1" w:styleId="78">
    <w:name w:val="标题 4 Char"/>
    <w:basedOn w:val="46"/>
    <w:link w:val="7"/>
    <w:qFormat/>
    <w:uiPriority w:val="0"/>
    <w:rPr>
      <w:rFonts w:ascii="Arial" w:hAnsi="Arial" w:cs="黑体"/>
      <w:b/>
      <w:bCs/>
      <w:kern w:val="2"/>
      <w:sz w:val="21"/>
      <w:szCs w:val="28"/>
    </w:rPr>
  </w:style>
  <w:style w:type="character" w:customStyle="1" w:styleId="79">
    <w:name w:val="正文文本缩进 3 Char"/>
    <w:basedOn w:val="46"/>
    <w:link w:val="34"/>
    <w:qFormat/>
    <w:uiPriority w:val="0"/>
    <w:rPr>
      <w:rFonts w:ascii="宋体" w:hAnsi="宋体"/>
      <w:color w:val="FF0000"/>
      <w:kern w:val="2"/>
      <w:sz w:val="24"/>
      <w:szCs w:val="24"/>
    </w:rPr>
  </w:style>
  <w:style w:type="character" w:customStyle="1" w:styleId="80">
    <w:name w:val="页脚 Char"/>
    <w:basedOn w:val="46"/>
    <w:link w:val="28"/>
    <w:qFormat/>
    <w:uiPriority w:val="0"/>
    <w:rPr>
      <w:rFonts w:ascii="Calibri" w:hAnsi="Calibri" w:cs="黑体"/>
      <w:kern w:val="2"/>
      <w:sz w:val="18"/>
      <w:szCs w:val="18"/>
    </w:rPr>
  </w:style>
  <w:style w:type="character" w:customStyle="1" w:styleId="81">
    <w:name w:val="正文首行缩进 Char"/>
    <w:basedOn w:val="82"/>
    <w:link w:val="42"/>
    <w:qFormat/>
    <w:uiPriority w:val="0"/>
    <w:rPr>
      <w:kern w:val="2"/>
      <w:sz w:val="21"/>
    </w:rPr>
  </w:style>
  <w:style w:type="character" w:customStyle="1" w:styleId="82">
    <w:name w:val="Char Char11"/>
    <w:basedOn w:val="46"/>
    <w:qFormat/>
    <w:uiPriority w:val="0"/>
    <w:rPr>
      <w:rFonts w:ascii="Times New Roman" w:hAnsi="Times New Roman" w:eastAsia="宋体" w:cs="Times New Roman"/>
      <w:szCs w:val="20"/>
    </w:rPr>
  </w:style>
  <w:style w:type="character" w:customStyle="1" w:styleId="83">
    <w:name w:val="批注主题 Char"/>
    <w:basedOn w:val="84"/>
    <w:link w:val="41"/>
    <w:qFormat/>
    <w:uiPriority w:val="0"/>
    <w:rPr>
      <w:sz w:val="21"/>
    </w:rPr>
  </w:style>
  <w:style w:type="character" w:customStyle="1" w:styleId="84">
    <w:name w:val="标题 2 Char"/>
    <w:basedOn w:val="46"/>
    <w:link w:val="5"/>
    <w:qFormat/>
    <w:uiPriority w:val="0"/>
    <w:rPr>
      <w:rFonts w:ascii="Arial" w:hAnsi="Arial" w:eastAsia="黑体" w:cs="黑体"/>
      <w:b/>
      <w:bCs/>
      <w:kern w:val="2"/>
      <w:sz w:val="32"/>
      <w:szCs w:val="32"/>
    </w:rPr>
  </w:style>
  <w:style w:type="character" w:customStyle="1" w:styleId="85">
    <w:name w:val="纯文本 Char"/>
    <w:basedOn w:val="46"/>
    <w:link w:val="23"/>
    <w:qFormat/>
    <w:uiPriority w:val="0"/>
    <w:rPr>
      <w:rFonts w:ascii="宋体" w:hAnsi="Courier New" w:eastAsia="幼圆" w:cs="黑体"/>
      <w:kern w:val="2"/>
      <w:sz w:val="21"/>
      <w:szCs w:val="22"/>
    </w:rPr>
  </w:style>
  <w:style w:type="character" w:customStyle="1" w:styleId="86">
    <w:name w:val="标题 1 Char"/>
    <w:basedOn w:val="46"/>
    <w:link w:val="4"/>
    <w:qFormat/>
    <w:uiPriority w:val="0"/>
    <w:rPr>
      <w:rFonts w:ascii="Calibri" w:hAnsi="Calibri" w:cs="黑体"/>
      <w:b/>
      <w:bCs/>
      <w:kern w:val="44"/>
      <w:sz w:val="44"/>
      <w:szCs w:val="44"/>
    </w:rPr>
  </w:style>
  <w:style w:type="character" w:customStyle="1" w:styleId="87">
    <w:name w:val="标题4 Char Char"/>
    <w:link w:val="88"/>
    <w:qFormat/>
    <w:uiPriority w:val="0"/>
    <w:rPr>
      <w:rFonts w:ascii="Arial" w:hAnsi="Arial"/>
      <w:b/>
      <w:bCs/>
      <w:sz w:val="32"/>
      <w:szCs w:val="32"/>
    </w:rPr>
  </w:style>
  <w:style w:type="paragraph" w:customStyle="1" w:styleId="88">
    <w:name w:val="标题4"/>
    <w:basedOn w:val="5"/>
    <w:next w:val="20"/>
    <w:link w:val="87"/>
    <w:qFormat/>
    <w:uiPriority w:val="0"/>
    <w:pPr>
      <w:spacing w:line="413" w:lineRule="auto"/>
    </w:pPr>
    <w:rPr>
      <w:rFonts w:eastAsia="宋体" w:cs="Times New Roman"/>
      <w:kern w:val="0"/>
    </w:rPr>
  </w:style>
  <w:style w:type="character" w:customStyle="1" w:styleId="89">
    <w:name w:val="font161"/>
    <w:basedOn w:val="46"/>
    <w:qFormat/>
    <w:uiPriority w:val="0"/>
    <w:rPr>
      <w:b/>
      <w:bCs/>
      <w:sz w:val="32"/>
      <w:szCs w:val="32"/>
    </w:rPr>
  </w:style>
  <w:style w:type="character" w:customStyle="1" w:styleId="90">
    <w:name w:val="正文文本缩进 Char"/>
    <w:link w:val="18"/>
    <w:qFormat/>
    <w:uiPriority w:val="0"/>
    <w:rPr>
      <w:kern w:val="2"/>
      <w:sz w:val="21"/>
      <w:szCs w:val="24"/>
    </w:rPr>
  </w:style>
  <w:style w:type="character" w:customStyle="1" w:styleId="91">
    <w:name w:val="正文文本 3 Char"/>
    <w:basedOn w:val="46"/>
    <w:link w:val="17"/>
    <w:qFormat/>
    <w:uiPriority w:val="0"/>
    <w:rPr>
      <w:rFonts w:ascii="宋体"/>
      <w:kern w:val="2"/>
      <w:sz w:val="24"/>
    </w:rPr>
  </w:style>
  <w:style w:type="character" w:customStyle="1" w:styleId="92">
    <w:name w:val="Quote Char Char"/>
    <w:link w:val="93"/>
    <w:qFormat/>
    <w:uiPriority w:val="0"/>
    <w:rPr>
      <w:i/>
      <w:iCs/>
      <w:color w:val="000000"/>
      <w:kern w:val="2"/>
      <w:sz w:val="22"/>
      <w:szCs w:val="22"/>
    </w:rPr>
  </w:style>
  <w:style w:type="paragraph" w:customStyle="1" w:styleId="93">
    <w:name w:val="引用1"/>
    <w:basedOn w:val="1"/>
    <w:next w:val="1"/>
    <w:link w:val="92"/>
    <w:qFormat/>
    <w:uiPriority w:val="0"/>
    <w:rPr>
      <w:rFonts w:ascii="Times New Roman" w:hAnsi="Times New Roman" w:cs="Times New Roman"/>
      <w:i/>
      <w:iCs/>
      <w:color w:val="000000"/>
      <w:sz w:val="22"/>
    </w:rPr>
  </w:style>
  <w:style w:type="character" w:customStyle="1" w:styleId="94">
    <w:name w:val="Char Char2"/>
    <w:basedOn w:val="46"/>
    <w:qFormat/>
    <w:uiPriority w:val="0"/>
    <w:rPr>
      <w:rFonts w:ascii="宋体" w:hAnsi="Courier New" w:eastAsia="宋体" w:cs="Courier New"/>
      <w:kern w:val="2"/>
      <w:sz w:val="21"/>
      <w:szCs w:val="21"/>
      <w:lang w:val="en-US" w:eastAsia="zh-CN" w:bidi="ar-SA"/>
    </w:rPr>
  </w:style>
  <w:style w:type="character" w:customStyle="1" w:styleId="95">
    <w:name w:val="文档结构图 Char"/>
    <w:basedOn w:val="46"/>
    <w:link w:val="15"/>
    <w:qFormat/>
    <w:uiPriority w:val="0"/>
    <w:rPr>
      <w:kern w:val="2"/>
      <w:sz w:val="21"/>
      <w:szCs w:val="24"/>
      <w:shd w:val="clear" w:color="auto" w:fill="000080"/>
    </w:rPr>
  </w:style>
  <w:style w:type="character" w:customStyle="1" w:styleId="96">
    <w:name w:val="样式 标书正文 + 下划线 Char"/>
    <w:basedOn w:val="46"/>
    <w:qFormat/>
    <w:uiPriority w:val="0"/>
    <w:rPr>
      <w:rFonts w:eastAsia="Ari"/>
      <w:kern w:val="2"/>
      <w:sz w:val="28"/>
      <w:szCs w:val="28"/>
      <w:u w:val="single"/>
      <w:lang w:val="en-US" w:eastAsia="zh-CN" w:bidi="ar-SA"/>
    </w:rPr>
  </w:style>
  <w:style w:type="character" w:customStyle="1" w:styleId="97">
    <w:name w:val="纯文本 Char Char"/>
    <w:basedOn w:val="46"/>
    <w:qFormat/>
    <w:uiPriority w:val="0"/>
    <w:rPr>
      <w:rFonts w:ascii="宋体" w:hAnsi="Courier New" w:eastAsia="宋体" w:cs="Courier New"/>
      <w:kern w:val="2"/>
      <w:sz w:val="21"/>
      <w:szCs w:val="21"/>
      <w:lang w:val="en-US" w:eastAsia="zh-CN" w:bidi="ar-SA"/>
    </w:rPr>
  </w:style>
  <w:style w:type="character" w:customStyle="1" w:styleId="98">
    <w:name w:val="标题 3 Char"/>
    <w:link w:val="6"/>
    <w:qFormat/>
    <w:uiPriority w:val="0"/>
    <w:rPr>
      <w:rFonts w:ascii="Calibri" w:hAnsi="Calibri" w:eastAsia="幼圆" w:cs="黑体"/>
      <w:b/>
      <w:bCs/>
      <w:kern w:val="2"/>
      <w:sz w:val="32"/>
      <w:szCs w:val="32"/>
    </w:rPr>
  </w:style>
  <w:style w:type="character" w:customStyle="1" w:styleId="99">
    <w:name w:val="日期 Char"/>
    <w:basedOn w:val="46"/>
    <w:link w:val="25"/>
    <w:qFormat/>
    <w:uiPriority w:val="0"/>
    <w:rPr>
      <w:kern w:val="2"/>
      <w:sz w:val="24"/>
    </w:rPr>
  </w:style>
  <w:style w:type="character" w:customStyle="1" w:styleId="100">
    <w:name w:val="search_content1"/>
    <w:basedOn w:val="46"/>
    <w:qFormat/>
    <w:uiPriority w:val="0"/>
    <w:rPr>
      <w:sz w:val="20"/>
      <w:szCs w:val="20"/>
    </w:rPr>
  </w:style>
  <w:style w:type="character" w:customStyle="1" w:styleId="101">
    <w:name w:val="正文文本缩进 2 Char"/>
    <w:basedOn w:val="46"/>
    <w:link w:val="26"/>
    <w:qFormat/>
    <w:uiPriority w:val="0"/>
    <w:rPr>
      <w:kern w:val="2"/>
      <w:sz w:val="21"/>
      <w:szCs w:val="24"/>
    </w:rPr>
  </w:style>
  <w:style w:type="character" w:customStyle="1" w:styleId="102">
    <w:name w:val="普通文字1 Char"/>
    <w:basedOn w:val="46"/>
    <w:qFormat/>
    <w:uiPriority w:val="0"/>
    <w:rPr>
      <w:rFonts w:ascii="宋体" w:hAnsi="Courier New" w:eastAsia="宋体"/>
      <w:kern w:val="2"/>
      <w:sz w:val="21"/>
      <w:szCs w:val="21"/>
      <w:lang w:val="en-US" w:eastAsia="zh-CN" w:bidi="ar-SA"/>
    </w:rPr>
  </w:style>
  <w:style w:type="character" w:customStyle="1" w:styleId="103">
    <w:name w:val="页眉 Char"/>
    <w:link w:val="29"/>
    <w:qFormat/>
    <w:uiPriority w:val="99"/>
    <w:rPr>
      <w:rFonts w:ascii="Calibri" w:hAnsi="Calibri" w:cs="黑体"/>
      <w:kern w:val="2"/>
      <w:sz w:val="18"/>
      <w:szCs w:val="18"/>
    </w:rPr>
  </w:style>
  <w:style w:type="paragraph" w:customStyle="1" w:styleId="104">
    <w:name w:val="Char1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05">
    <w:name w:val="表格"/>
    <w:basedOn w:val="1"/>
    <w:qFormat/>
    <w:uiPriority w:val="0"/>
    <w:pPr>
      <w:jc w:val="center"/>
      <w:textAlignment w:val="center"/>
    </w:pPr>
    <w:rPr>
      <w:rFonts w:ascii="华文细黑" w:hAnsi="华文细黑" w:cs="Times New Roman"/>
      <w:kern w:val="0"/>
      <w:szCs w:val="20"/>
    </w:rPr>
  </w:style>
  <w:style w:type="paragraph" w:customStyle="1" w:styleId="106">
    <w:name w:val="Blockquote"/>
    <w:basedOn w:val="1"/>
    <w:qFormat/>
    <w:uiPriority w:val="0"/>
    <w:pPr>
      <w:autoSpaceDE w:val="0"/>
      <w:autoSpaceDN w:val="0"/>
      <w:adjustRightInd w:val="0"/>
      <w:spacing w:before="100" w:after="100"/>
      <w:ind w:left="360" w:right="360"/>
      <w:jc w:val="left"/>
    </w:pPr>
    <w:rPr>
      <w:rFonts w:ascii="Times New Roman" w:hAnsi="Times New Roman" w:cs="Times New Roman"/>
      <w:kern w:val="0"/>
      <w:sz w:val="24"/>
      <w:szCs w:val="20"/>
    </w:rPr>
  </w:style>
  <w:style w:type="paragraph" w:customStyle="1" w:styleId="107">
    <w:name w:val="Char Char10 Char"/>
    <w:basedOn w:val="1"/>
    <w:qFormat/>
    <w:uiPriority w:val="0"/>
    <w:rPr>
      <w:rFonts w:ascii="Times New Roman" w:hAnsi="Times New Roman" w:cs="Times New Roman"/>
      <w:szCs w:val="24"/>
    </w:rPr>
  </w:style>
  <w:style w:type="character" w:customStyle="1" w:styleId="108">
    <w:name w:val="批注文字 Char"/>
    <w:basedOn w:val="46"/>
    <w:link w:val="16"/>
    <w:qFormat/>
    <w:uiPriority w:val="0"/>
    <w:rPr>
      <w:rFonts w:ascii="Calibri" w:hAnsi="Calibri" w:cs="黑体"/>
      <w:kern w:val="2"/>
      <w:sz w:val="21"/>
      <w:szCs w:val="22"/>
    </w:rPr>
  </w:style>
  <w:style w:type="character" w:customStyle="1" w:styleId="109">
    <w:name w:val="批注主题 Char1"/>
    <w:basedOn w:val="108"/>
    <w:link w:val="41"/>
    <w:qFormat/>
    <w:uiPriority w:val="0"/>
    <w:rPr>
      <w:b/>
      <w:bCs/>
    </w:rPr>
  </w:style>
  <w:style w:type="character" w:customStyle="1" w:styleId="110">
    <w:name w:val="标题 Char1"/>
    <w:basedOn w:val="46"/>
    <w:link w:val="40"/>
    <w:qFormat/>
    <w:uiPriority w:val="0"/>
    <w:rPr>
      <w:rFonts w:asciiTheme="majorHAnsi" w:hAnsiTheme="majorHAnsi" w:cstheme="majorBidi"/>
      <w:b/>
      <w:bCs/>
      <w:kern w:val="2"/>
      <w:sz w:val="32"/>
      <w:szCs w:val="32"/>
    </w:rPr>
  </w:style>
  <w:style w:type="paragraph" w:customStyle="1" w:styleId="111">
    <w:name w:val="一级标题"/>
    <w:basedOn w:val="4"/>
    <w:qFormat/>
    <w:uiPriority w:val="0"/>
    <w:pPr>
      <w:spacing w:before="0" w:after="0" w:line="240" w:lineRule="auto"/>
    </w:pPr>
    <w:rPr>
      <w:rFonts w:ascii="Times New Roman" w:hAnsi="Times New Roman" w:eastAsia="黑体" w:cs="Times New Roman"/>
      <w:b w:val="0"/>
      <w:sz w:val="28"/>
    </w:rPr>
  </w:style>
  <w:style w:type="character" w:customStyle="1" w:styleId="112">
    <w:name w:val="文档结构图 Char1"/>
    <w:basedOn w:val="46"/>
    <w:link w:val="15"/>
    <w:qFormat/>
    <w:uiPriority w:val="0"/>
    <w:rPr>
      <w:rFonts w:ascii="宋体" w:hAnsi="Calibri" w:cs="黑体"/>
      <w:kern w:val="2"/>
      <w:sz w:val="18"/>
      <w:szCs w:val="18"/>
    </w:rPr>
  </w:style>
  <w:style w:type="character" w:customStyle="1" w:styleId="113">
    <w:name w:val="正文文本 Char"/>
    <w:basedOn w:val="46"/>
    <w:link w:val="2"/>
    <w:qFormat/>
    <w:uiPriority w:val="0"/>
    <w:rPr>
      <w:rFonts w:ascii="Calibri" w:hAnsi="Calibri" w:cs="黑体"/>
      <w:kern w:val="2"/>
      <w:sz w:val="21"/>
      <w:szCs w:val="22"/>
    </w:rPr>
  </w:style>
  <w:style w:type="character" w:customStyle="1" w:styleId="114">
    <w:name w:val="正文首行缩进 Char1"/>
    <w:basedOn w:val="113"/>
    <w:link w:val="42"/>
    <w:qFormat/>
    <w:uiPriority w:val="0"/>
  </w:style>
  <w:style w:type="character" w:customStyle="1" w:styleId="115">
    <w:name w:val="批注框文本 Char1"/>
    <w:basedOn w:val="46"/>
    <w:link w:val="27"/>
    <w:qFormat/>
    <w:uiPriority w:val="0"/>
    <w:rPr>
      <w:rFonts w:ascii="Calibri" w:hAnsi="Calibri" w:cs="黑体"/>
      <w:kern w:val="2"/>
      <w:sz w:val="18"/>
      <w:szCs w:val="18"/>
    </w:rPr>
  </w:style>
  <w:style w:type="character" w:customStyle="1" w:styleId="116">
    <w:name w:val="正文文本 3 Char1"/>
    <w:basedOn w:val="46"/>
    <w:link w:val="17"/>
    <w:qFormat/>
    <w:uiPriority w:val="0"/>
    <w:rPr>
      <w:rFonts w:ascii="Calibri" w:hAnsi="Calibri" w:cs="黑体"/>
      <w:kern w:val="2"/>
      <w:sz w:val="16"/>
      <w:szCs w:val="16"/>
    </w:rPr>
  </w:style>
  <w:style w:type="character" w:customStyle="1" w:styleId="117">
    <w:name w:val="正文文本缩进 3 Char1"/>
    <w:basedOn w:val="46"/>
    <w:link w:val="34"/>
    <w:qFormat/>
    <w:uiPriority w:val="0"/>
    <w:rPr>
      <w:rFonts w:ascii="Calibri" w:hAnsi="Calibri" w:cs="黑体"/>
      <w:kern w:val="2"/>
      <w:sz w:val="16"/>
      <w:szCs w:val="16"/>
    </w:rPr>
  </w:style>
  <w:style w:type="character" w:customStyle="1" w:styleId="118">
    <w:name w:val="正文文本缩进 Char1"/>
    <w:basedOn w:val="46"/>
    <w:link w:val="18"/>
    <w:qFormat/>
    <w:uiPriority w:val="0"/>
    <w:rPr>
      <w:rFonts w:ascii="Calibri" w:hAnsi="Calibri" w:cs="黑体"/>
      <w:kern w:val="2"/>
      <w:sz w:val="21"/>
      <w:szCs w:val="22"/>
    </w:rPr>
  </w:style>
  <w:style w:type="character" w:customStyle="1" w:styleId="119">
    <w:name w:val="正文文本缩进 2 Char1"/>
    <w:basedOn w:val="46"/>
    <w:link w:val="26"/>
    <w:qFormat/>
    <w:uiPriority w:val="0"/>
    <w:rPr>
      <w:rFonts w:ascii="Calibri" w:hAnsi="Calibri" w:cs="黑体"/>
      <w:kern w:val="2"/>
      <w:sz w:val="21"/>
      <w:szCs w:val="22"/>
    </w:rPr>
  </w:style>
  <w:style w:type="character" w:customStyle="1" w:styleId="120">
    <w:name w:val="副标题 Char1"/>
    <w:basedOn w:val="46"/>
    <w:link w:val="32"/>
    <w:qFormat/>
    <w:uiPriority w:val="0"/>
    <w:rPr>
      <w:rFonts w:asciiTheme="majorHAnsi" w:hAnsiTheme="majorHAnsi" w:cstheme="majorBidi"/>
      <w:b/>
      <w:bCs/>
      <w:kern w:val="28"/>
      <w:sz w:val="32"/>
      <w:szCs w:val="32"/>
    </w:rPr>
  </w:style>
  <w:style w:type="character" w:customStyle="1" w:styleId="121">
    <w:name w:val="日期 Char1"/>
    <w:basedOn w:val="46"/>
    <w:link w:val="25"/>
    <w:qFormat/>
    <w:uiPriority w:val="0"/>
    <w:rPr>
      <w:rFonts w:ascii="Calibri" w:hAnsi="Calibri" w:cs="黑体"/>
      <w:kern w:val="2"/>
      <w:sz w:val="21"/>
      <w:szCs w:val="22"/>
    </w:rPr>
  </w:style>
  <w:style w:type="paragraph" w:customStyle="1" w:styleId="122">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3">
    <w:name w:val="Char1"/>
    <w:basedOn w:val="1"/>
    <w:qFormat/>
    <w:uiPriority w:val="0"/>
    <w:pPr>
      <w:widowControl/>
      <w:spacing w:after="160" w:line="240" w:lineRule="exact"/>
      <w:jc w:val="left"/>
    </w:pPr>
    <w:rPr>
      <w:rFonts w:ascii="宋体" w:hAnsi="宋体" w:cs="Times New Roman"/>
      <w:kern w:val="0"/>
      <w:sz w:val="20"/>
      <w:szCs w:val="20"/>
      <w:lang w:eastAsia="en-US"/>
    </w:rPr>
  </w:style>
  <w:style w:type="paragraph" w:customStyle="1" w:styleId="124">
    <w:name w:val="样式 标题 3 + (中文) 黑体 小四 非加粗 段前: 7.8 磅 段后: 0 磅 行距: 固定值 20 磅"/>
    <w:basedOn w:val="6"/>
    <w:qFormat/>
    <w:uiPriority w:val="0"/>
    <w:pPr>
      <w:spacing w:before="0" w:after="0" w:line="400" w:lineRule="exact"/>
    </w:pPr>
    <w:rPr>
      <w:rFonts w:ascii="Times New Roman" w:hAnsi="Times New Roman" w:eastAsia="黑体" w:cs="宋体"/>
      <w:b w:val="0"/>
      <w:bCs w:val="0"/>
      <w:sz w:val="24"/>
      <w:szCs w:val="20"/>
    </w:rPr>
  </w:style>
  <w:style w:type="paragraph" w:customStyle="1" w:styleId="125">
    <w:name w:val="表格文字"/>
    <w:basedOn w:val="1"/>
    <w:qFormat/>
    <w:uiPriority w:val="0"/>
    <w:pPr>
      <w:adjustRightInd w:val="0"/>
      <w:spacing w:line="420" w:lineRule="atLeast"/>
      <w:jc w:val="left"/>
      <w:textAlignment w:val="baseline"/>
    </w:pPr>
    <w:rPr>
      <w:rFonts w:ascii="Times New Roman" w:hAnsi="Times New Roman" w:cs="Times New Roman"/>
      <w:kern w:val="0"/>
      <w:szCs w:val="20"/>
    </w:rPr>
  </w:style>
  <w:style w:type="paragraph" w:customStyle="1" w:styleId="126">
    <w:name w:val="Char Char Char"/>
    <w:basedOn w:val="1"/>
    <w:qFormat/>
    <w:uiPriority w:val="0"/>
    <w:rPr>
      <w:rFonts w:ascii="Times New Roman" w:hAnsi="Times New Roman" w:cs="Times New Roman"/>
      <w:szCs w:val="21"/>
    </w:rPr>
  </w:style>
  <w:style w:type="paragraph" w:customStyle="1" w:styleId="127">
    <w:name w:val="1"/>
    <w:basedOn w:val="1"/>
    <w:next w:val="1"/>
    <w:qFormat/>
    <w:uiPriority w:val="0"/>
    <w:rPr>
      <w:rFonts w:ascii="Times New Roman" w:hAnsi="Times New Roman" w:cs="Times New Roman"/>
      <w:szCs w:val="24"/>
    </w:rPr>
  </w:style>
  <w:style w:type="paragraph" w:customStyle="1" w:styleId="12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Cs w:val="20"/>
    </w:rPr>
  </w:style>
  <w:style w:type="paragraph" w:customStyle="1" w:styleId="129">
    <w:name w:val="样式 一级项标 + 首行缩进:  2 字符 段前: 0.5 行1"/>
    <w:basedOn w:val="1"/>
    <w:qFormat/>
    <w:uiPriority w:val="0"/>
    <w:pPr>
      <w:spacing w:beforeLines="50" w:line="480" w:lineRule="exact"/>
      <w:ind w:firstLine="455" w:firstLineChars="200"/>
    </w:pPr>
    <w:rPr>
      <w:rFonts w:ascii="Times New Roman" w:hAnsi="Times New Roman" w:eastAsia="黑体" w:cs="Times New Roman"/>
      <w:b/>
      <w:bCs/>
      <w:sz w:val="24"/>
      <w:szCs w:val="20"/>
    </w:rPr>
  </w:style>
  <w:style w:type="paragraph" w:customStyle="1" w:styleId="130">
    <w:name w:val="样式1"/>
    <w:basedOn w:val="1"/>
    <w:next w:val="7"/>
    <w:qFormat/>
    <w:uiPriority w:val="0"/>
    <w:pPr>
      <w:spacing w:line="360" w:lineRule="auto"/>
      <w:ind w:firstLine="420" w:firstLineChars="200"/>
    </w:pPr>
    <w:rPr>
      <w:rFonts w:ascii="宋体" w:hAnsi="宋体" w:cs="Times New Roman"/>
      <w:szCs w:val="21"/>
    </w:rPr>
  </w:style>
  <w:style w:type="paragraph" w:customStyle="1" w:styleId="131">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 w:val="32"/>
      <w:szCs w:val="20"/>
    </w:rPr>
  </w:style>
  <w:style w:type="paragraph" w:customStyle="1" w:styleId="132">
    <w:name w:val="WPS Plain"/>
    <w:qFormat/>
    <w:uiPriority w:val="0"/>
    <w:rPr>
      <w:rFonts w:ascii="Times New Roman" w:hAnsi="Times New Roman" w:eastAsia="宋体" w:cs="Times New Roman"/>
      <w:lang w:val="en-US" w:eastAsia="zh-CN" w:bidi="ar-SA"/>
    </w:rPr>
  </w:style>
  <w:style w:type="paragraph" w:customStyle="1" w:styleId="133">
    <w:name w:val="二级标题"/>
    <w:basedOn w:val="111"/>
    <w:qFormat/>
    <w:uiPriority w:val="0"/>
    <w:pPr>
      <w:jc w:val="both"/>
    </w:pPr>
  </w:style>
  <w:style w:type="paragraph" w:customStyle="1" w:styleId="134">
    <w:name w:val="_Style 50"/>
    <w:basedOn w:val="1"/>
    <w:qFormat/>
    <w:uiPriority w:val="0"/>
    <w:rPr>
      <w:rFonts w:ascii="Times New Roman" w:hAnsi="Times New Roman" w:cs="Times New Roman"/>
      <w:szCs w:val="24"/>
    </w:rPr>
  </w:style>
  <w:style w:type="paragraph" w:customStyle="1" w:styleId="135">
    <w:name w:val="List Paragraph"/>
    <w:basedOn w:val="1"/>
    <w:unhideWhenUsed/>
    <w:qFormat/>
    <w:uiPriority w:val="99"/>
    <w:pPr>
      <w:ind w:firstLine="420" w:firstLineChars="200"/>
    </w:pPr>
  </w:style>
  <w:style w:type="paragraph" w:customStyle="1" w:styleId="136">
    <w:name w:val="首行缩进"/>
    <w:basedOn w:val="1"/>
    <w:qFormat/>
    <w:uiPriority w:val="99"/>
    <w:pPr>
      <w:ind w:firstLine="480" w:firstLineChars="200"/>
    </w:pPr>
    <w:rPr>
      <w:lang w:val="zh-CN"/>
    </w:rPr>
  </w:style>
  <w:style w:type="paragraph" w:customStyle="1" w:styleId="137">
    <w:name w:val="样式 正文001 + 首行缩进:  2 字符1"/>
    <w:basedOn w:val="1"/>
    <w:qFormat/>
    <w:uiPriority w:val="0"/>
    <w:pPr>
      <w:spacing w:before="60" w:line="460" w:lineRule="exact"/>
      <w:ind w:firstLine="480" w:firstLineChars="200"/>
    </w:pPr>
    <w:rPr>
      <w:rFonts w:ascii="宋体" w:hAnsi="宋体"/>
      <w:sz w:val="24"/>
    </w:rPr>
  </w:style>
  <w:style w:type="character" w:customStyle="1" w:styleId="138">
    <w:name w:val="hover23"/>
    <w:basedOn w:val="46"/>
    <w:qFormat/>
    <w:uiPriority w:val="0"/>
  </w:style>
  <w:style w:type="character" w:customStyle="1" w:styleId="139">
    <w:name w:val="hover24"/>
    <w:basedOn w:val="46"/>
    <w:qFormat/>
    <w:uiPriority w:val="0"/>
    <w:rPr>
      <w:color w:val="315EFB"/>
    </w:rPr>
  </w:style>
  <w:style w:type="character" w:customStyle="1" w:styleId="140">
    <w:name w:val="c-icon26"/>
    <w:basedOn w:val="46"/>
    <w:qFormat/>
    <w:uiPriority w:val="0"/>
  </w:style>
  <w:style w:type="paragraph" w:customStyle="1" w:styleId="14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81</Pages>
  <Words>48644</Words>
  <Characters>51312</Characters>
  <Lines>261</Lines>
  <Paragraphs>73</Paragraphs>
  <TotalTime>134</TotalTime>
  <ScaleCrop>false</ScaleCrop>
  <LinksUpToDate>false</LinksUpToDate>
  <CharactersWithSpaces>53586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2017-03-04T01:19:00Z</dcterms:created>
  <dc:creator>Administrator</dc:creator>
  <cp:lastModifiedBy>Lenovo</cp:lastModifiedBy>
  <cp:lastPrinted>2022-10-08T03:53:00Z</cp:lastPrinted>
  <dcterms:modified xsi:type="dcterms:W3CDTF">2022-10-08T08:14:40Z</dcterms:modified>
  <dc:title>采购编号： 武政谈判【2017】005号</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C3540357147C4BB99901469D2A5E0AA7</vt:lpwstr>
  </property>
</Properties>
</file>