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80" w:lineRule="exact"/>
        <w:ind w:right="-72" w:rightChars="-3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采购需求</w:t>
      </w:r>
    </w:p>
    <w:p>
      <w:pPr>
        <w:widowControl/>
        <w:adjustRightInd w:val="0"/>
        <w:spacing w:line="360" w:lineRule="auto"/>
        <w:rPr>
          <w:rFonts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一、</w:t>
      </w:r>
      <w:r>
        <w:rPr>
          <w:rFonts w:ascii="宋体" w:hAnsi="宋体"/>
          <w:b/>
          <w:kern w:val="0"/>
          <w:sz w:val="21"/>
          <w:szCs w:val="21"/>
        </w:rPr>
        <w:t>相关说明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bCs/>
          <w:kern w:val="0"/>
          <w:sz w:val="21"/>
          <w:szCs w:val="21"/>
        </w:rPr>
        <w:t>招标文件中</w:t>
      </w:r>
      <w:r>
        <w:rPr>
          <w:rFonts w:hint="eastAsia" w:ascii="宋体" w:hAnsi="宋体"/>
          <w:bCs/>
          <w:kern w:val="0"/>
          <w:sz w:val="21"/>
          <w:szCs w:val="21"/>
        </w:rPr>
        <w:t>列出</w:t>
      </w:r>
      <w:r>
        <w:rPr>
          <w:rFonts w:ascii="宋体" w:hAnsi="宋体"/>
          <w:bCs/>
          <w:kern w:val="0"/>
          <w:sz w:val="21"/>
          <w:szCs w:val="21"/>
        </w:rPr>
        <w:t>的质</w:t>
      </w:r>
      <w:r>
        <w:rPr>
          <w:rFonts w:hint="eastAsia" w:ascii="宋体" w:hAnsi="宋体"/>
          <w:bCs/>
          <w:kern w:val="0"/>
          <w:sz w:val="21"/>
          <w:szCs w:val="21"/>
        </w:rPr>
        <w:t>量技术参数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型号</w:t>
      </w:r>
      <w:r>
        <w:rPr>
          <w:rFonts w:ascii="宋体" w:hAnsi="宋体"/>
          <w:bCs/>
          <w:kern w:val="0"/>
          <w:sz w:val="21"/>
          <w:szCs w:val="21"/>
        </w:rPr>
        <w:t>与某产品相同</w:t>
      </w:r>
      <w:r>
        <w:rPr>
          <w:rFonts w:hint="eastAsia" w:ascii="宋体" w:hAnsi="宋体"/>
          <w:bCs/>
          <w:kern w:val="0"/>
          <w:sz w:val="21"/>
          <w:szCs w:val="21"/>
        </w:rPr>
        <w:t>时</w:t>
      </w:r>
      <w:r>
        <w:rPr>
          <w:rFonts w:ascii="宋体" w:hAnsi="宋体"/>
          <w:bCs/>
          <w:kern w:val="0"/>
          <w:sz w:val="21"/>
          <w:szCs w:val="21"/>
        </w:rPr>
        <w:t>仅</w:t>
      </w:r>
      <w:r>
        <w:rPr>
          <w:rFonts w:hint="eastAsia" w:ascii="宋体" w:hAnsi="宋体"/>
          <w:bCs/>
          <w:kern w:val="0"/>
          <w:sz w:val="21"/>
          <w:szCs w:val="21"/>
        </w:rPr>
        <w:t>作为</w:t>
      </w:r>
      <w:r>
        <w:rPr>
          <w:rFonts w:ascii="宋体" w:hAnsi="宋体"/>
          <w:bCs/>
          <w:kern w:val="0"/>
          <w:sz w:val="21"/>
          <w:szCs w:val="21"/>
        </w:rPr>
        <w:t>投标人选择</w:t>
      </w:r>
      <w:r>
        <w:rPr>
          <w:rFonts w:hint="eastAsia" w:ascii="宋体" w:hAnsi="宋体"/>
          <w:bCs/>
          <w:kern w:val="0"/>
          <w:sz w:val="21"/>
          <w:szCs w:val="21"/>
        </w:rPr>
        <w:t>投标产品</w:t>
      </w:r>
      <w:r>
        <w:rPr>
          <w:rFonts w:ascii="宋体" w:hAnsi="宋体"/>
          <w:bCs/>
          <w:kern w:val="0"/>
          <w:sz w:val="21"/>
          <w:szCs w:val="21"/>
        </w:rPr>
        <w:t>时在质量水平上</w:t>
      </w:r>
      <w:r>
        <w:rPr>
          <w:rFonts w:hint="eastAsia" w:ascii="宋体" w:hAnsi="宋体"/>
          <w:bCs/>
          <w:kern w:val="0"/>
          <w:sz w:val="21"/>
          <w:szCs w:val="21"/>
        </w:rPr>
        <w:t>的</w:t>
      </w:r>
      <w:r>
        <w:rPr>
          <w:rFonts w:ascii="宋体" w:hAnsi="宋体"/>
          <w:bCs/>
          <w:kern w:val="0"/>
          <w:sz w:val="21"/>
          <w:szCs w:val="21"/>
        </w:rPr>
        <w:t>参考，不</w:t>
      </w:r>
      <w:r>
        <w:rPr>
          <w:rFonts w:hint="eastAsia" w:ascii="宋体" w:hAnsi="宋体"/>
          <w:bCs/>
          <w:kern w:val="0"/>
          <w:sz w:val="21"/>
          <w:szCs w:val="21"/>
        </w:rPr>
        <w:t>强</w:t>
      </w:r>
      <w:r>
        <w:rPr>
          <w:rFonts w:ascii="宋体" w:hAnsi="宋体"/>
          <w:bCs/>
          <w:kern w:val="0"/>
          <w:sz w:val="21"/>
          <w:szCs w:val="21"/>
        </w:rPr>
        <w:t>制</w:t>
      </w:r>
      <w:r>
        <w:rPr>
          <w:rFonts w:hint="eastAsia" w:ascii="宋体" w:hAnsi="宋体"/>
          <w:bCs/>
          <w:kern w:val="0"/>
          <w:sz w:val="21"/>
          <w:szCs w:val="21"/>
        </w:rPr>
        <w:t>采购某一特定产品</w:t>
      </w:r>
      <w:r>
        <w:rPr>
          <w:rFonts w:ascii="宋体" w:hAnsi="宋体"/>
          <w:bCs/>
          <w:kern w:val="0"/>
          <w:sz w:val="21"/>
          <w:szCs w:val="21"/>
        </w:rPr>
        <w:t>，投标人可提供</w:t>
      </w:r>
      <w:r>
        <w:rPr>
          <w:rFonts w:hint="eastAsia" w:ascii="宋体" w:hAnsi="宋体"/>
          <w:bCs/>
          <w:kern w:val="0"/>
          <w:sz w:val="21"/>
          <w:szCs w:val="21"/>
        </w:rPr>
        <w:t>符合采购需求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更</w:t>
      </w:r>
      <w:r>
        <w:rPr>
          <w:rFonts w:ascii="宋体" w:hAnsi="宋体"/>
          <w:bCs/>
          <w:kern w:val="0"/>
          <w:sz w:val="21"/>
          <w:szCs w:val="21"/>
        </w:rPr>
        <w:t>优</w:t>
      </w:r>
      <w:r>
        <w:rPr>
          <w:rFonts w:hint="eastAsia" w:ascii="宋体" w:hAnsi="宋体"/>
          <w:bCs/>
          <w:kern w:val="0"/>
          <w:sz w:val="21"/>
          <w:szCs w:val="21"/>
        </w:rPr>
        <w:t>的产品及</w:t>
      </w:r>
      <w:r>
        <w:rPr>
          <w:rFonts w:ascii="宋体" w:hAnsi="宋体"/>
          <w:bCs/>
          <w:kern w:val="0"/>
          <w:sz w:val="21"/>
          <w:szCs w:val="21"/>
        </w:rPr>
        <w:t>方案</w:t>
      </w:r>
      <w:r>
        <w:rPr>
          <w:rFonts w:ascii="宋体" w:hAnsi="宋体"/>
          <w:kern w:val="0"/>
          <w:sz w:val="21"/>
          <w:szCs w:val="21"/>
        </w:rPr>
        <w:t>。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本次采购内容如果要求的某些技术标准低于国</w:t>
      </w:r>
      <w:bookmarkStart w:id="1" w:name="_GoBack"/>
      <w:bookmarkEnd w:id="1"/>
      <w:r>
        <w:rPr>
          <w:rFonts w:hint="eastAsia" w:ascii="宋体" w:hAnsi="宋体"/>
          <w:kern w:val="0"/>
          <w:sz w:val="21"/>
          <w:szCs w:val="21"/>
        </w:rPr>
        <w:t>家标准，均以最新的国家标准为准。招标技术要求中未明确的技术标准也均不得低于国家标准；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kern w:val="0"/>
          <w:sz w:val="21"/>
          <w:szCs w:val="21"/>
        </w:rPr>
        <w:t>本采购项目为交钥匙项目，</w:t>
      </w:r>
      <w:r>
        <w:rPr>
          <w:rFonts w:hint="eastAsia" w:ascii="宋体" w:hAnsi="宋体"/>
          <w:kern w:val="0"/>
          <w:sz w:val="21"/>
          <w:szCs w:val="21"/>
        </w:rPr>
        <w:t>验收合格前</w:t>
      </w:r>
      <w:r>
        <w:rPr>
          <w:rFonts w:ascii="宋体" w:hAnsi="宋体"/>
          <w:kern w:val="0"/>
          <w:sz w:val="21"/>
          <w:szCs w:val="21"/>
        </w:rPr>
        <w:t>所需的一切费用</w:t>
      </w:r>
      <w:r>
        <w:rPr>
          <w:rFonts w:hint="eastAsia" w:ascii="宋体" w:hAnsi="宋体"/>
          <w:kern w:val="0"/>
          <w:sz w:val="21"/>
          <w:szCs w:val="21"/>
        </w:rPr>
        <w:t>均</w:t>
      </w:r>
      <w:r>
        <w:rPr>
          <w:rFonts w:ascii="宋体" w:hAnsi="宋体"/>
          <w:kern w:val="0"/>
          <w:sz w:val="21"/>
          <w:szCs w:val="21"/>
        </w:rPr>
        <w:t>包含在报价之中，采购人不</w:t>
      </w:r>
      <w:r>
        <w:rPr>
          <w:rFonts w:hint="eastAsia" w:ascii="宋体" w:hAnsi="宋体"/>
          <w:kern w:val="0"/>
          <w:sz w:val="21"/>
          <w:szCs w:val="21"/>
        </w:rPr>
        <w:t>承担成交价格以外的</w:t>
      </w:r>
      <w:r>
        <w:rPr>
          <w:rFonts w:ascii="宋体" w:hAnsi="宋体"/>
          <w:kern w:val="0"/>
          <w:sz w:val="21"/>
          <w:szCs w:val="21"/>
        </w:rPr>
        <w:t>任何费用。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二、商务要求：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.服务内容：为全面掌握焦作市武陟县自然资源和人文地理要素的类型、面积、范围、分布和变化情况，支撑国土空间规划编制及实施监督、城市体检评估和用途管制等国土空间治理工作，按照《河南省2022年城市国土空间监测实施方案》要求，开展武陟县2022年城市国土空间监测工作。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2.合同履行期限：按照河南省实施方案要求，2023年3月30日前完成；如遇国家政策调整，按国家、省、市要求的时间节点完成。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3.服务地点：武陟县境内。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4.质量标准：符合国家、省、市相关实施方案和技术规程要求。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5.付款方式：将合格成果提交甲方后一次性支付。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三、</w:t>
      </w:r>
      <w:r>
        <w:rPr>
          <w:rFonts w:hint="eastAsia" w:ascii="宋体" w:hAnsi="宋体"/>
          <w:b/>
          <w:sz w:val="21"/>
          <w:szCs w:val="21"/>
        </w:rPr>
        <w:t>采购内容及技术要求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一、标的名称：武陟县2022年城市国土空间监测项目；所属行业：其他未列明行业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二、技术要求：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bookmarkStart w:id="0" w:name="_Toc472242226"/>
      <w:r>
        <w:rPr>
          <w:rFonts w:hint="eastAsia" w:ascii="宋体" w:hAnsi="宋体"/>
          <w:bCs/>
          <w:sz w:val="21"/>
          <w:szCs w:val="21"/>
        </w:rPr>
        <w:t>（一）空间信息细化与补充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空间信息细化与补充应遵循以下要求：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1.应采用2021年度国土变更调查成果中的地类图斑数据作为底图数据，其它监测成果作为参考数据。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2.与监测影像对比，地类未发生变化，且属于需要细化与补充相关信息的，以2021年度国土变更调查数据为底图数据，在新图层细化其位置和范围，并标注相关属性。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3.与监测影像对比，地类发生变化，且现地类属于需要细化与补充相关信息的，以2021年度国土变更调查数据为底图数据，在新图层细化其位置和范围，并标注相关属性。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4.与监测影像对比，实地发生变化，且原地类属于需要细化与补充相关信息，现地类变为不需要细化和补充相关信息的，对其范围进行标注。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5.与监测影像对比，实地发生变化，且变化前后地类均属于不需要细化和补充相关信息的，无需进行处理。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6.空间信息细化时，应按要求在全域范围或城区范围采集监测对象，不受国土变更调查图斑地类的限定。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7.细化城镇住宅用地图斑时，若房屋建筑处于在建状态，无法明确房屋属性时，可不采集。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8.以单体形式采集建筑物时，若房屋密度较高，基于遥感影像等资料难以识别是否为单体建筑时，楼间距在5m以内的多个房屋建筑，可视为整体采集。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（二）交通网络数据更新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1.道路时以实体形式进行采集，须正确表示道路的类别、等级、位置，反应道路网的结构特征、通行状况、分布密度以及与其他要素特别是居民地的关系。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2.交通网络数据应注意与2021年度国土变更调查地类图斑之间的合理关联性，道路中心线、附属设施与交通运输用地图斑范围的关系合理。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3.公路穿过城市的，需要保证公路贯通联通，公路和城市道路两个图层完全重合。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4.城区监测范围外的公路不采集立交桥及构成立交桥的匝道。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（三）水域网络数据更新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水域网络数据应注意与2021年度国土变更调查图斑之间的合理相关性，采集的常年河结构线与水域及水利设施用地图斑范围的关系合理。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采集河流与渠道实体信息时，应保证同一条河流、支流、渠道的连通性。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（四）外业调查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对于内业难以准确判定监测内容的图斑，也无法通过影像特征、专题资料确定属性信息的监测要素，应开展外业调查。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外业调查时，应及时规范记录、整理核查结果，不应采用事后回忆的方式形成调查核查结果。调查核查成果应与内业工作紧密对接，确保外业调查成果完整无误传递到内业环节。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外业调查核查点应从不同位置和角度拍摄至少三张地面实地照片，照片应能完整反应监测对象全景、局部及所需采集属性的特征，能清晰反映加测对象的倾斜摄影截图可作为实地照片提交。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（五）元数据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生产元数据必须在生产过程中的各个环节中与数据同步采集，根据各项生产记录整理生成，不宜在数据采集结束后再进行元数据信息汇编。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部分元数据如果没有响应的内容，可不采集，提交时保留空层。</w:t>
      </w:r>
    </w:p>
    <w:bookmarkEnd w:id="0"/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四、提交成果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1.正射影像成果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2.监测数据成果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（1）城市空间信息数据集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（2）交通网络数据集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（3）水域网络数据集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3.生产元数据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4.实地照片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5.文字成果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（1）项目技术总结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（2）质量检查报告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（3）项目验收报告</w:t>
      </w:r>
    </w:p>
    <w:p>
      <w:pPr>
        <w:widowControl/>
        <w:adjustRightInd w:val="0"/>
        <w:spacing w:line="500" w:lineRule="exact"/>
        <w:rPr>
          <w:rFonts w:hint="eastAsia"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四、需要落实的政府采购政策</w:t>
      </w:r>
    </w:p>
    <w:p>
      <w:pPr>
        <w:spacing w:line="500" w:lineRule="exact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（一）促进中小企业、监狱企业和残疾人福利性单位发展扶持政策</w:t>
      </w:r>
    </w:p>
    <w:p>
      <w:pPr>
        <w:spacing w:line="500" w:lineRule="exact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促进中小企业发展扶持政策</w:t>
      </w:r>
      <w:r>
        <w:rPr>
          <w:rFonts w:hint="eastAsia" w:ascii="宋体" w:hAnsi="宋体"/>
          <w:bCs/>
          <w:sz w:val="21"/>
          <w:szCs w:val="21"/>
        </w:rPr>
        <w:t>：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1.中小企业认定：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1）本文件所称中小企业，是指在中华人民共和国境内依法设立，依据国务院批准的中小企业划分标准确定的中型企业、小型企业和微型企业，但与大企业的负责人为同一人，或者与大企业存在直接控股、管理关系的除外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符合中小企业划分标准的个体工商户，在政府采购活动中视同中小企业。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中小企业划分标准见《关于印发中小企业划型标准规定的通知》（工信部联企业〔2011〕300号）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（2）在服务采购项目中，服务由中小企业承接，即提供服务的人员为中小企业依照《中华人民共和国民法典》订立劳动合同的从业人员。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投标人当按照招标文件规定出具《中小企业声明函》，否则不享受相关扶持政策；</w:t>
      </w:r>
    </w:p>
    <w:p>
      <w:pPr>
        <w:spacing w:line="500" w:lineRule="exact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　　2.根据财库〔2014〕68号《财政部司法部关于政府采购支持监狱企业发展有关问题的通知》，监狱企业视同小微企业。提供由省级以上监狱管理局、戒毒管理局(含新疆生产建设兵团)出具的属于监狱企业的证明文</w:t>
      </w:r>
      <w:r>
        <w:rPr>
          <w:rFonts w:hint="eastAsia" w:ascii="宋体" w:hAnsi="宋体"/>
          <w:bCs/>
          <w:color w:val="000000"/>
          <w:sz w:val="21"/>
          <w:szCs w:val="21"/>
        </w:rPr>
        <w:t>件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（</w:t>
      </w:r>
      <w:r>
        <w:rPr>
          <w:rFonts w:hint="eastAsia" w:ascii="宋体" w:hAnsi="宋体"/>
          <w:b/>
          <w:bCs/>
          <w:color w:val="000000"/>
          <w:kern w:val="0"/>
          <w:sz w:val="21"/>
          <w:szCs w:val="21"/>
        </w:rPr>
        <w:t>投标文件中附扫描件或复印件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）</w:t>
      </w:r>
      <w:r>
        <w:rPr>
          <w:rFonts w:hint="eastAsia" w:ascii="宋体" w:hAnsi="宋体"/>
          <w:bCs/>
          <w:color w:val="000000"/>
          <w:sz w:val="21"/>
          <w:szCs w:val="21"/>
        </w:rPr>
        <w:t>，</w:t>
      </w:r>
      <w:r>
        <w:rPr>
          <w:rFonts w:hint="eastAsia" w:ascii="宋体" w:hAnsi="宋体"/>
          <w:bCs/>
          <w:sz w:val="21"/>
          <w:szCs w:val="21"/>
        </w:rPr>
        <w:t>不再提供《中小企业声明函》，投标人出具的监狱企业证明文件如有虚假，其成交资格将被取消，并根据相关规定进行处罚。</w:t>
      </w:r>
    </w:p>
    <w:p>
      <w:pPr>
        <w:spacing w:line="50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3.根据财库〔2017〕141号《三部门联合发布关于促进残疾人就业政府采购政策的通知》残疾人福利性单位视同小型、微型企业，残疾人福利性单位在参加政府采购活动时提供《残疾人福利性单位声明函》，不再提供《中小企业声明函》，投标人在《残疾人福利性单位声明函》中的承诺如有虚假，其成交资格将被取消，并根据相关规定进行处罚。</w:t>
      </w:r>
    </w:p>
    <w:p>
      <w:pPr>
        <w:spacing w:line="500" w:lineRule="exact"/>
        <w:ind w:firstLine="422" w:firstLineChars="200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采购人根据投标人提供的《中小企业声明函》认定该投标人是否属于中小企业，监狱企业和残疾人福利性单位视同小型、微型企业。不属于中小企业、监狱企业或残疾人福利性单位的拒绝参与本项目投标。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OGNiYWQ2NWU0ODNjYzRlMDk3N2QxOTU0MTc4MDkifQ=="/>
  </w:docVars>
  <w:rsids>
    <w:rsidRoot w:val="083E4F8F"/>
    <w:rsid w:val="083E4F8F"/>
    <w:rsid w:val="454B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Book Antiqua" w:hAnsi="Book Antiqua" w:eastAsia="宋体" w:cs="宋体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Book Antiqua" w:hAnsi="Book Antiqua" w:eastAsia="宋体" w:cs="宋体"/>
      <w:b/>
      <w:kern w:val="44"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afterLines="0"/>
      <w:ind w:left="420" w:leftChars="200" w:firstLine="420"/>
    </w:pPr>
  </w:style>
  <w:style w:type="paragraph" w:styleId="3">
    <w:name w:val="Body Text Indent"/>
    <w:basedOn w:val="1"/>
    <w:next w:val="4"/>
    <w:uiPriority w:val="0"/>
    <w:pPr>
      <w:ind w:firstLine="560" w:firstLineChars="200"/>
    </w:pPr>
    <w:rPr>
      <w:rFonts w:ascii="仿宋_GB2312" w:eastAsia="仿宋_GB2312"/>
      <w:kern w:val="2"/>
      <w:sz w:val="28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Title"/>
    <w:basedOn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2022-12-07T09:25:00Z</dcterms:created>
  <dc:creator>薄凉姑娘</dc:creator>
  <cp:lastModifiedBy>薄凉姑娘</cp:lastModifiedBy>
  <dcterms:modified xsi:type="dcterms:W3CDTF">2022-12-07T09:25:57Z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04BB7A38A4A14CBE8F1EE1C582A22DF1</vt:lpwstr>
  </property>
</Properties>
</file>