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lang w:val="en-US" w:eastAsia="zh-CN"/>
        </w:rPr>
      </w:pPr>
      <w:r>
        <w:rPr>
          <w:rFonts w:hint="eastAsia" w:ascii="宋体" w:hAnsi="宋体"/>
          <w:b/>
          <w:bCs/>
          <w:sz w:val="44"/>
          <w:szCs w:val="44"/>
          <w:lang w:val="en-US" w:eastAsia="zh-CN"/>
        </w:rPr>
        <w:t>2022年度武陟县西陶镇成汇食品加工项目（二期）</w:t>
      </w:r>
    </w:p>
    <w:p>
      <w:pPr>
        <w:jc w:val="both"/>
        <w:outlineLvl w:val="0"/>
        <w:rPr>
          <w:rFonts w:hint="eastAsia" w:ascii="宋体" w:hAnsi="宋体" w:cs="宋体"/>
          <w:b/>
          <w:sz w:val="84"/>
          <w:szCs w:val="84"/>
        </w:rPr>
      </w:pPr>
      <w:bookmarkStart w:id="0" w:name="_Toc29289"/>
    </w:p>
    <w:p>
      <w:pPr>
        <w:pStyle w:val="39"/>
        <w:rPr>
          <w:rFonts w:hint="eastAsia"/>
        </w:rPr>
      </w:pPr>
    </w:p>
    <w:p>
      <w:pPr>
        <w:jc w:val="center"/>
        <w:outlineLvl w:val="0"/>
        <w:rPr>
          <w:rFonts w:hint="eastAsia" w:ascii="宋体" w:hAnsi="宋体" w:cs="宋体"/>
          <w:sz w:val="28"/>
          <w:szCs w:val="28"/>
        </w:rPr>
      </w:pPr>
      <w:bookmarkStart w:id="1" w:name="_Toc115021824"/>
      <w:r>
        <w:rPr>
          <w:rFonts w:hint="eastAsia" w:ascii="黑体" w:hAnsi="黑体" w:eastAsia="黑体" w:cs="黑体"/>
          <w:b/>
          <w:sz w:val="72"/>
          <w:szCs w:val="72"/>
        </w:rPr>
        <w:t>竞争性磋商文件</w:t>
      </w:r>
      <w:bookmarkEnd w:id="0"/>
      <w:bookmarkEnd w:id="1"/>
    </w:p>
    <w:p>
      <w:pPr>
        <w:ind w:firstLine="2520" w:firstLineChars="900"/>
        <w:rPr>
          <w:rFonts w:hint="eastAsia" w:ascii="宋体" w:hAnsi="宋体" w:eastAsia="宋体"/>
          <w:szCs w:val="21"/>
          <w:lang w:eastAsia="zh-CN"/>
        </w:rPr>
      </w:pPr>
      <w:r>
        <w:rPr>
          <w:rFonts w:hint="eastAsia" w:ascii="宋体" w:hAnsi="宋体" w:cs="宋体"/>
          <w:sz w:val="28"/>
          <w:szCs w:val="28"/>
        </w:rPr>
        <w:t>项目编号：</w:t>
      </w:r>
      <w:r>
        <w:rPr>
          <w:rFonts w:hint="eastAsia" w:ascii="宋体" w:hAnsi="宋体" w:cs="宋体"/>
          <w:sz w:val="28"/>
          <w:szCs w:val="28"/>
          <w:lang w:eastAsia="zh-CN"/>
        </w:rPr>
        <w:t>武政磋商采购【2022】035号</w:t>
      </w:r>
    </w:p>
    <w:p>
      <w:pPr>
        <w:ind w:firstLine="2520" w:firstLineChars="900"/>
        <w:rPr>
          <w:rFonts w:hint="eastAsia" w:ascii="宋体" w:hAnsi="宋体" w:cs="宋体"/>
          <w:sz w:val="28"/>
          <w:szCs w:val="28"/>
          <w:lang w:eastAsia="zh-CN"/>
        </w:rPr>
      </w:pPr>
      <w:r>
        <w:rPr>
          <w:rFonts w:hint="eastAsia" w:ascii="宋体" w:hAnsi="宋体" w:cs="宋体"/>
          <w:sz w:val="28"/>
          <w:szCs w:val="28"/>
        </w:rPr>
        <w:t>交易编号：</w:t>
      </w:r>
      <w:r>
        <w:rPr>
          <w:rFonts w:hint="eastAsia" w:ascii="宋体" w:hAnsi="宋体" w:cs="宋体"/>
          <w:sz w:val="28"/>
          <w:szCs w:val="28"/>
          <w:lang w:eastAsia="zh-CN"/>
        </w:rPr>
        <w:t>武交采JZCS2022-0</w:t>
      </w:r>
      <w:r>
        <w:rPr>
          <w:rFonts w:hint="eastAsia" w:ascii="宋体" w:hAnsi="宋体" w:cs="宋体"/>
          <w:sz w:val="28"/>
          <w:szCs w:val="28"/>
          <w:lang w:val="en-US" w:eastAsia="zh-CN"/>
        </w:rPr>
        <w:t>12</w:t>
      </w:r>
      <w:r>
        <w:rPr>
          <w:rFonts w:hint="eastAsia" w:ascii="宋体" w:hAnsi="宋体" w:cs="宋体"/>
          <w:sz w:val="28"/>
          <w:szCs w:val="28"/>
          <w:lang w:eastAsia="zh-CN"/>
        </w:rPr>
        <w:t>号</w:t>
      </w:r>
    </w:p>
    <w:p>
      <w:pPr>
        <w:pStyle w:val="54"/>
        <w:rPr>
          <w:rFonts w:hint="eastAsia"/>
          <w:lang w:eastAsia="zh-CN"/>
        </w:rPr>
      </w:pPr>
      <w:r>
        <w:rPr>
          <w:rFonts w:hint="eastAsia" w:ascii="宋体" w:hAnsi="宋体" w:eastAsia="宋体" w:cs="宋体"/>
          <w:b/>
          <w:bCs/>
          <w:lang w:eastAsia="zh-CN"/>
        </w:rPr>
        <w:drawing>
          <wp:anchor distT="0" distB="0" distL="114300" distR="114300" simplePos="0" relativeHeight="251659264" behindDoc="1" locked="0" layoutInCell="1" allowOverlap="1">
            <wp:simplePos x="0" y="0"/>
            <wp:positionH relativeFrom="column">
              <wp:posOffset>1012825</wp:posOffset>
            </wp:positionH>
            <wp:positionV relativeFrom="paragraph">
              <wp:posOffset>143510</wp:posOffset>
            </wp:positionV>
            <wp:extent cx="3989705" cy="3933190"/>
            <wp:effectExtent l="0" t="0" r="10795" b="10160"/>
            <wp:wrapNone/>
            <wp:docPr id="1" name="图片 2" descr="981199f8ee69da909915660df04005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981199f8ee69da909915660df040058e"/>
                    <pic:cNvPicPr>
                      <a:picLocks noChangeAspect="1"/>
                    </pic:cNvPicPr>
                  </pic:nvPicPr>
                  <pic:blipFill>
                    <a:blip r:embed="rId21"/>
                    <a:srcRect l="13945" t="14619" r="14819" b="11458"/>
                    <a:stretch>
                      <a:fillRect/>
                    </a:stretch>
                  </pic:blipFill>
                  <pic:spPr>
                    <a:xfrm>
                      <a:off x="0" y="0"/>
                      <a:ext cx="3989705" cy="3933190"/>
                    </a:xfrm>
                    <a:prstGeom prst="rect">
                      <a:avLst/>
                    </a:prstGeom>
                    <a:noFill/>
                    <a:ln>
                      <a:noFill/>
                    </a:ln>
                  </pic:spPr>
                </pic:pic>
              </a:graphicData>
            </a:graphic>
          </wp:anchor>
        </w:drawing>
      </w:r>
    </w:p>
    <w:p>
      <w:pPr>
        <w:pStyle w:val="39"/>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pStyle w:val="39"/>
        <w:rPr>
          <w:rFonts w:hint="eastAsia" w:ascii="宋体" w:hAnsi="宋体" w:cs="宋体"/>
        </w:rPr>
      </w:pPr>
    </w:p>
    <w:p>
      <w:pPr>
        <w:rPr>
          <w:rFonts w:hint="eastAsia" w:ascii="宋体" w:hAnsi="宋体" w:cs="宋体"/>
        </w:rPr>
      </w:pPr>
    </w:p>
    <w:p>
      <w:pPr>
        <w:pStyle w:val="39"/>
        <w:rPr>
          <w:rFonts w:hint="eastAsia" w:ascii="宋体" w:hAnsi="宋体" w:cs="宋体"/>
        </w:rPr>
      </w:pPr>
    </w:p>
    <w:p>
      <w:pPr>
        <w:rPr>
          <w:rFonts w:hint="eastAsia" w:ascii="宋体" w:hAnsi="宋体" w:cs="宋体"/>
        </w:rPr>
      </w:pPr>
    </w:p>
    <w:p>
      <w:pPr>
        <w:pStyle w:val="39"/>
        <w:rPr>
          <w:rFonts w:hint="eastAsia" w:ascii="宋体" w:hAnsi="宋体" w:cs="宋体"/>
        </w:rPr>
      </w:pPr>
    </w:p>
    <w:p>
      <w:pPr>
        <w:rPr>
          <w:rFonts w:hint="eastAsia" w:ascii="宋体" w:hAnsi="宋体" w:cs="宋体"/>
        </w:rPr>
      </w:pPr>
    </w:p>
    <w:p>
      <w:pPr>
        <w:pStyle w:val="39"/>
        <w:rPr>
          <w:rFonts w:hint="eastAsia" w:ascii="宋体" w:hAnsi="宋体" w:cs="宋体"/>
        </w:rPr>
      </w:pPr>
    </w:p>
    <w:p>
      <w:pPr>
        <w:rPr>
          <w:rFonts w:hint="eastAsia" w:ascii="宋体" w:hAnsi="宋体" w:cs="宋体"/>
        </w:rPr>
      </w:pPr>
    </w:p>
    <w:p>
      <w:pPr>
        <w:pStyle w:val="39"/>
        <w:rPr>
          <w:rFonts w:hint="eastAsia"/>
        </w:rPr>
      </w:pPr>
    </w:p>
    <w:p>
      <w:pPr>
        <w:jc w:val="center"/>
        <w:rPr>
          <w:rFonts w:hint="eastAsia" w:ascii="宋体" w:hAnsi="宋体" w:cs="宋体"/>
        </w:rPr>
      </w:pPr>
    </w:p>
    <w:p>
      <w:pPr>
        <w:rPr>
          <w:rFonts w:hint="eastAsia"/>
        </w:rPr>
      </w:pPr>
    </w:p>
    <w:p>
      <w:pPr>
        <w:pStyle w:val="39"/>
        <w:rPr>
          <w:rFonts w:hint="eastAsia"/>
        </w:rPr>
      </w:pPr>
    </w:p>
    <w:p>
      <w:pPr>
        <w:rPr>
          <w:rFonts w:hint="eastAsia" w:ascii="宋体" w:hAnsi="宋体" w:cs="宋体"/>
          <w:b/>
          <w:bCs/>
          <w:sz w:val="32"/>
        </w:rPr>
      </w:pPr>
      <w:r>
        <w:rPr>
          <w:rFonts w:hint="eastAsia" w:ascii="宋体" w:hAnsi="宋体" w:cs="宋体"/>
          <w:sz w:val="32"/>
        </w:rPr>
        <w:t xml:space="preserve">      </w:t>
      </w:r>
      <w:r>
        <w:rPr>
          <w:rFonts w:hint="eastAsia" w:ascii="宋体" w:hAnsi="宋体" w:cs="宋体"/>
          <w:b/>
          <w:bCs/>
          <w:sz w:val="32"/>
        </w:rPr>
        <w:t xml:space="preserve">  </w:t>
      </w: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武陟县西陶镇人民政府</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河南地天泰工程咨询有限公司</w:t>
      </w:r>
    </w:p>
    <w:p>
      <w:pPr>
        <w:pStyle w:val="28"/>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9"/>
          <w:rFonts w:hint="eastAsia"/>
          <w:color w:val="auto"/>
          <w:sz w:val="30"/>
          <w:szCs w:val="30"/>
          <w:u w:val="none"/>
        </w:rPr>
        <w:t>目录</w:t>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"_Toc115021825"</w:instrText>
      </w:r>
      <w:r>
        <w:rPr>
          <w:rStyle w:val="49"/>
          <w:sz w:val="24"/>
        </w:rPr>
        <w:instrText xml:space="preserve"> </w:instrText>
      </w:r>
      <w:r>
        <w:rPr>
          <w:sz w:val="24"/>
        </w:rPr>
        <w:fldChar w:fldCharType="separate"/>
      </w:r>
      <w:r>
        <w:rPr>
          <w:rStyle w:val="49"/>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"_Toc115021826"</w:instrText>
      </w:r>
      <w:r>
        <w:rPr>
          <w:rStyle w:val="49"/>
          <w:sz w:val="24"/>
        </w:rPr>
        <w:instrText xml:space="preserve"> </w:instrText>
      </w:r>
      <w:r>
        <w:rPr>
          <w:sz w:val="24"/>
        </w:rPr>
        <w:fldChar w:fldCharType="separate"/>
      </w:r>
      <w:r>
        <w:rPr>
          <w:rStyle w:val="49"/>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4</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"_Toc115021827"</w:instrText>
      </w:r>
      <w:r>
        <w:rPr>
          <w:rStyle w:val="49"/>
          <w:sz w:val="24"/>
        </w:rPr>
        <w:instrText xml:space="preserve"> </w:instrText>
      </w:r>
      <w:r>
        <w:rPr>
          <w:sz w:val="24"/>
        </w:rPr>
        <w:fldChar w:fldCharType="separate"/>
      </w:r>
      <w:r>
        <w:rPr>
          <w:rStyle w:val="49"/>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19</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"_Toc115021828"</w:instrText>
      </w:r>
      <w:r>
        <w:rPr>
          <w:rStyle w:val="49"/>
          <w:sz w:val="24"/>
        </w:rPr>
        <w:instrText xml:space="preserve"> </w:instrText>
      </w:r>
      <w:r>
        <w:rPr>
          <w:sz w:val="24"/>
        </w:rPr>
        <w:fldChar w:fldCharType="separate"/>
      </w:r>
      <w:r>
        <w:rPr>
          <w:rStyle w:val="49"/>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21</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"_Toc115021829"</w:instrText>
      </w:r>
      <w:r>
        <w:rPr>
          <w:rStyle w:val="49"/>
          <w:sz w:val="24"/>
        </w:rPr>
        <w:instrText xml:space="preserve"> </w:instrText>
      </w:r>
      <w:r>
        <w:rPr>
          <w:sz w:val="24"/>
        </w:rPr>
        <w:fldChar w:fldCharType="separate"/>
      </w:r>
      <w:r>
        <w:rPr>
          <w:rStyle w:val="49"/>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24</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"_Toc115021830"</w:instrText>
      </w:r>
      <w:r>
        <w:rPr>
          <w:rStyle w:val="49"/>
          <w:sz w:val="24"/>
        </w:rPr>
        <w:instrText xml:space="preserve"> </w:instrText>
      </w:r>
      <w:r>
        <w:rPr>
          <w:sz w:val="24"/>
        </w:rPr>
        <w:fldChar w:fldCharType="separate"/>
      </w:r>
      <w:r>
        <w:rPr>
          <w:rStyle w:val="49"/>
          <w:rFonts w:hint="eastAsia" w:cs="宋体"/>
          <w:sz w:val="24"/>
        </w:rPr>
        <w:t>第六章</w:t>
      </w:r>
      <w:r>
        <w:rPr>
          <w:rStyle w:val="49"/>
          <w:rFonts w:cs="宋体"/>
          <w:sz w:val="24"/>
        </w:rPr>
        <w:t xml:space="preserve"> </w:t>
      </w:r>
      <w:r>
        <w:rPr>
          <w:rStyle w:val="49"/>
          <w:rFonts w:hint="eastAsia" w:cs="宋体"/>
          <w:sz w:val="24"/>
        </w:rPr>
        <w:t>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26</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"_Toc115021831"</w:instrText>
      </w:r>
      <w:r>
        <w:rPr>
          <w:rStyle w:val="49"/>
          <w:sz w:val="24"/>
        </w:rPr>
        <w:instrText xml:space="preserve"> </w:instrText>
      </w:r>
      <w:r>
        <w:rPr>
          <w:sz w:val="24"/>
        </w:rPr>
        <w:fldChar w:fldCharType="separate"/>
      </w:r>
      <w:r>
        <w:rPr>
          <w:rStyle w:val="49"/>
          <w:rFonts w:cs="宋体"/>
          <w:sz w:val="24"/>
        </w:rPr>
        <w:t>1.</w:t>
      </w:r>
      <w:r>
        <w:rPr>
          <w:rStyle w:val="49"/>
          <w:rFonts w:hint="eastAsia" w:cs="宋体"/>
          <w:sz w:val="24"/>
        </w:rPr>
        <w:t xml:space="preserve"> </w:t>
      </w:r>
      <w:bookmarkStart w:id="2" w:name="_Hlt115021892"/>
      <w:r>
        <w:rPr>
          <w:rStyle w:val="49"/>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"_Toc115021832"</w:instrText>
      </w:r>
      <w:r>
        <w:rPr>
          <w:rStyle w:val="49"/>
          <w:sz w:val="24"/>
        </w:rPr>
        <w:instrText xml:space="preserve"> </w:instrText>
      </w:r>
      <w:r>
        <w:rPr>
          <w:sz w:val="24"/>
        </w:rPr>
        <w:fldChar w:fldCharType="separate"/>
      </w:r>
      <w:r>
        <w:rPr>
          <w:rStyle w:val="49"/>
          <w:rFonts w:cs="宋体"/>
          <w:sz w:val="24"/>
        </w:rPr>
        <w:t>2.</w:t>
      </w:r>
      <w:r>
        <w:rPr>
          <w:rStyle w:val="49"/>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"_Toc115021833"</w:instrText>
      </w:r>
      <w:r>
        <w:rPr>
          <w:rStyle w:val="49"/>
          <w:sz w:val="24"/>
        </w:rPr>
        <w:instrText xml:space="preserve"> </w:instrText>
      </w:r>
      <w:r>
        <w:rPr>
          <w:sz w:val="24"/>
        </w:rPr>
        <w:fldChar w:fldCharType="separate"/>
      </w:r>
      <w:r>
        <w:rPr>
          <w:rStyle w:val="49"/>
          <w:rFonts w:cs="宋体"/>
          <w:sz w:val="24"/>
        </w:rPr>
        <w:t>3.</w:t>
      </w:r>
      <w:r>
        <w:rPr>
          <w:rStyle w:val="49"/>
          <w:rFonts w:hint="eastAsia" w:cs="宋体"/>
          <w:sz w:val="24"/>
        </w:rPr>
        <w:t xml:space="preserve"> 供应</w:t>
      </w:r>
      <w:bookmarkStart w:id="3" w:name="_Hlt115021897"/>
      <w:r>
        <w:rPr>
          <w:rStyle w:val="49"/>
          <w:rFonts w:hint="eastAsia" w:cs="宋体"/>
          <w:sz w:val="24"/>
        </w:rPr>
        <w:t>商</w:t>
      </w:r>
      <w:bookmarkEnd w:id="3"/>
      <w:r>
        <w:rPr>
          <w:rStyle w:val="49"/>
          <w:rFonts w:hint="eastAsia" w:cs="宋体"/>
          <w:sz w:val="24"/>
        </w:rPr>
        <w:t>基本</w:t>
      </w:r>
      <w:bookmarkStart w:id="4" w:name="_Hlt115180455"/>
      <w:r>
        <w:rPr>
          <w:rStyle w:val="49"/>
          <w:rFonts w:hint="eastAsia" w:cs="宋体"/>
          <w:sz w:val="24"/>
        </w:rPr>
        <w:t>情</w:t>
      </w:r>
      <w:bookmarkEnd w:id="4"/>
      <w:r>
        <w:rPr>
          <w:rStyle w:val="49"/>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31</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"_Toc115021834"</w:instrText>
      </w:r>
      <w:r>
        <w:rPr>
          <w:rStyle w:val="49"/>
          <w:sz w:val="24"/>
        </w:rPr>
        <w:instrText xml:space="preserve"> </w:instrText>
      </w:r>
      <w:r>
        <w:rPr>
          <w:sz w:val="24"/>
        </w:rPr>
        <w:fldChar w:fldCharType="separate"/>
      </w:r>
      <w:r>
        <w:rPr>
          <w:rStyle w:val="49"/>
          <w:rFonts w:cs="宋体"/>
          <w:sz w:val="24"/>
        </w:rPr>
        <w:t>4.</w:t>
      </w:r>
      <w:r>
        <w:rPr>
          <w:rStyle w:val="49"/>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32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"_Toc115021835"</w:instrText>
      </w:r>
      <w:r>
        <w:rPr>
          <w:rStyle w:val="49"/>
          <w:sz w:val="24"/>
        </w:rPr>
        <w:instrText xml:space="preserve"> </w:instrText>
      </w:r>
      <w:r>
        <w:rPr>
          <w:sz w:val="24"/>
        </w:rPr>
        <w:fldChar w:fldCharType="separate"/>
      </w:r>
      <w:r>
        <w:rPr>
          <w:rStyle w:val="49"/>
          <w:rFonts w:cs="宋体"/>
          <w:sz w:val="24"/>
        </w:rPr>
        <w:t>5.</w:t>
      </w:r>
      <w:r>
        <w:rPr>
          <w:rStyle w:val="49"/>
          <w:rFonts w:hint="eastAsia" w:cs="宋体"/>
          <w:sz w:val="24"/>
        </w:rPr>
        <w:t xml:space="preserve"> 报价明细表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_Toc115021835 \h </w:instrText>
      </w:r>
      <w:r>
        <w:rPr>
          <w:rFonts w:ascii="宋体" w:hAnsi="宋体"/>
          <w:sz w:val="24"/>
          <w:szCs w:val="24"/>
        </w:rPr>
        <w:fldChar w:fldCharType="separate"/>
      </w:r>
      <w:r>
        <w:rPr>
          <w:rFonts w:ascii="宋体" w:hAnsi="宋体"/>
          <w:sz w:val="24"/>
          <w:szCs w:val="24"/>
        </w:rPr>
        <w:t>33</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"_Toc115021836"</w:instrText>
      </w:r>
      <w:r>
        <w:rPr>
          <w:rStyle w:val="49"/>
          <w:sz w:val="24"/>
        </w:rPr>
        <w:instrText xml:space="preserve"> </w:instrText>
      </w:r>
      <w:r>
        <w:rPr>
          <w:sz w:val="24"/>
        </w:rPr>
        <w:fldChar w:fldCharType="separate"/>
      </w:r>
      <w:r>
        <w:rPr>
          <w:rStyle w:val="49"/>
          <w:rFonts w:cs="宋体"/>
          <w:sz w:val="24"/>
        </w:rPr>
        <w:t>6.</w:t>
      </w:r>
      <w:r>
        <w:rPr>
          <w:rStyle w:val="49"/>
          <w:rFonts w:hint="eastAsia" w:cs="宋体"/>
          <w:sz w:val="24"/>
        </w:rPr>
        <w:t xml:space="preserve"> 技术响应表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_Toc115021836 \h </w:instrText>
      </w:r>
      <w:r>
        <w:rPr>
          <w:rFonts w:ascii="宋体" w:hAnsi="宋体"/>
          <w:sz w:val="24"/>
          <w:szCs w:val="24"/>
        </w:rPr>
        <w:fldChar w:fldCharType="separate"/>
      </w:r>
      <w:r>
        <w:rPr>
          <w:rFonts w:ascii="宋体" w:hAnsi="宋体"/>
          <w:sz w:val="24"/>
          <w:szCs w:val="24"/>
        </w:rPr>
        <w:t>34</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"_Toc115021837"</w:instrText>
      </w:r>
      <w:r>
        <w:rPr>
          <w:rStyle w:val="49"/>
          <w:sz w:val="24"/>
        </w:rPr>
        <w:instrText xml:space="preserve"> </w:instrText>
      </w:r>
      <w:r>
        <w:rPr>
          <w:sz w:val="24"/>
        </w:rPr>
        <w:fldChar w:fldCharType="separate"/>
      </w:r>
      <w:r>
        <w:rPr>
          <w:rStyle w:val="49"/>
          <w:rFonts w:cs="宋体"/>
          <w:sz w:val="24"/>
        </w:rPr>
        <w:t>7.</w:t>
      </w:r>
      <w:r>
        <w:rPr>
          <w:rStyle w:val="49"/>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35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"_Toc115021838"</w:instrText>
      </w:r>
      <w:r>
        <w:rPr>
          <w:rStyle w:val="49"/>
          <w:sz w:val="24"/>
        </w:rPr>
        <w:instrText xml:space="preserve"> </w:instrText>
      </w:r>
      <w:r>
        <w:rPr>
          <w:sz w:val="24"/>
        </w:rPr>
        <w:fldChar w:fldCharType="separate"/>
      </w:r>
      <w:r>
        <w:rPr>
          <w:rStyle w:val="49"/>
          <w:rFonts w:cs="宋体"/>
          <w:sz w:val="24"/>
        </w:rPr>
        <w:t>8.</w:t>
      </w:r>
      <w:r>
        <w:rPr>
          <w:rStyle w:val="49"/>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36</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"_Toc115021841"</w:instrText>
      </w:r>
      <w:r>
        <w:rPr>
          <w:rStyle w:val="49"/>
          <w:sz w:val="24"/>
        </w:rPr>
        <w:instrText xml:space="preserve"> </w:instrText>
      </w:r>
      <w:r>
        <w:rPr>
          <w:sz w:val="24"/>
        </w:rPr>
        <w:fldChar w:fldCharType="separate"/>
      </w:r>
      <w:r>
        <w:rPr>
          <w:rStyle w:val="49"/>
          <w:rFonts w:cs="宋体"/>
          <w:sz w:val="24"/>
        </w:rPr>
        <w:t>9.</w:t>
      </w:r>
      <w:r>
        <w:rPr>
          <w:rStyle w:val="49"/>
          <w:rFonts w:hint="eastAsia" w:cs="宋体"/>
          <w:sz w:val="24"/>
        </w:rPr>
        <w:t xml:space="preserve"> 法定代表</w:t>
      </w:r>
      <w:bookmarkStart w:id="5" w:name="_Hlt115021899"/>
      <w:r>
        <w:rPr>
          <w:rStyle w:val="49"/>
          <w:rFonts w:hint="eastAsia" w:cs="宋体"/>
          <w:sz w:val="24"/>
        </w:rPr>
        <w:t>人</w:t>
      </w:r>
      <w:bookmarkEnd w:id="5"/>
      <w:r>
        <w:rPr>
          <w:rStyle w:val="49"/>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38</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"_Toc115021842"</w:instrText>
      </w:r>
      <w:r>
        <w:rPr>
          <w:rStyle w:val="49"/>
          <w:sz w:val="24"/>
        </w:rPr>
        <w:instrText xml:space="preserve"> </w:instrText>
      </w:r>
      <w:r>
        <w:rPr>
          <w:sz w:val="24"/>
        </w:rPr>
        <w:fldChar w:fldCharType="separate"/>
      </w:r>
      <w:r>
        <w:rPr>
          <w:rStyle w:val="49"/>
          <w:rFonts w:cs="宋体"/>
          <w:sz w:val="24"/>
        </w:rPr>
        <w:t>10.</w:t>
      </w:r>
      <w:r>
        <w:rPr>
          <w:rStyle w:val="49"/>
          <w:rFonts w:hint="eastAsia" w:cs="宋体"/>
          <w:sz w:val="24"/>
        </w:rPr>
        <w:t xml:space="preserve"> 中小企业声明函（货物）</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_Toc115021842 \h </w:instrText>
      </w:r>
      <w:r>
        <w:rPr>
          <w:rFonts w:ascii="宋体" w:hAnsi="宋体"/>
          <w:sz w:val="24"/>
          <w:szCs w:val="24"/>
        </w:rPr>
        <w:fldChar w:fldCharType="separate"/>
      </w:r>
      <w:r>
        <w:rPr>
          <w:rFonts w:ascii="宋体" w:hAnsi="宋体"/>
          <w:sz w:val="24"/>
          <w:szCs w:val="24"/>
        </w:rPr>
        <w:t>41</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"_Toc115021843"</w:instrText>
      </w:r>
      <w:r>
        <w:rPr>
          <w:rStyle w:val="49"/>
          <w:sz w:val="24"/>
        </w:rPr>
        <w:instrText xml:space="preserve"> </w:instrText>
      </w:r>
      <w:r>
        <w:rPr>
          <w:sz w:val="24"/>
        </w:rPr>
        <w:fldChar w:fldCharType="separate"/>
      </w:r>
      <w:r>
        <w:rPr>
          <w:rStyle w:val="49"/>
          <w:rFonts w:cs="宋体"/>
          <w:sz w:val="24"/>
        </w:rPr>
        <w:t>11.</w:t>
      </w:r>
      <w:r>
        <w:rPr>
          <w:rStyle w:val="49"/>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9"/>
          <w:sz w:val="24"/>
        </w:rPr>
        <w:instrText xml:space="preserve"> </w:instrText>
      </w:r>
      <w:r>
        <w:rPr>
          <w:rFonts w:ascii="宋体" w:hAnsi="宋体"/>
          <w:sz w:val="24"/>
          <w:szCs w:val="24"/>
        </w:rPr>
        <w:instrText xml:space="preserve">HYPERLINK \l "_Toc115021844"</w:instrText>
      </w:r>
      <w:r>
        <w:rPr>
          <w:rStyle w:val="49"/>
          <w:sz w:val="24"/>
        </w:rPr>
        <w:instrText xml:space="preserve"> </w:instrText>
      </w:r>
      <w:r>
        <w:rPr>
          <w:sz w:val="24"/>
        </w:rPr>
        <w:fldChar w:fldCharType="separate"/>
      </w:r>
      <w:r>
        <w:rPr>
          <w:rStyle w:val="49"/>
          <w:rFonts w:cs="宋体"/>
          <w:sz w:val="24"/>
        </w:rPr>
        <w:t>12.</w:t>
      </w:r>
      <w:r>
        <w:rPr>
          <w:rStyle w:val="49"/>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8"/>
          <w:szCs w:val="28"/>
        </w:rPr>
      </w:pPr>
      <w:r>
        <w:rPr>
          <w:sz w:val="24"/>
        </w:rPr>
        <w:fldChar w:fldCharType="begin"/>
      </w:r>
      <w:r>
        <w:rPr>
          <w:rStyle w:val="49"/>
          <w:sz w:val="24"/>
        </w:rPr>
        <w:instrText xml:space="preserve"> </w:instrText>
      </w:r>
      <w:r>
        <w:rPr>
          <w:rFonts w:ascii="宋体" w:hAnsi="宋体"/>
          <w:sz w:val="24"/>
          <w:szCs w:val="24"/>
        </w:rPr>
        <w:instrText xml:space="preserve">HYPERLINK \l "_Toc115021845"</w:instrText>
      </w:r>
      <w:r>
        <w:rPr>
          <w:rStyle w:val="49"/>
          <w:sz w:val="24"/>
        </w:rPr>
        <w:instrText xml:space="preserve"> </w:instrText>
      </w:r>
      <w:r>
        <w:rPr>
          <w:sz w:val="24"/>
        </w:rPr>
        <w:fldChar w:fldCharType="separate"/>
      </w:r>
      <w:r>
        <w:rPr>
          <w:rStyle w:val="49"/>
          <w:rFonts w:cs="宋体"/>
          <w:sz w:val="24"/>
        </w:rPr>
        <w:t>13.</w:t>
      </w:r>
      <w:r>
        <w:rPr>
          <w:rStyle w:val="49"/>
          <w:rFonts w:hint="eastAsia" w:cs="宋体"/>
          <w:sz w:val="24"/>
        </w:rPr>
        <w:t xml:space="preserve"> 竞争性磋商文件要求的以及供应商认为应该提供的其</w:t>
      </w:r>
      <w:bookmarkStart w:id="6" w:name="_Hlt115180451"/>
      <w:bookmarkStart w:id="7" w:name="_Hlt115180452"/>
      <w:r>
        <w:rPr>
          <w:rStyle w:val="49"/>
          <w:rFonts w:hint="eastAsia" w:cs="宋体"/>
          <w:sz w:val="24"/>
        </w:rPr>
        <w:t>他</w:t>
      </w:r>
      <w:bookmarkEnd w:id="6"/>
      <w:bookmarkEnd w:id="7"/>
      <w:r>
        <w:rPr>
          <w:rStyle w:val="49"/>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sz w:val="24"/>
        </w:rPr>
        <w:fldChar w:fldCharType="end"/>
      </w:r>
    </w:p>
    <w:p>
      <w:pPr>
        <w:pStyle w:val="28"/>
        <w:tabs>
          <w:tab w:val="right" w:leader="dot" w:pos="8820"/>
        </w:tabs>
        <w:rPr>
          <w:rFonts w:hint="eastAsia" w:ascii="宋体" w:hAnsi="宋体" w:cs="宋体"/>
          <w:b/>
          <w:bCs/>
          <w:caps/>
          <w:sz w:val="32"/>
          <w:szCs w:val="32"/>
          <w:lang w:val="zh-CN"/>
        </w:rPr>
      </w:pPr>
      <w:r>
        <w:rPr>
          <w:rFonts w:hint="eastAsia" w:ascii="宋体" w:hAnsi="宋体" w:cs="宋体"/>
          <w:bCs/>
          <w:caps/>
          <w:sz w:val="24"/>
          <w:szCs w:val="24"/>
          <w:lang w:val="zh-CN"/>
        </w:rPr>
        <w:fldChar w:fldCharType="end"/>
      </w:r>
    </w:p>
    <w:p>
      <w:pPr>
        <w:pStyle w:val="82"/>
        <w:jc w:val="center"/>
        <w:rPr>
          <w:rFonts w:hint="eastAsia" w:ascii="宋体" w:hAnsi="宋体" w:cs="宋体"/>
          <w:b/>
          <w:color w:val="FF0000"/>
          <w:sz w:val="28"/>
          <w:szCs w:val="28"/>
        </w:rPr>
      </w:pPr>
    </w:p>
    <w:p>
      <w:pPr>
        <w:pStyle w:val="82"/>
        <w:rPr>
          <w:rFonts w:hint="eastAsia" w:ascii="宋体" w:hAnsi="宋体" w:cs="宋体"/>
          <w:color w:val="FF0000"/>
        </w:rPr>
      </w:pPr>
      <w:r>
        <w:rPr>
          <w:rFonts w:hint="eastAsia" w:ascii="宋体" w:hAnsi="宋体" w:cs="宋体"/>
          <w:color w:val="FF0000"/>
        </w:rPr>
        <w:t> </w:t>
      </w:r>
    </w:p>
    <w:p>
      <w:pPr>
        <w:pStyle w:val="82"/>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7"/>
        <w:numPr>
          <w:ilvl w:val="0"/>
          <w:numId w:val="1"/>
        </w:numPr>
        <w:spacing w:before="0" w:after="0" w:line="360" w:lineRule="auto"/>
        <w:ind w:firstLine="0"/>
        <w:rPr>
          <w:rFonts w:hint="eastAsia" w:ascii="宋体" w:hAnsi="宋体" w:cs="宋体"/>
          <w:bCs w:val="0"/>
        </w:rPr>
      </w:pPr>
      <w:bookmarkStart w:id="8" w:name="_Toc115021825"/>
      <w:bookmarkStart w:id="9" w:name="_Toc30568"/>
      <w:r>
        <w:rPr>
          <w:rFonts w:hint="eastAsia" w:ascii="宋体" w:hAnsi="宋体" w:cs="宋体"/>
          <w:bCs w:val="0"/>
        </w:rPr>
        <w:t>竞争性磋商公告</w:t>
      </w:r>
      <w:bookmarkEnd w:id="8"/>
      <w:bookmarkEnd w:id="9"/>
    </w:p>
    <w:p>
      <w:pPr>
        <w:spacing w:line="400" w:lineRule="exact"/>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2022年度武陟县西陶镇成汇食品加工项目（二期）</w:t>
      </w:r>
    </w:p>
    <w:p>
      <w:pPr>
        <w:spacing w:line="380" w:lineRule="exact"/>
        <w:jc w:val="center"/>
        <w:rPr>
          <w:rFonts w:hint="eastAsia" w:ascii="宋体" w:hAnsi="宋体" w:cs="宋体"/>
          <w:b/>
          <w:bCs/>
          <w:sz w:val="24"/>
          <w:szCs w:val="24"/>
        </w:rPr>
      </w:pPr>
      <w:r>
        <w:rPr>
          <w:rFonts w:hint="eastAsia" w:ascii="宋体" w:hAnsi="宋体" w:cs="宋体"/>
          <w:b/>
          <w:bCs/>
          <w:sz w:val="28"/>
          <w:szCs w:val="28"/>
        </w:rPr>
        <w:t>竞争性磋商公告(不见面磋商)</w:t>
      </w:r>
    </w:p>
    <w:p>
      <w:pPr>
        <w:spacing w:line="400" w:lineRule="exact"/>
        <w:rPr>
          <w:rFonts w:hint="eastAsia" w:ascii="宋体" w:hAnsi="宋体" w:cs="宋体"/>
          <w:sz w:val="24"/>
          <w:szCs w:val="24"/>
        </w:rPr>
      </w:pPr>
      <w:r>
        <w:rPr>
          <w:rFonts w:hint="eastAsia" w:ascii="宋体" w:hAnsi="宋体" w:cs="宋体"/>
          <w:sz w:val="24"/>
          <w:szCs w:val="24"/>
        </w:rPr>
        <w:t>项目概况</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2022年度武陟县西陶镇成汇食品加工项目（二期）</w:t>
      </w:r>
      <w:r>
        <w:rPr>
          <w:rFonts w:hint="eastAsia" w:ascii="宋体" w:hAnsi="宋体" w:cs="宋体"/>
          <w:sz w:val="24"/>
          <w:szCs w:val="24"/>
        </w:rPr>
        <w:t>的潜在供应商应登陆焦作市公共资源交易中心网站获取磋商文件，并于</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12</w:t>
      </w:r>
      <w:r>
        <w:rPr>
          <w:rFonts w:hint="eastAsia" w:ascii="宋体" w:hAnsi="宋体" w:cs="宋体"/>
          <w:sz w:val="24"/>
          <w:szCs w:val="24"/>
        </w:rPr>
        <w:t>日09点00分00秒（北京时间）前提交响应文件。</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项目基本情况</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rPr>
        <w:t>项目编号：</w:t>
      </w:r>
      <w:r>
        <w:rPr>
          <w:rFonts w:hint="eastAsia" w:ascii="宋体" w:hAnsi="宋体" w:cs="宋体"/>
          <w:sz w:val="24"/>
          <w:szCs w:val="24"/>
          <w:lang w:eastAsia="zh-CN"/>
        </w:rPr>
        <w:t>武政磋商采购【2022】035号</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rPr>
        <w:t>交易编号：</w:t>
      </w:r>
      <w:r>
        <w:rPr>
          <w:rFonts w:hint="eastAsia" w:ascii="宋体" w:hAnsi="宋体" w:cs="宋体"/>
          <w:sz w:val="24"/>
          <w:szCs w:val="24"/>
          <w:lang w:eastAsia="zh-CN"/>
        </w:rPr>
        <w:t>武交采JZCS2022-012号</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项目名称：</w:t>
      </w:r>
      <w:r>
        <w:rPr>
          <w:rFonts w:hint="eastAsia" w:ascii="宋体" w:hAnsi="宋体" w:cs="宋体"/>
          <w:sz w:val="24"/>
          <w:szCs w:val="24"/>
          <w:lang w:eastAsia="zh-CN"/>
        </w:rPr>
        <w:t>2022年度武陟县西陶镇成汇食品加工项目（二期）</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采购方式：竞争性磋商</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预算金额：</w:t>
      </w:r>
      <w:r>
        <w:rPr>
          <w:rFonts w:hint="eastAsia" w:ascii="宋体" w:hAnsi="宋体" w:cs="宋体"/>
          <w:sz w:val="24"/>
          <w:szCs w:val="24"/>
          <w:lang w:eastAsia="zh-CN"/>
        </w:rPr>
        <w:t>19</w:t>
      </w:r>
      <w:r>
        <w:rPr>
          <w:rFonts w:hint="eastAsia" w:ascii="宋体" w:hAnsi="宋体" w:cs="宋体"/>
          <w:sz w:val="24"/>
          <w:szCs w:val="24"/>
          <w:lang w:val="en-US" w:eastAsia="zh-CN"/>
        </w:rPr>
        <w:t>8</w:t>
      </w:r>
      <w:r>
        <w:rPr>
          <w:rFonts w:hint="eastAsia" w:ascii="宋体" w:hAnsi="宋体" w:cs="宋体"/>
          <w:sz w:val="24"/>
          <w:szCs w:val="24"/>
          <w:lang w:eastAsia="zh-CN"/>
        </w:rPr>
        <w:t>万元</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采购需求：</w:t>
      </w:r>
      <w:r>
        <w:rPr>
          <w:rFonts w:hint="eastAsia" w:ascii="宋体" w:hAnsi="宋体" w:cs="宋体"/>
          <w:sz w:val="24"/>
          <w:szCs w:val="24"/>
          <w:lang w:val="en-US" w:eastAsia="zh-CN"/>
        </w:rPr>
        <w:t>2022年度武陟县西陶镇成汇食品加工项目（二期）：新建2T双螺旋隧道1台。</w:t>
      </w:r>
      <w:r>
        <w:rPr>
          <w:rFonts w:hint="eastAsia" w:ascii="宋体" w:hAnsi="宋体" w:cs="宋体"/>
          <w:sz w:val="24"/>
          <w:szCs w:val="24"/>
        </w:rPr>
        <w:t>(详见《河南省政府采购网》本公告附件)</w:t>
      </w:r>
    </w:p>
    <w:p>
      <w:pPr>
        <w:pStyle w:val="39"/>
        <w:spacing w:line="400" w:lineRule="exact"/>
        <w:ind w:firstLine="480" w:firstLineChars="200"/>
        <w:rPr>
          <w:rFonts w:ascii="宋体" w:hAnsi="宋体" w:cs="宋体"/>
          <w:sz w:val="24"/>
          <w:szCs w:val="24"/>
        </w:rPr>
      </w:pPr>
      <w:r>
        <w:rPr>
          <w:rFonts w:hint="eastAsia" w:ascii="宋体" w:hAnsi="宋体" w:cs="宋体"/>
          <w:sz w:val="24"/>
          <w:szCs w:val="24"/>
        </w:rPr>
        <w:t>合同履行期限：</w:t>
      </w:r>
      <w:r>
        <w:rPr>
          <w:rFonts w:hint="eastAsia" w:ascii="宋体" w:hAnsi="宋体" w:eastAsia="宋体" w:cs="宋体"/>
          <w:i w:val="0"/>
          <w:iCs w:val="0"/>
          <w:kern w:val="2"/>
          <w:sz w:val="24"/>
          <w:szCs w:val="24"/>
          <w:lang w:val="en-US" w:eastAsia="zh-CN" w:bidi="ar-SA"/>
        </w:rPr>
        <w:t>自合同签订之日起20日历天</w:t>
      </w:r>
      <w:r>
        <w:rPr>
          <w:rFonts w:hint="eastAsia" w:ascii="宋体" w:hAnsi="宋体" w:cs="宋体"/>
          <w:sz w:val="24"/>
          <w:szCs w:val="24"/>
        </w:rPr>
        <w:t>。</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本项目不接受联合体。</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申请人的资格要求：</w:t>
      </w:r>
    </w:p>
    <w:p>
      <w:pPr>
        <w:numPr>
          <w:ilvl w:val="0"/>
          <w:numId w:val="3"/>
        </w:numPr>
        <w:tabs>
          <w:tab w:val="left" w:pos="492"/>
          <w:tab w:val="left" w:pos="839"/>
        </w:tabs>
        <w:spacing w:line="400" w:lineRule="exact"/>
        <w:rPr>
          <w:rFonts w:hint="eastAsia" w:ascii="宋体" w:hAnsi="宋体" w:cs="宋体"/>
          <w:sz w:val="24"/>
          <w:szCs w:val="24"/>
        </w:rPr>
      </w:pPr>
      <w:r>
        <w:rPr>
          <w:rFonts w:hint="eastAsia" w:ascii="宋体" w:hAnsi="宋体" w:cs="宋体"/>
          <w:sz w:val="24"/>
          <w:szCs w:val="24"/>
        </w:rPr>
        <w:t>满足《中华人民共和国政府采购法》第二十二条规定；</w:t>
      </w:r>
    </w:p>
    <w:p>
      <w:pPr>
        <w:spacing w:line="400" w:lineRule="exact"/>
        <w:ind w:left="420" w:leftChars="200"/>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落实政府采购政策需满足的资格要求：</w:t>
      </w:r>
    </w:p>
    <w:p>
      <w:pPr>
        <w:spacing w:line="400" w:lineRule="exact"/>
        <w:ind w:left="420" w:leftChars="200"/>
        <w:rPr>
          <w:rFonts w:hint="eastAsia" w:ascii="宋体" w:hAnsi="宋体" w:cs="宋体"/>
          <w:sz w:val="24"/>
          <w:szCs w:val="24"/>
          <w:lang w:val="en-US" w:eastAsia="zh-CN"/>
        </w:rPr>
      </w:pPr>
      <w:r>
        <w:rPr>
          <w:rFonts w:hint="eastAsia" w:ascii="宋体" w:hAnsi="宋体" w:cs="宋体"/>
          <w:sz w:val="24"/>
          <w:szCs w:val="24"/>
          <w:highlight w:val="none"/>
          <w:lang w:val="en-US" w:eastAsia="zh-CN"/>
        </w:rPr>
        <w:t>2.1所投货物的制造商</w:t>
      </w:r>
      <w:r>
        <w:rPr>
          <w:rFonts w:hint="eastAsia" w:ascii="宋体" w:hAnsi="宋体" w:cs="宋体"/>
          <w:sz w:val="24"/>
          <w:szCs w:val="24"/>
          <w:lang w:val="en-US" w:eastAsia="zh-CN"/>
        </w:rPr>
        <w:t>应为中小微企业或监狱企业或残疾人福利性单位</w:t>
      </w:r>
      <w:r>
        <w:rPr>
          <w:rFonts w:hint="eastAsia" w:ascii="宋体" w:hAnsi="宋体" w:cs="宋体"/>
          <w:sz w:val="24"/>
          <w:szCs w:val="24"/>
          <w:lang w:eastAsia="zh-CN"/>
        </w:rPr>
        <w:t>；</w:t>
      </w:r>
    </w:p>
    <w:p>
      <w:pPr>
        <w:spacing w:line="400" w:lineRule="exact"/>
        <w:ind w:left="420" w:leftChars="200"/>
        <w:rPr>
          <w:rFonts w:hint="eastAsia" w:ascii="宋体" w:hAnsi="宋体" w:cs="宋体"/>
          <w:sz w:val="24"/>
          <w:szCs w:val="24"/>
        </w:rPr>
      </w:pPr>
      <w:r>
        <w:rPr>
          <w:rFonts w:hint="eastAsia" w:ascii="宋体" w:hAnsi="宋体" w:cs="宋体"/>
          <w:sz w:val="24"/>
          <w:szCs w:val="24"/>
        </w:rPr>
        <w:t>3.1供应商及其法定代表人、委托代理人均无行贿犯罪记录；</w:t>
      </w:r>
    </w:p>
    <w:p>
      <w:pPr>
        <w:spacing w:line="400" w:lineRule="exact"/>
        <w:ind w:firstLine="420" w:firstLineChars="175"/>
        <w:rPr>
          <w:rFonts w:hint="eastAsia" w:ascii="宋体" w:hAnsi="宋体" w:cs="宋体"/>
          <w:sz w:val="24"/>
          <w:szCs w:val="24"/>
        </w:rPr>
      </w:pPr>
      <w:r>
        <w:rPr>
          <w:rFonts w:hint="eastAsia" w:ascii="宋体" w:hAnsi="宋体" w:cs="宋体"/>
          <w:sz w:val="24"/>
          <w:szCs w:val="24"/>
        </w:rPr>
        <w:t>3.2经中国人民银行备案的第三方征信机构出具的有效期内的信用报告，信用等级达到A级及以上，并提供出具该信用报告的第三方征信机构在中国人民银行备案的证明材料；</w:t>
      </w:r>
    </w:p>
    <w:p>
      <w:pPr>
        <w:spacing w:line="400" w:lineRule="exact"/>
        <w:ind w:firstLine="420" w:firstLineChars="175"/>
        <w:rPr>
          <w:rFonts w:hint="eastAsia"/>
          <w:sz w:val="24"/>
          <w:szCs w:val="24"/>
        </w:rPr>
      </w:pPr>
      <w:r>
        <w:rPr>
          <w:rFonts w:hint="eastAsia" w:ascii="宋体" w:hAnsi="宋体" w:cs="宋体"/>
          <w:sz w:val="24"/>
          <w:szCs w:val="24"/>
        </w:rPr>
        <w:t>3.3不得被列入失信被执行人、重大税收违法失信主体、政府采购严重违法失信行为记录名单。</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获取磋商文件</w:t>
      </w:r>
    </w:p>
    <w:p>
      <w:pPr>
        <w:numPr>
          <w:ilvl w:val="0"/>
          <w:numId w:val="4"/>
        </w:num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11</w:t>
      </w:r>
      <w:r>
        <w:rPr>
          <w:rFonts w:hint="eastAsia" w:ascii="宋体" w:hAnsi="宋体" w:cs="宋体"/>
          <w:sz w:val="24"/>
          <w:szCs w:val="24"/>
        </w:rPr>
        <w:t>月</w:t>
      </w:r>
      <w:r>
        <w:rPr>
          <w:rFonts w:hint="eastAsia" w:ascii="宋体" w:hAnsi="宋体" w:cs="宋体"/>
          <w:sz w:val="24"/>
          <w:szCs w:val="24"/>
          <w:u w:val="single"/>
          <w:lang w:val="en-US" w:eastAsia="zh-CN"/>
        </w:rPr>
        <w:t>29</w:t>
      </w:r>
      <w:r>
        <w:rPr>
          <w:rFonts w:hint="eastAsia" w:ascii="宋体" w:hAnsi="宋体" w:cs="宋体"/>
          <w:sz w:val="24"/>
          <w:szCs w:val="24"/>
        </w:rPr>
        <w:t>日至</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6</w:t>
      </w:r>
      <w:r>
        <w:rPr>
          <w:rFonts w:hint="eastAsia" w:ascii="宋体" w:hAnsi="宋体" w:cs="宋体"/>
          <w:sz w:val="24"/>
          <w:szCs w:val="24"/>
        </w:rPr>
        <w:t>日（北京时间）；</w:t>
      </w:r>
    </w:p>
    <w:p>
      <w:pPr>
        <w:numPr>
          <w:ilvl w:val="0"/>
          <w:numId w:val="4"/>
        </w:numPr>
        <w:spacing w:line="400" w:lineRule="exact"/>
        <w:ind w:firstLine="480" w:firstLineChars="200"/>
        <w:jc w:val="left"/>
        <w:rPr>
          <w:rFonts w:hint="eastAsia" w:ascii="宋体" w:hAnsi="宋体" w:cs="宋体"/>
          <w:sz w:val="24"/>
          <w:szCs w:val="24"/>
          <w:shd w:val="clear" w:color="auto" w:fill="FFFF00"/>
        </w:rPr>
      </w:pPr>
      <w:r>
        <w:rPr>
          <w:rFonts w:hint="eastAsia" w:ascii="宋体" w:hAnsi="宋体" w:cs="宋体"/>
          <w:sz w:val="24"/>
          <w:szCs w:val="24"/>
        </w:rPr>
        <w:t>地点：焦作市公共资源交易中心网站；</w:t>
      </w:r>
    </w:p>
    <w:p>
      <w:pPr>
        <w:pStyle w:val="3"/>
        <w:numPr>
          <w:ilvl w:val="0"/>
          <w:numId w:val="4"/>
        </w:numPr>
        <w:spacing w:line="400" w:lineRule="exact"/>
        <w:ind w:firstLine="420" w:firstLineChars="175"/>
        <w:jc w:val="left"/>
        <w:rPr>
          <w:rFonts w:hint="eastAsia" w:ascii="宋体" w:hAnsi="宋体" w:cs="宋体"/>
          <w:sz w:val="24"/>
          <w:szCs w:val="24"/>
        </w:rPr>
      </w:pP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400" w:lineRule="exact"/>
        <w:ind w:firstLine="602" w:firstLineChars="250"/>
        <w:rPr>
          <w:rFonts w:hint="eastAsia" w:ascii="宋体" w:hAnsi="宋体" w:cs="宋体"/>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提交响应文件截止时间及地点</w:t>
      </w:r>
    </w:p>
    <w:p>
      <w:pPr>
        <w:spacing w:line="400" w:lineRule="exact"/>
        <w:ind w:firstLine="480" w:firstLineChars="200"/>
        <w:rPr>
          <w:rFonts w:hint="eastAsia" w:ascii="宋体" w:hAnsi="宋体" w:cs="宋体"/>
          <w:sz w:val="24"/>
          <w:szCs w:val="24"/>
          <w:highlight w:val="yellow"/>
        </w:rPr>
      </w:pPr>
      <w:r>
        <w:rPr>
          <w:rFonts w:hint="eastAsia" w:ascii="宋体" w:hAnsi="宋体" w:cs="宋体"/>
          <w:sz w:val="24"/>
          <w:szCs w:val="24"/>
        </w:rPr>
        <w:t>1.提交响应文件截止时间：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12</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点</w:t>
      </w:r>
      <w:r>
        <w:rPr>
          <w:rFonts w:hint="eastAsia" w:ascii="宋体" w:hAnsi="宋体" w:cs="宋体"/>
          <w:sz w:val="24"/>
          <w:szCs w:val="24"/>
          <w:u w:val="single"/>
        </w:rPr>
        <w:t>00</w:t>
      </w:r>
      <w:r>
        <w:rPr>
          <w:rFonts w:hint="eastAsia" w:ascii="宋体" w:hAnsi="宋体" w:cs="宋体"/>
          <w:sz w:val="24"/>
          <w:szCs w:val="24"/>
        </w:rPr>
        <w:t>分</w:t>
      </w:r>
      <w:r>
        <w:rPr>
          <w:rFonts w:hint="eastAsia" w:ascii="宋体" w:hAnsi="宋体" w:cs="宋体"/>
          <w:sz w:val="24"/>
          <w:szCs w:val="24"/>
          <w:u w:val="single"/>
        </w:rPr>
        <w:t>00</w:t>
      </w:r>
      <w:r>
        <w:rPr>
          <w:rFonts w:hint="eastAsia" w:ascii="宋体" w:hAnsi="宋体" w:cs="宋体"/>
          <w:sz w:val="24"/>
          <w:szCs w:val="24"/>
        </w:rPr>
        <w:t>秒（北京时间）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开启时间及地点</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1.开启时间：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12</w:t>
      </w:r>
      <w:r>
        <w:rPr>
          <w:rFonts w:hint="eastAsia" w:ascii="宋体" w:hAnsi="宋体" w:cs="宋体"/>
          <w:sz w:val="24"/>
          <w:szCs w:val="24"/>
        </w:rPr>
        <w:t>日09时00分后（北京时间）；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2.开启地点：武陟县公共资源交易中心二楼开标</w:t>
      </w:r>
      <w:r>
        <w:rPr>
          <w:rFonts w:hint="eastAsia" w:ascii="宋体" w:hAnsi="宋体" w:cs="宋体"/>
          <w:sz w:val="24"/>
          <w:szCs w:val="24"/>
          <w:u w:val="single"/>
          <w:lang w:val="en-US" w:eastAsia="zh-CN"/>
        </w:rPr>
        <w:t xml:space="preserve"> 三 </w:t>
      </w:r>
      <w:r>
        <w:rPr>
          <w:rFonts w:hint="eastAsia" w:ascii="宋体" w:hAnsi="宋体" w:cs="宋体"/>
          <w:sz w:val="24"/>
          <w:szCs w:val="24"/>
        </w:rPr>
        <w:t>厅。</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公告期限：</w:t>
      </w:r>
      <w:r>
        <w:rPr>
          <w:rFonts w:hint="eastAsia" w:ascii="宋体" w:hAnsi="宋体" w:cs="宋体"/>
          <w:sz w:val="24"/>
          <w:szCs w:val="24"/>
        </w:rPr>
        <w:t>自本公告发布之日起五个工作日。</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其他补充事宜：</w:t>
      </w:r>
    </w:p>
    <w:p>
      <w:pPr>
        <w:spacing w:line="400" w:lineRule="exact"/>
        <w:ind w:left="420" w:firstLine="480" w:firstLineChars="200"/>
        <w:jc w:val="left"/>
        <w:rPr>
          <w:rFonts w:hint="eastAsia" w:ascii="宋体" w:hAnsi="宋体" w:cs="宋体"/>
          <w:sz w:val="24"/>
          <w:szCs w:val="24"/>
        </w:rPr>
      </w:pPr>
      <w:r>
        <w:rPr>
          <w:rFonts w:hint="eastAsia" w:ascii="宋体" w:hAnsi="宋体" w:cs="宋体"/>
          <w:sz w:val="24"/>
          <w:szCs w:val="24"/>
        </w:rPr>
        <w:t>公告发布媒体《中国招标投标公共服务平台》、《河南省政府采购网》、《河南省电子招标投标公共服务平台》、《河南省公共资源交易公共服务平台》、《焦作市公共资源交易中心网》、《武陟县公共资源交易中心网》。</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凡对本次采购提出询问，请按以下方式联系：</w:t>
      </w:r>
    </w:p>
    <w:p>
      <w:pPr>
        <w:widowControl/>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1.采购人信息</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武陟县西陶镇人民政府</w:t>
      </w:r>
      <w:r>
        <w:rPr>
          <w:rFonts w:hint="eastAsia" w:ascii="宋体" w:hAnsi="宋体" w:cs="宋体"/>
          <w:sz w:val="24"/>
          <w:szCs w:val="24"/>
        </w:rPr>
        <w:t xml:space="preserve">                  　</w:t>
      </w:r>
    </w:p>
    <w:p>
      <w:pPr>
        <w:spacing w:line="400" w:lineRule="exact"/>
        <w:ind w:firstLine="480" w:firstLineChars="200"/>
        <w:jc w:val="left"/>
        <w:rPr>
          <w:rFonts w:hint="default" w:ascii="宋体" w:hAnsi="宋体" w:eastAsia="宋体" w:cs="宋体"/>
          <w:sz w:val="24"/>
          <w:szCs w:val="24"/>
          <w:lang w:val="en-US" w:eastAsia="zh-CN"/>
        </w:rPr>
      </w:pPr>
      <w:r>
        <w:rPr>
          <w:rFonts w:hint="eastAsia" w:ascii="宋体" w:hAnsi="宋体" w:cs="宋体"/>
          <w:sz w:val="24"/>
          <w:szCs w:val="24"/>
          <w:highlight w:val="none"/>
        </w:rPr>
        <w:t>地 址：</w:t>
      </w:r>
      <w:r>
        <w:rPr>
          <w:rFonts w:hint="eastAsia" w:ascii="宋体" w:hAnsi="宋体" w:cs="宋体"/>
          <w:sz w:val="24"/>
          <w:szCs w:val="24"/>
          <w:highlight w:val="none"/>
          <w:lang w:eastAsia="zh-CN"/>
        </w:rPr>
        <w:t xml:space="preserve">焦作市武陟县西陶镇中心大街 </w:t>
      </w:r>
    </w:p>
    <w:p>
      <w:pPr>
        <w:spacing w:line="400" w:lineRule="exact"/>
        <w:ind w:firstLine="480" w:firstLineChars="200"/>
        <w:jc w:val="left"/>
        <w:rPr>
          <w:rFonts w:hint="eastAsia" w:ascii="宋体" w:hAnsi="宋体" w:cs="宋体"/>
          <w:sz w:val="24"/>
          <w:szCs w:val="24"/>
          <w:shd w:val="clear" w:color="auto" w:fill="FFFFFF"/>
        </w:rPr>
      </w:pPr>
      <w:r>
        <w:rPr>
          <w:rFonts w:hint="eastAsia" w:ascii="宋体" w:hAnsi="宋体" w:cs="宋体"/>
          <w:sz w:val="24"/>
          <w:szCs w:val="24"/>
          <w:shd w:val="clear" w:color="auto" w:fill="FFFFFF"/>
        </w:rPr>
        <w:t>联系方式：</w:t>
      </w:r>
      <w:r>
        <w:rPr>
          <w:rFonts w:hint="eastAsia" w:ascii="宋体" w:hAnsi="宋体" w:cs="宋体"/>
          <w:sz w:val="24"/>
          <w:szCs w:val="24"/>
          <w:shd w:val="clear" w:color="auto" w:fill="FFFFFF"/>
          <w:lang w:val="en-US" w:eastAsia="zh-CN"/>
        </w:rPr>
        <w:t>13569164555</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2.采购代理机构信息</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河南地天泰工程咨询有限公司</w:t>
      </w:r>
      <w:r>
        <w:rPr>
          <w:rFonts w:hint="eastAsia" w:ascii="宋体" w:hAnsi="宋体" w:cs="宋体"/>
          <w:sz w:val="24"/>
          <w:szCs w:val="24"/>
        </w:rPr>
        <w:t xml:space="preserve">                    　</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地 址：</w:t>
      </w:r>
      <w:r>
        <w:rPr>
          <w:rFonts w:hint="eastAsia" w:ascii="宋体" w:hAnsi="宋体" w:cs="宋体"/>
          <w:sz w:val="24"/>
          <w:szCs w:val="24"/>
          <w:lang w:eastAsia="zh-CN"/>
        </w:rPr>
        <w:t>河南省郑州市金水区国基路7号3号楼A座5层501室</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联系方式：0391-7289803                          　                                             </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3.项目联系方式</w:t>
      </w:r>
    </w:p>
    <w:p>
      <w:pPr>
        <w:pStyle w:val="22"/>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lang w:eastAsia="zh-CN"/>
        </w:rPr>
        <w:t>杜建庄</w:t>
      </w:r>
    </w:p>
    <w:p>
      <w:pPr>
        <w:spacing w:line="400" w:lineRule="exact"/>
        <w:ind w:firstLine="480" w:firstLineChars="200"/>
        <w:rPr>
          <w:rFonts w:hint="default" w:ascii="宋体" w:hAnsi="宋体" w:eastAsia="宋体" w:cs="宋体"/>
          <w:sz w:val="24"/>
          <w:szCs w:val="24"/>
          <w:u w:val="single"/>
          <w:lang w:val="en-US" w:eastAsia="zh-CN"/>
        </w:rPr>
      </w:pPr>
      <w:r>
        <w:rPr>
          <w:rFonts w:hint="eastAsia" w:ascii="宋体" w:hAnsi="宋体" w:cs="宋体"/>
          <w:sz w:val="24"/>
          <w:szCs w:val="24"/>
        </w:rPr>
        <w:t>电　话：</w:t>
      </w:r>
      <w:r>
        <w:rPr>
          <w:rFonts w:hint="eastAsia" w:ascii="宋体" w:hAnsi="宋体" w:cs="宋体"/>
          <w:sz w:val="24"/>
          <w:szCs w:val="24"/>
          <w:shd w:val="clear" w:color="auto" w:fill="FFFFFF"/>
          <w:lang w:val="en-US" w:eastAsia="zh-CN"/>
        </w:rPr>
        <w:t>13569164555</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bookmarkStart w:id="10" w:name="_Toc15614"/>
      <w:bookmarkStart w:id="11" w:name="_Toc22562"/>
      <w:bookmarkStart w:id="12" w:name="_Toc374512408"/>
      <w:bookmarkStart w:id="13" w:name="_Toc408816341"/>
      <w:bookmarkStart w:id="14" w:name="_Toc373230021"/>
      <w:bookmarkStart w:id="15" w:name="_Toc477423242"/>
      <w:r>
        <w:rPr>
          <w:rFonts w:hint="eastAsia" w:ascii="宋体" w:hAnsi="宋体" w:cs="宋体"/>
          <w:sz w:val="24"/>
          <w:szCs w:val="24"/>
          <w:u w:val="none"/>
        </w:rPr>
        <w:t>：</w:t>
      </w:r>
      <w:r>
        <w:rPr>
          <w:rFonts w:hint="eastAsia" w:ascii="宋体" w:hAnsi="宋体" w:cs="宋体"/>
          <w:sz w:val="24"/>
          <w:szCs w:val="24"/>
          <w:u w:val="none"/>
          <w:lang w:val="en-US" w:eastAsia="zh-CN"/>
        </w:rPr>
        <w:t>2022</w:t>
      </w:r>
      <w:r>
        <w:rPr>
          <w:rFonts w:hint="eastAsia" w:ascii="宋体" w:hAnsi="宋体" w:cs="宋体"/>
          <w:sz w:val="24"/>
          <w:szCs w:val="24"/>
          <w:u w:val="none"/>
        </w:rPr>
        <w:t>年</w:t>
      </w:r>
      <w:r>
        <w:rPr>
          <w:rFonts w:hint="eastAsia" w:ascii="宋体" w:hAnsi="宋体" w:cs="宋体"/>
          <w:sz w:val="24"/>
          <w:szCs w:val="24"/>
          <w:u w:val="none"/>
          <w:lang w:val="en-US" w:eastAsia="zh-CN"/>
        </w:rPr>
        <w:t>11</w:t>
      </w:r>
      <w:r>
        <w:rPr>
          <w:rFonts w:hint="eastAsia" w:ascii="宋体" w:hAnsi="宋体" w:cs="宋体"/>
          <w:sz w:val="24"/>
          <w:szCs w:val="24"/>
          <w:u w:val="none"/>
        </w:rPr>
        <w:t>月</w:t>
      </w:r>
      <w:r>
        <w:rPr>
          <w:rFonts w:hint="eastAsia" w:ascii="宋体" w:hAnsi="宋体" w:cs="宋体"/>
          <w:sz w:val="24"/>
          <w:szCs w:val="24"/>
          <w:u w:val="none"/>
          <w:lang w:val="en-US" w:eastAsia="zh-CN"/>
        </w:rPr>
        <w:t>29</w:t>
      </w:r>
      <w:r>
        <w:rPr>
          <w:rFonts w:hint="eastAsia" w:ascii="宋体" w:hAnsi="宋体" w:cs="宋体"/>
          <w:sz w:val="24"/>
          <w:szCs w:val="24"/>
          <w:u w:val="none"/>
        </w:rPr>
        <w:t>日</w:t>
      </w:r>
    </w:p>
    <w:p>
      <w:pPr>
        <w:pStyle w:val="37"/>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6" w:name="_Toc115021826"/>
      <w:bookmarkStart w:id="17" w:name="_Toc29694"/>
      <w:r>
        <w:rPr>
          <w:rFonts w:hint="eastAsia" w:ascii="宋体" w:hAnsi="宋体" w:cs="宋体"/>
        </w:rPr>
        <w:t>供应商须知</w:t>
      </w:r>
      <w:bookmarkEnd w:id="10"/>
      <w:bookmarkEnd w:id="16"/>
      <w:bookmarkEnd w:id="17"/>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szCs w:val="21"/>
                <w:lang w:eastAsia="zh-CN"/>
              </w:rPr>
              <w:t xml:space="preserve">武陟县西陶镇人民政府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lang w:eastAsia="zh-CN"/>
              </w:rPr>
              <w:t xml:space="preserve">河南地天泰工程咨询有限公司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项目名称</w:t>
            </w:r>
          </w:p>
        </w:tc>
        <w:tc>
          <w:tcPr>
            <w:tcW w:w="6563" w:type="dxa"/>
            <w:noWrap w:val="0"/>
            <w:vAlign w:val="center"/>
          </w:tcPr>
          <w:p>
            <w:pPr>
              <w:spacing w:line="380" w:lineRule="exact"/>
              <w:rPr>
                <w:rFonts w:hint="eastAsia" w:ascii="宋体" w:hAnsi="宋体" w:eastAsia="宋体" w:cs="宋体"/>
                <w:kern w:val="0"/>
                <w:szCs w:val="21"/>
                <w:highlight w:val="yellow"/>
                <w:lang w:eastAsia="zh-CN"/>
              </w:rPr>
            </w:pPr>
            <w:r>
              <w:rPr>
                <w:rFonts w:hint="eastAsia" w:ascii="宋体" w:hAnsi="宋体" w:cs="宋体"/>
                <w:szCs w:val="21"/>
                <w:lang w:eastAsia="zh-CN"/>
              </w:rPr>
              <w:t>2022年度武陟县西陶镇成汇食品加工项目（二期）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szCs w:val="21"/>
              </w:rPr>
              <w:t>货物</w:t>
            </w:r>
            <w:r>
              <w:rPr>
                <w:rFonts w:hint="eastAsia" w:hAnsi="宋体"/>
                <w:szCs w:val="21"/>
              </w:rPr>
              <w:sym w:font="Wingdings" w:char="F0FE"/>
            </w:r>
            <w:r>
              <w:rPr>
                <w:rFonts w:hint="eastAsia" w:hAnsi="宋体"/>
                <w:szCs w:val="21"/>
              </w:rPr>
              <w:t xml:space="preserve">      </w:t>
            </w:r>
            <w:r>
              <w:rPr>
                <w:rFonts w:hint="eastAsia" w:ascii="宋体" w:hAnsi="宋体"/>
                <w:szCs w:val="21"/>
              </w:rPr>
              <w:t>服务</w:t>
            </w:r>
            <w:r>
              <w:rPr>
                <w:rFonts w:hint="eastAsia" w:hAnsi="宋体"/>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 xml:space="preserve"> </w:t>
            </w:r>
            <w:r>
              <w:rPr>
                <w:rFonts w:hint="eastAsia" w:ascii="宋体" w:hAnsi="宋体" w:cs="宋体"/>
                <w:szCs w:val="21"/>
                <w:u w:val="single"/>
                <w:lang w:val="en-US" w:eastAsia="zh-CN"/>
              </w:rPr>
              <w:t>39000.00</w:t>
            </w:r>
            <w:r>
              <w:rPr>
                <w:rFonts w:hint="eastAsia" w:ascii="宋体" w:hAnsi="宋体" w:cs="宋体"/>
                <w:szCs w:val="21"/>
                <w:u w:val="single"/>
              </w:rPr>
              <w:t xml:space="preserve"> </w:t>
            </w:r>
            <w:r>
              <w:rPr>
                <w:rFonts w:hint="eastAsia" w:ascii="宋体" w:hAnsi="宋体" w:cs="宋体"/>
                <w:szCs w:val="21"/>
              </w:rPr>
              <w:t>元（暂不缴纳）</w:t>
            </w:r>
          </w:p>
          <w:p>
            <w:pPr>
              <w:spacing w:line="400" w:lineRule="exact"/>
              <w:rPr>
                <w:rFonts w:hint="eastAsia"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 xml:space="preserve"> </w:t>
            </w:r>
            <w:r>
              <w:rPr>
                <w:rFonts w:hint="eastAsia" w:ascii="宋体" w:hAnsi="宋体" w:cs="宋体"/>
                <w:szCs w:val="21"/>
                <w:u w:val="single"/>
                <w:lang w:val="en-US" w:eastAsia="zh-CN"/>
              </w:rPr>
              <w:t>39000.00</w:t>
            </w:r>
            <w:r>
              <w:rPr>
                <w:rFonts w:hint="eastAsia" w:ascii="宋体" w:hAnsi="宋体" w:cs="宋体"/>
                <w:szCs w:val="21"/>
                <w:u w:val="single"/>
              </w:rPr>
              <w:t xml:space="preserve">  </w:t>
            </w:r>
            <w:r>
              <w:rPr>
                <w:rFonts w:hint="eastAsia" w:ascii="宋体" w:hAnsi="宋体" w:cs="宋体"/>
                <w:szCs w:val="21"/>
              </w:rPr>
              <w:t>元，并予以没收，供应商应作出相应承诺（承诺书格式见第六章响应文件格式中）：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4"/>
              <w:spacing w:before="1" w:line="440" w:lineRule="exact"/>
              <w:ind w:left="108"/>
              <w:jc w:val="center"/>
              <w:rPr>
                <w:rFonts w:hint="eastAsia" w:ascii="宋体" w:hAnsi="宋体" w:cs="宋体"/>
                <w:sz w:val="21"/>
                <w:szCs w:val="21"/>
              </w:rPr>
            </w:pPr>
            <w:r>
              <w:rPr>
                <w:rFonts w:hint="eastAsia" w:ascii="宋体" w:hAnsi="宋体" w:cs="宋体"/>
                <w:sz w:val="21"/>
                <w:szCs w:val="21"/>
              </w:rPr>
              <w:t>响应文件的递交</w:t>
            </w:r>
          </w:p>
          <w:p>
            <w:pPr>
              <w:spacing w:line="440" w:lineRule="exact"/>
              <w:jc w:val="center"/>
              <w:rPr>
                <w:rFonts w:hint="eastAsia" w:ascii="宋体" w:hAnsi="宋体" w:cs="宋体"/>
                <w:kern w:val="0"/>
                <w:szCs w:val="21"/>
              </w:rPr>
            </w:pP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rPr>
              <w:t>（l）公布供应商；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（3）由供应商对开标记录表进行确认（在规定时间内未确认的视同认可开标记录）</w:t>
            </w:r>
          </w:p>
          <w:p>
            <w:pPr>
              <w:spacing w:line="400" w:lineRule="exact"/>
              <w:rPr>
                <w:rFonts w:hint="eastAsia"/>
                <w:szCs w:val="21"/>
              </w:rPr>
            </w:pPr>
            <w:r>
              <w:rPr>
                <w:rFonts w:hint="eastAsia"/>
                <w:szCs w:val="21"/>
              </w:rPr>
              <w:t>（4）开标结束；</w:t>
            </w:r>
          </w:p>
          <w:p>
            <w:pPr>
              <w:spacing w:line="400" w:lineRule="exact"/>
              <w:rPr>
                <w:rFonts w:hint="eastAsia"/>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39"/>
              <w:spacing w:line="400" w:lineRule="exact"/>
              <w:rPr>
                <w:rFonts w:hint="eastAsia"/>
                <w:kern w:val="2"/>
                <w:szCs w:val="21"/>
              </w:rPr>
            </w:pPr>
            <w:r>
              <w:rPr>
                <w:rFonts w:hint="eastAsia"/>
                <w:kern w:val="2"/>
                <w:szCs w:val="21"/>
              </w:rPr>
              <w:t>（6）由磋商小组采用综合评分法对提交最后报价的供应商的响应文件和最后报价进行综合评分并出具评审报告。</w:t>
            </w:r>
          </w:p>
          <w:p>
            <w:pPr>
              <w:pStyle w:val="18"/>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18"/>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18"/>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需要落实的政府采购政策</w:t>
            </w:r>
          </w:p>
        </w:tc>
        <w:tc>
          <w:tcPr>
            <w:tcW w:w="6563" w:type="dxa"/>
            <w:noWrap w:val="0"/>
            <w:vAlign w:val="center"/>
          </w:tcPr>
          <w:p>
            <w:pPr>
              <w:spacing w:line="440" w:lineRule="exact"/>
              <w:ind w:left="425"/>
              <w:rPr>
                <w:rFonts w:hint="eastAsia" w:ascii="宋体" w:hAnsi="宋体" w:cs="宋体"/>
                <w:b/>
                <w:bCs/>
                <w:szCs w:val="21"/>
              </w:rPr>
            </w:pPr>
            <w:r>
              <w:rPr>
                <w:rFonts w:hint="eastAsia" w:ascii="宋体" w:hAnsi="宋体" w:cs="宋体"/>
                <w:b/>
                <w:bCs/>
                <w:szCs w:val="21"/>
              </w:rPr>
              <w:t>一、促进中小企业、监狱企业和残疾人福利性单位发展扶持政策</w:t>
            </w:r>
          </w:p>
          <w:p>
            <w:pPr>
              <w:numPr>
                <w:ilvl w:val="0"/>
                <w:numId w:val="5"/>
              </w:numPr>
              <w:spacing w:line="440" w:lineRule="exact"/>
              <w:ind w:firstLine="424" w:firstLineChars="202"/>
              <w:rPr>
                <w:rFonts w:hint="eastAsia" w:ascii="宋体" w:hAnsi="宋体" w:cs="宋体"/>
                <w:bCs/>
                <w:szCs w:val="21"/>
              </w:rPr>
            </w:pPr>
            <w:r>
              <w:rPr>
                <w:rFonts w:hint="eastAsia" w:ascii="宋体" w:hAnsi="宋体" w:cs="宋体"/>
                <w:bCs/>
                <w:szCs w:val="21"/>
              </w:rPr>
              <w:t>中小企业认定：</w:t>
            </w:r>
          </w:p>
          <w:p>
            <w:pPr>
              <w:spacing w:line="440" w:lineRule="exact"/>
              <w:ind w:firstLine="420" w:firstLineChars="200"/>
              <w:rPr>
                <w:rFonts w:hint="eastAsia" w:ascii="宋体" w:hAnsi="宋体" w:cs="宋体"/>
                <w:bCs/>
                <w:szCs w:val="21"/>
              </w:rPr>
            </w:pPr>
            <w:r>
              <w:rPr>
                <w:rFonts w:hint="eastAsia" w:ascii="宋体" w:hAnsi="宋体" w:cs="宋体"/>
                <w:bCs/>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40" w:lineRule="exact"/>
              <w:ind w:firstLine="420" w:firstLineChars="200"/>
              <w:rPr>
                <w:rFonts w:hint="eastAsia" w:ascii="宋体" w:hAnsi="宋体" w:cs="宋体"/>
                <w:bCs/>
                <w:szCs w:val="21"/>
              </w:rPr>
            </w:pPr>
            <w:r>
              <w:rPr>
                <w:rFonts w:hint="eastAsia" w:ascii="宋体" w:hAnsi="宋体" w:cs="宋体"/>
                <w:bCs/>
                <w:szCs w:val="21"/>
              </w:rPr>
              <w:t>符合中小企业划分标准的个体工商户，在政府采购活动中视同中小企业。</w:t>
            </w:r>
          </w:p>
          <w:p>
            <w:pPr>
              <w:spacing w:line="440" w:lineRule="exact"/>
              <w:ind w:firstLine="420" w:firstLineChars="200"/>
              <w:rPr>
                <w:rFonts w:hint="eastAsia" w:ascii="宋体" w:hAnsi="宋体" w:cs="宋体"/>
                <w:bCs/>
                <w:szCs w:val="21"/>
              </w:rPr>
            </w:pPr>
            <w:r>
              <w:rPr>
                <w:rFonts w:hint="eastAsia" w:ascii="宋体" w:hAnsi="宋体" w:cs="宋体"/>
                <w:szCs w:val="21"/>
              </w:rPr>
              <w:t>中小企业划分标准见《关于印发中小企业划型标准规定的通知》（工信部联企业〔2011〕300号）。</w:t>
            </w:r>
          </w:p>
          <w:p>
            <w:pPr>
              <w:spacing w:line="440" w:lineRule="exact"/>
              <w:ind w:firstLine="420" w:firstLineChars="200"/>
              <w:rPr>
                <w:rFonts w:hint="eastAsia" w:ascii="宋体" w:hAnsi="宋体" w:cs="宋体"/>
                <w:bCs/>
                <w:szCs w:val="21"/>
              </w:rPr>
            </w:pPr>
            <w:r>
              <w:rPr>
                <w:rFonts w:hint="eastAsia" w:ascii="宋体" w:hAnsi="宋体" w:cs="宋体"/>
                <w:bCs/>
                <w:szCs w:val="21"/>
              </w:rPr>
              <w:t>2.在货物采购项目中，货物由中小企业制造，即货物由中小企业生产且使用该中小企业商号或者注册商标；</w:t>
            </w:r>
          </w:p>
          <w:p>
            <w:pPr>
              <w:spacing w:line="440" w:lineRule="exact"/>
              <w:ind w:firstLine="424" w:firstLineChars="202"/>
              <w:rPr>
                <w:rFonts w:hint="eastAsia" w:ascii="宋体" w:hAnsi="宋体" w:cs="宋体"/>
                <w:bCs/>
                <w:szCs w:val="21"/>
              </w:rPr>
            </w:pPr>
            <w:r>
              <w:rPr>
                <w:rFonts w:hint="eastAsia" w:ascii="宋体" w:hAnsi="宋体" w:cs="宋体"/>
                <w:bCs/>
                <w:szCs w:val="21"/>
              </w:rPr>
              <w:t>在货物采购项目中，供应商提供的货物既有中小企业制造货物，也有大型企业制造货物的，不享受本竞争性磋商文件规定的中小企业扶持政策。</w:t>
            </w:r>
          </w:p>
          <w:p>
            <w:pPr>
              <w:spacing w:line="440" w:lineRule="exact"/>
              <w:ind w:firstLine="420" w:firstLineChars="200"/>
              <w:rPr>
                <w:rFonts w:hint="eastAsia" w:ascii="宋体" w:hAnsi="宋体" w:cs="宋体"/>
                <w:bCs/>
                <w:szCs w:val="21"/>
              </w:rPr>
            </w:pPr>
            <w:r>
              <w:rPr>
                <w:rFonts w:hint="eastAsia" w:ascii="宋体" w:hAnsi="宋体" w:cs="宋体"/>
                <w:bCs/>
                <w:szCs w:val="21"/>
              </w:rPr>
              <w:t>以联合体形式参加政府采购活动，联合体各方均为中小企业的，联合体视同中小企业。其中，联合体各方均为小微企业的，联合体视同小微企业。</w:t>
            </w:r>
          </w:p>
          <w:p>
            <w:pPr>
              <w:spacing w:line="440" w:lineRule="exact"/>
              <w:ind w:firstLine="424" w:firstLineChars="202"/>
              <w:rPr>
                <w:rFonts w:hint="eastAsia" w:ascii="宋体" w:hAnsi="宋体" w:cs="宋体"/>
                <w:bCs/>
                <w:szCs w:val="21"/>
              </w:rPr>
            </w:pPr>
            <w:r>
              <w:rPr>
                <w:rFonts w:hint="eastAsia" w:ascii="宋体" w:hAnsi="宋体" w:cs="宋体"/>
                <w:bCs/>
                <w:szCs w:val="21"/>
              </w:rPr>
              <w:t>供应商应当出具竞争性磋商文件规定的《中小企业声明函》，否则不享受相关扶持政策；</w:t>
            </w:r>
          </w:p>
          <w:p>
            <w:pPr>
              <w:spacing w:line="440" w:lineRule="exact"/>
              <w:ind w:firstLine="424" w:firstLineChars="202"/>
              <w:rPr>
                <w:rFonts w:hint="eastAsia" w:ascii="宋体" w:hAnsi="宋体" w:cs="宋体"/>
                <w:bCs/>
                <w:szCs w:val="21"/>
              </w:rPr>
            </w:pPr>
            <w:r>
              <w:rPr>
                <w:rFonts w:hint="eastAsia" w:ascii="宋体" w:hAnsi="宋体" w:cs="宋体"/>
                <w:bCs/>
                <w:szCs w:val="21"/>
              </w:rPr>
              <w:t>3.根据财库〔2014〕68号《财政部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szCs w:val="21"/>
              </w:rPr>
              <w:t>（响应文件中附扫描件或复印件）</w:t>
            </w:r>
            <w:r>
              <w:rPr>
                <w:rFonts w:hint="eastAsia" w:ascii="宋体" w:hAnsi="宋体" w:cs="宋体"/>
                <w:bCs/>
                <w:szCs w:val="21"/>
              </w:rPr>
              <w:t>，不再提供《中小企业声明函》,供应商出具的监狱企业证明文件如有虚假，其成交资格将被取消，并根据相关规定进行处罚。</w:t>
            </w:r>
          </w:p>
          <w:p>
            <w:pPr>
              <w:spacing w:line="440" w:lineRule="exact"/>
              <w:ind w:firstLine="424" w:firstLineChars="202"/>
              <w:rPr>
                <w:rFonts w:hint="eastAsia" w:ascii="宋体" w:hAnsi="宋体" w:cs="宋体"/>
                <w:bCs/>
                <w:szCs w:val="21"/>
              </w:rPr>
            </w:pPr>
            <w:r>
              <w:rPr>
                <w:rFonts w:hint="eastAsia" w:ascii="宋体" w:hAnsi="宋体" w:cs="宋体"/>
                <w:bCs/>
                <w:szCs w:val="21"/>
              </w:rPr>
              <w:t>4.根据财库〔2017〕141号《三部门联合发布关于促进残疾人就业政府采购政策的通知》残疾人福利性单位视同小型、微型企业，残疾人福利性单位在参加政府采购活动时提供《残疾人福利性单位声明函》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szCs w:val="21"/>
              </w:rPr>
              <w:t>（响应文件中附扫描件或复印件）</w:t>
            </w:r>
            <w:r>
              <w:rPr>
                <w:rFonts w:hint="eastAsia" w:ascii="宋体" w:hAnsi="宋体" w:cs="宋体"/>
                <w:bCs/>
                <w:szCs w:val="21"/>
              </w:rPr>
              <w:t xml:space="preserve">，不再提供《中小企业声明函》，供应商在《残疾人福利性单位声明函》中的承诺如有虚假，其成交资格将被取消，并根据相关规定进行处罚。    </w:t>
            </w:r>
          </w:p>
          <w:p>
            <w:pPr>
              <w:spacing w:line="440" w:lineRule="exact"/>
              <w:ind w:firstLine="424" w:firstLineChars="202"/>
              <w:rPr>
                <w:rFonts w:hint="eastAsia" w:ascii="宋体" w:hAnsi="宋体" w:cs="宋体"/>
                <w:bCs/>
                <w:szCs w:val="21"/>
              </w:rPr>
            </w:pPr>
            <w:r>
              <w:rPr>
                <w:rFonts w:hint="eastAsia" w:ascii="宋体" w:hAnsi="宋体" w:cs="宋体"/>
                <w:bCs/>
                <w:szCs w:val="21"/>
                <w:lang w:eastAsia="zh-CN"/>
              </w:rPr>
              <w:t>磋商小组根据供应商提供的《中小企业声明函》认定该供应商是否属于中小企业；监狱企业和残疾人福利性单位视同小型、微型企业。</w:t>
            </w:r>
            <w:r>
              <w:rPr>
                <w:rFonts w:hint="eastAsia" w:ascii="宋体" w:hAnsi="宋体" w:cs="宋体"/>
                <w:b/>
                <w:bCs w:val="0"/>
                <w:szCs w:val="21"/>
                <w:lang w:eastAsia="zh-CN"/>
              </w:rPr>
              <w:t>不属于中小企业、监狱企业或残疾人福利性单位的不得参与本项目磋商。</w:t>
            </w:r>
            <w:r>
              <w:rPr>
                <w:rFonts w:hint="eastAsia" w:ascii="宋体" w:hAnsi="宋体" w:cs="宋体"/>
                <w:b/>
                <w:bCs w:val="0"/>
                <w:szCs w:val="21"/>
              </w:rPr>
              <w:t xml:space="preserve">               </w:t>
            </w:r>
            <w:r>
              <w:rPr>
                <w:rFonts w:hint="eastAsia" w:ascii="宋体" w:hAnsi="宋体" w:cs="宋体"/>
                <w:bCs/>
                <w:szCs w:val="21"/>
              </w:rPr>
              <w:t xml:space="preserve">                   </w:t>
            </w:r>
          </w:p>
          <w:p>
            <w:pPr>
              <w:spacing w:line="440" w:lineRule="exact"/>
              <w:ind w:left="425"/>
              <w:rPr>
                <w:rFonts w:hint="eastAsia" w:ascii="宋体" w:hAnsi="宋体" w:cs="宋体"/>
                <w:b/>
                <w:bCs/>
                <w:szCs w:val="21"/>
              </w:rPr>
            </w:pPr>
            <w:r>
              <w:rPr>
                <w:rFonts w:hint="eastAsia" w:ascii="宋体" w:hAnsi="宋体" w:cs="宋体"/>
                <w:b/>
                <w:bCs/>
                <w:szCs w:val="21"/>
              </w:rPr>
              <w:t>（二）节能产品、环境标志产品</w:t>
            </w:r>
          </w:p>
          <w:p>
            <w:pPr>
              <w:spacing w:line="440" w:lineRule="exact"/>
              <w:ind w:firstLine="424" w:firstLineChars="202"/>
              <w:rPr>
                <w:rFonts w:hint="eastAsia" w:ascii="宋体" w:hAnsi="宋体" w:cs="宋体"/>
                <w:bCs/>
                <w:szCs w:val="21"/>
              </w:rPr>
            </w:pPr>
            <w:r>
              <w:rPr>
                <w:rFonts w:hint="eastAsia" w:ascii="宋体" w:hAnsi="宋体" w:cs="宋体"/>
                <w:bCs/>
                <w:szCs w:val="21"/>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  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cs="宋体"/>
                <w:b/>
                <w:bCs/>
                <w:szCs w:val="21"/>
              </w:rPr>
              <w:t>（响应文件中附扫描件或复印件）</w:t>
            </w:r>
            <w:r>
              <w:rPr>
                <w:rFonts w:hint="eastAsia" w:ascii="宋体" w:hAnsi="宋体" w:cs="宋体"/>
                <w:bCs/>
                <w:szCs w:val="21"/>
              </w:rPr>
              <w:t>，否则不予认定。</w:t>
            </w:r>
          </w:p>
          <w:p>
            <w:pPr>
              <w:spacing w:line="440" w:lineRule="exact"/>
              <w:ind w:firstLine="420" w:firstLineChars="200"/>
              <w:rPr>
                <w:rFonts w:hint="eastAsia" w:ascii="宋体" w:hAnsi="宋体" w:cs="宋体"/>
                <w:szCs w:val="21"/>
              </w:rPr>
            </w:pPr>
            <w:r>
              <w:rPr>
                <w:rFonts w:hint="eastAsia" w:ascii="宋体" w:hAnsi="宋体" w:cs="宋体"/>
                <w:szCs w:val="21"/>
              </w:rPr>
              <w:t>2.对于所投核心产品为节能产品（政府强制采购节能产品除外）供应商的最后报价给予1 %的扣除，用扣除后的价格参与评审。成交价和合同签约价仍以其最后报价为准。计算公式如下：评审价=最后报价×（100%-1%）。</w:t>
            </w:r>
          </w:p>
          <w:p>
            <w:pPr>
              <w:spacing w:line="440" w:lineRule="exact"/>
              <w:ind w:firstLine="424" w:firstLineChars="202"/>
              <w:rPr>
                <w:rFonts w:hint="eastAsia" w:ascii="宋体" w:hAnsi="宋体" w:cs="宋体"/>
                <w:szCs w:val="21"/>
              </w:rPr>
            </w:pPr>
            <w:r>
              <w:rPr>
                <w:rFonts w:hint="eastAsia" w:ascii="宋体" w:hAnsi="宋体" w:cs="宋体"/>
                <w:szCs w:val="21"/>
              </w:rPr>
              <w:t>3.对于所投核心产品为环境标志产品的供应商最后报价给予1 %的扣除，用扣除后的价格参与评审。成交价和合同签约价仍以其最后报价为准。计算公式如下：评审价=最后报价×（100%-1%）。</w:t>
            </w:r>
          </w:p>
          <w:p>
            <w:pPr>
              <w:pStyle w:val="54"/>
              <w:rPr>
                <w:rFonts w:hint="eastAsia" w:eastAsia="宋体"/>
                <w:lang w:val="en-US" w:eastAsia="zh-CN"/>
              </w:rPr>
            </w:pPr>
            <w:r>
              <w:rPr>
                <w:rFonts w:hint="eastAsia" w:ascii="宋体" w:hAnsi="宋体" w:cs="宋体"/>
                <w:szCs w:val="21"/>
                <w:lang w:val="en-US" w:eastAsia="zh-CN"/>
              </w:rPr>
              <w:t xml:space="preserve">   4.</w:t>
            </w:r>
            <w:r>
              <w:rPr>
                <w:rFonts w:hint="eastAsia" w:ascii="宋体" w:hAnsi="宋体" w:cs="宋体"/>
                <w:szCs w:val="21"/>
              </w:rPr>
              <w:t>所投核心产品</w:t>
            </w:r>
            <w:r>
              <w:rPr>
                <w:rFonts w:hint="eastAsia" w:ascii="宋体" w:hAnsi="宋体" w:cs="宋体"/>
                <w:szCs w:val="21"/>
                <w:lang w:eastAsia="zh-CN"/>
              </w:rPr>
              <w:t>同时为</w:t>
            </w:r>
            <w:r>
              <w:rPr>
                <w:rFonts w:hint="eastAsia" w:ascii="宋体" w:hAnsi="宋体" w:cs="宋体"/>
                <w:szCs w:val="21"/>
              </w:rPr>
              <w:t>节能产品（政府强制采购节能产品除外）</w:t>
            </w:r>
            <w:r>
              <w:rPr>
                <w:rFonts w:hint="eastAsia" w:ascii="宋体" w:hAnsi="宋体" w:cs="宋体"/>
                <w:szCs w:val="21"/>
                <w:lang w:eastAsia="zh-CN"/>
              </w:rPr>
              <w:t>和</w:t>
            </w:r>
            <w:r>
              <w:rPr>
                <w:rFonts w:hint="eastAsia" w:ascii="宋体" w:hAnsi="宋体" w:cs="宋体"/>
                <w:szCs w:val="21"/>
              </w:rPr>
              <w:t>环境标志产品的计算公式如下：评审价=最后报价×（100%-</w:t>
            </w:r>
            <w:r>
              <w:rPr>
                <w:rFonts w:hint="eastAsia" w:ascii="宋体" w:hAnsi="宋体" w:cs="宋体"/>
                <w:szCs w:val="21"/>
                <w:lang w:val="en-US" w:eastAsia="zh-CN"/>
              </w:rPr>
              <w:t>2</w:t>
            </w:r>
            <w:r>
              <w:rPr>
                <w:rFonts w:hint="eastAsia" w:ascii="宋体" w:hAnsi="宋体" w:cs="宋体"/>
                <w:szCs w:val="21"/>
              </w:rPr>
              <w:t>%）。</w:t>
            </w:r>
          </w:p>
          <w:p>
            <w:pPr>
              <w:spacing w:line="440" w:lineRule="exact"/>
              <w:ind w:firstLine="316" w:firstLineChars="150"/>
              <w:rPr>
                <w:rFonts w:hint="eastAsia" w:ascii="宋体" w:hAnsi="宋体" w:cs="宋体"/>
                <w:b/>
                <w:bCs/>
                <w:szCs w:val="21"/>
              </w:rPr>
            </w:pPr>
            <w:r>
              <w:rPr>
                <w:rFonts w:hint="eastAsia" w:ascii="宋体" w:hAnsi="宋体" w:cs="宋体"/>
                <w:b/>
                <w:bCs/>
                <w:szCs w:val="21"/>
              </w:rPr>
              <w:t>（三）信息安全产品</w:t>
            </w:r>
          </w:p>
          <w:p>
            <w:pPr>
              <w:spacing w:line="440" w:lineRule="exact"/>
              <w:ind w:firstLine="424" w:firstLineChars="202"/>
              <w:rPr>
                <w:rFonts w:hint="eastAsia" w:ascii="宋体" w:hAnsi="宋体" w:cs="宋体"/>
                <w:bCs/>
                <w:szCs w:val="21"/>
              </w:rPr>
            </w:pPr>
            <w:r>
              <w:rPr>
                <w:rFonts w:hint="eastAsia" w:ascii="宋体" w:hAnsi="宋体" w:cs="宋体"/>
                <w:bCs/>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cs="宋体"/>
                <w:b/>
                <w:bCs/>
                <w:szCs w:val="21"/>
              </w:rPr>
              <w:t>（响应文件中附扫描件或复印件）</w:t>
            </w:r>
            <w:r>
              <w:rPr>
                <w:rFonts w:hint="eastAsia" w:ascii="宋体" w:hAnsi="宋体" w:cs="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kern w:val="0"/>
                <w:szCs w:val="21"/>
              </w:rPr>
              <w:t>本竞争性磋商文件解释权归采购人或其委托的采购代理机构。未尽事宜按国家相关法律法规执行。</w:t>
            </w:r>
          </w:p>
          <w:p>
            <w:pPr>
              <w:rPr>
                <w:rFonts w:hint="eastAsia"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hint="eastAsia"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采购代理机构代理服务费</w:t>
            </w:r>
          </w:p>
        </w:tc>
        <w:tc>
          <w:tcPr>
            <w:tcW w:w="6563" w:type="dxa"/>
            <w:noWrap w:val="0"/>
            <w:vAlign w:val="center"/>
          </w:tcPr>
          <w:p>
            <w:pPr>
              <w:spacing w:line="460" w:lineRule="exact"/>
              <w:rPr>
                <w:rFonts w:hint="eastAsia"/>
                <w:szCs w:val="21"/>
              </w:rPr>
            </w:pPr>
            <w:r>
              <w:rPr>
                <w:rFonts w:hint="eastAsia"/>
                <w:szCs w:val="21"/>
              </w:rPr>
              <w:t>本项目收取代理服务费：</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采购代理机构代理服务费用收取标准：见《采购代理机构代理费用的收取标准》。</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支付方式：现金或转账。</w:t>
            </w:r>
          </w:p>
          <w:p>
            <w:pPr>
              <w:pStyle w:val="3"/>
              <w:rPr>
                <w:rFonts w:hint="eastAsia"/>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line="360" w:lineRule="auto"/>
        <w:ind w:firstLine="1928" w:firstLineChars="600"/>
        <w:jc w:val="both"/>
        <w:rPr>
          <w:rFonts w:hint="eastAsia" w:ascii="宋体" w:hAnsi="宋体" w:cs="宋体"/>
          <w:b/>
          <w:sz w:val="32"/>
        </w:rPr>
      </w:pPr>
      <w:bookmarkStart w:id="18" w:name="_Toc461962050"/>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5344160" cy="2764155"/>
            <wp:effectExtent l="0" t="0" r="8890" b="17145"/>
            <wp:docPr id="2" name="图片 3"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0160907135837504"/>
                    <pic:cNvPicPr>
                      <a:picLocks noChangeAspect="1"/>
                    </pic:cNvPicPr>
                  </pic:nvPicPr>
                  <pic:blipFill>
                    <a:blip r:embed="rId22"/>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100万元×1.5%=1.5万元</w:t>
      </w:r>
    </w:p>
    <w:p>
      <w:pPr>
        <w:autoSpaceDN w:val="0"/>
        <w:spacing w:before="75" w:after="75" w:line="360" w:lineRule="auto"/>
        <w:rPr>
          <w:rFonts w:hint="eastAsia" w:ascii="宋体" w:hAnsi="宋体" w:cs="宋体"/>
          <w:szCs w:val="21"/>
        </w:rPr>
      </w:pPr>
      <w:r>
        <w:rPr>
          <w:rFonts w:hint="eastAsia" w:ascii="宋体" w:hAnsi="宋体" w:cs="宋体"/>
          <w:szCs w:val="21"/>
        </w:rPr>
        <w:t>（500-100）万元×1.1%=4.4万元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合计收费=1.5+4.4=5.9万元</w:t>
      </w:r>
    </w:p>
    <w:p>
      <w:pPr>
        <w:pStyle w:val="26"/>
        <w:rPr>
          <w:rFonts w:hint="eastAsia" w:cs="宋体"/>
          <w:b/>
          <w:sz w:val="24"/>
          <w:szCs w:val="24"/>
        </w:rPr>
        <w:sectPr>
          <w:pgSz w:w="11906" w:h="16838"/>
          <w:pgMar w:top="1134" w:right="1134" w:bottom="1134" w:left="1474" w:header="851" w:footer="510" w:gutter="0"/>
          <w:cols w:space="720" w:num="1"/>
          <w:docGrid w:type="lines" w:linePitch="312" w:charSpace="0"/>
        </w:sectPr>
      </w:pPr>
    </w:p>
    <w:bookmarkEnd w:id="18"/>
    <w:p>
      <w:pPr>
        <w:pStyle w:val="10"/>
        <w:spacing w:line="440" w:lineRule="exact"/>
        <w:jc w:val="center"/>
        <w:rPr>
          <w:rFonts w:hint="eastAsia" w:ascii="宋体" w:hAnsi="宋体" w:eastAsia="宋体" w:cs="宋体"/>
        </w:rPr>
      </w:pPr>
      <w:bookmarkStart w:id="19" w:name="_Toc26492"/>
      <w:bookmarkStart w:id="20" w:name="_Toc490161260"/>
      <w:bookmarkStart w:id="21" w:name="_Toc477423243"/>
      <w:bookmarkStart w:id="22" w:name="_Toc2200"/>
      <w:bookmarkStart w:id="23" w:name="_Toc373230023"/>
      <w:bookmarkStart w:id="24" w:name="_Toc461962051"/>
      <w:bookmarkStart w:id="25" w:name="_Toc374512410"/>
      <w:bookmarkStart w:id="26" w:name="_Toc487805903"/>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7"/>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7"/>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8"/>
        </w:numPr>
        <w:spacing w:line="440" w:lineRule="exact"/>
        <w:rPr>
          <w:rFonts w:hint="eastAsia" w:ascii="宋体" w:hAnsi="宋体" w:cs="宋体"/>
          <w:szCs w:val="21"/>
        </w:rPr>
      </w:pPr>
      <w:r>
        <w:rPr>
          <w:rFonts w:hint="eastAsia" w:ascii="宋体" w:hAnsi="宋体" w:cs="宋体"/>
          <w:szCs w:val="21"/>
        </w:rPr>
        <w:t>“采购人” 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8"/>
        </w:numPr>
        <w:tabs>
          <w:tab w:val="left" w:pos="0"/>
          <w:tab w:val="clear" w:pos="839"/>
        </w:tabs>
        <w:spacing w:line="440" w:lineRule="exact"/>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8"/>
        </w:numPr>
        <w:spacing w:line="440" w:lineRule="exact"/>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8"/>
        </w:numPr>
        <w:spacing w:line="44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8"/>
        </w:numPr>
        <w:spacing w:line="44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8"/>
        </w:numPr>
        <w:spacing w:line="440" w:lineRule="exact"/>
        <w:rPr>
          <w:rFonts w:hint="eastAsia" w:ascii="宋体" w:hAnsi="宋体" w:cs="宋体"/>
          <w:szCs w:val="21"/>
        </w:rPr>
      </w:pPr>
      <w:r>
        <w:rPr>
          <w:rFonts w:hint="eastAsia" w:ascii="宋体" w:hAnsi="宋体" w:cs="宋体"/>
          <w:szCs w:val="21"/>
        </w:rPr>
        <w:t>“原公告发布媒体”是指《中国招标投标公共服务平台》、《河南省政府采购网》、《河南省电子招标投标公共服务平台》、《焦作市公共资源交易中心网》、</w:t>
      </w:r>
      <w:r>
        <w:rPr>
          <w:rFonts w:hint="eastAsia" w:ascii="宋体" w:hAnsi="宋体" w:cs="宋体"/>
          <w:sz w:val="24"/>
          <w:szCs w:val="24"/>
        </w:rPr>
        <w:t>《河南省公共资源交易公共服务平台》、</w:t>
      </w:r>
      <w:r>
        <w:rPr>
          <w:rFonts w:hint="eastAsia" w:ascii="宋体" w:hAnsi="宋体" w:cs="宋体"/>
          <w:szCs w:val="21"/>
        </w:rPr>
        <w:t>《武陟县公共资源交易中心网》。</w:t>
      </w:r>
    </w:p>
    <w:p>
      <w:pPr>
        <w:numPr>
          <w:ilvl w:val="0"/>
          <w:numId w:val="8"/>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8"/>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7"/>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7"/>
        <w:spacing w:line="440" w:lineRule="exact"/>
        <w:ind w:firstLine="420" w:firstLineChars="200"/>
        <w:rPr>
          <w:rFonts w:hint="eastAsia"/>
          <w:sz w:val="21"/>
          <w:szCs w:val="21"/>
        </w:rPr>
      </w:pPr>
      <w:r>
        <w:rPr>
          <w:rFonts w:hint="eastAsia"/>
          <w:sz w:val="21"/>
          <w:szCs w:val="21"/>
        </w:rPr>
        <w:t>3.1.1.具有有效的“设立登记证书”；</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7"/>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7"/>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9"/>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7"/>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7"/>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10"/>
        <w:spacing w:line="440" w:lineRule="exact"/>
        <w:jc w:val="center"/>
        <w:rPr>
          <w:rFonts w:hint="eastAsia" w:ascii="宋体" w:hAnsi="宋体" w:eastAsia="宋体" w:cs="宋体"/>
          <w:sz w:val="21"/>
          <w:szCs w:val="21"/>
        </w:rPr>
      </w:pPr>
      <w:bookmarkStart w:id="27" w:name="_Toc487805904"/>
      <w:bookmarkStart w:id="28" w:name="_Toc23018"/>
      <w:bookmarkStart w:id="29" w:name="_Toc490161261"/>
      <w:bookmarkStart w:id="30" w:name="_Toc461962052"/>
      <w:bookmarkStart w:id="31" w:name="_Toc477423244"/>
      <w:bookmarkStart w:id="32" w:name="_Toc373230024"/>
      <w:bookmarkStart w:id="33" w:name="_Toc374512411"/>
      <w:bookmarkStart w:id="34" w:name="_Toc12084"/>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7"/>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10"/>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7"/>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7"/>
        </w:numPr>
        <w:spacing w:line="440" w:lineRule="exact"/>
        <w:rPr>
          <w:rFonts w:ascii="宋体" w:hAnsi="宋体" w:cs="宋体"/>
          <w:b/>
          <w:szCs w:val="21"/>
        </w:rPr>
      </w:pPr>
      <w:r>
        <w:rPr>
          <w:rFonts w:hint="eastAsia" w:ascii="宋体" w:hAnsi="宋体" w:cs="宋体"/>
          <w:b/>
          <w:szCs w:val="21"/>
        </w:rPr>
        <w:t>磋商文件的约束力</w:t>
      </w:r>
    </w:p>
    <w:p>
      <w:pPr>
        <w:pStyle w:val="4"/>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4"/>
      </w:pPr>
    </w:p>
    <w:p>
      <w:pPr>
        <w:pStyle w:val="10"/>
        <w:numPr>
          <w:ilvl w:val="0"/>
          <w:numId w:val="12"/>
        </w:numPr>
        <w:spacing w:line="440" w:lineRule="exact"/>
        <w:jc w:val="center"/>
        <w:rPr>
          <w:rFonts w:hint="eastAsia" w:ascii="宋体" w:hAnsi="宋体" w:eastAsia="宋体" w:cs="宋体"/>
          <w:sz w:val="21"/>
          <w:szCs w:val="21"/>
        </w:rPr>
      </w:pPr>
      <w:bookmarkStart w:id="35" w:name="_Toc373230025"/>
      <w:bookmarkStart w:id="36" w:name="_Toc487805905"/>
      <w:bookmarkStart w:id="37" w:name="_Toc26181"/>
      <w:bookmarkStart w:id="38" w:name="_Toc477423245"/>
      <w:bookmarkStart w:id="39" w:name="_Toc6048"/>
      <w:bookmarkStart w:id="40" w:name="_Toc490161262"/>
      <w:bookmarkStart w:id="41" w:name="_Toc461962053"/>
      <w:bookmarkStart w:id="42" w:name="_Toc374512412"/>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7"/>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420"/>
        <w:rPr>
          <w:rFonts w:hint="eastAsia"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spacing w:line="500" w:lineRule="exact"/>
        <w:rPr>
          <w:rFonts w:hint="eastAsia" w:ascii="宋体" w:hAnsi="宋体" w:cs="宋体"/>
          <w:szCs w:val="21"/>
        </w:rPr>
      </w:pPr>
      <w:r>
        <w:rPr>
          <w:rFonts w:hint="eastAsia" w:ascii="宋体" w:hAnsi="宋体" w:cs="宋体"/>
          <w:szCs w:val="21"/>
        </w:rPr>
        <w:t>件。</w:t>
      </w:r>
    </w:p>
    <w:p>
      <w:pPr>
        <w:spacing w:line="500" w:lineRule="exact"/>
        <w:ind w:left="42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hint="eastAsia"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hint="eastAsia"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hint="eastAsia"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rPr>
          <w:rFonts w:hint="eastAsia"/>
        </w:rPr>
      </w:pPr>
      <w:r>
        <w:rPr>
          <w:rFonts w:hint="eastAsia" w:ascii="宋体" w:hAnsi="宋体" w:cs="宋体"/>
          <w:szCs w:val="21"/>
        </w:rPr>
        <w:t>容。</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7"/>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54"/>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7"/>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7"/>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7"/>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10"/>
        <w:spacing w:line="440" w:lineRule="exact"/>
        <w:jc w:val="center"/>
        <w:rPr>
          <w:rFonts w:hint="eastAsia" w:ascii="宋体" w:hAnsi="宋体" w:eastAsia="宋体" w:cs="宋体"/>
          <w:sz w:val="21"/>
          <w:szCs w:val="21"/>
        </w:rPr>
      </w:pPr>
      <w:bookmarkStart w:id="43" w:name="_Toc487805906"/>
      <w:bookmarkStart w:id="44" w:name="_Toc10798"/>
      <w:bookmarkStart w:id="45" w:name="_Toc27919"/>
      <w:bookmarkStart w:id="46" w:name="_Toc461962054"/>
      <w:bookmarkStart w:id="47" w:name="_Toc373230026"/>
      <w:bookmarkStart w:id="48" w:name="_Toc374512413"/>
      <w:bookmarkStart w:id="49" w:name="_Toc477423246"/>
      <w:bookmarkStart w:id="50" w:name="_Toc490161263"/>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7"/>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left="42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7"/>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7"/>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10"/>
        <w:spacing w:line="440" w:lineRule="exact"/>
        <w:jc w:val="center"/>
        <w:rPr>
          <w:rFonts w:hint="eastAsia" w:ascii="宋体" w:hAnsi="宋体" w:eastAsia="宋体" w:cs="宋体"/>
          <w:sz w:val="21"/>
          <w:szCs w:val="21"/>
        </w:rPr>
      </w:pPr>
      <w:bookmarkStart w:id="51" w:name="_Toc373230027"/>
      <w:bookmarkStart w:id="52" w:name="_Toc217235123"/>
      <w:bookmarkStart w:id="53" w:name="_Toc374512414"/>
      <w:bookmarkStart w:id="54" w:name="_Toc461962055"/>
      <w:bookmarkStart w:id="55" w:name="_Toc487805907"/>
      <w:bookmarkStart w:id="56" w:name="_Toc490161264"/>
      <w:bookmarkStart w:id="57" w:name="_Toc9653"/>
      <w:bookmarkStart w:id="58" w:name="_Toc6236"/>
      <w:bookmarkStart w:id="59" w:name="_Toc477423247"/>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7"/>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7"/>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7"/>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磋商小组</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7"/>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numPr>
          <w:ilvl w:val="0"/>
          <w:numId w:val="13"/>
        </w:numPr>
        <w:spacing w:line="440" w:lineRule="exact"/>
        <w:rPr>
          <w:rFonts w:hint="eastAsia" w:ascii="宋体" w:hAnsi="宋体" w:cs="宋体"/>
          <w:szCs w:val="21"/>
        </w:rPr>
      </w:pPr>
      <w:r>
        <w:rPr>
          <w:rFonts w:hint="eastAsia" w:ascii="宋体" w:hAnsi="宋体" w:cs="宋体"/>
          <w:szCs w:val="21"/>
        </w:rPr>
        <w:t>第一轮报价超过磋商文件中规定的项目预算金额的；</w:t>
      </w:r>
    </w:p>
    <w:p>
      <w:pPr>
        <w:numPr>
          <w:ilvl w:val="0"/>
          <w:numId w:val="13"/>
        </w:numPr>
        <w:spacing w:line="440" w:lineRule="exact"/>
        <w:rPr>
          <w:rFonts w:hint="eastAsia" w:ascii="宋体" w:hAnsi="宋体" w:cs="宋体"/>
          <w:szCs w:val="21"/>
        </w:rPr>
      </w:pPr>
      <w:r>
        <w:rPr>
          <w:rFonts w:hint="eastAsia" w:ascii="宋体" w:hAnsi="宋体" w:cs="宋体"/>
          <w:szCs w:val="21"/>
        </w:rPr>
        <w:t>响应文件未按磋商文件要求签字、盖章的；</w:t>
      </w:r>
    </w:p>
    <w:p>
      <w:pPr>
        <w:numPr>
          <w:ilvl w:val="0"/>
          <w:numId w:val="13"/>
        </w:numPr>
        <w:spacing w:line="440" w:lineRule="exact"/>
        <w:rPr>
          <w:rFonts w:hint="eastAsia" w:ascii="宋体" w:hAnsi="宋体" w:cs="宋体"/>
          <w:szCs w:val="21"/>
        </w:rPr>
      </w:pPr>
      <w:r>
        <w:rPr>
          <w:rFonts w:hint="eastAsia" w:ascii="宋体" w:hAnsi="宋体" w:cs="宋体"/>
          <w:szCs w:val="21"/>
        </w:rPr>
        <w:t>响应文件格式不符合磋商文件中响应文件格式要求的；</w:t>
      </w:r>
    </w:p>
    <w:p>
      <w:pPr>
        <w:numPr>
          <w:ilvl w:val="0"/>
          <w:numId w:val="13"/>
        </w:numPr>
        <w:spacing w:line="440" w:lineRule="exact"/>
        <w:rPr>
          <w:rFonts w:hint="default" w:eastAsia="宋体"/>
          <w:lang w:val="en-US" w:eastAsia="zh-CN"/>
        </w:rPr>
      </w:pPr>
      <w:r>
        <w:rPr>
          <w:rFonts w:hint="eastAsia" w:ascii="宋体" w:hAnsi="宋体" w:cs="宋体"/>
          <w:szCs w:val="21"/>
        </w:rPr>
        <w:t>不响应磋商文件商务要求的；</w:t>
      </w:r>
    </w:p>
    <w:p>
      <w:pPr>
        <w:numPr>
          <w:ilvl w:val="0"/>
          <w:numId w:val="13"/>
        </w:numPr>
        <w:spacing w:line="440" w:lineRule="exact"/>
        <w:rPr>
          <w:rFonts w:hint="eastAsia" w:ascii="宋体" w:hAnsi="宋体" w:cs="宋体"/>
          <w:szCs w:val="21"/>
        </w:rPr>
      </w:pPr>
      <w:r>
        <w:rPr>
          <w:rFonts w:hint="eastAsia" w:ascii="宋体" w:hAnsi="宋体" w:cs="宋体"/>
          <w:szCs w:val="21"/>
        </w:rPr>
        <w:t>响应文件含有采购人不能接受的附加条件的；</w:t>
      </w:r>
    </w:p>
    <w:p>
      <w:pPr>
        <w:numPr>
          <w:ilvl w:val="0"/>
          <w:numId w:val="13"/>
        </w:numPr>
        <w:spacing w:line="440" w:lineRule="exact"/>
        <w:rPr>
          <w:rFonts w:hint="eastAsia" w:ascii="宋体" w:hAnsi="宋体" w:cs="宋体"/>
          <w:szCs w:val="21"/>
        </w:rPr>
      </w:pPr>
      <w:r>
        <w:rPr>
          <w:rFonts w:hint="eastAsia" w:ascii="宋体" w:hAnsi="宋体" w:cs="宋体"/>
          <w:szCs w:val="21"/>
        </w:rPr>
        <w:t>法律、法规和磋商文件规定的其他无效情形。</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23.3一个供应商不止递交一套同一合同项下响应文件的。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7"/>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4"/>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4"/>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4"/>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7"/>
        </w:numPr>
        <w:spacing w:line="440" w:lineRule="exact"/>
        <w:rPr>
          <w:rFonts w:hint="eastAsia" w:ascii="宋体" w:hAnsi="宋体" w:cs="宋体"/>
          <w:b/>
          <w:szCs w:val="21"/>
        </w:rPr>
      </w:pPr>
      <w:bookmarkStart w:id="60" w:name="_Toc374512415"/>
      <w:bookmarkStart w:id="61" w:name="_Toc373230028"/>
      <w:r>
        <w:rPr>
          <w:rFonts w:hint="eastAsia" w:ascii="宋体" w:hAnsi="宋体" w:cs="宋体"/>
          <w:b/>
          <w:szCs w:val="21"/>
        </w:rPr>
        <w:t>评审方法</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7"/>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7"/>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7"/>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7"/>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5"/>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5"/>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5"/>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10"/>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4" w:name="_Toc490161265"/>
      <w:bookmarkStart w:id="65" w:name="_Toc487805908"/>
      <w:bookmarkStart w:id="66" w:name="_Toc5841"/>
      <w:bookmarkStart w:id="67" w:name="_Toc477423248"/>
      <w:bookmarkStart w:id="68" w:name="_Toc19608"/>
      <w:r>
        <w:rPr>
          <w:rFonts w:hint="eastAsia" w:ascii="宋体" w:hAnsi="宋体" w:eastAsia="宋体" w:cs="宋体"/>
          <w:sz w:val="21"/>
          <w:szCs w:val="21"/>
        </w:rPr>
        <w:t>六、成交和合同</w:t>
      </w:r>
      <w:bookmarkEnd w:id="64"/>
      <w:bookmarkEnd w:id="65"/>
      <w:bookmarkEnd w:id="66"/>
      <w:bookmarkEnd w:id="67"/>
      <w:bookmarkEnd w:id="68"/>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7"/>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7"/>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7"/>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7"/>
        </w:numPr>
        <w:spacing w:line="440" w:lineRule="exact"/>
        <w:ind w:left="283" w:firstLine="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7"/>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3"/>
        <w:tabs>
          <w:tab w:val="left" w:pos="0"/>
        </w:tabs>
        <w:spacing w:line="400" w:lineRule="exact"/>
        <w:ind w:left="42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3"/>
        <w:tabs>
          <w:tab w:val="left" w:pos="0"/>
        </w:tabs>
        <w:spacing w:line="400" w:lineRule="exact"/>
        <w:rPr>
          <w:rFonts w:hint="eastAsia" w:ascii="宋体" w:hAnsi="宋体" w:cs="宋体"/>
          <w:szCs w:val="21"/>
        </w:rPr>
      </w:pPr>
      <w:r>
        <w:rPr>
          <w:rFonts w:hint="eastAsia" w:ascii="宋体" w:hAnsi="宋体" w:cs="宋体"/>
          <w:szCs w:val="21"/>
        </w:rPr>
        <w:t>其规定），签订政府采购合同。</w:t>
      </w:r>
    </w:p>
    <w:p>
      <w:pPr>
        <w:pStyle w:val="3"/>
        <w:tabs>
          <w:tab w:val="left" w:pos="0"/>
        </w:tabs>
        <w:spacing w:line="400" w:lineRule="exact"/>
        <w:ind w:left="42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3"/>
        <w:tabs>
          <w:tab w:val="left" w:pos="0"/>
        </w:tabs>
        <w:spacing w:line="400" w:lineRule="exact"/>
        <w:rPr>
          <w:rFonts w:hint="eastAsia"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3"/>
        <w:tabs>
          <w:tab w:val="left" w:pos="0"/>
        </w:tabs>
        <w:spacing w:line="400" w:lineRule="exact"/>
        <w:ind w:left="42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3"/>
        <w:tabs>
          <w:tab w:val="left" w:pos="0"/>
        </w:tabs>
        <w:spacing w:line="400" w:lineRule="exact"/>
        <w:rPr>
          <w:rFonts w:hint="eastAsia" w:ascii="宋体" w:hAnsi="宋体" w:cs="宋体"/>
          <w:szCs w:val="21"/>
        </w:rPr>
      </w:pPr>
      <w:r>
        <w:rPr>
          <w:rFonts w:hint="eastAsia" w:ascii="宋体" w:hAnsi="宋体" w:cs="宋体"/>
          <w:szCs w:val="21"/>
        </w:rPr>
        <w:t>县政府采购管理办公室备案；</w:t>
      </w:r>
    </w:p>
    <w:p>
      <w:pPr>
        <w:pStyle w:val="3"/>
        <w:tabs>
          <w:tab w:val="left" w:pos="0"/>
        </w:tabs>
        <w:spacing w:line="400" w:lineRule="exact"/>
        <w:ind w:left="420"/>
        <w:rPr>
          <w:rFonts w:hint="eastAsia"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3"/>
        <w:tabs>
          <w:tab w:val="left" w:pos="0"/>
        </w:tabs>
        <w:spacing w:line="400" w:lineRule="exact"/>
        <w:rPr>
          <w:rFonts w:hint="eastAsia" w:ascii="宋体" w:hAnsi="宋体" w:cs="宋体"/>
          <w:szCs w:val="21"/>
        </w:rPr>
      </w:pPr>
      <w:r>
        <w:rPr>
          <w:rFonts w:hint="eastAsia" w:ascii="宋体" w:hAnsi="宋体" w:cs="宋体"/>
          <w:szCs w:val="21"/>
        </w:rPr>
        <w:t>法律法规中的规定执行。</w:t>
      </w:r>
    </w:p>
    <w:p>
      <w:pPr>
        <w:pStyle w:val="3"/>
        <w:tabs>
          <w:tab w:val="left" w:pos="0"/>
        </w:tabs>
        <w:spacing w:line="400" w:lineRule="exact"/>
        <w:ind w:left="42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3"/>
        <w:tabs>
          <w:tab w:val="left" w:pos="0"/>
        </w:tabs>
        <w:spacing w:line="400" w:lineRule="exact"/>
        <w:rPr>
          <w:rFonts w:hint="eastAsia"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7"/>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7"/>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7"/>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cs="宋体"/>
          <w:szCs w:val="21"/>
        </w:rPr>
        <w:t>（2）采购人名称：</w:t>
      </w:r>
      <w:r>
        <w:rPr>
          <w:rFonts w:hint="eastAsia" w:ascii="宋体" w:hAnsi="宋体" w:cs="宋体"/>
          <w:szCs w:val="21"/>
          <w:lang w:eastAsia="zh-CN"/>
        </w:rPr>
        <w:t xml:space="preserve">武陟县西陶镇人民政府 </w:t>
      </w:r>
    </w:p>
    <w:p>
      <w:pPr>
        <w:spacing w:line="440" w:lineRule="exact"/>
        <w:ind w:left="284" w:firstLine="210" w:firstLineChars="100"/>
        <w:rPr>
          <w:rFonts w:hint="eastAsia" w:ascii="宋体" w:hAnsi="宋体" w:cs="宋体"/>
          <w:szCs w:val="21"/>
        </w:rPr>
      </w:pPr>
      <w:r>
        <w:rPr>
          <w:rFonts w:hint="eastAsia" w:ascii="宋体" w:hAnsi="宋体" w:cs="宋体"/>
          <w:szCs w:val="21"/>
        </w:rPr>
        <w:t>地点：</w:t>
      </w:r>
      <w:r>
        <w:rPr>
          <w:rFonts w:hint="eastAsia" w:ascii="宋体" w:hAnsi="宋体" w:cs="宋体"/>
          <w:szCs w:val="21"/>
          <w:lang w:eastAsia="zh-CN"/>
        </w:rPr>
        <w:t xml:space="preserve">焦作市武陟县西陶镇中心大街 </w:t>
      </w:r>
    </w:p>
    <w:p>
      <w:pPr>
        <w:spacing w:line="440" w:lineRule="exact"/>
        <w:ind w:left="283" w:leftChars="135" w:firstLine="210" w:firstLineChars="100"/>
        <w:rPr>
          <w:rFonts w:hint="default" w:ascii="宋体" w:hAnsi="宋体" w:eastAsia="宋体" w:cs="宋体"/>
          <w:szCs w:val="21"/>
          <w:lang w:val="en-US" w:eastAsia="zh-CN"/>
        </w:rPr>
      </w:pPr>
      <w:r>
        <w:rPr>
          <w:rFonts w:hint="eastAsia" w:ascii="宋体" w:hAnsi="宋体" w:cs="宋体"/>
          <w:szCs w:val="21"/>
        </w:rPr>
        <w:t>联系人 ：</w:t>
      </w:r>
      <w:r>
        <w:rPr>
          <w:rFonts w:hint="eastAsia" w:ascii="宋体" w:hAnsi="宋体" w:cs="宋体"/>
          <w:szCs w:val="21"/>
          <w:lang w:eastAsia="zh-CN"/>
        </w:rPr>
        <w:t>杜建庄</w:t>
      </w:r>
      <w:r>
        <w:rPr>
          <w:rFonts w:hint="eastAsia" w:ascii="宋体" w:hAnsi="宋体" w:cs="宋体"/>
          <w:szCs w:val="21"/>
        </w:rPr>
        <w:t xml:space="preserve">   联系电话：</w:t>
      </w:r>
      <w:r>
        <w:rPr>
          <w:rFonts w:hint="eastAsia" w:ascii="宋体" w:hAnsi="宋体" w:cs="宋体"/>
          <w:szCs w:val="21"/>
          <w:lang w:val="en-US" w:eastAsia="zh-CN"/>
        </w:rPr>
        <w:t>13569164555</w:t>
      </w:r>
    </w:p>
    <w:p>
      <w:pPr>
        <w:spacing w:line="440" w:lineRule="exact"/>
        <w:ind w:left="284"/>
        <w:rPr>
          <w:rFonts w:hint="eastAsia" w:ascii="宋体" w:hAnsi="宋体" w:eastAsia="宋体" w:cs="宋体"/>
          <w:szCs w:val="21"/>
          <w:lang w:eastAsia="zh-CN"/>
        </w:rPr>
      </w:pPr>
      <w:r>
        <w:rPr>
          <w:rFonts w:hint="eastAsia" w:ascii="宋体" w:hAnsi="宋体" w:cs="宋体"/>
          <w:szCs w:val="21"/>
        </w:rPr>
        <w:t>（3）采购代理机构名称：</w:t>
      </w:r>
      <w:r>
        <w:rPr>
          <w:rFonts w:hint="eastAsia" w:ascii="宋体" w:hAnsi="宋体" w:cs="宋体"/>
          <w:szCs w:val="21"/>
          <w:lang w:eastAsia="zh-CN"/>
        </w:rPr>
        <w:t>河南地天泰工程咨询有限公司</w:t>
      </w:r>
    </w:p>
    <w:p>
      <w:pPr>
        <w:spacing w:line="440" w:lineRule="exact"/>
        <w:ind w:left="284" w:firstLine="210" w:firstLineChars="1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cs="宋体"/>
          <w:szCs w:val="21"/>
          <w:lang w:eastAsia="zh-CN"/>
        </w:rPr>
        <w:t>河南省郑州市金水区国基路7号3号楼A座5层501室</w:t>
      </w:r>
    </w:p>
    <w:p>
      <w:pPr>
        <w:spacing w:line="440" w:lineRule="exact"/>
        <w:ind w:left="284" w:firstLine="210" w:firstLineChars="1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罗佳敏</w:t>
      </w:r>
      <w:r>
        <w:rPr>
          <w:rFonts w:hint="eastAsia" w:ascii="宋体" w:hAnsi="宋体" w:cs="宋体"/>
          <w:szCs w:val="21"/>
        </w:rPr>
        <w:t xml:space="preserve">      联系电话：0391-7289803</w:t>
      </w:r>
    </w:p>
    <w:p>
      <w:pPr>
        <w:pStyle w:val="39"/>
        <w:rPr>
          <w:rFonts w:hint="eastAsia" w:ascii="宋体" w:hAnsi="宋体" w:cs="宋体"/>
          <w:szCs w:val="21"/>
        </w:rPr>
      </w:pPr>
    </w:p>
    <w:p>
      <w:pPr>
        <w:rPr>
          <w:rFonts w:hint="eastAsia" w:ascii="宋体" w:hAnsi="宋体" w:cs="宋体"/>
          <w:szCs w:val="21"/>
        </w:rPr>
      </w:pPr>
    </w:p>
    <w:p>
      <w:pPr>
        <w:pStyle w:val="39"/>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numPr>
          <w:ilvl w:val="0"/>
          <w:numId w:val="7"/>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39"/>
        <w:spacing w:line="440" w:lineRule="exact"/>
        <w:ind w:firstLine="420"/>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sectPr>
          <w:pgSz w:w="11906" w:h="16838"/>
          <w:pgMar w:top="1134" w:right="1134" w:bottom="1134" w:left="1474" w:header="851" w:footer="510" w:gutter="0"/>
          <w:cols w:space="720" w:num="1"/>
          <w:docGrid w:type="lines" w:linePitch="312" w:charSpace="0"/>
        </w:sectPr>
      </w:pPr>
      <w:bookmarkStart w:id="69" w:name="_Toc11289"/>
      <w:bookmarkStart w:id="70" w:name="_Toc8874"/>
      <w:bookmarkStart w:id="71" w:name="_Toc115021827"/>
      <w:bookmarkStart w:id="72" w:name="_Toc477423249"/>
      <w:bookmarkStart w:id="73" w:name="_Toc374512417"/>
      <w:bookmarkStart w:id="74" w:name="_Toc373230030"/>
    </w:p>
    <w:p>
      <w:pPr>
        <w:pStyle w:val="37"/>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hint="eastAsia"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hint="eastAsia"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hint="eastAsia"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40"/>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1"/>
        <w:gridCol w:w="1635"/>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971"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hAnsi="宋体" w:cs="宋体"/>
                <w:b/>
                <w:color w:val="auto"/>
                <w:spacing w:val="6"/>
                <w:kern w:val="2"/>
                <w:sz w:val="21"/>
                <w:szCs w:val="21"/>
              </w:rPr>
            </w:pPr>
            <w:bookmarkStart w:id="75" w:name="_Toc14171"/>
            <w:bookmarkStart w:id="76" w:name="_Toc487805909"/>
            <w:r>
              <w:rPr>
                <w:rFonts w:hint="eastAsia" w:hAnsi="宋体" w:cs="宋体"/>
                <w:b/>
                <w:color w:val="auto"/>
                <w:spacing w:val="6"/>
                <w:kern w:val="2"/>
                <w:sz w:val="21"/>
                <w:szCs w:val="21"/>
              </w:rPr>
              <w:t>序号</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hAnsi="宋体" w:cs="宋体"/>
                <w:b/>
                <w:color w:val="auto"/>
                <w:spacing w:val="6"/>
                <w:kern w:val="2"/>
                <w:sz w:val="21"/>
                <w:szCs w:val="21"/>
              </w:rPr>
            </w:pPr>
            <w:r>
              <w:rPr>
                <w:rFonts w:hint="eastAsia" w:hAnsi="宋体" w:cs="宋体"/>
                <w:b/>
                <w:color w:val="auto"/>
                <w:spacing w:val="6"/>
                <w:kern w:val="2"/>
                <w:sz w:val="21"/>
                <w:szCs w:val="21"/>
              </w:rPr>
              <w:t>评分因素</w:t>
            </w:r>
          </w:p>
        </w:tc>
        <w:tc>
          <w:tcPr>
            <w:tcW w:w="7340"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hAnsi="宋体" w:cs="宋体"/>
                <w:b/>
                <w:color w:val="auto"/>
                <w:spacing w:val="6"/>
                <w:kern w:val="2"/>
                <w:sz w:val="21"/>
                <w:szCs w:val="21"/>
              </w:rPr>
            </w:pPr>
            <w:r>
              <w:rPr>
                <w:rFonts w:hint="eastAsia" w:hAnsi="宋体" w:cs="宋体"/>
                <w:b/>
                <w:color w:val="auto"/>
                <w:spacing w:val="6"/>
                <w:kern w:val="2"/>
                <w:sz w:val="21"/>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971"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1</w:t>
            </w:r>
          </w:p>
        </w:tc>
        <w:tc>
          <w:tcPr>
            <w:tcW w:w="1635"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分值构成</w:t>
            </w:r>
          </w:p>
          <w:p>
            <w:pPr>
              <w:pStyle w:val="98"/>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（100分）</w:t>
            </w:r>
          </w:p>
        </w:tc>
        <w:tc>
          <w:tcPr>
            <w:tcW w:w="7340" w:type="dxa"/>
            <w:tcBorders>
              <w:top w:val="single" w:color="000000" w:sz="4" w:space="0"/>
              <w:left w:val="single" w:color="000000" w:sz="4" w:space="0"/>
              <w:bottom w:val="single" w:color="auto" w:sz="4" w:space="0"/>
              <w:right w:val="single" w:color="000000" w:sz="4" w:space="0"/>
            </w:tcBorders>
            <w:noWrap w:val="0"/>
            <w:vAlign w:val="center"/>
          </w:tcPr>
          <w:p>
            <w:pPr>
              <w:ind w:firstLine="2886" w:firstLineChars="1300"/>
              <w:rPr>
                <w:rFonts w:hint="eastAsia" w:ascii="宋体" w:hAnsi="宋体" w:cs="宋体"/>
                <w:bCs/>
                <w:spacing w:val="6"/>
                <w:szCs w:val="21"/>
              </w:rPr>
            </w:pPr>
            <w:r>
              <w:rPr>
                <w:rFonts w:hint="eastAsia" w:ascii="宋体" w:hAnsi="宋体" w:cs="宋体"/>
                <w:bCs/>
                <w:spacing w:val="6"/>
                <w:szCs w:val="21"/>
              </w:rPr>
              <w:t>报价部分：30分</w:t>
            </w:r>
          </w:p>
          <w:p>
            <w:pPr>
              <w:jc w:val="center"/>
              <w:rPr>
                <w:rFonts w:hint="eastAsia" w:ascii="宋体" w:hAnsi="宋体" w:cs="宋体"/>
                <w:bCs/>
                <w:spacing w:val="6"/>
                <w:szCs w:val="21"/>
              </w:rPr>
            </w:pPr>
            <w:r>
              <w:rPr>
                <w:rFonts w:hint="eastAsia" w:ascii="宋体" w:hAnsi="宋体" w:cs="宋体"/>
                <w:bCs/>
                <w:spacing w:val="6"/>
                <w:szCs w:val="21"/>
              </w:rPr>
              <w:t>技术部分：3</w:t>
            </w:r>
            <w:r>
              <w:rPr>
                <w:rFonts w:ascii="宋体" w:hAnsi="宋体" w:cs="宋体"/>
                <w:bCs/>
                <w:spacing w:val="6"/>
                <w:szCs w:val="21"/>
              </w:rPr>
              <w:t>0</w:t>
            </w:r>
            <w:r>
              <w:rPr>
                <w:rFonts w:hint="eastAsia" w:ascii="宋体" w:hAnsi="宋体" w:cs="宋体"/>
                <w:bCs/>
                <w:spacing w:val="6"/>
                <w:szCs w:val="21"/>
              </w:rPr>
              <w:t>分</w:t>
            </w:r>
          </w:p>
          <w:p>
            <w:pPr>
              <w:jc w:val="center"/>
              <w:rPr>
                <w:rFonts w:hint="eastAsia" w:ascii="宋体" w:hAnsi="宋体" w:cs="宋体"/>
                <w:bCs/>
                <w:spacing w:val="6"/>
                <w:szCs w:val="21"/>
              </w:rPr>
            </w:pPr>
            <w:r>
              <w:rPr>
                <w:rFonts w:hint="eastAsia" w:ascii="宋体" w:hAnsi="宋体" w:cs="宋体"/>
                <w:bCs/>
                <w:spacing w:val="6"/>
                <w:szCs w:val="21"/>
              </w:rPr>
              <w:t>商务部分：</w:t>
            </w:r>
            <w:r>
              <w:rPr>
                <w:rFonts w:ascii="宋体" w:hAnsi="宋体" w:cs="宋体"/>
                <w:bCs/>
                <w:spacing w:val="6"/>
                <w:szCs w:val="21"/>
              </w:rPr>
              <w:t>40</w:t>
            </w:r>
            <w:r>
              <w:rPr>
                <w:rFonts w:hint="eastAsia" w:ascii="宋体" w:hAnsi="宋体" w:cs="宋体"/>
                <w:bCs/>
                <w:spacing w:val="6"/>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2"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2</w:t>
            </w:r>
          </w:p>
          <w:p>
            <w:pPr>
              <w:jc w:val="center"/>
              <w:rPr>
                <w:rFonts w:hint="eastAsia" w:ascii="宋体" w:hAnsi="宋体" w:cs="宋体"/>
                <w:bCs/>
                <w:spacing w:val="6"/>
                <w:szCs w:val="21"/>
              </w:rPr>
            </w:pPr>
            <w:r>
              <w:rPr>
                <w:rFonts w:hint="eastAsia" w:ascii="宋体" w:hAnsi="宋体" w:cs="宋体"/>
                <w:bCs/>
                <w:spacing w:val="6"/>
                <w:szCs w:val="21"/>
              </w:rPr>
              <w:t>报价部分</w:t>
            </w:r>
          </w:p>
          <w:p>
            <w:pPr>
              <w:jc w:val="center"/>
              <w:rPr>
                <w:rFonts w:hint="eastAsia" w:ascii="宋体" w:hAnsi="宋体" w:cs="宋体"/>
                <w:bCs/>
                <w:spacing w:val="6"/>
                <w:szCs w:val="21"/>
              </w:rPr>
            </w:pPr>
            <w:r>
              <w:rPr>
                <w:rFonts w:hint="eastAsia" w:ascii="宋体" w:hAnsi="宋体" w:cs="宋体"/>
                <w:bCs/>
                <w:spacing w:val="6"/>
                <w:szCs w:val="21"/>
              </w:rPr>
              <w:t>（30分）</w:t>
            </w: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报价部分</w:t>
            </w:r>
          </w:p>
          <w:p>
            <w:pPr>
              <w:jc w:val="center"/>
              <w:rPr>
                <w:rFonts w:hint="eastAsia" w:ascii="宋体" w:hAnsi="宋体" w:cs="宋体"/>
                <w:bCs/>
                <w:spacing w:val="6"/>
                <w:szCs w:val="21"/>
              </w:rPr>
            </w:pPr>
            <w:r>
              <w:rPr>
                <w:rFonts w:hint="eastAsia" w:ascii="宋体" w:hAnsi="宋体" w:cs="宋体"/>
                <w:bCs/>
                <w:spacing w:val="6"/>
                <w:szCs w:val="21"/>
              </w:rPr>
              <w:t>（30分）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szCs w:val="21"/>
              </w:rPr>
            </w:pPr>
            <w:r>
              <w:rPr>
                <w:rFonts w:hint="eastAsia" w:ascii="宋体" w:hAnsi="宋体" w:cs="宋体"/>
                <w:szCs w:val="21"/>
              </w:rPr>
              <w:t>满足磋商文件要求且最后报价（节能产品</w:t>
            </w:r>
            <w:r>
              <w:rPr>
                <w:rFonts w:hint="eastAsia" w:ascii="宋体" w:hAnsi="宋体" w:cs="宋体"/>
                <w:szCs w:val="21"/>
                <w:lang w:eastAsia="zh-CN"/>
              </w:rPr>
              <w:t>、</w:t>
            </w:r>
            <w:r>
              <w:rPr>
                <w:rFonts w:hint="eastAsia" w:ascii="宋体" w:hAnsi="宋体" w:cs="宋体"/>
                <w:szCs w:val="21"/>
              </w:rPr>
              <w:t>环境标志产品</w:t>
            </w:r>
            <w:r>
              <w:rPr>
                <w:rFonts w:hint="eastAsia" w:ascii="宋体" w:hAnsi="宋体" w:cs="宋体"/>
                <w:szCs w:val="21"/>
                <w:lang w:eastAsia="zh-CN"/>
              </w:rPr>
              <w:t>的价格扣除，详见前附表</w:t>
            </w:r>
            <w:r>
              <w:rPr>
                <w:rFonts w:hint="eastAsia" w:ascii="宋体" w:hAnsi="宋体" w:cs="宋体"/>
                <w:szCs w:val="21"/>
              </w:rPr>
              <w:t>）最低的供应商的价格为磋商基准价，其价格分为满分。其他供应商的价格分统一按照下列公式计算：</w:t>
            </w:r>
          </w:p>
          <w:p>
            <w:pPr>
              <w:spacing w:line="400" w:lineRule="exact"/>
              <w:rPr>
                <w:rFonts w:hint="eastAsia" w:ascii="宋体" w:hAnsi="宋体" w:cs="宋体"/>
                <w:bCs/>
                <w:spacing w:val="6"/>
                <w:szCs w:val="21"/>
              </w:rPr>
            </w:pPr>
            <w:r>
              <w:rPr>
                <w:rFonts w:hint="eastAsia" w:ascii="宋体" w:hAnsi="宋体" w:cs="宋体"/>
                <w:szCs w:val="21"/>
              </w:rPr>
              <w:t>磋商报价得分=（磋商基准价/最后磋商报价）×30价格权值×100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3</w:t>
            </w:r>
          </w:p>
          <w:p>
            <w:pPr>
              <w:jc w:val="center"/>
              <w:rPr>
                <w:rFonts w:hint="eastAsia" w:ascii="宋体" w:hAnsi="宋体" w:cs="宋体"/>
                <w:bCs/>
                <w:spacing w:val="6"/>
                <w:szCs w:val="21"/>
              </w:rPr>
            </w:pPr>
            <w:r>
              <w:rPr>
                <w:rFonts w:hint="eastAsia" w:ascii="宋体" w:hAnsi="宋体" w:cs="宋体"/>
                <w:bCs/>
                <w:spacing w:val="6"/>
                <w:szCs w:val="21"/>
              </w:rPr>
              <w:t>技术部分</w:t>
            </w:r>
          </w:p>
          <w:p>
            <w:pPr>
              <w:jc w:val="center"/>
              <w:rPr>
                <w:rFonts w:hint="eastAsia" w:ascii="宋体" w:hAnsi="宋体" w:cs="宋体"/>
                <w:bCs/>
                <w:spacing w:val="6"/>
                <w:szCs w:val="21"/>
              </w:rPr>
            </w:pPr>
            <w:r>
              <w:rPr>
                <w:rFonts w:hint="eastAsia" w:ascii="宋体" w:hAnsi="宋体" w:cs="宋体"/>
                <w:bCs/>
                <w:spacing w:val="6"/>
                <w:szCs w:val="21"/>
              </w:rPr>
              <w:t>（3</w:t>
            </w:r>
            <w:r>
              <w:rPr>
                <w:rFonts w:ascii="宋体" w:hAnsi="宋体" w:cs="宋体"/>
                <w:bCs/>
                <w:spacing w:val="6"/>
                <w:szCs w:val="21"/>
              </w:rPr>
              <w:t>0</w:t>
            </w:r>
            <w:r>
              <w:rPr>
                <w:rFonts w:hint="eastAsia" w:ascii="宋体" w:hAnsi="宋体" w:cs="宋体"/>
                <w:bCs/>
                <w:spacing w:val="6"/>
                <w:szCs w:val="21"/>
              </w:rPr>
              <w:t>分）</w:t>
            </w:r>
          </w:p>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技术参数</w:t>
            </w:r>
          </w:p>
          <w:p>
            <w:pPr>
              <w:jc w:val="center"/>
              <w:rPr>
                <w:rFonts w:hint="eastAsia" w:ascii="宋体" w:hAnsi="宋体" w:cs="宋体"/>
                <w:bCs/>
                <w:spacing w:val="6"/>
                <w:szCs w:val="21"/>
              </w:rPr>
            </w:pPr>
            <w:r>
              <w:rPr>
                <w:rFonts w:hint="eastAsia" w:ascii="宋体" w:hAnsi="宋体" w:cs="宋体"/>
                <w:bCs/>
                <w:spacing w:val="6"/>
                <w:szCs w:val="21"/>
              </w:rPr>
              <w:t>（</w:t>
            </w:r>
            <w:r>
              <w:rPr>
                <w:rFonts w:hint="eastAsia" w:ascii="宋体" w:hAnsi="宋体" w:cs="宋体"/>
                <w:bCs/>
                <w:spacing w:val="6"/>
                <w:szCs w:val="21"/>
                <w:lang w:val="en-US" w:eastAsia="zh-CN"/>
              </w:rPr>
              <w:t>3</w:t>
            </w:r>
            <w:r>
              <w:rPr>
                <w:rFonts w:hint="eastAsia" w:ascii="宋体" w:hAnsi="宋体" w:cs="宋体"/>
                <w:bCs/>
                <w:color w:val="auto"/>
                <w:spacing w:val="6"/>
                <w:kern w:val="2"/>
                <w:sz w:val="21"/>
                <w:szCs w:val="21"/>
                <w:lang w:val="en-US" w:eastAsia="zh-CN" w:bidi="ar-SA"/>
              </w:rPr>
              <w:t>0</w:t>
            </w:r>
            <w:r>
              <w:rPr>
                <w:rFonts w:hint="eastAsia" w:ascii="宋体" w:hAnsi="宋体" w:cs="宋体"/>
                <w:bCs/>
                <w:spacing w:val="6"/>
                <w:szCs w:val="21"/>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cs="宋体"/>
                <w:bCs/>
                <w:spacing w:val="6"/>
                <w:szCs w:val="21"/>
              </w:rPr>
              <w:t>技术参数及要求：</w:t>
            </w:r>
          </w:p>
          <w:p>
            <w:pPr>
              <w:rPr>
                <w:rFonts w:ascii="宋体" w:hAnsi="宋体" w:cs="宋体"/>
                <w:bCs/>
                <w:spacing w:val="6"/>
                <w:szCs w:val="21"/>
              </w:rPr>
            </w:pPr>
            <w:r>
              <w:rPr>
                <w:rFonts w:hint="eastAsia" w:ascii="宋体" w:hAnsi="宋体" w:cs="宋体"/>
                <w:bCs/>
                <w:spacing w:val="6"/>
                <w:szCs w:val="21"/>
              </w:rPr>
              <w:t>供应商所投产品技术参数完全满足招标文件要求的得</w:t>
            </w:r>
            <w:r>
              <w:rPr>
                <w:rFonts w:hint="eastAsia" w:ascii="宋体" w:hAnsi="宋体" w:cs="宋体"/>
                <w:bCs/>
                <w:spacing w:val="6"/>
                <w:szCs w:val="21"/>
                <w:lang w:val="en-US" w:eastAsia="zh-CN"/>
              </w:rPr>
              <w:t>30</w:t>
            </w:r>
            <w:r>
              <w:rPr>
                <w:rFonts w:hint="eastAsia" w:ascii="宋体" w:hAnsi="宋体" w:cs="宋体"/>
                <w:bCs/>
                <w:spacing w:val="6"/>
                <w:szCs w:val="21"/>
              </w:rPr>
              <w:t>分；每有一项指标不满足扣</w:t>
            </w:r>
            <w:r>
              <w:rPr>
                <w:rFonts w:hint="eastAsia" w:ascii="宋体" w:hAnsi="宋体" w:cs="宋体"/>
                <w:bCs/>
                <w:spacing w:val="6"/>
                <w:szCs w:val="21"/>
                <w:lang w:val="en-US" w:eastAsia="zh-CN"/>
              </w:rPr>
              <w:t>3</w:t>
            </w:r>
            <w:r>
              <w:rPr>
                <w:rFonts w:hint="eastAsia" w:ascii="宋体" w:hAnsi="宋体" w:cs="宋体"/>
                <w:bCs/>
                <w:spacing w:val="6"/>
                <w:szCs w:val="21"/>
              </w:rPr>
              <w:t>分，技术参数分扣完为止。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jc w:val="center"/>
        </w:trPr>
        <w:tc>
          <w:tcPr>
            <w:tcW w:w="971" w:type="dxa"/>
            <w:vMerge w:val="restart"/>
            <w:tcBorders>
              <w:left w:val="single" w:color="auto" w:sz="4" w:space="0"/>
              <w:right w:val="single" w:color="auto" w:sz="4" w:space="0"/>
            </w:tcBorders>
            <w:noWrap w:val="0"/>
            <w:vAlign w:val="center"/>
          </w:tcPr>
          <w:p>
            <w:pPr>
              <w:jc w:val="center"/>
              <w:rPr>
                <w:rFonts w:ascii="宋体" w:hAnsi="宋体" w:cs="宋体"/>
                <w:bCs/>
                <w:spacing w:val="6"/>
                <w:szCs w:val="21"/>
              </w:rPr>
            </w:pPr>
            <w:r>
              <w:rPr>
                <w:rFonts w:ascii="宋体" w:hAnsi="宋体" w:cs="宋体"/>
                <w:bCs/>
                <w:spacing w:val="6"/>
                <w:szCs w:val="21"/>
              </w:rPr>
              <w:t>4</w:t>
            </w:r>
          </w:p>
          <w:p>
            <w:pPr>
              <w:jc w:val="center"/>
              <w:rPr>
                <w:rFonts w:hint="eastAsia" w:ascii="宋体" w:hAnsi="宋体" w:cs="宋体"/>
                <w:bCs/>
                <w:spacing w:val="6"/>
                <w:szCs w:val="21"/>
              </w:rPr>
            </w:pPr>
            <w:r>
              <w:rPr>
                <w:rFonts w:hint="eastAsia" w:ascii="宋体" w:hAnsi="宋体" w:cs="宋体"/>
                <w:bCs/>
                <w:spacing w:val="6"/>
                <w:szCs w:val="21"/>
              </w:rPr>
              <w:t>商务部分</w:t>
            </w:r>
          </w:p>
          <w:p>
            <w:pPr>
              <w:jc w:val="center"/>
              <w:rPr>
                <w:rFonts w:hint="eastAsia" w:ascii="宋体" w:hAnsi="宋体" w:cs="宋体"/>
                <w:bCs/>
                <w:spacing w:val="6"/>
                <w:szCs w:val="21"/>
              </w:rPr>
            </w:pPr>
            <w:r>
              <w:rPr>
                <w:rFonts w:hint="eastAsia" w:ascii="宋体" w:hAnsi="宋体" w:cs="宋体"/>
                <w:bCs/>
                <w:spacing w:val="6"/>
                <w:szCs w:val="21"/>
              </w:rPr>
              <w:t>（4</w:t>
            </w:r>
            <w:r>
              <w:rPr>
                <w:rFonts w:ascii="宋体" w:hAnsi="宋体" w:cs="宋体"/>
                <w:bCs/>
                <w:spacing w:val="6"/>
                <w:szCs w:val="21"/>
              </w:rPr>
              <w:t>0</w:t>
            </w:r>
            <w:r>
              <w:rPr>
                <w:rFonts w:hint="eastAsia" w:ascii="宋体" w:hAnsi="宋体" w:cs="宋体"/>
                <w:bCs/>
                <w:spacing w:val="6"/>
                <w:szCs w:val="21"/>
              </w:rPr>
              <w:t>分）</w:t>
            </w:r>
          </w:p>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Cs w:val="21"/>
              </w:rPr>
            </w:pPr>
            <w:r>
              <w:rPr>
                <w:rFonts w:hint="eastAsia" w:ascii="宋体" w:hAnsi="宋体" w:eastAsia="宋体" w:cs="宋体"/>
                <w:bCs/>
                <w:spacing w:val="6"/>
                <w:szCs w:val="21"/>
              </w:rPr>
              <w:t>企业实力</w:t>
            </w:r>
          </w:p>
          <w:p>
            <w:pPr>
              <w:jc w:val="center"/>
              <w:rPr>
                <w:rFonts w:hint="eastAsia" w:ascii="宋体" w:hAnsi="宋体" w:cs="宋体"/>
                <w:bCs/>
                <w:spacing w:val="6"/>
                <w:szCs w:val="21"/>
              </w:rPr>
            </w:pPr>
            <w:r>
              <w:rPr>
                <w:rFonts w:hint="eastAsia" w:ascii="宋体" w:hAnsi="宋体" w:eastAsia="宋体" w:cs="宋体"/>
                <w:bCs/>
                <w:spacing w:val="6"/>
                <w:szCs w:val="21"/>
              </w:rPr>
              <w:t>（18分）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eastAsia="宋体" w:cs="宋体"/>
                <w:szCs w:val="21"/>
              </w:rPr>
              <w:t>供应商具有有效期内的质量管理体系认证证书、环境管理体系认证证书、职业健安全管理体系认证证书，每提供一项得</w:t>
            </w:r>
            <w:r>
              <w:rPr>
                <w:rFonts w:hint="eastAsia" w:ascii="宋体" w:hAnsi="宋体" w:eastAsia="宋体" w:cs="宋体"/>
                <w:szCs w:val="21"/>
                <w:lang w:val="en-US" w:eastAsia="zh-CN"/>
              </w:rPr>
              <w:t>6</w:t>
            </w:r>
            <w:r>
              <w:rPr>
                <w:rFonts w:hint="eastAsia" w:ascii="宋体" w:hAnsi="宋体" w:eastAsia="宋体" w:cs="宋体"/>
                <w:szCs w:val="21"/>
              </w:rPr>
              <w:t>分，本项最多得</w:t>
            </w:r>
            <w:r>
              <w:rPr>
                <w:rFonts w:hint="eastAsia" w:ascii="宋体" w:hAnsi="宋体" w:eastAsia="宋体" w:cs="宋体"/>
                <w:szCs w:val="21"/>
                <w:lang w:val="en-US" w:eastAsia="zh-CN"/>
              </w:rPr>
              <w:t>18</w:t>
            </w:r>
            <w:r>
              <w:rPr>
                <w:rFonts w:hint="eastAsia" w:ascii="宋体" w:hAnsi="宋体" w:eastAsia="宋体" w:cs="宋体"/>
                <w:szCs w:val="21"/>
              </w:rPr>
              <w:t>分（</w:t>
            </w:r>
            <w:r>
              <w:rPr>
                <w:rFonts w:hint="eastAsia" w:ascii="宋体" w:hAnsi="宋体" w:eastAsia="宋体" w:cs="宋体"/>
                <w:b/>
                <w:bCs/>
                <w:szCs w:val="21"/>
              </w:rPr>
              <w:t>响应文件中附扫描件或复印件</w:t>
            </w:r>
            <w:r>
              <w:rPr>
                <w:rFonts w:hint="eastAsia" w:ascii="宋体" w:hAnsi="宋体" w:eastAsia="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5" w:hRule="atLeast"/>
          <w:jc w:val="center"/>
        </w:trPr>
        <w:tc>
          <w:tcPr>
            <w:tcW w:w="971" w:type="dxa"/>
            <w:vMerge w:val="continue"/>
            <w:tcBorders>
              <w:left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spacing w:line="440" w:lineRule="atLeast"/>
              <w:jc w:val="center"/>
              <w:rPr>
                <w:rFonts w:hint="eastAsia" w:ascii="宋体" w:hAnsi="宋体" w:cs="宋体"/>
                <w:szCs w:val="21"/>
              </w:rPr>
            </w:pPr>
            <w:r>
              <w:rPr>
                <w:rFonts w:hint="eastAsia" w:ascii="宋体" w:hAnsi="宋体" w:cs="宋体"/>
                <w:szCs w:val="21"/>
              </w:rPr>
              <w:t>投标人业绩</w:t>
            </w:r>
          </w:p>
          <w:p>
            <w:pPr>
              <w:jc w:val="center"/>
              <w:rPr>
                <w:rFonts w:hint="eastAsia" w:ascii="宋体" w:hAnsi="宋体" w:eastAsia="宋体" w:cs="宋体"/>
                <w:bCs/>
                <w:spacing w:val="6"/>
                <w:szCs w:val="21"/>
              </w:rPr>
            </w:pPr>
            <w:r>
              <w:rPr>
                <w:rFonts w:hint="eastAsia" w:ascii="宋体" w:hAnsi="宋体" w:cs="宋体"/>
                <w:szCs w:val="21"/>
              </w:rPr>
              <w:t>（</w:t>
            </w:r>
            <w:r>
              <w:rPr>
                <w:rFonts w:hint="eastAsia" w:ascii="宋体" w:hAnsi="宋体" w:cs="宋体"/>
                <w:szCs w:val="21"/>
                <w:lang w:val="en-US" w:eastAsia="zh-CN"/>
              </w:rPr>
              <w:t>6</w:t>
            </w:r>
            <w:r>
              <w:rPr>
                <w:rFonts w:hint="eastAsia" w:ascii="宋体" w:hAnsi="宋体" w:cs="宋体"/>
                <w:szCs w:val="21"/>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cs="宋体"/>
                <w:szCs w:val="21"/>
              </w:rPr>
              <w:t>提供类似业绩合同2份，每提供一份合同得</w:t>
            </w:r>
            <w:r>
              <w:rPr>
                <w:rFonts w:hint="eastAsia" w:ascii="宋体" w:hAnsi="宋体" w:cs="宋体"/>
                <w:szCs w:val="21"/>
                <w:lang w:val="en-US" w:eastAsia="zh-CN"/>
              </w:rPr>
              <w:t>3</w:t>
            </w:r>
            <w:r>
              <w:rPr>
                <w:rFonts w:hint="eastAsia" w:ascii="宋体" w:hAnsi="宋体" w:cs="宋体"/>
                <w:szCs w:val="21"/>
              </w:rPr>
              <w:t>分。本项共</w:t>
            </w:r>
            <w:r>
              <w:rPr>
                <w:rFonts w:hint="eastAsia" w:ascii="宋体" w:hAnsi="宋体" w:cs="宋体"/>
                <w:szCs w:val="21"/>
                <w:lang w:val="en-US" w:eastAsia="zh-CN"/>
              </w:rPr>
              <w:t>6</w:t>
            </w:r>
            <w:r>
              <w:rPr>
                <w:rFonts w:hint="eastAsia" w:ascii="宋体" w:hAnsi="宋体" w:cs="宋体"/>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vMerge w:val="continue"/>
            <w:tcBorders>
              <w:left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Cs w:val="21"/>
              </w:rPr>
            </w:pPr>
            <w:r>
              <w:rPr>
                <w:rFonts w:hint="eastAsia" w:ascii="宋体" w:hAnsi="宋体" w:cs="宋体"/>
                <w:szCs w:val="21"/>
              </w:rPr>
              <w:t>售后服务</w:t>
            </w:r>
          </w:p>
          <w:p>
            <w:pPr>
              <w:jc w:val="center"/>
              <w:rPr>
                <w:rFonts w:hint="eastAsia" w:ascii="宋体" w:hAnsi="宋体" w:cs="宋体"/>
                <w:bCs/>
                <w:spacing w:val="6"/>
                <w:szCs w:val="21"/>
              </w:rPr>
            </w:pPr>
            <w:r>
              <w:rPr>
                <w:rFonts w:hint="eastAsia" w:ascii="宋体" w:hAnsi="宋体" w:cs="宋体"/>
                <w:szCs w:val="21"/>
              </w:rPr>
              <w:t>（1</w:t>
            </w:r>
            <w:r>
              <w:rPr>
                <w:rFonts w:hint="eastAsia" w:ascii="宋体" w:hAnsi="宋体" w:cs="宋体"/>
                <w:szCs w:val="21"/>
                <w:lang w:val="en-US" w:eastAsia="zh-CN"/>
              </w:rPr>
              <w:t>0</w:t>
            </w:r>
            <w:r>
              <w:rPr>
                <w:rFonts w:hint="eastAsia" w:ascii="宋体" w:hAnsi="宋体" w:cs="宋体"/>
                <w:szCs w:val="21"/>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szCs w:val="21"/>
              </w:rPr>
              <w:t>投标人提供全面、完整的售后服务方案，磋商小组根据供应商提供的售后服务方案的完整性、合理性进行打分。售后服务方案完整且详细的得1</w:t>
            </w:r>
            <w:r>
              <w:rPr>
                <w:rFonts w:hint="eastAsia"/>
                <w:szCs w:val="21"/>
                <w:lang w:val="en-US" w:eastAsia="zh-CN"/>
              </w:rPr>
              <w:t>0</w:t>
            </w:r>
            <w:r>
              <w:rPr>
                <w:rFonts w:hint="eastAsia"/>
                <w:szCs w:val="21"/>
              </w:rPr>
              <w:t>分，售后服务方案内容一般的得</w:t>
            </w:r>
            <w:r>
              <w:rPr>
                <w:rFonts w:hint="eastAsia"/>
                <w:szCs w:val="21"/>
                <w:lang w:val="en-US" w:eastAsia="zh-CN"/>
              </w:rPr>
              <w:t>8</w:t>
            </w:r>
            <w:r>
              <w:rPr>
                <w:rFonts w:hint="eastAsia"/>
                <w:szCs w:val="21"/>
              </w:rPr>
              <w:t>分，售后服务方案差的得</w:t>
            </w:r>
            <w:r>
              <w:rPr>
                <w:rFonts w:hint="eastAsia"/>
                <w:szCs w:val="21"/>
                <w:lang w:val="en-US" w:eastAsia="zh-CN"/>
              </w:rPr>
              <w:t>6</w:t>
            </w:r>
            <w:r>
              <w:rPr>
                <w:rFonts w:hint="eastAsia"/>
                <w:szCs w:val="21"/>
              </w:rPr>
              <w:t>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vMerge w:val="continue"/>
            <w:tcBorders>
              <w:left w:val="single" w:color="auto" w:sz="4" w:space="0"/>
              <w:bottom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bCs/>
                <w:spacing w:val="6"/>
                <w:szCs w:val="21"/>
              </w:rPr>
            </w:pPr>
            <w:r>
              <w:rPr>
                <w:rFonts w:hint="eastAsia" w:ascii="宋体" w:hAnsi="宋体" w:cs="宋体"/>
                <w:bCs/>
                <w:spacing w:val="6"/>
                <w:szCs w:val="21"/>
              </w:rPr>
              <w:t>供货实施方案</w:t>
            </w:r>
          </w:p>
          <w:p>
            <w:pPr>
              <w:jc w:val="center"/>
              <w:rPr>
                <w:rFonts w:hint="eastAsia" w:ascii="宋体" w:hAnsi="宋体" w:cs="宋体"/>
                <w:bCs/>
                <w:spacing w:val="6"/>
                <w:szCs w:val="21"/>
              </w:rPr>
            </w:pPr>
            <w:r>
              <w:rPr>
                <w:rFonts w:hint="eastAsia" w:ascii="宋体" w:hAnsi="宋体" w:cs="宋体"/>
                <w:bCs/>
                <w:spacing w:val="6"/>
                <w:szCs w:val="21"/>
              </w:rPr>
              <w:t>（6分）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szCs w:val="21"/>
              </w:rPr>
              <w:t>磋商小组根据供应商针对本项目供货、安装方案是否详细、合理、可行的</w:t>
            </w:r>
            <w:r>
              <w:rPr>
                <w:rFonts w:hint="eastAsia"/>
                <w:szCs w:val="21"/>
                <w:lang w:eastAsia="zh-CN"/>
              </w:rPr>
              <w:t>得</w:t>
            </w:r>
            <w:r>
              <w:rPr>
                <w:rFonts w:hint="eastAsia"/>
                <w:szCs w:val="21"/>
              </w:rPr>
              <w:t>6分；不太详细、不太合理、不太可行及缺项</w:t>
            </w:r>
            <w:r>
              <w:rPr>
                <w:rFonts w:hint="eastAsia"/>
                <w:szCs w:val="21"/>
                <w:lang w:eastAsia="zh-CN"/>
              </w:rPr>
              <w:t>得</w:t>
            </w:r>
            <w:r>
              <w:rPr>
                <w:rFonts w:hint="eastAsia"/>
                <w:szCs w:val="21"/>
                <w:lang w:val="en-US" w:eastAsia="zh-CN"/>
              </w:rPr>
              <w:t>4</w:t>
            </w:r>
            <w:r>
              <w:rPr>
                <w:rFonts w:hint="eastAsia"/>
                <w:szCs w:val="21"/>
              </w:rPr>
              <w:t>分；不详细、不合理、不可行及缺项</w:t>
            </w:r>
            <w:r>
              <w:rPr>
                <w:rFonts w:hint="eastAsia"/>
                <w:szCs w:val="21"/>
                <w:lang w:eastAsia="zh-CN"/>
              </w:rPr>
              <w:t>得</w:t>
            </w:r>
            <w:r>
              <w:rPr>
                <w:rFonts w:hint="eastAsia"/>
                <w:szCs w:val="21"/>
                <w:lang w:val="en-US" w:eastAsia="zh-CN"/>
              </w:rPr>
              <w:t>2</w:t>
            </w:r>
            <w:r>
              <w:rPr>
                <w:rFonts w:hint="eastAsia"/>
                <w:szCs w:val="21"/>
              </w:rPr>
              <w:t>分</w:t>
            </w:r>
            <w:r>
              <w:rPr>
                <w:rFonts w:hint="eastAsia"/>
                <w:szCs w:val="21"/>
                <w:lang w:eastAsia="zh-CN"/>
              </w:rPr>
              <w:t>；</w:t>
            </w:r>
            <w:r>
              <w:rPr>
                <w:rFonts w:hint="eastAsia"/>
                <w:szCs w:val="21"/>
              </w:rPr>
              <w:t>未提供的不得分。</w:t>
            </w:r>
          </w:p>
        </w:tc>
      </w:tr>
    </w:tbl>
    <w:p>
      <w:pPr>
        <w:spacing w:line="440" w:lineRule="exact"/>
        <w:ind w:left="284"/>
        <w:rPr>
          <w:rFonts w:hint="eastAsia" w:ascii="宋体" w:hAnsi="宋体" w:cs="宋体"/>
          <w:szCs w:val="21"/>
        </w:rPr>
      </w:pPr>
      <w:r>
        <w:rPr>
          <w:rFonts w:hint="eastAsia" w:ascii="宋体" w:hAnsi="宋体" w:cs="宋体"/>
          <w:szCs w:val="21"/>
        </w:rPr>
        <w:t>注：</w:t>
      </w:r>
    </w:p>
    <w:p>
      <w:pPr>
        <w:spacing w:line="440" w:lineRule="exact"/>
        <w:ind w:left="284"/>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284"/>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39"/>
        <w:rPr>
          <w:rFonts w:hint="eastAsia" w:ascii="宋体" w:hAnsi="宋体" w:cs="宋体"/>
          <w:szCs w:val="21"/>
        </w:rPr>
      </w:pPr>
    </w:p>
    <w:bookmarkEnd w:id="75"/>
    <w:bookmarkEnd w:id="76"/>
    <w:p>
      <w:pPr>
        <w:rPr>
          <w:rFonts w:hint="eastAsia"/>
        </w:rPr>
        <w:sectPr>
          <w:pgSz w:w="11906" w:h="16838"/>
          <w:pgMar w:top="1134" w:right="1134" w:bottom="1134" w:left="1474" w:header="851" w:footer="510" w:gutter="0"/>
          <w:cols w:space="720" w:num="1"/>
          <w:docGrid w:type="lines" w:linePitch="312" w:charSpace="0"/>
        </w:sectPr>
      </w:pPr>
      <w:bookmarkStart w:id="77" w:name="_Toc115021828"/>
      <w:bookmarkStart w:id="78" w:name="_Toc113459850"/>
      <w:bookmarkStart w:id="79" w:name="_Toc7461"/>
    </w:p>
    <w:p>
      <w:pPr>
        <w:pStyle w:val="37"/>
        <w:numPr>
          <w:ilvl w:val="0"/>
          <w:numId w:val="1"/>
        </w:numPr>
        <w:spacing w:before="0" w:after="0" w:line="360" w:lineRule="auto"/>
        <w:ind w:firstLine="0"/>
        <w:rPr>
          <w:rFonts w:hint="eastAsia" w:ascii="宋体" w:hAnsi="宋体" w:cs="宋体"/>
        </w:rPr>
      </w:pPr>
      <w:r>
        <w:rPr>
          <w:rFonts w:hint="eastAsia" w:ascii="宋体" w:hAnsi="宋体" w:cs="宋体"/>
        </w:rPr>
        <w:t>拟签订的合同</w:t>
      </w:r>
      <w:bookmarkStart w:id="80" w:name="_Toc214329890"/>
      <w:bookmarkStart w:id="81" w:name="_Toc373230031"/>
      <w:bookmarkStart w:id="82" w:name="_Toc218418181"/>
      <w:bookmarkStart w:id="83" w:name="_Toc153880771"/>
      <w:bookmarkStart w:id="84" w:name="_Toc374512418"/>
      <w:r>
        <w:rPr>
          <w:rFonts w:hint="eastAsia" w:ascii="宋体" w:hAnsi="宋体" w:cs="宋体"/>
        </w:rPr>
        <w:t>文本</w:t>
      </w:r>
      <w:bookmarkEnd w:id="77"/>
      <w:bookmarkEnd w:id="78"/>
    </w:p>
    <w:p>
      <w:pPr>
        <w:jc w:val="center"/>
        <w:rPr>
          <w:rFonts w:hint="eastAsia" w:ascii="宋体" w:hAnsi="宋体"/>
          <w:sz w:val="28"/>
          <w:szCs w:val="24"/>
        </w:rPr>
      </w:pPr>
      <w:r>
        <w:rPr>
          <w:rFonts w:hint="eastAsia" w:ascii="宋体" w:hAnsi="宋体"/>
          <w:sz w:val="28"/>
          <w:szCs w:val="24"/>
        </w:rPr>
        <w:t>（仅供参考）</w:t>
      </w:r>
    </w:p>
    <w:p>
      <w:pPr>
        <w:pStyle w:val="82"/>
        <w:spacing w:line="360" w:lineRule="auto"/>
        <w:rPr>
          <w:rFonts w:hint="eastAsia" w:ascii="宋体" w:hAnsi="宋体" w:cs="宋体"/>
          <w:sz w:val="21"/>
          <w:szCs w:val="21"/>
        </w:rPr>
      </w:pPr>
      <w:r>
        <w:rPr>
          <w:rFonts w:hint="eastAsia" w:ascii="宋体" w:hAnsi="宋体" w:cs="宋体"/>
          <w:sz w:val="21"/>
          <w:szCs w:val="21"/>
        </w:rPr>
        <w:t>采购方（甲方）：</w:t>
      </w:r>
    </w:p>
    <w:p>
      <w:pPr>
        <w:pStyle w:val="82"/>
        <w:spacing w:line="360" w:lineRule="auto"/>
        <w:rPr>
          <w:rFonts w:hint="eastAsia" w:ascii="宋体" w:hAnsi="宋体" w:cs="宋体"/>
          <w:sz w:val="21"/>
          <w:szCs w:val="21"/>
        </w:rPr>
      </w:pPr>
      <w:r>
        <w:rPr>
          <w:rFonts w:hint="eastAsia" w:ascii="宋体" w:hAnsi="宋体" w:cs="宋体"/>
          <w:sz w:val="21"/>
          <w:szCs w:val="21"/>
        </w:rPr>
        <w:t>供货方（乙方）：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82"/>
        <w:spacing w:line="360" w:lineRule="auto"/>
        <w:rPr>
          <w:rFonts w:hint="eastAsia" w:ascii="宋体" w:hAnsi="宋体" w:cs="宋体"/>
          <w:sz w:val="21"/>
          <w:szCs w:val="21"/>
        </w:rPr>
      </w:pPr>
      <w:r>
        <w:rPr>
          <w:rFonts w:hint="eastAsia" w:ascii="宋体" w:hAnsi="宋体" w:cs="宋体"/>
          <w:sz w:val="21"/>
          <w:szCs w:val="21"/>
        </w:rPr>
        <w:t>合同编号：</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参考《中华人民共和国政府采购法》《中华人民共和国合同法》及有关法律法规，为维护双方的合法权益，甲、乙双方在平等互利、诚实信用的基础上，经友好协商，签订本合同，双方共同遵守执行。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一、合同授予</w:t>
      </w:r>
    </w:p>
    <w:p>
      <w:pPr>
        <w:pStyle w:val="82"/>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    二、合同文件组成</w:t>
      </w:r>
    </w:p>
    <w:p>
      <w:pPr>
        <w:pStyle w:val="82"/>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2"/>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2"/>
        <w:spacing w:line="360" w:lineRule="auto"/>
        <w:rPr>
          <w:rFonts w:hint="eastAsia" w:ascii="宋体" w:hAnsi="宋体" w:cs="宋体"/>
          <w:sz w:val="21"/>
          <w:szCs w:val="21"/>
        </w:rPr>
      </w:pPr>
      <w:bookmarkStart w:id="85" w:name="_Toc25826"/>
      <w:bookmarkStart w:id="86" w:name="_Toc29101"/>
      <w:r>
        <w:rPr>
          <w:rFonts w:hint="eastAsia" w:ascii="宋体" w:hAnsi="宋体" w:cs="宋体"/>
          <w:sz w:val="21"/>
          <w:szCs w:val="21"/>
        </w:rPr>
        <w:t xml:space="preserve">    三、合同</w:t>
      </w:r>
      <w:bookmarkEnd w:id="85"/>
      <w:bookmarkEnd w:id="86"/>
      <w:r>
        <w:rPr>
          <w:rFonts w:hint="eastAsia" w:ascii="宋体" w:hAnsi="宋体" w:cs="宋体"/>
          <w:sz w:val="21"/>
          <w:szCs w:val="21"/>
        </w:rPr>
        <w:t>采购产品名称、规格型号、数量、单价和总价</w:t>
      </w:r>
    </w:p>
    <w:tbl>
      <w:tblPr>
        <w:tblStyle w:val="4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82"/>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82"/>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2"/>
        <w:spacing w:line="360" w:lineRule="auto"/>
        <w:rPr>
          <w:rFonts w:hint="eastAsia" w:ascii="宋体" w:hAnsi="宋体" w:cs="宋体"/>
          <w:sz w:val="21"/>
          <w:szCs w:val="21"/>
        </w:rPr>
      </w:pPr>
      <w:r>
        <w:rPr>
          <w:rFonts w:hint="eastAsia" w:ascii="宋体" w:hAnsi="宋体" w:cs="宋体"/>
          <w:sz w:val="21"/>
          <w:szCs w:val="21"/>
        </w:rPr>
        <w:t>四、 产品的要求和技术标准</w:t>
      </w:r>
    </w:p>
    <w:p>
      <w:pPr>
        <w:pStyle w:val="82"/>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82"/>
        <w:spacing w:line="360" w:lineRule="auto"/>
        <w:rPr>
          <w:rFonts w:hint="eastAsia" w:ascii="宋体" w:hAnsi="宋体" w:cs="宋体"/>
          <w:sz w:val="21"/>
          <w:szCs w:val="21"/>
        </w:rPr>
      </w:pPr>
      <w:r>
        <w:rPr>
          <w:rFonts w:hint="eastAsia" w:ascii="宋体" w:hAnsi="宋体" w:cs="宋体"/>
          <w:sz w:val="21"/>
          <w:szCs w:val="21"/>
        </w:rPr>
        <w:t>五、交货期限</w:t>
      </w:r>
    </w:p>
    <w:p>
      <w:pPr>
        <w:pStyle w:val="82"/>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合同履行期限：自合同签订之日起20日历天</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2、供货安装地点：采购</w:t>
      </w:r>
      <w:r>
        <w:rPr>
          <w:rFonts w:hint="eastAsia" w:ascii="宋体" w:hAnsi="宋体" w:cs="宋体"/>
          <w:color w:val="000000"/>
          <w:sz w:val="21"/>
          <w:szCs w:val="21"/>
          <w:lang w:eastAsia="zh-CN"/>
        </w:rPr>
        <w:t>方</w:t>
      </w:r>
      <w:r>
        <w:rPr>
          <w:rFonts w:hint="eastAsia" w:ascii="宋体" w:hAnsi="宋体" w:cs="宋体"/>
          <w:color w:val="000000"/>
          <w:sz w:val="21"/>
          <w:szCs w:val="21"/>
        </w:rPr>
        <w:t>指定地点。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3、质量标准：符合国家及行业有关标准。                      </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4、安全使用寿命期：</w:t>
      </w:r>
      <w:r>
        <w:rPr>
          <w:rFonts w:hint="eastAsia" w:ascii="宋体" w:hAnsi="宋体" w:cs="宋体"/>
          <w:i/>
          <w:iCs/>
          <w:color w:val="000000"/>
          <w:sz w:val="21"/>
          <w:szCs w:val="21"/>
          <w:u w:val="single"/>
        </w:rPr>
        <w:t xml:space="preserve">               </w:t>
      </w:r>
      <w:r>
        <w:rPr>
          <w:rFonts w:hint="eastAsia" w:ascii="宋体" w:hAnsi="宋体" w:cs="宋体"/>
          <w:color w:val="000000"/>
          <w:sz w:val="21"/>
          <w:szCs w:val="21"/>
        </w:rPr>
        <w:t xml:space="preserve"> ，质量保证期：</w:t>
      </w:r>
      <w:r>
        <w:rPr>
          <w:rFonts w:hint="eastAsia" w:ascii="宋体" w:hAnsi="宋体" w:cs="宋体"/>
          <w:color w:val="000000"/>
          <w:sz w:val="21"/>
          <w:szCs w:val="21"/>
          <w:lang w:eastAsia="zh-CN"/>
        </w:rPr>
        <w:t>三年。</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2"/>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82"/>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82"/>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2"/>
        <w:spacing w:line="360" w:lineRule="auto"/>
        <w:rPr>
          <w:rFonts w:hint="eastAsia" w:ascii="宋体" w:hAnsi="宋体" w:cs="宋体"/>
          <w:sz w:val="21"/>
          <w:szCs w:val="21"/>
        </w:rPr>
      </w:pPr>
      <w:r>
        <w:rPr>
          <w:rFonts w:hint="eastAsia" w:ascii="宋体" w:hAnsi="宋体" w:cs="宋体"/>
          <w:sz w:val="21"/>
          <w:szCs w:val="21"/>
        </w:rPr>
        <w:t>六、供货实施细节</w:t>
      </w:r>
    </w:p>
    <w:p>
      <w:pPr>
        <w:pStyle w:val="82"/>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2"/>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82"/>
        <w:spacing w:line="360" w:lineRule="auto"/>
        <w:rPr>
          <w:rFonts w:hint="eastAsia" w:ascii="宋体" w:hAnsi="宋体" w:cs="宋体"/>
          <w:sz w:val="21"/>
          <w:szCs w:val="21"/>
        </w:rPr>
      </w:pPr>
      <w:r>
        <w:rPr>
          <w:rFonts w:hint="eastAsia" w:ascii="宋体" w:hAnsi="宋体" w:cs="宋体"/>
          <w:sz w:val="21"/>
          <w:szCs w:val="21"/>
        </w:rPr>
        <w:t>七、验收及货款</w:t>
      </w:r>
      <w:r>
        <w:rPr>
          <w:rFonts w:hint="eastAsia" w:ascii="宋体" w:hAnsi="宋体" w:cs="宋体"/>
          <w:sz w:val="21"/>
          <w:szCs w:val="21"/>
          <w:lang w:eastAsia="zh-CN"/>
        </w:rPr>
        <w:t>付款</w:t>
      </w:r>
      <w:r>
        <w:rPr>
          <w:rFonts w:hint="eastAsia" w:ascii="宋体" w:hAnsi="宋体" w:cs="宋体"/>
          <w:sz w:val="21"/>
          <w:szCs w:val="21"/>
        </w:rPr>
        <w:t>方式：</w:t>
      </w:r>
      <w:r>
        <w:rPr>
          <w:rFonts w:hint="eastAsia" w:ascii="宋体" w:hAnsi="宋体" w:cs="宋体"/>
          <w:sz w:val="21"/>
          <w:szCs w:val="21"/>
          <w:lang w:val="en-US" w:eastAsia="zh-CN"/>
        </w:rPr>
        <w:t>签订合同后预付合同总价的60%，项目全部完成并验收</w:t>
      </w:r>
      <w:bookmarkStart w:id="87" w:name="_Toc22377"/>
      <w:bookmarkStart w:id="88" w:name="_Toc3750"/>
      <w:r>
        <w:rPr>
          <w:rFonts w:hint="eastAsia" w:ascii="宋体" w:hAnsi="宋体" w:cs="宋体"/>
          <w:sz w:val="21"/>
          <w:szCs w:val="21"/>
          <w:lang w:val="en-US" w:eastAsia="zh-CN"/>
        </w:rPr>
        <w:t>合格后付清剩余款项。</w:t>
      </w:r>
      <w:r>
        <w:rPr>
          <w:rFonts w:hint="eastAsia" w:ascii="宋体" w:hAnsi="宋体" w:cs="宋体"/>
          <w:sz w:val="21"/>
          <w:szCs w:val="21"/>
          <w:u w:val="single"/>
        </w:rPr>
        <w:t xml:space="preserve">  </w:t>
      </w:r>
      <w:r>
        <w:rPr>
          <w:rFonts w:hint="eastAsia" w:ascii="宋体" w:hAnsi="宋体" w:cs="宋体"/>
          <w:sz w:val="21"/>
          <w:szCs w:val="21"/>
        </w:rPr>
        <w:t xml:space="preserve">   </w:t>
      </w:r>
    </w:p>
    <w:bookmarkEnd w:id="87"/>
    <w:bookmarkEnd w:id="88"/>
    <w:p>
      <w:pPr>
        <w:pStyle w:val="82"/>
        <w:spacing w:line="360" w:lineRule="auto"/>
        <w:rPr>
          <w:rFonts w:hint="eastAsia" w:ascii="宋体" w:hAnsi="宋体" w:cs="宋体"/>
          <w:sz w:val="21"/>
          <w:szCs w:val="21"/>
        </w:rPr>
      </w:pPr>
      <w:bookmarkStart w:id="89" w:name="_Toc15807"/>
      <w:bookmarkStart w:id="90" w:name="_Toc14384"/>
      <w:r>
        <w:rPr>
          <w:rFonts w:hint="eastAsia" w:ascii="宋体" w:hAnsi="宋体" w:cs="宋体"/>
          <w:sz w:val="21"/>
          <w:szCs w:val="21"/>
        </w:rPr>
        <w:t>八、违约责任：</w:t>
      </w:r>
      <w:bookmarkEnd w:id="89"/>
      <w:bookmarkEnd w:id="90"/>
    </w:p>
    <w:p>
      <w:pPr>
        <w:pStyle w:val="82"/>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2"/>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2"/>
        <w:spacing w:line="360" w:lineRule="auto"/>
        <w:rPr>
          <w:rFonts w:hint="eastAsia" w:ascii="宋体" w:hAnsi="宋体" w:cs="宋体"/>
          <w:sz w:val="21"/>
          <w:szCs w:val="21"/>
        </w:rPr>
      </w:pPr>
      <w:bookmarkStart w:id="91" w:name="_Toc22445"/>
      <w:bookmarkStart w:id="92" w:name="_Toc22257"/>
      <w:r>
        <w:rPr>
          <w:rFonts w:hint="eastAsia" w:ascii="宋体" w:hAnsi="宋体" w:cs="宋体"/>
          <w:sz w:val="21"/>
          <w:szCs w:val="21"/>
        </w:rPr>
        <w:t>5、如出现违约责任，双方协商解决或按《合同法》执行。</w:t>
      </w:r>
    </w:p>
    <w:p>
      <w:pPr>
        <w:pStyle w:val="82"/>
        <w:spacing w:line="360" w:lineRule="auto"/>
        <w:rPr>
          <w:rFonts w:hint="eastAsia" w:ascii="宋体" w:hAnsi="宋体" w:cs="宋体"/>
          <w:sz w:val="21"/>
          <w:szCs w:val="21"/>
        </w:rPr>
      </w:pPr>
      <w:r>
        <w:rPr>
          <w:rFonts w:hint="eastAsia" w:ascii="宋体" w:hAnsi="宋体" w:cs="宋体"/>
          <w:sz w:val="21"/>
          <w:szCs w:val="21"/>
        </w:rPr>
        <w:t>十、质保期</w:t>
      </w:r>
    </w:p>
    <w:p>
      <w:pPr>
        <w:pStyle w:val="82"/>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82"/>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2"/>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2"/>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91"/>
    <w:bookmarkEnd w:id="92"/>
    <w:p>
      <w:pPr>
        <w:pStyle w:val="82"/>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82"/>
        <w:spacing w:line="360" w:lineRule="auto"/>
        <w:rPr>
          <w:rFonts w:hint="eastAsia" w:ascii="宋体" w:hAnsi="宋体" w:cs="宋体"/>
          <w:sz w:val="21"/>
          <w:szCs w:val="21"/>
        </w:rPr>
      </w:pPr>
      <w:r>
        <w:rPr>
          <w:rFonts w:hint="eastAsia" w:ascii="宋体" w:hAnsi="宋体" w:cs="宋体"/>
          <w:sz w:val="21"/>
          <w:szCs w:val="21"/>
        </w:rPr>
        <w:t xml:space="preserve">十一、 解决合同纠纷的方式 </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2"/>
        <w:spacing w:line="360" w:lineRule="auto"/>
        <w:rPr>
          <w:rFonts w:hint="eastAsia" w:ascii="宋体" w:hAnsi="宋体" w:cs="宋体"/>
          <w:sz w:val="21"/>
          <w:szCs w:val="21"/>
        </w:rPr>
      </w:pPr>
      <w:bookmarkStart w:id="93" w:name="_Toc24387"/>
      <w:bookmarkStart w:id="94" w:name="_Toc22020"/>
      <w:r>
        <w:rPr>
          <w:rFonts w:hint="eastAsia" w:ascii="宋体" w:hAnsi="宋体" w:cs="宋体"/>
          <w:sz w:val="21"/>
          <w:szCs w:val="21"/>
        </w:rPr>
        <w:t>十二、</w:t>
      </w:r>
      <w:bookmarkEnd w:id="93"/>
      <w:bookmarkEnd w:id="94"/>
      <w:r>
        <w:rPr>
          <w:rFonts w:hint="eastAsia" w:ascii="宋体" w:hAnsi="宋体" w:cs="宋体"/>
          <w:sz w:val="21"/>
          <w:szCs w:val="21"/>
        </w:rPr>
        <w:t>未尽事宜的处理</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2"/>
        <w:spacing w:line="360" w:lineRule="auto"/>
        <w:rPr>
          <w:rFonts w:hint="eastAsia" w:ascii="宋体" w:hAnsi="宋体" w:cs="宋体"/>
          <w:sz w:val="21"/>
          <w:szCs w:val="21"/>
        </w:rPr>
      </w:pPr>
      <w:bookmarkStart w:id="95" w:name="_Toc7630"/>
      <w:bookmarkStart w:id="96" w:name="_Toc13434"/>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95"/>
      <w:bookmarkEnd w:id="96"/>
      <w:r>
        <w:rPr>
          <w:rFonts w:hint="eastAsia" w:ascii="宋体" w:hAnsi="宋体" w:cs="宋体"/>
          <w:sz w:val="21"/>
          <w:szCs w:val="21"/>
        </w:rPr>
        <w:t>。</w:t>
      </w:r>
    </w:p>
    <w:p>
      <w:pPr>
        <w:pStyle w:val="82"/>
        <w:spacing w:line="360" w:lineRule="auto"/>
        <w:rPr>
          <w:rFonts w:hint="eastAsia" w:ascii="宋体" w:hAnsi="宋体" w:cs="宋体"/>
          <w:sz w:val="21"/>
          <w:szCs w:val="21"/>
        </w:rPr>
      </w:pPr>
      <w:bookmarkStart w:id="97" w:name="_Toc22142"/>
      <w:bookmarkStart w:id="98" w:name="_Toc18545"/>
      <w:r>
        <w:rPr>
          <w:rFonts w:hint="eastAsia" w:ascii="宋体" w:hAnsi="宋体" w:cs="宋体"/>
          <w:sz w:val="21"/>
          <w:szCs w:val="21"/>
        </w:rPr>
        <w:t>十四、合同的生效和失效</w:t>
      </w:r>
      <w:bookmarkEnd w:id="97"/>
      <w:bookmarkEnd w:id="98"/>
    </w:p>
    <w:p>
      <w:pPr>
        <w:pStyle w:val="82"/>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2"/>
        <w:spacing w:line="360" w:lineRule="auto"/>
        <w:rPr>
          <w:rFonts w:hint="eastAsia" w:ascii="宋体" w:hAnsi="宋体" w:cs="宋体"/>
          <w:sz w:val="21"/>
          <w:szCs w:val="21"/>
        </w:rPr>
      </w:pPr>
      <w:r>
        <w:rPr>
          <w:rFonts w:hint="eastAsia" w:ascii="宋体" w:hAnsi="宋体" w:cs="宋体"/>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82"/>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82"/>
        <w:spacing w:line="360" w:lineRule="auto"/>
        <w:rPr>
          <w:rFonts w:hint="eastAsia" w:ascii="宋体" w:hAnsi="宋体" w:cs="宋体"/>
          <w:sz w:val="21"/>
          <w:szCs w:val="21"/>
        </w:rPr>
      </w:pPr>
      <w:r>
        <w:rPr>
          <w:rFonts w:hint="eastAsia" w:ascii="宋体" w:hAnsi="宋体" w:cs="宋体"/>
          <w:sz w:val="21"/>
          <w:szCs w:val="21"/>
        </w:rPr>
        <w:t>地址：                                   地址：</w:t>
      </w:r>
    </w:p>
    <w:p>
      <w:pPr>
        <w:pStyle w:val="25"/>
        <w:spacing w:line="440" w:lineRule="exact"/>
        <w:rPr>
          <w:rFonts w:hint="eastAsia" w:cs="宋体"/>
          <w:sz w:val="21"/>
          <w:szCs w:val="21"/>
        </w:rPr>
      </w:pPr>
      <w:r>
        <w:rPr>
          <w:rFonts w:hint="eastAsia" w:cs="宋体"/>
          <w:sz w:val="21"/>
          <w:szCs w:val="21"/>
        </w:rPr>
        <w:t>日期：   年   月  日                     日期：   年   月  日</w:t>
      </w: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4"/>
          <w:szCs w:val="24"/>
          <w:highlight w:val="yellow"/>
        </w:rPr>
      </w:pPr>
    </w:p>
    <w:bookmarkEnd w:id="80"/>
    <w:bookmarkEnd w:id="81"/>
    <w:bookmarkEnd w:id="82"/>
    <w:bookmarkEnd w:id="83"/>
    <w:bookmarkEnd w:id="84"/>
    <w:p>
      <w:pPr>
        <w:pStyle w:val="37"/>
        <w:numPr>
          <w:ilvl w:val="0"/>
          <w:numId w:val="1"/>
        </w:numPr>
        <w:spacing w:before="0" w:after="0" w:line="360" w:lineRule="auto"/>
        <w:ind w:firstLine="0"/>
        <w:rPr>
          <w:rFonts w:hint="eastAsia" w:ascii="宋体" w:hAnsi="宋体" w:cs="宋体"/>
        </w:rPr>
      </w:pPr>
      <w:bookmarkStart w:id="99" w:name="_Toc115021829"/>
      <w:bookmarkStart w:id="217" w:name="_GoBack"/>
      <w:r>
        <w:rPr>
          <w:rFonts w:hint="eastAsia" w:ascii="宋体" w:hAnsi="宋体" w:cs="宋体"/>
        </w:rPr>
        <w:t>采购需求</w:t>
      </w:r>
      <w:bookmarkEnd w:id="79"/>
      <w:bookmarkEnd w:id="99"/>
    </w:p>
    <w:p>
      <w:pPr>
        <w:spacing w:line="360" w:lineRule="auto"/>
        <w:ind w:firstLine="480"/>
        <w:jc w:val="left"/>
        <w:rPr>
          <w:rFonts w:hint="eastAsia" w:ascii="宋体" w:hAnsi="宋体" w:cs="宋体"/>
          <w:sz w:val="24"/>
          <w:szCs w:val="24"/>
          <w:u w:val="single"/>
        </w:rPr>
      </w:pPr>
      <w:bookmarkStart w:id="100" w:name="_Toc11229"/>
      <w:bookmarkStart w:id="101" w:name="_Toc4426"/>
      <w:bookmarkStart w:id="102" w:name="_Toc373230032"/>
      <w:bookmarkStart w:id="103" w:name="_Toc477423251"/>
      <w:bookmarkStart w:id="104" w:name="_Toc487805927"/>
      <w:bookmarkStart w:id="105" w:name="_Toc374512420"/>
      <w:r>
        <w:rPr>
          <w:rFonts w:hint="eastAsia" w:ascii="宋体" w:hAnsi="宋体" w:cs="宋体"/>
          <w:b/>
          <w:sz w:val="24"/>
          <w:szCs w:val="24"/>
        </w:rPr>
        <w:t>1.</w:t>
      </w:r>
      <w:r>
        <w:rPr>
          <w:rFonts w:hint="eastAsia" w:ascii="宋体" w:hAnsi="宋体" w:cs="宋体"/>
          <w:sz w:val="24"/>
          <w:szCs w:val="24"/>
        </w:rPr>
        <w:t>本项目的核心产品为：</w:t>
      </w:r>
      <w:r>
        <w:rPr>
          <w:rFonts w:hint="eastAsia" w:ascii="宋体" w:hAnsi="宋体" w:cs="宋体"/>
          <w:sz w:val="24"/>
          <w:szCs w:val="24"/>
          <w:u w:val="single"/>
        </w:rPr>
        <w:t xml:space="preserve"> 2T双螺旋隧道</w:t>
      </w:r>
      <w:r>
        <w:rPr>
          <w:rFonts w:hint="eastAsia" w:ascii="宋体" w:hAnsi="宋体" w:cs="宋体"/>
          <w:sz w:val="24"/>
          <w:szCs w:val="24"/>
          <w:u w:val="single"/>
          <w:lang w:val="en-US" w:eastAsia="zh-CN"/>
        </w:rPr>
        <w:t xml:space="preserve"> </w:t>
      </w:r>
      <w:r>
        <w:rPr>
          <w:rFonts w:hint="eastAsia" w:ascii="宋体" w:hAnsi="宋体" w:cs="宋体"/>
          <w:b/>
          <w:bCs/>
          <w:sz w:val="24"/>
          <w:szCs w:val="24"/>
          <w:u w:val="single"/>
          <w:lang w:val="en-US" w:eastAsia="zh-CN"/>
        </w:rPr>
        <w:t xml:space="preserve">  </w:t>
      </w:r>
      <w:r>
        <w:rPr>
          <w:rFonts w:hint="eastAsia" w:ascii="宋体" w:hAnsi="宋体" w:cs="宋体"/>
          <w:sz w:val="24"/>
          <w:szCs w:val="24"/>
          <w:u w:val="single"/>
        </w:rPr>
        <w:t xml:space="preserve"> </w:t>
      </w:r>
    </w:p>
    <w:tbl>
      <w:tblPr>
        <w:tblStyle w:val="41"/>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62"/>
        <w:gridCol w:w="3967"/>
        <w:gridCol w:w="866"/>
        <w:gridCol w:w="792"/>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pStyle w:val="87"/>
              <w:jc w:val="center"/>
              <w:rPr>
                <w:rFonts w:hint="eastAsia" w:ascii="宋体" w:hAnsi="宋体" w:eastAsia="宋体" w:cs="宋体"/>
                <w:sz w:val="24"/>
                <w:szCs w:val="24"/>
                <w:vertAlign w:val="baseline"/>
              </w:rPr>
            </w:pPr>
            <w:r>
              <w:rPr>
                <w:rFonts w:hint="eastAsia" w:ascii="宋体" w:hAnsi="宋体" w:cs="宋体"/>
                <w:sz w:val="24"/>
                <w:szCs w:val="24"/>
              </w:rPr>
              <w:t>序号</w:t>
            </w:r>
          </w:p>
        </w:tc>
        <w:tc>
          <w:tcPr>
            <w:tcW w:w="1062" w:type="dxa"/>
            <w:noWrap w:val="0"/>
            <w:vAlign w:val="center"/>
          </w:tcPr>
          <w:p>
            <w:pPr>
              <w:pStyle w:val="87"/>
              <w:jc w:val="center"/>
              <w:rPr>
                <w:rFonts w:hint="eastAsia" w:ascii="宋体" w:hAnsi="宋体" w:eastAsia="宋体" w:cs="宋体"/>
                <w:sz w:val="24"/>
                <w:szCs w:val="24"/>
                <w:vertAlign w:val="baseline"/>
              </w:rPr>
            </w:pPr>
            <w:r>
              <w:rPr>
                <w:rFonts w:hint="eastAsia" w:ascii="宋体" w:hAnsi="宋体" w:cs="宋体"/>
                <w:sz w:val="24"/>
                <w:szCs w:val="24"/>
              </w:rPr>
              <w:t>标的名称</w:t>
            </w:r>
          </w:p>
        </w:tc>
        <w:tc>
          <w:tcPr>
            <w:tcW w:w="3967" w:type="dxa"/>
            <w:noWrap w:val="0"/>
            <w:vAlign w:val="center"/>
          </w:tcPr>
          <w:p>
            <w:pPr>
              <w:pStyle w:val="87"/>
              <w:jc w:val="center"/>
              <w:rPr>
                <w:rFonts w:hint="eastAsia" w:ascii="宋体" w:hAnsi="宋体" w:eastAsia="宋体" w:cs="宋体"/>
                <w:sz w:val="24"/>
                <w:szCs w:val="24"/>
                <w:vertAlign w:val="baseline"/>
              </w:rPr>
            </w:pPr>
            <w:r>
              <w:rPr>
                <w:rFonts w:hint="eastAsia" w:ascii="宋体" w:hAnsi="宋体" w:cs="宋体"/>
                <w:sz w:val="24"/>
                <w:szCs w:val="24"/>
              </w:rPr>
              <w:t>主要技术参数、性能、配置等要求</w:t>
            </w:r>
          </w:p>
        </w:tc>
        <w:tc>
          <w:tcPr>
            <w:tcW w:w="866" w:type="dxa"/>
            <w:noWrap w:val="0"/>
            <w:vAlign w:val="center"/>
          </w:tcPr>
          <w:p>
            <w:pPr>
              <w:pStyle w:val="87"/>
              <w:jc w:val="center"/>
              <w:rPr>
                <w:rFonts w:hint="default" w:ascii="宋体" w:hAnsi="宋体" w:eastAsia="宋体" w:cs="宋体"/>
                <w:sz w:val="24"/>
                <w:szCs w:val="24"/>
                <w:vertAlign w:val="baseline"/>
                <w:lang w:val="en-US" w:eastAsia="zh-CN"/>
              </w:rPr>
            </w:pPr>
            <w:r>
              <w:rPr>
                <w:rFonts w:hint="eastAsia" w:ascii="宋体" w:hAnsi="宋体" w:cs="宋体"/>
                <w:sz w:val="24"/>
                <w:szCs w:val="24"/>
              </w:rPr>
              <w:t>单位</w:t>
            </w:r>
          </w:p>
        </w:tc>
        <w:tc>
          <w:tcPr>
            <w:tcW w:w="792" w:type="dxa"/>
            <w:noWrap w:val="0"/>
            <w:vAlign w:val="center"/>
          </w:tcPr>
          <w:p>
            <w:pPr>
              <w:pStyle w:val="87"/>
              <w:jc w:val="center"/>
              <w:rPr>
                <w:rFonts w:hint="eastAsia" w:ascii="宋体" w:hAnsi="宋体" w:eastAsia="宋体" w:cs="宋体"/>
                <w:sz w:val="24"/>
                <w:szCs w:val="24"/>
                <w:vertAlign w:val="baseline"/>
                <w:lang w:val="en-US" w:eastAsia="zh-CN"/>
              </w:rPr>
            </w:pPr>
            <w:r>
              <w:rPr>
                <w:rFonts w:hint="eastAsia" w:ascii="宋体" w:hAnsi="宋体" w:cs="宋体"/>
                <w:sz w:val="24"/>
                <w:szCs w:val="24"/>
              </w:rPr>
              <w:t>数量</w:t>
            </w:r>
          </w:p>
        </w:tc>
        <w:tc>
          <w:tcPr>
            <w:tcW w:w="1221" w:type="dxa"/>
            <w:noWrap w:val="0"/>
            <w:vAlign w:val="center"/>
          </w:tcPr>
          <w:p>
            <w:pPr>
              <w:pStyle w:val="87"/>
              <w:jc w:val="center"/>
              <w:rPr>
                <w:rFonts w:hint="default" w:ascii="宋体" w:hAnsi="宋体" w:eastAsia="宋体" w:cs="宋体"/>
                <w:sz w:val="24"/>
                <w:szCs w:val="24"/>
                <w:vertAlign w:val="baseline"/>
                <w:lang w:val="en-US" w:eastAsia="zh-CN"/>
              </w:rPr>
            </w:pPr>
            <w:r>
              <w:rPr>
                <w:rFonts w:hint="eastAsia" w:ascii="宋体" w:hAnsi="宋体" w:cs="宋体"/>
                <w:sz w:val="24"/>
                <w:szCs w:val="24"/>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062" w:type="dxa"/>
            <w:noWrap w:val="0"/>
            <w:vAlign w:val="center"/>
          </w:tcPr>
          <w:p>
            <w:p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rPr>
              <w:t>2T双螺旋隧道</w:t>
            </w:r>
          </w:p>
        </w:tc>
        <w:tc>
          <w:tcPr>
            <w:tcW w:w="396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1、制冷量</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280KW</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2、工况：-42/+35℃</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4、蒸发冷：SPL-1285BS</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5、速冻隧道参数</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5.1转笼尺寸</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2500mm</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5.2层数</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18</w:t>
            </w:r>
            <w:r>
              <w:rPr>
                <w:rFonts w:hint="eastAsia" w:ascii="宋体" w:hAnsi="宋体" w:cs="宋体"/>
                <w:sz w:val="24"/>
                <w:szCs w:val="24"/>
                <w:vertAlign w:val="baseline"/>
                <w:lang w:val="en-US" w:eastAsia="zh-CN"/>
              </w:rPr>
              <w:t>层</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5.3网带宽度</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800mm</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5.4网带长度</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510m</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5.5有效长度</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480m</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5.6蒸发面积</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2800平</w:t>
            </w:r>
            <w:r>
              <w:rPr>
                <w:rFonts w:hint="eastAsia" w:ascii="宋体" w:hAnsi="宋体" w:cs="宋体"/>
                <w:sz w:val="24"/>
                <w:szCs w:val="24"/>
                <w:vertAlign w:val="baseline"/>
                <w:lang w:val="en-US" w:eastAsia="zh-CN"/>
              </w:rPr>
              <w:t>方</w:t>
            </w:r>
          </w:p>
        </w:tc>
        <w:tc>
          <w:tcPr>
            <w:tcW w:w="866"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792"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221"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制造业</w:t>
            </w:r>
          </w:p>
        </w:tc>
      </w:tr>
    </w:tbl>
    <w:p>
      <w:pPr>
        <w:autoSpaceDE w:val="0"/>
        <w:autoSpaceDN w:val="0"/>
        <w:spacing w:line="500" w:lineRule="exact"/>
        <w:rPr>
          <w:rFonts w:hint="eastAsia" w:ascii="宋体" w:hAnsi="宋体" w:cs="宋体"/>
          <w:b/>
          <w:bCs/>
          <w:sz w:val="24"/>
          <w:szCs w:val="28"/>
        </w:rPr>
      </w:pPr>
      <w:r>
        <w:rPr>
          <w:rFonts w:ascii="宋体" w:hAnsi="宋体" w:cs="宋体"/>
          <w:b/>
          <w:bCs/>
          <w:sz w:val="24"/>
          <w:szCs w:val="28"/>
        </w:rPr>
        <w:t>2.</w:t>
      </w:r>
      <w:r>
        <w:rPr>
          <w:rFonts w:hint="eastAsia" w:ascii="宋体" w:hAnsi="宋体" w:cs="宋体"/>
          <w:b/>
          <w:bCs/>
          <w:sz w:val="24"/>
          <w:szCs w:val="28"/>
        </w:rPr>
        <w:t>商务要求</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1.合同履行期限：</w:t>
      </w:r>
      <w:r>
        <w:rPr>
          <w:rFonts w:hint="eastAsia" w:ascii="宋体" w:hAnsi="宋体" w:eastAsia="宋体" w:cs="宋体"/>
          <w:i w:val="0"/>
          <w:iCs w:val="0"/>
          <w:kern w:val="2"/>
          <w:sz w:val="24"/>
          <w:szCs w:val="24"/>
          <w:lang w:val="en-US" w:eastAsia="zh-CN" w:bidi="ar-SA"/>
        </w:rPr>
        <w:t>自合同签订之日起20日历天</w:t>
      </w:r>
      <w:r>
        <w:rPr>
          <w:rFonts w:hint="eastAsia" w:ascii="宋体" w:hAnsi="宋体" w:cs="宋体"/>
          <w:sz w:val="24"/>
          <w:szCs w:val="24"/>
        </w:rPr>
        <w:t>。</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2.供货安装地点：采购人指定地点。</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3.质量标准：符合国家及行业有关标准。</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4.质量保修期：</w:t>
      </w:r>
      <w:r>
        <w:rPr>
          <w:rFonts w:hint="eastAsia" w:ascii="宋体" w:hAnsi="宋体" w:cs="宋体"/>
          <w:sz w:val="24"/>
          <w:szCs w:val="24"/>
          <w:lang w:val="en-US" w:eastAsia="zh-CN"/>
        </w:rPr>
        <w:t>三年。</w:t>
      </w:r>
    </w:p>
    <w:p>
      <w:pPr>
        <w:autoSpaceDE w:val="0"/>
        <w:autoSpaceDN w:val="0"/>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rPr>
        <w:t>5.付款方式：</w:t>
      </w:r>
      <w:r>
        <w:rPr>
          <w:rFonts w:hint="eastAsia" w:ascii="宋体" w:hAnsi="宋体" w:cs="宋体"/>
          <w:sz w:val="24"/>
          <w:szCs w:val="24"/>
          <w:lang w:val="en-US" w:eastAsia="zh-CN"/>
        </w:rPr>
        <w:t>需采购人与成交人商议决定</w:t>
      </w:r>
    </w:p>
    <w:p>
      <w:pPr>
        <w:autoSpaceDE w:val="0"/>
        <w:autoSpaceDN w:val="0"/>
        <w:spacing w:line="500" w:lineRule="exact"/>
        <w:rPr>
          <w:rFonts w:ascii="宋体" w:hAnsi="宋体" w:cs="宋体"/>
          <w:b/>
          <w:bCs/>
          <w:sz w:val="24"/>
          <w:szCs w:val="28"/>
        </w:rPr>
      </w:pPr>
      <w:r>
        <w:rPr>
          <w:rFonts w:hint="eastAsia" w:ascii="宋体" w:hAnsi="宋体" w:cs="宋体"/>
          <w:b/>
          <w:bCs/>
          <w:sz w:val="24"/>
          <w:szCs w:val="28"/>
        </w:rPr>
        <w:t>3.其他要求</w:t>
      </w:r>
    </w:p>
    <w:p>
      <w:pPr>
        <w:autoSpaceDE w:val="0"/>
        <w:autoSpaceDN w:val="0"/>
        <w:spacing w:line="500" w:lineRule="exact"/>
        <w:ind w:firstLine="480" w:firstLineChars="200"/>
        <w:rPr>
          <w:rFonts w:hint="eastAsia"/>
        </w:rPr>
      </w:pPr>
      <w:r>
        <w:rPr>
          <w:rFonts w:hint="eastAsia" w:ascii="宋体" w:hAnsi="宋体" w:cs="宋体"/>
          <w:sz w:val="24"/>
          <w:szCs w:val="24"/>
        </w:rPr>
        <w:t>1.售后服务：中标人提供设备保修电话服务；可以提供应急维修调配服务，在接到正式通知后2个小时内响应，24小时内到达现场进行检修。</w:t>
      </w:r>
    </w:p>
    <w:p>
      <w:pPr>
        <w:spacing w:line="440" w:lineRule="exact"/>
        <w:ind w:firstLine="480" w:firstLineChars="200"/>
        <w:rPr>
          <w:rFonts w:ascii="宋体" w:hAnsi="宋体"/>
          <w:sz w:val="24"/>
          <w:szCs w:val="24"/>
        </w:rPr>
      </w:pPr>
      <w:r>
        <w:rPr>
          <w:rFonts w:hint="eastAsia" w:ascii="宋体" w:hAnsi="宋体"/>
          <w:sz w:val="24"/>
          <w:szCs w:val="24"/>
        </w:rPr>
        <w:t>2.商品包装要求：</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2.1适用范围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本标准规定了商品使用的塑料、纸质、木质等包装材料的环保要求。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2.2商品包装环保要求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2.2.1.商品包装层数不得超过 3 层，空隙率不大于 40%；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2.2.2.商品包装尽可能使用单一材质的包装材料，如因功能需求必需使用不同材质，不同材质间应便于分离；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2.2.3.商品包装中铅、汞、镉、六价铬的总含量应不大于100mg/kg；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2.2.4.商品包装印刷使用的油墨中挥发性有机化合物(VOCs)含量应不大于 5%（以重量计）；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2.2.5.塑料材质商品包装上呈现的印刷颜色不得超过6色；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2.2.6.纸质商品包装应使用75%以上的可再生纤维原料生产；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2.2.7.木质商品包装的原料应来源于可持续性森林。 </w:t>
      </w:r>
    </w:p>
    <w:p>
      <w:pPr>
        <w:pStyle w:val="39"/>
        <w:rPr>
          <w:rFonts w:hint="eastAsia"/>
          <w:sz w:val="24"/>
          <w:szCs w:val="22"/>
        </w:rPr>
      </w:pPr>
    </w:p>
    <w:p>
      <w:pPr>
        <w:pStyle w:val="37"/>
        <w:spacing w:before="0" w:after="0" w:line="360" w:lineRule="auto"/>
        <w:ind w:firstLine="2891" w:firstLineChars="900"/>
        <w:jc w:val="both"/>
        <w:rPr>
          <w:rFonts w:hint="eastAsia" w:ascii="宋体" w:hAnsi="宋体" w:cs="宋体"/>
        </w:rPr>
      </w:pPr>
      <w:bookmarkStart w:id="106" w:name="_Toc20594"/>
    </w:p>
    <w:p>
      <w:pPr>
        <w:pStyle w:val="37"/>
        <w:spacing w:before="0" w:after="0" w:line="360" w:lineRule="auto"/>
        <w:ind w:firstLine="2891" w:firstLineChars="900"/>
        <w:jc w:val="both"/>
        <w:rPr>
          <w:rFonts w:hint="eastAsia" w:ascii="宋体" w:hAnsi="宋体" w:cs="宋体"/>
        </w:rPr>
      </w:pPr>
    </w:p>
    <w:p>
      <w:pPr>
        <w:rPr>
          <w:rFonts w:hint="eastAsia" w:ascii="宋体" w:hAnsi="宋体" w:cs="宋体"/>
        </w:rPr>
      </w:pPr>
    </w:p>
    <w:p>
      <w:pPr>
        <w:rPr>
          <w:rFonts w:hint="eastAsia" w:ascii="宋体" w:hAnsi="宋体" w:cs="宋体"/>
        </w:rPr>
      </w:pPr>
      <w:r>
        <w:rPr>
          <w:rFonts w:hint="eastAsia" w:ascii="宋体" w:hAnsi="宋体" w:cs="宋体"/>
        </w:rPr>
        <w:br w:type="page"/>
      </w:r>
    </w:p>
    <w:p>
      <w:pPr>
        <w:rPr>
          <w:rFonts w:hint="eastAsia"/>
        </w:rPr>
      </w:pPr>
    </w:p>
    <w:p>
      <w:pPr>
        <w:pStyle w:val="2"/>
        <w:rPr>
          <w:rFonts w:hint="eastAsia"/>
        </w:rPr>
      </w:pPr>
    </w:p>
    <w:p>
      <w:pPr>
        <w:pStyle w:val="3"/>
        <w:rPr>
          <w:rFonts w:hint="eastAsia"/>
        </w:rPr>
      </w:pPr>
    </w:p>
    <w:p>
      <w:pPr>
        <w:pStyle w:val="4"/>
        <w:rPr>
          <w:rFonts w:hint="eastAsia"/>
        </w:rPr>
      </w:pPr>
    </w:p>
    <w:p>
      <w:pPr>
        <w:pStyle w:val="5"/>
        <w:rPr>
          <w:rFonts w:hint="eastAsia"/>
        </w:rPr>
      </w:pPr>
    </w:p>
    <w:p>
      <w:pPr>
        <w:pStyle w:val="6"/>
        <w:rPr>
          <w:rFonts w:hint="eastAsia"/>
        </w:rPr>
      </w:pPr>
    </w:p>
    <w:p>
      <w:pPr>
        <w:pStyle w:val="7"/>
        <w:rPr>
          <w:rFonts w:hint="eastAsia"/>
        </w:rPr>
      </w:pPr>
    </w:p>
    <w:p>
      <w:pPr>
        <w:rPr>
          <w:rFonts w:hint="eastAsia"/>
        </w:rPr>
      </w:pPr>
    </w:p>
    <w:bookmarkEnd w:id="100"/>
    <w:bookmarkEnd w:id="101"/>
    <w:bookmarkEnd w:id="102"/>
    <w:bookmarkEnd w:id="103"/>
    <w:bookmarkEnd w:id="104"/>
    <w:bookmarkEnd w:id="105"/>
    <w:bookmarkEnd w:id="106"/>
    <w:p>
      <w:pPr>
        <w:pStyle w:val="37"/>
        <w:spacing w:before="0" w:after="0" w:line="360" w:lineRule="auto"/>
        <w:ind w:firstLine="2891" w:firstLineChars="900"/>
        <w:jc w:val="both"/>
        <w:rPr>
          <w:rFonts w:hint="eastAsia" w:ascii="宋体" w:hAnsi="宋体" w:cs="宋体"/>
        </w:rPr>
      </w:pPr>
      <w:r>
        <w:rPr>
          <w:rFonts w:hint="eastAsia" w:ascii="宋体" w:hAnsi="宋体" w:cs="宋体"/>
        </w:rPr>
        <w:t xml:space="preserve"> </w:t>
      </w:r>
      <w:bookmarkStart w:id="107" w:name="_Toc115021830"/>
      <w:r>
        <w:rPr>
          <w:rFonts w:hint="eastAsia" w:ascii="宋体" w:hAnsi="宋体" w:cs="宋体"/>
        </w:rPr>
        <w:t>第六章 响应文件格式</w:t>
      </w:r>
      <w:bookmarkEnd w:id="107"/>
    </w:p>
    <w:p>
      <w:pPr>
        <w:rPr>
          <w:rFonts w:hint="eastAsia" w:ascii="宋体" w:hAnsi="宋体" w:cs="宋体"/>
          <w:sz w:val="32"/>
          <w:szCs w:val="32"/>
        </w:rPr>
      </w:pPr>
    </w:p>
    <w:p>
      <w:pPr>
        <w:pStyle w:val="39"/>
        <w:rPr>
          <w:rFonts w:hint="eastAsia" w:ascii="宋体" w:hAnsi="宋体" w:cs="宋体"/>
          <w:sz w:val="32"/>
          <w:szCs w:val="32"/>
        </w:rPr>
      </w:pPr>
    </w:p>
    <w:p>
      <w:pPr>
        <w:rPr>
          <w:rFonts w:hint="eastAsia" w:ascii="宋体" w:hAnsi="宋体" w:cs="宋体"/>
          <w:sz w:val="32"/>
          <w:szCs w:val="32"/>
        </w:rPr>
      </w:pPr>
    </w:p>
    <w:p>
      <w:pPr>
        <w:pStyle w:val="39"/>
        <w:rPr>
          <w:rFonts w:hint="eastAsia" w:ascii="宋体" w:hAnsi="宋体" w:cs="宋体"/>
          <w:sz w:val="32"/>
          <w:szCs w:val="32"/>
        </w:rPr>
      </w:pPr>
    </w:p>
    <w:p>
      <w:pPr>
        <w:rPr>
          <w:rFonts w:hint="eastAsia" w:ascii="宋体" w:hAnsi="宋体" w:cs="宋体"/>
          <w:sz w:val="32"/>
          <w:szCs w:val="32"/>
        </w:rPr>
      </w:pPr>
    </w:p>
    <w:p>
      <w:pPr>
        <w:pStyle w:val="39"/>
        <w:rPr>
          <w:rFonts w:hint="eastAsia" w:ascii="宋体" w:hAnsi="宋体" w:cs="宋体"/>
          <w:sz w:val="32"/>
          <w:szCs w:val="32"/>
        </w:rPr>
      </w:pPr>
    </w:p>
    <w:p>
      <w:pPr>
        <w:rPr>
          <w:rFonts w:hint="eastAsia" w:ascii="宋体" w:hAnsi="宋体" w:cs="宋体"/>
          <w:sz w:val="32"/>
          <w:szCs w:val="32"/>
        </w:rPr>
      </w:pPr>
    </w:p>
    <w:p>
      <w:pPr>
        <w:pStyle w:val="39"/>
        <w:rPr>
          <w:rFonts w:hint="eastAsia" w:ascii="宋体" w:hAnsi="宋体" w:cs="宋体"/>
          <w:sz w:val="32"/>
          <w:szCs w:val="32"/>
        </w:rPr>
      </w:pPr>
    </w:p>
    <w:p>
      <w:pPr>
        <w:rPr>
          <w:rFonts w:hint="eastAsia" w:ascii="宋体" w:hAnsi="宋体" w:cs="宋体"/>
          <w:sz w:val="32"/>
          <w:szCs w:val="32"/>
        </w:rPr>
      </w:pPr>
    </w:p>
    <w:p>
      <w:pPr>
        <w:pStyle w:val="39"/>
        <w:rPr>
          <w:rFonts w:hint="eastAsia" w:ascii="宋体" w:hAnsi="宋体" w:cs="宋体"/>
          <w:sz w:val="32"/>
          <w:szCs w:val="32"/>
        </w:rPr>
      </w:pPr>
    </w:p>
    <w:p>
      <w:pPr>
        <w:rPr>
          <w:rFonts w:hint="eastAsia" w:ascii="宋体" w:hAnsi="宋体" w:cs="宋体"/>
          <w:sz w:val="32"/>
          <w:szCs w:val="32"/>
        </w:rPr>
      </w:pPr>
    </w:p>
    <w:p>
      <w:pPr>
        <w:pStyle w:val="39"/>
        <w:rPr>
          <w:rFonts w:hint="eastAsia"/>
        </w:rPr>
      </w:pPr>
    </w:p>
    <w:p>
      <w:pPr>
        <w:rPr>
          <w:rFonts w:hint="eastAsia"/>
        </w:rPr>
      </w:pPr>
    </w:p>
    <w:p>
      <w:pPr>
        <w:pStyle w:val="39"/>
        <w:rPr>
          <w:rFonts w:hint="eastAsia"/>
        </w:rPr>
      </w:pPr>
    </w:p>
    <w:p>
      <w:pPr>
        <w:rPr>
          <w:rFonts w:hint="eastAsia"/>
        </w:rPr>
      </w:pPr>
    </w:p>
    <w:p>
      <w:pPr>
        <w:pStyle w:val="39"/>
        <w:rPr>
          <w:rFonts w:hint="eastAsia"/>
        </w:rPr>
      </w:pPr>
    </w:p>
    <w:p>
      <w:pPr>
        <w:rPr>
          <w:rFonts w:hint="eastAsia"/>
        </w:rPr>
      </w:pPr>
    </w:p>
    <w:p>
      <w:pPr>
        <w:rPr>
          <w:rFonts w:hint="eastAsia"/>
        </w:rPr>
        <w:sectPr>
          <w:pgSz w:w="11906" w:h="16838"/>
          <w:pgMar w:top="1134" w:right="1134" w:bottom="1134" w:left="1474" w:header="851" w:footer="510" w:gutter="0"/>
          <w:cols w:space="720" w:num="1"/>
          <w:docGrid w:type="lines" w:linePitch="312" w:charSpace="0"/>
        </w:sectPr>
      </w:pPr>
    </w:p>
    <w:p>
      <w:pPr>
        <w:pStyle w:val="39"/>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80" w:lineRule="auto"/>
        <w:ind w:firstLine="2520" w:firstLineChars="900"/>
        <w:rPr>
          <w:rFonts w:hint="eastAsia" w:ascii="宋体" w:hAnsi="宋体" w:cs="宋体"/>
          <w:sz w:val="28"/>
          <w:szCs w:val="28"/>
          <w:u w:val="single"/>
        </w:rPr>
      </w:pPr>
      <w:r>
        <w:rPr>
          <w:rFonts w:hint="eastAsia" w:ascii="宋体" w:hAnsi="宋体" w:cs="宋体"/>
          <w:sz w:val="28"/>
          <w:szCs w:val="28"/>
        </w:rPr>
        <w:t>交易编号：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9"/>
        <w:rPr>
          <w:rFonts w:hint="eastAsia"/>
        </w:rPr>
      </w:pPr>
    </w:p>
    <w:p>
      <w:pPr>
        <w:pStyle w:val="39"/>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9"/>
        <w:rPr>
          <w:rFonts w:hint="eastAsia"/>
        </w:rPr>
      </w:pPr>
    </w:p>
    <w:p>
      <w:pPr>
        <w:spacing w:line="460" w:lineRule="exact"/>
        <w:rPr>
          <w:rFonts w:hint="eastAsia" w:ascii="宋体" w:hAnsi="宋体" w:cs="宋体"/>
          <w:sz w:val="32"/>
          <w:szCs w:val="32"/>
        </w:rPr>
      </w:pPr>
    </w:p>
    <w:p>
      <w:pPr>
        <w:pStyle w:val="39"/>
        <w:rPr>
          <w:rFonts w:hint="eastAsia"/>
        </w:rPr>
      </w:pPr>
      <w:bookmarkStart w:id="108" w:name="_Toc22461"/>
      <w:bookmarkStart w:id="109" w:name="_Toc115021831"/>
      <w:bookmarkStart w:id="110" w:name="_Toc530584396"/>
      <w:bookmarkStart w:id="111" w:name="_Toc12304"/>
      <w:bookmarkStart w:id="112" w:name="_Toc23451"/>
      <w:bookmarkStart w:id="113" w:name="_Toc374512423"/>
      <w:bookmarkStart w:id="114" w:name="_Toc26310"/>
      <w:bookmarkStart w:id="115" w:name="_Toc408816353"/>
      <w:bookmarkStart w:id="116" w:name="_Toc490161460"/>
      <w:bookmarkStart w:id="117" w:name="_Toc487805929"/>
      <w:bookmarkStart w:id="118" w:name="_Toc3023"/>
      <w:bookmarkStart w:id="119" w:name="_Toc373230035"/>
      <w:bookmarkStart w:id="120" w:name="_Toc477423253"/>
    </w:p>
    <w:p>
      <w:pPr>
        <w:pStyle w:val="9"/>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磋商承诺函</w:t>
      </w:r>
      <w:bookmarkEnd w:id="108"/>
      <w:bookmarkEnd w:id="109"/>
      <w:bookmarkEnd w:id="110"/>
      <w:bookmarkEnd w:id="111"/>
      <w:bookmarkEnd w:id="112"/>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5"/>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39"/>
        <w:rPr>
          <w:rFonts w:hint="eastAsia" w:ascii="宋体" w:hAnsi="宋体" w:cs="宋体"/>
          <w:szCs w:val="21"/>
        </w:rPr>
      </w:pPr>
    </w:p>
    <w:p>
      <w:pPr>
        <w:rPr>
          <w:rFonts w:hint="eastAsia" w:ascii="宋体" w:hAnsi="宋体" w:cs="宋体"/>
          <w:szCs w:val="21"/>
        </w:rPr>
      </w:pPr>
    </w:p>
    <w:p>
      <w:pPr>
        <w:pStyle w:val="39"/>
        <w:rPr>
          <w:rFonts w:hint="eastAsia" w:ascii="宋体" w:hAnsi="宋体" w:cs="宋体"/>
          <w:szCs w:val="21"/>
        </w:rPr>
      </w:pPr>
    </w:p>
    <w:p>
      <w:pPr>
        <w:rPr>
          <w:rFonts w:hint="eastAsia"/>
        </w:rPr>
      </w:pPr>
    </w:p>
    <w:p>
      <w:pPr>
        <w:pStyle w:val="9"/>
        <w:numPr>
          <w:ilvl w:val="0"/>
          <w:numId w:val="17"/>
        </w:numPr>
        <w:spacing w:before="0" w:after="0" w:line="360" w:lineRule="auto"/>
        <w:rPr>
          <w:rFonts w:hint="eastAsia" w:ascii="宋体" w:hAnsi="宋体" w:cs="宋体"/>
          <w:sz w:val="32"/>
          <w:szCs w:val="32"/>
        </w:rPr>
      </w:pPr>
      <w:bookmarkStart w:id="121" w:name="_Toc32512"/>
      <w:bookmarkStart w:id="122" w:name="_Toc438"/>
      <w:bookmarkStart w:id="123" w:name="_Toc13659"/>
      <w:bookmarkStart w:id="124" w:name="_Toc115021832"/>
      <w:r>
        <w:rPr>
          <w:rFonts w:hint="eastAsia" w:ascii="宋体" w:hAnsi="宋体" w:cs="宋体"/>
          <w:sz w:val="32"/>
          <w:szCs w:val="32"/>
        </w:rPr>
        <w:t>承诺书</w:t>
      </w:r>
      <w:bookmarkEnd w:id="121"/>
      <w:bookmarkEnd w:id="122"/>
      <w:bookmarkEnd w:id="123"/>
      <w:bookmarkEnd w:id="12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4"/>
        <w:rPr>
          <w:rFonts w:hint="eastAsia"/>
        </w:rPr>
      </w:pPr>
    </w:p>
    <w:p>
      <w:pPr>
        <w:pStyle w:val="54"/>
        <w:rPr>
          <w:rFonts w:hint="eastAsia"/>
        </w:rPr>
      </w:pPr>
    </w:p>
    <w:p>
      <w:pPr>
        <w:pStyle w:val="54"/>
        <w:rPr>
          <w:rFonts w:hint="eastAsia"/>
        </w:rPr>
      </w:pPr>
    </w:p>
    <w:p>
      <w:pPr>
        <w:pStyle w:val="54"/>
        <w:rPr>
          <w:rFonts w:hint="eastAsia"/>
        </w:rPr>
      </w:pPr>
    </w:p>
    <w:p>
      <w:pPr>
        <w:pStyle w:val="54"/>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3"/>
    <w:bookmarkEnd w:id="114"/>
    <w:bookmarkEnd w:id="115"/>
    <w:bookmarkEnd w:id="116"/>
    <w:bookmarkEnd w:id="117"/>
    <w:bookmarkEnd w:id="118"/>
    <w:bookmarkEnd w:id="119"/>
    <w:bookmarkEnd w:id="120"/>
    <w:p>
      <w:pPr>
        <w:pStyle w:val="9"/>
        <w:numPr>
          <w:ilvl w:val="0"/>
          <w:numId w:val="17"/>
        </w:numPr>
        <w:spacing w:before="0" w:after="0" w:line="360" w:lineRule="auto"/>
        <w:rPr>
          <w:rFonts w:hint="eastAsia" w:ascii="宋体" w:hAnsi="宋体" w:cs="宋体"/>
          <w:sz w:val="32"/>
          <w:szCs w:val="32"/>
        </w:rPr>
      </w:pPr>
      <w:bookmarkStart w:id="125" w:name="_Toc115021833"/>
      <w:bookmarkStart w:id="126" w:name="_Toc29369"/>
      <w:bookmarkStart w:id="127" w:name="_Toc484"/>
      <w:bookmarkStart w:id="128" w:name="_Toc6638"/>
      <w:bookmarkStart w:id="129" w:name="_Toc475955188"/>
      <w:bookmarkStart w:id="130" w:name="_Toc453513319"/>
      <w:bookmarkStart w:id="131" w:name="_Toc476045982"/>
      <w:bookmarkStart w:id="132" w:name="_Toc364490445"/>
      <w:bookmarkStart w:id="133" w:name="_Toc408816355"/>
      <w:bookmarkStart w:id="134" w:name="_Toc27591"/>
      <w:bookmarkStart w:id="135" w:name="_Toc477423254"/>
      <w:bookmarkStart w:id="136" w:name="_Toc373230037"/>
      <w:bookmarkStart w:id="137" w:name="_Toc374512425"/>
      <w:r>
        <w:rPr>
          <w:rFonts w:hint="eastAsia" w:ascii="宋体" w:hAnsi="宋体" w:cs="宋体"/>
          <w:sz w:val="32"/>
          <w:szCs w:val="32"/>
        </w:rPr>
        <w:t>供应商基本情况表</w:t>
      </w:r>
      <w:bookmarkEnd w:id="125"/>
      <w:bookmarkEnd w:id="126"/>
      <w:bookmarkEnd w:id="127"/>
      <w:bookmarkEnd w:id="128"/>
    </w:p>
    <w:tbl>
      <w:tblPr>
        <w:tblStyle w:val="40"/>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1" w:type="default"/>
          <w:pgSz w:w="11906" w:h="16838"/>
          <w:pgMar w:top="1134" w:right="1134" w:bottom="1134" w:left="1474" w:header="851" w:footer="510" w:gutter="0"/>
          <w:cols w:space="720" w:num="1"/>
          <w:docGrid w:type="lines" w:linePitch="312" w:charSpace="0"/>
        </w:sectPr>
      </w:pPr>
    </w:p>
    <w:p>
      <w:pPr>
        <w:pStyle w:val="9"/>
        <w:numPr>
          <w:ilvl w:val="0"/>
          <w:numId w:val="17"/>
        </w:numPr>
        <w:spacing w:before="0" w:after="0" w:line="360" w:lineRule="auto"/>
        <w:rPr>
          <w:rFonts w:hint="eastAsia" w:ascii="宋体" w:hAnsi="宋体" w:cs="宋体"/>
          <w:sz w:val="32"/>
          <w:szCs w:val="32"/>
        </w:rPr>
      </w:pPr>
      <w:bookmarkStart w:id="138" w:name="_Toc20355"/>
      <w:bookmarkStart w:id="139" w:name="_Toc31769"/>
      <w:bookmarkStart w:id="140" w:name="_Toc115021834"/>
      <w:bookmarkStart w:id="141" w:name="_Toc530584397"/>
      <w:bookmarkStart w:id="142" w:name="_Toc19916"/>
      <w:r>
        <w:rPr>
          <w:rFonts w:hint="eastAsia" w:ascii="宋体" w:hAnsi="宋体" w:cs="宋体"/>
          <w:sz w:val="32"/>
          <w:szCs w:val="32"/>
        </w:rPr>
        <w:t>第一轮报价表</w:t>
      </w:r>
      <w:bookmarkEnd w:id="138"/>
      <w:bookmarkEnd w:id="139"/>
      <w:bookmarkEnd w:id="140"/>
      <w:bookmarkEnd w:id="141"/>
      <w:bookmarkEnd w:id="142"/>
    </w:p>
    <w:tbl>
      <w:tblPr>
        <w:tblStyle w:val="40"/>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交易编号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szCs w:val="21"/>
              </w:rPr>
            </w:pPr>
            <w:r>
              <w:rPr>
                <w:rFonts w:hint="eastAsia" w:ascii="宋体" w:hAnsi="宋体" w:cs="宋体"/>
                <w:szCs w:val="21"/>
              </w:rPr>
              <w:t>大写：                　　¥：</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9"/>
        <w:numPr>
          <w:ilvl w:val="0"/>
          <w:numId w:val="17"/>
        </w:numPr>
        <w:spacing w:before="0" w:after="0" w:line="360" w:lineRule="auto"/>
        <w:rPr>
          <w:rFonts w:hint="eastAsia" w:ascii="宋体" w:hAnsi="宋体" w:cs="宋体"/>
          <w:sz w:val="32"/>
          <w:szCs w:val="32"/>
        </w:rPr>
      </w:pPr>
      <w:bookmarkStart w:id="143" w:name="_Toc16334"/>
      <w:bookmarkStart w:id="144" w:name="_Toc115021835"/>
      <w:bookmarkStart w:id="145" w:name="_Toc8227"/>
      <w:bookmarkStart w:id="146" w:name="_Toc23602"/>
      <w:r>
        <w:rPr>
          <w:rFonts w:hint="eastAsia" w:ascii="宋体" w:hAnsi="宋体" w:cs="宋体"/>
          <w:sz w:val="32"/>
          <w:szCs w:val="32"/>
        </w:rPr>
        <w:t>报价明细表</w:t>
      </w:r>
      <w:bookmarkEnd w:id="143"/>
      <w:bookmarkEnd w:id="144"/>
      <w:bookmarkEnd w:id="145"/>
      <w:bookmarkEnd w:id="146"/>
    </w:p>
    <w:p>
      <w:pPr>
        <w:spacing w:line="360" w:lineRule="auto"/>
        <w:rPr>
          <w:rFonts w:hint="eastAsia" w:ascii="宋体" w:hAnsi="宋体" w:cs="宋体"/>
          <w:szCs w:val="21"/>
        </w:rPr>
      </w:pPr>
      <w:r>
        <w:rPr>
          <w:rFonts w:hint="eastAsia" w:ascii="宋体" w:hAnsi="宋体" w:cs="宋体"/>
          <w:szCs w:val="21"/>
        </w:rPr>
        <w:t>项目名称：                                                交易编号：</w:t>
      </w:r>
    </w:p>
    <w:tbl>
      <w:tblPr>
        <w:tblStyle w:val="40"/>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784"/>
        <w:gridCol w:w="833"/>
        <w:gridCol w:w="1000"/>
        <w:gridCol w:w="1100"/>
        <w:gridCol w:w="1117"/>
        <w:gridCol w:w="802"/>
        <w:gridCol w:w="104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7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833"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00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100" w:type="dxa"/>
            <w:noWrap w:val="0"/>
            <w:vAlign w:val="top"/>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制造企业名称</w:t>
            </w:r>
          </w:p>
        </w:tc>
        <w:tc>
          <w:tcPr>
            <w:tcW w:w="1117"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802"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4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123"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exact"/>
          <w:jc w:val="center"/>
        </w:trPr>
        <w:tc>
          <w:tcPr>
            <w:tcW w:w="765"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784" w:type="dxa"/>
            <w:noWrap w:val="0"/>
            <w:vAlign w:val="center"/>
          </w:tcPr>
          <w:p>
            <w:pPr>
              <w:spacing w:line="360" w:lineRule="auto"/>
              <w:jc w:val="center"/>
              <w:rPr>
                <w:rFonts w:hint="eastAsia" w:ascii="宋体" w:hAnsi="宋体" w:cs="宋体"/>
                <w:szCs w:val="21"/>
              </w:rPr>
            </w:pPr>
            <w:r>
              <w:rPr>
                <w:rFonts w:hint="eastAsia" w:ascii="宋体" w:hAnsi="宋体" w:eastAsia="宋体" w:cs="宋体"/>
                <w:sz w:val="24"/>
                <w:szCs w:val="24"/>
              </w:rPr>
              <w:t>2T双螺旋隧道</w:t>
            </w:r>
          </w:p>
        </w:tc>
        <w:tc>
          <w:tcPr>
            <w:tcW w:w="833" w:type="dxa"/>
            <w:noWrap w:val="0"/>
            <w:vAlign w:val="center"/>
          </w:tcPr>
          <w:p>
            <w:pPr>
              <w:spacing w:line="360" w:lineRule="auto"/>
              <w:jc w:val="center"/>
              <w:rPr>
                <w:rFonts w:hint="eastAsia" w:ascii="宋体" w:hAnsi="宋体" w:cs="宋体"/>
                <w:szCs w:val="21"/>
              </w:rPr>
            </w:pPr>
          </w:p>
        </w:tc>
        <w:tc>
          <w:tcPr>
            <w:tcW w:w="1000" w:type="dxa"/>
            <w:noWrap w:val="0"/>
            <w:vAlign w:val="center"/>
          </w:tcPr>
          <w:p>
            <w:pPr>
              <w:spacing w:line="360" w:lineRule="auto"/>
              <w:jc w:val="center"/>
              <w:rPr>
                <w:rFonts w:hint="eastAsia" w:ascii="宋体" w:hAnsi="宋体" w:cs="宋体"/>
                <w:szCs w:val="21"/>
              </w:rPr>
            </w:pPr>
          </w:p>
        </w:tc>
        <w:tc>
          <w:tcPr>
            <w:tcW w:w="1100" w:type="dxa"/>
            <w:noWrap w:val="0"/>
            <w:vAlign w:val="top"/>
          </w:tcPr>
          <w:p>
            <w:pPr>
              <w:spacing w:line="360" w:lineRule="auto"/>
              <w:jc w:val="center"/>
              <w:rPr>
                <w:rFonts w:hint="eastAsia" w:ascii="宋体" w:hAnsi="宋体" w:cs="宋体"/>
                <w:szCs w:val="21"/>
              </w:rPr>
            </w:pPr>
          </w:p>
        </w:tc>
        <w:tc>
          <w:tcPr>
            <w:tcW w:w="1117" w:type="dxa"/>
            <w:noWrap w:val="0"/>
            <w:vAlign w:val="center"/>
          </w:tcPr>
          <w:p>
            <w:pPr>
              <w:spacing w:line="360" w:lineRule="auto"/>
              <w:jc w:val="center"/>
              <w:rPr>
                <w:rFonts w:hint="eastAsia" w:ascii="宋体" w:hAnsi="宋体" w:cs="宋体"/>
                <w:szCs w:val="21"/>
              </w:rPr>
            </w:pPr>
          </w:p>
        </w:tc>
        <w:tc>
          <w:tcPr>
            <w:tcW w:w="802"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040" w:type="dxa"/>
            <w:noWrap w:val="0"/>
            <w:vAlign w:val="center"/>
          </w:tcPr>
          <w:p>
            <w:pPr>
              <w:spacing w:line="360" w:lineRule="auto"/>
              <w:jc w:val="center"/>
              <w:rPr>
                <w:rFonts w:hint="eastAsia" w:ascii="宋体" w:hAnsi="宋体" w:cs="宋体"/>
                <w:szCs w:val="21"/>
              </w:rPr>
            </w:pPr>
          </w:p>
        </w:tc>
        <w:tc>
          <w:tcPr>
            <w:tcW w:w="1123"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top"/>
          </w:tcPr>
          <w:p>
            <w:pPr>
              <w:spacing w:line="460" w:lineRule="exact"/>
              <w:rPr>
                <w:rFonts w:hint="eastAsia" w:ascii="宋体" w:hAnsi="宋体" w:cs="宋体"/>
              </w:rPr>
            </w:pPr>
          </w:p>
        </w:tc>
        <w:tc>
          <w:tcPr>
            <w:tcW w:w="8799" w:type="dxa"/>
            <w:gridSpan w:val="8"/>
            <w:noWrap w:val="0"/>
            <w:vAlign w:val="center"/>
          </w:tcPr>
          <w:p>
            <w:pPr>
              <w:spacing w:line="460" w:lineRule="exact"/>
              <w:rPr>
                <w:rFonts w:hint="eastAsia" w:ascii="宋体" w:hAnsi="宋体" w:cs="宋体"/>
              </w:rPr>
            </w:pPr>
            <w:r>
              <w:rPr>
                <w:rFonts w:hint="eastAsia" w:ascii="宋体" w:hAnsi="宋体" w:cs="宋体"/>
              </w:rPr>
              <w:t>总报价大写：                           小写：</w:t>
            </w:r>
          </w:p>
        </w:tc>
      </w:tr>
    </w:tbl>
    <w:p>
      <w:pPr>
        <w:spacing w:line="360" w:lineRule="auto"/>
        <w:ind w:firstLine="422" w:firstLineChars="200"/>
        <w:rPr>
          <w:rFonts w:hint="eastAsia" w:ascii="宋体" w:hAnsi="宋体" w:cs="宋体"/>
          <w:b/>
          <w:bCs/>
          <w:szCs w:val="21"/>
        </w:rPr>
      </w:pPr>
    </w:p>
    <w:p>
      <w:pPr>
        <w:spacing w:line="360" w:lineRule="auto"/>
        <w:ind w:firstLine="420" w:firstLineChars="200"/>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
        <w:rPr>
          <w:rFonts w:hint="eastAsia" w:ascii="宋体" w:hAnsi="宋体" w:cs="宋体"/>
          <w:szCs w:val="21"/>
        </w:rPr>
      </w:pPr>
    </w:p>
    <w:p>
      <w:pPr>
        <w:pStyle w:val="4"/>
        <w:rPr>
          <w:rFonts w:hint="eastAsia" w:hAnsi="宋体"/>
          <w:szCs w:val="21"/>
        </w:rPr>
      </w:pPr>
    </w:p>
    <w:p>
      <w:pPr>
        <w:spacing w:line="360" w:lineRule="auto"/>
        <w:rPr>
          <w:rFonts w:hint="eastAsia" w:ascii="宋体" w:hAnsi="宋体" w:cs="宋体"/>
          <w:b/>
        </w:rPr>
      </w:pPr>
    </w:p>
    <w:p>
      <w:pPr>
        <w:pStyle w:val="3"/>
        <w:rPr>
          <w:rFonts w:hint="eastAsia" w:ascii="宋体" w:hAnsi="宋体" w:cs="宋体"/>
          <w:b/>
        </w:rPr>
      </w:pPr>
    </w:p>
    <w:p>
      <w:pPr>
        <w:pStyle w:val="4"/>
        <w:rPr>
          <w:rFonts w:hint="eastAsia" w:hAnsi="宋体"/>
          <w:b/>
        </w:rPr>
      </w:pPr>
    </w:p>
    <w:p>
      <w:pPr>
        <w:spacing w:line="360" w:lineRule="auto"/>
        <w:rPr>
          <w:rFonts w:hint="eastAsia" w:ascii="宋体" w:hAnsi="宋体" w:cs="宋体"/>
        </w:rPr>
      </w:pPr>
      <w:bookmarkStart w:id="147" w:name="_Toc30567"/>
      <w:bookmarkStart w:id="148" w:name="_Toc11308"/>
      <w:bookmarkStart w:id="149" w:name="_Toc115021836"/>
      <w:bookmarkStart w:id="150" w:name="_Toc15225"/>
    </w:p>
    <w:p>
      <w:pPr>
        <w:pStyle w:val="2"/>
        <w:rPr>
          <w:rFonts w:hint="eastAsia" w:ascii="宋体" w:hAnsi="宋体" w:cs="宋体"/>
        </w:rPr>
      </w:pPr>
    </w:p>
    <w:p>
      <w:pPr>
        <w:pStyle w:val="3"/>
        <w:rPr>
          <w:rFonts w:hint="eastAsia" w:ascii="宋体" w:hAnsi="宋体" w:cs="宋体"/>
        </w:rPr>
      </w:pPr>
    </w:p>
    <w:p>
      <w:pPr>
        <w:pStyle w:val="4"/>
        <w:rPr>
          <w:rFonts w:hint="eastAsia" w:ascii="宋体" w:hAnsi="宋体" w:cs="宋体"/>
        </w:rPr>
      </w:pPr>
    </w:p>
    <w:p>
      <w:pPr>
        <w:pStyle w:val="5"/>
        <w:rPr>
          <w:rFonts w:hint="eastAsia"/>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9"/>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技术响应表</w:t>
      </w:r>
      <w:bookmarkEnd w:id="147"/>
      <w:bookmarkEnd w:id="148"/>
      <w:bookmarkEnd w:id="149"/>
    </w:p>
    <w:bookmarkEnd w:id="150"/>
    <w:p>
      <w:pPr>
        <w:spacing w:line="360" w:lineRule="auto"/>
        <w:ind w:firstLine="420" w:firstLineChars="200"/>
        <w:rPr>
          <w:rFonts w:hint="eastAsia" w:ascii="宋体" w:hAnsi="宋体" w:cs="宋体"/>
          <w:szCs w:val="21"/>
        </w:rPr>
      </w:pPr>
      <w:r>
        <w:rPr>
          <w:rFonts w:hint="eastAsia" w:ascii="宋体" w:hAnsi="宋体" w:cs="宋体"/>
          <w:szCs w:val="21"/>
        </w:rPr>
        <w:t>项目名称：                                             交易编号：</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700"/>
        <w:gridCol w:w="721"/>
        <w:gridCol w:w="2229"/>
        <w:gridCol w:w="2204"/>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70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标的名称</w:t>
            </w:r>
          </w:p>
        </w:tc>
        <w:tc>
          <w:tcPr>
            <w:tcW w:w="72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222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磋商文件技术规格要求</w:t>
            </w:r>
          </w:p>
        </w:tc>
        <w:tc>
          <w:tcPr>
            <w:tcW w:w="220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货物实际技术规格</w:t>
            </w:r>
          </w:p>
        </w:tc>
        <w:tc>
          <w:tcPr>
            <w:tcW w:w="110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 xml:space="preserve"> 响应/</w:t>
            </w:r>
          </w:p>
          <w:p>
            <w:pPr>
              <w:spacing w:line="240" w:lineRule="atLeast"/>
              <w:jc w:val="center"/>
              <w:rPr>
                <w:rFonts w:hint="eastAsia" w:ascii="宋体" w:hAnsi="宋体" w:cs="宋体"/>
                <w:szCs w:val="21"/>
              </w:rPr>
            </w:pPr>
            <w:r>
              <w:rPr>
                <w:rFonts w:hint="eastAsia" w:ascii="宋体" w:hAnsi="宋体" w:cs="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exact"/>
          <w:jc w:val="center"/>
        </w:trPr>
        <w:tc>
          <w:tcPr>
            <w:tcW w:w="65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700" w:type="dxa"/>
            <w:noWrap w:val="0"/>
            <w:vAlign w:val="center"/>
          </w:tcPr>
          <w:p>
            <w:pPr>
              <w:spacing w:line="360" w:lineRule="auto"/>
              <w:jc w:val="center"/>
              <w:rPr>
                <w:rFonts w:hint="eastAsia" w:ascii="宋体" w:hAnsi="宋体" w:cs="宋体"/>
                <w:szCs w:val="21"/>
              </w:rPr>
            </w:pPr>
            <w:r>
              <w:rPr>
                <w:rFonts w:hint="eastAsia" w:ascii="宋体" w:hAnsi="宋体" w:cs="宋体"/>
                <w:szCs w:val="21"/>
              </w:rPr>
              <w:t>2T双螺旋隧道</w:t>
            </w:r>
          </w:p>
        </w:tc>
        <w:tc>
          <w:tcPr>
            <w:tcW w:w="72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2229" w:type="dxa"/>
            <w:noWrap w:val="0"/>
            <w:vAlign w:val="center"/>
          </w:tcPr>
          <w:p>
            <w:pPr>
              <w:spacing w:line="360" w:lineRule="auto"/>
              <w:jc w:val="center"/>
              <w:rPr>
                <w:rFonts w:hint="eastAsia" w:ascii="宋体" w:hAnsi="宋体" w:cs="宋体"/>
                <w:szCs w:val="21"/>
              </w:rPr>
            </w:pPr>
          </w:p>
        </w:tc>
        <w:tc>
          <w:tcPr>
            <w:tcW w:w="2204" w:type="dxa"/>
            <w:noWrap w:val="0"/>
            <w:vAlign w:val="top"/>
          </w:tcPr>
          <w:p>
            <w:pPr>
              <w:spacing w:line="360" w:lineRule="auto"/>
              <w:jc w:val="center"/>
              <w:rPr>
                <w:rFonts w:hint="eastAsia" w:ascii="宋体" w:hAnsi="宋体" w:cs="宋体"/>
                <w:szCs w:val="21"/>
              </w:rPr>
            </w:pPr>
          </w:p>
        </w:tc>
        <w:tc>
          <w:tcPr>
            <w:tcW w:w="1109" w:type="dxa"/>
            <w:noWrap w:val="0"/>
            <w:vAlign w:val="top"/>
          </w:tcPr>
          <w:p>
            <w:pPr>
              <w:spacing w:line="360" w:lineRule="auto"/>
              <w:jc w:val="center"/>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9"/>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pStyle w:val="3"/>
        <w:rPr>
          <w:rFonts w:hint="eastAsia" w:ascii="宋体" w:hAnsi="宋体" w:cs="宋体"/>
        </w:rPr>
      </w:pPr>
    </w:p>
    <w:p>
      <w:pPr>
        <w:pStyle w:val="4"/>
        <w:rPr>
          <w:rFonts w:hint="eastAsia" w:ascii="宋体" w:hAnsi="宋体" w:cs="宋体"/>
        </w:rPr>
      </w:pPr>
    </w:p>
    <w:p>
      <w:pPr>
        <w:pStyle w:val="5"/>
        <w:rPr>
          <w:rFonts w:hint="eastAsia" w:ascii="宋体" w:hAnsi="宋体" w:cs="宋体"/>
        </w:rPr>
      </w:pPr>
    </w:p>
    <w:p>
      <w:pPr>
        <w:pStyle w:val="6"/>
        <w:rPr>
          <w:rFonts w:hint="eastAsia"/>
        </w:rPr>
      </w:pPr>
    </w:p>
    <w:p>
      <w:pPr>
        <w:jc w:val="center"/>
        <w:rPr>
          <w:rFonts w:hint="eastAsia" w:ascii="宋体" w:hAnsi="宋体" w:cs="宋体"/>
        </w:rPr>
      </w:pPr>
      <w:bookmarkStart w:id="151" w:name="_Toc115021837"/>
      <w:bookmarkStart w:id="152" w:name="_Toc31901"/>
      <w:bookmarkStart w:id="153" w:name="_Toc24554"/>
    </w:p>
    <w:p>
      <w:pPr>
        <w:pStyle w:val="9"/>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项目名称：                                        交易编号：</w:t>
      </w:r>
    </w:p>
    <w:tbl>
      <w:tblPr>
        <w:tblStyle w:val="40"/>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ind w:firstLine="420" w:firstLineChars="200"/>
        <w:rPr>
          <w:rFonts w:hint="eastAsia" w:ascii="宋体" w:hAnsi="宋体" w:cs="宋体"/>
          <w:color w:val="000000"/>
          <w:szCs w:val="21"/>
        </w:rPr>
      </w:pPr>
    </w:p>
    <w:p>
      <w:pPr>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p>
      <w:pPr>
        <w:pStyle w:val="82"/>
        <w:rPr>
          <w:rFonts w:hint="eastAsia" w:ascii="宋体" w:hAnsi="宋体" w:cs="宋体"/>
        </w:rPr>
      </w:pPr>
    </w:p>
    <w:p>
      <w:pPr>
        <w:spacing w:line="360" w:lineRule="auto"/>
        <w:ind w:firstLine="560" w:firstLineChars="200"/>
        <w:jc w:val="right"/>
        <w:rPr>
          <w:rFonts w:hint="eastAsia" w:ascii="宋体" w:hAnsi="宋体" w:cs="宋体"/>
          <w:sz w:val="28"/>
          <w:szCs w:val="28"/>
        </w:rPr>
      </w:pPr>
    </w:p>
    <w:p>
      <w:pPr>
        <w:pStyle w:val="25"/>
        <w:rPr>
          <w:rFonts w:hint="eastAsia" w:cs="宋体"/>
          <w:sz w:val="28"/>
          <w:szCs w:val="24"/>
        </w:rPr>
      </w:pPr>
    </w:p>
    <w:bookmarkEnd w:id="129"/>
    <w:bookmarkEnd w:id="130"/>
    <w:bookmarkEnd w:id="131"/>
    <w:bookmarkEnd w:id="132"/>
    <w:bookmarkEnd w:id="133"/>
    <w:bookmarkEnd w:id="134"/>
    <w:bookmarkEnd w:id="135"/>
    <w:p>
      <w:pPr>
        <w:pStyle w:val="9"/>
        <w:numPr>
          <w:ilvl w:val="0"/>
          <w:numId w:val="17"/>
        </w:numPr>
        <w:spacing w:before="0" w:after="0" w:line="360" w:lineRule="auto"/>
        <w:rPr>
          <w:rFonts w:hint="eastAsia" w:ascii="宋体" w:hAnsi="宋体" w:cs="宋体"/>
          <w:sz w:val="32"/>
          <w:szCs w:val="32"/>
        </w:rPr>
      </w:pPr>
      <w:bookmarkStart w:id="154" w:name="_bookmark278"/>
      <w:bookmarkEnd w:id="154"/>
      <w:bookmarkStart w:id="155" w:name="18.4.4_信息采集费用概算明细表"/>
      <w:bookmarkEnd w:id="155"/>
      <w:bookmarkStart w:id="156" w:name="_Toc115021838"/>
      <w:bookmarkStart w:id="157" w:name="_Toc6508"/>
      <w:bookmarkStart w:id="158" w:name="_Toc8927"/>
      <w:r>
        <w:rPr>
          <w:rFonts w:hint="eastAsia" w:ascii="宋体" w:hAnsi="宋体" w:cs="宋体"/>
          <w:sz w:val="32"/>
          <w:szCs w:val="32"/>
        </w:rPr>
        <w:t>资格证明材料</w:t>
      </w:r>
      <w:bookmarkEnd w:id="156"/>
      <w:bookmarkEnd w:id="157"/>
      <w:bookmarkEnd w:id="158"/>
    </w:p>
    <w:p>
      <w:pPr>
        <w:numPr>
          <w:ilvl w:val="0"/>
          <w:numId w:val="18"/>
        </w:numPr>
        <w:spacing w:line="360" w:lineRule="auto"/>
        <w:ind w:firstLine="48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2.提供中小企业声明函（详见格式），</w:t>
      </w:r>
      <w:r>
        <w:rPr>
          <w:rFonts w:hint="eastAsia" w:ascii="宋体" w:hAnsi="宋体" w:eastAsia="宋体" w:cs="宋体"/>
          <w:color w:val="auto"/>
          <w:sz w:val="24"/>
          <w:szCs w:val="24"/>
          <w:lang w:val="en-US" w:eastAsia="zh-CN"/>
        </w:rPr>
        <w:t>磋商</w:t>
      </w:r>
      <w:r>
        <w:rPr>
          <w:rFonts w:hint="eastAsia" w:ascii="宋体" w:hAnsi="宋体" w:eastAsia="宋体" w:cs="宋体"/>
          <w:sz w:val="24"/>
          <w:szCs w:val="24"/>
          <w:lang w:val="en-US" w:eastAsia="zh-CN"/>
        </w:rPr>
        <w:t>小组根据供应商提供的《中小企业声明函》认定该供应商是否属于中小企业；监狱企业和残疾人福利性单位视同小型、微型企业。不属于中小企业或监狱企业或残疾人福利性单位的不得参与本项目</w:t>
      </w:r>
      <w:r>
        <w:rPr>
          <w:rFonts w:hint="eastAsia" w:ascii="宋体" w:hAnsi="宋体" w:cs="宋体"/>
          <w:color w:val="auto"/>
          <w:sz w:val="21"/>
          <w:szCs w:val="21"/>
          <w:lang w:val="en-US" w:eastAsia="zh-CN"/>
        </w:rPr>
        <w:t>磋商</w:t>
      </w:r>
      <w:r>
        <w:rPr>
          <w:rFonts w:hint="eastAsia" w:ascii="宋体" w:hAnsi="宋体" w:eastAsia="宋体" w:cs="宋体"/>
          <w:sz w:val="24"/>
          <w:szCs w:val="24"/>
          <w:lang w:val="en-US" w:eastAsia="zh-CN"/>
        </w:rPr>
        <w:t>；</w:t>
      </w:r>
    </w:p>
    <w:p>
      <w:pPr>
        <w:spacing w:line="360" w:lineRule="auto"/>
        <w:ind w:firstLine="480" w:firstLineChars="200"/>
        <w:jc w:val="left"/>
        <w:rPr>
          <w:rFonts w:hint="eastAsia" w:ascii="宋体" w:hAnsi="宋体" w:cs="宋体"/>
          <w:color w:val="FF0000"/>
          <w:sz w:val="24"/>
          <w:szCs w:val="24"/>
          <w:highlight w:val="yellow"/>
        </w:rPr>
      </w:pPr>
      <w:r>
        <w:rPr>
          <w:rFonts w:hint="eastAsia" w:ascii="宋体" w:hAnsi="宋体" w:cs="宋体"/>
          <w:sz w:val="24"/>
          <w:szCs w:val="24"/>
          <w:lang w:val="en-US" w:eastAsia="zh-CN"/>
        </w:rPr>
        <w:t>3.</w:t>
      </w:r>
      <w:r>
        <w:rPr>
          <w:rFonts w:hint="eastAsia" w:ascii="宋体" w:hAnsi="宋体" w:cs="宋体"/>
          <w:sz w:val="24"/>
          <w:szCs w:val="24"/>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.供应商及其法定代表人、委托代理人均无行贿犯罪记录（提供无行贿犯罪记录承诺书，详见格式）；</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pStyle w:val="3"/>
        <w:rPr>
          <w:rFonts w:hint="eastAsia" w:ascii="宋体" w:hAnsi="宋体" w:cs="宋体"/>
          <w:b/>
          <w:sz w:val="24"/>
          <w:szCs w:val="24"/>
        </w:rPr>
      </w:pPr>
    </w:p>
    <w:p>
      <w:pPr>
        <w:pStyle w:val="4"/>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3"/>
        <w:rPr>
          <w:rFonts w:hint="eastAsia" w:ascii="宋体" w:hAnsi="宋体" w:cs="宋体"/>
          <w:b/>
          <w:sz w:val="24"/>
          <w:szCs w:val="24"/>
        </w:rPr>
      </w:pPr>
    </w:p>
    <w:p>
      <w:pPr>
        <w:pStyle w:val="4"/>
        <w:rPr>
          <w:rFonts w:hint="eastAsia" w:hAnsi="宋体"/>
          <w:b/>
          <w:color w:val="auto"/>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widowControl/>
        <w:kinsoku w:val="0"/>
        <w:autoSpaceDE w:val="0"/>
        <w:autoSpaceDN w:val="0"/>
        <w:adjustRightInd w:val="0"/>
        <w:snapToGrid w:val="0"/>
        <w:spacing w:line="560" w:lineRule="exact"/>
        <w:jc w:val="center"/>
        <w:textAlignment w:val="baseline"/>
        <w:outlineLvl w:val="0"/>
        <w:rPr>
          <w:rFonts w:hint="eastAsia" w:ascii="宋体" w:hAnsi="宋体" w:cs="宋体"/>
          <w:sz w:val="32"/>
          <w:szCs w:val="32"/>
        </w:rPr>
      </w:pPr>
      <w:bookmarkStart w:id="159" w:name="_Toc8011"/>
      <w:bookmarkStart w:id="160" w:name="_Toc31392"/>
      <w:bookmarkStart w:id="161" w:name="_Toc114940421"/>
      <w:r>
        <w:rPr>
          <w:rFonts w:hint="eastAsia" w:ascii="宋体" w:hAnsi="宋体" w:cs="宋体"/>
          <w:b/>
          <w:bCs/>
          <w:sz w:val="30"/>
          <w:szCs w:val="30"/>
        </w:rPr>
        <w:t>武陟县政府采购供应商资格信用承诺函</w:t>
      </w:r>
      <w:bookmarkEnd w:id="159"/>
      <w:r>
        <w:rPr>
          <w:rFonts w:hint="eastAsia" w:ascii="宋体" w:hAnsi="宋体" w:cs="宋体"/>
          <w:b/>
          <w:bCs/>
          <w:sz w:val="30"/>
          <w:szCs w:val="30"/>
        </w:rPr>
        <w:t xml:space="preserve"> </w:t>
      </w:r>
      <w:r>
        <w:rPr>
          <w:rFonts w:hint="eastAsia" w:ascii="宋体" w:hAnsi="宋体" w:cs="宋体"/>
          <w:b/>
          <w:bCs/>
          <w:sz w:val="32"/>
          <w:szCs w:val="32"/>
        </w:rPr>
        <w:t xml:space="preserve"> </w:t>
      </w:r>
      <w:r>
        <w:rPr>
          <w:rFonts w:hint="eastAsia" w:ascii="宋体" w:hAnsi="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10"/>
        <w:jc w:val="center"/>
        <w:rPr>
          <w:rFonts w:hint="eastAsia" w:ascii="宋体" w:hAnsi="宋体" w:eastAsia="宋体" w:cs="宋体"/>
          <w:sz w:val="28"/>
          <w:szCs w:val="28"/>
        </w:rPr>
      </w:pPr>
    </w:p>
    <w:p>
      <w:pPr>
        <w:pStyle w:val="10"/>
        <w:jc w:val="center"/>
        <w:rPr>
          <w:rFonts w:hint="eastAsia" w:ascii="宋体" w:hAnsi="宋体" w:eastAsia="宋体" w:cs="宋体"/>
          <w:sz w:val="28"/>
          <w:szCs w:val="28"/>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b/>
          <w:bCs/>
          <w:sz w:val="32"/>
          <w:szCs w:val="32"/>
        </w:rPr>
      </w:pPr>
    </w:p>
    <w:bookmarkEnd w:id="136"/>
    <w:bookmarkEnd w:id="13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62" w:name="_Toc487805932"/>
      <w:bookmarkStart w:id="163" w:name="_Toc477423256"/>
      <w:bookmarkStart w:id="164" w:name="_Toc15846"/>
      <w:bookmarkStart w:id="165" w:name="_Toc428454062"/>
      <w:bookmarkStart w:id="166" w:name="_Toc23619"/>
      <w:bookmarkStart w:id="167" w:name="_Toc490161471"/>
      <w:bookmarkStart w:id="168" w:name="_Toc115021841"/>
      <w:bookmarkStart w:id="169" w:name="_Toc5506"/>
      <w:bookmarkStart w:id="170" w:name="_Toc428525390"/>
      <w:bookmarkStart w:id="171" w:name="_Toc406663316"/>
      <w:bookmarkStart w:id="172" w:name="_Toc214329904"/>
      <w:bookmarkStart w:id="173" w:name="_Toc374512433"/>
      <w:bookmarkStart w:id="174" w:name="_Toc364490446"/>
      <w:bookmarkStart w:id="175" w:name="_Toc25878"/>
      <w:bookmarkStart w:id="176" w:name="_Toc408816356"/>
      <w:bookmarkStart w:id="177" w:name="_Toc373230045"/>
      <w:r>
        <w:rPr>
          <w:rFonts w:hint="eastAsia"/>
          <w:b/>
          <w:sz w:val="28"/>
        </w:rPr>
        <w:t xml:space="preserve"> </w:t>
      </w:r>
    </w:p>
    <w:p>
      <w:pPr>
        <w:pStyle w:val="9"/>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1"/>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4"/>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78" w:name="_Toc487805933"/>
      <w:bookmarkStart w:id="179" w:name="_Toc477423257"/>
      <w:bookmarkStart w:id="180" w:name="_Toc490161472"/>
      <w:bookmarkStart w:id="181" w:name="_Toc15453"/>
      <w:bookmarkStart w:id="182" w:name="_Toc476045985"/>
      <w:bookmarkStart w:id="183" w:name="_Toc475955191"/>
      <w:bookmarkStart w:id="184" w:name="_Toc428525391"/>
      <w:bookmarkStart w:id="185"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2"/>
        <w:ind w:firstLine="964" w:firstLineChars="400"/>
        <w:rPr>
          <w:rFonts w:hint="eastAsia" w:ascii="宋体" w:hAnsi="宋体" w:cs="宋体"/>
        </w:rPr>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477423259"/>
      <w:bookmarkStart w:id="187" w:name="_Toc487805935"/>
      <w:bookmarkStart w:id="188" w:name="_Toc17258"/>
      <w:bookmarkStart w:id="189" w:name="_Toc490161474"/>
      <w:r>
        <w:rPr>
          <w:rFonts w:hint="eastAsia" w:ascii="宋体" w:hAnsi="宋体" w:cs="宋体"/>
          <w:b/>
        </w:rPr>
        <w:t>此项。</w:t>
      </w:r>
    </w:p>
    <w:p>
      <w:pPr>
        <w:pStyle w:val="9"/>
        <w:numPr>
          <w:ilvl w:val="0"/>
          <w:numId w:val="17"/>
        </w:numPr>
        <w:spacing w:before="0" w:after="0" w:line="360" w:lineRule="auto"/>
        <w:rPr>
          <w:rFonts w:hint="eastAsia" w:ascii="宋体" w:hAnsi="宋体" w:cs="宋体"/>
          <w:sz w:val="32"/>
          <w:szCs w:val="32"/>
        </w:rPr>
      </w:pPr>
      <w:bookmarkStart w:id="190" w:name="_Toc19765"/>
      <w:bookmarkStart w:id="191" w:name="_Toc115021842"/>
      <w:bookmarkStart w:id="192" w:name="_Toc27688"/>
      <w:bookmarkStart w:id="193" w:name="_Toc22688"/>
      <w:r>
        <w:rPr>
          <w:rFonts w:hint="eastAsia" w:ascii="宋体" w:hAnsi="宋体" w:cs="宋体"/>
          <w:sz w:val="32"/>
          <w:szCs w:val="32"/>
        </w:rPr>
        <w:t>中小企业声明函（货物）</w:t>
      </w:r>
      <w:bookmarkEnd w:id="190"/>
      <w:bookmarkEnd w:id="191"/>
      <w:bookmarkEnd w:id="192"/>
      <w:bookmarkEnd w:id="193"/>
    </w:p>
    <w:p>
      <w:pPr>
        <w:spacing w:line="360" w:lineRule="auto"/>
        <w:ind w:firstLine="480" w:firstLineChars="200"/>
        <w:rPr>
          <w:rFonts w:hint="eastAsia" w:ascii="宋体" w:hAnsi="宋体" w:cs="宋体"/>
          <w:sz w:val="24"/>
          <w:szCs w:val="24"/>
        </w:rPr>
      </w:pPr>
      <w:r>
        <w:rPr>
          <w:rFonts w:hint="eastAsia" w:ascii="宋体" w:hAnsi="宋体" w:cs="宋体"/>
          <w:sz w:val="24"/>
          <w:szCs w:val="24"/>
        </w:rPr>
        <w:t>本公司（联合体）郑重声明，根据《政府采购促进中小企业发展管理办法》 (财库（2020) 46号）的规定，本公司（联合体）参加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2T双螺旋隧道</w:t>
      </w:r>
      <w:r>
        <w:rPr>
          <w:rFonts w:hint="eastAsia" w:ascii="宋体" w:hAnsi="宋体" w:cs="宋体"/>
          <w:sz w:val="24"/>
          <w:szCs w:val="24"/>
        </w:rPr>
        <w:t>，属于</w:t>
      </w:r>
      <w:r>
        <w:rPr>
          <w:rFonts w:hint="eastAsia" w:ascii="宋体" w:hAnsi="宋体" w:cs="宋体"/>
          <w:b/>
          <w:bCs/>
          <w:sz w:val="24"/>
          <w:szCs w:val="24"/>
          <w:u w:val="single"/>
          <w:lang w:eastAsia="zh-CN"/>
        </w:rPr>
        <w:t>制造业</w:t>
      </w:r>
      <w:r>
        <w:rPr>
          <w:rFonts w:hint="eastAsia" w:ascii="宋体" w:hAnsi="宋体" w:cs="宋体"/>
          <w:sz w:val="24"/>
          <w:szCs w:val="24"/>
        </w:rPr>
        <w:t>行业；制造商为</w:t>
      </w:r>
      <w:r>
        <w:rPr>
          <w:rFonts w:hint="eastAsia" w:ascii="宋体" w:hAnsi="宋体" w:cs="宋体"/>
          <w:sz w:val="24"/>
          <w:szCs w:val="24"/>
          <w:u w:val="single"/>
        </w:rPr>
        <w:t>（企业名称）</w:t>
      </w:r>
      <w:r>
        <w:rPr>
          <w:rFonts w:hint="eastAsia" w:ascii="宋体" w:hAnsi="宋体" w:cs="宋体"/>
          <w:sz w:val="24"/>
          <w:szCs w:val="24"/>
        </w:rPr>
        <w:t>， 从业人员＿人，营业收入为＿万元，资产总额为＿万元， 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ind w:firstLine="5760" w:firstLineChars="2400"/>
        <w:rPr>
          <w:rFonts w:hint="eastAsia" w:ascii="宋体" w:hAnsi="宋体" w:cs="宋体"/>
          <w:sz w:val="24"/>
          <w:szCs w:val="24"/>
        </w:rPr>
      </w:pPr>
      <w:r>
        <w:rPr>
          <w:rFonts w:hint="eastAsia" w:ascii="宋体" w:hAnsi="宋体" w:cs="宋体"/>
          <w:sz w:val="24"/>
          <w:szCs w:val="24"/>
        </w:rPr>
        <w:t>企业名称（盖章）：</w:t>
      </w:r>
    </w:p>
    <w:p>
      <w:pPr>
        <w:spacing w:line="360" w:lineRule="auto"/>
        <w:jc w:val="center"/>
        <w:rPr>
          <w:rFonts w:hint="eastAsia" w:ascii="宋体" w:hAnsi="宋体" w:cs="宋体"/>
          <w:sz w:val="24"/>
          <w:szCs w:val="24"/>
        </w:rPr>
      </w:pPr>
      <w:r>
        <w:rPr>
          <w:rFonts w:hint="eastAsia" w:ascii="宋体" w:hAnsi="宋体" w:cs="宋体"/>
          <w:sz w:val="24"/>
          <w:szCs w:val="24"/>
        </w:rPr>
        <w:t xml:space="preserve">                            日期：</w:t>
      </w:r>
    </w:p>
    <w:p>
      <w:pPr>
        <w:spacing w:line="360" w:lineRule="auto"/>
        <w:rPr>
          <w:rFonts w:hint="eastAsia" w:ascii="宋体" w:hAnsi="宋体" w:cs="宋体"/>
          <w:sz w:val="24"/>
          <w:szCs w:val="24"/>
        </w:rPr>
      </w:pPr>
      <w:r>
        <w:rPr>
          <w:rFonts w:hint="eastAsia" w:ascii="宋体" w:hAnsi="宋体" w:cs="宋体"/>
          <w:sz w:val="24"/>
          <w:szCs w:val="24"/>
        </w:rPr>
        <w:t xml:space="preserve"> </w:t>
      </w:r>
    </w:p>
    <w:p>
      <w:pPr>
        <w:spacing w:line="360" w:lineRule="auto"/>
        <w:rPr>
          <w:rFonts w:hint="eastAsia" w:ascii="宋体" w:hAnsi="宋体" w:cs="宋体"/>
          <w:b/>
          <w:sz w:val="24"/>
          <w:szCs w:val="24"/>
        </w:rPr>
      </w:pPr>
      <w:r>
        <w:rPr>
          <w:rFonts w:hint="eastAsia" w:ascii="宋体" w:hAnsi="宋体" w:cs="宋体"/>
          <w:b/>
          <w:sz w:val="24"/>
          <w:szCs w:val="24"/>
        </w:rPr>
        <w:t>注：1.人业人员、营业收入、资产总额填报上一年度数据，无上一年度数据的新成立企业可不填报；</w:t>
      </w:r>
    </w:p>
    <w:p>
      <w:pPr>
        <w:spacing w:line="360" w:lineRule="auto"/>
        <w:ind w:firstLine="480" w:firstLineChars="200"/>
        <w:rPr>
          <w:rFonts w:hint="eastAsia" w:ascii="宋体" w:hAnsi="宋体" w:cs="宋体"/>
          <w:b/>
          <w:sz w:val="24"/>
          <w:szCs w:val="24"/>
        </w:rPr>
      </w:pPr>
      <w:r>
        <w:rPr>
          <w:rFonts w:hint="eastAsia" w:ascii="宋体" w:hAnsi="宋体" w:cs="宋体"/>
          <w:b/>
          <w:sz w:val="24"/>
          <w:szCs w:val="24"/>
          <w:lang w:val="en-US" w:eastAsia="zh-CN"/>
        </w:rPr>
        <w:t>2</w:t>
      </w:r>
      <w:r>
        <w:rPr>
          <w:rFonts w:hint="eastAsia" w:ascii="宋体" w:hAnsi="宋体" w:cs="宋体"/>
          <w:b/>
          <w:sz w:val="24"/>
          <w:szCs w:val="24"/>
        </w:rPr>
        <w:t>.本注的文字，仅作告知，不作格式要求。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widowControl/>
        <w:spacing w:line="580" w:lineRule="atLeast"/>
        <w:rPr>
          <w:rFonts w:hint="eastAsia" w:ascii="宋体" w:hAnsi="宋体" w:cs="宋体"/>
        </w:rPr>
      </w:pPr>
    </w:p>
    <w:p>
      <w:pPr>
        <w:pStyle w:val="2"/>
        <w:rPr>
          <w:rFonts w:hint="eastAsia" w:ascii="宋体" w:hAnsi="宋体" w:cs="宋体"/>
        </w:rPr>
      </w:pPr>
    </w:p>
    <w:p>
      <w:pPr>
        <w:pStyle w:val="3"/>
        <w:rPr>
          <w:rFonts w:hint="eastAsia" w:ascii="宋体" w:hAnsi="宋体" w:cs="宋体"/>
        </w:rPr>
      </w:pPr>
    </w:p>
    <w:p>
      <w:pPr>
        <w:pStyle w:val="4"/>
        <w:rPr>
          <w:rFonts w:hint="eastAsia" w:ascii="宋体" w:hAnsi="宋体" w:cs="宋体"/>
        </w:rPr>
      </w:pPr>
    </w:p>
    <w:p>
      <w:pPr>
        <w:pStyle w:val="5"/>
        <w:rPr>
          <w:rFonts w:hint="eastAsia" w:ascii="宋体" w:hAnsi="宋体" w:cs="宋体"/>
        </w:rPr>
      </w:pPr>
    </w:p>
    <w:p>
      <w:pPr>
        <w:pStyle w:val="6"/>
        <w:rPr>
          <w:rFonts w:hint="eastAsia"/>
        </w:rPr>
      </w:pPr>
    </w:p>
    <w:p>
      <w:pPr>
        <w:pStyle w:val="9"/>
        <w:numPr>
          <w:ilvl w:val="0"/>
          <w:numId w:val="17"/>
        </w:numPr>
        <w:spacing w:before="0" w:after="0" w:line="360" w:lineRule="auto"/>
        <w:rPr>
          <w:rFonts w:hint="eastAsia" w:ascii="宋体" w:hAnsi="宋体" w:cs="宋体"/>
          <w:sz w:val="32"/>
          <w:szCs w:val="32"/>
        </w:rPr>
      </w:pPr>
      <w:bookmarkStart w:id="194" w:name="_Toc5526"/>
      <w:bookmarkStart w:id="195" w:name="_Toc115021843"/>
      <w:bookmarkStart w:id="196" w:name="_Toc529865893"/>
      <w:bookmarkStart w:id="197" w:name="_Toc12027"/>
      <w:r>
        <w:rPr>
          <w:rFonts w:hint="eastAsia" w:ascii="宋体" w:hAnsi="宋体" w:cs="宋体"/>
          <w:sz w:val="32"/>
          <w:szCs w:val="32"/>
        </w:rPr>
        <w:t>残疾人福利性单位声明函</w:t>
      </w:r>
      <w:bookmarkEnd w:id="194"/>
      <w:bookmarkEnd w:id="195"/>
      <w:bookmarkEnd w:id="196"/>
      <w:bookmarkEnd w:id="197"/>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spacing w:line="600" w:lineRule="exact"/>
        <w:ind w:firstLine="420" w:firstLineChars="175"/>
        <w:rPr>
          <w:rFonts w:hint="eastAsia" w:ascii="宋体" w:hAnsi="宋体" w:cs="宋体"/>
          <w:sz w:val="24"/>
        </w:rPr>
      </w:pPr>
    </w:p>
    <w:p>
      <w:pPr>
        <w:pStyle w:val="10"/>
        <w:spacing w:line="460" w:lineRule="exact"/>
        <w:jc w:val="center"/>
        <w:rPr>
          <w:rFonts w:hint="eastAsia" w:ascii="宋体" w:hAnsi="宋体" w:eastAsia="宋体" w:cs="宋体"/>
          <w:sz w:val="24"/>
          <w:szCs w:val="24"/>
        </w:rPr>
      </w:pPr>
    </w:p>
    <w:p>
      <w:pPr>
        <w:rPr>
          <w:rFonts w:hint="eastAsia" w:ascii="宋体" w:hAnsi="宋体" w:cs="宋体"/>
        </w:rPr>
      </w:pPr>
    </w:p>
    <w:p>
      <w:pPr>
        <w:pStyle w:val="10"/>
        <w:spacing w:line="460" w:lineRule="exact"/>
        <w:jc w:val="center"/>
        <w:rPr>
          <w:rFonts w:hint="eastAsia" w:ascii="宋体" w:hAnsi="宋体" w:eastAsia="宋体" w:cs="宋体"/>
          <w:sz w:val="24"/>
          <w:szCs w:val="24"/>
        </w:rPr>
      </w:pPr>
    </w:p>
    <w:p>
      <w:pPr>
        <w:pStyle w:val="10"/>
        <w:spacing w:line="460" w:lineRule="exact"/>
        <w:jc w:val="center"/>
        <w:rPr>
          <w:rFonts w:hint="eastAsia" w:ascii="宋体" w:hAnsi="宋体" w:eastAsia="宋体" w:cs="宋体"/>
          <w:sz w:val="24"/>
          <w:szCs w:val="24"/>
        </w:rPr>
      </w:pPr>
    </w:p>
    <w:p>
      <w:pPr>
        <w:pStyle w:val="10"/>
        <w:spacing w:line="460" w:lineRule="exact"/>
        <w:jc w:val="center"/>
        <w:rPr>
          <w:rFonts w:hint="eastAsia" w:ascii="宋体" w:hAnsi="宋体" w:eastAsia="宋体" w:cs="宋体"/>
          <w:sz w:val="24"/>
          <w:szCs w:val="24"/>
        </w:rPr>
      </w:pPr>
    </w:p>
    <w:p>
      <w:pPr>
        <w:rPr>
          <w:rFonts w:hint="eastAsia" w:ascii="宋体" w:hAnsi="宋体" w:cs="宋体"/>
        </w:rPr>
      </w:pPr>
    </w:p>
    <w:p>
      <w:pPr>
        <w:pStyle w:val="25"/>
        <w:rPr>
          <w:rFonts w:hint="eastAsia" w:cs="宋体"/>
        </w:rPr>
      </w:pPr>
    </w:p>
    <w:bookmarkEnd w:id="186"/>
    <w:bookmarkEnd w:id="187"/>
    <w:bookmarkEnd w:id="188"/>
    <w:bookmarkEnd w:id="189"/>
    <w:p>
      <w:pPr>
        <w:pStyle w:val="9"/>
        <w:numPr>
          <w:ilvl w:val="0"/>
          <w:numId w:val="17"/>
        </w:numPr>
        <w:spacing w:before="0" w:after="0" w:line="360" w:lineRule="auto"/>
        <w:rPr>
          <w:rFonts w:hint="eastAsia" w:ascii="宋体" w:hAnsi="宋体" w:cs="宋体"/>
          <w:sz w:val="32"/>
          <w:szCs w:val="32"/>
        </w:rPr>
      </w:pPr>
      <w:bookmarkStart w:id="198" w:name="_Toc477423260"/>
      <w:bookmarkStart w:id="199" w:name="_Toc19062"/>
      <w:bookmarkStart w:id="200" w:name="_Toc1654"/>
      <w:bookmarkStart w:id="201" w:name="_Toc490161475"/>
      <w:bookmarkStart w:id="202" w:name="_Toc487805936"/>
      <w:bookmarkStart w:id="203" w:name="_Toc115021844"/>
      <w:bookmarkStart w:id="204" w:name="_Toc7213"/>
      <w:r>
        <w:rPr>
          <w:rFonts w:hint="eastAsia" w:ascii="宋体" w:hAnsi="宋体" w:cs="宋体"/>
          <w:sz w:val="32"/>
          <w:szCs w:val="32"/>
        </w:rPr>
        <w:t>反商业贿赂承诺书</w:t>
      </w:r>
      <w:bookmarkEnd w:id="198"/>
      <w:bookmarkEnd w:id="199"/>
      <w:bookmarkEnd w:id="200"/>
      <w:bookmarkEnd w:id="201"/>
      <w:bookmarkEnd w:id="202"/>
      <w:bookmarkEnd w:id="203"/>
      <w:bookmarkEnd w:id="204"/>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2"/>
    <w:bookmarkEnd w:id="173"/>
    <w:bookmarkEnd w:id="174"/>
    <w:bookmarkEnd w:id="175"/>
    <w:bookmarkEnd w:id="176"/>
    <w:bookmarkEnd w:id="177"/>
    <w:bookmarkEnd w:id="184"/>
    <w:bookmarkEnd w:id="185"/>
    <w:p>
      <w:pPr>
        <w:spacing w:line="460" w:lineRule="exact"/>
        <w:rPr>
          <w:rFonts w:hint="eastAsia" w:ascii="宋体" w:hAnsi="宋体" w:cs="宋体"/>
          <w:sz w:val="24"/>
          <w:szCs w:val="24"/>
        </w:rPr>
      </w:pPr>
      <w:bookmarkStart w:id="205" w:name="_Toc365712853"/>
      <w:bookmarkStart w:id="206" w:name="_Toc450037734"/>
      <w:bookmarkStart w:id="207" w:name="_Toc18166"/>
      <w:bookmarkStart w:id="208" w:name="_Toc475955200"/>
      <w:bookmarkStart w:id="209" w:name="_Toc476045994"/>
      <w:bookmarkStart w:id="210" w:name="_Toc477423265"/>
      <w:bookmarkStart w:id="211" w:name="_Toc490161482"/>
      <w:bookmarkStart w:id="212" w:name="_Toc115021845"/>
      <w:bookmarkStart w:id="213" w:name="_Toc364962592"/>
      <w:bookmarkStart w:id="214" w:name="_Toc406663323"/>
      <w:bookmarkStart w:id="215" w:name="_Toc19579"/>
      <w:bookmarkStart w:id="216" w:name="_Toc1946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9"/>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竞争性磋商文件要求的以及供应商认为应该提供的其他材料</w:t>
      </w:r>
      <w:bookmarkEnd w:id="205"/>
      <w:bookmarkEnd w:id="206"/>
      <w:bookmarkEnd w:id="207"/>
      <w:bookmarkEnd w:id="208"/>
      <w:bookmarkEnd w:id="209"/>
      <w:bookmarkEnd w:id="210"/>
      <w:bookmarkEnd w:id="211"/>
      <w:bookmarkEnd w:id="212"/>
      <w:bookmarkEnd w:id="213"/>
      <w:bookmarkEnd w:id="214"/>
      <w:bookmarkEnd w:id="215"/>
      <w:bookmarkEnd w:id="216"/>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rPr>
          <w:rFonts w:hint="eastAsia" w:ascii="宋体" w:hAnsi="宋体" w:cs="宋体"/>
          <w:b/>
          <w:bCs/>
          <w:sz w:val="32"/>
          <w:szCs w:val="32"/>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CFE5426D"/>
    <w:multiLevelType w:val="singleLevel"/>
    <w:tmpl w:val="CFE5426D"/>
    <w:lvl w:ilvl="0" w:tentative="0">
      <w:start w:val="1"/>
      <w:numFmt w:val="decimal"/>
      <w:lvlText w:val="%1."/>
      <w:lvlJc w:val="left"/>
      <w:pPr>
        <w:tabs>
          <w:tab w:val="left" w:pos="312"/>
        </w:tabs>
        <w:ind w:left="-60"/>
      </w:pPr>
    </w:lvl>
  </w:abstractNum>
  <w:abstractNum w:abstractNumId="3">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4">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5">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7">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8">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8"/>
    <w:multiLevelType w:val="multilevel"/>
    <w:tmpl w:val="00000018"/>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1B"/>
    <w:multiLevelType w:val="singleLevel"/>
    <w:tmpl w:val="0000001B"/>
    <w:lvl w:ilvl="0" w:tentative="0">
      <w:start w:val="1"/>
      <w:numFmt w:val="decimal"/>
      <w:suff w:val="nothing"/>
      <w:lvlText w:val="%1."/>
      <w:lvlJc w:val="left"/>
    </w:lvl>
  </w:abstractNum>
  <w:abstractNum w:abstractNumId="12">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C7D1700"/>
    <w:multiLevelType w:val="singleLevel"/>
    <w:tmpl w:val="1C7D1700"/>
    <w:lvl w:ilvl="0" w:tentative="0">
      <w:start w:val="1"/>
      <w:numFmt w:val="chineseCounting"/>
      <w:suff w:val="nothing"/>
      <w:lvlText w:val="%1、"/>
      <w:lvlJc w:val="left"/>
      <w:pPr>
        <w:ind w:left="0" w:firstLine="420"/>
      </w:pPr>
      <w:rPr>
        <w:rFonts w:hint="eastAsia"/>
      </w:rPr>
    </w:lvl>
  </w:abstractNum>
  <w:abstractNum w:abstractNumId="17">
    <w:nsid w:val="73BD885E"/>
    <w:multiLevelType w:val="singleLevel"/>
    <w:tmpl w:val="73BD885E"/>
    <w:lvl w:ilvl="0" w:tentative="0">
      <w:start w:val="1"/>
      <w:numFmt w:val="decimal"/>
      <w:suff w:val="nothing"/>
      <w:lvlText w:val="%1．"/>
      <w:lvlJc w:val="left"/>
      <w:pPr>
        <w:ind w:left="20" w:firstLine="400"/>
      </w:pPr>
      <w:rPr>
        <w:rFonts w:hint="default"/>
      </w:rPr>
    </w:lvl>
  </w:abstractNum>
  <w:num w:numId="1">
    <w:abstractNumId w:val="7"/>
  </w:num>
  <w:num w:numId="2">
    <w:abstractNumId w:val="16"/>
  </w:num>
  <w:num w:numId="3">
    <w:abstractNumId w:val="17"/>
  </w:num>
  <w:num w:numId="4">
    <w:abstractNumId w:val="15"/>
  </w:num>
  <w:num w:numId="5">
    <w:abstractNumId w:val="0"/>
  </w:num>
  <w:num w:numId="6">
    <w:abstractNumId w:val="14"/>
  </w:num>
  <w:num w:numId="7">
    <w:abstractNumId w:val="13"/>
  </w:num>
  <w:num w:numId="8">
    <w:abstractNumId w:val="3"/>
  </w:num>
  <w:num w:numId="9">
    <w:abstractNumId w:val="5"/>
  </w:num>
  <w:num w:numId="10">
    <w:abstractNumId w:val="8"/>
  </w:num>
  <w:num w:numId="11">
    <w:abstractNumId w:val="12"/>
  </w:num>
  <w:num w:numId="12">
    <w:abstractNumId w:val="1"/>
  </w:num>
  <w:num w:numId="13">
    <w:abstractNumId w:val="9"/>
  </w:num>
  <w:num w:numId="14">
    <w:abstractNumId w:val="10"/>
  </w:num>
  <w:num w:numId="15">
    <w:abstractNumId w:val="6"/>
  </w:num>
  <w:num w:numId="16">
    <w:abstractNumId w:val="4"/>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hOGNiYWQ2NWU0ODNjYzRlMDk3N2QxOTU0MTc4MDkifQ=="/>
  </w:docVars>
  <w:rsids>
    <w:rsidRoot w:val="00172A27"/>
    <w:rsid w:val="00076597"/>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32C00"/>
    <w:rsid w:val="02EB23E7"/>
    <w:rsid w:val="030F6088"/>
    <w:rsid w:val="036566EB"/>
    <w:rsid w:val="03EF1DEA"/>
    <w:rsid w:val="04323463"/>
    <w:rsid w:val="04562E58"/>
    <w:rsid w:val="04644C52"/>
    <w:rsid w:val="046E2D62"/>
    <w:rsid w:val="04E57AC0"/>
    <w:rsid w:val="04EC22B8"/>
    <w:rsid w:val="05130FB5"/>
    <w:rsid w:val="053C0C8A"/>
    <w:rsid w:val="05932DEC"/>
    <w:rsid w:val="05B93485"/>
    <w:rsid w:val="05C71142"/>
    <w:rsid w:val="05D821BC"/>
    <w:rsid w:val="064365F2"/>
    <w:rsid w:val="06C8536A"/>
    <w:rsid w:val="07AF7E3A"/>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C195E4B"/>
    <w:rsid w:val="0C2506CA"/>
    <w:rsid w:val="0C6A432F"/>
    <w:rsid w:val="0CE55CFE"/>
    <w:rsid w:val="0D32353D"/>
    <w:rsid w:val="0D7D4536"/>
    <w:rsid w:val="0E0620AA"/>
    <w:rsid w:val="0E5C239D"/>
    <w:rsid w:val="0E63197E"/>
    <w:rsid w:val="0F044A03"/>
    <w:rsid w:val="0F1B6A2C"/>
    <w:rsid w:val="0F223D21"/>
    <w:rsid w:val="0F3A297B"/>
    <w:rsid w:val="0F5372FC"/>
    <w:rsid w:val="0FF07241"/>
    <w:rsid w:val="103939A5"/>
    <w:rsid w:val="104135F9"/>
    <w:rsid w:val="10437371"/>
    <w:rsid w:val="10F845FF"/>
    <w:rsid w:val="112706F4"/>
    <w:rsid w:val="113263C3"/>
    <w:rsid w:val="115F08E1"/>
    <w:rsid w:val="117417AC"/>
    <w:rsid w:val="117B4B6D"/>
    <w:rsid w:val="118F65E6"/>
    <w:rsid w:val="11F3777D"/>
    <w:rsid w:val="128D141F"/>
    <w:rsid w:val="12920EF5"/>
    <w:rsid w:val="135B70C7"/>
    <w:rsid w:val="13710699"/>
    <w:rsid w:val="13D44784"/>
    <w:rsid w:val="143C2A55"/>
    <w:rsid w:val="147E15D3"/>
    <w:rsid w:val="14902DA1"/>
    <w:rsid w:val="14AB1989"/>
    <w:rsid w:val="14E8498B"/>
    <w:rsid w:val="15030FCE"/>
    <w:rsid w:val="15086DDB"/>
    <w:rsid w:val="151B6B0E"/>
    <w:rsid w:val="156C736A"/>
    <w:rsid w:val="15826DAB"/>
    <w:rsid w:val="158703BA"/>
    <w:rsid w:val="15F2599B"/>
    <w:rsid w:val="16486627"/>
    <w:rsid w:val="16502CDA"/>
    <w:rsid w:val="16BA216A"/>
    <w:rsid w:val="16C72E02"/>
    <w:rsid w:val="16E66CA8"/>
    <w:rsid w:val="17033CFE"/>
    <w:rsid w:val="170B4961"/>
    <w:rsid w:val="179901BE"/>
    <w:rsid w:val="18177ED1"/>
    <w:rsid w:val="18837C5C"/>
    <w:rsid w:val="18C354F3"/>
    <w:rsid w:val="19355CC5"/>
    <w:rsid w:val="19362169"/>
    <w:rsid w:val="19397563"/>
    <w:rsid w:val="193D01D8"/>
    <w:rsid w:val="19587403"/>
    <w:rsid w:val="199B0BC1"/>
    <w:rsid w:val="19C93D85"/>
    <w:rsid w:val="1A2279A0"/>
    <w:rsid w:val="1A393BF0"/>
    <w:rsid w:val="1A66082C"/>
    <w:rsid w:val="1AE55376"/>
    <w:rsid w:val="1B0C692E"/>
    <w:rsid w:val="1BBE6686"/>
    <w:rsid w:val="1BC33A5C"/>
    <w:rsid w:val="1C24274C"/>
    <w:rsid w:val="1C395ACC"/>
    <w:rsid w:val="1C5260F7"/>
    <w:rsid w:val="1C654B13"/>
    <w:rsid w:val="1D210BFD"/>
    <w:rsid w:val="1D2B3667"/>
    <w:rsid w:val="1D4B5AB7"/>
    <w:rsid w:val="1D540C49"/>
    <w:rsid w:val="1DB655BE"/>
    <w:rsid w:val="1DED3012"/>
    <w:rsid w:val="1E206E52"/>
    <w:rsid w:val="1E8E4B6A"/>
    <w:rsid w:val="1EDD2E3F"/>
    <w:rsid w:val="1F0D396C"/>
    <w:rsid w:val="1F1F062E"/>
    <w:rsid w:val="1F312BF1"/>
    <w:rsid w:val="1F490E82"/>
    <w:rsid w:val="1F925C1F"/>
    <w:rsid w:val="1FEA5EA1"/>
    <w:rsid w:val="20602C7A"/>
    <w:rsid w:val="20C148C6"/>
    <w:rsid w:val="20E26732"/>
    <w:rsid w:val="215C2350"/>
    <w:rsid w:val="21C34257"/>
    <w:rsid w:val="21F4496F"/>
    <w:rsid w:val="222D7E81"/>
    <w:rsid w:val="22433DD5"/>
    <w:rsid w:val="22821F7B"/>
    <w:rsid w:val="22A40E2A"/>
    <w:rsid w:val="22CB4C39"/>
    <w:rsid w:val="22E55B06"/>
    <w:rsid w:val="22F52960"/>
    <w:rsid w:val="23616034"/>
    <w:rsid w:val="23647A1C"/>
    <w:rsid w:val="23706277"/>
    <w:rsid w:val="24855D52"/>
    <w:rsid w:val="248F6BD1"/>
    <w:rsid w:val="24B108F5"/>
    <w:rsid w:val="24D81875"/>
    <w:rsid w:val="24E24F53"/>
    <w:rsid w:val="24E94533"/>
    <w:rsid w:val="250F386E"/>
    <w:rsid w:val="25356324"/>
    <w:rsid w:val="25AE3087"/>
    <w:rsid w:val="25B85CB3"/>
    <w:rsid w:val="26011794"/>
    <w:rsid w:val="26094761"/>
    <w:rsid w:val="26A92FFB"/>
    <w:rsid w:val="26C02369"/>
    <w:rsid w:val="26DD1E76"/>
    <w:rsid w:val="27283ECE"/>
    <w:rsid w:val="27286E69"/>
    <w:rsid w:val="2733425E"/>
    <w:rsid w:val="27441EF5"/>
    <w:rsid w:val="28016BEB"/>
    <w:rsid w:val="280E153D"/>
    <w:rsid w:val="285F68BA"/>
    <w:rsid w:val="2863671A"/>
    <w:rsid w:val="28AB7D51"/>
    <w:rsid w:val="28B01ACD"/>
    <w:rsid w:val="28FE4325"/>
    <w:rsid w:val="291E02EB"/>
    <w:rsid w:val="29C56BF1"/>
    <w:rsid w:val="29DD4F4B"/>
    <w:rsid w:val="2A2D4EC2"/>
    <w:rsid w:val="2A3A138D"/>
    <w:rsid w:val="2A573CED"/>
    <w:rsid w:val="2A9E7B6E"/>
    <w:rsid w:val="2AC84BEB"/>
    <w:rsid w:val="2B260516"/>
    <w:rsid w:val="2B2B560D"/>
    <w:rsid w:val="2BC57C52"/>
    <w:rsid w:val="2BF11F1F"/>
    <w:rsid w:val="2C003885"/>
    <w:rsid w:val="2C2E3173"/>
    <w:rsid w:val="2C867239"/>
    <w:rsid w:val="2CD930DF"/>
    <w:rsid w:val="2D524754"/>
    <w:rsid w:val="2D573CA4"/>
    <w:rsid w:val="2D9E61E0"/>
    <w:rsid w:val="2DE53D06"/>
    <w:rsid w:val="2E0C4DEE"/>
    <w:rsid w:val="2E291D46"/>
    <w:rsid w:val="2EF7784D"/>
    <w:rsid w:val="2F227824"/>
    <w:rsid w:val="2F4440CA"/>
    <w:rsid w:val="2F49150D"/>
    <w:rsid w:val="302B7E84"/>
    <w:rsid w:val="3043740F"/>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F85841"/>
    <w:rsid w:val="3402116D"/>
    <w:rsid w:val="340257AD"/>
    <w:rsid w:val="34034EE6"/>
    <w:rsid w:val="3417273F"/>
    <w:rsid w:val="342033A2"/>
    <w:rsid w:val="343B467F"/>
    <w:rsid w:val="347600C7"/>
    <w:rsid w:val="35216B3A"/>
    <w:rsid w:val="357240D1"/>
    <w:rsid w:val="35E46F67"/>
    <w:rsid w:val="36172D69"/>
    <w:rsid w:val="36392432"/>
    <w:rsid w:val="365A2ACD"/>
    <w:rsid w:val="36CA1CEB"/>
    <w:rsid w:val="36F34D9D"/>
    <w:rsid w:val="37215DAE"/>
    <w:rsid w:val="37621F23"/>
    <w:rsid w:val="3768578B"/>
    <w:rsid w:val="376F6900"/>
    <w:rsid w:val="377834F5"/>
    <w:rsid w:val="379B4086"/>
    <w:rsid w:val="384E0062"/>
    <w:rsid w:val="386677F1"/>
    <w:rsid w:val="39404C40"/>
    <w:rsid w:val="395922F3"/>
    <w:rsid w:val="3962445C"/>
    <w:rsid w:val="39893797"/>
    <w:rsid w:val="39A1607B"/>
    <w:rsid w:val="3A6B4003"/>
    <w:rsid w:val="3AB331C1"/>
    <w:rsid w:val="3ADF038D"/>
    <w:rsid w:val="3B223EA3"/>
    <w:rsid w:val="3B68689B"/>
    <w:rsid w:val="3BCC3E0F"/>
    <w:rsid w:val="3C2A559E"/>
    <w:rsid w:val="3C4B567C"/>
    <w:rsid w:val="3C545E01"/>
    <w:rsid w:val="3C7D2064"/>
    <w:rsid w:val="3C8666B4"/>
    <w:rsid w:val="3CAF5C0A"/>
    <w:rsid w:val="3D51730D"/>
    <w:rsid w:val="3E114C4C"/>
    <w:rsid w:val="3E655A64"/>
    <w:rsid w:val="3E895FE7"/>
    <w:rsid w:val="3E8A4C21"/>
    <w:rsid w:val="3E9958B1"/>
    <w:rsid w:val="3EE719AC"/>
    <w:rsid w:val="3EEA2F2A"/>
    <w:rsid w:val="3FAE708C"/>
    <w:rsid w:val="3FDA1030"/>
    <w:rsid w:val="3FF12C3A"/>
    <w:rsid w:val="400A54C8"/>
    <w:rsid w:val="40386761"/>
    <w:rsid w:val="409725E8"/>
    <w:rsid w:val="40A215BE"/>
    <w:rsid w:val="40FA4E7B"/>
    <w:rsid w:val="415D3E87"/>
    <w:rsid w:val="41DF489C"/>
    <w:rsid w:val="42106AA5"/>
    <w:rsid w:val="42442C17"/>
    <w:rsid w:val="425816DC"/>
    <w:rsid w:val="426E40F0"/>
    <w:rsid w:val="43184112"/>
    <w:rsid w:val="43664B49"/>
    <w:rsid w:val="43D917BF"/>
    <w:rsid w:val="4412230A"/>
    <w:rsid w:val="44390EDF"/>
    <w:rsid w:val="44623562"/>
    <w:rsid w:val="447514E8"/>
    <w:rsid w:val="447F1515"/>
    <w:rsid w:val="449D27EC"/>
    <w:rsid w:val="44A07CD1"/>
    <w:rsid w:val="45291D8C"/>
    <w:rsid w:val="45A8769B"/>
    <w:rsid w:val="45CD5A14"/>
    <w:rsid w:val="45CF2E79"/>
    <w:rsid w:val="45DB1070"/>
    <w:rsid w:val="46113492"/>
    <w:rsid w:val="46265A4F"/>
    <w:rsid w:val="464C3F11"/>
    <w:rsid w:val="46BA3E8B"/>
    <w:rsid w:val="47525B10"/>
    <w:rsid w:val="478F0B12"/>
    <w:rsid w:val="47BC567F"/>
    <w:rsid w:val="47FB61A8"/>
    <w:rsid w:val="480056D8"/>
    <w:rsid w:val="48374480"/>
    <w:rsid w:val="483F277D"/>
    <w:rsid w:val="488E2B78"/>
    <w:rsid w:val="48B40105"/>
    <w:rsid w:val="48DF1625"/>
    <w:rsid w:val="49107A31"/>
    <w:rsid w:val="49372EB2"/>
    <w:rsid w:val="494E5146"/>
    <w:rsid w:val="49FB621D"/>
    <w:rsid w:val="4A05080D"/>
    <w:rsid w:val="4A091ED0"/>
    <w:rsid w:val="4A7D10F6"/>
    <w:rsid w:val="4B52754A"/>
    <w:rsid w:val="4B6F5345"/>
    <w:rsid w:val="4B8F7BC6"/>
    <w:rsid w:val="4BBA394F"/>
    <w:rsid w:val="4BFD6A13"/>
    <w:rsid w:val="4C2757BD"/>
    <w:rsid w:val="4C3C07ED"/>
    <w:rsid w:val="4C7B4A9E"/>
    <w:rsid w:val="4CC7434F"/>
    <w:rsid w:val="4D03307E"/>
    <w:rsid w:val="4D91713A"/>
    <w:rsid w:val="4DD21759"/>
    <w:rsid w:val="4DF72F6D"/>
    <w:rsid w:val="4E0A47AA"/>
    <w:rsid w:val="4E8E2ED5"/>
    <w:rsid w:val="4ED70257"/>
    <w:rsid w:val="4F873249"/>
    <w:rsid w:val="4FEB08B0"/>
    <w:rsid w:val="500951DA"/>
    <w:rsid w:val="501A1D50"/>
    <w:rsid w:val="503075AA"/>
    <w:rsid w:val="50410780"/>
    <w:rsid w:val="50524154"/>
    <w:rsid w:val="5112712D"/>
    <w:rsid w:val="5119144D"/>
    <w:rsid w:val="513A1AEF"/>
    <w:rsid w:val="51B750E9"/>
    <w:rsid w:val="522C218B"/>
    <w:rsid w:val="529E11CC"/>
    <w:rsid w:val="531E71EE"/>
    <w:rsid w:val="53981F52"/>
    <w:rsid w:val="53A24582"/>
    <w:rsid w:val="53A5521A"/>
    <w:rsid w:val="55055AD7"/>
    <w:rsid w:val="55805F3E"/>
    <w:rsid w:val="55A97243"/>
    <w:rsid w:val="55DA73FC"/>
    <w:rsid w:val="5685572F"/>
    <w:rsid w:val="568B6949"/>
    <w:rsid w:val="56EF512A"/>
    <w:rsid w:val="570010E5"/>
    <w:rsid w:val="570109B9"/>
    <w:rsid w:val="579D4B86"/>
    <w:rsid w:val="57ED3822"/>
    <w:rsid w:val="581326DD"/>
    <w:rsid w:val="588071E3"/>
    <w:rsid w:val="58D97369"/>
    <w:rsid w:val="59446509"/>
    <w:rsid w:val="594C53EE"/>
    <w:rsid w:val="598F6750"/>
    <w:rsid w:val="59A8341F"/>
    <w:rsid w:val="59B537F0"/>
    <w:rsid w:val="59C503C4"/>
    <w:rsid w:val="5A1F7AD4"/>
    <w:rsid w:val="5A3F7093"/>
    <w:rsid w:val="5AC468CD"/>
    <w:rsid w:val="5B1566C6"/>
    <w:rsid w:val="5B215ACE"/>
    <w:rsid w:val="5B7025B1"/>
    <w:rsid w:val="5B8624B1"/>
    <w:rsid w:val="5BD26DC8"/>
    <w:rsid w:val="5BE014E5"/>
    <w:rsid w:val="5C806824"/>
    <w:rsid w:val="5C9D4F74"/>
    <w:rsid w:val="5CB00EB7"/>
    <w:rsid w:val="5CC34005"/>
    <w:rsid w:val="5CD21182"/>
    <w:rsid w:val="5CFC10D2"/>
    <w:rsid w:val="5D156F6C"/>
    <w:rsid w:val="5D384925"/>
    <w:rsid w:val="5DB744C7"/>
    <w:rsid w:val="5DD0153B"/>
    <w:rsid w:val="5E0A4982"/>
    <w:rsid w:val="5E3F564C"/>
    <w:rsid w:val="5E682CE6"/>
    <w:rsid w:val="5EE45C2E"/>
    <w:rsid w:val="5FB3249C"/>
    <w:rsid w:val="602816AC"/>
    <w:rsid w:val="6079112D"/>
    <w:rsid w:val="60942A5D"/>
    <w:rsid w:val="60B46A9C"/>
    <w:rsid w:val="615D7134"/>
    <w:rsid w:val="6189617B"/>
    <w:rsid w:val="61E6537B"/>
    <w:rsid w:val="629D6E17"/>
    <w:rsid w:val="634174F0"/>
    <w:rsid w:val="6371143E"/>
    <w:rsid w:val="63B76FCF"/>
    <w:rsid w:val="63BF5E84"/>
    <w:rsid w:val="63F5294F"/>
    <w:rsid w:val="64774C22"/>
    <w:rsid w:val="64E35BA2"/>
    <w:rsid w:val="64EA1700"/>
    <w:rsid w:val="651D4188"/>
    <w:rsid w:val="6530119C"/>
    <w:rsid w:val="65353E6F"/>
    <w:rsid w:val="65546448"/>
    <w:rsid w:val="65766A16"/>
    <w:rsid w:val="65901886"/>
    <w:rsid w:val="65953E0C"/>
    <w:rsid w:val="665C34CD"/>
    <w:rsid w:val="666D296A"/>
    <w:rsid w:val="66B62179"/>
    <w:rsid w:val="670E33AA"/>
    <w:rsid w:val="67584625"/>
    <w:rsid w:val="67884E65"/>
    <w:rsid w:val="6796339F"/>
    <w:rsid w:val="679A5B4D"/>
    <w:rsid w:val="679D472E"/>
    <w:rsid w:val="67A63223"/>
    <w:rsid w:val="67C84888"/>
    <w:rsid w:val="67CD72E8"/>
    <w:rsid w:val="68727968"/>
    <w:rsid w:val="690802CD"/>
    <w:rsid w:val="69605006"/>
    <w:rsid w:val="69796E11"/>
    <w:rsid w:val="69A73B89"/>
    <w:rsid w:val="6A3B177D"/>
    <w:rsid w:val="6A3B3D8A"/>
    <w:rsid w:val="6A616079"/>
    <w:rsid w:val="6A617C95"/>
    <w:rsid w:val="6A753740"/>
    <w:rsid w:val="6B116D78"/>
    <w:rsid w:val="6B20545A"/>
    <w:rsid w:val="6B2111D2"/>
    <w:rsid w:val="6B301415"/>
    <w:rsid w:val="6B3428F7"/>
    <w:rsid w:val="6B620166"/>
    <w:rsid w:val="6B65611A"/>
    <w:rsid w:val="6B99375A"/>
    <w:rsid w:val="6BA8544F"/>
    <w:rsid w:val="6BF730D7"/>
    <w:rsid w:val="6C565104"/>
    <w:rsid w:val="6C602FC1"/>
    <w:rsid w:val="6CD02EB0"/>
    <w:rsid w:val="6CD24E7A"/>
    <w:rsid w:val="6E263E89"/>
    <w:rsid w:val="6E47692C"/>
    <w:rsid w:val="6E6164B5"/>
    <w:rsid w:val="6E62222D"/>
    <w:rsid w:val="6E7361E8"/>
    <w:rsid w:val="6EB44070"/>
    <w:rsid w:val="6EEB648C"/>
    <w:rsid w:val="6EF1592B"/>
    <w:rsid w:val="6F3112FC"/>
    <w:rsid w:val="6F394D3C"/>
    <w:rsid w:val="6F3D38C2"/>
    <w:rsid w:val="6F4D6A39"/>
    <w:rsid w:val="6FB36BC5"/>
    <w:rsid w:val="6FD24C25"/>
    <w:rsid w:val="6FF6546C"/>
    <w:rsid w:val="70426C52"/>
    <w:rsid w:val="7145658E"/>
    <w:rsid w:val="71E04ECC"/>
    <w:rsid w:val="726437BB"/>
    <w:rsid w:val="726A127D"/>
    <w:rsid w:val="728E35F1"/>
    <w:rsid w:val="729B7ABC"/>
    <w:rsid w:val="72B8088B"/>
    <w:rsid w:val="734A4D94"/>
    <w:rsid w:val="734B2FC2"/>
    <w:rsid w:val="73890E04"/>
    <w:rsid w:val="73AD6CEC"/>
    <w:rsid w:val="73C91FB4"/>
    <w:rsid w:val="73DE5EB2"/>
    <w:rsid w:val="740F250F"/>
    <w:rsid w:val="74365CEE"/>
    <w:rsid w:val="743E1047"/>
    <w:rsid w:val="744228E5"/>
    <w:rsid w:val="746601C4"/>
    <w:rsid w:val="749F723D"/>
    <w:rsid w:val="74A7099A"/>
    <w:rsid w:val="74D177C5"/>
    <w:rsid w:val="74E9081C"/>
    <w:rsid w:val="75257396"/>
    <w:rsid w:val="754206C3"/>
    <w:rsid w:val="754B12D3"/>
    <w:rsid w:val="75941572"/>
    <w:rsid w:val="75F220E9"/>
    <w:rsid w:val="76256605"/>
    <w:rsid w:val="76371099"/>
    <w:rsid w:val="7693567A"/>
    <w:rsid w:val="76EE28B0"/>
    <w:rsid w:val="7718515B"/>
    <w:rsid w:val="778036C3"/>
    <w:rsid w:val="77A6276C"/>
    <w:rsid w:val="781E1591"/>
    <w:rsid w:val="78647DA9"/>
    <w:rsid w:val="7889049B"/>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707D38"/>
    <w:rsid w:val="7BB265A2"/>
    <w:rsid w:val="7BB65001"/>
    <w:rsid w:val="7C4F5666"/>
    <w:rsid w:val="7C5036C5"/>
    <w:rsid w:val="7C6F4E89"/>
    <w:rsid w:val="7CAB04C7"/>
    <w:rsid w:val="7D6041D6"/>
    <w:rsid w:val="7D697134"/>
    <w:rsid w:val="7DCC76C3"/>
    <w:rsid w:val="7E0E1A8A"/>
    <w:rsid w:val="7E300756"/>
    <w:rsid w:val="7E6A6EBA"/>
    <w:rsid w:val="7E7A45CB"/>
    <w:rsid w:val="7F0562FB"/>
    <w:rsid w:val="7F0A03FD"/>
    <w:rsid w:val="7F855D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9">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10">
    <w:name w:val="heading 2"/>
    <w:basedOn w:val="1"/>
    <w:next w:val="1"/>
    <w:link w:val="56"/>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11">
    <w:name w:val="heading 3"/>
    <w:basedOn w:val="1"/>
    <w:next w:val="1"/>
    <w:link w:val="57"/>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12">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2">
    <w:name w:val="Default Paragraph Font"/>
    <w:qFormat/>
    <w:uiPriority w:val="0"/>
    <w:rPr>
      <w:rFonts w:ascii="宋体" w:hAnsi="宋体" w:eastAsia="宋体"/>
      <w:kern w:val="2"/>
      <w:sz w:val="28"/>
      <w:szCs w:val="24"/>
      <w:lang w:val="en-US" w:eastAsia="zh-CN" w:bidi="ar-SA"/>
    </w:rPr>
  </w:style>
  <w:style w:type="table" w:default="1" w:styleId="40">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szCs w:val="20"/>
    </w:rPr>
  </w:style>
  <w:style w:type="paragraph" w:styleId="3">
    <w:name w:val="Body Text"/>
    <w:basedOn w:val="1"/>
    <w:next w:val="4"/>
    <w:qFormat/>
    <w:uiPriority w:val="0"/>
    <w:pPr>
      <w:spacing w:after="120" w:afterLines="0"/>
    </w:pPr>
  </w:style>
  <w:style w:type="paragraph" w:customStyle="1" w:styleId="4">
    <w:name w:val="Default"/>
    <w:next w:val="5"/>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
    <w:name w:val="Char Char10 Char Char Char Char"/>
    <w:basedOn w:val="1"/>
    <w:next w:val="6"/>
    <w:qFormat/>
    <w:uiPriority w:val="0"/>
  </w:style>
  <w:style w:type="paragraph" w:customStyle="1" w:styleId="6">
    <w:name w:val="xl87"/>
    <w:basedOn w:val="1"/>
    <w:next w:val="7"/>
    <w:qFormat/>
    <w:uiPriority w:val="0"/>
    <w:pPr>
      <w:widowControl/>
      <w:shd w:val="clear" w:color="FFFFFF" w:fill="FFFFFF"/>
      <w:spacing w:before="280" w:beforeLines="0" w:after="280" w:afterLines="0"/>
      <w:jc w:val="right"/>
    </w:pPr>
    <w:rPr>
      <w:rFonts w:ascii="宋体"/>
      <w:sz w:val="24"/>
    </w:rPr>
  </w:style>
  <w:style w:type="paragraph" w:customStyle="1" w:styleId="7">
    <w:name w:val="xl72"/>
    <w:basedOn w:val="1"/>
    <w:next w:val="8"/>
    <w:qFormat/>
    <w:uiPriority w:val="0"/>
    <w:pPr>
      <w:widowControl/>
      <w:shd w:val="clear" w:color="FFFFFF" w:fill="FFFFFF"/>
      <w:spacing w:before="280" w:beforeLines="0" w:after="280" w:afterLines="0"/>
      <w:jc w:val="right"/>
    </w:pPr>
    <w:rPr>
      <w:rFonts w:ascii="宋体"/>
      <w:sz w:val="24"/>
    </w:rPr>
  </w:style>
  <w:style w:type="paragraph" w:styleId="8">
    <w:name w:val="Date"/>
    <w:basedOn w:val="1"/>
    <w:next w:val="1"/>
    <w:qFormat/>
    <w:uiPriority w:val="0"/>
    <w:pPr>
      <w:ind w:left="100" w:leftChars="2500"/>
    </w:pPr>
    <w:rPr>
      <w:rFonts w:ascii="宋体" w:hAnsi="宋体"/>
      <w:sz w:val="28"/>
    </w:rPr>
  </w:style>
  <w:style w:type="paragraph" w:styleId="13">
    <w:name w:val="toc 7"/>
    <w:basedOn w:val="1"/>
    <w:next w:val="1"/>
    <w:qFormat/>
    <w:uiPriority w:val="0"/>
    <w:pPr>
      <w:ind w:left="2520" w:leftChars="1200"/>
    </w:pPr>
  </w:style>
  <w:style w:type="paragraph" w:styleId="14">
    <w:name w:val="Normal Indent"/>
    <w:basedOn w:val="1"/>
    <w:link w:val="58"/>
    <w:qFormat/>
    <w:uiPriority w:val="0"/>
    <w:pPr>
      <w:autoSpaceDE w:val="0"/>
      <w:autoSpaceDN w:val="0"/>
      <w:adjustRightInd w:val="0"/>
      <w:ind w:firstLine="420"/>
      <w:jc w:val="left"/>
    </w:pPr>
    <w:rPr>
      <w:rFonts w:ascii="宋体"/>
      <w:kern w:val="0"/>
      <w:sz w:val="24"/>
    </w:rPr>
  </w:style>
  <w:style w:type="paragraph" w:styleId="15">
    <w:name w:val="Document Map"/>
    <w:basedOn w:val="1"/>
    <w:qFormat/>
    <w:uiPriority w:val="0"/>
    <w:pPr>
      <w:shd w:val="clear" w:color="auto" w:fill="000080"/>
    </w:pPr>
  </w:style>
  <w:style w:type="paragraph" w:styleId="16">
    <w:name w:val="annotation text"/>
    <w:basedOn w:val="1"/>
    <w:qFormat/>
    <w:uiPriority w:val="0"/>
    <w:pPr>
      <w:jc w:val="left"/>
    </w:pPr>
  </w:style>
  <w:style w:type="paragraph" w:styleId="17">
    <w:name w:val="Body Text 3"/>
    <w:basedOn w:val="1"/>
    <w:qFormat/>
    <w:uiPriority w:val="0"/>
    <w:rPr>
      <w:rFonts w:eastAsia="楷体_GB2312"/>
      <w:sz w:val="28"/>
    </w:rPr>
  </w:style>
  <w:style w:type="paragraph" w:styleId="18">
    <w:name w:val="Body Text Indent"/>
    <w:basedOn w:val="1"/>
    <w:next w:val="19"/>
    <w:link w:val="55"/>
    <w:qFormat/>
    <w:uiPriority w:val="0"/>
    <w:rPr>
      <w:kern w:val="0"/>
    </w:rPr>
  </w:style>
  <w:style w:type="paragraph" w:styleId="19">
    <w:name w:val="envelope return"/>
    <w:basedOn w:val="1"/>
    <w:qFormat/>
    <w:uiPriority w:val="0"/>
    <w:pPr>
      <w:snapToGrid w:val="0"/>
    </w:pPr>
    <w:rPr>
      <w:rFonts w:ascii="Arial" w:hAnsi="Arial"/>
    </w:rPr>
  </w:style>
  <w:style w:type="paragraph" w:styleId="20">
    <w:name w:val="toc 5"/>
    <w:basedOn w:val="1"/>
    <w:next w:val="1"/>
    <w:qFormat/>
    <w:uiPriority w:val="0"/>
    <w:pPr>
      <w:ind w:left="1680" w:leftChars="800"/>
    </w:pPr>
  </w:style>
  <w:style w:type="paragraph" w:styleId="21">
    <w:name w:val="toc 3"/>
    <w:basedOn w:val="1"/>
    <w:next w:val="1"/>
    <w:qFormat/>
    <w:uiPriority w:val="0"/>
    <w:pPr>
      <w:ind w:left="840" w:leftChars="400"/>
    </w:pPr>
  </w:style>
  <w:style w:type="paragraph" w:styleId="22">
    <w:name w:val="Plain Text"/>
    <w:basedOn w:val="1"/>
    <w:link w:val="59"/>
    <w:qFormat/>
    <w:uiPriority w:val="0"/>
    <w:rPr>
      <w:rFonts w:hAnsi="Courier New" w:eastAsia="幼圆"/>
      <w:kern w:val="0"/>
    </w:rPr>
  </w:style>
  <w:style w:type="paragraph" w:styleId="23">
    <w:name w:val="toc 8"/>
    <w:basedOn w:val="1"/>
    <w:next w:val="1"/>
    <w:qFormat/>
    <w:uiPriority w:val="0"/>
    <w:pPr>
      <w:ind w:left="2940" w:leftChars="1400"/>
    </w:pPr>
  </w:style>
  <w:style w:type="paragraph" w:styleId="24">
    <w:name w:val="Body Text Indent 2"/>
    <w:basedOn w:val="1"/>
    <w:qFormat/>
    <w:uiPriority w:val="0"/>
    <w:pPr>
      <w:ind w:firstLine="405" w:firstLineChars="193"/>
    </w:pPr>
    <w:rPr>
      <w:rFonts w:ascii="宋体" w:hAnsi="宋体"/>
    </w:rPr>
  </w:style>
  <w:style w:type="paragraph" w:styleId="25">
    <w:name w:val="Balloon Text"/>
    <w:basedOn w:val="1"/>
    <w:link w:val="60"/>
    <w:qFormat/>
    <w:uiPriority w:val="0"/>
    <w:rPr>
      <w:rFonts w:ascii="宋体" w:hAnsi="宋体"/>
      <w:sz w:val="18"/>
      <w:szCs w:val="18"/>
    </w:rPr>
  </w:style>
  <w:style w:type="paragraph" w:styleId="26">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7">
    <w:name w:val="header"/>
    <w:basedOn w:val="1"/>
    <w:next w:val="26"/>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8">
    <w:name w:val="toc 1"/>
    <w:basedOn w:val="1"/>
    <w:next w:val="1"/>
    <w:qFormat/>
    <w:uiPriority w:val="39"/>
  </w:style>
  <w:style w:type="paragraph" w:styleId="29">
    <w:name w:val="toc 4"/>
    <w:basedOn w:val="1"/>
    <w:next w:val="1"/>
    <w:qFormat/>
    <w:uiPriority w:val="0"/>
    <w:pPr>
      <w:ind w:left="1260" w:leftChars="600"/>
    </w:pPr>
  </w:style>
  <w:style w:type="paragraph" w:styleId="30">
    <w:name w:val="toc 6"/>
    <w:basedOn w:val="1"/>
    <w:next w:val="1"/>
    <w:qFormat/>
    <w:uiPriority w:val="0"/>
    <w:pPr>
      <w:ind w:left="2100" w:leftChars="1000"/>
    </w:pPr>
  </w:style>
  <w:style w:type="paragraph" w:styleId="31">
    <w:name w:val="Body Text Indent 3"/>
    <w:basedOn w:val="1"/>
    <w:qFormat/>
    <w:uiPriority w:val="0"/>
    <w:pPr>
      <w:ind w:firstLine="420" w:firstLineChars="200"/>
    </w:pPr>
    <w:rPr>
      <w:rFonts w:ascii="宋体" w:hAnsi="宋体"/>
    </w:rPr>
  </w:style>
  <w:style w:type="paragraph" w:styleId="32">
    <w:name w:val="toc 2"/>
    <w:basedOn w:val="1"/>
    <w:next w:val="1"/>
    <w:qFormat/>
    <w:uiPriority w:val="0"/>
    <w:pPr>
      <w:ind w:left="420" w:leftChars="200"/>
    </w:pPr>
  </w:style>
  <w:style w:type="paragraph" w:styleId="33">
    <w:name w:val="toc 9"/>
    <w:basedOn w:val="1"/>
    <w:next w:val="1"/>
    <w:qFormat/>
    <w:uiPriority w:val="0"/>
    <w:pPr>
      <w:ind w:left="3360" w:leftChars="1600"/>
    </w:pPr>
  </w:style>
  <w:style w:type="paragraph" w:styleId="34">
    <w:name w:val="Body Text 2"/>
    <w:basedOn w:val="1"/>
    <w:qFormat/>
    <w:uiPriority w:val="0"/>
    <w:pPr>
      <w:spacing w:after="120" w:afterLines="0" w:line="480" w:lineRule="auto"/>
    </w:pPr>
  </w:style>
  <w:style w:type="paragraph" w:styleId="3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6">
    <w:name w:val="index 1"/>
    <w:basedOn w:val="1"/>
    <w:next w:val="1"/>
    <w:qFormat/>
    <w:uiPriority w:val="0"/>
    <w:rPr>
      <w:szCs w:val="20"/>
    </w:rPr>
  </w:style>
  <w:style w:type="paragraph" w:styleId="37">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8">
    <w:name w:val="Body Text First Indent"/>
    <w:basedOn w:val="3"/>
    <w:next w:val="39"/>
    <w:qFormat/>
    <w:uiPriority w:val="0"/>
  </w:style>
  <w:style w:type="paragraph" w:styleId="39">
    <w:name w:val="Body Text First Indent 2"/>
    <w:basedOn w:val="18"/>
    <w:next w:val="1"/>
    <w:qFormat/>
    <w:uiPriority w:val="0"/>
    <w:pPr>
      <w:numPr>
        <w:ilvl w:val="0"/>
        <w:numId w:val="0"/>
      </w:numPr>
      <w:spacing w:after="120" w:afterLines="0"/>
    </w:pPr>
  </w:style>
  <w:style w:type="table" w:styleId="41">
    <w:name w:val="Table Grid"/>
    <w:basedOn w:val="4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page number"/>
    <w:qFormat/>
    <w:uiPriority w:val="0"/>
    <w:rPr>
      <w:lang w:val="en-US" w:eastAsia="zh-CN" w:bidi="ar-SA"/>
    </w:rPr>
  </w:style>
  <w:style w:type="character" w:styleId="44">
    <w:name w:val="FollowedHyperlink"/>
    <w:qFormat/>
    <w:uiPriority w:val="0"/>
    <w:rPr>
      <w:rFonts w:ascii="宋体" w:hAnsi="宋体" w:eastAsia="宋体"/>
      <w:color w:val="333333"/>
      <w:kern w:val="2"/>
      <w:sz w:val="18"/>
      <w:szCs w:val="18"/>
      <w:u w:val="none"/>
      <w:lang w:val="en-US" w:eastAsia="zh-CN" w:bidi="ar-SA"/>
    </w:rPr>
  </w:style>
  <w:style w:type="character" w:styleId="45">
    <w:name w:val="HTML Definition"/>
    <w:qFormat/>
    <w:uiPriority w:val="0"/>
    <w:rPr>
      <w:lang w:val="en-US" w:eastAsia="zh-CN" w:bidi="ar-SA"/>
    </w:rPr>
  </w:style>
  <w:style w:type="character" w:styleId="46">
    <w:name w:val="HTML Typewriter"/>
    <w:qFormat/>
    <w:uiPriority w:val="0"/>
    <w:rPr>
      <w:rFonts w:hint="default" w:ascii="monospace" w:hAnsi="monospace" w:eastAsia="monospace" w:cs="monospace"/>
      <w:sz w:val="20"/>
      <w:lang w:val="en-US" w:eastAsia="zh-CN" w:bidi="ar-SA"/>
    </w:rPr>
  </w:style>
  <w:style w:type="character" w:styleId="47">
    <w:name w:val="HTML Acronym"/>
    <w:qFormat/>
    <w:uiPriority w:val="0"/>
    <w:rPr>
      <w:lang w:val="en-US" w:eastAsia="zh-CN" w:bidi="ar-SA"/>
    </w:rPr>
  </w:style>
  <w:style w:type="character" w:styleId="48">
    <w:name w:val="HTML Variable"/>
    <w:qFormat/>
    <w:uiPriority w:val="0"/>
    <w:rPr>
      <w:lang w:val="en-US" w:eastAsia="zh-CN" w:bidi="ar-SA"/>
    </w:rPr>
  </w:style>
  <w:style w:type="character" w:styleId="49">
    <w:name w:val="Hyperlink"/>
    <w:qFormat/>
    <w:uiPriority w:val="99"/>
    <w:rPr>
      <w:rFonts w:ascii="宋体" w:hAnsi="宋体" w:eastAsia="宋体"/>
      <w:color w:val="0000FF"/>
      <w:kern w:val="2"/>
      <w:sz w:val="28"/>
      <w:szCs w:val="24"/>
      <w:u w:val="single"/>
      <w:lang w:val="en-US" w:eastAsia="zh-CN" w:bidi="ar-SA"/>
    </w:rPr>
  </w:style>
  <w:style w:type="character" w:styleId="50">
    <w:name w:val="HTML Code"/>
    <w:qFormat/>
    <w:uiPriority w:val="0"/>
    <w:rPr>
      <w:rFonts w:ascii="monospace" w:hAnsi="monospace" w:eastAsia="monospace" w:cs="monospace"/>
      <w:sz w:val="20"/>
      <w:lang w:val="en-US" w:eastAsia="zh-CN" w:bidi="ar-SA"/>
    </w:rPr>
  </w:style>
  <w:style w:type="character" w:styleId="51">
    <w:name w:val="HTML Cite"/>
    <w:qFormat/>
    <w:uiPriority w:val="0"/>
    <w:rPr>
      <w:lang w:val="en-US" w:eastAsia="zh-CN" w:bidi="ar-SA"/>
    </w:rPr>
  </w:style>
  <w:style w:type="character" w:styleId="52">
    <w:name w:val="HTML Keyboard"/>
    <w:qFormat/>
    <w:uiPriority w:val="0"/>
    <w:rPr>
      <w:rFonts w:hint="default" w:ascii="monospace" w:hAnsi="monospace" w:eastAsia="monospace" w:cs="monospace"/>
      <w:sz w:val="20"/>
      <w:lang w:val="en-US" w:eastAsia="zh-CN" w:bidi="ar-SA"/>
    </w:rPr>
  </w:style>
  <w:style w:type="character" w:styleId="53">
    <w:name w:val="HTML Sample"/>
    <w:qFormat/>
    <w:uiPriority w:val="0"/>
    <w:rPr>
      <w:rFonts w:hint="default" w:ascii="monospace" w:hAnsi="monospace" w:eastAsia="monospace" w:cs="monospace"/>
      <w:lang w:val="en-US" w:eastAsia="zh-CN" w:bidi="ar-SA"/>
    </w:rPr>
  </w:style>
  <w:style w:type="paragraph" w:customStyle="1" w:styleId="54">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5">
    <w:name w:val="正文文本缩进 Char"/>
    <w:link w:val="18"/>
    <w:qFormat/>
    <w:uiPriority w:val="0"/>
    <w:rPr>
      <w:sz w:val="21"/>
      <w:lang w:val="en-US" w:eastAsia="zh-CN" w:bidi="ar-SA"/>
    </w:rPr>
  </w:style>
  <w:style w:type="character" w:customStyle="1" w:styleId="56">
    <w:name w:val="标题 2 Char"/>
    <w:link w:val="10"/>
    <w:qFormat/>
    <w:uiPriority w:val="0"/>
    <w:rPr>
      <w:rFonts w:ascii="Arial" w:hAnsi="Arial" w:eastAsia="黑体"/>
      <w:b/>
      <w:bCs/>
      <w:kern w:val="2"/>
      <w:sz w:val="32"/>
      <w:szCs w:val="32"/>
      <w:lang w:val="en-US" w:eastAsia="zh-CN" w:bidi="ar-SA"/>
    </w:rPr>
  </w:style>
  <w:style w:type="character" w:customStyle="1" w:styleId="57">
    <w:name w:val="标题 3 Char"/>
    <w:link w:val="11"/>
    <w:qFormat/>
    <w:uiPriority w:val="0"/>
    <w:rPr>
      <w:rFonts w:ascii="宋体" w:hAnsi="宋体" w:eastAsia="幼圆"/>
      <w:b/>
      <w:bCs/>
      <w:kern w:val="2"/>
      <w:sz w:val="32"/>
      <w:szCs w:val="32"/>
      <w:lang w:val="en-US" w:eastAsia="zh-CN" w:bidi="ar-SA"/>
    </w:rPr>
  </w:style>
  <w:style w:type="character" w:customStyle="1" w:styleId="58">
    <w:name w:val="正文缩进 Char"/>
    <w:link w:val="14"/>
    <w:qFormat/>
    <w:uiPriority w:val="0"/>
    <w:rPr>
      <w:rFonts w:ascii="宋体"/>
      <w:sz w:val="24"/>
    </w:rPr>
  </w:style>
  <w:style w:type="character" w:customStyle="1" w:styleId="59">
    <w:name w:val="纯文本 Char"/>
    <w:link w:val="22"/>
    <w:qFormat/>
    <w:uiPriority w:val="0"/>
    <w:rPr>
      <w:rFonts w:hAnsi="Courier New" w:eastAsia="幼圆"/>
      <w:sz w:val="21"/>
      <w:lang w:val="en-US" w:eastAsia="zh-CN" w:bidi="ar-SA"/>
    </w:rPr>
  </w:style>
  <w:style w:type="character" w:customStyle="1" w:styleId="60">
    <w:name w:val="批注框文本 Char"/>
    <w:link w:val="25"/>
    <w:qFormat/>
    <w:uiPriority w:val="0"/>
    <w:rPr>
      <w:rFonts w:ascii="宋体" w:hAnsi="宋体" w:eastAsia="宋体"/>
      <w:kern w:val="2"/>
      <w:sz w:val="18"/>
      <w:szCs w:val="18"/>
      <w:lang w:val="en-US" w:eastAsia="zh-CN" w:bidi="ar-SA"/>
    </w:rPr>
  </w:style>
  <w:style w:type="character" w:customStyle="1" w:styleId="61">
    <w:name w:val="页眉 Char Char"/>
    <w:qFormat/>
    <w:uiPriority w:val="0"/>
    <w:rPr>
      <w:rFonts w:ascii="宋体" w:hAnsi="宋体" w:eastAsia="宋体"/>
      <w:kern w:val="2"/>
      <w:sz w:val="18"/>
      <w:szCs w:val="18"/>
      <w:lang w:val="en-US" w:eastAsia="zh-CN" w:bidi="ar-SA"/>
    </w:rPr>
  </w:style>
  <w:style w:type="character" w:customStyle="1" w:styleId="62">
    <w:name w:val="页脚 Char Char"/>
    <w:qFormat/>
    <w:uiPriority w:val="0"/>
    <w:rPr>
      <w:rFonts w:ascii="宋体" w:hAnsi="宋体" w:eastAsia="宋体"/>
      <w:kern w:val="2"/>
      <w:sz w:val="18"/>
      <w:szCs w:val="18"/>
      <w:lang w:val="en-US" w:eastAsia="zh-CN" w:bidi="ar-SA"/>
    </w:rPr>
  </w:style>
  <w:style w:type="character" w:customStyle="1" w:styleId="63">
    <w:name w:val="ca-21"/>
    <w:qFormat/>
    <w:uiPriority w:val="0"/>
    <w:rPr>
      <w:rFonts w:hint="eastAsia" w:ascii="仿宋_GB2312" w:eastAsia="仿宋_GB2312"/>
      <w:sz w:val="32"/>
      <w:szCs w:val="32"/>
    </w:rPr>
  </w:style>
  <w:style w:type="character" w:customStyle="1" w:styleId="64">
    <w:name w:val="ca-31"/>
    <w:qFormat/>
    <w:uiPriority w:val="0"/>
    <w:rPr>
      <w:rFonts w:hint="eastAsia" w:ascii="仿宋_GB2312" w:eastAsia="仿宋_GB2312"/>
      <w:b/>
      <w:bCs/>
      <w:spacing w:val="-20"/>
      <w:sz w:val="32"/>
      <w:szCs w:val="32"/>
    </w:rPr>
  </w:style>
  <w:style w:type="character" w:customStyle="1" w:styleId="65">
    <w:name w:val="UserStyle_17"/>
    <w:qFormat/>
    <w:uiPriority w:val="0"/>
    <w:rPr>
      <w:rFonts w:ascii="Times New Roman" w:hAnsi="Times New Roman" w:eastAsia="宋体" w:cs="Times New Roman"/>
      <w:kern w:val="2"/>
      <w:sz w:val="21"/>
      <w:szCs w:val="24"/>
      <w:lang w:val="en-US" w:eastAsia="zh-CN" w:bidi="ar-SA"/>
    </w:rPr>
  </w:style>
  <w:style w:type="character" w:customStyle="1" w:styleId="66">
    <w:name w:val="ca-11"/>
    <w:qFormat/>
    <w:uiPriority w:val="0"/>
    <w:rPr>
      <w:rFonts w:hint="default" w:ascii="Times New Roman" w:hAnsi="Times New Roman" w:cs="Times New Roman"/>
      <w:sz w:val="32"/>
      <w:szCs w:val="32"/>
    </w:rPr>
  </w:style>
  <w:style w:type="character" w:customStyle="1" w:styleId="67">
    <w:name w:val="font11"/>
    <w:qFormat/>
    <w:uiPriority w:val="0"/>
    <w:rPr>
      <w:rFonts w:hint="eastAsia" w:ascii="宋体" w:hAnsi="宋体" w:eastAsia="宋体" w:cs="宋体"/>
      <w:color w:val="000000"/>
      <w:sz w:val="20"/>
      <w:szCs w:val="20"/>
      <w:u w:val="none"/>
    </w:rPr>
  </w:style>
  <w:style w:type="character" w:customStyle="1" w:styleId="68">
    <w:name w:val="Char Char Char"/>
    <w:qFormat/>
    <w:uiPriority w:val="0"/>
    <w:rPr>
      <w:rFonts w:ascii="Arial" w:hAnsi="Arial" w:eastAsia="黑体"/>
      <w:b/>
      <w:bCs/>
      <w:kern w:val="2"/>
      <w:sz w:val="32"/>
      <w:szCs w:val="32"/>
      <w:lang w:val="en-US" w:eastAsia="zh-CN" w:bidi="ar-SA"/>
    </w:rPr>
  </w:style>
  <w:style w:type="character" w:customStyle="1" w:styleId="69">
    <w:name w:val="ca-121"/>
    <w:qFormat/>
    <w:uiPriority w:val="0"/>
    <w:rPr>
      <w:rFonts w:hint="eastAsia" w:ascii="仿宋_GB2312" w:eastAsia="仿宋_GB2312"/>
      <w:color w:val="000000"/>
      <w:sz w:val="21"/>
      <w:szCs w:val="21"/>
    </w:rPr>
  </w:style>
  <w:style w:type="paragraph" w:customStyle="1" w:styleId="70">
    <w:name w:val="样式 正文文字 + 小四 段后: 0 磅 行距: 1.5 倍行距"/>
    <w:basedOn w:val="3"/>
    <w:qFormat/>
    <w:uiPriority w:val="0"/>
    <w:pPr>
      <w:spacing w:after="0" w:afterLines="0" w:line="360" w:lineRule="auto"/>
      <w:ind w:firstLine="480" w:firstLineChars="200"/>
    </w:pPr>
    <w:rPr>
      <w:rFonts w:cs="宋体"/>
      <w:sz w:val="24"/>
      <w:szCs w:val="20"/>
    </w:rPr>
  </w:style>
  <w:style w:type="paragraph" w:customStyle="1" w:styleId="71">
    <w:name w:val="pa-58"/>
    <w:basedOn w:val="1"/>
    <w:qFormat/>
    <w:uiPriority w:val="0"/>
    <w:pPr>
      <w:widowControl/>
      <w:spacing w:line="240" w:lineRule="atLeast"/>
      <w:ind w:firstLine="460"/>
    </w:pPr>
    <w:rPr>
      <w:rFonts w:ascii="宋体" w:hAnsi="宋体" w:cs="宋体"/>
      <w:kern w:val="0"/>
      <w:sz w:val="24"/>
    </w:rPr>
  </w:style>
  <w:style w:type="paragraph" w:customStyle="1" w:styleId="72">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3">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4">
    <w:name w:val="pa-6"/>
    <w:basedOn w:val="1"/>
    <w:qFormat/>
    <w:uiPriority w:val="0"/>
    <w:pPr>
      <w:widowControl/>
      <w:spacing w:line="360" w:lineRule="atLeast"/>
    </w:pPr>
    <w:rPr>
      <w:rFonts w:ascii="宋体" w:hAnsi="宋体" w:cs="宋体"/>
      <w:kern w:val="0"/>
      <w:sz w:val="24"/>
    </w:rPr>
  </w:style>
  <w:style w:type="paragraph" w:customStyle="1" w:styleId="75">
    <w:name w:val="pa-2"/>
    <w:basedOn w:val="1"/>
    <w:qFormat/>
    <w:uiPriority w:val="0"/>
    <w:pPr>
      <w:widowControl/>
      <w:spacing w:line="360" w:lineRule="atLeast"/>
    </w:pPr>
    <w:rPr>
      <w:rFonts w:ascii="宋体" w:hAnsi="宋体" w:cs="宋体"/>
      <w:kern w:val="0"/>
      <w:sz w:val="24"/>
    </w:rPr>
  </w:style>
  <w:style w:type="paragraph" w:customStyle="1" w:styleId="76">
    <w:name w:val="Heading 1"/>
    <w:basedOn w:val="1"/>
    <w:qFormat/>
    <w:uiPriority w:val="0"/>
    <w:pPr>
      <w:outlineLvl w:val="1"/>
    </w:pPr>
    <w:rPr>
      <w:rFonts w:ascii="黑体" w:hAnsi="黑体" w:eastAsia="黑体"/>
      <w:b/>
      <w:bCs/>
      <w:sz w:val="44"/>
      <w:szCs w:val="44"/>
    </w:rPr>
  </w:style>
  <w:style w:type="paragraph" w:customStyle="1" w:styleId="77">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8">
    <w:name w:val="正文（首行缩进一字）"/>
    <w:basedOn w:val="1"/>
    <w:qFormat/>
    <w:uiPriority w:val="0"/>
  </w:style>
  <w:style w:type="paragraph" w:customStyle="1" w:styleId="79">
    <w:name w:val="pa-53"/>
    <w:basedOn w:val="1"/>
    <w:qFormat/>
    <w:uiPriority w:val="0"/>
    <w:pPr>
      <w:widowControl/>
      <w:spacing w:line="240" w:lineRule="atLeast"/>
    </w:pPr>
    <w:rPr>
      <w:rFonts w:ascii="宋体" w:hAnsi="宋体" w:cs="宋体"/>
      <w:kern w:val="0"/>
      <w:sz w:val="24"/>
    </w:rPr>
  </w:style>
  <w:style w:type="paragraph" w:customStyle="1" w:styleId="80">
    <w:name w:val="列出段落1"/>
    <w:basedOn w:val="1"/>
    <w:qFormat/>
    <w:uiPriority w:val="0"/>
    <w:pPr>
      <w:ind w:firstLine="420" w:firstLineChars="200"/>
    </w:pPr>
    <w:rPr>
      <w:rFonts w:ascii="Times New Roman" w:hAnsi="Times New Roman" w:eastAsia="宋体" w:cs="Times New Roman"/>
    </w:rPr>
  </w:style>
  <w:style w:type="paragraph" w:customStyle="1" w:styleId="81">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2">
    <w:name w:val="无间隔1"/>
    <w:basedOn w:val="1"/>
    <w:qFormat/>
    <w:uiPriority w:val="0"/>
    <w:pPr>
      <w:spacing w:line="400" w:lineRule="exact"/>
    </w:pPr>
    <w:rPr>
      <w:rFonts w:eastAsia="宋体"/>
      <w:sz w:val="24"/>
    </w:rPr>
  </w:style>
  <w:style w:type="paragraph" w:customStyle="1" w:styleId="83">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4">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5">
    <w:name w:val="pa-62"/>
    <w:basedOn w:val="1"/>
    <w:qFormat/>
    <w:uiPriority w:val="0"/>
    <w:pPr>
      <w:widowControl/>
      <w:spacing w:line="240" w:lineRule="atLeast"/>
    </w:pPr>
    <w:rPr>
      <w:rFonts w:ascii="宋体" w:hAnsi="宋体" w:cs="宋体"/>
      <w:kern w:val="0"/>
      <w:sz w:val="24"/>
    </w:rPr>
  </w:style>
  <w:style w:type="paragraph" w:customStyle="1" w:styleId="86">
    <w:name w:val="_Style 80"/>
    <w:qFormat/>
    <w:uiPriority w:val="0"/>
    <w:rPr>
      <w:rFonts w:ascii="Times New Roman" w:hAnsi="Times New Roman" w:eastAsia="宋体" w:cs="Times New Roman"/>
      <w:kern w:val="2"/>
      <w:sz w:val="21"/>
      <w:lang w:val="en-US" w:eastAsia="zh-CN" w:bidi="ar-SA"/>
    </w:rPr>
  </w:style>
  <w:style w:type="paragraph" w:customStyle="1" w:styleId="87">
    <w:name w:val="p0"/>
    <w:basedOn w:val="1"/>
    <w:qFormat/>
    <w:uiPriority w:val="0"/>
    <w:pPr>
      <w:widowControl/>
    </w:pPr>
    <w:rPr>
      <w:kern w:val="0"/>
      <w:szCs w:val="21"/>
    </w:rPr>
  </w:style>
  <w:style w:type="paragraph" w:customStyle="1" w:styleId="88">
    <w:name w:val="彩色列表1"/>
    <w:basedOn w:val="1"/>
    <w:qFormat/>
    <w:uiPriority w:val="0"/>
    <w:pPr>
      <w:jc w:val="left"/>
    </w:pPr>
    <w:rPr>
      <w:rFonts w:ascii="Calibri" w:hAnsi="Calibri" w:eastAsia="宋体" w:cs="Times New Roman"/>
      <w:kern w:val="0"/>
      <w:sz w:val="22"/>
      <w:szCs w:val="22"/>
      <w:lang w:eastAsia="en-US"/>
    </w:rPr>
  </w:style>
  <w:style w:type="paragraph" w:customStyle="1" w:styleId="89">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0">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1">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2">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3">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5">
    <w:name w:val="pa-56"/>
    <w:basedOn w:val="1"/>
    <w:qFormat/>
    <w:uiPriority w:val="0"/>
    <w:pPr>
      <w:widowControl/>
      <w:spacing w:line="240" w:lineRule="atLeast"/>
    </w:pPr>
    <w:rPr>
      <w:rFonts w:ascii="宋体" w:hAnsi="宋体" w:cs="宋体"/>
      <w:kern w:val="0"/>
      <w:sz w:val="24"/>
    </w:rPr>
  </w:style>
  <w:style w:type="paragraph" w:customStyle="1" w:styleId="96">
    <w:name w:val=" Char Char Char"/>
    <w:basedOn w:val="1"/>
    <w:qFormat/>
    <w:uiPriority w:val="0"/>
    <w:rPr>
      <w:rFonts w:ascii="Tahoma" w:hAnsi="Tahoma"/>
      <w:sz w:val="24"/>
      <w:szCs w:val="20"/>
    </w:rPr>
  </w:style>
  <w:style w:type="paragraph" w:customStyle="1" w:styleId="97">
    <w:name w:val="pa-4"/>
    <w:basedOn w:val="1"/>
    <w:qFormat/>
    <w:uiPriority w:val="0"/>
    <w:pPr>
      <w:widowControl/>
      <w:spacing w:line="360" w:lineRule="atLeast"/>
      <w:ind w:firstLine="960"/>
    </w:pPr>
    <w:rPr>
      <w:rFonts w:ascii="宋体" w:hAnsi="宋体" w:cs="宋体"/>
      <w:kern w:val="0"/>
      <w:sz w:val="24"/>
    </w:rPr>
  </w:style>
  <w:style w:type="paragraph" w:customStyle="1" w:styleId="98">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0">
    <w:name w:val="_Style 2"/>
    <w:basedOn w:val="1"/>
    <w:qFormat/>
    <w:uiPriority w:val="0"/>
    <w:pPr>
      <w:ind w:firstLine="420" w:firstLineChars="200"/>
    </w:pPr>
    <w:rPr>
      <w:kern w:val="0"/>
      <w:sz w:val="20"/>
      <w:szCs w:val="24"/>
    </w:rPr>
  </w:style>
  <w:style w:type="paragraph" w:customStyle="1" w:styleId="101">
    <w:name w:val="彩色底纹 - 强调文字颜色 61"/>
    <w:basedOn w:val="9"/>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2">
    <w:name w:val="样式2"/>
    <w:basedOn w:val="10"/>
    <w:qFormat/>
    <w:uiPriority w:val="0"/>
    <w:pPr>
      <w:spacing w:line="413" w:lineRule="auto"/>
      <w:jc w:val="left"/>
    </w:pPr>
    <w:rPr>
      <w:rFonts w:ascii="华文中宋" w:hAnsi="华文中宋" w:eastAsia="宋体"/>
      <w:bCs w:val="0"/>
      <w:color w:val="000000"/>
      <w:szCs w:val="20"/>
    </w:rPr>
  </w:style>
  <w:style w:type="paragraph" w:customStyle="1" w:styleId="103">
    <w:name w:val="pa-57"/>
    <w:basedOn w:val="1"/>
    <w:qFormat/>
    <w:uiPriority w:val="0"/>
    <w:pPr>
      <w:widowControl/>
      <w:spacing w:line="240" w:lineRule="atLeast"/>
      <w:ind w:firstLine="480"/>
    </w:pPr>
    <w:rPr>
      <w:rFonts w:ascii="宋体" w:hAnsi="宋体" w:cs="宋体"/>
      <w:kern w:val="0"/>
      <w:sz w:val="24"/>
    </w:rPr>
  </w:style>
  <w:style w:type="paragraph" w:customStyle="1" w:styleId="104">
    <w:name w:val="Table Paragraph"/>
    <w:basedOn w:val="1"/>
    <w:qFormat/>
    <w:uiPriority w:val="0"/>
    <w:pPr>
      <w:jc w:val="left"/>
    </w:pPr>
    <w:rPr>
      <w:rFonts w:ascii="Calibri" w:hAnsi="Calibri" w:eastAsia="宋体" w:cs="Times New Roman"/>
      <w:kern w:val="0"/>
      <w:sz w:val="22"/>
      <w:szCs w:val="22"/>
      <w:lang w:eastAsia="en-US"/>
    </w:rPr>
  </w:style>
  <w:style w:type="paragraph" w:styleId="105">
    <w:name w:val="List Paragraph"/>
    <w:basedOn w:val="1"/>
    <w:qFormat/>
    <w:uiPriority w:val="34"/>
    <w:pPr>
      <w:ind w:firstLine="420" w:firstLineChars="200"/>
    </w:pPr>
    <w:rPr>
      <w:rFonts w:ascii="Calibri" w:hAnsi="Calibri"/>
      <w:szCs w:val="22"/>
    </w:rPr>
  </w:style>
  <w:style w:type="paragraph" w:customStyle="1" w:styleId="106">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07">
    <w:name w:val="pa-59"/>
    <w:basedOn w:val="1"/>
    <w:qFormat/>
    <w:uiPriority w:val="0"/>
    <w:pPr>
      <w:widowControl/>
      <w:spacing w:line="240" w:lineRule="atLeast"/>
      <w:ind w:firstLine="640"/>
    </w:pPr>
    <w:rPr>
      <w:rFonts w:ascii="宋体" w:hAnsi="宋体" w:cs="宋体"/>
      <w:kern w:val="0"/>
      <w:sz w:val="24"/>
    </w:rPr>
  </w:style>
  <w:style w:type="paragraph" w:customStyle="1" w:styleId="108">
    <w:name w:val="WPSOffice手动目录 1"/>
    <w:qFormat/>
    <w:uiPriority w:val="0"/>
    <w:rPr>
      <w:rFonts w:ascii="Times New Roman" w:hAnsi="Times New Roman" w:eastAsia="宋体" w:cs="Times New Roman"/>
      <w:lang w:val="en-US" w:eastAsia="zh-CN" w:bidi="ar-SA"/>
    </w:rPr>
  </w:style>
  <w:style w:type="paragraph" w:customStyle="1" w:styleId="109">
    <w:name w:val="Heading 2"/>
    <w:basedOn w:val="1"/>
    <w:qFormat/>
    <w:uiPriority w:val="0"/>
    <w:pPr>
      <w:ind w:left="117"/>
      <w:outlineLvl w:val="2"/>
    </w:pPr>
    <w:rPr>
      <w:rFonts w:ascii="黑体" w:hAnsi="黑体" w:eastAsia="黑体"/>
      <w:b/>
      <w:bCs/>
      <w:sz w:val="32"/>
      <w:szCs w:val="32"/>
    </w:rPr>
  </w:style>
  <w:style w:type="paragraph" w:customStyle="1" w:styleId="110">
    <w:name w:val="List Paragraph1"/>
    <w:basedOn w:val="1"/>
    <w:qFormat/>
    <w:uiPriority w:val="0"/>
  </w:style>
  <w:style w:type="paragraph" w:customStyle="1" w:styleId="111">
    <w:name w:val="Char Char Char Char"/>
    <w:basedOn w:val="1"/>
    <w:qFormat/>
    <w:uiPriority w:val="0"/>
    <w:rPr>
      <w:rFonts w:ascii="Tahoma" w:hAnsi="Tahoma"/>
      <w:sz w:val="24"/>
      <w:szCs w:val="20"/>
    </w:rPr>
  </w:style>
  <w:style w:type="paragraph" w:customStyle="1" w:styleId="112">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3">
    <w:name w:val="pa-7"/>
    <w:basedOn w:val="1"/>
    <w:qFormat/>
    <w:uiPriority w:val="0"/>
    <w:pPr>
      <w:widowControl/>
      <w:spacing w:line="360" w:lineRule="atLeast"/>
      <w:ind w:firstLine="800"/>
    </w:pPr>
    <w:rPr>
      <w:rFonts w:ascii="宋体" w:hAnsi="宋体" w:cs="宋体"/>
      <w:kern w:val="0"/>
      <w:sz w:val="24"/>
    </w:rPr>
  </w:style>
  <w:style w:type="paragraph" w:customStyle="1" w:styleId="114">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5">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6">
    <w:name w:val="正文_0"/>
    <w:qFormat/>
    <w:uiPriority w:val="0"/>
    <w:rPr>
      <w:rFonts w:ascii="Times New Roman" w:hAnsi="Times New Roman" w:eastAsia="宋体" w:cs="Times New Roman"/>
      <w:sz w:val="21"/>
      <w:lang w:val="en-US" w:eastAsia="zh-CN" w:bidi="ar-SA"/>
    </w:rPr>
  </w:style>
  <w:style w:type="paragraph" w:customStyle="1" w:styleId="117">
    <w:name w:val="0"/>
    <w:basedOn w:val="1"/>
    <w:qFormat/>
    <w:uiPriority w:val="0"/>
    <w:pPr>
      <w:widowControl/>
      <w:snapToGrid w:val="0"/>
      <w:spacing w:line="408" w:lineRule="auto"/>
      <w:ind w:left="1"/>
      <w:textAlignment w:val="bottom"/>
    </w:pPr>
    <w:rPr>
      <w:color w:val="000000"/>
      <w:kern w:val="0"/>
      <w:szCs w:val="21"/>
    </w:rPr>
  </w:style>
  <w:style w:type="paragraph" w:customStyle="1" w:styleId="118">
    <w:name w:val="pa-55"/>
    <w:basedOn w:val="1"/>
    <w:qFormat/>
    <w:uiPriority w:val="0"/>
    <w:pPr>
      <w:widowControl/>
      <w:spacing w:line="240" w:lineRule="atLeast"/>
      <w:ind w:firstLine="420"/>
    </w:pPr>
    <w:rPr>
      <w:rFonts w:ascii="宋体" w:hAnsi="宋体" w:cs="宋体"/>
      <w:kern w:val="0"/>
      <w:sz w:val="24"/>
    </w:rPr>
  </w:style>
  <w:style w:type="paragraph" w:customStyle="1" w:styleId="119">
    <w:name w:val="pa-1"/>
    <w:basedOn w:val="1"/>
    <w:qFormat/>
    <w:uiPriority w:val="0"/>
    <w:pPr>
      <w:widowControl/>
      <w:spacing w:line="360" w:lineRule="atLeast"/>
      <w:ind w:firstLine="640"/>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19876</Words>
  <Characters>20576</Characters>
  <Lines>235</Lines>
  <Paragraphs>66</Paragraphs>
  <TotalTime>1</TotalTime>
  <ScaleCrop>false</ScaleCrop>
  <LinksUpToDate>false</LinksUpToDate>
  <CharactersWithSpaces>23390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薄凉姑娘</cp:lastModifiedBy>
  <cp:lastPrinted>2022-11-29T08:13:00Z</cp:lastPrinted>
  <dcterms:modified xsi:type="dcterms:W3CDTF">2022-11-29T09:29:54Z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A770B9D03257447392B5A3F3F32902C0</vt:lpwstr>
  </property>
</Properties>
</file>