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4"/>
          <w:szCs w:val="44"/>
          <w:lang w:val="en-US" w:eastAsia="zh-CN"/>
        </w:rPr>
      </w:pPr>
      <w:r>
        <w:rPr>
          <w:rFonts w:hint="eastAsia" w:ascii="宋体" w:hAnsi="宋体"/>
          <w:b/>
          <w:bCs/>
          <w:sz w:val="44"/>
          <w:szCs w:val="44"/>
          <w:lang w:val="en-US" w:eastAsia="zh-CN"/>
        </w:rPr>
        <w:t>武陟县园地、林地、草地分等定级工作协作单位采购项目</w:t>
      </w:r>
    </w:p>
    <w:p>
      <w:pPr>
        <w:jc w:val="both"/>
        <w:outlineLvl w:val="0"/>
        <w:rPr>
          <w:rFonts w:hint="eastAsia" w:ascii="宋体" w:hAnsi="宋体" w:cs="宋体"/>
          <w:b/>
          <w:sz w:val="84"/>
          <w:szCs w:val="84"/>
        </w:rPr>
      </w:pPr>
      <w:bookmarkStart w:id="0" w:name="_Toc29289"/>
    </w:p>
    <w:p>
      <w:pPr>
        <w:pStyle w:val="2"/>
        <w:rPr>
          <w:rFonts w:hint="eastAsia"/>
        </w:rPr>
      </w:pPr>
    </w:p>
    <w:p>
      <w:pPr>
        <w:jc w:val="center"/>
        <w:outlineLvl w:val="0"/>
        <w:rPr>
          <w:rFonts w:hint="eastAsia" w:ascii="宋体" w:hAnsi="宋体" w:cs="宋体"/>
          <w:sz w:val="28"/>
          <w:szCs w:val="28"/>
        </w:rPr>
      </w:pPr>
      <w:bookmarkStart w:id="1" w:name="_Toc115021824"/>
      <w:r>
        <w:rPr>
          <w:rFonts w:hint="eastAsia" w:ascii="黑体" w:hAnsi="黑体" w:eastAsia="黑体" w:cs="黑体"/>
          <w:b/>
          <w:sz w:val="72"/>
          <w:szCs w:val="72"/>
        </w:rPr>
        <w:t>竞争性磋商文件</w:t>
      </w:r>
      <w:bookmarkEnd w:id="0"/>
      <w:bookmarkEnd w:id="1"/>
    </w:p>
    <w:p>
      <w:pPr>
        <w:ind w:firstLine="2520" w:firstLineChars="900"/>
        <w:rPr>
          <w:rFonts w:hint="eastAsia" w:ascii="宋体" w:hAnsi="宋体" w:eastAsia="宋体"/>
          <w:szCs w:val="21"/>
          <w:lang w:eastAsia="zh-CN"/>
        </w:rPr>
      </w:pPr>
      <w:r>
        <w:rPr>
          <w:rFonts w:hint="eastAsia" w:ascii="宋体" w:hAnsi="宋体" w:cs="宋体"/>
          <w:sz w:val="28"/>
          <w:szCs w:val="28"/>
        </w:rPr>
        <w:t>项目编号：</w:t>
      </w:r>
      <w:r>
        <w:rPr>
          <w:rFonts w:hint="eastAsia" w:ascii="宋体" w:hAnsi="宋体" w:cs="宋体"/>
          <w:sz w:val="28"/>
          <w:szCs w:val="28"/>
          <w:lang w:eastAsia="zh-CN"/>
        </w:rPr>
        <w:t>武政磋商采购【2022】033号</w:t>
      </w:r>
    </w:p>
    <w:p>
      <w:pPr>
        <w:ind w:firstLine="2520" w:firstLineChars="900"/>
        <w:rPr>
          <w:rFonts w:hint="eastAsia" w:ascii="宋体" w:hAnsi="宋体" w:cs="宋体"/>
          <w:sz w:val="28"/>
          <w:szCs w:val="28"/>
          <w:lang w:eastAsia="zh-CN"/>
        </w:rPr>
      </w:pPr>
      <w:r>
        <w:rPr>
          <w:rFonts w:hint="eastAsia" w:ascii="宋体" w:hAnsi="宋体" w:cs="宋体"/>
          <w:sz w:val="28"/>
          <w:szCs w:val="28"/>
        </w:rPr>
        <w:t>交易编号：</w:t>
      </w:r>
      <w:r>
        <w:rPr>
          <w:rFonts w:hint="eastAsia" w:ascii="宋体" w:hAnsi="宋体" w:cs="宋体"/>
          <w:sz w:val="28"/>
          <w:szCs w:val="28"/>
          <w:highlight w:val="none"/>
          <w:lang w:eastAsia="zh-CN"/>
        </w:rPr>
        <w:t>武交采JZCS2022-0</w:t>
      </w:r>
      <w:r>
        <w:rPr>
          <w:rFonts w:hint="eastAsia" w:ascii="宋体" w:hAnsi="宋体" w:cs="宋体"/>
          <w:sz w:val="28"/>
          <w:szCs w:val="28"/>
          <w:highlight w:val="none"/>
          <w:lang w:val="en-US" w:eastAsia="zh-CN"/>
        </w:rPr>
        <w:t>11</w:t>
      </w:r>
      <w:r>
        <w:rPr>
          <w:rFonts w:hint="eastAsia" w:ascii="宋体" w:hAnsi="宋体" w:cs="宋体"/>
          <w:sz w:val="28"/>
          <w:szCs w:val="28"/>
          <w:highlight w:val="none"/>
          <w:lang w:eastAsia="zh-CN"/>
        </w:rPr>
        <w:t>号</w:t>
      </w:r>
    </w:p>
    <w:p>
      <w:pPr>
        <w:pStyle w:val="54"/>
        <w:rPr>
          <w:rFonts w:hint="eastAsia"/>
          <w:lang w:eastAsia="zh-CN"/>
        </w:rPr>
      </w:pPr>
      <w:r>
        <w:rPr>
          <w:rFonts w:hint="eastAsia" w:ascii="宋体" w:hAnsi="宋体" w:eastAsia="宋体" w:cs="宋体"/>
          <w:b/>
          <w:bCs/>
          <w:lang w:eastAsia="zh-CN"/>
        </w:rPr>
        <w:drawing>
          <wp:anchor distT="0" distB="0" distL="114300" distR="114300" simplePos="0" relativeHeight="251659264" behindDoc="1" locked="0" layoutInCell="1" allowOverlap="1">
            <wp:simplePos x="0" y="0"/>
            <wp:positionH relativeFrom="column">
              <wp:posOffset>1012825</wp:posOffset>
            </wp:positionH>
            <wp:positionV relativeFrom="paragraph">
              <wp:posOffset>143510</wp:posOffset>
            </wp:positionV>
            <wp:extent cx="3989705" cy="3933190"/>
            <wp:effectExtent l="0" t="0" r="10795" b="10160"/>
            <wp:wrapNone/>
            <wp:docPr id="1" name="图片 2" descr="981199f8ee69da909915660df040058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981199f8ee69da909915660df040058e"/>
                    <pic:cNvPicPr>
                      <a:picLocks noChangeAspect="1"/>
                    </pic:cNvPicPr>
                  </pic:nvPicPr>
                  <pic:blipFill>
                    <a:blip r:embed="rId21"/>
                    <a:srcRect l="13945" t="14619" r="14819" b="11458"/>
                    <a:stretch>
                      <a:fillRect/>
                    </a:stretch>
                  </pic:blipFill>
                  <pic:spPr>
                    <a:xfrm>
                      <a:off x="0" y="0"/>
                      <a:ext cx="3989705" cy="3933190"/>
                    </a:xfrm>
                    <a:prstGeom prst="rect">
                      <a:avLst/>
                    </a:prstGeom>
                    <a:noFill/>
                    <a:ln>
                      <a:noFill/>
                    </a:ln>
                  </pic:spPr>
                </pic:pic>
              </a:graphicData>
            </a:graphic>
          </wp:anchor>
        </w:drawing>
      </w:r>
    </w:p>
    <w:p>
      <w:pPr>
        <w:pStyle w:val="2"/>
        <w:rPr>
          <w:rFonts w:hint="eastAsia" w:ascii="宋体" w:hAnsi="宋体"/>
          <w:sz w:val="28"/>
          <w:szCs w:val="24"/>
        </w:rPr>
      </w:pPr>
    </w:p>
    <w:p>
      <w:pPr>
        <w:jc w:val="center"/>
        <w:rPr>
          <w:rFonts w:hint="eastAsia" w:ascii="宋体" w:hAnsi="宋体" w:cs="宋体"/>
        </w:rPr>
      </w:pPr>
    </w:p>
    <w:p>
      <w:pPr>
        <w:jc w:val="cente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ascii="宋体" w:hAnsi="宋体" w:cs="宋体"/>
        </w:rPr>
      </w:pPr>
    </w:p>
    <w:p>
      <w:pPr>
        <w:pStyle w:val="2"/>
        <w:rPr>
          <w:rFonts w:hint="eastAsia"/>
        </w:rPr>
      </w:pPr>
    </w:p>
    <w:p>
      <w:pPr>
        <w:jc w:val="center"/>
        <w:rPr>
          <w:rFonts w:hint="eastAsia" w:ascii="宋体" w:hAnsi="宋体" w:cs="宋体"/>
        </w:rPr>
      </w:pPr>
    </w:p>
    <w:p>
      <w:pPr>
        <w:rPr>
          <w:rFonts w:hint="eastAsia"/>
        </w:rPr>
      </w:pPr>
    </w:p>
    <w:p>
      <w:pPr>
        <w:pStyle w:val="2"/>
        <w:rPr>
          <w:rFonts w:hint="eastAsia"/>
        </w:rPr>
      </w:pPr>
    </w:p>
    <w:p>
      <w:pPr>
        <w:rPr>
          <w:rFonts w:hint="eastAsia" w:ascii="宋体" w:hAnsi="宋体" w:cs="宋体"/>
          <w:b/>
          <w:bCs/>
          <w:sz w:val="32"/>
        </w:rPr>
      </w:pPr>
      <w:r>
        <w:rPr>
          <w:rFonts w:hint="eastAsia" w:ascii="宋体" w:hAnsi="宋体" w:cs="宋体"/>
          <w:sz w:val="32"/>
        </w:rPr>
        <w:t xml:space="preserve">      </w:t>
      </w:r>
      <w:r>
        <w:rPr>
          <w:rFonts w:hint="eastAsia" w:ascii="宋体" w:hAnsi="宋体" w:cs="宋体"/>
          <w:b/>
          <w:bCs/>
          <w:sz w:val="32"/>
        </w:rPr>
        <w:t xml:space="preserve">  </w:t>
      </w: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cs="宋体"/>
          <w:b/>
          <w:bCs/>
          <w:sz w:val="32"/>
          <w:lang w:eastAsia="zh-CN"/>
        </w:rPr>
        <w:t>武陟县自然资源局</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w:t>
      </w:r>
      <w:r>
        <w:rPr>
          <w:rFonts w:hint="eastAsia" w:ascii="宋体" w:hAnsi="宋体" w:cs="宋体"/>
          <w:b/>
          <w:bCs/>
          <w:sz w:val="32"/>
        </w:rPr>
        <w:t>采购代理机构：</w:t>
      </w:r>
      <w:r>
        <w:rPr>
          <w:rFonts w:hint="eastAsia" w:ascii="宋体" w:hAnsi="宋体" w:cs="宋体"/>
          <w:b/>
          <w:bCs/>
          <w:sz w:val="32"/>
          <w:lang w:eastAsia="zh-CN"/>
        </w:rPr>
        <w:t>河南地天泰工程咨询有限公司</w:t>
      </w:r>
    </w:p>
    <w:p>
      <w:pPr>
        <w:pStyle w:val="24"/>
        <w:tabs>
          <w:tab w:val="right" w:leader="dot" w:pos="8810"/>
        </w:tabs>
        <w:spacing w:line="360" w:lineRule="auto"/>
        <w:jc w:val="center"/>
        <w:rPr>
          <w:rFonts w:ascii="Calibri" w:hAnsi="Calibri"/>
          <w:sz w:val="30"/>
          <w:szCs w:val="30"/>
        </w:rPr>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Style w:val="44"/>
          <w:rFonts w:hint="eastAsia"/>
          <w:color w:val="auto"/>
          <w:sz w:val="30"/>
          <w:szCs w:val="30"/>
          <w:u w:val="none"/>
        </w:rPr>
        <w:t>目录</w:t>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"_Toc115021825"</w:instrText>
      </w:r>
      <w:r>
        <w:rPr>
          <w:rStyle w:val="44"/>
          <w:sz w:val="24"/>
        </w:rPr>
        <w:instrText xml:space="preserve"> </w:instrText>
      </w:r>
      <w:r>
        <w:rPr>
          <w:sz w:val="24"/>
        </w:rPr>
        <w:fldChar w:fldCharType="separate"/>
      </w:r>
      <w:r>
        <w:rPr>
          <w:rStyle w:val="44"/>
          <w:rFonts w:hint="eastAsia" w:cs="宋体"/>
          <w:sz w:val="24"/>
        </w:rPr>
        <w:t>第一章 竞争性磋商公告</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_Toc115021825 \h </w:instrText>
      </w:r>
      <w:r>
        <w:rPr>
          <w:rFonts w:ascii="宋体" w:hAnsi="宋体"/>
          <w:sz w:val="24"/>
          <w:szCs w:val="24"/>
        </w:rPr>
        <w:fldChar w:fldCharType="separate"/>
      </w:r>
      <w:r>
        <w:rPr>
          <w:rFonts w:ascii="宋体" w:hAnsi="宋体"/>
          <w:sz w:val="24"/>
          <w:szCs w:val="24"/>
        </w:rPr>
        <w:t>2</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"_Toc115021826"</w:instrText>
      </w:r>
      <w:r>
        <w:rPr>
          <w:rStyle w:val="44"/>
          <w:sz w:val="24"/>
        </w:rPr>
        <w:instrText xml:space="preserve"> </w:instrText>
      </w:r>
      <w:r>
        <w:rPr>
          <w:sz w:val="24"/>
        </w:rPr>
        <w:fldChar w:fldCharType="separate"/>
      </w:r>
      <w:r>
        <w:rPr>
          <w:rStyle w:val="44"/>
          <w:rFonts w:hint="eastAsia" w:cs="宋体"/>
          <w:sz w:val="24"/>
        </w:rPr>
        <w:t>第二章 供应商须知</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_Toc115021826 \h </w:instrText>
      </w:r>
      <w:r>
        <w:rPr>
          <w:rFonts w:ascii="宋体" w:hAnsi="宋体"/>
          <w:sz w:val="24"/>
          <w:szCs w:val="24"/>
        </w:rPr>
        <w:fldChar w:fldCharType="separate"/>
      </w:r>
      <w:r>
        <w:rPr>
          <w:rFonts w:ascii="宋体" w:hAnsi="宋体"/>
          <w:sz w:val="24"/>
          <w:szCs w:val="24"/>
        </w:rPr>
        <w:t>4</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"_Toc115021827"</w:instrText>
      </w:r>
      <w:r>
        <w:rPr>
          <w:rStyle w:val="44"/>
          <w:sz w:val="24"/>
        </w:rPr>
        <w:instrText xml:space="preserve"> </w:instrText>
      </w:r>
      <w:r>
        <w:rPr>
          <w:sz w:val="24"/>
        </w:rPr>
        <w:fldChar w:fldCharType="separate"/>
      </w:r>
      <w:r>
        <w:rPr>
          <w:rStyle w:val="44"/>
          <w:rFonts w:hint="eastAsia" w:cs="宋体"/>
          <w:sz w:val="24"/>
        </w:rPr>
        <w:t>第三章 评审方法和评审标准</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_Toc115021827 \h </w:instrText>
      </w:r>
      <w:r>
        <w:rPr>
          <w:rFonts w:ascii="宋体" w:hAnsi="宋体"/>
          <w:sz w:val="24"/>
          <w:szCs w:val="24"/>
        </w:rPr>
        <w:fldChar w:fldCharType="separate"/>
      </w:r>
      <w:r>
        <w:rPr>
          <w:rFonts w:ascii="宋体" w:hAnsi="宋体"/>
          <w:sz w:val="24"/>
          <w:szCs w:val="24"/>
        </w:rPr>
        <w:t>18</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"_Toc115021828"</w:instrText>
      </w:r>
      <w:r>
        <w:rPr>
          <w:rStyle w:val="44"/>
          <w:sz w:val="24"/>
        </w:rPr>
        <w:instrText xml:space="preserve"> </w:instrText>
      </w:r>
      <w:r>
        <w:rPr>
          <w:sz w:val="24"/>
        </w:rPr>
        <w:fldChar w:fldCharType="separate"/>
      </w:r>
      <w:r>
        <w:rPr>
          <w:rStyle w:val="44"/>
          <w:rFonts w:hint="eastAsia" w:cs="宋体"/>
          <w:sz w:val="24"/>
        </w:rPr>
        <w:t>第四章 拟签订的合同文本</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_Toc115021828 \h </w:instrText>
      </w:r>
      <w:r>
        <w:rPr>
          <w:rFonts w:ascii="宋体" w:hAnsi="宋体"/>
          <w:sz w:val="24"/>
          <w:szCs w:val="24"/>
        </w:rPr>
        <w:fldChar w:fldCharType="separate"/>
      </w:r>
      <w:r>
        <w:rPr>
          <w:rFonts w:ascii="宋体" w:hAnsi="宋体"/>
          <w:sz w:val="24"/>
          <w:szCs w:val="24"/>
        </w:rPr>
        <w:t>22</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"_Toc115021829"</w:instrText>
      </w:r>
      <w:r>
        <w:rPr>
          <w:rStyle w:val="44"/>
          <w:sz w:val="24"/>
        </w:rPr>
        <w:instrText xml:space="preserve"> </w:instrText>
      </w:r>
      <w:r>
        <w:rPr>
          <w:sz w:val="24"/>
        </w:rPr>
        <w:fldChar w:fldCharType="separate"/>
      </w:r>
      <w:r>
        <w:rPr>
          <w:rStyle w:val="44"/>
          <w:rFonts w:hint="eastAsia" w:cs="宋体"/>
          <w:sz w:val="24"/>
        </w:rPr>
        <w:t>第五章 采购需求</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_Toc115021829 \h </w:instrText>
      </w:r>
      <w:r>
        <w:rPr>
          <w:rFonts w:ascii="宋体" w:hAnsi="宋体"/>
          <w:sz w:val="24"/>
          <w:szCs w:val="24"/>
        </w:rPr>
        <w:fldChar w:fldCharType="separate"/>
      </w:r>
      <w:r>
        <w:rPr>
          <w:rFonts w:ascii="宋体" w:hAnsi="宋体"/>
          <w:sz w:val="24"/>
          <w:szCs w:val="24"/>
        </w:rPr>
        <w:t>26</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"_Toc115021830"</w:instrText>
      </w:r>
      <w:r>
        <w:rPr>
          <w:rStyle w:val="44"/>
          <w:sz w:val="24"/>
        </w:rPr>
        <w:instrText xml:space="preserve"> </w:instrText>
      </w:r>
      <w:r>
        <w:rPr>
          <w:sz w:val="24"/>
        </w:rPr>
        <w:fldChar w:fldCharType="separate"/>
      </w:r>
      <w:r>
        <w:rPr>
          <w:rStyle w:val="44"/>
          <w:rFonts w:hint="eastAsia" w:cs="宋体"/>
          <w:sz w:val="24"/>
        </w:rPr>
        <w:t>第六章</w:t>
      </w:r>
      <w:r>
        <w:rPr>
          <w:rStyle w:val="44"/>
          <w:rFonts w:cs="宋体"/>
          <w:sz w:val="24"/>
        </w:rPr>
        <w:t xml:space="preserve"> </w:t>
      </w:r>
      <w:r>
        <w:rPr>
          <w:rStyle w:val="44"/>
          <w:rFonts w:hint="eastAsia" w:cs="宋体"/>
          <w:sz w:val="24"/>
        </w:rPr>
        <w:t>响应文件格式</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_Toc115021830 \h </w:instrText>
      </w:r>
      <w:r>
        <w:rPr>
          <w:rFonts w:ascii="宋体" w:hAnsi="宋体"/>
          <w:sz w:val="24"/>
          <w:szCs w:val="24"/>
        </w:rPr>
        <w:fldChar w:fldCharType="separate"/>
      </w:r>
      <w:r>
        <w:rPr>
          <w:rFonts w:ascii="宋体" w:hAnsi="宋体"/>
          <w:sz w:val="24"/>
          <w:szCs w:val="24"/>
        </w:rPr>
        <w:t>27</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"_Toc115021831"</w:instrText>
      </w:r>
      <w:r>
        <w:rPr>
          <w:rStyle w:val="44"/>
          <w:sz w:val="24"/>
        </w:rPr>
        <w:instrText xml:space="preserve"> </w:instrText>
      </w:r>
      <w:r>
        <w:rPr>
          <w:sz w:val="24"/>
        </w:rPr>
        <w:fldChar w:fldCharType="separate"/>
      </w:r>
      <w:r>
        <w:rPr>
          <w:rStyle w:val="44"/>
          <w:rFonts w:cs="宋体"/>
          <w:sz w:val="24"/>
        </w:rPr>
        <w:t>1.</w:t>
      </w:r>
      <w:r>
        <w:rPr>
          <w:rStyle w:val="44"/>
          <w:rFonts w:hint="eastAsia" w:cs="宋体"/>
          <w:sz w:val="24"/>
        </w:rPr>
        <w:t xml:space="preserve"> </w:t>
      </w:r>
      <w:bookmarkStart w:id="2" w:name="_Hlt115021892"/>
      <w:r>
        <w:rPr>
          <w:rStyle w:val="44"/>
          <w:rFonts w:hint="eastAsia" w:cs="宋体"/>
          <w:sz w:val="24"/>
        </w:rPr>
        <w:t>磋商承诺函</w:t>
      </w:r>
      <w:r>
        <w:rPr>
          <w:rFonts w:ascii="宋体" w:hAnsi="宋体"/>
          <w:sz w:val="24"/>
          <w:szCs w:val="24"/>
        </w:rPr>
        <w:tab/>
      </w:r>
      <w:bookmarkEnd w:id="2"/>
      <w:r>
        <w:rPr>
          <w:rFonts w:ascii="宋体" w:hAnsi="宋体"/>
          <w:sz w:val="24"/>
          <w:szCs w:val="24"/>
        </w:rPr>
        <w:fldChar w:fldCharType="begin"/>
      </w:r>
      <w:r>
        <w:rPr>
          <w:rFonts w:ascii="宋体" w:hAnsi="宋体"/>
          <w:sz w:val="24"/>
          <w:szCs w:val="24"/>
        </w:rPr>
        <w:instrText xml:space="preserve"> PAGEREF _Toc115021831 \h </w:instrText>
      </w:r>
      <w:r>
        <w:rPr>
          <w:rFonts w:ascii="宋体" w:hAnsi="宋体"/>
          <w:sz w:val="24"/>
          <w:szCs w:val="24"/>
        </w:rPr>
        <w:fldChar w:fldCharType="separate"/>
      </w:r>
      <w:r>
        <w:rPr>
          <w:rFonts w:ascii="宋体" w:hAnsi="宋体"/>
          <w:sz w:val="24"/>
          <w:szCs w:val="24"/>
        </w:rPr>
        <w:t>30</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"_Toc115021832"</w:instrText>
      </w:r>
      <w:r>
        <w:rPr>
          <w:rStyle w:val="44"/>
          <w:sz w:val="24"/>
        </w:rPr>
        <w:instrText xml:space="preserve"> </w:instrText>
      </w:r>
      <w:r>
        <w:rPr>
          <w:sz w:val="24"/>
        </w:rPr>
        <w:fldChar w:fldCharType="separate"/>
      </w:r>
      <w:r>
        <w:rPr>
          <w:rStyle w:val="44"/>
          <w:rFonts w:cs="宋体"/>
          <w:sz w:val="24"/>
        </w:rPr>
        <w:t>2.</w:t>
      </w:r>
      <w:r>
        <w:rPr>
          <w:rStyle w:val="44"/>
          <w:rFonts w:hint="eastAsia" w:cs="宋体"/>
          <w:sz w:val="24"/>
        </w:rPr>
        <w:t xml:space="preserve"> 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_Toc115021832 \h </w:instrText>
      </w:r>
      <w:r>
        <w:rPr>
          <w:rFonts w:ascii="宋体" w:hAnsi="宋体"/>
          <w:sz w:val="24"/>
          <w:szCs w:val="24"/>
        </w:rPr>
        <w:fldChar w:fldCharType="separate"/>
      </w:r>
      <w:r>
        <w:rPr>
          <w:rFonts w:ascii="宋体" w:hAnsi="宋体"/>
          <w:sz w:val="24"/>
          <w:szCs w:val="24"/>
        </w:rPr>
        <w:t>31</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"_Toc115021833"</w:instrText>
      </w:r>
      <w:r>
        <w:rPr>
          <w:rStyle w:val="44"/>
          <w:sz w:val="24"/>
        </w:rPr>
        <w:instrText xml:space="preserve"> </w:instrText>
      </w:r>
      <w:r>
        <w:rPr>
          <w:sz w:val="24"/>
        </w:rPr>
        <w:fldChar w:fldCharType="separate"/>
      </w:r>
      <w:r>
        <w:rPr>
          <w:rStyle w:val="44"/>
          <w:rFonts w:cs="宋体"/>
          <w:sz w:val="24"/>
        </w:rPr>
        <w:t>3.</w:t>
      </w:r>
      <w:r>
        <w:rPr>
          <w:rStyle w:val="44"/>
          <w:rFonts w:hint="eastAsia" w:cs="宋体"/>
          <w:sz w:val="24"/>
        </w:rPr>
        <w:t xml:space="preserve"> 供应</w:t>
      </w:r>
      <w:bookmarkStart w:id="3" w:name="_Hlt115021897"/>
      <w:r>
        <w:rPr>
          <w:rStyle w:val="44"/>
          <w:rFonts w:hint="eastAsia" w:cs="宋体"/>
          <w:sz w:val="24"/>
        </w:rPr>
        <w:t>商</w:t>
      </w:r>
      <w:bookmarkEnd w:id="3"/>
      <w:r>
        <w:rPr>
          <w:rStyle w:val="44"/>
          <w:rFonts w:hint="eastAsia" w:cs="宋体"/>
          <w:sz w:val="24"/>
        </w:rPr>
        <w:t>基本</w:t>
      </w:r>
      <w:bookmarkStart w:id="4" w:name="_Hlt115180455"/>
      <w:r>
        <w:rPr>
          <w:rStyle w:val="44"/>
          <w:rFonts w:hint="eastAsia" w:cs="宋体"/>
          <w:sz w:val="24"/>
        </w:rPr>
        <w:t>情</w:t>
      </w:r>
      <w:bookmarkEnd w:id="4"/>
      <w:r>
        <w:rPr>
          <w:rStyle w:val="44"/>
          <w:rFonts w:hint="eastAsia" w:cs="宋体"/>
          <w:sz w:val="24"/>
        </w:rPr>
        <w:t>况表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_Toc115021833 \h </w:instrText>
      </w:r>
      <w:r>
        <w:rPr>
          <w:rFonts w:ascii="宋体" w:hAnsi="宋体"/>
          <w:sz w:val="24"/>
          <w:szCs w:val="24"/>
        </w:rPr>
        <w:fldChar w:fldCharType="separate"/>
      </w:r>
      <w:r>
        <w:rPr>
          <w:rFonts w:ascii="宋体" w:hAnsi="宋体"/>
          <w:sz w:val="24"/>
          <w:szCs w:val="24"/>
        </w:rPr>
        <w:t>32</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"_Toc115021834"</w:instrText>
      </w:r>
      <w:r>
        <w:rPr>
          <w:rStyle w:val="44"/>
          <w:sz w:val="24"/>
        </w:rPr>
        <w:instrText xml:space="preserve"> </w:instrText>
      </w:r>
      <w:r>
        <w:rPr>
          <w:sz w:val="24"/>
        </w:rPr>
        <w:fldChar w:fldCharType="separate"/>
      </w:r>
      <w:r>
        <w:rPr>
          <w:rStyle w:val="44"/>
          <w:rFonts w:cs="宋体"/>
          <w:sz w:val="24"/>
        </w:rPr>
        <w:t>4.</w:t>
      </w:r>
      <w:r>
        <w:rPr>
          <w:rStyle w:val="44"/>
          <w:rFonts w:hint="eastAsia" w:cs="宋体"/>
          <w:sz w:val="24"/>
        </w:rPr>
        <w:t xml:space="preserve"> 第一轮报价表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_Toc115021834 \h </w:instrText>
      </w:r>
      <w:r>
        <w:rPr>
          <w:rFonts w:ascii="宋体" w:hAnsi="宋体"/>
          <w:sz w:val="24"/>
          <w:szCs w:val="24"/>
        </w:rPr>
        <w:fldChar w:fldCharType="separate"/>
      </w:r>
      <w:r>
        <w:rPr>
          <w:rFonts w:ascii="宋体" w:hAnsi="宋体"/>
          <w:sz w:val="24"/>
          <w:szCs w:val="24"/>
        </w:rPr>
        <w:t>33</w:t>
      </w:r>
      <w:r>
        <w:rPr>
          <w:rFonts w:ascii="宋体" w:hAnsi="宋体"/>
          <w:sz w:val="24"/>
          <w:szCs w:val="24"/>
        </w:rPr>
        <w:fldChar w:fldCharType="end"/>
      </w:r>
      <w:r>
        <w:rPr>
          <w:sz w:val="24"/>
        </w:rPr>
        <w:fldChar w:fldCharType="end"/>
      </w:r>
    </w:p>
    <w:p>
      <w:pPr>
        <w:pStyle w:val="24"/>
        <w:tabs>
          <w:tab w:val="right" w:leader="dot" w:pos="8810"/>
        </w:tabs>
        <w:spacing w:line="360" w:lineRule="auto"/>
        <w:rPr>
          <w:rFonts w:hint="eastAsia" w:ascii="宋体" w:hAnsi="宋体" w:eastAsia="宋体"/>
          <w:sz w:val="24"/>
          <w:szCs w:val="24"/>
          <w:lang w:val="en-US" w:eastAsia="zh-CN"/>
        </w:rPr>
      </w:pPr>
      <w:r>
        <w:rPr>
          <w:sz w:val="24"/>
        </w:rPr>
        <w:fldChar w:fldCharType="begin"/>
      </w:r>
      <w:r>
        <w:rPr>
          <w:rStyle w:val="44"/>
          <w:sz w:val="24"/>
        </w:rPr>
        <w:instrText xml:space="preserve"> </w:instrText>
      </w:r>
      <w:r>
        <w:rPr>
          <w:rFonts w:ascii="宋体" w:hAnsi="宋体"/>
          <w:sz w:val="24"/>
          <w:szCs w:val="24"/>
        </w:rPr>
        <w:instrText xml:space="preserve">HYPERLINK \l "_Toc115021836"</w:instrText>
      </w:r>
      <w:r>
        <w:rPr>
          <w:rStyle w:val="44"/>
          <w:sz w:val="24"/>
        </w:rPr>
        <w:instrText xml:space="preserve"> </w:instrText>
      </w:r>
      <w:r>
        <w:rPr>
          <w:sz w:val="24"/>
        </w:rPr>
        <w:fldChar w:fldCharType="separate"/>
      </w:r>
      <w:r>
        <w:rPr>
          <w:rStyle w:val="44"/>
          <w:rFonts w:hint="eastAsia" w:cs="宋体"/>
          <w:sz w:val="24"/>
          <w:lang w:val="en-US"/>
        </w:rPr>
        <w:t>5</w:t>
      </w:r>
      <w:r>
        <w:rPr>
          <w:rStyle w:val="44"/>
          <w:rFonts w:cs="宋体"/>
          <w:sz w:val="24"/>
        </w:rPr>
        <w:t>.</w:t>
      </w:r>
      <w:r>
        <w:rPr>
          <w:rStyle w:val="44"/>
          <w:rFonts w:hint="eastAsia" w:cs="宋体"/>
          <w:sz w:val="24"/>
        </w:rPr>
        <w:t xml:space="preserve"> </w:t>
      </w:r>
      <w:r>
        <w:rPr>
          <w:rStyle w:val="44"/>
          <w:rFonts w:hint="eastAsia" w:cs="宋体"/>
          <w:sz w:val="24"/>
          <w:lang w:val="en-US" w:eastAsia="zh-CN"/>
        </w:rPr>
        <w:t>采购需求承诺函</w:t>
      </w:r>
      <w:r>
        <w:rPr>
          <w:rFonts w:ascii="宋体" w:hAnsi="宋体"/>
          <w:sz w:val="24"/>
          <w:szCs w:val="24"/>
        </w:rPr>
        <w:tab/>
      </w:r>
      <w:r>
        <w:rPr>
          <w:rFonts w:hint="eastAsia" w:ascii="宋体" w:hAnsi="宋体"/>
          <w:sz w:val="24"/>
          <w:szCs w:val="24"/>
          <w:lang w:val="en-US" w:eastAsia="zh-CN"/>
        </w:rPr>
        <w:t>3</w:t>
      </w:r>
      <w:r>
        <w:rPr>
          <w:sz w:val="24"/>
        </w:rPr>
        <w:fldChar w:fldCharType="end"/>
      </w:r>
      <w:r>
        <w:rPr>
          <w:rFonts w:hint="eastAsia"/>
          <w:sz w:val="24"/>
          <w:lang w:val="en-US" w:eastAsia="zh-CN"/>
        </w:rPr>
        <w:t>4</w:t>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"_Toc115021837"</w:instrText>
      </w:r>
      <w:r>
        <w:rPr>
          <w:rStyle w:val="44"/>
          <w:sz w:val="24"/>
        </w:rPr>
        <w:instrText xml:space="preserve"> </w:instrText>
      </w:r>
      <w:r>
        <w:rPr>
          <w:sz w:val="24"/>
        </w:rPr>
        <w:fldChar w:fldCharType="separate"/>
      </w:r>
      <w:r>
        <w:rPr>
          <w:rStyle w:val="44"/>
          <w:rFonts w:cs="宋体"/>
          <w:sz w:val="24"/>
        </w:rPr>
        <w:t>7.</w:t>
      </w:r>
      <w:r>
        <w:rPr>
          <w:rStyle w:val="44"/>
          <w:rFonts w:hint="eastAsia" w:cs="宋体"/>
          <w:sz w:val="24"/>
        </w:rPr>
        <w:t xml:space="preserve"> 商务响应表</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_Toc115021837 \h </w:instrText>
      </w:r>
      <w:r>
        <w:rPr>
          <w:rFonts w:ascii="宋体" w:hAnsi="宋体"/>
          <w:sz w:val="24"/>
          <w:szCs w:val="24"/>
        </w:rPr>
        <w:fldChar w:fldCharType="separate"/>
      </w:r>
      <w:r>
        <w:rPr>
          <w:rFonts w:ascii="宋体" w:hAnsi="宋体"/>
          <w:sz w:val="24"/>
          <w:szCs w:val="24"/>
        </w:rPr>
        <w:t>35</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"_Toc115021838"</w:instrText>
      </w:r>
      <w:r>
        <w:rPr>
          <w:rStyle w:val="44"/>
          <w:sz w:val="24"/>
        </w:rPr>
        <w:instrText xml:space="preserve"> </w:instrText>
      </w:r>
      <w:r>
        <w:rPr>
          <w:sz w:val="24"/>
        </w:rPr>
        <w:fldChar w:fldCharType="separate"/>
      </w:r>
      <w:r>
        <w:rPr>
          <w:rStyle w:val="44"/>
          <w:rFonts w:cs="宋体"/>
          <w:sz w:val="24"/>
        </w:rPr>
        <w:t>8.</w:t>
      </w:r>
      <w:r>
        <w:rPr>
          <w:rStyle w:val="44"/>
          <w:rFonts w:hint="eastAsia" w:cs="宋体"/>
          <w:sz w:val="24"/>
        </w:rPr>
        <w:t xml:space="preserve"> 资格证明材料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_Toc115021838 \h </w:instrText>
      </w:r>
      <w:r>
        <w:rPr>
          <w:rFonts w:ascii="宋体" w:hAnsi="宋体"/>
          <w:sz w:val="24"/>
          <w:szCs w:val="24"/>
        </w:rPr>
        <w:fldChar w:fldCharType="separate"/>
      </w:r>
      <w:r>
        <w:rPr>
          <w:rFonts w:ascii="宋体" w:hAnsi="宋体"/>
          <w:sz w:val="24"/>
          <w:szCs w:val="24"/>
        </w:rPr>
        <w:t>36</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"_Toc115021841"</w:instrText>
      </w:r>
      <w:r>
        <w:rPr>
          <w:rStyle w:val="44"/>
          <w:sz w:val="24"/>
        </w:rPr>
        <w:instrText xml:space="preserve"> </w:instrText>
      </w:r>
      <w:r>
        <w:rPr>
          <w:sz w:val="24"/>
        </w:rPr>
        <w:fldChar w:fldCharType="separate"/>
      </w:r>
      <w:r>
        <w:rPr>
          <w:rStyle w:val="44"/>
          <w:rFonts w:cs="宋体"/>
          <w:sz w:val="24"/>
        </w:rPr>
        <w:t>9.</w:t>
      </w:r>
      <w:r>
        <w:rPr>
          <w:rStyle w:val="44"/>
          <w:rFonts w:hint="eastAsia" w:cs="宋体"/>
          <w:sz w:val="24"/>
        </w:rPr>
        <w:t xml:space="preserve"> 法定代表</w:t>
      </w:r>
      <w:bookmarkStart w:id="5" w:name="_Hlt115021899"/>
      <w:r>
        <w:rPr>
          <w:rStyle w:val="44"/>
          <w:rFonts w:hint="eastAsia" w:cs="宋体"/>
          <w:sz w:val="24"/>
        </w:rPr>
        <w:t>人</w:t>
      </w:r>
      <w:bookmarkEnd w:id="5"/>
      <w:r>
        <w:rPr>
          <w:rStyle w:val="44"/>
          <w:rFonts w:hint="eastAsia" w:cs="宋体"/>
          <w:sz w:val="24"/>
        </w:rPr>
        <w:t>身份证明或授权委托书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_Toc115021841 \h </w:instrText>
      </w:r>
      <w:r>
        <w:rPr>
          <w:rFonts w:ascii="宋体" w:hAnsi="宋体"/>
          <w:sz w:val="24"/>
          <w:szCs w:val="24"/>
        </w:rPr>
        <w:fldChar w:fldCharType="separate"/>
      </w:r>
      <w:r>
        <w:rPr>
          <w:rFonts w:ascii="宋体" w:hAnsi="宋体"/>
          <w:sz w:val="24"/>
          <w:szCs w:val="24"/>
        </w:rPr>
        <w:t>38</w:t>
      </w:r>
      <w:r>
        <w:rPr>
          <w:rFonts w:ascii="宋体" w:hAnsi="宋体"/>
          <w:sz w:val="24"/>
          <w:szCs w:val="24"/>
        </w:rPr>
        <w:fldChar w:fldCharType="end"/>
      </w:r>
      <w:r>
        <w:rPr>
          <w:sz w:val="24"/>
        </w:rPr>
        <w:fldChar w:fldCharType="end"/>
      </w:r>
    </w:p>
    <w:p>
      <w:pPr>
        <w:pStyle w:val="24"/>
        <w:tabs>
          <w:tab w:val="right" w:leader="dot" w:pos="8810"/>
        </w:tabs>
        <w:spacing w:line="360" w:lineRule="auto"/>
        <w:rPr>
          <w:rFonts w:hint="eastAsia" w:ascii="宋体" w:hAnsi="宋体" w:eastAsia="宋体"/>
          <w:sz w:val="24"/>
          <w:szCs w:val="24"/>
          <w:lang w:val="en-US" w:eastAsia="zh-CN"/>
        </w:rPr>
      </w:pPr>
      <w:r>
        <w:rPr>
          <w:sz w:val="24"/>
        </w:rPr>
        <w:fldChar w:fldCharType="begin"/>
      </w:r>
      <w:r>
        <w:rPr>
          <w:rStyle w:val="44"/>
          <w:sz w:val="24"/>
        </w:rPr>
        <w:instrText xml:space="preserve"> </w:instrText>
      </w:r>
      <w:r>
        <w:rPr>
          <w:rFonts w:ascii="宋体" w:hAnsi="宋体"/>
          <w:sz w:val="24"/>
          <w:szCs w:val="24"/>
        </w:rPr>
        <w:instrText xml:space="preserve">HYPERLINK \l "_Toc115021842"</w:instrText>
      </w:r>
      <w:r>
        <w:rPr>
          <w:rStyle w:val="44"/>
          <w:sz w:val="24"/>
        </w:rPr>
        <w:instrText xml:space="preserve"> </w:instrText>
      </w:r>
      <w:r>
        <w:rPr>
          <w:sz w:val="24"/>
        </w:rPr>
        <w:fldChar w:fldCharType="separate"/>
      </w:r>
      <w:r>
        <w:rPr>
          <w:rStyle w:val="44"/>
          <w:rFonts w:cs="宋体"/>
          <w:sz w:val="24"/>
        </w:rPr>
        <w:t>10.</w:t>
      </w:r>
      <w:r>
        <w:rPr>
          <w:rStyle w:val="44"/>
          <w:rFonts w:hint="eastAsia" w:cs="宋体"/>
          <w:sz w:val="24"/>
        </w:rPr>
        <w:t xml:space="preserve"> 中小企业声明函（工程、服务）</w:t>
      </w:r>
      <w:r>
        <w:rPr>
          <w:rFonts w:ascii="宋体" w:hAnsi="宋体"/>
          <w:sz w:val="24"/>
          <w:szCs w:val="24"/>
        </w:rPr>
        <w:tab/>
      </w:r>
      <w:r>
        <w:rPr>
          <w:rFonts w:hint="eastAsia" w:ascii="宋体" w:hAnsi="宋体"/>
          <w:sz w:val="24"/>
          <w:szCs w:val="24"/>
          <w:lang w:val="en-US" w:eastAsia="zh-CN"/>
        </w:rPr>
        <w:t>4</w:t>
      </w:r>
      <w:r>
        <w:rPr>
          <w:sz w:val="24"/>
        </w:rPr>
        <w:fldChar w:fldCharType="end"/>
      </w:r>
      <w:r>
        <w:rPr>
          <w:rFonts w:hint="eastAsia"/>
          <w:sz w:val="24"/>
          <w:lang w:val="en-US" w:eastAsia="zh-CN"/>
        </w:rPr>
        <w:t>1</w:t>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"_Toc115021843"</w:instrText>
      </w:r>
      <w:r>
        <w:rPr>
          <w:rStyle w:val="44"/>
          <w:sz w:val="24"/>
        </w:rPr>
        <w:instrText xml:space="preserve"> </w:instrText>
      </w:r>
      <w:r>
        <w:rPr>
          <w:sz w:val="24"/>
        </w:rPr>
        <w:fldChar w:fldCharType="separate"/>
      </w:r>
      <w:r>
        <w:rPr>
          <w:rStyle w:val="44"/>
          <w:rFonts w:cs="宋体"/>
          <w:sz w:val="24"/>
        </w:rPr>
        <w:t>11.</w:t>
      </w:r>
      <w:r>
        <w:rPr>
          <w:rStyle w:val="44"/>
          <w:rFonts w:hint="eastAsia" w:cs="宋体"/>
          <w:sz w:val="24"/>
        </w:rPr>
        <w:t xml:space="preserve"> 残疾人福利性单位声明函</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_Toc115021843 \h </w:instrText>
      </w:r>
      <w:r>
        <w:rPr>
          <w:rFonts w:ascii="宋体" w:hAnsi="宋体"/>
          <w:sz w:val="24"/>
          <w:szCs w:val="24"/>
        </w:rPr>
        <w:fldChar w:fldCharType="separate"/>
      </w:r>
      <w:r>
        <w:rPr>
          <w:rFonts w:ascii="宋体" w:hAnsi="宋体"/>
          <w:sz w:val="24"/>
          <w:szCs w:val="24"/>
        </w:rPr>
        <w:t>42</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4"/>
          <w:szCs w:val="24"/>
        </w:rPr>
      </w:pPr>
      <w:r>
        <w:rPr>
          <w:sz w:val="24"/>
        </w:rPr>
        <w:fldChar w:fldCharType="begin"/>
      </w:r>
      <w:r>
        <w:rPr>
          <w:rStyle w:val="44"/>
          <w:sz w:val="24"/>
        </w:rPr>
        <w:instrText xml:space="preserve"> </w:instrText>
      </w:r>
      <w:r>
        <w:rPr>
          <w:rFonts w:ascii="宋体" w:hAnsi="宋体"/>
          <w:sz w:val="24"/>
          <w:szCs w:val="24"/>
        </w:rPr>
        <w:instrText xml:space="preserve">HYPERLINK \l "_Toc115021844"</w:instrText>
      </w:r>
      <w:r>
        <w:rPr>
          <w:rStyle w:val="44"/>
          <w:sz w:val="24"/>
        </w:rPr>
        <w:instrText xml:space="preserve"> </w:instrText>
      </w:r>
      <w:r>
        <w:rPr>
          <w:sz w:val="24"/>
        </w:rPr>
        <w:fldChar w:fldCharType="separate"/>
      </w:r>
      <w:r>
        <w:rPr>
          <w:rStyle w:val="44"/>
          <w:rFonts w:cs="宋体"/>
          <w:sz w:val="24"/>
        </w:rPr>
        <w:t>12.</w:t>
      </w:r>
      <w:r>
        <w:rPr>
          <w:rStyle w:val="44"/>
          <w:rFonts w:hint="eastAsia" w:cs="宋体"/>
          <w:sz w:val="24"/>
        </w:rPr>
        <w:t xml:space="preserve"> 反商业贿赂承诺书</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_Toc115021844 \h </w:instrText>
      </w:r>
      <w:r>
        <w:rPr>
          <w:rFonts w:ascii="宋体" w:hAnsi="宋体"/>
          <w:sz w:val="24"/>
          <w:szCs w:val="24"/>
        </w:rPr>
        <w:fldChar w:fldCharType="separate"/>
      </w:r>
      <w:r>
        <w:rPr>
          <w:rFonts w:ascii="宋体" w:hAnsi="宋体"/>
          <w:sz w:val="24"/>
          <w:szCs w:val="24"/>
        </w:rPr>
        <w:t>43</w:t>
      </w:r>
      <w:r>
        <w:rPr>
          <w:rFonts w:ascii="宋体" w:hAnsi="宋体"/>
          <w:sz w:val="24"/>
          <w:szCs w:val="24"/>
        </w:rPr>
        <w:fldChar w:fldCharType="end"/>
      </w:r>
      <w:r>
        <w:rPr>
          <w:sz w:val="24"/>
        </w:rPr>
        <w:fldChar w:fldCharType="end"/>
      </w:r>
    </w:p>
    <w:p>
      <w:pPr>
        <w:pStyle w:val="24"/>
        <w:tabs>
          <w:tab w:val="right" w:leader="dot" w:pos="8810"/>
        </w:tabs>
        <w:spacing w:line="360" w:lineRule="auto"/>
        <w:rPr>
          <w:rFonts w:ascii="宋体" w:hAnsi="宋体"/>
          <w:sz w:val="28"/>
          <w:szCs w:val="28"/>
        </w:rPr>
      </w:pPr>
      <w:r>
        <w:rPr>
          <w:sz w:val="24"/>
        </w:rPr>
        <w:fldChar w:fldCharType="begin"/>
      </w:r>
      <w:r>
        <w:rPr>
          <w:rStyle w:val="44"/>
          <w:sz w:val="24"/>
        </w:rPr>
        <w:instrText xml:space="preserve"> </w:instrText>
      </w:r>
      <w:r>
        <w:rPr>
          <w:rFonts w:ascii="宋体" w:hAnsi="宋体"/>
          <w:sz w:val="24"/>
          <w:szCs w:val="24"/>
        </w:rPr>
        <w:instrText xml:space="preserve">HYPERLINK \l "_Toc115021845"</w:instrText>
      </w:r>
      <w:r>
        <w:rPr>
          <w:rStyle w:val="44"/>
          <w:sz w:val="24"/>
        </w:rPr>
        <w:instrText xml:space="preserve"> </w:instrText>
      </w:r>
      <w:r>
        <w:rPr>
          <w:sz w:val="24"/>
        </w:rPr>
        <w:fldChar w:fldCharType="separate"/>
      </w:r>
      <w:r>
        <w:rPr>
          <w:rStyle w:val="44"/>
          <w:rFonts w:cs="宋体"/>
          <w:sz w:val="24"/>
        </w:rPr>
        <w:t>13.</w:t>
      </w:r>
      <w:r>
        <w:rPr>
          <w:rStyle w:val="44"/>
          <w:rFonts w:hint="eastAsia" w:cs="宋体"/>
          <w:sz w:val="24"/>
        </w:rPr>
        <w:t xml:space="preserve"> 竞争性磋商文件要求的以及供应商认为应该提供的其</w:t>
      </w:r>
      <w:bookmarkStart w:id="6" w:name="_Hlt115180451"/>
      <w:bookmarkStart w:id="7" w:name="_Hlt115180452"/>
      <w:r>
        <w:rPr>
          <w:rStyle w:val="44"/>
          <w:rFonts w:hint="eastAsia" w:cs="宋体"/>
          <w:sz w:val="24"/>
        </w:rPr>
        <w:t>他</w:t>
      </w:r>
      <w:bookmarkEnd w:id="6"/>
      <w:bookmarkEnd w:id="7"/>
      <w:r>
        <w:rPr>
          <w:rStyle w:val="44"/>
          <w:rFonts w:hint="eastAsia" w:cs="宋体"/>
          <w:sz w:val="24"/>
        </w:rPr>
        <w:t>材料</w:t>
      </w:r>
      <w:r>
        <w:rPr>
          <w:rFonts w:ascii="宋体" w:hAnsi="宋体"/>
          <w:sz w:val="24"/>
          <w:szCs w:val="24"/>
        </w:rPr>
        <w:tab/>
      </w:r>
      <w:r>
        <w:rPr>
          <w:rFonts w:ascii="宋体" w:hAnsi="宋体"/>
          <w:sz w:val="24"/>
          <w:szCs w:val="24"/>
        </w:rPr>
        <w:fldChar w:fldCharType="begin"/>
      </w:r>
      <w:r>
        <w:rPr>
          <w:rFonts w:ascii="宋体" w:hAnsi="宋体"/>
          <w:sz w:val="24"/>
          <w:szCs w:val="24"/>
        </w:rPr>
        <w:instrText xml:space="preserve"> PAGEREF _Toc115021845 \h </w:instrText>
      </w:r>
      <w:r>
        <w:rPr>
          <w:rFonts w:ascii="宋体" w:hAnsi="宋体"/>
          <w:sz w:val="24"/>
          <w:szCs w:val="24"/>
        </w:rPr>
        <w:fldChar w:fldCharType="separate"/>
      </w:r>
      <w:r>
        <w:rPr>
          <w:rFonts w:ascii="宋体" w:hAnsi="宋体"/>
          <w:sz w:val="24"/>
          <w:szCs w:val="24"/>
        </w:rPr>
        <w:t>43</w:t>
      </w:r>
      <w:r>
        <w:rPr>
          <w:rFonts w:ascii="宋体" w:hAnsi="宋体"/>
          <w:sz w:val="24"/>
          <w:szCs w:val="24"/>
        </w:rPr>
        <w:fldChar w:fldCharType="end"/>
      </w:r>
      <w:r>
        <w:rPr>
          <w:sz w:val="24"/>
        </w:rPr>
        <w:fldChar w:fldCharType="end"/>
      </w:r>
    </w:p>
    <w:p>
      <w:pPr>
        <w:pStyle w:val="24"/>
        <w:tabs>
          <w:tab w:val="right" w:leader="dot" w:pos="8820"/>
        </w:tabs>
        <w:rPr>
          <w:rFonts w:hint="eastAsia" w:ascii="宋体" w:hAnsi="宋体" w:cs="宋体"/>
          <w:b/>
          <w:bCs/>
          <w:caps/>
          <w:sz w:val="32"/>
          <w:szCs w:val="32"/>
          <w:lang w:val="zh-CN"/>
        </w:rPr>
      </w:pPr>
      <w:r>
        <w:rPr>
          <w:rFonts w:hint="eastAsia" w:ascii="宋体" w:hAnsi="宋体" w:cs="宋体"/>
          <w:bCs/>
          <w:caps/>
          <w:sz w:val="24"/>
          <w:szCs w:val="24"/>
          <w:lang w:val="zh-CN"/>
        </w:rPr>
        <w:fldChar w:fldCharType="end"/>
      </w:r>
    </w:p>
    <w:p>
      <w:pPr>
        <w:pStyle w:val="82"/>
        <w:jc w:val="center"/>
        <w:rPr>
          <w:rFonts w:hint="eastAsia" w:ascii="宋体" w:hAnsi="宋体" w:cs="宋体"/>
          <w:b/>
          <w:color w:val="FF0000"/>
          <w:sz w:val="28"/>
          <w:szCs w:val="28"/>
        </w:rPr>
      </w:pPr>
    </w:p>
    <w:p>
      <w:pPr>
        <w:pStyle w:val="82"/>
        <w:rPr>
          <w:rFonts w:hint="eastAsia" w:ascii="宋体" w:hAnsi="宋体" w:cs="宋体"/>
          <w:color w:val="FF0000"/>
        </w:rPr>
      </w:pPr>
      <w:r>
        <w:rPr>
          <w:rFonts w:hint="eastAsia" w:ascii="宋体" w:hAnsi="宋体" w:cs="宋体"/>
          <w:color w:val="FF0000"/>
        </w:rPr>
        <w:t> </w:t>
      </w:r>
    </w:p>
    <w:p>
      <w:pPr>
        <w:pStyle w:val="82"/>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start="1"/>
          <w:cols w:space="720" w:num="1"/>
          <w:docGrid w:type="lines" w:linePitch="312" w:charSpace="0"/>
        </w:sectPr>
      </w:pPr>
    </w:p>
    <w:p>
      <w:pPr>
        <w:pStyle w:val="33"/>
        <w:numPr>
          <w:ilvl w:val="0"/>
          <w:numId w:val="1"/>
        </w:numPr>
        <w:spacing w:before="0" w:after="0" w:line="360" w:lineRule="auto"/>
        <w:ind w:firstLine="0"/>
        <w:rPr>
          <w:rFonts w:hint="eastAsia" w:ascii="宋体" w:hAnsi="宋体" w:cs="宋体"/>
          <w:bCs w:val="0"/>
        </w:rPr>
      </w:pPr>
      <w:bookmarkStart w:id="8" w:name="_Toc30568"/>
      <w:bookmarkStart w:id="9" w:name="_Toc115021825"/>
      <w:r>
        <w:rPr>
          <w:rFonts w:hint="eastAsia" w:ascii="宋体" w:hAnsi="宋体" w:cs="宋体"/>
          <w:bCs w:val="0"/>
        </w:rPr>
        <w:t>竞争性磋商公告</w:t>
      </w:r>
      <w:bookmarkEnd w:id="8"/>
      <w:bookmarkEnd w:id="9"/>
    </w:p>
    <w:p>
      <w:pPr>
        <w:spacing w:line="400" w:lineRule="exact"/>
        <w:ind w:firstLine="562" w:firstLineChars="200"/>
        <w:jc w:val="center"/>
        <w:rPr>
          <w:rFonts w:hint="eastAsia" w:ascii="宋体" w:hAnsi="宋体" w:eastAsia="宋体" w:cs="宋体"/>
          <w:b/>
          <w:bCs/>
          <w:sz w:val="28"/>
          <w:szCs w:val="28"/>
          <w:lang w:eastAsia="zh-CN"/>
        </w:rPr>
      </w:pPr>
      <w:r>
        <w:rPr>
          <w:rFonts w:hint="eastAsia" w:ascii="宋体" w:hAnsi="宋体" w:cs="宋体"/>
          <w:b/>
          <w:bCs/>
          <w:sz w:val="28"/>
          <w:szCs w:val="28"/>
          <w:lang w:eastAsia="zh-CN"/>
        </w:rPr>
        <w:t>武陟县园地、林地、草地分等定级工作协作单位采购项目</w:t>
      </w:r>
    </w:p>
    <w:p>
      <w:pPr>
        <w:spacing w:line="380" w:lineRule="exact"/>
        <w:jc w:val="center"/>
        <w:rPr>
          <w:rFonts w:hint="eastAsia" w:ascii="宋体" w:hAnsi="宋体" w:cs="宋体"/>
          <w:b/>
          <w:bCs/>
          <w:sz w:val="24"/>
          <w:szCs w:val="24"/>
        </w:rPr>
      </w:pPr>
      <w:r>
        <w:rPr>
          <w:rFonts w:hint="eastAsia" w:ascii="宋体" w:hAnsi="宋体" w:cs="宋体"/>
          <w:b/>
          <w:bCs/>
          <w:sz w:val="28"/>
          <w:szCs w:val="28"/>
        </w:rPr>
        <w:t>竞争性磋商公告(不见面磋商)</w:t>
      </w:r>
    </w:p>
    <w:p>
      <w:pPr>
        <w:spacing w:line="400" w:lineRule="exact"/>
        <w:rPr>
          <w:rFonts w:hint="eastAsia" w:ascii="宋体" w:hAnsi="宋体" w:cs="宋体"/>
          <w:sz w:val="24"/>
          <w:szCs w:val="24"/>
        </w:rPr>
      </w:pPr>
      <w:r>
        <w:rPr>
          <w:rFonts w:hint="eastAsia" w:ascii="宋体" w:hAnsi="宋体" w:cs="宋体"/>
          <w:sz w:val="24"/>
          <w:szCs w:val="24"/>
        </w:rPr>
        <w:t>项目概况</w:t>
      </w:r>
    </w:p>
    <w:p>
      <w:pPr>
        <w:spacing w:line="400" w:lineRule="exact"/>
        <w:ind w:firstLine="480" w:firstLineChars="200"/>
        <w:rPr>
          <w:rFonts w:hint="eastAsia" w:ascii="宋体" w:hAnsi="宋体" w:cs="宋体"/>
          <w:color w:val="000000" w:themeColor="text1"/>
          <w:sz w:val="24"/>
          <w:szCs w:val="24"/>
          <w14:textFill>
            <w14:solidFill>
              <w14:schemeClr w14:val="tx1"/>
            </w14:solidFill>
          </w14:textFill>
        </w:rPr>
      </w:pPr>
      <w:r>
        <w:rPr>
          <w:rFonts w:hint="eastAsia" w:ascii="宋体" w:hAnsi="宋体" w:cs="宋体"/>
          <w:sz w:val="24"/>
          <w:szCs w:val="24"/>
          <w:lang w:eastAsia="zh-CN"/>
        </w:rPr>
        <w:t>武陟县园地、林</w:t>
      </w:r>
      <w:r>
        <w:rPr>
          <w:rFonts w:hint="eastAsia" w:ascii="宋体" w:hAnsi="宋体" w:cs="宋体"/>
          <w:color w:val="000000" w:themeColor="text1"/>
          <w:sz w:val="24"/>
          <w:szCs w:val="24"/>
          <w:lang w:eastAsia="zh-CN"/>
          <w14:textFill>
            <w14:solidFill>
              <w14:schemeClr w14:val="tx1"/>
            </w14:solidFill>
          </w14:textFill>
        </w:rPr>
        <w:t>地、草地分等定级工作协作单位采购项目</w:t>
      </w:r>
      <w:r>
        <w:rPr>
          <w:rFonts w:hint="eastAsia" w:ascii="宋体" w:hAnsi="宋体" w:cs="宋体"/>
          <w:color w:val="000000" w:themeColor="text1"/>
          <w:sz w:val="24"/>
          <w:szCs w:val="24"/>
          <w14:textFill>
            <w14:solidFill>
              <w14:schemeClr w14:val="tx1"/>
            </w14:solidFill>
          </w14:textFill>
        </w:rPr>
        <w:t>的潜在供应商应登陆焦作市公共资源交易中心网站获取磋商文件，并于</w:t>
      </w:r>
      <w:r>
        <w:rPr>
          <w:rFonts w:hint="eastAsia" w:ascii="宋体" w:hAnsi="宋体" w:cs="宋体"/>
          <w:color w:val="000000" w:themeColor="text1"/>
          <w:sz w:val="24"/>
          <w:szCs w:val="24"/>
          <w:highlight w:val="none"/>
          <w:lang w:val="en-US" w:eastAsia="zh-CN"/>
          <w14:textFill>
            <w14:solidFill>
              <w14:schemeClr w14:val="tx1"/>
            </w14:solidFill>
          </w14:textFill>
        </w:rPr>
        <w:t xml:space="preserve">2022 </w:t>
      </w:r>
      <w:r>
        <w:rPr>
          <w:rFonts w:hint="eastAsia" w:ascii="宋体" w:hAnsi="宋体" w:cs="宋体"/>
          <w:color w:val="000000" w:themeColor="text1"/>
          <w:sz w:val="24"/>
          <w:szCs w:val="24"/>
          <w:highlight w:val="none"/>
          <w14:textFill>
            <w14:solidFill>
              <w14:schemeClr w14:val="tx1"/>
            </w14:solidFill>
          </w14:textFill>
        </w:rPr>
        <w:t>年</w:t>
      </w: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lang w:val="en-US" w:eastAsia="zh-CN"/>
          <w14:textFill>
            <w14:solidFill>
              <w14:schemeClr w14:val="tx1"/>
            </w14:solidFill>
          </w14:textFill>
        </w:rPr>
        <w:t>19</w:t>
      </w:r>
      <w:r>
        <w:rPr>
          <w:rFonts w:hint="eastAsia" w:ascii="宋体" w:hAnsi="宋体" w:cs="宋体"/>
          <w:color w:val="000000" w:themeColor="text1"/>
          <w:sz w:val="24"/>
          <w:szCs w:val="24"/>
          <w:highlight w:val="none"/>
          <w14:textFill>
            <w14:solidFill>
              <w14:schemeClr w14:val="tx1"/>
            </w14:solidFill>
          </w14:textFill>
        </w:rPr>
        <w:t>日</w:t>
      </w:r>
      <w:r>
        <w:rPr>
          <w:rFonts w:hint="eastAsia" w:ascii="宋体" w:hAnsi="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09点00分00秒（北京时间）前提交响应文件。</w:t>
      </w:r>
    </w:p>
    <w:p>
      <w:pPr>
        <w:numPr>
          <w:ilvl w:val="0"/>
          <w:numId w:val="2"/>
        </w:numPr>
        <w:spacing w:line="400" w:lineRule="exact"/>
        <w:jc w:val="left"/>
        <w:rPr>
          <w:rFonts w:hint="eastAsia"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项目基本情况</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yellow"/>
          <w:lang w:eastAsia="zh-CN"/>
        </w:rPr>
      </w:pPr>
      <w:r>
        <w:rPr>
          <w:rFonts w:hint="eastAsia" w:ascii="宋体" w:hAnsi="宋体" w:cs="宋体"/>
          <w:sz w:val="24"/>
          <w:szCs w:val="24"/>
        </w:rPr>
        <w:t>项目编号：</w:t>
      </w:r>
      <w:r>
        <w:rPr>
          <w:rFonts w:hint="eastAsia" w:ascii="宋体" w:hAnsi="宋体" w:cs="宋体"/>
          <w:sz w:val="24"/>
          <w:szCs w:val="24"/>
          <w:lang w:eastAsia="zh-CN"/>
        </w:rPr>
        <w:t>武政磋商采购【2022】033号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highlight w:val="yellow"/>
          <w:lang w:eastAsia="zh-CN"/>
        </w:rPr>
      </w:pPr>
      <w:r>
        <w:rPr>
          <w:rFonts w:hint="eastAsia" w:ascii="宋体" w:hAnsi="宋体" w:cs="宋体"/>
          <w:sz w:val="24"/>
          <w:szCs w:val="24"/>
        </w:rPr>
        <w:t>交易编号：</w:t>
      </w:r>
      <w:r>
        <w:rPr>
          <w:rFonts w:hint="eastAsia" w:ascii="宋体" w:hAnsi="宋体" w:cs="宋体"/>
          <w:sz w:val="24"/>
          <w:szCs w:val="24"/>
          <w:lang w:eastAsia="zh-CN"/>
        </w:rPr>
        <w:t>武交采JZCS2022-01</w:t>
      </w:r>
      <w:r>
        <w:rPr>
          <w:rFonts w:hint="eastAsia" w:ascii="宋体" w:hAnsi="宋体" w:cs="宋体"/>
          <w:sz w:val="24"/>
          <w:szCs w:val="24"/>
          <w:lang w:val="en-US" w:eastAsia="zh-CN"/>
        </w:rPr>
        <w:t>1</w:t>
      </w:r>
      <w:r>
        <w:rPr>
          <w:rFonts w:hint="eastAsia" w:ascii="宋体" w:hAnsi="宋体" w:cs="宋体"/>
          <w:sz w:val="24"/>
          <w:szCs w:val="24"/>
          <w:lang w:eastAsia="zh-CN"/>
        </w:rPr>
        <w:t>号</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项目名称：</w:t>
      </w:r>
      <w:r>
        <w:rPr>
          <w:rFonts w:hint="eastAsia" w:ascii="宋体" w:hAnsi="宋体" w:cs="宋体"/>
          <w:sz w:val="24"/>
          <w:szCs w:val="24"/>
          <w:lang w:eastAsia="zh-CN"/>
        </w:rPr>
        <w:t>武陟县园地、林地、草地分等定级工作协作单位采购项目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采购方式：竞争性磋商</w:t>
      </w:r>
      <w:bookmarkStart w:id="195" w:name="_GoBack"/>
      <w:bookmarkEnd w:id="195"/>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预算金额：</w:t>
      </w:r>
      <w:r>
        <w:rPr>
          <w:rFonts w:hint="eastAsia" w:ascii="宋体" w:hAnsi="宋体" w:cs="宋体"/>
          <w:sz w:val="24"/>
          <w:szCs w:val="24"/>
          <w:lang w:val="en-US" w:eastAsia="zh-CN"/>
        </w:rPr>
        <w:t>52</w:t>
      </w:r>
      <w:r>
        <w:rPr>
          <w:rFonts w:hint="eastAsia" w:ascii="宋体" w:hAnsi="宋体" w:cs="宋体"/>
          <w:sz w:val="24"/>
          <w:szCs w:val="24"/>
          <w:lang w:eastAsia="zh-CN"/>
        </w:rPr>
        <w:t>.3万元</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采购需求：</w:t>
      </w:r>
      <w:r>
        <w:rPr>
          <w:rFonts w:hint="eastAsia" w:ascii="宋体" w:hAnsi="宋体" w:cs="宋体"/>
          <w:sz w:val="24"/>
          <w:szCs w:val="24"/>
          <w:lang w:val="en-US" w:eastAsia="zh-CN"/>
        </w:rPr>
        <w:t>园地、林地、草地分等定级工作将为进一步完善自然资源资产分等定级价格评价评估工作，摸清园地、林地、草地资源质量公布情况，显化自然资产价值。</w:t>
      </w:r>
      <w:r>
        <w:rPr>
          <w:rFonts w:hint="eastAsia" w:ascii="宋体" w:hAnsi="宋体" w:cs="宋体"/>
          <w:sz w:val="24"/>
          <w:szCs w:val="24"/>
        </w:rPr>
        <w:t>(详见《河南省政府采购网》本公告附件)</w:t>
      </w:r>
    </w:p>
    <w:p>
      <w:pPr>
        <w:pStyle w:val="2"/>
        <w:keepNext w:val="0"/>
        <w:keepLines w:val="0"/>
        <w:pageBreakBefore w:val="0"/>
        <w:widowControl w:val="0"/>
        <w:kinsoku/>
        <w:wordWrap/>
        <w:overflowPunct/>
        <w:topLinePunct w:val="0"/>
        <w:autoSpaceDE/>
        <w:autoSpaceDN/>
        <w:bidi w:val="0"/>
        <w:adjustRightInd/>
        <w:snapToGrid/>
        <w:spacing w:after="0" w:afterLines="0" w:line="400" w:lineRule="exact"/>
        <w:ind w:firstLine="480" w:firstLineChars="200"/>
        <w:textAlignment w:val="auto"/>
        <w:rPr>
          <w:rFonts w:ascii="宋体" w:hAnsi="宋体" w:cs="宋体"/>
          <w:sz w:val="24"/>
          <w:szCs w:val="24"/>
        </w:rPr>
      </w:pPr>
      <w:r>
        <w:rPr>
          <w:rFonts w:hint="eastAsia" w:ascii="宋体" w:hAnsi="宋体" w:cs="宋体"/>
          <w:sz w:val="24"/>
          <w:szCs w:val="24"/>
        </w:rPr>
        <w:t>合同履行期限：</w:t>
      </w:r>
      <w:r>
        <w:rPr>
          <w:rFonts w:hint="eastAsia" w:ascii="宋体" w:hAnsi="宋体" w:cs="宋体"/>
          <w:i w:val="0"/>
          <w:iCs w:val="0"/>
          <w:kern w:val="2"/>
          <w:sz w:val="24"/>
          <w:szCs w:val="24"/>
          <w:lang w:val="en-US" w:eastAsia="zh-CN" w:bidi="ar-SA"/>
        </w:rPr>
        <w:t>2022年12月底完成</w:t>
      </w:r>
      <w:r>
        <w:rPr>
          <w:rFonts w:hint="eastAsia" w:ascii="宋体" w:hAnsi="宋体" w:cs="宋体"/>
          <w:sz w:val="24"/>
          <w:szCs w:val="24"/>
        </w:rPr>
        <w:t>。</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本项目不接受联合体。</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申请人的资格要求：</w:t>
      </w:r>
    </w:p>
    <w:p>
      <w:pPr>
        <w:keepNext w:val="0"/>
        <w:keepLines w:val="0"/>
        <w:pageBreakBefore w:val="0"/>
        <w:widowControl w:val="0"/>
        <w:numPr>
          <w:ilvl w:val="0"/>
          <w:numId w:val="3"/>
        </w:numPr>
        <w:tabs>
          <w:tab w:val="left" w:pos="492"/>
          <w:tab w:val="left" w:pos="839"/>
        </w:tabs>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cs="宋体"/>
          <w:sz w:val="24"/>
          <w:szCs w:val="24"/>
        </w:rPr>
      </w:pPr>
      <w:r>
        <w:rPr>
          <w:rFonts w:hint="eastAsia" w:ascii="宋体" w:hAnsi="宋体" w:cs="宋体"/>
          <w:sz w:val="24"/>
          <w:szCs w:val="24"/>
        </w:rPr>
        <w:t>满足《中华人民共和国政府采购法》第二十二条规定；</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2.</w:t>
      </w:r>
      <w:r>
        <w:rPr>
          <w:rFonts w:hint="eastAsia" w:ascii="宋体" w:hAnsi="宋体" w:cs="宋体"/>
          <w:sz w:val="24"/>
          <w:szCs w:val="24"/>
        </w:rPr>
        <w:t>落实政府采购政策需满足的资格要求：</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highlight w:val="none"/>
          <w:lang w:val="en-US" w:eastAsia="zh-CN"/>
        </w:rPr>
        <w:t>2.1所投货物的制造商</w:t>
      </w:r>
      <w:r>
        <w:rPr>
          <w:rFonts w:hint="eastAsia" w:ascii="宋体" w:hAnsi="宋体" w:cs="宋体"/>
          <w:sz w:val="24"/>
          <w:szCs w:val="24"/>
          <w:lang w:val="en-US" w:eastAsia="zh-CN"/>
        </w:rPr>
        <w:t>应为中小微企业或监狱企业或残疾人福利性单位</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cs="宋体"/>
          <w:sz w:val="24"/>
          <w:szCs w:val="24"/>
        </w:rPr>
      </w:pPr>
      <w:r>
        <w:rPr>
          <w:rFonts w:hint="eastAsia" w:ascii="宋体" w:hAnsi="宋体" w:cs="宋体"/>
          <w:sz w:val="24"/>
          <w:szCs w:val="24"/>
          <w:lang w:val="en-US" w:eastAsia="zh-CN"/>
        </w:rPr>
        <w:t>3.</w:t>
      </w:r>
      <w:r>
        <w:rPr>
          <w:rFonts w:hint="eastAsia" w:ascii="宋体" w:hAnsi="宋体" w:cs="宋体"/>
          <w:sz w:val="24"/>
          <w:szCs w:val="24"/>
        </w:rPr>
        <w:t>本项目的特定资格要求：</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3.1供应商及其法定代表人、委托代理人均无行贿犯罪记录；</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cs="宋体"/>
          <w:sz w:val="24"/>
          <w:szCs w:val="24"/>
          <w:lang w:eastAsia="zh-CN"/>
        </w:rPr>
      </w:pPr>
      <w:r>
        <w:rPr>
          <w:rFonts w:hint="eastAsia" w:ascii="宋体" w:hAnsi="宋体" w:cs="宋体"/>
          <w:sz w:val="24"/>
          <w:szCs w:val="24"/>
          <w:lang w:val="en-US" w:eastAsia="zh-CN"/>
        </w:rPr>
        <w:t>3.2</w:t>
      </w:r>
      <w:r>
        <w:rPr>
          <w:rFonts w:hint="eastAsia" w:ascii="宋体" w:hAnsi="宋体" w:cs="宋体"/>
          <w:sz w:val="24"/>
          <w:szCs w:val="24"/>
        </w:rPr>
        <w:t>供应商须具有测绘地理信息主管部门颁发的测绘乙级及以上资质证书</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sz w:val="24"/>
          <w:szCs w:val="24"/>
          <w:lang w:val="en-US" w:eastAsia="zh-CN"/>
        </w:rPr>
        <w:t>3.3拟派</w:t>
      </w:r>
      <w:r>
        <w:rPr>
          <w:rFonts w:hint="eastAsia" w:ascii="宋体" w:hAnsi="宋体" w:cs="宋体"/>
          <w:sz w:val="24"/>
          <w:szCs w:val="24"/>
        </w:rPr>
        <w:t>项目负责人须具有相关专业高级（含）及以上职称或具备注册城乡规划师资格，同时为本单位正式工作人员，提供在本单位的劳动合同及</w:t>
      </w:r>
      <w:r>
        <w:rPr>
          <w:rFonts w:hint="eastAsia" w:ascii="宋体" w:hAnsi="宋体" w:cs="宋体"/>
          <w:sz w:val="24"/>
          <w:szCs w:val="24"/>
          <w:lang w:eastAsia="zh-CN"/>
        </w:rPr>
        <w:t>连续六个月的</w:t>
      </w:r>
      <w:r>
        <w:rPr>
          <w:rFonts w:hint="eastAsia" w:ascii="宋体" w:hAnsi="宋体" w:cs="宋体"/>
          <w:sz w:val="24"/>
          <w:szCs w:val="24"/>
        </w:rPr>
        <w:t>社会保险证明</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80" w:firstLineChars="200"/>
        <w:textAlignment w:val="auto"/>
        <w:rPr>
          <w:rFonts w:hint="eastAsia"/>
        </w:rPr>
      </w:pPr>
      <w:r>
        <w:rPr>
          <w:rFonts w:hint="eastAsia" w:ascii="宋体" w:hAnsi="宋体" w:cs="宋体"/>
          <w:color w:val="000000" w:themeColor="text1"/>
          <w:sz w:val="24"/>
          <w:szCs w:val="24"/>
          <w:highlight w:val="none"/>
          <w:lang w:val="en-US" w:eastAsia="zh-CN"/>
          <w14:textFill>
            <w14:solidFill>
              <w14:schemeClr w14:val="tx1"/>
            </w14:solidFill>
          </w14:textFill>
        </w:rPr>
        <w:t>3.4不得被列入失信被执行人、重大税收违法失信主体、政府采购严重违法失信行为记录名单。</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获取磋商文件</w:t>
      </w:r>
    </w:p>
    <w:p>
      <w:pPr>
        <w:numPr>
          <w:ilvl w:val="0"/>
          <w:numId w:val="4"/>
        </w:numPr>
        <w:spacing w:line="400" w:lineRule="exact"/>
        <w:ind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sz w:val="24"/>
          <w:szCs w:val="24"/>
        </w:rPr>
        <w:t>时</w:t>
      </w:r>
      <w:r>
        <w:rPr>
          <w:rFonts w:hint="eastAsia" w:ascii="宋体" w:hAnsi="宋体" w:cs="宋体"/>
          <w:color w:val="000000" w:themeColor="text1"/>
          <w:sz w:val="24"/>
          <w:szCs w:val="24"/>
          <w14:textFill>
            <w14:solidFill>
              <w14:schemeClr w14:val="tx1"/>
            </w14:solidFill>
          </w14:textFill>
        </w:rPr>
        <w:t>间：</w:t>
      </w:r>
      <w:r>
        <w:rPr>
          <w:rFonts w:hint="eastAsia" w:ascii="宋体" w:hAnsi="宋体" w:cs="宋体"/>
          <w:color w:val="000000" w:themeColor="text1"/>
          <w:sz w:val="24"/>
          <w:szCs w:val="24"/>
          <w:u w:val="single"/>
          <w:lang w:val="en-US" w:eastAsia="zh-CN"/>
          <w14:textFill>
            <w14:solidFill>
              <w14:schemeClr w14:val="tx1"/>
            </w14:solidFill>
          </w14:textFill>
        </w:rPr>
        <w:t>2022</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12 </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7 </w:t>
      </w:r>
      <w:r>
        <w:rPr>
          <w:rFonts w:hint="eastAsia" w:ascii="宋体" w:hAnsi="宋体" w:cs="宋体"/>
          <w:color w:val="000000" w:themeColor="text1"/>
          <w:sz w:val="24"/>
          <w:szCs w:val="24"/>
          <w14:textFill>
            <w14:solidFill>
              <w14:schemeClr w14:val="tx1"/>
            </w14:solidFill>
          </w14:textFill>
        </w:rPr>
        <w:t>日至</w:t>
      </w:r>
      <w:r>
        <w:rPr>
          <w:rFonts w:hint="eastAsia" w:ascii="宋体" w:hAnsi="宋体" w:cs="宋体"/>
          <w:color w:val="000000" w:themeColor="text1"/>
          <w:sz w:val="24"/>
          <w:szCs w:val="24"/>
          <w:u w:val="single"/>
          <w:lang w:val="en-US" w:eastAsia="zh-CN"/>
          <w14:textFill>
            <w14:solidFill>
              <w14:schemeClr w14:val="tx1"/>
            </w14:solidFill>
          </w14:textFill>
        </w:rPr>
        <w:t>2022</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 xml:space="preserve"> 12 </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14 </w:t>
      </w:r>
      <w:r>
        <w:rPr>
          <w:rFonts w:hint="eastAsia" w:ascii="宋体" w:hAnsi="宋体" w:cs="宋体"/>
          <w:color w:val="000000" w:themeColor="text1"/>
          <w:sz w:val="24"/>
          <w:szCs w:val="24"/>
          <w14:textFill>
            <w14:solidFill>
              <w14:schemeClr w14:val="tx1"/>
            </w14:solidFill>
          </w14:textFill>
        </w:rPr>
        <w:t>日（北京时间）；</w:t>
      </w:r>
    </w:p>
    <w:p>
      <w:pPr>
        <w:numPr>
          <w:ilvl w:val="0"/>
          <w:numId w:val="4"/>
        </w:numPr>
        <w:spacing w:line="400" w:lineRule="exact"/>
        <w:ind w:firstLine="480" w:firstLineChars="200"/>
        <w:jc w:val="left"/>
        <w:rPr>
          <w:rFonts w:hint="eastAsia" w:ascii="宋体" w:hAnsi="宋体" w:cs="宋体"/>
          <w:color w:val="000000" w:themeColor="text1"/>
          <w:sz w:val="24"/>
          <w:szCs w:val="24"/>
          <w:shd w:val="clear" w:color="auto" w:fill="FFFF00"/>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地点：焦作市公共资源交易中心网站；</w:t>
      </w:r>
    </w:p>
    <w:p>
      <w:pPr>
        <w:pStyle w:val="14"/>
        <w:numPr>
          <w:ilvl w:val="0"/>
          <w:numId w:val="4"/>
        </w:numPr>
        <w:spacing w:line="400" w:lineRule="exact"/>
        <w:ind w:firstLine="420" w:firstLineChars="175"/>
        <w:jc w:val="left"/>
        <w:rPr>
          <w:rFonts w:hint="eastAsia" w:ascii="宋体" w:hAnsi="宋体" w:cs="宋体"/>
          <w:sz w:val="24"/>
          <w:szCs w:val="24"/>
        </w:rPr>
      </w:pPr>
      <w:r>
        <w:rPr>
          <w:rFonts w:hint="eastAsia" w:ascii="宋体" w:hAnsi="宋体" w:cs="宋体"/>
          <w:sz w:val="24"/>
          <w:szCs w:val="24"/>
        </w:rPr>
        <w:t>方式：本项目采用网上获取磋商文件，凡有意参加本项目磋商活动者，请登陆焦作市公共资源交易中心网站进行网上下载磋商文件；</w:t>
      </w:r>
    </w:p>
    <w:p>
      <w:pPr>
        <w:spacing w:line="400" w:lineRule="exact"/>
        <w:ind w:firstLine="602" w:firstLineChars="250"/>
        <w:rPr>
          <w:rFonts w:hint="eastAsia" w:ascii="宋体" w:hAnsi="宋体" w:cs="宋体"/>
          <w:sz w:val="24"/>
          <w:szCs w:val="24"/>
        </w:rPr>
      </w:pPr>
      <w:r>
        <w:rPr>
          <w:rFonts w:hint="eastAsia" w:ascii="宋体" w:hAnsi="宋体" w:cs="宋体"/>
          <w:b/>
          <w:bCs/>
          <w:sz w:val="24"/>
          <w:szCs w:val="24"/>
        </w:rPr>
        <w:t>特别提醒：请到焦作市公共资源交易中心官网首页—公共服务—下载专区-下载相关操作手册及视频等，按要求进行磋商文件获取，未在规定时间内获取磋商文件的将拒绝参加本项目磋商活动。平台统一技术服务电话为：400-998-0000，服务QQ:4008503300，服务时间：周一至周日8:00-17:30。</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提交响应文件截止时间及地点</w:t>
      </w:r>
    </w:p>
    <w:p>
      <w:pPr>
        <w:spacing w:line="400" w:lineRule="exact"/>
        <w:ind w:firstLine="480" w:firstLineChars="200"/>
        <w:rPr>
          <w:rFonts w:hint="eastAsia" w:ascii="宋体" w:hAnsi="宋体" w:cs="宋体"/>
          <w:color w:val="000000" w:themeColor="text1"/>
          <w:sz w:val="24"/>
          <w:szCs w:val="24"/>
          <w:highlight w:val="yellow"/>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1.提交响应文件截止时间：</w:t>
      </w:r>
      <w:r>
        <w:rPr>
          <w:rFonts w:hint="eastAsia" w:ascii="宋体" w:hAnsi="宋体" w:cs="宋体"/>
          <w:color w:val="000000" w:themeColor="text1"/>
          <w:sz w:val="24"/>
          <w:szCs w:val="24"/>
          <w:u w:val="single"/>
          <w:lang w:val="en-US" w:eastAsia="zh-CN"/>
          <w14:textFill>
            <w14:solidFill>
              <w14:schemeClr w14:val="tx1"/>
            </w14:solidFill>
          </w14:textFill>
        </w:rPr>
        <w:t>2022</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12</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19 </w:t>
      </w:r>
      <w:r>
        <w:rPr>
          <w:rFonts w:hint="eastAsia" w:ascii="宋体" w:hAnsi="宋体" w:cs="宋体"/>
          <w:color w:val="000000" w:themeColor="text1"/>
          <w:sz w:val="24"/>
          <w:szCs w:val="24"/>
          <w14:textFill>
            <w14:solidFill>
              <w14:schemeClr w14:val="tx1"/>
            </w14:solidFill>
          </w14:textFill>
        </w:rPr>
        <w:t>日</w:t>
      </w:r>
      <w:r>
        <w:rPr>
          <w:rFonts w:hint="eastAsia" w:ascii="宋体" w:hAnsi="宋体" w:cs="宋体"/>
          <w:color w:val="000000" w:themeColor="text1"/>
          <w:sz w:val="24"/>
          <w:szCs w:val="24"/>
          <w:u w:val="single"/>
          <w14:textFill>
            <w14:solidFill>
              <w14:schemeClr w14:val="tx1"/>
            </w14:solidFill>
          </w14:textFill>
        </w:rPr>
        <w:t>09</w:t>
      </w:r>
      <w:r>
        <w:rPr>
          <w:rFonts w:hint="eastAsia" w:ascii="宋体" w:hAnsi="宋体" w:cs="宋体"/>
          <w:color w:val="000000" w:themeColor="text1"/>
          <w:sz w:val="24"/>
          <w:szCs w:val="24"/>
          <w14:textFill>
            <w14:solidFill>
              <w14:schemeClr w14:val="tx1"/>
            </w14:solidFill>
          </w14:textFill>
        </w:rPr>
        <w:t>点</w:t>
      </w:r>
      <w:r>
        <w:rPr>
          <w:rFonts w:hint="eastAsia" w:ascii="宋体" w:hAnsi="宋体" w:cs="宋体"/>
          <w:color w:val="000000" w:themeColor="text1"/>
          <w:sz w:val="24"/>
          <w:szCs w:val="24"/>
          <w:u w:val="single"/>
          <w14:textFill>
            <w14:solidFill>
              <w14:schemeClr w14:val="tx1"/>
            </w14:solidFill>
          </w14:textFill>
        </w:rPr>
        <w:t>00</w:t>
      </w:r>
      <w:r>
        <w:rPr>
          <w:rFonts w:hint="eastAsia" w:ascii="宋体" w:hAnsi="宋体" w:cs="宋体"/>
          <w:color w:val="000000" w:themeColor="text1"/>
          <w:sz w:val="24"/>
          <w:szCs w:val="24"/>
          <w14:textFill>
            <w14:solidFill>
              <w14:schemeClr w14:val="tx1"/>
            </w14:solidFill>
          </w14:textFill>
        </w:rPr>
        <w:t>分</w:t>
      </w:r>
      <w:r>
        <w:rPr>
          <w:rFonts w:hint="eastAsia" w:ascii="宋体" w:hAnsi="宋体" w:cs="宋体"/>
          <w:color w:val="000000" w:themeColor="text1"/>
          <w:sz w:val="24"/>
          <w:szCs w:val="24"/>
          <w:u w:val="single"/>
          <w14:textFill>
            <w14:solidFill>
              <w14:schemeClr w14:val="tx1"/>
            </w14:solidFill>
          </w14:textFill>
        </w:rPr>
        <w:t>00</w:t>
      </w:r>
      <w:r>
        <w:rPr>
          <w:rFonts w:hint="eastAsia" w:ascii="宋体" w:hAnsi="宋体" w:cs="宋体"/>
          <w:color w:val="000000" w:themeColor="text1"/>
          <w:sz w:val="24"/>
          <w:szCs w:val="24"/>
          <w14:textFill>
            <w14:solidFill>
              <w14:schemeClr w14:val="tx1"/>
            </w14:solidFill>
          </w14:textFill>
        </w:rPr>
        <w:t>秒（北京时间）</w:t>
      </w:r>
    </w:p>
    <w:p>
      <w:pPr>
        <w:spacing w:line="400" w:lineRule="exact"/>
        <w:ind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2.地点：焦作市公共资源交易中心网站。为防止网络拥堵等不可控因素，影响响应文件的上传，请各供应商尽量提前上传响应文件，因响应文件未能及时上传导致不能参加磋商活动的，后果由供应商自行承担。</w:t>
      </w:r>
    </w:p>
    <w:p>
      <w:pPr>
        <w:numPr>
          <w:ilvl w:val="0"/>
          <w:numId w:val="2"/>
        </w:numPr>
        <w:spacing w:line="400" w:lineRule="exact"/>
        <w:jc w:val="left"/>
        <w:rPr>
          <w:rFonts w:hint="eastAsia"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开启时间及地点</w:t>
      </w:r>
    </w:p>
    <w:p>
      <w:pPr>
        <w:spacing w:line="400" w:lineRule="exact"/>
        <w:ind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1.开启时间：</w:t>
      </w:r>
      <w:r>
        <w:rPr>
          <w:rFonts w:hint="eastAsia" w:ascii="宋体" w:hAnsi="宋体" w:cs="宋体"/>
          <w:color w:val="000000" w:themeColor="text1"/>
          <w:sz w:val="24"/>
          <w:szCs w:val="24"/>
          <w:u w:val="single"/>
          <w:lang w:val="en-US" w:eastAsia="zh-CN"/>
          <w14:textFill>
            <w14:solidFill>
              <w14:schemeClr w14:val="tx1"/>
            </w14:solidFill>
          </w14:textFill>
        </w:rPr>
        <w:t>2022</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u w:val="single"/>
          <w:lang w:val="en-US" w:eastAsia="zh-CN"/>
          <w14:textFill>
            <w14:solidFill>
              <w14:schemeClr w14:val="tx1"/>
            </w14:solidFill>
          </w14:textFill>
        </w:rPr>
        <w:t>12</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u w:val="single"/>
          <w:lang w:val="en-US" w:eastAsia="zh-CN"/>
          <w14:textFill>
            <w14:solidFill>
              <w14:schemeClr w14:val="tx1"/>
            </w14:solidFill>
          </w14:textFill>
        </w:rPr>
        <w:t xml:space="preserve"> 19 </w:t>
      </w:r>
      <w:r>
        <w:rPr>
          <w:rFonts w:hint="eastAsia" w:ascii="宋体" w:hAnsi="宋体" w:cs="宋体"/>
          <w:color w:val="000000" w:themeColor="text1"/>
          <w:sz w:val="24"/>
          <w:szCs w:val="24"/>
          <w14:textFill>
            <w14:solidFill>
              <w14:schemeClr w14:val="tx1"/>
            </w14:solidFill>
          </w14:textFill>
        </w:rPr>
        <w:t>日09时00分后（北京时间）；</w:t>
      </w:r>
    </w:p>
    <w:p>
      <w:pPr>
        <w:spacing w:line="400" w:lineRule="exact"/>
        <w:ind w:firstLine="480" w:firstLineChars="200"/>
        <w:jc w:val="left"/>
        <w:rPr>
          <w:rFonts w:hint="eastAsia"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2.开启地点：武陟县公共资源交易中心二楼开标</w:t>
      </w:r>
      <w:r>
        <w:rPr>
          <w:rFonts w:hint="eastAsia" w:ascii="宋体" w:hAnsi="宋体" w:cs="宋体"/>
          <w:color w:val="000000" w:themeColor="text1"/>
          <w:sz w:val="24"/>
          <w:szCs w:val="24"/>
          <w:u w:val="single"/>
          <w:lang w:val="en-US" w:eastAsia="zh-CN"/>
          <w14:textFill>
            <w14:solidFill>
              <w14:schemeClr w14:val="tx1"/>
            </w14:solidFill>
          </w14:textFill>
        </w:rPr>
        <w:t xml:space="preserve"> 三 </w:t>
      </w:r>
      <w:r>
        <w:rPr>
          <w:rFonts w:hint="eastAsia" w:ascii="宋体" w:hAnsi="宋体" w:cs="宋体"/>
          <w:color w:val="000000" w:themeColor="text1"/>
          <w:sz w:val="24"/>
          <w:szCs w:val="24"/>
          <w14:textFill>
            <w14:solidFill>
              <w14:schemeClr w14:val="tx1"/>
            </w14:solidFill>
          </w14:textFill>
        </w:rPr>
        <w:t>厅。</w:t>
      </w:r>
    </w:p>
    <w:p>
      <w:pPr>
        <w:spacing w:line="400" w:lineRule="exact"/>
        <w:ind w:firstLine="480" w:firstLineChars="200"/>
        <w:jc w:val="left"/>
        <w:rPr>
          <w:rFonts w:hint="eastAsia" w:ascii="宋体" w:hAnsi="宋体" w:cs="宋体"/>
          <w:sz w:val="24"/>
          <w:szCs w:val="24"/>
        </w:rPr>
      </w:pPr>
      <w:r>
        <w:rPr>
          <w:rFonts w:hint="eastAsia" w:ascii="宋体" w:hAnsi="宋体" w:cs="宋体"/>
          <w:color w:val="000000" w:themeColor="text1"/>
          <w:sz w:val="24"/>
          <w:szCs w:val="24"/>
          <w14:textFill>
            <w14:solidFill>
              <w14:schemeClr w14:val="tx1"/>
            </w14:solidFill>
          </w14:textFill>
        </w:rPr>
        <w:t>本项目采用“不见面开标”方式</w:t>
      </w:r>
      <w:r>
        <w:rPr>
          <w:rFonts w:hint="eastAsia" w:ascii="宋体" w:hAnsi="宋体" w:cs="宋体"/>
          <w:sz w:val="24"/>
          <w:szCs w:val="24"/>
        </w:rPr>
        <w:t>，供应商无需到武陟县公共资源交易中心现场参加磋商会议，无需到达现场提交原件资料。供应商应当在响应文件截止时间前，登陆“焦作市不见面开标大厅系统”，解密文件等，系统解密时长默认为30分钟，错过解密时长者视为自动放弃本次磋商。具体事宜请查阅焦作市公共资源交易中心官网首页—公共服务—下载专区-下载相关操作手册及视频等，查看操作说明，按要求进行响应文件制作及上传等。</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公告期限：</w:t>
      </w:r>
      <w:r>
        <w:rPr>
          <w:rFonts w:hint="eastAsia" w:ascii="宋体" w:hAnsi="宋体" w:cs="宋体"/>
          <w:sz w:val="24"/>
          <w:szCs w:val="24"/>
        </w:rPr>
        <w:t>自本公告发布之日起五个工作日。</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其他补充事宜：</w:t>
      </w:r>
    </w:p>
    <w:p>
      <w:pPr>
        <w:spacing w:line="400" w:lineRule="exact"/>
        <w:ind w:left="420" w:firstLine="480" w:firstLineChars="200"/>
        <w:jc w:val="left"/>
        <w:rPr>
          <w:rFonts w:hint="eastAsia" w:ascii="宋体" w:hAnsi="宋体" w:cs="宋体"/>
          <w:sz w:val="24"/>
          <w:szCs w:val="24"/>
        </w:rPr>
      </w:pPr>
      <w:r>
        <w:rPr>
          <w:rFonts w:hint="eastAsia" w:ascii="宋体" w:hAnsi="宋体" w:cs="宋体"/>
          <w:sz w:val="24"/>
          <w:szCs w:val="24"/>
        </w:rPr>
        <w:t>公告发布媒体《中国招标投标公共服务平台》、《河南省政府采购网》、《河南省电子招标投标公共服务平台》、《河南省公共资源交易公共服务平台》、《焦作市公共资源交易中心网》、《武陟县公共资源交易中心网》。</w:t>
      </w:r>
    </w:p>
    <w:p>
      <w:pPr>
        <w:numPr>
          <w:ilvl w:val="0"/>
          <w:numId w:val="2"/>
        </w:numPr>
        <w:spacing w:line="400" w:lineRule="exact"/>
        <w:jc w:val="left"/>
        <w:rPr>
          <w:rFonts w:hint="eastAsia" w:ascii="宋体" w:hAnsi="宋体" w:cs="宋体"/>
          <w:b/>
          <w:bCs/>
          <w:sz w:val="24"/>
          <w:szCs w:val="24"/>
        </w:rPr>
      </w:pPr>
      <w:r>
        <w:rPr>
          <w:rFonts w:hint="eastAsia" w:ascii="宋体" w:hAnsi="宋体" w:cs="宋体"/>
          <w:b/>
          <w:bCs/>
          <w:sz w:val="24"/>
          <w:szCs w:val="24"/>
        </w:rPr>
        <w:t>凡对本次采购提出询问，请按以下方式联系：</w:t>
      </w:r>
    </w:p>
    <w:p>
      <w:pPr>
        <w:keepNext w:val="0"/>
        <w:keepLines w:val="0"/>
        <w:pageBreakBefore w:val="0"/>
        <w:widowControl/>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cs="宋体"/>
          <w:sz w:val="24"/>
          <w:szCs w:val="24"/>
        </w:rPr>
      </w:pPr>
      <w:r>
        <w:rPr>
          <w:rFonts w:hint="eastAsia" w:ascii="宋体" w:hAnsi="宋体" w:cs="宋体"/>
          <w:sz w:val="24"/>
          <w:szCs w:val="24"/>
        </w:rPr>
        <w:t>1.采购人信息</w:t>
      </w:r>
    </w:p>
    <w:p>
      <w:pPr>
        <w:keepNext w:val="0"/>
        <w:keepLines w:val="0"/>
        <w:pageBreakBefore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cs="宋体"/>
          <w:sz w:val="24"/>
          <w:szCs w:val="24"/>
        </w:rPr>
      </w:pPr>
      <w:r>
        <w:rPr>
          <w:rFonts w:hint="eastAsia" w:ascii="宋体" w:hAnsi="宋体" w:cs="宋体"/>
          <w:sz w:val="24"/>
          <w:szCs w:val="24"/>
        </w:rPr>
        <w:t>名 称：</w:t>
      </w:r>
      <w:r>
        <w:rPr>
          <w:rFonts w:hint="eastAsia" w:ascii="宋体" w:hAnsi="宋体" w:cs="宋体"/>
          <w:sz w:val="24"/>
          <w:szCs w:val="24"/>
          <w:lang w:eastAsia="zh-CN"/>
        </w:rPr>
        <w:t>武陟县自然资源局</w:t>
      </w:r>
      <w:r>
        <w:rPr>
          <w:rFonts w:hint="eastAsia" w:ascii="宋体" w:hAnsi="宋体" w:cs="宋体"/>
          <w:sz w:val="24"/>
          <w:szCs w:val="24"/>
        </w:rPr>
        <w:t xml:space="preserve">                  　</w:t>
      </w:r>
    </w:p>
    <w:p>
      <w:pPr>
        <w:keepNext w:val="0"/>
        <w:keepLines w:val="0"/>
        <w:pageBreakBefore w:val="0"/>
        <w:kinsoku/>
        <w:wordWrap/>
        <w:overflowPunct/>
        <w:topLinePunct w:val="0"/>
        <w:autoSpaceDE/>
        <w:autoSpaceDN/>
        <w:bidi w:val="0"/>
        <w:adjustRightInd/>
        <w:snapToGrid/>
        <w:spacing w:line="360" w:lineRule="exact"/>
        <w:ind w:firstLine="480" w:firstLineChars="200"/>
        <w:jc w:val="left"/>
        <w:textAlignment w:val="auto"/>
        <w:rPr>
          <w:rFonts w:hint="default" w:ascii="宋体" w:hAnsi="宋体" w:eastAsia="宋体" w:cs="宋体"/>
          <w:sz w:val="24"/>
          <w:szCs w:val="24"/>
          <w:lang w:val="en-US" w:eastAsia="zh-CN"/>
        </w:rPr>
      </w:pPr>
      <w:r>
        <w:rPr>
          <w:rFonts w:hint="eastAsia" w:ascii="宋体" w:hAnsi="宋体" w:cs="宋体"/>
          <w:sz w:val="24"/>
          <w:szCs w:val="24"/>
          <w:highlight w:val="none"/>
        </w:rPr>
        <w:t>地 址：</w:t>
      </w:r>
      <w:r>
        <w:rPr>
          <w:rFonts w:hint="eastAsia" w:ascii="宋体" w:hAnsi="宋体" w:cs="宋体"/>
          <w:sz w:val="24"/>
          <w:szCs w:val="24"/>
          <w:highlight w:val="none"/>
          <w:lang w:eastAsia="zh-CN"/>
        </w:rPr>
        <w:t xml:space="preserve">河南省焦作市武陟县黄河大道89号 </w:t>
      </w:r>
    </w:p>
    <w:p>
      <w:pPr>
        <w:keepNext w:val="0"/>
        <w:keepLines w:val="0"/>
        <w:pageBreakBefore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cs="宋体"/>
          <w:sz w:val="24"/>
          <w:szCs w:val="24"/>
          <w:shd w:val="clear" w:color="auto" w:fill="FFFFFF"/>
        </w:rPr>
      </w:pPr>
      <w:r>
        <w:rPr>
          <w:rFonts w:hint="eastAsia" w:ascii="宋体" w:hAnsi="宋体" w:cs="宋体"/>
          <w:sz w:val="24"/>
          <w:szCs w:val="24"/>
          <w:shd w:val="clear" w:color="auto" w:fill="FFFFFF"/>
        </w:rPr>
        <w:t>联系方式：</w:t>
      </w:r>
      <w:r>
        <w:rPr>
          <w:rFonts w:hint="eastAsia" w:ascii="宋体" w:hAnsi="宋体" w:cs="宋体"/>
          <w:sz w:val="24"/>
          <w:szCs w:val="24"/>
          <w:shd w:val="clear" w:color="auto" w:fill="FFFFFF"/>
          <w:lang w:val="en-US" w:eastAsia="zh-CN"/>
        </w:rPr>
        <w:t>13782738855</w:t>
      </w:r>
    </w:p>
    <w:p>
      <w:pPr>
        <w:keepNext w:val="0"/>
        <w:keepLines w:val="0"/>
        <w:pageBreakBefore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cs="宋体"/>
          <w:sz w:val="24"/>
          <w:szCs w:val="24"/>
        </w:rPr>
      </w:pPr>
      <w:r>
        <w:rPr>
          <w:rFonts w:hint="eastAsia" w:ascii="宋体" w:hAnsi="宋体" w:cs="宋体"/>
          <w:sz w:val="24"/>
          <w:szCs w:val="24"/>
        </w:rPr>
        <w:t>2.采购代理机构信息</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cs="宋体"/>
          <w:sz w:val="24"/>
          <w:szCs w:val="24"/>
        </w:rPr>
      </w:pPr>
      <w:r>
        <w:rPr>
          <w:rFonts w:hint="eastAsia" w:ascii="宋体" w:hAnsi="宋体" w:cs="宋体"/>
          <w:sz w:val="24"/>
          <w:szCs w:val="24"/>
        </w:rPr>
        <w:t>名 称：</w:t>
      </w:r>
      <w:r>
        <w:rPr>
          <w:rFonts w:hint="eastAsia" w:ascii="宋体" w:hAnsi="宋体" w:cs="宋体"/>
          <w:sz w:val="24"/>
          <w:szCs w:val="24"/>
          <w:lang w:eastAsia="zh-CN"/>
        </w:rPr>
        <w:t>河南地天泰工程咨询有限公司</w:t>
      </w:r>
      <w:r>
        <w:rPr>
          <w:rFonts w:hint="eastAsia" w:ascii="宋体" w:hAnsi="宋体" w:cs="宋体"/>
          <w:sz w:val="24"/>
          <w:szCs w:val="24"/>
        </w:rPr>
        <w:t xml:space="preserve">                    　</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rPr>
        <w:t>地 址：</w:t>
      </w:r>
      <w:r>
        <w:rPr>
          <w:rFonts w:hint="eastAsia" w:ascii="宋体" w:hAnsi="宋体" w:cs="宋体"/>
          <w:sz w:val="24"/>
          <w:szCs w:val="24"/>
          <w:lang w:eastAsia="zh-CN"/>
        </w:rPr>
        <w:t>河南省郑州市金水区国基路7号3号楼A座5层501室</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cs="宋体"/>
          <w:sz w:val="24"/>
          <w:szCs w:val="24"/>
        </w:rPr>
      </w:pPr>
      <w:r>
        <w:rPr>
          <w:rFonts w:hint="eastAsia" w:ascii="宋体" w:hAnsi="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cs="宋体"/>
          <w:sz w:val="24"/>
          <w:szCs w:val="24"/>
        </w:rPr>
      </w:pPr>
      <w:r>
        <w:rPr>
          <w:rFonts w:hint="eastAsia" w:ascii="宋体" w:hAnsi="宋体" w:cs="宋体"/>
          <w:sz w:val="24"/>
          <w:szCs w:val="24"/>
        </w:rPr>
        <w:t>3.项目联系方式</w:t>
      </w:r>
    </w:p>
    <w:p>
      <w:pPr>
        <w:pStyle w:val="17"/>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lang w:eastAsia="zh-CN"/>
        </w:rPr>
        <w:t>王哲</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default" w:ascii="宋体" w:hAnsi="宋体" w:eastAsia="宋体" w:cs="宋体"/>
          <w:sz w:val="24"/>
          <w:szCs w:val="24"/>
          <w:u w:val="single"/>
          <w:lang w:val="en-US" w:eastAsia="zh-CN"/>
        </w:rPr>
      </w:pPr>
      <w:r>
        <w:rPr>
          <w:rFonts w:hint="eastAsia" w:ascii="宋体" w:hAnsi="宋体" w:cs="宋体"/>
          <w:sz w:val="24"/>
          <w:szCs w:val="24"/>
        </w:rPr>
        <w:t>电　话：</w:t>
      </w:r>
      <w:r>
        <w:rPr>
          <w:rFonts w:hint="eastAsia" w:ascii="宋体" w:hAnsi="宋体" w:cs="宋体"/>
          <w:sz w:val="24"/>
          <w:szCs w:val="24"/>
          <w:shd w:val="clear" w:color="auto" w:fill="FFFFFF"/>
          <w:lang w:val="en-US" w:eastAsia="zh-CN"/>
        </w:rPr>
        <w:t>13782738855</w:t>
      </w:r>
    </w:p>
    <w:p>
      <w:pPr>
        <w:keepNext w:val="0"/>
        <w:keepLines w:val="0"/>
        <w:pageBreakBefore w:val="0"/>
        <w:kinsoku/>
        <w:wordWrap/>
        <w:overflowPunct/>
        <w:topLinePunct w:val="0"/>
        <w:autoSpaceDE/>
        <w:autoSpaceDN/>
        <w:bidi w:val="0"/>
        <w:adjustRightInd/>
        <w:snapToGrid/>
        <w:spacing w:line="360" w:lineRule="exact"/>
        <w:ind w:firstLine="6000" w:firstLineChars="2500"/>
        <w:textAlignment w:val="auto"/>
        <w:rPr>
          <w:rFonts w:hint="eastAsia" w:ascii="宋体" w:hAnsi="宋体" w:cs="宋体"/>
          <w:color w:val="000000" w:themeColor="text1"/>
          <w:sz w:val="24"/>
          <w:szCs w:val="24"/>
          <w:u w:val="none"/>
          <w14:textFill>
            <w14:solidFill>
              <w14:schemeClr w14:val="tx1"/>
            </w14:solidFill>
          </w14:textFill>
        </w:rPr>
        <w:sectPr>
          <w:footerReference r:id="rId10" w:type="default"/>
          <w:pgSz w:w="11906" w:h="16838"/>
          <w:pgMar w:top="1134" w:right="1134" w:bottom="1134" w:left="1474" w:header="851" w:footer="510" w:gutter="0"/>
          <w:cols w:space="720" w:num="1"/>
          <w:docGrid w:type="lines" w:linePitch="312" w:charSpace="0"/>
        </w:sectPr>
      </w:pPr>
      <w:r>
        <w:rPr>
          <w:rFonts w:hint="eastAsia" w:ascii="宋体" w:hAnsi="宋体" w:cs="宋体"/>
          <w:color w:val="000000" w:themeColor="text1"/>
          <w:sz w:val="24"/>
          <w:szCs w:val="24"/>
          <w:u w:val="none"/>
          <w14:textFill>
            <w14:solidFill>
              <w14:schemeClr w14:val="tx1"/>
            </w14:solidFill>
          </w14:textFill>
        </w:rPr>
        <w:t>时间</w:t>
      </w:r>
      <w:bookmarkStart w:id="10" w:name="_Toc15614"/>
      <w:bookmarkStart w:id="11" w:name="_Toc477423242"/>
      <w:bookmarkStart w:id="12" w:name="_Toc374512408"/>
      <w:bookmarkStart w:id="13" w:name="_Toc408816341"/>
      <w:bookmarkStart w:id="14" w:name="_Toc373230021"/>
      <w:bookmarkStart w:id="15" w:name="_Toc22562"/>
      <w:r>
        <w:rPr>
          <w:rFonts w:hint="eastAsia" w:ascii="宋体" w:hAnsi="宋体" w:cs="宋体"/>
          <w:color w:val="000000" w:themeColor="text1"/>
          <w:sz w:val="24"/>
          <w:szCs w:val="24"/>
          <w:u w:val="none"/>
          <w14:textFill>
            <w14:solidFill>
              <w14:schemeClr w14:val="tx1"/>
            </w14:solidFill>
          </w14:textFill>
        </w:rPr>
        <w:t>：</w:t>
      </w:r>
      <w:r>
        <w:rPr>
          <w:rFonts w:hint="eastAsia" w:ascii="宋体" w:hAnsi="宋体" w:cs="宋体"/>
          <w:color w:val="000000" w:themeColor="text1"/>
          <w:sz w:val="24"/>
          <w:szCs w:val="24"/>
          <w:u w:val="none"/>
          <w:lang w:val="en-US" w:eastAsia="zh-CN"/>
          <w14:textFill>
            <w14:solidFill>
              <w14:schemeClr w14:val="tx1"/>
            </w14:solidFill>
          </w14:textFill>
        </w:rPr>
        <w:t>2022</w:t>
      </w:r>
      <w:r>
        <w:rPr>
          <w:rFonts w:hint="eastAsia" w:ascii="宋体" w:hAnsi="宋体" w:cs="宋体"/>
          <w:color w:val="000000" w:themeColor="text1"/>
          <w:sz w:val="24"/>
          <w:szCs w:val="24"/>
          <w:u w:val="none"/>
          <w14:textFill>
            <w14:solidFill>
              <w14:schemeClr w14:val="tx1"/>
            </w14:solidFill>
          </w14:textFill>
        </w:rPr>
        <w:t>年</w:t>
      </w:r>
      <w:r>
        <w:rPr>
          <w:rFonts w:hint="eastAsia" w:ascii="宋体" w:hAnsi="宋体" w:cs="宋体"/>
          <w:color w:val="000000" w:themeColor="text1"/>
          <w:sz w:val="24"/>
          <w:szCs w:val="24"/>
          <w:u w:val="none"/>
          <w:lang w:val="en-US" w:eastAsia="zh-CN"/>
          <w14:textFill>
            <w14:solidFill>
              <w14:schemeClr w14:val="tx1"/>
            </w14:solidFill>
          </w14:textFill>
        </w:rPr>
        <w:t>12</w:t>
      </w:r>
      <w:r>
        <w:rPr>
          <w:rFonts w:hint="eastAsia" w:ascii="宋体" w:hAnsi="宋体" w:cs="宋体"/>
          <w:color w:val="000000" w:themeColor="text1"/>
          <w:sz w:val="24"/>
          <w:szCs w:val="24"/>
          <w:u w:val="none"/>
          <w14:textFill>
            <w14:solidFill>
              <w14:schemeClr w14:val="tx1"/>
            </w14:solidFill>
          </w14:textFill>
        </w:rPr>
        <w:t>月</w:t>
      </w:r>
      <w:r>
        <w:rPr>
          <w:rFonts w:hint="eastAsia" w:ascii="宋体" w:hAnsi="宋体" w:cs="宋体"/>
          <w:color w:val="000000" w:themeColor="text1"/>
          <w:sz w:val="24"/>
          <w:szCs w:val="24"/>
          <w:u w:val="none"/>
          <w:lang w:val="en-US" w:eastAsia="zh-CN"/>
          <w14:textFill>
            <w14:solidFill>
              <w14:schemeClr w14:val="tx1"/>
            </w14:solidFill>
          </w14:textFill>
        </w:rPr>
        <w:t>7</w:t>
      </w:r>
      <w:r>
        <w:rPr>
          <w:rFonts w:hint="eastAsia" w:ascii="宋体" w:hAnsi="宋体" w:cs="宋体"/>
          <w:color w:val="000000" w:themeColor="text1"/>
          <w:sz w:val="24"/>
          <w:szCs w:val="24"/>
          <w:u w:val="none"/>
          <w14:textFill>
            <w14:solidFill>
              <w14:schemeClr w14:val="tx1"/>
            </w14:solidFill>
          </w14:textFill>
        </w:rPr>
        <w:t>日</w:t>
      </w:r>
    </w:p>
    <w:p>
      <w:pPr>
        <w:pStyle w:val="33"/>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6" w:name="_Toc115021826"/>
      <w:bookmarkStart w:id="17" w:name="_Toc29694"/>
      <w:r>
        <w:rPr>
          <w:rFonts w:hint="eastAsia" w:ascii="宋体" w:hAnsi="宋体" w:cs="宋体"/>
        </w:rPr>
        <w:t>供应商须知</w:t>
      </w:r>
      <w:bookmarkEnd w:id="10"/>
      <w:bookmarkEnd w:id="16"/>
      <w:bookmarkEnd w:id="17"/>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采购人</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szCs w:val="21"/>
                <w:lang w:eastAsia="zh-CN"/>
              </w:rPr>
              <w:t xml:space="preserve">武陟县自然资源局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szCs w:val="21"/>
                <w:lang w:eastAsia="zh-CN"/>
              </w:rPr>
              <w:t xml:space="preserve">河南地天泰工程咨询有限公司 </w:t>
            </w:r>
            <w:r>
              <w:rPr>
                <w:rFonts w:hint="eastAsia"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3</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项目名称</w:t>
            </w:r>
          </w:p>
        </w:tc>
        <w:tc>
          <w:tcPr>
            <w:tcW w:w="6563" w:type="dxa"/>
            <w:noWrap w:val="0"/>
            <w:vAlign w:val="center"/>
          </w:tcPr>
          <w:p>
            <w:pPr>
              <w:spacing w:line="380" w:lineRule="exact"/>
              <w:rPr>
                <w:rFonts w:hint="eastAsia" w:ascii="宋体" w:hAnsi="宋体" w:eastAsia="宋体" w:cs="宋体"/>
                <w:kern w:val="0"/>
                <w:szCs w:val="21"/>
                <w:highlight w:val="yellow"/>
                <w:lang w:eastAsia="zh-CN"/>
              </w:rPr>
            </w:pPr>
            <w:r>
              <w:rPr>
                <w:rFonts w:hint="eastAsia" w:ascii="宋体" w:hAnsi="宋体" w:cs="宋体"/>
                <w:szCs w:val="21"/>
                <w:lang w:eastAsia="zh-CN"/>
              </w:rPr>
              <w:t>武陟县园地、林地、草地分等定级工作协作单位采购项目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szCs w:val="21"/>
              </w:rPr>
              <w:t>项目属性</w:t>
            </w:r>
          </w:p>
        </w:tc>
        <w:tc>
          <w:tcPr>
            <w:tcW w:w="6563" w:type="dxa"/>
            <w:noWrap w:val="0"/>
            <w:vAlign w:val="center"/>
          </w:tcPr>
          <w:p>
            <w:pPr>
              <w:spacing w:line="460" w:lineRule="exact"/>
              <w:rPr>
                <w:rFonts w:hint="eastAsia" w:ascii="宋体" w:hAnsi="宋体" w:cs="宋体"/>
                <w:kern w:val="0"/>
                <w:szCs w:val="21"/>
              </w:rPr>
            </w:pPr>
            <w:r>
              <w:rPr>
                <w:rFonts w:hint="eastAsia" w:ascii="宋体" w:hAnsi="宋体"/>
                <w:szCs w:val="21"/>
              </w:rPr>
              <w:t>货物</w:t>
            </w:r>
            <w:r>
              <w:rPr>
                <w:rFonts w:hint="eastAsia" w:hAnsi="宋体"/>
                <w:szCs w:val="21"/>
              </w:rPr>
              <w:sym w:font="Wingdings" w:char="00A8"/>
            </w:r>
            <w:r>
              <w:rPr>
                <w:rFonts w:hint="eastAsia" w:hAnsi="宋体"/>
                <w:szCs w:val="21"/>
              </w:rPr>
              <w:t xml:space="preserve">      </w:t>
            </w:r>
            <w:r>
              <w:rPr>
                <w:rFonts w:hint="eastAsia" w:ascii="宋体" w:hAnsi="宋体"/>
                <w:szCs w:val="21"/>
              </w:rPr>
              <w:t>服务</w:t>
            </w:r>
            <w:r>
              <w:rPr>
                <w:rFonts w:hint="eastAsia" w:hAnsi="宋体"/>
                <w:szCs w:val="21"/>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采购需求</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详见第五章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szCs w:val="21"/>
                <w:u w:val="single"/>
              </w:rPr>
              <w:t xml:space="preserve"> </w:t>
            </w:r>
            <w:r>
              <w:rPr>
                <w:rFonts w:hint="eastAsia" w:ascii="宋体" w:hAnsi="宋体" w:cs="宋体"/>
                <w:szCs w:val="21"/>
                <w:u w:val="single"/>
                <w:lang w:val="en-US" w:eastAsia="zh-CN"/>
              </w:rPr>
              <w:t>10000.00</w:t>
            </w:r>
            <w:r>
              <w:rPr>
                <w:rFonts w:hint="eastAsia" w:ascii="宋体" w:hAnsi="宋体" w:cs="宋体"/>
                <w:szCs w:val="21"/>
                <w:u w:val="single"/>
              </w:rPr>
              <w:t xml:space="preserve"> </w:t>
            </w:r>
            <w:r>
              <w:rPr>
                <w:rFonts w:hint="eastAsia" w:ascii="宋体" w:hAnsi="宋体" w:cs="宋体"/>
                <w:szCs w:val="21"/>
              </w:rPr>
              <w:t>元（暂不缴纳）</w:t>
            </w:r>
          </w:p>
          <w:p>
            <w:pPr>
              <w:spacing w:line="400" w:lineRule="exact"/>
              <w:rPr>
                <w:rFonts w:hint="eastAsia" w:ascii="宋体" w:hAnsi="宋体" w:cs="宋体"/>
                <w:szCs w:val="21"/>
              </w:rPr>
            </w:pPr>
            <w:r>
              <w:rPr>
                <w:rFonts w:hint="eastAsia" w:ascii="宋体" w:hAnsi="宋体" w:cs="宋体"/>
                <w:szCs w:val="21"/>
              </w:rPr>
              <w:t xml:space="preserve"> 2.供应商有下列情形之一的，采购人将追索</w:t>
            </w:r>
            <w:r>
              <w:rPr>
                <w:rFonts w:hint="eastAsia" w:ascii="宋体" w:hAnsi="宋体" w:cs="宋体"/>
                <w:kern w:val="0"/>
                <w:szCs w:val="21"/>
              </w:rPr>
              <w:t>磋商</w:t>
            </w:r>
            <w:r>
              <w:rPr>
                <w:rFonts w:hint="eastAsia" w:ascii="宋体" w:hAnsi="宋体" w:cs="宋体"/>
                <w:szCs w:val="21"/>
              </w:rPr>
              <w:t>保证金人民币</w:t>
            </w:r>
            <w:r>
              <w:rPr>
                <w:rFonts w:hint="eastAsia" w:ascii="宋体" w:hAnsi="宋体" w:cs="宋体"/>
                <w:szCs w:val="21"/>
                <w:u w:val="single"/>
              </w:rPr>
              <w:t xml:space="preserve"> </w:t>
            </w:r>
            <w:r>
              <w:rPr>
                <w:rFonts w:hint="eastAsia" w:ascii="宋体" w:hAnsi="宋体" w:cs="宋体"/>
                <w:szCs w:val="21"/>
                <w:u w:val="single"/>
                <w:lang w:val="en-US" w:eastAsia="zh-CN"/>
              </w:rPr>
              <w:t>10000.00</w:t>
            </w:r>
            <w:r>
              <w:rPr>
                <w:rFonts w:hint="eastAsia" w:ascii="宋体" w:hAnsi="宋体" w:cs="宋体"/>
                <w:szCs w:val="21"/>
                <w:u w:val="single"/>
              </w:rPr>
              <w:t xml:space="preserve">  </w:t>
            </w:r>
            <w:r>
              <w:rPr>
                <w:rFonts w:hint="eastAsia" w:ascii="宋体" w:hAnsi="宋体" w:cs="宋体"/>
                <w:szCs w:val="21"/>
              </w:rPr>
              <w:t>元，并予以没收，供应商应作出相应承诺（承诺书格式见第六章响应文件格式中）：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szCs w:val="21"/>
              </w:rPr>
              <w:t>（1）供应商在提交响应文件截止时间后或磋商有效期内撤回响应文件的；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至少5日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4"/>
              <w:spacing w:before="1" w:line="440" w:lineRule="exact"/>
              <w:ind w:left="108"/>
              <w:jc w:val="center"/>
              <w:rPr>
                <w:rFonts w:hint="eastAsia" w:ascii="宋体" w:hAnsi="宋体" w:cs="宋体"/>
                <w:sz w:val="21"/>
                <w:szCs w:val="21"/>
              </w:rPr>
            </w:pPr>
            <w:r>
              <w:rPr>
                <w:rFonts w:hint="eastAsia" w:ascii="宋体" w:hAnsi="宋体" w:cs="宋体"/>
                <w:sz w:val="21"/>
                <w:szCs w:val="21"/>
              </w:rPr>
              <w:t>响应文件的递交</w:t>
            </w:r>
          </w:p>
          <w:p>
            <w:pPr>
              <w:spacing w:line="440" w:lineRule="exact"/>
              <w:jc w:val="center"/>
              <w:rPr>
                <w:rFonts w:hint="eastAsia" w:ascii="宋体" w:hAnsi="宋体" w:cs="宋体"/>
                <w:kern w:val="0"/>
                <w:szCs w:val="21"/>
              </w:rPr>
            </w:pPr>
          </w:p>
        </w:tc>
        <w:tc>
          <w:tcPr>
            <w:tcW w:w="6563" w:type="dxa"/>
            <w:noWrap w:val="0"/>
            <w:vAlign w:val="center"/>
          </w:tcPr>
          <w:p>
            <w:pPr>
              <w:spacing w:line="440" w:lineRule="exact"/>
              <w:rPr>
                <w:rFonts w:hint="eastAsia" w:ascii="宋体" w:hAnsi="宋体" w:cs="宋体"/>
                <w:szCs w:val="21"/>
              </w:rPr>
            </w:pPr>
            <w:r>
              <w:rPr>
                <w:rFonts w:hint="eastAsia" w:ascii="宋体" w:hAnsi="宋体" w:cs="宋体"/>
                <w:szCs w:val="21"/>
              </w:rPr>
              <w:t>1.在提交响应文件截止时间前递交，具体事宜请查阅焦作市公共资源交易中心官网首页—公共服务—下载专区-下载相关操作手册及视频等，查看操作说明，按要求进行响应文件的递交。</w:t>
            </w:r>
          </w:p>
          <w:p>
            <w:pPr>
              <w:spacing w:line="440" w:lineRule="exact"/>
              <w:rPr>
                <w:rFonts w:hint="eastAsia" w:ascii="宋体" w:hAnsi="宋体" w:cs="宋体"/>
                <w:szCs w:val="21"/>
              </w:rPr>
            </w:pPr>
            <w:r>
              <w:rPr>
                <w:rFonts w:hint="eastAsia" w:ascii="宋体" w:hAnsi="宋体" w:cs="宋体"/>
                <w:szCs w:val="21"/>
              </w:rPr>
              <w:t>2.如因系统故障需上传非加密文件时，供应商应按照采购人指示将非加密文件递交给采购人。</w:t>
            </w:r>
          </w:p>
          <w:p>
            <w:pPr>
              <w:spacing w:line="440" w:lineRule="exact"/>
              <w:rPr>
                <w:rFonts w:hint="eastAsia" w:ascii="宋体" w:hAnsi="宋体" w:cs="宋体"/>
                <w:kern w:val="0"/>
                <w:szCs w:val="21"/>
              </w:rPr>
            </w:pPr>
            <w:r>
              <w:rPr>
                <w:rFonts w:hint="eastAsia" w:ascii="宋体" w:hAnsi="宋体" w:cs="宋体"/>
                <w:szCs w:val="21"/>
              </w:rPr>
              <w:t>3.采购人拒绝接收在响应文件递交截止时间后上传的响应文件。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rPr>
              <w:t>（l）公布供应商；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（3）由供应商对开标记录表进行确认（在规定时间内未确认的视同认可开标记录）</w:t>
            </w:r>
          </w:p>
          <w:p>
            <w:pPr>
              <w:spacing w:line="400" w:lineRule="exact"/>
              <w:rPr>
                <w:rFonts w:hint="eastAsia"/>
                <w:szCs w:val="21"/>
              </w:rPr>
            </w:pPr>
            <w:r>
              <w:rPr>
                <w:rFonts w:hint="eastAsia"/>
                <w:szCs w:val="21"/>
              </w:rPr>
              <w:t>（4）开标结束；</w:t>
            </w:r>
          </w:p>
          <w:p>
            <w:pPr>
              <w:spacing w:line="400" w:lineRule="exact"/>
              <w:rPr>
                <w:rFonts w:hint="eastAsia"/>
                <w:szCs w:val="21"/>
              </w:rPr>
            </w:pPr>
            <w:r>
              <w:rPr>
                <w:rFonts w:hint="eastAsia"/>
                <w:szCs w:val="21"/>
              </w:rPr>
              <w:t>（5）</w:t>
            </w:r>
            <w:r>
              <w:rPr>
                <w:rFonts w:hint="eastAsia" w:ascii="宋体" w:hAnsi="宋体"/>
                <w:kern w:val="0"/>
                <w:szCs w:val="21"/>
              </w:rPr>
              <w:t>磋商</w:t>
            </w:r>
            <w:r>
              <w:rPr>
                <w:rFonts w:hint="eastAsia"/>
                <w:szCs w:val="21"/>
              </w:rPr>
              <w:t>小组对已通过资格性、符合性审查的供应商发起二轮(最后报价)邀请。</w:t>
            </w:r>
          </w:p>
          <w:p>
            <w:pPr>
              <w:pStyle w:val="2"/>
              <w:spacing w:line="400" w:lineRule="exact"/>
              <w:rPr>
                <w:rFonts w:hint="eastAsia"/>
                <w:kern w:val="2"/>
                <w:szCs w:val="21"/>
              </w:rPr>
            </w:pPr>
            <w:r>
              <w:rPr>
                <w:rFonts w:hint="eastAsia"/>
                <w:kern w:val="2"/>
                <w:szCs w:val="21"/>
              </w:rPr>
              <w:t>（6）由磋商小组采用综合评分法对提交最后报价的供应商的响应文件和最后报价进行综合评分并出具评审报告。</w:t>
            </w:r>
          </w:p>
          <w:p>
            <w:pPr>
              <w:pStyle w:val="3"/>
              <w:spacing w:line="400" w:lineRule="exact"/>
              <w:ind w:firstLine="211" w:firstLineChars="100"/>
              <w:rPr>
                <w:rFonts w:hint="eastAsia"/>
                <w:b/>
                <w:bCs/>
                <w:kern w:val="2"/>
                <w:szCs w:val="21"/>
              </w:rPr>
            </w:pPr>
            <w:r>
              <w:rPr>
                <w:rFonts w:hint="eastAsia"/>
                <w:b/>
                <w:bCs/>
                <w:kern w:val="2"/>
                <w:szCs w:val="21"/>
              </w:rPr>
              <w:t>备注：1.供应商在规定时间内需通过焦作市公共资源交易平台进行二轮报价（最后报价），未在规定时间内提交二轮报价（最后报价）的视为放弃本次磋商。</w:t>
            </w:r>
          </w:p>
          <w:p>
            <w:pPr>
              <w:pStyle w:val="3"/>
              <w:spacing w:line="400" w:lineRule="exact"/>
              <w:ind w:firstLine="422" w:firstLineChars="200"/>
              <w:rPr>
                <w:rFonts w:hint="eastAsia" w:ascii="宋体" w:hAnsi="宋体" w:cs="宋体"/>
                <w:b/>
                <w:bCs/>
                <w:kern w:val="2"/>
                <w:szCs w:val="21"/>
              </w:rPr>
            </w:pPr>
            <w:r>
              <w:rPr>
                <w:rFonts w:hint="eastAsia"/>
                <w:b/>
                <w:bCs/>
                <w:kern w:val="2"/>
                <w:szCs w:val="21"/>
              </w:rPr>
              <w:t>2.二轮报价（最后报价）操作步骤</w:t>
            </w:r>
            <w:r>
              <w:rPr>
                <w:rFonts w:hint="eastAsia" w:ascii="宋体" w:hAnsi="宋体" w:cs="宋体"/>
                <w:b/>
                <w:bCs/>
                <w:kern w:val="2"/>
                <w:szCs w:val="21"/>
              </w:rPr>
              <w:t>请到焦作市公共资源交易中心官网首页—公共服务—下载专区-下载《投标单位操作手册及视频》中《</w:t>
            </w:r>
            <w:r>
              <w:rPr>
                <w:rFonts w:hint="eastAsia" w:ascii="宋体" w:hAnsi="宋体" w:cs="宋体"/>
                <w:b/>
                <w:bCs/>
                <w:kern w:val="2"/>
                <w:szCs w:val="21"/>
              </w:rPr>
              <w:fldChar w:fldCharType="begin"/>
            </w:r>
            <w:r>
              <w:rPr>
                <w:rFonts w:hint="eastAsia" w:ascii="宋体" w:hAnsi="宋体" w:cs="宋体"/>
                <w:b/>
                <w:bCs/>
                <w:kern w:val="2"/>
                <w:szCs w:val="21"/>
              </w:rPr>
              <w:instrText xml:space="preserve"> HYPERLINK "http://www.jzggzy.cn/jzggzy/88951794-3a73-4903-8a3a-a3156df953c4/59a811ad-be10-452c-92be-8b7a2948cf3a/焦作市公共资源交易平台升级项目-投标人手册.docx" \o "焦作市公共资源交易平台升级项目-投标人手册.docx" </w:instrText>
            </w:r>
            <w:r>
              <w:rPr>
                <w:rFonts w:hint="eastAsia" w:ascii="宋体" w:hAnsi="宋体" w:cs="宋体"/>
                <w:b/>
                <w:bCs/>
                <w:kern w:val="2"/>
                <w:szCs w:val="21"/>
              </w:rPr>
              <w:fldChar w:fldCharType="separate"/>
            </w:r>
            <w:r>
              <w:rPr>
                <w:rFonts w:hint="eastAsia" w:ascii="宋体" w:hAnsi="宋体" w:cs="宋体"/>
                <w:b/>
                <w:bCs/>
                <w:kern w:val="2"/>
                <w:szCs w:val="21"/>
              </w:rPr>
              <w:t>焦作市公共资源交易平台升级项目-投标人手册.docx</w:t>
            </w:r>
            <w:r>
              <w:rPr>
                <w:rFonts w:hint="eastAsia" w:ascii="宋体" w:hAnsi="宋体" w:cs="宋体"/>
                <w:b/>
                <w:bCs/>
                <w:kern w:val="2"/>
                <w:szCs w:val="21"/>
              </w:rPr>
              <w:fldChar w:fldCharType="end"/>
            </w:r>
            <w:r>
              <w:rPr>
                <w:rFonts w:hint="eastAsia" w:ascii="宋体" w:hAnsi="宋体" w:cs="宋体"/>
                <w:b/>
                <w:bCs/>
                <w:kern w:val="2"/>
                <w:szCs w:val="21"/>
              </w:rPr>
              <w:t>》文件查阅。</w:t>
            </w:r>
          </w:p>
          <w:p>
            <w:pPr>
              <w:pStyle w:val="3"/>
              <w:spacing w:line="400" w:lineRule="exact"/>
              <w:ind w:firstLine="422" w:firstLineChars="200"/>
              <w:rPr>
                <w:rFonts w:hint="eastAsia" w:ascii="宋体" w:hAnsi="宋体" w:cs="宋体"/>
                <w:kern w:val="2"/>
                <w:szCs w:val="21"/>
              </w:rPr>
            </w:pPr>
            <w:r>
              <w:rPr>
                <w:rFonts w:hint="eastAsia" w:ascii="宋体" w:hAnsi="宋体" w:cs="宋体"/>
                <w:b/>
                <w:bCs/>
                <w:kern w:val="2"/>
                <w:szCs w:val="21"/>
              </w:rPr>
              <w:t>3.最后单价明细计算公式：最后单价明细=报价明细表中的单价×（最后总报价/第一轮总报价）。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15</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16</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需要落实的政府采购政策</w:t>
            </w:r>
          </w:p>
        </w:tc>
        <w:tc>
          <w:tcPr>
            <w:tcW w:w="6563" w:type="dxa"/>
            <w:noWrap w:val="0"/>
            <w:vAlign w:val="center"/>
          </w:tcPr>
          <w:p>
            <w:pPr>
              <w:spacing w:line="440" w:lineRule="exact"/>
              <w:ind w:left="425"/>
              <w:rPr>
                <w:rFonts w:hint="eastAsia" w:ascii="宋体" w:hAnsi="宋体" w:cs="宋体"/>
                <w:b/>
                <w:bCs/>
                <w:szCs w:val="21"/>
              </w:rPr>
            </w:pPr>
            <w:r>
              <w:rPr>
                <w:rFonts w:hint="eastAsia" w:ascii="宋体" w:hAnsi="宋体" w:cs="宋体"/>
                <w:b/>
                <w:bCs/>
                <w:szCs w:val="21"/>
              </w:rPr>
              <w:t>一、促进中小企业、监狱企业和残疾人福利性单位发展扶持政策</w:t>
            </w:r>
          </w:p>
          <w:p>
            <w:pPr>
              <w:numPr>
                <w:ilvl w:val="0"/>
                <w:numId w:val="5"/>
              </w:numPr>
              <w:spacing w:line="440" w:lineRule="exact"/>
              <w:ind w:firstLine="424" w:firstLineChars="202"/>
              <w:rPr>
                <w:rFonts w:hint="eastAsia" w:ascii="宋体" w:hAnsi="宋体" w:cs="宋体"/>
                <w:bCs/>
                <w:szCs w:val="21"/>
              </w:rPr>
            </w:pPr>
            <w:r>
              <w:rPr>
                <w:rFonts w:hint="eastAsia" w:ascii="宋体" w:hAnsi="宋体" w:cs="宋体"/>
                <w:bCs/>
                <w:szCs w:val="21"/>
              </w:rPr>
              <w:t>中小企业认定：</w:t>
            </w:r>
          </w:p>
          <w:p>
            <w:pPr>
              <w:spacing w:line="440" w:lineRule="exact"/>
              <w:ind w:firstLine="420" w:firstLineChars="200"/>
              <w:rPr>
                <w:rFonts w:hint="eastAsia" w:ascii="宋体" w:hAnsi="宋体" w:cs="宋体"/>
                <w:bCs/>
                <w:szCs w:val="21"/>
              </w:rPr>
            </w:pPr>
            <w:r>
              <w:rPr>
                <w:rFonts w:hint="eastAsia" w:ascii="宋体" w:hAnsi="宋体" w:cs="宋体"/>
                <w:bCs/>
                <w:szCs w:val="21"/>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440" w:lineRule="exact"/>
              <w:ind w:firstLine="420" w:firstLineChars="200"/>
              <w:rPr>
                <w:rFonts w:hint="eastAsia" w:ascii="宋体" w:hAnsi="宋体" w:cs="宋体"/>
                <w:bCs/>
                <w:szCs w:val="21"/>
              </w:rPr>
            </w:pPr>
            <w:r>
              <w:rPr>
                <w:rFonts w:hint="eastAsia" w:ascii="宋体" w:hAnsi="宋体" w:cs="宋体"/>
                <w:bCs/>
                <w:szCs w:val="21"/>
              </w:rPr>
              <w:t>符合中小企业划分标准的个体工商户，在政府采购活动中视同中小企业。</w:t>
            </w:r>
          </w:p>
          <w:p>
            <w:pPr>
              <w:spacing w:line="440" w:lineRule="exact"/>
              <w:ind w:firstLine="420" w:firstLineChars="200"/>
              <w:rPr>
                <w:rFonts w:hint="eastAsia" w:ascii="宋体" w:hAnsi="宋体" w:cs="宋体"/>
                <w:bCs/>
                <w:szCs w:val="21"/>
              </w:rPr>
            </w:pPr>
            <w:r>
              <w:rPr>
                <w:rFonts w:hint="eastAsia" w:ascii="宋体" w:hAnsi="宋体" w:cs="宋体"/>
                <w:szCs w:val="21"/>
              </w:rPr>
              <w:t>中小企业划分标准见《关于印发中小企业划型标准规定的通知》（工信部联企业〔2011〕300号）。</w:t>
            </w:r>
          </w:p>
          <w:p>
            <w:pPr>
              <w:spacing w:line="440" w:lineRule="exact"/>
              <w:ind w:firstLine="424" w:firstLineChars="202"/>
              <w:rPr>
                <w:rFonts w:hint="eastAsia"/>
                <w:color w:val="FF0000"/>
              </w:rPr>
            </w:pPr>
            <w:r>
              <w:rPr>
                <w:rFonts w:hint="eastAsia" w:ascii="宋体" w:hAnsi="宋体" w:eastAsia="宋体" w:cs="宋体"/>
                <w:color w:val="auto"/>
                <w:lang w:val="en-US" w:eastAsia="zh-CN"/>
              </w:rPr>
              <w:t>2.</w:t>
            </w:r>
            <w:r>
              <w:rPr>
                <w:rFonts w:hint="eastAsia" w:ascii="宋体" w:hAnsi="宋体" w:eastAsia="宋体" w:cs="宋体"/>
                <w:color w:val="auto"/>
              </w:rPr>
              <w:t>在服务采购项目中，服务由中小企业承接，即提供服务的人员为中小企业依照《中华人民共和国</w:t>
            </w:r>
            <w:r>
              <w:rPr>
                <w:rFonts w:hint="eastAsia" w:ascii="宋体" w:hAnsi="宋体" w:eastAsia="宋体" w:cs="宋体"/>
                <w:color w:val="auto"/>
                <w:lang w:val="en-US" w:eastAsia="zh-CN"/>
              </w:rPr>
              <w:t>民</w:t>
            </w:r>
            <w:r>
              <w:rPr>
                <w:rFonts w:hint="eastAsia" w:ascii="宋体" w:hAnsi="宋体" w:eastAsia="宋体" w:cs="宋体"/>
                <w:color w:val="auto"/>
              </w:rPr>
              <w:t>法</w:t>
            </w:r>
            <w:r>
              <w:rPr>
                <w:rFonts w:hint="eastAsia" w:ascii="宋体" w:hAnsi="宋体" w:eastAsia="宋体" w:cs="宋体"/>
                <w:color w:val="auto"/>
                <w:lang w:val="en-US" w:eastAsia="zh-CN"/>
              </w:rPr>
              <w:t>典</w:t>
            </w:r>
            <w:r>
              <w:rPr>
                <w:rFonts w:hint="eastAsia" w:ascii="宋体" w:hAnsi="宋体" w:eastAsia="宋体" w:cs="宋体"/>
                <w:color w:val="auto"/>
              </w:rPr>
              <w:t>》订立劳动合同的从业人员。</w:t>
            </w:r>
          </w:p>
          <w:p>
            <w:pPr>
              <w:spacing w:line="440" w:lineRule="exact"/>
              <w:ind w:firstLine="424" w:firstLineChars="202"/>
              <w:rPr>
                <w:rFonts w:hint="eastAsia"/>
              </w:rPr>
            </w:pPr>
            <w:r>
              <w:rPr>
                <w:rFonts w:hint="eastAsia"/>
                <w:lang w:eastAsia="zh-CN"/>
              </w:rPr>
              <w:t>供应商应当出具</w:t>
            </w:r>
            <w:r>
              <w:rPr>
                <w:rFonts w:hint="eastAsia"/>
                <w:highlight w:val="none"/>
                <w:lang w:eastAsia="zh-CN"/>
              </w:rPr>
              <w:t>竞争性磋商文件</w:t>
            </w:r>
            <w:r>
              <w:rPr>
                <w:rFonts w:hint="eastAsia"/>
                <w:lang w:eastAsia="zh-CN"/>
              </w:rPr>
              <w:t>规定的《</w:t>
            </w:r>
            <w:r>
              <w:rPr>
                <w:rFonts w:hint="eastAsia"/>
              </w:rPr>
              <w:t>中小企业声明函</w:t>
            </w:r>
            <w:r>
              <w:rPr>
                <w:rFonts w:hint="eastAsia"/>
                <w:lang w:eastAsia="zh-CN"/>
              </w:rPr>
              <w:t>》，否则不享受相关扶持政策</w:t>
            </w:r>
            <w:r>
              <w:rPr>
                <w:rFonts w:hint="eastAsia"/>
              </w:rPr>
              <w:t>；</w:t>
            </w:r>
          </w:p>
          <w:p>
            <w:pPr>
              <w:spacing w:line="440" w:lineRule="exact"/>
              <w:ind w:firstLine="424" w:firstLineChars="202"/>
              <w:rPr>
                <w:rFonts w:hint="eastAsia" w:ascii="宋体" w:hAnsi="宋体" w:cs="宋体"/>
                <w:bCs/>
                <w:szCs w:val="21"/>
              </w:rPr>
            </w:pPr>
            <w:r>
              <w:rPr>
                <w:rFonts w:hint="eastAsia" w:ascii="宋体" w:hAnsi="宋体" w:cs="宋体"/>
                <w:bCs/>
                <w:szCs w:val="21"/>
              </w:rPr>
              <w:t>3.根据财库〔2014〕68号《财政部司法部关于政府采购支持监狱企业发展有关问题的通知》，监狱企业视同小微企业。提供由省级以上监狱管理局、戒毒管理局(含新疆生产建设兵团)出具的属于监狱企业的证明文件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cs="宋体"/>
                <w:b/>
                <w:bCs/>
                <w:szCs w:val="21"/>
              </w:rPr>
              <w:t>（响应文件中附扫描件或复印件）</w:t>
            </w:r>
            <w:r>
              <w:rPr>
                <w:rFonts w:hint="eastAsia" w:ascii="宋体" w:hAnsi="宋体" w:cs="宋体"/>
                <w:bCs/>
                <w:szCs w:val="21"/>
              </w:rPr>
              <w:t>，不再提供《中小企业声明函》,供应商出具的监狱企业证明文件如有虚假，其成交资格将被取消，并根据相关规定进行处罚。</w:t>
            </w:r>
          </w:p>
          <w:p>
            <w:pPr>
              <w:spacing w:line="440" w:lineRule="exact"/>
              <w:ind w:firstLine="424" w:firstLineChars="202"/>
              <w:rPr>
                <w:rFonts w:hint="eastAsia" w:ascii="宋体" w:hAnsi="宋体" w:cs="宋体"/>
                <w:bCs/>
                <w:szCs w:val="21"/>
              </w:rPr>
            </w:pPr>
            <w:r>
              <w:rPr>
                <w:rFonts w:hint="eastAsia" w:ascii="宋体" w:hAnsi="宋体" w:cs="宋体"/>
                <w:bCs/>
                <w:szCs w:val="21"/>
              </w:rPr>
              <w:t>4.根据财库〔2017〕141号《三部门联合发布关于促进残疾人就业政府采购政策的通知》残疾人福利性单位视同小型、微型企业，残疾人福利性单位在参加政府采购活动时提供《残疾人福利性单位声明函》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cs="宋体"/>
                <w:b/>
                <w:bCs/>
                <w:szCs w:val="21"/>
              </w:rPr>
              <w:t>（响应文件中附扫描件或复印件）</w:t>
            </w:r>
            <w:r>
              <w:rPr>
                <w:rFonts w:hint="eastAsia" w:ascii="宋体" w:hAnsi="宋体" w:cs="宋体"/>
                <w:bCs/>
                <w:szCs w:val="21"/>
              </w:rPr>
              <w:t xml:space="preserve">，不再提供《中小企业声明函》，供应商在《残疾人福利性单位声明函》中的承诺如有虚假，其成交资格将被取消，并根据相关规定进行处罚。    </w:t>
            </w:r>
          </w:p>
          <w:p>
            <w:pPr>
              <w:spacing w:line="440" w:lineRule="exact"/>
              <w:ind w:firstLine="424" w:firstLineChars="202"/>
              <w:rPr>
                <w:rFonts w:hint="eastAsia" w:ascii="宋体" w:hAnsi="宋体" w:cs="宋体"/>
                <w:bCs/>
                <w:szCs w:val="21"/>
              </w:rPr>
            </w:pPr>
            <w:r>
              <w:rPr>
                <w:rFonts w:hint="eastAsia" w:ascii="宋体" w:hAnsi="宋体" w:cs="宋体"/>
                <w:bCs/>
                <w:szCs w:val="21"/>
                <w:lang w:eastAsia="zh-CN"/>
              </w:rPr>
              <w:t>磋商小组根据供应商提供的《中小企业声明函》认定该供应商是否属于中小企业；监狱企业和残疾人福利性单位视同小型、微型企业。</w:t>
            </w:r>
            <w:r>
              <w:rPr>
                <w:rFonts w:hint="eastAsia" w:ascii="宋体" w:hAnsi="宋体" w:cs="宋体"/>
                <w:b/>
                <w:bCs w:val="0"/>
                <w:szCs w:val="21"/>
                <w:lang w:eastAsia="zh-CN"/>
              </w:rPr>
              <w:t>不属于中小企业、监狱企业或残疾人福利性单位的不得参与本项目磋商。</w:t>
            </w:r>
            <w:r>
              <w:rPr>
                <w:rFonts w:hint="eastAsia" w:ascii="宋体" w:hAnsi="宋体" w:cs="宋体"/>
                <w:b/>
                <w:bCs w:val="0"/>
                <w:szCs w:val="21"/>
              </w:rPr>
              <w:t xml:space="preserve">               </w:t>
            </w:r>
            <w:r>
              <w:rPr>
                <w:rFonts w:hint="eastAsia" w:ascii="宋体" w:hAnsi="宋体" w:cs="宋体"/>
                <w:bCs/>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17</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rPr>
                <w:rFonts w:hint="eastAsia" w:ascii="宋体" w:hAnsi="宋体" w:cs="宋体"/>
                <w:kern w:val="0"/>
                <w:szCs w:val="21"/>
              </w:rPr>
            </w:pPr>
            <w:r>
              <w:rPr>
                <w:rFonts w:hint="eastAsia" w:ascii="宋体" w:hAnsi="宋体" w:cs="宋体"/>
                <w:kern w:val="0"/>
                <w:szCs w:val="21"/>
              </w:rPr>
              <w:t xml:space="preserve">   </w:t>
            </w:r>
            <w:r>
              <w:rPr>
                <w:rFonts w:hint="eastAsia" w:ascii="宋体" w:hAnsi="宋体" w:cs="宋体"/>
                <w:color w:val="FF0000"/>
                <w:kern w:val="0"/>
                <w:szCs w:val="21"/>
              </w:rPr>
              <w:t xml:space="preserve"> </w:t>
            </w:r>
            <w:r>
              <w:rPr>
                <w:rFonts w:hint="eastAsia" w:ascii="宋体" w:hAnsi="宋体" w:cs="宋体"/>
                <w:kern w:val="0"/>
                <w:szCs w:val="21"/>
              </w:rPr>
              <w:t>本竞争性磋商文件解释权归采购人或其委托的采购代理机构。未尽事宜按国家相关法律法规执行。</w:t>
            </w:r>
          </w:p>
          <w:p>
            <w:pPr>
              <w:rPr>
                <w:rFonts w:hint="eastAsia" w:ascii="宋体" w:hAnsi="宋体" w:cs="宋体"/>
                <w:szCs w:val="21"/>
              </w:rPr>
            </w:pPr>
            <w:r>
              <w:rPr>
                <w:rFonts w:hint="eastAsia" w:ascii="宋体" w:hAnsi="宋体" w:cs="宋体"/>
                <w:szCs w:val="21"/>
              </w:rPr>
              <w:t xml:space="preserve">    （1）在评审过程中，</w:t>
            </w:r>
            <w:r>
              <w:rPr>
                <w:rFonts w:hint="eastAsia" w:ascii="宋体" w:hAnsi="宋体" w:cs="宋体"/>
                <w:kern w:val="0"/>
                <w:szCs w:val="21"/>
              </w:rPr>
              <w:t>磋商</w:t>
            </w:r>
            <w:r>
              <w:rPr>
                <w:rFonts w:hint="eastAsia" w:ascii="宋体" w:hAnsi="宋体" w:cs="宋体"/>
                <w:szCs w:val="21"/>
              </w:rPr>
              <w:t>小组成员存在争议时，可以以少数服从多数的原则解决争议；</w:t>
            </w:r>
          </w:p>
          <w:p>
            <w:pPr>
              <w:spacing w:line="460" w:lineRule="exact"/>
              <w:rPr>
                <w:rFonts w:hint="eastAsia" w:ascii="宋体" w:hAnsi="宋体" w:cs="宋体"/>
                <w:kern w:val="0"/>
                <w:szCs w:val="21"/>
              </w:rPr>
            </w:pPr>
            <w:r>
              <w:rPr>
                <w:rFonts w:hint="eastAsia" w:ascii="宋体" w:hAnsi="宋体" w:cs="宋体"/>
                <w:szCs w:val="21"/>
              </w:rPr>
              <w:t xml:space="preserve">    （2）在评审过程中，采购人或其委托的代理机构认为</w:t>
            </w:r>
            <w:r>
              <w:rPr>
                <w:rFonts w:hint="eastAsia" w:ascii="宋体" w:hAnsi="宋体" w:cs="宋体"/>
                <w:kern w:val="0"/>
                <w:szCs w:val="21"/>
              </w:rPr>
              <w:t>磋商</w:t>
            </w:r>
            <w:r>
              <w:rPr>
                <w:rFonts w:hint="eastAsia" w:ascii="宋体" w:hAnsi="宋体" w:cs="宋体"/>
                <w:szCs w:val="21"/>
              </w:rPr>
              <w:t>小组对</w:t>
            </w:r>
            <w:r>
              <w:rPr>
                <w:rFonts w:hint="eastAsia" w:ascii="宋体" w:hAnsi="宋体" w:cs="宋体"/>
                <w:kern w:val="0"/>
                <w:szCs w:val="21"/>
              </w:rPr>
              <w:t>磋商</w:t>
            </w:r>
            <w:r>
              <w:rPr>
                <w:rFonts w:hint="eastAsia" w:ascii="宋体" w:hAnsi="宋体" w:cs="宋体"/>
                <w:szCs w:val="21"/>
              </w:rPr>
              <w:t>文件存在误解时，可对</w:t>
            </w:r>
            <w:r>
              <w:rPr>
                <w:rFonts w:hint="eastAsia" w:ascii="宋体" w:hAnsi="宋体" w:cs="宋体"/>
                <w:kern w:val="0"/>
                <w:szCs w:val="21"/>
              </w:rPr>
              <w:t>磋商</w:t>
            </w:r>
            <w:r>
              <w:rPr>
                <w:rFonts w:hint="eastAsia" w:ascii="宋体" w:hAnsi="宋体" w:cs="宋体"/>
                <w:szCs w:val="21"/>
              </w:rPr>
              <w:t>文件做出解释，并承担相应责任，</w:t>
            </w:r>
            <w:r>
              <w:rPr>
                <w:rFonts w:hint="eastAsia" w:ascii="宋体" w:hAnsi="宋体" w:cs="宋体"/>
                <w:kern w:val="0"/>
                <w:szCs w:val="21"/>
              </w:rPr>
              <w:t>磋商</w:t>
            </w:r>
            <w:r>
              <w:rPr>
                <w:rFonts w:hint="eastAsia" w:ascii="宋体" w:hAnsi="宋体" w:cs="宋体"/>
                <w:szCs w:val="21"/>
              </w:rPr>
              <w:t>小组应当依据该解释评审；</w:t>
            </w:r>
            <w:r>
              <w:rPr>
                <w:rFonts w:hint="eastAsia" w:ascii="宋体" w:hAnsi="宋体" w:cs="宋体"/>
                <w:kern w:val="0"/>
                <w:szCs w:val="21"/>
              </w:rPr>
              <w:t>磋商</w:t>
            </w:r>
            <w:r>
              <w:rPr>
                <w:rFonts w:hint="eastAsia" w:ascii="宋体" w:hAnsi="宋体" w:cs="宋体"/>
                <w:szCs w:val="21"/>
              </w:rPr>
              <w:t>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采购代理机构代理服务费</w:t>
            </w:r>
          </w:p>
        </w:tc>
        <w:tc>
          <w:tcPr>
            <w:tcW w:w="6563" w:type="dxa"/>
            <w:noWrap w:val="0"/>
            <w:vAlign w:val="center"/>
          </w:tcPr>
          <w:p>
            <w:pPr>
              <w:spacing w:line="460" w:lineRule="exact"/>
              <w:rPr>
                <w:rFonts w:hint="eastAsia"/>
                <w:szCs w:val="21"/>
              </w:rPr>
            </w:pPr>
            <w:r>
              <w:rPr>
                <w:rFonts w:hint="eastAsia"/>
                <w:szCs w:val="21"/>
              </w:rPr>
              <w:t>本项目收取代理服务费：</w:t>
            </w:r>
          </w:p>
          <w:p>
            <w:pPr>
              <w:numPr>
                <w:ilvl w:val="0"/>
                <w:numId w:val="6"/>
              </w:numPr>
              <w:spacing w:line="360" w:lineRule="auto"/>
              <w:rPr>
                <w:rFonts w:hint="eastAsia" w:ascii="宋体" w:hAnsi="宋体" w:cs="宋体"/>
                <w:kern w:val="0"/>
                <w:szCs w:val="21"/>
              </w:rPr>
            </w:pPr>
            <w:r>
              <w:rPr>
                <w:rFonts w:hint="eastAsia" w:ascii="宋体" w:hAnsi="宋体" w:cs="宋体"/>
                <w:kern w:val="0"/>
                <w:szCs w:val="21"/>
              </w:rPr>
              <w:t>采购代理机构代理服务费用收取标准：见《采购代理机构代理费用的收取标准》。</w:t>
            </w:r>
          </w:p>
          <w:p>
            <w:pPr>
              <w:numPr>
                <w:ilvl w:val="0"/>
                <w:numId w:val="6"/>
              </w:numPr>
              <w:spacing w:line="360" w:lineRule="auto"/>
              <w:rPr>
                <w:rFonts w:hint="eastAsia" w:ascii="宋体" w:hAnsi="宋体" w:cs="宋体"/>
                <w:kern w:val="0"/>
                <w:szCs w:val="21"/>
              </w:rPr>
            </w:pPr>
            <w:r>
              <w:rPr>
                <w:rFonts w:hint="eastAsia" w:ascii="宋体" w:hAnsi="宋体" w:cs="宋体"/>
                <w:kern w:val="0"/>
                <w:szCs w:val="21"/>
              </w:rPr>
              <w:t>支付方式：现金或转账。</w:t>
            </w:r>
          </w:p>
          <w:p>
            <w:pPr>
              <w:pStyle w:val="14"/>
              <w:rPr>
                <w:rFonts w:hint="eastAsia"/>
                <w:szCs w:val="21"/>
              </w:rPr>
            </w:pPr>
            <w:r>
              <w:rPr>
                <w:rFonts w:hint="eastAsia" w:ascii="宋体" w:hAnsi="宋体" w:cs="宋体"/>
                <w:kern w:val="0"/>
                <w:szCs w:val="21"/>
              </w:rPr>
              <w:t>3.采购代理机构代理服务费由中标人支付。</w:t>
            </w:r>
          </w:p>
        </w:tc>
      </w:tr>
      <w:bookmarkEnd w:id="11"/>
      <w:bookmarkEnd w:id="12"/>
      <w:bookmarkEnd w:id="13"/>
      <w:bookmarkEnd w:id="14"/>
      <w:bookmarkEnd w:id="15"/>
    </w:tbl>
    <w:p>
      <w:pPr>
        <w:autoSpaceDN w:val="0"/>
        <w:spacing w:before="75" w:after="75" w:line="360" w:lineRule="auto"/>
        <w:ind w:firstLine="1928" w:firstLineChars="600"/>
        <w:jc w:val="both"/>
        <w:rPr>
          <w:rFonts w:hint="eastAsia" w:ascii="宋体" w:hAnsi="宋体" w:cs="宋体"/>
          <w:b/>
          <w:sz w:val="32"/>
        </w:rPr>
      </w:pPr>
      <w:bookmarkStart w:id="18" w:name="_Toc461962050"/>
      <w:r>
        <w:rPr>
          <w:rFonts w:hint="eastAsia" w:ascii="宋体" w:hAnsi="宋体" w:cs="宋体"/>
          <w:b/>
          <w:sz w:val="32"/>
        </w:rPr>
        <w:t>采购代理机构代理费用的收取标准</w:t>
      </w:r>
    </w:p>
    <w:p>
      <w:pPr>
        <w:autoSpaceDN w:val="0"/>
        <w:spacing w:before="75" w:after="75" w:line="360" w:lineRule="auto"/>
        <w:jc w:val="center"/>
        <w:rPr>
          <w:rFonts w:hint="eastAsia" w:ascii="宋体" w:hAnsi="宋体" w:cs="宋体"/>
          <w:b/>
          <w:sz w:val="32"/>
        </w:rPr>
      </w:pPr>
      <w:r>
        <w:rPr>
          <w:rFonts w:hint="eastAsia" w:ascii="宋体" w:hAnsi="宋体" w:cs="宋体"/>
          <w:b/>
          <w:sz w:val="32"/>
        </w:rPr>
        <w:drawing>
          <wp:inline distT="0" distB="0" distL="114300" distR="114300">
            <wp:extent cx="5344160" cy="2764155"/>
            <wp:effectExtent l="0" t="0" r="8890" b="17145"/>
            <wp:docPr id="2" name="图片 3"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20160907135837504"/>
                    <pic:cNvPicPr>
                      <a:picLocks noChangeAspect="1"/>
                    </pic:cNvPicPr>
                  </pic:nvPicPr>
                  <pic:blipFill>
                    <a:blip r:embed="rId22"/>
                    <a:stretch>
                      <a:fillRect/>
                    </a:stretch>
                  </pic:blipFill>
                  <pic:spPr>
                    <a:xfrm>
                      <a:off x="0" y="0"/>
                      <a:ext cx="5344160" cy="2764155"/>
                    </a:xfrm>
                    <a:prstGeom prst="rect">
                      <a:avLst/>
                    </a:prstGeom>
                    <a:noFill/>
                    <a:ln>
                      <a:noFill/>
                    </a:ln>
                  </pic:spPr>
                </pic:pic>
              </a:graphicData>
            </a:graphic>
          </wp:inline>
        </w:drawing>
      </w:r>
    </w:p>
    <w:p>
      <w:pPr>
        <w:autoSpaceDN w:val="0"/>
        <w:spacing w:before="75" w:after="75" w:line="360" w:lineRule="auto"/>
        <w:rPr>
          <w:rFonts w:hint="eastAsia" w:ascii="宋体" w:hAnsi="宋体" w:cs="宋体"/>
          <w:szCs w:val="21"/>
        </w:rPr>
      </w:pPr>
      <w:r>
        <w:rPr>
          <w:rFonts w:hint="eastAsia" w:ascii="宋体" w:hAnsi="宋体" w:cs="宋体"/>
          <w:szCs w:val="21"/>
        </w:rPr>
        <w:t>注：1.按本表费率计算的收费为招标代理服务全过程的收费基准价格。</w:t>
      </w:r>
    </w:p>
    <w:p>
      <w:pPr>
        <w:autoSpaceDN w:val="0"/>
        <w:spacing w:before="75" w:after="75" w:line="360" w:lineRule="auto"/>
        <w:rPr>
          <w:rFonts w:hint="eastAsia" w:ascii="宋体" w:hAnsi="宋体" w:cs="宋体"/>
          <w:szCs w:val="21"/>
        </w:rPr>
      </w:pPr>
      <w:r>
        <w:rPr>
          <w:rFonts w:hint="eastAsia" w:ascii="宋体" w:hAnsi="宋体" w:cs="宋体"/>
          <w:szCs w:val="21"/>
        </w:rPr>
        <w:t>2.招标代理服务收费按差额定率累进法计算。例如：某货物招标中标金额为500万元，计算招标代理服务收费额如下：</w:t>
      </w:r>
    </w:p>
    <w:p>
      <w:pPr>
        <w:autoSpaceDN w:val="0"/>
        <w:spacing w:before="75" w:after="75" w:line="360" w:lineRule="auto"/>
        <w:rPr>
          <w:rFonts w:hint="eastAsia" w:ascii="宋体" w:hAnsi="宋体" w:cs="宋体"/>
          <w:szCs w:val="21"/>
        </w:rPr>
      </w:pPr>
      <w:r>
        <w:rPr>
          <w:rFonts w:hint="eastAsia" w:ascii="宋体" w:hAnsi="宋体" w:cs="宋体"/>
          <w:szCs w:val="21"/>
        </w:rPr>
        <w:t>100万元×1.5%=1.5万元</w:t>
      </w:r>
    </w:p>
    <w:p>
      <w:pPr>
        <w:autoSpaceDN w:val="0"/>
        <w:spacing w:before="75" w:after="75" w:line="360" w:lineRule="auto"/>
        <w:rPr>
          <w:rFonts w:hint="eastAsia" w:ascii="宋体" w:hAnsi="宋体" w:cs="宋体"/>
          <w:szCs w:val="21"/>
        </w:rPr>
      </w:pPr>
      <w:r>
        <w:rPr>
          <w:rFonts w:hint="eastAsia" w:ascii="宋体" w:hAnsi="宋体" w:cs="宋体"/>
          <w:szCs w:val="21"/>
        </w:rPr>
        <w:t>（500-100）万元×1.1%=4.4万元</w:t>
      </w:r>
    </w:p>
    <w:p>
      <w:pPr>
        <w:autoSpaceDN w:val="0"/>
        <w:spacing w:before="75" w:after="75" w:line="360" w:lineRule="auto"/>
        <w:rPr>
          <w:rFonts w:hint="eastAsia" w:ascii="宋体" w:hAnsi="宋体" w:cs="宋体"/>
          <w:szCs w:val="21"/>
        </w:rPr>
      </w:pPr>
      <w:r>
        <w:rPr>
          <w:rFonts w:hint="eastAsia" w:ascii="宋体" w:hAnsi="宋体" w:cs="宋体"/>
          <w:szCs w:val="21"/>
        </w:rPr>
        <w:t xml:space="preserve"> 合计收费=1.5+4.4=5.9万元</w:t>
      </w:r>
    </w:p>
    <w:p>
      <w:pPr>
        <w:pStyle w:val="22"/>
        <w:rPr>
          <w:rFonts w:hint="eastAsia" w:cs="宋体"/>
          <w:b/>
          <w:sz w:val="24"/>
          <w:szCs w:val="24"/>
        </w:rPr>
        <w:sectPr>
          <w:pgSz w:w="11906" w:h="16838"/>
          <w:pgMar w:top="1134" w:right="1134" w:bottom="1134" w:left="1474" w:header="851" w:footer="510" w:gutter="0"/>
          <w:cols w:space="720" w:num="1"/>
          <w:docGrid w:type="lines" w:linePitch="312" w:charSpace="0"/>
        </w:sectPr>
      </w:pPr>
    </w:p>
    <w:bookmarkEnd w:id="18"/>
    <w:p>
      <w:pPr>
        <w:pStyle w:val="6"/>
        <w:spacing w:line="440" w:lineRule="exact"/>
        <w:jc w:val="center"/>
        <w:rPr>
          <w:rFonts w:hint="eastAsia" w:ascii="宋体" w:hAnsi="宋体" w:eastAsia="宋体" w:cs="宋体"/>
        </w:rPr>
      </w:pPr>
      <w:bookmarkStart w:id="19" w:name="_Toc2200"/>
      <w:bookmarkStart w:id="20" w:name="_Toc374512410"/>
      <w:bookmarkStart w:id="21" w:name="_Toc461962051"/>
      <w:bookmarkStart w:id="22" w:name="_Toc487805903"/>
      <w:bookmarkStart w:id="23" w:name="_Toc373230023"/>
      <w:bookmarkStart w:id="24" w:name="_Toc477423243"/>
      <w:bookmarkStart w:id="25" w:name="_Toc26492"/>
      <w:bookmarkStart w:id="26" w:name="_Toc490161260"/>
      <w:r>
        <w:rPr>
          <w:rFonts w:hint="eastAsia" w:ascii="宋体" w:hAnsi="宋体" w:eastAsia="宋体" w:cs="宋体"/>
        </w:rPr>
        <w:t>一、总则</w:t>
      </w:r>
      <w:bookmarkEnd w:id="19"/>
      <w:bookmarkEnd w:id="20"/>
      <w:bookmarkEnd w:id="21"/>
      <w:bookmarkEnd w:id="22"/>
      <w:bookmarkEnd w:id="23"/>
      <w:bookmarkEnd w:id="24"/>
      <w:bookmarkEnd w:id="25"/>
      <w:bookmarkEnd w:id="26"/>
    </w:p>
    <w:p>
      <w:pPr>
        <w:numPr>
          <w:ilvl w:val="0"/>
          <w:numId w:val="7"/>
        </w:numPr>
        <w:tabs>
          <w:tab w:val="left" w:pos="424"/>
        </w:tabs>
        <w:spacing w:line="440" w:lineRule="exact"/>
        <w:ind w:left="425" w:hanging="425"/>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本磋商文件仅适用于本次竞争性磋商所述的项目。</w:t>
      </w:r>
    </w:p>
    <w:p>
      <w:pPr>
        <w:numPr>
          <w:ilvl w:val="0"/>
          <w:numId w:val="7"/>
        </w:numPr>
        <w:tabs>
          <w:tab w:val="left" w:pos="424"/>
        </w:tabs>
        <w:spacing w:line="440" w:lineRule="exact"/>
        <w:ind w:left="425" w:hanging="425"/>
        <w:rPr>
          <w:rFonts w:hint="eastAsia" w:ascii="宋体" w:hAnsi="宋体" w:cs="宋体"/>
          <w:b/>
          <w:bCs/>
          <w:szCs w:val="21"/>
        </w:rPr>
      </w:pPr>
      <w:r>
        <w:rPr>
          <w:rFonts w:hint="eastAsia" w:ascii="宋体" w:hAnsi="宋体" w:cs="宋体"/>
          <w:b/>
          <w:szCs w:val="21"/>
        </w:rPr>
        <w:t>定义</w:t>
      </w:r>
    </w:p>
    <w:p>
      <w:pPr>
        <w:numPr>
          <w:ilvl w:val="0"/>
          <w:numId w:val="8"/>
        </w:numPr>
        <w:spacing w:line="440" w:lineRule="exact"/>
        <w:rPr>
          <w:rFonts w:hint="eastAsia" w:ascii="宋体" w:hAnsi="宋体" w:cs="宋体"/>
          <w:szCs w:val="21"/>
        </w:rPr>
      </w:pPr>
      <w:r>
        <w:rPr>
          <w:rFonts w:hint="eastAsia" w:ascii="宋体" w:hAnsi="宋体" w:cs="宋体"/>
          <w:szCs w:val="21"/>
        </w:rPr>
        <w:t>“采购人” 见供应商须知前附表；</w:t>
      </w:r>
    </w:p>
    <w:p>
      <w:pPr>
        <w:numPr>
          <w:ilvl w:val="0"/>
          <w:numId w:val="8"/>
        </w:numPr>
        <w:spacing w:line="440" w:lineRule="exact"/>
        <w:rPr>
          <w:rFonts w:hint="eastAsia" w:ascii="宋体" w:hAnsi="宋体" w:cs="宋体"/>
          <w:szCs w:val="21"/>
        </w:rPr>
      </w:pPr>
      <w:r>
        <w:rPr>
          <w:rFonts w:hint="eastAsia" w:ascii="宋体" w:hAnsi="宋体" w:cs="宋体"/>
          <w:szCs w:val="21"/>
        </w:rPr>
        <w:t xml:space="preserve"> “采购代理机构”见供应商须知前附表；</w:t>
      </w:r>
    </w:p>
    <w:p>
      <w:pPr>
        <w:numPr>
          <w:ilvl w:val="0"/>
          <w:numId w:val="8"/>
        </w:numPr>
        <w:spacing w:line="440" w:lineRule="exact"/>
        <w:rPr>
          <w:rFonts w:hint="eastAsia" w:ascii="宋体" w:hAnsi="宋体" w:cs="宋体"/>
          <w:szCs w:val="21"/>
        </w:rPr>
      </w:pPr>
      <w:r>
        <w:rPr>
          <w:rFonts w:hint="eastAsia" w:ascii="宋体" w:hAnsi="宋体" w:cs="宋体"/>
          <w:szCs w:val="21"/>
        </w:rPr>
        <w:t>“供应商”是指响应磋商、参加磋商竞争的法人、其他组织或者自然人。</w:t>
      </w:r>
    </w:p>
    <w:p>
      <w:pPr>
        <w:numPr>
          <w:ilvl w:val="0"/>
          <w:numId w:val="8"/>
        </w:numPr>
        <w:tabs>
          <w:tab w:val="left" w:pos="0"/>
          <w:tab w:val="clear" w:pos="839"/>
        </w:tabs>
        <w:spacing w:line="440" w:lineRule="exact"/>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p>
    <w:p>
      <w:pPr>
        <w:numPr>
          <w:ilvl w:val="0"/>
          <w:numId w:val="8"/>
        </w:numPr>
        <w:spacing w:line="440" w:lineRule="exact"/>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p>
    <w:p>
      <w:pPr>
        <w:numPr>
          <w:ilvl w:val="0"/>
          <w:numId w:val="8"/>
        </w:numPr>
        <w:spacing w:line="440" w:lineRule="exact"/>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0"/>
          <w:numId w:val="8"/>
        </w:numPr>
        <w:spacing w:line="440" w:lineRule="exact"/>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p>
    <w:p>
      <w:pPr>
        <w:numPr>
          <w:ilvl w:val="0"/>
          <w:numId w:val="8"/>
        </w:numPr>
        <w:spacing w:line="440" w:lineRule="exact"/>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0"/>
          <w:numId w:val="8"/>
        </w:numPr>
        <w:spacing w:line="440" w:lineRule="exact"/>
        <w:rPr>
          <w:rFonts w:hint="eastAsia" w:ascii="宋体" w:hAnsi="宋体" w:cs="宋体"/>
          <w:szCs w:val="21"/>
        </w:rPr>
      </w:pPr>
      <w:r>
        <w:rPr>
          <w:rFonts w:hint="eastAsia" w:ascii="宋体" w:hAnsi="宋体" w:cs="宋体"/>
          <w:szCs w:val="21"/>
        </w:rPr>
        <w:t>“原公告发布媒体”是指《中国招标投标公共服务平台》、《河南省政府采购网》、《河南省电子招标投标公共服务平台》、《焦作市公共资源交易中心网》、</w:t>
      </w:r>
      <w:r>
        <w:rPr>
          <w:rFonts w:hint="eastAsia" w:ascii="宋体" w:hAnsi="宋体" w:cs="宋体"/>
          <w:sz w:val="24"/>
          <w:szCs w:val="24"/>
        </w:rPr>
        <w:t>《河南省公共资源交易公共服务平台》、</w:t>
      </w:r>
      <w:r>
        <w:rPr>
          <w:rFonts w:hint="eastAsia" w:ascii="宋体" w:hAnsi="宋体" w:cs="宋体"/>
          <w:szCs w:val="21"/>
        </w:rPr>
        <w:t>《武陟县公共资源交易中心网》。</w:t>
      </w:r>
    </w:p>
    <w:p>
      <w:pPr>
        <w:numPr>
          <w:ilvl w:val="0"/>
          <w:numId w:val="8"/>
        </w:numPr>
        <w:spacing w:line="440" w:lineRule="exact"/>
        <w:ind w:left="0" w:firstLine="422" w:firstLineChars="200"/>
        <w:rPr>
          <w:rFonts w:hint="eastAsia" w:ascii="宋体" w:hAnsi="宋体" w:cs="宋体"/>
          <w:szCs w:val="21"/>
        </w:rPr>
      </w:pPr>
      <w:r>
        <w:rPr>
          <w:rFonts w:hint="eastAsia" w:ascii="宋体" w:hAnsi="宋体" w:cs="宋体"/>
          <w:b/>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8"/>
        </w:numPr>
        <w:spacing w:line="440" w:lineRule="exact"/>
        <w:ind w:left="0" w:firstLine="420" w:firstLineChars="200"/>
        <w:rPr>
          <w:rFonts w:hint="eastAsia" w:ascii="宋体" w:hAnsi="宋体" w:cs="宋体"/>
          <w:bCs/>
          <w:szCs w:val="21"/>
        </w:rPr>
      </w:pPr>
      <w:r>
        <w:rPr>
          <w:rFonts w:hint="eastAsia" w:ascii="宋体" w:hAnsi="宋体" w:cs="宋体"/>
          <w:bCs/>
          <w:szCs w:val="21"/>
        </w:rPr>
        <w:t>本项目磋商文件中要求“加盖生产厂家公章”是指不同供应商参加同一合同项下磋商的，提供同一生产厂家同一资料的，如其中有一家供应商提供加盖生产厂家公章资料，其余供应商提供资料未加盖生产厂家公章，均予以认可，如出现内容不一致的以加盖生产厂家公章的为准；不同供应商提供同一生产厂家同一资料均未加盖生产厂家公章的，均不予认可。</w:t>
      </w:r>
    </w:p>
    <w:p>
      <w:pPr>
        <w:numPr>
          <w:ilvl w:val="0"/>
          <w:numId w:val="7"/>
        </w:numPr>
        <w:spacing w:line="440" w:lineRule="exact"/>
        <w:rPr>
          <w:rFonts w:hint="eastAsia" w:ascii="宋体" w:hAnsi="宋体" w:cs="宋体"/>
          <w:szCs w:val="21"/>
        </w:rPr>
      </w:pPr>
      <w:r>
        <w:rPr>
          <w:rFonts w:hint="eastAsia" w:ascii="宋体" w:hAnsi="宋体" w:cs="宋体"/>
          <w:b/>
          <w:szCs w:val="21"/>
        </w:rPr>
        <w:t>合格的供应商</w:t>
      </w:r>
    </w:p>
    <w:p>
      <w:pPr>
        <w:numPr>
          <w:ilvl w:val="0"/>
          <w:numId w:val="9"/>
        </w:numPr>
        <w:spacing w:line="440" w:lineRule="exact"/>
        <w:ind w:left="0" w:firstLine="420"/>
        <w:rPr>
          <w:rFonts w:hint="eastAsia" w:ascii="宋体" w:hAnsi="宋体" w:cs="宋体"/>
          <w:bCs/>
          <w:szCs w:val="21"/>
        </w:rPr>
      </w:pPr>
      <w:r>
        <w:rPr>
          <w:rFonts w:hint="eastAsia" w:ascii="宋体" w:hAnsi="宋体" w:cs="宋体"/>
          <w:bCs/>
          <w:szCs w:val="21"/>
        </w:rPr>
        <w:t>符合《中华人民共和国政府采购法》第二十二条规定的条件。</w:t>
      </w:r>
    </w:p>
    <w:p>
      <w:pPr>
        <w:pStyle w:val="77"/>
        <w:spacing w:line="440" w:lineRule="exact"/>
        <w:ind w:firstLine="420" w:firstLineChars="200"/>
        <w:rPr>
          <w:rFonts w:hint="eastAsia"/>
          <w:sz w:val="21"/>
          <w:szCs w:val="21"/>
        </w:rPr>
      </w:pPr>
      <w:r>
        <w:rPr>
          <w:rFonts w:hint="eastAsia"/>
          <w:sz w:val="21"/>
          <w:szCs w:val="21"/>
        </w:rPr>
        <w:t>3.1.1.具有有效的“设立登记证书”；</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3.1.4.具有经政府审计部门或会计事务所审计的2021年度财务审计报告（新成立企业不足一年的，提供最近一个月的财务报表。）或其基本开户银行出具的资信证明。</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77"/>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77"/>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77"/>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0"/>
          <w:numId w:val="9"/>
        </w:numPr>
        <w:spacing w:line="440" w:lineRule="exact"/>
        <w:ind w:left="0" w:firstLine="420"/>
        <w:rPr>
          <w:rFonts w:hint="eastAsia" w:ascii="宋体" w:hAnsi="宋体" w:cs="宋体"/>
          <w:bCs/>
          <w:szCs w:val="21"/>
        </w:rPr>
      </w:pPr>
      <w:r>
        <w:rPr>
          <w:rFonts w:hint="eastAsia" w:ascii="宋体" w:hAnsi="宋体" w:cs="宋体"/>
          <w:bCs/>
          <w:szCs w:val="21"/>
        </w:rPr>
        <w:t>符合本磋商文件规定的资格要求及项目要求的其它条件，并按照要求提供相关证明材料。</w:t>
      </w:r>
    </w:p>
    <w:p>
      <w:pPr>
        <w:numPr>
          <w:ilvl w:val="0"/>
          <w:numId w:val="9"/>
        </w:numPr>
        <w:spacing w:line="440" w:lineRule="exact"/>
        <w:ind w:left="0" w:firstLine="420"/>
        <w:rPr>
          <w:rFonts w:hint="eastAsia" w:ascii="宋体" w:hAnsi="宋体" w:cs="宋体"/>
          <w:bCs/>
          <w:szCs w:val="21"/>
        </w:rPr>
      </w:pPr>
      <w:r>
        <w:rPr>
          <w:rFonts w:hint="eastAsia" w:ascii="宋体" w:hAnsi="宋体" w:cs="宋体"/>
          <w:bCs/>
          <w:szCs w:val="21"/>
        </w:rPr>
        <w:t>供应商应遵守国家法律、法规和有关政府采购的规定。</w:t>
      </w:r>
    </w:p>
    <w:p>
      <w:pPr>
        <w:numPr>
          <w:ilvl w:val="0"/>
          <w:numId w:val="9"/>
        </w:numPr>
        <w:spacing w:line="440" w:lineRule="exact"/>
        <w:ind w:left="0" w:firstLine="420"/>
        <w:rPr>
          <w:rFonts w:hint="eastAsia" w:ascii="宋体" w:hAnsi="宋体" w:cs="宋体"/>
          <w:b/>
          <w:szCs w:val="21"/>
        </w:rPr>
      </w:pPr>
      <w:r>
        <w:rPr>
          <w:rFonts w:hint="eastAsia" w:ascii="宋体" w:hAnsi="宋体" w:cs="宋体"/>
          <w:bCs/>
          <w:szCs w:val="21"/>
        </w:rPr>
        <w:t>已按竞争性磋商公告要求获取竞争性磋商文件的。</w:t>
      </w:r>
    </w:p>
    <w:p>
      <w:pPr>
        <w:tabs>
          <w:tab w:val="left" w:pos="720"/>
          <w:tab w:val="left" w:pos="1134"/>
        </w:tabs>
        <w:spacing w:line="440" w:lineRule="exact"/>
        <w:ind w:firstLine="422" w:firstLineChars="200"/>
        <w:rPr>
          <w:rFonts w:hint="eastAsia" w:ascii="宋体" w:hAnsi="宋体" w:cs="宋体"/>
          <w:bCs/>
          <w:szCs w:val="21"/>
        </w:rPr>
      </w:pPr>
      <w:r>
        <w:rPr>
          <w:rFonts w:hint="eastAsia" w:ascii="宋体" w:hAnsi="宋体" w:cs="宋体"/>
          <w:b/>
          <w:szCs w:val="21"/>
        </w:rPr>
        <w:t>3.5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spacing w:line="440" w:lineRule="exact"/>
        <w:ind w:firstLine="420" w:firstLineChars="200"/>
        <w:rPr>
          <w:rFonts w:hint="eastAsia" w:ascii="宋体" w:hAnsi="宋体" w:cs="宋体"/>
          <w:bCs/>
          <w:szCs w:val="21"/>
        </w:rPr>
      </w:pPr>
      <w:r>
        <w:rPr>
          <w:rFonts w:hint="eastAsia" w:ascii="宋体" w:hAnsi="宋体" w:cs="宋体"/>
          <w:bCs/>
          <w:szCs w:val="21"/>
        </w:rPr>
        <w:t>3.6 单位负责人为同一人或者存在直接控股、管理关系的不同供应商，不得参加同一合同项下的政府采购活动。</w:t>
      </w:r>
    </w:p>
    <w:p>
      <w:pPr>
        <w:numPr>
          <w:ilvl w:val="0"/>
          <w:numId w:val="7"/>
        </w:numPr>
        <w:spacing w:line="440" w:lineRule="exact"/>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7"/>
        </w:numPr>
        <w:spacing w:line="440" w:lineRule="exact"/>
        <w:rPr>
          <w:rFonts w:hint="eastAsia" w:ascii="宋体" w:hAnsi="宋体" w:cs="宋体"/>
          <w:b/>
          <w:szCs w:val="21"/>
        </w:rPr>
      </w:pPr>
      <w:r>
        <w:rPr>
          <w:rFonts w:hint="eastAsia" w:ascii="宋体" w:hAnsi="宋体" w:cs="宋体"/>
          <w:b/>
          <w:szCs w:val="21"/>
        </w:rPr>
        <w:t>需要落实的政府采购政策：见供应商须知前附表</w:t>
      </w:r>
    </w:p>
    <w:p>
      <w:pPr>
        <w:pStyle w:val="6"/>
        <w:spacing w:line="440" w:lineRule="exact"/>
        <w:jc w:val="center"/>
        <w:rPr>
          <w:rFonts w:hint="eastAsia" w:ascii="宋体" w:hAnsi="宋体" w:eastAsia="宋体" w:cs="宋体"/>
          <w:sz w:val="21"/>
          <w:szCs w:val="21"/>
        </w:rPr>
      </w:pPr>
      <w:bookmarkStart w:id="27" w:name="_Toc12084"/>
      <w:bookmarkStart w:id="28" w:name="_Toc461962052"/>
      <w:bookmarkStart w:id="29" w:name="_Toc490161261"/>
      <w:bookmarkStart w:id="30" w:name="_Toc487805904"/>
      <w:bookmarkStart w:id="31" w:name="_Toc374512411"/>
      <w:bookmarkStart w:id="32" w:name="_Toc23018"/>
      <w:bookmarkStart w:id="33" w:name="_Toc477423244"/>
      <w:bookmarkStart w:id="34" w:name="_Toc373230024"/>
      <w:r>
        <w:rPr>
          <w:rFonts w:hint="eastAsia" w:ascii="宋体" w:hAnsi="宋体" w:eastAsia="宋体" w:cs="宋体"/>
          <w:sz w:val="21"/>
          <w:szCs w:val="21"/>
        </w:rPr>
        <w:t>二、磋商文件</w:t>
      </w:r>
      <w:bookmarkEnd w:id="27"/>
      <w:bookmarkEnd w:id="28"/>
      <w:bookmarkEnd w:id="29"/>
      <w:bookmarkEnd w:id="30"/>
      <w:bookmarkEnd w:id="31"/>
      <w:bookmarkEnd w:id="32"/>
      <w:bookmarkEnd w:id="33"/>
      <w:bookmarkEnd w:id="34"/>
    </w:p>
    <w:p>
      <w:pPr>
        <w:numPr>
          <w:ilvl w:val="0"/>
          <w:numId w:val="7"/>
        </w:numPr>
        <w:spacing w:line="440" w:lineRule="exact"/>
        <w:rPr>
          <w:rFonts w:hint="eastAsia" w:ascii="宋体" w:hAnsi="宋体" w:cs="宋体"/>
          <w:b/>
          <w:szCs w:val="21"/>
        </w:rPr>
      </w:pPr>
      <w:r>
        <w:rPr>
          <w:rFonts w:hint="eastAsia" w:ascii="宋体" w:hAnsi="宋体" w:cs="宋体"/>
          <w:b/>
          <w:szCs w:val="21"/>
        </w:rPr>
        <w:t>磋商文件的组成</w:t>
      </w:r>
    </w:p>
    <w:p>
      <w:pPr>
        <w:numPr>
          <w:ilvl w:val="0"/>
          <w:numId w:val="10"/>
        </w:numPr>
        <w:tabs>
          <w:tab w:val="left" w:pos="720"/>
          <w:tab w:val="left" w:pos="839"/>
          <w:tab w:val="left" w:pos="1134"/>
        </w:tabs>
        <w:spacing w:line="440" w:lineRule="exact"/>
        <w:ind w:left="840" w:hanging="420"/>
        <w:rPr>
          <w:rFonts w:hint="eastAsia" w:ascii="宋体" w:hAnsi="宋体" w:cs="宋体"/>
          <w:bCs/>
          <w:szCs w:val="21"/>
        </w:rPr>
      </w:pPr>
      <w:r>
        <w:rPr>
          <w:rFonts w:hint="eastAsia" w:ascii="宋体" w:hAnsi="宋体" w:cs="宋体"/>
          <w:bCs/>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0"/>
          <w:numId w:val="10"/>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0"/>
          <w:numId w:val="10"/>
        </w:numPr>
        <w:tabs>
          <w:tab w:val="left" w:pos="720"/>
          <w:tab w:val="left" w:pos="839"/>
          <w:tab w:val="left" w:pos="1134"/>
        </w:tabs>
        <w:spacing w:line="440" w:lineRule="exact"/>
        <w:ind w:left="0" w:firstLine="284"/>
        <w:rPr>
          <w:rFonts w:hint="eastAsia" w:ascii="宋体" w:hAnsi="宋体" w:cs="宋体"/>
          <w:bCs/>
          <w:szCs w:val="21"/>
        </w:rPr>
      </w:pPr>
      <w:r>
        <w:rPr>
          <w:rFonts w:hint="eastAsia" w:ascii="宋体" w:hAnsi="宋体" w:cs="宋体"/>
          <w:bCs/>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7"/>
        </w:numPr>
        <w:spacing w:line="440" w:lineRule="exact"/>
        <w:rPr>
          <w:rFonts w:hint="eastAsia" w:ascii="宋体" w:hAnsi="宋体" w:cs="宋体"/>
          <w:b/>
          <w:szCs w:val="21"/>
        </w:rPr>
      </w:pPr>
      <w:r>
        <w:rPr>
          <w:rFonts w:hint="eastAsia" w:ascii="宋体" w:hAnsi="宋体" w:cs="宋体"/>
          <w:b/>
          <w:szCs w:val="21"/>
        </w:rPr>
        <w:t>磋商文件的澄清或修改</w:t>
      </w:r>
    </w:p>
    <w:p>
      <w:pPr>
        <w:numPr>
          <w:ilvl w:val="0"/>
          <w:numId w:val="11"/>
        </w:numPr>
        <w:spacing w:line="440" w:lineRule="exact"/>
        <w:ind w:left="0" w:firstLine="425"/>
        <w:jc w:val="left"/>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0"/>
          <w:numId w:val="11"/>
        </w:numPr>
        <w:spacing w:line="440" w:lineRule="exact"/>
        <w:ind w:left="0" w:firstLine="425"/>
        <w:jc w:val="left"/>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0"/>
          <w:numId w:val="11"/>
        </w:numPr>
        <w:spacing w:line="440" w:lineRule="exact"/>
        <w:ind w:left="0" w:firstLine="425"/>
        <w:jc w:val="left"/>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7"/>
        </w:numPr>
        <w:spacing w:line="440" w:lineRule="exact"/>
        <w:rPr>
          <w:rFonts w:ascii="宋体" w:hAnsi="宋体" w:cs="宋体"/>
          <w:b/>
          <w:szCs w:val="21"/>
        </w:rPr>
      </w:pPr>
      <w:r>
        <w:rPr>
          <w:rFonts w:hint="eastAsia" w:ascii="宋体" w:hAnsi="宋体" w:cs="宋体"/>
          <w:b/>
          <w:szCs w:val="21"/>
        </w:rPr>
        <w:t>磋商文件的约束力</w:t>
      </w:r>
    </w:p>
    <w:p>
      <w:pPr>
        <w:pStyle w:val="50"/>
        <w:ind w:firstLine="420" w:firstLineChars="200"/>
        <w:rPr>
          <w:rFonts w:hAnsi="宋体"/>
          <w:color w:val="auto"/>
          <w:kern w:val="2"/>
          <w:sz w:val="21"/>
          <w:szCs w:val="21"/>
        </w:rPr>
      </w:pPr>
      <w:r>
        <w:rPr>
          <w:rFonts w:hAnsi="宋体"/>
          <w:color w:val="auto"/>
          <w:kern w:val="2"/>
          <w:sz w:val="21"/>
          <w:szCs w:val="21"/>
        </w:rPr>
        <w:t>供应商一旦获取了本</w:t>
      </w:r>
      <w:r>
        <w:rPr>
          <w:rFonts w:hint="eastAsia" w:hAnsi="宋体"/>
          <w:color w:val="auto"/>
          <w:kern w:val="2"/>
          <w:sz w:val="21"/>
          <w:szCs w:val="21"/>
        </w:rPr>
        <w:t>磋商</w:t>
      </w:r>
      <w:r>
        <w:rPr>
          <w:rFonts w:hAnsi="宋体"/>
          <w:color w:val="auto"/>
          <w:kern w:val="2"/>
          <w:sz w:val="21"/>
          <w:szCs w:val="21"/>
        </w:rPr>
        <w:t>文件并参加</w:t>
      </w:r>
      <w:r>
        <w:rPr>
          <w:rFonts w:hint="eastAsia" w:hAnsi="宋体"/>
          <w:color w:val="auto"/>
          <w:kern w:val="2"/>
          <w:sz w:val="21"/>
          <w:szCs w:val="21"/>
        </w:rPr>
        <w:t>磋商</w:t>
      </w:r>
      <w:r>
        <w:rPr>
          <w:rFonts w:hAnsi="宋体"/>
          <w:color w:val="auto"/>
          <w:kern w:val="2"/>
          <w:sz w:val="21"/>
          <w:szCs w:val="21"/>
        </w:rPr>
        <w:t>，即被认为对本</w:t>
      </w:r>
      <w:r>
        <w:rPr>
          <w:rFonts w:hint="eastAsia" w:hAnsi="宋体"/>
          <w:color w:val="auto"/>
          <w:kern w:val="2"/>
          <w:sz w:val="21"/>
          <w:szCs w:val="21"/>
        </w:rPr>
        <w:t>磋商</w:t>
      </w:r>
      <w:r>
        <w:rPr>
          <w:rFonts w:hAnsi="宋体"/>
          <w:color w:val="auto"/>
          <w:kern w:val="2"/>
          <w:sz w:val="21"/>
          <w:szCs w:val="21"/>
        </w:rPr>
        <w:t>文件中的所有条件和规定均无异议。</w:t>
      </w:r>
    </w:p>
    <w:p>
      <w:pPr>
        <w:pStyle w:val="50"/>
      </w:pPr>
    </w:p>
    <w:p>
      <w:pPr>
        <w:pStyle w:val="6"/>
        <w:numPr>
          <w:ilvl w:val="0"/>
          <w:numId w:val="12"/>
        </w:numPr>
        <w:spacing w:line="440" w:lineRule="exact"/>
        <w:jc w:val="center"/>
        <w:rPr>
          <w:rFonts w:hint="eastAsia" w:ascii="宋体" w:hAnsi="宋体" w:eastAsia="宋体" w:cs="宋体"/>
          <w:sz w:val="21"/>
          <w:szCs w:val="21"/>
        </w:rPr>
      </w:pPr>
      <w:bookmarkStart w:id="35" w:name="_Toc374512412"/>
      <w:bookmarkStart w:id="36" w:name="_Toc461962053"/>
      <w:bookmarkStart w:id="37" w:name="_Toc487805905"/>
      <w:bookmarkStart w:id="38" w:name="_Toc26181"/>
      <w:bookmarkStart w:id="39" w:name="_Toc373230025"/>
      <w:bookmarkStart w:id="40" w:name="_Toc477423245"/>
      <w:bookmarkStart w:id="41" w:name="_Toc490161262"/>
      <w:bookmarkStart w:id="42" w:name="_Toc6048"/>
      <w:r>
        <w:rPr>
          <w:rFonts w:hint="eastAsia" w:ascii="宋体" w:hAnsi="宋体" w:eastAsia="宋体" w:cs="宋体"/>
          <w:sz w:val="21"/>
          <w:szCs w:val="21"/>
        </w:rPr>
        <w:t>响应文件的编制</w:t>
      </w:r>
      <w:bookmarkEnd w:id="35"/>
      <w:bookmarkEnd w:id="36"/>
      <w:bookmarkEnd w:id="37"/>
      <w:bookmarkEnd w:id="38"/>
      <w:bookmarkEnd w:id="39"/>
      <w:bookmarkEnd w:id="40"/>
      <w:bookmarkEnd w:id="41"/>
      <w:bookmarkEnd w:id="42"/>
    </w:p>
    <w:p>
      <w:pPr>
        <w:numPr>
          <w:ilvl w:val="0"/>
          <w:numId w:val="7"/>
        </w:numPr>
        <w:spacing w:line="440" w:lineRule="exact"/>
        <w:rPr>
          <w:rFonts w:hint="eastAsia" w:ascii="宋体" w:hAnsi="宋体" w:cs="宋体"/>
          <w:b/>
          <w:szCs w:val="21"/>
        </w:rPr>
      </w:pPr>
      <w:r>
        <w:rPr>
          <w:rFonts w:hint="eastAsia" w:ascii="宋体" w:hAnsi="宋体" w:cs="宋体"/>
          <w:b/>
          <w:szCs w:val="21"/>
        </w:rPr>
        <w:t>要求</w:t>
      </w:r>
    </w:p>
    <w:p>
      <w:pPr>
        <w:spacing w:line="500" w:lineRule="exact"/>
        <w:ind w:left="420"/>
        <w:rPr>
          <w:rFonts w:hint="eastAsia" w:ascii="宋体" w:hAnsi="宋体" w:cs="宋体"/>
          <w:szCs w:val="21"/>
        </w:rPr>
      </w:pPr>
      <w:r>
        <w:rPr>
          <w:rFonts w:hint="eastAsia" w:ascii="宋体" w:hAnsi="宋体" w:cs="宋体"/>
          <w:szCs w:val="21"/>
        </w:rPr>
        <w:t>9.1供应商应仔细阅读、并充分理解磋商文件的所有内容，按照磋商文件的要求编制、提交响应文</w:t>
      </w:r>
    </w:p>
    <w:p>
      <w:pPr>
        <w:spacing w:line="500" w:lineRule="exact"/>
        <w:rPr>
          <w:rFonts w:hint="eastAsia" w:ascii="宋体" w:hAnsi="宋体" w:cs="宋体"/>
          <w:szCs w:val="21"/>
        </w:rPr>
      </w:pPr>
      <w:r>
        <w:rPr>
          <w:rFonts w:hint="eastAsia" w:ascii="宋体" w:hAnsi="宋体" w:cs="宋体"/>
          <w:szCs w:val="21"/>
        </w:rPr>
        <w:t>件。</w:t>
      </w:r>
    </w:p>
    <w:p>
      <w:pPr>
        <w:spacing w:line="500" w:lineRule="exact"/>
        <w:ind w:left="420"/>
        <w:rPr>
          <w:rFonts w:hint="eastAsia" w:ascii="宋体" w:hAnsi="宋体" w:cs="宋体"/>
          <w:szCs w:val="21"/>
        </w:rPr>
      </w:pPr>
      <w:r>
        <w:rPr>
          <w:rFonts w:hint="eastAsia" w:ascii="宋体" w:hAnsi="宋体" w:cs="宋体"/>
          <w:szCs w:val="21"/>
        </w:rPr>
        <w:t>9.2响应文件应对磋商文件的要求作出实质性响应（包括供应商资格要求、商务要求和响应文件格</w:t>
      </w:r>
    </w:p>
    <w:p>
      <w:pPr>
        <w:spacing w:line="500" w:lineRule="exact"/>
        <w:rPr>
          <w:rFonts w:hint="eastAsia" w:ascii="宋体" w:hAnsi="宋体" w:cs="宋体"/>
          <w:szCs w:val="21"/>
        </w:rPr>
      </w:pPr>
      <w:r>
        <w:rPr>
          <w:rFonts w:hint="eastAsia" w:ascii="宋体" w:hAnsi="宋体" w:cs="宋体"/>
          <w:szCs w:val="21"/>
        </w:rPr>
        <w:t>式要求），并保证所提供的全部资料的真实性，否则其响应文件将作为无效文件处理。</w:t>
      </w:r>
    </w:p>
    <w:p>
      <w:pPr>
        <w:spacing w:line="500" w:lineRule="exact"/>
        <w:ind w:left="420"/>
        <w:rPr>
          <w:rFonts w:hint="eastAsia" w:ascii="宋体" w:hAnsi="宋体" w:cs="宋体"/>
          <w:szCs w:val="21"/>
        </w:rPr>
      </w:pPr>
      <w:r>
        <w:rPr>
          <w:rFonts w:hint="eastAsia" w:ascii="宋体" w:hAnsi="宋体" w:cs="宋体"/>
          <w:szCs w:val="21"/>
        </w:rPr>
        <w:t>9.3供应商没有按照磋商文件要求提供全部资料，或者供应商没有对磋商文件在各方面都作出实质</w:t>
      </w:r>
    </w:p>
    <w:p>
      <w:pPr>
        <w:spacing w:line="500" w:lineRule="exact"/>
        <w:rPr>
          <w:rFonts w:hint="eastAsia" w:ascii="宋体" w:hAnsi="宋体" w:cs="宋体"/>
          <w:szCs w:val="21"/>
        </w:rPr>
      </w:pPr>
      <w:r>
        <w:rPr>
          <w:rFonts w:hint="eastAsia" w:ascii="宋体" w:hAnsi="宋体" w:cs="宋体"/>
          <w:szCs w:val="21"/>
        </w:rPr>
        <w:t>性响应的是供应商的风险，并可能导致其响应文件被拒绝。</w:t>
      </w:r>
    </w:p>
    <w:p>
      <w:pPr>
        <w:spacing w:line="500" w:lineRule="exact"/>
        <w:ind w:left="420"/>
        <w:rPr>
          <w:rFonts w:hint="eastAsia" w:ascii="宋体" w:hAnsi="宋体" w:cs="宋体"/>
          <w:szCs w:val="21"/>
        </w:rPr>
      </w:pPr>
      <w:r>
        <w:rPr>
          <w:rFonts w:hint="eastAsia" w:ascii="宋体" w:hAnsi="宋体" w:cs="宋体"/>
          <w:szCs w:val="21"/>
        </w:rPr>
        <w:t>9.4供应商与采购人、采购代理机构的任何口头协议均不影响磋商文件、响应文件的任何条款和内</w:t>
      </w:r>
    </w:p>
    <w:p>
      <w:pPr>
        <w:spacing w:line="500" w:lineRule="exact"/>
        <w:rPr>
          <w:rFonts w:hint="eastAsia"/>
        </w:rPr>
      </w:pPr>
      <w:r>
        <w:rPr>
          <w:rFonts w:hint="eastAsia" w:ascii="宋体" w:hAnsi="宋体" w:cs="宋体"/>
          <w:szCs w:val="21"/>
        </w:rPr>
        <w:t>容。</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响应文件的语言及度量衡单位</w:t>
      </w:r>
    </w:p>
    <w:p>
      <w:pPr>
        <w:numPr>
          <w:ilvl w:val="1"/>
          <w:numId w:val="7"/>
        </w:numPr>
        <w:spacing w:line="440" w:lineRule="exact"/>
        <w:ind w:left="0" w:firstLine="284"/>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7"/>
        </w:numPr>
        <w:spacing w:line="440" w:lineRule="exact"/>
        <w:ind w:left="0" w:firstLine="284"/>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7"/>
        </w:numPr>
        <w:spacing w:line="440" w:lineRule="exact"/>
        <w:ind w:left="0" w:firstLine="284"/>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响应文件的组成</w:t>
      </w:r>
    </w:p>
    <w:p>
      <w:pPr>
        <w:spacing w:line="440" w:lineRule="exact"/>
        <w:ind w:firstLine="315" w:firstLineChars="150"/>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7"/>
        </w:numPr>
        <w:spacing w:line="440" w:lineRule="exact"/>
        <w:rPr>
          <w:rFonts w:hint="eastAsia" w:ascii="宋体" w:hAnsi="宋体" w:cs="宋体"/>
          <w:b/>
          <w:szCs w:val="21"/>
        </w:rPr>
      </w:pPr>
      <w:r>
        <w:rPr>
          <w:rFonts w:hint="eastAsia" w:ascii="宋体" w:hAnsi="宋体" w:cs="宋体"/>
          <w:b/>
          <w:szCs w:val="21"/>
        </w:rPr>
        <w:t>报价</w:t>
      </w:r>
    </w:p>
    <w:p>
      <w:pPr>
        <w:tabs>
          <w:tab w:val="left" w:pos="839"/>
        </w:tabs>
        <w:spacing w:line="440" w:lineRule="exact"/>
        <w:ind w:firstLine="420" w:firstLineChars="200"/>
        <w:rPr>
          <w:rFonts w:hint="eastAsia" w:ascii="宋体" w:hAnsi="宋体" w:cs="宋体"/>
          <w:szCs w:val="21"/>
        </w:rPr>
      </w:pPr>
      <w:r>
        <w:rPr>
          <w:rFonts w:hint="eastAsia" w:ascii="宋体" w:hAnsi="宋体" w:cs="宋体"/>
          <w:szCs w:val="21"/>
        </w:rPr>
        <w:t>12.1报价以全过程服务成果及设备为标准；</w:t>
      </w:r>
    </w:p>
    <w:p>
      <w:pPr>
        <w:tabs>
          <w:tab w:val="left" w:pos="839"/>
        </w:tabs>
        <w:spacing w:line="440" w:lineRule="exact"/>
        <w:ind w:firstLine="420" w:firstLineChars="200"/>
        <w:jc w:val="left"/>
        <w:rPr>
          <w:rFonts w:hint="eastAsia" w:ascii="宋体" w:hAnsi="宋体" w:cs="宋体"/>
          <w:szCs w:val="21"/>
        </w:rPr>
      </w:pPr>
      <w:r>
        <w:rPr>
          <w:rFonts w:hint="eastAsia" w:ascii="宋体" w:hAnsi="宋体" w:cs="宋体"/>
          <w:szCs w:val="21"/>
        </w:rPr>
        <w:t>12.2供应商的报价均包括完成该项目的成本、利润、税金、风险等所有伴随的其他费用。</w:t>
      </w:r>
    </w:p>
    <w:p>
      <w:pPr>
        <w:pStyle w:val="54"/>
        <w:tabs>
          <w:tab w:val="left" w:pos="839"/>
        </w:tabs>
        <w:spacing w:line="440" w:lineRule="exact"/>
        <w:ind w:firstLine="420" w:firstLineChars="200"/>
        <w:rPr>
          <w:rFonts w:hint="eastAsia" w:ascii="宋体" w:hAnsi="宋体" w:cs="宋体"/>
          <w:sz w:val="21"/>
          <w:szCs w:val="21"/>
        </w:rPr>
      </w:pPr>
      <w:r>
        <w:rPr>
          <w:rFonts w:hint="eastAsia" w:ascii="宋体" w:hAnsi="宋体" w:cs="宋体"/>
          <w:sz w:val="21"/>
          <w:szCs w:val="21"/>
        </w:rPr>
        <w:t>12.3响应性文件中的报价并非最后报价，在磋商结束后由供应商在规定时间内提交最后报价，磋商小组根据供应商的综合得分确定成交供应商，成交供应商其最后的报价为成交价。</w:t>
      </w:r>
    </w:p>
    <w:p>
      <w:pPr>
        <w:numPr>
          <w:ilvl w:val="0"/>
          <w:numId w:val="7"/>
        </w:numPr>
        <w:spacing w:line="440" w:lineRule="exact"/>
        <w:rPr>
          <w:rFonts w:hint="eastAsia" w:ascii="宋体" w:hAnsi="宋体" w:cs="宋体"/>
          <w:b/>
          <w:szCs w:val="21"/>
        </w:rPr>
      </w:pPr>
      <w:r>
        <w:rPr>
          <w:rFonts w:hint="eastAsia" w:ascii="宋体" w:hAnsi="宋体" w:cs="宋体"/>
          <w:b/>
          <w:szCs w:val="21"/>
        </w:rPr>
        <w:t>磋商货币</w:t>
      </w:r>
    </w:p>
    <w:p>
      <w:pPr>
        <w:spacing w:line="440" w:lineRule="exact"/>
        <w:ind w:firstLine="630" w:firstLineChars="300"/>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7"/>
        </w:numPr>
        <w:spacing w:line="440" w:lineRule="exact"/>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7"/>
        </w:numPr>
        <w:spacing w:line="440" w:lineRule="exact"/>
        <w:rPr>
          <w:rFonts w:hint="eastAsia" w:ascii="宋体" w:hAnsi="宋体" w:cs="宋体"/>
          <w:b/>
          <w:szCs w:val="21"/>
        </w:rPr>
      </w:pPr>
      <w:r>
        <w:rPr>
          <w:rFonts w:hint="eastAsia" w:ascii="宋体" w:hAnsi="宋体" w:cs="宋体"/>
          <w:b/>
          <w:szCs w:val="21"/>
        </w:rPr>
        <w:t>磋商保证金:见供应商须知前附表。</w:t>
      </w:r>
    </w:p>
    <w:p>
      <w:pPr>
        <w:numPr>
          <w:ilvl w:val="0"/>
          <w:numId w:val="7"/>
        </w:numPr>
        <w:spacing w:line="440" w:lineRule="exact"/>
        <w:rPr>
          <w:rFonts w:hint="eastAsia" w:ascii="宋体" w:hAnsi="宋体" w:cs="宋体"/>
          <w:b/>
          <w:szCs w:val="21"/>
        </w:rPr>
      </w:pPr>
      <w:r>
        <w:rPr>
          <w:rFonts w:hint="eastAsia" w:ascii="宋体" w:hAnsi="宋体" w:cs="宋体"/>
          <w:b/>
          <w:bCs/>
          <w:szCs w:val="21"/>
        </w:rPr>
        <w:t>响应文件的编制、签署、盖章</w:t>
      </w:r>
    </w:p>
    <w:p>
      <w:pPr>
        <w:spacing w:line="500" w:lineRule="exact"/>
        <w:ind w:firstLine="420" w:firstLineChars="200"/>
        <w:rPr>
          <w:rFonts w:hint="eastAsia" w:ascii="宋体" w:hAnsi="宋体" w:cs="宋体"/>
          <w:szCs w:val="21"/>
        </w:rPr>
      </w:pPr>
      <w:r>
        <w:rPr>
          <w:rFonts w:hint="eastAsia" w:ascii="宋体" w:hAnsi="宋体" w:cs="宋体"/>
          <w:szCs w:val="21"/>
        </w:rPr>
        <w:t>16.1加密电子响应文件的编制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 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 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 xml:space="preserve">16.1.3 </w:t>
      </w:r>
      <w:r>
        <w:rPr>
          <w:rFonts w:hint="eastAsia" w:hAnsi="宋体"/>
          <w:szCs w:val="21"/>
        </w:rPr>
        <w:t>加密电子响应文件未按本竞争性磋商文件中响应文件格式要求加盖电子签章的视为无效文件。</w:t>
      </w:r>
    </w:p>
    <w:p>
      <w:pPr>
        <w:spacing w:line="500" w:lineRule="exact"/>
        <w:ind w:firstLine="420" w:firstLineChars="200"/>
        <w:rPr>
          <w:rFonts w:hint="eastAsia" w:ascii="宋体" w:hAnsi="宋体" w:cs="宋体"/>
          <w:szCs w:val="21"/>
        </w:rPr>
      </w:pPr>
      <w:r>
        <w:rPr>
          <w:rFonts w:hint="eastAsia" w:ascii="宋体" w:hAnsi="宋体" w:cs="宋体"/>
          <w:szCs w:val="21"/>
        </w:rPr>
        <w:t>16.2 供应商应完整地填写竞争性磋商文件中规定的所有内容。</w:t>
      </w:r>
    </w:p>
    <w:p>
      <w:pPr>
        <w:spacing w:line="500" w:lineRule="exact"/>
        <w:ind w:firstLine="420" w:firstLineChars="200"/>
        <w:rPr>
          <w:rFonts w:hint="eastAsia" w:ascii="宋体" w:hAnsi="宋体" w:cs="宋体"/>
          <w:szCs w:val="21"/>
        </w:rPr>
      </w:pPr>
      <w:r>
        <w:rPr>
          <w:rFonts w:hint="eastAsia" w:ascii="宋体" w:hAnsi="宋体" w:cs="宋体"/>
          <w:szCs w:val="21"/>
        </w:rPr>
        <w:t>16.3 供应商必须保证响应文件所提供的全部资料真实可靠。</w:t>
      </w:r>
    </w:p>
    <w:p>
      <w:pPr>
        <w:spacing w:line="500" w:lineRule="exact"/>
        <w:ind w:firstLine="420" w:firstLineChars="200"/>
        <w:rPr>
          <w:rFonts w:hint="eastAsia" w:ascii="宋体" w:hAnsi="宋体" w:cs="宋体"/>
          <w:szCs w:val="21"/>
        </w:rPr>
      </w:pPr>
      <w:r>
        <w:rPr>
          <w:rFonts w:hint="eastAsia" w:ascii="宋体" w:hAnsi="宋体" w:cs="宋体"/>
          <w:szCs w:val="21"/>
        </w:rPr>
        <w:t>16.4 如果因为供应商响应文件填报的内容不详，或没有提供磋商文件中所要求的全部资料及数据，由此造成的后果，其责任由供应商自行承担。</w:t>
      </w:r>
    </w:p>
    <w:p>
      <w:pPr>
        <w:spacing w:line="500" w:lineRule="exact"/>
        <w:ind w:firstLine="420" w:firstLineChars="200"/>
        <w:rPr>
          <w:rFonts w:hint="eastAsia" w:ascii="宋体" w:hAnsi="宋体" w:cs="宋体"/>
          <w:szCs w:val="21"/>
        </w:rPr>
      </w:pPr>
      <w:r>
        <w:rPr>
          <w:rFonts w:hint="eastAsia" w:ascii="宋体" w:hAnsi="宋体" w:cs="宋体"/>
          <w:szCs w:val="21"/>
        </w:rPr>
        <w:t xml:space="preserve">16.5 </w:t>
      </w:r>
      <w:r>
        <w:rPr>
          <w:rFonts w:hint="eastAsia"/>
        </w:rPr>
        <w:t>本竞争性磋商文件所表述（指定）的公章是指法人（供应商）行政公章，不包括专用章，并应与电子签章保持一致。</w:t>
      </w:r>
    </w:p>
    <w:p>
      <w:pPr>
        <w:spacing w:line="440" w:lineRule="exact"/>
        <w:ind w:firstLine="420" w:firstLineChars="200"/>
        <w:rPr>
          <w:rFonts w:hint="eastAsia" w:ascii="宋体" w:hAnsi="宋体" w:cs="宋体"/>
          <w:szCs w:val="21"/>
        </w:rPr>
      </w:pPr>
      <w:r>
        <w:rPr>
          <w:rFonts w:hint="eastAsia" w:ascii="宋体" w:hAnsi="宋体" w:cs="宋体"/>
          <w:szCs w:val="21"/>
        </w:rPr>
        <w:t>16.6 电报、电话、传真等形式的响应概不接受。</w:t>
      </w:r>
    </w:p>
    <w:p>
      <w:pPr>
        <w:pStyle w:val="6"/>
        <w:spacing w:line="440" w:lineRule="exact"/>
        <w:jc w:val="center"/>
        <w:rPr>
          <w:rFonts w:hint="eastAsia" w:ascii="宋体" w:hAnsi="宋体" w:eastAsia="宋体" w:cs="宋体"/>
          <w:sz w:val="21"/>
          <w:szCs w:val="21"/>
        </w:rPr>
      </w:pPr>
      <w:bookmarkStart w:id="43" w:name="_Toc10798"/>
      <w:bookmarkStart w:id="44" w:name="_Toc27919"/>
      <w:bookmarkStart w:id="45" w:name="_Toc374512413"/>
      <w:bookmarkStart w:id="46" w:name="_Toc477423246"/>
      <w:bookmarkStart w:id="47" w:name="_Toc373230026"/>
      <w:bookmarkStart w:id="48" w:name="_Toc487805906"/>
      <w:bookmarkStart w:id="49" w:name="_Toc461962054"/>
      <w:bookmarkStart w:id="50" w:name="_Toc490161263"/>
      <w:r>
        <w:rPr>
          <w:rFonts w:hint="eastAsia" w:ascii="宋体" w:hAnsi="宋体" w:eastAsia="宋体" w:cs="宋体"/>
          <w:sz w:val="21"/>
          <w:szCs w:val="21"/>
        </w:rPr>
        <w:t>四、响应文件的提交</w:t>
      </w:r>
      <w:bookmarkEnd w:id="43"/>
      <w:bookmarkEnd w:id="44"/>
      <w:bookmarkEnd w:id="45"/>
      <w:bookmarkEnd w:id="46"/>
      <w:bookmarkEnd w:id="47"/>
      <w:bookmarkEnd w:id="48"/>
      <w:bookmarkEnd w:id="49"/>
      <w:bookmarkEnd w:id="50"/>
    </w:p>
    <w:p>
      <w:pPr>
        <w:numPr>
          <w:ilvl w:val="0"/>
          <w:numId w:val="7"/>
        </w:numPr>
        <w:spacing w:line="440" w:lineRule="exact"/>
        <w:rPr>
          <w:rFonts w:hint="eastAsia" w:ascii="宋体" w:hAnsi="宋体" w:cs="宋体"/>
          <w:szCs w:val="21"/>
        </w:rPr>
      </w:pPr>
      <w:r>
        <w:rPr>
          <w:rFonts w:hint="eastAsia" w:ascii="宋体" w:hAnsi="宋体" w:cs="宋体"/>
          <w:b/>
          <w:szCs w:val="21"/>
        </w:rPr>
        <w:t>响应文件的提交：</w:t>
      </w:r>
    </w:p>
    <w:p>
      <w:pPr>
        <w:spacing w:line="500" w:lineRule="exact"/>
        <w:ind w:left="420"/>
        <w:rPr>
          <w:rFonts w:hint="eastAsia" w:ascii="宋体" w:hAnsi="宋体" w:cs="宋体"/>
          <w:szCs w:val="21"/>
        </w:rPr>
      </w:pPr>
      <w:r>
        <w:rPr>
          <w:rFonts w:hint="eastAsia" w:ascii="宋体" w:hAnsi="宋体" w:cs="宋体"/>
          <w:szCs w:val="21"/>
        </w:rPr>
        <w:t>17.1所有响应文件必须在本磋商文件中规定的响应文件截止时间之前提前上传响应文件，并在响应文件开启截止时间前登录不见面开标大厅，按要求解密响应文件，不能按时上传、解密者视为自动放弃</w:t>
      </w:r>
      <w:r>
        <w:rPr>
          <w:rFonts w:hint="eastAsia" w:ascii="宋体" w:hAnsi="宋体" w:cs="宋体"/>
          <w:bCs/>
          <w:szCs w:val="21"/>
        </w:rPr>
        <w:t>磋商</w:t>
      </w:r>
      <w:r>
        <w:rPr>
          <w:rFonts w:hint="eastAsia" w:ascii="宋体" w:hAnsi="宋体" w:cs="宋体"/>
          <w:szCs w:val="21"/>
        </w:rPr>
        <w:t>；</w:t>
      </w:r>
    </w:p>
    <w:p>
      <w:pPr>
        <w:spacing w:line="440" w:lineRule="exact"/>
        <w:ind w:firstLine="420" w:firstLineChars="200"/>
        <w:rPr>
          <w:rFonts w:hint="eastAsia" w:ascii="宋体" w:hAnsi="宋体" w:cs="宋体"/>
          <w:szCs w:val="21"/>
        </w:rPr>
      </w:pPr>
      <w:r>
        <w:rPr>
          <w:rFonts w:hint="eastAsia" w:ascii="宋体" w:hAnsi="宋体" w:cs="宋体"/>
          <w:szCs w:val="21"/>
        </w:rPr>
        <w:t>17.2采购人拒绝接收在响应文件递交截止时间后上传的响应文件。</w:t>
      </w:r>
    </w:p>
    <w:p>
      <w:pPr>
        <w:numPr>
          <w:ilvl w:val="0"/>
          <w:numId w:val="7"/>
        </w:numPr>
        <w:spacing w:line="440" w:lineRule="exact"/>
        <w:rPr>
          <w:rFonts w:hint="eastAsia" w:ascii="宋体" w:hAnsi="宋体" w:cs="宋体"/>
          <w:b/>
          <w:szCs w:val="21"/>
        </w:rPr>
      </w:pPr>
      <w:r>
        <w:rPr>
          <w:rFonts w:hint="eastAsia" w:ascii="宋体" w:hAnsi="宋体" w:cs="宋体"/>
          <w:b/>
          <w:szCs w:val="21"/>
        </w:rPr>
        <w:t>响应文件提交的截止时间</w:t>
      </w:r>
    </w:p>
    <w:p>
      <w:pPr>
        <w:numPr>
          <w:ilvl w:val="1"/>
          <w:numId w:val="7"/>
        </w:numPr>
        <w:spacing w:line="440" w:lineRule="exact"/>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响应文件的修改与撤回</w:t>
      </w:r>
    </w:p>
    <w:p>
      <w:pPr>
        <w:numPr>
          <w:ilvl w:val="1"/>
          <w:numId w:val="7"/>
        </w:numPr>
        <w:spacing w:line="440" w:lineRule="exact"/>
        <w:ind w:left="7" w:firstLine="413"/>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7"/>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7"/>
        </w:numPr>
        <w:spacing w:line="440" w:lineRule="exact"/>
        <w:ind w:left="7" w:firstLine="413"/>
        <w:rPr>
          <w:rFonts w:hint="eastAsia" w:ascii="宋体" w:hAnsi="宋体" w:cs="宋体"/>
          <w:szCs w:val="21"/>
        </w:rPr>
      </w:pPr>
      <w:r>
        <w:rPr>
          <w:rFonts w:hint="eastAsia" w:ascii="宋体" w:hAnsi="宋体" w:cs="宋体"/>
          <w:szCs w:val="21"/>
        </w:rPr>
        <w:t>供应商在响应文件递交截止时间后不得修改、撤回响应文件。</w:t>
      </w:r>
    </w:p>
    <w:p>
      <w:pPr>
        <w:pStyle w:val="6"/>
        <w:spacing w:line="440" w:lineRule="exact"/>
        <w:jc w:val="center"/>
        <w:rPr>
          <w:rFonts w:hint="eastAsia" w:ascii="宋体" w:hAnsi="宋体" w:eastAsia="宋体" w:cs="宋体"/>
          <w:sz w:val="21"/>
          <w:szCs w:val="21"/>
        </w:rPr>
      </w:pPr>
      <w:bookmarkStart w:id="51" w:name="_Toc374512414"/>
      <w:bookmarkStart w:id="52" w:name="_Toc373230027"/>
      <w:bookmarkStart w:id="53" w:name="_Toc217235123"/>
      <w:bookmarkStart w:id="54" w:name="_Toc461962055"/>
      <w:bookmarkStart w:id="55" w:name="_Toc490161264"/>
      <w:bookmarkStart w:id="56" w:name="_Toc487805907"/>
      <w:bookmarkStart w:id="57" w:name="_Toc9653"/>
      <w:bookmarkStart w:id="58" w:name="_Toc477423247"/>
      <w:bookmarkStart w:id="59" w:name="_Toc6236"/>
      <w:r>
        <w:rPr>
          <w:rFonts w:hint="eastAsia" w:ascii="宋体" w:hAnsi="宋体" w:eastAsia="宋体" w:cs="宋体"/>
          <w:sz w:val="21"/>
          <w:szCs w:val="21"/>
        </w:rPr>
        <w:t>五、磋商</w:t>
      </w:r>
      <w:bookmarkEnd w:id="51"/>
      <w:bookmarkEnd w:id="52"/>
      <w:bookmarkEnd w:id="53"/>
      <w:bookmarkEnd w:id="54"/>
      <w:r>
        <w:rPr>
          <w:rFonts w:hint="eastAsia" w:ascii="宋体" w:hAnsi="宋体" w:eastAsia="宋体" w:cs="宋体"/>
          <w:sz w:val="21"/>
          <w:szCs w:val="21"/>
        </w:rPr>
        <w:t>和评审</w:t>
      </w:r>
      <w:bookmarkEnd w:id="55"/>
      <w:bookmarkEnd w:id="56"/>
      <w:bookmarkEnd w:id="57"/>
      <w:bookmarkEnd w:id="58"/>
      <w:bookmarkEnd w:id="59"/>
    </w:p>
    <w:p>
      <w:pPr>
        <w:numPr>
          <w:ilvl w:val="0"/>
          <w:numId w:val="7"/>
        </w:numPr>
        <w:spacing w:line="440" w:lineRule="exact"/>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7"/>
        </w:numPr>
        <w:spacing w:line="440" w:lineRule="exact"/>
        <w:rPr>
          <w:rFonts w:hint="eastAsia" w:ascii="宋体" w:hAnsi="宋体" w:cs="宋体"/>
          <w:b/>
          <w:szCs w:val="21"/>
        </w:rPr>
      </w:pPr>
      <w:r>
        <w:rPr>
          <w:rFonts w:hint="eastAsia" w:ascii="宋体" w:hAnsi="宋体" w:cs="宋体"/>
          <w:szCs w:val="21"/>
        </w:rPr>
        <w:t>供应商逾期上传电子响应文件的；</w:t>
      </w:r>
    </w:p>
    <w:p>
      <w:pPr>
        <w:numPr>
          <w:ilvl w:val="1"/>
          <w:numId w:val="7"/>
        </w:numPr>
        <w:spacing w:line="440" w:lineRule="exact"/>
        <w:rPr>
          <w:rFonts w:hint="eastAsia" w:ascii="宋体" w:hAnsi="宋体" w:cs="宋体"/>
          <w:b/>
          <w:szCs w:val="21"/>
        </w:rPr>
      </w:pPr>
      <w:r>
        <w:rPr>
          <w:rFonts w:hint="eastAsia" w:ascii="宋体" w:hAnsi="宋体" w:cs="宋体"/>
          <w:szCs w:val="21"/>
        </w:rPr>
        <w:t>供应商未按规定的时间内解密响应文件的；</w:t>
      </w:r>
    </w:p>
    <w:p>
      <w:pPr>
        <w:numPr>
          <w:ilvl w:val="0"/>
          <w:numId w:val="7"/>
        </w:numPr>
        <w:spacing w:line="440" w:lineRule="exact"/>
        <w:rPr>
          <w:rFonts w:hint="eastAsia" w:ascii="宋体" w:hAnsi="宋体" w:cs="宋体"/>
          <w:b/>
          <w:szCs w:val="21"/>
        </w:rPr>
      </w:pPr>
      <w:r>
        <w:rPr>
          <w:rFonts w:hint="eastAsia" w:ascii="宋体" w:hAnsi="宋体" w:cs="宋体"/>
          <w:b/>
          <w:szCs w:val="21"/>
        </w:rPr>
        <w:t>磋商小组</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磋商小组由采购人代表和评审专家共3人及以上单数组成，其中评审专家人数不得少于磋商小组成员总数的2/3。</w:t>
      </w:r>
    </w:p>
    <w:p>
      <w:pPr>
        <w:numPr>
          <w:ilvl w:val="1"/>
          <w:numId w:val="7"/>
        </w:numPr>
        <w:spacing w:line="440" w:lineRule="exact"/>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7"/>
        </w:numPr>
        <w:spacing w:line="440" w:lineRule="exact"/>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7"/>
        </w:numPr>
        <w:spacing w:line="440" w:lineRule="exact"/>
        <w:rPr>
          <w:rFonts w:hint="eastAsia" w:ascii="宋体" w:hAnsi="宋体" w:cs="宋体"/>
          <w:szCs w:val="21"/>
        </w:rPr>
      </w:pPr>
      <w:r>
        <w:rPr>
          <w:rFonts w:hint="eastAsia" w:ascii="宋体" w:hAnsi="宋体" w:cs="宋体"/>
          <w:szCs w:val="21"/>
        </w:rPr>
        <w:t>响应文件有下列情形之一的，视为其没有通过符合性审查：</w:t>
      </w:r>
    </w:p>
    <w:p>
      <w:pPr>
        <w:numPr>
          <w:ilvl w:val="0"/>
          <w:numId w:val="13"/>
        </w:numPr>
        <w:spacing w:line="440" w:lineRule="exact"/>
        <w:rPr>
          <w:rFonts w:hint="eastAsia" w:ascii="宋体" w:hAnsi="宋体" w:cs="宋体"/>
          <w:szCs w:val="21"/>
        </w:rPr>
      </w:pPr>
      <w:r>
        <w:rPr>
          <w:rFonts w:hint="eastAsia" w:ascii="宋体" w:hAnsi="宋体" w:cs="宋体"/>
          <w:szCs w:val="21"/>
        </w:rPr>
        <w:t>第一轮报价超过磋商文件中规定的项目预算金额的；</w:t>
      </w:r>
    </w:p>
    <w:p>
      <w:pPr>
        <w:numPr>
          <w:ilvl w:val="0"/>
          <w:numId w:val="13"/>
        </w:numPr>
        <w:spacing w:line="440" w:lineRule="exact"/>
        <w:rPr>
          <w:rFonts w:hint="eastAsia" w:ascii="宋体" w:hAnsi="宋体" w:cs="宋体"/>
          <w:szCs w:val="21"/>
        </w:rPr>
      </w:pPr>
      <w:r>
        <w:rPr>
          <w:rFonts w:hint="eastAsia" w:ascii="宋体" w:hAnsi="宋体" w:cs="宋体"/>
          <w:szCs w:val="21"/>
        </w:rPr>
        <w:t>响应文件未按磋商文件要求签字、盖章的；</w:t>
      </w:r>
    </w:p>
    <w:p>
      <w:pPr>
        <w:numPr>
          <w:ilvl w:val="0"/>
          <w:numId w:val="13"/>
        </w:numPr>
        <w:spacing w:line="440" w:lineRule="exact"/>
        <w:rPr>
          <w:rFonts w:hint="eastAsia" w:ascii="宋体" w:hAnsi="宋体" w:cs="宋体"/>
          <w:szCs w:val="21"/>
        </w:rPr>
      </w:pPr>
      <w:r>
        <w:rPr>
          <w:rFonts w:hint="eastAsia" w:ascii="宋体" w:hAnsi="宋体" w:cs="宋体"/>
          <w:szCs w:val="21"/>
        </w:rPr>
        <w:t>响应文件格式不符合磋商文件中响应文件格式要求的；</w:t>
      </w:r>
    </w:p>
    <w:p>
      <w:pPr>
        <w:numPr>
          <w:ilvl w:val="0"/>
          <w:numId w:val="13"/>
        </w:numPr>
        <w:spacing w:line="440" w:lineRule="exact"/>
        <w:rPr>
          <w:rFonts w:hint="default" w:eastAsia="宋体"/>
          <w:lang w:val="en-US" w:eastAsia="zh-CN"/>
        </w:rPr>
      </w:pPr>
      <w:r>
        <w:rPr>
          <w:rFonts w:hint="eastAsia" w:ascii="宋体" w:hAnsi="宋体" w:cs="宋体"/>
          <w:szCs w:val="21"/>
        </w:rPr>
        <w:t>不响应磋商文件商务要求的；</w:t>
      </w:r>
    </w:p>
    <w:p>
      <w:pPr>
        <w:numPr>
          <w:ilvl w:val="0"/>
          <w:numId w:val="13"/>
        </w:numPr>
        <w:spacing w:line="440" w:lineRule="exact"/>
        <w:rPr>
          <w:rFonts w:hint="eastAsia" w:ascii="宋体" w:hAnsi="宋体" w:cs="宋体"/>
          <w:szCs w:val="21"/>
          <w:highlight w:val="none"/>
        </w:rPr>
      </w:pPr>
      <w:r>
        <w:rPr>
          <w:rFonts w:hint="eastAsia" w:ascii="宋体" w:hAnsi="宋体" w:cs="宋体"/>
          <w:szCs w:val="21"/>
          <w:highlight w:val="none"/>
        </w:rPr>
        <w:t>不响应磋商文件</w:t>
      </w:r>
      <w:r>
        <w:rPr>
          <w:rFonts w:hint="eastAsia" w:ascii="宋体" w:hAnsi="宋体" w:cs="宋体"/>
          <w:szCs w:val="21"/>
          <w:highlight w:val="none"/>
          <w:lang w:eastAsia="zh-CN"/>
        </w:rPr>
        <w:t>第五章采购需求中</w:t>
      </w:r>
      <w:r>
        <w:rPr>
          <w:rFonts w:hint="eastAsia" w:ascii="宋体" w:hAnsi="宋体" w:cs="宋体"/>
          <w:szCs w:val="21"/>
          <w:highlight w:val="none"/>
        </w:rPr>
        <w:t>技术（服务）要求的</w:t>
      </w:r>
      <w:r>
        <w:rPr>
          <w:rFonts w:hint="eastAsia" w:ascii="宋体" w:hAnsi="宋体" w:cs="宋体"/>
          <w:szCs w:val="21"/>
          <w:highlight w:val="none"/>
          <w:lang w:eastAsia="zh-CN"/>
        </w:rPr>
        <w:t>；</w:t>
      </w:r>
    </w:p>
    <w:p>
      <w:pPr>
        <w:numPr>
          <w:ilvl w:val="0"/>
          <w:numId w:val="13"/>
        </w:numPr>
        <w:spacing w:line="440" w:lineRule="exact"/>
        <w:rPr>
          <w:rFonts w:hint="eastAsia" w:ascii="宋体" w:hAnsi="宋体" w:cs="宋体"/>
          <w:szCs w:val="21"/>
        </w:rPr>
      </w:pPr>
      <w:r>
        <w:rPr>
          <w:rFonts w:hint="eastAsia" w:ascii="宋体" w:hAnsi="宋体" w:cs="宋体"/>
          <w:szCs w:val="21"/>
        </w:rPr>
        <w:t>响应文件含有采购人不能接受的附加条件的；</w:t>
      </w:r>
    </w:p>
    <w:p>
      <w:pPr>
        <w:numPr>
          <w:ilvl w:val="0"/>
          <w:numId w:val="13"/>
        </w:numPr>
        <w:spacing w:line="440" w:lineRule="exact"/>
        <w:rPr>
          <w:rFonts w:hint="eastAsia" w:ascii="宋体" w:hAnsi="宋体" w:cs="宋体"/>
          <w:szCs w:val="21"/>
        </w:rPr>
      </w:pPr>
      <w:r>
        <w:rPr>
          <w:rFonts w:hint="eastAsia" w:ascii="宋体" w:hAnsi="宋体" w:cs="宋体"/>
          <w:szCs w:val="21"/>
        </w:rPr>
        <w:t>法律、法规和磋商文件规定的其他无效情形。</w:t>
      </w:r>
    </w:p>
    <w:p>
      <w:pPr>
        <w:numPr>
          <w:ilvl w:val="0"/>
          <w:numId w:val="7"/>
        </w:numPr>
        <w:spacing w:line="440" w:lineRule="exact"/>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spacing w:line="500" w:lineRule="exact"/>
        <w:ind w:firstLine="420" w:firstLineChars="200"/>
        <w:rPr>
          <w:rFonts w:hint="eastAsia" w:ascii="宋体" w:hAnsi="宋体" w:cs="宋体"/>
          <w:szCs w:val="21"/>
        </w:rPr>
      </w:pPr>
      <w:r>
        <w:rPr>
          <w:rFonts w:hint="eastAsia" w:ascii="宋体" w:hAnsi="宋体" w:cs="宋体"/>
          <w:szCs w:val="21"/>
        </w:rPr>
        <w:t>23.1逾期上传响应文件的；</w:t>
      </w:r>
    </w:p>
    <w:p>
      <w:pPr>
        <w:spacing w:line="500" w:lineRule="exact"/>
        <w:ind w:firstLine="420" w:firstLineChars="200"/>
        <w:rPr>
          <w:rFonts w:hint="eastAsia" w:ascii="宋体" w:hAnsi="宋体" w:cs="宋体"/>
          <w:szCs w:val="21"/>
        </w:rPr>
      </w:pPr>
      <w:r>
        <w:rPr>
          <w:rFonts w:hint="eastAsia" w:ascii="宋体" w:hAnsi="宋体" w:cs="宋体"/>
          <w:szCs w:val="21"/>
        </w:rPr>
        <w:t>23.2在规定的响应文件递交截止时间之前，提交合格的撤回通知的；</w:t>
      </w:r>
    </w:p>
    <w:p>
      <w:pPr>
        <w:spacing w:line="440" w:lineRule="exact"/>
        <w:ind w:firstLine="420" w:firstLineChars="200"/>
        <w:rPr>
          <w:rFonts w:hint="eastAsia" w:ascii="宋体" w:hAnsi="宋体" w:cs="宋体"/>
          <w:b/>
          <w:szCs w:val="21"/>
        </w:rPr>
      </w:pPr>
      <w:r>
        <w:rPr>
          <w:rFonts w:hint="eastAsia" w:ascii="宋体" w:hAnsi="宋体" w:cs="宋体"/>
          <w:szCs w:val="21"/>
        </w:rPr>
        <w:t>23.3一个供应商不止递交一套同一合同项下响应文件的。</w:t>
      </w:r>
    </w:p>
    <w:p>
      <w:pPr>
        <w:numPr>
          <w:ilvl w:val="0"/>
          <w:numId w:val="7"/>
        </w:numPr>
        <w:spacing w:line="440" w:lineRule="exact"/>
        <w:rPr>
          <w:rFonts w:hint="eastAsia" w:ascii="宋体" w:hAnsi="宋体" w:cs="宋体"/>
          <w:b/>
          <w:szCs w:val="21"/>
        </w:rPr>
      </w:pPr>
      <w:r>
        <w:rPr>
          <w:rFonts w:hint="eastAsia" w:ascii="宋体" w:hAnsi="宋体" w:cs="宋体"/>
          <w:b/>
          <w:szCs w:val="21"/>
        </w:rPr>
        <w:t>响应文件的澄清</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7"/>
        </w:numPr>
        <w:spacing w:line="440" w:lineRule="exact"/>
        <w:rPr>
          <w:rFonts w:hint="eastAsia" w:ascii="宋体" w:hAnsi="宋体" w:cs="宋体"/>
          <w:szCs w:val="21"/>
        </w:rPr>
      </w:pPr>
      <w:r>
        <w:rPr>
          <w:rFonts w:hint="eastAsia" w:ascii="宋体" w:hAnsi="宋体" w:cs="宋体"/>
          <w:szCs w:val="21"/>
        </w:rPr>
        <w:t>报价出现不一致的，按照下列规定修正：</w:t>
      </w:r>
    </w:p>
    <w:p>
      <w:pPr>
        <w:numPr>
          <w:ilvl w:val="0"/>
          <w:numId w:val="14"/>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14"/>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14"/>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7"/>
        </w:numPr>
        <w:spacing w:line="440" w:lineRule="exact"/>
        <w:rPr>
          <w:rFonts w:hint="eastAsia" w:ascii="宋体" w:hAnsi="宋体" w:cs="宋体"/>
          <w:b/>
          <w:szCs w:val="21"/>
        </w:rPr>
      </w:pPr>
      <w:bookmarkStart w:id="60" w:name="_Toc374512415"/>
      <w:bookmarkStart w:id="61" w:name="_Toc373230028"/>
      <w:r>
        <w:rPr>
          <w:rFonts w:hint="eastAsia" w:ascii="宋体" w:hAnsi="宋体" w:cs="宋体"/>
          <w:b/>
          <w:szCs w:val="21"/>
        </w:rPr>
        <w:t>评审方法</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62" w:name="_Toc32423"/>
      <w:r>
        <w:rPr>
          <w:rFonts w:hint="eastAsia" w:ascii="宋体" w:hAnsi="宋体" w:cs="宋体"/>
          <w:szCs w:val="21"/>
        </w:rPr>
        <w:t>《政府采购竞争性磋商采购方式管理暂行办法</w:t>
      </w:r>
      <w:bookmarkEnd w:id="62"/>
      <w:r>
        <w:rPr>
          <w:rFonts w:hint="eastAsia" w:ascii="宋体" w:hAnsi="宋体" w:cs="宋体"/>
          <w:szCs w:val="21"/>
        </w:rPr>
        <w:t>》第三条第四项情形的，提交最后报价的供应商可以为2家</w:t>
      </w:r>
      <w:bookmarkStart w:id="63" w:name="_Toc5652"/>
      <w:r>
        <w:rPr>
          <w:rFonts w:hint="eastAsia" w:ascii="宋体" w:hAnsi="宋体" w:cs="宋体"/>
          <w:szCs w:val="21"/>
        </w:rPr>
        <w:t>或符合《财政部关于政府采购竞争性磋商采购方式管理暂行办法有关问题的补充通知</w:t>
      </w:r>
      <w:bookmarkEnd w:id="63"/>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比较与评价</w:t>
      </w:r>
    </w:p>
    <w:p>
      <w:pPr>
        <w:numPr>
          <w:ilvl w:val="1"/>
          <w:numId w:val="7"/>
        </w:numPr>
        <w:spacing w:line="440" w:lineRule="exact"/>
        <w:rPr>
          <w:rFonts w:hint="eastAsia" w:ascii="宋体" w:hAnsi="宋体" w:cs="宋体"/>
          <w:szCs w:val="21"/>
        </w:rPr>
      </w:pPr>
      <w:r>
        <w:rPr>
          <w:rFonts w:hint="eastAsia" w:ascii="宋体" w:hAnsi="宋体" w:cs="宋体"/>
          <w:szCs w:val="21"/>
        </w:rPr>
        <w:t>评审标准：见本文件第三章；</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7"/>
        </w:numPr>
        <w:spacing w:line="440" w:lineRule="exact"/>
        <w:ind w:left="7" w:firstLine="277"/>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保密及其他注意事项</w:t>
      </w:r>
    </w:p>
    <w:p>
      <w:pPr>
        <w:numPr>
          <w:ilvl w:val="1"/>
          <w:numId w:val="7"/>
        </w:numPr>
        <w:spacing w:line="440" w:lineRule="exact"/>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7"/>
        </w:numPr>
        <w:spacing w:line="440" w:lineRule="exact"/>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15"/>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15"/>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15"/>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64" w:name="_Toc5841"/>
      <w:bookmarkStart w:id="65" w:name="_Toc19608"/>
      <w:bookmarkStart w:id="66" w:name="_Toc487805908"/>
      <w:bookmarkStart w:id="67" w:name="_Toc477423248"/>
      <w:bookmarkStart w:id="68" w:name="_Toc490161265"/>
      <w:r>
        <w:rPr>
          <w:rFonts w:hint="eastAsia" w:ascii="宋体" w:hAnsi="宋体" w:eastAsia="宋体" w:cs="宋体"/>
          <w:sz w:val="21"/>
          <w:szCs w:val="21"/>
        </w:rPr>
        <w:t>六、成交和合同</w:t>
      </w:r>
      <w:bookmarkEnd w:id="64"/>
      <w:bookmarkEnd w:id="65"/>
      <w:bookmarkEnd w:id="66"/>
      <w:bookmarkEnd w:id="67"/>
      <w:bookmarkEnd w:id="68"/>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成交通知</w:t>
      </w:r>
    </w:p>
    <w:p>
      <w:pPr>
        <w:numPr>
          <w:ilvl w:val="1"/>
          <w:numId w:val="7"/>
        </w:numPr>
        <w:spacing w:line="440" w:lineRule="exact"/>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7"/>
        </w:numPr>
        <w:spacing w:line="440" w:lineRule="exact"/>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7"/>
        </w:numPr>
        <w:spacing w:line="440" w:lineRule="exact"/>
        <w:rPr>
          <w:rFonts w:hint="eastAsia" w:ascii="宋体" w:hAnsi="宋体" w:cs="宋体"/>
          <w:szCs w:val="21"/>
        </w:rPr>
      </w:pPr>
      <w:r>
        <w:rPr>
          <w:rFonts w:hint="eastAsia" w:ascii="宋体" w:hAnsi="宋体" w:cs="宋体"/>
          <w:szCs w:val="21"/>
        </w:rPr>
        <w:t>成交通知书将作为签订合同的依据。</w:t>
      </w:r>
    </w:p>
    <w:p>
      <w:pPr>
        <w:numPr>
          <w:ilvl w:val="1"/>
          <w:numId w:val="7"/>
        </w:numPr>
        <w:spacing w:line="440" w:lineRule="exact"/>
        <w:ind w:left="283" w:firstLine="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60"/>
    <w:bookmarkEnd w:id="61"/>
    <w:p>
      <w:pPr>
        <w:numPr>
          <w:ilvl w:val="0"/>
          <w:numId w:val="7"/>
        </w:numPr>
        <w:spacing w:line="440" w:lineRule="exact"/>
        <w:rPr>
          <w:rFonts w:hint="eastAsia" w:ascii="宋体" w:hAnsi="宋体" w:cs="宋体"/>
          <w:b/>
          <w:szCs w:val="21"/>
        </w:rPr>
      </w:pPr>
      <w:r>
        <w:rPr>
          <w:rFonts w:hint="eastAsia" w:ascii="宋体" w:hAnsi="宋体" w:cs="宋体"/>
          <w:b/>
          <w:szCs w:val="21"/>
        </w:rPr>
        <w:t xml:space="preserve"> 签订合同及合同的执行</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30.1采购人与成交供应商应当在成交通知书发出之日起30日内（供应商须知前附表另有规定者从</w:t>
      </w:r>
    </w:p>
    <w:p>
      <w:pPr>
        <w:pStyle w:val="14"/>
        <w:tabs>
          <w:tab w:val="left" w:pos="0"/>
        </w:tabs>
        <w:spacing w:line="400" w:lineRule="exact"/>
        <w:rPr>
          <w:rFonts w:hint="eastAsia" w:ascii="宋体" w:hAnsi="宋体" w:cs="宋体"/>
          <w:szCs w:val="21"/>
        </w:rPr>
      </w:pPr>
      <w:r>
        <w:rPr>
          <w:rFonts w:hint="eastAsia" w:ascii="宋体" w:hAnsi="宋体" w:cs="宋体"/>
          <w:szCs w:val="21"/>
        </w:rPr>
        <w:t>其规定），签订政府采购合同。</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30.2磋商文件及修改文件、成交供应商的响应文件、补充或修改的文件及澄清或承诺文件等，均</w:t>
      </w:r>
    </w:p>
    <w:p>
      <w:pPr>
        <w:pStyle w:val="14"/>
        <w:tabs>
          <w:tab w:val="left" w:pos="0"/>
        </w:tabs>
        <w:spacing w:line="400" w:lineRule="exact"/>
        <w:rPr>
          <w:rFonts w:hint="eastAsia" w:ascii="宋体" w:hAnsi="宋体" w:cs="宋体"/>
          <w:szCs w:val="21"/>
        </w:rPr>
      </w:pPr>
      <w:r>
        <w:rPr>
          <w:rFonts w:hint="eastAsia" w:ascii="宋体" w:hAnsi="宋体" w:cs="宋体"/>
          <w:szCs w:val="21"/>
        </w:rPr>
        <w:t>为双方签订合同的组成部分，并与合同一并作为本磋商所列采购项目的互补性法律文件，与合同具有同等法律效力；</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30.3成交供应商应在采购合同签订之日起三个工作日内将合同报武陟县公共资源交易中心、武陟</w:t>
      </w:r>
    </w:p>
    <w:p>
      <w:pPr>
        <w:pStyle w:val="14"/>
        <w:tabs>
          <w:tab w:val="left" w:pos="0"/>
        </w:tabs>
        <w:spacing w:line="400" w:lineRule="exact"/>
        <w:rPr>
          <w:rFonts w:hint="eastAsia" w:ascii="宋体" w:hAnsi="宋体" w:cs="宋体"/>
          <w:szCs w:val="21"/>
        </w:rPr>
      </w:pPr>
      <w:r>
        <w:rPr>
          <w:rFonts w:hint="eastAsia" w:ascii="宋体" w:hAnsi="宋体" w:cs="宋体"/>
          <w:szCs w:val="21"/>
        </w:rPr>
        <w:t>县政府采购管理办公室备案；</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30.4合同双方如违约，将按《中华人民共和国民法典》、《中华人民共和国政府采购法》及有关</w:t>
      </w:r>
    </w:p>
    <w:p>
      <w:pPr>
        <w:pStyle w:val="14"/>
        <w:tabs>
          <w:tab w:val="left" w:pos="0"/>
        </w:tabs>
        <w:spacing w:line="400" w:lineRule="exact"/>
        <w:rPr>
          <w:rFonts w:hint="eastAsia" w:ascii="宋体" w:hAnsi="宋体" w:cs="宋体"/>
          <w:szCs w:val="21"/>
        </w:rPr>
      </w:pPr>
      <w:r>
        <w:rPr>
          <w:rFonts w:hint="eastAsia" w:ascii="宋体" w:hAnsi="宋体" w:cs="宋体"/>
          <w:szCs w:val="21"/>
        </w:rPr>
        <w:t>法律法规中的规定执行。</w:t>
      </w:r>
    </w:p>
    <w:p>
      <w:pPr>
        <w:pStyle w:val="14"/>
        <w:tabs>
          <w:tab w:val="left" w:pos="0"/>
        </w:tabs>
        <w:spacing w:line="400" w:lineRule="exact"/>
        <w:ind w:left="420"/>
        <w:rPr>
          <w:rFonts w:hint="eastAsia" w:ascii="宋体" w:hAnsi="宋体" w:cs="宋体"/>
          <w:szCs w:val="21"/>
        </w:rPr>
      </w:pPr>
      <w:r>
        <w:rPr>
          <w:rFonts w:hint="eastAsia" w:ascii="宋体" w:hAnsi="宋体" w:cs="宋体"/>
          <w:szCs w:val="21"/>
        </w:rPr>
        <w:t>30.5根据《政府采购促进中小企业发展管理办法》规定，成交供应商为小微企业的不得将合同分</w:t>
      </w:r>
    </w:p>
    <w:p>
      <w:pPr>
        <w:pStyle w:val="14"/>
        <w:tabs>
          <w:tab w:val="left" w:pos="0"/>
        </w:tabs>
        <w:spacing w:line="400" w:lineRule="exact"/>
        <w:rPr>
          <w:rFonts w:hint="eastAsia" w:ascii="宋体" w:hAnsi="宋体" w:cs="宋体"/>
          <w:szCs w:val="21"/>
        </w:rPr>
      </w:pPr>
      <w:r>
        <w:rPr>
          <w:rFonts w:hint="eastAsia" w:ascii="宋体" w:hAnsi="宋体" w:cs="宋体"/>
          <w:szCs w:val="21"/>
        </w:rPr>
        <w:t>包给大中型企业，成交供应商为中型企业的不得将合同分包给大型企业。</w:t>
      </w:r>
    </w:p>
    <w:p>
      <w:pPr>
        <w:numPr>
          <w:ilvl w:val="0"/>
          <w:numId w:val="7"/>
        </w:numPr>
        <w:spacing w:line="440" w:lineRule="exact"/>
        <w:rPr>
          <w:rFonts w:hint="eastAsia" w:ascii="宋体" w:hAnsi="宋体" w:cs="宋体"/>
          <w:b/>
          <w:szCs w:val="21"/>
        </w:rPr>
      </w:pPr>
      <w:r>
        <w:rPr>
          <w:rFonts w:hint="eastAsia" w:ascii="宋体" w:hAnsi="宋体" w:cs="宋体"/>
          <w:b/>
          <w:szCs w:val="21"/>
        </w:rPr>
        <w:t xml:space="preserve"> 质疑</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7"/>
        </w:numPr>
        <w:spacing w:line="440" w:lineRule="exact"/>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7"/>
        </w:numPr>
        <w:spacing w:line="440" w:lineRule="exact"/>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7"/>
        </w:numPr>
        <w:spacing w:line="440" w:lineRule="exact"/>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szCs w:val="21"/>
        </w:rPr>
        <w:fldChar w:fldCharType="begin"/>
      </w:r>
      <w:r>
        <w:rPr>
          <w:rFonts w:hint="eastAsia" w:ascii="宋体" w:hAnsi="宋体" w:cs="宋体"/>
          <w:szCs w:val="21"/>
        </w:rPr>
        <w:instrText xml:space="preserve">HYPERLINK "http://download.ccgp.gov.cn/2018/zhiyihanfanben.zip"</w:instrText>
      </w:r>
      <w:r>
        <w:rPr>
          <w:rFonts w:hint="eastAsia" w:ascii="宋体" w:hAnsi="宋体" w:cs="宋体"/>
          <w:szCs w:val="21"/>
        </w:rPr>
        <w:fldChar w:fldCharType="separate"/>
      </w:r>
      <w:r>
        <w:rPr>
          <w:rFonts w:hint="eastAsia" w:ascii="宋体" w:hAnsi="宋体" w:cs="宋体"/>
          <w:szCs w:val="21"/>
        </w:rPr>
        <w:t>政府采购供应商质疑函范本</w:t>
      </w:r>
      <w:r>
        <w:rPr>
          <w:rFonts w:hint="eastAsia" w:ascii="宋体" w:hAnsi="宋体" w:cs="宋体"/>
          <w:szCs w:val="21"/>
        </w:rPr>
        <w:fldChar w:fldCharType="end"/>
      </w:r>
      <w:r>
        <w:rPr>
          <w:rFonts w:hint="eastAsia" w:ascii="宋体" w:hAnsi="宋体" w:cs="宋体"/>
          <w:szCs w:val="21"/>
        </w:rPr>
        <w:t>”，并按照“谁主张、谁举证”的原则，附上相关证明材料。否则，采购人或采购代理机构不予受理, 质疑文件及相关证明材料一式二份，采购人、采购代理机构各执一份。</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质疑供应商对采购人或采购代理机构的答复不满意以及采购人或采购代理机构未在规定的时间内做出答复的，可以在答复期满后15个工作日内向同级财政部门投诉。</w:t>
      </w:r>
    </w:p>
    <w:p>
      <w:pPr>
        <w:numPr>
          <w:ilvl w:val="1"/>
          <w:numId w:val="7"/>
        </w:numPr>
        <w:spacing w:line="440" w:lineRule="exact"/>
        <w:ind w:left="7" w:firstLine="277"/>
        <w:rPr>
          <w:rFonts w:hint="eastAsia" w:ascii="宋体" w:hAnsi="宋体" w:cs="宋体"/>
          <w:szCs w:val="21"/>
        </w:rPr>
      </w:pPr>
      <w:r>
        <w:rPr>
          <w:rFonts w:hint="eastAsia" w:ascii="宋体" w:hAnsi="宋体" w:cs="宋体"/>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（1）供应商应以书面方式将质疑函分别送至采购人、采购代理机构；</w:t>
      </w:r>
    </w:p>
    <w:p>
      <w:pPr>
        <w:spacing w:line="440" w:lineRule="exact"/>
        <w:ind w:left="284"/>
        <w:rPr>
          <w:rFonts w:hint="eastAsia" w:ascii="宋体" w:hAnsi="宋体" w:eastAsia="宋体" w:cs="宋体"/>
          <w:szCs w:val="21"/>
          <w:lang w:eastAsia="zh-CN"/>
        </w:rPr>
      </w:pPr>
      <w:r>
        <w:rPr>
          <w:rFonts w:hint="eastAsia" w:ascii="宋体" w:hAnsi="宋体" w:cs="宋体"/>
          <w:szCs w:val="21"/>
        </w:rPr>
        <w:t>（2）采购人名称：</w:t>
      </w:r>
      <w:r>
        <w:rPr>
          <w:rFonts w:hint="eastAsia" w:ascii="宋体" w:hAnsi="宋体" w:cs="宋体"/>
          <w:szCs w:val="21"/>
          <w:lang w:eastAsia="zh-CN"/>
        </w:rPr>
        <w:t xml:space="preserve">武陟县自然资源局 </w:t>
      </w:r>
    </w:p>
    <w:p>
      <w:pPr>
        <w:spacing w:line="440" w:lineRule="exact"/>
        <w:ind w:left="284" w:firstLine="210" w:firstLineChars="100"/>
        <w:rPr>
          <w:rFonts w:hint="eastAsia" w:ascii="宋体" w:hAnsi="宋体" w:cs="宋体"/>
          <w:szCs w:val="21"/>
        </w:rPr>
      </w:pPr>
      <w:r>
        <w:rPr>
          <w:rFonts w:hint="eastAsia" w:ascii="宋体" w:hAnsi="宋体" w:cs="宋体"/>
          <w:szCs w:val="21"/>
        </w:rPr>
        <w:t>地点：</w:t>
      </w:r>
      <w:r>
        <w:rPr>
          <w:rFonts w:hint="eastAsia" w:ascii="宋体" w:hAnsi="宋体" w:cs="宋体"/>
          <w:szCs w:val="21"/>
          <w:lang w:eastAsia="zh-CN"/>
        </w:rPr>
        <w:t xml:space="preserve">河南省焦作市武陟县黄河大道89号 </w:t>
      </w:r>
    </w:p>
    <w:p>
      <w:pPr>
        <w:spacing w:line="440" w:lineRule="exact"/>
        <w:ind w:left="283" w:leftChars="135" w:firstLine="210" w:firstLineChars="100"/>
        <w:rPr>
          <w:rFonts w:hint="default" w:ascii="宋体" w:hAnsi="宋体" w:eastAsia="宋体" w:cs="宋体"/>
          <w:szCs w:val="21"/>
          <w:lang w:val="en-US" w:eastAsia="zh-CN"/>
        </w:rPr>
      </w:pPr>
      <w:r>
        <w:rPr>
          <w:rFonts w:hint="eastAsia" w:ascii="宋体" w:hAnsi="宋体" w:cs="宋体"/>
          <w:szCs w:val="21"/>
        </w:rPr>
        <w:t>联系人 ：</w:t>
      </w:r>
      <w:r>
        <w:rPr>
          <w:rFonts w:hint="eastAsia" w:ascii="宋体" w:hAnsi="宋体" w:cs="宋体"/>
          <w:szCs w:val="21"/>
          <w:lang w:eastAsia="zh-CN"/>
        </w:rPr>
        <w:t>王哲</w:t>
      </w:r>
      <w:r>
        <w:rPr>
          <w:rFonts w:hint="eastAsia" w:ascii="宋体" w:hAnsi="宋体" w:cs="宋体"/>
          <w:szCs w:val="21"/>
        </w:rPr>
        <w:t xml:space="preserve">   联系电话：</w:t>
      </w:r>
      <w:r>
        <w:rPr>
          <w:rFonts w:hint="eastAsia" w:ascii="宋体" w:hAnsi="宋体" w:cs="宋体"/>
          <w:szCs w:val="21"/>
          <w:lang w:val="en-US" w:eastAsia="zh-CN"/>
        </w:rPr>
        <w:t>13782738855</w:t>
      </w:r>
    </w:p>
    <w:p>
      <w:pPr>
        <w:spacing w:line="440" w:lineRule="exact"/>
        <w:ind w:left="284"/>
        <w:rPr>
          <w:rFonts w:hint="eastAsia" w:ascii="宋体" w:hAnsi="宋体" w:eastAsia="宋体" w:cs="宋体"/>
          <w:szCs w:val="21"/>
          <w:lang w:eastAsia="zh-CN"/>
        </w:rPr>
      </w:pPr>
      <w:r>
        <w:rPr>
          <w:rFonts w:hint="eastAsia" w:ascii="宋体" w:hAnsi="宋体" w:cs="宋体"/>
          <w:szCs w:val="21"/>
        </w:rPr>
        <w:t>（3）采购代理机构名称：</w:t>
      </w:r>
      <w:r>
        <w:rPr>
          <w:rFonts w:hint="eastAsia" w:ascii="宋体" w:hAnsi="宋体" w:cs="宋体"/>
          <w:szCs w:val="21"/>
          <w:lang w:eastAsia="zh-CN"/>
        </w:rPr>
        <w:t>河南地天泰工程咨询有限公司</w:t>
      </w:r>
    </w:p>
    <w:p>
      <w:pPr>
        <w:spacing w:line="440" w:lineRule="exact"/>
        <w:ind w:left="284" w:firstLine="210" w:firstLineChars="100"/>
        <w:rPr>
          <w:rFonts w:hint="default" w:ascii="宋体" w:hAnsi="宋体" w:eastAsia="宋体" w:cs="宋体"/>
          <w:szCs w:val="21"/>
          <w:lang w:val="en-US" w:eastAsia="zh-CN"/>
        </w:rPr>
      </w:pPr>
      <w:r>
        <w:rPr>
          <w:rFonts w:hint="eastAsia" w:ascii="宋体" w:hAnsi="宋体" w:cs="宋体"/>
          <w:szCs w:val="21"/>
        </w:rPr>
        <w:t>地点：</w:t>
      </w:r>
      <w:r>
        <w:rPr>
          <w:rFonts w:hint="eastAsia" w:ascii="宋体" w:hAnsi="宋体" w:cs="宋体"/>
          <w:szCs w:val="21"/>
          <w:lang w:eastAsia="zh-CN"/>
        </w:rPr>
        <w:t>河南省郑州市金水区国基路7号3号楼A座5层501室</w:t>
      </w:r>
    </w:p>
    <w:p>
      <w:pPr>
        <w:spacing w:line="440" w:lineRule="exact"/>
        <w:ind w:left="284" w:firstLine="210" w:firstLineChars="100"/>
        <w:rPr>
          <w:rFonts w:ascii="宋体" w:hAnsi="宋体" w:cs="宋体"/>
          <w:szCs w:val="21"/>
        </w:rPr>
      </w:pPr>
      <w:r>
        <w:rPr>
          <w:rFonts w:hint="eastAsia" w:ascii="宋体" w:hAnsi="宋体" w:cs="宋体"/>
          <w:szCs w:val="21"/>
        </w:rPr>
        <w:t>联系人：</w:t>
      </w:r>
      <w:r>
        <w:rPr>
          <w:rFonts w:hint="eastAsia" w:ascii="宋体" w:hAnsi="宋体" w:cs="宋体"/>
          <w:szCs w:val="21"/>
          <w:lang w:eastAsia="zh-CN"/>
        </w:rPr>
        <w:t>罗佳敏</w:t>
      </w:r>
      <w:r>
        <w:rPr>
          <w:rFonts w:hint="eastAsia" w:ascii="宋体" w:hAnsi="宋体" w:cs="宋体"/>
          <w:szCs w:val="21"/>
        </w:rPr>
        <w:t xml:space="preserve">      联系电话：0391-7289803</w:t>
      </w: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rPr>
          <w:rFonts w:hint="eastAsia" w:ascii="宋体" w:hAnsi="宋体" w:cs="宋体"/>
          <w:szCs w:val="21"/>
        </w:rPr>
      </w:pPr>
    </w:p>
    <w:p>
      <w:pPr>
        <w:numPr>
          <w:ilvl w:val="0"/>
          <w:numId w:val="7"/>
        </w:numPr>
        <w:spacing w:line="440" w:lineRule="exact"/>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2"/>
        <w:spacing w:line="440" w:lineRule="exact"/>
        <w:ind w:firstLine="420"/>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sectPr>
          <w:pgSz w:w="11906" w:h="16838"/>
          <w:pgMar w:top="1134" w:right="1134" w:bottom="1134" w:left="1474" w:header="851" w:footer="510" w:gutter="0"/>
          <w:cols w:space="720" w:num="1"/>
          <w:docGrid w:type="lines" w:linePitch="312" w:charSpace="0"/>
        </w:sectPr>
      </w:pPr>
      <w:bookmarkStart w:id="69" w:name="_Toc11289"/>
      <w:bookmarkStart w:id="70" w:name="_Toc115021827"/>
      <w:bookmarkStart w:id="71" w:name="_Toc8874"/>
      <w:bookmarkStart w:id="72" w:name="_Toc373230030"/>
      <w:bookmarkStart w:id="73" w:name="_Toc477423249"/>
      <w:bookmarkStart w:id="74" w:name="_Toc374512417"/>
    </w:p>
    <w:p>
      <w:pPr>
        <w:pStyle w:val="33"/>
        <w:numPr>
          <w:ilvl w:val="0"/>
          <w:numId w:val="1"/>
        </w:numPr>
        <w:spacing w:before="0" w:after="0" w:line="360" w:lineRule="auto"/>
        <w:ind w:firstLine="0"/>
        <w:rPr>
          <w:rFonts w:hint="eastAsia" w:ascii="宋体" w:hAnsi="宋体" w:cs="宋体"/>
        </w:rPr>
      </w:pPr>
      <w:r>
        <w:rPr>
          <w:rFonts w:hint="eastAsia" w:ascii="宋体" w:hAnsi="宋体" w:cs="宋体"/>
        </w:rPr>
        <w:t>评审方法</w:t>
      </w:r>
      <w:bookmarkEnd w:id="69"/>
      <w:r>
        <w:rPr>
          <w:rFonts w:hint="eastAsia" w:ascii="宋体" w:hAnsi="宋体" w:cs="宋体"/>
        </w:rPr>
        <w:t>和评审标准</w:t>
      </w:r>
      <w:bookmarkEnd w:id="70"/>
      <w:bookmarkEnd w:id="71"/>
    </w:p>
    <w:p>
      <w:pPr>
        <w:numPr>
          <w:ilvl w:val="0"/>
          <w:numId w:val="16"/>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评标方法</w:t>
      </w:r>
    </w:p>
    <w:p>
      <w:pPr>
        <w:spacing w:line="440" w:lineRule="exact"/>
        <w:ind w:left="284"/>
        <w:rPr>
          <w:rFonts w:hint="eastAsia" w:ascii="宋体" w:hAnsi="宋体" w:cs="宋体"/>
          <w:szCs w:val="21"/>
        </w:rPr>
      </w:pPr>
      <w:r>
        <w:rPr>
          <w:rFonts w:hint="eastAsia" w:ascii="宋体" w:hAnsi="宋体" w:cs="宋体"/>
          <w:szCs w:val="21"/>
        </w:rPr>
        <w:t>1、磋商小组将按照磋商文件的规定，只对通过初步评审的响应文件和提交最后报价的供应商，由磋商小组采用综合评分法对提交最后报价的供应商的响应文件和最后报价进行综合评分。</w:t>
      </w:r>
    </w:p>
    <w:p>
      <w:pPr>
        <w:spacing w:line="440" w:lineRule="exact"/>
        <w:ind w:left="284"/>
        <w:rPr>
          <w:rFonts w:hint="eastAsia" w:ascii="宋体" w:hAnsi="宋体" w:cs="宋体"/>
          <w:szCs w:val="21"/>
        </w:rPr>
      </w:pPr>
      <w:r>
        <w:rPr>
          <w:rFonts w:hint="eastAsia" w:ascii="宋体" w:hAnsi="宋体" w:cs="宋体"/>
          <w:szCs w:val="21"/>
        </w:rPr>
        <w:t>2、综合评分法，是指响应文件满足磋商文件全部实质性要求且按评审因素的量化指标评审得分最高的供应商为成交候选供应商的评审方法。</w:t>
      </w:r>
    </w:p>
    <w:p>
      <w:pPr>
        <w:spacing w:line="440" w:lineRule="exact"/>
        <w:ind w:left="284"/>
        <w:rPr>
          <w:rFonts w:hint="eastAsia" w:ascii="宋体" w:hAnsi="宋体" w:cs="宋体"/>
          <w:szCs w:val="21"/>
        </w:rPr>
      </w:pPr>
      <w:r>
        <w:rPr>
          <w:rFonts w:hint="eastAsia" w:ascii="宋体" w:hAnsi="宋体" w:cs="宋体"/>
          <w:szCs w:val="21"/>
        </w:rPr>
        <w:t>3、评审时，磋商小组各成员应当独立对每个有效响应的文件进行评价、打分，然后汇总每个供应商每项评分因素的得分。</w:t>
      </w:r>
    </w:p>
    <w:p>
      <w:pPr>
        <w:numPr>
          <w:ilvl w:val="0"/>
          <w:numId w:val="16"/>
        </w:numPr>
        <w:spacing w:line="588" w:lineRule="exact"/>
        <w:jc w:val="center"/>
        <w:rPr>
          <w:rFonts w:hint="eastAsia" w:ascii="宋体" w:hAnsi="宋体" w:cs="宋体"/>
          <w:spacing w:val="6"/>
          <w:sz w:val="32"/>
          <w:szCs w:val="32"/>
        </w:rPr>
      </w:pPr>
      <w:r>
        <w:rPr>
          <w:rFonts w:hint="eastAsia" w:ascii="宋体" w:hAnsi="宋体" w:cs="宋体"/>
          <w:spacing w:val="6"/>
          <w:sz w:val="32"/>
          <w:szCs w:val="32"/>
        </w:rPr>
        <w:t>评标标准</w:t>
      </w:r>
    </w:p>
    <w:bookmarkEnd w:id="72"/>
    <w:bookmarkEnd w:id="73"/>
    <w:bookmarkEnd w:id="74"/>
    <w:tbl>
      <w:tblPr>
        <w:tblStyle w:val="35"/>
        <w:tblW w:w="994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0"/>
        <w:gridCol w:w="1200"/>
        <w:gridCol w:w="76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jc w:val="center"/>
        </w:trPr>
        <w:tc>
          <w:tcPr>
            <w:tcW w:w="1100"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ascii="宋体" w:hAnsi="宋体" w:eastAsia="宋体" w:cs="宋体"/>
                <w:b/>
                <w:color w:val="auto"/>
                <w:spacing w:val="6"/>
                <w:kern w:val="2"/>
                <w:sz w:val="24"/>
                <w:szCs w:val="24"/>
              </w:rPr>
            </w:pPr>
            <w:bookmarkStart w:id="75" w:name="_Toc14171"/>
            <w:bookmarkStart w:id="76" w:name="_Toc487805909"/>
            <w:r>
              <w:rPr>
                <w:rFonts w:hint="eastAsia" w:ascii="宋体" w:hAnsi="宋体" w:eastAsia="宋体" w:cs="宋体"/>
                <w:b/>
                <w:color w:val="auto"/>
                <w:spacing w:val="6"/>
                <w:kern w:val="2"/>
                <w:sz w:val="24"/>
                <w:szCs w:val="24"/>
              </w:rPr>
              <w:t>序号</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ascii="宋体" w:hAnsi="宋体" w:eastAsia="宋体" w:cs="宋体"/>
                <w:b/>
                <w:color w:val="auto"/>
                <w:spacing w:val="6"/>
                <w:kern w:val="2"/>
                <w:sz w:val="24"/>
                <w:szCs w:val="24"/>
              </w:rPr>
            </w:pPr>
            <w:r>
              <w:rPr>
                <w:rFonts w:hint="eastAsia" w:ascii="宋体" w:hAnsi="宋体" w:eastAsia="宋体" w:cs="宋体"/>
                <w:b/>
                <w:color w:val="auto"/>
                <w:spacing w:val="6"/>
                <w:kern w:val="2"/>
                <w:sz w:val="24"/>
                <w:szCs w:val="24"/>
              </w:rPr>
              <w:t>评分因素</w:t>
            </w:r>
          </w:p>
        </w:tc>
        <w:tc>
          <w:tcPr>
            <w:tcW w:w="7646" w:type="dxa"/>
            <w:tcBorders>
              <w:top w:val="single" w:color="000000" w:sz="4" w:space="0"/>
              <w:left w:val="single" w:color="000000" w:sz="4" w:space="0"/>
              <w:bottom w:val="single" w:color="000000" w:sz="4" w:space="0"/>
              <w:right w:val="single" w:color="000000" w:sz="4" w:space="0"/>
            </w:tcBorders>
            <w:noWrap w:val="0"/>
            <w:vAlign w:val="center"/>
          </w:tcPr>
          <w:p>
            <w:pPr>
              <w:pStyle w:val="98"/>
              <w:jc w:val="center"/>
              <w:rPr>
                <w:rFonts w:hint="eastAsia" w:ascii="宋体" w:hAnsi="宋体" w:eastAsia="宋体" w:cs="宋体"/>
                <w:b/>
                <w:color w:val="auto"/>
                <w:spacing w:val="6"/>
                <w:kern w:val="2"/>
                <w:sz w:val="24"/>
                <w:szCs w:val="24"/>
              </w:rPr>
            </w:pPr>
            <w:r>
              <w:rPr>
                <w:rFonts w:hint="eastAsia" w:ascii="宋体" w:hAnsi="宋体" w:eastAsia="宋体" w:cs="宋体"/>
                <w:b/>
                <w:color w:val="auto"/>
                <w:spacing w:val="6"/>
                <w:kern w:val="2"/>
                <w:sz w:val="24"/>
                <w:szCs w:val="24"/>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5" w:hRule="atLeast"/>
          <w:jc w:val="center"/>
        </w:trPr>
        <w:tc>
          <w:tcPr>
            <w:tcW w:w="1100" w:type="dxa"/>
            <w:tcBorders>
              <w:top w:val="single" w:color="000000" w:sz="4" w:space="0"/>
              <w:left w:val="single" w:color="000000" w:sz="4" w:space="0"/>
              <w:bottom w:val="single" w:color="auto" w:sz="4" w:space="0"/>
              <w:right w:val="single" w:color="000000" w:sz="4" w:space="0"/>
            </w:tcBorders>
            <w:noWrap w:val="0"/>
            <w:vAlign w:val="center"/>
          </w:tcPr>
          <w:p>
            <w:pPr>
              <w:pStyle w:val="98"/>
              <w:jc w:val="center"/>
              <w:rPr>
                <w:rFonts w:hint="eastAsia" w:ascii="宋体" w:hAnsi="宋体" w:eastAsia="宋体" w:cs="宋体"/>
                <w:bCs/>
                <w:color w:val="auto"/>
                <w:spacing w:val="6"/>
                <w:kern w:val="2"/>
                <w:sz w:val="24"/>
                <w:szCs w:val="24"/>
              </w:rPr>
            </w:pPr>
            <w:r>
              <w:rPr>
                <w:rFonts w:hint="eastAsia" w:ascii="宋体" w:hAnsi="宋体" w:eastAsia="宋体" w:cs="宋体"/>
                <w:bCs/>
                <w:color w:val="auto"/>
                <w:spacing w:val="6"/>
                <w:kern w:val="2"/>
                <w:sz w:val="24"/>
                <w:szCs w:val="24"/>
              </w:rPr>
              <w:t>1</w:t>
            </w:r>
          </w:p>
        </w:tc>
        <w:tc>
          <w:tcPr>
            <w:tcW w:w="1200" w:type="dxa"/>
            <w:tcBorders>
              <w:top w:val="single" w:color="000000" w:sz="4" w:space="0"/>
              <w:left w:val="single" w:color="000000" w:sz="4" w:space="0"/>
              <w:bottom w:val="single" w:color="auto" w:sz="4" w:space="0"/>
              <w:right w:val="single" w:color="000000" w:sz="4" w:space="0"/>
            </w:tcBorders>
            <w:noWrap w:val="0"/>
            <w:vAlign w:val="center"/>
          </w:tcPr>
          <w:p>
            <w:pPr>
              <w:pStyle w:val="98"/>
              <w:jc w:val="center"/>
              <w:rPr>
                <w:rFonts w:hint="eastAsia" w:ascii="宋体" w:hAnsi="宋体" w:eastAsia="宋体" w:cs="宋体"/>
                <w:bCs/>
                <w:color w:val="auto"/>
                <w:spacing w:val="6"/>
                <w:kern w:val="2"/>
                <w:sz w:val="24"/>
                <w:szCs w:val="24"/>
              </w:rPr>
            </w:pPr>
            <w:r>
              <w:rPr>
                <w:rFonts w:hint="eastAsia" w:ascii="宋体" w:hAnsi="宋体" w:eastAsia="宋体" w:cs="宋体"/>
                <w:bCs/>
                <w:color w:val="auto"/>
                <w:spacing w:val="6"/>
                <w:kern w:val="2"/>
                <w:sz w:val="24"/>
                <w:szCs w:val="24"/>
              </w:rPr>
              <w:t>分值构成</w:t>
            </w:r>
          </w:p>
          <w:p>
            <w:pPr>
              <w:pStyle w:val="98"/>
              <w:jc w:val="center"/>
              <w:rPr>
                <w:rFonts w:hint="eastAsia" w:ascii="宋体" w:hAnsi="宋体" w:eastAsia="宋体" w:cs="宋体"/>
                <w:bCs/>
                <w:color w:val="auto"/>
                <w:spacing w:val="6"/>
                <w:kern w:val="2"/>
                <w:sz w:val="24"/>
                <w:szCs w:val="24"/>
              </w:rPr>
            </w:pPr>
            <w:r>
              <w:rPr>
                <w:rFonts w:hint="eastAsia" w:ascii="宋体" w:hAnsi="宋体" w:eastAsia="宋体" w:cs="宋体"/>
                <w:bCs/>
                <w:color w:val="auto"/>
                <w:spacing w:val="6"/>
                <w:kern w:val="2"/>
                <w:sz w:val="24"/>
                <w:szCs w:val="24"/>
              </w:rPr>
              <w:t>（100分）</w:t>
            </w:r>
          </w:p>
        </w:tc>
        <w:tc>
          <w:tcPr>
            <w:tcW w:w="7646" w:type="dxa"/>
            <w:tcBorders>
              <w:top w:val="single" w:color="000000" w:sz="4" w:space="0"/>
              <w:left w:val="single" w:color="000000" w:sz="4" w:space="0"/>
              <w:bottom w:val="single" w:color="auto" w:sz="4" w:space="0"/>
              <w:right w:val="single" w:color="000000" w:sz="4" w:space="0"/>
            </w:tcBorders>
            <w:noWrap w:val="0"/>
            <w:vAlign w:val="center"/>
          </w:tcPr>
          <w:p>
            <w:pPr>
              <w:ind w:firstLine="3024" w:firstLineChars="1200"/>
              <w:rPr>
                <w:rFonts w:hint="eastAsia" w:ascii="宋体" w:hAnsi="宋体" w:eastAsia="宋体" w:cs="宋体"/>
                <w:bCs/>
                <w:spacing w:val="6"/>
                <w:sz w:val="24"/>
                <w:szCs w:val="24"/>
              </w:rPr>
            </w:pPr>
            <w:r>
              <w:rPr>
                <w:rFonts w:hint="eastAsia" w:ascii="宋体" w:hAnsi="宋体" w:eastAsia="宋体" w:cs="宋体"/>
                <w:bCs/>
                <w:spacing w:val="6"/>
                <w:sz w:val="24"/>
                <w:szCs w:val="24"/>
              </w:rPr>
              <w:t>报价部分：</w:t>
            </w:r>
            <w:r>
              <w:rPr>
                <w:rFonts w:hint="eastAsia" w:ascii="宋体" w:hAnsi="宋体" w:cs="宋体"/>
                <w:bCs/>
                <w:spacing w:val="6"/>
                <w:sz w:val="24"/>
                <w:szCs w:val="24"/>
                <w:lang w:val="en-US" w:eastAsia="zh-CN"/>
              </w:rPr>
              <w:t>15</w:t>
            </w:r>
            <w:r>
              <w:rPr>
                <w:rFonts w:hint="eastAsia" w:ascii="宋体" w:hAnsi="宋体" w:eastAsia="宋体" w:cs="宋体"/>
                <w:bCs/>
                <w:spacing w:val="6"/>
                <w:sz w:val="24"/>
                <w:szCs w:val="24"/>
              </w:rPr>
              <w:t>分</w:t>
            </w:r>
          </w:p>
          <w:p>
            <w:pPr>
              <w:jc w:val="center"/>
              <w:rPr>
                <w:rFonts w:hint="eastAsia" w:ascii="宋体" w:hAnsi="宋体" w:eastAsia="宋体" w:cs="宋体"/>
                <w:bCs/>
                <w:spacing w:val="6"/>
                <w:sz w:val="24"/>
                <w:szCs w:val="24"/>
              </w:rPr>
            </w:pPr>
            <w:r>
              <w:rPr>
                <w:rFonts w:hint="eastAsia" w:ascii="宋体" w:hAnsi="宋体" w:cs="宋体"/>
                <w:bCs/>
                <w:spacing w:val="6"/>
                <w:sz w:val="24"/>
                <w:szCs w:val="24"/>
                <w:lang w:val="en-US" w:eastAsia="zh-CN"/>
              </w:rPr>
              <w:t xml:space="preserve"> </w:t>
            </w:r>
            <w:r>
              <w:rPr>
                <w:rFonts w:hint="eastAsia" w:ascii="宋体" w:hAnsi="宋体" w:eastAsia="宋体" w:cs="宋体"/>
                <w:bCs/>
                <w:spacing w:val="6"/>
                <w:sz w:val="24"/>
                <w:szCs w:val="24"/>
              </w:rPr>
              <w:t>技术部分：</w:t>
            </w:r>
            <w:r>
              <w:rPr>
                <w:rFonts w:hint="eastAsia" w:ascii="宋体" w:hAnsi="宋体" w:cs="宋体"/>
                <w:bCs/>
                <w:spacing w:val="6"/>
                <w:sz w:val="24"/>
                <w:szCs w:val="24"/>
                <w:lang w:val="en-US" w:eastAsia="zh-CN"/>
              </w:rPr>
              <w:t>60</w:t>
            </w:r>
            <w:r>
              <w:rPr>
                <w:rFonts w:hint="eastAsia" w:ascii="宋体" w:hAnsi="宋体" w:eastAsia="宋体" w:cs="宋体"/>
                <w:bCs/>
                <w:spacing w:val="6"/>
                <w:sz w:val="24"/>
                <w:szCs w:val="24"/>
              </w:rPr>
              <w:t>分</w:t>
            </w:r>
          </w:p>
          <w:p>
            <w:pPr>
              <w:jc w:val="center"/>
              <w:rPr>
                <w:rFonts w:hint="eastAsia" w:ascii="宋体" w:hAnsi="宋体" w:eastAsia="宋体" w:cs="宋体"/>
                <w:bCs/>
                <w:spacing w:val="6"/>
                <w:sz w:val="24"/>
                <w:szCs w:val="24"/>
              </w:rPr>
            </w:pPr>
            <w:r>
              <w:rPr>
                <w:rFonts w:hint="eastAsia" w:ascii="宋体" w:hAnsi="宋体" w:cs="宋体"/>
                <w:bCs/>
                <w:spacing w:val="6"/>
                <w:sz w:val="24"/>
                <w:szCs w:val="24"/>
                <w:lang w:val="en-US" w:eastAsia="zh-CN"/>
              </w:rPr>
              <w:t xml:space="preserve"> </w:t>
            </w:r>
            <w:r>
              <w:rPr>
                <w:rFonts w:hint="eastAsia" w:ascii="宋体" w:hAnsi="宋体" w:eastAsia="宋体" w:cs="宋体"/>
                <w:bCs/>
                <w:spacing w:val="6"/>
                <w:sz w:val="24"/>
                <w:szCs w:val="24"/>
              </w:rPr>
              <w:t>商务部分：</w:t>
            </w:r>
            <w:r>
              <w:rPr>
                <w:rFonts w:hint="eastAsia" w:ascii="宋体" w:hAnsi="宋体" w:cs="宋体"/>
                <w:bCs/>
                <w:spacing w:val="6"/>
                <w:sz w:val="24"/>
                <w:szCs w:val="24"/>
                <w:lang w:val="en-US" w:eastAsia="zh-CN"/>
              </w:rPr>
              <w:t>25</w:t>
            </w:r>
            <w:r>
              <w:rPr>
                <w:rFonts w:hint="eastAsia" w:ascii="宋体" w:hAnsi="宋体" w:eastAsia="宋体" w:cs="宋体"/>
                <w:bCs/>
                <w:spacing w:val="6"/>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2" w:hRule="atLeast"/>
          <w:jc w:val="center"/>
        </w:trPr>
        <w:tc>
          <w:tcPr>
            <w:tcW w:w="11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2</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报价部分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15</w:t>
            </w:r>
            <w:r>
              <w:rPr>
                <w:rFonts w:hint="eastAsia" w:ascii="宋体" w:hAnsi="宋体" w:eastAsia="宋体" w:cs="宋体"/>
                <w:bCs/>
                <w:spacing w:val="6"/>
                <w:sz w:val="24"/>
                <w:szCs w:val="24"/>
              </w:rPr>
              <w:t>分）</w:t>
            </w:r>
          </w:p>
        </w:tc>
        <w:tc>
          <w:tcPr>
            <w:tcW w:w="12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报价部分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15</w:t>
            </w:r>
            <w:r>
              <w:rPr>
                <w:rFonts w:hint="eastAsia" w:ascii="宋体" w:hAnsi="宋体" w:eastAsia="宋体" w:cs="宋体"/>
                <w:bCs/>
                <w:spacing w:val="6"/>
                <w:sz w:val="24"/>
                <w:szCs w:val="24"/>
              </w:rPr>
              <w:t>分）</w:t>
            </w:r>
          </w:p>
        </w:tc>
        <w:tc>
          <w:tcPr>
            <w:tcW w:w="764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满足磋商文件要求且最后报价最低的供应商的价格为磋商基准价，其价格分为满分。其他供应商的价格分统一按照下列公式计算：</w:t>
            </w:r>
          </w:p>
          <w:p>
            <w:pPr>
              <w:spacing w:line="400" w:lineRule="exact"/>
              <w:rPr>
                <w:rFonts w:hint="eastAsia" w:ascii="宋体" w:hAnsi="宋体" w:eastAsia="宋体" w:cs="宋体"/>
                <w:bCs/>
                <w:spacing w:val="6"/>
                <w:sz w:val="24"/>
                <w:szCs w:val="24"/>
              </w:rPr>
            </w:pPr>
            <w:r>
              <w:rPr>
                <w:rFonts w:hint="eastAsia" w:ascii="宋体" w:hAnsi="宋体" w:eastAsia="宋体" w:cs="宋体"/>
                <w:sz w:val="24"/>
                <w:szCs w:val="24"/>
              </w:rPr>
              <w:t>磋商报价得分=（磋商基准价/最后磋商报价）×价格权值</w:t>
            </w:r>
            <w:r>
              <w:rPr>
                <w:rFonts w:hint="eastAsia" w:ascii="宋体" w:hAnsi="宋体" w:cs="宋体"/>
                <w:sz w:val="24"/>
                <w:szCs w:val="24"/>
                <w:lang w:eastAsia="zh-CN"/>
              </w:rPr>
              <w:t>（</w:t>
            </w:r>
            <w:r>
              <w:rPr>
                <w:rFonts w:hint="eastAsia" w:ascii="宋体" w:hAnsi="宋体" w:cs="宋体"/>
                <w:sz w:val="24"/>
                <w:szCs w:val="24"/>
                <w:lang w:val="en-US" w:eastAsia="zh-CN"/>
              </w:rPr>
              <w:t>15</w:t>
            </w:r>
            <w:r>
              <w:rPr>
                <w:rFonts w:hint="eastAsia" w:ascii="宋体" w:hAnsi="宋体" w:cs="宋体"/>
                <w:sz w:val="24"/>
                <w:szCs w:val="24"/>
                <w:lang w:eastAsia="zh-CN"/>
              </w:rPr>
              <w:t>分）</w:t>
            </w:r>
            <w:r>
              <w:rPr>
                <w:rFonts w:hint="eastAsia" w:ascii="宋体" w:hAnsi="宋体" w:eastAsia="宋体" w:cs="宋体"/>
                <w:sz w:val="24"/>
                <w:szCs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7" w:hRule="atLeast"/>
          <w:jc w:val="center"/>
        </w:trPr>
        <w:tc>
          <w:tcPr>
            <w:tcW w:w="1100"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3</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技术部分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60</w:t>
            </w:r>
            <w:r>
              <w:rPr>
                <w:rFonts w:hint="eastAsia" w:ascii="宋体" w:hAnsi="宋体" w:eastAsia="宋体" w:cs="宋体"/>
                <w:bCs/>
                <w:spacing w:val="6"/>
                <w:sz w:val="24"/>
                <w:szCs w:val="24"/>
              </w:rPr>
              <w:t>分）</w:t>
            </w:r>
          </w:p>
          <w:p>
            <w:pPr>
              <w:jc w:val="left"/>
              <w:rPr>
                <w:rFonts w:hint="eastAsia" w:ascii="宋体" w:hAnsi="宋体" w:eastAsia="宋体" w:cs="宋体"/>
                <w:bCs/>
                <w:spacing w:val="6"/>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lang w:eastAsia="zh-CN"/>
              </w:rPr>
            </w:pPr>
            <w:r>
              <w:rPr>
                <w:rFonts w:hint="eastAsia" w:ascii="宋体" w:hAnsi="宋体" w:eastAsia="宋体" w:cs="宋体"/>
                <w:bCs/>
                <w:spacing w:val="6"/>
                <w:sz w:val="24"/>
                <w:szCs w:val="24"/>
                <w:lang w:eastAsia="zh-CN"/>
              </w:rPr>
              <w:t>服务方案</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60</w:t>
            </w:r>
            <w:r>
              <w:rPr>
                <w:rFonts w:hint="eastAsia" w:ascii="宋体" w:hAnsi="宋体" w:eastAsia="宋体" w:cs="宋体"/>
                <w:bCs/>
                <w:spacing w:val="6"/>
                <w:sz w:val="24"/>
                <w:szCs w:val="24"/>
              </w:rPr>
              <w:t>分）</w:t>
            </w:r>
          </w:p>
        </w:tc>
        <w:tc>
          <w:tcPr>
            <w:tcW w:w="7646" w:type="dxa"/>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kinsoku/>
              <w:wordWrap/>
              <w:overflowPunct/>
              <w:topLinePunct w:val="0"/>
              <w:autoSpaceDE/>
              <w:autoSpaceDN/>
              <w:bidi w:val="0"/>
              <w:snapToGrid/>
              <w:spacing w:after="0" w:afterLines="0"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对项目的整体理解（</w:t>
            </w:r>
            <w:r>
              <w:rPr>
                <w:rFonts w:hint="eastAsia" w:ascii="宋体" w:hAnsi="宋体" w:cs="宋体"/>
                <w:b/>
                <w:bCs/>
                <w:sz w:val="24"/>
                <w:szCs w:val="24"/>
                <w:lang w:val="en-US" w:eastAsia="zh-CN"/>
              </w:rPr>
              <w:t>10</w:t>
            </w:r>
            <w:r>
              <w:rPr>
                <w:rFonts w:hint="eastAsia" w:ascii="宋体" w:hAnsi="宋体" w:eastAsia="宋体" w:cs="宋体"/>
                <w:b/>
                <w:bCs/>
                <w:sz w:val="24"/>
                <w:szCs w:val="24"/>
              </w:rPr>
              <w:t>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对本项目政策及需求的理解透彻、资料收集完善，得</w:t>
            </w:r>
            <w:r>
              <w:rPr>
                <w:rFonts w:hint="eastAsia" w:ascii="宋体" w:hAnsi="宋体" w:cs="宋体"/>
                <w:sz w:val="24"/>
                <w:szCs w:val="24"/>
                <w:lang w:val="en-US" w:eastAsia="zh-CN"/>
              </w:rPr>
              <w:t>10</w:t>
            </w:r>
            <w:r>
              <w:rPr>
                <w:rFonts w:hint="eastAsia" w:ascii="宋体" w:hAnsi="宋体" w:eastAsia="宋体" w:cs="宋体"/>
                <w:sz w:val="24"/>
                <w:szCs w:val="24"/>
              </w:rPr>
              <w:t>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对本项目政策及需求的理解透彻、资料收集相对完善，得</w:t>
            </w:r>
            <w:r>
              <w:rPr>
                <w:rFonts w:hint="eastAsia" w:ascii="宋体" w:hAnsi="宋体" w:cs="宋体"/>
                <w:sz w:val="24"/>
                <w:szCs w:val="24"/>
                <w:lang w:val="en-US" w:eastAsia="zh-CN"/>
              </w:rPr>
              <w:t>8</w:t>
            </w:r>
            <w:r>
              <w:rPr>
                <w:rFonts w:hint="eastAsia" w:ascii="宋体" w:hAnsi="宋体" w:eastAsia="宋体" w:cs="宋体"/>
                <w:sz w:val="24"/>
                <w:szCs w:val="24"/>
              </w:rPr>
              <w:t>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对本项目政策及需求的理解不透彻、资料收集不完善，得</w:t>
            </w:r>
            <w:r>
              <w:rPr>
                <w:rFonts w:hint="eastAsia" w:ascii="宋体" w:hAnsi="宋体" w:cs="宋体"/>
                <w:sz w:val="24"/>
                <w:szCs w:val="24"/>
                <w:lang w:val="en-US" w:eastAsia="zh-CN"/>
              </w:rPr>
              <w:t>6</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缺项不得分。</w:t>
            </w:r>
          </w:p>
          <w:p>
            <w:pPr>
              <w:pStyle w:val="49"/>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技术方案编制(</w:t>
            </w:r>
            <w:r>
              <w:rPr>
                <w:rFonts w:hint="eastAsia" w:ascii="宋体" w:hAnsi="宋体" w:cs="宋体"/>
                <w:b/>
                <w:bCs/>
                <w:sz w:val="24"/>
                <w:szCs w:val="24"/>
                <w:lang w:val="en-US" w:eastAsia="zh-CN"/>
              </w:rPr>
              <w:t>10</w:t>
            </w:r>
            <w:r>
              <w:rPr>
                <w:rFonts w:hint="eastAsia" w:ascii="宋体" w:hAnsi="宋体" w:eastAsia="宋体" w:cs="宋体"/>
                <w:b/>
                <w:bCs/>
                <w:sz w:val="24"/>
                <w:szCs w:val="24"/>
              </w:rPr>
              <w:t>分)</w:t>
            </w:r>
          </w:p>
          <w:p>
            <w:pPr>
              <w:pStyle w:val="49"/>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整体技术方案编制、技术路线工序完整、针对性强、技术先进的，得</w:t>
            </w:r>
            <w:r>
              <w:rPr>
                <w:rFonts w:hint="eastAsia" w:ascii="宋体" w:hAnsi="宋体" w:cs="宋体"/>
                <w:sz w:val="24"/>
                <w:szCs w:val="24"/>
                <w:lang w:val="en-US" w:eastAsia="zh-CN"/>
              </w:rPr>
              <w:t>10</w:t>
            </w:r>
            <w:r>
              <w:rPr>
                <w:rFonts w:hint="eastAsia" w:ascii="宋体" w:hAnsi="宋体" w:eastAsia="宋体" w:cs="宋体"/>
                <w:sz w:val="24"/>
                <w:szCs w:val="24"/>
              </w:rPr>
              <w:t>分；</w:t>
            </w:r>
          </w:p>
          <w:p>
            <w:pPr>
              <w:pStyle w:val="49"/>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整体技术方案编制、技术路线工序相对完整、针对性强、技术一般的，得</w:t>
            </w:r>
            <w:r>
              <w:rPr>
                <w:rFonts w:hint="eastAsia" w:ascii="宋体" w:hAnsi="宋体" w:cs="宋体"/>
                <w:sz w:val="24"/>
                <w:szCs w:val="24"/>
                <w:lang w:val="en-US" w:eastAsia="zh-CN"/>
              </w:rPr>
              <w:t>8</w:t>
            </w:r>
            <w:r>
              <w:rPr>
                <w:rFonts w:hint="eastAsia" w:ascii="宋体" w:hAnsi="宋体" w:eastAsia="宋体" w:cs="宋体"/>
                <w:sz w:val="24"/>
                <w:szCs w:val="24"/>
              </w:rPr>
              <w:t>分；</w:t>
            </w:r>
          </w:p>
          <w:p>
            <w:pPr>
              <w:pStyle w:val="49"/>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整体技术方案编制、技术路线工序不完整、不具有针对性、技术相对落后的，得</w:t>
            </w:r>
            <w:r>
              <w:rPr>
                <w:rFonts w:hint="eastAsia" w:ascii="宋体" w:hAnsi="宋体" w:cs="宋体"/>
                <w:sz w:val="24"/>
                <w:szCs w:val="24"/>
                <w:lang w:val="en-US" w:eastAsia="zh-CN"/>
              </w:rPr>
              <w:t>6</w:t>
            </w:r>
            <w:r>
              <w:rPr>
                <w:rFonts w:hint="eastAsia" w:ascii="宋体" w:hAnsi="宋体" w:eastAsia="宋体" w:cs="宋体"/>
                <w:sz w:val="24"/>
                <w:szCs w:val="24"/>
              </w:rPr>
              <w:t>分；</w:t>
            </w:r>
          </w:p>
          <w:p>
            <w:pPr>
              <w:pStyle w:val="49"/>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缺项不得分。</w:t>
            </w:r>
          </w:p>
          <w:p>
            <w:pPr>
              <w:pStyle w:val="14"/>
              <w:keepNext w:val="0"/>
              <w:keepLines w:val="0"/>
              <w:pageBreakBefore w:val="0"/>
              <w:widowControl w:val="0"/>
              <w:kinsoku/>
              <w:wordWrap/>
              <w:overflowPunct/>
              <w:topLinePunct w:val="0"/>
              <w:autoSpaceDE/>
              <w:autoSpaceDN/>
              <w:bidi w:val="0"/>
              <w:snapToGrid/>
              <w:spacing w:after="0" w:afterLines="0"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项目重、难点工作分析 (</w:t>
            </w:r>
            <w:r>
              <w:rPr>
                <w:rFonts w:hint="eastAsia" w:ascii="宋体" w:hAnsi="宋体" w:cs="宋体"/>
                <w:b/>
                <w:bCs/>
                <w:sz w:val="24"/>
                <w:szCs w:val="24"/>
                <w:lang w:val="en-US" w:eastAsia="zh-CN"/>
              </w:rPr>
              <w:t>10</w:t>
            </w:r>
            <w:r>
              <w:rPr>
                <w:rFonts w:hint="eastAsia" w:ascii="宋体" w:hAnsi="宋体" w:eastAsia="宋体" w:cs="宋体"/>
                <w:b/>
                <w:bCs/>
                <w:sz w:val="24"/>
                <w:szCs w:val="24"/>
              </w:rPr>
              <w:t>分)</w:t>
            </w:r>
          </w:p>
          <w:p>
            <w:pPr>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对本项目重点工作理解透彻、难点分析准确，对本项目重点工作应对举措合理有效、符合实际，得</w:t>
            </w:r>
            <w:r>
              <w:rPr>
                <w:rFonts w:hint="eastAsia" w:ascii="宋体" w:hAnsi="宋体" w:cs="宋体"/>
                <w:sz w:val="24"/>
                <w:szCs w:val="24"/>
                <w:lang w:val="en-US" w:eastAsia="zh-CN"/>
              </w:rPr>
              <w:t>10</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对本项目重点工作理解较透彻、难点分析相对准确，对本项目重点工作应对举措比较合理有效，得</w:t>
            </w:r>
            <w:r>
              <w:rPr>
                <w:rFonts w:hint="eastAsia" w:ascii="宋体" w:hAnsi="宋体" w:cs="宋体"/>
                <w:sz w:val="24"/>
                <w:szCs w:val="24"/>
                <w:lang w:val="en-US" w:eastAsia="zh-CN"/>
              </w:rPr>
              <w:t>8</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对本项目重点工作理解不透彻、难点分析相对准确，对本项目重点工作应对举措不合理，得</w:t>
            </w:r>
            <w:r>
              <w:rPr>
                <w:rFonts w:hint="eastAsia" w:ascii="宋体" w:hAnsi="宋体" w:cs="宋体"/>
                <w:sz w:val="24"/>
                <w:szCs w:val="24"/>
                <w:lang w:val="en-US" w:eastAsia="zh-CN"/>
              </w:rPr>
              <w:t>6</w:t>
            </w:r>
            <w:r>
              <w:rPr>
                <w:rFonts w:hint="eastAsia" w:ascii="宋体" w:hAnsi="宋体" w:eastAsia="宋体" w:cs="宋体"/>
                <w:sz w:val="24"/>
                <w:szCs w:val="24"/>
              </w:rPr>
              <w:t>分。</w:t>
            </w:r>
          </w:p>
          <w:p>
            <w:pPr>
              <w:pStyle w:val="14"/>
              <w:keepNext w:val="0"/>
              <w:keepLines w:val="0"/>
              <w:pageBreakBefore w:val="0"/>
              <w:widowControl w:val="0"/>
              <w:kinsoku/>
              <w:wordWrap/>
              <w:overflowPunct/>
              <w:topLinePunct w:val="0"/>
              <w:autoSpaceDE/>
              <w:autoSpaceDN/>
              <w:bidi w:val="0"/>
              <w:snapToGrid/>
              <w:spacing w:after="0" w:afterLines="0" w:line="440" w:lineRule="exact"/>
              <w:rPr>
                <w:rFonts w:hint="eastAsia" w:ascii="宋体" w:hAnsi="宋体" w:eastAsia="宋体" w:cs="宋体"/>
                <w:sz w:val="24"/>
                <w:szCs w:val="24"/>
              </w:rPr>
            </w:pPr>
            <w:r>
              <w:rPr>
                <w:rFonts w:hint="eastAsia" w:ascii="宋体" w:hAnsi="宋体" w:eastAsia="宋体" w:cs="宋体"/>
                <w:sz w:val="24"/>
                <w:szCs w:val="24"/>
              </w:rPr>
              <w:t>缺项不得分。</w:t>
            </w:r>
          </w:p>
          <w:p>
            <w:pPr>
              <w:pStyle w:val="14"/>
              <w:keepNext w:val="0"/>
              <w:keepLines w:val="0"/>
              <w:pageBreakBefore w:val="0"/>
              <w:widowControl w:val="0"/>
              <w:kinsoku/>
              <w:wordWrap/>
              <w:overflowPunct/>
              <w:topLinePunct w:val="0"/>
              <w:autoSpaceDE/>
              <w:autoSpaceDN/>
              <w:bidi w:val="0"/>
              <w:snapToGrid/>
              <w:spacing w:after="0" w:afterLines="0"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项目组织机构配备及主要人员岗位职责（</w:t>
            </w:r>
            <w:r>
              <w:rPr>
                <w:rFonts w:hint="eastAsia" w:ascii="宋体" w:hAnsi="宋体" w:cs="宋体"/>
                <w:b/>
                <w:bCs/>
                <w:sz w:val="24"/>
                <w:szCs w:val="24"/>
                <w:lang w:val="en-US" w:eastAsia="zh-CN"/>
              </w:rPr>
              <w:t>10</w:t>
            </w:r>
            <w:r>
              <w:rPr>
                <w:rFonts w:hint="eastAsia" w:ascii="宋体" w:hAnsi="宋体" w:eastAsia="宋体" w:cs="宋体"/>
                <w:b/>
                <w:bCs/>
                <w:sz w:val="24"/>
                <w:szCs w:val="24"/>
              </w:rPr>
              <w:t>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项目组织机构全面、人员分配合理，主要人员岗位职责划分全面明确、合理可行的得</w:t>
            </w:r>
            <w:r>
              <w:rPr>
                <w:rFonts w:hint="eastAsia" w:ascii="宋体" w:hAnsi="宋体" w:cs="宋体"/>
                <w:sz w:val="24"/>
                <w:szCs w:val="24"/>
                <w:lang w:val="en-US" w:eastAsia="zh-CN"/>
              </w:rPr>
              <w:t>10</w:t>
            </w:r>
            <w:r>
              <w:rPr>
                <w:rFonts w:hint="eastAsia" w:ascii="宋体" w:hAnsi="宋体" w:eastAsia="宋体" w:cs="宋体"/>
                <w:sz w:val="24"/>
                <w:szCs w:val="24"/>
              </w:rPr>
              <w:t>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项目组织机构全面、人员分配较合理，主要人员岗位职责划分相对全面明确、合理可行的，得</w:t>
            </w:r>
            <w:r>
              <w:rPr>
                <w:rFonts w:hint="eastAsia" w:ascii="宋体" w:hAnsi="宋体" w:cs="宋体"/>
                <w:sz w:val="24"/>
                <w:szCs w:val="24"/>
                <w:lang w:val="en-US" w:eastAsia="zh-CN"/>
              </w:rPr>
              <w:t>8</w:t>
            </w:r>
            <w:r>
              <w:rPr>
                <w:rFonts w:hint="eastAsia" w:ascii="宋体" w:hAnsi="宋体" w:eastAsia="宋体" w:cs="宋体"/>
                <w:sz w:val="24"/>
                <w:szCs w:val="24"/>
              </w:rPr>
              <w:t>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项目组织机构不全面、人员分配不合理，主要人员岗位职责划分不全面、不合理的，得</w:t>
            </w:r>
            <w:r>
              <w:rPr>
                <w:rFonts w:hint="eastAsia" w:ascii="宋体" w:hAnsi="宋体" w:cs="宋体"/>
                <w:sz w:val="24"/>
                <w:szCs w:val="24"/>
                <w:lang w:val="en-US" w:eastAsia="zh-CN"/>
              </w:rPr>
              <w:t>6</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缺项不得分。</w:t>
            </w:r>
          </w:p>
          <w:p>
            <w:pPr>
              <w:pStyle w:val="14"/>
              <w:keepNext w:val="0"/>
              <w:keepLines w:val="0"/>
              <w:pageBreakBefore w:val="0"/>
              <w:widowControl w:val="0"/>
              <w:kinsoku/>
              <w:wordWrap/>
              <w:overflowPunct/>
              <w:topLinePunct w:val="0"/>
              <w:autoSpaceDE/>
              <w:autoSpaceDN/>
              <w:bidi w:val="0"/>
              <w:snapToGrid/>
              <w:spacing w:after="0" w:afterLines="0"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工期进度安排（</w:t>
            </w:r>
            <w:r>
              <w:rPr>
                <w:rFonts w:hint="eastAsia" w:ascii="宋体" w:hAnsi="宋体" w:cs="宋体"/>
                <w:b/>
                <w:bCs/>
                <w:sz w:val="24"/>
                <w:szCs w:val="24"/>
                <w:lang w:val="en-US" w:eastAsia="zh-CN"/>
              </w:rPr>
              <w:t>5</w:t>
            </w:r>
            <w:r>
              <w:rPr>
                <w:rFonts w:hint="eastAsia" w:ascii="宋体" w:hAnsi="宋体" w:eastAsia="宋体" w:cs="宋体"/>
                <w:b/>
                <w:bCs/>
                <w:sz w:val="24"/>
                <w:szCs w:val="24"/>
              </w:rPr>
              <w:t>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对本项目工期进度计划、施工中进度编排合理，保障措施完善，得</w:t>
            </w:r>
            <w:r>
              <w:rPr>
                <w:rFonts w:hint="eastAsia" w:ascii="宋体" w:hAnsi="宋体" w:cs="宋体"/>
                <w:sz w:val="24"/>
                <w:szCs w:val="24"/>
                <w:lang w:val="en-US" w:eastAsia="zh-CN"/>
              </w:rPr>
              <w:t>5</w:t>
            </w:r>
            <w:r>
              <w:rPr>
                <w:rFonts w:hint="eastAsia" w:ascii="宋体" w:hAnsi="宋体" w:eastAsia="宋体" w:cs="宋体"/>
                <w:sz w:val="24"/>
                <w:szCs w:val="24"/>
              </w:rPr>
              <w:t>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对本项目工期进度计划、施工中进度编排较合理，保障措施较完善，得</w:t>
            </w:r>
            <w:r>
              <w:rPr>
                <w:rFonts w:hint="eastAsia" w:ascii="宋体" w:hAnsi="宋体" w:cs="宋体"/>
                <w:sz w:val="24"/>
                <w:szCs w:val="24"/>
                <w:lang w:val="en-US" w:eastAsia="zh-CN"/>
              </w:rPr>
              <w:t>3</w:t>
            </w:r>
            <w:r>
              <w:rPr>
                <w:rFonts w:hint="eastAsia" w:ascii="宋体" w:hAnsi="宋体" w:eastAsia="宋体" w:cs="宋体"/>
                <w:sz w:val="24"/>
                <w:szCs w:val="24"/>
              </w:rPr>
              <w:t>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对本项目工期进度计划、施工中进度编排不合理，保障措施不完善，得</w:t>
            </w:r>
            <w:r>
              <w:rPr>
                <w:rFonts w:hint="eastAsia" w:ascii="宋体" w:hAnsi="宋体" w:cs="宋体"/>
                <w:sz w:val="24"/>
                <w:szCs w:val="24"/>
                <w:lang w:val="en-US" w:eastAsia="zh-CN"/>
              </w:rPr>
              <w:t>1</w:t>
            </w:r>
            <w:r>
              <w:rPr>
                <w:rFonts w:hint="eastAsia" w:ascii="宋体" w:hAnsi="宋体" w:eastAsia="宋体" w:cs="宋体"/>
                <w:sz w:val="24"/>
                <w:szCs w:val="24"/>
              </w:rPr>
              <w:t>分。</w:t>
            </w:r>
          </w:p>
          <w:p>
            <w:pPr>
              <w:pStyle w:val="49"/>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缺项不得分。</w:t>
            </w:r>
          </w:p>
          <w:p>
            <w:pPr>
              <w:pStyle w:val="14"/>
              <w:keepNext w:val="0"/>
              <w:keepLines w:val="0"/>
              <w:pageBreakBefore w:val="0"/>
              <w:widowControl w:val="0"/>
              <w:kinsoku/>
              <w:wordWrap/>
              <w:overflowPunct/>
              <w:topLinePunct w:val="0"/>
              <w:autoSpaceDE/>
              <w:autoSpaceDN/>
              <w:bidi w:val="0"/>
              <w:snapToGrid/>
              <w:spacing w:after="0" w:afterLines="0"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质量控制措施（5分）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确保项目服务质量的技术组织措施合理完善，得5分；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确保项目服务质量的技术组织措施相对合理完善，得3分；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确保项目服务质量的技术组织措施不合理不完善，得1分；</w:t>
            </w:r>
          </w:p>
          <w:p>
            <w:pPr>
              <w:pStyle w:val="14"/>
              <w:keepNext w:val="0"/>
              <w:keepLines w:val="0"/>
              <w:pageBreakBefore w:val="0"/>
              <w:widowControl w:val="0"/>
              <w:kinsoku/>
              <w:wordWrap/>
              <w:overflowPunct/>
              <w:topLinePunct w:val="0"/>
              <w:autoSpaceDE/>
              <w:autoSpaceDN/>
              <w:bidi w:val="0"/>
              <w:snapToGrid/>
              <w:spacing w:after="0" w:afterLines="0" w:line="440" w:lineRule="exact"/>
              <w:rPr>
                <w:rFonts w:hint="eastAsia" w:ascii="宋体" w:hAnsi="宋体" w:eastAsia="宋体" w:cs="宋体"/>
                <w:sz w:val="24"/>
                <w:szCs w:val="24"/>
              </w:rPr>
            </w:pPr>
            <w:r>
              <w:rPr>
                <w:rFonts w:hint="eastAsia" w:ascii="宋体" w:hAnsi="宋体" w:eastAsia="宋体" w:cs="宋体"/>
                <w:sz w:val="24"/>
                <w:szCs w:val="24"/>
              </w:rPr>
              <w:t>缺项不得分。</w:t>
            </w:r>
          </w:p>
          <w:p>
            <w:pPr>
              <w:pStyle w:val="14"/>
              <w:keepNext w:val="0"/>
              <w:keepLines w:val="0"/>
              <w:pageBreakBefore w:val="0"/>
              <w:widowControl w:val="0"/>
              <w:kinsoku/>
              <w:wordWrap/>
              <w:overflowPunct/>
              <w:topLinePunct w:val="0"/>
              <w:autoSpaceDE/>
              <w:autoSpaceDN/>
              <w:bidi w:val="0"/>
              <w:snapToGrid/>
              <w:spacing w:after="0" w:afterLines="0" w:line="44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保密措施（5分）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保密措施科学合理、内容详尽、针对性及可操作性强的得5分；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保密措施较科学合理、内容较详尽、针对性及可操作性较强的得3分；</w:t>
            </w:r>
          </w:p>
          <w:p>
            <w:pPr>
              <w:pStyle w:val="82"/>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保密措施基本科学合理、内容基本详尽、针对性及可操作性一般的得1分；</w:t>
            </w:r>
          </w:p>
          <w:p>
            <w:pPr>
              <w:keepNext w:val="0"/>
              <w:keepLines w:val="0"/>
              <w:pageBreakBefore w:val="0"/>
              <w:widowControl w:val="0"/>
              <w:kinsoku/>
              <w:wordWrap/>
              <w:overflowPunct/>
              <w:topLinePunct w:val="0"/>
              <w:autoSpaceDE/>
              <w:autoSpaceDN/>
              <w:bidi w:val="0"/>
              <w:snapToGrid/>
              <w:spacing w:line="440" w:lineRule="exact"/>
              <w:rPr>
                <w:rFonts w:hint="eastAsia" w:ascii="宋体" w:hAnsi="宋体" w:eastAsia="宋体" w:cs="宋体"/>
                <w:sz w:val="24"/>
                <w:szCs w:val="24"/>
              </w:rPr>
            </w:pPr>
            <w:r>
              <w:rPr>
                <w:rFonts w:hint="eastAsia" w:ascii="宋体" w:hAnsi="宋体" w:eastAsia="宋体" w:cs="宋体"/>
                <w:sz w:val="24"/>
                <w:szCs w:val="24"/>
              </w:rPr>
              <w:t>缺项不得分。</w:t>
            </w:r>
          </w:p>
          <w:p>
            <w:pPr>
              <w:pStyle w:val="14"/>
              <w:keepNext w:val="0"/>
              <w:keepLines w:val="0"/>
              <w:pageBreakBefore w:val="0"/>
              <w:widowControl w:val="0"/>
              <w:kinsoku/>
              <w:wordWrap/>
              <w:overflowPunct/>
              <w:topLinePunct w:val="0"/>
              <w:autoSpaceDE/>
              <w:autoSpaceDN/>
              <w:bidi w:val="0"/>
              <w:adjustRightInd/>
              <w:snapToGrid/>
              <w:spacing w:after="0" w:afterLines="0" w:line="440" w:lineRule="exact"/>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8.</w:t>
            </w:r>
            <w:r>
              <w:rPr>
                <w:rFonts w:hint="eastAsia" w:ascii="宋体" w:hAnsi="宋体" w:eastAsia="宋体" w:cs="宋体"/>
                <w:b/>
                <w:bCs/>
                <w:sz w:val="24"/>
                <w:szCs w:val="24"/>
              </w:rPr>
              <w:t>服务承诺（</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分）</w:t>
            </w:r>
          </w:p>
          <w:p>
            <w:pPr>
              <w:pStyle w:val="8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1.具备完善的服务保障体系与售后服务方案，有完善的工作制度与项目开展服务计划，得</w:t>
            </w:r>
            <w:r>
              <w:rPr>
                <w:rFonts w:hint="eastAsia" w:ascii="宋体" w:hAnsi="宋体" w:eastAsia="宋体" w:cs="宋体"/>
                <w:sz w:val="24"/>
                <w:szCs w:val="24"/>
                <w:lang w:val="en-US" w:eastAsia="zh-CN"/>
              </w:rPr>
              <w:t>2</w:t>
            </w:r>
            <w:r>
              <w:rPr>
                <w:rFonts w:hint="eastAsia" w:ascii="宋体" w:hAnsi="宋体" w:eastAsia="宋体" w:cs="宋体"/>
                <w:sz w:val="24"/>
                <w:szCs w:val="24"/>
              </w:rPr>
              <w:t>分，服务保障体系一般得</w:t>
            </w:r>
            <w:r>
              <w:rPr>
                <w:rFonts w:hint="eastAsia" w:ascii="宋体" w:hAnsi="宋体" w:eastAsia="宋体" w:cs="宋体"/>
                <w:sz w:val="24"/>
                <w:szCs w:val="24"/>
                <w:lang w:val="en-US" w:eastAsia="zh-CN"/>
              </w:rPr>
              <w:t>1</w:t>
            </w:r>
            <w:r>
              <w:rPr>
                <w:rFonts w:hint="eastAsia" w:ascii="宋体" w:hAnsi="宋体" w:eastAsia="宋体" w:cs="宋体"/>
                <w:sz w:val="24"/>
                <w:szCs w:val="24"/>
              </w:rPr>
              <w:t>分；服务保障体系</w:t>
            </w:r>
            <w:r>
              <w:rPr>
                <w:rFonts w:hint="eastAsia" w:ascii="宋体" w:hAnsi="宋体" w:eastAsia="宋体" w:cs="宋体"/>
                <w:sz w:val="24"/>
                <w:szCs w:val="24"/>
                <w:lang w:eastAsia="zh-CN"/>
              </w:rPr>
              <w:t>差的</w:t>
            </w:r>
            <w:r>
              <w:rPr>
                <w:rFonts w:hint="eastAsia" w:ascii="宋体" w:hAnsi="宋体" w:eastAsia="宋体" w:cs="宋体"/>
                <w:sz w:val="24"/>
                <w:szCs w:val="24"/>
              </w:rPr>
              <w:t>得</w:t>
            </w:r>
            <w:r>
              <w:rPr>
                <w:rFonts w:hint="eastAsia" w:ascii="宋体" w:hAnsi="宋体" w:eastAsia="宋体" w:cs="宋体"/>
                <w:sz w:val="24"/>
                <w:szCs w:val="24"/>
                <w:lang w:val="en-US" w:eastAsia="zh-CN"/>
              </w:rPr>
              <w:t>0.5</w:t>
            </w:r>
            <w:r>
              <w:rPr>
                <w:rFonts w:hint="eastAsia" w:ascii="宋体" w:hAnsi="宋体" w:eastAsia="宋体" w:cs="宋体"/>
                <w:sz w:val="24"/>
                <w:szCs w:val="24"/>
              </w:rPr>
              <w:t>分</w:t>
            </w:r>
            <w:r>
              <w:rPr>
                <w:rFonts w:hint="eastAsia" w:ascii="宋体" w:hAnsi="宋体" w:eastAsia="宋体" w:cs="宋体"/>
                <w:sz w:val="24"/>
                <w:szCs w:val="24"/>
                <w:lang w:eastAsia="zh-CN"/>
              </w:rPr>
              <w:t>；</w:t>
            </w:r>
            <w:r>
              <w:rPr>
                <w:rFonts w:hint="eastAsia" w:ascii="宋体" w:hAnsi="宋体" w:eastAsia="宋体" w:cs="宋体"/>
                <w:sz w:val="24"/>
                <w:szCs w:val="24"/>
              </w:rPr>
              <w:t>缺项不得分。</w:t>
            </w:r>
          </w:p>
          <w:p>
            <w:pPr>
              <w:pStyle w:val="8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2.在项目进行过程中与采购人积极配合、为采购人排忧解难，服从采购人安排，按时保质保量完成设计任务等方面的承诺；</w:t>
            </w:r>
            <w:r>
              <w:rPr>
                <w:rFonts w:hint="eastAsia" w:ascii="宋体" w:hAnsi="宋体" w:eastAsia="宋体" w:cs="宋体"/>
                <w:sz w:val="24"/>
                <w:szCs w:val="24"/>
                <w:lang w:eastAsia="zh-CN"/>
              </w:rPr>
              <w:t>承诺较好得</w:t>
            </w:r>
            <w:r>
              <w:rPr>
                <w:rFonts w:hint="eastAsia" w:ascii="宋体" w:hAnsi="宋体" w:eastAsia="宋体" w:cs="宋体"/>
                <w:sz w:val="24"/>
                <w:szCs w:val="24"/>
                <w:lang w:val="en-US" w:eastAsia="zh-CN"/>
              </w:rPr>
              <w:t>1.5分，</w:t>
            </w:r>
            <w:r>
              <w:rPr>
                <w:rFonts w:hint="eastAsia" w:ascii="宋体" w:hAnsi="宋体" w:eastAsia="宋体" w:cs="宋体"/>
                <w:sz w:val="24"/>
                <w:szCs w:val="24"/>
                <w:lang w:eastAsia="zh-CN"/>
              </w:rPr>
              <w:t>承诺较一般得</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承诺差得</w:t>
            </w:r>
            <w:r>
              <w:rPr>
                <w:rFonts w:hint="eastAsia" w:ascii="宋体" w:hAnsi="宋体" w:eastAsia="宋体" w:cs="宋体"/>
                <w:sz w:val="24"/>
                <w:szCs w:val="24"/>
                <w:lang w:val="en-US" w:eastAsia="zh-CN"/>
              </w:rPr>
              <w:t>0.5分；</w:t>
            </w:r>
            <w:r>
              <w:rPr>
                <w:rFonts w:hint="eastAsia" w:ascii="宋体" w:hAnsi="宋体" w:eastAsia="宋体" w:cs="宋体"/>
                <w:sz w:val="24"/>
                <w:szCs w:val="24"/>
              </w:rPr>
              <w:t>缺项不得分。</w:t>
            </w:r>
          </w:p>
          <w:p>
            <w:pPr>
              <w:pStyle w:val="82"/>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3.其他有利于采购人的实质性承诺；</w:t>
            </w:r>
            <w:r>
              <w:rPr>
                <w:rFonts w:hint="eastAsia" w:ascii="宋体" w:hAnsi="宋体" w:eastAsia="宋体" w:cs="宋体"/>
                <w:sz w:val="24"/>
                <w:szCs w:val="24"/>
                <w:lang w:eastAsia="zh-CN"/>
              </w:rPr>
              <w:t>承诺较好得</w:t>
            </w:r>
            <w:r>
              <w:rPr>
                <w:rFonts w:hint="eastAsia" w:ascii="宋体" w:hAnsi="宋体" w:eastAsia="宋体" w:cs="宋体"/>
                <w:sz w:val="24"/>
                <w:szCs w:val="24"/>
                <w:lang w:val="en-US" w:eastAsia="zh-CN"/>
              </w:rPr>
              <w:t>1.5分，</w:t>
            </w:r>
            <w:r>
              <w:rPr>
                <w:rFonts w:hint="eastAsia" w:ascii="宋体" w:hAnsi="宋体" w:eastAsia="宋体" w:cs="宋体"/>
                <w:sz w:val="24"/>
                <w:szCs w:val="24"/>
                <w:lang w:eastAsia="zh-CN"/>
              </w:rPr>
              <w:t>承诺较一般得</w:t>
            </w:r>
            <w:r>
              <w:rPr>
                <w:rFonts w:hint="eastAsia" w:ascii="宋体" w:hAnsi="宋体" w:eastAsia="宋体" w:cs="宋体"/>
                <w:sz w:val="24"/>
                <w:szCs w:val="24"/>
                <w:lang w:val="en-US" w:eastAsia="zh-CN"/>
              </w:rPr>
              <w:t>1分；</w:t>
            </w:r>
            <w:r>
              <w:rPr>
                <w:rFonts w:hint="eastAsia" w:ascii="宋体" w:hAnsi="宋体" w:eastAsia="宋体" w:cs="宋体"/>
                <w:sz w:val="24"/>
                <w:szCs w:val="24"/>
                <w:lang w:eastAsia="zh-CN"/>
              </w:rPr>
              <w:t>承诺差得</w:t>
            </w:r>
            <w:r>
              <w:rPr>
                <w:rFonts w:hint="eastAsia" w:ascii="宋体" w:hAnsi="宋体" w:eastAsia="宋体" w:cs="宋体"/>
                <w:sz w:val="24"/>
                <w:szCs w:val="24"/>
                <w:lang w:val="en-US" w:eastAsia="zh-CN"/>
              </w:rPr>
              <w:t>0.5分；</w:t>
            </w:r>
            <w:r>
              <w:rPr>
                <w:rFonts w:hint="eastAsia" w:ascii="宋体" w:hAnsi="宋体" w:eastAsia="宋体" w:cs="宋体"/>
                <w:sz w:val="24"/>
                <w:szCs w:val="24"/>
              </w:rPr>
              <w:t>缺项不得分。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3" w:hRule="atLeast"/>
          <w:jc w:val="center"/>
        </w:trPr>
        <w:tc>
          <w:tcPr>
            <w:tcW w:w="1100" w:type="dxa"/>
            <w:vMerge w:val="restart"/>
            <w:tcBorders>
              <w:left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4</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商务部分</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25</w:t>
            </w:r>
            <w:r>
              <w:rPr>
                <w:rFonts w:hint="eastAsia" w:ascii="宋体" w:hAnsi="宋体" w:eastAsia="宋体" w:cs="宋体"/>
                <w:bCs/>
                <w:spacing w:val="6"/>
                <w:sz w:val="24"/>
                <w:szCs w:val="24"/>
              </w:rPr>
              <w:t>分）</w:t>
            </w:r>
          </w:p>
          <w:p>
            <w:pPr>
              <w:jc w:val="left"/>
              <w:rPr>
                <w:rFonts w:hint="eastAsia" w:ascii="宋体" w:hAnsi="宋体" w:eastAsia="宋体" w:cs="宋体"/>
                <w:bCs/>
                <w:spacing w:val="6"/>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企业实力</w:t>
            </w:r>
          </w:p>
          <w:p>
            <w:pPr>
              <w:jc w:val="center"/>
              <w:rPr>
                <w:rFonts w:hint="eastAsia" w:ascii="宋体" w:hAnsi="宋体" w:eastAsia="宋体" w:cs="宋体"/>
                <w:bCs/>
                <w:spacing w:val="6"/>
                <w:sz w:val="24"/>
                <w:szCs w:val="24"/>
              </w:rPr>
            </w:pPr>
            <w:r>
              <w:rPr>
                <w:rFonts w:hint="eastAsia" w:ascii="宋体" w:hAnsi="宋体" w:eastAsia="宋体" w:cs="宋体"/>
                <w:bCs/>
                <w:spacing w:val="6"/>
                <w:sz w:val="24"/>
                <w:szCs w:val="24"/>
              </w:rPr>
              <w:t>（</w:t>
            </w:r>
            <w:r>
              <w:rPr>
                <w:rFonts w:hint="eastAsia" w:ascii="宋体" w:hAnsi="宋体" w:cs="宋体"/>
                <w:bCs/>
                <w:spacing w:val="6"/>
                <w:sz w:val="24"/>
                <w:szCs w:val="24"/>
                <w:lang w:val="en-US" w:eastAsia="zh-CN"/>
              </w:rPr>
              <w:t>5</w:t>
            </w:r>
            <w:r>
              <w:rPr>
                <w:rFonts w:hint="eastAsia" w:ascii="宋体" w:hAnsi="宋体" w:eastAsia="宋体" w:cs="宋体"/>
                <w:bCs/>
                <w:spacing w:val="6"/>
                <w:sz w:val="24"/>
                <w:szCs w:val="24"/>
              </w:rPr>
              <w:t>分）</w:t>
            </w:r>
          </w:p>
        </w:tc>
        <w:tc>
          <w:tcPr>
            <w:tcW w:w="76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供应商具有有效期内的质量管理体系认证证书、环境管理体系认证证书、职业健安全管理体系认证证书</w:t>
            </w:r>
            <w:r>
              <w:rPr>
                <w:rFonts w:hint="eastAsia" w:ascii="宋体" w:hAnsi="宋体" w:eastAsia="宋体" w:cs="宋体"/>
                <w:sz w:val="24"/>
                <w:szCs w:val="24"/>
                <w:lang w:eastAsia="zh-CN"/>
              </w:rPr>
              <w:t>、</w:t>
            </w:r>
            <w:r>
              <w:rPr>
                <w:rFonts w:hint="eastAsia" w:ascii="宋体" w:hAnsi="宋体" w:eastAsia="宋体" w:cs="宋体"/>
                <w:sz w:val="24"/>
                <w:szCs w:val="24"/>
              </w:rPr>
              <w:t>信息安全管理体系认证证书</w:t>
            </w:r>
            <w:r>
              <w:rPr>
                <w:rFonts w:hint="eastAsia" w:ascii="宋体" w:hAnsi="宋体" w:eastAsia="宋体" w:cs="宋体"/>
                <w:sz w:val="24"/>
                <w:szCs w:val="24"/>
                <w:lang w:eastAsia="zh-CN"/>
              </w:rPr>
              <w:t>、</w:t>
            </w:r>
            <w:r>
              <w:rPr>
                <w:rFonts w:hint="eastAsia" w:ascii="宋体" w:hAnsi="宋体" w:eastAsia="宋体" w:cs="宋体"/>
                <w:sz w:val="24"/>
                <w:szCs w:val="24"/>
              </w:rPr>
              <w:t>信息技术服务管理体系认证证书，每提供一项得</w:t>
            </w:r>
            <w:r>
              <w:rPr>
                <w:rFonts w:hint="eastAsia" w:ascii="宋体" w:hAnsi="宋体" w:cs="宋体"/>
                <w:sz w:val="24"/>
                <w:szCs w:val="24"/>
                <w:lang w:val="en-US" w:eastAsia="zh-CN"/>
              </w:rPr>
              <w:t>1</w:t>
            </w:r>
            <w:r>
              <w:rPr>
                <w:rFonts w:hint="eastAsia" w:ascii="宋体" w:hAnsi="宋体" w:eastAsia="宋体" w:cs="宋体"/>
                <w:sz w:val="24"/>
                <w:szCs w:val="24"/>
              </w:rPr>
              <w:t>分，本项最多得</w:t>
            </w:r>
            <w:r>
              <w:rPr>
                <w:rFonts w:hint="eastAsia" w:ascii="宋体" w:hAnsi="宋体" w:cs="宋体"/>
                <w:sz w:val="24"/>
                <w:szCs w:val="24"/>
                <w:lang w:val="en-US" w:eastAsia="zh-CN"/>
              </w:rPr>
              <w:t>5</w:t>
            </w:r>
            <w:r>
              <w:rPr>
                <w:rFonts w:hint="eastAsia" w:ascii="宋体" w:hAnsi="宋体" w:eastAsia="宋体" w:cs="宋体"/>
                <w:sz w:val="24"/>
                <w:szCs w:val="24"/>
              </w:rPr>
              <w:t>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spacing w:val="6"/>
                <w:sz w:val="24"/>
                <w:szCs w:val="24"/>
              </w:rPr>
            </w:pPr>
            <w:r>
              <w:rPr>
                <w:rFonts w:hint="eastAsia" w:ascii="宋体" w:hAnsi="宋体" w:eastAsia="宋体" w:cs="宋体"/>
                <w:sz w:val="24"/>
                <w:szCs w:val="24"/>
              </w:rPr>
              <w:t>（</w:t>
            </w:r>
            <w:r>
              <w:rPr>
                <w:rFonts w:hint="eastAsia" w:ascii="宋体" w:hAnsi="宋体" w:eastAsia="宋体" w:cs="宋体"/>
                <w:b/>
                <w:bCs/>
                <w:sz w:val="24"/>
                <w:szCs w:val="24"/>
              </w:rPr>
              <w:t>响应文件中附扫描件或复印件</w:t>
            </w:r>
            <w:r>
              <w:rPr>
                <w:rFonts w:hint="eastAsia" w:ascii="宋体" w:hAnsi="宋体" w:eastAsia="宋体" w:cs="宋体"/>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jc w:val="center"/>
        </w:trPr>
        <w:tc>
          <w:tcPr>
            <w:tcW w:w="1100"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after="0" w:afterLines="0" w:line="440" w:lineRule="exact"/>
              <w:textAlignment w:val="auto"/>
              <w:rPr>
                <w:rFonts w:hint="eastAsia" w:ascii="宋体" w:hAnsi="宋体" w:eastAsia="宋体" w:cs="宋体"/>
                <w:sz w:val="24"/>
                <w:szCs w:val="24"/>
                <w:lang w:bidi="ar"/>
              </w:rPr>
            </w:pPr>
            <w:r>
              <w:rPr>
                <w:rFonts w:hint="eastAsia" w:ascii="宋体" w:hAnsi="宋体" w:eastAsia="宋体" w:cs="宋体"/>
                <w:sz w:val="24"/>
                <w:szCs w:val="24"/>
                <w:lang w:bidi="ar"/>
              </w:rPr>
              <w:t>企业业绩</w:t>
            </w:r>
          </w:p>
          <w:p>
            <w:pPr>
              <w:pStyle w:val="14"/>
              <w:keepNext w:val="0"/>
              <w:keepLines w:val="0"/>
              <w:pageBreakBefore w:val="0"/>
              <w:widowControl w:val="0"/>
              <w:kinsoku/>
              <w:wordWrap/>
              <w:overflowPunct/>
              <w:topLinePunct w:val="0"/>
              <w:autoSpaceDE/>
              <w:autoSpaceDN/>
              <w:bidi w:val="0"/>
              <w:adjustRightInd/>
              <w:snapToGrid/>
              <w:spacing w:after="0" w:afterLines="0" w:line="440" w:lineRule="exact"/>
              <w:textAlignment w:val="auto"/>
              <w:rPr>
                <w:rFonts w:hint="eastAsia" w:ascii="宋体" w:hAnsi="宋体" w:eastAsia="宋体" w:cs="宋体"/>
                <w:sz w:val="24"/>
                <w:szCs w:val="24"/>
                <w:lang w:bidi="ar"/>
              </w:rPr>
            </w:pPr>
            <w:r>
              <w:rPr>
                <w:rFonts w:hint="eastAsia" w:ascii="宋体" w:hAnsi="宋体" w:eastAsia="宋体" w:cs="宋体"/>
                <w:sz w:val="24"/>
                <w:szCs w:val="24"/>
                <w:lang w:bidi="ar"/>
              </w:rPr>
              <w:t>（</w:t>
            </w:r>
            <w:r>
              <w:rPr>
                <w:rFonts w:hint="eastAsia" w:ascii="宋体" w:hAnsi="宋体" w:eastAsia="宋体" w:cs="宋体"/>
                <w:sz w:val="24"/>
                <w:szCs w:val="24"/>
                <w:lang w:val="en-US" w:eastAsia="zh-CN" w:bidi="ar"/>
              </w:rPr>
              <w:t>4</w:t>
            </w:r>
            <w:r>
              <w:rPr>
                <w:rFonts w:hint="eastAsia" w:ascii="宋体" w:hAnsi="宋体" w:eastAsia="宋体" w:cs="宋体"/>
                <w:sz w:val="24"/>
                <w:szCs w:val="24"/>
                <w:lang w:bidi="ar"/>
              </w:rPr>
              <w:t>分）</w:t>
            </w:r>
          </w:p>
        </w:tc>
        <w:tc>
          <w:tcPr>
            <w:tcW w:w="7646" w:type="dxa"/>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after="0" w:afterLines="0" w:line="440" w:lineRule="exact"/>
              <w:textAlignment w:val="auto"/>
              <w:rPr>
                <w:rFonts w:hint="eastAsia" w:ascii="宋体" w:hAnsi="宋体" w:eastAsia="宋体" w:cs="宋体"/>
                <w:sz w:val="24"/>
                <w:szCs w:val="24"/>
                <w:lang w:bidi="ar"/>
              </w:rPr>
            </w:pPr>
            <w:r>
              <w:rPr>
                <w:rFonts w:hint="eastAsia" w:ascii="宋体" w:hAnsi="宋体" w:eastAsia="宋体" w:cs="宋体"/>
                <w:sz w:val="24"/>
                <w:szCs w:val="24"/>
                <w:lang w:bidi="ar"/>
              </w:rPr>
              <w:t>提供2019年 1 月 1 日以来企业承担过类似业绩合同，每提供一份合同得</w:t>
            </w:r>
            <w:r>
              <w:rPr>
                <w:rFonts w:hint="eastAsia" w:ascii="宋体" w:hAnsi="宋体" w:eastAsia="宋体" w:cs="宋体"/>
                <w:sz w:val="24"/>
                <w:szCs w:val="24"/>
                <w:lang w:val="en-US" w:eastAsia="zh-CN" w:bidi="ar"/>
              </w:rPr>
              <w:t>2</w:t>
            </w:r>
            <w:r>
              <w:rPr>
                <w:rFonts w:hint="eastAsia" w:ascii="宋体" w:hAnsi="宋体" w:eastAsia="宋体" w:cs="宋体"/>
                <w:sz w:val="24"/>
                <w:szCs w:val="24"/>
                <w:lang w:bidi="ar"/>
              </w:rPr>
              <w:t>分</w:t>
            </w:r>
            <w:r>
              <w:rPr>
                <w:rFonts w:hint="eastAsia" w:ascii="宋体" w:hAnsi="宋体" w:eastAsia="宋体" w:cs="宋体"/>
                <w:sz w:val="24"/>
                <w:szCs w:val="24"/>
                <w:lang w:eastAsia="zh-CN" w:bidi="ar"/>
              </w:rPr>
              <w:t>，</w:t>
            </w:r>
            <w:r>
              <w:rPr>
                <w:rFonts w:hint="eastAsia" w:ascii="宋体" w:hAnsi="宋体" w:eastAsia="宋体" w:cs="宋体"/>
                <w:sz w:val="24"/>
                <w:szCs w:val="24"/>
                <w:lang w:bidi="ar"/>
              </w:rPr>
              <w:t>本项共</w:t>
            </w:r>
            <w:r>
              <w:rPr>
                <w:rFonts w:hint="eastAsia" w:ascii="宋体" w:hAnsi="宋体" w:eastAsia="宋体" w:cs="宋体"/>
                <w:sz w:val="24"/>
                <w:szCs w:val="24"/>
                <w:lang w:val="en-US" w:eastAsia="zh-CN" w:bidi="ar"/>
              </w:rPr>
              <w:t>4</w:t>
            </w:r>
            <w:r>
              <w:rPr>
                <w:rFonts w:hint="eastAsia" w:ascii="宋体" w:hAnsi="宋体" w:eastAsia="宋体" w:cs="宋体"/>
                <w:sz w:val="24"/>
                <w:szCs w:val="24"/>
                <w:lang w:bidi="ar"/>
              </w:rPr>
              <w:t>分。</w:t>
            </w:r>
          </w:p>
          <w:p>
            <w:pPr>
              <w:pStyle w:val="14"/>
              <w:keepNext w:val="0"/>
              <w:keepLines w:val="0"/>
              <w:pageBreakBefore w:val="0"/>
              <w:widowControl w:val="0"/>
              <w:kinsoku/>
              <w:wordWrap/>
              <w:overflowPunct/>
              <w:topLinePunct w:val="0"/>
              <w:autoSpaceDE/>
              <w:autoSpaceDN/>
              <w:bidi w:val="0"/>
              <w:adjustRightInd/>
              <w:snapToGrid/>
              <w:spacing w:after="0" w:afterLines="0" w:line="440" w:lineRule="exact"/>
              <w:textAlignment w:val="auto"/>
              <w:rPr>
                <w:rFonts w:hint="eastAsia" w:ascii="宋体" w:hAnsi="宋体" w:eastAsia="宋体" w:cs="宋体"/>
                <w:sz w:val="24"/>
                <w:szCs w:val="24"/>
                <w:lang w:bidi="ar"/>
              </w:rPr>
            </w:pPr>
            <w:r>
              <w:rPr>
                <w:rFonts w:hint="eastAsia" w:ascii="宋体" w:hAnsi="宋体" w:eastAsia="宋体" w:cs="宋体"/>
                <w:b/>
                <w:bCs/>
                <w:sz w:val="24"/>
                <w:szCs w:val="24"/>
                <w:lang w:bidi="ar"/>
              </w:rPr>
              <w:t>注：提供合同清晰的扫描件，未提供的不得分。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jc w:val="center"/>
        </w:trPr>
        <w:tc>
          <w:tcPr>
            <w:tcW w:w="1100" w:type="dxa"/>
            <w:vMerge w:val="continue"/>
            <w:tcBorders>
              <w:left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人员配备</w:t>
            </w:r>
          </w:p>
          <w:p>
            <w:pPr>
              <w:jc w:val="center"/>
              <w:rPr>
                <w:rFonts w:hint="eastAsia" w:ascii="宋体" w:hAnsi="宋体" w:eastAsia="宋体" w:cs="宋体"/>
                <w:bCs/>
                <w:spacing w:val="6"/>
                <w:sz w:val="24"/>
                <w:szCs w:val="24"/>
              </w:rPr>
            </w:pPr>
            <w:r>
              <w:rPr>
                <w:rFonts w:hint="eastAsia" w:ascii="宋体" w:hAnsi="宋体" w:eastAsia="宋体" w:cs="宋体"/>
                <w:b w:val="0"/>
                <w:bCs w:val="0"/>
                <w:sz w:val="24"/>
                <w:szCs w:val="24"/>
              </w:rPr>
              <w:t>（</w:t>
            </w:r>
            <w:r>
              <w:rPr>
                <w:rFonts w:hint="eastAsia" w:ascii="宋体" w:hAnsi="宋体" w:eastAsia="宋体" w:cs="宋体"/>
                <w:b w:val="0"/>
                <w:bCs w:val="0"/>
                <w:sz w:val="24"/>
                <w:szCs w:val="24"/>
                <w:lang w:val="en-US" w:eastAsia="zh-CN"/>
              </w:rPr>
              <w:t>1</w:t>
            </w: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rPr>
              <w:t>分</w:t>
            </w:r>
            <w:r>
              <w:rPr>
                <w:rFonts w:hint="eastAsia" w:ascii="宋体" w:hAnsi="宋体" w:eastAsia="宋体" w:cs="宋体"/>
                <w:sz w:val="24"/>
                <w:szCs w:val="24"/>
              </w:rPr>
              <w:t>）</w:t>
            </w:r>
          </w:p>
        </w:tc>
        <w:tc>
          <w:tcPr>
            <w:tcW w:w="7646" w:type="dxa"/>
            <w:tcBorders>
              <w:top w:val="single" w:color="auto" w:sz="4" w:space="0"/>
              <w:left w:val="single" w:color="auto" w:sz="4" w:space="0"/>
              <w:bottom w:val="single" w:color="auto" w:sz="4" w:space="0"/>
              <w:right w:val="single" w:color="auto" w:sz="4" w:space="0"/>
            </w:tcBorders>
            <w:noWrap w:val="0"/>
            <w:vAlign w:val="center"/>
          </w:tcPr>
          <w:p>
            <w:pPr>
              <w:pStyle w:val="14"/>
              <w:keepNext w:val="0"/>
              <w:keepLines w:val="0"/>
              <w:pageBreakBefore w:val="0"/>
              <w:widowControl w:val="0"/>
              <w:kinsoku/>
              <w:wordWrap/>
              <w:overflowPunct/>
              <w:topLinePunct w:val="0"/>
              <w:autoSpaceDE/>
              <w:autoSpaceDN/>
              <w:bidi w:val="0"/>
              <w:adjustRightInd/>
              <w:snapToGrid/>
              <w:spacing w:after="0" w:afterLines="0" w:line="440" w:lineRule="exact"/>
              <w:textAlignment w:val="auto"/>
              <w:rPr>
                <w:rFonts w:hint="eastAsia" w:ascii="宋体" w:hAnsi="宋体" w:eastAsia="宋体" w:cs="宋体"/>
                <w:sz w:val="24"/>
                <w:szCs w:val="24"/>
              </w:rPr>
            </w:pPr>
            <w:r>
              <w:rPr>
                <w:rFonts w:hint="eastAsia" w:ascii="宋体" w:hAnsi="宋体" w:eastAsia="宋体" w:cs="宋体"/>
                <w:sz w:val="24"/>
                <w:szCs w:val="24"/>
              </w:rPr>
              <w:t>拟派项目团队中（除项目负责人外）：</w:t>
            </w:r>
          </w:p>
          <w:p>
            <w:pPr>
              <w:pStyle w:val="14"/>
              <w:keepNext w:val="0"/>
              <w:keepLines w:val="0"/>
              <w:pageBreakBefore w:val="0"/>
              <w:widowControl w:val="0"/>
              <w:kinsoku/>
              <w:wordWrap/>
              <w:overflowPunct/>
              <w:topLinePunct w:val="0"/>
              <w:autoSpaceDE/>
              <w:autoSpaceDN/>
              <w:bidi w:val="0"/>
              <w:adjustRightInd/>
              <w:snapToGrid/>
              <w:spacing w:after="0" w:afterLines="0" w:line="440" w:lineRule="exact"/>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bidi="ar"/>
              </w:rPr>
              <w:t>项目团队人员中 (不含项目负责人) 具有测绘相关专业高级工程师职称的，每提供一个得</w:t>
            </w:r>
            <w:r>
              <w:rPr>
                <w:rFonts w:hint="eastAsia" w:ascii="宋体" w:hAnsi="宋体" w:cs="宋体"/>
                <w:sz w:val="24"/>
                <w:szCs w:val="24"/>
                <w:lang w:val="en-US" w:eastAsia="zh-CN" w:bidi="ar"/>
              </w:rPr>
              <w:t>2</w:t>
            </w:r>
            <w:r>
              <w:rPr>
                <w:rFonts w:hint="eastAsia" w:ascii="宋体" w:hAnsi="宋体" w:eastAsia="宋体" w:cs="宋体"/>
                <w:sz w:val="24"/>
                <w:szCs w:val="24"/>
                <w:lang w:bidi="ar"/>
              </w:rPr>
              <w:t>分，最多得6分，(</w:t>
            </w:r>
            <w:r>
              <w:rPr>
                <w:rFonts w:hint="eastAsia" w:ascii="宋体" w:hAnsi="宋体" w:eastAsia="宋体" w:cs="宋体"/>
                <w:sz w:val="24"/>
                <w:szCs w:val="24"/>
                <w:lang w:eastAsia="zh-CN" w:bidi="ar"/>
              </w:rPr>
              <w:t>响应文件</w:t>
            </w:r>
            <w:r>
              <w:rPr>
                <w:rFonts w:hint="eastAsia" w:ascii="宋体" w:hAnsi="宋体" w:eastAsia="宋体" w:cs="宋体"/>
                <w:sz w:val="24"/>
                <w:szCs w:val="24"/>
                <w:lang w:bidi="ar"/>
              </w:rPr>
              <w:t>内附职称证扫描件及2022年任意1个月社保缴纳证明)</w:t>
            </w:r>
            <w:r>
              <w:rPr>
                <w:rFonts w:hint="eastAsia" w:ascii="宋体" w:hAnsi="宋体" w:eastAsia="宋体" w:cs="宋体"/>
                <w:sz w:val="24"/>
                <w:szCs w:val="24"/>
              </w:rPr>
              <w:t>；</w:t>
            </w:r>
          </w:p>
          <w:p>
            <w:pPr>
              <w:pStyle w:val="14"/>
              <w:keepNext w:val="0"/>
              <w:keepLines w:val="0"/>
              <w:pageBreakBefore w:val="0"/>
              <w:widowControl w:val="0"/>
              <w:kinsoku/>
              <w:wordWrap/>
              <w:overflowPunct/>
              <w:topLinePunct w:val="0"/>
              <w:autoSpaceDE/>
              <w:autoSpaceDN/>
              <w:bidi w:val="0"/>
              <w:adjustRightInd/>
              <w:snapToGrid/>
              <w:spacing w:after="0" w:afterLines="0" w:line="440" w:lineRule="exact"/>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bidi="ar"/>
              </w:rPr>
              <w:t>项目团队人员中 (不含项目负责人) 具有测绘相关专业工程师中级职称的，每提供一个得1分，最多得4分，(</w:t>
            </w:r>
            <w:r>
              <w:rPr>
                <w:rFonts w:hint="eastAsia" w:ascii="宋体" w:hAnsi="宋体" w:eastAsia="宋体" w:cs="宋体"/>
                <w:sz w:val="24"/>
                <w:szCs w:val="24"/>
                <w:lang w:eastAsia="zh-CN" w:bidi="ar"/>
              </w:rPr>
              <w:t>响应文件</w:t>
            </w:r>
            <w:r>
              <w:rPr>
                <w:rFonts w:hint="eastAsia" w:ascii="宋体" w:hAnsi="宋体" w:eastAsia="宋体" w:cs="宋体"/>
                <w:sz w:val="24"/>
                <w:szCs w:val="24"/>
                <w:lang w:bidi="ar"/>
              </w:rPr>
              <w:t>内附职称证扫描件及2022年任意1个月社保缴纳证明)。</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Cs/>
                <w:spacing w:val="6"/>
                <w:sz w:val="24"/>
                <w:szCs w:val="24"/>
              </w:rPr>
            </w:pPr>
            <w:r>
              <w:rPr>
                <w:rFonts w:hint="eastAsia" w:ascii="宋体" w:hAnsi="宋体" w:eastAsia="宋体" w:cs="宋体"/>
                <w:sz w:val="24"/>
                <w:szCs w:val="24"/>
              </w:rPr>
              <w:t>3.</w:t>
            </w:r>
            <w:r>
              <w:rPr>
                <w:rFonts w:hint="eastAsia" w:ascii="宋体" w:hAnsi="宋体" w:eastAsia="宋体" w:cs="宋体"/>
                <w:sz w:val="24"/>
                <w:szCs w:val="24"/>
                <w:lang w:bidi="ar"/>
              </w:rPr>
              <w:t>项目团队人员中 (不含项目负责人) 具有测绘地理信息安全保密证书或地理信息安全保密培训合格证明的，每提供一个得 1分，最多得</w:t>
            </w:r>
            <w:r>
              <w:rPr>
                <w:rFonts w:hint="eastAsia" w:ascii="宋体" w:hAnsi="宋体" w:cs="宋体"/>
                <w:sz w:val="24"/>
                <w:szCs w:val="24"/>
                <w:lang w:val="en-US" w:eastAsia="zh-CN" w:bidi="ar"/>
              </w:rPr>
              <w:t>2</w:t>
            </w:r>
            <w:r>
              <w:rPr>
                <w:rFonts w:hint="eastAsia" w:ascii="宋体" w:hAnsi="宋体" w:eastAsia="宋体" w:cs="宋体"/>
                <w:sz w:val="24"/>
                <w:szCs w:val="24"/>
                <w:lang w:bidi="ar"/>
              </w:rPr>
              <w:t>分，(</w:t>
            </w:r>
            <w:r>
              <w:rPr>
                <w:rFonts w:hint="eastAsia" w:ascii="宋体" w:hAnsi="宋体" w:eastAsia="宋体" w:cs="宋体"/>
                <w:sz w:val="24"/>
                <w:szCs w:val="24"/>
                <w:lang w:eastAsia="zh-CN" w:bidi="ar"/>
              </w:rPr>
              <w:t>响应文件</w:t>
            </w:r>
            <w:r>
              <w:rPr>
                <w:rFonts w:hint="eastAsia" w:ascii="宋体" w:hAnsi="宋体" w:eastAsia="宋体" w:cs="宋体"/>
                <w:sz w:val="24"/>
                <w:szCs w:val="24"/>
                <w:lang w:bidi="ar"/>
              </w:rPr>
              <w:t>内附证书扫描件及2022年任意1个月社保缴纳证明)。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jc w:val="center"/>
        </w:trPr>
        <w:tc>
          <w:tcPr>
            <w:tcW w:w="1100" w:type="dxa"/>
            <w:vMerge w:val="continue"/>
            <w:tcBorders>
              <w:left w:val="single" w:color="auto" w:sz="4" w:space="0"/>
              <w:bottom w:val="single" w:color="auto" w:sz="4" w:space="0"/>
              <w:right w:val="single" w:color="auto" w:sz="4" w:space="0"/>
            </w:tcBorders>
            <w:noWrap w:val="0"/>
            <w:vAlign w:val="center"/>
          </w:tcPr>
          <w:p>
            <w:pPr>
              <w:jc w:val="left"/>
              <w:rPr>
                <w:rFonts w:hint="eastAsia" w:ascii="宋体" w:hAnsi="宋体" w:eastAsia="宋体" w:cs="宋体"/>
                <w:bCs/>
                <w:spacing w:val="6"/>
                <w:sz w:val="24"/>
                <w:szCs w:val="24"/>
              </w:rPr>
            </w:pPr>
          </w:p>
        </w:tc>
        <w:tc>
          <w:tcPr>
            <w:tcW w:w="12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b w:val="0"/>
                <w:bCs w:val="0"/>
                <w:sz w:val="24"/>
                <w:szCs w:val="24"/>
              </w:rPr>
            </w:pPr>
            <w:r>
              <w:rPr>
                <w:rFonts w:hint="eastAsia" w:ascii="宋体" w:hAnsi="宋体" w:eastAsia="宋体" w:cs="宋体"/>
                <w:b w:val="0"/>
                <w:bCs w:val="0"/>
                <w:sz w:val="24"/>
                <w:szCs w:val="24"/>
              </w:rPr>
              <w:t>企业荣誉</w:t>
            </w:r>
          </w:p>
          <w:p>
            <w:pPr>
              <w:jc w:val="center"/>
              <w:rPr>
                <w:rFonts w:hint="eastAsia" w:ascii="宋体" w:hAnsi="宋体" w:eastAsia="宋体" w:cs="宋体"/>
                <w:bCs/>
                <w:spacing w:val="6"/>
                <w:sz w:val="24"/>
                <w:szCs w:val="24"/>
              </w:rPr>
            </w:pPr>
            <w:r>
              <w:rPr>
                <w:rFonts w:hint="eastAsia" w:ascii="宋体" w:hAnsi="宋体" w:eastAsia="宋体" w:cs="宋体"/>
                <w:b w:val="0"/>
                <w:bCs w:val="0"/>
                <w:sz w:val="24"/>
                <w:szCs w:val="24"/>
              </w:rPr>
              <w:t>（</w:t>
            </w: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rPr>
              <w:t>分）</w:t>
            </w:r>
          </w:p>
        </w:tc>
        <w:tc>
          <w:tcPr>
            <w:tcW w:w="764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自2019年以来</w:t>
            </w:r>
            <w:r>
              <w:rPr>
                <w:rFonts w:hint="eastAsia" w:ascii="宋体" w:hAnsi="宋体" w:cs="宋体"/>
                <w:sz w:val="24"/>
                <w:szCs w:val="24"/>
                <w:lang w:eastAsia="zh-CN"/>
              </w:rPr>
              <w:t>具有优质测绘工程奖获奖证书</w:t>
            </w:r>
            <w:r>
              <w:rPr>
                <w:rFonts w:hint="eastAsia" w:ascii="宋体" w:hAnsi="宋体" w:eastAsia="宋体" w:cs="宋体"/>
                <w:sz w:val="24"/>
                <w:szCs w:val="24"/>
              </w:rPr>
              <w:t>的，每提供</w:t>
            </w:r>
            <w:r>
              <w:rPr>
                <w:rFonts w:hint="eastAsia" w:ascii="宋体" w:hAnsi="宋体" w:cs="宋体"/>
                <w:sz w:val="24"/>
                <w:szCs w:val="24"/>
                <w:lang w:eastAsia="zh-CN"/>
              </w:rPr>
              <w:t>一</w:t>
            </w:r>
            <w:r>
              <w:rPr>
                <w:rFonts w:hint="eastAsia" w:ascii="宋体" w:hAnsi="宋体" w:eastAsia="宋体" w:cs="宋体"/>
                <w:sz w:val="24"/>
                <w:szCs w:val="24"/>
              </w:rPr>
              <w:t>个得1分，最多得</w:t>
            </w:r>
            <w:r>
              <w:rPr>
                <w:rFonts w:hint="eastAsia" w:ascii="宋体" w:hAnsi="宋体" w:cs="宋体"/>
                <w:sz w:val="24"/>
                <w:szCs w:val="24"/>
                <w:lang w:val="en-US" w:eastAsia="zh-CN"/>
              </w:rPr>
              <w:t>4</w:t>
            </w:r>
            <w:r>
              <w:rPr>
                <w:rFonts w:hint="eastAsia" w:ascii="宋体" w:hAnsi="宋体" w:eastAsia="宋体" w:cs="宋体"/>
                <w:sz w:val="24"/>
                <w:szCs w:val="24"/>
              </w:rPr>
              <w:t>分。（</w:t>
            </w:r>
            <w:r>
              <w:rPr>
                <w:rFonts w:hint="eastAsia" w:ascii="宋体" w:hAnsi="宋体" w:eastAsia="宋体" w:cs="宋体"/>
                <w:b/>
                <w:bCs/>
                <w:sz w:val="24"/>
                <w:szCs w:val="24"/>
              </w:rPr>
              <w:t>响应文件中附扫描件或复印件</w:t>
            </w:r>
            <w:r>
              <w:rPr>
                <w:rFonts w:hint="eastAsia" w:ascii="宋体" w:hAnsi="宋体" w:eastAsia="宋体" w:cs="宋体"/>
                <w:sz w:val="24"/>
                <w:szCs w:val="24"/>
              </w:rPr>
              <w:t>）</w:t>
            </w:r>
          </w:p>
        </w:tc>
      </w:tr>
    </w:tbl>
    <w:p>
      <w:pPr>
        <w:spacing w:line="440" w:lineRule="exact"/>
        <w:ind w:left="284"/>
        <w:rPr>
          <w:rFonts w:hint="eastAsia" w:ascii="宋体" w:hAnsi="宋体" w:cs="宋体"/>
          <w:szCs w:val="21"/>
        </w:rPr>
      </w:pPr>
    </w:p>
    <w:p>
      <w:pPr>
        <w:spacing w:line="440" w:lineRule="exact"/>
        <w:ind w:left="284"/>
        <w:rPr>
          <w:rFonts w:hint="eastAsia" w:ascii="宋体" w:hAnsi="宋体" w:cs="宋体"/>
          <w:szCs w:val="21"/>
        </w:rPr>
      </w:pPr>
      <w:r>
        <w:rPr>
          <w:rFonts w:hint="eastAsia" w:ascii="宋体" w:hAnsi="宋体" w:cs="宋体"/>
          <w:szCs w:val="21"/>
        </w:rPr>
        <w:t>注：</w:t>
      </w:r>
    </w:p>
    <w:p>
      <w:pPr>
        <w:spacing w:line="440" w:lineRule="exact"/>
        <w:ind w:left="284"/>
        <w:rPr>
          <w:rFonts w:hint="eastAsia" w:ascii="宋体" w:hAnsi="宋体" w:cs="宋体"/>
          <w:szCs w:val="21"/>
        </w:rPr>
      </w:pPr>
      <w:r>
        <w:rPr>
          <w:rFonts w:hint="eastAsia" w:ascii="宋体" w:hAnsi="宋体" w:cs="宋体"/>
          <w:szCs w:val="21"/>
        </w:rPr>
        <w:t>1.评分办法中要求的所有证明材料均需按要求附响应文件中，否则不得分。</w:t>
      </w:r>
    </w:p>
    <w:p>
      <w:pPr>
        <w:spacing w:line="440" w:lineRule="exact"/>
        <w:ind w:firstLine="210" w:firstLineChars="100"/>
        <w:rPr>
          <w:rFonts w:hint="eastAsia" w:ascii="宋体" w:hAnsi="宋体" w:cs="宋体"/>
          <w:szCs w:val="21"/>
        </w:rPr>
      </w:pPr>
      <w:r>
        <w:rPr>
          <w:rFonts w:hint="eastAsia" w:ascii="宋体" w:hAnsi="宋体" w:cs="宋体"/>
          <w:szCs w:val="21"/>
        </w:rPr>
        <w:t>2.评审时，磋商小组各成员应当独立对每个有效响应的文件进行评价、打分，然后汇总每个供应商每项评分因素的得分，取各磋商小组各成员评分的算术平均数作为供应商的评审最后得分。</w:t>
      </w:r>
    </w:p>
    <w:p>
      <w:pPr>
        <w:spacing w:line="440" w:lineRule="exact"/>
        <w:ind w:left="284"/>
        <w:rPr>
          <w:rFonts w:hint="eastAsia" w:ascii="宋体" w:hAnsi="宋体" w:cs="宋体"/>
          <w:szCs w:val="21"/>
        </w:rPr>
      </w:pPr>
      <w:r>
        <w:rPr>
          <w:rFonts w:hint="eastAsia" w:ascii="宋体" w:hAnsi="宋体" w:cs="宋体"/>
          <w:szCs w:val="21"/>
        </w:rPr>
        <w:t>3.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spacing w:line="440" w:lineRule="exact"/>
        <w:ind w:left="284"/>
        <w:rPr>
          <w:rFonts w:hint="eastAsia" w:ascii="宋体" w:hAnsi="宋体" w:cs="宋体"/>
          <w:szCs w:val="21"/>
        </w:rPr>
      </w:pPr>
      <w:r>
        <w:rPr>
          <w:rFonts w:hint="eastAsia" w:ascii="宋体" w:hAnsi="宋体" w:cs="宋体"/>
          <w:szCs w:val="21"/>
        </w:rPr>
        <w:t>4.评分分值及计算结果精确到小数点后二位，二位以后四舍五入。</w:t>
      </w:r>
    </w:p>
    <w:p>
      <w:pPr>
        <w:pStyle w:val="2"/>
        <w:rPr>
          <w:rFonts w:hint="eastAsia" w:ascii="宋体" w:hAnsi="宋体" w:cs="宋体"/>
          <w:szCs w:val="21"/>
        </w:rPr>
      </w:pPr>
    </w:p>
    <w:bookmarkEnd w:id="75"/>
    <w:bookmarkEnd w:id="76"/>
    <w:p>
      <w:pPr>
        <w:rPr>
          <w:rFonts w:hint="eastAsia"/>
        </w:rPr>
        <w:sectPr>
          <w:pgSz w:w="11906" w:h="16838"/>
          <w:pgMar w:top="1134" w:right="1134" w:bottom="1134" w:left="1474" w:header="851" w:footer="510" w:gutter="0"/>
          <w:cols w:space="720" w:num="1"/>
          <w:docGrid w:type="lines" w:linePitch="312" w:charSpace="0"/>
        </w:sectPr>
      </w:pPr>
      <w:bookmarkStart w:id="77" w:name="_Toc113459850"/>
      <w:bookmarkStart w:id="78" w:name="_Toc115021828"/>
      <w:bookmarkStart w:id="79" w:name="_Toc7461"/>
    </w:p>
    <w:p>
      <w:pPr>
        <w:pStyle w:val="33"/>
        <w:numPr>
          <w:ilvl w:val="0"/>
          <w:numId w:val="1"/>
        </w:numPr>
        <w:spacing w:before="0" w:after="0" w:line="360" w:lineRule="auto"/>
        <w:ind w:firstLine="0"/>
        <w:rPr>
          <w:rFonts w:hint="eastAsia" w:ascii="宋体" w:hAnsi="宋体" w:cs="宋体"/>
        </w:rPr>
      </w:pPr>
      <w:r>
        <w:rPr>
          <w:rFonts w:hint="eastAsia" w:ascii="宋体" w:hAnsi="宋体" w:cs="宋体"/>
        </w:rPr>
        <w:t>拟签订的合同</w:t>
      </w:r>
      <w:bookmarkStart w:id="80" w:name="_Toc214329890"/>
      <w:bookmarkStart w:id="81" w:name="_Toc153880771"/>
      <w:bookmarkStart w:id="82" w:name="_Toc218418181"/>
      <w:bookmarkStart w:id="83" w:name="_Toc373230031"/>
      <w:bookmarkStart w:id="84" w:name="_Toc374512418"/>
      <w:r>
        <w:rPr>
          <w:rFonts w:hint="eastAsia" w:ascii="宋体" w:hAnsi="宋体" w:cs="宋体"/>
        </w:rPr>
        <w:t>文本</w:t>
      </w:r>
      <w:bookmarkEnd w:id="77"/>
      <w:bookmarkEnd w:id="78"/>
    </w:p>
    <w:p>
      <w:pPr>
        <w:jc w:val="center"/>
        <w:rPr>
          <w:rFonts w:hint="eastAsia" w:ascii="宋体" w:hAnsi="宋体"/>
          <w:sz w:val="28"/>
          <w:szCs w:val="24"/>
        </w:rPr>
      </w:pPr>
      <w:r>
        <w:rPr>
          <w:rFonts w:hint="eastAsia" w:ascii="宋体" w:hAnsi="宋体"/>
          <w:sz w:val="28"/>
          <w:szCs w:val="24"/>
        </w:rPr>
        <w:t>（仅供参考）</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委托方（甲方）：                                         </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受托方（乙方）：                                         </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为顺利完成项目规划编制工作，根据《中华人民共和国民法典》、《中华人民共和国政府采购法》等有关规定，甲方委托乙方完成项目工作，经双方协商一致，签订本合同。</w:t>
      </w:r>
    </w:p>
    <w:p>
      <w:pPr>
        <w:spacing w:line="560" w:lineRule="exact"/>
        <w:ind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rPr>
        <w:t>第一条　项目名称</w:t>
      </w:r>
      <w:r>
        <w:rPr>
          <w:rFonts w:hint="eastAsia" w:ascii="宋体" w:hAnsi="宋体" w:eastAsia="宋体" w:cs="宋体"/>
          <w:sz w:val="24"/>
          <w:szCs w:val="24"/>
          <w:lang w:val="en-US" w:eastAsia="zh-CN"/>
        </w:rPr>
        <w:t>:</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第二条  服务内容及要求</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【服务内容】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【服务期限】 本合同履行期限                       。</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【服务要求】 乙方按照本合同约定期限，提供本条所列服务内容，应当满足如下服务要求：</w:t>
      </w:r>
      <w:r>
        <w:rPr>
          <w:rFonts w:hint="eastAsia" w:ascii="宋体" w:hAnsi="宋体" w:eastAsia="宋体" w:cs="宋体"/>
          <w:sz w:val="24"/>
          <w:szCs w:val="24"/>
          <w:lang w:val="en-US" w:eastAsia="zh-CN"/>
        </w:rPr>
        <w:t xml:space="preserve">             </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第三条  技术依据</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第四条 服务的验收及评价</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第五条 合同价款</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根据中标结果，本项目技术服务费人民币（大写）：       </w:t>
      </w:r>
      <w:r>
        <w:rPr>
          <w:rFonts w:hint="eastAsia" w:ascii="宋体" w:hAnsi="宋体" w:eastAsia="宋体" w:cs="宋体"/>
          <w:sz w:val="24"/>
          <w:szCs w:val="24"/>
        </w:rPr>
        <w:tab/>
      </w:r>
      <w:r>
        <w:rPr>
          <w:rFonts w:hint="eastAsia" w:ascii="宋体" w:hAnsi="宋体" w:eastAsia="宋体" w:cs="宋体"/>
          <w:sz w:val="24"/>
          <w:szCs w:val="24"/>
        </w:rPr>
        <w:t>￥：           ，合同价款包括完成合同内容的所有工作及其成果而产生的全部费用和税金。</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付款方式</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1、本合同项下所有款项均以人民币支付。</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2、乙方向甲方提交下列文件材料，经甲方审核无误后支付采购价款：</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（1）经甲方确认的发票；</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（2）甲方要求的其他相关材料。</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3、【收款账户】乙方开户名称为：                  ；开户银行为：</w:t>
      </w:r>
      <w:r>
        <w:rPr>
          <w:rFonts w:hint="eastAsia" w:ascii="宋体" w:hAnsi="宋体" w:eastAsia="宋体" w:cs="宋体"/>
          <w:sz w:val="24"/>
          <w:szCs w:val="24"/>
        </w:rPr>
        <w:tab/>
      </w:r>
      <w:r>
        <w:rPr>
          <w:rFonts w:hint="eastAsia" w:ascii="宋体" w:hAnsi="宋体" w:eastAsia="宋体" w:cs="宋体"/>
          <w:sz w:val="24"/>
          <w:szCs w:val="24"/>
        </w:rPr>
        <w:t xml:space="preserve">              ；银行账号为：</w:t>
      </w:r>
      <w:r>
        <w:rPr>
          <w:rFonts w:hint="eastAsia" w:ascii="宋体" w:hAnsi="宋体" w:eastAsia="宋体" w:cs="宋体"/>
          <w:sz w:val="24"/>
          <w:szCs w:val="24"/>
        </w:rPr>
        <w:tab/>
      </w:r>
      <w:r>
        <w:rPr>
          <w:rFonts w:hint="eastAsia" w:ascii="宋体" w:hAnsi="宋体" w:eastAsia="宋体" w:cs="宋体"/>
          <w:sz w:val="24"/>
          <w:szCs w:val="24"/>
        </w:rPr>
        <w:t xml:space="preserve">                  。</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4、款项的支付进度以招标采购文件的有关规定为准。</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双方责任与义务</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（一）甲方责任与义务</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1、自合同签订之日起向乙方提供有关资料和提出技术要求。</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2、为编制人提供方便条件和进行必要的配合，协助进行资料收集等工作。</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3、因甲方原因，不按规定的范围内容和标准而造成质量不合格时，责任由甲方承担，并支付乙方全部编制费用。</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4、合同签订后，如甲方擅自终止合同，甲方应按已完成工作量支付项目款，并赔偿总编制费用    %的违约金。</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5、甲方负责协调政府相关职能部门沟通、评审等工作，确保规划编制工作顺利开展。</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6、甲方按照合同约定方式和要求支付工作费用。</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（二）乙方责任与义务</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1、本合同范围内的服务，由乙方直接提供，不得转包或分包。</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2、乙方要组建项目编制团队，委派一名项目经理负责本项目的管理，不得随意调换，以保证本规划编制工作的质量、进度、安全。</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3、乙方有权拒绝合同以外的工作，但在规划编制过程中可以向甲方提出合理化建议。</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4、乙方应根据国家、地方相关政策、规划及行业标准或指南，科学开展规划编制工作，要对服务成果的真实性、准确性、完整性、合法性、合理性负责，按时向甲方提交合格的成果资料。</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5、乙方应配合甲方接受上级有关部门审查、专家评审、验收等工作，及时响应要求、随时汇报、反复修改论证以及短期内提交成果等特殊要求。</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6、未经甲方同意，乙方不得将甲方的资料、文件、成果擅自修改、复制或向第三方转让或用于本合同项目以外的事项。否则，造成的一切后果由乙方承担。</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第八条 违约责任</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1、甲方无正当理由拒绝接受服务的，甲方向乙方偿付合同款项的</w:t>
      </w:r>
      <w:r>
        <w:rPr>
          <w:rFonts w:hint="eastAsia" w:ascii="宋体" w:hAnsi="宋体" w:eastAsia="宋体" w:cs="宋体"/>
          <w:sz w:val="24"/>
          <w:szCs w:val="24"/>
          <w:u w:val="single"/>
        </w:rPr>
        <w:t xml:space="preserve">        </w:t>
      </w:r>
      <w:r>
        <w:rPr>
          <w:rFonts w:hint="eastAsia" w:ascii="宋体" w:hAnsi="宋体" w:eastAsia="宋体" w:cs="宋体"/>
          <w:sz w:val="24"/>
          <w:szCs w:val="24"/>
        </w:rPr>
        <w:t>作为违约金。</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2、甲方无故逾期验收和办理款项支付手续的，应按逾期付款金额每日</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向乙方支付违约金。</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3、乙方未能如期提供服务的，每日向甲方支付合同款项的</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的违约金，乙方超过约定日期</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个工作日人不能提供服务的，甲方有权解除合同，乙方还应向甲方支付合同款项</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的违约金。</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4、乙方提供的成果经专家不能满足采购文件要求和技术标准，或因乙方过错造成合同无法继续履行的，乙方应向甲方支付不少于合同总价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的违约金。</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第九条 成果提交</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按照有关文件要求，提交……等成果。</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第十条 争议解决</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合同履行过程中发生争议时，甲乙双方应及时协商解决。双方未达成一致的，可以向甲方属地人民法院起诉。</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第十一条　其他</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1、政府采购文件，乙方投标文件，中标通知书，乙方在评标过程中作出的澄清、说明、承诺等，政府采购委托协议书，均视为合同不可分割部分。</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2、本合同未尽事宜，由甲乙双方签订补充协议，与本合同具有同等法律效力。</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3、由于不可抗拒因素致使合同无法履行或延期履行，双方应及时协商解决。</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4、双方认可的传真、会议纪要等有关材料，视为合同组成部分，与本合同具有同等法律效力。</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5、本合同双方签字盖章后生效，一式陆份，甲乙双方各执叁份，合同履行完自动失效。</w:t>
      </w:r>
    </w:p>
    <w:p>
      <w:pPr>
        <w:spacing w:line="560" w:lineRule="exact"/>
        <w:ind w:firstLine="480" w:firstLineChars="200"/>
        <w:jc w:val="left"/>
        <w:rPr>
          <w:rFonts w:hint="eastAsia" w:ascii="宋体" w:hAnsi="宋体" w:eastAsia="宋体" w:cs="宋体"/>
          <w:sz w:val="24"/>
          <w:szCs w:val="24"/>
        </w:rPr>
      </w:pP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　　　　　　　　　     乙方：　</w:t>
      </w:r>
    </w:p>
    <w:p>
      <w:pPr>
        <w:spacing w:line="560" w:lineRule="exact"/>
        <w:ind w:firstLine="240" w:firstLineChars="100"/>
        <w:jc w:val="left"/>
        <w:rPr>
          <w:rFonts w:hint="eastAsia" w:ascii="宋体" w:hAnsi="宋体" w:eastAsia="宋体" w:cs="宋体"/>
          <w:sz w:val="24"/>
          <w:szCs w:val="24"/>
        </w:rPr>
      </w:pPr>
      <w:r>
        <w:rPr>
          <w:rFonts w:hint="eastAsia" w:ascii="宋体" w:hAnsi="宋体" w:eastAsia="宋体" w:cs="宋体"/>
          <w:sz w:val="24"/>
          <w:szCs w:val="24"/>
        </w:rPr>
        <w:t>（盖章）　　　　　 　　　　　（盖章）</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　　　　法定代表人：（签字）</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电　　话：　　　　　　　　　电　　　话：</w:t>
      </w:r>
    </w:p>
    <w:p>
      <w:pPr>
        <w:spacing w:line="56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开户银行：　　　　　　　　　开户银行：</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银行帐号：　　　　　　　　　银行帐号：</w:t>
      </w:r>
    </w:p>
    <w:p>
      <w:pPr>
        <w:rPr>
          <w:rFonts w:hint="eastAsia"/>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pStyle w:val="21"/>
        <w:spacing w:line="440" w:lineRule="exact"/>
        <w:rPr>
          <w:rFonts w:hint="eastAsia" w:cs="宋体"/>
          <w:sz w:val="21"/>
          <w:szCs w:val="21"/>
        </w:rPr>
      </w:pPr>
    </w:p>
    <w:p>
      <w:pPr>
        <w:rPr>
          <w:rFonts w:hint="eastAsia" w:cs="宋体"/>
          <w:sz w:val="21"/>
          <w:szCs w:val="21"/>
        </w:rPr>
      </w:pPr>
      <w:r>
        <w:rPr>
          <w:rFonts w:hint="eastAsia" w:cs="宋体"/>
          <w:sz w:val="21"/>
          <w:szCs w:val="21"/>
        </w:rPr>
        <w:br w:type="page"/>
      </w:r>
    </w:p>
    <w:bookmarkEnd w:id="80"/>
    <w:bookmarkEnd w:id="81"/>
    <w:bookmarkEnd w:id="82"/>
    <w:bookmarkEnd w:id="83"/>
    <w:bookmarkEnd w:id="84"/>
    <w:p>
      <w:pPr>
        <w:pStyle w:val="33"/>
        <w:numPr>
          <w:ilvl w:val="0"/>
          <w:numId w:val="1"/>
        </w:numPr>
        <w:spacing w:before="0" w:after="0" w:line="360" w:lineRule="auto"/>
        <w:ind w:firstLine="0"/>
        <w:rPr>
          <w:rFonts w:hint="eastAsia" w:ascii="宋体" w:hAnsi="宋体" w:cs="宋体"/>
        </w:rPr>
      </w:pPr>
      <w:bookmarkStart w:id="85" w:name="_Toc115021829"/>
      <w:r>
        <w:rPr>
          <w:rFonts w:hint="eastAsia" w:ascii="宋体" w:hAnsi="宋体" w:cs="宋体"/>
        </w:rPr>
        <w:t>采购需求</w:t>
      </w:r>
      <w:bookmarkEnd w:id="79"/>
      <w:bookmarkEnd w:id="85"/>
    </w:p>
    <w:p>
      <w:pPr>
        <w:spacing w:line="360" w:lineRule="auto"/>
        <w:rPr>
          <w:rFonts w:hint="eastAsia" w:ascii="宋体" w:hAnsi="宋体" w:cs="宋体"/>
          <w:b/>
          <w:sz w:val="21"/>
          <w:szCs w:val="21"/>
          <w:lang w:val="en-US" w:eastAsia="zh-CN"/>
        </w:rPr>
      </w:pPr>
      <w:bookmarkStart w:id="86" w:name="_Toc373230032"/>
      <w:bookmarkStart w:id="87" w:name="_Toc487805927"/>
      <w:bookmarkStart w:id="88" w:name="_Toc477423251"/>
      <w:bookmarkStart w:id="89" w:name="_Toc11229"/>
      <w:bookmarkStart w:id="90" w:name="_Toc4426"/>
      <w:bookmarkStart w:id="91" w:name="_Toc374512420"/>
      <w:r>
        <w:rPr>
          <w:rFonts w:hint="eastAsia" w:ascii="宋体" w:hAnsi="宋体" w:cs="宋体"/>
          <w:b/>
          <w:sz w:val="21"/>
          <w:szCs w:val="21"/>
        </w:rPr>
        <w:t>一、</w:t>
      </w:r>
      <w:r>
        <w:rPr>
          <w:rFonts w:hint="eastAsia" w:ascii="宋体" w:hAnsi="宋体" w:cs="宋体"/>
          <w:b/>
          <w:sz w:val="21"/>
          <w:szCs w:val="21"/>
          <w:lang w:val="en-US" w:eastAsia="zh-CN"/>
        </w:rPr>
        <w:t>项目概况：园地、林地、草地分等定级工作将为进一步完善自然资源资产分等定级价格评价评估工作，摸清园地、林地、草地资源质量公布情况，显化自然资产价值。</w:t>
      </w:r>
    </w:p>
    <w:p>
      <w:pPr>
        <w:spacing w:line="360" w:lineRule="auto"/>
        <w:rPr>
          <w:rFonts w:hint="eastAsia" w:ascii="宋体" w:hAnsi="宋体" w:cs="宋体"/>
          <w:b/>
          <w:sz w:val="21"/>
          <w:szCs w:val="21"/>
        </w:rPr>
      </w:pPr>
      <w:r>
        <w:rPr>
          <w:rFonts w:hint="eastAsia" w:ascii="宋体" w:hAnsi="宋体" w:cs="宋体"/>
          <w:b/>
          <w:sz w:val="21"/>
          <w:szCs w:val="21"/>
          <w:lang w:val="en-US" w:eastAsia="zh-CN"/>
        </w:rPr>
        <w:t>二、</w:t>
      </w:r>
      <w:r>
        <w:rPr>
          <w:rFonts w:hint="eastAsia" w:ascii="宋体" w:hAnsi="宋体" w:cs="宋体"/>
          <w:b/>
          <w:sz w:val="21"/>
          <w:szCs w:val="21"/>
        </w:rPr>
        <w:t>商务要求</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auto"/>
          <w:szCs w:val="21"/>
        </w:rPr>
      </w:pPr>
      <w:r>
        <w:rPr>
          <w:rFonts w:hint="eastAsia" w:ascii="宋体" w:hAnsi="宋体"/>
          <w:color w:val="auto"/>
          <w:szCs w:val="21"/>
        </w:rPr>
        <w:t>1.</w:t>
      </w:r>
      <w:r>
        <w:rPr>
          <w:rFonts w:hint="eastAsia" w:ascii="宋体" w:hAnsi="宋体"/>
          <w:color w:val="auto"/>
          <w:szCs w:val="21"/>
          <w:lang w:eastAsia="zh-CN"/>
        </w:rPr>
        <w:t>合同履行期限</w:t>
      </w:r>
      <w:r>
        <w:rPr>
          <w:rFonts w:hint="eastAsia" w:ascii="宋体" w:hAnsi="宋体"/>
          <w:color w:val="auto"/>
          <w:szCs w:val="21"/>
        </w:rPr>
        <w:t>：</w:t>
      </w:r>
      <w:r>
        <w:rPr>
          <w:rFonts w:hint="eastAsia" w:ascii="宋体" w:hAnsi="宋体"/>
          <w:color w:val="auto"/>
          <w:szCs w:val="21"/>
          <w:lang w:val="en-US" w:eastAsia="zh-CN"/>
        </w:rPr>
        <w:t>2022年12月底完成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auto"/>
          <w:szCs w:val="21"/>
        </w:rPr>
      </w:pPr>
      <w:r>
        <w:rPr>
          <w:rFonts w:hint="eastAsia" w:ascii="宋体" w:hAnsi="宋体"/>
          <w:color w:val="auto"/>
          <w:szCs w:val="21"/>
        </w:rPr>
        <w:t>2.</w:t>
      </w:r>
      <w:r>
        <w:rPr>
          <w:rFonts w:hint="eastAsia" w:ascii="宋体" w:hAnsi="宋体"/>
          <w:color w:val="auto"/>
          <w:szCs w:val="21"/>
          <w:lang w:eastAsia="zh-CN"/>
        </w:rPr>
        <w:t>服务</w:t>
      </w:r>
      <w:r>
        <w:rPr>
          <w:rFonts w:hint="eastAsia" w:ascii="宋体" w:hAnsi="宋体"/>
          <w:color w:val="auto"/>
          <w:szCs w:val="21"/>
        </w:rPr>
        <w:t>地点：</w:t>
      </w:r>
      <w:r>
        <w:rPr>
          <w:rFonts w:hint="eastAsia" w:ascii="宋体" w:hAnsi="宋体"/>
          <w:color w:val="auto"/>
          <w:szCs w:val="21"/>
          <w:lang w:val="en-US" w:eastAsia="zh-CN"/>
        </w:rPr>
        <w:t>武陟县</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auto"/>
          <w:szCs w:val="21"/>
        </w:rPr>
      </w:pPr>
      <w:r>
        <w:rPr>
          <w:rFonts w:hint="eastAsia" w:ascii="宋体" w:hAnsi="宋体"/>
          <w:color w:val="auto"/>
          <w:szCs w:val="21"/>
        </w:rPr>
        <w:t>3.</w:t>
      </w:r>
      <w:r>
        <w:rPr>
          <w:rFonts w:hint="eastAsia" w:ascii="宋体" w:hAnsi="宋体"/>
          <w:color w:val="auto"/>
          <w:szCs w:val="21"/>
          <w:lang w:eastAsia="zh-CN"/>
        </w:rPr>
        <w:t>服务</w:t>
      </w:r>
      <w:r>
        <w:rPr>
          <w:rFonts w:hint="eastAsia" w:ascii="宋体" w:hAnsi="宋体"/>
          <w:color w:val="auto"/>
          <w:szCs w:val="21"/>
        </w:rPr>
        <w:t>标准：</w:t>
      </w:r>
      <w:r>
        <w:rPr>
          <w:rFonts w:hint="eastAsia" w:ascii="宋体" w:hAnsi="宋体"/>
          <w:color w:val="auto"/>
          <w:szCs w:val="21"/>
          <w:lang w:val="en-US" w:eastAsia="zh-CN"/>
        </w:rPr>
        <w:t>符合国家、省、市及地方技术标准和规范并满足采购人要求</w:t>
      </w:r>
      <w:r>
        <w:rPr>
          <w:rFonts w:hint="eastAsia" w:ascii="宋体" w:hAnsi="宋体"/>
          <w:color w:val="auto"/>
          <w:szCs w:val="21"/>
        </w:rPr>
        <w:t xml:space="preserve"> </w:t>
      </w:r>
    </w:p>
    <w:p>
      <w:pPr>
        <w:pStyle w:val="2"/>
        <w:keepNext w:val="0"/>
        <w:keepLines w:val="0"/>
        <w:pageBreakBefore w:val="0"/>
        <w:widowControl w:val="0"/>
        <w:kinsoku/>
        <w:wordWrap/>
        <w:overflowPunct/>
        <w:topLinePunct w:val="0"/>
        <w:autoSpaceDE/>
        <w:autoSpaceDN/>
        <w:bidi w:val="0"/>
        <w:adjustRightInd/>
        <w:snapToGrid/>
        <w:spacing w:after="0" w:afterLines="0" w:line="440" w:lineRule="exact"/>
        <w:ind w:firstLine="420" w:firstLineChars="200"/>
        <w:textAlignment w:val="auto"/>
        <w:rPr>
          <w:rFonts w:hint="eastAsia" w:eastAsia="宋体"/>
          <w:highlight w:val="yellow"/>
          <w:lang w:val="en-US" w:eastAsia="zh-CN"/>
        </w:rPr>
      </w:pPr>
      <w:r>
        <w:rPr>
          <w:rFonts w:hint="eastAsia" w:ascii="宋体" w:hAnsi="宋体"/>
          <w:color w:val="auto"/>
          <w:szCs w:val="21"/>
          <w:lang w:val="en-US" w:eastAsia="zh-CN"/>
        </w:rPr>
        <w:t>4.</w:t>
      </w:r>
      <w:r>
        <w:rPr>
          <w:rFonts w:hint="eastAsia" w:ascii="宋体" w:hAnsi="宋体"/>
          <w:color w:val="auto"/>
          <w:szCs w:val="21"/>
        </w:rPr>
        <w:t>付款方式：项目结束验收合格后一次性付清</w:t>
      </w:r>
      <w:r>
        <w:rPr>
          <w:rFonts w:hint="eastAsia" w:ascii="宋体" w:hAnsi="宋体"/>
          <w:color w:val="auto"/>
          <w:szCs w:val="21"/>
          <w:lang w:eastAsia="zh-CN"/>
        </w:rPr>
        <w:t>。</w:t>
      </w:r>
    </w:p>
    <w:p>
      <w:pPr>
        <w:spacing w:line="360" w:lineRule="auto"/>
        <w:rPr>
          <w:rFonts w:hint="eastAsia" w:ascii="宋体" w:hAnsi="宋体" w:cs="宋体"/>
          <w:b/>
          <w:sz w:val="21"/>
          <w:szCs w:val="21"/>
        </w:rPr>
      </w:pPr>
      <w:r>
        <w:rPr>
          <w:rFonts w:hint="eastAsia" w:ascii="宋体" w:hAnsi="宋体" w:cs="宋体"/>
          <w:b/>
          <w:sz w:val="21"/>
          <w:szCs w:val="21"/>
        </w:rPr>
        <w:t>三、采购内容及技术要求</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本项目采购内容、数量及其有关技术要求如下：</w:t>
      </w:r>
    </w:p>
    <w:p>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一、标的名称：武陟县园地、林地、草地分等定级工作协作单位招标项目；所属行业：</w:t>
      </w:r>
      <w:r>
        <w:rPr>
          <w:rFonts w:hint="eastAsia" w:ascii="宋体" w:hAnsi="宋体" w:eastAsia="宋体" w:cs="宋体"/>
          <w:bCs/>
          <w:color w:val="auto"/>
          <w:kern w:val="0"/>
          <w:sz w:val="21"/>
          <w:szCs w:val="21"/>
          <w:lang w:eastAsia="zh-CN"/>
        </w:rPr>
        <w:t>其他未列明行业</w:t>
      </w:r>
    </w:p>
    <w:p>
      <w:pPr>
        <w:keepNext w:val="0"/>
        <w:keepLines w:val="0"/>
        <w:pageBreakBefore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szCs w:val="21"/>
          <w:lang w:val="en-US" w:eastAsia="zh-CN"/>
        </w:rPr>
      </w:pPr>
      <w:r>
        <w:rPr>
          <w:rFonts w:hint="eastAsia" w:ascii="宋体" w:hAnsi="宋体" w:eastAsia="宋体" w:cs="宋体"/>
          <w:color w:val="auto"/>
          <w:szCs w:val="21"/>
          <w:lang w:val="en-US" w:eastAsia="zh-CN"/>
        </w:rPr>
        <w:t>二、采购内容：园地、林地、草地分等定级工作将为进一步完善自然资源资产分等定级价格评价评估工作，摸清园地、林地、草地资源质量公布情况，显化自然资产价值。</w:t>
      </w:r>
    </w:p>
    <w:p>
      <w:pPr>
        <w:pStyle w:val="2"/>
        <w:keepNext w:val="0"/>
        <w:keepLines w:val="0"/>
        <w:pageBreakBefore w:val="0"/>
        <w:kinsoku/>
        <w:wordWrap/>
        <w:overflowPunct/>
        <w:topLinePunct w:val="0"/>
        <w:autoSpaceDE/>
        <w:autoSpaceDN/>
        <w:bidi w:val="0"/>
        <w:adjustRightInd/>
        <w:snapToGrid/>
        <w:spacing w:after="0" w:afterLines="0" w:line="440" w:lineRule="exact"/>
        <w:ind w:firstLine="420" w:firstLineChars="20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三、技术要求：园地、林地、草地分等定级工作将为进一步完善自然资源资产分等定级价格评价评估工作，摸清园地、林地、草地资源质量公布情况。</w:t>
      </w:r>
    </w:p>
    <w:p>
      <w:pPr>
        <w:pStyle w:val="2"/>
        <w:rPr>
          <w:rFonts w:hint="eastAsia"/>
          <w:sz w:val="24"/>
          <w:szCs w:val="22"/>
        </w:rPr>
      </w:pPr>
    </w:p>
    <w:p>
      <w:pPr>
        <w:pStyle w:val="33"/>
        <w:spacing w:before="0" w:after="0" w:line="360" w:lineRule="auto"/>
        <w:ind w:firstLine="2891" w:firstLineChars="900"/>
        <w:jc w:val="both"/>
        <w:rPr>
          <w:rFonts w:hint="eastAsia" w:ascii="宋体" w:hAnsi="宋体" w:cs="宋体"/>
        </w:rPr>
      </w:pPr>
      <w:bookmarkStart w:id="92" w:name="_Toc20594"/>
    </w:p>
    <w:p>
      <w:pPr>
        <w:pStyle w:val="33"/>
        <w:spacing w:before="0" w:after="0" w:line="360" w:lineRule="auto"/>
        <w:ind w:firstLine="2891" w:firstLineChars="900"/>
        <w:jc w:val="both"/>
        <w:rPr>
          <w:rFonts w:hint="eastAsia" w:ascii="宋体" w:hAnsi="宋体" w:cs="宋体"/>
        </w:rPr>
      </w:pPr>
    </w:p>
    <w:p>
      <w:pPr>
        <w:rPr>
          <w:rFonts w:hint="eastAsia" w:ascii="宋体" w:hAnsi="宋体" w:cs="宋体"/>
        </w:rPr>
      </w:pPr>
    </w:p>
    <w:p>
      <w:pPr>
        <w:rPr>
          <w:rFonts w:hint="eastAsia" w:ascii="宋体" w:hAnsi="宋体" w:cs="宋体"/>
        </w:rPr>
      </w:pPr>
      <w:r>
        <w:rPr>
          <w:rFonts w:hint="eastAsia" w:ascii="宋体" w:hAnsi="宋体" w:cs="宋体"/>
        </w:rPr>
        <w:br w:type="page"/>
      </w:r>
    </w:p>
    <w:bookmarkEnd w:id="86"/>
    <w:bookmarkEnd w:id="87"/>
    <w:bookmarkEnd w:id="88"/>
    <w:bookmarkEnd w:id="89"/>
    <w:bookmarkEnd w:id="90"/>
    <w:bookmarkEnd w:id="91"/>
    <w:bookmarkEnd w:id="92"/>
    <w:p>
      <w:pPr>
        <w:pStyle w:val="33"/>
        <w:spacing w:before="0" w:after="0" w:line="360" w:lineRule="auto"/>
        <w:ind w:firstLine="2891" w:firstLineChars="900"/>
        <w:jc w:val="both"/>
        <w:rPr>
          <w:rFonts w:hint="eastAsia" w:ascii="宋体" w:hAnsi="宋体" w:cs="宋体"/>
        </w:rPr>
      </w:pPr>
      <w:r>
        <w:rPr>
          <w:rFonts w:hint="eastAsia" w:ascii="宋体" w:hAnsi="宋体" w:cs="宋体"/>
        </w:rPr>
        <w:t xml:space="preserve"> </w:t>
      </w:r>
      <w:bookmarkStart w:id="93" w:name="_Toc115021830"/>
      <w:r>
        <w:rPr>
          <w:rFonts w:hint="eastAsia" w:ascii="宋体" w:hAnsi="宋体" w:cs="宋体"/>
        </w:rPr>
        <w:t>第六章 响应文件格式</w:t>
      </w:r>
      <w:bookmarkEnd w:id="93"/>
    </w:p>
    <w:p>
      <w:pPr>
        <w:rPr>
          <w:rFonts w:hint="eastAsia"/>
        </w:rPr>
      </w:pPr>
      <w:r>
        <w:rPr>
          <w:rFonts w:hint="eastAsia"/>
        </w:rPr>
        <w:br w:type="page"/>
      </w:r>
    </w:p>
    <w:p>
      <w:pPr>
        <w:rPr>
          <w:rFonts w:hint="eastAsia"/>
        </w:rPr>
      </w:pPr>
    </w:p>
    <w:p>
      <w:pPr>
        <w:spacing w:line="460" w:lineRule="exact"/>
        <w:jc w:val="left"/>
        <w:rPr>
          <w:rFonts w:hint="eastAsia" w:ascii="宋体" w:hAnsi="宋体" w:cs="宋体"/>
          <w:b/>
          <w:sz w:val="44"/>
          <w:szCs w:val="44"/>
        </w:rPr>
      </w:pPr>
    </w:p>
    <w:p>
      <w:pPr>
        <w:spacing w:line="460" w:lineRule="exact"/>
        <w:jc w:val="left"/>
        <w:rPr>
          <w:rFonts w:hint="eastAsia" w:ascii="宋体" w:hAnsi="宋体" w:cs="宋体"/>
          <w:b/>
          <w:sz w:val="44"/>
          <w:szCs w:val="44"/>
          <w:u w:val="single"/>
        </w:rPr>
      </w:pPr>
      <w:r>
        <w:rPr>
          <w:rFonts w:hint="eastAsia" w:ascii="宋体" w:hAnsi="宋体" w:cs="宋体"/>
          <w:b/>
          <w:sz w:val="44"/>
          <w:szCs w:val="44"/>
        </w:rPr>
        <w:t xml:space="preserve">     </w:t>
      </w:r>
      <w:r>
        <w:rPr>
          <w:rFonts w:hint="eastAsia" w:ascii="宋体" w:hAnsi="宋体" w:cs="宋体"/>
          <w:b/>
          <w:sz w:val="44"/>
          <w:szCs w:val="44"/>
          <w:u w:val="single"/>
        </w:rPr>
        <w:t xml:space="preserve">                     </w:t>
      </w: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80" w:lineRule="auto"/>
        <w:ind w:firstLine="2520" w:firstLineChars="900"/>
        <w:rPr>
          <w:rFonts w:hint="eastAsia" w:ascii="宋体" w:hAnsi="宋体" w:cs="宋体"/>
          <w:sz w:val="28"/>
          <w:szCs w:val="28"/>
          <w:u w:val="single"/>
        </w:rPr>
      </w:pPr>
      <w:r>
        <w:rPr>
          <w:rFonts w:hint="eastAsia" w:ascii="宋体" w:hAnsi="宋体" w:cs="宋体"/>
          <w:sz w:val="28"/>
          <w:szCs w:val="28"/>
        </w:rPr>
        <w:t>交易编号：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2"/>
        <w:rPr>
          <w:rFonts w:hint="eastAsia"/>
        </w:rPr>
      </w:pPr>
    </w:p>
    <w:p>
      <w:pPr>
        <w:pStyle w:val="2"/>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2"/>
        <w:rPr>
          <w:rFonts w:hint="eastAsia"/>
        </w:rPr>
      </w:pPr>
    </w:p>
    <w:p>
      <w:pPr>
        <w:spacing w:line="460" w:lineRule="exact"/>
        <w:rPr>
          <w:rFonts w:hint="eastAsia" w:ascii="宋体" w:hAnsi="宋体" w:cs="宋体"/>
          <w:sz w:val="32"/>
          <w:szCs w:val="32"/>
        </w:rPr>
      </w:pPr>
    </w:p>
    <w:p>
      <w:pPr>
        <w:pStyle w:val="2"/>
        <w:rPr>
          <w:rFonts w:hint="eastAsia"/>
        </w:rPr>
      </w:pPr>
      <w:bookmarkStart w:id="94" w:name="_Toc23451"/>
      <w:bookmarkStart w:id="95" w:name="_Toc115021831"/>
      <w:bookmarkStart w:id="96" w:name="_Toc12304"/>
      <w:bookmarkStart w:id="97" w:name="_Toc530584396"/>
      <w:bookmarkStart w:id="98" w:name="_Toc22461"/>
      <w:bookmarkStart w:id="99" w:name="_Toc487805929"/>
      <w:bookmarkStart w:id="100" w:name="_Toc373230035"/>
      <w:bookmarkStart w:id="101" w:name="_Toc408816353"/>
      <w:bookmarkStart w:id="102" w:name="_Toc374512423"/>
      <w:bookmarkStart w:id="103" w:name="_Toc477423253"/>
      <w:bookmarkStart w:id="104" w:name="_Toc490161460"/>
      <w:bookmarkStart w:id="105" w:name="_Toc26310"/>
      <w:bookmarkStart w:id="106" w:name="_Toc3023"/>
    </w:p>
    <w:p>
      <w:pPr>
        <w:pStyle w:val="5"/>
        <w:numPr>
          <w:ilvl w:val="0"/>
          <w:numId w:val="17"/>
        </w:numPr>
        <w:spacing w:before="0" w:after="0" w:line="360" w:lineRule="auto"/>
        <w:rPr>
          <w:rFonts w:hint="eastAsia" w:ascii="宋体" w:hAnsi="宋体" w:cs="宋体"/>
          <w:sz w:val="32"/>
          <w:szCs w:val="32"/>
        </w:rPr>
      </w:pPr>
      <w:r>
        <w:rPr>
          <w:rFonts w:hint="eastAsia" w:ascii="宋体" w:hAnsi="宋体" w:cs="宋体"/>
          <w:sz w:val="32"/>
          <w:szCs w:val="32"/>
        </w:rPr>
        <w:t>磋商承诺函</w:t>
      </w:r>
      <w:bookmarkEnd w:id="94"/>
      <w:bookmarkEnd w:id="95"/>
      <w:bookmarkEnd w:id="96"/>
      <w:bookmarkEnd w:id="97"/>
      <w:bookmarkEnd w:id="98"/>
    </w:p>
    <w:p>
      <w:pPr>
        <w:adjustRightInd w:val="0"/>
        <w:spacing w:line="400" w:lineRule="exact"/>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我公司作为</w:t>
      </w:r>
      <w:r>
        <w:rPr>
          <w:rFonts w:hint="eastAsia" w:ascii="宋体" w:hAnsi="宋体" w:cs="宋体"/>
          <w:sz w:val="24"/>
          <w:szCs w:val="24"/>
          <w:u w:val="single"/>
        </w:rPr>
        <w:t xml:space="preserve">         </w:t>
      </w:r>
      <w:r>
        <w:rPr>
          <w:rFonts w:hint="eastAsia" w:ascii="宋体" w:hAnsi="宋体" w:cs="宋体"/>
          <w:sz w:val="24"/>
          <w:szCs w:val="24"/>
        </w:rPr>
        <w:t>项目（交易编号：</w:t>
      </w:r>
      <w:r>
        <w:rPr>
          <w:rFonts w:hint="eastAsia" w:ascii="宋体" w:hAnsi="宋体" w:cs="宋体"/>
          <w:sz w:val="24"/>
          <w:szCs w:val="24"/>
          <w:u w:val="single"/>
        </w:rPr>
        <w:t xml:space="preserve">      </w:t>
      </w:r>
      <w:r>
        <w:rPr>
          <w:rFonts w:hint="eastAsia" w:ascii="宋体" w:hAnsi="宋体" w:cs="宋体"/>
          <w:sz w:val="24"/>
          <w:szCs w:val="24"/>
        </w:rPr>
        <w:t>）的供应商，根据竞争性磋商文件要求，现郑重承诺如下：</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一、具备《中华人民共和国政府采购法》第二十二条第一款和本项目规定的条件。</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二、我公司同意按竞争性磋商文件中的规定，认定本项目磋商有效期为</w:t>
      </w:r>
      <w:r>
        <w:rPr>
          <w:rFonts w:hint="eastAsia" w:ascii="宋体" w:hAnsi="宋体" w:cs="宋体"/>
          <w:sz w:val="24"/>
          <w:szCs w:val="24"/>
          <w:u w:val="single"/>
        </w:rPr>
        <w:t xml:space="preserve">     </w:t>
      </w:r>
      <w:r>
        <w:rPr>
          <w:rFonts w:hint="eastAsia" w:ascii="宋体" w:hAnsi="宋体" w:cs="宋体"/>
          <w:sz w:val="24"/>
          <w:szCs w:val="24"/>
        </w:rPr>
        <w:t>日历天。</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三、完全接受和满足本项目竞争性磋商文件中的规定，如对竞争性磋商文件有异议，已经在响应文件提交截止时间前依法进行维权救济，不存在对竞争性磋商文件有异议的同时又参加</w:t>
      </w:r>
      <w:r>
        <w:rPr>
          <w:rFonts w:hint="eastAsia" w:ascii="宋体" w:hAnsi="宋体" w:cs="宋体"/>
          <w:bCs/>
          <w:sz w:val="24"/>
          <w:szCs w:val="24"/>
        </w:rPr>
        <w:t>磋商</w:t>
      </w:r>
      <w:r>
        <w:rPr>
          <w:rFonts w:hint="eastAsia" w:ascii="宋体" w:hAnsi="宋体" w:cs="宋体"/>
          <w:sz w:val="24"/>
          <w:szCs w:val="24"/>
        </w:rPr>
        <w:t>以求侥幸成交或者为实现其他非法目的的行为。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四、参加本次采购活动，不存在与单位负责人为同一人或者存在直接控股、管理关系的其他供应商参与同一合同项下的政府采购活动的行为。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五、参加本次采购活动，不存在为采购项目提供整体设计、规范编制或者项目管理、监理、检测等服务的行为。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六、参加本次采购活动，不存在和其他供应商在同一合同项下的采购项目中，同时委托同一个自然人、同一家庭的人员、同一单位的人员作为代理人的行为。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七、供应商和其法定代表人及其委托代理人没有行贿犯罪行为。</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w:t>
      </w:r>
    </w:p>
    <w:p>
      <w:pPr>
        <w:pStyle w:val="31"/>
        <w:shd w:val="clear" w:color="auto" w:fill="FFFFFF"/>
        <w:spacing w:before="0" w:beforeAutospacing="0" w:after="0" w:afterAutospacing="0" w:line="400" w:lineRule="exact"/>
        <w:rPr>
          <w:rFonts w:hint="eastAsia"/>
          <w:color w:val="333333"/>
          <w:spacing w:val="8"/>
          <w:szCs w:val="24"/>
        </w:rPr>
      </w:pPr>
      <w:r>
        <w:rPr>
          <w:rFonts w:hint="eastAsia"/>
          <w:color w:val="333333"/>
          <w:spacing w:val="8"/>
          <w:szCs w:val="24"/>
          <w:shd w:val="clear" w:color="auto" w:fill="FFFFFF"/>
        </w:rPr>
        <w:t>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与本</w:t>
      </w:r>
      <w:r>
        <w:rPr>
          <w:rFonts w:hint="eastAsia" w:ascii="宋体" w:hAnsi="宋体" w:cs="宋体"/>
          <w:bCs/>
          <w:sz w:val="24"/>
          <w:szCs w:val="24"/>
        </w:rPr>
        <w:t>磋商</w:t>
      </w:r>
      <w:r>
        <w:rPr>
          <w:rFonts w:hint="eastAsia" w:ascii="宋体" w:hAnsi="宋体" w:cs="宋体"/>
          <w:sz w:val="24"/>
          <w:szCs w:val="24"/>
        </w:rPr>
        <w:t>有关的一切往来通讯请寄</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地址：                     电话：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电子邮箱：</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r>
        <w:rPr>
          <w:rFonts w:hint="eastAsia" w:ascii="宋体" w:hAnsi="宋体" w:cs="宋体"/>
          <w:szCs w:val="21"/>
        </w:rPr>
        <w:t xml:space="preserve">  </w:t>
      </w: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pStyle w:val="2"/>
        <w:rPr>
          <w:rFonts w:hint="eastAsia" w:ascii="宋体" w:hAnsi="宋体" w:cs="宋体"/>
          <w:szCs w:val="21"/>
        </w:rPr>
      </w:pPr>
    </w:p>
    <w:p>
      <w:pPr>
        <w:rPr>
          <w:rFonts w:hint="eastAsia" w:ascii="宋体" w:hAnsi="宋体" w:cs="宋体"/>
          <w:szCs w:val="21"/>
        </w:rPr>
      </w:pPr>
    </w:p>
    <w:p>
      <w:pPr>
        <w:pStyle w:val="2"/>
        <w:rPr>
          <w:rFonts w:hint="eastAsia" w:ascii="宋体" w:hAnsi="宋体" w:cs="宋体"/>
          <w:szCs w:val="21"/>
        </w:rPr>
      </w:pPr>
    </w:p>
    <w:p>
      <w:pPr>
        <w:rPr>
          <w:rFonts w:hint="eastAsia"/>
        </w:rPr>
      </w:pPr>
    </w:p>
    <w:p>
      <w:pPr>
        <w:pStyle w:val="5"/>
        <w:numPr>
          <w:ilvl w:val="0"/>
          <w:numId w:val="17"/>
        </w:numPr>
        <w:spacing w:before="0" w:after="0" w:line="360" w:lineRule="auto"/>
        <w:rPr>
          <w:rFonts w:hint="eastAsia" w:ascii="宋体" w:hAnsi="宋体" w:cs="宋体"/>
          <w:sz w:val="32"/>
          <w:szCs w:val="32"/>
        </w:rPr>
      </w:pPr>
      <w:bookmarkStart w:id="107" w:name="_Toc13659"/>
      <w:bookmarkStart w:id="108" w:name="_Toc438"/>
      <w:bookmarkStart w:id="109" w:name="_Toc32512"/>
      <w:bookmarkStart w:id="110" w:name="_Toc115021832"/>
      <w:r>
        <w:rPr>
          <w:rFonts w:hint="eastAsia" w:ascii="宋体" w:hAnsi="宋体" w:cs="宋体"/>
          <w:sz w:val="32"/>
          <w:szCs w:val="32"/>
        </w:rPr>
        <w:t>承诺书</w:t>
      </w:r>
      <w:bookmarkEnd w:id="107"/>
      <w:bookmarkEnd w:id="108"/>
      <w:bookmarkEnd w:id="109"/>
      <w:bookmarkEnd w:id="110"/>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项目（交易编号：</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4"/>
        <w:rPr>
          <w:rFonts w:hint="eastAsia"/>
        </w:rPr>
      </w:pPr>
    </w:p>
    <w:p>
      <w:pPr>
        <w:pStyle w:val="54"/>
        <w:rPr>
          <w:rFonts w:hint="eastAsia"/>
        </w:rPr>
      </w:pPr>
    </w:p>
    <w:p>
      <w:pPr>
        <w:pStyle w:val="54"/>
        <w:rPr>
          <w:rFonts w:hint="eastAsia"/>
        </w:rPr>
      </w:pPr>
    </w:p>
    <w:p>
      <w:pPr>
        <w:pStyle w:val="54"/>
        <w:rPr>
          <w:rFonts w:hint="eastAsia"/>
        </w:rPr>
      </w:pPr>
    </w:p>
    <w:p>
      <w:pPr>
        <w:pStyle w:val="54"/>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99"/>
    <w:bookmarkEnd w:id="100"/>
    <w:bookmarkEnd w:id="101"/>
    <w:bookmarkEnd w:id="102"/>
    <w:bookmarkEnd w:id="103"/>
    <w:bookmarkEnd w:id="104"/>
    <w:bookmarkEnd w:id="105"/>
    <w:bookmarkEnd w:id="106"/>
    <w:p>
      <w:pPr>
        <w:pStyle w:val="5"/>
        <w:numPr>
          <w:ilvl w:val="0"/>
          <w:numId w:val="17"/>
        </w:numPr>
        <w:spacing w:before="0" w:after="0" w:line="360" w:lineRule="auto"/>
        <w:rPr>
          <w:rFonts w:hint="eastAsia" w:ascii="宋体" w:hAnsi="宋体" w:cs="宋体"/>
          <w:sz w:val="32"/>
          <w:szCs w:val="32"/>
        </w:rPr>
      </w:pPr>
      <w:bookmarkStart w:id="111" w:name="_Toc29369"/>
      <w:bookmarkStart w:id="112" w:name="_Toc484"/>
      <w:bookmarkStart w:id="113" w:name="_Toc115021833"/>
      <w:bookmarkStart w:id="114" w:name="_Toc6638"/>
      <w:bookmarkStart w:id="115" w:name="_Toc364490445"/>
      <w:bookmarkStart w:id="116" w:name="_Toc475955188"/>
      <w:bookmarkStart w:id="117" w:name="_Toc408816355"/>
      <w:bookmarkStart w:id="118" w:name="_Toc476045982"/>
      <w:bookmarkStart w:id="119" w:name="_Toc477423254"/>
      <w:bookmarkStart w:id="120" w:name="_Toc27591"/>
      <w:bookmarkStart w:id="121" w:name="_Toc453513319"/>
      <w:bookmarkStart w:id="122" w:name="_Toc373230037"/>
      <w:bookmarkStart w:id="123" w:name="_Toc374512425"/>
      <w:r>
        <w:rPr>
          <w:rFonts w:hint="eastAsia" w:ascii="宋体" w:hAnsi="宋体" w:cs="宋体"/>
          <w:sz w:val="32"/>
          <w:szCs w:val="32"/>
        </w:rPr>
        <w:t>供应商基本情况表</w:t>
      </w:r>
      <w:bookmarkEnd w:id="111"/>
      <w:bookmarkEnd w:id="112"/>
      <w:bookmarkEnd w:id="113"/>
      <w:bookmarkEnd w:id="114"/>
    </w:p>
    <w:tbl>
      <w:tblPr>
        <w:tblStyle w:val="35"/>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sz w:val="24"/>
              </w:rPr>
            </w:pPr>
          </w:p>
        </w:tc>
        <w:tc>
          <w:tcPr>
            <w:tcW w:w="1036"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传真</w:t>
            </w:r>
          </w:p>
        </w:tc>
        <w:tc>
          <w:tcPr>
            <w:tcW w:w="1105" w:type="dxa"/>
            <w:gridSpan w:val="2"/>
            <w:noWrap w:val="0"/>
            <w:vAlign w:val="center"/>
          </w:tcPr>
          <w:p>
            <w:pPr>
              <w:spacing w:line="360" w:lineRule="auto"/>
              <w:jc w:val="center"/>
              <w:rPr>
                <w:rFonts w:hint="eastAsia" w:ascii="宋体" w:hAnsi="宋体" w:cs="宋体"/>
                <w:sz w:val="24"/>
              </w:rPr>
            </w:pPr>
          </w:p>
        </w:tc>
        <w:tc>
          <w:tcPr>
            <w:tcW w:w="1191"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网址</w:t>
            </w:r>
          </w:p>
        </w:tc>
        <w:tc>
          <w:tcPr>
            <w:tcW w:w="2879" w:type="dxa"/>
            <w:gridSpan w:val="3"/>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营业执照号</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noWrap w:val="0"/>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noWrap w:val="0"/>
            <w:vAlign w:val="center"/>
          </w:tcPr>
          <w:p>
            <w:pPr>
              <w:spacing w:line="360" w:lineRule="auto"/>
              <w:jc w:val="center"/>
              <w:rPr>
                <w:rFonts w:hint="eastAsia" w:ascii="宋体" w:hAnsi="宋体" w:cs="宋体"/>
                <w:sz w:val="24"/>
              </w:rPr>
            </w:pPr>
          </w:p>
        </w:tc>
        <w:tc>
          <w:tcPr>
            <w:tcW w:w="788" w:type="dxa"/>
            <w:gridSpan w:val="2"/>
            <w:noWrap w:val="0"/>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noWrap w:val="0"/>
            <w:vAlign w:val="center"/>
          </w:tcPr>
          <w:p>
            <w:pPr>
              <w:spacing w:line="360" w:lineRule="auto"/>
              <w:jc w:val="center"/>
              <w:rPr>
                <w:rFonts w:hint="eastAsia" w:ascii="宋体" w:hAnsi="宋体" w:cs="宋体"/>
                <w:sz w:val="24"/>
              </w:rPr>
            </w:pPr>
          </w:p>
        </w:tc>
        <w:tc>
          <w:tcPr>
            <w:tcW w:w="788" w:type="dxa"/>
            <w:noWrap w:val="0"/>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noWrap w:val="0"/>
            <w:vAlign w:val="center"/>
          </w:tcPr>
          <w:p>
            <w:pPr>
              <w:spacing w:line="360" w:lineRule="auto"/>
              <w:jc w:val="center"/>
              <w:rPr>
                <w:rFonts w:hint="eastAsia" w:ascii="宋体" w:hAnsi="宋体" w:cs="宋体"/>
                <w:sz w:val="24"/>
              </w:rPr>
            </w:pPr>
          </w:p>
        </w:tc>
        <w:tc>
          <w:tcPr>
            <w:tcW w:w="2228" w:type="dxa"/>
            <w:gridSpan w:val="4"/>
            <w:noWrap w:val="0"/>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noWrap w:val="0"/>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noWrap w:val="0"/>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sectPr>
          <w:footerReference r:id="rId11" w:type="default"/>
          <w:pgSz w:w="11906" w:h="16838"/>
          <w:pgMar w:top="1134" w:right="1134" w:bottom="1134" w:left="1474" w:header="851" w:footer="510" w:gutter="0"/>
          <w:cols w:space="720" w:num="1"/>
          <w:docGrid w:type="lines" w:linePitch="312" w:charSpace="0"/>
        </w:sectPr>
      </w:pPr>
    </w:p>
    <w:p>
      <w:pPr>
        <w:pStyle w:val="5"/>
        <w:numPr>
          <w:ilvl w:val="0"/>
          <w:numId w:val="17"/>
        </w:numPr>
        <w:spacing w:before="0" w:after="0" w:line="360" w:lineRule="auto"/>
        <w:rPr>
          <w:rFonts w:hint="eastAsia" w:ascii="宋体" w:hAnsi="宋体" w:cs="宋体"/>
          <w:sz w:val="32"/>
          <w:szCs w:val="32"/>
        </w:rPr>
      </w:pPr>
      <w:bookmarkStart w:id="124" w:name="_Toc20355"/>
      <w:bookmarkStart w:id="125" w:name="_Toc19916"/>
      <w:bookmarkStart w:id="126" w:name="_Toc31769"/>
      <w:bookmarkStart w:id="127" w:name="_Toc115021834"/>
      <w:bookmarkStart w:id="128" w:name="_Toc530584397"/>
      <w:r>
        <w:rPr>
          <w:rFonts w:hint="eastAsia" w:ascii="宋体" w:hAnsi="宋体" w:cs="宋体"/>
          <w:sz w:val="32"/>
          <w:szCs w:val="32"/>
        </w:rPr>
        <w:t>第一轮报价表</w:t>
      </w:r>
      <w:bookmarkEnd w:id="124"/>
      <w:bookmarkEnd w:id="125"/>
      <w:bookmarkEnd w:id="126"/>
      <w:bookmarkEnd w:id="127"/>
      <w:bookmarkEnd w:id="128"/>
    </w:p>
    <w:tbl>
      <w:tblPr>
        <w:tblStyle w:val="35"/>
        <w:tblW w:w="0" w:type="auto"/>
        <w:jc w:val="center"/>
        <w:tblLayout w:type="fixed"/>
        <w:tblCellMar>
          <w:top w:w="0" w:type="dxa"/>
          <w:left w:w="108" w:type="dxa"/>
          <w:bottom w:w="0" w:type="dxa"/>
          <w:right w:w="108" w:type="dxa"/>
        </w:tblCellMar>
      </w:tblPr>
      <w:tblGrid>
        <w:gridCol w:w="2420"/>
        <w:gridCol w:w="6260"/>
      </w:tblGrid>
      <w:tr>
        <w:tblPrEx>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项目名称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交易编号</w:t>
            </w:r>
          </w:p>
        </w:tc>
        <w:tc>
          <w:tcPr>
            <w:tcW w:w="6260" w:type="dxa"/>
            <w:tcBorders>
              <w:left w:val="single" w:color="auto" w:sz="4" w:space="0"/>
              <w:right w:val="single" w:color="auto" w:sz="4" w:space="0"/>
            </w:tcBorders>
            <w:noWrap w:val="0"/>
            <w:vAlign w:val="center"/>
          </w:tcPr>
          <w:p>
            <w:pPr>
              <w:ind w:left="108"/>
              <w:jc w:val="center"/>
              <w:rPr>
                <w:rFonts w:hint="eastAsia" w:ascii="宋体" w:hAnsi="宋体" w:cs="宋体"/>
                <w:szCs w:val="21"/>
              </w:rPr>
            </w:pPr>
          </w:p>
        </w:tc>
      </w:tr>
      <w:tr>
        <w:tblPrEx>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供应商名称</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p>
        </w:tc>
      </w:tr>
      <w:tr>
        <w:tblPrEx>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szCs w:val="21"/>
              </w:rPr>
            </w:pPr>
            <w:r>
              <w:rPr>
                <w:rFonts w:hint="eastAsia" w:ascii="宋体" w:hAnsi="宋体" w:cs="宋体"/>
                <w:szCs w:val="21"/>
              </w:rPr>
              <w:t>总报价</w:t>
            </w:r>
          </w:p>
        </w:tc>
        <w:tc>
          <w:tcPr>
            <w:tcW w:w="6260"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s="宋体"/>
                <w:szCs w:val="21"/>
              </w:rPr>
            </w:pPr>
            <w:r>
              <w:rPr>
                <w:rFonts w:hint="eastAsia" w:ascii="宋体" w:hAnsi="宋体" w:cs="宋体"/>
                <w:szCs w:val="21"/>
              </w:rPr>
              <w:t>大写：                　　¥：</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auto"/>
        <w:rPr>
          <w:rFonts w:hint="eastAsia" w:ascii="宋体" w:hAnsi="宋体" w:cs="宋体"/>
          <w:sz w:val="28"/>
          <w:szCs w:val="28"/>
        </w:rPr>
      </w:pPr>
      <w:bookmarkStart w:id="129" w:name="_Toc30567"/>
      <w:bookmarkStart w:id="130" w:name="_Toc11308"/>
      <w:bookmarkStart w:id="131" w:name="_Toc115021836"/>
      <w:bookmarkStart w:id="132" w:name="_Toc15225"/>
    </w:p>
    <w:bookmarkEnd w:id="129"/>
    <w:bookmarkEnd w:id="130"/>
    <w:bookmarkEnd w:id="131"/>
    <w:p>
      <w:pPr>
        <w:pStyle w:val="5"/>
        <w:numPr>
          <w:ilvl w:val="0"/>
          <w:numId w:val="17"/>
        </w:numPr>
        <w:spacing w:before="0" w:after="0" w:line="360" w:lineRule="auto"/>
        <w:rPr>
          <w:rFonts w:hint="eastAsia" w:ascii="宋体" w:hAnsi="宋体" w:cs="宋体"/>
          <w:sz w:val="32"/>
          <w:szCs w:val="32"/>
          <w:highlight w:val="none"/>
        </w:rPr>
      </w:pPr>
      <w:r>
        <w:rPr>
          <w:rFonts w:hint="eastAsia" w:ascii="宋体" w:hAnsi="宋体" w:cs="宋体"/>
          <w:sz w:val="32"/>
          <w:szCs w:val="32"/>
          <w:highlight w:val="none"/>
          <w:lang w:val="en-US" w:eastAsia="zh-CN"/>
        </w:rPr>
        <w:t>采购需求承诺函</w:t>
      </w:r>
    </w:p>
    <w:p>
      <w:pPr>
        <w:pStyle w:val="5"/>
        <w:numPr>
          <w:ilvl w:val="0"/>
          <w:numId w:val="0"/>
        </w:numPr>
        <w:spacing w:before="0" w:after="0" w:line="360" w:lineRule="auto"/>
        <w:jc w:val="both"/>
        <w:rPr>
          <w:rFonts w:hint="eastAsia" w:ascii="宋体" w:hAnsi="宋体" w:cs="宋体"/>
          <w:sz w:val="32"/>
          <w:szCs w:val="32"/>
        </w:rPr>
      </w:pPr>
    </w:p>
    <w:bookmarkEnd w:id="132"/>
    <w:p>
      <w:pPr>
        <w:spacing w:line="600" w:lineRule="exact"/>
        <w:rPr>
          <w:rFonts w:hint="eastAsia" w:ascii="宋体" w:hAnsi="宋体" w:cs="宋体"/>
          <w:szCs w:val="21"/>
        </w:rPr>
      </w:pPr>
      <w:r>
        <w:rPr>
          <w:rFonts w:hint="eastAsia" w:ascii="宋体" w:hAnsi="宋体" w:cs="宋体"/>
          <w:szCs w:val="21"/>
        </w:rPr>
        <w:t>我公司承诺：</w:t>
      </w:r>
    </w:p>
    <w:p>
      <w:pPr>
        <w:pStyle w:val="2"/>
        <w:rPr>
          <w:rFonts w:hint="eastAsia" w:eastAsia="宋体"/>
          <w:lang w:val="en-US" w:eastAsia="zh-CN"/>
        </w:rPr>
      </w:pPr>
      <w:r>
        <w:rPr>
          <w:rFonts w:hint="eastAsia" w:ascii="宋体" w:hAnsi="宋体" w:cs="宋体"/>
          <w:szCs w:val="21"/>
          <w:lang w:val="en-US" w:eastAsia="zh-CN"/>
        </w:rPr>
        <w:t xml:space="preserve"> </w:t>
      </w:r>
    </w:p>
    <w:p>
      <w:pPr>
        <w:ind w:firstLine="630" w:firstLineChars="300"/>
        <w:rPr>
          <w:rFonts w:hint="eastAsia" w:ascii="宋体" w:hAnsi="宋体" w:cs="宋体"/>
          <w:szCs w:val="21"/>
          <w:u w:val="none"/>
          <w:lang w:val="en-US" w:eastAsia="zh-CN"/>
        </w:rPr>
      </w:pPr>
      <w:r>
        <w:rPr>
          <w:rFonts w:hint="eastAsia" w:ascii="宋体" w:hAnsi="宋体" w:cs="宋体"/>
          <w:szCs w:val="21"/>
        </w:rPr>
        <w:t>在本次谈判活动中，</w:t>
      </w:r>
      <w:r>
        <w:rPr>
          <w:rFonts w:hint="eastAsia" w:ascii="宋体" w:hAnsi="宋体" w:cs="宋体"/>
          <w:szCs w:val="21"/>
          <w:lang w:eastAsia="zh-CN"/>
        </w:rPr>
        <w:t>完全</w:t>
      </w:r>
      <w:r>
        <w:rPr>
          <w:rFonts w:hint="eastAsia" w:ascii="宋体" w:hAnsi="宋体" w:cs="宋体"/>
          <w:szCs w:val="21"/>
          <w:u w:val="none"/>
          <w:lang w:val="en-US" w:eastAsia="zh-CN"/>
        </w:rPr>
        <w:t>响应竞争性磋商文件中“第五章采购需求”所有内容。</w:t>
      </w:r>
    </w:p>
    <w:p>
      <w:pPr>
        <w:ind w:firstLine="420" w:firstLineChars="200"/>
        <w:rPr>
          <w:rFonts w:hint="eastAsia" w:ascii="宋体" w:hAnsi="宋体" w:cs="宋体"/>
          <w:szCs w:val="21"/>
          <w:u w:val="none"/>
          <w:lang w:val="en-US" w:eastAsia="zh-CN"/>
        </w:rPr>
      </w:pPr>
    </w:p>
    <w:p>
      <w:pPr>
        <w:ind w:firstLine="420" w:firstLineChars="200"/>
        <w:rPr>
          <w:rFonts w:hint="eastAsia" w:ascii="宋体" w:hAnsi="宋体" w:cs="宋体"/>
          <w:szCs w:val="21"/>
          <w:u w:val="none"/>
          <w:lang w:val="en-US" w:eastAsia="zh-CN"/>
        </w:rPr>
      </w:pPr>
    </w:p>
    <w:p>
      <w:pPr>
        <w:ind w:firstLine="420" w:firstLineChars="200"/>
        <w:rPr>
          <w:rFonts w:hint="eastAsia" w:ascii="宋体" w:hAnsi="宋体" w:cs="宋体"/>
          <w:szCs w:val="21"/>
          <w:u w:val="none"/>
          <w:lang w:val="en-US" w:eastAsia="zh-CN"/>
        </w:rPr>
      </w:pPr>
    </w:p>
    <w:p>
      <w:pPr>
        <w:ind w:firstLine="420" w:firstLineChars="200"/>
        <w:rPr>
          <w:rFonts w:hint="default"/>
          <w:u w:val="none"/>
          <w:lang w:val="en-US" w:eastAsia="zh-CN"/>
        </w:rPr>
      </w:pPr>
      <w:r>
        <w:rPr>
          <w:rFonts w:hint="eastAsia" w:ascii="宋体" w:hAnsi="宋体" w:cs="宋体"/>
          <w:szCs w:val="21"/>
          <w:u w:val="none"/>
          <w:lang w:val="en-US" w:eastAsia="zh-CN"/>
        </w:rPr>
        <w:t>特此承诺</w:t>
      </w:r>
    </w:p>
    <w:p>
      <w:pPr>
        <w:rPr>
          <w:rFonts w:hint="eastAsia" w:ascii="宋体" w:hAnsi="宋体" w:cs="宋体"/>
          <w:szCs w:val="21"/>
          <w:u w:val="single"/>
        </w:rPr>
      </w:pPr>
    </w:p>
    <w:p>
      <w:pPr>
        <w:pStyle w:val="2"/>
        <w:rPr>
          <w:rFonts w:hint="eastAsia" w:ascii="宋体" w:hAnsi="宋体" w:cs="宋体"/>
          <w:szCs w:val="21"/>
          <w:u w:val="single"/>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 xml:space="preserve">  </w:t>
      </w:r>
      <w:r>
        <w:rPr>
          <w:rFonts w:hint="eastAsia" w:ascii="宋体" w:hAnsi="宋体" w:cs="宋体"/>
          <w:szCs w:val="21"/>
          <w:lang w:eastAsia="zh-CN"/>
        </w:rPr>
        <w:t>承诺</w:t>
      </w:r>
      <w:r>
        <w:rPr>
          <w:rFonts w:hint="eastAsia" w:ascii="宋体" w:hAnsi="宋体" w:cs="宋体"/>
          <w:szCs w:val="21"/>
        </w:rPr>
        <w:t>供应商名称（全称并加盖公章）：</w:t>
      </w:r>
    </w:p>
    <w:p>
      <w:pPr>
        <w:spacing w:line="360" w:lineRule="auto"/>
        <w:rPr>
          <w:rFonts w:hint="eastAsia" w:ascii="宋体" w:hAnsi="宋体" w:cs="宋体"/>
          <w:szCs w:val="21"/>
        </w:rPr>
      </w:pPr>
      <w:r>
        <w:rPr>
          <w:rFonts w:hint="eastAsia" w:ascii="宋体" w:hAnsi="宋体" w:cs="宋体"/>
          <w:szCs w:val="21"/>
        </w:rPr>
        <w:t xml:space="preserve">                                法定代表人或其委托代理人（签名或盖章）：              </w:t>
      </w:r>
    </w:p>
    <w:p>
      <w:pPr>
        <w:adjustRightInd w:val="0"/>
        <w:snapToGrid w:val="0"/>
        <w:ind w:right="210" w:rightChars="100" w:firstLine="210" w:firstLineChars="100"/>
        <w:rPr>
          <w:rFonts w:hint="eastAsia" w:ascii="宋体" w:hAnsi="宋体" w:cs="宋体"/>
        </w:rPr>
      </w:pP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年  月  日</w:t>
      </w: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ascii="宋体" w:hAnsi="宋体" w:cs="宋体"/>
        </w:rPr>
      </w:pPr>
      <w:r>
        <w:rPr>
          <w:rFonts w:hint="eastAsia" w:ascii="宋体" w:hAnsi="宋体" w:cs="宋体"/>
        </w:rPr>
        <w:t xml:space="preserve">                                       </w:t>
      </w:r>
    </w:p>
    <w:p>
      <w:pPr>
        <w:jc w:val="left"/>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2"/>
        <w:rPr>
          <w:rFonts w:hint="eastAsia" w:ascii="宋体" w:hAnsi="宋体" w:cs="宋体"/>
        </w:rPr>
      </w:pPr>
    </w:p>
    <w:p>
      <w:pPr>
        <w:rPr>
          <w:rFonts w:hint="eastAsia"/>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49"/>
        <w:rPr>
          <w:rFonts w:hint="eastAsia" w:ascii="宋体" w:hAnsi="宋体" w:cs="宋体"/>
        </w:rPr>
      </w:pPr>
    </w:p>
    <w:p>
      <w:pPr>
        <w:pStyle w:val="14"/>
        <w:rPr>
          <w:rFonts w:hint="eastAsia" w:ascii="宋体" w:hAnsi="宋体" w:cs="宋体"/>
        </w:rPr>
      </w:pPr>
    </w:p>
    <w:p>
      <w:pPr>
        <w:pStyle w:val="50"/>
        <w:rPr>
          <w:rFonts w:hint="eastAsia" w:ascii="宋体" w:hAnsi="宋体" w:cs="宋体"/>
        </w:rPr>
      </w:pPr>
    </w:p>
    <w:p>
      <w:pPr>
        <w:jc w:val="center"/>
        <w:rPr>
          <w:rFonts w:hint="eastAsia" w:ascii="宋体" w:hAnsi="宋体" w:cs="宋体"/>
        </w:rPr>
      </w:pPr>
      <w:bookmarkStart w:id="133" w:name="_Toc24554"/>
      <w:bookmarkStart w:id="134" w:name="_Toc115021837"/>
      <w:bookmarkStart w:id="135" w:name="_Toc31901"/>
    </w:p>
    <w:p>
      <w:pPr>
        <w:pStyle w:val="5"/>
        <w:numPr>
          <w:ilvl w:val="0"/>
          <w:numId w:val="17"/>
        </w:numPr>
        <w:spacing w:before="0" w:after="0" w:line="360" w:lineRule="auto"/>
        <w:jc w:val="center"/>
        <w:rPr>
          <w:rFonts w:hint="eastAsia" w:ascii="宋体" w:hAnsi="宋体" w:cs="宋体"/>
          <w:sz w:val="32"/>
          <w:szCs w:val="32"/>
        </w:rPr>
      </w:pPr>
      <w:r>
        <w:rPr>
          <w:rFonts w:hint="eastAsia" w:ascii="宋体" w:hAnsi="宋体" w:cs="宋体"/>
          <w:sz w:val="32"/>
          <w:szCs w:val="32"/>
        </w:rPr>
        <w:t>商务响应表</w:t>
      </w:r>
      <w:bookmarkEnd w:id="133"/>
      <w:bookmarkEnd w:id="134"/>
      <w:bookmarkEnd w:id="135"/>
    </w:p>
    <w:p>
      <w:pPr>
        <w:spacing w:line="360" w:lineRule="auto"/>
        <w:ind w:firstLine="420" w:firstLineChars="200"/>
        <w:rPr>
          <w:rFonts w:hint="eastAsia" w:ascii="宋体" w:hAnsi="宋体" w:cs="宋体"/>
          <w:szCs w:val="21"/>
        </w:rPr>
      </w:pPr>
      <w:r>
        <w:rPr>
          <w:rFonts w:hint="eastAsia" w:ascii="宋体" w:hAnsi="宋体" w:cs="宋体"/>
          <w:szCs w:val="21"/>
        </w:rPr>
        <w:t>项目名称：                                        交易编号：</w:t>
      </w:r>
    </w:p>
    <w:tbl>
      <w:tblPr>
        <w:tblStyle w:val="35"/>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ind w:firstLine="420" w:firstLineChars="200"/>
        <w:rPr>
          <w:rFonts w:hint="eastAsia" w:ascii="宋体" w:hAnsi="宋体" w:cs="宋体"/>
          <w:color w:val="000000"/>
          <w:szCs w:val="21"/>
        </w:rPr>
      </w:pPr>
    </w:p>
    <w:p>
      <w:pPr>
        <w:rPr>
          <w:rFonts w:hint="eastAsia" w:ascii="宋体" w:hAnsi="宋体" w:cs="宋体"/>
          <w:color w:val="000000"/>
          <w:szCs w:val="21"/>
        </w:rPr>
      </w:pP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p>
    <w:p>
      <w:pPr>
        <w:pStyle w:val="82"/>
        <w:rPr>
          <w:rFonts w:hint="eastAsia" w:ascii="宋体" w:hAnsi="宋体" w:cs="宋体"/>
        </w:rPr>
      </w:pPr>
    </w:p>
    <w:p>
      <w:pPr>
        <w:spacing w:line="360" w:lineRule="auto"/>
        <w:ind w:firstLine="560" w:firstLineChars="200"/>
        <w:jc w:val="right"/>
        <w:rPr>
          <w:rFonts w:hint="eastAsia" w:ascii="宋体" w:hAnsi="宋体" w:cs="宋体"/>
          <w:sz w:val="28"/>
          <w:szCs w:val="28"/>
        </w:rPr>
      </w:pPr>
    </w:p>
    <w:p>
      <w:pPr>
        <w:pStyle w:val="21"/>
        <w:rPr>
          <w:rFonts w:hint="eastAsia" w:cs="宋体"/>
          <w:sz w:val="28"/>
          <w:szCs w:val="24"/>
        </w:rPr>
      </w:pPr>
    </w:p>
    <w:bookmarkEnd w:id="115"/>
    <w:bookmarkEnd w:id="116"/>
    <w:bookmarkEnd w:id="117"/>
    <w:bookmarkEnd w:id="118"/>
    <w:bookmarkEnd w:id="119"/>
    <w:bookmarkEnd w:id="120"/>
    <w:bookmarkEnd w:id="121"/>
    <w:p>
      <w:pPr>
        <w:pStyle w:val="5"/>
        <w:numPr>
          <w:ilvl w:val="0"/>
          <w:numId w:val="17"/>
        </w:numPr>
        <w:spacing w:before="0" w:after="0" w:line="360" w:lineRule="auto"/>
        <w:rPr>
          <w:rFonts w:hint="eastAsia" w:ascii="宋体" w:hAnsi="宋体" w:cs="宋体"/>
          <w:sz w:val="32"/>
          <w:szCs w:val="32"/>
        </w:rPr>
      </w:pPr>
      <w:bookmarkStart w:id="136" w:name="_bookmark278"/>
      <w:bookmarkEnd w:id="136"/>
      <w:bookmarkStart w:id="137" w:name="18.4.4_信息采集费用概算明细表"/>
      <w:bookmarkEnd w:id="137"/>
      <w:bookmarkStart w:id="138" w:name="_Toc115021838"/>
      <w:bookmarkStart w:id="139" w:name="_Toc6508"/>
      <w:bookmarkStart w:id="140" w:name="_Toc8927"/>
      <w:r>
        <w:rPr>
          <w:rFonts w:hint="eastAsia" w:ascii="宋体" w:hAnsi="宋体" w:cs="宋体"/>
          <w:sz w:val="32"/>
          <w:szCs w:val="32"/>
        </w:rPr>
        <w:t>资格证明材料</w:t>
      </w:r>
      <w:bookmarkEnd w:id="138"/>
      <w:bookmarkEnd w:id="139"/>
      <w:bookmarkEnd w:id="140"/>
    </w:p>
    <w:p>
      <w:pPr>
        <w:keepNext w:val="0"/>
        <w:keepLines w:val="0"/>
        <w:pageBreakBefore w:val="0"/>
        <w:widowControl w:val="0"/>
        <w:numPr>
          <w:ilvl w:val="0"/>
          <w:numId w:val="18"/>
        </w:numPr>
        <w:kinsoku/>
        <w:wordWrap/>
        <w:overflowPunct/>
        <w:topLinePunct w:val="0"/>
        <w:autoSpaceDE/>
        <w:autoSpaceDN/>
        <w:bidi w:val="0"/>
        <w:adjustRightInd/>
        <w:snapToGrid/>
        <w:spacing w:line="440" w:lineRule="exact"/>
        <w:ind w:left="0" w:firstLine="480"/>
        <w:jc w:val="left"/>
        <w:textAlignment w:val="auto"/>
        <w:rPr>
          <w:rFonts w:hint="eastAsia" w:ascii="宋体" w:hAnsi="宋体" w:eastAsia="宋体" w:cs="宋体"/>
          <w:sz w:val="24"/>
          <w:szCs w:val="24"/>
        </w:rPr>
      </w:pPr>
      <w:r>
        <w:rPr>
          <w:rFonts w:hint="eastAsia" w:ascii="宋体" w:hAnsi="宋体" w:eastAsia="宋体" w:cs="宋体"/>
          <w:sz w:val="24"/>
          <w:szCs w:val="24"/>
        </w:rPr>
        <w:t>武陟县政府采购供应商资格信用承诺函（详见格式）；</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jc w:val="left"/>
        <w:textAlignment w:val="auto"/>
        <w:rPr>
          <w:rFonts w:hint="eastAsia" w:ascii="宋体" w:hAnsi="宋体" w:eastAsia="宋体" w:cs="宋体"/>
          <w:color w:val="FF0000"/>
          <w:sz w:val="24"/>
          <w:szCs w:val="24"/>
          <w:highlight w:val="yellow"/>
        </w:rPr>
      </w:pPr>
      <w:r>
        <w:rPr>
          <w:rFonts w:hint="eastAsia" w:ascii="宋体" w:hAnsi="宋体" w:eastAsia="宋体" w:cs="宋体"/>
          <w:sz w:val="24"/>
          <w:szCs w:val="24"/>
          <w:lang w:val="en-US" w:eastAsia="zh-CN"/>
        </w:rPr>
        <w:t>2.提供中小企业声明函（详见格式），</w:t>
      </w:r>
      <w:r>
        <w:rPr>
          <w:rFonts w:hint="eastAsia" w:ascii="宋体" w:hAnsi="宋体" w:eastAsia="宋体" w:cs="宋体"/>
          <w:color w:val="auto"/>
          <w:sz w:val="24"/>
          <w:szCs w:val="24"/>
          <w:lang w:val="en-US" w:eastAsia="zh-CN"/>
        </w:rPr>
        <w:t>磋商</w:t>
      </w:r>
      <w:r>
        <w:rPr>
          <w:rFonts w:hint="eastAsia" w:ascii="宋体" w:hAnsi="宋体" w:eastAsia="宋体" w:cs="宋体"/>
          <w:sz w:val="24"/>
          <w:szCs w:val="24"/>
          <w:lang w:val="en-US" w:eastAsia="zh-CN"/>
        </w:rPr>
        <w:t>小组根据供应商提供的《中小企业声明函》认定该供应商是否属于中小企业；监狱企业和残疾人福利性单位视同小型、微型企业。不属于中小企业或监狱企业或残疾人福利性单位的不得参与本项目</w:t>
      </w:r>
      <w:r>
        <w:rPr>
          <w:rFonts w:hint="eastAsia" w:ascii="宋体" w:hAnsi="宋体" w:eastAsia="宋体" w:cs="宋体"/>
          <w:color w:val="auto"/>
          <w:sz w:val="24"/>
          <w:szCs w:val="24"/>
          <w:lang w:val="en-US" w:eastAsia="zh-CN"/>
        </w:rPr>
        <w:t>磋商</w:t>
      </w:r>
      <w:r>
        <w:rPr>
          <w:rFonts w:hint="eastAsia" w:ascii="宋体" w:hAnsi="宋体"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.供应商及其法定代表人、委托代理人均无行贿犯罪记录（提供无行贿犯罪记录承诺书，详见格式）；</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w:t>
      </w:r>
      <w:r>
        <w:rPr>
          <w:rFonts w:hint="eastAsia" w:ascii="宋体" w:hAnsi="宋体" w:cs="宋体"/>
          <w:sz w:val="24"/>
          <w:szCs w:val="24"/>
        </w:rPr>
        <w:t>供应商须具有测绘地理信息主管部门颁发的测绘乙级及以上资质证书</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5.</w:t>
      </w:r>
      <w:r>
        <w:rPr>
          <w:rFonts w:hint="eastAsia" w:ascii="宋体" w:hAnsi="宋体" w:eastAsia="宋体" w:cs="宋体"/>
          <w:sz w:val="24"/>
          <w:szCs w:val="24"/>
        </w:rPr>
        <w:t>拟派项目负责人须具有相关专业高级（含）及以上职称或具备注册城乡规划师资格，同时为本单位正式工作人员，提供在本单位的劳动合同及</w:t>
      </w:r>
      <w:r>
        <w:rPr>
          <w:rFonts w:hint="eastAsia" w:ascii="宋体" w:hAnsi="宋体" w:eastAsia="宋体" w:cs="宋体"/>
          <w:sz w:val="24"/>
          <w:szCs w:val="24"/>
          <w:lang w:eastAsia="zh-CN"/>
        </w:rPr>
        <w:t>连续六个月的</w:t>
      </w:r>
      <w:r>
        <w:rPr>
          <w:rFonts w:hint="eastAsia" w:ascii="宋体" w:hAnsi="宋体" w:eastAsia="宋体" w:cs="宋体"/>
          <w:sz w:val="24"/>
          <w:szCs w:val="24"/>
        </w:rPr>
        <w:t>社会保险证明；</w:t>
      </w:r>
    </w:p>
    <w:p>
      <w:pPr>
        <w:keepNext w:val="0"/>
        <w:keepLines w:val="0"/>
        <w:pageBreakBefore w:val="0"/>
        <w:widowControl w:val="0"/>
        <w:kinsoku/>
        <w:wordWrap/>
        <w:overflowPunct/>
        <w:topLinePunct w:val="0"/>
        <w:autoSpaceDE/>
        <w:autoSpaceDN/>
        <w:bidi w:val="0"/>
        <w:adjustRightInd/>
        <w:snapToGrid/>
        <w:spacing w:line="440" w:lineRule="exact"/>
        <w:ind w:left="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pStyle w:val="14"/>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rPr>
          <w:rFonts w:hint="eastAsia" w:ascii="宋体" w:hAnsi="宋体" w:cs="宋体"/>
          <w:b/>
          <w:bCs/>
          <w:sz w:val="30"/>
          <w:szCs w:val="30"/>
        </w:rPr>
      </w:pPr>
      <w:bookmarkStart w:id="141" w:name="_Toc8011"/>
      <w:bookmarkStart w:id="142" w:name="_Toc31392"/>
      <w:bookmarkStart w:id="143" w:name="_Toc114940421"/>
      <w:r>
        <w:rPr>
          <w:rFonts w:hint="eastAsia" w:ascii="宋体" w:hAnsi="宋体" w:cs="宋体"/>
          <w:b/>
          <w:bCs/>
          <w:sz w:val="30"/>
          <w:szCs w:val="30"/>
        </w:rPr>
        <w:br w:type="page"/>
      </w:r>
    </w:p>
    <w:p>
      <w:pPr>
        <w:widowControl/>
        <w:kinsoku w:val="0"/>
        <w:autoSpaceDE w:val="0"/>
        <w:autoSpaceDN w:val="0"/>
        <w:adjustRightInd w:val="0"/>
        <w:snapToGrid w:val="0"/>
        <w:spacing w:line="560" w:lineRule="exact"/>
        <w:jc w:val="center"/>
        <w:textAlignment w:val="baseline"/>
        <w:outlineLvl w:val="0"/>
        <w:rPr>
          <w:rFonts w:hint="eastAsia" w:ascii="宋体" w:hAnsi="宋体" w:cs="宋体"/>
          <w:sz w:val="32"/>
          <w:szCs w:val="32"/>
        </w:rPr>
      </w:pPr>
      <w:r>
        <w:rPr>
          <w:rFonts w:hint="eastAsia" w:ascii="宋体" w:hAnsi="宋体" w:cs="宋体"/>
          <w:b/>
          <w:bCs/>
          <w:sz w:val="30"/>
          <w:szCs w:val="30"/>
        </w:rPr>
        <w:t>武陟县政府采购供应商资格信用承诺函</w:t>
      </w:r>
      <w:bookmarkEnd w:id="141"/>
      <w:r>
        <w:rPr>
          <w:rFonts w:hint="eastAsia" w:ascii="宋体" w:hAnsi="宋体" w:cs="宋体"/>
          <w:b/>
          <w:bCs/>
          <w:sz w:val="30"/>
          <w:szCs w:val="30"/>
        </w:rPr>
        <w:t xml:space="preserve"> </w:t>
      </w:r>
      <w:r>
        <w:rPr>
          <w:rFonts w:hint="eastAsia" w:ascii="宋体" w:hAnsi="宋体" w:cs="宋体"/>
          <w:b/>
          <w:bCs/>
          <w:sz w:val="32"/>
          <w:szCs w:val="32"/>
        </w:rPr>
        <w:t xml:space="preserve"> </w:t>
      </w:r>
      <w:r>
        <w:rPr>
          <w:rFonts w:hint="eastAsia" w:ascii="宋体" w:hAnsi="宋体" w:cs="宋体"/>
          <w:sz w:val="32"/>
          <w:szCs w:val="32"/>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（采购人或采购代理机构）</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注：1.供应商须在响应文件中按此模板提供承诺函，未提供视为未实质性响应响应文件要求，按无效投标处理。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42"/>
      <w:bookmarkEnd w:id="143"/>
    </w:p>
    <w:p>
      <w:pPr>
        <w:spacing w:after="312" w:afterLines="100" w:line="440" w:lineRule="exact"/>
        <w:rPr>
          <w:rFonts w:hint="eastAsia" w:ascii="宋体" w:hAnsi="宋体" w:cs="宋体"/>
          <w:position w:val="-7"/>
          <w:szCs w:val="21"/>
        </w:rPr>
      </w:pPr>
    </w:p>
    <w:p>
      <w:pPr>
        <w:spacing w:before="156" w:beforeLines="50" w:after="156"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6"/>
        <w:jc w:val="center"/>
        <w:rPr>
          <w:rFonts w:hint="eastAsia" w:ascii="宋体" w:hAnsi="宋体" w:eastAsia="宋体" w:cs="宋体"/>
          <w:sz w:val="28"/>
          <w:szCs w:val="28"/>
        </w:rPr>
      </w:pPr>
    </w:p>
    <w:p>
      <w:pPr>
        <w:pStyle w:val="6"/>
        <w:jc w:val="center"/>
        <w:rPr>
          <w:rFonts w:hint="eastAsia" w:ascii="宋体" w:hAnsi="宋体" w:eastAsia="宋体" w:cs="宋体"/>
          <w:sz w:val="28"/>
          <w:szCs w:val="28"/>
        </w:rPr>
      </w:pPr>
    </w:p>
    <w:p>
      <w:pPr>
        <w:pStyle w:val="31"/>
        <w:spacing w:before="0" w:beforeAutospacing="0" w:after="0" w:afterAutospacing="0"/>
        <w:ind w:right="560"/>
        <w:jc w:val="center"/>
        <w:rPr>
          <w:rFonts w:hint="eastAsia"/>
          <w:b/>
          <w:bCs/>
          <w:sz w:val="32"/>
          <w:szCs w:val="32"/>
        </w:rPr>
      </w:pPr>
    </w:p>
    <w:p>
      <w:pPr>
        <w:pStyle w:val="31"/>
        <w:spacing w:before="0" w:beforeAutospacing="0" w:after="0" w:afterAutospacing="0"/>
        <w:ind w:right="560"/>
        <w:jc w:val="center"/>
        <w:rPr>
          <w:rFonts w:hint="eastAsia"/>
          <w:b/>
          <w:bCs/>
          <w:sz w:val="32"/>
          <w:szCs w:val="32"/>
        </w:rPr>
      </w:pPr>
    </w:p>
    <w:p>
      <w:pPr>
        <w:pStyle w:val="31"/>
        <w:spacing w:before="0" w:beforeAutospacing="0" w:after="0" w:afterAutospacing="0"/>
        <w:ind w:right="560"/>
        <w:jc w:val="center"/>
        <w:rPr>
          <w:rFonts w:hint="eastAsia"/>
          <w:b/>
          <w:bCs/>
          <w:sz w:val="32"/>
          <w:szCs w:val="32"/>
        </w:rPr>
      </w:pPr>
    </w:p>
    <w:p>
      <w:pPr>
        <w:pStyle w:val="31"/>
        <w:spacing w:before="0" w:beforeAutospacing="0" w:after="0" w:afterAutospacing="0"/>
        <w:ind w:right="560"/>
        <w:jc w:val="center"/>
        <w:rPr>
          <w:b/>
          <w:bCs/>
          <w:sz w:val="32"/>
          <w:szCs w:val="32"/>
        </w:rPr>
      </w:pPr>
    </w:p>
    <w:bookmarkEnd w:id="122"/>
    <w:bookmarkEnd w:id="123"/>
    <w:p>
      <w:pPr>
        <w:rPr>
          <w:rFonts w:hint="eastAsia"/>
          <w:b/>
          <w:sz w:val="28"/>
        </w:rPr>
        <w:sectPr>
          <w:type w:val="nextColumn"/>
          <w:pgSz w:w="11906" w:h="16838"/>
          <w:pgMar w:top="1440" w:right="1134" w:bottom="1440" w:left="1474" w:header="851" w:footer="992" w:gutter="0"/>
          <w:cols w:space="720" w:num="1"/>
          <w:titlePg/>
          <w:docGrid w:type="lines" w:linePitch="312" w:charSpace="0"/>
        </w:sectPr>
      </w:pPr>
      <w:bookmarkStart w:id="144" w:name="_Toc490161471"/>
      <w:bookmarkStart w:id="145" w:name="_Toc5506"/>
      <w:bookmarkStart w:id="146" w:name="_Toc487805932"/>
      <w:bookmarkStart w:id="147" w:name="_Toc428454062"/>
      <w:bookmarkStart w:id="148" w:name="_Toc115021841"/>
      <w:bookmarkStart w:id="149" w:name="_Toc428525390"/>
      <w:bookmarkStart w:id="150" w:name="_Toc15846"/>
      <w:bookmarkStart w:id="151" w:name="_Toc406663316"/>
      <w:bookmarkStart w:id="152" w:name="_Toc23619"/>
      <w:bookmarkStart w:id="153" w:name="_Toc477423256"/>
      <w:bookmarkStart w:id="154" w:name="_Toc364490446"/>
      <w:bookmarkStart w:id="155" w:name="_Toc25878"/>
      <w:bookmarkStart w:id="156" w:name="_Toc373230045"/>
      <w:bookmarkStart w:id="157" w:name="_Toc374512433"/>
      <w:bookmarkStart w:id="158" w:name="_Toc214329904"/>
      <w:bookmarkStart w:id="159" w:name="_Toc408816356"/>
      <w:r>
        <w:rPr>
          <w:rFonts w:hint="eastAsia"/>
          <w:b/>
          <w:sz w:val="28"/>
        </w:rPr>
        <w:t xml:space="preserve"> </w:t>
      </w:r>
    </w:p>
    <w:p>
      <w:pPr>
        <w:pStyle w:val="5"/>
        <w:numPr>
          <w:ilvl w:val="0"/>
          <w:numId w:val="17"/>
        </w:numPr>
        <w:spacing w:before="0" w:after="0" w:line="360" w:lineRule="auto"/>
        <w:rPr>
          <w:rFonts w:hint="eastAsia" w:ascii="宋体" w:hAnsi="宋体" w:cs="宋体"/>
          <w:sz w:val="32"/>
          <w:szCs w:val="32"/>
        </w:rPr>
      </w:pPr>
      <w:r>
        <w:rPr>
          <w:rFonts w:hint="eastAsia" w:ascii="宋体" w:hAnsi="宋体" w:cs="宋体"/>
          <w:sz w:val="32"/>
          <w:szCs w:val="32"/>
        </w:rPr>
        <w:t>法定代表人身份证明或授权委托书</w:t>
      </w:r>
      <w:bookmarkEnd w:id="144"/>
      <w:bookmarkEnd w:id="145"/>
      <w:bookmarkEnd w:id="146"/>
      <w:bookmarkEnd w:id="147"/>
      <w:bookmarkEnd w:id="148"/>
      <w:bookmarkEnd w:id="149"/>
      <w:bookmarkEnd w:id="150"/>
      <w:bookmarkEnd w:id="151"/>
      <w:bookmarkEnd w:id="152"/>
      <w:bookmarkEnd w:id="153"/>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4"/>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（供应商名称）营业执照注册号：</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本授权委托声明：我</w:t>
      </w:r>
      <w:r>
        <w:rPr>
          <w:rFonts w:hint="eastAsia" w:ascii="宋体" w:hAnsi="宋体" w:cs="宋体"/>
          <w:sz w:val="24"/>
          <w:szCs w:val="24"/>
          <w:u w:val="single"/>
        </w:rPr>
        <w:t>　　　　　</w:t>
      </w:r>
      <w:r>
        <w:rPr>
          <w:rFonts w:hint="eastAsia" w:ascii="宋体" w:hAnsi="宋体" w:cs="宋体"/>
          <w:sz w:val="24"/>
          <w:szCs w:val="24"/>
        </w:rPr>
        <w:t>（姓名）系</w:t>
      </w:r>
      <w:r>
        <w:rPr>
          <w:rFonts w:hint="eastAsia" w:ascii="宋体" w:hAnsi="宋体" w:cs="宋体"/>
          <w:sz w:val="24"/>
          <w:szCs w:val="24"/>
          <w:u w:val="single"/>
        </w:rPr>
        <w:t>　　　　</w:t>
      </w:r>
      <w:r>
        <w:rPr>
          <w:rFonts w:hint="eastAsia" w:ascii="宋体" w:hAnsi="宋体" w:cs="宋体"/>
          <w:sz w:val="24"/>
          <w:szCs w:val="24"/>
        </w:rPr>
        <w:t>（供应商名称）的法定代表人，现授权委托</w:t>
      </w:r>
      <w:r>
        <w:rPr>
          <w:rFonts w:hint="eastAsia" w:ascii="宋体" w:hAnsi="宋体" w:cs="宋体"/>
          <w:sz w:val="24"/>
          <w:szCs w:val="24"/>
          <w:u w:val="single"/>
        </w:rPr>
        <w:t>　　　　　</w:t>
      </w:r>
      <w:r>
        <w:rPr>
          <w:rFonts w:hint="eastAsia" w:ascii="宋体" w:hAnsi="宋体" w:cs="宋体"/>
          <w:sz w:val="24"/>
          <w:szCs w:val="24"/>
        </w:rPr>
        <w:t>（单位名称）的</w:t>
      </w:r>
      <w:r>
        <w:rPr>
          <w:rFonts w:hint="eastAsia" w:ascii="宋体" w:hAnsi="宋体" w:cs="宋体"/>
          <w:sz w:val="24"/>
          <w:szCs w:val="24"/>
          <w:u w:val="single"/>
        </w:rPr>
        <w:t>　　　</w:t>
      </w:r>
      <w:r>
        <w:rPr>
          <w:rFonts w:hint="eastAsia" w:ascii="宋体" w:hAnsi="宋体" w:cs="宋体"/>
          <w:sz w:val="24"/>
          <w:szCs w:val="24"/>
        </w:rPr>
        <w:t>（姓名）为我公司（院）代理人，以本公司（院）的名义参加</w:t>
      </w:r>
      <w:r>
        <w:rPr>
          <w:rFonts w:hint="eastAsia" w:ascii="宋体" w:hAnsi="宋体" w:cs="宋体"/>
          <w:sz w:val="24"/>
          <w:szCs w:val="24"/>
          <w:u w:val="single"/>
        </w:rPr>
        <w:t xml:space="preserve">            </w:t>
      </w:r>
      <w:r>
        <w:rPr>
          <w:rFonts w:hint="eastAsia" w:ascii="宋体" w:hAnsi="宋体" w:cs="宋体"/>
          <w:sz w:val="24"/>
          <w:szCs w:val="24"/>
        </w:rPr>
        <w:t>项目（交易编号：</w:t>
      </w:r>
      <w:r>
        <w:rPr>
          <w:rFonts w:hint="eastAsia" w:ascii="宋体" w:hAnsi="宋体" w:cs="宋体"/>
          <w:sz w:val="24"/>
          <w:szCs w:val="24"/>
          <w:u w:val="single"/>
        </w:rPr>
        <w:t xml:space="preserve">         </w:t>
      </w:r>
      <w:r>
        <w:rPr>
          <w:rFonts w:hint="eastAsia" w:ascii="宋体" w:hAnsi="宋体" w:cs="宋体"/>
          <w:sz w:val="24"/>
          <w:szCs w:val="24"/>
        </w:rPr>
        <w:t>）的磋商活动。代理人在磋商、评审、合同谈判过程中所签署的一切文件和处理与之有关的一切事务，我均予以承认。</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代理人无转委托权，特此声明。</w:t>
      </w:r>
    </w:p>
    <w:p>
      <w:pPr>
        <w:spacing w:line="460" w:lineRule="exact"/>
        <w:ind w:firstLine="403" w:firstLineChars="168"/>
        <w:rPr>
          <w:rFonts w:hint="eastAsia" w:ascii="宋体" w:hAnsi="宋体" w:cs="宋体"/>
          <w:sz w:val="24"/>
          <w:szCs w:val="24"/>
        </w:rPr>
      </w:pPr>
    </w:p>
    <w:p>
      <w:pPr>
        <w:spacing w:line="460" w:lineRule="exact"/>
        <w:rPr>
          <w:rFonts w:hint="eastAsia" w:ascii="宋体" w:hAnsi="宋体" w:cs="宋体"/>
          <w:sz w:val="24"/>
          <w:szCs w:val="24"/>
        </w:rPr>
      </w:pPr>
    </w:p>
    <w:p>
      <w:pPr>
        <w:spacing w:line="360" w:lineRule="auto"/>
        <w:jc w:val="center"/>
        <w:rPr>
          <w:rFonts w:hint="eastAsia" w:ascii="宋体" w:hAnsi="宋体" w:cs="宋体"/>
          <w:sz w:val="24"/>
          <w:szCs w:val="24"/>
        </w:rPr>
      </w:pPr>
      <w:bookmarkStart w:id="160" w:name="_Toc475955191"/>
      <w:bookmarkStart w:id="161" w:name="_Toc476045985"/>
      <w:bookmarkStart w:id="162" w:name="_Toc490161472"/>
      <w:bookmarkStart w:id="163" w:name="_Toc487805933"/>
      <w:bookmarkStart w:id="164" w:name="_Toc15453"/>
      <w:bookmarkStart w:id="165" w:name="_Toc477423257"/>
      <w:bookmarkStart w:id="166" w:name="_Toc428454066"/>
      <w:bookmarkStart w:id="167" w:name="_Toc428525391"/>
      <w:r>
        <w:rPr>
          <w:rFonts w:hint="eastAsia" w:ascii="宋体" w:hAnsi="宋体" w:cs="宋体"/>
          <w:sz w:val="24"/>
          <w:szCs w:val="24"/>
          <w:lang w:val="en-US" w:eastAsia="zh-CN"/>
        </w:rPr>
        <w:t xml:space="preserve">  </w:t>
      </w:r>
      <w:r>
        <w:rPr>
          <w:rFonts w:hint="eastAsia" w:ascii="宋体" w:hAnsi="宋体" w:cs="宋体"/>
          <w:sz w:val="24"/>
          <w:szCs w:val="24"/>
        </w:rPr>
        <w:t>供应商名称（全称并加盖公章）：</w:t>
      </w:r>
    </w:p>
    <w:p>
      <w:pPr>
        <w:spacing w:line="360" w:lineRule="auto"/>
        <w:rPr>
          <w:rFonts w:hint="eastAsia" w:ascii="宋体" w:hAnsi="宋体" w:cs="宋体"/>
          <w:sz w:val="24"/>
          <w:szCs w:val="24"/>
          <w:u w:val="single"/>
        </w:rPr>
      </w:pPr>
      <w:r>
        <w:rPr>
          <w:rFonts w:hint="eastAsia" w:ascii="宋体" w:hAnsi="宋体" w:cs="宋体"/>
          <w:sz w:val="24"/>
          <w:szCs w:val="24"/>
        </w:rPr>
        <w:t xml:space="preserve">                             法定代表人（签名或盖章）：</w:t>
      </w:r>
    </w:p>
    <w:p>
      <w:pPr>
        <w:spacing w:line="360" w:lineRule="auto"/>
        <w:rPr>
          <w:rFonts w:hint="eastAsia" w:ascii="宋体" w:hAnsi="宋体" w:cs="宋体"/>
          <w:sz w:val="24"/>
          <w:szCs w:val="24"/>
          <w:u w:val="single"/>
        </w:rPr>
      </w:pPr>
      <w:r>
        <w:rPr>
          <w:rFonts w:hint="eastAsia" w:ascii="宋体" w:hAnsi="宋体" w:cs="宋体"/>
          <w:sz w:val="24"/>
          <w:szCs w:val="24"/>
        </w:rPr>
        <w:t xml:space="preserve">                             委托代理人（签名或盖章）：</w:t>
      </w:r>
    </w:p>
    <w:p>
      <w:pPr>
        <w:spacing w:line="360" w:lineRule="auto"/>
        <w:ind w:firstLine="5520" w:firstLineChars="2300"/>
        <w:rPr>
          <w:rFonts w:hint="eastAsia" w:ascii="宋体" w:hAnsi="宋体" w:cs="宋体"/>
          <w:sz w:val="24"/>
          <w:szCs w:val="24"/>
        </w:rPr>
      </w:pPr>
      <w:r>
        <w:rPr>
          <w:rFonts w:hint="eastAsia" w:ascii="宋体" w:hAnsi="宋体" w:cs="宋体"/>
          <w:sz w:val="24"/>
          <w:szCs w:val="24"/>
        </w:rPr>
        <w:t>日      期：</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82"/>
        <w:ind w:firstLine="964" w:firstLineChars="400"/>
        <w:rPr>
          <w:rFonts w:hint="eastAsia" w:ascii="宋体" w:hAnsi="宋体" w:cs="宋体"/>
        </w:rPr>
        <w:sectPr>
          <w:headerReference r:id="rId13" w:type="first"/>
          <w:footerReference r:id="rId15" w:type="first"/>
          <w:headerReference r:id="rId12" w:type="default"/>
          <w:footerReference r:id="rId14"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60"/>
      <w:bookmarkEnd w:id="161"/>
      <w:bookmarkEnd w:id="162"/>
      <w:bookmarkEnd w:id="163"/>
      <w:bookmarkEnd w:id="164"/>
      <w:bookmarkEnd w:id="165"/>
      <w:bookmarkStart w:id="168" w:name="_Toc487805935"/>
      <w:bookmarkStart w:id="169" w:name="_Toc490161474"/>
      <w:bookmarkStart w:id="170" w:name="_Toc17258"/>
      <w:bookmarkStart w:id="171" w:name="_Toc477423259"/>
      <w:r>
        <w:rPr>
          <w:rFonts w:hint="eastAsia" w:ascii="宋体" w:hAnsi="宋体" w:cs="宋体"/>
          <w:b/>
        </w:rPr>
        <w:t>此项。</w:t>
      </w: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中小企业声明函（工程、服务）</w:t>
      </w:r>
    </w:p>
    <w:p>
      <w:pPr>
        <w:widowControl/>
        <w:spacing w:line="580" w:lineRule="atLeast"/>
        <w:ind w:firstLine="42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hint="eastAsia" w:ascii="宋体" w:hAnsi="宋体" w:cs="宋体"/>
        </w:rPr>
      </w:pPr>
      <w:r>
        <w:rPr>
          <w:rFonts w:hint="eastAsia" w:ascii="宋体" w:hAnsi="宋体" w:cs="宋体"/>
        </w:rPr>
        <w:t>1.</w:t>
      </w:r>
      <w:r>
        <w:rPr>
          <w:rFonts w:hint="eastAsia" w:ascii="宋体" w:hAnsi="宋体" w:eastAsia="宋体" w:cs="宋体"/>
          <w:color w:val="auto"/>
          <w:szCs w:val="21"/>
          <w:u w:val="single"/>
          <w:lang w:val="en-US" w:eastAsia="zh-CN"/>
        </w:rPr>
        <w:t>武陟县园地、林地、草地分等定级工作协作单位</w:t>
      </w:r>
      <w:r>
        <w:rPr>
          <w:rFonts w:hint="eastAsia" w:ascii="宋体" w:hAnsi="宋体" w:cs="宋体"/>
          <w:color w:val="auto"/>
          <w:szCs w:val="21"/>
          <w:u w:val="single"/>
          <w:lang w:val="en-US" w:eastAsia="zh-CN"/>
        </w:rPr>
        <w:t>采购</w:t>
      </w:r>
      <w:r>
        <w:rPr>
          <w:rFonts w:hint="eastAsia" w:ascii="宋体" w:hAnsi="宋体" w:eastAsia="宋体" w:cs="宋体"/>
          <w:color w:val="auto"/>
          <w:szCs w:val="21"/>
          <w:u w:val="single"/>
          <w:lang w:val="en-US" w:eastAsia="zh-CN"/>
        </w:rPr>
        <w:t>项目</w:t>
      </w:r>
      <w:r>
        <w:rPr>
          <w:rFonts w:hint="eastAsia" w:ascii="宋体" w:hAnsi="宋体" w:cs="宋体"/>
        </w:rPr>
        <w:t>，属于</w:t>
      </w:r>
      <w:r>
        <w:rPr>
          <w:rFonts w:hint="eastAsia" w:ascii="宋体" w:hAnsi="宋体" w:eastAsia="宋体" w:cs="宋体"/>
          <w:bCs/>
          <w:color w:val="auto"/>
          <w:kern w:val="0"/>
          <w:sz w:val="21"/>
          <w:szCs w:val="21"/>
          <w:u w:val="single"/>
          <w:lang w:eastAsia="zh-CN"/>
        </w:rPr>
        <w:t>其他未列明行业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2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日期：</w:t>
      </w:r>
    </w:p>
    <w:p>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numPr>
          <w:ilvl w:val="0"/>
          <w:numId w:val="0"/>
        </w:numPr>
        <w:spacing w:line="360" w:lineRule="auto"/>
        <w:ind w:leftChars="0" w:firstLine="420" w:firstLineChars="200"/>
        <w:rPr>
          <w:rFonts w:hint="eastAsia" w:ascii="宋体" w:hAnsi="宋体" w:cs="宋体"/>
          <w:b/>
          <w:szCs w:val="21"/>
          <w:lang w:val="en-US" w:eastAsia="zh-CN"/>
        </w:rPr>
      </w:pPr>
      <w:r>
        <w:rPr>
          <w:rFonts w:hint="eastAsia" w:ascii="宋体" w:hAnsi="宋体" w:cs="宋体"/>
          <w:b/>
          <w:szCs w:val="21"/>
          <w:lang w:val="en-US" w:eastAsia="zh-CN"/>
        </w:rPr>
        <w:t>2.本注的文字，仅作告知，不作格式要求。</w:t>
      </w:r>
    </w:p>
    <w:p>
      <w:pPr>
        <w:widowControl/>
        <w:spacing w:line="580" w:lineRule="atLeast"/>
        <w:rPr>
          <w:rFonts w:hint="eastAsia" w:ascii="宋体" w:hAnsi="宋体" w:cs="宋体"/>
        </w:rPr>
      </w:pPr>
    </w:p>
    <w:p>
      <w:pPr>
        <w:widowControl/>
        <w:spacing w:line="580" w:lineRule="atLeast"/>
        <w:rPr>
          <w:rFonts w:hint="eastAsia" w:ascii="宋体" w:hAnsi="宋体" w:cs="宋体"/>
        </w:rPr>
      </w:pPr>
    </w:p>
    <w:p>
      <w:pPr>
        <w:pStyle w:val="54"/>
        <w:rPr>
          <w:rFonts w:hint="eastAsia" w:ascii="宋体" w:hAnsi="宋体" w:cs="宋体"/>
        </w:rPr>
      </w:pPr>
    </w:p>
    <w:p>
      <w:pPr>
        <w:pStyle w:val="54"/>
        <w:rPr>
          <w:rFonts w:hint="eastAsia" w:ascii="宋体" w:hAnsi="宋体" w:cs="宋体"/>
        </w:rPr>
      </w:pPr>
    </w:p>
    <w:p>
      <w:pPr>
        <w:pStyle w:val="54"/>
        <w:rPr>
          <w:rFonts w:hint="eastAsia" w:ascii="宋体" w:hAnsi="宋体" w:cs="宋体"/>
        </w:rPr>
      </w:pPr>
    </w:p>
    <w:p>
      <w:pPr>
        <w:widowControl/>
        <w:spacing w:line="580" w:lineRule="atLeast"/>
        <w:rPr>
          <w:rFonts w:hint="eastAsia" w:ascii="宋体" w:hAnsi="宋体" w:cs="宋体"/>
        </w:rPr>
      </w:pPr>
    </w:p>
    <w:p>
      <w:pPr>
        <w:pStyle w:val="49"/>
        <w:rPr>
          <w:rFonts w:hint="eastAsia" w:ascii="宋体" w:hAnsi="宋体" w:cs="宋体"/>
        </w:rPr>
      </w:pPr>
    </w:p>
    <w:p>
      <w:pPr>
        <w:pStyle w:val="14"/>
        <w:rPr>
          <w:rFonts w:hint="eastAsia" w:ascii="宋体" w:hAnsi="宋体" w:cs="宋体"/>
        </w:rPr>
      </w:pPr>
    </w:p>
    <w:p>
      <w:pPr>
        <w:pStyle w:val="50"/>
        <w:rPr>
          <w:rFonts w:hint="eastAsia" w:ascii="宋体" w:hAnsi="宋体" w:cs="宋体"/>
        </w:rPr>
      </w:pPr>
    </w:p>
    <w:p>
      <w:pPr>
        <w:pStyle w:val="51"/>
        <w:rPr>
          <w:rFonts w:hint="eastAsia" w:ascii="宋体" w:hAnsi="宋体" w:cs="宋体"/>
        </w:rPr>
      </w:pPr>
    </w:p>
    <w:p>
      <w:pPr>
        <w:pStyle w:val="52"/>
        <w:rPr>
          <w:rFonts w:hint="eastAsia"/>
        </w:rPr>
      </w:pPr>
    </w:p>
    <w:p>
      <w:pPr>
        <w:pStyle w:val="5"/>
        <w:numPr>
          <w:ilvl w:val="0"/>
          <w:numId w:val="17"/>
        </w:numPr>
        <w:spacing w:before="0" w:after="0" w:line="360" w:lineRule="auto"/>
        <w:rPr>
          <w:rFonts w:hint="eastAsia" w:ascii="宋体" w:hAnsi="宋体" w:cs="宋体"/>
          <w:sz w:val="32"/>
          <w:szCs w:val="32"/>
        </w:rPr>
      </w:pPr>
      <w:bookmarkStart w:id="172" w:name="_Toc115021843"/>
      <w:bookmarkStart w:id="173" w:name="_Toc529865893"/>
      <w:bookmarkStart w:id="174" w:name="_Toc5526"/>
      <w:bookmarkStart w:id="175" w:name="_Toc12027"/>
      <w:r>
        <w:rPr>
          <w:rFonts w:hint="eastAsia" w:ascii="宋体" w:hAnsi="宋体" w:cs="宋体"/>
          <w:sz w:val="32"/>
          <w:szCs w:val="32"/>
        </w:rPr>
        <w:t>残疾人福利性单位声明函</w:t>
      </w:r>
      <w:bookmarkEnd w:id="172"/>
      <w:bookmarkEnd w:id="173"/>
      <w:bookmarkEnd w:id="174"/>
      <w:bookmarkEnd w:id="175"/>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spacing w:line="600" w:lineRule="exact"/>
        <w:ind w:firstLine="420" w:firstLineChars="175"/>
        <w:rPr>
          <w:rFonts w:hint="eastAsia" w:ascii="宋体" w:hAnsi="宋体" w:cs="宋体"/>
          <w:sz w:val="24"/>
        </w:rPr>
      </w:pPr>
    </w:p>
    <w:p>
      <w:pPr>
        <w:pStyle w:val="6"/>
        <w:spacing w:line="460" w:lineRule="exact"/>
        <w:jc w:val="center"/>
        <w:rPr>
          <w:rFonts w:hint="eastAsia" w:ascii="宋体" w:hAnsi="宋体" w:eastAsia="宋体" w:cs="宋体"/>
          <w:sz w:val="24"/>
          <w:szCs w:val="24"/>
        </w:rPr>
      </w:pPr>
    </w:p>
    <w:p>
      <w:pPr>
        <w:rPr>
          <w:rFonts w:hint="eastAsia" w:ascii="宋体" w:hAnsi="宋体" w:cs="宋体"/>
        </w:rPr>
      </w:pPr>
    </w:p>
    <w:p>
      <w:pPr>
        <w:pStyle w:val="6"/>
        <w:spacing w:line="460" w:lineRule="exact"/>
        <w:jc w:val="center"/>
        <w:rPr>
          <w:rFonts w:hint="eastAsia" w:ascii="宋体" w:hAnsi="宋体" w:eastAsia="宋体" w:cs="宋体"/>
          <w:sz w:val="24"/>
          <w:szCs w:val="24"/>
        </w:rPr>
      </w:pPr>
    </w:p>
    <w:p>
      <w:pPr>
        <w:pStyle w:val="6"/>
        <w:spacing w:line="460" w:lineRule="exact"/>
        <w:jc w:val="center"/>
        <w:rPr>
          <w:rFonts w:hint="eastAsia" w:ascii="宋体" w:hAnsi="宋体" w:eastAsia="宋体" w:cs="宋体"/>
          <w:sz w:val="24"/>
          <w:szCs w:val="24"/>
        </w:rPr>
      </w:pPr>
    </w:p>
    <w:p>
      <w:pPr>
        <w:pStyle w:val="6"/>
        <w:spacing w:line="460" w:lineRule="exact"/>
        <w:jc w:val="center"/>
        <w:rPr>
          <w:rFonts w:hint="eastAsia" w:ascii="宋体" w:hAnsi="宋体" w:eastAsia="宋体" w:cs="宋体"/>
          <w:sz w:val="24"/>
          <w:szCs w:val="24"/>
        </w:rPr>
      </w:pPr>
    </w:p>
    <w:p>
      <w:pPr>
        <w:rPr>
          <w:rFonts w:hint="eastAsia" w:ascii="宋体" w:hAnsi="宋体" w:cs="宋体"/>
        </w:rPr>
      </w:pPr>
    </w:p>
    <w:p>
      <w:pPr>
        <w:pStyle w:val="21"/>
        <w:rPr>
          <w:rFonts w:hint="eastAsia" w:cs="宋体"/>
        </w:rPr>
      </w:pPr>
    </w:p>
    <w:bookmarkEnd w:id="168"/>
    <w:bookmarkEnd w:id="169"/>
    <w:bookmarkEnd w:id="170"/>
    <w:bookmarkEnd w:id="171"/>
    <w:p>
      <w:pPr>
        <w:pStyle w:val="5"/>
        <w:numPr>
          <w:ilvl w:val="0"/>
          <w:numId w:val="17"/>
        </w:numPr>
        <w:spacing w:before="0" w:after="0" w:line="360" w:lineRule="auto"/>
        <w:rPr>
          <w:rFonts w:hint="eastAsia" w:ascii="宋体" w:hAnsi="宋体" w:cs="宋体"/>
          <w:sz w:val="32"/>
          <w:szCs w:val="32"/>
        </w:rPr>
      </w:pPr>
      <w:bookmarkStart w:id="176" w:name="_Toc477423260"/>
      <w:bookmarkStart w:id="177" w:name="_Toc487805936"/>
      <w:bookmarkStart w:id="178" w:name="_Toc19062"/>
      <w:bookmarkStart w:id="179" w:name="_Toc490161475"/>
      <w:bookmarkStart w:id="180" w:name="_Toc7213"/>
      <w:bookmarkStart w:id="181" w:name="_Toc1654"/>
      <w:bookmarkStart w:id="182" w:name="_Toc115021844"/>
      <w:r>
        <w:rPr>
          <w:rFonts w:hint="eastAsia" w:ascii="宋体" w:hAnsi="宋体" w:cs="宋体"/>
          <w:sz w:val="32"/>
          <w:szCs w:val="32"/>
        </w:rPr>
        <w:t>反商业贿赂承诺书</w:t>
      </w:r>
      <w:bookmarkEnd w:id="176"/>
      <w:bookmarkEnd w:id="177"/>
      <w:bookmarkEnd w:id="178"/>
      <w:bookmarkEnd w:id="179"/>
      <w:bookmarkEnd w:id="180"/>
      <w:bookmarkEnd w:id="181"/>
      <w:bookmarkEnd w:id="182"/>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p>
    <w:p>
      <w:pPr>
        <w:spacing w:line="460" w:lineRule="exact"/>
        <w:rPr>
          <w:rFonts w:hint="eastAsia" w:ascii="宋体" w:hAnsi="宋体" w:cs="宋体"/>
          <w:sz w:val="24"/>
          <w:szCs w:val="24"/>
        </w:rPr>
      </w:pPr>
    </w:p>
    <w:bookmarkEnd w:id="154"/>
    <w:bookmarkEnd w:id="155"/>
    <w:bookmarkEnd w:id="156"/>
    <w:bookmarkEnd w:id="157"/>
    <w:bookmarkEnd w:id="158"/>
    <w:bookmarkEnd w:id="159"/>
    <w:bookmarkEnd w:id="166"/>
    <w:bookmarkEnd w:id="167"/>
    <w:p>
      <w:pPr>
        <w:spacing w:line="460" w:lineRule="exact"/>
        <w:rPr>
          <w:rFonts w:hint="eastAsia" w:ascii="宋体" w:hAnsi="宋体" w:cs="宋体"/>
          <w:sz w:val="24"/>
          <w:szCs w:val="24"/>
        </w:rPr>
      </w:pPr>
      <w:bookmarkStart w:id="183" w:name="_Toc476045994"/>
      <w:bookmarkStart w:id="184" w:name="_Toc450037734"/>
      <w:bookmarkStart w:id="185" w:name="_Toc364962592"/>
      <w:bookmarkStart w:id="186" w:name="_Toc477423265"/>
      <w:bookmarkStart w:id="187" w:name="_Toc406663323"/>
      <w:bookmarkStart w:id="188" w:name="_Toc115021845"/>
      <w:bookmarkStart w:id="189" w:name="_Toc19579"/>
      <w:bookmarkStart w:id="190" w:name="_Toc18166"/>
      <w:bookmarkStart w:id="191" w:name="_Toc490161482"/>
      <w:bookmarkStart w:id="192" w:name="_Toc19463"/>
      <w:bookmarkStart w:id="193" w:name="_Toc475955200"/>
      <w:bookmarkStart w:id="194" w:name="_Toc365712853"/>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5"/>
        <w:numPr>
          <w:ilvl w:val="0"/>
          <w:numId w:val="17"/>
        </w:numPr>
        <w:spacing w:before="0" w:after="0" w:line="360" w:lineRule="auto"/>
        <w:rPr>
          <w:rFonts w:hint="eastAsia" w:ascii="宋体" w:hAnsi="宋体" w:cs="宋体"/>
          <w:sz w:val="32"/>
          <w:szCs w:val="32"/>
        </w:rPr>
      </w:pPr>
      <w:r>
        <w:rPr>
          <w:rFonts w:hint="eastAsia" w:ascii="宋体" w:hAnsi="宋体" w:cs="宋体"/>
          <w:sz w:val="32"/>
          <w:szCs w:val="32"/>
        </w:rPr>
        <w:t>竞争性磋商文件要求的以及供应商认为应该提供的其他材料</w:t>
      </w:r>
      <w:bookmarkEnd w:id="183"/>
      <w:bookmarkEnd w:id="184"/>
      <w:bookmarkEnd w:id="185"/>
      <w:bookmarkEnd w:id="186"/>
      <w:bookmarkEnd w:id="187"/>
      <w:bookmarkEnd w:id="188"/>
      <w:bookmarkEnd w:id="189"/>
      <w:bookmarkEnd w:id="190"/>
      <w:bookmarkEnd w:id="191"/>
      <w:bookmarkEnd w:id="192"/>
      <w:bookmarkEnd w:id="193"/>
      <w:bookmarkEnd w:id="194"/>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pStyle w:val="21"/>
        <w:rPr>
          <w:rFonts w:hint="eastAsia" w:cs="宋体"/>
          <w:sz w:val="28"/>
          <w:szCs w:val="24"/>
        </w:rPr>
      </w:pPr>
    </w:p>
    <w:p>
      <w:pPr>
        <w:rPr>
          <w:rFonts w:hint="eastAsia" w:ascii="宋体" w:hAnsi="宋体" w:cs="宋体"/>
          <w:b/>
          <w:bCs/>
          <w:sz w:val="32"/>
          <w:szCs w:val="32"/>
        </w:rPr>
      </w:pPr>
    </w:p>
    <w:sectPr>
      <w:headerReference r:id="rId17" w:type="first"/>
      <w:footerReference r:id="rId19" w:type="first"/>
      <w:headerReference r:id="rId16" w:type="default"/>
      <w:footerReference r:id="rId18"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tabs>
        <w:tab w:val="center" w:pos="4649"/>
        <w:tab w:val="clear" w:pos="4153"/>
      </w:tabs>
      <w:jc w:val="both"/>
    </w:pP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2"/>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RKvm/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mhLLDA78/Ovn+fff&#10;858fZFm+XSa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BkSr5v1AEAAKYDAAAOAAAAAAAAAAEAIAAA&#10;ACIBAABkcnMvZTJvRG9jLnhtbFBLBQYAAAAABgAGAFkBAABoBQAAAAA=&#10;">
              <v:fill on="f" focussize="0,0"/>
              <v:stroke on="f" weight="1.25pt"/>
              <v:imagedata o:title=""/>
              <o:lock v:ext="edit" aspectratio="f"/>
              <v:textbox inset="0mm,0mm,0mm,0mm" style="mso-fit-shape-to-text:t;">
                <w:txbxContent>
                  <w:p>
                    <w:pPr>
                      <w:pStyle w:val="22"/>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2"/>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2"/>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2"/>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NUQ2ZjUAQAApgMAAA4AAABkcnMvZTJvRG9jLnhtbK1TzY7TMBC+&#10;I/EOlu80acW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W0osMzjw86+f599/&#10;z39+kGW5uk4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VENmY1AEAAKYDAAAOAAAAAAAAAAEAIAAA&#10;ACIBAABkcnMvZTJvRG9jLnhtbFBLBQYAAAAABgAGAFkBAABoBQAAAAA=&#10;">
              <v:fill on="f" focussize="0,0"/>
              <v:stroke on="f" weight="1.25pt"/>
              <v:imagedata o:title=""/>
              <o:lock v:ext="edit" aspectratio="f"/>
              <v:textbox inset="0mm,0mm,0mm,0mm" style="mso-fit-shape-to-text:t;">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2"/>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tabs>
        <w:tab w:val="center" w:pos="4649"/>
        <w:tab w:val="clear" w:pos="4153"/>
      </w:tabs>
      <w:jc w:val="both"/>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RmSJTVAQAApw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eImLCmxzODEz79+nn//&#10;Pf/5QZbl2+skUe+hxsw7j7lx+OAGTJ/vAS8T80EGk77IiWAcBT5dBBZDJDw9qlZVVWKIY2x2EL94&#10;eO4DxI/CGZKMhgacYBaWHT9DHFPnlFTNululdZ6itqRH1Kvq3VV+cQkhurZYJLEYu01WHHbDRG3n&#10;2hMy63ENGmpx6ynRnyyqnDZmNsJs7Gbj4IPad3mlUivg3x8itpO7TBVG2Kkwzi/znHYtLcj/fs56&#10;+L82/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oaYJL0wAAAAUBAAAPAAAAAAAAAAEAIAAAACIA&#10;AABkcnMvZG93bnJldi54bWxQSwECFAAUAAAACACHTuJAxGZIlNUBAACnAwAADgAAAAAAAAABACAA&#10;AAAiAQAAZHJzL2Uyb0RvYy54bWxQSwUGAAAAAAYABgBZAQAAaQUAAAAA&#10;">
              <v:fill on="f" focussize="0,0"/>
              <v:stroke on="f" weight="1.25pt"/>
              <v:imagedata o:title=""/>
              <o:lock v:ext="edit" aspectratio="f"/>
              <v:textbox inset="0mm,0mm,0mm,0mm" style="mso-fit-shape-to-text:t;">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shape>
          </w:pict>
        </mc:Fallback>
      </mc:AlternateContent>
    </w:r>
    <w:r>
      <w:rPr>
        <w:rFonts w:hint="eastAsia"/>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GmCS9MAAAAFAQAADwAAAAAAAAABACAAAAAiAAAA&#10;ZHJzL2Rvd25yZXYueG1sUEsBAhQAFAAAAAgAh07iQEnpymvTAQAApwMAAA4AAAAAAAAAAQAgAAAA&#10;IgEAAGRycy9lMm9Eb2MueG1sUEsFBgAAAAAGAAYAWQEAAGcFAAAAAA==&#10;">
              <v:fill on="f" focussize="0,0"/>
              <v:stroke on="f" weight="1.25pt"/>
              <v:imagedata o:title=""/>
              <o:lock v:ext="edit" aspectratio="f"/>
              <v:textbox inset="0mm,0mm,0mm,0mm" style="mso-fit-shape-to-text:t;">
                <w:txbxContent>
                  <w:p>
                    <w:pPr>
                      <w:pStyle w:val="2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tabs>
        <w:tab w:val="center" w:pos="4649"/>
        <w:tab w:val="clear" w:pos="4153"/>
      </w:tabs>
      <w:jc w:val="both"/>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2"/>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pxTyQ1AEAAKYDAAAOAAAAAAAAAAEAIAAA&#10;ACIBAABkcnMvZTJvRG9jLnhtbFBLBQYAAAAABgAGAFkBAABoBQAAAAA=&#10;">
              <v:fill on="f" focussize="0,0"/>
              <v:stroke on="f" weight="1.25pt"/>
              <v:imagedata o:title=""/>
              <o:lock v:ext="edit" aspectratio="f"/>
              <v:textbox inset="0mm,0mm,0mm,0mm" style="mso-fit-shape-to-text:t;">
                <w:txbxContent>
                  <w:p>
                    <w:pPr>
                      <w:pStyle w:val="22"/>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BFA1B"/>
    <w:multiLevelType w:val="singleLevel"/>
    <w:tmpl w:val="980BFA1B"/>
    <w:lvl w:ilvl="0" w:tentative="0">
      <w:start w:val="1"/>
      <w:numFmt w:val="chineseCounting"/>
      <w:suff w:val="nothing"/>
      <w:lvlText w:val="（%1）"/>
      <w:lvlJc w:val="left"/>
      <w:rPr>
        <w:rFonts w:hint="eastAsia"/>
      </w:rPr>
    </w:lvl>
  </w:abstractNum>
  <w:abstractNum w:abstractNumId="1">
    <w:nsid w:val="9EDF6615"/>
    <w:multiLevelType w:val="singleLevel"/>
    <w:tmpl w:val="9EDF6615"/>
    <w:lvl w:ilvl="0" w:tentative="0">
      <w:start w:val="3"/>
      <w:numFmt w:val="chineseCounting"/>
      <w:suff w:val="nothing"/>
      <w:lvlText w:val="%1、"/>
      <w:lvlJc w:val="left"/>
      <w:rPr>
        <w:rFonts w:hint="eastAsia"/>
      </w:rPr>
    </w:lvl>
  </w:abstractNum>
  <w:abstractNum w:abstractNumId="2">
    <w:nsid w:val="CFE5426D"/>
    <w:multiLevelType w:val="singleLevel"/>
    <w:tmpl w:val="CFE5426D"/>
    <w:lvl w:ilvl="0" w:tentative="0">
      <w:start w:val="1"/>
      <w:numFmt w:val="decimal"/>
      <w:lvlText w:val="%1."/>
      <w:lvlJc w:val="left"/>
      <w:pPr>
        <w:tabs>
          <w:tab w:val="left" w:pos="312"/>
        </w:tabs>
        <w:ind w:left="-60"/>
      </w:pPr>
    </w:lvl>
  </w:abstractNum>
  <w:abstractNum w:abstractNumId="3">
    <w:nsid w:val="DEAA5B29"/>
    <w:multiLevelType w:val="multilevel"/>
    <w:tmpl w:val="DEAA5B29"/>
    <w:lvl w:ilvl="0" w:tentative="0">
      <w:start w:val="1"/>
      <w:numFmt w:val="decimal"/>
      <w:suff w:val="space"/>
      <w:lvlText w:val="2.%1"/>
      <w:lvlJc w:val="left"/>
      <w:pPr>
        <w:tabs>
          <w:tab w:val="left" w:pos="839"/>
        </w:tabs>
        <w:ind w:left="839" w:hanging="414"/>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4">
    <w:nsid w:val="00000001"/>
    <w:multiLevelType w:val="singleLevel"/>
    <w:tmpl w:val="00000001"/>
    <w:lvl w:ilvl="0" w:tentative="0">
      <w:start w:val="1"/>
      <w:numFmt w:val="chineseCounting"/>
      <w:suff w:val="nothing"/>
      <w:lvlText w:val="%1、"/>
      <w:lvlJc w:val="left"/>
      <w:pPr>
        <w:ind w:left="0" w:firstLine="420"/>
      </w:pPr>
      <w:rPr>
        <w:rFonts w:hint="eastAsia"/>
      </w:rPr>
    </w:lvl>
  </w:abstractNum>
  <w:abstractNum w:abstractNumId="5">
    <w:nsid w:val="00000002"/>
    <w:multiLevelType w:val="multilevel"/>
    <w:tmpl w:val="00000002"/>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7">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8">
    <w:nsid w:val="00000014"/>
    <w:multiLevelType w:val="multilevel"/>
    <w:tmpl w:val="00000014"/>
    <w:lvl w:ilvl="0" w:tentative="0">
      <w:start w:val="1"/>
      <w:numFmt w:val="decimal"/>
      <w:suff w:val="space"/>
      <w:lvlText w:val="6.%1"/>
      <w:lvlJc w:val="left"/>
      <w:pPr>
        <w:tabs>
          <w:tab w:val="left" w:pos="0"/>
        </w:tabs>
        <w:ind w:left="567" w:hanging="283"/>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18"/>
    <w:multiLevelType w:val="multilevel"/>
    <w:tmpl w:val="00000018"/>
    <w:lvl w:ilvl="0" w:tentative="0">
      <w:start w:val="1"/>
      <w:numFmt w:val="decimal"/>
      <w:lvlText w:val="（%1）"/>
      <w:lvlJc w:val="left"/>
      <w:pPr>
        <w:tabs>
          <w:tab w:val="left" w:pos="1080"/>
        </w:tabs>
        <w:ind w:left="1080" w:hanging="720"/>
      </w:pPr>
      <w:rPr>
        <w:rFonts w:hint="eastAsia"/>
      </w:rPr>
    </w:lvl>
    <w:lvl w:ilvl="1" w:tentative="0">
      <w:start w:val="1"/>
      <w:numFmt w:val="decimal"/>
      <w:lvlText w:val="第%2章"/>
      <w:lvlJc w:val="left"/>
      <w:pPr>
        <w:tabs>
          <w:tab w:val="left" w:pos="1140"/>
        </w:tabs>
        <w:ind w:left="1140" w:hanging="720"/>
      </w:pPr>
      <w:rPr>
        <w:rFonts w:hint="default" w:ascii="宋体" w:hAnsi="宋体" w:cs="Times New Roman"/>
        <w:b w:val="0"/>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1B"/>
    <w:multiLevelType w:val="singleLevel"/>
    <w:tmpl w:val="0000001B"/>
    <w:lvl w:ilvl="0" w:tentative="0">
      <w:start w:val="1"/>
      <w:numFmt w:val="decimal"/>
      <w:suff w:val="nothing"/>
      <w:lvlText w:val="%1."/>
      <w:lvlJc w:val="left"/>
    </w:lvl>
  </w:abstractNum>
  <w:abstractNum w:abstractNumId="12">
    <w:nsid w:val="0000001F"/>
    <w:multiLevelType w:val="multilevel"/>
    <w:tmpl w:val="0000001F"/>
    <w:lvl w:ilvl="0" w:tentative="0">
      <w:start w:val="1"/>
      <w:numFmt w:val="decimal"/>
      <w:lvlText w:val="7.%1"/>
      <w:lvlJc w:val="left"/>
      <w:pPr>
        <w:tabs>
          <w:tab w:val="left" w:pos="839"/>
        </w:tabs>
        <w:ind w:left="839" w:hanging="41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0000024"/>
    <w:multiLevelType w:val="multilevel"/>
    <w:tmpl w:val="00000024"/>
    <w:lvl w:ilvl="0" w:tentative="0">
      <w:start w:val="1"/>
      <w:numFmt w:val="decimal"/>
      <w:lvlText w:val="%1."/>
      <w:lvlJc w:val="left"/>
      <w:pPr>
        <w:ind w:left="284" w:hanging="284"/>
      </w:pPr>
      <w:rPr>
        <w:rFonts w:hint="eastAsia" w:ascii="宋体" w:hAnsi="宋体" w:eastAsia="宋体"/>
        <w:b/>
      </w:rPr>
    </w:lvl>
    <w:lvl w:ilvl="1" w:tentative="0">
      <w:start w:val="1"/>
      <w:numFmt w:val="decimal"/>
      <w:lvlText w:val="%1.%2."/>
      <w:lvlJc w:val="left"/>
      <w:pPr>
        <w:ind w:left="567" w:hanging="283"/>
      </w:pPr>
      <w:rPr>
        <w:rFonts w:hint="eastAsia" w:ascii="宋体" w:hAnsi="宋体" w:eastAsia="宋体"/>
        <w:b w:val="0"/>
        <w:color w:val="auto"/>
      </w:rPr>
    </w:lvl>
    <w:lvl w:ilvl="2" w:tentative="0">
      <w:start w:val="1"/>
      <w:numFmt w:val="decimal"/>
      <w:lvlText w:val="%1.%2.%3"/>
      <w:lvlJc w:val="left"/>
      <w:pPr>
        <w:ind w:left="1560" w:hanging="567"/>
      </w:pPr>
      <w:rPr>
        <w:rFonts w:hint="eastAsia"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4">
    <w:nsid w:val="00000036"/>
    <w:multiLevelType w:val="singleLevel"/>
    <w:tmpl w:val="00000036"/>
    <w:lvl w:ilvl="0" w:tentative="0">
      <w:start w:val="1"/>
      <w:numFmt w:val="decimal"/>
      <w:suff w:val="nothing"/>
      <w:lvlText w:val="%1."/>
      <w:lvlJc w:val="left"/>
    </w:lvl>
  </w:abstractNum>
  <w:abstractNum w:abstractNumId="15">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1C7D1700"/>
    <w:multiLevelType w:val="singleLevel"/>
    <w:tmpl w:val="1C7D1700"/>
    <w:lvl w:ilvl="0" w:tentative="0">
      <w:start w:val="1"/>
      <w:numFmt w:val="chineseCounting"/>
      <w:suff w:val="nothing"/>
      <w:lvlText w:val="%1、"/>
      <w:lvlJc w:val="left"/>
      <w:pPr>
        <w:ind w:left="0" w:firstLine="420"/>
      </w:pPr>
      <w:rPr>
        <w:rFonts w:hint="eastAsia"/>
      </w:rPr>
    </w:lvl>
  </w:abstractNum>
  <w:abstractNum w:abstractNumId="17">
    <w:nsid w:val="73BD885E"/>
    <w:multiLevelType w:val="singleLevel"/>
    <w:tmpl w:val="73BD885E"/>
    <w:lvl w:ilvl="0" w:tentative="0">
      <w:start w:val="1"/>
      <w:numFmt w:val="decimal"/>
      <w:suff w:val="nothing"/>
      <w:lvlText w:val="%1．"/>
      <w:lvlJc w:val="left"/>
      <w:pPr>
        <w:ind w:left="20" w:firstLine="400"/>
      </w:pPr>
      <w:rPr>
        <w:rFonts w:hint="default"/>
      </w:rPr>
    </w:lvl>
  </w:abstractNum>
  <w:num w:numId="1">
    <w:abstractNumId w:val="7"/>
  </w:num>
  <w:num w:numId="2">
    <w:abstractNumId w:val="16"/>
  </w:num>
  <w:num w:numId="3">
    <w:abstractNumId w:val="17"/>
  </w:num>
  <w:num w:numId="4">
    <w:abstractNumId w:val="15"/>
  </w:num>
  <w:num w:numId="5">
    <w:abstractNumId w:val="0"/>
  </w:num>
  <w:num w:numId="6">
    <w:abstractNumId w:val="14"/>
  </w:num>
  <w:num w:numId="7">
    <w:abstractNumId w:val="13"/>
  </w:num>
  <w:num w:numId="8">
    <w:abstractNumId w:val="3"/>
  </w:num>
  <w:num w:numId="9">
    <w:abstractNumId w:val="5"/>
  </w:num>
  <w:num w:numId="10">
    <w:abstractNumId w:val="8"/>
  </w:num>
  <w:num w:numId="11">
    <w:abstractNumId w:val="12"/>
  </w:num>
  <w:num w:numId="12">
    <w:abstractNumId w:val="1"/>
  </w:num>
  <w:num w:numId="13">
    <w:abstractNumId w:val="9"/>
  </w:num>
  <w:num w:numId="14">
    <w:abstractNumId w:val="10"/>
  </w:num>
  <w:num w:numId="15">
    <w:abstractNumId w:val="6"/>
  </w:num>
  <w:num w:numId="16">
    <w:abstractNumId w:val="4"/>
  </w:num>
  <w:num w:numId="17">
    <w:abstractNumId w:val="1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hOGNiYWQ2NWU0ODNjYzRlMDk3N2QxOTU0MTc4MDkifQ=="/>
  </w:docVars>
  <w:rsids>
    <w:rsidRoot w:val="00172A27"/>
    <w:rsid w:val="00076597"/>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B32C00"/>
    <w:rsid w:val="02EB23E7"/>
    <w:rsid w:val="030F6088"/>
    <w:rsid w:val="036566EB"/>
    <w:rsid w:val="03753670"/>
    <w:rsid w:val="03EF1DEA"/>
    <w:rsid w:val="04323463"/>
    <w:rsid w:val="04562E58"/>
    <w:rsid w:val="04644C52"/>
    <w:rsid w:val="046E2D62"/>
    <w:rsid w:val="046F3ECD"/>
    <w:rsid w:val="04E57AC0"/>
    <w:rsid w:val="04EC22B8"/>
    <w:rsid w:val="05130FB5"/>
    <w:rsid w:val="053C0C8A"/>
    <w:rsid w:val="05932DEC"/>
    <w:rsid w:val="05B93485"/>
    <w:rsid w:val="05C71142"/>
    <w:rsid w:val="05D5179A"/>
    <w:rsid w:val="05D821BC"/>
    <w:rsid w:val="064365F2"/>
    <w:rsid w:val="06B036DE"/>
    <w:rsid w:val="06C8536A"/>
    <w:rsid w:val="07AF7E3A"/>
    <w:rsid w:val="07FC3AF7"/>
    <w:rsid w:val="087E3197"/>
    <w:rsid w:val="08C94A81"/>
    <w:rsid w:val="08E753B1"/>
    <w:rsid w:val="09032B5D"/>
    <w:rsid w:val="091C32AD"/>
    <w:rsid w:val="097F55EA"/>
    <w:rsid w:val="09831C8A"/>
    <w:rsid w:val="09BB7A3D"/>
    <w:rsid w:val="09D41DD9"/>
    <w:rsid w:val="0A23066B"/>
    <w:rsid w:val="0A7D7D7B"/>
    <w:rsid w:val="0ABA2D7D"/>
    <w:rsid w:val="0AF52007"/>
    <w:rsid w:val="0AFD0EBC"/>
    <w:rsid w:val="0BDE41D4"/>
    <w:rsid w:val="0C195E4B"/>
    <w:rsid w:val="0C2506CA"/>
    <w:rsid w:val="0C6A432F"/>
    <w:rsid w:val="0CE55CFE"/>
    <w:rsid w:val="0D32353D"/>
    <w:rsid w:val="0D7D4536"/>
    <w:rsid w:val="0E0620AA"/>
    <w:rsid w:val="0E5C239D"/>
    <w:rsid w:val="0E63197E"/>
    <w:rsid w:val="0F044A03"/>
    <w:rsid w:val="0F1B6A2C"/>
    <w:rsid w:val="0F223D21"/>
    <w:rsid w:val="0F3A297B"/>
    <w:rsid w:val="0F5372FC"/>
    <w:rsid w:val="0FF07241"/>
    <w:rsid w:val="103939A5"/>
    <w:rsid w:val="104135F9"/>
    <w:rsid w:val="10437371"/>
    <w:rsid w:val="10F845FF"/>
    <w:rsid w:val="112706F4"/>
    <w:rsid w:val="113263C3"/>
    <w:rsid w:val="115F08E1"/>
    <w:rsid w:val="117417AC"/>
    <w:rsid w:val="117B4B6D"/>
    <w:rsid w:val="118F65E6"/>
    <w:rsid w:val="119434A2"/>
    <w:rsid w:val="11F3777D"/>
    <w:rsid w:val="128D141F"/>
    <w:rsid w:val="12920EF5"/>
    <w:rsid w:val="135B70C7"/>
    <w:rsid w:val="13710699"/>
    <w:rsid w:val="13D44784"/>
    <w:rsid w:val="143C2A55"/>
    <w:rsid w:val="147E15D3"/>
    <w:rsid w:val="14902DA1"/>
    <w:rsid w:val="14AB1989"/>
    <w:rsid w:val="14D02DA7"/>
    <w:rsid w:val="14E8498B"/>
    <w:rsid w:val="15030FCE"/>
    <w:rsid w:val="15086DDB"/>
    <w:rsid w:val="151B6B0E"/>
    <w:rsid w:val="156C736A"/>
    <w:rsid w:val="15826DAB"/>
    <w:rsid w:val="158703BA"/>
    <w:rsid w:val="15F2599B"/>
    <w:rsid w:val="16486627"/>
    <w:rsid w:val="16502CDA"/>
    <w:rsid w:val="16BA216A"/>
    <w:rsid w:val="16C72E02"/>
    <w:rsid w:val="16E66CA8"/>
    <w:rsid w:val="17033CFE"/>
    <w:rsid w:val="170B4961"/>
    <w:rsid w:val="179901BE"/>
    <w:rsid w:val="18177ED1"/>
    <w:rsid w:val="18837C5C"/>
    <w:rsid w:val="18C354F3"/>
    <w:rsid w:val="19355CC5"/>
    <w:rsid w:val="19362169"/>
    <w:rsid w:val="19397563"/>
    <w:rsid w:val="193D01D8"/>
    <w:rsid w:val="19587403"/>
    <w:rsid w:val="199B0BC1"/>
    <w:rsid w:val="19C93D85"/>
    <w:rsid w:val="1A2279A0"/>
    <w:rsid w:val="1A393BF0"/>
    <w:rsid w:val="1A66082C"/>
    <w:rsid w:val="1AE55376"/>
    <w:rsid w:val="1B0C692E"/>
    <w:rsid w:val="1BBE6686"/>
    <w:rsid w:val="1BC33A5C"/>
    <w:rsid w:val="1C24274C"/>
    <w:rsid w:val="1C395ACC"/>
    <w:rsid w:val="1C5260F7"/>
    <w:rsid w:val="1C654B13"/>
    <w:rsid w:val="1D210BFD"/>
    <w:rsid w:val="1D2B3667"/>
    <w:rsid w:val="1D4B5AB7"/>
    <w:rsid w:val="1D540C49"/>
    <w:rsid w:val="1DB655BE"/>
    <w:rsid w:val="1DED3012"/>
    <w:rsid w:val="1E206E52"/>
    <w:rsid w:val="1E8E4B6A"/>
    <w:rsid w:val="1EDD2E3F"/>
    <w:rsid w:val="1F0D396C"/>
    <w:rsid w:val="1F1F062E"/>
    <w:rsid w:val="1F312BF1"/>
    <w:rsid w:val="1F490E82"/>
    <w:rsid w:val="1F925C1F"/>
    <w:rsid w:val="1FEA5EA1"/>
    <w:rsid w:val="20602C7A"/>
    <w:rsid w:val="20C148C6"/>
    <w:rsid w:val="20E26732"/>
    <w:rsid w:val="215C2350"/>
    <w:rsid w:val="21C34257"/>
    <w:rsid w:val="21F4496F"/>
    <w:rsid w:val="222D7E81"/>
    <w:rsid w:val="22433DD5"/>
    <w:rsid w:val="22821F7B"/>
    <w:rsid w:val="22A40E2A"/>
    <w:rsid w:val="22CB4C39"/>
    <w:rsid w:val="22E55B06"/>
    <w:rsid w:val="22F52960"/>
    <w:rsid w:val="23616034"/>
    <w:rsid w:val="23647A1C"/>
    <w:rsid w:val="23706277"/>
    <w:rsid w:val="24855D52"/>
    <w:rsid w:val="248F6BD1"/>
    <w:rsid w:val="24B108F5"/>
    <w:rsid w:val="24D81875"/>
    <w:rsid w:val="24E24F53"/>
    <w:rsid w:val="24E94533"/>
    <w:rsid w:val="250F386E"/>
    <w:rsid w:val="25356324"/>
    <w:rsid w:val="25496D80"/>
    <w:rsid w:val="25AE3087"/>
    <w:rsid w:val="25B85CB3"/>
    <w:rsid w:val="26011794"/>
    <w:rsid w:val="26094761"/>
    <w:rsid w:val="26A92FFB"/>
    <w:rsid w:val="26C02369"/>
    <w:rsid w:val="26DD1E76"/>
    <w:rsid w:val="27283ECE"/>
    <w:rsid w:val="27286E69"/>
    <w:rsid w:val="2733425E"/>
    <w:rsid w:val="27441EF5"/>
    <w:rsid w:val="28016BEB"/>
    <w:rsid w:val="280E153D"/>
    <w:rsid w:val="285F68BA"/>
    <w:rsid w:val="2863671A"/>
    <w:rsid w:val="28AB7D51"/>
    <w:rsid w:val="28B01ACD"/>
    <w:rsid w:val="28FE4325"/>
    <w:rsid w:val="291E02EB"/>
    <w:rsid w:val="29C56BF1"/>
    <w:rsid w:val="29DD4F4B"/>
    <w:rsid w:val="2A2D4EC2"/>
    <w:rsid w:val="2A3A138D"/>
    <w:rsid w:val="2A573CED"/>
    <w:rsid w:val="2A9E7B6E"/>
    <w:rsid w:val="2AC84BEB"/>
    <w:rsid w:val="2B260516"/>
    <w:rsid w:val="2B2B560D"/>
    <w:rsid w:val="2BC57C52"/>
    <w:rsid w:val="2BF11F1F"/>
    <w:rsid w:val="2C003885"/>
    <w:rsid w:val="2C2E3173"/>
    <w:rsid w:val="2C867239"/>
    <w:rsid w:val="2CD930DF"/>
    <w:rsid w:val="2D524754"/>
    <w:rsid w:val="2D573CA4"/>
    <w:rsid w:val="2D9E61E0"/>
    <w:rsid w:val="2DE53D06"/>
    <w:rsid w:val="2DF61B88"/>
    <w:rsid w:val="2E0C4DEE"/>
    <w:rsid w:val="2E291D46"/>
    <w:rsid w:val="2EF7784D"/>
    <w:rsid w:val="2F227824"/>
    <w:rsid w:val="2F4440CA"/>
    <w:rsid w:val="2F49150D"/>
    <w:rsid w:val="302B7E84"/>
    <w:rsid w:val="3043740F"/>
    <w:rsid w:val="30660E93"/>
    <w:rsid w:val="30C73495"/>
    <w:rsid w:val="30DF11B1"/>
    <w:rsid w:val="30EB38AE"/>
    <w:rsid w:val="319F3B14"/>
    <w:rsid w:val="3200110E"/>
    <w:rsid w:val="32450C5C"/>
    <w:rsid w:val="328518BA"/>
    <w:rsid w:val="32B855C8"/>
    <w:rsid w:val="32D700C1"/>
    <w:rsid w:val="331570B9"/>
    <w:rsid w:val="332B6F4B"/>
    <w:rsid w:val="33A36954"/>
    <w:rsid w:val="33B71CA0"/>
    <w:rsid w:val="33C148CD"/>
    <w:rsid w:val="33F85841"/>
    <w:rsid w:val="3402116D"/>
    <w:rsid w:val="340257AD"/>
    <w:rsid w:val="34034EE6"/>
    <w:rsid w:val="3417273F"/>
    <w:rsid w:val="342033A2"/>
    <w:rsid w:val="343B467F"/>
    <w:rsid w:val="347600C7"/>
    <w:rsid w:val="35216B3A"/>
    <w:rsid w:val="357240D1"/>
    <w:rsid w:val="35E46F67"/>
    <w:rsid w:val="36172D69"/>
    <w:rsid w:val="36392432"/>
    <w:rsid w:val="365A2ACD"/>
    <w:rsid w:val="36CA1CEB"/>
    <w:rsid w:val="36F34D9D"/>
    <w:rsid w:val="37215DAE"/>
    <w:rsid w:val="37621F23"/>
    <w:rsid w:val="3768578B"/>
    <w:rsid w:val="376F6900"/>
    <w:rsid w:val="377834F5"/>
    <w:rsid w:val="379B4086"/>
    <w:rsid w:val="384E0062"/>
    <w:rsid w:val="386677F1"/>
    <w:rsid w:val="39404C40"/>
    <w:rsid w:val="395922F3"/>
    <w:rsid w:val="3962445C"/>
    <w:rsid w:val="39893797"/>
    <w:rsid w:val="39A1607B"/>
    <w:rsid w:val="3A6B4003"/>
    <w:rsid w:val="3AB331C1"/>
    <w:rsid w:val="3ADF038D"/>
    <w:rsid w:val="3B223EA3"/>
    <w:rsid w:val="3B68689B"/>
    <w:rsid w:val="3BCC3E0F"/>
    <w:rsid w:val="3C2A559E"/>
    <w:rsid w:val="3C4B567C"/>
    <w:rsid w:val="3C545E01"/>
    <w:rsid w:val="3C7D2064"/>
    <w:rsid w:val="3C8666B4"/>
    <w:rsid w:val="3CAF5C0A"/>
    <w:rsid w:val="3D51730D"/>
    <w:rsid w:val="3D840617"/>
    <w:rsid w:val="3E114C4C"/>
    <w:rsid w:val="3E655A64"/>
    <w:rsid w:val="3E895FE7"/>
    <w:rsid w:val="3E8A4C21"/>
    <w:rsid w:val="3E9958B1"/>
    <w:rsid w:val="3EE719AC"/>
    <w:rsid w:val="3EEA2F2A"/>
    <w:rsid w:val="3FAE708C"/>
    <w:rsid w:val="3FDA1030"/>
    <w:rsid w:val="3FF12C3A"/>
    <w:rsid w:val="400A54C8"/>
    <w:rsid w:val="40386761"/>
    <w:rsid w:val="409725E8"/>
    <w:rsid w:val="40A215BE"/>
    <w:rsid w:val="40FA4E7B"/>
    <w:rsid w:val="415D3E87"/>
    <w:rsid w:val="41DF489C"/>
    <w:rsid w:val="42106AA5"/>
    <w:rsid w:val="42442C17"/>
    <w:rsid w:val="425816DC"/>
    <w:rsid w:val="426E40F0"/>
    <w:rsid w:val="43184112"/>
    <w:rsid w:val="43664B49"/>
    <w:rsid w:val="43D917BF"/>
    <w:rsid w:val="4412230A"/>
    <w:rsid w:val="44390EDF"/>
    <w:rsid w:val="44623562"/>
    <w:rsid w:val="447514E8"/>
    <w:rsid w:val="447F1515"/>
    <w:rsid w:val="449D27EC"/>
    <w:rsid w:val="44A07CD1"/>
    <w:rsid w:val="451F36AB"/>
    <w:rsid w:val="45291D8C"/>
    <w:rsid w:val="453F359B"/>
    <w:rsid w:val="45A8769B"/>
    <w:rsid w:val="45CD5A14"/>
    <w:rsid w:val="45CF2E79"/>
    <w:rsid w:val="45DB1070"/>
    <w:rsid w:val="46113492"/>
    <w:rsid w:val="46265A4F"/>
    <w:rsid w:val="464C3F11"/>
    <w:rsid w:val="46BA3E8B"/>
    <w:rsid w:val="47525B10"/>
    <w:rsid w:val="478F0B12"/>
    <w:rsid w:val="47BC567F"/>
    <w:rsid w:val="47FB61A8"/>
    <w:rsid w:val="480056D8"/>
    <w:rsid w:val="48374480"/>
    <w:rsid w:val="483F277D"/>
    <w:rsid w:val="488E2B78"/>
    <w:rsid w:val="48B40105"/>
    <w:rsid w:val="48DF1625"/>
    <w:rsid w:val="49107A31"/>
    <w:rsid w:val="49372EB2"/>
    <w:rsid w:val="494E5146"/>
    <w:rsid w:val="49EC224C"/>
    <w:rsid w:val="49FB621D"/>
    <w:rsid w:val="4A05080D"/>
    <w:rsid w:val="4A091ED0"/>
    <w:rsid w:val="4A7D10F6"/>
    <w:rsid w:val="4B52754A"/>
    <w:rsid w:val="4B6F5345"/>
    <w:rsid w:val="4B8F7BC6"/>
    <w:rsid w:val="4BBA394F"/>
    <w:rsid w:val="4BF349B6"/>
    <w:rsid w:val="4BFD6A13"/>
    <w:rsid w:val="4C2757BD"/>
    <w:rsid w:val="4C3C07ED"/>
    <w:rsid w:val="4C7B4A9E"/>
    <w:rsid w:val="4CC7434F"/>
    <w:rsid w:val="4D03307E"/>
    <w:rsid w:val="4D91713A"/>
    <w:rsid w:val="4DD21759"/>
    <w:rsid w:val="4DD86643"/>
    <w:rsid w:val="4DF72F6D"/>
    <w:rsid w:val="4E0A47AA"/>
    <w:rsid w:val="4E8E2ED5"/>
    <w:rsid w:val="4ED70257"/>
    <w:rsid w:val="4F873249"/>
    <w:rsid w:val="4FEB08B0"/>
    <w:rsid w:val="500951DA"/>
    <w:rsid w:val="501A1D50"/>
    <w:rsid w:val="503075AA"/>
    <w:rsid w:val="50410780"/>
    <w:rsid w:val="50524154"/>
    <w:rsid w:val="5112712D"/>
    <w:rsid w:val="5119144D"/>
    <w:rsid w:val="513A1AEF"/>
    <w:rsid w:val="51B750E9"/>
    <w:rsid w:val="522C218B"/>
    <w:rsid w:val="529E11CC"/>
    <w:rsid w:val="531E71EE"/>
    <w:rsid w:val="53981F52"/>
    <w:rsid w:val="53A24582"/>
    <w:rsid w:val="53A5521A"/>
    <w:rsid w:val="54E56216"/>
    <w:rsid w:val="55055AD7"/>
    <w:rsid w:val="55805F3E"/>
    <w:rsid w:val="55A97243"/>
    <w:rsid w:val="55DA73FC"/>
    <w:rsid w:val="5685572F"/>
    <w:rsid w:val="568B6949"/>
    <w:rsid w:val="56EF512A"/>
    <w:rsid w:val="570010E5"/>
    <w:rsid w:val="570109B9"/>
    <w:rsid w:val="579D4B86"/>
    <w:rsid w:val="57ED3822"/>
    <w:rsid w:val="581326DD"/>
    <w:rsid w:val="588071E3"/>
    <w:rsid w:val="589E78CA"/>
    <w:rsid w:val="58D97369"/>
    <w:rsid w:val="59446509"/>
    <w:rsid w:val="594C53EE"/>
    <w:rsid w:val="598F6750"/>
    <w:rsid w:val="59A8341F"/>
    <w:rsid w:val="59B537F0"/>
    <w:rsid w:val="59C503C4"/>
    <w:rsid w:val="5A1F7AD4"/>
    <w:rsid w:val="5A3F7093"/>
    <w:rsid w:val="5AA15193"/>
    <w:rsid w:val="5AC468CD"/>
    <w:rsid w:val="5B1566C6"/>
    <w:rsid w:val="5B215ACE"/>
    <w:rsid w:val="5B7025B1"/>
    <w:rsid w:val="5B8624B1"/>
    <w:rsid w:val="5BD26DC8"/>
    <w:rsid w:val="5BE014E5"/>
    <w:rsid w:val="5BEB1322"/>
    <w:rsid w:val="5C806824"/>
    <w:rsid w:val="5C9D4F74"/>
    <w:rsid w:val="5CB00EB7"/>
    <w:rsid w:val="5CC34005"/>
    <w:rsid w:val="5CD21182"/>
    <w:rsid w:val="5CFC10D2"/>
    <w:rsid w:val="5D156F6C"/>
    <w:rsid w:val="5D384925"/>
    <w:rsid w:val="5DB744C7"/>
    <w:rsid w:val="5DD0153B"/>
    <w:rsid w:val="5E0A4982"/>
    <w:rsid w:val="5E3F564C"/>
    <w:rsid w:val="5E682CE6"/>
    <w:rsid w:val="5EE45C2E"/>
    <w:rsid w:val="5FB3249C"/>
    <w:rsid w:val="602816AC"/>
    <w:rsid w:val="6079112D"/>
    <w:rsid w:val="60942A5D"/>
    <w:rsid w:val="60B46A9C"/>
    <w:rsid w:val="615D7134"/>
    <w:rsid w:val="6189617B"/>
    <w:rsid w:val="61E3564D"/>
    <w:rsid w:val="61E6537B"/>
    <w:rsid w:val="629D6E17"/>
    <w:rsid w:val="634174F0"/>
    <w:rsid w:val="6371143E"/>
    <w:rsid w:val="63B76FCF"/>
    <w:rsid w:val="63BF5E84"/>
    <w:rsid w:val="63F5294F"/>
    <w:rsid w:val="64774C22"/>
    <w:rsid w:val="64E35BA2"/>
    <w:rsid w:val="64EA1700"/>
    <w:rsid w:val="651D4188"/>
    <w:rsid w:val="6530119C"/>
    <w:rsid w:val="65353E6F"/>
    <w:rsid w:val="65546448"/>
    <w:rsid w:val="65766A16"/>
    <w:rsid w:val="65901886"/>
    <w:rsid w:val="65953E0C"/>
    <w:rsid w:val="65CD16CF"/>
    <w:rsid w:val="665C34CD"/>
    <w:rsid w:val="666D296A"/>
    <w:rsid w:val="66B62179"/>
    <w:rsid w:val="670E33AA"/>
    <w:rsid w:val="67584625"/>
    <w:rsid w:val="67884E65"/>
    <w:rsid w:val="6796339F"/>
    <w:rsid w:val="679A5B4D"/>
    <w:rsid w:val="679D472E"/>
    <w:rsid w:val="67A63223"/>
    <w:rsid w:val="67C84888"/>
    <w:rsid w:val="67CD72E8"/>
    <w:rsid w:val="686B3F0B"/>
    <w:rsid w:val="68727968"/>
    <w:rsid w:val="68A61696"/>
    <w:rsid w:val="690802CD"/>
    <w:rsid w:val="69605006"/>
    <w:rsid w:val="69796E11"/>
    <w:rsid w:val="69A73B89"/>
    <w:rsid w:val="6A3B177D"/>
    <w:rsid w:val="6A3B3D8A"/>
    <w:rsid w:val="6A616079"/>
    <w:rsid w:val="6A617C95"/>
    <w:rsid w:val="6A753740"/>
    <w:rsid w:val="6B116D78"/>
    <w:rsid w:val="6B20545A"/>
    <w:rsid w:val="6B2111D2"/>
    <w:rsid w:val="6B301415"/>
    <w:rsid w:val="6B3428F7"/>
    <w:rsid w:val="6B620166"/>
    <w:rsid w:val="6B65611A"/>
    <w:rsid w:val="6B99375A"/>
    <w:rsid w:val="6BA8544F"/>
    <w:rsid w:val="6BF730D7"/>
    <w:rsid w:val="6C565104"/>
    <w:rsid w:val="6C602FC1"/>
    <w:rsid w:val="6CD02EB0"/>
    <w:rsid w:val="6CD24E7A"/>
    <w:rsid w:val="6E263E89"/>
    <w:rsid w:val="6E47692C"/>
    <w:rsid w:val="6E6164B5"/>
    <w:rsid w:val="6E62222D"/>
    <w:rsid w:val="6E7361E8"/>
    <w:rsid w:val="6EB44070"/>
    <w:rsid w:val="6EEB648C"/>
    <w:rsid w:val="6EF1592B"/>
    <w:rsid w:val="6F3112FC"/>
    <w:rsid w:val="6F394D3C"/>
    <w:rsid w:val="6F3D38C2"/>
    <w:rsid w:val="6F4D6A39"/>
    <w:rsid w:val="6FB36BC5"/>
    <w:rsid w:val="6FD24C25"/>
    <w:rsid w:val="6FF6546C"/>
    <w:rsid w:val="70426C52"/>
    <w:rsid w:val="7145658E"/>
    <w:rsid w:val="71E04ECC"/>
    <w:rsid w:val="726437BB"/>
    <w:rsid w:val="726A127D"/>
    <w:rsid w:val="728E35F1"/>
    <w:rsid w:val="729B7ABC"/>
    <w:rsid w:val="72B8088B"/>
    <w:rsid w:val="734A4D94"/>
    <w:rsid w:val="734B2FC2"/>
    <w:rsid w:val="73890E04"/>
    <w:rsid w:val="73AD6CEC"/>
    <w:rsid w:val="73C91FB4"/>
    <w:rsid w:val="73DE5EB2"/>
    <w:rsid w:val="740F250F"/>
    <w:rsid w:val="74365CEE"/>
    <w:rsid w:val="743E1047"/>
    <w:rsid w:val="744228E5"/>
    <w:rsid w:val="746601C4"/>
    <w:rsid w:val="749F723D"/>
    <w:rsid w:val="74A7099A"/>
    <w:rsid w:val="74D177C5"/>
    <w:rsid w:val="74E9081C"/>
    <w:rsid w:val="75257396"/>
    <w:rsid w:val="754206C3"/>
    <w:rsid w:val="754B12D3"/>
    <w:rsid w:val="75941572"/>
    <w:rsid w:val="75F220E9"/>
    <w:rsid w:val="76256605"/>
    <w:rsid w:val="76371099"/>
    <w:rsid w:val="7693567A"/>
    <w:rsid w:val="76EE28B0"/>
    <w:rsid w:val="7718515B"/>
    <w:rsid w:val="774E437D"/>
    <w:rsid w:val="778036C3"/>
    <w:rsid w:val="77A6276C"/>
    <w:rsid w:val="781E1591"/>
    <w:rsid w:val="78647DA9"/>
    <w:rsid w:val="7889049B"/>
    <w:rsid w:val="78ED57C7"/>
    <w:rsid w:val="790F4D60"/>
    <w:rsid w:val="791800B8"/>
    <w:rsid w:val="794B2AAD"/>
    <w:rsid w:val="79534C4C"/>
    <w:rsid w:val="79C8388C"/>
    <w:rsid w:val="79D3028B"/>
    <w:rsid w:val="79EC750C"/>
    <w:rsid w:val="7A0A5C53"/>
    <w:rsid w:val="7A61783D"/>
    <w:rsid w:val="7A7237F8"/>
    <w:rsid w:val="7A740891"/>
    <w:rsid w:val="7AA80846"/>
    <w:rsid w:val="7AB570B4"/>
    <w:rsid w:val="7AF17F97"/>
    <w:rsid w:val="7B0F1047"/>
    <w:rsid w:val="7B6353FE"/>
    <w:rsid w:val="7B707D38"/>
    <w:rsid w:val="7B9D6653"/>
    <w:rsid w:val="7BB265A2"/>
    <w:rsid w:val="7BB65001"/>
    <w:rsid w:val="7C4F5666"/>
    <w:rsid w:val="7C5036C5"/>
    <w:rsid w:val="7C6F4E89"/>
    <w:rsid w:val="7CAB04C7"/>
    <w:rsid w:val="7D6041D6"/>
    <w:rsid w:val="7D697134"/>
    <w:rsid w:val="7DB46765"/>
    <w:rsid w:val="7DCC76C3"/>
    <w:rsid w:val="7E0E1A8A"/>
    <w:rsid w:val="7E300756"/>
    <w:rsid w:val="7E6A6EBA"/>
    <w:rsid w:val="7E7A45CB"/>
    <w:rsid w:val="7F0562FB"/>
    <w:rsid w:val="7F0A03FD"/>
    <w:rsid w:val="7F66192E"/>
    <w:rsid w:val="7F855D7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56"/>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7">
    <w:name w:val="heading 3"/>
    <w:basedOn w:val="1"/>
    <w:next w:val="1"/>
    <w:link w:val="57"/>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8">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7">
    <w:name w:val="Default Paragraph Font"/>
    <w:qFormat/>
    <w:uiPriority w:val="0"/>
    <w:rPr>
      <w:rFonts w:ascii="宋体" w:hAnsi="宋体" w:eastAsia="宋体"/>
      <w:kern w:val="2"/>
      <w:sz w:val="28"/>
      <w:szCs w:val="24"/>
      <w:lang w:val="en-US" w:eastAsia="zh-CN" w:bidi="ar-SA"/>
    </w:rPr>
  </w:style>
  <w:style w:type="table" w:default="1" w:styleId="3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link w:val="55"/>
    <w:qFormat/>
    <w:uiPriority w:val="0"/>
    <w:rPr>
      <w:kern w:val="0"/>
    </w:rPr>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style>
  <w:style w:type="paragraph" w:styleId="10">
    <w:name w:val="Normal Indent"/>
    <w:basedOn w:val="1"/>
    <w:link w:val="58"/>
    <w:qFormat/>
    <w:uiPriority w:val="0"/>
    <w:pPr>
      <w:autoSpaceDE w:val="0"/>
      <w:autoSpaceDN w:val="0"/>
      <w:adjustRightInd w:val="0"/>
      <w:ind w:firstLine="420"/>
      <w:jc w:val="left"/>
    </w:pPr>
    <w:rPr>
      <w:rFonts w:ascii="宋体"/>
      <w:kern w:val="0"/>
      <w:sz w:val="24"/>
    </w:rPr>
  </w:style>
  <w:style w:type="paragraph" w:styleId="11">
    <w:name w:val="Document Map"/>
    <w:basedOn w:val="1"/>
    <w:qFormat/>
    <w:uiPriority w:val="0"/>
    <w:pPr>
      <w:shd w:val="clear" w:color="auto" w:fill="000080"/>
    </w:pPr>
  </w:style>
  <w:style w:type="paragraph" w:styleId="12">
    <w:name w:val="annotation text"/>
    <w:basedOn w:val="1"/>
    <w:qFormat/>
    <w:uiPriority w:val="0"/>
    <w:pPr>
      <w:jc w:val="left"/>
    </w:pPr>
  </w:style>
  <w:style w:type="paragraph" w:styleId="13">
    <w:name w:val="Body Text 3"/>
    <w:basedOn w:val="1"/>
    <w:qFormat/>
    <w:uiPriority w:val="0"/>
    <w:rPr>
      <w:rFonts w:eastAsia="楷体_GB2312"/>
      <w:sz w:val="28"/>
    </w:rPr>
  </w:style>
  <w:style w:type="paragraph" w:styleId="14">
    <w:name w:val="Body Text"/>
    <w:basedOn w:val="1"/>
    <w:next w:val="1"/>
    <w:qFormat/>
    <w:uiPriority w:val="0"/>
    <w:pPr>
      <w:spacing w:after="120" w:afterLines="0"/>
    </w:pPr>
  </w:style>
  <w:style w:type="paragraph" w:styleId="15">
    <w:name w:val="toc 5"/>
    <w:basedOn w:val="1"/>
    <w:next w:val="1"/>
    <w:qFormat/>
    <w:uiPriority w:val="0"/>
    <w:pPr>
      <w:ind w:left="1680" w:leftChars="800"/>
    </w:pPr>
  </w:style>
  <w:style w:type="paragraph" w:styleId="16">
    <w:name w:val="toc 3"/>
    <w:basedOn w:val="1"/>
    <w:next w:val="1"/>
    <w:qFormat/>
    <w:uiPriority w:val="0"/>
    <w:pPr>
      <w:ind w:left="840" w:leftChars="400"/>
    </w:pPr>
  </w:style>
  <w:style w:type="paragraph" w:styleId="17">
    <w:name w:val="Plain Text"/>
    <w:basedOn w:val="1"/>
    <w:link w:val="59"/>
    <w:qFormat/>
    <w:uiPriority w:val="0"/>
    <w:rPr>
      <w:rFonts w:hAnsi="Courier New" w:eastAsia="幼圆"/>
      <w:kern w:val="0"/>
    </w:rPr>
  </w:style>
  <w:style w:type="paragraph" w:styleId="18">
    <w:name w:val="toc 8"/>
    <w:basedOn w:val="1"/>
    <w:next w:val="1"/>
    <w:qFormat/>
    <w:uiPriority w:val="0"/>
    <w:pPr>
      <w:ind w:left="2940" w:leftChars="1400"/>
    </w:pPr>
  </w:style>
  <w:style w:type="paragraph" w:styleId="19">
    <w:name w:val="Date"/>
    <w:basedOn w:val="1"/>
    <w:next w:val="1"/>
    <w:qFormat/>
    <w:uiPriority w:val="0"/>
    <w:pPr>
      <w:ind w:left="100" w:leftChars="2500"/>
    </w:pPr>
    <w:rPr>
      <w:rFonts w:ascii="宋体" w:hAnsi="宋体"/>
      <w:sz w:val="28"/>
    </w:rPr>
  </w:style>
  <w:style w:type="paragraph" w:styleId="20">
    <w:name w:val="Body Text Indent 2"/>
    <w:basedOn w:val="1"/>
    <w:qFormat/>
    <w:uiPriority w:val="0"/>
    <w:pPr>
      <w:ind w:firstLine="405" w:firstLineChars="193"/>
    </w:pPr>
    <w:rPr>
      <w:rFonts w:ascii="宋体" w:hAnsi="宋体"/>
    </w:rPr>
  </w:style>
  <w:style w:type="paragraph" w:styleId="21">
    <w:name w:val="Balloon Text"/>
    <w:basedOn w:val="1"/>
    <w:link w:val="60"/>
    <w:qFormat/>
    <w:uiPriority w:val="0"/>
    <w:rPr>
      <w:rFonts w:ascii="宋体" w:hAnsi="宋体"/>
      <w:sz w:val="18"/>
      <w:szCs w:val="18"/>
    </w:rPr>
  </w:style>
  <w:style w:type="paragraph" w:styleId="22">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3">
    <w:name w:val="header"/>
    <w:basedOn w:val="1"/>
    <w:next w:val="22"/>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4">
    <w:name w:val="toc 1"/>
    <w:basedOn w:val="1"/>
    <w:next w:val="1"/>
    <w:qFormat/>
    <w:uiPriority w:val="39"/>
  </w:style>
  <w:style w:type="paragraph" w:styleId="25">
    <w:name w:val="toc 4"/>
    <w:basedOn w:val="1"/>
    <w:next w:val="1"/>
    <w:qFormat/>
    <w:uiPriority w:val="0"/>
    <w:pPr>
      <w:ind w:left="1260" w:leftChars="600"/>
    </w:pPr>
  </w:style>
  <w:style w:type="paragraph" w:styleId="26">
    <w:name w:val="toc 6"/>
    <w:basedOn w:val="1"/>
    <w:next w:val="1"/>
    <w:qFormat/>
    <w:uiPriority w:val="0"/>
    <w:pPr>
      <w:ind w:left="2100" w:leftChars="1000"/>
    </w:pPr>
  </w:style>
  <w:style w:type="paragraph" w:styleId="27">
    <w:name w:val="Body Text Indent 3"/>
    <w:basedOn w:val="1"/>
    <w:qFormat/>
    <w:uiPriority w:val="0"/>
    <w:pPr>
      <w:ind w:firstLine="420" w:firstLineChars="200"/>
    </w:pPr>
    <w:rPr>
      <w:rFonts w:ascii="宋体" w:hAnsi="宋体"/>
    </w:rPr>
  </w:style>
  <w:style w:type="paragraph" w:styleId="28">
    <w:name w:val="toc 2"/>
    <w:basedOn w:val="1"/>
    <w:next w:val="1"/>
    <w:qFormat/>
    <w:uiPriority w:val="0"/>
    <w:pPr>
      <w:ind w:left="420" w:leftChars="200"/>
    </w:pPr>
  </w:style>
  <w:style w:type="paragraph" w:styleId="29">
    <w:name w:val="toc 9"/>
    <w:basedOn w:val="1"/>
    <w:next w:val="1"/>
    <w:qFormat/>
    <w:uiPriority w:val="0"/>
    <w:pPr>
      <w:ind w:left="3360" w:leftChars="1600"/>
    </w:pPr>
  </w:style>
  <w:style w:type="paragraph" w:styleId="30">
    <w:name w:val="Body Text 2"/>
    <w:basedOn w:val="1"/>
    <w:qFormat/>
    <w:uiPriority w:val="0"/>
    <w:pPr>
      <w:spacing w:after="120" w:afterLines="0" w:line="480" w:lineRule="auto"/>
    </w:pPr>
  </w:style>
  <w:style w:type="paragraph" w:styleId="31">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2">
    <w:name w:val="index 1"/>
    <w:basedOn w:val="1"/>
    <w:next w:val="1"/>
    <w:qFormat/>
    <w:uiPriority w:val="0"/>
    <w:rPr>
      <w:szCs w:val="20"/>
    </w:rPr>
  </w:style>
  <w:style w:type="paragraph" w:styleId="33">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4">
    <w:name w:val="Body Text First Indent"/>
    <w:basedOn w:val="14"/>
    <w:next w:val="2"/>
    <w:qFormat/>
    <w:uiPriority w:val="0"/>
  </w:style>
  <w:style w:type="table" w:styleId="36">
    <w:name w:val="Table Grid"/>
    <w:basedOn w:val="3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page number"/>
    <w:qFormat/>
    <w:uiPriority w:val="0"/>
    <w:rPr>
      <w:lang w:val="en-US" w:eastAsia="zh-CN" w:bidi="ar-SA"/>
    </w:rPr>
  </w:style>
  <w:style w:type="character" w:styleId="39">
    <w:name w:val="FollowedHyperlink"/>
    <w:qFormat/>
    <w:uiPriority w:val="0"/>
    <w:rPr>
      <w:rFonts w:ascii="宋体" w:hAnsi="宋体" w:eastAsia="宋体"/>
      <w:color w:val="333333"/>
      <w:kern w:val="2"/>
      <w:sz w:val="18"/>
      <w:szCs w:val="18"/>
      <w:u w:val="none"/>
      <w:lang w:val="en-US" w:eastAsia="zh-CN" w:bidi="ar-SA"/>
    </w:rPr>
  </w:style>
  <w:style w:type="character" w:styleId="40">
    <w:name w:val="HTML Definition"/>
    <w:qFormat/>
    <w:uiPriority w:val="0"/>
    <w:rPr>
      <w:lang w:val="en-US" w:eastAsia="zh-CN" w:bidi="ar-SA"/>
    </w:rPr>
  </w:style>
  <w:style w:type="character" w:styleId="41">
    <w:name w:val="HTML Typewriter"/>
    <w:qFormat/>
    <w:uiPriority w:val="0"/>
    <w:rPr>
      <w:rFonts w:hint="default" w:ascii="monospace" w:hAnsi="monospace" w:eastAsia="monospace" w:cs="monospace"/>
      <w:sz w:val="20"/>
      <w:lang w:val="en-US" w:eastAsia="zh-CN" w:bidi="ar-SA"/>
    </w:rPr>
  </w:style>
  <w:style w:type="character" w:styleId="42">
    <w:name w:val="HTML Acronym"/>
    <w:qFormat/>
    <w:uiPriority w:val="0"/>
    <w:rPr>
      <w:lang w:val="en-US" w:eastAsia="zh-CN" w:bidi="ar-SA"/>
    </w:rPr>
  </w:style>
  <w:style w:type="character" w:styleId="43">
    <w:name w:val="HTML Variable"/>
    <w:qFormat/>
    <w:uiPriority w:val="0"/>
    <w:rPr>
      <w:lang w:val="en-US" w:eastAsia="zh-CN" w:bidi="ar-SA"/>
    </w:rPr>
  </w:style>
  <w:style w:type="character" w:styleId="44">
    <w:name w:val="Hyperlink"/>
    <w:qFormat/>
    <w:uiPriority w:val="99"/>
    <w:rPr>
      <w:rFonts w:ascii="宋体" w:hAnsi="宋体" w:eastAsia="宋体"/>
      <w:color w:val="0000FF"/>
      <w:kern w:val="2"/>
      <w:sz w:val="28"/>
      <w:szCs w:val="24"/>
      <w:u w:val="single"/>
      <w:lang w:val="en-US" w:eastAsia="zh-CN" w:bidi="ar-SA"/>
    </w:rPr>
  </w:style>
  <w:style w:type="character" w:styleId="45">
    <w:name w:val="HTML Code"/>
    <w:qFormat/>
    <w:uiPriority w:val="0"/>
    <w:rPr>
      <w:rFonts w:ascii="monospace" w:hAnsi="monospace" w:eastAsia="monospace" w:cs="monospace"/>
      <w:sz w:val="20"/>
      <w:lang w:val="en-US" w:eastAsia="zh-CN" w:bidi="ar-SA"/>
    </w:rPr>
  </w:style>
  <w:style w:type="character" w:styleId="46">
    <w:name w:val="HTML Cite"/>
    <w:qFormat/>
    <w:uiPriority w:val="0"/>
    <w:rPr>
      <w:lang w:val="en-US" w:eastAsia="zh-CN" w:bidi="ar-SA"/>
    </w:rPr>
  </w:style>
  <w:style w:type="character" w:styleId="47">
    <w:name w:val="HTML Keyboard"/>
    <w:qFormat/>
    <w:uiPriority w:val="0"/>
    <w:rPr>
      <w:rFonts w:hint="default" w:ascii="monospace" w:hAnsi="monospace" w:eastAsia="monospace" w:cs="monospace"/>
      <w:sz w:val="20"/>
      <w:lang w:val="en-US" w:eastAsia="zh-CN" w:bidi="ar-SA"/>
    </w:rPr>
  </w:style>
  <w:style w:type="character" w:styleId="48">
    <w:name w:val="HTML Sample"/>
    <w:qFormat/>
    <w:uiPriority w:val="0"/>
    <w:rPr>
      <w:rFonts w:hint="default" w:ascii="monospace" w:hAnsi="monospace" w:eastAsia="monospace" w:cs="monospace"/>
      <w:lang w:val="en-US" w:eastAsia="zh-CN" w:bidi="ar-SA"/>
    </w:rPr>
  </w:style>
  <w:style w:type="paragraph" w:customStyle="1" w:styleId="49">
    <w:name w:val="表格文字"/>
    <w:basedOn w:val="1"/>
    <w:next w:val="14"/>
    <w:qFormat/>
    <w:uiPriority w:val="0"/>
    <w:pPr>
      <w:adjustRightInd w:val="0"/>
      <w:spacing w:line="420" w:lineRule="atLeast"/>
      <w:jc w:val="left"/>
      <w:textAlignment w:val="baseline"/>
    </w:pPr>
    <w:rPr>
      <w:kern w:val="0"/>
      <w:szCs w:val="20"/>
    </w:rPr>
  </w:style>
  <w:style w:type="paragraph" w:customStyle="1" w:styleId="50">
    <w:name w:val="Default"/>
    <w:next w:val="5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1">
    <w:name w:val="Char Char10 Char Char Char Char"/>
    <w:basedOn w:val="1"/>
    <w:next w:val="52"/>
    <w:qFormat/>
    <w:uiPriority w:val="0"/>
  </w:style>
  <w:style w:type="paragraph" w:customStyle="1" w:styleId="52">
    <w:name w:val="xl87"/>
    <w:basedOn w:val="1"/>
    <w:next w:val="53"/>
    <w:qFormat/>
    <w:uiPriority w:val="0"/>
    <w:pPr>
      <w:widowControl/>
      <w:shd w:val="clear" w:color="FFFFFF" w:fill="FFFFFF"/>
      <w:spacing w:before="280" w:beforeLines="0" w:after="280" w:afterLines="0"/>
      <w:jc w:val="right"/>
    </w:pPr>
    <w:rPr>
      <w:rFonts w:ascii="宋体"/>
      <w:sz w:val="24"/>
    </w:rPr>
  </w:style>
  <w:style w:type="paragraph" w:customStyle="1" w:styleId="53">
    <w:name w:val="xl72"/>
    <w:basedOn w:val="1"/>
    <w:next w:val="19"/>
    <w:qFormat/>
    <w:uiPriority w:val="0"/>
    <w:pPr>
      <w:widowControl/>
      <w:shd w:val="clear" w:color="FFFFFF" w:fill="FFFFFF"/>
      <w:spacing w:before="280" w:beforeLines="0" w:after="280" w:afterLines="0"/>
      <w:jc w:val="right"/>
    </w:pPr>
    <w:rPr>
      <w:rFonts w:ascii="宋体"/>
      <w:sz w:val="24"/>
    </w:rPr>
  </w:style>
  <w:style w:type="paragraph" w:customStyle="1" w:styleId="54">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5">
    <w:name w:val="正文文本缩进 Char"/>
    <w:link w:val="3"/>
    <w:qFormat/>
    <w:uiPriority w:val="0"/>
    <w:rPr>
      <w:sz w:val="21"/>
      <w:lang w:val="en-US" w:eastAsia="zh-CN" w:bidi="ar-SA"/>
    </w:rPr>
  </w:style>
  <w:style w:type="character" w:customStyle="1" w:styleId="56">
    <w:name w:val="标题 2 Char"/>
    <w:link w:val="6"/>
    <w:qFormat/>
    <w:uiPriority w:val="0"/>
    <w:rPr>
      <w:rFonts w:ascii="Arial" w:hAnsi="Arial" w:eastAsia="黑体"/>
      <w:b/>
      <w:bCs/>
      <w:kern w:val="2"/>
      <w:sz w:val="32"/>
      <w:szCs w:val="32"/>
      <w:lang w:val="en-US" w:eastAsia="zh-CN" w:bidi="ar-SA"/>
    </w:rPr>
  </w:style>
  <w:style w:type="character" w:customStyle="1" w:styleId="57">
    <w:name w:val="标题 3 Char"/>
    <w:link w:val="7"/>
    <w:qFormat/>
    <w:uiPriority w:val="0"/>
    <w:rPr>
      <w:rFonts w:ascii="宋体" w:hAnsi="宋体" w:eastAsia="幼圆"/>
      <w:b/>
      <w:bCs/>
      <w:kern w:val="2"/>
      <w:sz w:val="32"/>
      <w:szCs w:val="32"/>
      <w:lang w:val="en-US" w:eastAsia="zh-CN" w:bidi="ar-SA"/>
    </w:rPr>
  </w:style>
  <w:style w:type="character" w:customStyle="1" w:styleId="58">
    <w:name w:val="正文缩进 Char"/>
    <w:link w:val="10"/>
    <w:qFormat/>
    <w:uiPriority w:val="0"/>
    <w:rPr>
      <w:rFonts w:ascii="宋体"/>
      <w:sz w:val="24"/>
    </w:rPr>
  </w:style>
  <w:style w:type="character" w:customStyle="1" w:styleId="59">
    <w:name w:val="纯文本 Char"/>
    <w:link w:val="17"/>
    <w:qFormat/>
    <w:uiPriority w:val="0"/>
    <w:rPr>
      <w:rFonts w:hAnsi="Courier New" w:eastAsia="幼圆"/>
      <w:sz w:val="21"/>
      <w:lang w:val="en-US" w:eastAsia="zh-CN" w:bidi="ar-SA"/>
    </w:rPr>
  </w:style>
  <w:style w:type="character" w:customStyle="1" w:styleId="60">
    <w:name w:val="批注框文本 Char"/>
    <w:link w:val="21"/>
    <w:qFormat/>
    <w:uiPriority w:val="0"/>
    <w:rPr>
      <w:rFonts w:ascii="宋体" w:hAnsi="宋体" w:eastAsia="宋体"/>
      <w:kern w:val="2"/>
      <w:sz w:val="18"/>
      <w:szCs w:val="18"/>
      <w:lang w:val="en-US" w:eastAsia="zh-CN" w:bidi="ar-SA"/>
    </w:rPr>
  </w:style>
  <w:style w:type="character" w:customStyle="1" w:styleId="61">
    <w:name w:val="页眉 Char Char"/>
    <w:qFormat/>
    <w:uiPriority w:val="0"/>
    <w:rPr>
      <w:rFonts w:ascii="宋体" w:hAnsi="宋体" w:eastAsia="宋体"/>
      <w:kern w:val="2"/>
      <w:sz w:val="18"/>
      <w:szCs w:val="18"/>
      <w:lang w:val="en-US" w:eastAsia="zh-CN" w:bidi="ar-SA"/>
    </w:rPr>
  </w:style>
  <w:style w:type="character" w:customStyle="1" w:styleId="62">
    <w:name w:val="页脚 Char Char"/>
    <w:qFormat/>
    <w:uiPriority w:val="0"/>
    <w:rPr>
      <w:rFonts w:ascii="宋体" w:hAnsi="宋体" w:eastAsia="宋体"/>
      <w:kern w:val="2"/>
      <w:sz w:val="18"/>
      <w:szCs w:val="18"/>
      <w:lang w:val="en-US" w:eastAsia="zh-CN" w:bidi="ar-SA"/>
    </w:rPr>
  </w:style>
  <w:style w:type="character" w:customStyle="1" w:styleId="63">
    <w:name w:val="ca-21"/>
    <w:qFormat/>
    <w:uiPriority w:val="0"/>
    <w:rPr>
      <w:rFonts w:hint="eastAsia" w:ascii="仿宋_GB2312" w:eastAsia="仿宋_GB2312"/>
      <w:sz w:val="32"/>
      <w:szCs w:val="32"/>
    </w:rPr>
  </w:style>
  <w:style w:type="character" w:customStyle="1" w:styleId="64">
    <w:name w:val="ca-31"/>
    <w:qFormat/>
    <w:uiPriority w:val="0"/>
    <w:rPr>
      <w:rFonts w:hint="eastAsia" w:ascii="仿宋_GB2312" w:eastAsia="仿宋_GB2312"/>
      <w:b/>
      <w:bCs/>
      <w:spacing w:val="-20"/>
      <w:sz w:val="32"/>
      <w:szCs w:val="32"/>
    </w:rPr>
  </w:style>
  <w:style w:type="character" w:customStyle="1" w:styleId="65">
    <w:name w:val="UserStyle_17"/>
    <w:qFormat/>
    <w:uiPriority w:val="0"/>
    <w:rPr>
      <w:rFonts w:ascii="Times New Roman" w:hAnsi="Times New Roman" w:eastAsia="宋体" w:cs="Times New Roman"/>
      <w:kern w:val="2"/>
      <w:sz w:val="21"/>
      <w:szCs w:val="24"/>
      <w:lang w:val="en-US" w:eastAsia="zh-CN" w:bidi="ar-SA"/>
    </w:rPr>
  </w:style>
  <w:style w:type="character" w:customStyle="1" w:styleId="66">
    <w:name w:val="ca-11"/>
    <w:qFormat/>
    <w:uiPriority w:val="0"/>
    <w:rPr>
      <w:rFonts w:hint="default" w:ascii="Times New Roman" w:hAnsi="Times New Roman" w:cs="Times New Roman"/>
      <w:sz w:val="32"/>
      <w:szCs w:val="32"/>
    </w:rPr>
  </w:style>
  <w:style w:type="character" w:customStyle="1" w:styleId="67">
    <w:name w:val="font11"/>
    <w:qFormat/>
    <w:uiPriority w:val="0"/>
    <w:rPr>
      <w:rFonts w:hint="eastAsia" w:ascii="宋体" w:hAnsi="宋体" w:eastAsia="宋体" w:cs="宋体"/>
      <w:color w:val="000000"/>
      <w:sz w:val="20"/>
      <w:szCs w:val="20"/>
      <w:u w:val="none"/>
    </w:rPr>
  </w:style>
  <w:style w:type="character" w:customStyle="1" w:styleId="68">
    <w:name w:val="Char Char Char"/>
    <w:qFormat/>
    <w:uiPriority w:val="0"/>
    <w:rPr>
      <w:rFonts w:ascii="Arial" w:hAnsi="Arial" w:eastAsia="黑体"/>
      <w:b/>
      <w:bCs/>
      <w:kern w:val="2"/>
      <w:sz w:val="32"/>
      <w:szCs w:val="32"/>
      <w:lang w:val="en-US" w:eastAsia="zh-CN" w:bidi="ar-SA"/>
    </w:rPr>
  </w:style>
  <w:style w:type="character" w:customStyle="1" w:styleId="69">
    <w:name w:val="ca-121"/>
    <w:qFormat/>
    <w:uiPriority w:val="0"/>
    <w:rPr>
      <w:rFonts w:hint="eastAsia" w:ascii="仿宋_GB2312" w:eastAsia="仿宋_GB2312"/>
      <w:color w:val="000000"/>
      <w:sz w:val="21"/>
      <w:szCs w:val="21"/>
    </w:rPr>
  </w:style>
  <w:style w:type="paragraph" w:customStyle="1" w:styleId="70">
    <w:name w:val="样式 正文文字 + 小四 段后: 0 磅 行距: 1.5 倍行距"/>
    <w:basedOn w:val="14"/>
    <w:qFormat/>
    <w:uiPriority w:val="0"/>
    <w:pPr>
      <w:spacing w:after="0" w:afterLines="0" w:line="360" w:lineRule="auto"/>
      <w:ind w:firstLine="480" w:firstLineChars="200"/>
    </w:pPr>
    <w:rPr>
      <w:rFonts w:cs="宋体"/>
      <w:sz w:val="24"/>
      <w:szCs w:val="20"/>
    </w:rPr>
  </w:style>
  <w:style w:type="paragraph" w:customStyle="1" w:styleId="71">
    <w:name w:val="pa-58"/>
    <w:basedOn w:val="1"/>
    <w:qFormat/>
    <w:uiPriority w:val="0"/>
    <w:pPr>
      <w:widowControl/>
      <w:spacing w:line="240" w:lineRule="atLeast"/>
      <w:ind w:firstLine="460"/>
    </w:pPr>
    <w:rPr>
      <w:rFonts w:ascii="宋体" w:hAnsi="宋体" w:cs="宋体"/>
      <w:kern w:val="0"/>
      <w:sz w:val="24"/>
    </w:rPr>
  </w:style>
  <w:style w:type="paragraph" w:customStyle="1" w:styleId="72">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3">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4">
    <w:name w:val="pa-6"/>
    <w:basedOn w:val="1"/>
    <w:qFormat/>
    <w:uiPriority w:val="0"/>
    <w:pPr>
      <w:widowControl/>
      <w:spacing w:line="360" w:lineRule="atLeast"/>
    </w:pPr>
    <w:rPr>
      <w:rFonts w:ascii="宋体" w:hAnsi="宋体" w:cs="宋体"/>
      <w:kern w:val="0"/>
      <w:sz w:val="24"/>
    </w:rPr>
  </w:style>
  <w:style w:type="paragraph" w:customStyle="1" w:styleId="75">
    <w:name w:val="pa-2"/>
    <w:basedOn w:val="1"/>
    <w:qFormat/>
    <w:uiPriority w:val="0"/>
    <w:pPr>
      <w:widowControl/>
      <w:spacing w:line="360" w:lineRule="atLeast"/>
    </w:pPr>
    <w:rPr>
      <w:rFonts w:ascii="宋体" w:hAnsi="宋体" w:cs="宋体"/>
      <w:kern w:val="0"/>
      <w:sz w:val="24"/>
    </w:rPr>
  </w:style>
  <w:style w:type="paragraph" w:customStyle="1" w:styleId="76">
    <w:name w:val="Heading 1"/>
    <w:basedOn w:val="1"/>
    <w:qFormat/>
    <w:uiPriority w:val="0"/>
    <w:pPr>
      <w:outlineLvl w:val="1"/>
    </w:pPr>
    <w:rPr>
      <w:rFonts w:ascii="黑体" w:hAnsi="黑体" w:eastAsia="黑体"/>
      <w:b/>
      <w:bCs/>
      <w:sz w:val="44"/>
      <w:szCs w:val="44"/>
    </w:rPr>
  </w:style>
  <w:style w:type="paragraph" w:customStyle="1" w:styleId="77">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78">
    <w:name w:val="正文（首行缩进一字）"/>
    <w:basedOn w:val="1"/>
    <w:qFormat/>
    <w:uiPriority w:val="0"/>
  </w:style>
  <w:style w:type="paragraph" w:customStyle="1" w:styleId="79">
    <w:name w:val="pa-53"/>
    <w:basedOn w:val="1"/>
    <w:qFormat/>
    <w:uiPriority w:val="0"/>
    <w:pPr>
      <w:widowControl/>
      <w:spacing w:line="240" w:lineRule="atLeast"/>
    </w:pPr>
    <w:rPr>
      <w:rFonts w:ascii="宋体" w:hAnsi="宋体" w:cs="宋体"/>
      <w:kern w:val="0"/>
      <w:sz w:val="24"/>
    </w:rPr>
  </w:style>
  <w:style w:type="paragraph" w:customStyle="1" w:styleId="80">
    <w:name w:val="列出段落1"/>
    <w:basedOn w:val="1"/>
    <w:qFormat/>
    <w:uiPriority w:val="0"/>
    <w:pPr>
      <w:ind w:firstLine="420" w:firstLineChars="200"/>
    </w:pPr>
    <w:rPr>
      <w:rFonts w:ascii="Times New Roman" w:hAnsi="Times New Roman" w:eastAsia="宋体" w:cs="Times New Roman"/>
    </w:rPr>
  </w:style>
  <w:style w:type="paragraph" w:customStyle="1" w:styleId="81">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2">
    <w:name w:val="无间隔1"/>
    <w:basedOn w:val="1"/>
    <w:qFormat/>
    <w:uiPriority w:val="0"/>
    <w:pPr>
      <w:spacing w:line="400" w:lineRule="exact"/>
    </w:pPr>
    <w:rPr>
      <w:rFonts w:eastAsia="宋体"/>
      <w:sz w:val="24"/>
    </w:rPr>
  </w:style>
  <w:style w:type="paragraph" w:customStyle="1" w:styleId="83">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4">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5">
    <w:name w:val="pa-62"/>
    <w:basedOn w:val="1"/>
    <w:qFormat/>
    <w:uiPriority w:val="0"/>
    <w:pPr>
      <w:widowControl/>
      <w:spacing w:line="240" w:lineRule="atLeast"/>
    </w:pPr>
    <w:rPr>
      <w:rFonts w:ascii="宋体" w:hAnsi="宋体" w:cs="宋体"/>
      <w:kern w:val="0"/>
      <w:sz w:val="24"/>
    </w:rPr>
  </w:style>
  <w:style w:type="paragraph" w:customStyle="1" w:styleId="86">
    <w:name w:val="_Style 80"/>
    <w:qFormat/>
    <w:uiPriority w:val="0"/>
    <w:rPr>
      <w:rFonts w:ascii="Times New Roman" w:hAnsi="Times New Roman" w:eastAsia="宋体" w:cs="Times New Roman"/>
      <w:kern w:val="2"/>
      <w:sz w:val="21"/>
      <w:lang w:val="en-US" w:eastAsia="zh-CN" w:bidi="ar-SA"/>
    </w:rPr>
  </w:style>
  <w:style w:type="paragraph" w:customStyle="1" w:styleId="87">
    <w:name w:val="p0"/>
    <w:basedOn w:val="1"/>
    <w:qFormat/>
    <w:uiPriority w:val="0"/>
    <w:pPr>
      <w:widowControl/>
    </w:pPr>
    <w:rPr>
      <w:kern w:val="0"/>
      <w:szCs w:val="21"/>
    </w:rPr>
  </w:style>
  <w:style w:type="paragraph" w:customStyle="1" w:styleId="88">
    <w:name w:val="彩色列表1"/>
    <w:basedOn w:val="1"/>
    <w:qFormat/>
    <w:uiPriority w:val="0"/>
    <w:pPr>
      <w:jc w:val="left"/>
    </w:pPr>
    <w:rPr>
      <w:rFonts w:ascii="Calibri" w:hAnsi="Calibri" w:eastAsia="宋体" w:cs="Times New Roman"/>
      <w:kern w:val="0"/>
      <w:sz w:val="22"/>
      <w:szCs w:val="22"/>
      <w:lang w:eastAsia="en-US"/>
    </w:rPr>
  </w:style>
  <w:style w:type="paragraph" w:customStyle="1" w:styleId="89">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0">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1">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2">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3">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5">
    <w:name w:val="pa-56"/>
    <w:basedOn w:val="1"/>
    <w:qFormat/>
    <w:uiPriority w:val="0"/>
    <w:pPr>
      <w:widowControl/>
      <w:spacing w:line="240" w:lineRule="atLeast"/>
    </w:pPr>
    <w:rPr>
      <w:rFonts w:ascii="宋体" w:hAnsi="宋体" w:cs="宋体"/>
      <w:kern w:val="0"/>
      <w:sz w:val="24"/>
    </w:rPr>
  </w:style>
  <w:style w:type="paragraph" w:customStyle="1" w:styleId="96">
    <w:name w:val=" Char Char Char"/>
    <w:basedOn w:val="1"/>
    <w:qFormat/>
    <w:uiPriority w:val="0"/>
    <w:rPr>
      <w:rFonts w:ascii="Tahoma" w:hAnsi="Tahoma"/>
      <w:sz w:val="24"/>
      <w:szCs w:val="20"/>
    </w:rPr>
  </w:style>
  <w:style w:type="paragraph" w:customStyle="1" w:styleId="97">
    <w:name w:val="pa-4"/>
    <w:basedOn w:val="1"/>
    <w:qFormat/>
    <w:uiPriority w:val="0"/>
    <w:pPr>
      <w:widowControl/>
      <w:spacing w:line="360" w:lineRule="atLeast"/>
      <w:ind w:firstLine="960"/>
    </w:pPr>
    <w:rPr>
      <w:rFonts w:ascii="宋体" w:hAnsi="宋体" w:cs="宋体"/>
      <w:kern w:val="0"/>
      <w:sz w:val="24"/>
    </w:rPr>
  </w:style>
  <w:style w:type="paragraph" w:customStyle="1" w:styleId="98">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99">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0">
    <w:name w:val="_Style 2"/>
    <w:basedOn w:val="1"/>
    <w:qFormat/>
    <w:uiPriority w:val="0"/>
    <w:pPr>
      <w:ind w:firstLine="420" w:firstLineChars="200"/>
    </w:pPr>
    <w:rPr>
      <w:kern w:val="0"/>
      <w:sz w:val="20"/>
      <w:szCs w:val="24"/>
    </w:rPr>
  </w:style>
  <w:style w:type="paragraph" w:customStyle="1" w:styleId="101">
    <w:name w:val="彩色底纹 - 强调文字颜色 61"/>
    <w:basedOn w:val="5"/>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2">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103">
    <w:name w:val="pa-57"/>
    <w:basedOn w:val="1"/>
    <w:qFormat/>
    <w:uiPriority w:val="0"/>
    <w:pPr>
      <w:widowControl/>
      <w:spacing w:line="240" w:lineRule="atLeast"/>
      <w:ind w:firstLine="480"/>
    </w:pPr>
    <w:rPr>
      <w:rFonts w:ascii="宋体" w:hAnsi="宋体" w:cs="宋体"/>
      <w:kern w:val="0"/>
      <w:sz w:val="24"/>
    </w:rPr>
  </w:style>
  <w:style w:type="paragraph" w:customStyle="1" w:styleId="104">
    <w:name w:val="Table Paragraph"/>
    <w:basedOn w:val="1"/>
    <w:qFormat/>
    <w:uiPriority w:val="0"/>
    <w:pPr>
      <w:jc w:val="left"/>
    </w:pPr>
    <w:rPr>
      <w:rFonts w:ascii="Calibri" w:hAnsi="Calibri" w:eastAsia="宋体" w:cs="Times New Roman"/>
      <w:kern w:val="0"/>
      <w:sz w:val="22"/>
      <w:szCs w:val="22"/>
      <w:lang w:eastAsia="en-US"/>
    </w:rPr>
  </w:style>
  <w:style w:type="paragraph" w:styleId="105">
    <w:name w:val="List Paragraph"/>
    <w:basedOn w:val="1"/>
    <w:qFormat/>
    <w:uiPriority w:val="34"/>
    <w:pPr>
      <w:ind w:firstLine="420" w:firstLineChars="200"/>
    </w:pPr>
    <w:rPr>
      <w:rFonts w:ascii="Calibri" w:hAnsi="Calibri"/>
      <w:szCs w:val="22"/>
    </w:rPr>
  </w:style>
  <w:style w:type="paragraph" w:customStyle="1" w:styleId="106">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07">
    <w:name w:val="pa-59"/>
    <w:basedOn w:val="1"/>
    <w:qFormat/>
    <w:uiPriority w:val="0"/>
    <w:pPr>
      <w:widowControl/>
      <w:spacing w:line="240" w:lineRule="atLeast"/>
      <w:ind w:firstLine="640"/>
    </w:pPr>
    <w:rPr>
      <w:rFonts w:ascii="宋体" w:hAnsi="宋体" w:cs="宋体"/>
      <w:kern w:val="0"/>
      <w:sz w:val="24"/>
    </w:rPr>
  </w:style>
  <w:style w:type="paragraph" w:customStyle="1" w:styleId="108">
    <w:name w:val="WPSOffice手动目录 1"/>
    <w:qFormat/>
    <w:uiPriority w:val="0"/>
    <w:rPr>
      <w:rFonts w:ascii="Times New Roman" w:hAnsi="Times New Roman" w:eastAsia="宋体" w:cs="Times New Roman"/>
      <w:lang w:val="en-US" w:eastAsia="zh-CN" w:bidi="ar-SA"/>
    </w:rPr>
  </w:style>
  <w:style w:type="paragraph" w:customStyle="1" w:styleId="109">
    <w:name w:val="Heading 2"/>
    <w:basedOn w:val="1"/>
    <w:qFormat/>
    <w:uiPriority w:val="0"/>
    <w:pPr>
      <w:ind w:left="117"/>
      <w:outlineLvl w:val="2"/>
    </w:pPr>
    <w:rPr>
      <w:rFonts w:ascii="黑体" w:hAnsi="黑体" w:eastAsia="黑体"/>
      <w:b/>
      <w:bCs/>
      <w:sz w:val="32"/>
      <w:szCs w:val="32"/>
    </w:rPr>
  </w:style>
  <w:style w:type="paragraph" w:customStyle="1" w:styleId="110">
    <w:name w:val="List Paragraph1"/>
    <w:basedOn w:val="1"/>
    <w:qFormat/>
    <w:uiPriority w:val="0"/>
  </w:style>
  <w:style w:type="paragraph" w:customStyle="1" w:styleId="111">
    <w:name w:val="Char Char Char Char"/>
    <w:basedOn w:val="1"/>
    <w:qFormat/>
    <w:uiPriority w:val="0"/>
    <w:rPr>
      <w:rFonts w:ascii="Tahoma" w:hAnsi="Tahoma"/>
      <w:sz w:val="24"/>
      <w:szCs w:val="20"/>
    </w:rPr>
  </w:style>
  <w:style w:type="paragraph" w:customStyle="1" w:styleId="112">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3">
    <w:name w:val="pa-7"/>
    <w:basedOn w:val="1"/>
    <w:qFormat/>
    <w:uiPriority w:val="0"/>
    <w:pPr>
      <w:widowControl/>
      <w:spacing w:line="360" w:lineRule="atLeast"/>
      <w:ind w:firstLine="800"/>
    </w:pPr>
    <w:rPr>
      <w:rFonts w:ascii="宋体" w:hAnsi="宋体" w:cs="宋体"/>
      <w:kern w:val="0"/>
      <w:sz w:val="24"/>
    </w:rPr>
  </w:style>
  <w:style w:type="paragraph" w:customStyle="1" w:styleId="114">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5">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16">
    <w:name w:val="正文_0"/>
    <w:qFormat/>
    <w:uiPriority w:val="0"/>
    <w:rPr>
      <w:rFonts w:ascii="Times New Roman" w:hAnsi="Times New Roman" w:eastAsia="宋体" w:cs="Times New Roman"/>
      <w:sz w:val="21"/>
      <w:lang w:val="en-US" w:eastAsia="zh-CN" w:bidi="ar-SA"/>
    </w:rPr>
  </w:style>
  <w:style w:type="paragraph" w:customStyle="1" w:styleId="117">
    <w:name w:val="0"/>
    <w:basedOn w:val="1"/>
    <w:qFormat/>
    <w:uiPriority w:val="0"/>
    <w:pPr>
      <w:widowControl/>
      <w:snapToGrid w:val="0"/>
      <w:spacing w:line="408" w:lineRule="auto"/>
      <w:ind w:left="1"/>
      <w:textAlignment w:val="bottom"/>
    </w:pPr>
    <w:rPr>
      <w:color w:val="000000"/>
      <w:kern w:val="0"/>
      <w:szCs w:val="21"/>
    </w:rPr>
  </w:style>
  <w:style w:type="paragraph" w:customStyle="1" w:styleId="118">
    <w:name w:val="pa-55"/>
    <w:basedOn w:val="1"/>
    <w:qFormat/>
    <w:uiPriority w:val="0"/>
    <w:pPr>
      <w:widowControl/>
      <w:spacing w:line="240" w:lineRule="atLeast"/>
      <w:ind w:firstLine="420"/>
    </w:pPr>
    <w:rPr>
      <w:rFonts w:ascii="宋体" w:hAnsi="宋体" w:cs="宋体"/>
      <w:kern w:val="0"/>
      <w:sz w:val="24"/>
    </w:rPr>
  </w:style>
  <w:style w:type="paragraph" w:customStyle="1" w:styleId="119">
    <w:name w:val="pa-1"/>
    <w:basedOn w:val="1"/>
    <w:qFormat/>
    <w:uiPriority w:val="0"/>
    <w:pPr>
      <w:widowControl/>
      <w:spacing w:line="360" w:lineRule="atLeast"/>
      <w:ind w:firstLine="640"/>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2.jpeg"/><Relationship Id="rId21" Type="http://schemas.openxmlformats.org/officeDocument/2006/relationships/image" Target="media/image1.jpe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header" Target="header6.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header" Target="header4.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20197</Words>
  <Characters>20781</Characters>
  <Lines>235</Lines>
  <Paragraphs>66</Paragraphs>
  <TotalTime>16</TotalTime>
  <ScaleCrop>false</ScaleCrop>
  <LinksUpToDate>false</LinksUpToDate>
  <CharactersWithSpaces>23245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2019-03-11T12:08:00Z</dcterms:created>
  <dc:creator>Agent_1</dc:creator>
  <cp:lastModifiedBy>薄凉姑娘</cp:lastModifiedBy>
  <cp:lastPrinted>2022-11-29T08:13:00Z</cp:lastPrinted>
  <dcterms:modified xsi:type="dcterms:W3CDTF">2022-12-07T03:22:22Z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06A63C016A424F8E85FE581C36F09043</vt:lpwstr>
  </property>
</Properties>
</file>