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b/>
          <w:bCs/>
          <w:color w:val="auto"/>
          <w:sz w:val="44"/>
          <w:szCs w:val="44"/>
        </w:rPr>
      </w:pPr>
    </w:p>
    <w:p>
      <w:pPr>
        <w:jc w:val="center"/>
        <w:rPr>
          <w:rFonts w:hint="default" w:ascii="Times New Roman" w:hAnsi="Times New Roman" w:eastAsia="宋体" w:cs="Times New Roman"/>
          <w:b/>
          <w:bCs/>
          <w:color w:val="auto"/>
          <w:sz w:val="36"/>
          <w:szCs w:val="36"/>
        </w:rPr>
      </w:pPr>
      <w:r>
        <w:rPr>
          <w:rFonts w:hint="default" w:ascii="Times New Roman" w:hAnsi="Times New Roman" w:eastAsia="宋体" w:cs="Times New Roman"/>
          <w:b/>
          <w:bCs/>
          <w:color w:val="auto"/>
          <w:sz w:val="36"/>
          <w:szCs w:val="36"/>
        </w:rPr>
        <w:t>武陟县县乡村三级养老服务体系建设项目</w:t>
      </w:r>
    </w:p>
    <w:p>
      <w:pPr>
        <w:jc w:val="center"/>
        <w:rPr>
          <w:rFonts w:hint="default" w:ascii="Times New Roman" w:hAnsi="Times New Roman" w:eastAsia="宋体" w:cs="Times New Roman"/>
          <w:b/>
          <w:bCs/>
          <w:color w:val="auto"/>
          <w:sz w:val="36"/>
          <w:szCs w:val="36"/>
        </w:rPr>
      </w:pPr>
      <w:r>
        <w:rPr>
          <w:rFonts w:hint="default" w:ascii="Times New Roman" w:hAnsi="Times New Roman" w:eastAsia="宋体" w:cs="Times New Roman"/>
          <w:b/>
          <w:bCs/>
          <w:color w:val="auto"/>
          <w:sz w:val="36"/>
          <w:szCs w:val="36"/>
        </w:rPr>
        <w:t>（县级医养结合养老服务中心建设项目）</w:t>
      </w:r>
      <w:r>
        <w:rPr>
          <w:rFonts w:hint="eastAsia" w:ascii="Times New Roman" w:hAnsi="Times New Roman" w:eastAsia="宋体" w:cs="Times New Roman"/>
          <w:b/>
          <w:bCs/>
          <w:color w:val="auto"/>
          <w:sz w:val="36"/>
          <w:szCs w:val="36"/>
          <w:lang w:eastAsia="zh-CN"/>
        </w:rPr>
        <w:t>污水处理</w:t>
      </w:r>
      <w:r>
        <w:rPr>
          <w:rFonts w:hint="default" w:ascii="Times New Roman" w:hAnsi="Times New Roman" w:eastAsia="宋体" w:cs="Times New Roman"/>
          <w:b/>
          <w:bCs/>
          <w:color w:val="auto"/>
          <w:sz w:val="36"/>
          <w:szCs w:val="36"/>
          <w:lang w:eastAsia="zh-CN"/>
        </w:rPr>
        <w:t>设备采购</w:t>
      </w:r>
    </w:p>
    <w:p>
      <w:pPr>
        <w:rPr>
          <w:rFonts w:hint="default" w:ascii="Times New Roman" w:hAnsi="Times New Roman" w:cs="Times New Roman"/>
          <w:color w:val="auto"/>
        </w:rPr>
      </w:pPr>
    </w:p>
    <w:p>
      <w:pPr>
        <w:pStyle w:val="8"/>
        <w:rPr>
          <w:rFonts w:hint="default" w:ascii="Times New Roman" w:hAnsi="Times New Roman" w:cs="Times New Roman"/>
          <w:color w:val="auto"/>
        </w:rPr>
      </w:pPr>
    </w:p>
    <w:p>
      <w:pPr>
        <w:pStyle w:val="9"/>
        <w:rPr>
          <w:rFonts w:hint="default" w:ascii="Times New Roman" w:hAnsi="Times New Roman" w:cs="Times New Roman"/>
          <w:color w:val="auto"/>
        </w:rPr>
      </w:pPr>
    </w:p>
    <w:p>
      <w:pPr>
        <w:rPr>
          <w:rFonts w:hint="default" w:ascii="Times New Roman" w:hAnsi="Times New Roman" w:cs="Times New Roman"/>
          <w:color w:val="auto"/>
        </w:rPr>
      </w:pPr>
    </w:p>
    <w:p>
      <w:pPr>
        <w:adjustRightInd w:val="0"/>
        <w:snapToGrid w:val="0"/>
        <w:jc w:val="center"/>
        <w:rPr>
          <w:rFonts w:hint="default" w:ascii="Times New Roman" w:hAnsi="Times New Roman" w:eastAsia="黑体" w:cs="Times New Roman"/>
          <w:b/>
          <w:bCs/>
          <w:color w:val="auto"/>
          <w:sz w:val="72"/>
          <w:szCs w:val="72"/>
        </w:rPr>
      </w:pPr>
      <w:r>
        <w:rPr>
          <w:rFonts w:hint="default" w:ascii="Times New Roman" w:hAnsi="Times New Roman" w:eastAsia="黑体" w:cs="Times New Roman"/>
          <w:b/>
          <w:bCs/>
          <w:color w:val="auto"/>
          <w:kern w:val="0"/>
          <w:sz w:val="72"/>
          <w:szCs w:val="72"/>
        </w:rPr>
        <w:t>招 标 文 件</w:t>
      </w:r>
    </w:p>
    <w:p>
      <w:pPr>
        <w:widowControl/>
        <w:rPr>
          <w:rFonts w:hint="default" w:ascii="Times New Roman" w:hAnsi="Times New Roman" w:cs="Times New Roman"/>
          <w:b/>
          <w:bCs/>
          <w:color w:val="auto"/>
        </w:rPr>
      </w:pPr>
    </w:p>
    <w:p>
      <w:pPr>
        <w:spacing w:line="480" w:lineRule="auto"/>
        <w:ind w:firstLine="1928" w:firstLineChars="600"/>
        <w:rPr>
          <w:rFonts w:hint="default" w:ascii="Times New Roman" w:hAnsi="Times New Roman" w:cs="Times New Roman"/>
          <w:b/>
          <w:color w:val="auto"/>
          <w:sz w:val="32"/>
          <w:szCs w:val="32"/>
        </w:rPr>
      </w:pPr>
    </w:p>
    <w:p>
      <w:pPr>
        <w:spacing w:line="480" w:lineRule="auto"/>
        <w:ind w:firstLine="1928" w:firstLineChars="600"/>
        <w:rPr>
          <w:rFonts w:hint="default" w:ascii="Times New Roman" w:hAnsi="Times New Roman" w:cs="Times New Roman"/>
          <w:b/>
          <w:color w:val="auto"/>
          <w:sz w:val="32"/>
          <w:szCs w:val="32"/>
        </w:rPr>
      </w:pPr>
      <w:r>
        <w:rPr>
          <w:rFonts w:hint="default" w:ascii="Times New Roman" w:hAnsi="Times New Roman" w:cs="Times New Roman"/>
          <w:b/>
          <w:color w:val="auto"/>
          <w:sz w:val="32"/>
          <w:szCs w:val="32"/>
        </w:rPr>
        <w:t>交易编号：武交采GKZB2022-</w:t>
      </w:r>
      <w:r>
        <w:rPr>
          <w:rFonts w:hint="eastAsia" w:ascii="Times New Roman" w:hAnsi="Times New Roman" w:cs="Times New Roman"/>
          <w:b/>
          <w:color w:val="auto"/>
          <w:sz w:val="32"/>
          <w:szCs w:val="32"/>
          <w:lang w:val="en-US" w:eastAsia="zh-CN"/>
        </w:rPr>
        <w:t>038</w:t>
      </w:r>
      <w:r>
        <w:rPr>
          <w:rFonts w:hint="default" w:ascii="Times New Roman" w:hAnsi="Times New Roman" w:cs="Times New Roman"/>
          <w:b/>
          <w:color w:val="auto"/>
          <w:sz w:val="32"/>
          <w:szCs w:val="32"/>
        </w:rPr>
        <w:t xml:space="preserve">号 </w:t>
      </w:r>
    </w:p>
    <w:p>
      <w:pPr>
        <w:spacing w:line="480" w:lineRule="auto"/>
        <w:rPr>
          <w:rFonts w:hint="default" w:ascii="Times New Roman" w:hAnsi="Times New Roman" w:cs="Times New Roman"/>
          <w:b/>
          <w:color w:val="auto"/>
          <w:sz w:val="32"/>
          <w:szCs w:val="32"/>
        </w:rPr>
      </w:pPr>
      <w:r>
        <w:rPr>
          <w:rFonts w:hint="default" w:ascii="Times New Roman" w:hAnsi="Times New Roman" w:cs="Times New Roman"/>
          <w:b/>
          <w:color w:val="auto"/>
          <w:sz w:val="32"/>
          <w:szCs w:val="32"/>
        </w:rPr>
        <w:t xml:space="preserve"> </w:t>
      </w:r>
    </w:p>
    <w:p>
      <w:pPr>
        <w:spacing w:line="480" w:lineRule="auto"/>
        <w:ind w:firstLine="1928" w:firstLineChars="600"/>
        <w:rPr>
          <w:rFonts w:hint="default" w:ascii="Times New Roman" w:hAnsi="Times New Roman" w:cs="Times New Roman"/>
          <w:b/>
          <w:color w:val="auto"/>
          <w:sz w:val="32"/>
          <w:szCs w:val="32"/>
        </w:rPr>
      </w:pPr>
    </w:p>
    <w:p>
      <w:pPr>
        <w:pStyle w:val="8"/>
        <w:rPr>
          <w:rFonts w:hint="default" w:ascii="Times New Roman" w:hAnsi="Times New Roman" w:cs="Times New Roman"/>
          <w:b/>
          <w:color w:val="auto"/>
          <w:sz w:val="32"/>
          <w:szCs w:val="32"/>
        </w:rPr>
      </w:pPr>
    </w:p>
    <w:p>
      <w:pPr>
        <w:pStyle w:val="9"/>
        <w:rPr>
          <w:rFonts w:hint="default"/>
        </w:rPr>
      </w:pPr>
    </w:p>
    <w:p>
      <w:pPr>
        <w:pStyle w:val="8"/>
        <w:rPr>
          <w:rFonts w:hint="default"/>
        </w:rPr>
      </w:pPr>
    </w:p>
    <w:p>
      <w:pPr>
        <w:pStyle w:val="9"/>
        <w:rPr>
          <w:rFonts w:hint="default"/>
        </w:rPr>
      </w:pPr>
    </w:p>
    <w:p>
      <w:pPr>
        <w:spacing w:line="480" w:lineRule="auto"/>
        <w:ind w:firstLine="1928" w:firstLineChars="600"/>
        <w:rPr>
          <w:rFonts w:hint="default" w:ascii="Times New Roman" w:hAnsi="Times New Roman" w:cs="Times New Roman"/>
          <w:b/>
          <w:color w:val="auto"/>
          <w:sz w:val="32"/>
          <w:szCs w:val="32"/>
        </w:rPr>
      </w:pPr>
      <w:r>
        <w:rPr>
          <w:rFonts w:hint="default" w:ascii="Times New Roman" w:hAnsi="Times New Roman" w:cs="Times New Roman"/>
          <w:b/>
          <w:color w:val="auto"/>
          <w:sz w:val="32"/>
          <w:szCs w:val="32"/>
        </w:rPr>
        <w:t xml:space="preserve"> </w:t>
      </w:r>
    </w:p>
    <w:p>
      <w:pPr>
        <w:pStyle w:val="22"/>
        <w:ind w:left="480" w:firstLine="480"/>
        <w:rPr>
          <w:rFonts w:hint="default" w:ascii="Times New Roman" w:hAnsi="Times New Roman" w:cs="Times New Roman"/>
          <w:color w:val="auto"/>
        </w:rPr>
      </w:pPr>
    </w:p>
    <w:p>
      <w:pPr>
        <w:spacing w:line="480" w:lineRule="auto"/>
        <w:ind w:firstLine="964" w:firstLineChars="300"/>
        <w:rPr>
          <w:rFonts w:hint="default" w:ascii="Times New Roman" w:hAnsi="Times New Roman" w:cs="Times New Roman"/>
          <w:b/>
          <w:color w:val="auto"/>
          <w:sz w:val="32"/>
          <w:szCs w:val="32"/>
        </w:rPr>
      </w:pPr>
      <w:r>
        <w:rPr>
          <w:rFonts w:hint="default" w:ascii="Times New Roman" w:hAnsi="Times New Roman" w:cs="Times New Roman"/>
          <w:b/>
          <w:color w:val="auto"/>
          <w:sz w:val="32"/>
          <w:szCs w:val="32"/>
        </w:rPr>
        <w:t>采   购   人：</w:t>
      </w:r>
      <w:r>
        <w:rPr>
          <w:rFonts w:hint="default" w:ascii="Times New Roman" w:hAnsi="Times New Roman" w:cs="Times New Roman"/>
          <w:b/>
          <w:bCs/>
          <w:color w:val="auto"/>
          <w:sz w:val="32"/>
          <w:szCs w:val="32"/>
        </w:rPr>
        <w:t>武陟县城市建设投资开发有限责任公司</w:t>
      </w:r>
    </w:p>
    <w:p>
      <w:pPr>
        <w:spacing w:line="480" w:lineRule="auto"/>
        <w:ind w:firstLine="964" w:firstLineChars="300"/>
        <w:rPr>
          <w:rFonts w:hint="default" w:ascii="Times New Roman" w:hAnsi="Times New Roman" w:cs="Times New Roman"/>
          <w:b/>
          <w:color w:val="auto"/>
          <w:sz w:val="32"/>
          <w:szCs w:val="32"/>
        </w:rPr>
      </w:pPr>
      <w:r>
        <w:rPr>
          <w:rFonts w:hint="default" w:ascii="Times New Roman" w:hAnsi="Times New Roman" w:cs="Times New Roman"/>
          <w:b/>
          <w:color w:val="auto"/>
          <w:sz w:val="32"/>
          <w:szCs w:val="32"/>
        </w:rPr>
        <w:t>采购代理机构: 武陟县中嘉工程管理有限公司</w:t>
      </w:r>
    </w:p>
    <w:p>
      <w:pPr>
        <w:rPr>
          <w:rFonts w:hint="default" w:ascii="Times New Roman" w:hAnsi="Times New Roman" w:cs="Times New Roman"/>
          <w:b/>
          <w:color w:val="auto"/>
          <w:sz w:val="32"/>
          <w:szCs w:val="32"/>
        </w:rPr>
      </w:pPr>
      <w:r>
        <w:rPr>
          <w:rFonts w:hint="default" w:ascii="Times New Roman" w:hAnsi="Times New Roman" w:cs="Times New Roman"/>
          <w:b/>
          <w:color w:val="auto"/>
          <w:sz w:val="32"/>
          <w:szCs w:val="32"/>
        </w:rPr>
        <w:br w:type="page"/>
      </w:r>
    </w:p>
    <w:p>
      <w:pPr>
        <w:spacing w:line="360" w:lineRule="auto"/>
        <w:jc w:val="center"/>
        <w:rPr>
          <w:rFonts w:hint="default" w:ascii="Times New Roman" w:hAnsi="Times New Roman" w:cs="Times New Roman"/>
          <w:b/>
          <w:bCs/>
          <w:color w:val="auto"/>
          <w:sz w:val="32"/>
          <w:szCs w:val="32"/>
        </w:rPr>
        <w:sectPr>
          <w:pgSz w:w="11906" w:h="16838"/>
          <w:pgMar w:top="1440" w:right="1134" w:bottom="1440" w:left="1474" w:header="851" w:footer="992" w:gutter="0"/>
          <w:pgNumType w:start="1"/>
          <w:cols w:space="720" w:num="1"/>
          <w:titlePg/>
          <w:docGrid w:type="lines" w:linePitch="312" w:charSpace="0"/>
        </w:sectPr>
      </w:pPr>
    </w:p>
    <w:p>
      <w:pPr>
        <w:rPr>
          <w:rFonts w:hint="default" w:ascii="Times New Roman" w:hAnsi="Times New Roman" w:cs="Times New Roman"/>
          <w:b/>
          <w:bCs/>
          <w:color w:val="auto"/>
          <w:sz w:val="32"/>
          <w:szCs w:val="32"/>
        </w:rPr>
      </w:pPr>
      <w:r>
        <w:rPr>
          <w:rFonts w:hint="default" w:ascii="Times New Roman" w:hAnsi="Times New Roman" w:cs="Times New Roman"/>
          <w:b/>
          <w:bCs/>
          <w:color w:val="auto"/>
          <w:sz w:val="32"/>
          <w:szCs w:val="32"/>
        </w:rPr>
        <w:br w:type="page"/>
      </w:r>
    </w:p>
    <w:p>
      <w:pPr>
        <w:spacing w:line="360" w:lineRule="auto"/>
        <w:jc w:val="center"/>
        <w:rPr>
          <w:rFonts w:hint="default" w:ascii="Times New Roman" w:hAnsi="Times New Roman" w:cs="Times New Roman"/>
          <w:b/>
          <w:bCs/>
          <w:color w:val="auto"/>
          <w:sz w:val="32"/>
          <w:szCs w:val="32"/>
        </w:rPr>
      </w:pPr>
      <w:r>
        <w:rPr>
          <w:rFonts w:hint="default" w:ascii="Times New Roman" w:hAnsi="Times New Roman" w:cs="Times New Roman"/>
          <w:b/>
          <w:bCs/>
          <w:color w:val="auto"/>
          <w:sz w:val="32"/>
          <w:szCs w:val="32"/>
        </w:rPr>
        <w:t>目     录</w:t>
      </w:r>
    </w:p>
    <w:p>
      <w:pPr>
        <w:pStyle w:val="16"/>
        <w:tabs>
          <w:tab w:val="right" w:leader="dot" w:pos="8296"/>
        </w:tabs>
        <w:rPr>
          <w:rFonts w:hint="default" w:ascii="Times New Roman" w:hAnsi="Times New Roman" w:cs="Times New Roman" w:eastAsiaTheme="minorEastAsia"/>
          <w:color w:val="auto"/>
          <w:sz w:val="28"/>
          <w:szCs w:val="28"/>
        </w:rPr>
      </w:pPr>
      <w:r>
        <w:rPr>
          <w:rFonts w:hint="default" w:ascii="Times New Roman" w:hAnsi="Times New Roman" w:cs="Times New Roman"/>
          <w:color w:val="auto"/>
          <w:sz w:val="28"/>
          <w:szCs w:val="28"/>
          <w:lang w:val="zh-CN"/>
        </w:rPr>
        <w:fldChar w:fldCharType="begin"/>
      </w:r>
      <w:r>
        <w:rPr>
          <w:rFonts w:hint="default" w:ascii="Times New Roman" w:hAnsi="Times New Roman" w:cs="Times New Roman"/>
          <w:color w:val="auto"/>
          <w:sz w:val="28"/>
          <w:szCs w:val="28"/>
          <w:lang w:val="zh-CN"/>
        </w:rPr>
        <w:instrText xml:space="preserve"> TOC \o "1-3" \h \z \u </w:instrText>
      </w:r>
      <w:r>
        <w:rPr>
          <w:rFonts w:hint="default" w:ascii="Times New Roman" w:hAnsi="Times New Roman" w:cs="Times New Roman"/>
          <w:color w:val="auto"/>
          <w:sz w:val="28"/>
          <w:szCs w:val="28"/>
          <w:lang w:val="zh-CN"/>
        </w:rPr>
        <w:fldChar w:fldCharType="separate"/>
      </w: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HYPERLINK \l "_Toc110000284" </w:instrText>
      </w:r>
      <w:r>
        <w:rPr>
          <w:rFonts w:hint="default" w:ascii="Times New Roman" w:hAnsi="Times New Roman" w:cs="Times New Roman"/>
          <w:color w:val="auto"/>
          <w:sz w:val="28"/>
          <w:szCs w:val="28"/>
        </w:rPr>
        <w:fldChar w:fldCharType="separate"/>
      </w:r>
      <w:r>
        <w:rPr>
          <w:rStyle w:val="25"/>
          <w:rFonts w:hint="default" w:ascii="Times New Roman" w:hAnsi="Times New Roman" w:cs="Times New Roman"/>
          <w:color w:val="auto"/>
          <w:sz w:val="28"/>
          <w:szCs w:val="28"/>
        </w:rPr>
        <w:t>第一章 招标公告</w:t>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PAGEREF _Toc110000284 \h </w:instrText>
      </w:r>
      <w:r>
        <w:rPr>
          <w:rFonts w:hint="default" w:ascii="Times New Roman" w:hAnsi="Times New Roman" w:cs="Times New Roman"/>
          <w:color w:val="auto"/>
          <w:sz w:val="28"/>
          <w:szCs w:val="28"/>
        </w:rPr>
        <w:fldChar w:fldCharType="separate"/>
      </w:r>
      <w:r>
        <w:rPr>
          <w:rFonts w:hint="default" w:ascii="Times New Roman" w:hAnsi="Times New Roman" w:cs="Times New Roman"/>
          <w:color w:val="auto"/>
          <w:sz w:val="28"/>
          <w:szCs w:val="28"/>
        </w:rPr>
        <w:t>1</w:t>
      </w:r>
      <w:r>
        <w:rPr>
          <w:rFonts w:hint="default" w:ascii="Times New Roman" w:hAnsi="Times New Roman" w:cs="Times New Roman"/>
          <w:color w:val="auto"/>
          <w:sz w:val="28"/>
          <w:szCs w:val="28"/>
        </w:rPr>
        <w:fldChar w:fldCharType="end"/>
      </w:r>
      <w:r>
        <w:rPr>
          <w:rFonts w:hint="default" w:ascii="Times New Roman" w:hAnsi="Times New Roman" w:cs="Times New Roman"/>
          <w:color w:val="auto"/>
          <w:sz w:val="28"/>
          <w:szCs w:val="28"/>
        </w:rPr>
        <w:fldChar w:fldCharType="end"/>
      </w:r>
    </w:p>
    <w:p>
      <w:pPr>
        <w:pStyle w:val="16"/>
        <w:tabs>
          <w:tab w:val="right" w:leader="dot" w:pos="8296"/>
        </w:tabs>
        <w:rPr>
          <w:rFonts w:hint="default" w:ascii="Times New Roman" w:hAnsi="Times New Roman" w:cs="Times New Roman" w:eastAsiaTheme="minorEastAsia"/>
          <w:color w:val="auto"/>
          <w:sz w:val="28"/>
          <w:szCs w:val="28"/>
        </w:rPr>
      </w:pP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HYPERLINK \l "_Toc110000285" </w:instrText>
      </w:r>
      <w:r>
        <w:rPr>
          <w:rFonts w:hint="default" w:ascii="Times New Roman" w:hAnsi="Times New Roman" w:cs="Times New Roman"/>
          <w:color w:val="auto"/>
          <w:sz w:val="28"/>
          <w:szCs w:val="28"/>
        </w:rPr>
        <w:fldChar w:fldCharType="separate"/>
      </w:r>
      <w:r>
        <w:rPr>
          <w:rStyle w:val="25"/>
          <w:rFonts w:hint="default" w:ascii="Times New Roman" w:hAnsi="Times New Roman" w:cs="Times New Roman"/>
          <w:color w:val="auto"/>
          <w:sz w:val="28"/>
          <w:szCs w:val="28"/>
        </w:rPr>
        <w:t>第二章 投标人须知</w:t>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PAGEREF _Toc110000285 \h </w:instrText>
      </w:r>
      <w:r>
        <w:rPr>
          <w:rFonts w:hint="default" w:ascii="Times New Roman" w:hAnsi="Times New Roman" w:cs="Times New Roman"/>
          <w:color w:val="auto"/>
          <w:sz w:val="28"/>
          <w:szCs w:val="28"/>
        </w:rPr>
        <w:fldChar w:fldCharType="separate"/>
      </w:r>
      <w:r>
        <w:rPr>
          <w:rFonts w:hint="default" w:ascii="Times New Roman" w:hAnsi="Times New Roman" w:cs="Times New Roman"/>
          <w:color w:val="auto"/>
          <w:sz w:val="28"/>
          <w:szCs w:val="28"/>
        </w:rPr>
        <w:t>4</w:t>
      </w:r>
      <w:r>
        <w:rPr>
          <w:rFonts w:hint="default" w:ascii="Times New Roman" w:hAnsi="Times New Roman" w:cs="Times New Roman"/>
          <w:color w:val="auto"/>
          <w:sz w:val="28"/>
          <w:szCs w:val="28"/>
        </w:rPr>
        <w:fldChar w:fldCharType="end"/>
      </w:r>
      <w:r>
        <w:rPr>
          <w:rFonts w:hint="default" w:ascii="Times New Roman" w:hAnsi="Times New Roman" w:cs="Times New Roman"/>
          <w:color w:val="auto"/>
          <w:sz w:val="28"/>
          <w:szCs w:val="28"/>
        </w:rPr>
        <w:fldChar w:fldCharType="end"/>
      </w:r>
    </w:p>
    <w:p>
      <w:pPr>
        <w:pStyle w:val="18"/>
        <w:tabs>
          <w:tab w:val="right" w:leader="dot" w:pos="8296"/>
        </w:tabs>
        <w:ind w:left="480"/>
        <w:rPr>
          <w:rFonts w:hint="default" w:ascii="Times New Roman" w:hAnsi="Times New Roman" w:cs="Times New Roman" w:eastAsiaTheme="minorEastAsia"/>
          <w:color w:val="auto"/>
          <w:sz w:val="28"/>
          <w:szCs w:val="28"/>
        </w:rPr>
      </w:pP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HYPERLINK \l "_Toc110000286" </w:instrText>
      </w:r>
      <w:r>
        <w:rPr>
          <w:rFonts w:hint="default" w:ascii="Times New Roman" w:hAnsi="Times New Roman" w:cs="Times New Roman"/>
          <w:color w:val="auto"/>
          <w:sz w:val="28"/>
          <w:szCs w:val="28"/>
        </w:rPr>
        <w:fldChar w:fldCharType="separate"/>
      </w:r>
      <w:r>
        <w:rPr>
          <w:rStyle w:val="25"/>
          <w:rFonts w:hint="default" w:ascii="Times New Roman" w:hAnsi="Times New Roman" w:cs="Times New Roman"/>
          <w:color w:val="auto"/>
          <w:sz w:val="28"/>
          <w:szCs w:val="28"/>
        </w:rPr>
        <w:t>一、 总则</w:t>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PAGEREF _Toc110000286 \h </w:instrText>
      </w:r>
      <w:r>
        <w:rPr>
          <w:rFonts w:hint="default" w:ascii="Times New Roman" w:hAnsi="Times New Roman" w:cs="Times New Roman"/>
          <w:color w:val="auto"/>
          <w:sz w:val="28"/>
          <w:szCs w:val="28"/>
        </w:rPr>
        <w:fldChar w:fldCharType="separate"/>
      </w:r>
      <w:r>
        <w:rPr>
          <w:rFonts w:hint="default" w:ascii="Times New Roman" w:hAnsi="Times New Roman" w:cs="Times New Roman"/>
          <w:color w:val="auto"/>
          <w:sz w:val="28"/>
          <w:szCs w:val="28"/>
        </w:rPr>
        <w:t>6</w:t>
      </w:r>
      <w:r>
        <w:rPr>
          <w:rFonts w:hint="default" w:ascii="Times New Roman" w:hAnsi="Times New Roman" w:cs="Times New Roman"/>
          <w:color w:val="auto"/>
          <w:sz w:val="28"/>
          <w:szCs w:val="28"/>
        </w:rPr>
        <w:fldChar w:fldCharType="end"/>
      </w:r>
      <w:r>
        <w:rPr>
          <w:rFonts w:hint="default" w:ascii="Times New Roman" w:hAnsi="Times New Roman" w:cs="Times New Roman"/>
          <w:color w:val="auto"/>
          <w:sz w:val="28"/>
          <w:szCs w:val="28"/>
        </w:rPr>
        <w:fldChar w:fldCharType="end"/>
      </w:r>
    </w:p>
    <w:p>
      <w:pPr>
        <w:pStyle w:val="18"/>
        <w:tabs>
          <w:tab w:val="right" w:leader="dot" w:pos="8296"/>
        </w:tabs>
        <w:ind w:left="480"/>
        <w:rPr>
          <w:rFonts w:hint="default" w:ascii="Times New Roman" w:hAnsi="Times New Roman" w:cs="Times New Roman" w:eastAsiaTheme="minorEastAsia"/>
          <w:color w:val="auto"/>
          <w:sz w:val="28"/>
          <w:szCs w:val="28"/>
        </w:rPr>
      </w:pP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HYPERLINK \l "_Toc110000287" </w:instrText>
      </w:r>
      <w:r>
        <w:rPr>
          <w:rFonts w:hint="default" w:ascii="Times New Roman" w:hAnsi="Times New Roman" w:cs="Times New Roman"/>
          <w:color w:val="auto"/>
          <w:sz w:val="28"/>
          <w:szCs w:val="28"/>
        </w:rPr>
        <w:fldChar w:fldCharType="separate"/>
      </w:r>
      <w:r>
        <w:rPr>
          <w:rStyle w:val="25"/>
          <w:rFonts w:hint="default" w:ascii="Times New Roman" w:hAnsi="Times New Roman" w:cs="Times New Roman"/>
          <w:color w:val="auto"/>
          <w:sz w:val="28"/>
          <w:szCs w:val="28"/>
        </w:rPr>
        <w:t>二、 招标文件</w:t>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PAGEREF _Toc110000287 \h </w:instrText>
      </w:r>
      <w:r>
        <w:rPr>
          <w:rFonts w:hint="default" w:ascii="Times New Roman" w:hAnsi="Times New Roman" w:cs="Times New Roman"/>
          <w:color w:val="auto"/>
          <w:sz w:val="28"/>
          <w:szCs w:val="28"/>
        </w:rPr>
        <w:fldChar w:fldCharType="separate"/>
      </w:r>
      <w:r>
        <w:rPr>
          <w:rFonts w:hint="default" w:ascii="Times New Roman" w:hAnsi="Times New Roman" w:cs="Times New Roman"/>
          <w:color w:val="auto"/>
          <w:sz w:val="28"/>
          <w:szCs w:val="28"/>
        </w:rPr>
        <w:t>9</w:t>
      </w:r>
      <w:r>
        <w:rPr>
          <w:rFonts w:hint="default" w:ascii="Times New Roman" w:hAnsi="Times New Roman" w:cs="Times New Roman"/>
          <w:color w:val="auto"/>
          <w:sz w:val="28"/>
          <w:szCs w:val="28"/>
        </w:rPr>
        <w:fldChar w:fldCharType="end"/>
      </w:r>
      <w:r>
        <w:rPr>
          <w:rFonts w:hint="default" w:ascii="Times New Roman" w:hAnsi="Times New Roman" w:cs="Times New Roman"/>
          <w:color w:val="auto"/>
          <w:sz w:val="28"/>
          <w:szCs w:val="28"/>
        </w:rPr>
        <w:fldChar w:fldCharType="end"/>
      </w:r>
    </w:p>
    <w:p>
      <w:pPr>
        <w:pStyle w:val="18"/>
        <w:tabs>
          <w:tab w:val="right" w:leader="dot" w:pos="8296"/>
        </w:tabs>
        <w:ind w:left="480"/>
        <w:rPr>
          <w:rFonts w:hint="default" w:ascii="Times New Roman" w:hAnsi="Times New Roman" w:cs="Times New Roman" w:eastAsiaTheme="minorEastAsia"/>
          <w:color w:val="auto"/>
          <w:sz w:val="28"/>
          <w:szCs w:val="28"/>
        </w:rPr>
      </w:pP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HYPERLINK \l "_Toc110000288" </w:instrText>
      </w:r>
      <w:r>
        <w:rPr>
          <w:rFonts w:hint="default" w:ascii="Times New Roman" w:hAnsi="Times New Roman" w:cs="Times New Roman"/>
          <w:color w:val="auto"/>
          <w:sz w:val="28"/>
          <w:szCs w:val="28"/>
        </w:rPr>
        <w:fldChar w:fldCharType="separate"/>
      </w:r>
      <w:r>
        <w:rPr>
          <w:rStyle w:val="25"/>
          <w:rFonts w:hint="default" w:ascii="Times New Roman" w:hAnsi="Times New Roman" w:cs="Times New Roman"/>
          <w:color w:val="auto"/>
          <w:sz w:val="28"/>
          <w:szCs w:val="28"/>
        </w:rPr>
        <w:t>三、 投标文件的编制</w:t>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PAGEREF _Toc110000288 \h </w:instrText>
      </w:r>
      <w:r>
        <w:rPr>
          <w:rFonts w:hint="default" w:ascii="Times New Roman" w:hAnsi="Times New Roman" w:cs="Times New Roman"/>
          <w:color w:val="auto"/>
          <w:sz w:val="28"/>
          <w:szCs w:val="28"/>
        </w:rPr>
        <w:fldChar w:fldCharType="separate"/>
      </w:r>
      <w:r>
        <w:rPr>
          <w:rFonts w:hint="default" w:ascii="Times New Roman" w:hAnsi="Times New Roman" w:cs="Times New Roman"/>
          <w:color w:val="auto"/>
          <w:sz w:val="28"/>
          <w:szCs w:val="28"/>
        </w:rPr>
        <w:t>10</w:t>
      </w:r>
      <w:r>
        <w:rPr>
          <w:rFonts w:hint="default" w:ascii="Times New Roman" w:hAnsi="Times New Roman" w:cs="Times New Roman"/>
          <w:color w:val="auto"/>
          <w:sz w:val="28"/>
          <w:szCs w:val="28"/>
        </w:rPr>
        <w:fldChar w:fldCharType="end"/>
      </w:r>
      <w:r>
        <w:rPr>
          <w:rFonts w:hint="default" w:ascii="Times New Roman" w:hAnsi="Times New Roman" w:cs="Times New Roman"/>
          <w:color w:val="auto"/>
          <w:sz w:val="28"/>
          <w:szCs w:val="28"/>
        </w:rPr>
        <w:fldChar w:fldCharType="end"/>
      </w:r>
    </w:p>
    <w:p>
      <w:pPr>
        <w:pStyle w:val="18"/>
        <w:tabs>
          <w:tab w:val="right" w:leader="dot" w:pos="8296"/>
        </w:tabs>
        <w:ind w:left="480"/>
        <w:rPr>
          <w:rFonts w:hint="default" w:ascii="Times New Roman" w:hAnsi="Times New Roman" w:cs="Times New Roman" w:eastAsiaTheme="minorEastAsia"/>
          <w:color w:val="auto"/>
          <w:sz w:val="28"/>
          <w:szCs w:val="28"/>
        </w:rPr>
      </w:pP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HYPERLINK \l "_Toc110000289" </w:instrText>
      </w:r>
      <w:r>
        <w:rPr>
          <w:rFonts w:hint="default" w:ascii="Times New Roman" w:hAnsi="Times New Roman" w:cs="Times New Roman"/>
          <w:color w:val="auto"/>
          <w:sz w:val="28"/>
          <w:szCs w:val="28"/>
        </w:rPr>
        <w:fldChar w:fldCharType="separate"/>
      </w:r>
      <w:r>
        <w:rPr>
          <w:rStyle w:val="25"/>
          <w:rFonts w:hint="default" w:ascii="Times New Roman" w:hAnsi="Times New Roman" w:cs="Times New Roman"/>
          <w:color w:val="auto"/>
          <w:sz w:val="28"/>
          <w:szCs w:val="28"/>
        </w:rPr>
        <w:t>四、 投标文件的递交、修改和撤回</w:t>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PAGEREF _Toc110000289 \h </w:instrText>
      </w:r>
      <w:r>
        <w:rPr>
          <w:rFonts w:hint="default" w:ascii="Times New Roman" w:hAnsi="Times New Roman" w:cs="Times New Roman"/>
          <w:color w:val="auto"/>
          <w:sz w:val="28"/>
          <w:szCs w:val="28"/>
        </w:rPr>
        <w:fldChar w:fldCharType="separate"/>
      </w:r>
      <w:r>
        <w:rPr>
          <w:rFonts w:hint="default" w:ascii="Times New Roman" w:hAnsi="Times New Roman" w:cs="Times New Roman"/>
          <w:color w:val="auto"/>
          <w:sz w:val="28"/>
          <w:szCs w:val="28"/>
        </w:rPr>
        <w:t>11</w:t>
      </w:r>
      <w:r>
        <w:rPr>
          <w:rFonts w:hint="default" w:ascii="Times New Roman" w:hAnsi="Times New Roman" w:cs="Times New Roman"/>
          <w:color w:val="auto"/>
          <w:sz w:val="28"/>
          <w:szCs w:val="28"/>
        </w:rPr>
        <w:fldChar w:fldCharType="end"/>
      </w:r>
      <w:r>
        <w:rPr>
          <w:rFonts w:hint="default" w:ascii="Times New Roman" w:hAnsi="Times New Roman" w:cs="Times New Roman"/>
          <w:color w:val="auto"/>
          <w:sz w:val="28"/>
          <w:szCs w:val="28"/>
        </w:rPr>
        <w:fldChar w:fldCharType="end"/>
      </w:r>
    </w:p>
    <w:p>
      <w:pPr>
        <w:pStyle w:val="18"/>
        <w:tabs>
          <w:tab w:val="right" w:leader="dot" w:pos="8296"/>
        </w:tabs>
        <w:ind w:left="480"/>
        <w:rPr>
          <w:rFonts w:hint="default" w:ascii="Times New Roman" w:hAnsi="Times New Roman" w:cs="Times New Roman" w:eastAsiaTheme="minorEastAsia"/>
          <w:color w:val="auto"/>
          <w:sz w:val="28"/>
          <w:szCs w:val="28"/>
        </w:rPr>
      </w:pP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HYPERLINK \l "_Toc110000290" </w:instrText>
      </w:r>
      <w:r>
        <w:rPr>
          <w:rFonts w:hint="default" w:ascii="Times New Roman" w:hAnsi="Times New Roman" w:cs="Times New Roman"/>
          <w:color w:val="auto"/>
          <w:sz w:val="28"/>
          <w:szCs w:val="28"/>
        </w:rPr>
        <w:fldChar w:fldCharType="separate"/>
      </w:r>
      <w:r>
        <w:rPr>
          <w:rStyle w:val="25"/>
          <w:rFonts w:hint="default" w:ascii="Times New Roman" w:hAnsi="Times New Roman" w:cs="Times New Roman"/>
          <w:color w:val="auto"/>
          <w:sz w:val="28"/>
          <w:szCs w:val="28"/>
        </w:rPr>
        <w:t>五、 开标与评标</w:t>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PAGEREF _Toc110000290 \h </w:instrText>
      </w:r>
      <w:r>
        <w:rPr>
          <w:rFonts w:hint="default" w:ascii="Times New Roman" w:hAnsi="Times New Roman" w:cs="Times New Roman"/>
          <w:color w:val="auto"/>
          <w:sz w:val="28"/>
          <w:szCs w:val="28"/>
        </w:rPr>
        <w:fldChar w:fldCharType="separate"/>
      </w:r>
      <w:r>
        <w:rPr>
          <w:rFonts w:hint="default" w:ascii="Times New Roman" w:hAnsi="Times New Roman" w:cs="Times New Roman"/>
          <w:color w:val="auto"/>
          <w:sz w:val="28"/>
          <w:szCs w:val="28"/>
        </w:rPr>
        <w:t>12</w:t>
      </w:r>
      <w:r>
        <w:rPr>
          <w:rFonts w:hint="default" w:ascii="Times New Roman" w:hAnsi="Times New Roman" w:cs="Times New Roman"/>
          <w:color w:val="auto"/>
          <w:sz w:val="28"/>
          <w:szCs w:val="28"/>
        </w:rPr>
        <w:fldChar w:fldCharType="end"/>
      </w:r>
      <w:r>
        <w:rPr>
          <w:rFonts w:hint="default" w:ascii="Times New Roman" w:hAnsi="Times New Roman" w:cs="Times New Roman"/>
          <w:color w:val="auto"/>
          <w:sz w:val="28"/>
          <w:szCs w:val="28"/>
        </w:rPr>
        <w:fldChar w:fldCharType="end"/>
      </w:r>
    </w:p>
    <w:p>
      <w:pPr>
        <w:pStyle w:val="18"/>
        <w:tabs>
          <w:tab w:val="right" w:leader="dot" w:pos="8296"/>
        </w:tabs>
        <w:ind w:left="480"/>
        <w:rPr>
          <w:rFonts w:hint="default" w:ascii="Times New Roman" w:hAnsi="Times New Roman" w:cs="Times New Roman" w:eastAsiaTheme="minorEastAsia"/>
          <w:color w:val="auto"/>
          <w:sz w:val="28"/>
          <w:szCs w:val="28"/>
        </w:rPr>
      </w:pP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HYPERLINK \l "_Toc110000291" </w:instrText>
      </w:r>
      <w:r>
        <w:rPr>
          <w:rFonts w:hint="default" w:ascii="Times New Roman" w:hAnsi="Times New Roman" w:cs="Times New Roman"/>
          <w:color w:val="auto"/>
          <w:sz w:val="28"/>
          <w:szCs w:val="28"/>
        </w:rPr>
        <w:fldChar w:fldCharType="separate"/>
      </w:r>
      <w:r>
        <w:rPr>
          <w:rStyle w:val="25"/>
          <w:rFonts w:hint="default" w:ascii="Times New Roman" w:hAnsi="Times New Roman" w:cs="Times New Roman"/>
          <w:color w:val="auto"/>
          <w:sz w:val="28"/>
          <w:szCs w:val="28"/>
        </w:rPr>
        <w:t>六、 中标和合同</w:t>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PAGEREF _Toc110000291 \h </w:instrText>
      </w:r>
      <w:r>
        <w:rPr>
          <w:rFonts w:hint="default" w:ascii="Times New Roman" w:hAnsi="Times New Roman" w:cs="Times New Roman"/>
          <w:color w:val="auto"/>
          <w:sz w:val="28"/>
          <w:szCs w:val="28"/>
        </w:rPr>
        <w:fldChar w:fldCharType="separate"/>
      </w:r>
      <w:r>
        <w:rPr>
          <w:rFonts w:hint="default" w:ascii="Times New Roman" w:hAnsi="Times New Roman" w:cs="Times New Roman"/>
          <w:color w:val="auto"/>
          <w:sz w:val="28"/>
          <w:szCs w:val="28"/>
        </w:rPr>
        <w:t>15</w:t>
      </w:r>
      <w:r>
        <w:rPr>
          <w:rFonts w:hint="default" w:ascii="Times New Roman" w:hAnsi="Times New Roman" w:cs="Times New Roman"/>
          <w:color w:val="auto"/>
          <w:sz w:val="28"/>
          <w:szCs w:val="28"/>
        </w:rPr>
        <w:fldChar w:fldCharType="end"/>
      </w:r>
      <w:r>
        <w:rPr>
          <w:rFonts w:hint="default" w:ascii="Times New Roman" w:hAnsi="Times New Roman" w:cs="Times New Roman"/>
          <w:color w:val="auto"/>
          <w:sz w:val="28"/>
          <w:szCs w:val="28"/>
        </w:rPr>
        <w:fldChar w:fldCharType="end"/>
      </w:r>
    </w:p>
    <w:p>
      <w:pPr>
        <w:pStyle w:val="16"/>
        <w:tabs>
          <w:tab w:val="right" w:leader="dot" w:pos="8296"/>
        </w:tabs>
        <w:rPr>
          <w:rFonts w:hint="default" w:ascii="Times New Roman" w:hAnsi="Times New Roman" w:cs="Times New Roman" w:eastAsiaTheme="minorEastAsia"/>
          <w:color w:val="auto"/>
          <w:sz w:val="28"/>
          <w:szCs w:val="28"/>
        </w:rPr>
      </w:pP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HYPERLINK \l "_Toc110000292" </w:instrText>
      </w:r>
      <w:r>
        <w:rPr>
          <w:rFonts w:hint="default" w:ascii="Times New Roman" w:hAnsi="Times New Roman" w:cs="Times New Roman"/>
          <w:color w:val="auto"/>
          <w:sz w:val="28"/>
          <w:szCs w:val="28"/>
        </w:rPr>
        <w:fldChar w:fldCharType="separate"/>
      </w:r>
      <w:r>
        <w:rPr>
          <w:rStyle w:val="25"/>
          <w:rFonts w:hint="default" w:ascii="Times New Roman" w:hAnsi="Times New Roman" w:cs="Times New Roman"/>
          <w:color w:val="auto"/>
          <w:sz w:val="28"/>
          <w:szCs w:val="28"/>
        </w:rPr>
        <w:t>第三章 拟签订的合同文本</w:t>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PAGEREF _Toc110000292 \h </w:instrText>
      </w:r>
      <w:r>
        <w:rPr>
          <w:rFonts w:hint="default" w:ascii="Times New Roman" w:hAnsi="Times New Roman" w:cs="Times New Roman"/>
          <w:color w:val="auto"/>
          <w:sz w:val="28"/>
          <w:szCs w:val="28"/>
        </w:rPr>
        <w:fldChar w:fldCharType="separate"/>
      </w:r>
      <w:r>
        <w:rPr>
          <w:rFonts w:hint="default" w:ascii="Times New Roman" w:hAnsi="Times New Roman" w:cs="Times New Roman"/>
          <w:color w:val="auto"/>
          <w:sz w:val="28"/>
          <w:szCs w:val="28"/>
        </w:rPr>
        <w:t>17</w:t>
      </w:r>
      <w:r>
        <w:rPr>
          <w:rFonts w:hint="default" w:ascii="Times New Roman" w:hAnsi="Times New Roman" w:cs="Times New Roman"/>
          <w:color w:val="auto"/>
          <w:sz w:val="28"/>
          <w:szCs w:val="28"/>
        </w:rPr>
        <w:fldChar w:fldCharType="end"/>
      </w:r>
      <w:r>
        <w:rPr>
          <w:rFonts w:hint="default" w:ascii="Times New Roman" w:hAnsi="Times New Roman" w:cs="Times New Roman"/>
          <w:color w:val="auto"/>
          <w:sz w:val="28"/>
          <w:szCs w:val="28"/>
        </w:rPr>
        <w:fldChar w:fldCharType="end"/>
      </w:r>
    </w:p>
    <w:p>
      <w:pPr>
        <w:pStyle w:val="16"/>
        <w:tabs>
          <w:tab w:val="right" w:leader="dot" w:pos="8296"/>
        </w:tabs>
        <w:rPr>
          <w:rFonts w:hint="default" w:ascii="Times New Roman" w:hAnsi="Times New Roman" w:cs="Times New Roman" w:eastAsiaTheme="minorEastAsia"/>
          <w:color w:val="auto"/>
          <w:sz w:val="28"/>
          <w:szCs w:val="28"/>
        </w:rPr>
      </w:pP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HYPERLINK \l "_Toc110000294" </w:instrText>
      </w:r>
      <w:r>
        <w:rPr>
          <w:rFonts w:hint="default" w:ascii="Times New Roman" w:hAnsi="Times New Roman" w:cs="Times New Roman"/>
          <w:color w:val="auto"/>
          <w:sz w:val="28"/>
          <w:szCs w:val="28"/>
        </w:rPr>
        <w:fldChar w:fldCharType="separate"/>
      </w:r>
      <w:r>
        <w:rPr>
          <w:rStyle w:val="25"/>
          <w:rFonts w:hint="default" w:ascii="Times New Roman" w:hAnsi="Times New Roman" w:cs="Times New Roman"/>
          <w:color w:val="auto"/>
          <w:sz w:val="28"/>
          <w:szCs w:val="28"/>
        </w:rPr>
        <w:t>第四章 采购需求</w:t>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PAGEREF _Toc110000294 \h </w:instrText>
      </w:r>
      <w:r>
        <w:rPr>
          <w:rFonts w:hint="default" w:ascii="Times New Roman" w:hAnsi="Times New Roman" w:cs="Times New Roman"/>
          <w:color w:val="auto"/>
          <w:sz w:val="28"/>
          <w:szCs w:val="28"/>
        </w:rPr>
        <w:fldChar w:fldCharType="separate"/>
      </w:r>
      <w:r>
        <w:rPr>
          <w:rFonts w:hint="default" w:ascii="Times New Roman" w:hAnsi="Times New Roman" w:cs="Times New Roman"/>
          <w:color w:val="auto"/>
          <w:sz w:val="28"/>
          <w:szCs w:val="28"/>
        </w:rPr>
        <w:t>21</w:t>
      </w:r>
      <w:r>
        <w:rPr>
          <w:rFonts w:hint="default" w:ascii="Times New Roman" w:hAnsi="Times New Roman" w:cs="Times New Roman"/>
          <w:color w:val="auto"/>
          <w:sz w:val="28"/>
          <w:szCs w:val="28"/>
        </w:rPr>
        <w:fldChar w:fldCharType="end"/>
      </w:r>
      <w:r>
        <w:rPr>
          <w:rFonts w:hint="default" w:ascii="Times New Roman" w:hAnsi="Times New Roman" w:cs="Times New Roman"/>
          <w:color w:val="auto"/>
          <w:sz w:val="28"/>
          <w:szCs w:val="28"/>
        </w:rPr>
        <w:fldChar w:fldCharType="end"/>
      </w:r>
    </w:p>
    <w:p>
      <w:pPr>
        <w:pStyle w:val="16"/>
        <w:tabs>
          <w:tab w:val="right" w:leader="dot" w:pos="8296"/>
        </w:tabs>
        <w:rPr>
          <w:rFonts w:hint="default" w:ascii="Times New Roman" w:hAnsi="Times New Roman" w:cs="Times New Roman" w:eastAsiaTheme="minorEastAsia"/>
          <w:color w:val="auto"/>
          <w:sz w:val="28"/>
          <w:szCs w:val="28"/>
        </w:rPr>
      </w:pP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HYPERLINK \l "_Toc110000295" </w:instrText>
      </w:r>
      <w:r>
        <w:rPr>
          <w:rFonts w:hint="default" w:ascii="Times New Roman" w:hAnsi="Times New Roman" w:cs="Times New Roman"/>
          <w:color w:val="auto"/>
          <w:sz w:val="28"/>
          <w:szCs w:val="28"/>
        </w:rPr>
        <w:fldChar w:fldCharType="separate"/>
      </w:r>
      <w:r>
        <w:rPr>
          <w:rStyle w:val="25"/>
          <w:rFonts w:hint="default" w:ascii="Times New Roman" w:hAnsi="Times New Roman" w:cs="Times New Roman"/>
          <w:color w:val="auto"/>
          <w:sz w:val="28"/>
          <w:szCs w:val="28"/>
        </w:rPr>
        <w:t>第五章 投标文件格式</w:t>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PAGEREF _Toc110000295 \h </w:instrText>
      </w:r>
      <w:r>
        <w:rPr>
          <w:rFonts w:hint="default" w:ascii="Times New Roman" w:hAnsi="Times New Roman" w:cs="Times New Roman"/>
          <w:color w:val="auto"/>
          <w:sz w:val="28"/>
          <w:szCs w:val="28"/>
        </w:rPr>
        <w:fldChar w:fldCharType="separate"/>
      </w:r>
      <w:r>
        <w:rPr>
          <w:rFonts w:hint="default" w:ascii="Times New Roman" w:hAnsi="Times New Roman" w:cs="Times New Roman"/>
          <w:color w:val="auto"/>
          <w:sz w:val="28"/>
          <w:szCs w:val="28"/>
        </w:rPr>
        <w:t>21</w:t>
      </w:r>
      <w:r>
        <w:rPr>
          <w:rFonts w:hint="default" w:ascii="Times New Roman" w:hAnsi="Times New Roman" w:cs="Times New Roman"/>
          <w:color w:val="auto"/>
          <w:sz w:val="28"/>
          <w:szCs w:val="28"/>
        </w:rPr>
        <w:fldChar w:fldCharType="end"/>
      </w:r>
      <w:r>
        <w:rPr>
          <w:rFonts w:hint="default" w:ascii="Times New Roman" w:hAnsi="Times New Roman" w:cs="Times New Roman"/>
          <w:color w:val="auto"/>
          <w:sz w:val="28"/>
          <w:szCs w:val="28"/>
        </w:rPr>
        <w:fldChar w:fldCharType="end"/>
      </w:r>
    </w:p>
    <w:p>
      <w:pPr>
        <w:pStyle w:val="16"/>
        <w:tabs>
          <w:tab w:val="right" w:leader="dot" w:pos="8296"/>
        </w:tabs>
        <w:rPr>
          <w:rFonts w:hint="default" w:ascii="Times New Roman" w:hAnsi="Times New Roman" w:cs="Times New Roman" w:eastAsiaTheme="minorEastAsia"/>
          <w:color w:val="auto"/>
          <w:sz w:val="28"/>
          <w:szCs w:val="28"/>
        </w:rPr>
      </w:pP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HYPERLINK \l "_Toc110000296" </w:instrText>
      </w:r>
      <w:r>
        <w:rPr>
          <w:rFonts w:hint="default" w:ascii="Times New Roman" w:hAnsi="Times New Roman" w:cs="Times New Roman"/>
          <w:color w:val="auto"/>
          <w:sz w:val="28"/>
          <w:szCs w:val="28"/>
        </w:rPr>
        <w:fldChar w:fldCharType="separate"/>
      </w:r>
      <w:r>
        <w:rPr>
          <w:rStyle w:val="25"/>
          <w:rFonts w:hint="default" w:ascii="Times New Roman" w:hAnsi="Times New Roman" w:cs="Times New Roman"/>
          <w:color w:val="auto"/>
          <w:sz w:val="28"/>
          <w:szCs w:val="28"/>
        </w:rPr>
        <w:t>第六章 评标方法和评标标准</w:t>
      </w:r>
      <w:r>
        <w:rPr>
          <w:rFonts w:hint="default" w:ascii="Times New Roman" w:hAnsi="Times New Roman" w:cs="Times New Roman"/>
          <w:color w:val="auto"/>
          <w:sz w:val="28"/>
          <w:szCs w:val="28"/>
        </w:rPr>
        <w:tab/>
      </w:r>
      <w:r>
        <w:rPr>
          <w:rFonts w:hint="default" w:ascii="Times New Roman" w:hAnsi="Times New Roman" w:cs="Times New Roman"/>
          <w:color w:val="auto"/>
          <w:sz w:val="28"/>
          <w:szCs w:val="28"/>
        </w:rPr>
        <w:fldChar w:fldCharType="begin"/>
      </w:r>
      <w:r>
        <w:rPr>
          <w:rFonts w:hint="default" w:ascii="Times New Roman" w:hAnsi="Times New Roman" w:cs="Times New Roman"/>
          <w:color w:val="auto"/>
          <w:sz w:val="28"/>
          <w:szCs w:val="28"/>
        </w:rPr>
        <w:instrText xml:space="preserve"> PAGEREF _Toc110000296 \h </w:instrText>
      </w:r>
      <w:r>
        <w:rPr>
          <w:rFonts w:hint="default" w:ascii="Times New Roman" w:hAnsi="Times New Roman" w:cs="Times New Roman"/>
          <w:color w:val="auto"/>
          <w:sz w:val="28"/>
          <w:szCs w:val="28"/>
        </w:rPr>
        <w:fldChar w:fldCharType="separate"/>
      </w:r>
      <w:r>
        <w:rPr>
          <w:rFonts w:hint="default" w:ascii="Times New Roman" w:hAnsi="Times New Roman" w:cs="Times New Roman"/>
          <w:color w:val="auto"/>
          <w:sz w:val="28"/>
          <w:szCs w:val="28"/>
        </w:rPr>
        <w:t>46</w:t>
      </w:r>
      <w:r>
        <w:rPr>
          <w:rFonts w:hint="default" w:ascii="Times New Roman" w:hAnsi="Times New Roman" w:cs="Times New Roman"/>
          <w:color w:val="auto"/>
          <w:sz w:val="28"/>
          <w:szCs w:val="28"/>
        </w:rPr>
        <w:fldChar w:fldCharType="end"/>
      </w:r>
      <w:r>
        <w:rPr>
          <w:rFonts w:hint="default" w:ascii="Times New Roman" w:hAnsi="Times New Roman" w:cs="Times New Roman"/>
          <w:color w:val="auto"/>
          <w:sz w:val="28"/>
          <w:szCs w:val="28"/>
        </w:rPr>
        <w:fldChar w:fldCharType="end"/>
      </w:r>
    </w:p>
    <w:p>
      <w:pPr>
        <w:spacing w:line="440" w:lineRule="exact"/>
        <w:ind w:right="-312" w:rightChars="-130"/>
        <w:jc w:val="center"/>
        <w:rPr>
          <w:rFonts w:hint="default" w:ascii="Times New Roman" w:hAnsi="Times New Roman" w:cs="Times New Roman"/>
          <w:b/>
          <w:bCs/>
          <w:caps/>
          <w:color w:val="auto"/>
          <w:sz w:val="28"/>
          <w:szCs w:val="28"/>
          <w:lang w:val="zh-CN"/>
        </w:rPr>
      </w:pPr>
      <w:r>
        <w:rPr>
          <w:rFonts w:hint="default" w:ascii="Times New Roman" w:hAnsi="Times New Roman" w:cs="Times New Roman"/>
          <w:bCs/>
          <w:caps/>
          <w:color w:val="auto"/>
          <w:sz w:val="28"/>
          <w:szCs w:val="28"/>
          <w:lang w:val="zh-CN"/>
        </w:rPr>
        <w:fldChar w:fldCharType="end"/>
      </w:r>
      <w:r>
        <w:rPr>
          <w:rFonts w:hint="default" w:ascii="Times New Roman" w:hAnsi="Times New Roman" w:cs="Times New Roman"/>
          <w:b/>
          <w:bCs/>
          <w:caps/>
          <w:color w:val="auto"/>
          <w:sz w:val="28"/>
          <w:szCs w:val="28"/>
          <w:lang w:val="zh-CN"/>
        </w:rPr>
        <w:t xml:space="preserve"> </w:t>
      </w: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0"/>
        <w:spacing w:line="480" w:lineRule="exact"/>
        <w:ind w:right="-72" w:rightChars="-30"/>
        <w:rPr>
          <w:rFonts w:hint="default" w:ascii="Times New Roman" w:hAnsi="Times New Roman" w:cs="Times New Roman"/>
          <w:bCs w:val="0"/>
          <w:color w:val="auto"/>
        </w:rPr>
        <w:sectPr>
          <w:footerReference r:id="rId4" w:type="first"/>
          <w:footerReference r:id="rId3" w:type="default"/>
          <w:pgSz w:w="11906" w:h="16838"/>
          <w:pgMar w:top="1440" w:right="1134" w:bottom="1440" w:left="1474" w:header="851" w:footer="992" w:gutter="0"/>
          <w:pgNumType w:start="1"/>
          <w:cols w:space="720" w:num="1"/>
          <w:docGrid w:type="lines" w:linePitch="312" w:charSpace="0"/>
        </w:sectPr>
      </w:pPr>
      <w:bookmarkStart w:id="0" w:name="_Toc110000284"/>
    </w:p>
    <w:p>
      <w:pPr>
        <w:pStyle w:val="20"/>
        <w:spacing w:line="480" w:lineRule="exact"/>
        <w:ind w:right="-72" w:rightChars="-30"/>
        <w:rPr>
          <w:rFonts w:hint="default" w:ascii="Times New Roman" w:hAnsi="Times New Roman" w:cs="Times New Roman"/>
          <w:bCs w:val="0"/>
          <w:color w:val="auto"/>
        </w:rPr>
      </w:pPr>
      <w:r>
        <w:rPr>
          <w:rFonts w:hint="default" w:ascii="Times New Roman" w:hAnsi="Times New Roman" w:cs="Times New Roman"/>
          <w:bCs w:val="0"/>
          <w:color w:val="auto"/>
        </w:rPr>
        <w:t>第一章 招标公告</w:t>
      </w:r>
      <w:bookmarkEnd w:id="0"/>
    </w:p>
    <w:p>
      <w:pPr>
        <w:spacing w:line="360" w:lineRule="auto"/>
        <w:jc w:val="center"/>
        <w:rPr>
          <w:rFonts w:hint="default" w:ascii="Times New Roman" w:hAnsi="Times New Roman" w:cs="Times New Roman"/>
          <w:b/>
          <w:bCs/>
          <w:color w:val="auto"/>
          <w:sz w:val="28"/>
          <w:szCs w:val="28"/>
        </w:rPr>
      </w:pPr>
      <w:r>
        <w:rPr>
          <w:rFonts w:hint="default" w:ascii="Times New Roman" w:hAnsi="Times New Roman" w:cs="Times New Roman"/>
          <w:b/>
          <w:bCs/>
          <w:color w:val="auto"/>
          <w:sz w:val="28"/>
          <w:szCs w:val="28"/>
          <w:lang w:eastAsia="zh-CN"/>
        </w:rPr>
        <w:t>武陟县县乡村三级养老服务体系建设项目（县级医养结合养老服务中心建设项目）</w:t>
      </w:r>
      <w:r>
        <w:rPr>
          <w:rFonts w:hint="eastAsia" w:ascii="Times New Roman" w:hAnsi="Times New Roman" w:eastAsia="宋体" w:cs="Times New Roman"/>
          <w:b/>
          <w:bCs/>
          <w:color w:val="auto"/>
          <w:sz w:val="28"/>
          <w:szCs w:val="28"/>
          <w:lang w:eastAsia="zh-CN"/>
        </w:rPr>
        <w:t>污水处理</w:t>
      </w:r>
      <w:r>
        <w:rPr>
          <w:rFonts w:hint="default" w:ascii="Times New Roman" w:hAnsi="Times New Roman" w:cs="Times New Roman"/>
          <w:b/>
          <w:bCs/>
          <w:color w:val="auto"/>
          <w:sz w:val="28"/>
          <w:szCs w:val="28"/>
          <w:lang w:eastAsia="zh-CN"/>
        </w:rPr>
        <w:t>设备采购</w:t>
      </w:r>
      <w:r>
        <w:rPr>
          <w:rFonts w:hint="default" w:ascii="Times New Roman" w:hAnsi="Times New Roman" w:cs="Times New Roman"/>
          <w:b/>
          <w:bCs/>
          <w:color w:val="auto"/>
          <w:sz w:val="28"/>
          <w:szCs w:val="28"/>
        </w:rPr>
        <w:t>招标公告(不见面开标)</w:t>
      </w:r>
    </w:p>
    <w:p>
      <w:pPr>
        <w:spacing w:line="48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项目概况</w:t>
      </w:r>
    </w:p>
    <w:p>
      <w:pPr>
        <w:spacing w:line="480" w:lineRule="exact"/>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武陟县县乡村三级养老服务体系建设项目</w:t>
      </w:r>
      <w:r>
        <w:rPr>
          <w:rFonts w:hint="eastAsia" w:ascii="Times New Roman" w:hAnsi="Times New Roman" w:cs="Times New Roman"/>
          <w:color w:val="auto"/>
          <w:sz w:val="21"/>
          <w:szCs w:val="21"/>
          <w:lang w:eastAsia="zh-CN"/>
        </w:rPr>
        <w:t>（县级医养结合养老服务中心建设项目）污水处理设备采购</w:t>
      </w:r>
      <w:r>
        <w:rPr>
          <w:rFonts w:hint="default" w:ascii="Times New Roman" w:hAnsi="Times New Roman" w:eastAsia="宋体" w:cs="Times New Roman"/>
          <w:color w:val="auto"/>
          <w:sz w:val="21"/>
          <w:szCs w:val="21"/>
        </w:rPr>
        <w:t>的潜在投标人应登陆焦作市公共资源交易中心网站获取招标文件，并于202</w:t>
      </w:r>
      <w:r>
        <w:rPr>
          <w:rFonts w:hint="eastAsia" w:ascii="Times New Roman" w:hAnsi="Times New Roman" w:cs="Times New Roman"/>
          <w:color w:val="auto"/>
          <w:sz w:val="21"/>
          <w:szCs w:val="21"/>
          <w:lang w:val="en-US" w:eastAsia="zh-CN"/>
        </w:rPr>
        <w:t>3</w:t>
      </w:r>
      <w:r>
        <w:rPr>
          <w:rFonts w:hint="default" w:ascii="Times New Roman" w:hAnsi="Times New Roman" w:eastAsia="宋体" w:cs="Times New Roman"/>
          <w:color w:val="auto"/>
          <w:sz w:val="21"/>
          <w:szCs w:val="21"/>
        </w:rPr>
        <w:t xml:space="preserve">年 </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rPr>
        <w:t>月</w:t>
      </w:r>
      <w:r>
        <w:rPr>
          <w:rFonts w:hint="default" w:ascii="Times New Roman" w:hAnsi="Times New Roman" w:eastAsia="宋体" w:cs="Times New Roman"/>
          <w:color w:val="auto"/>
          <w:sz w:val="21"/>
          <w:szCs w:val="21"/>
          <w:u w:val="single"/>
          <w:lang w:val="en-US" w:eastAsia="zh-CN"/>
        </w:rPr>
        <w:t xml:space="preserve">    </w:t>
      </w:r>
      <w:r>
        <w:rPr>
          <w:rFonts w:hint="default" w:ascii="Times New Roman" w:hAnsi="Times New Roman" w:eastAsia="宋体" w:cs="Times New Roman"/>
          <w:color w:val="auto"/>
          <w:sz w:val="21"/>
          <w:szCs w:val="21"/>
        </w:rPr>
        <w:t xml:space="preserve"> 日9点00分00秒（北京时间）前递交投标文件。</w:t>
      </w:r>
    </w:p>
    <w:p>
      <w:pPr>
        <w:pStyle w:val="28"/>
        <w:numPr>
          <w:ilvl w:val="0"/>
          <w:numId w:val="2"/>
        </w:numPr>
        <w:spacing w:line="480" w:lineRule="exact"/>
        <w:ind w:firstLineChars="0"/>
        <w:jc w:val="left"/>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项目基本情况</w:t>
      </w:r>
    </w:p>
    <w:p>
      <w:pPr>
        <w:spacing w:line="480" w:lineRule="exact"/>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交易编号：武交采GKZB2022-</w:t>
      </w:r>
      <w:r>
        <w:rPr>
          <w:rFonts w:hint="eastAsia" w:ascii="Times New Roman" w:hAnsi="Times New Roman" w:cs="Times New Roman"/>
          <w:color w:val="auto"/>
          <w:sz w:val="21"/>
          <w:szCs w:val="21"/>
          <w:lang w:val="en-US" w:eastAsia="zh-CN"/>
        </w:rPr>
        <w:t>038</w:t>
      </w:r>
      <w:r>
        <w:rPr>
          <w:rFonts w:hint="default" w:ascii="Times New Roman" w:hAnsi="Times New Roman" w:cs="Times New Roman"/>
          <w:color w:val="auto"/>
          <w:sz w:val="21"/>
          <w:szCs w:val="21"/>
        </w:rPr>
        <w:t xml:space="preserve">号 </w:t>
      </w:r>
    </w:p>
    <w:p>
      <w:pPr>
        <w:spacing w:line="480" w:lineRule="exact"/>
        <w:ind w:firstLine="420" w:firstLineChars="200"/>
        <w:rPr>
          <w:rFonts w:hint="eastAsia"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rPr>
        <w:t>项目名称：</w:t>
      </w:r>
      <w:r>
        <w:rPr>
          <w:rFonts w:hint="default" w:ascii="Times New Roman" w:hAnsi="Times New Roman" w:eastAsia="宋体" w:cs="Times New Roman"/>
          <w:color w:val="auto"/>
          <w:sz w:val="21"/>
          <w:szCs w:val="21"/>
        </w:rPr>
        <w:t>武陟县县乡村三级养老服务体系建设项目</w:t>
      </w:r>
      <w:r>
        <w:rPr>
          <w:rFonts w:hint="eastAsia" w:ascii="Times New Roman" w:hAnsi="Times New Roman" w:cs="Times New Roman"/>
          <w:color w:val="auto"/>
          <w:sz w:val="21"/>
          <w:szCs w:val="21"/>
          <w:lang w:eastAsia="zh-CN"/>
        </w:rPr>
        <w:t>（县级医养结合养老服务中心建设项目）污水处理设备采购</w:t>
      </w:r>
    </w:p>
    <w:p>
      <w:pPr>
        <w:spacing w:line="480" w:lineRule="exact"/>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预算金额：</w:t>
      </w:r>
      <w:r>
        <w:rPr>
          <w:rFonts w:hint="eastAsia" w:ascii="Times New Roman" w:hAnsi="Times New Roman" w:cs="Times New Roman"/>
          <w:color w:val="auto"/>
          <w:sz w:val="21"/>
          <w:szCs w:val="21"/>
          <w:lang w:val="en-US" w:eastAsia="zh-CN"/>
        </w:rPr>
        <w:t>168</w:t>
      </w:r>
      <w:r>
        <w:rPr>
          <w:rFonts w:hint="default" w:ascii="Times New Roman" w:hAnsi="Times New Roman" w:cs="Times New Roman"/>
          <w:color w:val="auto"/>
          <w:sz w:val="21"/>
          <w:szCs w:val="21"/>
        </w:rPr>
        <w:t xml:space="preserve">万元； </w:t>
      </w:r>
    </w:p>
    <w:p>
      <w:pPr>
        <w:spacing w:line="480" w:lineRule="exact"/>
        <w:ind w:firstLine="420" w:firstLineChars="200"/>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采购需求：</w:t>
      </w:r>
      <w:r>
        <w:rPr>
          <w:rFonts w:hint="eastAsia" w:ascii="Times New Roman" w:hAnsi="Times New Roman" w:eastAsia="宋体" w:cs="Times New Roman"/>
          <w:color w:val="auto"/>
          <w:sz w:val="21"/>
          <w:szCs w:val="21"/>
          <w:lang w:eastAsia="zh-CN"/>
        </w:rPr>
        <w:t>污水处理设备</w:t>
      </w:r>
      <w:r>
        <w:rPr>
          <w:rFonts w:hint="eastAsia" w:ascii="Times New Roman" w:hAnsi="Times New Roman" w:cs="Times New Roman"/>
          <w:color w:val="auto"/>
          <w:sz w:val="21"/>
          <w:szCs w:val="21"/>
          <w:lang w:eastAsia="zh-CN"/>
        </w:rPr>
        <w:t>，</w:t>
      </w:r>
      <w:r>
        <w:rPr>
          <w:rFonts w:hint="eastAsia" w:ascii="Times New Roman" w:hAnsi="Times New Roman" w:eastAsia="宋体" w:cs="Times New Roman"/>
          <w:color w:val="auto"/>
          <w:sz w:val="21"/>
          <w:szCs w:val="21"/>
        </w:rPr>
        <w:t>日处理</w:t>
      </w:r>
      <w:r>
        <w:rPr>
          <w:rFonts w:hint="eastAsia"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rPr>
        <w:t>220吨</w:t>
      </w:r>
      <w:r>
        <w:rPr>
          <w:rFonts w:hint="eastAsia" w:ascii="Times New Roman" w:hAnsi="Times New Roman" w:eastAsia="宋体" w:cs="Times New Roman"/>
          <w:color w:val="auto"/>
          <w:sz w:val="21"/>
          <w:szCs w:val="21"/>
          <w:lang w:eastAsia="zh-CN"/>
        </w:rPr>
        <w:t>。</w:t>
      </w:r>
    </w:p>
    <w:p>
      <w:pPr>
        <w:spacing w:line="480" w:lineRule="exact"/>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合同履行期限：项目具备设备进场施工的情况下，自合同签订之日起</w:t>
      </w:r>
      <w:r>
        <w:rPr>
          <w:rFonts w:hint="eastAsia" w:ascii="Times New Roman" w:hAnsi="Times New Roman" w:cs="Times New Roman"/>
          <w:color w:val="auto"/>
          <w:sz w:val="21"/>
          <w:szCs w:val="21"/>
          <w:lang w:val="en-US" w:eastAsia="zh-CN"/>
        </w:rPr>
        <w:t>30</w:t>
      </w:r>
      <w:r>
        <w:rPr>
          <w:rFonts w:hint="default" w:ascii="Times New Roman" w:hAnsi="Times New Roman" w:eastAsia="宋体" w:cs="Times New Roman"/>
          <w:color w:val="auto"/>
          <w:sz w:val="21"/>
          <w:szCs w:val="21"/>
        </w:rPr>
        <w:t>天完工。</w:t>
      </w:r>
    </w:p>
    <w:p>
      <w:pPr>
        <w:spacing w:line="480" w:lineRule="exact"/>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本项目不接受联合体投标。</w:t>
      </w:r>
    </w:p>
    <w:p>
      <w:pPr>
        <w:spacing w:line="480" w:lineRule="exact"/>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二、申请人的资格要求：</w:t>
      </w:r>
    </w:p>
    <w:p>
      <w:pPr>
        <w:spacing w:line="480" w:lineRule="exact"/>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1.1具有有效的</w:t>
      </w:r>
      <w:r>
        <w:rPr>
          <w:rFonts w:hint="eastAsia"/>
          <w:sz w:val="21"/>
          <w:szCs w:val="21"/>
          <w:lang w:eastAsia="zh-CN"/>
        </w:rPr>
        <w:t>“设立登记证书”</w:t>
      </w:r>
      <w:r>
        <w:rPr>
          <w:rFonts w:hint="default" w:ascii="Times New Roman" w:hAnsi="Times New Roman" w:eastAsia="宋体" w:cs="Times New Roman"/>
          <w:color w:val="auto"/>
          <w:sz w:val="21"/>
          <w:szCs w:val="21"/>
        </w:rPr>
        <w:t>；</w:t>
      </w:r>
    </w:p>
    <w:p>
      <w:pPr>
        <w:spacing w:line="480" w:lineRule="exact"/>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1.2提供依法缴纳社会保险的证明；</w:t>
      </w:r>
    </w:p>
    <w:p>
      <w:pPr>
        <w:spacing w:line="480" w:lineRule="exact"/>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1.3参加采购活动前三年内无重大违法记录的书面声明；</w:t>
      </w:r>
    </w:p>
    <w:p>
      <w:pPr>
        <w:spacing w:line="480" w:lineRule="exact"/>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1.4具备良好的商业信誉和健全的财务会计制度的承诺；</w:t>
      </w:r>
    </w:p>
    <w:p>
      <w:pPr>
        <w:spacing w:line="480" w:lineRule="exact"/>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1.5具备履行合同所必需的设备和专业技术能力的承诺；</w:t>
      </w:r>
    </w:p>
    <w:p>
      <w:pPr>
        <w:spacing w:line="480" w:lineRule="exact"/>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1.6具有能够证明缴纳税收的相关证明材料；</w:t>
      </w:r>
    </w:p>
    <w:p>
      <w:pPr>
        <w:spacing w:line="480" w:lineRule="exact"/>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1.7</w:t>
      </w:r>
      <w:r>
        <w:rPr>
          <w:rFonts w:hint="eastAsia" w:ascii="Times New Roman" w:hAnsi="Times New Roman" w:cs="Times New Roman"/>
          <w:color w:val="auto"/>
          <w:sz w:val="21"/>
          <w:szCs w:val="21"/>
          <w:lang w:eastAsia="zh-CN"/>
        </w:rPr>
        <w:t>投标人</w:t>
      </w:r>
      <w:r>
        <w:rPr>
          <w:rFonts w:hint="default" w:ascii="Times New Roman" w:hAnsi="Times New Roman" w:eastAsia="宋体" w:cs="Times New Roman"/>
          <w:color w:val="auto"/>
          <w:sz w:val="21"/>
          <w:szCs w:val="21"/>
        </w:rPr>
        <w:t>及其法定代表人、委托代理人均无行贿犯罪记录；</w:t>
      </w:r>
    </w:p>
    <w:p>
      <w:pPr>
        <w:spacing w:line="480" w:lineRule="exact"/>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1.8不得被列入失信被执行人、重大税收违法失信主体、政府采购严重违法失信行为记录名单。</w:t>
      </w:r>
    </w:p>
    <w:p>
      <w:pPr>
        <w:spacing w:line="480" w:lineRule="exact"/>
        <w:ind w:left="422" w:hanging="422" w:hangingChars="20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三、获取招标文件：</w:t>
      </w:r>
    </w:p>
    <w:p>
      <w:pPr>
        <w:spacing w:line="480" w:lineRule="exact"/>
        <w:ind w:left="418" w:leftChars="174" w:firstLine="0" w:firstLineChars="0"/>
        <w:rPr>
          <w:rFonts w:hint="default" w:ascii="Times New Roman" w:hAnsi="Times New Roman" w:cs="Times New Roman"/>
          <w:b/>
          <w:bCs/>
          <w:color w:val="auto"/>
          <w:sz w:val="21"/>
          <w:szCs w:val="21"/>
          <w:shd w:val="clear" w:color="auto" w:fill="FFFF00"/>
        </w:rPr>
      </w:pPr>
      <w:r>
        <w:rPr>
          <w:rFonts w:hint="default" w:ascii="Times New Roman" w:hAnsi="Times New Roman" w:cs="Times New Roman"/>
          <w:color w:val="auto"/>
          <w:kern w:val="0"/>
          <w:sz w:val="21"/>
          <w:szCs w:val="21"/>
        </w:rPr>
        <w:t>1.</w:t>
      </w:r>
      <w:r>
        <w:rPr>
          <w:rFonts w:hint="default" w:ascii="Times New Roman" w:hAnsi="Times New Roman" w:cs="Times New Roman"/>
          <w:color w:val="auto"/>
          <w:sz w:val="21"/>
          <w:szCs w:val="21"/>
        </w:rPr>
        <w:t>时间：202</w:t>
      </w:r>
      <w:r>
        <w:rPr>
          <w:rFonts w:hint="eastAsia" w:ascii="Times New Roman" w:hAnsi="Times New Roman" w:cs="Times New Roman"/>
          <w:color w:val="auto"/>
          <w:sz w:val="21"/>
          <w:szCs w:val="21"/>
          <w:lang w:val="en-US" w:eastAsia="zh-CN"/>
        </w:rPr>
        <w:t>3</w:t>
      </w:r>
      <w:r>
        <w:rPr>
          <w:rFonts w:hint="default" w:ascii="Times New Roman" w:hAnsi="Times New Roman" w:cs="Times New Roman"/>
          <w:color w:val="auto"/>
          <w:sz w:val="21"/>
          <w:szCs w:val="21"/>
        </w:rPr>
        <w:t xml:space="preserve"> 年</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u w:val="single"/>
          <w:lang w:val="en-US" w:eastAsia="zh-CN"/>
        </w:rPr>
        <w:t xml:space="preserve">   </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 xml:space="preserve">月 </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u w:val="single"/>
          <w:lang w:val="en-US" w:eastAsia="zh-CN"/>
        </w:rPr>
        <w:t xml:space="preserve">   </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日至 202</w:t>
      </w:r>
      <w:r>
        <w:rPr>
          <w:rFonts w:hint="eastAsia" w:ascii="Times New Roman" w:hAnsi="Times New Roman" w:cs="Times New Roman"/>
          <w:color w:val="auto"/>
          <w:sz w:val="21"/>
          <w:szCs w:val="21"/>
          <w:lang w:val="en-US" w:eastAsia="zh-CN"/>
        </w:rPr>
        <w:t>3</w:t>
      </w:r>
      <w:r>
        <w:rPr>
          <w:rFonts w:hint="default" w:ascii="Times New Roman" w:hAnsi="Times New Roman" w:cs="Times New Roman"/>
          <w:color w:val="auto"/>
          <w:sz w:val="21"/>
          <w:szCs w:val="21"/>
        </w:rPr>
        <w:t>年</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u w:val="single"/>
          <w:lang w:val="en-US" w:eastAsia="zh-CN"/>
        </w:rPr>
        <w:t xml:space="preserve">  </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月</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u w:val="single"/>
          <w:lang w:val="en-US" w:eastAsia="zh-CN"/>
        </w:rPr>
        <w:t xml:space="preserve">  </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日。</w:t>
      </w:r>
    </w:p>
    <w:p>
      <w:pPr>
        <w:spacing w:line="360" w:lineRule="auto"/>
        <w:ind w:firstLine="420" w:firstLineChars="200"/>
        <w:rPr>
          <w:rFonts w:hint="default" w:ascii="Times New Roman" w:hAnsi="Times New Roman" w:cs="Times New Roman"/>
          <w:color w:val="auto"/>
          <w:sz w:val="21"/>
          <w:szCs w:val="21"/>
          <w:shd w:val="clear" w:color="auto" w:fill="FFFF00"/>
        </w:rPr>
      </w:pPr>
      <w:r>
        <w:rPr>
          <w:rFonts w:hint="default" w:ascii="Times New Roman" w:hAnsi="Times New Roman" w:cs="Times New Roman"/>
          <w:color w:val="auto"/>
          <w:sz w:val="21"/>
          <w:szCs w:val="21"/>
        </w:rPr>
        <w:t>2.地点：焦作市公共资源交易中心网站；</w:t>
      </w:r>
    </w:p>
    <w:p>
      <w:pPr>
        <w:spacing w:line="480" w:lineRule="exact"/>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3.方式：本项目采用网上获取招标文件，凡有意参加投标者，请登陆焦作市公共资源交易中心网站进行网上下载招标文件；</w:t>
      </w:r>
    </w:p>
    <w:p>
      <w:pPr>
        <w:spacing w:line="360" w:lineRule="auto"/>
        <w:ind w:firstLine="422" w:firstLineChars="200"/>
        <w:rPr>
          <w:rFonts w:hint="default" w:ascii="Times New Roman" w:hAnsi="Times New Roman" w:cs="Times New Roman"/>
          <w:color w:val="auto"/>
          <w:sz w:val="21"/>
          <w:szCs w:val="21"/>
        </w:rPr>
      </w:pPr>
      <w:r>
        <w:rPr>
          <w:rFonts w:hint="default" w:ascii="Times New Roman" w:hAnsi="Times New Roman" w:cs="Times New Roman"/>
          <w:b/>
          <w:color w:val="auto"/>
          <w:sz w:val="21"/>
          <w:szCs w:val="21"/>
        </w:rPr>
        <w:t>特别提醒：请到焦作市公共资源交易中心官网首页—公共服务—下载专区-下载相关操作手册及视频等，按要求进行招标文件获取，未在规定时间内获取招标文件的视为无效投标。平台统一技术服务电话为：400-998-0000，服务QQ:4008503300，服务时间：周一至周日8:00-17:30。</w:t>
      </w:r>
    </w:p>
    <w:p>
      <w:pPr>
        <w:kinsoku w:val="0"/>
        <w:overflowPunct w:val="0"/>
        <w:spacing w:line="360" w:lineRule="auto"/>
        <w:rPr>
          <w:rFonts w:hint="default" w:ascii="Times New Roman" w:hAnsi="Times New Roman" w:cs="Times New Roman"/>
          <w:color w:val="auto"/>
          <w:sz w:val="21"/>
          <w:szCs w:val="21"/>
        </w:rPr>
      </w:pPr>
      <w:r>
        <w:rPr>
          <w:rFonts w:hint="default" w:ascii="Times New Roman" w:hAnsi="Times New Roman" w:cs="Times New Roman"/>
          <w:b/>
          <w:bCs/>
          <w:color w:val="auto"/>
          <w:sz w:val="21"/>
          <w:szCs w:val="21"/>
        </w:rPr>
        <w:t>四、</w:t>
      </w:r>
      <w:r>
        <w:rPr>
          <w:rFonts w:hint="default" w:ascii="Times New Roman" w:hAnsi="Times New Roman" w:cs="Times New Roman"/>
          <w:b/>
          <w:color w:val="auto"/>
          <w:sz w:val="21"/>
          <w:szCs w:val="21"/>
        </w:rPr>
        <w:t>提交投标文件截止时间及地点：</w:t>
      </w:r>
    </w:p>
    <w:p>
      <w:pPr>
        <w:spacing w:line="360" w:lineRule="auto"/>
        <w:ind w:firstLine="420" w:firstLineChars="200"/>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1.提交投标文件截止时间：202</w:t>
      </w:r>
      <w:r>
        <w:rPr>
          <w:rFonts w:hint="eastAsia" w:ascii="Times New Roman" w:hAnsi="Times New Roman" w:cs="Times New Roman"/>
          <w:color w:val="auto"/>
          <w:kern w:val="0"/>
          <w:sz w:val="21"/>
          <w:szCs w:val="21"/>
          <w:lang w:val="en-US" w:eastAsia="zh-CN"/>
        </w:rPr>
        <w:t>3</w:t>
      </w:r>
      <w:r>
        <w:rPr>
          <w:rFonts w:hint="default" w:ascii="Times New Roman" w:hAnsi="Times New Roman" w:cs="Times New Roman"/>
          <w:color w:val="auto"/>
          <w:kern w:val="0"/>
          <w:sz w:val="21"/>
          <w:szCs w:val="21"/>
        </w:rPr>
        <w:t>年</w:t>
      </w:r>
      <w:r>
        <w:rPr>
          <w:rFonts w:hint="default" w:ascii="Times New Roman" w:hAnsi="Times New Roman" w:cs="Times New Roman"/>
          <w:color w:val="auto"/>
          <w:kern w:val="0"/>
          <w:sz w:val="21"/>
          <w:szCs w:val="21"/>
          <w:lang w:val="en-US" w:eastAsia="zh-CN"/>
        </w:rPr>
        <w:t xml:space="preserve">   </w:t>
      </w:r>
      <w:r>
        <w:rPr>
          <w:rFonts w:hint="default" w:ascii="Times New Roman" w:hAnsi="Times New Roman" w:cs="Times New Roman"/>
          <w:color w:val="auto"/>
          <w:kern w:val="0"/>
          <w:sz w:val="21"/>
          <w:szCs w:val="21"/>
        </w:rPr>
        <w:t>月</w:t>
      </w:r>
      <w:r>
        <w:rPr>
          <w:rFonts w:hint="default" w:ascii="Times New Roman" w:hAnsi="Times New Roman" w:cs="Times New Roman"/>
          <w:color w:val="auto"/>
          <w:kern w:val="0"/>
          <w:sz w:val="21"/>
          <w:szCs w:val="21"/>
          <w:lang w:val="en-US" w:eastAsia="zh-CN"/>
        </w:rPr>
        <w:t xml:space="preserve">    </w:t>
      </w:r>
      <w:r>
        <w:rPr>
          <w:rFonts w:hint="default" w:ascii="Times New Roman" w:hAnsi="Times New Roman" w:cs="Times New Roman"/>
          <w:color w:val="auto"/>
          <w:kern w:val="0"/>
          <w:sz w:val="21"/>
          <w:szCs w:val="21"/>
        </w:rPr>
        <w:t>日上午09:00时（北京时间）；</w:t>
      </w:r>
    </w:p>
    <w:p>
      <w:pPr>
        <w:spacing w:line="360" w:lineRule="auto"/>
        <w:ind w:firstLine="420" w:firstLineChars="200"/>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2.地点：焦作市公共资源交易中心网站。为防止网络拥堵等不可控因素，影响投标文件的上传，请各投标单位尽量提前上传投标文件，因投标文件未能及时上传导致投标失败的，由投标人自行承担。</w:t>
      </w:r>
    </w:p>
    <w:p>
      <w:pPr>
        <w:spacing w:line="360" w:lineRule="auto"/>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五、开标时间及地点：  </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1.开标时间：202</w:t>
      </w:r>
      <w:r>
        <w:rPr>
          <w:rFonts w:hint="eastAsia" w:ascii="Times New Roman" w:hAnsi="Times New Roman" w:cs="Times New Roman"/>
          <w:color w:val="auto"/>
          <w:sz w:val="21"/>
          <w:szCs w:val="21"/>
          <w:lang w:val="en-US" w:eastAsia="zh-CN"/>
        </w:rPr>
        <w:t>3</w:t>
      </w:r>
      <w:r>
        <w:rPr>
          <w:rFonts w:hint="default" w:ascii="Times New Roman" w:hAnsi="Times New Roman" w:cs="Times New Roman"/>
          <w:color w:val="auto"/>
          <w:sz w:val="21"/>
          <w:szCs w:val="21"/>
        </w:rPr>
        <w:t>年</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月</w:t>
      </w:r>
      <w:r>
        <w:rPr>
          <w:rFonts w:hint="default"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日上午09:00时（北京时间）</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2.开标地点：武陟县公共资源交易中心二楼开标</w:t>
      </w:r>
      <w:r>
        <w:rPr>
          <w:rFonts w:hint="default" w:ascii="Times New Roman" w:hAnsi="Times New Roman" w:cs="Times New Roman"/>
          <w:color w:val="auto"/>
          <w:sz w:val="21"/>
          <w:szCs w:val="21"/>
          <w:u w:val="single"/>
        </w:rPr>
        <w:t xml:space="preserve">  三  </w:t>
      </w:r>
      <w:r>
        <w:rPr>
          <w:rFonts w:hint="default" w:ascii="Times New Roman" w:hAnsi="Times New Roman" w:cs="Times New Roman"/>
          <w:color w:val="auto"/>
          <w:sz w:val="21"/>
          <w:szCs w:val="21"/>
        </w:rPr>
        <w:t>厅。</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本项目采用“不见面开标”方式，投标人无需到武陟县公共资源交易中心现场参加开标会议，无需到达现场提交原件资料。投标人应当在投标截止时间前，登陆“焦作市不见面开标大厅系统”，解密文件等，系统解密时长默认为30分钟，错过解密时长者视为自动放弃本次投标。具体事宜请查阅焦作市公共资源交易中心官网首页—公共服务—下载专区-下载相关操作手册及视频等，查看操作说明，按要求进行投标文件制作及上传等。</w:t>
      </w:r>
    </w:p>
    <w:p>
      <w:pPr>
        <w:tabs>
          <w:tab w:val="left" w:pos="0"/>
        </w:tabs>
        <w:spacing w:line="360" w:lineRule="auto"/>
        <w:rPr>
          <w:rFonts w:hint="default" w:ascii="Times New Roman" w:hAnsi="Times New Roman" w:cs="Times New Roman"/>
          <w:b/>
          <w:bCs/>
          <w:color w:val="auto"/>
          <w:sz w:val="21"/>
          <w:szCs w:val="21"/>
        </w:rPr>
      </w:pPr>
      <w:r>
        <w:rPr>
          <w:rFonts w:hint="default" w:ascii="Times New Roman" w:hAnsi="Times New Roman" w:cs="Times New Roman"/>
          <w:b/>
          <w:color w:val="auto"/>
          <w:sz w:val="21"/>
          <w:szCs w:val="21"/>
        </w:rPr>
        <w:t>六、</w:t>
      </w:r>
      <w:r>
        <w:rPr>
          <w:rFonts w:hint="default" w:ascii="Times New Roman" w:hAnsi="Times New Roman" w:cs="Times New Roman"/>
          <w:b/>
          <w:bCs/>
          <w:color w:val="auto"/>
          <w:sz w:val="21"/>
          <w:szCs w:val="21"/>
        </w:rPr>
        <w:t>公告期限：</w:t>
      </w:r>
      <w:r>
        <w:rPr>
          <w:rFonts w:hint="default" w:ascii="Times New Roman" w:hAnsi="Times New Roman" w:cs="Times New Roman"/>
          <w:color w:val="auto"/>
          <w:sz w:val="21"/>
          <w:szCs w:val="21"/>
        </w:rPr>
        <w:t>自本公告发布之日起5个工作日。</w:t>
      </w:r>
    </w:p>
    <w:p>
      <w:pPr>
        <w:spacing w:line="360" w:lineRule="auto"/>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七、其他补充事宜：</w:t>
      </w:r>
    </w:p>
    <w:p>
      <w:pPr>
        <w:spacing w:line="360" w:lineRule="auto"/>
        <w:ind w:firstLine="420" w:firstLineChars="200"/>
        <w:rPr>
          <w:rFonts w:hint="eastAsia" w:ascii="Times New Roman" w:hAnsi="Times New Roman" w:eastAsia="宋体" w:cs="Times New Roman"/>
          <w:b/>
          <w:bCs/>
          <w:color w:val="FF0000"/>
          <w:sz w:val="21"/>
          <w:szCs w:val="21"/>
          <w:lang w:eastAsia="zh-CN"/>
        </w:rPr>
      </w:pPr>
      <w:r>
        <w:rPr>
          <w:rFonts w:hint="eastAsia" w:ascii="Times New Roman" w:hAnsi="Times New Roman" w:cs="Times New Roman"/>
          <w:color w:val="auto"/>
          <w:sz w:val="21"/>
          <w:szCs w:val="21"/>
        </w:rPr>
        <w:t>公告发布媒体《中国招标投标公共服务平台》、《河南省电子招标投标公共服务平台》、《焦作市公共资源交易中心网》、《武陟县公共资源交易中心网》</w:t>
      </w:r>
      <w:r>
        <w:rPr>
          <w:rFonts w:hint="eastAsia" w:ascii="Times New Roman" w:hAnsi="Times New Roman" w:cs="Times New Roman"/>
          <w:color w:val="auto"/>
          <w:sz w:val="21"/>
          <w:szCs w:val="21"/>
          <w:lang w:eastAsia="zh-CN"/>
        </w:rPr>
        <w:t>。</w:t>
      </w:r>
    </w:p>
    <w:p>
      <w:pPr>
        <w:spacing w:line="360" w:lineRule="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八、对本次招标提出询问，请按以下方式联系。</w:t>
      </w:r>
    </w:p>
    <w:p>
      <w:pPr>
        <w:spacing w:line="360" w:lineRule="auto"/>
        <w:ind w:firstLine="420" w:firstLineChars="200"/>
        <w:rPr>
          <w:rFonts w:hint="default" w:ascii="Times New Roman" w:hAnsi="Times New Roman" w:eastAsia="宋体" w:cs="Times New Roman"/>
          <w:color w:val="auto"/>
          <w:sz w:val="21"/>
          <w:szCs w:val="21"/>
        </w:rPr>
      </w:pPr>
      <w:bookmarkStart w:id="1" w:name="_Toc477166570"/>
      <w:r>
        <w:rPr>
          <w:rFonts w:hint="default" w:ascii="Times New Roman" w:hAnsi="Times New Roman" w:eastAsia="宋体" w:cs="Times New Roman"/>
          <w:color w:val="auto"/>
          <w:sz w:val="21"/>
          <w:szCs w:val="21"/>
        </w:rPr>
        <w:t>1.采购人信息</w:t>
      </w:r>
    </w:p>
    <w:p>
      <w:pPr>
        <w:spacing w:line="360" w:lineRule="auto"/>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名 称：武陟县城市建设投资开发有限责任公司</w:t>
      </w:r>
    </w:p>
    <w:p>
      <w:pPr>
        <w:spacing w:line="360" w:lineRule="auto"/>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地 址：武陟县城东产业集聚区</w:t>
      </w:r>
    </w:p>
    <w:p>
      <w:pPr>
        <w:spacing w:line="360" w:lineRule="auto"/>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联系方式：17634823231</w:t>
      </w:r>
    </w:p>
    <w:p>
      <w:pPr>
        <w:spacing w:line="360" w:lineRule="auto"/>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2.采购代理机构信息</w:t>
      </w:r>
    </w:p>
    <w:p>
      <w:pPr>
        <w:spacing w:line="360" w:lineRule="auto"/>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名 称：武陟县中嘉工程管理有限公司                    　</w:t>
      </w:r>
    </w:p>
    <w:p>
      <w:pPr>
        <w:spacing w:line="360" w:lineRule="auto"/>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地 址：武陟县产业集聚区工业路018号</w:t>
      </w:r>
    </w:p>
    <w:p>
      <w:pPr>
        <w:spacing w:line="360" w:lineRule="auto"/>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联系方式：0391-7289803                               　                                             </w:t>
      </w:r>
    </w:p>
    <w:p>
      <w:pPr>
        <w:spacing w:line="360" w:lineRule="auto"/>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3.项目联系方式</w:t>
      </w:r>
    </w:p>
    <w:p>
      <w:pPr>
        <w:spacing w:line="360" w:lineRule="auto"/>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项目联系人：薛佳琪</w:t>
      </w:r>
    </w:p>
    <w:p>
      <w:pPr>
        <w:spacing w:line="360" w:lineRule="auto"/>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电　话：17634823231</w:t>
      </w:r>
    </w:p>
    <w:p>
      <w:pPr>
        <w:pStyle w:val="8"/>
        <w:rPr>
          <w:rFonts w:hint="default" w:ascii="Times New Roman" w:hAnsi="Times New Roman" w:eastAsia="宋体" w:cs="Times New Roman"/>
          <w:color w:val="auto"/>
          <w:sz w:val="21"/>
          <w:szCs w:val="21"/>
        </w:rPr>
      </w:pPr>
    </w:p>
    <w:p>
      <w:pPr>
        <w:pStyle w:val="9"/>
        <w:rPr>
          <w:rFonts w:hint="default"/>
          <w:color w:val="auto"/>
          <w:sz w:val="21"/>
          <w:szCs w:val="21"/>
        </w:rPr>
      </w:pPr>
    </w:p>
    <w:p>
      <w:pPr>
        <w:spacing w:line="380" w:lineRule="exact"/>
        <w:jc w:val="left"/>
        <w:rPr>
          <w:rFonts w:hint="default" w:ascii="Times New Roman" w:hAnsi="Times New Roman" w:cs="Times New Roman"/>
          <w:b/>
          <w:bCs/>
          <w:color w:val="auto"/>
          <w:sz w:val="21"/>
          <w:szCs w:val="21"/>
        </w:rPr>
      </w:pPr>
    </w:p>
    <w:p>
      <w:pPr>
        <w:spacing w:line="360" w:lineRule="auto"/>
        <w:ind w:firstLine="420" w:firstLineChars="200"/>
        <w:jc w:val="righ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武陟县城市建设投资开发有限责任公司</w:t>
      </w:r>
    </w:p>
    <w:p>
      <w:pPr>
        <w:spacing w:line="360" w:lineRule="auto"/>
        <w:ind w:firstLine="420" w:firstLineChars="200"/>
        <w:jc w:val="righ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武陟县中嘉工程管理有限公司</w:t>
      </w:r>
    </w:p>
    <w:p>
      <w:pPr>
        <w:spacing w:line="360" w:lineRule="auto"/>
        <w:ind w:firstLine="420" w:firstLineChars="200"/>
        <w:jc w:val="righ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时间：202</w:t>
      </w:r>
      <w:r>
        <w:rPr>
          <w:rFonts w:hint="eastAsia" w:ascii="Times New Roman" w:hAnsi="Times New Roman" w:cs="Times New Roman"/>
          <w:color w:val="auto"/>
          <w:sz w:val="21"/>
          <w:szCs w:val="21"/>
          <w:lang w:val="en-US" w:eastAsia="zh-CN"/>
        </w:rPr>
        <w:t>3</w:t>
      </w:r>
      <w:r>
        <w:rPr>
          <w:rFonts w:hint="default" w:ascii="Times New Roman" w:hAnsi="Times New Roman" w:eastAsia="宋体" w:cs="Times New Roman"/>
          <w:color w:val="auto"/>
          <w:sz w:val="21"/>
          <w:szCs w:val="21"/>
        </w:rPr>
        <w:t>年</w:t>
      </w:r>
      <w:r>
        <w:rPr>
          <w:rFonts w:hint="eastAsia" w:ascii="Times New Roman" w:hAnsi="Times New Roman" w:cs="Times New Roman"/>
          <w:color w:val="auto"/>
          <w:sz w:val="21"/>
          <w:szCs w:val="21"/>
          <w:lang w:val="en-US" w:eastAsia="zh-CN"/>
        </w:rPr>
        <w:t xml:space="preserve">  </w:t>
      </w:r>
      <w:r>
        <w:rPr>
          <w:rFonts w:hint="default" w:ascii="Times New Roman" w:hAnsi="Times New Roman" w:eastAsia="宋体" w:cs="Times New Roman"/>
          <w:color w:val="auto"/>
          <w:sz w:val="21"/>
          <w:szCs w:val="21"/>
        </w:rPr>
        <w:t>月  日</w:t>
      </w:r>
    </w:p>
    <w:p>
      <w:pPr>
        <w:spacing w:line="360" w:lineRule="auto"/>
        <w:rPr>
          <w:rFonts w:hint="default" w:ascii="Times New Roman" w:hAnsi="Times New Roman" w:cs="Times New Roman"/>
          <w:color w:val="auto"/>
          <w:sz w:val="21"/>
          <w:szCs w:val="21"/>
          <w:u w:val="single"/>
        </w:rPr>
      </w:pPr>
    </w:p>
    <w:p>
      <w:pPr>
        <w:pStyle w:val="22"/>
        <w:ind w:left="480" w:firstLine="480"/>
        <w:rPr>
          <w:rFonts w:hint="default" w:ascii="Times New Roman" w:hAnsi="Times New Roman" w:cs="Times New Roman"/>
          <w:color w:val="auto"/>
        </w:rPr>
      </w:pPr>
    </w:p>
    <w:p>
      <w:pPr>
        <w:pStyle w:val="20"/>
        <w:spacing w:line="480" w:lineRule="exact"/>
        <w:ind w:right="-72" w:rightChars="-30"/>
        <w:rPr>
          <w:rFonts w:hint="default" w:ascii="Times New Roman" w:hAnsi="Times New Roman" w:cs="Times New Roman"/>
          <w:bCs w:val="0"/>
          <w:color w:val="auto"/>
        </w:rPr>
      </w:pPr>
      <w:r>
        <w:rPr>
          <w:rFonts w:hint="default" w:ascii="Times New Roman" w:hAnsi="Times New Roman" w:cs="Times New Roman"/>
          <w:b w:val="0"/>
          <w:color w:val="auto"/>
        </w:rPr>
        <w:br w:type="page"/>
      </w:r>
      <w:bookmarkStart w:id="2" w:name="_Toc110000285"/>
      <w:r>
        <w:rPr>
          <w:rFonts w:hint="default" w:ascii="Times New Roman" w:hAnsi="Times New Roman" w:cs="Times New Roman"/>
          <w:bCs w:val="0"/>
          <w:color w:val="auto"/>
        </w:rPr>
        <w:t>第二章 投标人须知</w:t>
      </w:r>
      <w:bookmarkEnd w:id="1"/>
      <w:bookmarkEnd w:id="2"/>
    </w:p>
    <w:p>
      <w:pPr>
        <w:jc w:val="center"/>
        <w:rPr>
          <w:rFonts w:hint="default" w:ascii="Times New Roman" w:hAnsi="Times New Roman" w:cs="Times New Roman"/>
          <w:b/>
          <w:bCs/>
          <w:color w:val="auto"/>
        </w:rPr>
      </w:pPr>
      <w:r>
        <w:rPr>
          <w:rFonts w:hint="default" w:ascii="Times New Roman" w:hAnsi="Times New Roman" w:cs="Times New Roman"/>
          <w:b/>
          <w:bCs/>
          <w:color w:val="auto"/>
        </w:rPr>
        <w:t>投标人须知前附表</w:t>
      </w:r>
    </w:p>
    <w:p>
      <w:pPr>
        <w:rPr>
          <w:rFonts w:hint="default" w:ascii="Times New Roman" w:hAnsi="Times New Roman" w:cs="Times New Roman"/>
          <w:color w:val="auto"/>
          <w:kern w:val="0"/>
        </w:rPr>
      </w:pPr>
      <w:r>
        <w:rPr>
          <w:rFonts w:hint="default" w:ascii="Times New Roman" w:hAnsi="Times New Roman" w:cs="Times New Roman"/>
          <w:color w:val="auto"/>
          <w:kern w:val="0"/>
        </w:rPr>
        <w:t xml:space="preserve"> </w:t>
      </w:r>
      <w:r>
        <w:rPr>
          <w:rFonts w:hint="default" w:ascii="Times New Roman" w:hAnsi="Times New Roman" w:cs="Times New Roman"/>
          <w:color w:val="auto"/>
          <w:kern w:val="0"/>
          <w:sz w:val="21"/>
          <w:szCs w:val="21"/>
        </w:rPr>
        <w:t>本表是对招标文件的具体补充和修改，如与招标文件其他部分内容有差异，应以本表为准。</w:t>
      </w:r>
    </w:p>
    <w:tbl>
      <w:tblPr>
        <w:tblStyle w:val="23"/>
        <w:tblW w:w="9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778"/>
        <w:gridCol w:w="85"/>
        <w:gridCol w:w="6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项号</w:t>
            </w: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内  容</w:t>
            </w:r>
          </w:p>
        </w:tc>
        <w:tc>
          <w:tcPr>
            <w:tcW w:w="677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采购人</w:t>
            </w:r>
          </w:p>
        </w:tc>
        <w:tc>
          <w:tcPr>
            <w:tcW w:w="6774" w:type="dxa"/>
            <w:tcBorders>
              <w:top w:val="single" w:color="auto" w:sz="4" w:space="0"/>
              <w:left w:val="single" w:color="auto" w:sz="4" w:space="0"/>
              <w:bottom w:val="single" w:color="auto" w:sz="4" w:space="0"/>
              <w:right w:val="single" w:color="auto" w:sz="4" w:space="0"/>
            </w:tcBorders>
            <w:vAlign w:val="center"/>
          </w:tcPr>
          <w:p>
            <w:pPr>
              <w:pStyle w:val="8"/>
              <w:spacing w:line="420" w:lineRule="exac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武陟县城市建设投资开发有限责任公司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采购代理机构</w:t>
            </w:r>
          </w:p>
        </w:tc>
        <w:tc>
          <w:tcPr>
            <w:tcW w:w="6774" w:type="dxa"/>
            <w:tcBorders>
              <w:top w:val="single" w:color="auto" w:sz="4" w:space="0"/>
              <w:left w:val="single" w:color="auto" w:sz="4" w:space="0"/>
              <w:bottom w:val="single" w:color="auto" w:sz="4" w:space="0"/>
              <w:right w:val="single" w:color="auto" w:sz="4" w:space="0"/>
            </w:tcBorders>
            <w:vAlign w:val="center"/>
          </w:tcPr>
          <w:p>
            <w:pPr>
              <w:pStyle w:val="8"/>
              <w:spacing w:line="420" w:lineRule="exac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武陟县中嘉工程管理有限公司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项目名称</w:t>
            </w:r>
          </w:p>
        </w:tc>
        <w:tc>
          <w:tcPr>
            <w:tcW w:w="6774" w:type="dxa"/>
            <w:tcBorders>
              <w:top w:val="single" w:color="auto" w:sz="4" w:space="0"/>
              <w:left w:val="single" w:color="auto" w:sz="4" w:space="0"/>
              <w:bottom w:val="single" w:color="auto" w:sz="4" w:space="0"/>
              <w:right w:val="single" w:color="auto" w:sz="4" w:space="0"/>
            </w:tcBorders>
            <w:vAlign w:val="center"/>
          </w:tcPr>
          <w:p>
            <w:pPr>
              <w:pStyle w:val="8"/>
              <w:spacing w:line="420" w:lineRule="exact"/>
              <w:rPr>
                <w:rFonts w:hint="eastAsia"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武陟县县乡村三级养老服务体系建设项目</w:t>
            </w:r>
            <w:r>
              <w:rPr>
                <w:rFonts w:hint="eastAsia" w:eastAsia="宋体" w:cs="Times New Roman"/>
                <w:color w:val="auto"/>
                <w:sz w:val="21"/>
                <w:szCs w:val="21"/>
                <w:lang w:eastAsia="zh-CN"/>
              </w:rPr>
              <w:t>（县级医养结合养老服务中心建设项目）污水处理设备采购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资金来源</w:t>
            </w:r>
          </w:p>
        </w:tc>
        <w:tc>
          <w:tcPr>
            <w:tcW w:w="6774" w:type="dxa"/>
            <w:tcBorders>
              <w:top w:val="single" w:color="auto" w:sz="4" w:space="0"/>
              <w:left w:val="single" w:color="auto" w:sz="4" w:space="0"/>
              <w:bottom w:val="single" w:color="auto" w:sz="4" w:space="0"/>
              <w:right w:val="single" w:color="auto" w:sz="4" w:space="0"/>
            </w:tcBorders>
            <w:vAlign w:val="center"/>
          </w:tcPr>
          <w:p>
            <w:pPr>
              <w:pStyle w:val="8"/>
              <w:spacing w:line="420" w:lineRule="exac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资金落实情况</w:t>
            </w:r>
          </w:p>
        </w:tc>
        <w:tc>
          <w:tcPr>
            <w:tcW w:w="6774" w:type="dxa"/>
            <w:tcBorders>
              <w:top w:val="single" w:color="auto" w:sz="4" w:space="0"/>
              <w:left w:val="single" w:color="auto" w:sz="4" w:space="0"/>
              <w:bottom w:val="single" w:color="auto" w:sz="4" w:space="0"/>
              <w:right w:val="single" w:color="auto" w:sz="4" w:space="0"/>
            </w:tcBorders>
            <w:vAlign w:val="center"/>
          </w:tcPr>
          <w:p>
            <w:pPr>
              <w:pStyle w:val="8"/>
              <w:spacing w:line="420" w:lineRule="exac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项目属性</w:t>
            </w:r>
          </w:p>
        </w:tc>
        <w:tc>
          <w:tcPr>
            <w:tcW w:w="6774" w:type="dxa"/>
            <w:tcBorders>
              <w:top w:val="single" w:color="auto" w:sz="4" w:space="0"/>
              <w:left w:val="single" w:color="auto" w:sz="4" w:space="0"/>
              <w:bottom w:val="single" w:color="auto" w:sz="4" w:space="0"/>
              <w:right w:val="single" w:color="auto" w:sz="4" w:space="0"/>
            </w:tcBorders>
            <w:vAlign w:val="center"/>
          </w:tcPr>
          <w:p>
            <w:pPr>
              <w:pStyle w:val="8"/>
              <w:spacing w:line="420" w:lineRule="exac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货物</w:t>
            </w:r>
            <w:r>
              <w:rPr>
                <w:rFonts w:hint="default" w:ascii="Times New Roman" w:hAnsi="Times New Roman" w:eastAsia="宋体" w:cs="Times New Roman"/>
                <w:color w:val="auto"/>
                <w:sz w:val="21"/>
                <w:szCs w:val="21"/>
              </w:rPr>
              <w:sym w:font="Wingdings" w:char="00FE"/>
            </w:r>
            <w:r>
              <w:rPr>
                <w:rFonts w:hint="default" w:ascii="Times New Roman" w:hAnsi="Times New Roman" w:eastAsia="宋体" w:cs="Times New Roman"/>
                <w:color w:val="auto"/>
                <w:sz w:val="21"/>
                <w:szCs w:val="21"/>
              </w:rPr>
              <w:t xml:space="preserve">      服务</w:t>
            </w:r>
            <w:r>
              <w:rPr>
                <w:rFonts w:hint="default" w:ascii="Times New Roman" w:hAnsi="Times New Roman" w:eastAsia="宋体" w:cs="Times New Roman"/>
                <w:color w:val="auto"/>
                <w:sz w:val="21"/>
                <w:szCs w:val="21"/>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报价范围</w:t>
            </w:r>
          </w:p>
        </w:tc>
        <w:tc>
          <w:tcPr>
            <w:tcW w:w="6774"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360" w:lineRule="auto"/>
              <w:jc w:val="left"/>
              <w:rPr>
                <w:rFonts w:hint="default" w:ascii="Times New Roman" w:hAnsi="Times New Roman" w:cs="Times New Roman"/>
                <w:bCs/>
                <w:color w:val="auto"/>
                <w:kern w:val="0"/>
                <w:sz w:val="21"/>
                <w:szCs w:val="21"/>
              </w:rPr>
            </w:pPr>
            <w:r>
              <w:rPr>
                <w:rFonts w:hint="default" w:ascii="Times New Roman" w:hAnsi="Times New Roman" w:cs="Times New Roman"/>
                <w:color w:val="auto"/>
                <w:sz w:val="21"/>
                <w:szCs w:val="21"/>
              </w:rPr>
              <w:t>投标总价中须包括提供达到招标文件要求的所有货物、服务等与之相关的一切费用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投标有效期</w:t>
            </w:r>
          </w:p>
        </w:tc>
        <w:tc>
          <w:tcPr>
            <w:tcW w:w="6774" w:type="dxa"/>
            <w:tcBorders>
              <w:top w:val="single" w:color="auto" w:sz="4" w:space="0"/>
              <w:left w:val="single" w:color="auto" w:sz="4" w:space="0"/>
              <w:bottom w:val="single" w:color="auto" w:sz="4" w:space="0"/>
              <w:right w:val="single" w:color="auto" w:sz="4" w:space="0"/>
            </w:tcBorders>
            <w:vAlign w:val="center"/>
          </w:tcPr>
          <w:p>
            <w:pPr>
              <w:pStyle w:val="8"/>
              <w:spacing w:line="420" w:lineRule="exac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现场考察</w:t>
            </w:r>
          </w:p>
        </w:tc>
        <w:tc>
          <w:tcPr>
            <w:tcW w:w="6774" w:type="dxa"/>
            <w:tcBorders>
              <w:top w:val="single" w:color="auto" w:sz="4" w:space="0"/>
              <w:left w:val="single" w:color="auto" w:sz="4" w:space="0"/>
              <w:bottom w:val="single" w:color="auto" w:sz="4" w:space="0"/>
              <w:right w:val="single" w:color="auto" w:sz="4" w:space="0"/>
            </w:tcBorders>
            <w:vAlign w:val="center"/>
          </w:tcPr>
          <w:p>
            <w:pPr>
              <w:pStyle w:val="8"/>
              <w:spacing w:line="420" w:lineRule="exac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☑不组织，各投标人自行考察</w:t>
            </w:r>
          </w:p>
          <w:p>
            <w:pPr>
              <w:pStyle w:val="8"/>
              <w:spacing w:line="420" w:lineRule="exact"/>
              <w:ind w:firstLine="210" w:firstLineChars="1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sym w:font="Wingdings" w:char="00A8"/>
            </w:r>
            <w:r>
              <w:rPr>
                <w:rFonts w:hint="default" w:ascii="Times New Roman" w:hAnsi="Times New Roman" w:eastAsia="宋体" w:cs="Times New Roman"/>
                <w:color w:val="auto"/>
                <w:sz w:val="21"/>
                <w:szCs w:val="21"/>
              </w:rPr>
              <w:t xml:space="preserve"> 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投标保证金</w:t>
            </w:r>
          </w:p>
        </w:tc>
        <w:tc>
          <w:tcPr>
            <w:tcW w:w="6774" w:type="dxa"/>
            <w:tcBorders>
              <w:top w:val="single" w:color="auto" w:sz="4" w:space="0"/>
              <w:left w:val="single" w:color="auto" w:sz="4" w:space="0"/>
              <w:bottom w:val="single" w:color="auto" w:sz="4" w:space="0"/>
              <w:right w:val="single" w:color="auto" w:sz="4" w:space="0"/>
            </w:tcBorders>
            <w:vAlign w:val="center"/>
          </w:tcPr>
          <w:p>
            <w:pPr>
              <w:spacing w:line="4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1.投标保证金：</w:t>
            </w:r>
            <w:r>
              <w:rPr>
                <w:rFonts w:hint="eastAsia" w:ascii="Times New Roman" w:hAnsi="Times New Roman" w:cs="Times New Roman"/>
                <w:color w:val="auto"/>
                <w:sz w:val="21"/>
                <w:szCs w:val="21"/>
                <w:lang w:val="en-US" w:eastAsia="zh-CN"/>
              </w:rPr>
              <w:t>叁</w:t>
            </w:r>
            <w:r>
              <w:rPr>
                <w:rFonts w:hint="default" w:ascii="Times New Roman" w:hAnsi="Times New Roman" w:cs="Times New Roman"/>
                <w:color w:val="auto"/>
                <w:sz w:val="21"/>
                <w:szCs w:val="21"/>
                <w:lang w:val="en-US" w:eastAsia="zh-CN"/>
              </w:rPr>
              <w:t>万元</w:t>
            </w:r>
            <w:r>
              <w:rPr>
                <w:rFonts w:hint="default" w:ascii="Times New Roman" w:hAnsi="Times New Roman" w:cs="Times New Roman"/>
                <w:color w:val="auto"/>
                <w:sz w:val="21"/>
                <w:szCs w:val="21"/>
              </w:rPr>
              <w:t>（暂不缴纳）</w:t>
            </w:r>
          </w:p>
          <w:p>
            <w:pPr>
              <w:spacing w:line="4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2.投标人有下列情形之一的，采购人将追索投标保证金人民币</w:t>
            </w:r>
            <w:r>
              <w:rPr>
                <w:rFonts w:hint="eastAsia" w:ascii="Times New Roman" w:hAnsi="Times New Roman" w:cs="Times New Roman"/>
                <w:color w:val="auto"/>
                <w:sz w:val="21"/>
                <w:szCs w:val="21"/>
                <w:lang w:val="en-US" w:eastAsia="zh-CN"/>
              </w:rPr>
              <w:t>叁</w:t>
            </w:r>
            <w:r>
              <w:rPr>
                <w:rFonts w:hint="default" w:ascii="Times New Roman" w:hAnsi="Times New Roman" w:cs="Times New Roman"/>
                <w:color w:val="auto"/>
                <w:sz w:val="21"/>
                <w:szCs w:val="21"/>
                <w:lang w:val="en-US" w:eastAsia="zh-CN"/>
              </w:rPr>
              <w:t>万元</w:t>
            </w:r>
            <w:r>
              <w:rPr>
                <w:rFonts w:hint="default" w:ascii="Times New Roman" w:hAnsi="Times New Roman" w:cs="Times New Roman"/>
                <w:color w:val="auto"/>
                <w:sz w:val="21"/>
                <w:szCs w:val="21"/>
              </w:rPr>
              <w:t>，并予以没收，投标人应作出相应承诺（承诺书格式见投标文件）：</w:t>
            </w:r>
          </w:p>
          <w:p>
            <w:pPr>
              <w:spacing w:line="4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（1）投标人在投标截止时间后或投标有效期内撤回投标文件的；</w:t>
            </w:r>
          </w:p>
          <w:p>
            <w:pPr>
              <w:spacing w:line="4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（2）投标人在投标文件中提供虚假材料的；</w:t>
            </w:r>
          </w:p>
          <w:p>
            <w:pPr>
              <w:spacing w:line="4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（3）除因不可抗力或招标文件认可的情形以外，中标人不与采购人签订合同的；</w:t>
            </w:r>
          </w:p>
          <w:p>
            <w:pPr>
              <w:spacing w:line="4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（4）投标人与采购人、其他投标人或者采购代理机构恶意串通的。</w:t>
            </w:r>
          </w:p>
          <w:p>
            <w:pPr>
              <w:pStyle w:val="8"/>
              <w:spacing w:line="420" w:lineRule="exac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3.投标人违反上述规定且拒不支付投标保证金的，采购人可向武陟县人民法院起诉追索投标保证金。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863" w:type="dxa"/>
            <w:gridSpan w:val="2"/>
            <w:tcBorders>
              <w:top w:val="single" w:color="auto" w:sz="4" w:space="0"/>
              <w:left w:val="single" w:color="auto" w:sz="4" w:space="0"/>
              <w:bottom w:val="single" w:color="auto" w:sz="4" w:space="0"/>
              <w:right w:val="single" w:color="auto" w:sz="4" w:space="0"/>
            </w:tcBorders>
            <w:vAlign w:val="center"/>
          </w:tcPr>
          <w:p>
            <w:pPr>
              <w:pStyle w:val="29"/>
              <w:spacing w:before="1" w:line="440" w:lineRule="exact"/>
              <w:ind w:left="108"/>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投标文件的递交</w:t>
            </w:r>
          </w:p>
          <w:p>
            <w:pPr>
              <w:spacing w:line="440" w:lineRule="exact"/>
              <w:jc w:val="center"/>
              <w:rPr>
                <w:rFonts w:hint="default" w:ascii="Times New Roman" w:hAnsi="Times New Roman" w:cs="Times New Roman"/>
                <w:color w:val="auto"/>
                <w:sz w:val="21"/>
                <w:szCs w:val="21"/>
              </w:rPr>
            </w:pPr>
          </w:p>
        </w:tc>
        <w:tc>
          <w:tcPr>
            <w:tcW w:w="6774" w:type="dxa"/>
            <w:tcBorders>
              <w:top w:val="single" w:color="auto" w:sz="4" w:space="0"/>
              <w:left w:val="single" w:color="auto" w:sz="4" w:space="0"/>
              <w:bottom w:val="single" w:color="auto" w:sz="4" w:space="0"/>
              <w:right w:val="single" w:color="auto" w:sz="4" w:space="0"/>
            </w:tcBorders>
            <w:vAlign w:val="center"/>
          </w:tcPr>
          <w:p>
            <w:pPr>
              <w:spacing w:line="4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1.在投标截止时间前递交，具体事宜请查阅焦作市公共资源交易中心官网首页—公共服务—下载专区-下载相关操作手册及视频等，查看操作说明，按要求进行投标文件的递交。</w:t>
            </w:r>
          </w:p>
          <w:p>
            <w:pPr>
              <w:spacing w:line="4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2.如因系统故障需上传非加密文件时，投标人应按照采购人指示将非加密文件递交给采购人。</w:t>
            </w:r>
          </w:p>
          <w:p>
            <w:pPr>
              <w:spacing w:line="4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3.采购人拒绝接收在投标文件递交截止时间后上传的投标文件。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863" w:type="dxa"/>
            <w:gridSpan w:val="2"/>
            <w:tcBorders>
              <w:top w:val="single" w:color="auto" w:sz="4" w:space="0"/>
              <w:left w:val="single" w:color="auto" w:sz="4" w:space="0"/>
              <w:bottom w:val="single" w:color="auto" w:sz="4" w:space="0"/>
              <w:right w:val="single" w:color="auto" w:sz="4" w:space="0"/>
            </w:tcBorders>
            <w:vAlign w:val="center"/>
          </w:tcPr>
          <w:p>
            <w:pPr>
              <w:pStyle w:val="29"/>
              <w:spacing w:before="1" w:line="440" w:lineRule="exact"/>
              <w:ind w:left="108"/>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签字或盖章要求</w:t>
            </w:r>
          </w:p>
        </w:tc>
        <w:tc>
          <w:tcPr>
            <w:tcW w:w="6774" w:type="dxa"/>
            <w:tcBorders>
              <w:top w:val="single" w:color="auto" w:sz="4" w:space="0"/>
              <w:left w:val="single" w:color="auto" w:sz="4" w:space="0"/>
              <w:bottom w:val="single" w:color="auto" w:sz="4" w:space="0"/>
              <w:right w:val="single" w:color="auto" w:sz="4" w:space="0"/>
            </w:tcBorders>
            <w:vAlign w:val="center"/>
          </w:tcPr>
          <w:p>
            <w:pPr>
              <w:spacing w:line="440" w:lineRule="exac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1.所有要求投标人加盖单位公章的地方都应加盖投标人单位的CA印章。</w:t>
            </w:r>
          </w:p>
          <w:p>
            <w:pPr>
              <w:spacing w:line="440" w:lineRule="exac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2.所有要求法定代表人签字或盖章的，要求法定代表人在签字或盖章的地方上传有手写签名的扫描件或加盖法定代表人CA印章。</w:t>
            </w:r>
          </w:p>
          <w:p>
            <w:pPr>
              <w:spacing w:line="440" w:lineRule="exac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8"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863" w:type="dxa"/>
            <w:gridSpan w:val="2"/>
            <w:tcBorders>
              <w:top w:val="single" w:color="auto" w:sz="4" w:space="0"/>
              <w:left w:val="single" w:color="auto" w:sz="4" w:space="0"/>
              <w:bottom w:val="single" w:color="auto" w:sz="4" w:space="0"/>
              <w:right w:val="single" w:color="auto" w:sz="4" w:space="0"/>
            </w:tcBorders>
            <w:vAlign w:val="center"/>
          </w:tcPr>
          <w:p>
            <w:pPr>
              <w:pStyle w:val="29"/>
              <w:spacing w:before="1" w:line="440" w:lineRule="exact"/>
              <w:ind w:left="108"/>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kern w:val="0"/>
                <w:sz w:val="21"/>
                <w:szCs w:val="21"/>
              </w:rPr>
              <w:t>开标程序</w:t>
            </w:r>
          </w:p>
        </w:tc>
        <w:tc>
          <w:tcPr>
            <w:tcW w:w="6774" w:type="dxa"/>
            <w:tcBorders>
              <w:top w:val="single" w:color="auto" w:sz="4" w:space="0"/>
              <w:left w:val="single" w:color="auto" w:sz="4" w:space="0"/>
              <w:bottom w:val="single" w:color="auto" w:sz="4" w:space="0"/>
              <w:right w:val="single" w:color="auto" w:sz="4" w:space="0"/>
            </w:tcBorders>
            <w:vAlign w:val="center"/>
          </w:tcPr>
          <w:p>
            <w:pPr>
              <w:spacing w:line="440" w:lineRule="exac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（l）公布投标人；</w:t>
            </w:r>
          </w:p>
          <w:p>
            <w:pPr>
              <w:spacing w:line="440" w:lineRule="exac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（2）由投标人对投标文件进行解密；</w:t>
            </w:r>
          </w:p>
          <w:p>
            <w:pPr>
              <w:spacing w:line="440" w:lineRule="exac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（3）由投标人对开标记录表进行确认（在规定时间内未确认的视同认可开标记录）</w:t>
            </w:r>
          </w:p>
          <w:p>
            <w:pPr>
              <w:spacing w:line="440" w:lineRule="exac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（4）开标结束。</w:t>
            </w:r>
          </w:p>
          <w:p>
            <w:pPr>
              <w:spacing w:line="440" w:lineRule="exact"/>
              <w:rPr>
                <w:rFonts w:hint="default" w:ascii="Times New Roman" w:hAnsi="Times New Roman" w:cs="Times New Roman"/>
                <w:color w:val="auto"/>
                <w:kern w:val="0"/>
                <w:sz w:val="21"/>
                <w:szCs w:val="21"/>
              </w:rPr>
            </w:pPr>
            <w:r>
              <w:rPr>
                <w:rFonts w:hint="default" w:ascii="Times New Roman" w:hAnsi="Times New Roman" w:cs="Times New Roman"/>
                <w:b/>
                <w:bCs/>
                <w:color w:val="auto"/>
                <w:kern w:val="0"/>
                <w:sz w:val="21"/>
                <w:szCs w:val="21"/>
              </w:rPr>
              <w:t>注：多包项目的，开标会议将按包的顺序依次进行，请各投标人时刻关注焦作市不见面开标大厅系统。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评标委员会的</w:t>
            </w:r>
          </w:p>
          <w:p>
            <w:pPr>
              <w:pStyle w:val="29"/>
              <w:spacing w:before="1" w:line="440" w:lineRule="exact"/>
              <w:ind w:left="108"/>
              <w:jc w:val="center"/>
              <w:rPr>
                <w:rFonts w:hint="default" w:ascii="Times New Roman" w:hAnsi="Times New Roman" w:eastAsia="宋体" w:cs="Times New Roman"/>
                <w:color w:val="auto"/>
                <w:kern w:val="0"/>
                <w:sz w:val="21"/>
                <w:szCs w:val="21"/>
              </w:rPr>
            </w:pPr>
            <w:r>
              <w:rPr>
                <w:rFonts w:hint="default" w:ascii="Times New Roman" w:hAnsi="Times New Roman" w:eastAsia="宋体" w:cs="Times New Roman"/>
                <w:color w:val="auto"/>
                <w:sz w:val="21"/>
                <w:szCs w:val="21"/>
              </w:rPr>
              <w:t>组建</w:t>
            </w:r>
          </w:p>
        </w:tc>
        <w:tc>
          <w:tcPr>
            <w:tcW w:w="6774" w:type="dxa"/>
            <w:tcBorders>
              <w:top w:val="single" w:color="auto" w:sz="4" w:space="0"/>
              <w:left w:val="single" w:color="auto" w:sz="4" w:space="0"/>
              <w:bottom w:val="single" w:color="auto" w:sz="4" w:space="0"/>
              <w:right w:val="single" w:color="auto" w:sz="4" w:space="0"/>
            </w:tcBorders>
            <w:vAlign w:val="center"/>
          </w:tcPr>
          <w:p>
            <w:pPr>
              <w:spacing w:line="440" w:lineRule="exact"/>
              <w:rPr>
                <w:rFonts w:hint="default" w:ascii="Times New Roman" w:hAnsi="Times New Roman" w:cs="Times New Roman"/>
                <w:color w:val="auto"/>
                <w:kern w:val="0"/>
                <w:sz w:val="21"/>
                <w:szCs w:val="21"/>
              </w:rPr>
            </w:pPr>
            <w:r>
              <w:rPr>
                <w:rFonts w:hint="default" w:ascii="Times New Roman" w:hAnsi="Times New Roman" w:cs="Times New Roman"/>
                <w:color w:val="auto"/>
                <w:sz w:val="21"/>
                <w:szCs w:val="21"/>
              </w:rPr>
              <w:t>评标委员会由采购人代表和评审专家组成，成员人数应当为5人及以上单数，其中评审专家不得少于成员总数的三分之二。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是否授权评标委员会确定中标人</w:t>
            </w:r>
          </w:p>
        </w:tc>
        <w:tc>
          <w:tcPr>
            <w:tcW w:w="6774" w:type="dxa"/>
            <w:tcBorders>
              <w:top w:val="single" w:color="auto" w:sz="4" w:space="0"/>
              <w:left w:val="single" w:color="auto" w:sz="4" w:space="0"/>
              <w:bottom w:val="single" w:color="auto" w:sz="4" w:space="0"/>
              <w:right w:val="single" w:color="auto" w:sz="4" w:space="0"/>
            </w:tcBorders>
            <w:vAlign w:val="center"/>
          </w:tcPr>
          <w:p>
            <w:pPr>
              <w:spacing w:line="4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□是</w:t>
            </w:r>
          </w:p>
          <w:p>
            <w:pPr>
              <w:spacing w:line="4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sym w:font="Wingdings" w:char="F0FE"/>
            </w:r>
            <w:r>
              <w:rPr>
                <w:rFonts w:hint="default" w:ascii="Times New Roman" w:hAnsi="Times New Roman" w:cs="Times New Roman"/>
                <w:color w:val="auto"/>
                <w:sz w:val="21"/>
                <w:szCs w:val="21"/>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中标公示媒体</w:t>
            </w:r>
          </w:p>
        </w:tc>
        <w:tc>
          <w:tcPr>
            <w:tcW w:w="6774" w:type="dxa"/>
            <w:tcBorders>
              <w:top w:val="single" w:color="auto" w:sz="4" w:space="0"/>
              <w:left w:val="single" w:color="auto" w:sz="4" w:space="0"/>
              <w:bottom w:val="single" w:color="auto" w:sz="4" w:space="0"/>
              <w:right w:val="single" w:color="auto" w:sz="4" w:space="0"/>
            </w:tcBorders>
            <w:vAlign w:val="center"/>
          </w:tcPr>
          <w:p>
            <w:pPr>
              <w:spacing w:line="4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中标结果请登陆原公告媒体查看中标结果公示，不再另行通知。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签订合同</w:t>
            </w:r>
          </w:p>
        </w:tc>
        <w:tc>
          <w:tcPr>
            <w:tcW w:w="6774" w:type="dxa"/>
            <w:tcBorders>
              <w:top w:val="single" w:color="auto" w:sz="4" w:space="0"/>
              <w:left w:val="single" w:color="auto" w:sz="4" w:space="0"/>
              <w:bottom w:val="single" w:color="auto" w:sz="4" w:space="0"/>
              <w:right w:val="single" w:color="auto" w:sz="4" w:space="0"/>
            </w:tcBorders>
            <w:vAlign w:val="center"/>
          </w:tcPr>
          <w:p>
            <w:pPr>
              <w:spacing w:line="44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中标人在《中标通知书》发出后</w:t>
            </w:r>
            <w:r>
              <w:rPr>
                <w:rFonts w:hint="default" w:ascii="Times New Roman" w:hAnsi="Times New Roman" w:cs="Times New Roman"/>
                <w:color w:val="auto"/>
                <w:sz w:val="21"/>
                <w:szCs w:val="21"/>
                <w:u w:val="single"/>
              </w:rPr>
              <w:t>30</w:t>
            </w:r>
            <w:r>
              <w:rPr>
                <w:rFonts w:hint="default" w:ascii="Times New Roman" w:hAnsi="Times New Roman" w:cs="Times New Roman"/>
                <w:color w:val="auto"/>
                <w:sz w:val="21"/>
                <w:szCs w:val="21"/>
              </w:rPr>
              <w:t>日内，根据招标文件和中标人的投标文件与采购人签订合同。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8637"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rPr>
              <w:t>本项目采购的所有产品是否允许进口产品投标：否（进口产品是指通过中国海关报关验放进入中国境内且产自关境外的产品。）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863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此招标文件解释权归采购人或其委托的代理机构，未尽事宜按国家相关法律法规执行。</w:t>
            </w:r>
          </w:p>
          <w:p>
            <w:pPr>
              <w:spacing w:line="400" w:lineRule="exac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1.在评标过程中，评标委员会成员存在争议时，可以以少数服从多数的原则解决争议。</w:t>
            </w:r>
          </w:p>
          <w:p>
            <w:pPr>
              <w:spacing w:line="400" w:lineRule="exac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2.在评标过程中，采购人或其委托的代理机构认为评标委员会对招标文件存在误解时，可对招标文件做出解释，并承担相应责任，评标委员会应当依据该解释评标；评标委员会对采购人或其委托的代理机构的解释不承担责任，认为有必要的，可将该解释情况写入评标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pPr>
              <w:numPr>
                <w:ilvl w:val="0"/>
                <w:numId w:val="3"/>
              </w:numPr>
              <w:spacing w:line="440" w:lineRule="exact"/>
              <w:jc w:val="center"/>
              <w:rPr>
                <w:rFonts w:hint="default" w:ascii="Times New Roman" w:hAnsi="Times New Roman" w:cs="Times New Roman"/>
                <w:color w:val="auto"/>
                <w:kern w:val="0"/>
                <w:sz w:val="21"/>
                <w:szCs w:val="21"/>
              </w:rPr>
            </w:pPr>
          </w:p>
        </w:tc>
        <w:tc>
          <w:tcPr>
            <w:tcW w:w="177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采购代理机构代理服务费</w:t>
            </w:r>
          </w:p>
        </w:tc>
        <w:tc>
          <w:tcPr>
            <w:tcW w:w="685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本项目收取代理服务费：</w:t>
            </w:r>
          </w:p>
          <w:p>
            <w:pPr>
              <w:numPr>
                <w:ilvl w:val="0"/>
                <w:numId w:val="4"/>
              </w:numPr>
              <w:spacing w:line="400" w:lineRule="exac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采购代理机构代理服务费用收取标准：见《采购代理机构代理费用的收取标准》。</w:t>
            </w:r>
          </w:p>
          <w:p>
            <w:pPr>
              <w:numPr>
                <w:ilvl w:val="0"/>
                <w:numId w:val="4"/>
              </w:numPr>
              <w:spacing w:line="400" w:lineRule="exac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支付方式：现金或银行转账。</w:t>
            </w:r>
          </w:p>
          <w:p>
            <w:pPr>
              <w:spacing w:line="400" w:lineRule="exact"/>
              <w:rPr>
                <w:rFonts w:hint="default" w:ascii="Times New Roman" w:hAnsi="Times New Roman" w:cs="Times New Roman"/>
                <w:color w:val="auto"/>
                <w:kern w:val="0"/>
                <w:sz w:val="21"/>
                <w:szCs w:val="21"/>
              </w:rPr>
            </w:pPr>
            <w:r>
              <w:rPr>
                <w:rFonts w:hint="default" w:ascii="Times New Roman" w:hAnsi="Times New Roman" w:cs="Times New Roman"/>
                <w:color w:val="auto"/>
                <w:kern w:val="0"/>
                <w:sz w:val="21"/>
                <w:szCs w:val="21"/>
              </w:rPr>
              <w:t>3.采购代理机构代理服务费由中标人支付。</w:t>
            </w:r>
          </w:p>
        </w:tc>
      </w:tr>
    </w:tbl>
    <w:p>
      <w:pPr>
        <w:pStyle w:val="27"/>
        <w:jc w:val="center"/>
        <w:rPr>
          <w:rFonts w:hint="default" w:ascii="Times New Roman" w:hAnsi="Times New Roman" w:cs="Times New Roman"/>
          <w:b/>
          <w:color w:val="auto"/>
          <w:sz w:val="32"/>
        </w:rPr>
      </w:pPr>
      <w:bookmarkStart w:id="3" w:name="_Toc110000286"/>
      <w:bookmarkStart w:id="4" w:name="_Toc477166571"/>
      <w:bookmarkStart w:id="5" w:name="_Toc17791"/>
      <w:r>
        <w:rPr>
          <w:rFonts w:hint="default" w:ascii="Times New Roman" w:hAnsi="Times New Roman" w:cs="Times New Roman"/>
          <w:color w:val="auto"/>
        </w:rPr>
        <w:drawing>
          <wp:anchor distT="0" distB="0" distL="114300" distR="114300" simplePos="0" relativeHeight="251659264" behindDoc="1" locked="0" layoutInCell="1" allowOverlap="1">
            <wp:simplePos x="0" y="0"/>
            <wp:positionH relativeFrom="column">
              <wp:posOffset>4445</wp:posOffset>
            </wp:positionH>
            <wp:positionV relativeFrom="paragraph">
              <wp:posOffset>361950</wp:posOffset>
            </wp:positionV>
            <wp:extent cx="5274310" cy="2761615"/>
            <wp:effectExtent l="0" t="0" r="2540" b="635"/>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74310" cy="2761615"/>
                    </a:xfrm>
                    <a:prstGeom prst="rect">
                      <a:avLst/>
                    </a:prstGeom>
                    <a:noFill/>
                    <a:ln>
                      <a:noFill/>
                    </a:ln>
                  </pic:spPr>
                </pic:pic>
              </a:graphicData>
            </a:graphic>
          </wp:anchor>
        </w:drawing>
      </w:r>
      <w:r>
        <w:rPr>
          <w:rFonts w:hint="default" w:ascii="Times New Roman" w:hAnsi="Times New Roman" w:cs="Times New Roman"/>
          <w:b/>
          <w:color w:val="auto"/>
          <w:sz w:val="32"/>
        </w:rPr>
        <w:t>采购代理机构代理费用的收取标准</w:t>
      </w:r>
    </w:p>
    <w:p>
      <w:pPr>
        <w:pStyle w:val="27"/>
        <w:rPr>
          <w:rFonts w:hint="default" w:ascii="Times New Roman" w:hAnsi="Times New Roman" w:cs="Times New Roman"/>
          <w:color w:val="auto"/>
        </w:rPr>
      </w:pPr>
      <w:r>
        <w:rPr>
          <w:rFonts w:hint="default" w:ascii="Times New Roman" w:hAnsi="Times New Roman" w:cs="Times New Roman"/>
          <w:color w:val="auto"/>
          <w:sz w:val="21"/>
          <w:szCs w:val="21"/>
        </w:rPr>
        <w:t>注：1.按本表费率计算的收费为招标代理服务全过程的收费基准价格。</w:t>
      </w:r>
    </w:p>
    <w:p>
      <w:pPr>
        <w:autoSpaceDN w:val="0"/>
        <w:spacing w:before="75" w:after="75"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2.招标代理服务收费按差额定率累进法计算。例如：某货物招标中标金额为500万元，计算招标代理服务收费额如下：</w:t>
      </w:r>
    </w:p>
    <w:p>
      <w:pPr>
        <w:autoSpaceDN w:val="0"/>
        <w:spacing w:before="75" w:after="75"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100万元×1.5%=1.5万元</w:t>
      </w:r>
    </w:p>
    <w:p>
      <w:pPr>
        <w:autoSpaceDN w:val="0"/>
        <w:spacing w:before="75" w:after="75"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（500-100）万元×1.1%=4.4万元</w:t>
      </w:r>
    </w:p>
    <w:p>
      <w:pPr>
        <w:pStyle w:val="27"/>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合计收费=1.5+4.4=5.9万元</w:t>
      </w:r>
    </w:p>
    <w:p>
      <w:pPr>
        <w:widowControl/>
        <w:jc w:val="left"/>
        <w:rPr>
          <w:rFonts w:hint="default" w:ascii="Times New Roman" w:hAnsi="Times New Roman" w:cs="Times New Roman"/>
          <w:b/>
          <w:bCs/>
          <w:color w:val="auto"/>
          <w:sz w:val="30"/>
          <w:szCs w:val="30"/>
        </w:rPr>
      </w:pPr>
      <w:r>
        <w:rPr>
          <w:rFonts w:hint="default" w:ascii="Times New Roman" w:hAnsi="Times New Roman" w:cs="Times New Roman"/>
          <w:color w:val="auto"/>
          <w:sz w:val="30"/>
          <w:szCs w:val="30"/>
        </w:rPr>
        <w:br w:type="page"/>
      </w:r>
    </w:p>
    <w:p>
      <w:pPr>
        <w:pStyle w:val="3"/>
        <w:numPr>
          <w:ilvl w:val="3"/>
          <w:numId w:val="5"/>
        </w:numPr>
        <w:spacing w:before="0" w:after="0" w:line="360" w:lineRule="auto"/>
        <w:jc w:val="center"/>
        <w:rPr>
          <w:rFonts w:hint="default" w:ascii="Times New Roman" w:hAnsi="Times New Roman" w:eastAsia="宋体" w:cs="Times New Roman"/>
          <w:color w:val="auto"/>
          <w:sz w:val="30"/>
          <w:szCs w:val="30"/>
        </w:rPr>
      </w:pPr>
      <w:r>
        <w:rPr>
          <w:rFonts w:hint="default" w:ascii="Times New Roman" w:hAnsi="Times New Roman" w:eastAsia="宋体" w:cs="Times New Roman"/>
          <w:color w:val="auto"/>
          <w:sz w:val="30"/>
          <w:szCs w:val="30"/>
        </w:rPr>
        <w:t>总则</w:t>
      </w:r>
      <w:bookmarkEnd w:id="3"/>
      <w:bookmarkEnd w:id="4"/>
      <w:bookmarkEnd w:id="5"/>
    </w:p>
    <w:p>
      <w:pPr>
        <w:numPr>
          <w:ilvl w:val="1"/>
          <w:numId w:val="6"/>
        </w:numPr>
        <w:spacing w:line="480" w:lineRule="exact"/>
        <w:ind w:left="-1" w:leftChars="-59" w:hanging="141" w:hangingChars="67"/>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适用范围</w:t>
      </w:r>
    </w:p>
    <w:p>
      <w:pPr>
        <w:spacing w:line="480" w:lineRule="exact"/>
        <w:ind w:firstLine="367" w:firstLineChars="175"/>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本招标文件仅适用于本招标文件第一章“招标公告”中所述的项目。</w:t>
      </w:r>
    </w:p>
    <w:p>
      <w:pPr>
        <w:numPr>
          <w:ilvl w:val="1"/>
          <w:numId w:val="6"/>
        </w:numPr>
        <w:spacing w:line="480" w:lineRule="exact"/>
        <w:ind w:left="-1" w:leftChars="-59" w:hanging="141" w:hangingChars="67"/>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定义</w:t>
      </w:r>
    </w:p>
    <w:p>
      <w:pPr>
        <w:numPr>
          <w:ilvl w:val="1"/>
          <w:numId w:val="7"/>
        </w:numPr>
        <w:spacing w:line="480" w:lineRule="exact"/>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“采购人” 见投标人须知前附表。</w:t>
      </w:r>
    </w:p>
    <w:p>
      <w:pPr>
        <w:numPr>
          <w:ilvl w:val="1"/>
          <w:numId w:val="7"/>
        </w:numPr>
        <w:spacing w:line="480" w:lineRule="exact"/>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“采购代理机构”见投标人须知前附表。</w:t>
      </w:r>
    </w:p>
    <w:p>
      <w:pPr>
        <w:numPr>
          <w:ilvl w:val="1"/>
          <w:numId w:val="7"/>
        </w:numPr>
        <w:spacing w:line="480" w:lineRule="exact"/>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“投标人”</w:t>
      </w:r>
      <w:r>
        <w:rPr>
          <w:rFonts w:hint="default" w:ascii="Times New Roman" w:hAnsi="Times New Roman" w:cs="Times New Roman"/>
          <w:color w:val="auto"/>
          <w:sz w:val="21"/>
          <w:szCs w:val="21"/>
          <w:shd w:val="clear" w:color="auto" w:fill="FFFFFF"/>
        </w:rPr>
        <w:t>是指响应招标、参加投标竞争的法人、其他组织或者自然人</w:t>
      </w:r>
      <w:r>
        <w:rPr>
          <w:rFonts w:hint="default" w:ascii="Times New Roman" w:hAnsi="Times New Roman" w:cs="Times New Roman"/>
          <w:color w:val="auto"/>
          <w:sz w:val="21"/>
          <w:szCs w:val="21"/>
        </w:rPr>
        <w:t>。</w:t>
      </w:r>
    </w:p>
    <w:p>
      <w:pPr>
        <w:numPr>
          <w:ilvl w:val="1"/>
          <w:numId w:val="7"/>
        </w:numPr>
        <w:spacing w:line="480" w:lineRule="exact"/>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“潜在投标人”指符合本招标文件各项规定的合格投标人。</w:t>
      </w:r>
    </w:p>
    <w:p>
      <w:pPr>
        <w:numPr>
          <w:ilvl w:val="1"/>
          <w:numId w:val="7"/>
        </w:numPr>
        <w:spacing w:line="480" w:lineRule="exact"/>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“中标人”是指依据本招标文件规定经评审被最终授予合同的投标人。</w:t>
      </w:r>
    </w:p>
    <w:p>
      <w:pPr>
        <w:numPr>
          <w:ilvl w:val="1"/>
          <w:numId w:val="7"/>
        </w:numPr>
        <w:spacing w:line="480" w:lineRule="exact"/>
        <w:ind w:firstLine="420"/>
        <w:rPr>
          <w:rFonts w:hint="default" w:ascii="Times New Roman" w:hAnsi="Times New Roman" w:cs="Times New Roman"/>
          <w:color w:val="auto"/>
          <w:sz w:val="21"/>
          <w:szCs w:val="21"/>
        </w:rPr>
      </w:pPr>
      <w:r>
        <w:rPr>
          <w:rFonts w:hint="eastAsia" w:ascii="宋体" w:hAnsi="宋体" w:eastAsia="宋体" w:cs="宋体"/>
          <w:sz w:val="21"/>
          <w:szCs w:val="21"/>
        </w:rPr>
        <w:t>“设立登记证书”是指</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"https://baike.baidu.com/item/%E5%B7%A5%E5%95%86%E8%A1%8C%E6%94%BF%E7%AE%A1%E7%90%86%E6%9C%BA%E5%85%B3/2954967" \t "https://baike.baidu.com/item/%E8%90%A5%E4%B8%9A%E6%89%A7%E7%85%A7/_blank" </w:instrText>
      </w:r>
      <w:r>
        <w:rPr>
          <w:rFonts w:hint="eastAsia" w:ascii="宋体" w:hAnsi="宋体" w:eastAsia="宋体" w:cs="宋体"/>
          <w:sz w:val="21"/>
          <w:szCs w:val="21"/>
        </w:rPr>
        <w:fldChar w:fldCharType="separate"/>
      </w:r>
      <w:r>
        <w:rPr>
          <w:rFonts w:hint="eastAsia" w:ascii="宋体" w:hAnsi="宋体" w:eastAsia="宋体" w:cs="宋体"/>
          <w:sz w:val="21"/>
          <w:szCs w:val="21"/>
        </w:rPr>
        <w:t>工商行政管理机关</w:t>
      </w:r>
      <w:r>
        <w:rPr>
          <w:rFonts w:hint="eastAsia" w:ascii="宋体" w:hAnsi="宋体" w:eastAsia="宋体" w:cs="宋体"/>
          <w:sz w:val="21"/>
          <w:szCs w:val="21"/>
        </w:rPr>
        <w:fldChar w:fldCharType="end"/>
      </w:r>
      <w:r>
        <w:rPr>
          <w:rFonts w:hint="eastAsia" w:ascii="宋体" w:hAnsi="宋体" w:eastAsia="宋体" w:cs="宋体"/>
          <w:sz w:val="21"/>
          <w:szCs w:val="21"/>
        </w:rPr>
        <w:t>或市场监督管理部门颁发的营业执照，或民政部门颁发的民办非企业单位登记证书，或司法行政机关颁发的律师事务所执业许可证等凭证；</w:t>
      </w:r>
    </w:p>
    <w:p>
      <w:pPr>
        <w:numPr>
          <w:ilvl w:val="1"/>
          <w:numId w:val="7"/>
        </w:numPr>
        <w:spacing w:line="480" w:lineRule="exact"/>
        <w:ind w:firstLine="420"/>
        <w:rPr>
          <w:rFonts w:hint="default" w:ascii="Times New Roman" w:hAnsi="Times New Roman" w:cs="Times New Roman"/>
          <w:color w:val="auto"/>
          <w:sz w:val="21"/>
          <w:szCs w:val="21"/>
        </w:rPr>
      </w:pPr>
      <w:r>
        <w:rPr>
          <w:rFonts w:hint="eastAsia" w:ascii="宋体" w:hAnsi="宋体" w:eastAsia="宋体" w:cs="宋体"/>
          <w:sz w:val="21"/>
          <w:szCs w:val="21"/>
        </w:rPr>
        <w:t>“法定代表人”系指</w:t>
      </w:r>
      <w:r>
        <w:rPr>
          <w:rFonts w:hint="eastAsia" w:ascii="宋体" w:hAnsi="宋体" w:eastAsia="宋体" w:cs="宋体"/>
          <w:sz w:val="21"/>
          <w:szCs w:val="21"/>
          <w:lang w:eastAsia="zh-CN"/>
        </w:rPr>
        <w:t>“</w:t>
      </w:r>
      <w:r>
        <w:rPr>
          <w:rFonts w:hint="eastAsia" w:ascii="宋体" w:hAnsi="宋体" w:eastAsia="宋体" w:cs="宋体"/>
          <w:sz w:val="21"/>
          <w:szCs w:val="21"/>
        </w:rPr>
        <w:t>设立登记证书</w:t>
      </w:r>
      <w:r>
        <w:rPr>
          <w:rFonts w:hint="eastAsia" w:ascii="宋体" w:hAnsi="宋体" w:eastAsia="宋体" w:cs="宋体"/>
          <w:sz w:val="21"/>
          <w:szCs w:val="21"/>
          <w:lang w:eastAsia="zh-CN"/>
        </w:rPr>
        <w:t>”上注明的</w:t>
      </w:r>
      <w:r>
        <w:rPr>
          <w:rFonts w:hint="eastAsia" w:ascii="宋体" w:hAnsi="宋体" w:eastAsia="宋体" w:cs="宋体"/>
          <w:sz w:val="21"/>
          <w:szCs w:val="21"/>
        </w:rPr>
        <w:t>法定代表人</w:t>
      </w:r>
      <w:r>
        <w:rPr>
          <w:rFonts w:hint="eastAsia" w:ascii="宋体" w:hAnsi="宋体" w:eastAsia="宋体" w:cs="宋体"/>
          <w:sz w:val="21"/>
          <w:szCs w:val="21"/>
          <w:lang w:eastAsia="zh-CN"/>
        </w:rPr>
        <w:t>、</w:t>
      </w:r>
      <w:r>
        <w:rPr>
          <w:rFonts w:hint="eastAsia" w:ascii="宋体" w:hAnsi="宋体" w:eastAsia="宋体" w:cs="宋体"/>
          <w:sz w:val="21"/>
          <w:szCs w:val="21"/>
        </w:rPr>
        <w:t>负责人或经营者</w:t>
      </w:r>
      <w:r>
        <w:rPr>
          <w:rFonts w:hint="eastAsia" w:ascii="宋体" w:hAnsi="宋体" w:eastAsia="宋体" w:cs="宋体"/>
          <w:sz w:val="21"/>
          <w:szCs w:val="21"/>
          <w:lang w:eastAsia="zh-CN"/>
        </w:rPr>
        <w:t>等</w:t>
      </w:r>
      <w:r>
        <w:rPr>
          <w:rFonts w:hint="eastAsia" w:ascii="宋体" w:hAnsi="宋体" w:eastAsia="宋体" w:cs="宋体"/>
          <w:sz w:val="21"/>
          <w:szCs w:val="21"/>
        </w:rPr>
        <w:t>。</w:t>
      </w:r>
    </w:p>
    <w:p>
      <w:pPr>
        <w:numPr>
          <w:ilvl w:val="1"/>
          <w:numId w:val="7"/>
        </w:numPr>
        <w:spacing w:line="480" w:lineRule="exact"/>
        <w:ind w:firstLine="420"/>
        <w:rPr>
          <w:rFonts w:hint="default" w:ascii="宋体" w:hAnsi="宋体" w:eastAsia="宋体" w:cs="宋体"/>
          <w:sz w:val="21"/>
          <w:szCs w:val="21"/>
        </w:rPr>
      </w:pPr>
      <w:r>
        <w:rPr>
          <w:rFonts w:hint="eastAsia" w:ascii="宋体" w:hAnsi="宋体" w:eastAsia="宋体" w:cs="宋体"/>
          <w:sz w:val="21"/>
          <w:szCs w:val="21"/>
        </w:rPr>
        <w:t>“质量保证期”</w:t>
      </w:r>
      <w:r>
        <w:rPr>
          <w:rFonts w:hint="eastAsia" w:ascii="宋体" w:hAnsi="宋体" w:cs="宋体"/>
          <w:sz w:val="21"/>
          <w:szCs w:val="21"/>
          <w:lang w:val="en-US" w:eastAsia="zh-CN"/>
        </w:rPr>
        <w:t>，</w:t>
      </w:r>
      <w:r>
        <w:rPr>
          <w:rFonts w:hint="eastAsia" w:ascii="宋体" w:hAnsi="宋体" w:eastAsia="宋体" w:cs="宋体"/>
          <w:sz w:val="21"/>
          <w:szCs w:val="21"/>
        </w:rPr>
        <w:t>在此期限内因设备质量问题均由投标人免费维修或更换，采购人不因此承担任何费用。</w:t>
      </w:r>
    </w:p>
    <w:p>
      <w:pPr>
        <w:numPr>
          <w:ilvl w:val="1"/>
          <w:numId w:val="7"/>
        </w:numPr>
        <w:spacing w:line="480" w:lineRule="exact"/>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“重大违法行为”系指投标人因违法经营受到刑事处罚或者责令停业停产、吊销许可证或者执照、较大数额罚款等行政处罚。</w:t>
      </w:r>
    </w:p>
    <w:p>
      <w:pPr>
        <w:numPr>
          <w:ilvl w:val="1"/>
          <w:numId w:val="7"/>
        </w:numPr>
        <w:spacing w:line="480" w:lineRule="exact"/>
        <w:ind w:firstLine="422"/>
        <w:rPr>
          <w:rFonts w:hint="default" w:ascii="Times New Roman" w:hAnsi="Times New Roman" w:cs="Times New Roman"/>
          <w:b/>
          <w:color w:val="auto"/>
          <w:sz w:val="21"/>
          <w:szCs w:val="21"/>
        </w:rPr>
      </w:pPr>
      <w:r>
        <w:rPr>
          <w:rFonts w:hint="default" w:ascii="Times New Roman" w:hAnsi="Times New Roman" w:cs="Times New Roman"/>
          <w:color w:val="auto"/>
          <w:sz w:val="21"/>
          <w:szCs w:val="21"/>
        </w:rPr>
        <w:t>“原公告发布媒体”是指</w:t>
      </w:r>
      <w:r>
        <w:rPr>
          <w:rFonts w:hint="eastAsia" w:ascii="Times New Roman" w:hAnsi="Times New Roman" w:cs="Times New Roman"/>
          <w:color w:val="auto"/>
          <w:sz w:val="21"/>
          <w:szCs w:val="21"/>
        </w:rPr>
        <w:t>公告发布媒体《中国招标投标公共服务平台》、《河南省电子招标投标公共服务平台》、《焦作市公共资源交易中心网》、《武陟县公共资源交易中心网》</w:t>
      </w:r>
      <w:r>
        <w:rPr>
          <w:rFonts w:hint="eastAsia" w:ascii="Times New Roman" w:hAnsi="Times New Roman" w:cs="Times New Roman"/>
          <w:color w:val="auto"/>
          <w:sz w:val="21"/>
          <w:szCs w:val="21"/>
          <w:lang w:eastAsia="zh-CN"/>
        </w:rPr>
        <w:t>。</w:t>
      </w:r>
    </w:p>
    <w:p>
      <w:pPr>
        <w:numPr>
          <w:ilvl w:val="1"/>
          <w:numId w:val="7"/>
        </w:numPr>
        <w:spacing w:line="480" w:lineRule="exact"/>
        <w:ind w:firstLine="422"/>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通知：因焦作市公共资源交易中心交易系统在开标前具有保密性，投标人在投标文件递交截止时间前须自行查看项目进展、变更通知、澄清及回复等，因投标人未及时查看而造成的后果自负 ，采购人、采购代理机构不因此承担任何责任。</w:t>
      </w:r>
    </w:p>
    <w:p>
      <w:pPr>
        <w:spacing w:line="480" w:lineRule="exact"/>
        <w:ind w:firstLine="367" w:firstLineChars="175"/>
        <w:rPr>
          <w:rFonts w:hint="default" w:ascii="Times New Roman" w:hAnsi="Times New Roman" w:cs="Times New Roman"/>
          <w:bCs/>
          <w:color w:val="auto"/>
          <w:sz w:val="21"/>
          <w:szCs w:val="21"/>
        </w:rPr>
      </w:pPr>
      <w:r>
        <w:rPr>
          <w:rFonts w:hint="default" w:ascii="Times New Roman" w:hAnsi="Times New Roman" w:cs="Times New Roman"/>
          <w:bCs/>
          <w:color w:val="auto"/>
          <w:sz w:val="21"/>
          <w:szCs w:val="21"/>
        </w:rPr>
        <w:t>对与本项目有关的通知（包括澄清、修改、补充等），采购代理机构将在原公告发布媒体上以书面形式向投标人发出，各投标人应当时刻关注原公告发布媒体所发出关于本项目的相关通知。</w:t>
      </w:r>
    </w:p>
    <w:p>
      <w:pPr>
        <w:numPr>
          <w:ilvl w:val="1"/>
          <w:numId w:val="7"/>
        </w:numPr>
        <w:spacing w:line="480" w:lineRule="exact"/>
        <w:ind w:firstLine="422"/>
        <w:rPr>
          <w:rFonts w:hint="eastAsia" w:ascii="Times New Roman" w:hAnsi="Times New Roman" w:eastAsia="宋体" w:cs="Times New Roman"/>
          <w:b/>
          <w:color w:val="auto"/>
          <w:sz w:val="21"/>
          <w:szCs w:val="21"/>
        </w:rPr>
      </w:pPr>
      <w:r>
        <w:rPr>
          <w:rFonts w:hint="eastAsia" w:ascii="Times New Roman" w:hAnsi="Times New Roman" w:eastAsia="宋体" w:cs="Times New Roman"/>
          <w:b/>
          <w:color w:val="auto"/>
          <w:sz w:val="21"/>
          <w:szCs w:val="21"/>
        </w:rPr>
        <w:t xml:space="preserve"> 本项目招标文件中要求“加盖生产厂家公章”是指不同投标人参加同一合同项下投标的，提供同一生产厂家同一资料的，如其中有一家投标人提供加盖生产厂家公章资料，其余投标人提供资料未加盖生产厂家公章，均予以认可，如出现内容不一致的以加盖生产厂家公章的为准；不同投标人提供同一生产厂家同一资料均未加盖生产厂家公章的，均不予认可。</w:t>
      </w:r>
    </w:p>
    <w:p>
      <w:pPr>
        <w:pStyle w:val="22"/>
        <w:rPr>
          <w:rFonts w:hint="default"/>
        </w:rPr>
      </w:pPr>
    </w:p>
    <w:p>
      <w:pPr>
        <w:numPr>
          <w:ilvl w:val="1"/>
          <w:numId w:val="6"/>
        </w:numPr>
        <w:spacing w:line="480" w:lineRule="exact"/>
        <w:ind w:left="-1" w:leftChars="-59" w:hanging="141" w:hangingChars="67"/>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合格的投标人</w:t>
      </w:r>
    </w:p>
    <w:p>
      <w:pPr>
        <w:spacing w:line="480" w:lineRule="exact"/>
        <w:ind w:left="240" w:firstLine="210" w:firstLineChars="1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3.1.具有有效的</w:t>
      </w:r>
      <w:r>
        <w:rPr>
          <w:rFonts w:hint="eastAsia" w:ascii="Times New Roman" w:hAnsi="Times New Roman" w:eastAsia="宋体" w:cs="Times New Roman"/>
          <w:color w:val="auto"/>
          <w:sz w:val="21"/>
          <w:szCs w:val="21"/>
          <w:lang w:eastAsia="zh-CN"/>
        </w:rPr>
        <w:t>“设立登记证书”</w:t>
      </w:r>
      <w:r>
        <w:rPr>
          <w:rFonts w:hint="default" w:ascii="Times New Roman" w:hAnsi="Times New Roman" w:cs="Times New Roman"/>
          <w:color w:val="auto"/>
          <w:sz w:val="21"/>
          <w:szCs w:val="21"/>
        </w:rPr>
        <w:t>；</w:t>
      </w:r>
    </w:p>
    <w:p>
      <w:pPr>
        <w:spacing w:line="480" w:lineRule="exact"/>
        <w:ind w:left="240" w:firstLine="210" w:firstLineChars="1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r>
        <w:rPr>
          <w:rFonts w:hint="eastAsia" w:ascii="Times New Roman" w:hAnsi="Times New Roman" w:cs="Times New Roman"/>
          <w:color w:val="auto"/>
          <w:sz w:val="21"/>
          <w:szCs w:val="21"/>
          <w:lang w:val="en-US" w:eastAsia="zh-CN"/>
        </w:rPr>
        <w:t>2</w:t>
      </w:r>
      <w:r>
        <w:rPr>
          <w:rFonts w:hint="default" w:ascii="Times New Roman" w:hAnsi="Times New Roman" w:cs="Times New Roman"/>
          <w:color w:val="auto"/>
          <w:sz w:val="21"/>
          <w:szCs w:val="21"/>
        </w:rPr>
        <w:t>.具有依法缴纳税收的相关证明材料：</w:t>
      </w:r>
    </w:p>
    <w:p>
      <w:pPr>
        <w:spacing w:line="480" w:lineRule="exact"/>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“依法缴纳税收的相关证明材料”是指投标截止时间前近六个月任意一个月依法缴纳税收的证明材料。依法免税的投标人，能提供相应文件证明其依法免税。 </w:t>
      </w:r>
    </w:p>
    <w:p>
      <w:pPr>
        <w:spacing w:line="480" w:lineRule="exact"/>
        <w:ind w:left="240" w:firstLine="210" w:firstLineChars="1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3.3.具有依法缴纳社会保障资金的相关证明材料：</w:t>
      </w:r>
    </w:p>
    <w:p>
      <w:pPr>
        <w:spacing w:line="480" w:lineRule="exact"/>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“依法缴纳社会保障资金的相关证明材料”是指投标截止时间前近六个月任意一个月单位依法缴纳社会保险的证明材料；依法不需要缴纳社会保险的投标人，能提供相应文件证明其依法不需要缴纳社会保险。</w:t>
      </w:r>
    </w:p>
    <w:p>
      <w:pPr>
        <w:spacing w:line="480" w:lineRule="exact"/>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3.4.</w:t>
      </w:r>
      <w:r>
        <w:rPr>
          <w:rFonts w:hint="eastAsia" w:ascii="Times New Roman" w:hAnsi="Times New Roman" w:cs="Times New Roman"/>
          <w:color w:val="auto"/>
          <w:sz w:val="21"/>
          <w:szCs w:val="21"/>
          <w:lang w:eastAsia="zh-CN"/>
        </w:rPr>
        <w:t>提供</w:t>
      </w:r>
      <w:r>
        <w:rPr>
          <w:rFonts w:hint="default" w:ascii="Times New Roman" w:hAnsi="Times New Roman" w:cs="Times New Roman"/>
          <w:color w:val="auto"/>
          <w:sz w:val="21"/>
          <w:szCs w:val="21"/>
        </w:rPr>
        <w:t>最近</w:t>
      </w:r>
      <w:r>
        <w:rPr>
          <w:rFonts w:hint="eastAsia" w:ascii="Times New Roman" w:hAnsi="Times New Roman" w:cs="Times New Roman"/>
          <w:color w:val="auto"/>
          <w:sz w:val="21"/>
          <w:szCs w:val="21"/>
          <w:lang w:eastAsia="zh-CN"/>
        </w:rPr>
        <w:t>三年</w:t>
      </w:r>
      <w:r>
        <w:rPr>
          <w:rFonts w:hint="default" w:ascii="Times New Roman" w:hAnsi="Times New Roman" w:cs="Times New Roman"/>
          <w:color w:val="auto"/>
          <w:sz w:val="21"/>
          <w:szCs w:val="21"/>
        </w:rPr>
        <w:t>的财务报表</w:t>
      </w:r>
      <w:r>
        <w:rPr>
          <w:rFonts w:hint="eastAsia" w:ascii="Times New Roman" w:hAnsi="Times New Roman" w:cs="Times New Roman"/>
          <w:color w:val="auto"/>
          <w:sz w:val="21"/>
          <w:szCs w:val="21"/>
          <w:lang w:eastAsia="zh-CN"/>
        </w:rPr>
        <w:t>（新成立企业不足一年的，提供近一个月的财务报表）</w:t>
      </w:r>
      <w:r>
        <w:rPr>
          <w:rFonts w:hint="default" w:ascii="Times New Roman" w:hAnsi="Times New Roman" w:cs="Times New Roman"/>
          <w:color w:val="auto"/>
          <w:sz w:val="21"/>
          <w:szCs w:val="21"/>
        </w:rPr>
        <w:t>。</w:t>
      </w:r>
    </w:p>
    <w:p>
      <w:pPr>
        <w:spacing w:line="480" w:lineRule="exact"/>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3.5.具备履行合同所必需的设备和专业技术能力的证明材料；</w:t>
      </w:r>
    </w:p>
    <w:p>
      <w:pPr>
        <w:spacing w:line="480" w:lineRule="exact"/>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3.6.参加采购活动前3年内在经营活动中没有重大违法记录的书面声明；</w:t>
      </w:r>
    </w:p>
    <w:p>
      <w:pPr>
        <w:numPr>
          <w:ilvl w:val="0"/>
          <w:numId w:val="0"/>
        </w:numPr>
        <w:spacing w:line="480" w:lineRule="exact"/>
        <w:ind w:leftChars="200"/>
        <w:rPr>
          <w:rFonts w:hint="default" w:ascii="Times New Roman" w:hAnsi="Times New Roman" w:cs="Times New Roman"/>
          <w:bCs/>
          <w:color w:val="auto"/>
          <w:sz w:val="21"/>
          <w:szCs w:val="21"/>
        </w:rPr>
      </w:pPr>
      <w:r>
        <w:rPr>
          <w:rFonts w:hint="eastAsia" w:ascii="Times New Roman" w:hAnsi="Times New Roman" w:cs="Times New Roman"/>
          <w:bCs/>
          <w:color w:val="auto"/>
          <w:sz w:val="21"/>
          <w:szCs w:val="21"/>
          <w:lang w:val="en-US" w:eastAsia="zh-CN"/>
        </w:rPr>
        <w:t>3.7</w:t>
      </w:r>
      <w:r>
        <w:rPr>
          <w:rFonts w:hint="default" w:ascii="Times New Roman" w:hAnsi="Times New Roman" w:cs="Times New Roman"/>
          <w:bCs/>
          <w:color w:val="auto"/>
          <w:sz w:val="21"/>
          <w:szCs w:val="21"/>
        </w:rPr>
        <w:t>投标人应遵守国家法律、法规和有关政府采购招标的规定。</w:t>
      </w:r>
    </w:p>
    <w:p>
      <w:pPr>
        <w:numPr>
          <w:ilvl w:val="0"/>
          <w:numId w:val="0"/>
        </w:numPr>
        <w:spacing w:line="480" w:lineRule="exact"/>
        <w:ind w:leftChars="200"/>
        <w:rPr>
          <w:rFonts w:hint="default" w:ascii="Times New Roman" w:hAnsi="Times New Roman" w:cs="Times New Roman"/>
          <w:bCs/>
          <w:color w:val="auto"/>
          <w:sz w:val="21"/>
          <w:szCs w:val="21"/>
        </w:rPr>
      </w:pPr>
      <w:r>
        <w:rPr>
          <w:rFonts w:hint="eastAsia" w:ascii="Times New Roman" w:hAnsi="Times New Roman" w:cs="Times New Roman"/>
          <w:bCs/>
          <w:color w:val="auto"/>
          <w:sz w:val="21"/>
          <w:szCs w:val="21"/>
          <w:lang w:val="en-US" w:eastAsia="zh-CN"/>
        </w:rPr>
        <w:t>3.8</w:t>
      </w:r>
      <w:r>
        <w:rPr>
          <w:rFonts w:hint="default" w:ascii="Times New Roman" w:hAnsi="Times New Roman" w:cs="Times New Roman"/>
          <w:bCs/>
          <w:color w:val="auto"/>
          <w:sz w:val="21"/>
          <w:szCs w:val="21"/>
        </w:rPr>
        <w:t>已按招标公告要求获取招标文件的。</w:t>
      </w:r>
    </w:p>
    <w:p>
      <w:pPr>
        <w:pageBreakBefore w:val="0"/>
        <w:widowControl w:val="0"/>
        <w:numPr>
          <w:ilvl w:val="0"/>
          <w:numId w:val="0"/>
        </w:numPr>
        <w:kinsoku/>
        <w:wordWrap/>
        <w:overflowPunct/>
        <w:topLinePunct w:val="0"/>
        <w:bidi w:val="0"/>
        <w:snapToGrid/>
        <w:spacing w:line="440" w:lineRule="exact"/>
        <w:ind w:left="0" w:leftChars="0" w:firstLine="481" w:firstLineChars="228"/>
        <w:rPr>
          <w:rFonts w:hint="eastAsia" w:ascii="宋体" w:hAnsi="宋体"/>
          <w:b/>
          <w:bCs/>
          <w:sz w:val="21"/>
          <w:szCs w:val="21"/>
        </w:rPr>
      </w:pPr>
      <w:r>
        <w:rPr>
          <w:rFonts w:hint="eastAsia" w:ascii="宋体" w:hAnsi="宋体"/>
          <w:b/>
          <w:sz w:val="21"/>
          <w:szCs w:val="21"/>
          <w:lang w:val="en-US" w:eastAsia="zh-CN"/>
        </w:rPr>
        <w:t>3.9 参</w:t>
      </w:r>
      <w:r>
        <w:rPr>
          <w:rFonts w:hint="eastAsia" w:ascii="宋体" w:hAnsi="宋体"/>
          <w:b/>
          <w:sz w:val="21"/>
          <w:szCs w:val="21"/>
        </w:rPr>
        <w:t>照《财政部关于在政府采购活动中查询及使用信用记录有关问题的通知》（财库〔2016〕125号）和《</w:t>
      </w:r>
      <w:r>
        <w:rPr>
          <w:rFonts w:hint="eastAsia" w:ascii="宋体" w:hAnsi="宋体"/>
          <w:b/>
          <w:sz w:val="21"/>
          <w:szCs w:val="21"/>
          <w:lang w:eastAsia="zh-CN"/>
        </w:rPr>
        <w:t>河南省财政厅关于转发财政部关于在政府采购活动中查询及使用信用记录有关问题的通知的通知</w:t>
      </w:r>
      <w:r>
        <w:rPr>
          <w:rFonts w:hint="eastAsia" w:ascii="宋体" w:hAnsi="宋体"/>
          <w:b/>
          <w:sz w:val="21"/>
          <w:szCs w:val="21"/>
        </w:rPr>
        <w:t>》</w:t>
      </w:r>
      <w:r>
        <w:rPr>
          <w:rFonts w:hint="eastAsia" w:ascii="宋体" w:hAnsi="宋体"/>
          <w:b/>
          <w:sz w:val="21"/>
          <w:szCs w:val="21"/>
          <w:lang w:eastAsia="zh-CN"/>
        </w:rPr>
        <w:t>（豫财购</w:t>
      </w:r>
      <w:r>
        <w:rPr>
          <w:rFonts w:hint="eastAsia" w:ascii="宋体" w:hAnsi="宋体"/>
          <w:b/>
          <w:sz w:val="21"/>
          <w:szCs w:val="21"/>
        </w:rPr>
        <w:t>〔2016〕</w:t>
      </w:r>
      <w:r>
        <w:rPr>
          <w:rFonts w:hint="eastAsia" w:ascii="宋体" w:hAnsi="宋体"/>
          <w:b/>
          <w:sz w:val="21"/>
          <w:szCs w:val="21"/>
          <w:lang w:val="en-US" w:eastAsia="zh-CN"/>
        </w:rPr>
        <w:t>15号</w:t>
      </w:r>
      <w:r>
        <w:rPr>
          <w:rFonts w:hint="eastAsia" w:ascii="宋体" w:hAnsi="宋体"/>
          <w:b/>
          <w:sz w:val="21"/>
          <w:szCs w:val="21"/>
          <w:lang w:eastAsia="zh-CN"/>
        </w:rPr>
        <w:t>）</w:t>
      </w:r>
      <w:r>
        <w:rPr>
          <w:rFonts w:hint="eastAsia" w:ascii="宋体" w:hAnsi="宋体"/>
          <w:b/>
          <w:sz w:val="21"/>
          <w:szCs w:val="21"/>
        </w:rPr>
        <w:t>的要求，根据投标文件提交截止时间当日查询“信用中国”、“中国政府采购网”网站的信息，采购人或者代理机构应当对投标人信用记录进行甄别，对列入失信被执行人（以“信用中国”网站为准）、重大税收违法失信主体（以“信用中国”网站为准）、政府采购严重违法失信行为记录名单（以“中国政府采购网”为准）的投标人，拒绝参与政府采购活动，同时对信用信息查询记录和证据进行打印存档；查询渠道：“信用中国”网站</w:t>
      </w:r>
      <w:r>
        <w:rPr>
          <w:rFonts w:hint="eastAsia" w:ascii="宋体" w:hAnsi="宋体"/>
          <w:b/>
          <w:sz w:val="21"/>
          <w:szCs w:val="21"/>
          <w:lang w:eastAsia="zh-CN"/>
        </w:rPr>
        <w:t>和</w:t>
      </w:r>
      <w:r>
        <w:rPr>
          <w:rFonts w:hint="eastAsia" w:ascii="宋体" w:hAnsi="宋体"/>
          <w:b/>
          <w:sz w:val="21"/>
          <w:szCs w:val="21"/>
        </w:rPr>
        <w:t>“中国政府采购网”网站。</w:t>
      </w:r>
    </w:p>
    <w:p>
      <w:pPr>
        <w:pageBreakBefore w:val="0"/>
        <w:widowControl w:val="0"/>
        <w:kinsoku/>
        <w:wordWrap/>
        <w:overflowPunct/>
        <w:topLinePunct w:val="0"/>
        <w:bidi w:val="0"/>
        <w:snapToGrid/>
        <w:spacing w:line="440" w:lineRule="exact"/>
        <w:ind w:firstLine="369" w:firstLineChars="175"/>
        <w:rPr>
          <w:rFonts w:hint="eastAsia" w:ascii="宋体" w:hAnsi="宋体"/>
          <w:b/>
          <w:sz w:val="21"/>
          <w:szCs w:val="21"/>
        </w:rPr>
      </w:pPr>
      <w:r>
        <w:rPr>
          <w:rFonts w:hint="eastAsia" w:ascii="宋体" w:hAnsi="宋体"/>
          <w:b/>
          <w:sz w:val="21"/>
          <w:szCs w:val="21"/>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spacing w:line="360" w:lineRule="auto"/>
        <w:ind w:firstLine="369" w:firstLineChars="175"/>
        <w:rPr>
          <w:rFonts w:hint="default" w:ascii="Times New Roman" w:hAnsi="Times New Roman" w:cs="Times New Roman"/>
          <w:b/>
          <w:color w:val="auto"/>
          <w:sz w:val="21"/>
          <w:szCs w:val="21"/>
        </w:rPr>
      </w:pPr>
      <w:r>
        <w:rPr>
          <w:rFonts w:hint="eastAsia" w:ascii="宋体" w:hAnsi="宋体"/>
          <w:b/>
          <w:sz w:val="21"/>
          <w:szCs w:val="21"/>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与网站信息不一致的其他证明材料亦不作为评审依据。</w:t>
      </w:r>
    </w:p>
    <w:p>
      <w:pPr>
        <w:numPr>
          <w:ilvl w:val="0"/>
          <w:numId w:val="0"/>
        </w:numPr>
        <w:spacing w:line="360" w:lineRule="auto"/>
        <w:ind w:left="0" w:leftChars="0" w:firstLine="478" w:firstLineChars="228"/>
        <w:rPr>
          <w:rFonts w:hint="default" w:ascii="Times New Roman" w:hAnsi="Times New Roman" w:cs="Times New Roman"/>
          <w:bCs/>
          <w:color w:val="auto"/>
          <w:sz w:val="21"/>
          <w:szCs w:val="21"/>
        </w:rPr>
      </w:pPr>
      <w:r>
        <w:rPr>
          <w:rFonts w:hint="eastAsia" w:ascii="Times New Roman" w:hAnsi="Times New Roman" w:cs="Times New Roman"/>
          <w:bCs/>
          <w:color w:val="auto"/>
          <w:sz w:val="21"/>
          <w:szCs w:val="21"/>
          <w:lang w:val="en-US" w:eastAsia="zh-CN"/>
        </w:rPr>
        <w:t>3.10</w:t>
      </w:r>
      <w:r>
        <w:rPr>
          <w:rFonts w:hint="default" w:ascii="Times New Roman" w:hAnsi="Times New Roman" w:cs="Times New Roman"/>
          <w:bCs/>
          <w:color w:val="auto"/>
          <w:sz w:val="21"/>
          <w:szCs w:val="21"/>
        </w:rPr>
        <w:t>单位负责人为同一人或者存在直接控股、管理关系的不同投标人，不得参加同一合同项下的政府采购活动。</w:t>
      </w:r>
    </w:p>
    <w:p>
      <w:pPr>
        <w:numPr>
          <w:ilvl w:val="1"/>
          <w:numId w:val="6"/>
        </w:numPr>
        <w:spacing w:line="360" w:lineRule="auto"/>
        <w:ind w:left="-1" w:leftChars="-59" w:hanging="141" w:hangingChars="67"/>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投标费用</w:t>
      </w:r>
    </w:p>
    <w:p>
      <w:pPr>
        <w:spacing w:line="360" w:lineRule="auto"/>
        <w:ind w:firstLine="577" w:firstLineChars="275"/>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投标人应承担所有与准备和参加投标有关的费用。不论投标结果如何，采购代理机构、采购人均无义务和责任承担这些费用。</w:t>
      </w:r>
    </w:p>
    <w:p>
      <w:pPr>
        <w:pStyle w:val="3"/>
        <w:numPr>
          <w:ilvl w:val="3"/>
          <w:numId w:val="5"/>
        </w:numPr>
        <w:spacing w:before="0" w:after="0" w:line="360" w:lineRule="auto"/>
        <w:jc w:val="center"/>
        <w:rPr>
          <w:rFonts w:hint="default" w:ascii="Times New Roman" w:hAnsi="Times New Roman" w:eastAsia="宋体" w:cs="Times New Roman"/>
          <w:color w:val="auto"/>
          <w:sz w:val="30"/>
          <w:szCs w:val="30"/>
        </w:rPr>
      </w:pPr>
      <w:bookmarkStart w:id="6" w:name="_Toc477166572"/>
      <w:bookmarkStart w:id="7" w:name="_Toc14871"/>
      <w:bookmarkStart w:id="8" w:name="_Toc110000287"/>
      <w:bookmarkStart w:id="9" w:name="_Toc7468"/>
      <w:r>
        <w:rPr>
          <w:rFonts w:hint="default" w:ascii="Times New Roman" w:hAnsi="Times New Roman" w:eastAsia="宋体" w:cs="Times New Roman"/>
          <w:color w:val="auto"/>
          <w:sz w:val="30"/>
          <w:szCs w:val="30"/>
        </w:rPr>
        <w:t>招标文件</w:t>
      </w:r>
      <w:bookmarkEnd w:id="6"/>
      <w:bookmarkEnd w:id="7"/>
      <w:bookmarkEnd w:id="8"/>
      <w:bookmarkEnd w:id="9"/>
    </w:p>
    <w:p>
      <w:pPr>
        <w:numPr>
          <w:ilvl w:val="1"/>
          <w:numId w:val="6"/>
        </w:numPr>
        <w:spacing w:line="360" w:lineRule="auto"/>
        <w:ind w:left="-1" w:leftChars="-59" w:hanging="141" w:hangingChars="67"/>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招标文件的组成</w:t>
      </w:r>
    </w:p>
    <w:p>
      <w:pPr>
        <w:numPr>
          <w:ilvl w:val="1"/>
          <w:numId w:val="8"/>
        </w:num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招标文件是用以阐明采购内容及其他要求、招标程序</w:t>
      </w:r>
      <w:r>
        <w:rPr>
          <w:rFonts w:hint="default" w:ascii="Times New Roman" w:hAnsi="Times New Roman" w:cs="Times New Roman"/>
          <w:color w:val="auto"/>
          <w:sz w:val="21"/>
          <w:szCs w:val="21"/>
          <w:lang w:val="zh-CN"/>
        </w:rPr>
        <w:t>和合同格式等内容的规范性文件</w:t>
      </w:r>
      <w:r>
        <w:rPr>
          <w:rFonts w:hint="default" w:ascii="Times New Roman" w:hAnsi="Times New Roman" w:cs="Times New Roman"/>
          <w:color w:val="auto"/>
          <w:sz w:val="21"/>
          <w:szCs w:val="21"/>
        </w:rPr>
        <w:t>。招标文件主要由以下部分组成：</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第一章 招标公告</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第二章 投标人须知</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第三章 拟签订合同文本</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第四章 采购需求</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第五章 投标文件格式</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第六章 评标办法和评标标准</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根据本招标文件所作的澄清、修改或更正，构成招标文件的组成部分。</w:t>
      </w:r>
    </w:p>
    <w:p>
      <w:pPr>
        <w:numPr>
          <w:ilvl w:val="1"/>
          <w:numId w:val="8"/>
        </w:numPr>
        <w:spacing w:line="360" w:lineRule="auto"/>
        <w:ind w:firstLine="420" w:firstLineChars="200"/>
        <w:rPr>
          <w:rFonts w:hint="default" w:ascii="Times New Roman" w:hAnsi="Times New Roman" w:cs="Times New Roman"/>
          <w:bCs/>
          <w:color w:val="auto"/>
          <w:sz w:val="21"/>
          <w:szCs w:val="21"/>
        </w:rPr>
      </w:pPr>
      <w:r>
        <w:rPr>
          <w:rFonts w:hint="default" w:ascii="Times New Roman" w:hAnsi="Times New Roman" w:cs="Times New Roman"/>
          <w:color w:val="auto"/>
          <w:sz w:val="21"/>
          <w:szCs w:val="21"/>
        </w:rPr>
        <w:t>投标人收到招标文件后，应仔细检查招标文件是否齐全、是否有表述不明确或缺（错、重）字等问题，应立即</w:t>
      </w:r>
      <w:r>
        <w:rPr>
          <w:rFonts w:hint="default" w:ascii="Times New Roman" w:hAnsi="Times New Roman" w:cs="Times New Roman"/>
          <w:b/>
          <w:color w:val="auto"/>
          <w:sz w:val="21"/>
          <w:szCs w:val="21"/>
        </w:rPr>
        <w:t>登陆《焦作市公共资源交易中心网》进入交易平台提出</w:t>
      </w:r>
      <w:r>
        <w:rPr>
          <w:rFonts w:hint="default" w:ascii="Times New Roman" w:hAnsi="Times New Roman" w:cs="Times New Roman"/>
          <w:color w:val="auto"/>
          <w:sz w:val="21"/>
          <w:szCs w:val="21"/>
        </w:rPr>
        <w:t>并及时联系采购代理机构解决。如果因投标人未按上述要求提出而造成不良后果的，采购代理机构不承担任何责任。　　</w:t>
      </w:r>
    </w:p>
    <w:p>
      <w:pPr>
        <w:numPr>
          <w:ilvl w:val="1"/>
          <w:numId w:val="8"/>
        </w:numPr>
        <w:spacing w:line="360" w:lineRule="auto"/>
        <w:ind w:firstLine="420" w:firstLineChars="200"/>
        <w:rPr>
          <w:rFonts w:hint="default" w:ascii="Times New Roman" w:hAnsi="Times New Roman" w:cs="Times New Roman"/>
          <w:bCs/>
          <w:color w:val="auto"/>
          <w:sz w:val="21"/>
          <w:szCs w:val="21"/>
        </w:rPr>
      </w:pPr>
      <w:r>
        <w:rPr>
          <w:rFonts w:hint="default" w:ascii="Times New Roman" w:hAnsi="Times New Roman" w:cs="Times New Roman"/>
          <w:bCs/>
          <w:color w:val="auto"/>
          <w:sz w:val="21"/>
          <w:szCs w:val="21"/>
        </w:rPr>
        <w:t>投标人被视为充分熟悉本采购项目所在地的与履行合同有关的各种情况，包括自然环境、气候条件、劳动力及公用设施等，本招标文件不再对上述情况进行描述。</w:t>
      </w:r>
    </w:p>
    <w:p>
      <w:pPr>
        <w:numPr>
          <w:ilvl w:val="1"/>
          <w:numId w:val="8"/>
        </w:numPr>
        <w:spacing w:line="360" w:lineRule="auto"/>
        <w:ind w:firstLine="420" w:firstLineChars="200"/>
        <w:rPr>
          <w:rFonts w:hint="default" w:ascii="Times New Roman" w:hAnsi="Times New Roman" w:cs="Times New Roman"/>
          <w:bCs/>
          <w:color w:val="auto"/>
          <w:sz w:val="21"/>
          <w:szCs w:val="21"/>
        </w:rPr>
      </w:pPr>
      <w:r>
        <w:rPr>
          <w:rFonts w:hint="default" w:ascii="Times New Roman" w:hAnsi="Times New Roman" w:cs="Times New Roman"/>
          <w:bCs/>
          <w:color w:val="auto"/>
          <w:sz w:val="21"/>
          <w:szCs w:val="21"/>
        </w:rPr>
        <w:t>投标人必须详阅招标文件的所有条款、文件及表格格式等。投标人若未按招标文件的要求和规范编制、提交投标文件，将有可能导致投标文件被拒绝接受或被视为无效。</w:t>
      </w:r>
    </w:p>
    <w:p>
      <w:pPr>
        <w:numPr>
          <w:ilvl w:val="1"/>
          <w:numId w:val="6"/>
        </w:numPr>
        <w:spacing w:line="360" w:lineRule="auto"/>
        <w:ind w:left="-284" w:firstLine="282" w:firstLineChars="134"/>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招标文件的澄清和修改</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采购人或者采购代理机构可以对已发出的招标文件进行必要的澄清或者修改。澄清或者修改应当在原公告发布媒体上发布澄清公告。澄清或者修改的内容为招标文件的组成部分。</w:t>
      </w:r>
    </w:p>
    <w:p>
      <w:pPr>
        <w:spacing w:line="360" w:lineRule="auto"/>
        <w:ind w:firstLine="420" w:firstLineChars="200"/>
        <w:rPr>
          <w:rFonts w:hint="default" w:ascii="Times New Roman" w:hAnsi="Times New Roman" w:cs="Times New Roman"/>
          <w:bCs/>
          <w:color w:val="auto"/>
          <w:sz w:val="21"/>
          <w:szCs w:val="21"/>
        </w:rPr>
      </w:pPr>
      <w:r>
        <w:rPr>
          <w:rFonts w:hint="default" w:ascii="Times New Roman" w:hAnsi="Times New Roman" w:cs="Times New Roman"/>
          <w:color w:val="auto"/>
          <w:sz w:val="21"/>
          <w:szCs w:val="21"/>
        </w:rPr>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pPr>
        <w:numPr>
          <w:ilvl w:val="1"/>
          <w:numId w:val="6"/>
        </w:numPr>
        <w:spacing w:line="360" w:lineRule="auto"/>
        <w:ind w:left="-142" w:firstLine="141" w:firstLineChars="67"/>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 xml:space="preserve">招标文件的约束力 </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投标人一旦获取了本招标文件并参加投标，即被认为对本招标文件中的所有条件和规定均无异议。</w:t>
      </w:r>
    </w:p>
    <w:p>
      <w:pPr>
        <w:pStyle w:val="3"/>
        <w:numPr>
          <w:ilvl w:val="3"/>
          <w:numId w:val="5"/>
        </w:numPr>
        <w:spacing w:before="0" w:after="0" w:line="360" w:lineRule="auto"/>
        <w:jc w:val="center"/>
        <w:rPr>
          <w:rFonts w:hint="default" w:ascii="Times New Roman" w:hAnsi="Times New Roman" w:eastAsia="宋体" w:cs="Times New Roman"/>
          <w:color w:val="auto"/>
          <w:sz w:val="30"/>
          <w:szCs w:val="30"/>
        </w:rPr>
      </w:pPr>
      <w:bookmarkStart w:id="10" w:name="_Toc110000288"/>
      <w:bookmarkStart w:id="11" w:name="_Toc29080"/>
      <w:bookmarkStart w:id="12" w:name="_Toc477166573"/>
      <w:bookmarkStart w:id="13" w:name="_Toc16111"/>
      <w:r>
        <w:rPr>
          <w:rFonts w:hint="default" w:ascii="Times New Roman" w:hAnsi="Times New Roman" w:eastAsia="宋体" w:cs="Times New Roman"/>
          <w:color w:val="auto"/>
          <w:sz w:val="30"/>
          <w:szCs w:val="30"/>
        </w:rPr>
        <w:t>投标文件的编制</w:t>
      </w:r>
      <w:bookmarkEnd w:id="10"/>
      <w:bookmarkEnd w:id="11"/>
      <w:bookmarkEnd w:id="12"/>
      <w:bookmarkEnd w:id="13"/>
    </w:p>
    <w:p>
      <w:pPr>
        <w:numPr>
          <w:ilvl w:val="1"/>
          <w:numId w:val="6"/>
        </w:numPr>
        <w:spacing w:line="360" w:lineRule="auto"/>
        <w:ind w:left="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要求</w:t>
      </w:r>
    </w:p>
    <w:p>
      <w:pPr>
        <w:numPr>
          <w:ilvl w:val="1"/>
          <w:numId w:val="9"/>
        </w:num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投标人应仔细阅读、并充分理解招标文件的所有内容，按照招标文件的要求编制、提交投标文件。</w:t>
      </w:r>
    </w:p>
    <w:p>
      <w:pPr>
        <w:numPr>
          <w:ilvl w:val="1"/>
          <w:numId w:val="9"/>
        </w:num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投标文件应对招标文件的要求作出实质性响应（包括投标人资格要求、商务要求和投标文件格式中对投标的要求），并保证所提供的全部资料的真实性，否则其投标将作为无效投标处理。</w:t>
      </w:r>
    </w:p>
    <w:p>
      <w:pPr>
        <w:numPr>
          <w:ilvl w:val="1"/>
          <w:numId w:val="9"/>
        </w:num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投标人没有按照招标文件要求提供全部资料，或者投标人没有对招标文件在各方面都作出实质性响应是投标人的风险，并可能导致其投标被拒绝。</w:t>
      </w:r>
    </w:p>
    <w:p>
      <w:pPr>
        <w:numPr>
          <w:ilvl w:val="1"/>
          <w:numId w:val="9"/>
        </w:num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投标人与采购人、采购代理机构的任何口头协议均不影响招标文件、投标文件的任何条款和内容。</w:t>
      </w:r>
    </w:p>
    <w:p>
      <w:pPr>
        <w:numPr>
          <w:ilvl w:val="1"/>
          <w:numId w:val="6"/>
        </w:numPr>
        <w:spacing w:line="360" w:lineRule="auto"/>
        <w:ind w:left="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投标文件的语言</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pPr>
        <w:numPr>
          <w:ilvl w:val="1"/>
          <w:numId w:val="6"/>
        </w:numPr>
        <w:spacing w:line="360" w:lineRule="auto"/>
        <w:ind w:left="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计量单位</w:t>
      </w:r>
    </w:p>
    <w:p>
      <w:pPr>
        <w:numPr>
          <w:ilvl w:val="1"/>
          <w:numId w:val="10"/>
        </w:numPr>
        <w:spacing w:line="360" w:lineRule="auto"/>
        <w:ind w:firstLine="424" w:firstLineChars="202"/>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除在招标文件中另有规定外，计量单位应使用中华人民共和国法定计量单位。</w:t>
      </w:r>
    </w:p>
    <w:p>
      <w:pPr>
        <w:numPr>
          <w:ilvl w:val="1"/>
          <w:numId w:val="10"/>
        </w:num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本招标文件所表述的时间均为北京时间。</w:t>
      </w:r>
    </w:p>
    <w:p>
      <w:pPr>
        <w:numPr>
          <w:ilvl w:val="1"/>
          <w:numId w:val="6"/>
        </w:numPr>
        <w:spacing w:line="360" w:lineRule="auto"/>
        <w:ind w:left="0" w:leftChars="-1" w:hanging="2"/>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投标文件的组成</w:t>
      </w:r>
    </w:p>
    <w:p>
      <w:pPr>
        <w:numPr>
          <w:ilvl w:val="1"/>
          <w:numId w:val="11"/>
        </w:num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投标文件由第五章投标文件格式及本招标文件要求提供的相关资料组成。</w:t>
      </w:r>
    </w:p>
    <w:p>
      <w:pPr>
        <w:numPr>
          <w:ilvl w:val="1"/>
          <w:numId w:val="11"/>
        </w:num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投标人必须对完整的项目（包）进行投标，拆分投标将视为漏项或非实质性响应招标要求，按无效投标处理。</w:t>
      </w:r>
    </w:p>
    <w:p>
      <w:pPr>
        <w:numPr>
          <w:ilvl w:val="1"/>
          <w:numId w:val="6"/>
        </w:numPr>
        <w:spacing w:line="360" w:lineRule="auto"/>
        <w:ind w:left="-2" w:leftChars="-1" w:firstLine="1"/>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投标文件格式</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12.1投标人必须按照招标文件提供的“第五章投标文件格式”完整的填写和编制投标文件，未提供格式的可自行拟定。</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12.2电子投标文件具有法律效力，与其他形式的投标文件在内容和格式上等同，若投标文件与招标文件的要求不一致，其内容影响中标结果时，责任由投标人自行承担。</w:t>
      </w:r>
    </w:p>
    <w:p>
      <w:pPr>
        <w:numPr>
          <w:ilvl w:val="1"/>
          <w:numId w:val="6"/>
        </w:numPr>
        <w:spacing w:line="360" w:lineRule="auto"/>
        <w:ind w:left="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投标报价</w:t>
      </w:r>
    </w:p>
    <w:p>
      <w:pPr>
        <w:numPr>
          <w:ilvl w:val="1"/>
          <w:numId w:val="12"/>
        </w:num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报价范围：见投标人须知前附表。</w:t>
      </w:r>
    </w:p>
    <w:p>
      <w:pPr>
        <w:numPr>
          <w:ilvl w:val="1"/>
          <w:numId w:val="12"/>
        </w:num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报价应具有唯一性，即只能有一个有效报价，本项目不接受任何有选择性的报价。</w:t>
      </w:r>
    </w:p>
    <w:p>
      <w:pPr>
        <w:numPr>
          <w:ilvl w:val="1"/>
          <w:numId w:val="6"/>
        </w:numPr>
        <w:spacing w:line="360" w:lineRule="auto"/>
        <w:ind w:left="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投标货币</w:t>
      </w:r>
    </w:p>
    <w:p>
      <w:pPr>
        <w:spacing w:line="360" w:lineRule="auto"/>
        <w:ind w:firstLine="420" w:firstLineChars="200"/>
        <w:rPr>
          <w:rFonts w:hint="default" w:ascii="Times New Roman" w:hAnsi="Times New Roman" w:cs="Times New Roman"/>
          <w:bCs/>
          <w:color w:val="auto"/>
          <w:sz w:val="21"/>
          <w:szCs w:val="21"/>
        </w:rPr>
      </w:pPr>
      <w:r>
        <w:rPr>
          <w:rFonts w:hint="default" w:ascii="Times New Roman" w:hAnsi="Times New Roman" w:cs="Times New Roman"/>
          <w:bCs/>
          <w:color w:val="auto"/>
          <w:sz w:val="21"/>
          <w:szCs w:val="21"/>
        </w:rPr>
        <w:t>本项目所有报价均使用人民币填报，采购人不接受任何非人民币币种的投标报价。</w:t>
      </w:r>
    </w:p>
    <w:p>
      <w:pPr>
        <w:numPr>
          <w:ilvl w:val="1"/>
          <w:numId w:val="6"/>
        </w:numPr>
        <w:spacing w:line="360" w:lineRule="auto"/>
        <w:ind w:left="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投标保证金：详见投标人须知前附表。</w:t>
      </w:r>
    </w:p>
    <w:p>
      <w:pPr>
        <w:numPr>
          <w:ilvl w:val="1"/>
          <w:numId w:val="6"/>
        </w:numPr>
        <w:spacing w:line="360" w:lineRule="auto"/>
        <w:ind w:left="0"/>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投标有效期</w:t>
      </w:r>
    </w:p>
    <w:p>
      <w:pPr>
        <w:numPr>
          <w:ilvl w:val="1"/>
          <w:numId w:val="13"/>
        </w:num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投标有效期见投标人须知前附表，</w:t>
      </w:r>
      <w:r>
        <w:rPr>
          <w:rFonts w:hint="default" w:ascii="Times New Roman" w:hAnsi="Times New Roman" w:cs="Times New Roman"/>
          <w:color w:val="auto"/>
          <w:sz w:val="21"/>
          <w:szCs w:val="21"/>
          <w:shd w:val="clear" w:color="auto" w:fill="FFFFFF"/>
        </w:rPr>
        <w:t>投标文件中承诺的投标有效期应当不少于本招标文件中载明的投标有效期</w:t>
      </w:r>
      <w:r>
        <w:rPr>
          <w:rFonts w:hint="default" w:ascii="Times New Roman" w:hAnsi="Times New Roman" w:cs="Times New Roman"/>
          <w:color w:val="auto"/>
          <w:sz w:val="21"/>
          <w:szCs w:val="21"/>
        </w:rPr>
        <w:t>。中标人的投标文件有效期至合同完全履行止。</w:t>
      </w:r>
    </w:p>
    <w:p>
      <w:pPr>
        <w:numPr>
          <w:ilvl w:val="1"/>
          <w:numId w:val="13"/>
        </w:num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投标有效期内，投标人撤销或修改其投标文件的，应承担招标文件和相关法律法规规定的责任。</w:t>
      </w:r>
    </w:p>
    <w:p>
      <w:pPr>
        <w:spacing w:line="360" w:lineRule="auto"/>
        <w:rPr>
          <w:rFonts w:hint="default" w:ascii="Times New Roman" w:hAnsi="Times New Roman" w:cs="Times New Roman"/>
          <w:color w:val="auto"/>
          <w:sz w:val="21"/>
          <w:szCs w:val="21"/>
        </w:rPr>
      </w:pPr>
      <w:r>
        <w:rPr>
          <w:rFonts w:hint="default" w:ascii="Times New Roman" w:hAnsi="Times New Roman" w:cs="Times New Roman"/>
          <w:b/>
          <w:bCs/>
          <w:color w:val="auto"/>
          <w:sz w:val="21"/>
          <w:szCs w:val="21"/>
        </w:rPr>
        <w:t>17.投标文件的编制、签署、盖章</w:t>
      </w:r>
    </w:p>
    <w:p>
      <w:pPr>
        <w:pStyle w:val="26"/>
        <w:spacing w:line="360" w:lineRule="auto"/>
        <w:ind w:firstLine="105" w:firstLineChars="50"/>
        <w:jc w:val="both"/>
        <w:rPr>
          <w:rFonts w:hint="default" w:ascii="Times New Roman" w:hAnsi="Times New Roman" w:cs="Times New Roman"/>
          <w:color w:val="auto"/>
          <w:sz w:val="21"/>
          <w:szCs w:val="21"/>
        </w:rPr>
      </w:pPr>
      <w:bookmarkStart w:id="14" w:name="_Toc477166574"/>
      <w:bookmarkStart w:id="15" w:name="_Toc476237535"/>
      <w:bookmarkStart w:id="16" w:name="_Toc13096"/>
      <w:r>
        <w:rPr>
          <w:rFonts w:hint="default" w:ascii="Times New Roman" w:hAnsi="Times New Roman" w:cs="Times New Roman"/>
          <w:color w:val="auto"/>
          <w:sz w:val="21"/>
          <w:szCs w:val="21"/>
        </w:rPr>
        <w:t xml:space="preserve">   17.1 加密电子投标文件的编制</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17.1.1 加密电子投标文件应按照统一的“电子投标文件制作工具”以及招标文件要求进行制作编制；</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17.1.2 加密电子投标文件各类证件须与投标人注册登记资料相一致；</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17.1.3 加密电子投标文件未按本招标文件中投标文件格式要求加盖电子签章的视为无效文件。</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17.2 投标人应完整地填写招标文件中规定的所有内容。</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17.3 投标人必须保证投标文件所提供的全部资料真实可靠。</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17.4 如果因为投标人投标文件填报的内容不详，或没有提供招标文件中所要求的全部资料及数据，由此造成的后果，其责任由投标人自行承担。</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17.5 本招标文件所表述（指定）的公章是指法人（投标人）行政公章，不包括专用章，并应与电子签章保持一致。</w:t>
      </w:r>
    </w:p>
    <w:p>
      <w:pPr>
        <w:pStyle w:val="26"/>
        <w:spacing w:line="360" w:lineRule="auto"/>
        <w:ind w:firstLine="420" w:firstLineChars="200"/>
        <w:jc w:val="both"/>
        <w:rPr>
          <w:rFonts w:hint="default" w:ascii="Times New Roman" w:hAnsi="Times New Roman" w:cs="Times New Roman"/>
          <w:color w:val="auto"/>
        </w:rPr>
      </w:pPr>
      <w:r>
        <w:rPr>
          <w:rFonts w:hint="default" w:ascii="Times New Roman" w:hAnsi="Times New Roman" w:cs="Times New Roman"/>
          <w:color w:val="auto"/>
          <w:sz w:val="21"/>
          <w:szCs w:val="21"/>
        </w:rPr>
        <w:t>17.6 电报、电话、传真等形式的投标概不接受。</w:t>
      </w:r>
    </w:p>
    <w:p>
      <w:pPr>
        <w:pStyle w:val="3"/>
        <w:numPr>
          <w:ilvl w:val="3"/>
          <w:numId w:val="5"/>
        </w:numPr>
        <w:spacing w:before="0" w:after="0" w:line="360" w:lineRule="auto"/>
        <w:jc w:val="center"/>
        <w:rPr>
          <w:rFonts w:hint="default" w:ascii="Times New Roman" w:hAnsi="Times New Roman" w:eastAsia="宋体" w:cs="Times New Roman"/>
          <w:color w:val="auto"/>
          <w:sz w:val="30"/>
          <w:szCs w:val="30"/>
        </w:rPr>
      </w:pPr>
      <w:bookmarkStart w:id="17" w:name="_Toc110000289"/>
      <w:r>
        <w:rPr>
          <w:rFonts w:hint="default" w:ascii="Times New Roman" w:hAnsi="Times New Roman" w:eastAsia="宋体" w:cs="Times New Roman"/>
          <w:color w:val="auto"/>
          <w:sz w:val="30"/>
          <w:szCs w:val="30"/>
        </w:rPr>
        <w:t>投标文件的递交</w:t>
      </w:r>
      <w:bookmarkEnd w:id="14"/>
      <w:bookmarkEnd w:id="15"/>
      <w:r>
        <w:rPr>
          <w:rFonts w:hint="default" w:ascii="Times New Roman" w:hAnsi="Times New Roman" w:eastAsia="宋体" w:cs="Times New Roman"/>
          <w:color w:val="auto"/>
          <w:sz w:val="30"/>
          <w:szCs w:val="30"/>
        </w:rPr>
        <w:t>、修改和撤回</w:t>
      </w:r>
      <w:bookmarkEnd w:id="16"/>
      <w:bookmarkEnd w:id="17"/>
    </w:p>
    <w:p>
      <w:pPr>
        <w:spacing w:line="360" w:lineRule="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18.投标文件的递交</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18.1所有投标文件必须在本招标文件中规定的投标截止时间之前提前上传投标文件，并在开标截止时间前登录不见面开标大厅，按要求解密投标文件，不能按时上传、解密者视为自动放弃投标。</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18.2采购人拒绝接收在投标文件递交截止时间后上传的投标文件。</w:t>
      </w:r>
    </w:p>
    <w:p>
      <w:pPr>
        <w:spacing w:line="360" w:lineRule="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19.投标文件的修改和撤回</w:t>
      </w:r>
    </w:p>
    <w:p>
      <w:pPr>
        <w:pStyle w:val="27"/>
        <w:spacing w:line="360" w:lineRule="auto"/>
        <w:ind w:firstLine="105" w:firstLineChars="5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bookmarkStart w:id="18" w:name="_Toc32364"/>
      <w:bookmarkStart w:id="19" w:name="_Toc477166575"/>
      <w:bookmarkStart w:id="20" w:name="_Toc476237536"/>
      <w:r>
        <w:rPr>
          <w:rFonts w:hint="default" w:ascii="Times New Roman" w:hAnsi="Times New Roman" w:cs="Times New Roman"/>
          <w:color w:val="auto"/>
          <w:sz w:val="21"/>
          <w:szCs w:val="21"/>
        </w:rPr>
        <w:t xml:space="preserve">  19.1参加投标的投标人在递交投标文件后，可以修改或撤回其投标文件，但这种修改和撤回，必须在规定的投标文件递交截止时间前。</w:t>
      </w:r>
    </w:p>
    <w:p>
      <w:pPr>
        <w:pStyle w:val="27"/>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19.2投标人在投标文件递交截止时间前，可以对所提交的投标文件进行修改或者撤回。</w:t>
      </w:r>
    </w:p>
    <w:p>
      <w:pPr>
        <w:pStyle w:val="27"/>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19.3投标人在投标文件递交截止时间后不得修改、撤回投标文件。投标人在投标文件递交截止时间后修改投标文件的，其投标被拒绝。</w:t>
      </w:r>
    </w:p>
    <w:p>
      <w:pPr>
        <w:pStyle w:val="27"/>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19.4在投标文件递交截止时间至代理机构在招标文件中规定的投标有效期满之间的这段时间内，参加投标的投标人不得撤回其投标文件。</w:t>
      </w:r>
      <w:bookmarkEnd w:id="18"/>
      <w:bookmarkEnd w:id="19"/>
      <w:bookmarkEnd w:id="20"/>
    </w:p>
    <w:p>
      <w:pPr>
        <w:pStyle w:val="3"/>
        <w:numPr>
          <w:ilvl w:val="3"/>
          <w:numId w:val="5"/>
        </w:numPr>
        <w:spacing w:before="0" w:after="0" w:line="360" w:lineRule="auto"/>
        <w:jc w:val="center"/>
        <w:rPr>
          <w:rFonts w:hint="default" w:ascii="Times New Roman" w:hAnsi="Times New Roman" w:eastAsia="宋体" w:cs="Times New Roman"/>
          <w:color w:val="auto"/>
          <w:sz w:val="30"/>
          <w:szCs w:val="30"/>
        </w:rPr>
      </w:pPr>
      <w:bookmarkStart w:id="21" w:name="_Toc110000290"/>
      <w:r>
        <w:rPr>
          <w:rFonts w:hint="default" w:ascii="Times New Roman" w:hAnsi="Times New Roman" w:eastAsia="宋体" w:cs="Times New Roman"/>
          <w:color w:val="auto"/>
          <w:sz w:val="30"/>
          <w:szCs w:val="30"/>
        </w:rPr>
        <w:t>开标与评标</w:t>
      </w:r>
      <w:bookmarkEnd w:id="21"/>
    </w:p>
    <w:p>
      <w:pPr>
        <w:pStyle w:val="26"/>
        <w:spacing w:line="360" w:lineRule="auto"/>
        <w:jc w:val="both"/>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20.开标</w:t>
      </w:r>
    </w:p>
    <w:p>
      <w:pPr>
        <w:pStyle w:val="26"/>
        <w:spacing w:line="360" w:lineRule="auto"/>
        <w:ind w:firstLine="210" w:firstLineChars="1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20.1 开标时间和地点：详见投标人须知前附表规定</w:t>
      </w:r>
    </w:p>
    <w:p>
      <w:pPr>
        <w:pStyle w:val="26"/>
        <w:spacing w:line="360" w:lineRule="auto"/>
        <w:ind w:firstLine="210" w:firstLineChars="100"/>
        <w:jc w:val="both"/>
        <w:rPr>
          <w:rFonts w:hint="default" w:ascii="Times New Roman" w:hAnsi="Times New Roman" w:cs="Times New Roman"/>
          <w:b/>
          <w:color w:val="auto"/>
          <w:sz w:val="21"/>
          <w:szCs w:val="21"/>
        </w:rPr>
      </w:pPr>
      <w:r>
        <w:rPr>
          <w:rFonts w:hint="default" w:ascii="Times New Roman" w:hAnsi="Times New Roman" w:cs="Times New Roman"/>
          <w:color w:val="auto"/>
          <w:sz w:val="21"/>
          <w:szCs w:val="21"/>
        </w:rPr>
        <w:t xml:space="preserve">20.2 开标程序：详见投标人须知前附表规定。 </w:t>
      </w:r>
    </w:p>
    <w:p>
      <w:pPr>
        <w:pStyle w:val="26"/>
        <w:spacing w:line="360" w:lineRule="auto"/>
        <w:jc w:val="both"/>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21.开标时出现下列情况的，采购人将拒绝其投标文件：</w:t>
      </w:r>
    </w:p>
    <w:p>
      <w:pPr>
        <w:pStyle w:val="26"/>
        <w:spacing w:line="360" w:lineRule="auto"/>
        <w:ind w:firstLine="210" w:firstLineChars="1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21.1 投标人逾期上传电子投标文件的；</w:t>
      </w:r>
    </w:p>
    <w:p>
      <w:pPr>
        <w:pStyle w:val="26"/>
        <w:spacing w:line="360" w:lineRule="auto"/>
        <w:ind w:firstLine="210" w:firstLineChars="1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21.2  投标人未按投标人须知表规定的时间内解密投标文件的。</w:t>
      </w:r>
    </w:p>
    <w:p>
      <w:pPr>
        <w:pStyle w:val="26"/>
        <w:spacing w:line="360" w:lineRule="auto"/>
        <w:jc w:val="both"/>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22.资格审查</w:t>
      </w:r>
    </w:p>
    <w:p>
      <w:pPr>
        <w:pStyle w:val="26"/>
        <w:spacing w:line="360" w:lineRule="auto"/>
        <w:ind w:firstLine="210" w:firstLineChars="1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22.1 开标结束后，采购人或者采购代理机构依法对投标人的资格进行审查。</w:t>
      </w:r>
    </w:p>
    <w:p>
      <w:pPr>
        <w:pStyle w:val="26"/>
        <w:spacing w:line="360" w:lineRule="auto"/>
        <w:ind w:firstLine="210" w:firstLineChars="1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22.2 采购人或者采购代理机构审查每个投标人提交的资格证明材料是否齐全、完整、有效，不具备招标文件中规定的资格要求的投标人投标无效。</w:t>
      </w:r>
    </w:p>
    <w:p>
      <w:pPr>
        <w:pStyle w:val="26"/>
        <w:spacing w:line="360" w:lineRule="auto"/>
        <w:ind w:firstLine="210" w:firstLineChars="1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22.3 投标文件中有下列情形之一的，其投标无效：</w:t>
      </w:r>
    </w:p>
    <w:p>
      <w:pPr>
        <w:pStyle w:val="26"/>
        <w:spacing w:line="360" w:lineRule="auto"/>
        <w:ind w:left="-142" w:leftChars="-59"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本文件第五章投标文件格式中“资格证明材料”所要求的资格证明材料不全或不符合要求的。</w:t>
      </w:r>
    </w:p>
    <w:p>
      <w:pPr>
        <w:pStyle w:val="26"/>
        <w:spacing w:line="360" w:lineRule="auto"/>
        <w:jc w:val="both"/>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23.评标委员会的组成：见投标人须知前附表。</w:t>
      </w:r>
    </w:p>
    <w:p>
      <w:pPr>
        <w:pStyle w:val="26"/>
        <w:spacing w:line="360" w:lineRule="auto"/>
        <w:jc w:val="both"/>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24.评标委员会负责具体评标事务，并独立履行下列职责：</w:t>
      </w:r>
    </w:p>
    <w:p>
      <w:pPr>
        <w:pStyle w:val="26"/>
        <w:spacing w:line="36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（1）审查、评价投标文件是否符合招标文件的商务、技术等实质性要求；</w:t>
      </w:r>
    </w:p>
    <w:p>
      <w:pPr>
        <w:pStyle w:val="26"/>
        <w:spacing w:line="36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（2）要求投标人对投标文件有关事项作出澄清或者说明；</w:t>
      </w:r>
    </w:p>
    <w:p>
      <w:pPr>
        <w:pStyle w:val="26"/>
        <w:spacing w:line="36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（3）对投标文件进行比较和评价；</w:t>
      </w:r>
    </w:p>
    <w:p>
      <w:pPr>
        <w:pStyle w:val="26"/>
        <w:spacing w:line="36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（4）确定中标候选人名单或根据采购人委托直接确定中标人；</w:t>
      </w:r>
    </w:p>
    <w:p>
      <w:pPr>
        <w:pStyle w:val="26"/>
        <w:spacing w:line="36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（5）向采购人、采购代理机构或者有关部门报告评标中发现的违法行为。</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评标委员会成员对需要共同认定的事项存在争议的，应当按照少数服从多数的原则作出结论。持不同意见的评标委员会成员应当在评标报告上签署不同意见及理由，否则视为同意评标报告。</w:t>
      </w:r>
    </w:p>
    <w:p>
      <w:pPr>
        <w:pStyle w:val="26"/>
        <w:spacing w:line="360" w:lineRule="auto"/>
        <w:jc w:val="both"/>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 xml:space="preserve">25.对投标文件的符合性审查 </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25.1 评标委员会对符合资格的投标人的投标文件进行符合性审查，以确定其是否满足招标文件的实质性要求。</w:t>
      </w:r>
    </w:p>
    <w:p>
      <w:pPr>
        <w:pStyle w:val="26"/>
        <w:spacing w:line="360" w:lineRule="auto"/>
        <w:jc w:val="both"/>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符合性审查的内容包括：</w:t>
      </w:r>
    </w:p>
    <w:p>
      <w:pPr>
        <w:pStyle w:val="26"/>
        <w:spacing w:line="36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（1）报价超过招标文件中规定的项目预算金额的；</w:t>
      </w:r>
    </w:p>
    <w:p>
      <w:pPr>
        <w:pStyle w:val="26"/>
        <w:spacing w:line="36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（2）投标文件未按招标文件要求签字、盖章的；</w:t>
      </w:r>
    </w:p>
    <w:p>
      <w:pPr>
        <w:pStyle w:val="26"/>
        <w:spacing w:line="36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（3）投标文件格式不符合招标文件中投标文件格式要求的；</w:t>
      </w:r>
    </w:p>
    <w:p>
      <w:pPr>
        <w:pStyle w:val="26"/>
        <w:spacing w:line="36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（4）不响应招标文件商务要求的；</w:t>
      </w:r>
    </w:p>
    <w:p>
      <w:pPr>
        <w:pStyle w:val="26"/>
        <w:spacing w:line="360" w:lineRule="auto"/>
        <w:jc w:val="both"/>
        <w:rPr>
          <w:rFonts w:hint="eastAsia"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lang w:val="en-US" w:eastAsia="zh-CN"/>
        </w:rPr>
        <w:t>5</w:t>
      </w:r>
      <w:r>
        <w:rPr>
          <w:rFonts w:hint="eastAsia" w:ascii="Times New Roman" w:hAnsi="Times New Roman" w:eastAsia="宋体" w:cs="Times New Roman"/>
          <w:color w:val="auto"/>
          <w:sz w:val="21"/>
          <w:szCs w:val="21"/>
          <w:lang w:eastAsia="zh-CN"/>
        </w:rPr>
        <w:t>）</w:t>
      </w:r>
      <w:r>
        <w:rPr>
          <w:rFonts w:hint="eastAsia" w:ascii="Times New Roman" w:hAnsi="Times New Roman" w:eastAsia="宋体" w:cs="Times New Roman"/>
          <w:color w:val="auto"/>
          <w:sz w:val="21"/>
          <w:szCs w:val="21"/>
        </w:rPr>
        <w:t>不响应招标文件</w:t>
      </w:r>
      <w:r>
        <w:rPr>
          <w:rFonts w:hint="eastAsia" w:ascii="Times New Roman" w:hAnsi="Times New Roman" w:eastAsia="宋体" w:cs="Times New Roman"/>
          <w:color w:val="auto"/>
          <w:sz w:val="21"/>
          <w:szCs w:val="21"/>
          <w:lang w:eastAsia="zh-CN"/>
        </w:rPr>
        <w:t>第四章采购需求中</w:t>
      </w:r>
      <w:r>
        <w:rPr>
          <w:rFonts w:hint="eastAsia" w:ascii="Times New Roman" w:hAnsi="Times New Roman" w:eastAsia="宋体" w:cs="Times New Roman"/>
          <w:color w:val="auto"/>
          <w:sz w:val="21"/>
          <w:szCs w:val="21"/>
        </w:rPr>
        <w:t>技术要求的；</w:t>
      </w:r>
    </w:p>
    <w:p>
      <w:pPr>
        <w:pStyle w:val="26"/>
        <w:spacing w:line="36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r>
        <w:rPr>
          <w:rFonts w:hint="eastAsia" w:ascii="Times New Roman" w:cs="Times New Roman"/>
          <w:color w:val="auto"/>
          <w:sz w:val="21"/>
          <w:szCs w:val="21"/>
          <w:lang w:val="en-US" w:eastAsia="zh-CN"/>
        </w:rPr>
        <w:t>6</w:t>
      </w:r>
      <w:r>
        <w:rPr>
          <w:rFonts w:hint="default" w:ascii="Times New Roman" w:hAnsi="Times New Roman" w:cs="Times New Roman"/>
          <w:color w:val="auto"/>
          <w:sz w:val="21"/>
          <w:szCs w:val="21"/>
        </w:rPr>
        <w:t>）投标文件中出现有选择性报价的；</w:t>
      </w:r>
    </w:p>
    <w:p>
      <w:pPr>
        <w:pStyle w:val="26"/>
        <w:spacing w:line="36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r>
        <w:rPr>
          <w:rFonts w:hint="eastAsia" w:ascii="Times New Roman" w:cs="Times New Roman"/>
          <w:color w:val="auto"/>
          <w:sz w:val="21"/>
          <w:szCs w:val="21"/>
          <w:lang w:val="en-US" w:eastAsia="zh-CN"/>
        </w:rPr>
        <w:t>7</w:t>
      </w:r>
      <w:r>
        <w:rPr>
          <w:rFonts w:hint="default" w:ascii="Times New Roman" w:hAnsi="Times New Roman" w:cs="Times New Roman"/>
          <w:color w:val="auto"/>
          <w:sz w:val="21"/>
          <w:szCs w:val="21"/>
        </w:rPr>
        <w:t>）投标文件含有采购人不能接受的附加条件的；</w:t>
      </w:r>
    </w:p>
    <w:p>
      <w:pPr>
        <w:pStyle w:val="26"/>
        <w:spacing w:line="36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r>
        <w:rPr>
          <w:rFonts w:hint="eastAsia" w:ascii="Times New Roman" w:cs="Times New Roman"/>
          <w:color w:val="auto"/>
          <w:sz w:val="21"/>
          <w:szCs w:val="21"/>
          <w:lang w:val="en-US" w:eastAsia="zh-CN"/>
        </w:rPr>
        <w:t>8</w:t>
      </w:r>
      <w:r>
        <w:rPr>
          <w:rFonts w:hint="default" w:ascii="Times New Roman" w:hAnsi="Times New Roman" w:cs="Times New Roman"/>
          <w:color w:val="auto"/>
          <w:sz w:val="21"/>
          <w:szCs w:val="21"/>
        </w:rPr>
        <w:t>）法律、法规和招标文件规定的其他无效情形。</w:t>
      </w:r>
    </w:p>
    <w:p>
      <w:pPr>
        <w:pStyle w:val="26"/>
        <w:spacing w:line="36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投标人存在以上情况之一的，投标无效。</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25.2 对资格审查合格的投标人提交的投标文件，依据招标文件的规定，从投标文件的有效性、完整性和对招标文件的响应程度，检查投标文件是否对招标文件的实质性要求作出了响应。</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25.3 实质性响应的投标是指与招标文件的全部条款、条件和规格相符，没有重大偏离。</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25.4 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25.5 如果投标文件实质上没有响应招标文件的要求，将作为无效投标处理，投标人不得再对投标文件进行任何修正从而使其投标成为实质上响应的投标。</w:t>
      </w:r>
    </w:p>
    <w:p>
      <w:pPr>
        <w:pStyle w:val="26"/>
        <w:spacing w:line="360" w:lineRule="auto"/>
        <w:jc w:val="both"/>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26.有下列情形之一的，视为投标人串通投标，其投标无效：</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（1）不同投标人的投标文件由同一单位或者个人编制；</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（2）不同投标人委托同一单位或者个人办理投标事宜；</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（3）不同投标人的投标文件载明的项目管理成员或者联系人员为同一人；</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（4）不同投标人的投标文件异常一致或者投标报价呈规律性差异。</w:t>
      </w:r>
    </w:p>
    <w:p>
      <w:pPr>
        <w:pStyle w:val="26"/>
        <w:spacing w:line="360" w:lineRule="auto"/>
        <w:jc w:val="both"/>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27.投标文件报价出现前后不一致的，除招标文件另有规定外，按照下列规定修正：</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（1）投标文件中开标一览表（报价表）内容与投标文件中相应内容不一致的，以开标一览表（报价表）为准；</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（2）大写金额和小写金额不一致的，以大写金额为准；</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（3）单价金额小数点或者百分比有明显错位的，以开标一览表的总价为准，并修改单价；</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（4）总价金额与按单价汇总金额不一致的，以单价金额计算结果为准。</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同时出现两种以上不一致的，按照前款规定的顺序修正。修正后的投标报价经投标人确认后产生约束力，投标人不确认的，其投标无效。</w:t>
      </w:r>
    </w:p>
    <w:p>
      <w:pPr>
        <w:pStyle w:val="26"/>
        <w:spacing w:line="360" w:lineRule="auto"/>
        <w:jc w:val="both"/>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28.投标文件的澄清</w:t>
      </w:r>
    </w:p>
    <w:p>
      <w:pPr>
        <w:pStyle w:val="30"/>
        <w:numPr>
          <w:ilvl w:val="1"/>
          <w:numId w:val="14"/>
        </w:numPr>
        <w:tabs>
          <w:tab w:val="left" w:pos="-180"/>
        </w:tabs>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对于投标文件中含义不明确、同类问题表述不一致或者有明显文字和计算错误的内容，评标委员会应当以书面形式要求投标人作出必要的澄清、说明或者补正。</w:t>
      </w:r>
    </w:p>
    <w:p>
      <w:pPr>
        <w:pStyle w:val="30"/>
        <w:numPr>
          <w:ilvl w:val="1"/>
          <w:numId w:val="14"/>
        </w:numPr>
        <w:tabs>
          <w:tab w:val="left" w:pos="-180"/>
        </w:tabs>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pPr>
        <w:pStyle w:val="30"/>
        <w:numPr>
          <w:ilvl w:val="1"/>
          <w:numId w:val="14"/>
        </w:numPr>
        <w:tabs>
          <w:tab w:val="left" w:pos="-180"/>
        </w:tabs>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评标委员会不得接受投标人主动提出的澄清和解释。</w:t>
      </w:r>
    </w:p>
    <w:p>
      <w:pPr>
        <w:pStyle w:val="30"/>
        <w:numPr>
          <w:ilvl w:val="1"/>
          <w:numId w:val="14"/>
        </w:numPr>
        <w:tabs>
          <w:tab w:val="left" w:pos="-180"/>
        </w:tabs>
        <w:spacing w:line="360" w:lineRule="auto"/>
        <w:ind w:firstLine="420" w:firstLineChars="200"/>
        <w:rPr>
          <w:rFonts w:hint="default" w:ascii="Times New Roman" w:hAnsi="Times New Roman" w:cs="Times New Roman"/>
          <w:color w:val="auto"/>
          <w:szCs w:val="21"/>
        </w:rPr>
      </w:pPr>
      <w:r>
        <w:rPr>
          <w:rFonts w:hint="default" w:ascii="Times New Roman" w:hAnsi="Times New Roman" w:cs="Times New Roman"/>
          <w:color w:val="auto"/>
          <w:szCs w:val="21"/>
        </w:rPr>
        <w:t>并非每个投标人都将被要求做出澄清和答复。</w:t>
      </w:r>
    </w:p>
    <w:p>
      <w:pPr>
        <w:pStyle w:val="26"/>
        <w:spacing w:line="360" w:lineRule="auto"/>
        <w:jc w:val="both"/>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29.比较与评价</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29.1 评标方法和标准：见本文件第六章；</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29.2 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29.3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29.4 同一品牌的认定：</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6"/>
        <w:spacing w:line="360" w:lineRule="auto"/>
        <w:ind w:firstLine="525" w:firstLineChars="25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非单一产品采购项目，采购人应当根据采购项目技术构成、产品价格比重等合理确定核心产品，并在招标文件中载明。多家投标人提供的核心产品品牌相同的，按前两款规定处理。</w:t>
      </w:r>
    </w:p>
    <w:p>
      <w:pPr>
        <w:pStyle w:val="26"/>
        <w:spacing w:line="360" w:lineRule="auto"/>
        <w:jc w:val="both"/>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30.保密及其他注意事项</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30.1 评标委员会将遵照评标原则，公平、公正地对待所有投标人。</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30.2 在评标期间，投标人不得向评标委员会成员询问评标情况，不得进行旨在影响中标结果的活动。</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30.3 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30.4 采购人、采购代理机构应当采取必要措施，保证评标在严格保密的情况下进行。除采购人代表、评标现场组织人员外，采购人的其他工作人员以及与评标工作无关的人员不得进入评标现场。</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30.5 有关人员对评标情况以及在评标过程中获悉的国家秘密、商业秘密负有保密责任。</w:t>
      </w:r>
    </w:p>
    <w:p>
      <w:pPr>
        <w:pStyle w:val="26"/>
        <w:spacing w:line="360" w:lineRule="auto"/>
        <w:jc w:val="both"/>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31.废标条款</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在招标采购中，出现下列情形之一的，应予废标：</w:t>
      </w:r>
    </w:p>
    <w:p>
      <w:pPr>
        <w:pStyle w:val="26"/>
        <w:spacing w:line="36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（1）符合专业条件的投标人或者对招标文件作实质响应的投标人不足三家的；</w:t>
      </w:r>
    </w:p>
    <w:p>
      <w:pPr>
        <w:pStyle w:val="26"/>
        <w:spacing w:line="36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（2）投标人的报价均超过了采购预算，采购人不能支付的；</w:t>
      </w:r>
    </w:p>
    <w:p>
      <w:pPr>
        <w:pStyle w:val="26"/>
        <w:spacing w:line="36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（3）出现影响采购公正的违法、违规行为的；</w:t>
      </w:r>
    </w:p>
    <w:p>
      <w:pPr>
        <w:pStyle w:val="26"/>
        <w:spacing w:line="360" w:lineRule="auto"/>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（4）因重大变故，采购任务取消的。</w:t>
      </w:r>
    </w:p>
    <w:p>
      <w:pPr>
        <w:pStyle w:val="3"/>
        <w:numPr>
          <w:ilvl w:val="3"/>
          <w:numId w:val="5"/>
        </w:numPr>
        <w:spacing w:before="0" w:after="0" w:line="360" w:lineRule="auto"/>
        <w:jc w:val="center"/>
        <w:rPr>
          <w:rFonts w:hint="default" w:ascii="Times New Roman" w:hAnsi="Times New Roman" w:eastAsia="宋体" w:cs="Times New Roman"/>
          <w:color w:val="auto"/>
          <w:sz w:val="30"/>
          <w:szCs w:val="30"/>
        </w:rPr>
      </w:pPr>
      <w:bookmarkStart w:id="22" w:name="_Toc110000291"/>
      <w:r>
        <w:rPr>
          <w:rFonts w:hint="default" w:ascii="Times New Roman" w:hAnsi="Times New Roman" w:eastAsia="宋体" w:cs="Times New Roman"/>
          <w:color w:val="auto"/>
          <w:sz w:val="30"/>
          <w:szCs w:val="30"/>
        </w:rPr>
        <w:t>中标和合同</w:t>
      </w:r>
      <w:bookmarkEnd w:id="22"/>
    </w:p>
    <w:p>
      <w:pPr>
        <w:pStyle w:val="26"/>
        <w:spacing w:line="360" w:lineRule="auto"/>
        <w:jc w:val="both"/>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32.中标通知</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32.1 中标结果将在“原招标公告发布媒体”上公告。</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32.2 在公告中标结果的同时，采购人应当向中标人发出中标通知书。</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32.3 中标人凭《中标通知书》与采购人签订合同。</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32.4 履约担保（如有）：中标人应按招标文件的规定在签订合同前向采购人交纳履约担保。过期不交的将取消其中标资格，另行确定中标人。</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32.5 履约担保的形式：应当以支票、汇票、本票或者金融机构、担保机构出具的保函，非现金形式提交。</w:t>
      </w:r>
    </w:p>
    <w:p>
      <w:pPr>
        <w:pStyle w:val="26"/>
        <w:spacing w:line="360" w:lineRule="auto"/>
        <w:jc w:val="both"/>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33.签订合同及合同的执行</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33.1 采购人、中标人在中标通知书发布之日起30日内（投标人须知前附表另有规定者从其规定），根据招标文件确定的事项和中标人投标文件签订书面合同。双方所签订的合同不得对招标文件和中标人投标文件作实质性修改。</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33.2 招标文件的修改文件、中标人的投标文件、补充或修改的文件及澄清或承诺文件等，均为双方签订合同的组成部分，并与合同一并作为本招标文件所列采购项目的互补性法律文件，与合同具有同等法律效力。</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33.</w:t>
      </w:r>
      <w:r>
        <w:rPr>
          <w:rFonts w:hint="eastAsia" w:ascii="Times New Roman" w:cs="Times New Roman"/>
          <w:color w:val="auto"/>
          <w:sz w:val="21"/>
          <w:szCs w:val="21"/>
          <w:lang w:val="en-US" w:eastAsia="zh-CN"/>
        </w:rPr>
        <w:t>3</w:t>
      </w:r>
      <w:r>
        <w:rPr>
          <w:rFonts w:hint="default" w:ascii="Times New Roman" w:hAnsi="Times New Roman" w:cs="Times New Roman"/>
          <w:color w:val="auto"/>
          <w:sz w:val="21"/>
          <w:szCs w:val="21"/>
        </w:rPr>
        <w:t xml:space="preserve"> 合同双方如违约，</w:t>
      </w:r>
      <w:r>
        <w:rPr>
          <w:rFonts w:hint="eastAsia" w:ascii="Times New Roman" w:cs="Times New Roman"/>
          <w:color w:val="auto"/>
          <w:sz w:val="21"/>
          <w:szCs w:val="21"/>
          <w:lang w:val="en-US" w:eastAsia="zh-CN"/>
        </w:rPr>
        <w:t>参照</w:t>
      </w:r>
      <w:r>
        <w:rPr>
          <w:rFonts w:hint="default" w:ascii="Times New Roman" w:hAnsi="Times New Roman" w:cs="Times New Roman"/>
          <w:color w:val="auto"/>
          <w:sz w:val="21"/>
          <w:szCs w:val="21"/>
        </w:rPr>
        <w:t>《中华人民共和国民法典》及有关法律法规中的规定执行。</w:t>
      </w:r>
    </w:p>
    <w:p>
      <w:pPr>
        <w:pStyle w:val="26"/>
        <w:spacing w:line="360" w:lineRule="auto"/>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34.质疑</w:t>
      </w:r>
    </w:p>
    <w:p>
      <w:pPr>
        <w:pStyle w:val="26"/>
        <w:spacing w:line="360" w:lineRule="auto"/>
        <w:ind w:firstLine="525" w:firstLineChars="25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投标人认为招标文件、采购过程、中标或者成交结果使自己的权益受到损害的，可以在知道或者应知其权益受到损害之日起7个工作日内，以书面形式向采购人、采购代理机构提出质疑。</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34.1 投标人应在法定质疑期内一次性提出针对同一采购程序环节的质疑。</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34.2 提出质疑的投标人应当是参与所质疑项目采购活动的投标人。</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34.3 潜在投标人已依法获取其可质疑的招标文件的，可以对该文件提出质疑。对招标文件提出质疑的，应当在获取招标文件之日起7个工作日内提出。</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34.4 投标人提出质疑应当提交质疑函和必要的证明材料。</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34.5 投标人不得虚假质疑和恶意质疑，并对质疑内容的真实性承担责任。投标人或者其他利害关系人通过捏造事实、伪造证明材料等方式提出异议或投诉，阻碍招投标活动正常进行的，属于严重不良行为，采购代理机构将提请政府采购监管部门将其列入不良行为记录名单，依法予以处罚。</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34.6 质疑按照“谁主张、谁举证”的原则，附上相关证明材料。否则，采购人或采购代理机构不予受理, 质疑文件及相关证明材料一式二份，采购人、采购代理机构各执一份。</w:t>
      </w:r>
    </w:p>
    <w:p>
      <w:pPr>
        <w:pStyle w:val="26"/>
        <w:spacing w:line="360" w:lineRule="auto"/>
        <w:ind w:firstLine="420" w:firstLineChars="20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34.7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pPr>
        <w:pStyle w:val="26"/>
        <w:spacing w:line="360" w:lineRule="auto"/>
        <w:ind w:firstLine="525" w:firstLineChars="250"/>
        <w:jc w:val="both"/>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34.8 采购人或采购代理机构将在收到符合上述条件的书面质疑后7个工作日内审查质疑事项，作出答复或相关处理决定，并以书面形式通知质疑</w:t>
      </w:r>
      <w:r>
        <w:rPr>
          <w:rFonts w:hint="eastAsia" w:ascii="Times New Roman" w:cs="Times New Roman"/>
          <w:color w:val="auto"/>
          <w:sz w:val="21"/>
          <w:szCs w:val="21"/>
          <w:lang w:eastAsia="zh-CN"/>
        </w:rPr>
        <w:t>投标人</w:t>
      </w:r>
      <w:r>
        <w:rPr>
          <w:rFonts w:hint="default" w:ascii="Times New Roman" w:hAnsi="Times New Roman" w:cs="Times New Roman"/>
          <w:color w:val="auto"/>
          <w:sz w:val="21"/>
          <w:szCs w:val="21"/>
        </w:rPr>
        <w:t>和其他有关投标人，但答复的内容不涉及商业秘密。采购代理机构遵循“谁过错谁负担”的原则，有过错的一方承担调查论证费用。</w:t>
      </w:r>
    </w:p>
    <w:p>
      <w:pPr>
        <w:adjustRightInd w:val="0"/>
        <w:spacing w:line="360" w:lineRule="auto"/>
        <w:ind w:firstLine="420" w:firstLineChars="200"/>
        <w:textAlignment w:val="baseline"/>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34.</w:t>
      </w:r>
      <w:r>
        <w:rPr>
          <w:rFonts w:hint="eastAsia" w:ascii="Times New Roman" w:hAnsi="Times New Roman" w:cs="Times New Roman"/>
          <w:color w:val="auto"/>
          <w:sz w:val="21"/>
          <w:szCs w:val="21"/>
          <w:lang w:val="en-US" w:eastAsia="zh-CN"/>
        </w:rPr>
        <w:t>9</w:t>
      </w:r>
      <w:r>
        <w:rPr>
          <w:rFonts w:hint="default" w:ascii="Times New Roman" w:hAnsi="Times New Roman" w:cs="Times New Roman"/>
          <w:color w:val="auto"/>
          <w:sz w:val="21"/>
          <w:szCs w:val="21"/>
        </w:rPr>
        <w:t xml:space="preserve">质疑联系事项： </w:t>
      </w:r>
    </w:p>
    <w:p>
      <w:pPr>
        <w:numPr>
          <w:ilvl w:val="0"/>
          <w:numId w:val="15"/>
        </w:numPr>
        <w:adjustRightInd w:val="0"/>
        <w:spacing w:line="360" w:lineRule="auto"/>
        <w:textAlignment w:val="baseline"/>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投标人应以书面方式将质疑函分别送至采购人、采购代理机构；</w:t>
      </w:r>
    </w:p>
    <w:p>
      <w:pPr>
        <w:numPr>
          <w:ilvl w:val="0"/>
          <w:numId w:val="15"/>
        </w:numPr>
        <w:adjustRightInd w:val="0"/>
        <w:spacing w:line="360" w:lineRule="auto"/>
        <w:textAlignment w:val="baseline"/>
        <w:rPr>
          <w:rFonts w:hint="default" w:ascii="Times New Roman" w:hAnsi="Times New Roman" w:eastAsia="宋体" w:cs="Times New Roman"/>
          <w:color w:val="auto"/>
          <w:sz w:val="21"/>
          <w:szCs w:val="21"/>
        </w:rPr>
      </w:pPr>
      <w:r>
        <w:rPr>
          <w:rFonts w:hint="default" w:ascii="Times New Roman" w:hAnsi="Times New Roman" w:cs="Times New Roman"/>
          <w:color w:val="auto"/>
          <w:sz w:val="21"/>
          <w:szCs w:val="21"/>
        </w:rPr>
        <w:t>采购人</w:t>
      </w:r>
      <w:r>
        <w:rPr>
          <w:rFonts w:hint="default" w:ascii="Times New Roman" w:hAnsi="Times New Roman" w:eastAsia="宋体" w:cs="Times New Roman"/>
          <w:color w:val="auto"/>
          <w:sz w:val="21"/>
          <w:szCs w:val="21"/>
        </w:rPr>
        <w:t>：武陟县城市建设投资开发有限责任公司</w:t>
      </w:r>
    </w:p>
    <w:p>
      <w:pPr>
        <w:pStyle w:val="28"/>
        <w:spacing w:line="360" w:lineRule="auto"/>
        <w:ind w:firstLine="0" w:firstLineChars="0"/>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联系人：薛佳琪</w:t>
      </w:r>
    </w:p>
    <w:p>
      <w:pPr>
        <w:pStyle w:val="28"/>
        <w:spacing w:line="360" w:lineRule="auto"/>
        <w:ind w:firstLine="0" w:firstLineChars="0"/>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联系电话：17634823231</w:t>
      </w:r>
    </w:p>
    <w:p>
      <w:pPr>
        <w:pStyle w:val="28"/>
        <w:spacing w:line="360" w:lineRule="auto"/>
        <w:ind w:firstLine="0" w:firstLineChars="0"/>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联系地址：武陟县城东产业集聚区</w:t>
      </w:r>
    </w:p>
    <w:p>
      <w:pPr>
        <w:pStyle w:val="28"/>
        <w:numPr>
          <w:ilvl w:val="0"/>
          <w:numId w:val="15"/>
        </w:numPr>
        <w:spacing w:line="360" w:lineRule="auto"/>
        <w:ind w:firstLine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代理机构：武陟县中嘉工程管理有限公司</w:t>
      </w:r>
    </w:p>
    <w:p>
      <w:pPr>
        <w:pStyle w:val="28"/>
        <w:spacing w:line="360" w:lineRule="auto"/>
        <w:ind w:firstLine="0" w:firstLineChars="0"/>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联系人：</w:t>
      </w:r>
      <w:r>
        <w:rPr>
          <w:rFonts w:hint="eastAsia" w:ascii="Times New Roman" w:hAnsi="Times New Roman" w:cs="Times New Roman"/>
          <w:color w:val="auto"/>
          <w:kern w:val="2"/>
          <w:sz w:val="21"/>
          <w:szCs w:val="21"/>
          <w:lang w:val="en-US" w:eastAsia="zh-CN" w:bidi="ar-SA"/>
        </w:rPr>
        <w:t>刘玉仙</w:t>
      </w:r>
    </w:p>
    <w:p>
      <w:pPr>
        <w:spacing w:line="360" w:lineRule="auto"/>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rPr>
        <w:t>联系电话：</w:t>
      </w:r>
      <w:r>
        <w:rPr>
          <w:rFonts w:hint="eastAsia" w:ascii="Times New Roman" w:hAnsi="Times New Roman" w:cs="Times New Roman"/>
          <w:color w:val="auto"/>
          <w:sz w:val="21"/>
          <w:szCs w:val="21"/>
          <w:lang w:val="en-US" w:eastAsia="zh-CN"/>
        </w:rPr>
        <w:t>0391-7289803</w:t>
      </w:r>
    </w:p>
    <w:p>
      <w:pPr>
        <w:pStyle w:val="28"/>
        <w:spacing w:line="360" w:lineRule="auto"/>
        <w:ind w:firstLine="0" w:firstLineChars="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联系地址：武陟县产业集聚区工业路018号 </w:t>
      </w:r>
    </w:p>
    <w:p>
      <w:pPr>
        <w:pStyle w:val="31"/>
        <w:jc w:val="both"/>
        <w:rPr>
          <w:rFonts w:hint="default" w:ascii="Times New Roman" w:hAnsi="Times New Roman" w:cs="Times New Roman"/>
          <w:b/>
          <w:bCs/>
          <w:color w:val="auto"/>
          <w:sz w:val="21"/>
          <w:szCs w:val="21"/>
        </w:rPr>
      </w:pPr>
    </w:p>
    <w:p>
      <w:pPr>
        <w:pStyle w:val="31"/>
        <w:rPr>
          <w:rFonts w:hint="default" w:ascii="Times New Roman" w:hAnsi="Times New Roman" w:cs="Times New Roman"/>
          <w:b/>
          <w:bCs/>
          <w:color w:val="auto"/>
          <w:sz w:val="21"/>
          <w:szCs w:val="21"/>
        </w:rPr>
      </w:pPr>
    </w:p>
    <w:p>
      <w:pPr>
        <w:widowControl/>
        <w:jc w:val="left"/>
        <w:rPr>
          <w:rFonts w:hint="default" w:ascii="Times New Roman" w:hAnsi="Times New Roman" w:cs="Times New Roman"/>
          <w:b/>
          <w:bCs/>
          <w:color w:val="auto"/>
          <w:sz w:val="32"/>
          <w:szCs w:val="32"/>
        </w:rPr>
      </w:pPr>
      <w:bookmarkStart w:id="23" w:name="_Toc110000292"/>
      <w:r>
        <w:rPr>
          <w:rFonts w:hint="default" w:ascii="Times New Roman" w:hAnsi="Times New Roman" w:cs="Times New Roman"/>
          <w:color w:val="auto"/>
        </w:rPr>
        <w:br w:type="page"/>
      </w:r>
    </w:p>
    <w:bookmarkEnd w:id="23"/>
    <w:p>
      <w:pPr>
        <w:pStyle w:val="20"/>
        <w:spacing w:line="480" w:lineRule="exact"/>
        <w:ind w:right="-72" w:rightChars="-30"/>
        <w:rPr>
          <w:rFonts w:hint="default" w:ascii="Times New Roman" w:hAnsi="Times New Roman" w:cs="Times New Roman"/>
          <w:bCs w:val="0"/>
          <w:color w:val="auto"/>
        </w:rPr>
      </w:pPr>
      <w:bookmarkStart w:id="24" w:name="_Toc458698253"/>
      <w:bookmarkStart w:id="25" w:name="_Toc477166579"/>
      <w:r>
        <w:rPr>
          <w:rFonts w:hint="default" w:ascii="Times New Roman" w:hAnsi="Times New Roman" w:cs="Times New Roman"/>
          <w:bCs w:val="0"/>
          <w:color w:val="auto"/>
        </w:rPr>
        <w:t xml:space="preserve">  第三章 拟签订的合同文本</w:t>
      </w:r>
    </w:p>
    <w:p>
      <w:pPr>
        <w:jc w:val="center"/>
        <w:rPr>
          <w:rFonts w:hint="default" w:ascii="Times New Roman" w:hAnsi="Times New Roman" w:cs="Times New Roman"/>
          <w:color w:val="auto"/>
          <w:sz w:val="28"/>
          <w:szCs w:val="24"/>
        </w:rPr>
      </w:pPr>
      <w:bookmarkStart w:id="26" w:name="_Toc153880771"/>
      <w:bookmarkStart w:id="27" w:name="_Toc373230031"/>
      <w:bookmarkStart w:id="28" w:name="_Toc218418181"/>
      <w:bookmarkStart w:id="29" w:name="_Toc214329890"/>
      <w:bookmarkStart w:id="30" w:name="_Toc374512418"/>
      <w:r>
        <w:rPr>
          <w:rFonts w:hint="default" w:ascii="Times New Roman" w:hAnsi="Times New Roman" w:cs="Times New Roman"/>
          <w:color w:val="auto"/>
          <w:sz w:val="28"/>
          <w:szCs w:val="24"/>
        </w:rPr>
        <w:t>（仅供参考）</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采购方（甲方）：</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供货方（乙方）：</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签订地点： </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合同编号：</w:t>
      </w:r>
    </w:p>
    <w:p>
      <w:pPr>
        <w:pStyle w:val="27"/>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参考《中华人民共和国政府采购法》《中华人民共和国合同法》及有关法律法规，为维护双方的合法权益，甲、乙双方在平等互利、诚实信用的基础上，经友好协商，签订本合同，双方共同遵守执行。</w:t>
      </w:r>
    </w:p>
    <w:p>
      <w:pPr>
        <w:pStyle w:val="27"/>
        <w:spacing w:line="360" w:lineRule="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 xml:space="preserve">     </w:t>
      </w:r>
      <w:bookmarkStart w:id="31" w:name="_Toc770"/>
      <w:bookmarkStart w:id="32" w:name="_Toc11061"/>
      <w:r>
        <w:rPr>
          <w:rFonts w:hint="default" w:ascii="Times New Roman" w:hAnsi="Times New Roman" w:eastAsia="宋体" w:cs="Times New Roman"/>
          <w:color w:val="auto"/>
          <w:sz w:val="21"/>
          <w:szCs w:val="21"/>
        </w:rPr>
        <w:t>一、合同授予</w:t>
      </w:r>
      <w:bookmarkEnd w:id="31"/>
      <w:bookmarkEnd w:id="32"/>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 xml:space="preserve">  (项目编号: </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 xml:space="preserve"> )甲方为采购方，经批准，用</w:t>
      </w:r>
      <w:r>
        <w:rPr>
          <w:rFonts w:hint="default" w:ascii="Times New Roman" w:hAnsi="Times New Roman" w:cs="Times New Roman"/>
          <w:color w:val="auto"/>
          <w:sz w:val="21"/>
          <w:szCs w:val="21"/>
          <w:lang w:val="en-US" w:eastAsia="zh-CN"/>
        </w:rPr>
        <w:t>公开招标</w:t>
      </w:r>
      <w:r>
        <w:rPr>
          <w:rFonts w:hint="default" w:ascii="Times New Roman" w:hAnsi="Times New Roman" w:cs="Times New Roman"/>
          <w:color w:val="auto"/>
          <w:sz w:val="21"/>
          <w:szCs w:val="21"/>
        </w:rPr>
        <w:t>方式采购，经本项目</w:t>
      </w:r>
      <w:r>
        <w:rPr>
          <w:rFonts w:hint="default" w:ascii="Times New Roman" w:hAnsi="Times New Roman" w:cs="Times New Roman"/>
          <w:color w:val="auto"/>
          <w:sz w:val="21"/>
          <w:szCs w:val="21"/>
          <w:lang w:val="en-US" w:eastAsia="zh-CN"/>
        </w:rPr>
        <w:t>评审</w:t>
      </w:r>
      <w:r>
        <w:rPr>
          <w:rFonts w:hint="default" w:ascii="Times New Roman" w:hAnsi="Times New Roman" w:cs="Times New Roman"/>
          <w:color w:val="auto"/>
          <w:sz w:val="21"/>
          <w:szCs w:val="21"/>
        </w:rPr>
        <w:t>小组认真评审，决定将采购合同授予乙方。</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bookmarkStart w:id="33" w:name="_Toc31375"/>
      <w:bookmarkStart w:id="34" w:name="_Toc27372"/>
      <w:r>
        <w:rPr>
          <w:rFonts w:hint="default" w:ascii="Times New Roman" w:hAnsi="Times New Roman" w:cs="Times New Roman"/>
          <w:color w:val="auto"/>
          <w:sz w:val="21"/>
          <w:szCs w:val="21"/>
        </w:rPr>
        <w:t>二、合同文件组成</w:t>
      </w:r>
      <w:bookmarkEnd w:id="33"/>
      <w:bookmarkEnd w:id="34"/>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1.本合同条款；2.成交通知书；3.乙方</w:t>
      </w:r>
      <w:r>
        <w:rPr>
          <w:rFonts w:hint="default" w:ascii="Times New Roman" w:hAnsi="Times New Roman" w:cs="Times New Roman"/>
          <w:color w:val="auto"/>
          <w:sz w:val="21"/>
          <w:szCs w:val="21"/>
          <w:lang w:val="en-US" w:eastAsia="zh-CN"/>
        </w:rPr>
        <w:t>投标</w:t>
      </w:r>
      <w:r>
        <w:rPr>
          <w:rFonts w:hint="default" w:ascii="Times New Roman" w:hAnsi="Times New Roman" w:cs="Times New Roman"/>
          <w:color w:val="auto"/>
          <w:sz w:val="21"/>
          <w:szCs w:val="21"/>
        </w:rPr>
        <w:t>文件；4.</w:t>
      </w:r>
      <w:r>
        <w:rPr>
          <w:rFonts w:hint="default" w:ascii="Times New Roman" w:hAnsi="Times New Roman" w:cs="Times New Roman"/>
          <w:color w:val="auto"/>
          <w:sz w:val="21"/>
          <w:szCs w:val="21"/>
          <w:lang w:val="en-US" w:eastAsia="zh-CN"/>
        </w:rPr>
        <w:t>招标</w:t>
      </w:r>
      <w:r>
        <w:rPr>
          <w:rFonts w:hint="default" w:ascii="Times New Roman" w:hAnsi="Times New Roman" w:cs="Times New Roman"/>
          <w:color w:val="auto"/>
          <w:sz w:val="21"/>
          <w:szCs w:val="21"/>
        </w:rPr>
        <w:t>文件；5.其它相关文件。</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上述所指合同文件应认为是互相补充和解释的，如有不一致之处，以其所列内容顺序为准。</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bookmarkStart w:id="35" w:name="_Toc29101"/>
      <w:bookmarkStart w:id="36" w:name="_Toc25826"/>
      <w:r>
        <w:rPr>
          <w:rFonts w:hint="default" w:ascii="Times New Roman" w:hAnsi="Times New Roman" w:cs="Times New Roman"/>
          <w:color w:val="auto"/>
          <w:sz w:val="21"/>
          <w:szCs w:val="21"/>
        </w:rPr>
        <w:t>三、合同采购产品名称、规格型号、数量、单价和总价</w:t>
      </w:r>
      <w:bookmarkEnd w:id="35"/>
      <w:bookmarkEnd w:id="36"/>
    </w:p>
    <w:tbl>
      <w:tblPr>
        <w:tblStyle w:val="2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7"/>
        <w:gridCol w:w="1505"/>
        <w:gridCol w:w="1504"/>
        <w:gridCol w:w="752"/>
        <w:gridCol w:w="752"/>
        <w:gridCol w:w="1203"/>
        <w:gridCol w:w="1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4" w:hRule="atLeast"/>
          <w:jc w:val="center"/>
        </w:trPr>
        <w:tc>
          <w:tcPr>
            <w:tcW w:w="1467" w:type="dxa"/>
            <w:noWrap w:val="0"/>
            <w:vAlign w:val="center"/>
          </w:tcPr>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产品名称</w:t>
            </w:r>
          </w:p>
        </w:tc>
        <w:tc>
          <w:tcPr>
            <w:tcW w:w="1505" w:type="dxa"/>
            <w:noWrap w:val="0"/>
            <w:vAlign w:val="center"/>
          </w:tcPr>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规格型号</w:t>
            </w:r>
          </w:p>
        </w:tc>
        <w:tc>
          <w:tcPr>
            <w:tcW w:w="1504" w:type="dxa"/>
            <w:noWrap w:val="0"/>
            <w:vAlign w:val="center"/>
          </w:tcPr>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产地、生产商</w:t>
            </w:r>
          </w:p>
        </w:tc>
        <w:tc>
          <w:tcPr>
            <w:tcW w:w="752" w:type="dxa"/>
            <w:noWrap w:val="0"/>
            <w:vAlign w:val="center"/>
          </w:tcPr>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单位</w:t>
            </w:r>
          </w:p>
        </w:tc>
        <w:tc>
          <w:tcPr>
            <w:tcW w:w="752" w:type="dxa"/>
            <w:noWrap w:val="0"/>
            <w:vAlign w:val="center"/>
          </w:tcPr>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数量</w:t>
            </w:r>
          </w:p>
        </w:tc>
        <w:tc>
          <w:tcPr>
            <w:tcW w:w="1203" w:type="dxa"/>
            <w:noWrap w:val="0"/>
            <w:vAlign w:val="center"/>
          </w:tcPr>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单价</w:t>
            </w:r>
          </w:p>
        </w:tc>
        <w:tc>
          <w:tcPr>
            <w:tcW w:w="1693" w:type="dxa"/>
            <w:noWrap w:val="0"/>
            <w:vAlign w:val="center"/>
          </w:tcPr>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合价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1467" w:type="dxa"/>
            <w:noWrap w:val="0"/>
            <w:vAlign w:val="top"/>
          </w:tcPr>
          <w:p>
            <w:pPr>
              <w:pStyle w:val="27"/>
              <w:spacing w:line="360" w:lineRule="auto"/>
              <w:rPr>
                <w:rFonts w:hint="default" w:ascii="Times New Roman" w:hAnsi="Times New Roman" w:cs="Times New Roman"/>
                <w:color w:val="auto"/>
                <w:sz w:val="21"/>
                <w:szCs w:val="21"/>
              </w:rPr>
            </w:pPr>
          </w:p>
        </w:tc>
        <w:tc>
          <w:tcPr>
            <w:tcW w:w="1505" w:type="dxa"/>
            <w:noWrap w:val="0"/>
            <w:vAlign w:val="top"/>
          </w:tcPr>
          <w:p>
            <w:pPr>
              <w:pStyle w:val="27"/>
              <w:spacing w:line="360" w:lineRule="auto"/>
              <w:rPr>
                <w:rFonts w:hint="default" w:ascii="Times New Roman" w:hAnsi="Times New Roman" w:cs="Times New Roman"/>
                <w:color w:val="auto"/>
                <w:sz w:val="21"/>
                <w:szCs w:val="21"/>
              </w:rPr>
            </w:pPr>
          </w:p>
        </w:tc>
        <w:tc>
          <w:tcPr>
            <w:tcW w:w="1504" w:type="dxa"/>
            <w:noWrap w:val="0"/>
            <w:vAlign w:val="top"/>
          </w:tcPr>
          <w:p>
            <w:pPr>
              <w:pStyle w:val="27"/>
              <w:spacing w:line="360" w:lineRule="auto"/>
              <w:rPr>
                <w:rFonts w:hint="default" w:ascii="Times New Roman" w:hAnsi="Times New Roman" w:cs="Times New Roman"/>
                <w:color w:val="auto"/>
                <w:sz w:val="21"/>
                <w:szCs w:val="21"/>
              </w:rPr>
            </w:pPr>
          </w:p>
        </w:tc>
        <w:tc>
          <w:tcPr>
            <w:tcW w:w="752" w:type="dxa"/>
            <w:noWrap w:val="0"/>
            <w:vAlign w:val="top"/>
          </w:tcPr>
          <w:p>
            <w:pPr>
              <w:pStyle w:val="27"/>
              <w:spacing w:line="360" w:lineRule="auto"/>
              <w:rPr>
                <w:rFonts w:hint="default" w:ascii="Times New Roman" w:hAnsi="Times New Roman" w:cs="Times New Roman"/>
                <w:color w:val="auto"/>
                <w:sz w:val="21"/>
                <w:szCs w:val="21"/>
              </w:rPr>
            </w:pPr>
          </w:p>
        </w:tc>
        <w:tc>
          <w:tcPr>
            <w:tcW w:w="752" w:type="dxa"/>
            <w:noWrap w:val="0"/>
            <w:vAlign w:val="top"/>
          </w:tcPr>
          <w:p>
            <w:pPr>
              <w:pStyle w:val="27"/>
              <w:spacing w:line="360" w:lineRule="auto"/>
              <w:rPr>
                <w:rFonts w:hint="default" w:ascii="Times New Roman" w:hAnsi="Times New Roman" w:cs="Times New Roman"/>
                <w:color w:val="auto"/>
                <w:sz w:val="21"/>
                <w:szCs w:val="21"/>
              </w:rPr>
            </w:pPr>
          </w:p>
        </w:tc>
        <w:tc>
          <w:tcPr>
            <w:tcW w:w="1203" w:type="dxa"/>
            <w:noWrap w:val="0"/>
            <w:vAlign w:val="top"/>
          </w:tcPr>
          <w:p>
            <w:pPr>
              <w:pStyle w:val="27"/>
              <w:spacing w:line="360" w:lineRule="auto"/>
              <w:rPr>
                <w:rFonts w:hint="default" w:ascii="Times New Roman" w:hAnsi="Times New Roman" w:cs="Times New Roman"/>
                <w:color w:val="auto"/>
                <w:sz w:val="21"/>
                <w:szCs w:val="21"/>
              </w:rPr>
            </w:pPr>
          </w:p>
        </w:tc>
        <w:tc>
          <w:tcPr>
            <w:tcW w:w="1693" w:type="dxa"/>
            <w:noWrap w:val="0"/>
            <w:vAlign w:val="top"/>
          </w:tcPr>
          <w:p>
            <w:pPr>
              <w:pStyle w:val="27"/>
              <w:spacing w:line="360" w:lineRule="auto"/>
              <w:rPr>
                <w:rFonts w:hint="default" w:ascii="Times New Roman" w:hAnsi="Times New Roman" w:cs="Times New Roman"/>
                <w:color w:val="auto"/>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1467" w:type="dxa"/>
            <w:noWrap w:val="0"/>
            <w:vAlign w:val="top"/>
          </w:tcPr>
          <w:p>
            <w:pPr>
              <w:pStyle w:val="27"/>
              <w:spacing w:line="360" w:lineRule="auto"/>
              <w:rPr>
                <w:rFonts w:hint="default" w:ascii="Times New Roman" w:hAnsi="Times New Roman" w:cs="Times New Roman"/>
                <w:color w:val="auto"/>
                <w:sz w:val="21"/>
                <w:szCs w:val="21"/>
              </w:rPr>
            </w:pPr>
          </w:p>
        </w:tc>
        <w:tc>
          <w:tcPr>
            <w:tcW w:w="1505" w:type="dxa"/>
            <w:noWrap w:val="0"/>
            <w:vAlign w:val="top"/>
          </w:tcPr>
          <w:p>
            <w:pPr>
              <w:pStyle w:val="27"/>
              <w:spacing w:line="360" w:lineRule="auto"/>
              <w:rPr>
                <w:rFonts w:hint="default" w:ascii="Times New Roman" w:hAnsi="Times New Roman" w:cs="Times New Roman"/>
                <w:color w:val="auto"/>
                <w:sz w:val="21"/>
                <w:szCs w:val="21"/>
              </w:rPr>
            </w:pPr>
          </w:p>
        </w:tc>
        <w:tc>
          <w:tcPr>
            <w:tcW w:w="1504" w:type="dxa"/>
            <w:noWrap w:val="0"/>
            <w:vAlign w:val="top"/>
          </w:tcPr>
          <w:p>
            <w:pPr>
              <w:pStyle w:val="27"/>
              <w:spacing w:line="360" w:lineRule="auto"/>
              <w:rPr>
                <w:rFonts w:hint="default" w:ascii="Times New Roman" w:hAnsi="Times New Roman" w:cs="Times New Roman"/>
                <w:color w:val="auto"/>
                <w:sz w:val="21"/>
                <w:szCs w:val="21"/>
              </w:rPr>
            </w:pPr>
          </w:p>
        </w:tc>
        <w:tc>
          <w:tcPr>
            <w:tcW w:w="752" w:type="dxa"/>
            <w:noWrap w:val="0"/>
            <w:vAlign w:val="top"/>
          </w:tcPr>
          <w:p>
            <w:pPr>
              <w:pStyle w:val="27"/>
              <w:spacing w:line="360" w:lineRule="auto"/>
              <w:rPr>
                <w:rFonts w:hint="default" w:ascii="Times New Roman" w:hAnsi="Times New Roman" w:cs="Times New Roman"/>
                <w:color w:val="auto"/>
                <w:sz w:val="21"/>
                <w:szCs w:val="21"/>
              </w:rPr>
            </w:pPr>
          </w:p>
        </w:tc>
        <w:tc>
          <w:tcPr>
            <w:tcW w:w="752" w:type="dxa"/>
            <w:noWrap w:val="0"/>
            <w:vAlign w:val="top"/>
          </w:tcPr>
          <w:p>
            <w:pPr>
              <w:pStyle w:val="27"/>
              <w:spacing w:line="360" w:lineRule="auto"/>
              <w:rPr>
                <w:rFonts w:hint="default" w:ascii="Times New Roman" w:hAnsi="Times New Roman" w:cs="Times New Roman"/>
                <w:color w:val="auto"/>
                <w:sz w:val="21"/>
                <w:szCs w:val="21"/>
              </w:rPr>
            </w:pPr>
          </w:p>
        </w:tc>
        <w:tc>
          <w:tcPr>
            <w:tcW w:w="1203" w:type="dxa"/>
            <w:noWrap w:val="0"/>
            <w:vAlign w:val="top"/>
          </w:tcPr>
          <w:p>
            <w:pPr>
              <w:pStyle w:val="27"/>
              <w:spacing w:line="360" w:lineRule="auto"/>
              <w:rPr>
                <w:rFonts w:hint="default" w:ascii="Times New Roman" w:hAnsi="Times New Roman" w:cs="Times New Roman"/>
                <w:color w:val="auto"/>
                <w:sz w:val="21"/>
                <w:szCs w:val="21"/>
              </w:rPr>
            </w:pPr>
          </w:p>
        </w:tc>
        <w:tc>
          <w:tcPr>
            <w:tcW w:w="1693" w:type="dxa"/>
            <w:noWrap w:val="0"/>
            <w:vAlign w:val="top"/>
          </w:tcPr>
          <w:p>
            <w:pPr>
              <w:pStyle w:val="27"/>
              <w:spacing w:line="360" w:lineRule="auto"/>
              <w:rPr>
                <w:rFonts w:hint="default" w:ascii="Times New Roman" w:hAnsi="Times New Roman" w:cs="Times New Roman"/>
                <w:color w:val="auto"/>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3" w:hRule="atLeast"/>
          <w:jc w:val="center"/>
        </w:trPr>
        <w:tc>
          <w:tcPr>
            <w:tcW w:w="2972" w:type="dxa"/>
            <w:gridSpan w:val="2"/>
            <w:noWrap w:val="0"/>
            <w:vAlign w:val="top"/>
          </w:tcPr>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总合计：</w:t>
            </w:r>
          </w:p>
        </w:tc>
        <w:tc>
          <w:tcPr>
            <w:tcW w:w="5904" w:type="dxa"/>
            <w:gridSpan w:val="5"/>
            <w:noWrap w:val="0"/>
            <w:vAlign w:val="top"/>
          </w:tcPr>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人民币大写：                 万元；小写：      万元</w:t>
            </w:r>
          </w:p>
        </w:tc>
      </w:tr>
    </w:tbl>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合同金额（小写）：</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元(人民币)；（大写）：</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元(人民币)。</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备注：合同总价包含装卸、运输、保险、税费和售后服务（保修期内备件、安装、调试、培训费用等）所需费用。</w:t>
      </w:r>
    </w:p>
    <w:p>
      <w:pPr>
        <w:pStyle w:val="27"/>
        <w:spacing w:line="360" w:lineRule="auto"/>
        <w:rPr>
          <w:rFonts w:hint="default" w:ascii="Times New Roman" w:hAnsi="Times New Roman" w:cs="Times New Roman"/>
          <w:color w:val="auto"/>
          <w:sz w:val="21"/>
          <w:szCs w:val="21"/>
        </w:rPr>
      </w:pPr>
      <w:bookmarkStart w:id="37" w:name="_Toc1244"/>
      <w:bookmarkStart w:id="38" w:name="_Toc26868"/>
      <w:r>
        <w:rPr>
          <w:rFonts w:hint="default" w:ascii="Times New Roman" w:hAnsi="Times New Roman" w:cs="Times New Roman"/>
          <w:color w:val="auto"/>
          <w:sz w:val="21"/>
          <w:szCs w:val="21"/>
        </w:rPr>
        <w:t>四、 产品的要求和技术标准</w:t>
      </w:r>
      <w:bookmarkEnd w:id="37"/>
      <w:bookmarkEnd w:id="38"/>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1、质量要求和技术标准按招标文件和乙方</w:t>
      </w:r>
      <w:r>
        <w:rPr>
          <w:rFonts w:hint="default" w:ascii="Times New Roman" w:hAnsi="Times New Roman" w:cs="Times New Roman"/>
          <w:color w:val="auto"/>
          <w:sz w:val="21"/>
          <w:szCs w:val="21"/>
          <w:lang w:val="en-US" w:eastAsia="zh-CN"/>
        </w:rPr>
        <w:t>投标</w:t>
      </w:r>
      <w:r>
        <w:rPr>
          <w:rFonts w:hint="default" w:ascii="Times New Roman" w:hAnsi="Times New Roman" w:cs="Times New Roman"/>
          <w:color w:val="auto"/>
          <w:sz w:val="21"/>
          <w:szCs w:val="21"/>
        </w:rPr>
        <w:t xml:space="preserve">文件执行 。  </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2、乙方提供货物产品应是货物厂家授权许可，应保证需方不受到第三方关于侵权的指控，并承担由于提供供货而引起的一切法律责任、费用和后果。      </w:t>
      </w:r>
    </w:p>
    <w:p>
      <w:pPr>
        <w:pStyle w:val="27"/>
        <w:spacing w:line="360" w:lineRule="auto"/>
        <w:rPr>
          <w:rFonts w:hint="default" w:ascii="Times New Roman" w:hAnsi="Times New Roman" w:cs="Times New Roman"/>
          <w:color w:val="auto"/>
          <w:sz w:val="21"/>
          <w:szCs w:val="21"/>
        </w:rPr>
      </w:pPr>
      <w:bookmarkStart w:id="39" w:name="_Toc4048"/>
      <w:bookmarkStart w:id="40" w:name="_Toc19306"/>
      <w:r>
        <w:rPr>
          <w:rFonts w:hint="default" w:ascii="Times New Roman" w:hAnsi="Times New Roman" w:cs="Times New Roman"/>
          <w:color w:val="auto"/>
          <w:sz w:val="21"/>
          <w:szCs w:val="21"/>
        </w:rPr>
        <w:t>五、交货期限</w:t>
      </w:r>
      <w:bookmarkEnd w:id="39"/>
      <w:bookmarkEnd w:id="40"/>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1、合同履行期限及地点和方式：</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合同履行期限：</w:t>
      </w:r>
      <w:r>
        <w:rPr>
          <w:rFonts w:hint="default" w:ascii="Times New Roman" w:hAnsi="Times New Roman" w:cs="Times New Roman"/>
          <w:color w:val="auto"/>
          <w:sz w:val="21"/>
          <w:szCs w:val="21"/>
          <w:u w:val="single"/>
        </w:rPr>
        <w:t xml:space="preserve"> </w:t>
      </w:r>
      <w:r>
        <w:rPr>
          <w:rFonts w:hint="eastAsia" w:ascii="Times New Roman" w:hAnsi="Times New Roman" w:cs="Times New Roman"/>
          <w:color w:val="auto"/>
          <w:sz w:val="21"/>
          <w:szCs w:val="21"/>
          <w:u w:val="single"/>
          <w:lang w:val="en-US" w:eastAsia="zh-CN"/>
        </w:rPr>
        <w:t xml:space="preserve">    </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日历天</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2、供货安装地点：____________</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 xml:space="preserve">  </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3、质量标准：________________                      </w:t>
      </w:r>
    </w:p>
    <w:p>
      <w:pPr>
        <w:pStyle w:val="27"/>
        <w:spacing w:line="360" w:lineRule="auto"/>
        <w:rPr>
          <w:rFonts w:hint="default" w:ascii="Times New Roman" w:hAnsi="Times New Roman" w:cs="Times New Roman"/>
          <w:color w:val="auto"/>
          <w:sz w:val="21"/>
          <w:szCs w:val="21"/>
          <w:u w:val="single"/>
        </w:rPr>
      </w:pPr>
      <w:r>
        <w:rPr>
          <w:rFonts w:hint="default" w:ascii="Times New Roman" w:hAnsi="Times New Roman" w:cs="Times New Roman"/>
          <w:color w:val="auto"/>
          <w:sz w:val="21"/>
          <w:szCs w:val="21"/>
        </w:rPr>
        <w:t>4、安全使用寿命期：</w:t>
      </w:r>
      <w:r>
        <w:rPr>
          <w:rFonts w:hint="default" w:ascii="Times New Roman" w:hAnsi="Times New Roman" w:cs="Times New Roman"/>
          <w:i/>
          <w:iCs/>
          <w:color w:val="auto"/>
          <w:sz w:val="21"/>
          <w:szCs w:val="21"/>
          <w:u w:val="single"/>
        </w:rPr>
        <w:t xml:space="preserve">               </w:t>
      </w:r>
      <w:r>
        <w:rPr>
          <w:rFonts w:hint="default" w:ascii="Times New Roman" w:hAnsi="Times New Roman" w:cs="Times New Roman"/>
          <w:color w:val="auto"/>
          <w:sz w:val="21"/>
          <w:szCs w:val="21"/>
        </w:rPr>
        <w:t xml:space="preserve"> ，质量保证期：</w:t>
      </w:r>
      <w:r>
        <w:rPr>
          <w:rFonts w:hint="default" w:ascii="Times New Roman" w:hAnsi="Times New Roman" w:cs="Times New Roman"/>
          <w:color w:val="auto"/>
          <w:sz w:val="21"/>
          <w:szCs w:val="21"/>
          <w:u w:val="single"/>
        </w:rPr>
        <w:t xml:space="preserve"> </w:t>
      </w:r>
      <w:r>
        <w:rPr>
          <w:rFonts w:hint="eastAsia" w:ascii="Times New Roman" w:hAnsi="Times New Roman" w:cs="Times New Roman"/>
          <w:color w:val="auto"/>
          <w:sz w:val="21"/>
          <w:szCs w:val="21"/>
          <w:u w:val="single"/>
          <w:lang w:val="en-US" w:eastAsia="zh-CN"/>
        </w:rPr>
        <w:t>2年</w:t>
      </w:r>
      <w:r>
        <w:rPr>
          <w:rFonts w:hint="default" w:ascii="Times New Roman" w:hAnsi="Times New Roman" w:cs="Times New Roman"/>
          <w:color w:val="auto"/>
          <w:sz w:val="21"/>
          <w:szCs w:val="21"/>
          <w:u w:val="single"/>
        </w:rPr>
        <w:t xml:space="preserve">    </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5、乙方负责送货，供货地为甲方指定地点。供货上门到采购方所产生的装卸、运输、保险、税金和售后服务等所需费用由供货方承担。 </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6、运输过程中的任何安全事故均由乙方负责。</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7、若因乙方运输装卸原因，造成产品损坏，损失由乙方承担。</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8、质保期按合同（8.1条款）约定内容执行，在质保期限内货物非甲方原因所出现的所有质量问题，均由乙方承担。</w:t>
      </w:r>
    </w:p>
    <w:p>
      <w:pPr>
        <w:pStyle w:val="27"/>
        <w:spacing w:line="360" w:lineRule="auto"/>
        <w:rPr>
          <w:rFonts w:hint="default" w:ascii="Times New Roman" w:hAnsi="Times New Roman" w:cs="Times New Roman"/>
          <w:color w:val="auto"/>
          <w:sz w:val="21"/>
          <w:szCs w:val="21"/>
        </w:rPr>
      </w:pPr>
      <w:bookmarkStart w:id="41" w:name="_Toc12544"/>
      <w:bookmarkStart w:id="42" w:name="_Toc28825"/>
      <w:r>
        <w:rPr>
          <w:rFonts w:hint="default" w:ascii="Times New Roman" w:hAnsi="Times New Roman" w:cs="Times New Roman"/>
          <w:color w:val="auto"/>
          <w:sz w:val="21"/>
          <w:szCs w:val="21"/>
        </w:rPr>
        <w:t>六、供货实施细节</w:t>
      </w:r>
      <w:bookmarkEnd w:id="41"/>
      <w:bookmarkEnd w:id="42"/>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1、供货方式：该项目的货物供货事宜，由供货商负责直接供货。</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2、乙方工作:负责组织供货的实施并承担供货后果、售后服务。按照合同产品的要求，并向甲方提供正式的供货销售发票。    </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3、甲方工作：负责协助乙方进行产品验收。    </w:t>
      </w:r>
    </w:p>
    <w:p>
      <w:pPr>
        <w:pStyle w:val="27"/>
        <w:spacing w:line="360" w:lineRule="auto"/>
        <w:rPr>
          <w:rFonts w:hint="default" w:ascii="Times New Roman" w:hAnsi="Times New Roman" w:cs="Times New Roman"/>
          <w:color w:val="auto"/>
          <w:sz w:val="21"/>
          <w:szCs w:val="21"/>
        </w:rPr>
      </w:pPr>
      <w:bookmarkStart w:id="43" w:name="_Toc16183"/>
      <w:bookmarkStart w:id="44" w:name="_Toc27403"/>
      <w:r>
        <w:rPr>
          <w:rFonts w:hint="default" w:ascii="Times New Roman" w:hAnsi="Times New Roman" w:cs="Times New Roman"/>
          <w:color w:val="auto"/>
          <w:sz w:val="21"/>
          <w:szCs w:val="21"/>
        </w:rPr>
        <w:t>七、验收及货款支付方式</w:t>
      </w:r>
      <w:bookmarkEnd w:id="43"/>
      <w:bookmarkEnd w:id="44"/>
      <w:r>
        <w:rPr>
          <w:rFonts w:hint="default" w:ascii="Times New Roman" w:hAnsi="Times New Roman" w:cs="Times New Roman"/>
          <w:color w:val="auto"/>
          <w:sz w:val="21"/>
          <w:szCs w:val="21"/>
        </w:rPr>
        <w:t>：</w:t>
      </w:r>
      <w:r>
        <w:rPr>
          <w:rFonts w:hint="default" w:ascii="Times New Roman" w:hAnsi="Times New Roman" w:cs="Times New Roman"/>
          <w:color w:val="auto"/>
          <w:sz w:val="21"/>
          <w:szCs w:val="21"/>
          <w:u w:val="single"/>
        </w:rPr>
        <w:t xml:space="preserve">                          。  </w:t>
      </w:r>
      <w:bookmarkStart w:id="45" w:name="_Toc22377"/>
      <w:bookmarkStart w:id="46" w:name="_Toc3750"/>
      <w:r>
        <w:rPr>
          <w:rFonts w:hint="default" w:ascii="Times New Roman" w:hAnsi="Times New Roman" w:cs="Times New Roman"/>
          <w:color w:val="auto"/>
          <w:sz w:val="21"/>
          <w:szCs w:val="21"/>
        </w:rPr>
        <w:t xml:space="preserve">   </w:t>
      </w:r>
    </w:p>
    <w:bookmarkEnd w:id="45"/>
    <w:bookmarkEnd w:id="46"/>
    <w:p>
      <w:pPr>
        <w:pStyle w:val="27"/>
        <w:spacing w:line="360" w:lineRule="auto"/>
        <w:rPr>
          <w:rFonts w:hint="default" w:ascii="Times New Roman" w:hAnsi="Times New Roman" w:cs="Times New Roman"/>
          <w:color w:val="auto"/>
          <w:sz w:val="21"/>
          <w:szCs w:val="21"/>
        </w:rPr>
      </w:pPr>
      <w:bookmarkStart w:id="47" w:name="_Toc15807"/>
      <w:bookmarkStart w:id="48" w:name="_Toc14384"/>
      <w:r>
        <w:rPr>
          <w:rFonts w:hint="default" w:ascii="Times New Roman" w:hAnsi="Times New Roman" w:cs="Times New Roman"/>
          <w:color w:val="auto"/>
          <w:sz w:val="21"/>
          <w:szCs w:val="21"/>
        </w:rPr>
        <w:t>八、违约责任：</w:t>
      </w:r>
      <w:bookmarkEnd w:id="47"/>
      <w:bookmarkEnd w:id="48"/>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1、乙方所交付的货物品种、型号、规格不符合合同规定的，甲方有权拒收。</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2.、若甲方未按约定时间支付乙方设备款，甲方除支付乙方设备款外还需按每延迟一日支付未付款额</w:t>
      </w:r>
      <w:r>
        <w:rPr>
          <w:rFonts w:hint="default" w:ascii="Times New Roman" w:hAnsi="Times New Roman" w:cs="Times New Roman"/>
          <w:color w:val="auto"/>
          <w:sz w:val="21"/>
          <w:szCs w:val="21"/>
          <w:u w:val="single"/>
        </w:rPr>
        <w:t xml:space="preserve">  /    </w:t>
      </w:r>
      <w:r>
        <w:rPr>
          <w:rFonts w:hint="default" w:ascii="Times New Roman" w:hAnsi="Times New Roman" w:cs="Times New Roman"/>
          <w:color w:val="auto"/>
          <w:sz w:val="21"/>
          <w:szCs w:val="21"/>
        </w:rPr>
        <w:t>的违约金，但累计总额不超过欠款总额的</w:t>
      </w:r>
      <w:r>
        <w:rPr>
          <w:rFonts w:hint="default" w:ascii="Times New Roman" w:hAnsi="Times New Roman" w:cs="Times New Roman"/>
          <w:color w:val="auto"/>
          <w:sz w:val="21"/>
          <w:szCs w:val="21"/>
          <w:u w:val="single"/>
        </w:rPr>
        <w:t xml:space="preserve">  /  </w:t>
      </w:r>
      <w:r>
        <w:rPr>
          <w:rFonts w:hint="default" w:ascii="Times New Roman" w:hAnsi="Times New Roman" w:cs="Times New Roman"/>
          <w:color w:val="auto"/>
          <w:sz w:val="21"/>
          <w:szCs w:val="21"/>
        </w:rPr>
        <w:t>。</w:t>
      </w:r>
    </w:p>
    <w:p>
      <w:pPr>
        <w:pStyle w:val="27"/>
        <w:spacing w:line="360" w:lineRule="auto"/>
        <w:rPr>
          <w:rFonts w:hint="eastAsia" w:ascii="Times New Roman" w:hAnsi="Times New Roman" w:cs="Times New Roman"/>
          <w:color w:val="auto"/>
          <w:sz w:val="21"/>
          <w:szCs w:val="21"/>
          <w:lang w:eastAsia="zh-CN"/>
        </w:rPr>
      </w:pPr>
      <w:r>
        <w:rPr>
          <w:rFonts w:hint="default" w:ascii="Times New Roman" w:hAnsi="Times New Roman" w:cs="Times New Roman"/>
          <w:color w:val="auto"/>
          <w:sz w:val="21"/>
          <w:szCs w:val="21"/>
        </w:rPr>
        <w:t>3、乙方逾期交付货物的，每逾期一天，乙方向甲方支付</w:t>
      </w:r>
      <w:r>
        <w:rPr>
          <w:rFonts w:hint="eastAsia" w:ascii="Times New Roman" w:hAnsi="Times New Roman" w:cs="Times New Roman"/>
          <w:color w:val="auto"/>
          <w:sz w:val="21"/>
          <w:szCs w:val="21"/>
          <w:lang w:val="en-US" w:eastAsia="zh-CN"/>
        </w:rPr>
        <w:t>合同总额</w:t>
      </w:r>
      <w:r>
        <w:rPr>
          <w:rFonts w:hint="eastAsia" w:ascii="Times New Roman" w:hAnsi="Times New Roman" w:cs="Times New Roman"/>
          <w:color w:val="auto"/>
          <w:sz w:val="21"/>
          <w:szCs w:val="21"/>
          <w:u w:val="single"/>
          <w:lang w:val="en-US" w:eastAsia="zh-CN"/>
        </w:rPr>
        <w:t>0.5%</w:t>
      </w:r>
      <w:r>
        <w:rPr>
          <w:rFonts w:hint="eastAsia" w:ascii="Times New Roman" w:hAnsi="Times New Roman" w:cs="Times New Roman"/>
          <w:color w:val="auto"/>
          <w:sz w:val="21"/>
          <w:szCs w:val="21"/>
          <w:lang w:val="en-US" w:eastAsia="zh-CN"/>
        </w:rPr>
        <w:t>的</w:t>
      </w:r>
      <w:r>
        <w:rPr>
          <w:rFonts w:hint="default" w:ascii="Times New Roman" w:hAnsi="Times New Roman" w:cs="Times New Roman"/>
          <w:color w:val="auto"/>
          <w:sz w:val="21"/>
          <w:szCs w:val="21"/>
        </w:rPr>
        <w:t>滞纳金，但累计总额不超过合同总额的</w:t>
      </w:r>
      <w:r>
        <w:rPr>
          <w:rFonts w:hint="eastAsia" w:ascii="Times New Roman" w:hAnsi="Times New Roman" w:cs="Times New Roman"/>
          <w:color w:val="auto"/>
          <w:sz w:val="21"/>
          <w:szCs w:val="21"/>
          <w:u w:val="single"/>
          <w:lang w:val="en-US" w:eastAsia="zh-CN"/>
        </w:rPr>
        <w:t>30%</w:t>
      </w:r>
      <w:r>
        <w:rPr>
          <w:rFonts w:hint="default" w:ascii="Times New Roman" w:hAnsi="Times New Roman" w:cs="Times New Roman"/>
          <w:color w:val="auto"/>
          <w:sz w:val="21"/>
          <w:szCs w:val="21"/>
        </w:rPr>
        <w:t xml:space="preserve"> </w:t>
      </w:r>
      <w:r>
        <w:rPr>
          <w:rFonts w:hint="eastAsia" w:ascii="Times New Roman" w:hAnsi="Times New Roman" w:cs="Times New Roman"/>
          <w:color w:val="auto"/>
          <w:sz w:val="21"/>
          <w:szCs w:val="21"/>
          <w:lang w:eastAsia="zh-CN"/>
        </w:rPr>
        <w:t>，若乙方仍不能如期交付，甲方有权终止合同。</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4、乙方未按本合同的规定提供伴随服务、售后服务的，给甲方造成损失的，乙方应承担赔偿责任。</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5、如出现违约责任，双方协商解决或按《合同法》执行。</w:t>
      </w:r>
    </w:p>
    <w:p>
      <w:pPr>
        <w:pStyle w:val="27"/>
        <w:spacing w:line="360" w:lineRule="auto"/>
        <w:rPr>
          <w:rFonts w:hint="default" w:ascii="Times New Roman" w:hAnsi="Times New Roman" w:cs="Times New Roman"/>
          <w:color w:val="auto"/>
          <w:sz w:val="21"/>
          <w:szCs w:val="21"/>
        </w:rPr>
      </w:pPr>
      <w:bookmarkStart w:id="49" w:name="_Toc22445"/>
      <w:bookmarkStart w:id="50" w:name="_Toc22257"/>
      <w:r>
        <w:rPr>
          <w:rFonts w:hint="default" w:ascii="Times New Roman" w:hAnsi="Times New Roman" w:cs="Times New Roman"/>
          <w:color w:val="auto"/>
          <w:sz w:val="21"/>
          <w:szCs w:val="21"/>
        </w:rPr>
        <w:t>十、质保期</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1、本合同约定保修期限</w:t>
      </w:r>
      <w:r>
        <w:rPr>
          <w:rFonts w:hint="eastAsia" w:ascii="Times New Roman" w:hAnsi="Times New Roman" w:cs="Times New Roman"/>
          <w:color w:val="auto"/>
          <w:sz w:val="21"/>
          <w:szCs w:val="21"/>
          <w:lang w:val="en-US" w:eastAsia="zh-CN"/>
        </w:rPr>
        <w:t>2年，具体保修期间</w:t>
      </w:r>
      <w:r>
        <w:rPr>
          <w:rFonts w:hint="eastAsia" w:ascii="Times New Roman" w:hAnsi="Times New Roman" w:cs="Times New Roman"/>
          <w:color w:val="auto"/>
          <w:sz w:val="21"/>
          <w:szCs w:val="21"/>
          <w:lang w:eastAsia="zh-CN"/>
        </w:rPr>
        <w:t>以</w:t>
      </w:r>
      <w:r>
        <w:rPr>
          <w:rFonts w:hint="default" w:ascii="Times New Roman" w:hAnsi="Times New Roman" w:cs="Times New Roman"/>
          <w:color w:val="auto"/>
          <w:sz w:val="21"/>
          <w:szCs w:val="21"/>
        </w:rPr>
        <w:t>合同签订</w:t>
      </w:r>
      <w:r>
        <w:rPr>
          <w:rFonts w:hint="eastAsia" w:ascii="Times New Roman" w:hAnsi="Times New Roman" w:cs="Times New Roman"/>
          <w:color w:val="auto"/>
          <w:sz w:val="21"/>
          <w:szCs w:val="21"/>
          <w:lang w:eastAsia="zh-CN"/>
        </w:rPr>
        <w:t>时间为准</w:t>
      </w:r>
      <w:r>
        <w:rPr>
          <w:rFonts w:hint="default" w:ascii="Times New Roman" w:hAnsi="Times New Roman" w:cs="Times New Roman"/>
          <w:color w:val="auto"/>
          <w:sz w:val="21"/>
          <w:szCs w:val="21"/>
        </w:rPr>
        <w:t>。</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2、如在质保期内发生质量问题，乙方需在接到甲方通知后24小时内进行响应并实施维修解决问题。</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3、质保期内，乙方每个月回访甲方一次，解决甲方提出的问题（如有），并提供必要的质保服务和指导。</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4、在质保期内，乙方应对出现的质量及安全问题负责处理解决并承担一切费用。</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5、乙方的质保和服务范围按照按国家相关行业标准执行。</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十一、 解决合同纠纷的方式</w:t>
      </w:r>
      <w:bookmarkEnd w:id="49"/>
      <w:bookmarkEnd w:id="50"/>
      <w:r>
        <w:rPr>
          <w:rFonts w:hint="default" w:ascii="Times New Roman" w:hAnsi="Times New Roman" w:cs="Times New Roman"/>
          <w:color w:val="auto"/>
          <w:sz w:val="21"/>
          <w:szCs w:val="21"/>
        </w:rPr>
        <w:t xml:space="preserve"> </w:t>
      </w:r>
    </w:p>
    <w:p>
      <w:pPr>
        <w:pStyle w:val="27"/>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履行本合同所发生的一切争议，双方应及时协商解决。如经协商未能达成协议，任何一方均有权向甲方所在地人民法院提起诉讼。</w:t>
      </w:r>
    </w:p>
    <w:p>
      <w:pPr>
        <w:pStyle w:val="27"/>
        <w:spacing w:line="360" w:lineRule="auto"/>
        <w:rPr>
          <w:rFonts w:hint="default" w:ascii="Times New Roman" w:hAnsi="Times New Roman" w:cs="Times New Roman"/>
          <w:color w:val="auto"/>
          <w:sz w:val="21"/>
          <w:szCs w:val="21"/>
        </w:rPr>
      </w:pPr>
      <w:bookmarkStart w:id="51" w:name="_Toc24387"/>
      <w:bookmarkStart w:id="52" w:name="_Toc22020"/>
      <w:r>
        <w:rPr>
          <w:rFonts w:hint="default" w:ascii="Times New Roman" w:hAnsi="Times New Roman" w:cs="Times New Roman"/>
          <w:color w:val="auto"/>
          <w:sz w:val="21"/>
          <w:szCs w:val="21"/>
        </w:rPr>
        <w:t>十二、未尽事宜的处理</w:t>
      </w:r>
      <w:bookmarkEnd w:id="51"/>
      <w:bookmarkEnd w:id="52"/>
    </w:p>
    <w:p>
      <w:pPr>
        <w:pStyle w:val="27"/>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合同如有未尽事宜，按照法律、法规的规定执行。法律、法规未作规定的，须经双方共同协商达成书面补充协议或条款，作为本合同的附件， 其与本合同具有同等法律效力。</w:t>
      </w:r>
    </w:p>
    <w:p>
      <w:pPr>
        <w:pStyle w:val="27"/>
        <w:spacing w:line="360" w:lineRule="auto"/>
        <w:rPr>
          <w:rFonts w:hint="default" w:ascii="Times New Roman" w:hAnsi="Times New Roman" w:cs="Times New Roman"/>
          <w:color w:val="auto"/>
          <w:sz w:val="21"/>
          <w:szCs w:val="21"/>
        </w:rPr>
      </w:pPr>
      <w:bookmarkStart w:id="53" w:name="_Toc7630"/>
      <w:bookmarkStart w:id="54" w:name="_Toc13434"/>
      <w:r>
        <w:rPr>
          <w:rFonts w:hint="default" w:ascii="Times New Roman" w:hAnsi="Times New Roman" w:cs="Times New Roman"/>
          <w:color w:val="auto"/>
          <w:sz w:val="21"/>
          <w:szCs w:val="21"/>
        </w:rPr>
        <w:t>十三、本合同一式</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份，甲方执</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份，乙方执</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份，具有同等法律效力。</w:t>
      </w:r>
      <w:bookmarkEnd w:id="53"/>
      <w:bookmarkEnd w:id="54"/>
    </w:p>
    <w:p>
      <w:pPr>
        <w:pStyle w:val="27"/>
        <w:spacing w:line="360" w:lineRule="auto"/>
        <w:rPr>
          <w:rFonts w:hint="default" w:ascii="Times New Roman" w:hAnsi="Times New Roman" w:cs="Times New Roman"/>
          <w:color w:val="auto"/>
          <w:sz w:val="21"/>
          <w:szCs w:val="21"/>
        </w:rPr>
      </w:pPr>
      <w:bookmarkStart w:id="55" w:name="_Toc18545"/>
      <w:bookmarkStart w:id="56" w:name="_Toc22142"/>
      <w:r>
        <w:rPr>
          <w:rFonts w:hint="default" w:ascii="Times New Roman" w:hAnsi="Times New Roman" w:cs="Times New Roman"/>
          <w:color w:val="auto"/>
          <w:sz w:val="21"/>
          <w:szCs w:val="21"/>
        </w:rPr>
        <w:t>十四、合同的生效和失效</w:t>
      </w:r>
      <w:bookmarkEnd w:id="55"/>
      <w:bookmarkEnd w:id="56"/>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本合同经甲乙双方授权代表签字并加盖单位公章之日起生效，自合同履行完毕自行失效。</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甲方单位（盖章）：                       乙方单位（盖章）：</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甲方代表签字：                           乙方代表签字：</w:t>
      </w:r>
    </w:p>
    <w:p>
      <w:pPr>
        <w:pStyle w:val="27"/>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地址：                                   地址：</w:t>
      </w:r>
    </w:p>
    <w:p>
      <w:pPr>
        <w:pStyle w:val="13"/>
        <w:spacing w:line="440" w:lineRule="exact"/>
        <w:rPr>
          <w:rFonts w:hint="default" w:ascii="Times New Roman" w:hAnsi="Times New Roman" w:cs="Times New Roman"/>
          <w:color w:val="auto"/>
          <w:sz w:val="24"/>
          <w:szCs w:val="24"/>
          <w:highlight w:val="yellow"/>
        </w:rPr>
      </w:pPr>
      <w:r>
        <w:rPr>
          <w:rFonts w:hint="default" w:ascii="Times New Roman" w:hAnsi="Times New Roman" w:cs="Times New Roman"/>
          <w:color w:val="auto"/>
          <w:sz w:val="21"/>
          <w:szCs w:val="21"/>
        </w:rPr>
        <w:t>日期：   年   月  日                     日期：   年   月  日</w:t>
      </w:r>
    </w:p>
    <w:bookmarkEnd w:id="26"/>
    <w:bookmarkEnd w:id="27"/>
    <w:bookmarkEnd w:id="28"/>
    <w:bookmarkEnd w:id="29"/>
    <w:bookmarkEnd w:id="30"/>
    <w:p>
      <w:pPr>
        <w:pStyle w:val="20"/>
        <w:spacing w:line="480" w:lineRule="exact"/>
        <w:ind w:right="-72" w:rightChars="-30"/>
        <w:rPr>
          <w:rFonts w:hint="default" w:ascii="Times New Roman" w:hAnsi="Times New Roman" w:cs="Times New Roman"/>
          <w:bCs w:val="0"/>
          <w:color w:val="auto"/>
        </w:rPr>
      </w:pPr>
      <w:r>
        <w:rPr>
          <w:rFonts w:hint="default" w:ascii="Times New Roman" w:hAnsi="Times New Roman" w:cs="Times New Roman"/>
          <w:b w:val="0"/>
          <w:bCs w:val="0"/>
          <w:color w:val="auto"/>
          <w:sz w:val="21"/>
          <w:szCs w:val="21"/>
        </w:rPr>
        <w:br w:type="page"/>
      </w:r>
      <w:bookmarkStart w:id="57" w:name="_Toc110000294"/>
      <w:r>
        <w:rPr>
          <w:rFonts w:hint="default" w:ascii="Times New Roman" w:hAnsi="Times New Roman" w:cs="Times New Roman"/>
          <w:bCs w:val="0"/>
          <w:color w:val="auto"/>
        </w:rPr>
        <w:t>第四章 采购需求</w:t>
      </w:r>
      <w:bookmarkEnd w:id="24"/>
      <w:bookmarkEnd w:id="25"/>
      <w:bookmarkEnd w:id="57"/>
    </w:p>
    <w:p>
      <w:pPr>
        <w:spacing w:line="360" w:lineRule="auto"/>
        <w:rPr>
          <w:rFonts w:hint="default" w:ascii="Times New Roman" w:hAnsi="Times New Roman" w:eastAsia="宋体" w:cs="Times New Roman"/>
          <w:b/>
          <w:color w:val="auto"/>
          <w:sz w:val="32"/>
          <w:szCs w:val="32"/>
        </w:rPr>
      </w:pPr>
      <w:r>
        <w:rPr>
          <w:rFonts w:hint="eastAsia" w:ascii="Times New Roman" w:hAnsi="Times New Roman" w:eastAsia="宋体" w:cs="Times New Roman"/>
          <w:b/>
          <w:color w:val="auto"/>
          <w:sz w:val="32"/>
          <w:szCs w:val="32"/>
        </w:rPr>
        <w:t>一、</w:t>
      </w:r>
      <w:r>
        <w:rPr>
          <w:rFonts w:hint="default" w:ascii="Times New Roman" w:hAnsi="Times New Roman" w:eastAsia="宋体" w:cs="Times New Roman"/>
          <w:b/>
          <w:color w:val="auto"/>
          <w:sz w:val="32"/>
          <w:szCs w:val="32"/>
        </w:rPr>
        <w:t>相关说明</w:t>
      </w:r>
    </w:p>
    <w:p>
      <w:pPr>
        <w:widowControl/>
        <w:numPr>
          <w:ilvl w:val="2"/>
          <w:numId w:val="16"/>
        </w:numPr>
        <w:adjustRightInd w:val="0"/>
        <w:spacing w:line="360" w:lineRule="auto"/>
        <w:ind w:firstLine="420" w:firstLineChars="200"/>
        <w:jc w:val="left"/>
        <w:rPr>
          <w:rFonts w:hint="eastAsia" w:ascii="宋体" w:hAnsi="宋体"/>
          <w:kern w:val="0"/>
          <w:sz w:val="21"/>
          <w:szCs w:val="21"/>
        </w:rPr>
      </w:pPr>
      <w:r>
        <w:rPr>
          <w:rFonts w:ascii="宋体" w:hAnsi="宋体"/>
          <w:bCs/>
          <w:kern w:val="0"/>
          <w:sz w:val="21"/>
          <w:szCs w:val="21"/>
        </w:rPr>
        <w:t>招标文件中</w:t>
      </w:r>
      <w:r>
        <w:rPr>
          <w:rFonts w:hint="eastAsia" w:ascii="宋体" w:hAnsi="宋体"/>
          <w:bCs/>
          <w:kern w:val="0"/>
          <w:sz w:val="21"/>
          <w:szCs w:val="21"/>
        </w:rPr>
        <w:t>列出</w:t>
      </w:r>
      <w:r>
        <w:rPr>
          <w:rFonts w:ascii="宋体" w:hAnsi="宋体"/>
          <w:bCs/>
          <w:kern w:val="0"/>
          <w:sz w:val="21"/>
          <w:szCs w:val="21"/>
        </w:rPr>
        <w:t>的质</w:t>
      </w:r>
      <w:r>
        <w:rPr>
          <w:rFonts w:hint="eastAsia" w:ascii="宋体" w:hAnsi="宋体"/>
          <w:bCs/>
          <w:kern w:val="0"/>
          <w:sz w:val="21"/>
          <w:szCs w:val="21"/>
        </w:rPr>
        <w:t>量技术参数</w:t>
      </w:r>
      <w:r>
        <w:rPr>
          <w:rFonts w:ascii="宋体" w:hAnsi="宋体"/>
          <w:bCs/>
          <w:kern w:val="0"/>
          <w:sz w:val="21"/>
          <w:szCs w:val="21"/>
        </w:rPr>
        <w:t>或</w:t>
      </w:r>
      <w:r>
        <w:rPr>
          <w:rFonts w:hint="eastAsia" w:ascii="宋体" w:hAnsi="宋体"/>
          <w:bCs/>
          <w:kern w:val="0"/>
          <w:sz w:val="21"/>
          <w:szCs w:val="21"/>
        </w:rPr>
        <w:t>型号</w:t>
      </w:r>
      <w:r>
        <w:rPr>
          <w:rFonts w:ascii="宋体" w:hAnsi="宋体"/>
          <w:bCs/>
          <w:kern w:val="0"/>
          <w:sz w:val="21"/>
          <w:szCs w:val="21"/>
        </w:rPr>
        <w:t>与某产品相同</w:t>
      </w:r>
      <w:r>
        <w:rPr>
          <w:rFonts w:hint="eastAsia" w:ascii="宋体" w:hAnsi="宋体"/>
          <w:bCs/>
          <w:kern w:val="0"/>
          <w:sz w:val="21"/>
          <w:szCs w:val="21"/>
        </w:rPr>
        <w:t>时</w:t>
      </w:r>
      <w:r>
        <w:rPr>
          <w:rFonts w:ascii="宋体" w:hAnsi="宋体"/>
          <w:bCs/>
          <w:kern w:val="0"/>
          <w:sz w:val="21"/>
          <w:szCs w:val="21"/>
        </w:rPr>
        <w:t>仅</w:t>
      </w:r>
      <w:r>
        <w:rPr>
          <w:rFonts w:hint="eastAsia" w:ascii="宋体" w:hAnsi="宋体"/>
          <w:bCs/>
          <w:kern w:val="0"/>
          <w:sz w:val="21"/>
          <w:szCs w:val="21"/>
        </w:rPr>
        <w:t>作为</w:t>
      </w:r>
      <w:r>
        <w:rPr>
          <w:rFonts w:ascii="宋体" w:hAnsi="宋体"/>
          <w:bCs/>
          <w:kern w:val="0"/>
          <w:sz w:val="21"/>
          <w:szCs w:val="21"/>
        </w:rPr>
        <w:t>投标人选择</w:t>
      </w:r>
      <w:r>
        <w:rPr>
          <w:rFonts w:hint="eastAsia" w:ascii="宋体" w:hAnsi="宋体"/>
          <w:bCs/>
          <w:kern w:val="0"/>
          <w:sz w:val="21"/>
          <w:szCs w:val="21"/>
        </w:rPr>
        <w:t>投标产品</w:t>
      </w:r>
      <w:r>
        <w:rPr>
          <w:rFonts w:ascii="宋体" w:hAnsi="宋体"/>
          <w:bCs/>
          <w:kern w:val="0"/>
          <w:sz w:val="21"/>
          <w:szCs w:val="21"/>
        </w:rPr>
        <w:t>时在质量水平上</w:t>
      </w:r>
      <w:r>
        <w:rPr>
          <w:rFonts w:hint="eastAsia" w:ascii="宋体" w:hAnsi="宋体"/>
          <w:bCs/>
          <w:kern w:val="0"/>
          <w:sz w:val="21"/>
          <w:szCs w:val="21"/>
        </w:rPr>
        <w:t>的</w:t>
      </w:r>
      <w:r>
        <w:rPr>
          <w:rFonts w:ascii="宋体" w:hAnsi="宋体"/>
          <w:bCs/>
          <w:kern w:val="0"/>
          <w:sz w:val="21"/>
          <w:szCs w:val="21"/>
        </w:rPr>
        <w:t>参考，不</w:t>
      </w:r>
      <w:r>
        <w:rPr>
          <w:rFonts w:hint="eastAsia" w:ascii="宋体" w:hAnsi="宋体"/>
          <w:bCs/>
          <w:kern w:val="0"/>
          <w:sz w:val="21"/>
          <w:szCs w:val="21"/>
        </w:rPr>
        <w:t>强</w:t>
      </w:r>
      <w:r>
        <w:rPr>
          <w:rFonts w:ascii="宋体" w:hAnsi="宋体"/>
          <w:bCs/>
          <w:kern w:val="0"/>
          <w:sz w:val="21"/>
          <w:szCs w:val="21"/>
        </w:rPr>
        <w:t>制</w:t>
      </w:r>
      <w:r>
        <w:rPr>
          <w:rFonts w:hint="eastAsia" w:ascii="宋体" w:hAnsi="宋体"/>
          <w:bCs/>
          <w:kern w:val="0"/>
          <w:sz w:val="21"/>
          <w:szCs w:val="21"/>
        </w:rPr>
        <w:t>采购某一特定产品</w:t>
      </w:r>
      <w:r>
        <w:rPr>
          <w:rFonts w:ascii="宋体" w:hAnsi="宋体"/>
          <w:bCs/>
          <w:kern w:val="0"/>
          <w:sz w:val="21"/>
          <w:szCs w:val="21"/>
        </w:rPr>
        <w:t>，投标人可提供</w:t>
      </w:r>
      <w:r>
        <w:rPr>
          <w:rFonts w:hint="eastAsia" w:ascii="宋体" w:hAnsi="宋体"/>
          <w:bCs/>
          <w:kern w:val="0"/>
          <w:sz w:val="21"/>
          <w:szCs w:val="21"/>
        </w:rPr>
        <w:t>符合采购需求</w:t>
      </w:r>
      <w:r>
        <w:rPr>
          <w:rFonts w:ascii="宋体" w:hAnsi="宋体"/>
          <w:bCs/>
          <w:kern w:val="0"/>
          <w:sz w:val="21"/>
          <w:szCs w:val="21"/>
        </w:rPr>
        <w:t>或</w:t>
      </w:r>
      <w:r>
        <w:rPr>
          <w:rFonts w:hint="eastAsia" w:ascii="宋体" w:hAnsi="宋体"/>
          <w:bCs/>
          <w:kern w:val="0"/>
          <w:sz w:val="21"/>
          <w:szCs w:val="21"/>
        </w:rPr>
        <w:t>更</w:t>
      </w:r>
      <w:r>
        <w:rPr>
          <w:rFonts w:ascii="宋体" w:hAnsi="宋体"/>
          <w:bCs/>
          <w:kern w:val="0"/>
          <w:sz w:val="21"/>
          <w:szCs w:val="21"/>
        </w:rPr>
        <w:t>优</w:t>
      </w:r>
      <w:r>
        <w:rPr>
          <w:rFonts w:hint="eastAsia" w:ascii="宋体" w:hAnsi="宋体"/>
          <w:bCs/>
          <w:kern w:val="0"/>
          <w:sz w:val="21"/>
          <w:szCs w:val="21"/>
        </w:rPr>
        <w:t>的产品及</w:t>
      </w:r>
      <w:r>
        <w:rPr>
          <w:rFonts w:ascii="宋体" w:hAnsi="宋体"/>
          <w:bCs/>
          <w:kern w:val="0"/>
          <w:sz w:val="21"/>
          <w:szCs w:val="21"/>
        </w:rPr>
        <w:t>方案</w:t>
      </w:r>
      <w:r>
        <w:rPr>
          <w:rFonts w:ascii="宋体" w:hAnsi="宋体"/>
          <w:kern w:val="0"/>
          <w:sz w:val="21"/>
          <w:szCs w:val="21"/>
        </w:rPr>
        <w:t>。</w:t>
      </w:r>
    </w:p>
    <w:p>
      <w:pPr>
        <w:widowControl/>
        <w:numPr>
          <w:ilvl w:val="2"/>
          <w:numId w:val="16"/>
        </w:numPr>
        <w:adjustRightInd w:val="0"/>
        <w:spacing w:line="360" w:lineRule="auto"/>
        <w:ind w:firstLine="420" w:firstLineChars="200"/>
        <w:jc w:val="left"/>
        <w:rPr>
          <w:rFonts w:hint="eastAsia" w:ascii="宋体" w:hAnsi="宋体"/>
          <w:kern w:val="0"/>
          <w:sz w:val="21"/>
          <w:szCs w:val="21"/>
        </w:rPr>
      </w:pPr>
      <w:r>
        <w:rPr>
          <w:rFonts w:hint="eastAsia" w:ascii="宋体" w:hAnsi="宋体"/>
          <w:kern w:val="0"/>
          <w:sz w:val="21"/>
          <w:szCs w:val="21"/>
        </w:rPr>
        <w:t>本次采购内容如果要求的某些技术标准低于国家标准，均以最新的国家标准为准。招标技术要求中未明确的技术标准也均不得低于国家标准；</w:t>
      </w:r>
    </w:p>
    <w:p>
      <w:pPr>
        <w:widowControl/>
        <w:numPr>
          <w:ilvl w:val="2"/>
          <w:numId w:val="16"/>
        </w:numPr>
        <w:adjustRightInd w:val="0"/>
        <w:spacing w:line="360" w:lineRule="auto"/>
        <w:ind w:firstLine="420" w:firstLineChars="200"/>
        <w:jc w:val="left"/>
        <w:rPr>
          <w:rFonts w:hint="eastAsia" w:ascii="宋体" w:hAnsi="宋体"/>
          <w:kern w:val="0"/>
          <w:sz w:val="21"/>
          <w:szCs w:val="21"/>
        </w:rPr>
      </w:pPr>
      <w:r>
        <w:rPr>
          <w:rFonts w:ascii="宋体" w:hAnsi="宋体"/>
          <w:kern w:val="0"/>
          <w:sz w:val="21"/>
          <w:szCs w:val="21"/>
        </w:rPr>
        <w:t>本采购项目为交钥匙项目，</w:t>
      </w:r>
      <w:r>
        <w:rPr>
          <w:rFonts w:hint="eastAsia" w:ascii="宋体" w:hAnsi="宋体"/>
          <w:kern w:val="0"/>
          <w:sz w:val="21"/>
          <w:szCs w:val="21"/>
        </w:rPr>
        <w:t>验收合格前</w:t>
      </w:r>
      <w:r>
        <w:rPr>
          <w:rFonts w:ascii="宋体" w:hAnsi="宋体"/>
          <w:kern w:val="0"/>
          <w:sz w:val="21"/>
          <w:szCs w:val="21"/>
        </w:rPr>
        <w:t>所需的一切费用</w:t>
      </w:r>
      <w:r>
        <w:rPr>
          <w:rFonts w:hint="eastAsia" w:ascii="宋体" w:hAnsi="宋体"/>
          <w:kern w:val="0"/>
          <w:sz w:val="21"/>
          <w:szCs w:val="21"/>
        </w:rPr>
        <w:t>均</w:t>
      </w:r>
      <w:r>
        <w:rPr>
          <w:rFonts w:ascii="宋体" w:hAnsi="宋体"/>
          <w:kern w:val="0"/>
          <w:sz w:val="21"/>
          <w:szCs w:val="21"/>
        </w:rPr>
        <w:t>包含在报价之中，采购人不</w:t>
      </w:r>
      <w:r>
        <w:rPr>
          <w:rFonts w:hint="eastAsia" w:ascii="宋体" w:hAnsi="宋体"/>
          <w:kern w:val="0"/>
          <w:sz w:val="21"/>
          <w:szCs w:val="21"/>
        </w:rPr>
        <w:t>承担成交价格以外的</w:t>
      </w:r>
      <w:r>
        <w:rPr>
          <w:rFonts w:ascii="宋体" w:hAnsi="宋体"/>
          <w:kern w:val="0"/>
          <w:sz w:val="21"/>
          <w:szCs w:val="21"/>
        </w:rPr>
        <w:t>任何费用。</w:t>
      </w:r>
    </w:p>
    <w:p>
      <w:pPr>
        <w:spacing w:line="360" w:lineRule="auto"/>
        <w:rPr>
          <w:rFonts w:hint="default" w:ascii="Times New Roman" w:hAnsi="Times New Roman" w:cs="Times New Roman"/>
          <w:bCs/>
          <w:color w:val="auto"/>
          <w:sz w:val="32"/>
          <w:szCs w:val="32"/>
          <w:highlight w:val="yellow"/>
        </w:rPr>
      </w:pPr>
      <w:r>
        <w:rPr>
          <w:rFonts w:hint="default" w:ascii="Times New Roman" w:hAnsi="Times New Roman" w:cs="Times New Roman"/>
          <w:b/>
          <w:color w:val="auto"/>
          <w:sz w:val="32"/>
          <w:szCs w:val="32"/>
        </w:rPr>
        <w:t>二、商务要求</w:t>
      </w:r>
    </w:p>
    <w:p>
      <w:pPr>
        <w:widowControl/>
        <w:numPr>
          <w:ilvl w:val="0"/>
          <w:numId w:val="0"/>
        </w:numPr>
        <w:adjustRightInd w:val="0"/>
        <w:spacing w:line="360" w:lineRule="auto"/>
        <w:ind w:leftChars="200"/>
        <w:jc w:val="left"/>
        <w:rPr>
          <w:rFonts w:hint="default" w:ascii="宋体" w:hAnsi="宋体"/>
          <w:kern w:val="0"/>
          <w:sz w:val="21"/>
          <w:szCs w:val="21"/>
          <w:highlight w:val="none"/>
        </w:rPr>
      </w:pPr>
      <w:r>
        <w:rPr>
          <w:rFonts w:hint="default" w:ascii="宋体" w:hAnsi="宋体"/>
          <w:kern w:val="0"/>
          <w:sz w:val="21"/>
          <w:szCs w:val="21"/>
          <w:highlight w:val="none"/>
        </w:rPr>
        <w:t>1.合同履行期限：项目具备设备进场施工的情况下，自合同签订之日起</w:t>
      </w:r>
      <w:r>
        <w:rPr>
          <w:rFonts w:hint="eastAsia" w:ascii="宋体" w:hAnsi="宋体"/>
          <w:kern w:val="0"/>
          <w:sz w:val="21"/>
          <w:szCs w:val="21"/>
          <w:highlight w:val="none"/>
          <w:lang w:val="en-US" w:eastAsia="zh-CN"/>
        </w:rPr>
        <w:t>3</w:t>
      </w:r>
      <w:r>
        <w:rPr>
          <w:rFonts w:hint="default" w:ascii="宋体" w:hAnsi="宋体"/>
          <w:kern w:val="0"/>
          <w:sz w:val="21"/>
          <w:szCs w:val="21"/>
          <w:highlight w:val="none"/>
        </w:rPr>
        <w:t>0天完工。</w:t>
      </w:r>
    </w:p>
    <w:p>
      <w:pPr>
        <w:widowControl/>
        <w:numPr>
          <w:ilvl w:val="0"/>
          <w:numId w:val="0"/>
        </w:numPr>
        <w:adjustRightInd w:val="0"/>
        <w:spacing w:line="360" w:lineRule="auto"/>
        <w:ind w:leftChars="200"/>
        <w:jc w:val="left"/>
        <w:rPr>
          <w:rFonts w:hint="default" w:ascii="宋体" w:hAnsi="宋体"/>
          <w:kern w:val="0"/>
          <w:sz w:val="21"/>
          <w:szCs w:val="21"/>
        </w:rPr>
      </w:pPr>
      <w:r>
        <w:rPr>
          <w:rFonts w:hint="default" w:ascii="宋体" w:hAnsi="宋体"/>
          <w:kern w:val="0"/>
          <w:sz w:val="21"/>
          <w:szCs w:val="21"/>
        </w:rPr>
        <w:t>2.供货安装地点：武陟县兴华路以</w:t>
      </w:r>
      <w:r>
        <w:rPr>
          <w:rFonts w:hint="eastAsia" w:ascii="宋体" w:hAnsi="宋体"/>
          <w:kern w:val="0"/>
          <w:sz w:val="21"/>
          <w:szCs w:val="21"/>
          <w:lang w:eastAsia="zh-CN"/>
        </w:rPr>
        <w:t>南</w:t>
      </w:r>
      <w:r>
        <w:rPr>
          <w:rFonts w:hint="default" w:ascii="宋体" w:hAnsi="宋体"/>
          <w:kern w:val="0"/>
          <w:sz w:val="21"/>
          <w:szCs w:val="21"/>
        </w:rPr>
        <w:t>康泰巷以</w:t>
      </w:r>
      <w:r>
        <w:rPr>
          <w:rFonts w:hint="eastAsia" w:ascii="宋体" w:hAnsi="宋体"/>
          <w:kern w:val="0"/>
          <w:sz w:val="21"/>
          <w:szCs w:val="21"/>
          <w:lang w:eastAsia="zh-CN"/>
        </w:rPr>
        <w:t>东</w:t>
      </w:r>
      <w:r>
        <w:rPr>
          <w:rFonts w:hint="default" w:ascii="宋体" w:hAnsi="宋体"/>
          <w:kern w:val="0"/>
          <w:sz w:val="21"/>
          <w:szCs w:val="21"/>
        </w:rPr>
        <w:t>。</w:t>
      </w:r>
    </w:p>
    <w:p>
      <w:pPr>
        <w:widowControl/>
        <w:numPr>
          <w:ilvl w:val="0"/>
          <w:numId w:val="0"/>
        </w:numPr>
        <w:adjustRightInd w:val="0"/>
        <w:spacing w:line="360" w:lineRule="auto"/>
        <w:ind w:leftChars="200"/>
        <w:jc w:val="left"/>
        <w:rPr>
          <w:rFonts w:hint="eastAsia" w:ascii="宋体" w:hAnsi="宋体"/>
          <w:kern w:val="0"/>
          <w:sz w:val="21"/>
          <w:szCs w:val="21"/>
          <w:lang w:val="en-US" w:eastAsia="zh-CN"/>
        </w:rPr>
      </w:pPr>
      <w:r>
        <w:rPr>
          <w:rFonts w:hint="default" w:ascii="宋体" w:hAnsi="宋体"/>
          <w:kern w:val="0"/>
          <w:sz w:val="21"/>
          <w:szCs w:val="21"/>
        </w:rPr>
        <w:t>3.</w:t>
      </w:r>
      <w:r>
        <w:rPr>
          <w:rFonts w:hint="eastAsia" w:ascii="宋体" w:hAnsi="宋体"/>
          <w:kern w:val="0"/>
          <w:sz w:val="21"/>
          <w:szCs w:val="21"/>
          <w:lang w:val="en-US" w:eastAsia="zh-CN"/>
        </w:rPr>
        <w:t>质量标准：合格</w:t>
      </w:r>
    </w:p>
    <w:p>
      <w:pPr>
        <w:widowControl/>
        <w:numPr>
          <w:ilvl w:val="0"/>
          <w:numId w:val="0"/>
        </w:numPr>
        <w:adjustRightInd w:val="0"/>
        <w:spacing w:line="360" w:lineRule="auto"/>
        <w:ind w:leftChars="200"/>
        <w:jc w:val="left"/>
        <w:rPr>
          <w:rFonts w:hint="default" w:ascii="宋体" w:hAnsi="宋体"/>
          <w:kern w:val="0"/>
          <w:sz w:val="21"/>
          <w:szCs w:val="21"/>
        </w:rPr>
      </w:pPr>
      <w:r>
        <w:rPr>
          <w:rFonts w:hint="eastAsia" w:ascii="宋体" w:hAnsi="宋体"/>
          <w:kern w:val="0"/>
          <w:sz w:val="21"/>
          <w:szCs w:val="21"/>
          <w:lang w:val="en-US" w:eastAsia="zh-CN"/>
        </w:rPr>
        <w:t>4.</w:t>
      </w:r>
      <w:r>
        <w:rPr>
          <w:rFonts w:hint="default" w:ascii="宋体" w:hAnsi="宋体"/>
          <w:kern w:val="0"/>
          <w:sz w:val="21"/>
          <w:szCs w:val="21"/>
        </w:rPr>
        <w:t>质量保证期：</w:t>
      </w:r>
      <w:r>
        <w:rPr>
          <w:rFonts w:hint="eastAsia" w:ascii="宋体" w:hAnsi="宋体"/>
          <w:kern w:val="0"/>
          <w:sz w:val="21"/>
          <w:szCs w:val="21"/>
          <w:lang w:val="en-US" w:eastAsia="zh-CN"/>
        </w:rPr>
        <w:t>2</w:t>
      </w:r>
      <w:r>
        <w:rPr>
          <w:rFonts w:hint="default" w:ascii="宋体" w:hAnsi="宋体"/>
          <w:kern w:val="0"/>
          <w:sz w:val="21"/>
          <w:szCs w:val="21"/>
        </w:rPr>
        <w:t>年。</w:t>
      </w:r>
    </w:p>
    <w:p>
      <w:pPr>
        <w:spacing w:line="360" w:lineRule="auto"/>
        <w:rPr>
          <w:rFonts w:hint="default" w:ascii="Times New Roman" w:hAnsi="Times New Roman" w:cs="Times New Roman"/>
          <w:b/>
          <w:color w:val="auto"/>
          <w:sz w:val="32"/>
          <w:szCs w:val="32"/>
        </w:rPr>
      </w:pPr>
      <w:r>
        <w:rPr>
          <w:rFonts w:hint="default" w:ascii="Times New Roman" w:hAnsi="Times New Roman" w:cs="Times New Roman"/>
          <w:b/>
          <w:color w:val="auto"/>
          <w:sz w:val="32"/>
          <w:szCs w:val="32"/>
        </w:rPr>
        <w:t>三、采购内容及技术要求</w:t>
      </w:r>
    </w:p>
    <w:p>
      <w:pPr>
        <w:widowControl/>
        <w:numPr>
          <w:ilvl w:val="0"/>
          <w:numId w:val="0"/>
        </w:numPr>
        <w:adjustRightInd w:val="0"/>
        <w:spacing w:line="360" w:lineRule="auto"/>
        <w:ind w:left="0" w:leftChars="0" w:firstLine="478" w:firstLineChars="228"/>
        <w:jc w:val="left"/>
        <w:rPr>
          <w:rFonts w:hint="eastAsia" w:ascii="宋体" w:hAnsi="宋体"/>
          <w:kern w:val="0"/>
          <w:sz w:val="21"/>
          <w:szCs w:val="21"/>
          <w:highlight w:val="none"/>
          <w:lang w:eastAsia="zh-CN"/>
        </w:rPr>
      </w:pPr>
      <w:r>
        <w:rPr>
          <w:rFonts w:hint="eastAsia" w:ascii="宋体" w:hAnsi="宋体"/>
          <w:kern w:val="0"/>
          <w:sz w:val="21"/>
          <w:szCs w:val="21"/>
          <w:highlight w:val="none"/>
        </w:rPr>
        <w:t>1.本项目的核心产品为：</w:t>
      </w:r>
      <w:r>
        <w:rPr>
          <w:rFonts w:hint="eastAsia" w:ascii="宋体" w:hAnsi="宋体"/>
          <w:kern w:val="0"/>
          <w:sz w:val="21"/>
          <w:szCs w:val="21"/>
          <w:highlight w:val="none"/>
          <w:lang w:val="en-US" w:eastAsia="zh-CN"/>
        </w:rPr>
        <w:t>污水处理设备</w:t>
      </w:r>
      <w:r>
        <w:rPr>
          <w:rFonts w:hint="eastAsia" w:ascii="宋体" w:hAnsi="宋体"/>
          <w:kern w:val="0"/>
          <w:sz w:val="21"/>
          <w:szCs w:val="21"/>
          <w:highlight w:val="none"/>
          <w:lang w:eastAsia="zh-CN"/>
        </w:rPr>
        <w:t>。</w:t>
      </w:r>
      <w:bookmarkStart w:id="58" w:name="_Toc19814"/>
      <w:bookmarkStart w:id="59" w:name="_Toc110000295"/>
    </w:p>
    <w:p>
      <w:pPr>
        <w:widowControl/>
        <w:numPr>
          <w:ilvl w:val="0"/>
          <w:numId w:val="0"/>
        </w:numPr>
        <w:adjustRightInd w:val="0"/>
        <w:spacing w:line="360" w:lineRule="auto"/>
        <w:ind w:left="0" w:leftChars="0" w:firstLine="478" w:firstLineChars="228"/>
        <w:jc w:val="left"/>
        <w:rPr>
          <w:rFonts w:hint="default" w:ascii="宋体" w:hAnsi="宋体"/>
          <w:kern w:val="0"/>
          <w:sz w:val="21"/>
          <w:szCs w:val="21"/>
          <w:highlight w:val="none"/>
        </w:rPr>
      </w:pPr>
      <w:r>
        <w:rPr>
          <w:rFonts w:hint="eastAsia" w:ascii="宋体" w:hAnsi="宋体"/>
          <w:kern w:val="0"/>
          <w:sz w:val="21"/>
          <w:szCs w:val="21"/>
          <w:highlight w:val="none"/>
          <w:lang w:eastAsia="zh-CN"/>
        </w:rPr>
        <w:t>（一）</w:t>
      </w:r>
      <w:r>
        <w:rPr>
          <w:rFonts w:hint="default" w:ascii="宋体" w:hAnsi="宋体"/>
          <w:kern w:val="0"/>
          <w:sz w:val="21"/>
          <w:szCs w:val="21"/>
          <w:highlight w:val="none"/>
        </w:rPr>
        <w:t>招标范围</w:t>
      </w:r>
    </w:p>
    <w:p>
      <w:pPr>
        <w:widowControl/>
        <w:numPr>
          <w:ilvl w:val="0"/>
          <w:numId w:val="0"/>
        </w:numPr>
        <w:adjustRightInd w:val="0"/>
        <w:spacing w:line="360" w:lineRule="auto"/>
        <w:ind w:left="0" w:leftChars="0" w:firstLine="478" w:firstLineChars="228"/>
        <w:jc w:val="left"/>
        <w:rPr>
          <w:rFonts w:hint="default" w:ascii="宋体" w:hAnsi="宋体"/>
          <w:kern w:val="0"/>
          <w:sz w:val="21"/>
          <w:szCs w:val="21"/>
          <w:highlight w:val="none"/>
        </w:rPr>
      </w:pPr>
      <w:r>
        <w:rPr>
          <w:rFonts w:hint="default" w:ascii="宋体" w:hAnsi="宋体"/>
          <w:kern w:val="0"/>
          <w:sz w:val="21"/>
          <w:szCs w:val="21"/>
          <w:highlight w:val="none"/>
        </w:rPr>
        <w:t>1、设备和材料采购、加工、安装</w:t>
      </w:r>
    </w:p>
    <w:p>
      <w:pPr>
        <w:widowControl/>
        <w:numPr>
          <w:ilvl w:val="0"/>
          <w:numId w:val="0"/>
        </w:numPr>
        <w:adjustRightInd w:val="0"/>
        <w:spacing w:line="360" w:lineRule="auto"/>
        <w:ind w:left="0" w:leftChars="0" w:firstLine="478" w:firstLineChars="228"/>
        <w:jc w:val="left"/>
        <w:rPr>
          <w:rFonts w:hint="eastAsia" w:ascii="宋体" w:hAnsi="宋体"/>
          <w:kern w:val="0"/>
          <w:sz w:val="21"/>
          <w:szCs w:val="21"/>
          <w:highlight w:val="none"/>
        </w:rPr>
      </w:pPr>
      <w:r>
        <w:rPr>
          <w:rFonts w:hint="eastAsia" w:ascii="宋体" w:hAnsi="宋体"/>
          <w:kern w:val="0"/>
          <w:sz w:val="21"/>
          <w:szCs w:val="21"/>
          <w:highlight w:val="none"/>
        </w:rPr>
        <w:t>本项目污水处理场地在地下室，污水处理系统采用设备，不采用钢筋混凝土结构工程。</w:t>
      </w:r>
    </w:p>
    <w:p>
      <w:pPr>
        <w:widowControl/>
        <w:numPr>
          <w:ilvl w:val="0"/>
          <w:numId w:val="0"/>
        </w:numPr>
        <w:adjustRightInd w:val="0"/>
        <w:spacing w:line="360" w:lineRule="auto"/>
        <w:ind w:left="0" w:leftChars="0" w:firstLine="478" w:firstLineChars="228"/>
        <w:jc w:val="left"/>
        <w:rPr>
          <w:rFonts w:hint="eastAsia" w:ascii="宋体" w:hAnsi="宋体"/>
          <w:kern w:val="0"/>
          <w:sz w:val="21"/>
          <w:szCs w:val="21"/>
          <w:highlight w:val="none"/>
        </w:rPr>
      </w:pPr>
      <w:r>
        <w:rPr>
          <w:rFonts w:hint="eastAsia" w:ascii="宋体" w:hAnsi="宋体"/>
          <w:kern w:val="0"/>
          <w:sz w:val="21"/>
          <w:szCs w:val="21"/>
          <w:highlight w:val="none"/>
        </w:rPr>
        <w:t>污水处理配套工艺设备、配电控制设备、工艺管阀、电缆等（不包括排水在线监测等）、污水站内废气处理设备、配电控制、管阀、电缆等。</w:t>
      </w:r>
    </w:p>
    <w:p>
      <w:pPr>
        <w:widowControl/>
        <w:numPr>
          <w:ilvl w:val="0"/>
          <w:numId w:val="0"/>
        </w:numPr>
        <w:adjustRightInd w:val="0"/>
        <w:spacing w:line="360" w:lineRule="auto"/>
        <w:ind w:left="0" w:leftChars="0" w:firstLine="478" w:firstLineChars="228"/>
        <w:jc w:val="left"/>
        <w:rPr>
          <w:rFonts w:hint="default" w:ascii="宋体" w:hAnsi="宋体"/>
          <w:kern w:val="0"/>
          <w:sz w:val="21"/>
          <w:szCs w:val="21"/>
          <w:highlight w:val="none"/>
        </w:rPr>
      </w:pPr>
      <w:r>
        <w:rPr>
          <w:rFonts w:hint="eastAsia" w:ascii="宋体" w:hAnsi="宋体"/>
          <w:kern w:val="0"/>
          <w:sz w:val="21"/>
          <w:szCs w:val="21"/>
          <w:highlight w:val="none"/>
        </w:rPr>
        <w:t>2、设备、工艺运行调试、人员培训</w:t>
      </w:r>
    </w:p>
    <w:p>
      <w:pPr>
        <w:widowControl/>
        <w:numPr>
          <w:ilvl w:val="0"/>
          <w:numId w:val="0"/>
        </w:numPr>
        <w:adjustRightInd w:val="0"/>
        <w:spacing w:line="360" w:lineRule="auto"/>
        <w:ind w:left="0" w:leftChars="0" w:firstLine="478" w:firstLineChars="228"/>
        <w:jc w:val="left"/>
        <w:rPr>
          <w:rFonts w:hint="eastAsia" w:ascii="宋体" w:hAnsi="宋体"/>
          <w:kern w:val="0"/>
          <w:sz w:val="21"/>
          <w:szCs w:val="21"/>
          <w:highlight w:val="none"/>
        </w:rPr>
      </w:pPr>
      <w:r>
        <w:rPr>
          <w:rFonts w:hint="eastAsia" w:ascii="宋体" w:hAnsi="宋体"/>
          <w:kern w:val="0"/>
          <w:sz w:val="21"/>
          <w:szCs w:val="21"/>
          <w:highlight w:val="none"/>
        </w:rPr>
        <w:t>负责污水处理设备和工艺运行调试（不包括菌种采购），达到合格要求。</w:t>
      </w:r>
    </w:p>
    <w:p>
      <w:pPr>
        <w:widowControl/>
        <w:numPr>
          <w:ilvl w:val="0"/>
          <w:numId w:val="0"/>
        </w:numPr>
        <w:adjustRightInd w:val="0"/>
        <w:spacing w:line="360" w:lineRule="auto"/>
        <w:ind w:left="0" w:leftChars="0" w:firstLine="478" w:firstLineChars="228"/>
        <w:jc w:val="left"/>
        <w:rPr>
          <w:rFonts w:hint="eastAsia" w:ascii="宋体" w:hAnsi="宋体"/>
          <w:kern w:val="0"/>
          <w:sz w:val="21"/>
          <w:szCs w:val="21"/>
          <w:highlight w:val="none"/>
        </w:rPr>
      </w:pPr>
      <w:r>
        <w:rPr>
          <w:rFonts w:hint="eastAsia" w:ascii="宋体" w:hAnsi="宋体"/>
          <w:kern w:val="0"/>
          <w:sz w:val="21"/>
          <w:szCs w:val="21"/>
          <w:highlight w:val="none"/>
        </w:rPr>
        <w:t>对甲方运行人员进行培训，使其固定技术人员能达到运行维护的要求。</w:t>
      </w:r>
    </w:p>
    <w:p>
      <w:pPr>
        <w:widowControl/>
        <w:numPr>
          <w:ilvl w:val="0"/>
          <w:numId w:val="0"/>
        </w:numPr>
        <w:adjustRightInd w:val="0"/>
        <w:spacing w:line="360" w:lineRule="auto"/>
        <w:ind w:left="0" w:leftChars="0" w:firstLine="478" w:firstLineChars="228"/>
        <w:jc w:val="left"/>
        <w:rPr>
          <w:rFonts w:hint="default" w:ascii="宋体" w:hAnsi="宋体"/>
          <w:kern w:val="0"/>
          <w:sz w:val="21"/>
          <w:szCs w:val="21"/>
          <w:highlight w:val="none"/>
        </w:rPr>
      </w:pPr>
      <w:r>
        <w:rPr>
          <w:rFonts w:hint="eastAsia" w:ascii="宋体" w:hAnsi="宋体"/>
          <w:kern w:val="0"/>
          <w:sz w:val="21"/>
          <w:szCs w:val="21"/>
          <w:highlight w:val="none"/>
        </w:rPr>
        <w:t>3、工程招标范围</w:t>
      </w:r>
    </w:p>
    <w:p>
      <w:pPr>
        <w:widowControl/>
        <w:numPr>
          <w:ilvl w:val="0"/>
          <w:numId w:val="0"/>
        </w:numPr>
        <w:adjustRightInd w:val="0"/>
        <w:spacing w:line="360" w:lineRule="auto"/>
        <w:ind w:left="0" w:leftChars="0" w:firstLine="478" w:firstLineChars="228"/>
        <w:jc w:val="left"/>
        <w:rPr>
          <w:rFonts w:hint="eastAsia" w:ascii="宋体" w:hAnsi="宋体"/>
          <w:kern w:val="0"/>
          <w:sz w:val="21"/>
          <w:szCs w:val="21"/>
          <w:highlight w:val="none"/>
        </w:rPr>
      </w:pPr>
      <w:r>
        <w:rPr>
          <w:rFonts w:hint="eastAsia" w:ascii="宋体" w:hAnsi="宋体"/>
          <w:kern w:val="0"/>
          <w:sz w:val="21"/>
          <w:szCs w:val="21"/>
          <w:highlight w:val="none"/>
        </w:rPr>
        <w:t>工程范围自地下室污水进水管至地下室污水排水管范围内工程。</w:t>
      </w:r>
    </w:p>
    <w:p>
      <w:pPr>
        <w:widowControl/>
        <w:numPr>
          <w:ilvl w:val="0"/>
          <w:numId w:val="0"/>
        </w:numPr>
        <w:adjustRightInd w:val="0"/>
        <w:spacing w:line="360" w:lineRule="auto"/>
        <w:ind w:left="0" w:leftChars="0" w:firstLine="478" w:firstLineChars="228"/>
        <w:jc w:val="left"/>
        <w:rPr>
          <w:rFonts w:hint="eastAsia" w:ascii="宋体" w:hAnsi="宋体"/>
          <w:kern w:val="0"/>
          <w:sz w:val="21"/>
          <w:szCs w:val="21"/>
          <w:highlight w:val="none"/>
        </w:rPr>
      </w:pPr>
      <w:r>
        <w:rPr>
          <w:rFonts w:hint="eastAsia" w:ascii="宋体" w:hAnsi="宋体"/>
          <w:kern w:val="0"/>
          <w:sz w:val="21"/>
          <w:szCs w:val="21"/>
          <w:highlight w:val="none"/>
        </w:rPr>
        <w:t>甲方将电源接入地下室的污水处理主配电柜，将水源引至地下室的污水处理设备进口。甲方提供地下室内废气排放出口，乙方将处理后废气引至该出口。污泥经消毒后排入室外化粪池。</w:t>
      </w:r>
    </w:p>
    <w:p>
      <w:pPr>
        <w:widowControl/>
        <w:numPr>
          <w:ilvl w:val="0"/>
          <w:numId w:val="0"/>
        </w:numPr>
        <w:adjustRightInd w:val="0"/>
        <w:spacing w:line="360" w:lineRule="auto"/>
        <w:ind w:left="0" w:leftChars="0" w:firstLine="478" w:firstLineChars="228"/>
        <w:jc w:val="left"/>
        <w:rPr>
          <w:rFonts w:hint="eastAsia" w:ascii="宋体" w:hAnsi="宋体"/>
          <w:kern w:val="0"/>
          <w:sz w:val="21"/>
          <w:szCs w:val="21"/>
          <w:highlight w:val="none"/>
        </w:rPr>
      </w:pPr>
      <w:r>
        <w:rPr>
          <w:rFonts w:hint="eastAsia" w:ascii="宋体" w:hAnsi="宋体"/>
          <w:kern w:val="0"/>
          <w:sz w:val="21"/>
          <w:szCs w:val="21"/>
          <w:highlight w:val="none"/>
        </w:rPr>
        <w:t>甲方负责调试期间水、电、药剂、化验设备。</w:t>
      </w:r>
    </w:p>
    <w:p>
      <w:pPr>
        <w:widowControl/>
        <w:numPr>
          <w:ilvl w:val="0"/>
          <w:numId w:val="0"/>
        </w:numPr>
        <w:adjustRightInd w:val="0"/>
        <w:spacing w:line="360" w:lineRule="auto"/>
        <w:ind w:left="0" w:leftChars="0" w:firstLine="478" w:firstLineChars="228"/>
        <w:jc w:val="left"/>
        <w:rPr>
          <w:rFonts w:hint="eastAsia" w:ascii="宋体" w:hAnsi="宋体"/>
          <w:kern w:val="0"/>
          <w:sz w:val="21"/>
          <w:szCs w:val="21"/>
          <w:highlight w:val="none"/>
        </w:rPr>
      </w:pPr>
      <w:r>
        <w:rPr>
          <w:rFonts w:hint="eastAsia" w:ascii="宋体" w:hAnsi="宋体"/>
          <w:kern w:val="0"/>
          <w:sz w:val="21"/>
          <w:szCs w:val="21"/>
          <w:highlight w:val="none"/>
        </w:rPr>
        <w:t>乙方配合甲方进行环保验收。</w:t>
      </w:r>
    </w:p>
    <w:p>
      <w:pPr>
        <w:widowControl/>
        <w:numPr>
          <w:ilvl w:val="0"/>
          <w:numId w:val="0"/>
        </w:numPr>
        <w:adjustRightInd w:val="0"/>
        <w:spacing w:line="360" w:lineRule="auto"/>
        <w:ind w:left="0" w:leftChars="0" w:firstLine="478" w:firstLineChars="228"/>
        <w:jc w:val="left"/>
        <w:rPr>
          <w:rFonts w:hint="eastAsia" w:ascii="宋体" w:hAnsi="宋体"/>
          <w:kern w:val="0"/>
          <w:sz w:val="21"/>
          <w:szCs w:val="21"/>
          <w:highlight w:val="none"/>
          <w:lang w:eastAsia="zh-CN"/>
        </w:rPr>
      </w:pPr>
      <w:r>
        <w:rPr>
          <w:rFonts w:hint="eastAsia" w:ascii="宋体" w:hAnsi="宋体"/>
          <w:kern w:val="0"/>
          <w:sz w:val="21"/>
          <w:szCs w:val="21"/>
          <w:highlight w:val="none"/>
          <w:lang w:eastAsia="zh-CN"/>
        </w:rPr>
        <w:t>（二）、项目技术要求</w:t>
      </w:r>
    </w:p>
    <w:p>
      <w:pPr>
        <w:widowControl/>
        <w:numPr>
          <w:ilvl w:val="0"/>
          <w:numId w:val="0"/>
        </w:numPr>
        <w:adjustRightInd w:val="0"/>
        <w:spacing w:line="360" w:lineRule="auto"/>
        <w:ind w:left="0" w:leftChars="0" w:firstLine="478" w:firstLineChars="228"/>
        <w:jc w:val="left"/>
        <w:rPr>
          <w:rFonts w:hint="default" w:ascii="宋体" w:hAnsi="宋体"/>
          <w:kern w:val="0"/>
          <w:sz w:val="21"/>
          <w:szCs w:val="21"/>
          <w:highlight w:val="none"/>
        </w:rPr>
      </w:pPr>
      <w:r>
        <w:rPr>
          <w:rFonts w:hint="default" w:ascii="宋体" w:hAnsi="宋体"/>
          <w:kern w:val="0"/>
          <w:sz w:val="21"/>
          <w:szCs w:val="21"/>
          <w:highlight w:val="none"/>
        </w:rPr>
        <w:t>1、废水设计规模</w:t>
      </w:r>
    </w:p>
    <w:p>
      <w:pPr>
        <w:widowControl/>
        <w:numPr>
          <w:ilvl w:val="0"/>
          <w:numId w:val="0"/>
        </w:numPr>
        <w:adjustRightInd w:val="0"/>
        <w:spacing w:line="360" w:lineRule="auto"/>
        <w:ind w:left="0" w:leftChars="0" w:firstLine="478" w:firstLineChars="228"/>
        <w:jc w:val="left"/>
        <w:rPr>
          <w:rFonts w:hint="eastAsia" w:ascii="宋体" w:hAnsi="宋体"/>
          <w:kern w:val="0"/>
          <w:sz w:val="21"/>
          <w:szCs w:val="21"/>
          <w:highlight w:val="none"/>
        </w:rPr>
      </w:pPr>
      <w:r>
        <w:rPr>
          <w:rFonts w:hint="eastAsia" w:ascii="宋体" w:hAnsi="宋体"/>
          <w:kern w:val="0"/>
          <w:sz w:val="21"/>
          <w:szCs w:val="21"/>
          <w:highlight w:val="none"/>
        </w:rPr>
        <w:t>废水处理规模</w:t>
      </w:r>
      <w:r>
        <w:rPr>
          <w:rFonts w:hint="eastAsia" w:ascii="宋体" w:hAnsi="宋体"/>
          <w:kern w:val="0"/>
          <w:sz w:val="21"/>
          <w:szCs w:val="21"/>
          <w:highlight w:val="none"/>
          <w:lang w:eastAsia="zh-CN"/>
        </w:rPr>
        <w:t>≥</w:t>
      </w:r>
      <w:r>
        <w:rPr>
          <w:rFonts w:hint="eastAsia" w:ascii="宋体" w:hAnsi="宋体"/>
          <w:kern w:val="0"/>
          <w:sz w:val="21"/>
          <w:szCs w:val="21"/>
          <w:highlight w:val="none"/>
        </w:rPr>
        <w:t>220吨/日。</w:t>
      </w:r>
    </w:p>
    <w:p>
      <w:pPr>
        <w:widowControl/>
        <w:numPr>
          <w:ilvl w:val="0"/>
          <w:numId w:val="0"/>
        </w:numPr>
        <w:adjustRightInd w:val="0"/>
        <w:spacing w:line="360" w:lineRule="auto"/>
        <w:ind w:left="0" w:leftChars="0" w:firstLine="478" w:firstLineChars="228"/>
        <w:jc w:val="left"/>
        <w:rPr>
          <w:rFonts w:hint="default" w:ascii="宋体" w:hAnsi="宋体"/>
          <w:kern w:val="0"/>
          <w:sz w:val="21"/>
          <w:szCs w:val="21"/>
          <w:highlight w:val="none"/>
        </w:rPr>
      </w:pPr>
      <w:r>
        <w:rPr>
          <w:rFonts w:hint="eastAsia" w:ascii="宋体" w:hAnsi="宋体"/>
          <w:kern w:val="0"/>
          <w:sz w:val="21"/>
          <w:szCs w:val="21"/>
          <w:highlight w:val="none"/>
        </w:rPr>
        <w:t>2、设计进水水质</w:t>
      </w:r>
    </w:p>
    <w:tbl>
      <w:tblPr>
        <w:tblStyle w:val="23"/>
        <w:tblW w:w="793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6"/>
        <w:gridCol w:w="1110"/>
        <w:gridCol w:w="1065"/>
        <w:gridCol w:w="1129"/>
        <w:gridCol w:w="1010"/>
        <w:gridCol w:w="1010"/>
        <w:gridCol w:w="18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5" w:hRule="atLeast"/>
          <w:jc w:val="center"/>
        </w:trPr>
        <w:tc>
          <w:tcPr>
            <w:tcW w:w="736" w:type="dxa"/>
            <w:vAlign w:val="center"/>
          </w:tcPr>
          <w:p>
            <w:pPr>
              <w:pStyle w:val="38"/>
              <w:spacing w:line="360" w:lineRule="auto"/>
              <w:ind w:firstLine="0" w:firstLineChars="0"/>
              <w:jc w:val="both"/>
              <w:rPr>
                <w:rFonts w:asciiTheme="minorEastAsia" w:hAnsiTheme="minorEastAsia" w:eastAsiaTheme="minorEastAsia"/>
                <w:bCs/>
                <w:sz w:val="21"/>
                <w:szCs w:val="21"/>
              </w:rPr>
            </w:pPr>
            <w:r>
              <w:rPr>
                <w:rFonts w:asciiTheme="minorEastAsia" w:hAnsiTheme="minorEastAsia" w:eastAsiaTheme="minorEastAsia"/>
                <w:bCs/>
                <w:sz w:val="21"/>
                <w:szCs w:val="21"/>
              </w:rPr>
              <w:t>项目</w:t>
            </w:r>
          </w:p>
        </w:tc>
        <w:tc>
          <w:tcPr>
            <w:tcW w:w="1110" w:type="dxa"/>
            <w:vAlign w:val="center"/>
          </w:tcPr>
          <w:p>
            <w:pPr>
              <w:pStyle w:val="38"/>
              <w:spacing w:line="360" w:lineRule="auto"/>
              <w:ind w:firstLine="0" w:firstLineChars="0"/>
              <w:jc w:val="center"/>
              <w:rPr>
                <w:rFonts w:asciiTheme="minorEastAsia" w:hAnsiTheme="minorEastAsia" w:eastAsiaTheme="minorEastAsia"/>
                <w:bCs/>
                <w:sz w:val="21"/>
                <w:szCs w:val="21"/>
              </w:rPr>
            </w:pPr>
            <w:r>
              <w:rPr>
                <w:rFonts w:asciiTheme="minorEastAsia" w:hAnsiTheme="minorEastAsia" w:eastAsiaTheme="minorEastAsia"/>
                <w:bCs/>
                <w:sz w:val="21"/>
                <w:szCs w:val="21"/>
              </w:rPr>
              <w:t>CODcr</w:t>
            </w:r>
          </w:p>
        </w:tc>
        <w:tc>
          <w:tcPr>
            <w:tcW w:w="1065" w:type="dxa"/>
            <w:vAlign w:val="center"/>
          </w:tcPr>
          <w:p>
            <w:pPr>
              <w:pStyle w:val="38"/>
              <w:spacing w:line="360" w:lineRule="auto"/>
              <w:ind w:firstLine="0" w:firstLineChars="0"/>
              <w:jc w:val="center"/>
              <w:rPr>
                <w:rFonts w:asciiTheme="minorEastAsia" w:hAnsiTheme="minorEastAsia" w:eastAsiaTheme="minorEastAsia"/>
                <w:bCs/>
                <w:sz w:val="21"/>
                <w:szCs w:val="21"/>
              </w:rPr>
            </w:pPr>
            <w:r>
              <w:rPr>
                <w:rFonts w:asciiTheme="minorEastAsia" w:hAnsiTheme="minorEastAsia" w:eastAsiaTheme="minorEastAsia"/>
                <w:bCs/>
                <w:sz w:val="21"/>
                <w:szCs w:val="21"/>
              </w:rPr>
              <w:t>BOD</w:t>
            </w:r>
            <w:r>
              <w:rPr>
                <w:rFonts w:asciiTheme="minorEastAsia" w:hAnsiTheme="minorEastAsia" w:eastAsiaTheme="minorEastAsia"/>
                <w:bCs/>
                <w:sz w:val="21"/>
                <w:szCs w:val="21"/>
                <w:vertAlign w:val="subscript"/>
              </w:rPr>
              <w:t>5</w:t>
            </w:r>
          </w:p>
        </w:tc>
        <w:tc>
          <w:tcPr>
            <w:tcW w:w="1129" w:type="dxa"/>
            <w:vAlign w:val="center"/>
          </w:tcPr>
          <w:p>
            <w:pPr>
              <w:pStyle w:val="38"/>
              <w:spacing w:line="360" w:lineRule="auto"/>
              <w:ind w:firstLine="0" w:firstLineChars="0"/>
              <w:jc w:val="center"/>
              <w:rPr>
                <w:rFonts w:asciiTheme="minorEastAsia" w:hAnsiTheme="minorEastAsia" w:eastAsiaTheme="minorEastAsia"/>
                <w:bCs/>
                <w:sz w:val="21"/>
                <w:szCs w:val="21"/>
              </w:rPr>
            </w:pPr>
            <w:r>
              <w:rPr>
                <w:rFonts w:asciiTheme="minorEastAsia" w:hAnsiTheme="minorEastAsia" w:eastAsiaTheme="minorEastAsia"/>
                <w:bCs/>
                <w:sz w:val="21"/>
                <w:szCs w:val="21"/>
              </w:rPr>
              <w:t>SS</w:t>
            </w:r>
          </w:p>
        </w:tc>
        <w:tc>
          <w:tcPr>
            <w:tcW w:w="1010" w:type="dxa"/>
            <w:vAlign w:val="center"/>
          </w:tcPr>
          <w:p>
            <w:pPr>
              <w:pStyle w:val="38"/>
              <w:spacing w:line="360" w:lineRule="auto"/>
              <w:ind w:firstLine="0" w:firstLineChars="0"/>
              <w:jc w:val="center"/>
              <w:rPr>
                <w:rFonts w:asciiTheme="minorEastAsia" w:hAnsiTheme="minorEastAsia" w:eastAsiaTheme="minorEastAsia"/>
                <w:bCs/>
                <w:sz w:val="21"/>
                <w:szCs w:val="21"/>
              </w:rPr>
            </w:pPr>
            <w:r>
              <w:rPr>
                <w:rFonts w:asciiTheme="minorEastAsia" w:hAnsiTheme="minorEastAsia" w:eastAsiaTheme="minorEastAsia"/>
                <w:bCs/>
                <w:sz w:val="21"/>
                <w:szCs w:val="21"/>
              </w:rPr>
              <w:t>NH</w:t>
            </w:r>
            <w:r>
              <w:rPr>
                <w:rFonts w:asciiTheme="minorEastAsia" w:hAnsiTheme="minorEastAsia" w:eastAsiaTheme="minorEastAsia"/>
                <w:bCs/>
                <w:sz w:val="21"/>
                <w:szCs w:val="21"/>
                <w:vertAlign w:val="subscript"/>
              </w:rPr>
              <w:t>3</w:t>
            </w:r>
            <w:r>
              <w:rPr>
                <w:rFonts w:asciiTheme="minorEastAsia" w:hAnsiTheme="minorEastAsia" w:eastAsiaTheme="minorEastAsia"/>
                <w:bCs/>
                <w:sz w:val="21"/>
                <w:szCs w:val="21"/>
              </w:rPr>
              <w:t>-N</w:t>
            </w:r>
          </w:p>
        </w:tc>
        <w:tc>
          <w:tcPr>
            <w:tcW w:w="1010" w:type="dxa"/>
            <w:vAlign w:val="center"/>
          </w:tcPr>
          <w:p>
            <w:pPr>
              <w:pStyle w:val="38"/>
              <w:spacing w:line="360" w:lineRule="auto"/>
              <w:ind w:firstLine="0" w:firstLineChars="0"/>
              <w:jc w:val="center"/>
              <w:rPr>
                <w:rFonts w:asciiTheme="minorEastAsia" w:hAnsiTheme="minorEastAsia" w:eastAsiaTheme="minorEastAsia"/>
                <w:bCs/>
                <w:sz w:val="21"/>
                <w:szCs w:val="21"/>
              </w:rPr>
            </w:pPr>
            <w:r>
              <w:rPr>
                <w:rFonts w:asciiTheme="minorEastAsia" w:hAnsiTheme="minorEastAsia" w:eastAsiaTheme="minorEastAsia"/>
                <w:bCs/>
                <w:sz w:val="21"/>
                <w:szCs w:val="21"/>
              </w:rPr>
              <w:t>pH</w:t>
            </w:r>
          </w:p>
        </w:tc>
        <w:tc>
          <w:tcPr>
            <w:tcW w:w="1875" w:type="dxa"/>
            <w:vAlign w:val="center"/>
          </w:tcPr>
          <w:p>
            <w:pPr>
              <w:pStyle w:val="38"/>
              <w:spacing w:line="360" w:lineRule="auto"/>
              <w:ind w:firstLine="0" w:firstLineChars="0"/>
              <w:jc w:val="center"/>
              <w:rPr>
                <w:rFonts w:asciiTheme="minorEastAsia" w:hAnsiTheme="minorEastAsia" w:eastAsiaTheme="minorEastAsia"/>
                <w:bCs/>
                <w:sz w:val="21"/>
                <w:szCs w:val="21"/>
              </w:rPr>
            </w:pPr>
            <w:r>
              <w:rPr>
                <w:rFonts w:hint="eastAsia" w:asciiTheme="minorEastAsia" w:hAnsiTheme="minorEastAsia" w:eastAsiaTheme="minorEastAsia"/>
                <w:bCs/>
                <w:sz w:val="21"/>
                <w:szCs w:val="21"/>
              </w:rPr>
              <w:t>粪大肠菌群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5" w:hRule="atLeast"/>
          <w:jc w:val="center"/>
        </w:trPr>
        <w:tc>
          <w:tcPr>
            <w:tcW w:w="736" w:type="dxa"/>
            <w:vAlign w:val="center"/>
          </w:tcPr>
          <w:p>
            <w:pPr>
              <w:pStyle w:val="39"/>
              <w:autoSpaceDN w:val="0"/>
              <w:spacing w:line="360" w:lineRule="auto"/>
              <w:ind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数值</w:t>
            </w:r>
          </w:p>
        </w:tc>
        <w:tc>
          <w:tcPr>
            <w:tcW w:w="1110" w:type="dxa"/>
            <w:vAlign w:val="center"/>
          </w:tcPr>
          <w:p>
            <w:pPr>
              <w:pStyle w:val="39"/>
              <w:autoSpaceDN w:val="0"/>
              <w:spacing w:line="360" w:lineRule="auto"/>
              <w:ind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≤36</w:t>
            </w:r>
            <w:r>
              <w:rPr>
                <w:rFonts w:asciiTheme="minorEastAsia" w:hAnsiTheme="minorEastAsia" w:eastAsiaTheme="minorEastAsia"/>
                <w:sz w:val="21"/>
                <w:szCs w:val="21"/>
              </w:rPr>
              <w:t>0</w:t>
            </w:r>
          </w:p>
        </w:tc>
        <w:tc>
          <w:tcPr>
            <w:tcW w:w="1065" w:type="dxa"/>
            <w:vAlign w:val="center"/>
          </w:tcPr>
          <w:p>
            <w:pPr>
              <w:pStyle w:val="39"/>
              <w:autoSpaceDN w:val="0"/>
              <w:spacing w:line="360" w:lineRule="auto"/>
              <w:ind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≤18</w:t>
            </w:r>
            <w:r>
              <w:rPr>
                <w:rFonts w:asciiTheme="minorEastAsia" w:hAnsiTheme="minorEastAsia" w:eastAsiaTheme="minorEastAsia"/>
                <w:sz w:val="21"/>
                <w:szCs w:val="21"/>
              </w:rPr>
              <w:t>0</w:t>
            </w:r>
          </w:p>
        </w:tc>
        <w:tc>
          <w:tcPr>
            <w:tcW w:w="1129" w:type="dxa"/>
            <w:vAlign w:val="center"/>
          </w:tcPr>
          <w:p>
            <w:pPr>
              <w:pStyle w:val="39"/>
              <w:autoSpaceDN w:val="0"/>
              <w:spacing w:line="360" w:lineRule="auto"/>
              <w:ind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≤18</w:t>
            </w:r>
            <w:r>
              <w:rPr>
                <w:rFonts w:asciiTheme="minorEastAsia" w:hAnsiTheme="minorEastAsia" w:eastAsiaTheme="minorEastAsia"/>
                <w:sz w:val="21"/>
                <w:szCs w:val="21"/>
              </w:rPr>
              <w:t>0</w:t>
            </w:r>
          </w:p>
        </w:tc>
        <w:tc>
          <w:tcPr>
            <w:tcW w:w="1010" w:type="dxa"/>
            <w:vAlign w:val="center"/>
          </w:tcPr>
          <w:p>
            <w:pPr>
              <w:pStyle w:val="39"/>
              <w:autoSpaceDN w:val="0"/>
              <w:spacing w:line="360" w:lineRule="auto"/>
              <w:ind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w:t>
            </w:r>
            <w:r>
              <w:rPr>
                <w:rFonts w:asciiTheme="minorEastAsia" w:hAnsiTheme="minorEastAsia" w:eastAsiaTheme="minorEastAsia"/>
                <w:sz w:val="21"/>
                <w:szCs w:val="21"/>
              </w:rPr>
              <w:t>3</w:t>
            </w:r>
            <w:r>
              <w:rPr>
                <w:rFonts w:hint="eastAsia" w:asciiTheme="minorEastAsia" w:hAnsiTheme="minorEastAsia" w:eastAsiaTheme="minorEastAsia"/>
                <w:sz w:val="21"/>
                <w:szCs w:val="21"/>
              </w:rPr>
              <w:t>5</w:t>
            </w:r>
          </w:p>
        </w:tc>
        <w:tc>
          <w:tcPr>
            <w:tcW w:w="1010" w:type="dxa"/>
            <w:vAlign w:val="center"/>
          </w:tcPr>
          <w:p>
            <w:pPr>
              <w:pStyle w:val="39"/>
              <w:autoSpaceDN w:val="0"/>
              <w:spacing w:line="360" w:lineRule="auto"/>
              <w:ind w:firstLine="0" w:firstLineChars="0"/>
              <w:rPr>
                <w:rFonts w:asciiTheme="minorEastAsia" w:hAnsiTheme="minorEastAsia" w:eastAsiaTheme="minorEastAsia"/>
                <w:sz w:val="21"/>
                <w:szCs w:val="21"/>
              </w:rPr>
            </w:pPr>
            <w:r>
              <w:rPr>
                <w:rFonts w:asciiTheme="minorEastAsia" w:hAnsiTheme="minorEastAsia" w:eastAsiaTheme="minorEastAsia"/>
                <w:sz w:val="21"/>
                <w:szCs w:val="21"/>
              </w:rPr>
              <w:t>6~9</w:t>
            </w:r>
          </w:p>
        </w:tc>
        <w:tc>
          <w:tcPr>
            <w:tcW w:w="1875" w:type="dxa"/>
            <w:vAlign w:val="center"/>
          </w:tcPr>
          <w:p>
            <w:pPr>
              <w:pStyle w:val="39"/>
              <w:autoSpaceDN w:val="0"/>
              <w:spacing w:line="360" w:lineRule="auto"/>
              <w:ind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2.5×10</w:t>
            </w:r>
            <w:r>
              <w:rPr>
                <w:rFonts w:hint="eastAsia" w:asciiTheme="minorEastAsia" w:hAnsiTheme="minorEastAsia" w:eastAsiaTheme="minorEastAsia"/>
                <w:sz w:val="21"/>
                <w:szCs w:val="21"/>
                <w:vertAlign w:val="superscript"/>
              </w:rPr>
              <w:t>4</w:t>
            </w:r>
            <w:r>
              <w:rPr>
                <w:rFonts w:hint="eastAsia" w:asciiTheme="minorEastAsia" w:hAnsiTheme="minorEastAsia" w:eastAsiaTheme="minorEastAsia"/>
                <w:sz w:val="21"/>
                <w:szCs w:val="21"/>
              </w:rPr>
              <w:t>个/L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5" w:hRule="atLeast"/>
          <w:jc w:val="center"/>
        </w:trPr>
        <w:tc>
          <w:tcPr>
            <w:tcW w:w="736" w:type="dxa"/>
            <w:vAlign w:val="center"/>
          </w:tcPr>
          <w:p>
            <w:pPr>
              <w:pStyle w:val="39"/>
              <w:autoSpaceDN w:val="0"/>
              <w:spacing w:line="360" w:lineRule="auto"/>
              <w:ind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单位</w:t>
            </w:r>
          </w:p>
        </w:tc>
        <w:tc>
          <w:tcPr>
            <w:tcW w:w="1110" w:type="dxa"/>
            <w:vAlign w:val="center"/>
          </w:tcPr>
          <w:p>
            <w:pPr>
              <w:pStyle w:val="39"/>
              <w:autoSpaceDN w:val="0"/>
              <w:spacing w:line="360" w:lineRule="auto"/>
              <w:ind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mg/L</w:t>
            </w:r>
          </w:p>
        </w:tc>
        <w:tc>
          <w:tcPr>
            <w:tcW w:w="1065" w:type="dxa"/>
            <w:vAlign w:val="center"/>
          </w:tcPr>
          <w:p>
            <w:pPr>
              <w:autoSpaceDN w:val="0"/>
              <w:spacing w:line="360" w:lineRule="auto"/>
              <w:ind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mg/L</w:t>
            </w:r>
          </w:p>
        </w:tc>
        <w:tc>
          <w:tcPr>
            <w:tcW w:w="1129" w:type="dxa"/>
            <w:vAlign w:val="center"/>
          </w:tcPr>
          <w:p>
            <w:pPr>
              <w:autoSpaceDN w:val="0"/>
              <w:spacing w:line="360" w:lineRule="auto"/>
              <w:ind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mg/L</w:t>
            </w:r>
          </w:p>
        </w:tc>
        <w:tc>
          <w:tcPr>
            <w:tcW w:w="1010" w:type="dxa"/>
            <w:vAlign w:val="center"/>
          </w:tcPr>
          <w:p>
            <w:pPr>
              <w:autoSpaceDN w:val="0"/>
              <w:spacing w:line="360" w:lineRule="auto"/>
              <w:ind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mg/L</w:t>
            </w:r>
          </w:p>
        </w:tc>
        <w:tc>
          <w:tcPr>
            <w:tcW w:w="1010" w:type="dxa"/>
            <w:vAlign w:val="center"/>
          </w:tcPr>
          <w:p>
            <w:pPr>
              <w:autoSpaceDN w:val="0"/>
              <w:spacing w:line="360" w:lineRule="auto"/>
              <w:ind w:firstLine="0" w:firstLineChars="0"/>
              <w:rPr>
                <w:rFonts w:asciiTheme="minorEastAsia" w:hAnsiTheme="minorEastAsia" w:eastAsiaTheme="minorEastAsia"/>
                <w:sz w:val="21"/>
                <w:szCs w:val="21"/>
              </w:rPr>
            </w:pPr>
            <w:r>
              <w:rPr>
                <w:rFonts w:hint="eastAsia" w:asciiTheme="minorEastAsia" w:hAnsiTheme="minorEastAsia" w:eastAsiaTheme="minorEastAsia"/>
                <w:sz w:val="21"/>
                <w:szCs w:val="21"/>
              </w:rPr>
              <w:t>mg/L</w:t>
            </w:r>
          </w:p>
        </w:tc>
        <w:tc>
          <w:tcPr>
            <w:tcW w:w="1875" w:type="dxa"/>
            <w:vAlign w:val="center"/>
          </w:tcPr>
          <w:p>
            <w:pPr>
              <w:pStyle w:val="39"/>
              <w:autoSpaceDN w:val="0"/>
              <w:spacing w:line="360" w:lineRule="auto"/>
              <w:ind w:firstLine="0" w:firstLineChars="0"/>
              <w:rPr>
                <w:rFonts w:asciiTheme="minorEastAsia" w:hAnsiTheme="minorEastAsia" w:eastAsiaTheme="minorEastAsia"/>
                <w:sz w:val="21"/>
                <w:szCs w:val="21"/>
              </w:rPr>
            </w:pPr>
          </w:p>
        </w:tc>
      </w:tr>
    </w:tbl>
    <w:p>
      <w:pPr>
        <w:widowControl/>
        <w:numPr>
          <w:ilvl w:val="0"/>
          <w:numId w:val="0"/>
        </w:numPr>
        <w:adjustRightInd w:val="0"/>
        <w:spacing w:line="360" w:lineRule="auto"/>
        <w:ind w:left="0" w:leftChars="0" w:firstLine="478" w:firstLineChars="228"/>
        <w:jc w:val="left"/>
        <w:rPr>
          <w:rFonts w:hint="default" w:ascii="宋体" w:hAnsi="宋体"/>
          <w:kern w:val="0"/>
          <w:sz w:val="21"/>
          <w:szCs w:val="21"/>
          <w:highlight w:val="none"/>
        </w:rPr>
      </w:pPr>
      <w:r>
        <w:rPr>
          <w:rFonts w:hint="eastAsia" w:ascii="宋体" w:hAnsi="宋体"/>
          <w:kern w:val="0"/>
          <w:sz w:val="21"/>
          <w:szCs w:val="21"/>
          <w:highlight w:val="none"/>
        </w:rPr>
        <w:t>3、排放标准</w:t>
      </w:r>
    </w:p>
    <w:p>
      <w:pPr>
        <w:widowControl/>
        <w:numPr>
          <w:ilvl w:val="0"/>
          <w:numId w:val="0"/>
        </w:numPr>
        <w:adjustRightInd w:val="0"/>
        <w:spacing w:line="360" w:lineRule="auto"/>
        <w:ind w:left="0" w:leftChars="0" w:firstLine="478" w:firstLineChars="228"/>
        <w:jc w:val="left"/>
        <w:rPr>
          <w:rFonts w:hint="eastAsia" w:ascii="宋体" w:hAnsi="宋体"/>
          <w:kern w:val="0"/>
          <w:sz w:val="21"/>
          <w:szCs w:val="21"/>
          <w:highlight w:val="none"/>
        </w:rPr>
      </w:pPr>
      <w:r>
        <w:rPr>
          <w:rFonts w:hint="eastAsia" w:ascii="宋体" w:hAnsi="宋体"/>
          <w:kern w:val="0"/>
          <w:sz w:val="21"/>
          <w:szCs w:val="21"/>
          <w:highlight w:val="none"/>
        </w:rPr>
        <w:t>污水经处理后达到《医疗机构水污染物排放标准》（GB18466-2005）预处理标准。臭气经处理后满足《恶臭污染物排放标准》（GB14554-201）标准。</w:t>
      </w:r>
    </w:p>
    <w:p>
      <w:pPr>
        <w:widowControl/>
        <w:numPr>
          <w:ilvl w:val="0"/>
          <w:numId w:val="0"/>
        </w:numPr>
        <w:adjustRightInd w:val="0"/>
        <w:spacing w:line="360" w:lineRule="auto"/>
        <w:ind w:left="0" w:leftChars="0" w:firstLine="478" w:firstLineChars="228"/>
        <w:jc w:val="left"/>
        <w:rPr>
          <w:rFonts w:hint="default" w:ascii="宋体" w:hAnsi="宋体"/>
          <w:kern w:val="0"/>
          <w:sz w:val="21"/>
          <w:szCs w:val="21"/>
          <w:highlight w:val="none"/>
        </w:rPr>
      </w:pPr>
      <w:r>
        <w:rPr>
          <w:rFonts w:hint="eastAsia" w:ascii="宋体" w:hAnsi="宋体"/>
          <w:kern w:val="0"/>
          <w:sz w:val="21"/>
          <w:szCs w:val="21"/>
          <w:highlight w:val="none"/>
        </w:rPr>
        <w:t>4、其他要求</w:t>
      </w:r>
    </w:p>
    <w:p>
      <w:pPr>
        <w:widowControl/>
        <w:numPr>
          <w:ilvl w:val="0"/>
          <w:numId w:val="0"/>
        </w:numPr>
        <w:adjustRightInd w:val="0"/>
        <w:spacing w:line="360" w:lineRule="auto"/>
        <w:ind w:left="0" w:leftChars="0" w:firstLine="478" w:firstLineChars="228"/>
        <w:jc w:val="left"/>
        <w:rPr>
          <w:rFonts w:hint="eastAsia" w:ascii="宋体" w:hAnsi="宋体"/>
          <w:kern w:val="0"/>
          <w:sz w:val="21"/>
          <w:szCs w:val="21"/>
          <w:highlight w:val="none"/>
        </w:rPr>
      </w:pPr>
      <w:r>
        <w:rPr>
          <w:rFonts w:hint="eastAsia" w:ascii="宋体" w:hAnsi="宋体"/>
          <w:kern w:val="0"/>
          <w:sz w:val="21"/>
          <w:szCs w:val="21"/>
          <w:highlight w:val="none"/>
        </w:rPr>
        <w:t>合理布局污水处理区、废气处理区。</w:t>
      </w:r>
    </w:p>
    <w:p>
      <w:pPr>
        <w:widowControl/>
        <w:numPr>
          <w:ilvl w:val="0"/>
          <w:numId w:val="0"/>
        </w:numPr>
        <w:adjustRightInd w:val="0"/>
        <w:spacing w:line="360" w:lineRule="auto"/>
        <w:ind w:left="0" w:leftChars="0" w:firstLine="478" w:firstLineChars="228"/>
        <w:jc w:val="left"/>
        <w:rPr>
          <w:rFonts w:hint="eastAsia" w:ascii="宋体" w:hAnsi="宋体"/>
          <w:kern w:val="0"/>
          <w:sz w:val="21"/>
          <w:szCs w:val="21"/>
          <w:highlight w:val="none"/>
        </w:rPr>
      </w:pPr>
      <w:r>
        <w:rPr>
          <w:rFonts w:hint="eastAsia" w:ascii="宋体" w:hAnsi="宋体"/>
          <w:kern w:val="0"/>
          <w:sz w:val="21"/>
          <w:szCs w:val="21"/>
          <w:highlight w:val="none"/>
        </w:rPr>
        <w:t>尽可能减少污水提升次数。</w:t>
      </w:r>
    </w:p>
    <w:p>
      <w:pPr>
        <w:widowControl/>
        <w:numPr>
          <w:ilvl w:val="0"/>
          <w:numId w:val="0"/>
        </w:numPr>
        <w:adjustRightInd w:val="0"/>
        <w:spacing w:line="360" w:lineRule="auto"/>
        <w:ind w:left="0" w:leftChars="0" w:firstLine="478" w:firstLineChars="228"/>
        <w:jc w:val="left"/>
        <w:rPr>
          <w:rFonts w:hint="eastAsia" w:ascii="宋体" w:hAnsi="宋体"/>
          <w:kern w:val="0"/>
          <w:sz w:val="21"/>
          <w:szCs w:val="21"/>
          <w:highlight w:val="none"/>
        </w:rPr>
      </w:pPr>
      <w:r>
        <w:rPr>
          <w:rFonts w:hint="eastAsia" w:ascii="宋体" w:hAnsi="宋体"/>
          <w:kern w:val="0"/>
          <w:sz w:val="21"/>
          <w:szCs w:val="21"/>
          <w:highlight w:val="none"/>
        </w:rPr>
        <w:t>污水处理设备采用碳钢防腐结构，废气处理设备采用防腐蚀结构。</w:t>
      </w:r>
    </w:p>
    <w:p>
      <w:pPr>
        <w:widowControl/>
        <w:numPr>
          <w:ilvl w:val="0"/>
          <w:numId w:val="0"/>
        </w:numPr>
        <w:adjustRightInd w:val="0"/>
        <w:spacing w:line="360" w:lineRule="auto"/>
        <w:ind w:left="0" w:leftChars="0" w:firstLine="478" w:firstLineChars="228"/>
        <w:jc w:val="left"/>
        <w:rPr>
          <w:rFonts w:hint="eastAsia" w:ascii="宋体" w:hAnsi="宋体"/>
          <w:kern w:val="0"/>
          <w:sz w:val="21"/>
          <w:szCs w:val="21"/>
          <w:highlight w:val="none"/>
        </w:rPr>
      </w:pPr>
      <w:r>
        <w:rPr>
          <w:rFonts w:hint="eastAsia" w:ascii="宋体" w:hAnsi="宋体"/>
          <w:kern w:val="0"/>
          <w:sz w:val="21"/>
          <w:szCs w:val="21"/>
          <w:highlight w:val="none"/>
        </w:rPr>
        <w:t>提供污水处理、废气处理技术方案，方案内容包括工艺选择、设备选择、运行费用等内容。</w:t>
      </w:r>
    </w:p>
    <w:p>
      <w:pPr>
        <w:widowControl/>
        <w:jc w:val="left"/>
        <w:rPr>
          <w:rFonts w:hint="default" w:ascii="Times New Roman" w:hAnsi="Times New Roman" w:cs="Times New Roman"/>
          <w:b/>
          <w:color w:val="auto"/>
          <w:sz w:val="32"/>
          <w:szCs w:val="32"/>
        </w:rPr>
      </w:pPr>
    </w:p>
    <w:p>
      <w:pPr>
        <w:rPr>
          <w:rFonts w:hint="default" w:ascii="Times New Roman" w:hAnsi="Times New Roman" w:cs="Times New Roman"/>
          <w:bCs w:val="0"/>
          <w:color w:val="auto"/>
        </w:rPr>
      </w:pPr>
      <w:r>
        <w:rPr>
          <w:rFonts w:hint="default" w:ascii="Times New Roman" w:hAnsi="Times New Roman" w:cs="Times New Roman"/>
          <w:bCs w:val="0"/>
          <w:color w:val="auto"/>
        </w:rPr>
        <w:br w:type="page"/>
      </w:r>
    </w:p>
    <w:p>
      <w:pPr>
        <w:pStyle w:val="20"/>
        <w:spacing w:line="480" w:lineRule="exact"/>
        <w:ind w:right="-72" w:rightChars="-30"/>
        <w:rPr>
          <w:rFonts w:hint="default" w:ascii="Times New Roman" w:hAnsi="Times New Roman" w:cs="Times New Roman"/>
          <w:bCs w:val="0"/>
          <w:color w:val="auto"/>
        </w:rPr>
      </w:pPr>
      <w:r>
        <w:rPr>
          <w:rFonts w:hint="default" w:ascii="Times New Roman" w:hAnsi="Times New Roman" w:cs="Times New Roman"/>
          <w:bCs w:val="0"/>
          <w:color w:val="auto"/>
        </w:rPr>
        <w:t>第五章 投标文件格式</w:t>
      </w:r>
      <w:bookmarkEnd w:id="58"/>
      <w:bookmarkEnd w:id="59"/>
    </w:p>
    <w:p>
      <w:pPr>
        <w:rPr>
          <w:rFonts w:hint="default" w:ascii="Times New Roman" w:hAnsi="Times New Roman" w:cs="Times New Roman"/>
          <w:color w:val="auto"/>
        </w:rPr>
      </w:pPr>
    </w:p>
    <w:p>
      <w:pPr>
        <w:widowControl/>
        <w:jc w:val="center"/>
        <w:rPr>
          <w:rFonts w:hint="default" w:ascii="Times New Roman" w:hAnsi="Times New Roman" w:cs="Times New Roman"/>
          <w:color w:val="auto"/>
        </w:rPr>
      </w:pPr>
      <w:r>
        <w:rPr>
          <w:rFonts w:hint="default" w:ascii="Times New Roman" w:hAnsi="Times New Roman" w:cs="Times New Roman"/>
          <w:color w:val="auto"/>
          <w:kern w:val="0"/>
          <w:sz w:val="44"/>
          <w:szCs w:val="44"/>
        </w:rPr>
        <w:t>（项目名称）</w:t>
      </w:r>
    </w:p>
    <w:p>
      <w:pPr>
        <w:widowControl/>
        <w:spacing w:line="384" w:lineRule="auto"/>
        <w:ind w:firstLine="2040" w:firstLineChars="850"/>
        <w:rPr>
          <w:rFonts w:hint="default" w:ascii="Times New Roman" w:hAnsi="Times New Roman" w:eastAsia="黑体" w:cs="Times New Roman"/>
          <w:color w:val="auto"/>
        </w:rPr>
      </w:pPr>
    </w:p>
    <w:p>
      <w:pPr>
        <w:pStyle w:val="8"/>
        <w:rPr>
          <w:rFonts w:hint="default" w:ascii="Times New Roman" w:hAnsi="Times New Roman" w:eastAsia="黑体" w:cs="Times New Roman"/>
          <w:color w:val="auto"/>
        </w:rPr>
      </w:pPr>
    </w:p>
    <w:p>
      <w:pPr>
        <w:pStyle w:val="9"/>
        <w:rPr>
          <w:rFonts w:hint="default" w:ascii="Times New Roman" w:hAnsi="Times New Roman" w:cs="Times New Roman"/>
          <w:color w:val="auto"/>
        </w:rPr>
      </w:pPr>
    </w:p>
    <w:p>
      <w:pPr>
        <w:pStyle w:val="27"/>
        <w:rPr>
          <w:rFonts w:hint="default" w:ascii="Times New Roman" w:hAnsi="Times New Roman" w:cs="Times New Roman"/>
          <w:color w:val="auto"/>
        </w:rPr>
      </w:pPr>
    </w:p>
    <w:p>
      <w:pPr>
        <w:widowControl/>
        <w:spacing w:line="384" w:lineRule="auto"/>
        <w:rPr>
          <w:rFonts w:hint="default" w:ascii="Times New Roman" w:hAnsi="Times New Roman" w:cs="Times New Roman"/>
          <w:color w:val="auto"/>
          <w:kern w:val="0"/>
          <w:sz w:val="28"/>
          <w:szCs w:val="28"/>
        </w:rPr>
      </w:pPr>
    </w:p>
    <w:p>
      <w:pPr>
        <w:jc w:val="center"/>
        <w:rPr>
          <w:rFonts w:hint="default" w:ascii="Times New Roman" w:hAnsi="Times New Roman" w:cs="Times New Roman"/>
          <w:color w:val="auto"/>
          <w:sz w:val="72"/>
          <w:szCs w:val="72"/>
        </w:rPr>
      </w:pPr>
      <w:r>
        <w:rPr>
          <w:rFonts w:hint="default" w:ascii="Times New Roman" w:hAnsi="Times New Roman" w:cs="Times New Roman"/>
          <w:color w:val="auto"/>
          <w:sz w:val="72"/>
          <w:szCs w:val="72"/>
        </w:rPr>
        <w:t>投 标 文 件</w:t>
      </w:r>
    </w:p>
    <w:p>
      <w:pPr>
        <w:ind w:firstLine="840" w:firstLineChars="300"/>
        <w:jc w:val="left"/>
        <w:rPr>
          <w:rFonts w:hint="default" w:ascii="Times New Roman" w:hAnsi="Times New Roman" w:cs="Times New Roman"/>
          <w:color w:val="auto"/>
          <w:kern w:val="0"/>
          <w:sz w:val="28"/>
          <w:szCs w:val="28"/>
        </w:rPr>
      </w:pPr>
    </w:p>
    <w:p>
      <w:pPr>
        <w:pStyle w:val="8"/>
        <w:rPr>
          <w:rFonts w:hint="default" w:ascii="Times New Roman" w:hAnsi="Times New Roman" w:cs="Times New Roman"/>
          <w:color w:val="auto"/>
        </w:rPr>
      </w:pPr>
    </w:p>
    <w:p>
      <w:pPr>
        <w:ind w:firstLine="840" w:firstLineChars="300"/>
        <w:jc w:val="left"/>
        <w:rPr>
          <w:rFonts w:hint="default" w:ascii="Times New Roman" w:hAnsi="Times New Roman" w:cs="Times New Roman"/>
          <w:color w:val="auto"/>
          <w:kern w:val="0"/>
          <w:sz w:val="28"/>
          <w:szCs w:val="28"/>
        </w:rPr>
      </w:pPr>
      <w:r>
        <w:rPr>
          <w:rFonts w:hint="default" w:ascii="Times New Roman" w:hAnsi="Times New Roman" w:cs="Times New Roman"/>
          <w:color w:val="auto"/>
          <w:kern w:val="0"/>
          <w:sz w:val="28"/>
          <w:szCs w:val="28"/>
        </w:rPr>
        <w:t xml:space="preserve">交易编号： </w:t>
      </w:r>
    </w:p>
    <w:p>
      <w:pPr>
        <w:ind w:firstLine="840" w:firstLineChars="300"/>
        <w:jc w:val="left"/>
        <w:rPr>
          <w:rFonts w:hint="default" w:ascii="Times New Roman" w:hAnsi="Times New Roman" w:cs="Times New Roman"/>
          <w:color w:val="auto"/>
          <w:kern w:val="0"/>
          <w:sz w:val="28"/>
          <w:szCs w:val="28"/>
        </w:rPr>
      </w:pPr>
    </w:p>
    <w:p>
      <w:pPr>
        <w:rPr>
          <w:rFonts w:hint="default" w:ascii="Times New Roman" w:hAnsi="Times New Roman" w:cs="Times New Roman"/>
          <w:color w:val="auto"/>
          <w:sz w:val="28"/>
          <w:szCs w:val="28"/>
        </w:rPr>
      </w:pPr>
    </w:p>
    <w:p>
      <w:pPr>
        <w:rPr>
          <w:rFonts w:hint="default" w:ascii="Times New Roman" w:hAnsi="Times New Roman" w:cs="Times New Roman"/>
          <w:color w:val="auto"/>
          <w:sz w:val="28"/>
          <w:szCs w:val="28"/>
        </w:rPr>
      </w:pPr>
    </w:p>
    <w:p>
      <w:pPr>
        <w:rPr>
          <w:rFonts w:hint="default" w:ascii="Times New Roman" w:hAnsi="Times New Roman" w:cs="Times New Roman"/>
          <w:color w:val="auto"/>
          <w:sz w:val="28"/>
          <w:szCs w:val="28"/>
        </w:rPr>
      </w:pPr>
    </w:p>
    <w:p>
      <w:pPr>
        <w:rPr>
          <w:rFonts w:hint="default" w:ascii="Times New Roman" w:hAnsi="Times New Roman" w:cs="Times New Roman"/>
          <w:color w:val="auto"/>
          <w:sz w:val="28"/>
          <w:szCs w:val="28"/>
        </w:rPr>
      </w:pPr>
    </w:p>
    <w:p>
      <w:pPr>
        <w:ind w:left="1920" w:leftChars="800"/>
        <w:jc w:val="left"/>
        <w:rPr>
          <w:rFonts w:hint="default" w:ascii="Times New Roman" w:hAnsi="Times New Roman" w:cs="Times New Roman"/>
          <w:color w:val="auto"/>
          <w:sz w:val="30"/>
          <w:szCs w:val="30"/>
        </w:rPr>
      </w:pPr>
      <w:r>
        <w:rPr>
          <w:rFonts w:hint="default" w:ascii="Times New Roman" w:hAnsi="Times New Roman" w:cs="Times New Roman"/>
          <w:color w:val="auto"/>
          <w:sz w:val="30"/>
          <w:szCs w:val="30"/>
        </w:rPr>
        <w:t>采购人：</w:t>
      </w:r>
    </w:p>
    <w:p>
      <w:pPr>
        <w:spacing w:line="480" w:lineRule="auto"/>
        <w:ind w:left="1920" w:leftChars="800"/>
        <w:jc w:val="left"/>
        <w:rPr>
          <w:rFonts w:hint="default" w:ascii="Times New Roman" w:hAnsi="Times New Roman" w:cs="Times New Roman"/>
          <w:color w:val="auto"/>
          <w:sz w:val="30"/>
          <w:szCs w:val="30"/>
        </w:rPr>
      </w:pPr>
      <w:r>
        <w:rPr>
          <w:rFonts w:hint="default" w:ascii="Times New Roman" w:hAnsi="Times New Roman" w:cs="Times New Roman"/>
          <w:color w:val="auto"/>
          <w:sz w:val="30"/>
          <w:szCs w:val="30"/>
        </w:rPr>
        <w:t>投标人名称（全称并加盖公章）：</w:t>
      </w:r>
    </w:p>
    <w:p>
      <w:pPr>
        <w:spacing w:line="480" w:lineRule="auto"/>
        <w:ind w:left="1920" w:leftChars="800"/>
        <w:jc w:val="left"/>
        <w:rPr>
          <w:rFonts w:hint="default" w:ascii="Times New Roman" w:hAnsi="Times New Roman" w:cs="Times New Roman"/>
          <w:color w:val="auto"/>
          <w:sz w:val="30"/>
          <w:szCs w:val="30"/>
        </w:rPr>
      </w:pPr>
      <w:r>
        <w:rPr>
          <w:rFonts w:hint="default" w:ascii="Times New Roman" w:hAnsi="Times New Roman" w:cs="Times New Roman"/>
          <w:color w:val="auto"/>
          <w:sz w:val="30"/>
          <w:szCs w:val="30"/>
        </w:rPr>
        <w:t>法定代表人或其委托代理人（签字或盖章）：</w:t>
      </w:r>
    </w:p>
    <w:p>
      <w:pPr>
        <w:spacing w:line="480" w:lineRule="auto"/>
        <w:ind w:left="1920" w:leftChars="800"/>
        <w:jc w:val="left"/>
        <w:rPr>
          <w:rFonts w:hint="default" w:ascii="Times New Roman" w:hAnsi="Times New Roman" w:cs="Times New Roman"/>
          <w:color w:val="auto"/>
          <w:sz w:val="30"/>
          <w:szCs w:val="30"/>
        </w:rPr>
      </w:pPr>
      <w:r>
        <w:rPr>
          <w:rFonts w:hint="default" w:ascii="Times New Roman" w:hAnsi="Times New Roman" w:cs="Times New Roman"/>
          <w:color w:val="auto"/>
          <w:sz w:val="30"/>
          <w:szCs w:val="30"/>
        </w:rPr>
        <w:t>日期：    年   月   日</w:t>
      </w:r>
    </w:p>
    <w:p>
      <w:pPr>
        <w:widowControl/>
        <w:jc w:val="left"/>
        <w:rPr>
          <w:rFonts w:hint="default" w:ascii="Times New Roman" w:hAnsi="Times New Roman" w:cs="Times New Roman"/>
          <w:b/>
          <w:bCs/>
          <w:color w:val="auto"/>
          <w:sz w:val="32"/>
          <w:szCs w:val="32"/>
        </w:rPr>
      </w:pPr>
      <w:r>
        <w:rPr>
          <w:rFonts w:hint="default" w:ascii="Times New Roman" w:hAnsi="Times New Roman" w:cs="Times New Roman"/>
          <w:b/>
          <w:bCs/>
          <w:color w:val="auto"/>
          <w:sz w:val="32"/>
          <w:szCs w:val="32"/>
        </w:rPr>
        <w:br w:type="page"/>
      </w:r>
    </w:p>
    <w:p>
      <w:pPr>
        <w:spacing w:line="360" w:lineRule="auto"/>
        <w:jc w:val="center"/>
        <w:rPr>
          <w:rFonts w:hint="default" w:ascii="Times New Roman" w:hAnsi="Times New Roman" w:cs="Times New Roman"/>
          <w:b/>
          <w:bCs/>
          <w:color w:val="auto"/>
          <w:sz w:val="32"/>
          <w:szCs w:val="32"/>
        </w:rPr>
      </w:pPr>
      <w:r>
        <w:rPr>
          <w:rFonts w:hint="default" w:ascii="Times New Roman" w:hAnsi="Times New Roman" w:cs="Times New Roman"/>
          <w:b/>
          <w:bCs/>
          <w:color w:val="auto"/>
          <w:sz w:val="32"/>
          <w:szCs w:val="32"/>
        </w:rPr>
        <w:t>目    录</w:t>
      </w: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sz w:val="28"/>
          <w:szCs w:val="28"/>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spacing w:line="360" w:lineRule="auto"/>
        <w:jc w:val="left"/>
        <w:rPr>
          <w:rFonts w:hint="default" w:ascii="Times New Roman" w:hAnsi="Times New Roman" w:cs="Times New Roman"/>
          <w:color w:val="auto"/>
        </w:rPr>
      </w:pPr>
    </w:p>
    <w:p>
      <w:pPr>
        <w:pStyle w:val="8"/>
        <w:rPr>
          <w:rFonts w:hint="default" w:ascii="Times New Roman" w:hAnsi="Times New Roman" w:cs="Times New Roman"/>
          <w:color w:val="auto"/>
        </w:rPr>
      </w:pPr>
    </w:p>
    <w:p>
      <w:pPr>
        <w:pStyle w:val="9"/>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spacing w:line="360" w:lineRule="auto"/>
        <w:jc w:val="center"/>
        <w:rPr>
          <w:rFonts w:hint="default" w:ascii="Times New Roman" w:hAnsi="Times New Roman" w:cs="Times New Roman"/>
          <w:b/>
          <w:bCs/>
          <w:color w:val="auto"/>
          <w:sz w:val="32"/>
          <w:szCs w:val="32"/>
        </w:rPr>
      </w:pPr>
      <w:r>
        <w:rPr>
          <w:rFonts w:hint="default" w:ascii="Times New Roman" w:hAnsi="Times New Roman" w:cs="Times New Roman"/>
          <w:b/>
          <w:bCs/>
          <w:color w:val="auto"/>
          <w:sz w:val="32"/>
          <w:szCs w:val="32"/>
        </w:rPr>
        <w:t>一、投标承诺函</w:t>
      </w:r>
    </w:p>
    <w:p>
      <w:pPr>
        <w:adjustRightInd w:val="0"/>
        <w:spacing w:line="470" w:lineRule="exact"/>
        <w:jc w:val="left"/>
        <w:textAlignment w:val="baseline"/>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致（采购人及采购代理机构）：</w:t>
      </w:r>
    </w:p>
    <w:p>
      <w:pPr>
        <w:adjustRightInd w:val="0"/>
        <w:spacing w:line="470" w:lineRule="exact"/>
        <w:ind w:firstLine="420" w:firstLineChars="200"/>
        <w:jc w:val="left"/>
        <w:textAlignment w:val="baseline"/>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我公司作为</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项目（交易编号：</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）的投标人，根据招标文件要求，现郑重承诺如下：</w:t>
      </w:r>
    </w:p>
    <w:p>
      <w:pPr>
        <w:numPr>
          <w:ilvl w:val="3"/>
          <w:numId w:val="17"/>
        </w:numPr>
        <w:adjustRightInd w:val="0"/>
        <w:spacing w:line="470" w:lineRule="exact"/>
        <w:ind w:firstLine="420" w:firstLineChars="200"/>
        <w:jc w:val="left"/>
        <w:textAlignment w:val="baseline"/>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具备本项目规定的条件。</w:t>
      </w:r>
    </w:p>
    <w:p>
      <w:pPr>
        <w:numPr>
          <w:ilvl w:val="3"/>
          <w:numId w:val="17"/>
        </w:numPr>
        <w:adjustRightInd w:val="0"/>
        <w:spacing w:line="470" w:lineRule="exact"/>
        <w:ind w:firstLine="420" w:firstLineChars="200"/>
        <w:jc w:val="left"/>
        <w:textAlignment w:val="baseline"/>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我公司同意按招标文件中的规定，认定本项目投标有效期为</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日历天。</w:t>
      </w:r>
    </w:p>
    <w:p>
      <w:pPr>
        <w:numPr>
          <w:ilvl w:val="3"/>
          <w:numId w:val="17"/>
        </w:numPr>
        <w:adjustRightInd w:val="0"/>
        <w:spacing w:line="470" w:lineRule="exact"/>
        <w:ind w:firstLine="420" w:firstLineChars="200"/>
        <w:jc w:val="left"/>
        <w:textAlignment w:val="baseline"/>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完全接受和满足本项目招标文件中的规定，如对招标文件有异议，已经在投标截止时间前依法进行维权，不存在对招标文件有异议的同时又参加投标以求侥幸中标或者为实现其他非法目的的行为。</w:t>
      </w:r>
    </w:p>
    <w:p>
      <w:pPr>
        <w:numPr>
          <w:ilvl w:val="3"/>
          <w:numId w:val="17"/>
        </w:numPr>
        <w:adjustRightInd w:val="0"/>
        <w:spacing w:line="470" w:lineRule="exact"/>
        <w:ind w:firstLine="420" w:firstLineChars="200"/>
        <w:jc w:val="left"/>
        <w:textAlignment w:val="baseline"/>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参加本次招标采购活动，不存在与单位负责人为同一人或者存在直接控股、管理关系的其他投标人参与同一合同项下的政府采购活动的行为。</w:t>
      </w:r>
    </w:p>
    <w:p>
      <w:pPr>
        <w:numPr>
          <w:ilvl w:val="3"/>
          <w:numId w:val="17"/>
        </w:numPr>
        <w:adjustRightInd w:val="0"/>
        <w:spacing w:line="470" w:lineRule="exact"/>
        <w:ind w:firstLine="420" w:firstLineChars="200"/>
        <w:jc w:val="left"/>
        <w:textAlignment w:val="baseline"/>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参加本次招标采购活动，不存在为采购项目提供整体设计、规范编制或者项目管理、监理、检测等服务的行为。</w:t>
      </w:r>
    </w:p>
    <w:p>
      <w:pPr>
        <w:numPr>
          <w:ilvl w:val="3"/>
          <w:numId w:val="17"/>
        </w:numPr>
        <w:adjustRightInd w:val="0"/>
        <w:spacing w:line="470" w:lineRule="exact"/>
        <w:ind w:firstLine="420" w:firstLineChars="200"/>
        <w:jc w:val="left"/>
        <w:textAlignment w:val="baseline"/>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参加本次招标采购活动，不存在和其他投标人在同一合同项下的采购项目中，同时委托同一个自然人、同一家庭的人员、同一单位的人员作为代理人的行为。</w:t>
      </w:r>
    </w:p>
    <w:p>
      <w:pPr>
        <w:numPr>
          <w:ilvl w:val="3"/>
          <w:numId w:val="17"/>
        </w:numPr>
        <w:adjustRightInd w:val="0"/>
        <w:spacing w:line="470" w:lineRule="exact"/>
        <w:ind w:firstLine="420" w:firstLineChars="200"/>
        <w:jc w:val="left"/>
        <w:textAlignment w:val="baseline"/>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投标人和其法定代表人及其委托代理人没有行贿犯罪行为。</w:t>
      </w:r>
    </w:p>
    <w:p>
      <w:pPr>
        <w:adjustRightInd w:val="0"/>
        <w:spacing w:line="470" w:lineRule="exact"/>
        <w:ind w:firstLine="420" w:firstLineChars="200"/>
        <w:jc w:val="left"/>
        <w:textAlignment w:val="baseline"/>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与本投标有关的一切往来通讯请寄</w:t>
      </w:r>
    </w:p>
    <w:p>
      <w:pPr>
        <w:adjustRightInd w:val="0"/>
        <w:spacing w:line="470" w:lineRule="exact"/>
        <w:ind w:firstLine="420" w:firstLineChars="200"/>
        <w:jc w:val="left"/>
        <w:textAlignment w:val="baseline"/>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地址：                     电话： </w:t>
      </w:r>
    </w:p>
    <w:p>
      <w:pPr>
        <w:adjustRightInd w:val="0"/>
        <w:spacing w:line="470" w:lineRule="exact"/>
        <w:ind w:firstLine="420" w:firstLineChars="200"/>
        <w:jc w:val="left"/>
        <w:textAlignment w:val="baseline"/>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电子邮箱：</w:t>
      </w:r>
    </w:p>
    <w:p>
      <w:pPr>
        <w:adjustRightInd w:val="0"/>
        <w:spacing w:line="470" w:lineRule="exact"/>
        <w:ind w:firstLine="1785" w:firstLineChars="850"/>
        <w:jc w:val="left"/>
        <w:textAlignment w:val="baseline"/>
        <w:rPr>
          <w:rFonts w:hint="default" w:ascii="Times New Roman" w:hAnsi="Times New Roman" w:cs="Times New Roman"/>
          <w:color w:val="auto"/>
          <w:sz w:val="21"/>
          <w:szCs w:val="21"/>
        </w:rPr>
      </w:pPr>
    </w:p>
    <w:p>
      <w:pPr>
        <w:spacing w:before="156" w:beforeLines="50" w:after="156" w:afterLines="50" w:line="47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投标人名称（全称并加盖公章）：</w:t>
      </w:r>
    </w:p>
    <w:p>
      <w:pPr>
        <w:spacing w:before="156" w:beforeLines="50" w:after="156" w:afterLines="50" w:line="470" w:lineRule="exac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法定代表人或其委托代理人（签字或盖章）：</w:t>
      </w:r>
    </w:p>
    <w:p>
      <w:pPr>
        <w:spacing w:before="156" w:beforeLines="50" w:after="156" w:afterLines="50" w:line="470" w:lineRule="exact"/>
        <w:rPr>
          <w:rFonts w:hint="eastAsia"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rPr>
        <w:t xml:space="preserve">                                          时间：     年    月   日</w:t>
      </w:r>
    </w:p>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br w:type="page"/>
      </w:r>
    </w:p>
    <w:p>
      <w:pPr>
        <w:spacing w:line="360" w:lineRule="auto"/>
        <w:jc w:val="center"/>
        <w:rPr>
          <w:rFonts w:hint="default" w:ascii="Times New Roman" w:hAnsi="Times New Roman" w:cs="Times New Roman"/>
          <w:b/>
          <w:bCs/>
          <w:color w:val="auto"/>
          <w:sz w:val="32"/>
          <w:szCs w:val="32"/>
        </w:rPr>
      </w:pPr>
      <w:r>
        <w:rPr>
          <w:rFonts w:hint="default" w:ascii="Times New Roman" w:hAnsi="Times New Roman" w:cs="Times New Roman"/>
          <w:b/>
          <w:bCs/>
          <w:color w:val="auto"/>
          <w:sz w:val="32"/>
          <w:szCs w:val="32"/>
        </w:rPr>
        <w:t>二、承诺书</w:t>
      </w:r>
    </w:p>
    <w:p>
      <w:pPr>
        <w:adjustRightInd w:val="0"/>
        <w:spacing w:line="360" w:lineRule="auto"/>
        <w:jc w:val="left"/>
        <w:textAlignment w:val="baseline"/>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致（采购人及采购代理机构）：</w:t>
      </w:r>
    </w:p>
    <w:p>
      <w:pPr>
        <w:adjustRightInd w:val="0"/>
        <w:spacing w:line="360" w:lineRule="auto"/>
        <w:ind w:firstLine="420" w:firstLineChars="200"/>
        <w:jc w:val="left"/>
        <w:textAlignment w:val="baseline"/>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我公司作为</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项目（交易编号：</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）的投标人，现郑重承诺如下：</w:t>
      </w:r>
    </w:p>
    <w:p>
      <w:pPr>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在本次招标投标活动中，我公司存在下列情形之一的，自愿向采购人缴纳本招标文件第二章投标人须知前附表中规定的投标保证金金额，由采购人没收，因此产生的一切后果和责任由我公司承担，我公司放弃对此提出的任何异议和权利：</w:t>
      </w:r>
    </w:p>
    <w:p>
      <w:pPr>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（1）在投标截止时间后或投标有效期内撤回投标文件的；</w:t>
      </w:r>
    </w:p>
    <w:p>
      <w:pPr>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（2）在投标文件中提供虚假材料的；</w:t>
      </w:r>
    </w:p>
    <w:p>
      <w:pPr>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（3）如我公司中标，除因不可抗力或招标文件认可的情形以外，我公司不与采购人签订合同的；</w:t>
      </w:r>
    </w:p>
    <w:p>
      <w:pPr>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（4）我公司与采购人、其他投标人或者采购代理机构恶意串通的。</w:t>
      </w:r>
    </w:p>
    <w:p>
      <w:pPr>
        <w:spacing w:line="360" w:lineRule="auto"/>
        <w:rPr>
          <w:rFonts w:hint="default" w:ascii="Times New Roman" w:hAnsi="Times New Roman" w:cs="Times New Roman"/>
          <w:color w:val="auto"/>
          <w:sz w:val="21"/>
          <w:szCs w:val="21"/>
        </w:rPr>
      </w:pPr>
    </w:p>
    <w:p>
      <w:pPr>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特此承诺</w:t>
      </w:r>
    </w:p>
    <w:p>
      <w:pPr>
        <w:spacing w:line="360" w:lineRule="auto"/>
        <w:rPr>
          <w:rFonts w:hint="default" w:ascii="Times New Roman" w:hAnsi="Times New Roman" w:cs="Times New Roman"/>
          <w:color w:val="auto"/>
          <w:sz w:val="21"/>
          <w:szCs w:val="21"/>
        </w:rPr>
      </w:pPr>
    </w:p>
    <w:p>
      <w:pPr>
        <w:spacing w:line="360" w:lineRule="auto"/>
        <w:rPr>
          <w:rFonts w:hint="default" w:ascii="Times New Roman" w:hAnsi="Times New Roman" w:cs="Times New Roman"/>
          <w:color w:val="auto"/>
          <w:sz w:val="21"/>
          <w:szCs w:val="21"/>
        </w:rPr>
      </w:pPr>
    </w:p>
    <w:p>
      <w:pPr>
        <w:spacing w:before="156" w:beforeLines="50" w:after="156" w:afterLines="50"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投标人名称（全称并加盖公章）：</w:t>
      </w:r>
    </w:p>
    <w:p>
      <w:pPr>
        <w:spacing w:before="156" w:beforeLines="50" w:after="156" w:afterLines="50"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法定代表人或其委托代理人（签字或盖章）：</w:t>
      </w:r>
    </w:p>
    <w:p>
      <w:pPr>
        <w:spacing w:before="156" w:beforeLines="50" w:after="156" w:afterLines="50"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时间：     年    月    日 </w:t>
      </w:r>
    </w:p>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br w:type="page"/>
      </w:r>
    </w:p>
    <w:p>
      <w:pPr>
        <w:spacing w:line="360" w:lineRule="auto"/>
        <w:jc w:val="center"/>
        <w:rPr>
          <w:rFonts w:hint="default" w:ascii="Times New Roman" w:hAnsi="Times New Roman" w:cs="Times New Roman"/>
          <w:b/>
          <w:bCs/>
          <w:color w:val="auto"/>
          <w:sz w:val="32"/>
          <w:szCs w:val="32"/>
        </w:rPr>
      </w:pPr>
      <w:r>
        <w:rPr>
          <w:rFonts w:hint="default" w:ascii="Times New Roman" w:hAnsi="Times New Roman" w:cs="Times New Roman"/>
          <w:b/>
          <w:bCs/>
          <w:color w:val="auto"/>
          <w:sz w:val="32"/>
          <w:szCs w:val="32"/>
        </w:rPr>
        <w:t>三、招标代理服务费承诺函</w:t>
      </w:r>
    </w:p>
    <w:p>
      <w:pPr>
        <w:widowControl/>
        <w:shd w:val="clear" w:color="auto" w:fill="FFFFFF"/>
        <w:rPr>
          <w:rFonts w:hint="default" w:ascii="Times New Roman" w:hAnsi="Times New Roman" w:eastAsia="微软雅黑" w:cs="Times New Roman"/>
          <w:color w:val="auto"/>
          <w:spacing w:val="8"/>
          <w:kern w:val="0"/>
          <w:sz w:val="25"/>
          <w:szCs w:val="25"/>
        </w:rPr>
      </w:pPr>
      <w:r>
        <w:rPr>
          <w:rFonts w:hint="default" w:ascii="Times New Roman" w:hAnsi="Times New Roman" w:cs="Times New Roman"/>
          <w:color w:val="auto"/>
          <w:spacing w:val="8"/>
          <w:kern w:val="0"/>
          <w:shd w:val="clear" w:color="auto" w:fill="FFFFFF"/>
        </w:rPr>
        <w:t xml:space="preserve"> </w:t>
      </w:r>
    </w:p>
    <w:p>
      <w:pPr>
        <w:widowControl/>
        <w:shd w:val="clear" w:color="auto" w:fill="FFFFFF"/>
        <w:spacing w:line="360" w:lineRule="auto"/>
        <w:rPr>
          <w:rFonts w:hint="default" w:ascii="Times New Roman" w:hAnsi="Times New Roman" w:eastAsia="微软雅黑" w:cs="Times New Roman"/>
          <w:color w:val="auto"/>
          <w:spacing w:val="8"/>
          <w:kern w:val="0"/>
          <w:sz w:val="21"/>
          <w:szCs w:val="21"/>
        </w:rPr>
      </w:pPr>
      <w:r>
        <w:rPr>
          <w:rFonts w:hint="default" w:ascii="Times New Roman" w:hAnsi="Times New Roman" w:cs="Times New Roman"/>
          <w:color w:val="auto"/>
          <w:spacing w:val="8"/>
          <w:kern w:val="0"/>
          <w:sz w:val="21"/>
          <w:szCs w:val="21"/>
          <w:shd w:val="clear" w:color="auto" w:fill="FFFFFF"/>
        </w:rPr>
        <w:t>致（采购人及采购代理机构）：</w:t>
      </w:r>
    </w:p>
    <w:p>
      <w:pPr>
        <w:widowControl/>
        <w:shd w:val="clear" w:color="auto" w:fill="FFFFFF"/>
        <w:spacing w:line="360" w:lineRule="auto"/>
        <w:ind w:firstLine="480"/>
        <w:rPr>
          <w:rFonts w:hint="default" w:ascii="Times New Roman" w:hAnsi="Times New Roman" w:eastAsia="微软雅黑" w:cs="Times New Roman"/>
          <w:color w:val="auto"/>
          <w:spacing w:val="8"/>
          <w:kern w:val="0"/>
          <w:sz w:val="21"/>
          <w:szCs w:val="21"/>
        </w:rPr>
      </w:pPr>
      <w:r>
        <w:rPr>
          <w:rFonts w:hint="default" w:ascii="Times New Roman" w:hAnsi="Times New Roman" w:cs="Times New Roman"/>
          <w:color w:val="auto"/>
          <w:spacing w:val="8"/>
          <w:kern w:val="0"/>
          <w:sz w:val="21"/>
          <w:szCs w:val="21"/>
          <w:shd w:val="clear" w:color="auto" w:fill="FFFFFF"/>
        </w:rPr>
        <w:t>我们在贵公司组织的</w:t>
      </w:r>
      <w:r>
        <w:rPr>
          <w:rFonts w:hint="default" w:ascii="Times New Roman" w:hAnsi="Times New Roman" w:cs="Times New Roman"/>
          <w:color w:val="auto"/>
          <w:spacing w:val="8"/>
          <w:kern w:val="0"/>
          <w:sz w:val="21"/>
          <w:szCs w:val="21"/>
          <w:u w:val="single"/>
          <w:shd w:val="clear" w:color="auto" w:fill="FFFFFF"/>
        </w:rPr>
        <w:t xml:space="preserve">     </w:t>
      </w:r>
      <w:r>
        <w:rPr>
          <w:rFonts w:hint="default" w:ascii="Times New Roman" w:hAnsi="Times New Roman" w:cs="Times New Roman"/>
          <w:color w:val="auto"/>
          <w:spacing w:val="8"/>
          <w:kern w:val="0"/>
          <w:sz w:val="21"/>
          <w:szCs w:val="21"/>
          <w:shd w:val="clear" w:color="auto" w:fill="FFFFFF"/>
        </w:rPr>
        <w:t>项目，（交易编号：</w:t>
      </w:r>
      <w:r>
        <w:rPr>
          <w:rFonts w:hint="default" w:ascii="Times New Roman" w:hAnsi="Times New Roman" w:cs="Times New Roman"/>
          <w:color w:val="auto"/>
          <w:spacing w:val="8"/>
          <w:kern w:val="0"/>
          <w:sz w:val="21"/>
          <w:szCs w:val="21"/>
          <w:u w:val="single"/>
          <w:shd w:val="clear" w:color="auto" w:fill="FFFFFF"/>
        </w:rPr>
        <w:t xml:space="preserve">       </w:t>
      </w:r>
      <w:r>
        <w:rPr>
          <w:rFonts w:hint="default" w:ascii="Times New Roman" w:hAnsi="Times New Roman" w:cs="Times New Roman"/>
          <w:color w:val="auto"/>
          <w:spacing w:val="8"/>
          <w:kern w:val="0"/>
          <w:sz w:val="21"/>
          <w:szCs w:val="21"/>
          <w:shd w:val="clear" w:color="auto" w:fill="FFFFFF"/>
        </w:rPr>
        <w:t>）采购中若获中标，我们保证在中标结果公告发布后5个工作日内，按招标文件的规定，以现金形式一次性支付代理服务费用。否则，由此产生的一切法律后果和责任由我公司承担。我公司声明放弃对此提出任何异议和追索的权利。</w:t>
      </w:r>
    </w:p>
    <w:p>
      <w:pPr>
        <w:widowControl/>
        <w:shd w:val="clear" w:color="auto" w:fill="FFFFFF"/>
        <w:spacing w:line="360" w:lineRule="auto"/>
        <w:rPr>
          <w:rFonts w:hint="default" w:ascii="Times New Roman" w:hAnsi="Times New Roman" w:eastAsia="微软雅黑" w:cs="Times New Roman"/>
          <w:color w:val="auto"/>
          <w:spacing w:val="8"/>
          <w:kern w:val="0"/>
          <w:sz w:val="21"/>
          <w:szCs w:val="21"/>
        </w:rPr>
      </w:pPr>
      <w:r>
        <w:rPr>
          <w:rFonts w:hint="default" w:ascii="Times New Roman" w:hAnsi="Times New Roman" w:cs="Times New Roman"/>
          <w:color w:val="auto"/>
          <w:spacing w:val="8"/>
          <w:kern w:val="0"/>
          <w:sz w:val="21"/>
          <w:szCs w:val="21"/>
          <w:shd w:val="clear" w:color="auto" w:fill="FFFFFF"/>
        </w:rPr>
        <w:t>特此承诺。</w:t>
      </w:r>
    </w:p>
    <w:p>
      <w:pPr>
        <w:widowControl/>
        <w:shd w:val="clear" w:color="auto" w:fill="FFFFFF"/>
        <w:spacing w:line="360" w:lineRule="auto"/>
        <w:rPr>
          <w:rFonts w:hint="default" w:ascii="Times New Roman" w:hAnsi="Times New Roman" w:eastAsia="微软雅黑" w:cs="Times New Roman"/>
          <w:color w:val="auto"/>
          <w:spacing w:val="8"/>
          <w:kern w:val="0"/>
          <w:sz w:val="21"/>
          <w:szCs w:val="21"/>
        </w:rPr>
      </w:pPr>
      <w:r>
        <w:rPr>
          <w:rFonts w:hint="default" w:ascii="Times New Roman" w:hAnsi="Times New Roman" w:cs="Times New Roman"/>
          <w:color w:val="auto"/>
          <w:spacing w:val="8"/>
          <w:kern w:val="0"/>
          <w:sz w:val="21"/>
          <w:szCs w:val="21"/>
          <w:shd w:val="clear" w:color="auto" w:fill="FFFFFF"/>
        </w:rPr>
        <w:t xml:space="preserve"> </w:t>
      </w:r>
    </w:p>
    <w:p>
      <w:pPr>
        <w:spacing w:before="156" w:beforeLines="50" w:after="156" w:afterLines="50" w:line="360" w:lineRule="auto"/>
        <w:rPr>
          <w:rFonts w:hint="default" w:ascii="Times New Roman" w:hAnsi="Times New Roman" w:cs="Times New Roman"/>
          <w:color w:val="auto"/>
          <w:sz w:val="21"/>
          <w:szCs w:val="21"/>
        </w:rPr>
      </w:pPr>
      <w:r>
        <w:rPr>
          <w:rFonts w:hint="default" w:ascii="Times New Roman" w:hAnsi="Times New Roman" w:cs="Times New Roman"/>
          <w:color w:val="auto"/>
          <w:spacing w:val="8"/>
          <w:kern w:val="0"/>
          <w:sz w:val="21"/>
          <w:szCs w:val="21"/>
          <w:shd w:val="clear" w:color="auto" w:fill="FFFFFF"/>
        </w:rPr>
        <w:t xml:space="preserve">                   </w:t>
      </w:r>
      <w:r>
        <w:rPr>
          <w:rFonts w:hint="default" w:ascii="Times New Roman" w:hAnsi="Times New Roman" w:cs="Times New Roman"/>
          <w:color w:val="auto"/>
          <w:sz w:val="21"/>
          <w:szCs w:val="21"/>
        </w:rPr>
        <w:t xml:space="preserve">     </w:t>
      </w:r>
      <w:r>
        <w:rPr>
          <w:rFonts w:hint="default" w:ascii="Times New Roman" w:hAnsi="Times New Roman" w:cs="Times New Roman"/>
          <w:color w:val="auto"/>
          <w:spacing w:val="8"/>
          <w:kern w:val="0"/>
          <w:sz w:val="21"/>
          <w:szCs w:val="21"/>
          <w:shd w:val="clear" w:color="auto" w:fill="FFFFFF"/>
        </w:rPr>
        <w:t xml:space="preserve">    投标人名称（全称并加盖公章）</w:t>
      </w:r>
      <w:r>
        <w:rPr>
          <w:rFonts w:hint="default" w:ascii="Times New Roman" w:hAnsi="Times New Roman" w:cs="Times New Roman"/>
          <w:color w:val="auto"/>
          <w:sz w:val="21"/>
          <w:szCs w:val="21"/>
        </w:rPr>
        <w:t>：</w:t>
      </w:r>
    </w:p>
    <w:p>
      <w:pPr>
        <w:spacing w:before="156" w:beforeLines="50" w:after="156" w:afterLines="50"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r>
        <w:rPr>
          <w:rFonts w:hint="default" w:ascii="Times New Roman" w:hAnsi="Times New Roman" w:cs="Times New Roman"/>
          <w:color w:val="auto"/>
          <w:spacing w:val="8"/>
          <w:kern w:val="0"/>
          <w:sz w:val="21"/>
          <w:szCs w:val="21"/>
          <w:shd w:val="clear" w:color="auto" w:fill="FFFFFF"/>
        </w:rPr>
        <w:t>法定代表人或其委托代理人（签字或盖章）</w:t>
      </w:r>
      <w:r>
        <w:rPr>
          <w:rFonts w:hint="default" w:ascii="Times New Roman" w:hAnsi="Times New Roman" w:cs="Times New Roman"/>
          <w:color w:val="auto"/>
          <w:sz w:val="21"/>
          <w:szCs w:val="21"/>
        </w:rPr>
        <w:t>：</w:t>
      </w:r>
    </w:p>
    <w:p>
      <w:pPr>
        <w:spacing w:before="156" w:beforeLines="50" w:after="156" w:afterLines="50"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时间：     年    月    日 </w:t>
      </w:r>
    </w:p>
    <w:p>
      <w:pPr>
        <w:widowControl/>
        <w:jc w:val="left"/>
        <w:rPr>
          <w:rFonts w:hint="default" w:ascii="Times New Roman" w:hAnsi="Times New Roman" w:cs="Times New Roman"/>
          <w:color w:val="auto"/>
          <w:szCs w:val="21"/>
        </w:rPr>
      </w:pPr>
      <w:r>
        <w:rPr>
          <w:rFonts w:hint="default" w:ascii="Times New Roman" w:hAnsi="Times New Roman" w:cs="Times New Roman"/>
          <w:color w:val="auto"/>
          <w:szCs w:val="21"/>
        </w:rPr>
        <w:br w:type="page"/>
      </w:r>
    </w:p>
    <w:p>
      <w:pPr>
        <w:spacing w:line="360" w:lineRule="auto"/>
        <w:jc w:val="center"/>
        <w:rPr>
          <w:rFonts w:hint="default" w:ascii="Times New Roman" w:hAnsi="Times New Roman" w:cs="Times New Roman"/>
          <w:b/>
          <w:bCs/>
          <w:color w:val="auto"/>
          <w:sz w:val="32"/>
          <w:szCs w:val="32"/>
        </w:rPr>
      </w:pPr>
      <w:r>
        <w:rPr>
          <w:rFonts w:hint="default" w:ascii="Times New Roman" w:hAnsi="Times New Roman" w:cs="Times New Roman"/>
          <w:b/>
          <w:bCs/>
          <w:color w:val="auto"/>
          <w:sz w:val="32"/>
          <w:szCs w:val="32"/>
        </w:rPr>
        <w:t>四、投标人基本情况表</w:t>
      </w:r>
    </w:p>
    <w:tbl>
      <w:tblPr>
        <w:tblStyle w:val="23"/>
        <w:tblpPr w:leftFromText="180" w:rightFromText="180" w:vertAnchor="text" w:horzAnchor="margin" w:tblpXSpec="center" w:tblpY="2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038"/>
        <w:gridCol w:w="1030"/>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投标人名称</w:t>
            </w:r>
          </w:p>
        </w:tc>
        <w:tc>
          <w:tcPr>
            <w:tcW w:w="6412" w:type="dxa"/>
            <w:gridSpan w:val="8"/>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注册地址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c>
          <w:tcPr>
            <w:tcW w:w="1191"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邮政编码</w:t>
            </w:r>
          </w:p>
        </w:tc>
        <w:tc>
          <w:tcPr>
            <w:tcW w:w="2879"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88"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联系方式</w:t>
            </w:r>
          </w:p>
        </w:tc>
        <w:tc>
          <w:tcPr>
            <w:tcW w:w="10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联系人</w:t>
            </w:r>
          </w:p>
        </w:tc>
        <w:tc>
          <w:tcPr>
            <w:tcW w:w="130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c>
          <w:tcPr>
            <w:tcW w:w="1191"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电话</w:t>
            </w:r>
          </w:p>
        </w:tc>
        <w:tc>
          <w:tcPr>
            <w:tcW w:w="2879"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8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color w:val="auto"/>
                <w:sz w:val="21"/>
                <w:szCs w:val="21"/>
              </w:rPr>
            </w:pPr>
          </w:p>
        </w:tc>
        <w:tc>
          <w:tcPr>
            <w:tcW w:w="10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传真</w:t>
            </w:r>
          </w:p>
        </w:tc>
        <w:tc>
          <w:tcPr>
            <w:tcW w:w="1304"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c>
          <w:tcPr>
            <w:tcW w:w="1191"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网址</w:t>
            </w:r>
          </w:p>
        </w:tc>
        <w:tc>
          <w:tcPr>
            <w:tcW w:w="2879"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营业执照号</w:t>
            </w:r>
          </w:p>
        </w:tc>
        <w:tc>
          <w:tcPr>
            <w:tcW w:w="6412" w:type="dxa"/>
            <w:gridSpan w:val="8"/>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8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税务登记证号</w:t>
            </w:r>
          </w:p>
        </w:tc>
        <w:tc>
          <w:tcPr>
            <w:tcW w:w="6412" w:type="dxa"/>
            <w:gridSpan w:val="8"/>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组织机构代码证号</w:t>
            </w:r>
          </w:p>
        </w:tc>
        <w:tc>
          <w:tcPr>
            <w:tcW w:w="6412" w:type="dxa"/>
            <w:gridSpan w:val="8"/>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资质证书证号</w:t>
            </w:r>
          </w:p>
        </w:tc>
        <w:tc>
          <w:tcPr>
            <w:tcW w:w="6412" w:type="dxa"/>
            <w:gridSpan w:val="8"/>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法定代表人</w:t>
            </w:r>
          </w:p>
        </w:tc>
        <w:tc>
          <w:tcPr>
            <w:tcW w:w="103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姓名</w:t>
            </w:r>
          </w:p>
        </w:tc>
        <w:tc>
          <w:tcPr>
            <w:tcW w:w="103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c>
          <w:tcPr>
            <w:tcW w:w="78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职务</w:t>
            </w:r>
          </w:p>
        </w:tc>
        <w:tc>
          <w:tcPr>
            <w:tcW w:w="1440"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c>
          <w:tcPr>
            <w:tcW w:w="7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电话</w:t>
            </w:r>
          </w:p>
        </w:tc>
        <w:tc>
          <w:tcPr>
            <w:tcW w:w="132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注册资金</w:t>
            </w:r>
          </w:p>
        </w:tc>
        <w:tc>
          <w:tcPr>
            <w:tcW w:w="20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c>
          <w:tcPr>
            <w:tcW w:w="2228"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成立时间</w:t>
            </w:r>
          </w:p>
        </w:tc>
        <w:tc>
          <w:tcPr>
            <w:tcW w:w="2116"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开户银行</w:t>
            </w:r>
          </w:p>
        </w:tc>
        <w:tc>
          <w:tcPr>
            <w:tcW w:w="206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c>
          <w:tcPr>
            <w:tcW w:w="2228"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账号</w:t>
            </w:r>
          </w:p>
        </w:tc>
        <w:tc>
          <w:tcPr>
            <w:tcW w:w="2116"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经营范围</w:t>
            </w:r>
          </w:p>
        </w:tc>
        <w:tc>
          <w:tcPr>
            <w:tcW w:w="6412" w:type="dxa"/>
            <w:gridSpan w:val="8"/>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9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备注</w:t>
            </w:r>
          </w:p>
        </w:tc>
        <w:tc>
          <w:tcPr>
            <w:tcW w:w="6412" w:type="dxa"/>
            <w:gridSpan w:val="8"/>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Times New Roman" w:hAnsi="Times New Roman" w:cs="Times New Roman"/>
                <w:color w:val="auto"/>
                <w:sz w:val="21"/>
                <w:szCs w:val="21"/>
              </w:rPr>
            </w:pPr>
          </w:p>
        </w:tc>
      </w:tr>
    </w:tbl>
    <w:p>
      <w:pPr>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注：投标人可根据实际情况自行添加表格内容。</w:t>
      </w:r>
    </w:p>
    <w:p>
      <w:pPr>
        <w:spacing w:line="360" w:lineRule="auto"/>
        <w:rPr>
          <w:rFonts w:hint="default" w:ascii="Times New Roman" w:hAnsi="Times New Roman" w:cs="Times New Roman"/>
          <w:color w:val="auto"/>
          <w:sz w:val="21"/>
          <w:szCs w:val="21"/>
        </w:rPr>
      </w:pPr>
    </w:p>
    <w:p>
      <w:pPr>
        <w:spacing w:before="156" w:beforeLines="50" w:after="156" w:afterLines="50" w:line="360" w:lineRule="auto"/>
        <w:jc w:val="righ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投标人名称（全称并加盖公章）：</w:t>
      </w:r>
    </w:p>
    <w:p>
      <w:pPr>
        <w:spacing w:before="156" w:beforeLines="50" w:after="156" w:afterLines="50" w:line="360" w:lineRule="auto"/>
        <w:jc w:val="righ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法定代表人或其委托代理人（签字或盖章）：</w:t>
      </w:r>
    </w:p>
    <w:p>
      <w:pPr>
        <w:spacing w:before="156" w:beforeLines="50" w:after="156" w:afterLines="50" w:line="360" w:lineRule="auto"/>
        <w:jc w:val="righ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年    月   日 </w:t>
      </w:r>
    </w:p>
    <w:p>
      <w:pPr>
        <w:widowControl/>
        <w:jc w:val="left"/>
        <w:rPr>
          <w:rFonts w:hint="default" w:ascii="Times New Roman" w:hAnsi="Times New Roman" w:cs="Times New Roman"/>
          <w:b/>
          <w:bCs/>
          <w:color w:val="auto"/>
          <w:sz w:val="32"/>
          <w:szCs w:val="32"/>
        </w:rPr>
      </w:pPr>
      <w:r>
        <w:rPr>
          <w:rFonts w:hint="default" w:ascii="Times New Roman" w:hAnsi="Times New Roman" w:cs="Times New Roman"/>
          <w:b/>
          <w:bCs/>
          <w:color w:val="auto"/>
          <w:sz w:val="32"/>
          <w:szCs w:val="32"/>
        </w:rPr>
        <w:br w:type="page"/>
      </w:r>
    </w:p>
    <w:p>
      <w:pPr>
        <w:spacing w:line="360" w:lineRule="auto"/>
        <w:jc w:val="center"/>
        <w:rPr>
          <w:rFonts w:hint="default" w:ascii="Times New Roman" w:hAnsi="Times New Roman" w:cs="Times New Roman"/>
          <w:b/>
          <w:bCs/>
          <w:color w:val="auto"/>
          <w:sz w:val="32"/>
          <w:szCs w:val="32"/>
        </w:rPr>
      </w:pPr>
      <w:r>
        <w:rPr>
          <w:rFonts w:hint="default" w:ascii="Times New Roman" w:hAnsi="Times New Roman" w:cs="Times New Roman"/>
          <w:b/>
          <w:bCs/>
          <w:color w:val="auto"/>
          <w:sz w:val="32"/>
          <w:szCs w:val="32"/>
        </w:rPr>
        <w:t>五、开标一览表</w:t>
      </w:r>
    </w:p>
    <w:p>
      <w:pPr>
        <w:pStyle w:val="8"/>
        <w:rPr>
          <w:rFonts w:hint="default" w:ascii="Times New Roman" w:hAnsi="Times New Roman" w:eastAsia="宋体" w:cs="Times New Roman"/>
          <w:color w:val="auto"/>
        </w:rPr>
      </w:pPr>
    </w:p>
    <w:tbl>
      <w:tblPr>
        <w:tblStyle w:val="23"/>
        <w:tblW w:w="0" w:type="auto"/>
        <w:jc w:val="center"/>
        <w:tblLayout w:type="fixed"/>
        <w:tblCellMar>
          <w:top w:w="0" w:type="dxa"/>
          <w:left w:w="108" w:type="dxa"/>
          <w:bottom w:w="0" w:type="dxa"/>
          <w:right w:w="108" w:type="dxa"/>
        </w:tblCellMar>
      </w:tblPr>
      <w:tblGrid>
        <w:gridCol w:w="1981"/>
        <w:gridCol w:w="6505"/>
      </w:tblGrid>
      <w:tr>
        <w:tblPrEx>
          <w:tblCellMar>
            <w:top w:w="0" w:type="dxa"/>
            <w:left w:w="108" w:type="dxa"/>
            <w:bottom w:w="0" w:type="dxa"/>
            <w:right w:w="108" w:type="dxa"/>
          </w:tblCellMar>
        </w:tblPrEx>
        <w:trPr>
          <w:trHeight w:val="773" w:hRule="atLeast"/>
          <w:jc w:val="center"/>
        </w:trPr>
        <w:tc>
          <w:tcPr>
            <w:tcW w:w="19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项目名称</w:t>
            </w:r>
          </w:p>
        </w:tc>
        <w:tc>
          <w:tcPr>
            <w:tcW w:w="650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r>
      <w:tr>
        <w:tblPrEx>
          <w:tblCellMar>
            <w:top w:w="0" w:type="dxa"/>
            <w:left w:w="108" w:type="dxa"/>
            <w:bottom w:w="0" w:type="dxa"/>
            <w:right w:w="108" w:type="dxa"/>
          </w:tblCellMar>
        </w:tblPrEx>
        <w:trPr>
          <w:cantSplit/>
          <w:trHeight w:val="783" w:hRule="atLeast"/>
          <w:jc w:val="center"/>
        </w:trPr>
        <w:tc>
          <w:tcPr>
            <w:tcW w:w="1981" w:type="dxa"/>
            <w:tcBorders>
              <w:top w:val="nil"/>
              <w:left w:val="single" w:color="auto" w:sz="4" w:space="0"/>
              <w:bottom w:val="nil"/>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交易编号</w:t>
            </w:r>
          </w:p>
        </w:tc>
        <w:tc>
          <w:tcPr>
            <w:tcW w:w="6505" w:type="dxa"/>
            <w:tcBorders>
              <w:top w:val="nil"/>
              <w:left w:val="single" w:color="auto" w:sz="4" w:space="0"/>
              <w:bottom w:val="nil"/>
              <w:right w:val="single" w:color="auto" w:sz="4" w:space="0"/>
            </w:tcBorders>
            <w:vAlign w:val="center"/>
          </w:tcPr>
          <w:p>
            <w:pPr>
              <w:ind w:left="108"/>
              <w:jc w:val="center"/>
              <w:rPr>
                <w:rFonts w:hint="default" w:ascii="Times New Roman" w:hAnsi="Times New Roman" w:cs="Times New Roman"/>
                <w:color w:val="auto"/>
                <w:sz w:val="21"/>
                <w:szCs w:val="21"/>
              </w:rPr>
            </w:pPr>
          </w:p>
        </w:tc>
      </w:tr>
      <w:tr>
        <w:tblPrEx>
          <w:tblCellMar>
            <w:top w:w="0" w:type="dxa"/>
            <w:left w:w="108" w:type="dxa"/>
            <w:bottom w:w="0" w:type="dxa"/>
            <w:right w:w="108" w:type="dxa"/>
          </w:tblCellMar>
        </w:tblPrEx>
        <w:trPr>
          <w:cantSplit/>
          <w:trHeight w:val="776" w:hRule="atLeast"/>
          <w:jc w:val="center"/>
        </w:trPr>
        <w:tc>
          <w:tcPr>
            <w:tcW w:w="19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投标人名称</w:t>
            </w:r>
          </w:p>
        </w:tc>
        <w:tc>
          <w:tcPr>
            <w:tcW w:w="6505"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p>
        </w:tc>
      </w:tr>
      <w:tr>
        <w:tblPrEx>
          <w:tblCellMar>
            <w:top w:w="0" w:type="dxa"/>
            <w:left w:w="108" w:type="dxa"/>
            <w:bottom w:w="0" w:type="dxa"/>
            <w:right w:w="108" w:type="dxa"/>
          </w:tblCellMar>
        </w:tblPrEx>
        <w:trPr>
          <w:cantSplit/>
          <w:trHeight w:val="785" w:hRule="atLeast"/>
          <w:jc w:val="center"/>
        </w:trPr>
        <w:tc>
          <w:tcPr>
            <w:tcW w:w="1981"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投标总报价</w:t>
            </w:r>
          </w:p>
        </w:tc>
        <w:tc>
          <w:tcPr>
            <w:tcW w:w="6505" w:type="dxa"/>
            <w:tcBorders>
              <w:top w:val="single" w:color="auto" w:sz="4" w:space="0"/>
              <w:left w:val="single" w:color="auto" w:sz="4" w:space="0"/>
              <w:bottom w:val="single" w:color="auto" w:sz="4" w:space="0"/>
              <w:right w:val="single" w:color="auto" w:sz="4" w:space="0"/>
            </w:tcBorders>
            <w:vAlign w:val="center"/>
          </w:tcPr>
          <w:p>
            <w:pPr>
              <w:ind w:left="1260" w:hanging="1260" w:hangingChars="600"/>
              <w:rPr>
                <w:rFonts w:hint="default" w:ascii="Times New Roman" w:hAnsi="Times New Roman" w:cs="Times New Roman"/>
                <w:color w:val="auto"/>
                <w:sz w:val="21"/>
                <w:szCs w:val="21"/>
                <w:u w:val="single"/>
              </w:rPr>
            </w:pPr>
            <w:r>
              <w:rPr>
                <w:rFonts w:hint="default" w:ascii="Times New Roman" w:hAnsi="Times New Roman" w:cs="Times New Roman"/>
                <w:color w:val="auto"/>
                <w:sz w:val="21"/>
                <w:szCs w:val="21"/>
              </w:rPr>
              <w:t>大写：</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 xml:space="preserve">    ¥：</w:t>
            </w:r>
            <w:r>
              <w:rPr>
                <w:rFonts w:hint="default" w:ascii="Times New Roman" w:hAnsi="Times New Roman" w:cs="Times New Roman"/>
                <w:color w:val="auto"/>
                <w:sz w:val="21"/>
                <w:szCs w:val="21"/>
                <w:u w:val="single"/>
              </w:rPr>
              <w:t xml:space="preserve">             </w:t>
            </w:r>
          </w:p>
        </w:tc>
      </w:tr>
    </w:tbl>
    <w:p>
      <w:pPr>
        <w:pStyle w:val="10"/>
        <w:spacing w:line="360" w:lineRule="exact"/>
        <w:ind w:left="480" w:leftChars="0" w:firstLine="210" w:firstLineChars="100"/>
        <w:rPr>
          <w:rFonts w:hint="default" w:ascii="Times New Roman" w:hAnsi="Times New Roman" w:cs="Times New Roman"/>
          <w:color w:val="auto"/>
          <w:sz w:val="21"/>
          <w:szCs w:val="21"/>
        </w:rPr>
      </w:pPr>
    </w:p>
    <w:p>
      <w:pPr>
        <w:spacing w:before="156" w:beforeLines="50" w:after="156" w:afterLines="50" w:line="480" w:lineRule="auto"/>
        <w:jc w:val="righ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投标人名称（全称并加盖公章）：</w:t>
      </w:r>
    </w:p>
    <w:p>
      <w:pPr>
        <w:spacing w:before="156" w:beforeLines="50" w:after="156" w:afterLines="50" w:line="480" w:lineRule="auto"/>
        <w:jc w:val="righ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法定代表人或其委托代理人（签字或盖章）：                                        </w:t>
      </w:r>
    </w:p>
    <w:p>
      <w:pPr>
        <w:spacing w:before="156" w:beforeLines="50" w:after="156" w:afterLines="50" w:line="480" w:lineRule="auto"/>
        <w:ind w:firstLine="4410" w:firstLineChars="2100"/>
        <w:jc w:val="righ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年   月   日 </w:t>
      </w:r>
    </w:p>
    <w:p>
      <w:pPr>
        <w:rPr>
          <w:rFonts w:hint="default" w:ascii="Times New Roman" w:hAnsi="Times New Roman" w:cs="Times New Roman"/>
          <w:color w:val="auto"/>
          <w:sz w:val="21"/>
          <w:szCs w:val="21"/>
        </w:rPr>
      </w:pPr>
      <w:r>
        <w:rPr>
          <w:rFonts w:hint="default" w:ascii="Times New Roman" w:hAnsi="Times New Roman" w:cs="Times New Roman"/>
          <w:color w:val="auto"/>
          <w:sz w:val="21"/>
          <w:szCs w:val="21"/>
        </w:rPr>
        <w:br w:type="page"/>
      </w:r>
    </w:p>
    <w:p>
      <w:pPr>
        <w:pStyle w:val="4"/>
        <w:rPr>
          <w:rFonts w:hint="default" w:ascii="Times New Roman" w:hAnsi="Times New Roman" w:cs="Times New Roman"/>
          <w:color w:val="auto"/>
        </w:rPr>
      </w:pPr>
      <w:r>
        <w:rPr>
          <w:rFonts w:hint="default" w:ascii="Times New Roman" w:hAnsi="Times New Roman" w:cs="Times New Roman"/>
          <w:color w:val="auto"/>
          <w:lang w:eastAsia="zh-CN"/>
        </w:rPr>
        <w:t>六</w:t>
      </w:r>
      <w:r>
        <w:rPr>
          <w:rFonts w:hint="default" w:ascii="Times New Roman" w:hAnsi="Times New Roman" w:cs="Times New Roman"/>
          <w:color w:val="auto"/>
        </w:rPr>
        <w:t>、报价明细表</w:t>
      </w:r>
    </w:p>
    <w:p>
      <w:pPr>
        <w:spacing w:line="360" w:lineRule="auto"/>
        <w:rPr>
          <w:rFonts w:hint="default" w:ascii="Times New Roman" w:hAnsi="Times New Roman" w:cs="Times New Roman"/>
          <w:color w:val="auto"/>
          <w:szCs w:val="21"/>
        </w:rPr>
      </w:pPr>
      <w:r>
        <w:rPr>
          <w:rFonts w:hint="default" w:ascii="Times New Roman" w:hAnsi="Times New Roman" w:cs="Times New Roman"/>
          <w:color w:val="auto"/>
          <w:szCs w:val="21"/>
        </w:rPr>
        <w:t>项目名称：                                                交易编号：</w:t>
      </w:r>
    </w:p>
    <w:tbl>
      <w:tblPr>
        <w:tblStyle w:val="23"/>
        <w:tblW w:w="10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2427"/>
        <w:gridCol w:w="1804"/>
        <w:gridCol w:w="2280"/>
        <w:gridCol w:w="960"/>
        <w:gridCol w:w="1040"/>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44" w:type="dxa"/>
            <w:noWrap w:val="0"/>
            <w:vAlign w:val="center"/>
          </w:tcPr>
          <w:p>
            <w:pPr>
              <w:spacing w:line="240" w:lineRule="atLeast"/>
              <w:jc w:val="center"/>
              <w:rPr>
                <w:rFonts w:hint="default" w:ascii="Times New Roman" w:hAnsi="Times New Roman" w:eastAsia="宋体" w:cs="Times New Roman"/>
                <w:color w:val="auto"/>
                <w:szCs w:val="21"/>
                <w:lang w:val="en-US" w:eastAsia="zh-CN"/>
              </w:rPr>
            </w:pPr>
            <w:r>
              <w:rPr>
                <w:rFonts w:hint="default" w:ascii="Times New Roman" w:hAnsi="Times New Roman" w:cs="Times New Roman"/>
                <w:color w:val="auto"/>
                <w:szCs w:val="21"/>
              </w:rPr>
              <w:t>序号</w:t>
            </w:r>
          </w:p>
        </w:tc>
        <w:tc>
          <w:tcPr>
            <w:tcW w:w="2427" w:type="dxa"/>
            <w:noWrap w:val="0"/>
            <w:vAlign w:val="center"/>
          </w:tcPr>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标的</w:t>
            </w:r>
          </w:p>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名称</w:t>
            </w:r>
          </w:p>
        </w:tc>
        <w:tc>
          <w:tcPr>
            <w:tcW w:w="1804" w:type="dxa"/>
            <w:noWrap w:val="0"/>
            <w:vAlign w:val="center"/>
          </w:tcPr>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规格</w:t>
            </w:r>
          </w:p>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型号</w:t>
            </w:r>
          </w:p>
        </w:tc>
        <w:tc>
          <w:tcPr>
            <w:tcW w:w="2280" w:type="dxa"/>
            <w:noWrap w:val="0"/>
            <w:vAlign w:val="top"/>
          </w:tcPr>
          <w:p>
            <w:pPr>
              <w:spacing w:line="240" w:lineRule="atLeast"/>
              <w:jc w:val="center"/>
              <w:rPr>
                <w:rFonts w:hint="default" w:ascii="Times New Roman" w:hAnsi="Times New Roman" w:cs="Times New Roman"/>
                <w:color w:val="auto"/>
                <w:szCs w:val="21"/>
              </w:rPr>
            </w:pPr>
          </w:p>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制造企业名称</w:t>
            </w:r>
          </w:p>
        </w:tc>
        <w:tc>
          <w:tcPr>
            <w:tcW w:w="960" w:type="dxa"/>
            <w:noWrap w:val="0"/>
            <w:vAlign w:val="center"/>
          </w:tcPr>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数量</w:t>
            </w:r>
          </w:p>
        </w:tc>
        <w:tc>
          <w:tcPr>
            <w:tcW w:w="1040" w:type="dxa"/>
            <w:noWrap w:val="0"/>
            <w:vAlign w:val="center"/>
          </w:tcPr>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单价</w:t>
            </w:r>
          </w:p>
        </w:tc>
        <w:tc>
          <w:tcPr>
            <w:tcW w:w="1123" w:type="dxa"/>
            <w:noWrap w:val="0"/>
            <w:vAlign w:val="center"/>
          </w:tcPr>
          <w:p>
            <w:pPr>
              <w:spacing w:line="240" w:lineRule="atLeast"/>
              <w:jc w:val="center"/>
              <w:rPr>
                <w:rFonts w:hint="default" w:ascii="Times New Roman" w:hAnsi="Times New Roman" w:cs="Times New Roman"/>
                <w:color w:val="auto"/>
                <w:szCs w:val="21"/>
              </w:rPr>
            </w:pPr>
            <w:r>
              <w:rPr>
                <w:rFonts w:hint="default" w:ascii="Times New Roman" w:hAnsi="Times New Roman" w:cs="Times New Roman"/>
                <w:color w:val="auto"/>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44" w:type="dxa"/>
            <w:noWrap w:val="0"/>
            <w:vAlign w:val="center"/>
          </w:tcPr>
          <w:p>
            <w:pPr>
              <w:spacing w:line="240" w:lineRule="atLeast"/>
              <w:jc w:val="center"/>
              <w:rPr>
                <w:rFonts w:hint="eastAsia" w:ascii="Times New Roman" w:hAnsi="Times New Roman" w:eastAsia="宋体" w:cs="Times New Roman"/>
                <w:color w:val="auto"/>
                <w:szCs w:val="21"/>
                <w:lang w:val="en-US" w:eastAsia="zh-CN"/>
              </w:rPr>
            </w:pPr>
            <w:r>
              <w:rPr>
                <w:rFonts w:hint="eastAsia" w:ascii="Times New Roman" w:hAnsi="Times New Roman" w:cs="Times New Roman"/>
                <w:color w:val="auto"/>
                <w:szCs w:val="21"/>
                <w:lang w:val="en-US" w:eastAsia="zh-CN"/>
              </w:rPr>
              <w:t>1</w:t>
            </w:r>
          </w:p>
        </w:tc>
        <w:tc>
          <w:tcPr>
            <w:tcW w:w="2427" w:type="dxa"/>
            <w:noWrap w:val="0"/>
            <w:vAlign w:val="center"/>
          </w:tcPr>
          <w:p>
            <w:pPr>
              <w:spacing w:line="360" w:lineRule="auto"/>
              <w:jc w:val="center"/>
              <w:rPr>
                <w:rFonts w:hint="eastAsia" w:ascii="Times New Roman" w:hAnsi="Times New Roman" w:eastAsia="宋体" w:cs="Times New Roman"/>
                <w:color w:val="auto"/>
                <w:szCs w:val="21"/>
                <w:lang w:eastAsia="zh-CN"/>
              </w:rPr>
            </w:pPr>
            <w:r>
              <w:rPr>
                <w:rFonts w:hint="eastAsia" w:ascii="Times New Roman" w:hAnsi="Times New Roman" w:cs="Times New Roman"/>
                <w:color w:val="auto"/>
                <w:szCs w:val="21"/>
                <w:lang w:eastAsia="zh-CN"/>
              </w:rPr>
              <w:t>一体化污水处理设备</w:t>
            </w:r>
          </w:p>
        </w:tc>
        <w:tc>
          <w:tcPr>
            <w:tcW w:w="1804" w:type="dxa"/>
            <w:noWrap w:val="0"/>
            <w:vAlign w:val="center"/>
          </w:tcPr>
          <w:p>
            <w:pPr>
              <w:spacing w:line="360" w:lineRule="auto"/>
              <w:jc w:val="center"/>
              <w:rPr>
                <w:rFonts w:hint="eastAsia" w:ascii="Times New Roman" w:hAnsi="Times New Roman" w:eastAsia="宋体" w:cs="Times New Roman"/>
                <w:color w:val="auto"/>
                <w:szCs w:val="21"/>
                <w:lang w:eastAsia="zh-CN"/>
              </w:rPr>
            </w:pPr>
            <w:r>
              <w:rPr>
                <w:rFonts w:hint="eastAsia" w:ascii="宋体" w:hAnsi="宋体"/>
                <w:kern w:val="0"/>
                <w:sz w:val="21"/>
                <w:szCs w:val="21"/>
                <w:highlight w:val="none"/>
              </w:rPr>
              <w:t>废水处理规模</w:t>
            </w:r>
            <w:r>
              <w:rPr>
                <w:rFonts w:hint="eastAsia" w:ascii="宋体" w:hAnsi="宋体"/>
                <w:kern w:val="0"/>
                <w:sz w:val="21"/>
                <w:szCs w:val="21"/>
                <w:highlight w:val="none"/>
                <w:lang w:eastAsia="zh-CN"/>
              </w:rPr>
              <w:t>≥</w:t>
            </w:r>
            <w:r>
              <w:rPr>
                <w:rFonts w:hint="eastAsia" w:ascii="宋体" w:hAnsi="宋体"/>
                <w:kern w:val="0"/>
                <w:sz w:val="21"/>
                <w:szCs w:val="21"/>
                <w:highlight w:val="none"/>
              </w:rPr>
              <w:t>220吨/日</w:t>
            </w:r>
          </w:p>
        </w:tc>
        <w:tc>
          <w:tcPr>
            <w:tcW w:w="2280" w:type="dxa"/>
            <w:noWrap w:val="0"/>
            <w:vAlign w:val="top"/>
          </w:tcPr>
          <w:p>
            <w:pPr>
              <w:spacing w:line="360" w:lineRule="auto"/>
              <w:jc w:val="center"/>
              <w:rPr>
                <w:rFonts w:hint="default" w:ascii="Times New Roman" w:hAnsi="Times New Roman" w:cs="Times New Roman"/>
                <w:color w:val="auto"/>
                <w:szCs w:val="21"/>
              </w:rPr>
            </w:pPr>
          </w:p>
        </w:tc>
        <w:tc>
          <w:tcPr>
            <w:tcW w:w="960" w:type="dxa"/>
            <w:noWrap w:val="0"/>
            <w:vAlign w:val="center"/>
          </w:tcPr>
          <w:p>
            <w:pPr>
              <w:spacing w:line="360" w:lineRule="auto"/>
              <w:jc w:val="center"/>
              <w:rPr>
                <w:rFonts w:hint="eastAsia" w:ascii="Times New Roman" w:hAnsi="Times New Roman" w:eastAsia="宋体" w:cs="Times New Roman"/>
                <w:color w:val="auto"/>
                <w:szCs w:val="21"/>
                <w:lang w:val="en-US" w:eastAsia="zh-CN"/>
              </w:rPr>
            </w:pPr>
            <w:r>
              <w:rPr>
                <w:rFonts w:hint="eastAsia" w:ascii="Times New Roman" w:hAnsi="Times New Roman" w:cs="Times New Roman"/>
                <w:color w:val="auto"/>
                <w:szCs w:val="21"/>
                <w:lang w:val="en-US" w:eastAsia="zh-CN"/>
              </w:rPr>
              <w:t>1</w:t>
            </w:r>
          </w:p>
        </w:tc>
        <w:tc>
          <w:tcPr>
            <w:tcW w:w="1040" w:type="dxa"/>
            <w:noWrap w:val="0"/>
            <w:vAlign w:val="center"/>
          </w:tcPr>
          <w:p>
            <w:pPr>
              <w:spacing w:line="360" w:lineRule="auto"/>
              <w:jc w:val="center"/>
              <w:rPr>
                <w:rFonts w:hint="default" w:ascii="Times New Roman" w:hAnsi="Times New Roman" w:cs="Times New Roman"/>
                <w:color w:val="auto"/>
                <w:szCs w:val="21"/>
              </w:rPr>
            </w:pPr>
          </w:p>
        </w:tc>
        <w:tc>
          <w:tcPr>
            <w:tcW w:w="1123" w:type="dxa"/>
            <w:noWrap w:val="0"/>
            <w:vAlign w:val="center"/>
          </w:tcPr>
          <w:p>
            <w:pPr>
              <w:spacing w:line="360" w:lineRule="auto"/>
              <w:jc w:val="center"/>
              <w:rPr>
                <w:rFonts w:hint="default" w:ascii="Times New Roman" w:hAnsi="Times New Roman"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44" w:type="dxa"/>
            <w:noWrap w:val="0"/>
            <w:vAlign w:val="center"/>
          </w:tcPr>
          <w:p>
            <w:pPr>
              <w:spacing w:line="360" w:lineRule="auto"/>
              <w:jc w:val="center"/>
              <w:rPr>
                <w:rFonts w:hint="default" w:ascii="Times New Roman" w:hAnsi="Times New Roman" w:cs="Times New Roman"/>
                <w:color w:val="auto"/>
                <w:szCs w:val="21"/>
              </w:rPr>
            </w:pPr>
          </w:p>
        </w:tc>
        <w:tc>
          <w:tcPr>
            <w:tcW w:w="2427" w:type="dxa"/>
            <w:noWrap w:val="0"/>
            <w:vAlign w:val="center"/>
          </w:tcPr>
          <w:p>
            <w:pPr>
              <w:spacing w:line="360" w:lineRule="auto"/>
              <w:jc w:val="center"/>
              <w:rPr>
                <w:rFonts w:hint="default" w:ascii="Times New Roman" w:hAnsi="Times New Roman" w:cs="Times New Roman"/>
                <w:color w:val="auto"/>
                <w:szCs w:val="21"/>
              </w:rPr>
            </w:pPr>
          </w:p>
        </w:tc>
        <w:tc>
          <w:tcPr>
            <w:tcW w:w="1804" w:type="dxa"/>
            <w:noWrap w:val="0"/>
            <w:vAlign w:val="center"/>
          </w:tcPr>
          <w:p>
            <w:pPr>
              <w:spacing w:line="360" w:lineRule="auto"/>
              <w:jc w:val="center"/>
              <w:rPr>
                <w:rFonts w:hint="default" w:ascii="Times New Roman" w:hAnsi="Times New Roman" w:cs="Times New Roman"/>
                <w:color w:val="auto"/>
                <w:szCs w:val="21"/>
              </w:rPr>
            </w:pPr>
          </w:p>
        </w:tc>
        <w:tc>
          <w:tcPr>
            <w:tcW w:w="2280" w:type="dxa"/>
            <w:noWrap w:val="0"/>
            <w:vAlign w:val="top"/>
          </w:tcPr>
          <w:p>
            <w:pPr>
              <w:spacing w:line="360" w:lineRule="auto"/>
              <w:jc w:val="center"/>
              <w:rPr>
                <w:rFonts w:hint="default" w:ascii="Times New Roman" w:hAnsi="Times New Roman" w:cs="Times New Roman"/>
                <w:color w:val="auto"/>
                <w:szCs w:val="21"/>
              </w:rPr>
            </w:pPr>
          </w:p>
        </w:tc>
        <w:tc>
          <w:tcPr>
            <w:tcW w:w="960" w:type="dxa"/>
            <w:noWrap w:val="0"/>
            <w:vAlign w:val="center"/>
          </w:tcPr>
          <w:p>
            <w:pPr>
              <w:spacing w:line="360" w:lineRule="auto"/>
              <w:jc w:val="center"/>
              <w:rPr>
                <w:rFonts w:hint="default" w:ascii="Times New Roman" w:hAnsi="Times New Roman" w:cs="Times New Roman"/>
                <w:color w:val="auto"/>
                <w:szCs w:val="21"/>
              </w:rPr>
            </w:pPr>
          </w:p>
        </w:tc>
        <w:tc>
          <w:tcPr>
            <w:tcW w:w="1040" w:type="dxa"/>
            <w:noWrap w:val="0"/>
            <w:vAlign w:val="center"/>
          </w:tcPr>
          <w:p>
            <w:pPr>
              <w:spacing w:line="360" w:lineRule="auto"/>
              <w:jc w:val="center"/>
              <w:rPr>
                <w:rFonts w:hint="default" w:ascii="Times New Roman" w:hAnsi="Times New Roman" w:cs="Times New Roman"/>
                <w:color w:val="auto"/>
                <w:szCs w:val="21"/>
              </w:rPr>
            </w:pPr>
          </w:p>
        </w:tc>
        <w:tc>
          <w:tcPr>
            <w:tcW w:w="1123" w:type="dxa"/>
            <w:noWrap w:val="0"/>
            <w:vAlign w:val="center"/>
          </w:tcPr>
          <w:p>
            <w:pPr>
              <w:spacing w:line="360" w:lineRule="auto"/>
              <w:jc w:val="center"/>
              <w:rPr>
                <w:rFonts w:hint="default" w:ascii="Times New Roman" w:hAnsi="Times New Roman"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exact"/>
          <w:jc w:val="center"/>
        </w:trPr>
        <w:tc>
          <w:tcPr>
            <w:tcW w:w="744" w:type="dxa"/>
            <w:noWrap w:val="0"/>
            <w:vAlign w:val="center"/>
          </w:tcPr>
          <w:p>
            <w:pPr>
              <w:spacing w:line="360" w:lineRule="auto"/>
              <w:jc w:val="center"/>
              <w:rPr>
                <w:rFonts w:hint="default" w:ascii="Times New Roman" w:hAnsi="Times New Roman" w:cs="Times New Roman"/>
                <w:color w:val="auto"/>
                <w:szCs w:val="21"/>
              </w:rPr>
            </w:pPr>
          </w:p>
        </w:tc>
        <w:tc>
          <w:tcPr>
            <w:tcW w:w="2427" w:type="dxa"/>
            <w:noWrap w:val="0"/>
            <w:vAlign w:val="center"/>
          </w:tcPr>
          <w:p>
            <w:pPr>
              <w:spacing w:line="360" w:lineRule="auto"/>
              <w:jc w:val="center"/>
              <w:rPr>
                <w:rFonts w:hint="default" w:ascii="Times New Roman" w:hAnsi="Times New Roman" w:cs="Times New Roman"/>
                <w:color w:val="auto"/>
                <w:szCs w:val="21"/>
              </w:rPr>
            </w:pPr>
          </w:p>
        </w:tc>
        <w:tc>
          <w:tcPr>
            <w:tcW w:w="1804" w:type="dxa"/>
            <w:noWrap w:val="0"/>
            <w:vAlign w:val="center"/>
          </w:tcPr>
          <w:p>
            <w:pPr>
              <w:spacing w:line="360" w:lineRule="auto"/>
              <w:jc w:val="center"/>
              <w:rPr>
                <w:rFonts w:hint="default" w:ascii="Times New Roman" w:hAnsi="Times New Roman" w:cs="Times New Roman"/>
                <w:color w:val="auto"/>
                <w:szCs w:val="21"/>
              </w:rPr>
            </w:pPr>
          </w:p>
        </w:tc>
        <w:tc>
          <w:tcPr>
            <w:tcW w:w="2280" w:type="dxa"/>
            <w:noWrap w:val="0"/>
            <w:vAlign w:val="top"/>
          </w:tcPr>
          <w:p>
            <w:pPr>
              <w:spacing w:line="360" w:lineRule="auto"/>
              <w:jc w:val="center"/>
              <w:rPr>
                <w:rFonts w:hint="default" w:ascii="Times New Roman" w:hAnsi="Times New Roman" w:cs="Times New Roman"/>
                <w:color w:val="auto"/>
                <w:szCs w:val="21"/>
              </w:rPr>
            </w:pPr>
          </w:p>
        </w:tc>
        <w:tc>
          <w:tcPr>
            <w:tcW w:w="960" w:type="dxa"/>
            <w:noWrap w:val="0"/>
            <w:vAlign w:val="center"/>
          </w:tcPr>
          <w:p>
            <w:pPr>
              <w:spacing w:line="360" w:lineRule="auto"/>
              <w:jc w:val="center"/>
              <w:rPr>
                <w:rFonts w:hint="default" w:ascii="Times New Roman" w:hAnsi="Times New Roman" w:cs="Times New Roman"/>
                <w:color w:val="auto"/>
                <w:szCs w:val="21"/>
              </w:rPr>
            </w:pPr>
          </w:p>
        </w:tc>
        <w:tc>
          <w:tcPr>
            <w:tcW w:w="1040" w:type="dxa"/>
            <w:noWrap w:val="0"/>
            <w:vAlign w:val="center"/>
          </w:tcPr>
          <w:p>
            <w:pPr>
              <w:spacing w:line="360" w:lineRule="auto"/>
              <w:jc w:val="center"/>
              <w:rPr>
                <w:rFonts w:hint="default" w:ascii="Times New Roman" w:hAnsi="Times New Roman" w:cs="Times New Roman"/>
                <w:color w:val="auto"/>
                <w:szCs w:val="21"/>
              </w:rPr>
            </w:pPr>
          </w:p>
        </w:tc>
        <w:tc>
          <w:tcPr>
            <w:tcW w:w="1123" w:type="dxa"/>
            <w:noWrap w:val="0"/>
            <w:vAlign w:val="center"/>
          </w:tcPr>
          <w:p>
            <w:pPr>
              <w:spacing w:line="360" w:lineRule="auto"/>
              <w:jc w:val="center"/>
              <w:rPr>
                <w:rFonts w:hint="default" w:ascii="Times New Roman" w:hAnsi="Times New Roman"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10378" w:type="dxa"/>
            <w:gridSpan w:val="7"/>
            <w:noWrap w:val="0"/>
            <w:vAlign w:val="top"/>
          </w:tcPr>
          <w:p>
            <w:pPr>
              <w:spacing w:line="460" w:lineRule="exact"/>
              <w:rPr>
                <w:rFonts w:hint="default" w:ascii="Times New Roman" w:hAnsi="Times New Roman" w:cs="Times New Roman"/>
                <w:color w:val="auto"/>
              </w:rPr>
            </w:pPr>
            <w:r>
              <w:rPr>
                <w:rFonts w:hint="default" w:ascii="Times New Roman" w:hAnsi="Times New Roman" w:cs="Times New Roman"/>
                <w:color w:val="auto"/>
              </w:rPr>
              <w:t>总报价大写：                           小写：</w:t>
            </w:r>
          </w:p>
        </w:tc>
      </w:tr>
    </w:tbl>
    <w:p>
      <w:pPr>
        <w:spacing w:line="360" w:lineRule="auto"/>
        <w:ind w:firstLine="482" w:firstLineChars="200"/>
        <w:rPr>
          <w:rFonts w:hint="default" w:ascii="Times New Roman" w:hAnsi="Times New Roman" w:cs="Times New Roman"/>
          <w:b/>
          <w:bCs/>
          <w:color w:val="auto"/>
          <w:szCs w:val="21"/>
        </w:rPr>
      </w:pPr>
    </w:p>
    <w:p>
      <w:pPr>
        <w:spacing w:line="360" w:lineRule="auto"/>
        <w:ind w:firstLine="480" w:firstLineChars="200"/>
        <w:rPr>
          <w:rFonts w:hint="default" w:ascii="Times New Roman" w:hAnsi="Times New Roman" w:cs="Times New Roman"/>
          <w:color w:val="auto"/>
          <w:szCs w:val="21"/>
        </w:rPr>
      </w:pPr>
    </w:p>
    <w:p>
      <w:pPr>
        <w:spacing w:line="360" w:lineRule="auto"/>
        <w:rPr>
          <w:rFonts w:hint="default" w:ascii="Times New Roman" w:hAnsi="Times New Roman" w:cs="Times New Roman"/>
          <w:color w:val="auto"/>
          <w:sz w:val="24"/>
        </w:rPr>
      </w:pPr>
      <w:r>
        <w:rPr>
          <w:rFonts w:hint="default" w:ascii="Times New Roman" w:hAnsi="Times New Roman" w:cs="Times New Roman"/>
          <w:color w:val="auto"/>
          <w:sz w:val="24"/>
        </w:rPr>
        <w:t xml:space="preserve">                                </w:t>
      </w:r>
      <w:r>
        <w:rPr>
          <w:rFonts w:hint="eastAsia" w:ascii="Times New Roman" w:hAnsi="Times New Roman" w:cs="Times New Roman"/>
          <w:color w:val="auto"/>
          <w:sz w:val="24"/>
          <w:lang w:eastAsia="zh-CN"/>
        </w:rPr>
        <w:t>投标人</w:t>
      </w:r>
      <w:r>
        <w:rPr>
          <w:rFonts w:hint="default" w:ascii="Times New Roman" w:hAnsi="Times New Roman" w:cs="Times New Roman"/>
          <w:color w:val="auto"/>
          <w:sz w:val="24"/>
        </w:rPr>
        <w:t>名称（全称并加盖公章）：</w:t>
      </w:r>
    </w:p>
    <w:p>
      <w:pPr>
        <w:spacing w:line="360" w:lineRule="auto"/>
        <w:rPr>
          <w:rFonts w:hint="default" w:ascii="Times New Roman" w:hAnsi="Times New Roman" w:cs="Times New Roman"/>
          <w:color w:val="auto"/>
          <w:sz w:val="24"/>
        </w:rPr>
      </w:pPr>
      <w:r>
        <w:rPr>
          <w:rFonts w:hint="default" w:ascii="Times New Roman" w:hAnsi="Times New Roman" w:cs="Times New Roman"/>
          <w:color w:val="auto"/>
          <w:sz w:val="24"/>
        </w:rPr>
        <w:t xml:space="preserve">                                法定代表人或其委托代理人（签字）：</w:t>
      </w:r>
    </w:p>
    <w:p>
      <w:pPr>
        <w:adjustRightInd w:val="0"/>
        <w:spacing w:line="400" w:lineRule="exact"/>
        <w:ind w:firstLine="480" w:firstLineChars="200"/>
        <w:jc w:val="left"/>
        <w:textAlignment w:val="baseline"/>
        <w:rPr>
          <w:rFonts w:hint="default" w:ascii="Times New Roman" w:hAnsi="Times New Roman" w:cs="Times New Roman"/>
          <w:color w:val="auto"/>
          <w:szCs w:val="21"/>
        </w:rPr>
      </w:pPr>
      <w:r>
        <w:rPr>
          <w:rFonts w:hint="default" w:ascii="Times New Roman" w:hAnsi="Times New Roman" w:cs="Times New Roman"/>
          <w:color w:val="auto"/>
          <w:szCs w:val="21"/>
        </w:rPr>
        <w:t xml:space="preserve">                                                   年    月   日</w:t>
      </w:r>
    </w:p>
    <w:p>
      <w:pPr>
        <w:spacing w:line="360" w:lineRule="exact"/>
        <w:rPr>
          <w:rFonts w:hint="default" w:ascii="Times New Roman" w:hAnsi="Times New Roman" w:cs="Times New Roman"/>
          <w:color w:val="auto"/>
          <w:sz w:val="28"/>
          <w:szCs w:val="28"/>
        </w:rPr>
      </w:pPr>
    </w:p>
    <w:p>
      <w:pPr>
        <w:pStyle w:val="22"/>
        <w:rPr>
          <w:rFonts w:hint="default" w:ascii="Times New Roman" w:hAnsi="Times New Roman" w:cs="Times New Roman"/>
          <w:color w:val="auto"/>
        </w:rPr>
      </w:pPr>
    </w:p>
    <w:p>
      <w:pPr>
        <w:widowControl/>
        <w:jc w:val="left"/>
        <w:rPr>
          <w:rFonts w:hint="default" w:ascii="Times New Roman" w:hAnsi="Times New Roman" w:cs="Times New Roman"/>
          <w:b/>
          <w:bCs/>
          <w:color w:val="auto"/>
          <w:sz w:val="32"/>
          <w:szCs w:val="32"/>
        </w:rPr>
      </w:pPr>
      <w:r>
        <w:rPr>
          <w:rFonts w:hint="default" w:ascii="Times New Roman" w:hAnsi="Times New Roman" w:cs="Times New Roman"/>
          <w:b/>
          <w:bCs/>
          <w:color w:val="auto"/>
          <w:sz w:val="32"/>
          <w:szCs w:val="32"/>
        </w:rPr>
        <w:br w:type="page"/>
      </w:r>
    </w:p>
    <w:p>
      <w:pPr>
        <w:rPr>
          <w:rFonts w:hint="default" w:ascii="Times New Roman" w:hAnsi="Times New Roman" w:cs="Times New Roman"/>
          <w:b/>
          <w:bCs/>
          <w:color w:val="auto"/>
          <w:sz w:val="32"/>
          <w:szCs w:val="32"/>
          <w:lang w:eastAsia="zh-CN"/>
        </w:rPr>
      </w:pPr>
    </w:p>
    <w:p>
      <w:pPr>
        <w:numPr>
          <w:ilvl w:val="0"/>
          <w:numId w:val="0"/>
        </w:numPr>
        <w:spacing w:line="360" w:lineRule="auto"/>
        <w:ind w:leftChars="0"/>
        <w:jc w:val="center"/>
        <w:rPr>
          <w:rFonts w:hint="default" w:ascii="Times New Roman" w:hAnsi="Times New Roman" w:cs="Times New Roman"/>
          <w:b/>
          <w:bCs/>
          <w:color w:val="auto"/>
          <w:sz w:val="32"/>
          <w:szCs w:val="32"/>
        </w:rPr>
      </w:pPr>
      <w:r>
        <w:rPr>
          <w:rFonts w:hint="eastAsia" w:ascii="Times New Roman" w:hAnsi="Times New Roman" w:cs="Times New Roman"/>
          <w:b/>
          <w:bCs/>
          <w:color w:val="auto"/>
          <w:sz w:val="32"/>
          <w:szCs w:val="32"/>
          <w:lang w:val="en-US" w:eastAsia="zh-CN"/>
        </w:rPr>
        <w:t>七</w:t>
      </w:r>
      <w:r>
        <w:rPr>
          <w:rFonts w:hint="default" w:ascii="Times New Roman" w:hAnsi="Times New Roman" w:cs="Times New Roman"/>
          <w:b/>
          <w:bCs/>
          <w:color w:val="auto"/>
          <w:sz w:val="32"/>
          <w:szCs w:val="32"/>
          <w:lang w:eastAsia="zh-CN"/>
        </w:rPr>
        <w:t>、</w:t>
      </w:r>
      <w:r>
        <w:rPr>
          <w:rFonts w:hint="default" w:ascii="Times New Roman" w:hAnsi="Times New Roman" w:cs="Times New Roman"/>
          <w:b/>
          <w:bCs/>
          <w:color w:val="auto"/>
          <w:sz w:val="32"/>
          <w:szCs w:val="32"/>
        </w:rPr>
        <w:t>商务响应表</w:t>
      </w:r>
    </w:p>
    <w:p>
      <w:pPr>
        <w:pStyle w:val="28"/>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项目名称：                                        交易编号：</w:t>
      </w:r>
    </w:p>
    <w:tbl>
      <w:tblPr>
        <w:tblStyle w:val="23"/>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83"/>
        <w:gridCol w:w="3705"/>
        <w:gridCol w:w="112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683"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序号</w:t>
            </w:r>
          </w:p>
        </w:tc>
        <w:tc>
          <w:tcPr>
            <w:tcW w:w="3705"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招标文件要求</w:t>
            </w:r>
          </w:p>
        </w:tc>
        <w:tc>
          <w:tcPr>
            <w:tcW w:w="11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是否响应</w:t>
            </w:r>
          </w:p>
        </w:tc>
        <w:tc>
          <w:tcPr>
            <w:tcW w:w="30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spacing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default" w:ascii="Times New Roman" w:hAnsi="Times New Roman" w:cs="Times New Roman"/>
                <w:color w:val="auto"/>
                <w:sz w:val="21"/>
                <w:szCs w:val="21"/>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hint="default" w:ascii="Times New Roman" w:hAnsi="Times New Roman" w:cs="Times New Roman"/>
                <w:color w:val="auto"/>
                <w:sz w:val="21"/>
                <w:szCs w:val="21"/>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default" w:ascii="Times New Roman" w:hAnsi="Times New Roman" w:cs="Times New Roman"/>
                <w:color w:val="auto"/>
                <w:sz w:val="21"/>
                <w:szCs w:val="21"/>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default" w:ascii="Times New Roman" w:hAnsi="Times New Roman" w:cs="Times New Roman"/>
                <w:color w:val="auto"/>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default" w:ascii="Times New Roman" w:hAnsi="Times New Roman" w:cs="Times New Roman"/>
                <w:color w:val="auto"/>
                <w:sz w:val="21"/>
                <w:szCs w:val="21"/>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hint="default" w:ascii="Times New Roman" w:hAnsi="Times New Roman" w:cs="Times New Roman"/>
                <w:color w:val="auto"/>
                <w:sz w:val="21"/>
                <w:szCs w:val="21"/>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default" w:ascii="Times New Roman" w:hAnsi="Times New Roman" w:cs="Times New Roman"/>
                <w:color w:val="auto"/>
                <w:sz w:val="21"/>
                <w:szCs w:val="21"/>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default" w:ascii="Times New Roman" w:hAnsi="Times New Roman" w:cs="Times New Roman"/>
                <w:color w:val="auto"/>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default" w:ascii="Times New Roman" w:hAnsi="Times New Roman" w:cs="Times New Roman"/>
                <w:color w:val="auto"/>
                <w:sz w:val="21"/>
                <w:szCs w:val="21"/>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hint="default" w:ascii="Times New Roman" w:hAnsi="Times New Roman" w:cs="Times New Roman"/>
                <w:color w:val="auto"/>
                <w:sz w:val="21"/>
                <w:szCs w:val="21"/>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default" w:ascii="Times New Roman" w:hAnsi="Times New Roman" w:cs="Times New Roman"/>
                <w:color w:val="auto"/>
                <w:sz w:val="21"/>
                <w:szCs w:val="21"/>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default" w:ascii="Times New Roman" w:hAnsi="Times New Roman" w:cs="Times New Roman"/>
                <w:color w:val="auto"/>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default" w:ascii="Times New Roman" w:hAnsi="Times New Roman" w:cs="Times New Roman"/>
                <w:color w:val="auto"/>
                <w:sz w:val="21"/>
                <w:szCs w:val="21"/>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hint="default" w:ascii="Times New Roman" w:hAnsi="Times New Roman" w:cs="Times New Roman"/>
                <w:color w:val="auto"/>
                <w:sz w:val="21"/>
                <w:szCs w:val="21"/>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default" w:ascii="Times New Roman" w:hAnsi="Times New Roman" w:cs="Times New Roman"/>
                <w:color w:val="auto"/>
                <w:sz w:val="21"/>
                <w:szCs w:val="21"/>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default" w:ascii="Times New Roman" w:hAnsi="Times New Roman" w:cs="Times New Roman"/>
                <w:color w:val="auto"/>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default" w:ascii="Times New Roman" w:hAnsi="Times New Roman" w:cs="Times New Roman"/>
                <w:color w:val="auto"/>
                <w:sz w:val="21"/>
                <w:szCs w:val="21"/>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hint="default" w:ascii="Times New Roman" w:hAnsi="Times New Roman" w:cs="Times New Roman"/>
                <w:color w:val="auto"/>
                <w:sz w:val="21"/>
                <w:szCs w:val="21"/>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default" w:ascii="Times New Roman" w:hAnsi="Times New Roman" w:cs="Times New Roman"/>
                <w:color w:val="auto"/>
                <w:sz w:val="21"/>
                <w:szCs w:val="21"/>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default" w:ascii="Times New Roman" w:hAnsi="Times New Roman" w:cs="Times New Roman"/>
                <w:color w:val="auto"/>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default" w:ascii="Times New Roman" w:hAnsi="Times New Roman" w:cs="Times New Roman"/>
                <w:color w:val="auto"/>
                <w:sz w:val="21"/>
                <w:szCs w:val="21"/>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hint="default" w:ascii="Times New Roman" w:hAnsi="Times New Roman" w:cs="Times New Roman"/>
                <w:color w:val="auto"/>
                <w:sz w:val="21"/>
                <w:szCs w:val="21"/>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default" w:ascii="Times New Roman" w:hAnsi="Times New Roman" w:cs="Times New Roman"/>
                <w:color w:val="auto"/>
                <w:sz w:val="21"/>
                <w:szCs w:val="21"/>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default" w:ascii="Times New Roman" w:hAnsi="Times New Roman" w:cs="Times New Roman"/>
                <w:color w:val="auto"/>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default" w:ascii="Times New Roman" w:hAnsi="Times New Roman" w:cs="Times New Roman"/>
                <w:color w:val="auto"/>
                <w:sz w:val="21"/>
                <w:szCs w:val="21"/>
              </w:rPr>
            </w:pP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hint="default" w:ascii="Times New Roman" w:hAnsi="Times New Roman" w:cs="Times New Roman"/>
                <w:color w:val="auto"/>
                <w:sz w:val="21"/>
                <w:szCs w:val="21"/>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default" w:ascii="Times New Roman" w:hAnsi="Times New Roman" w:cs="Times New Roman"/>
                <w:color w:val="auto"/>
                <w:sz w:val="21"/>
                <w:szCs w:val="21"/>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default" w:ascii="Times New Roman" w:hAnsi="Times New Roman" w:cs="Times New Roman"/>
                <w:color w:val="auto"/>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60" w:hRule="exact"/>
          <w:jc w:val="center"/>
        </w:trPr>
        <w:tc>
          <w:tcPr>
            <w:tcW w:w="68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napToGrid w:val="0"/>
              <w:spacing w:before="156" w:line="36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Cs w:val="21"/>
              </w:rPr>
              <w:t>…</w:t>
            </w:r>
          </w:p>
        </w:tc>
        <w:tc>
          <w:tcPr>
            <w:tcW w:w="370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440" w:lineRule="exact"/>
              <w:jc w:val="left"/>
              <w:textAlignment w:val="top"/>
              <w:rPr>
                <w:rFonts w:hint="default" w:ascii="Times New Roman" w:hAnsi="Times New Roman" w:cs="Times New Roman"/>
                <w:color w:val="auto"/>
                <w:sz w:val="21"/>
                <w:szCs w:val="21"/>
              </w:rPr>
            </w:pPr>
          </w:p>
        </w:tc>
        <w:tc>
          <w:tcPr>
            <w:tcW w:w="11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default" w:ascii="Times New Roman" w:hAnsi="Times New Roman" w:cs="Times New Roman"/>
                <w:color w:val="auto"/>
                <w:sz w:val="21"/>
                <w:szCs w:val="21"/>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utoSpaceDN w:val="0"/>
              <w:spacing w:line="360" w:lineRule="auto"/>
              <w:jc w:val="center"/>
              <w:textAlignment w:val="top"/>
              <w:rPr>
                <w:rFonts w:hint="default" w:ascii="Times New Roman" w:hAnsi="Times New Roman" w:cs="Times New Roman"/>
                <w:color w:val="auto"/>
                <w:sz w:val="21"/>
                <w:szCs w:val="21"/>
              </w:rPr>
            </w:pPr>
          </w:p>
        </w:tc>
      </w:tr>
    </w:tbl>
    <w:p>
      <w:pPr>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注：1、投标人必须完全响应招标文件商务要求，否则按无效标处理。</w:t>
      </w:r>
    </w:p>
    <w:p>
      <w:pPr>
        <w:pStyle w:val="28"/>
        <w:spacing w:line="360" w:lineRule="auto"/>
        <w:ind w:firstLine="422" w:firstLineChars="200"/>
        <w:rPr>
          <w:rFonts w:hint="default" w:ascii="Times New Roman" w:hAnsi="Times New Roman" w:cs="Times New Roman"/>
          <w:b/>
          <w:color w:val="auto"/>
          <w:sz w:val="21"/>
          <w:szCs w:val="21"/>
        </w:rPr>
      </w:pPr>
      <w:r>
        <w:rPr>
          <w:rFonts w:hint="default" w:ascii="Times New Roman" w:hAnsi="Times New Roman" w:cs="Times New Roman"/>
          <w:b/>
          <w:color w:val="auto"/>
          <w:sz w:val="21"/>
          <w:szCs w:val="21"/>
        </w:rPr>
        <w:t>2、商务要求包括：招标文件第四章中的“商务要求”的内容。</w:t>
      </w:r>
    </w:p>
    <w:p>
      <w:pPr>
        <w:pStyle w:val="28"/>
        <w:spacing w:before="156" w:beforeLines="50" w:after="156" w:afterLines="50" w:line="480" w:lineRule="auto"/>
        <w:ind w:right="210" w:firstLine="0" w:firstLineChars="0"/>
        <w:jc w:val="righ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投标人名称（全称并加盖公章）：</w:t>
      </w:r>
    </w:p>
    <w:p>
      <w:pPr>
        <w:pStyle w:val="28"/>
        <w:spacing w:before="156" w:beforeLines="50" w:after="156" w:afterLines="50" w:line="480" w:lineRule="auto"/>
        <w:ind w:right="420" w:firstLine="0" w:firstLineChars="0"/>
        <w:jc w:val="righ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法定代表人或其委托代理人（签字或盖章）：   </w:t>
      </w:r>
    </w:p>
    <w:p>
      <w:pPr>
        <w:spacing w:line="360" w:lineRule="auto"/>
        <w:ind w:right="840"/>
        <w:jc w:val="righ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年  月  日</w:t>
      </w:r>
    </w:p>
    <w:p>
      <w:pPr>
        <w:pStyle w:val="22"/>
        <w:ind w:left="0" w:leftChars="0" w:firstLine="0" w:firstLineChars="0"/>
        <w:rPr>
          <w:rFonts w:hint="default" w:ascii="Times New Roman" w:hAnsi="Times New Roman" w:cs="Times New Roman"/>
          <w:color w:val="auto"/>
          <w:sz w:val="21"/>
          <w:szCs w:val="21"/>
        </w:rPr>
      </w:pPr>
    </w:p>
    <w:p>
      <w:pPr>
        <w:spacing w:line="360" w:lineRule="auto"/>
        <w:rPr>
          <w:rFonts w:hint="default" w:ascii="Times New Roman" w:hAnsi="Times New Roman" w:cs="Times New Roman"/>
          <w:b/>
          <w:color w:val="auto"/>
        </w:rPr>
      </w:pPr>
    </w:p>
    <w:p>
      <w:pPr>
        <w:spacing w:line="360" w:lineRule="auto"/>
        <w:ind w:firstLine="2875" w:firstLineChars="895"/>
        <w:rPr>
          <w:rFonts w:hint="default" w:ascii="Times New Roman" w:hAnsi="Times New Roman" w:cs="Times New Roman"/>
          <w:b/>
          <w:bCs/>
          <w:color w:val="auto"/>
          <w:sz w:val="32"/>
          <w:szCs w:val="32"/>
        </w:rPr>
      </w:pPr>
    </w:p>
    <w:p>
      <w:pPr>
        <w:spacing w:line="360" w:lineRule="auto"/>
        <w:ind w:firstLine="2875" w:firstLineChars="895"/>
        <w:rPr>
          <w:rFonts w:hint="default" w:ascii="Times New Roman" w:hAnsi="Times New Roman" w:cs="Times New Roman"/>
          <w:b/>
          <w:bCs/>
          <w:color w:val="auto"/>
          <w:sz w:val="32"/>
          <w:szCs w:val="32"/>
        </w:rPr>
      </w:pPr>
    </w:p>
    <w:p>
      <w:pPr>
        <w:pStyle w:val="31"/>
        <w:rPr>
          <w:rFonts w:hint="default" w:ascii="Times New Roman" w:hAnsi="Times New Roman" w:cs="Times New Roman"/>
          <w:b/>
          <w:bCs/>
          <w:color w:val="auto"/>
          <w:sz w:val="32"/>
          <w:szCs w:val="32"/>
        </w:rPr>
      </w:pPr>
    </w:p>
    <w:p>
      <w:pPr>
        <w:pStyle w:val="31"/>
        <w:rPr>
          <w:rFonts w:hint="default" w:ascii="Times New Roman" w:hAnsi="Times New Roman" w:cs="Times New Roman"/>
          <w:b/>
          <w:bCs/>
          <w:color w:val="auto"/>
          <w:sz w:val="32"/>
          <w:szCs w:val="32"/>
        </w:rPr>
      </w:pPr>
    </w:p>
    <w:p>
      <w:pPr>
        <w:pStyle w:val="31"/>
        <w:rPr>
          <w:rFonts w:hint="default" w:ascii="Times New Roman" w:hAnsi="Times New Roman" w:cs="Times New Roman"/>
          <w:b/>
          <w:bCs/>
          <w:color w:val="auto"/>
          <w:sz w:val="32"/>
          <w:szCs w:val="32"/>
        </w:rPr>
      </w:pPr>
    </w:p>
    <w:p>
      <w:pPr>
        <w:spacing w:line="360" w:lineRule="auto"/>
        <w:jc w:val="center"/>
        <w:rPr>
          <w:rFonts w:hint="default" w:ascii="Times New Roman" w:hAnsi="Times New Roman" w:cs="Times New Roman"/>
          <w:b/>
          <w:bCs/>
          <w:color w:val="auto"/>
          <w:sz w:val="32"/>
          <w:szCs w:val="32"/>
          <w:lang w:eastAsia="zh-CN"/>
        </w:rPr>
      </w:pPr>
      <w:r>
        <w:rPr>
          <w:rFonts w:hint="eastAsia" w:ascii="Times New Roman" w:hAnsi="Times New Roman" w:cs="Times New Roman"/>
          <w:b/>
          <w:bCs/>
          <w:color w:val="auto"/>
          <w:sz w:val="32"/>
          <w:szCs w:val="32"/>
          <w:lang w:val="en-US" w:eastAsia="zh-CN"/>
        </w:rPr>
        <w:t>八</w:t>
      </w:r>
      <w:r>
        <w:rPr>
          <w:rFonts w:hint="default" w:ascii="Times New Roman" w:hAnsi="Times New Roman" w:cs="Times New Roman"/>
          <w:b/>
          <w:bCs/>
          <w:color w:val="auto"/>
          <w:sz w:val="32"/>
          <w:szCs w:val="32"/>
          <w:lang w:val="en-US" w:eastAsia="zh-CN"/>
        </w:rPr>
        <w:t>、</w:t>
      </w:r>
      <w:r>
        <w:rPr>
          <w:rFonts w:hint="default" w:ascii="Times New Roman" w:hAnsi="Times New Roman" w:cs="Times New Roman"/>
          <w:b/>
          <w:bCs/>
          <w:color w:val="auto"/>
          <w:sz w:val="32"/>
          <w:szCs w:val="32"/>
          <w:lang w:eastAsia="zh-CN"/>
        </w:rPr>
        <w:t>资格证明材料</w:t>
      </w:r>
    </w:p>
    <w:p>
      <w:pPr>
        <w:pStyle w:val="33"/>
        <w:rPr>
          <w:rFonts w:hint="default" w:ascii="Times New Roman" w:hAnsi="Times New Roman" w:cs="Times New Roman"/>
          <w:color w:val="auto"/>
          <w:sz w:val="30"/>
          <w:szCs w:val="30"/>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r>
        <w:rPr>
          <w:rFonts w:hint="default" w:ascii="Times New Roman" w:hAnsi="Times New Roman" w:cs="Times New Roman"/>
          <w:color w:val="auto"/>
          <w:sz w:val="24"/>
          <w:szCs w:val="24"/>
          <w:lang w:val="en-US" w:eastAsia="zh-CN"/>
        </w:rPr>
        <w:t>投标</w:t>
      </w:r>
      <w:r>
        <w:rPr>
          <w:rFonts w:hint="default" w:ascii="Times New Roman" w:hAnsi="Times New Roman" w:cs="Times New Roman"/>
          <w:color w:val="auto"/>
          <w:sz w:val="24"/>
          <w:szCs w:val="24"/>
        </w:rPr>
        <w:t>文件中提供</w:t>
      </w:r>
      <w:bookmarkStart w:id="60" w:name="_Hlk113543759"/>
      <w:r>
        <w:rPr>
          <w:rFonts w:hint="default" w:ascii="Times New Roman" w:hAnsi="Times New Roman" w:cs="Times New Roman"/>
          <w:color w:val="auto"/>
          <w:sz w:val="24"/>
          <w:szCs w:val="24"/>
        </w:rPr>
        <w:t>有效的</w:t>
      </w: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设立登记证书”</w:t>
      </w:r>
      <w:r>
        <w:rPr>
          <w:rFonts w:hint="default" w:ascii="Times New Roman" w:hAnsi="Times New Roman" w:cs="Times New Roman"/>
          <w:color w:val="auto"/>
          <w:sz w:val="24"/>
          <w:szCs w:val="24"/>
        </w:rPr>
        <w:t>复印件或扫描件</w:t>
      </w:r>
      <w:bookmarkEnd w:id="60"/>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rPr>
        <w:t>“设立登记证书”是指</w:t>
      </w:r>
      <w:r>
        <w:rPr>
          <w:rFonts w:hint="eastAsia" w:ascii="Times New Roman" w:hAnsi="Times New Roman" w:cs="Times New Roman"/>
          <w:color w:val="auto"/>
          <w:sz w:val="24"/>
          <w:szCs w:val="24"/>
        </w:rPr>
        <w:fldChar w:fldCharType="begin"/>
      </w:r>
      <w:r>
        <w:rPr>
          <w:rFonts w:hint="eastAsia" w:ascii="Times New Roman" w:hAnsi="Times New Roman" w:cs="Times New Roman"/>
          <w:color w:val="auto"/>
          <w:sz w:val="24"/>
          <w:szCs w:val="24"/>
        </w:rPr>
        <w:instrText xml:space="preserve"> HYPERLINK "https://baike.baidu.com/item/%E5%B7%A5%E5%95%86%E8%A1%8C%E6%94%BF%E7%AE%A1%E7%90%86%E6%9C%BA%E5%85%B3/2954967" \t "https://baike.baidu.com/item/%E8%90%A5%E4%B8%9A%E6%89%A7%E7%85%A7/_blank" </w:instrText>
      </w:r>
      <w:r>
        <w:rPr>
          <w:rFonts w:hint="eastAsia" w:ascii="Times New Roman" w:hAnsi="Times New Roman" w:cs="Times New Roman"/>
          <w:color w:val="auto"/>
          <w:sz w:val="24"/>
          <w:szCs w:val="24"/>
        </w:rPr>
        <w:fldChar w:fldCharType="separate"/>
      </w:r>
      <w:r>
        <w:rPr>
          <w:rFonts w:hint="eastAsia" w:ascii="Times New Roman" w:hAnsi="Times New Roman" w:cs="Times New Roman"/>
          <w:color w:val="auto"/>
          <w:sz w:val="24"/>
          <w:szCs w:val="24"/>
        </w:rPr>
        <w:t>工商行政管理机关</w:t>
      </w:r>
      <w:r>
        <w:rPr>
          <w:rFonts w:hint="eastAsia" w:ascii="Times New Roman" w:hAnsi="Times New Roman" w:cs="Times New Roman"/>
          <w:color w:val="auto"/>
          <w:sz w:val="24"/>
          <w:szCs w:val="24"/>
        </w:rPr>
        <w:fldChar w:fldCharType="end"/>
      </w:r>
      <w:r>
        <w:rPr>
          <w:rFonts w:hint="eastAsia" w:ascii="Times New Roman" w:hAnsi="Times New Roman" w:cs="Times New Roman"/>
          <w:color w:val="auto"/>
          <w:sz w:val="24"/>
          <w:szCs w:val="24"/>
        </w:rPr>
        <w:t>或市场监督管理部门颁发的营业执照，或民政部门颁发的民办非企业单位登记证书，或司法行政机关颁发的律师事务所执业许可证等凭证</w:t>
      </w:r>
      <w:r>
        <w:rPr>
          <w:rFonts w:hint="eastAsia" w:ascii="Times New Roman" w:hAnsi="Times New Roman" w:cs="Times New Roman"/>
          <w:color w:val="auto"/>
          <w:sz w:val="24"/>
          <w:szCs w:val="24"/>
          <w:lang w:eastAsia="zh-CN"/>
        </w:rPr>
        <w:t>）</w:t>
      </w:r>
      <w:r>
        <w:rPr>
          <w:rFonts w:hint="default" w:ascii="Times New Roman" w:hAnsi="Times New Roman" w:cs="Times New Roman"/>
          <w:color w:val="auto"/>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r>
        <w:rPr>
          <w:rFonts w:hint="default" w:ascii="Times New Roman" w:hAnsi="Times New Roman" w:cs="Times New Roman"/>
          <w:color w:val="auto"/>
          <w:sz w:val="24"/>
          <w:szCs w:val="24"/>
          <w:lang w:val="en-US" w:eastAsia="zh-CN"/>
        </w:rPr>
        <w:t>投标</w:t>
      </w:r>
      <w:r>
        <w:rPr>
          <w:rFonts w:hint="default" w:ascii="Times New Roman" w:hAnsi="Times New Roman" w:cs="Times New Roman"/>
          <w:color w:val="auto"/>
          <w:sz w:val="24"/>
          <w:szCs w:val="24"/>
        </w:rPr>
        <w:t>文件中提供依法缴纳社会保险的证明；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w:t>
      </w:r>
      <w:r>
        <w:rPr>
          <w:rFonts w:hint="default" w:ascii="Times New Roman" w:hAnsi="Times New Roman" w:cs="Times New Roman"/>
          <w:color w:val="auto"/>
          <w:sz w:val="24"/>
          <w:szCs w:val="24"/>
          <w:lang w:val="en-US" w:eastAsia="zh-CN"/>
        </w:rPr>
        <w:t>投标</w:t>
      </w:r>
      <w:r>
        <w:rPr>
          <w:rFonts w:hint="default" w:ascii="Times New Roman" w:hAnsi="Times New Roman" w:cs="Times New Roman"/>
          <w:color w:val="auto"/>
          <w:sz w:val="24"/>
          <w:szCs w:val="24"/>
        </w:rPr>
        <w:t>文件中提供</w:t>
      </w:r>
      <w:r>
        <w:rPr>
          <w:rFonts w:hint="eastAsia"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参加采购活动前三年内无重大违法记录的书面声明（详见格式）；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w:t>
      </w:r>
      <w:r>
        <w:rPr>
          <w:rFonts w:hint="default" w:ascii="Times New Roman" w:hAnsi="Times New Roman" w:cs="Times New Roman"/>
          <w:color w:val="auto"/>
          <w:sz w:val="24"/>
          <w:szCs w:val="24"/>
          <w:lang w:val="en-US" w:eastAsia="zh-CN"/>
        </w:rPr>
        <w:t>投标</w:t>
      </w:r>
      <w:r>
        <w:rPr>
          <w:rFonts w:hint="default" w:ascii="Times New Roman" w:hAnsi="Times New Roman" w:cs="Times New Roman"/>
          <w:color w:val="auto"/>
          <w:sz w:val="24"/>
          <w:szCs w:val="24"/>
        </w:rPr>
        <w:t>文件中提供具备良好的商业信誉和健全的财务会计制度的承诺（详见格式）；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w:t>
      </w:r>
      <w:r>
        <w:rPr>
          <w:rFonts w:hint="default" w:ascii="Times New Roman" w:hAnsi="Times New Roman" w:cs="Times New Roman"/>
          <w:color w:val="auto"/>
          <w:sz w:val="24"/>
          <w:szCs w:val="24"/>
          <w:lang w:val="en-US" w:eastAsia="zh-CN"/>
        </w:rPr>
        <w:t>投标</w:t>
      </w:r>
      <w:r>
        <w:rPr>
          <w:rFonts w:hint="default" w:ascii="Times New Roman" w:hAnsi="Times New Roman" w:cs="Times New Roman"/>
          <w:color w:val="auto"/>
          <w:sz w:val="24"/>
          <w:szCs w:val="24"/>
        </w:rPr>
        <w:t>文件中提供具备履行合同所必需的设备和专业技术能力的承诺（详见格式）；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w:t>
      </w:r>
      <w:r>
        <w:rPr>
          <w:rFonts w:hint="default" w:ascii="Times New Roman" w:hAnsi="Times New Roman" w:cs="Times New Roman"/>
          <w:color w:val="auto"/>
          <w:sz w:val="24"/>
          <w:szCs w:val="24"/>
          <w:lang w:val="en-US" w:eastAsia="zh-CN"/>
        </w:rPr>
        <w:t>投标</w:t>
      </w:r>
      <w:r>
        <w:rPr>
          <w:rFonts w:hint="default" w:ascii="Times New Roman" w:hAnsi="Times New Roman" w:cs="Times New Roman"/>
          <w:color w:val="auto"/>
          <w:sz w:val="24"/>
          <w:szCs w:val="24"/>
        </w:rPr>
        <w:t>文件中提供具有能够证明缴纳税收的相关证明材料；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auto"/>
          <w:sz w:val="24"/>
          <w:szCs w:val="24"/>
        </w:rPr>
      </w:pPr>
      <w:r>
        <w:rPr>
          <w:rFonts w:hint="default" w:ascii="Times New Roman" w:hAnsi="Times New Roman" w:cs="Times New Roman"/>
          <w:color w:val="auto"/>
          <w:sz w:val="24"/>
          <w:szCs w:val="24"/>
        </w:rPr>
        <w:t>7.</w:t>
      </w:r>
      <w:r>
        <w:rPr>
          <w:rFonts w:hint="default" w:ascii="Times New Roman" w:hAnsi="Times New Roman" w:cs="Times New Roman"/>
          <w:color w:val="auto"/>
          <w:sz w:val="24"/>
          <w:szCs w:val="24"/>
          <w:lang w:val="en-US" w:eastAsia="zh-CN"/>
        </w:rPr>
        <w:t>投标</w:t>
      </w:r>
      <w:r>
        <w:rPr>
          <w:rFonts w:hint="default" w:ascii="Times New Roman" w:hAnsi="Times New Roman" w:cs="Times New Roman"/>
          <w:color w:val="auto"/>
          <w:sz w:val="24"/>
          <w:szCs w:val="24"/>
        </w:rPr>
        <w:t>文件中提供</w:t>
      </w:r>
      <w:r>
        <w:rPr>
          <w:rFonts w:hint="eastAsia" w:ascii="Times New Roman" w:hAnsi="Times New Roman" w:cs="Times New Roman"/>
          <w:color w:val="auto"/>
          <w:sz w:val="24"/>
          <w:szCs w:val="24"/>
          <w:lang w:eastAsia="zh-CN"/>
        </w:rPr>
        <w:t>投标人</w:t>
      </w:r>
      <w:r>
        <w:rPr>
          <w:rFonts w:hint="default" w:ascii="Times New Roman" w:hAnsi="Times New Roman" w:cs="Times New Roman"/>
          <w:color w:val="auto"/>
          <w:sz w:val="24"/>
          <w:szCs w:val="24"/>
        </w:rPr>
        <w:t>及其法定代表人、委托代理人无行贿犯罪记录承诺书（详见格式）；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8.不得被列入失信被执行人、重大税收违法失信主体、政府采购严重违法失信行为记录名单（以采购人、采购代理机构在</w:t>
      </w:r>
      <w:r>
        <w:rPr>
          <w:rFonts w:hint="eastAsia" w:ascii="Times New Roman" w:hAnsi="Times New Roman" w:eastAsia="宋体" w:cs="Times New Roman"/>
          <w:color w:val="auto"/>
          <w:sz w:val="24"/>
          <w:szCs w:val="24"/>
          <w:lang w:eastAsia="zh-CN"/>
        </w:rPr>
        <w:t>投标</w:t>
      </w:r>
      <w:r>
        <w:rPr>
          <w:rFonts w:hint="default" w:ascii="Times New Roman" w:hAnsi="Times New Roman" w:eastAsia="宋体" w:cs="Times New Roman"/>
          <w:color w:val="auto"/>
          <w:sz w:val="24"/>
          <w:szCs w:val="24"/>
        </w:rPr>
        <w:t>文件提交截止时间当日的查询结果为准，该条资料</w:t>
      </w:r>
      <w:r>
        <w:rPr>
          <w:rFonts w:hint="eastAsia" w:ascii="Times New Roman" w:hAnsi="Times New Roman" w:eastAsia="宋体" w:cs="Times New Roman"/>
          <w:color w:val="auto"/>
          <w:sz w:val="24"/>
          <w:szCs w:val="24"/>
          <w:lang w:eastAsia="zh-CN"/>
        </w:rPr>
        <w:t>投标</w:t>
      </w:r>
      <w:r>
        <w:rPr>
          <w:rFonts w:hint="default" w:ascii="Times New Roman" w:hAnsi="Times New Roman" w:eastAsia="宋体" w:cs="Times New Roman"/>
          <w:color w:val="auto"/>
          <w:sz w:val="24"/>
          <w:szCs w:val="24"/>
        </w:rPr>
        <w:t>文件中无需提供）；</w:t>
      </w:r>
    </w:p>
    <w:p>
      <w:pPr>
        <w:rPr>
          <w:rFonts w:hint="default" w:ascii="Times New Roman" w:hAnsi="Times New Roman" w:cs="Times New Roman"/>
          <w:b/>
          <w:color w:val="auto"/>
          <w:kern w:val="2"/>
          <w:sz w:val="32"/>
          <w:szCs w:val="32"/>
        </w:rPr>
      </w:pPr>
      <w:r>
        <w:rPr>
          <w:rFonts w:hint="default" w:ascii="Times New Roman" w:hAnsi="Times New Roman" w:cs="Times New Roman"/>
          <w:b/>
          <w:color w:val="auto"/>
          <w:kern w:val="2"/>
          <w:sz w:val="32"/>
          <w:szCs w:val="32"/>
        </w:rPr>
        <w:br w:type="page"/>
      </w:r>
    </w:p>
    <w:p>
      <w:pPr>
        <w:spacing w:line="360" w:lineRule="auto"/>
        <w:jc w:val="center"/>
        <w:rPr>
          <w:rFonts w:hint="default" w:ascii="Times New Roman" w:hAnsi="Times New Roman" w:cs="Times New Roman"/>
          <w:b/>
          <w:color w:val="auto"/>
          <w:sz w:val="28"/>
        </w:rPr>
        <w:sectPr>
          <w:footerReference r:id="rId5" w:type="default"/>
          <w:pgSz w:w="11906" w:h="16838"/>
          <w:pgMar w:top="1440" w:right="1134" w:bottom="1440" w:left="1474" w:header="851" w:footer="992" w:gutter="0"/>
          <w:pgNumType w:start="1"/>
          <w:cols w:space="720" w:num="1"/>
          <w:docGrid w:type="lines" w:linePitch="312" w:charSpace="0"/>
        </w:sectPr>
      </w:pPr>
      <w:r>
        <w:rPr>
          <w:rFonts w:hint="default" w:ascii="Times New Roman" w:hAnsi="Times New Roman" w:cs="Times New Roman"/>
          <w:b/>
          <w:color w:val="auto"/>
          <w:sz w:val="28"/>
        </w:rPr>
        <w:t>有效的</w:t>
      </w:r>
      <w:r>
        <w:rPr>
          <w:rFonts w:hint="eastAsia" w:ascii="Times New Roman" w:hAnsi="Times New Roman" w:cs="Times New Roman"/>
          <w:b/>
          <w:color w:val="auto"/>
          <w:sz w:val="28"/>
          <w:lang w:eastAsia="zh-CN"/>
        </w:rPr>
        <w:t>“</w:t>
      </w:r>
      <w:r>
        <w:rPr>
          <w:rFonts w:hint="eastAsia" w:ascii="Times New Roman" w:hAnsi="Times New Roman" w:cs="Times New Roman"/>
          <w:b/>
          <w:color w:val="auto"/>
          <w:sz w:val="28"/>
          <w:lang w:val="en-US" w:eastAsia="zh-CN"/>
        </w:rPr>
        <w:t>设立登记证书”</w:t>
      </w:r>
      <w:r>
        <w:rPr>
          <w:rFonts w:hint="default" w:ascii="Times New Roman" w:hAnsi="Times New Roman" w:cs="Times New Roman"/>
          <w:b/>
          <w:color w:val="auto"/>
          <w:sz w:val="28"/>
        </w:rPr>
        <w:t>复印件或扫描件</w:t>
      </w:r>
    </w:p>
    <w:p>
      <w:pPr>
        <w:spacing w:line="360" w:lineRule="auto"/>
        <w:jc w:val="center"/>
        <w:rPr>
          <w:rFonts w:hint="default" w:ascii="Times New Roman" w:hAnsi="Times New Roman" w:cs="Times New Roman"/>
          <w:b/>
          <w:color w:val="auto"/>
          <w:sz w:val="28"/>
        </w:rPr>
        <w:sectPr>
          <w:pgSz w:w="11906" w:h="16838"/>
          <w:pgMar w:top="1440" w:right="1134" w:bottom="1440" w:left="1474" w:header="851" w:footer="992" w:gutter="0"/>
          <w:cols w:space="720" w:num="1"/>
          <w:titlePg/>
          <w:docGrid w:type="lines" w:linePitch="312" w:charSpace="0"/>
        </w:sectPr>
      </w:pPr>
      <w:r>
        <w:rPr>
          <w:rFonts w:hint="default" w:ascii="Times New Roman" w:hAnsi="Times New Roman" w:cs="Times New Roman"/>
          <w:b/>
          <w:color w:val="auto"/>
          <w:sz w:val="28"/>
        </w:rPr>
        <w:t>依法缴纳社会保险的证明</w:t>
      </w:r>
    </w:p>
    <w:p>
      <w:pPr>
        <w:spacing w:line="360" w:lineRule="auto"/>
        <w:jc w:val="center"/>
        <w:rPr>
          <w:rFonts w:hint="default" w:ascii="Times New Roman" w:hAnsi="Times New Roman" w:cs="Times New Roman"/>
          <w:b/>
          <w:color w:val="auto"/>
          <w:sz w:val="28"/>
          <w:szCs w:val="28"/>
        </w:rPr>
      </w:pPr>
      <w:r>
        <w:rPr>
          <w:rFonts w:hint="eastAsia" w:ascii="Times New Roman" w:hAnsi="Times New Roman" w:cs="Times New Roman"/>
          <w:b/>
          <w:color w:val="auto"/>
          <w:sz w:val="28"/>
          <w:szCs w:val="28"/>
          <w:lang w:eastAsia="zh-CN"/>
        </w:rPr>
        <w:t>投标人</w:t>
      </w:r>
      <w:r>
        <w:rPr>
          <w:rFonts w:hint="default" w:ascii="Times New Roman" w:hAnsi="Times New Roman" w:cs="Times New Roman"/>
          <w:b/>
          <w:color w:val="auto"/>
          <w:sz w:val="28"/>
          <w:szCs w:val="28"/>
        </w:rPr>
        <w:t>参加采购活动前三年内无重大违法记录的书面声明</w:t>
      </w:r>
    </w:p>
    <w:p>
      <w:pPr>
        <w:spacing w:before="156" w:beforeLines="50" w:after="156" w:afterLines="50" w:line="480" w:lineRule="auto"/>
        <w:rPr>
          <w:rFonts w:hint="default" w:ascii="Times New Roman" w:hAnsi="Times New Roman" w:cs="Times New Roman"/>
          <w:color w:val="auto"/>
          <w:szCs w:val="21"/>
        </w:rPr>
      </w:pPr>
      <w:r>
        <w:rPr>
          <w:rFonts w:hint="default" w:ascii="Times New Roman" w:hAnsi="Times New Roman" w:cs="Times New Roman"/>
          <w:color w:val="auto"/>
          <w:szCs w:val="21"/>
        </w:rPr>
        <w:t>致：（采购人）</w:t>
      </w:r>
    </w:p>
    <w:p>
      <w:pPr>
        <w:spacing w:before="156" w:beforeLines="50" w:after="156" w:afterLines="50" w:line="480" w:lineRule="auto"/>
        <w:ind w:firstLine="480" w:firstLineChars="200"/>
        <w:rPr>
          <w:rFonts w:hint="default" w:ascii="Times New Roman" w:hAnsi="Times New Roman" w:cs="Times New Roman"/>
          <w:color w:val="auto"/>
          <w:szCs w:val="21"/>
        </w:rPr>
      </w:pPr>
      <w:r>
        <w:rPr>
          <w:rFonts w:hint="default" w:ascii="Times New Roman" w:hAnsi="Times New Roman" w:cs="Times New Roman"/>
          <w:color w:val="auto"/>
          <w:szCs w:val="21"/>
        </w:rPr>
        <w:t>我公司近三年内在经营活动中没有重大违法记录。若发现我公司近三年内在经营活动中有重大违法行为记录，我公司磋商无效，并承担由此造成的一切后果。</w:t>
      </w:r>
    </w:p>
    <w:p>
      <w:pPr>
        <w:spacing w:before="156" w:beforeLines="50" w:after="156" w:afterLines="50" w:line="480" w:lineRule="auto"/>
        <w:ind w:firstLine="480" w:firstLineChars="200"/>
        <w:rPr>
          <w:rFonts w:hint="default" w:ascii="Times New Roman" w:hAnsi="Times New Roman" w:cs="Times New Roman"/>
          <w:color w:val="auto"/>
          <w:szCs w:val="21"/>
        </w:rPr>
      </w:pPr>
      <w:r>
        <w:rPr>
          <w:rFonts w:hint="default" w:ascii="Times New Roman" w:hAnsi="Times New Roman" w:cs="Times New Roman"/>
          <w:color w:val="auto"/>
          <w:szCs w:val="21"/>
        </w:rPr>
        <w:t>特此声明。</w:t>
      </w:r>
    </w:p>
    <w:p>
      <w:pPr>
        <w:spacing w:before="156" w:beforeLines="50" w:after="156" w:afterLines="50" w:line="480" w:lineRule="auto"/>
        <w:rPr>
          <w:rFonts w:hint="default" w:ascii="Times New Roman" w:hAnsi="Times New Roman" w:cs="Times New Roman"/>
          <w:color w:val="auto"/>
          <w:szCs w:val="21"/>
        </w:rPr>
      </w:pPr>
      <w:r>
        <w:rPr>
          <w:rFonts w:hint="default" w:ascii="Times New Roman" w:hAnsi="Times New Roman" w:cs="Times New Roman"/>
          <w:color w:val="auto"/>
          <w:szCs w:val="21"/>
        </w:rPr>
        <w:t xml:space="preserve">                                       </w:t>
      </w:r>
      <w:r>
        <w:rPr>
          <w:rFonts w:hint="eastAsia" w:ascii="Times New Roman" w:hAnsi="Times New Roman" w:cs="Times New Roman"/>
          <w:color w:val="auto"/>
          <w:szCs w:val="21"/>
          <w:lang w:eastAsia="zh-CN"/>
        </w:rPr>
        <w:t>投标人</w:t>
      </w:r>
      <w:r>
        <w:rPr>
          <w:rFonts w:hint="default" w:ascii="Times New Roman" w:hAnsi="Times New Roman" w:cs="Times New Roman"/>
          <w:color w:val="auto"/>
          <w:szCs w:val="21"/>
        </w:rPr>
        <w:t>名称（全称并加盖公章）：</w:t>
      </w:r>
    </w:p>
    <w:p>
      <w:pPr>
        <w:spacing w:before="156" w:beforeLines="50" w:after="156" w:afterLines="50" w:line="480" w:lineRule="auto"/>
        <w:rPr>
          <w:rFonts w:hint="default" w:ascii="Times New Roman" w:hAnsi="Times New Roman" w:cs="Times New Roman"/>
          <w:color w:val="auto"/>
          <w:szCs w:val="21"/>
        </w:rPr>
      </w:pPr>
      <w:r>
        <w:rPr>
          <w:rFonts w:hint="default" w:ascii="Times New Roman" w:hAnsi="Times New Roman" w:cs="Times New Roman"/>
          <w:color w:val="auto"/>
          <w:szCs w:val="21"/>
        </w:rPr>
        <w:t xml:space="preserve">                                        法定代表人或其委托代理人（签字）：</w:t>
      </w:r>
    </w:p>
    <w:p>
      <w:pPr>
        <w:spacing w:before="156" w:beforeLines="50" w:after="156" w:afterLines="50" w:line="480" w:lineRule="auto"/>
        <w:rPr>
          <w:rFonts w:hint="default" w:ascii="Times New Roman" w:hAnsi="Times New Roman" w:cs="Times New Roman"/>
          <w:color w:val="auto"/>
          <w:szCs w:val="21"/>
        </w:rPr>
      </w:pPr>
      <w:r>
        <w:rPr>
          <w:rFonts w:hint="default" w:ascii="Times New Roman" w:hAnsi="Times New Roman" w:cs="Times New Roman"/>
          <w:color w:val="auto"/>
          <w:szCs w:val="21"/>
        </w:rPr>
        <w:t xml:space="preserve">                                             时间：     年   月   日 </w:t>
      </w:r>
    </w:p>
    <w:p>
      <w:pPr>
        <w:spacing w:line="360" w:lineRule="auto"/>
        <w:jc w:val="right"/>
        <w:rPr>
          <w:rFonts w:hint="default" w:ascii="Times New Roman" w:hAnsi="Times New Roman" w:cs="Times New Roman"/>
          <w:color w:val="auto"/>
          <w:szCs w:val="21"/>
        </w:rPr>
      </w:pPr>
    </w:p>
    <w:p>
      <w:pPr>
        <w:tabs>
          <w:tab w:val="left" w:pos="2568"/>
          <w:tab w:val="center" w:pos="4649"/>
        </w:tabs>
        <w:jc w:val="left"/>
        <w:rPr>
          <w:rFonts w:hint="default" w:ascii="Times New Roman" w:hAnsi="Times New Roman" w:cs="Times New Roman"/>
          <w:b/>
          <w:color w:val="auto"/>
          <w:sz w:val="28"/>
        </w:rPr>
      </w:pPr>
      <w:r>
        <w:rPr>
          <w:rFonts w:hint="default" w:ascii="Times New Roman" w:hAnsi="Times New Roman" w:cs="Times New Roman"/>
          <w:b/>
          <w:bCs/>
          <w:color w:val="auto"/>
          <w:szCs w:val="21"/>
        </w:rPr>
        <w:t>注：如有请将以上相关资料附后。</w:t>
      </w:r>
      <w:r>
        <w:rPr>
          <w:rFonts w:hint="default" w:ascii="Times New Roman" w:hAnsi="Times New Roman" w:cs="Times New Roman"/>
          <w:b/>
          <w:color w:val="auto"/>
          <w:sz w:val="28"/>
        </w:rPr>
        <w:tab/>
      </w:r>
    </w:p>
    <w:p>
      <w:pPr>
        <w:pStyle w:val="22"/>
        <w:rPr>
          <w:rFonts w:hint="default" w:ascii="Times New Roman" w:hAnsi="Times New Roman" w:cs="Times New Roman"/>
          <w:color w:val="auto"/>
          <w:sz w:val="28"/>
          <w:szCs w:val="24"/>
        </w:rPr>
        <w:sectPr>
          <w:pgSz w:w="11906" w:h="16838"/>
          <w:pgMar w:top="1440" w:right="1134" w:bottom="1440" w:left="1474" w:header="851" w:footer="992" w:gutter="0"/>
          <w:cols w:space="720" w:num="1"/>
          <w:titlePg/>
          <w:docGrid w:type="lines" w:linePitch="312" w:charSpace="0"/>
        </w:sectPr>
      </w:pPr>
    </w:p>
    <w:p>
      <w:pPr>
        <w:spacing w:line="360" w:lineRule="auto"/>
        <w:jc w:val="center"/>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具有良好的商业信誉和健全的财务会计制度的承诺</w:t>
      </w:r>
    </w:p>
    <w:p>
      <w:pPr>
        <w:pStyle w:val="22"/>
        <w:rPr>
          <w:rFonts w:hint="default" w:ascii="Times New Roman" w:hAnsi="Times New Roman" w:cs="Times New Roman"/>
          <w:color w:val="auto"/>
          <w:sz w:val="28"/>
          <w:szCs w:val="24"/>
        </w:rPr>
      </w:pPr>
    </w:p>
    <w:p>
      <w:pPr>
        <w:pStyle w:val="19"/>
        <w:ind w:right="560"/>
        <w:rPr>
          <w:rFonts w:hint="default" w:ascii="Times New Roman" w:hAnsi="Times New Roman" w:cs="Times New Roman"/>
          <w:color w:val="auto"/>
          <w:kern w:val="2"/>
          <w:sz w:val="21"/>
          <w:szCs w:val="21"/>
        </w:rPr>
      </w:pPr>
      <w:r>
        <w:rPr>
          <w:rFonts w:hint="default" w:ascii="Times New Roman" w:hAnsi="Times New Roman" w:cs="Times New Roman"/>
          <w:color w:val="auto"/>
          <w:kern w:val="2"/>
          <w:sz w:val="21"/>
          <w:szCs w:val="21"/>
        </w:rPr>
        <w:t>本</w:t>
      </w:r>
      <w:r>
        <w:rPr>
          <w:rFonts w:hint="eastAsia" w:ascii="Times New Roman" w:hAnsi="Times New Roman" w:cs="Times New Roman"/>
          <w:color w:val="auto"/>
          <w:kern w:val="2"/>
          <w:sz w:val="21"/>
          <w:szCs w:val="21"/>
          <w:lang w:eastAsia="zh-CN"/>
        </w:rPr>
        <w:t>投标人</w:t>
      </w:r>
      <w:r>
        <w:rPr>
          <w:rFonts w:hint="default" w:ascii="Times New Roman" w:hAnsi="Times New Roman" w:cs="Times New Roman"/>
          <w:color w:val="auto"/>
          <w:kern w:val="2"/>
          <w:sz w:val="21"/>
          <w:szCs w:val="21"/>
        </w:rPr>
        <w:t>郑重声明：</w:t>
      </w:r>
    </w:p>
    <w:p>
      <w:pPr>
        <w:pStyle w:val="19"/>
        <w:ind w:right="560" w:firstLine="405"/>
        <w:rPr>
          <w:rFonts w:hint="default" w:ascii="Times New Roman" w:hAnsi="Times New Roman" w:cs="Times New Roman"/>
          <w:color w:val="auto"/>
          <w:kern w:val="2"/>
          <w:sz w:val="21"/>
          <w:szCs w:val="21"/>
        </w:rPr>
      </w:pPr>
      <w:r>
        <w:rPr>
          <w:rFonts w:hint="default" w:ascii="Times New Roman" w:hAnsi="Times New Roman" w:cs="Times New Roman"/>
          <w:color w:val="auto"/>
          <w:kern w:val="2"/>
          <w:sz w:val="21"/>
          <w:szCs w:val="21"/>
        </w:rPr>
        <w:t>本公司（或单位）具备良好的商业信誉和健全的财务会计制度，特此承诺。</w:t>
      </w:r>
    </w:p>
    <w:p>
      <w:pPr>
        <w:spacing w:before="156" w:beforeLines="50" w:after="156" w:afterLines="50" w:line="480" w:lineRule="auto"/>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w:t>
      </w:r>
    </w:p>
    <w:p>
      <w:pPr>
        <w:spacing w:before="156" w:beforeLines="50" w:after="156" w:afterLines="50" w:line="480" w:lineRule="auto"/>
        <w:jc w:val="center"/>
        <w:rPr>
          <w:rFonts w:hint="default" w:ascii="Times New Roman" w:hAnsi="Times New Roman" w:cs="Times New Roman"/>
          <w:color w:val="auto"/>
          <w:szCs w:val="21"/>
        </w:rPr>
      </w:pPr>
    </w:p>
    <w:p>
      <w:pPr>
        <w:spacing w:before="156" w:beforeLines="50" w:after="156" w:afterLines="50" w:line="480" w:lineRule="auto"/>
        <w:jc w:val="center"/>
        <w:rPr>
          <w:rFonts w:hint="default" w:ascii="Times New Roman" w:hAnsi="Times New Roman" w:cs="Times New Roman"/>
          <w:color w:val="auto"/>
          <w:szCs w:val="21"/>
        </w:rPr>
      </w:pPr>
    </w:p>
    <w:p>
      <w:pPr>
        <w:spacing w:before="156" w:beforeLines="50" w:after="156" w:afterLines="50" w:line="480" w:lineRule="auto"/>
        <w:rPr>
          <w:rFonts w:hint="default" w:ascii="Times New Roman" w:hAnsi="Times New Roman" w:cs="Times New Roman"/>
          <w:color w:val="auto"/>
          <w:szCs w:val="21"/>
        </w:rPr>
      </w:pPr>
      <w:r>
        <w:rPr>
          <w:rFonts w:hint="default" w:ascii="Times New Roman" w:hAnsi="Times New Roman" w:cs="Times New Roman"/>
          <w:color w:val="auto"/>
          <w:szCs w:val="21"/>
        </w:rPr>
        <w:t xml:space="preserve">               </w:t>
      </w:r>
    </w:p>
    <w:p>
      <w:pPr>
        <w:spacing w:before="156" w:beforeLines="50" w:after="156" w:afterLines="50" w:line="480" w:lineRule="auto"/>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w:t>
      </w:r>
      <w:r>
        <w:rPr>
          <w:rFonts w:hint="eastAsia"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 xml:space="preserve">      </w:t>
      </w:r>
      <w:r>
        <w:rPr>
          <w:rFonts w:hint="eastAsia" w:ascii="Times New Roman" w:hAnsi="Times New Roman" w:cs="Times New Roman"/>
          <w:color w:val="auto"/>
          <w:szCs w:val="21"/>
          <w:lang w:eastAsia="zh-CN"/>
        </w:rPr>
        <w:t>投标人</w:t>
      </w:r>
      <w:r>
        <w:rPr>
          <w:rFonts w:hint="default" w:ascii="Times New Roman" w:hAnsi="Times New Roman" w:cs="Times New Roman"/>
          <w:color w:val="auto"/>
          <w:szCs w:val="21"/>
        </w:rPr>
        <w:t>名称（全称并加盖公章）：</w:t>
      </w:r>
    </w:p>
    <w:p>
      <w:pPr>
        <w:spacing w:before="156" w:beforeLines="50" w:after="156" w:afterLines="50" w:line="480" w:lineRule="auto"/>
        <w:rPr>
          <w:rFonts w:hint="default" w:ascii="Times New Roman" w:hAnsi="Times New Roman" w:cs="Times New Roman"/>
          <w:color w:val="auto"/>
          <w:szCs w:val="21"/>
        </w:rPr>
      </w:pPr>
      <w:r>
        <w:rPr>
          <w:rFonts w:hint="default" w:ascii="Times New Roman" w:hAnsi="Times New Roman" w:cs="Times New Roman"/>
          <w:color w:val="auto"/>
          <w:szCs w:val="21"/>
        </w:rPr>
        <w:t xml:space="preserve">                                 法定代表人或其委托代理人（签字）：</w:t>
      </w:r>
    </w:p>
    <w:p>
      <w:pPr>
        <w:spacing w:before="156" w:beforeLines="50" w:after="156" w:afterLines="50" w:line="480" w:lineRule="auto"/>
        <w:rPr>
          <w:rFonts w:hint="default" w:ascii="Times New Roman" w:hAnsi="Times New Roman" w:cs="Times New Roman"/>
          <w:color w:val="auto"/>
          <w:szCs w:val="21"/>
        </w:rPr>
      </w:pPr>
      <w:r>
        <w:rPr>
          <w:rFonts w:hint="default" w:ascii="Times New Roman" w:hAnsi="Times New Roman" w:cs="Times New Roman"/>
          <w:color w:val="auto"/>
          <w:szCs w:val="21"/>
        </w:rPr>
        <w:t xml:space="preserve">                                                     时   间：  年   月   日 </w:t>
      </w:r>
    </w:p>
    <w:p>
      <w:pPr>
        <w:rPr>
          <w:rFonts w:hint="default" w:ascii="Times New Roman" w:hAnsi="Times New Roman" w:cs="Times New Roman"/>
          <w:color w:val="auto"/>
          <w:sz w:val="28"/>
          <w:szCs w:val="24"/>
        </w:rPr>
        <w:sectPr>
          <w:pgSz w:w="11906" w:h="16838"/>
          <w:pgMar w:top="1440" w:right="1134" w:bottom="1440" w:left="1474" w:header="851" w:footer="992" w:gutter="0"/>
          <w:cols w:space="720" w:num="1"/>
          <w:titlePg/>
          <w:docGrid w:type="lines" w:linePitch="312" w:charSpace="0"/>
        </w:sectPr>
      </w:pPr>
    </w:p>
    <w:p>
      <w:pPr>
        <w:pStyle w:val="19"/>
        <w:ind w:right="560"/>
        <w:jc w:val="center"/>
        <w:rPr>
          <w:rFonts w:hint="default" w:ascii="Times New Roman" w:hAnsi="Times New Roman" w:cs="Times New Roman"/>
          <w:b/>
          <w:color w:val="auto"/>
          <w:kern w:val="44"/>
          <w:sz w:val="28"/>
          <w:szCs w:val="28"/>
        </w:rPr>
      </w:pPr>
      <w:r>
        <w:rPr>
          <w:rFonts w:hint="default" w:ascii="Times New Roman" w:hAnsi="Times New Roman" w:cs="Times New Roman"/>
          <w:b/>
          <w:color w:val="auto"/>
          <w:kern w:val="44"/>
          <w:sz w:val="28"/>
          <w:szCs w:val="28"/>
        </w:rPr>
        <w:t>具备履行合同所必需的设备和专业技术能力的承诺</w:t>
      </w:r>
    </w:p>
    <w:p>
      <w:pPr>
        <w:pStyle w:val="19"/>
        <w:ind w:right="560"/>
        <w:rPr>
          <w:rFonts w:hint="default" w:ascii="Times New Roman" w:hAnsi="Times New Roman" w:cs="Times New Roman"/>
          <w:color w:val="auto"/>
          <w:kern w:val="2"/>
          <w:sz w:val="21"/>
          <w:szCs w:val="21"/>
        </w:rPr>
      </w:pPr>
      <w:r>
        <w:rPr>
          <w:rFonts w:hint="default" w:ascii="Times New Roman" w:hAnsi="Times New Roman" w:cs="Times New Roman"/>
          <w:color w:val="auto"/>
          <w:kern w:val="2"/>
          <w:sz w:val="21"/>
          <w:szCs w:val="21"/>
        </w:rPr>
        <w:t>本</w:t>
      </w:r>
      <w:r>
        <w:rPr>
          <w:rFonts w:hint="eastAsia" w:ascii="Times New Roman" w:hAnsi="Times New Roman" w:cs="Times New Roman"/>
          <w:color w:val="auto"/>
          <w:kern w:val="2"/>
          <w:sz w:val="21"/>
          <w:szCs w:val="21"/>
          <w:lang w:eastAsia="zh-CN"/>
        </w:rPr>
        <w:t>投标人</w:t>
      </w:r>
      <w:r>
        <w:rPr>
          <w:rFonts w:hint="default" w:ascii="Times New Roman" w:hAnsi="Times New Roman" w:cs="Times New Roman"/>
          <w:color w:val="auto"/>
          <w:kern w:val="2"/>
          <w:sz w:val="21"/>
          <w:szCs w:val="21"/>
        </w:rPr>
        <w:t>郑重声明：</w:t>
      </w:r>
    </w:p>
    <w:p>
      <w:pPr>
        <w:pStyle w:val="19"/>
        <w:ind w:right="560" w:firstLine="405"/>
        <w:rPr>
          <w:rFonts w:hint="default" w:ascii="Times New Roman" w:hAnsi="Times New Roman" w:cs="Times New Roman"/>
          <w:color w:val="auto"/>
          <w:kern w:val="2"/>
          <w:sz w:val="21"/>
          <w:szCs w:val="21"/>
        </w:rPr>
      </w:pPr>
      <w:r>
        <w:rPr>
          <w:rFonts w:hint="default" w:ascii="Times New Roman" w:hAnsi="Times New Roman" w:cs="Times New Roman"/>
          <w:color w:val="auto"/>
          <w:kern w:val="2"/>
          <w:sz w:val="21"/>
          <w:szCs w:val="21"/>
        </w:rPr>
        <w:t>本公司（或单位）具备本项目履行合同所必须的设备和专业技术能力，特此承诺。</w:t>
      </w:r>
    </w:p>
    <w:p>
      <w:pPr>
        <w:spacing w:before="156" w:beforeLines="50" w:after="156" w:afterLines="50" w:line="480" w:lineRule="auto"/>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w:t>
      </w:r>
    </w:p>
    <w:p>
      <w:pPr>
        <w:spacing w:before="156" w:beforeLines="50" w:after="156" w:afterLines="50" w:line="480" w:lineRule="auto"/>
        <w:jc w:val="center"/>
        <w:rPr>
          <w:rFonts w:hint="default" w:ascii="Times New Roman" w:hAnsi="Times New Roman" w:cs="Times New Roman"/>
          <w:color w:val="auto"/>
          <w:szCs w:val="21"/>
        </w:rPr>
      </w:pPr>
    </w:p>
    <w:p>
      <w:pPr>
        <w:spacing w:before="156" w:beforeLines="50" w:after="156" w:afterLines="50" w:line="480" w:lineRule="auto"/>
        <w:rPr>
          <w:rFonts w:hint="default" w:ascii="Times New Roman" w:hAnsi="Times New Roman" w:cs="Times New Roman"/>
          <w:color w:val="auto"/>
          <w:szCs w:val="21"/>
        </w:rPr>
      </w:pPr>
      <w:r>
        <w:rPr>
          <w:rFonts w:hint="default" w:ascii="Times New Roman" w:hAnsi="Times New Roman" w:cs="Times New Roman"/>
          <w:color w:val="auto"/>
          <w:szCs w:val="21"/>
        </w:rPr>
        <w:t xml:space="preserve">      </w:t>
      </w:r>
    </w:p>
    <w:p>
      <w:pPr>
        <w:spacing w:before="156" w:beforeLines="50" w:after="156" w:afterLines="50" w:line="480" w:lineRule="auto"/>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w:t>
      </w:r>
      <w:r>
        <w:rPr>
          <w:rFonts w:hint="eastAsia"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 xml:space="preserve">    </w:t>
      </w:r>
      <w:r>
        <w:rPr>
          <w:rFonts w:hint="eastAsia" w:ascii="Times New Roman" w:hAnsi="Times New Roman" w:cs="Times New Roman"/>
          <w:color w:val="auto"/>
          <w:szCs w:val="21"/>
          <w:lang w:eastAsia="zh-CN"/>
        </w:rPr>
        <w:t>投标人</w:t>
      </w:r>
      <w:r>
        <w:rPr>
          <w:rFonts w:hint="default" w:ascii="Times New Roman" w:hAnsi="Times New Roman" w:cs="Times New Roman"/>
          <w:color w:val="auto"/>
          <w:szCs w:val="21"/>
        </w:rPr>
        <w:t>名称（全称并加盖公章）：</w:t>
      </w:r>
    </w:p>
    <w:p>
      <w:pPr>
        <w:spacing w:before="156" w:beforeLines="50" w:after="156" w:afterLines="50" w:line="480" w:lineRule="auto"/>
        <w:rPr>
          <w:rFonts w:hint="default" w:ascii="Times New Roman" w:hAnsi="Times New Roman" w:cs="Times New Roman"/>
          <w:color w:val="auto"/>
          <w:szCs w:val="21"/>
        </w:rPr>
      </w:pPr>
      <w:r>
        <w:rPr>
          <w:rFonts w:hint="default" w:ascii="Times New Roman" w:hAnsi="Times New Roman" w:cs="Times New Roman"/>
          <w:color w:val="auto"/>
          <w:szCs w:val="21"/>
        </w:rPr>
        <w:t xml:space="preserve">                                 法定代表人或其委托代理人（签字）：</w:t>
      </w:r>
    </w:p>
    <w:p>
      <w:pPr>
        <w:pStyle w:val="19"/>
        <w:ind w:right="56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时   间：  年   月   日</w:t>
      </w:r>
    </w:p>
    <w:p>
      <w:pPr>
        <w:tabs>
          <w:tab w:val="left" w:pos="4056"/>
        </w:tabs>
        <w:rPr>
          <w:rFonts w:hint="default" w:ascii="Times New Roman" w:hAnsi="Times New Roman" w:cs="Times New Roman"/>
          <w:color w:val="auto"/>
          <w:sz w:val="28"/>
          <w:szCs w:val="24"/>
        </w:rPr>
        <w:sectPr>
          <w:pgSz w:w="11906" w:h="16838"/>
          <w:pgMar w:top="1440" w:right="1134" w:bottom="1440" w:left="1474" w:header="851" w:footer="992" w:gutter="0"/>
          <w:cols w:space="720" w:num="1"/>
          <w:titlePg/>
          <w:docGrid w:type="lines" w:linePitch="312" w:charSpace="0"/>
        </w:sectPr>
      </w:pPr>
    </w:p>
    <w:p>
      <w:pPr>
        <w:tabs>
          <w:tab w:val="center" w:pos="4649"/>
        </w:tabs>
        <w:jc w:val="center"/>
        <w:rPr>
          <w:rFonts w:hint="default" w:ascii="Times New Roman" w:hAnsi="Times New Roman" w:cs="Times New Roman"/>
          <w:b/>
          <w:color w:val="auto"/>
          <w:sz w:val="28"/>
        </w:rPr>
      </w:pPr>
      <w:r>
        <w:rPr>
          <w:rFonts w:hint="default" w:ascii="Times New Roman" w:hAnsi="Times New Roman" w:cs="Times New Roman"/>
          <w:b/>
          <w:color w:val="auto"/>
          <w:sz w:val="28"/>
        </w:rPr>
        <w:t>能够证明缴纳税收的相关</w:t>
      </w:r>
      <w:bookmarkStart w:id="65" w:name="_GoBack"/>
      <w:bookmarkEnd w:id="65"/>
      <w:r>
        <w:rPr>
          <w:rFonts w:hint="default" w:ascii="Times New Roman" w:hAnsi="Times New Roman" w:cs="Times New Roman"/>
          <w:b/>
          <w:color w:val="auto"/>
          <w:sz w:val="28"/>
        </w:rPr>
        <w:t>证明材料</w:t>
      </w:r>
    </w:p>
    <w:p>
      <w:pPr>
        <w:rPr>
          <w:rFonts w:hint="default" w:ascii="Times New Roman" w:hAnsi="Times New Roman" w:cs="Times New Roman"/>
          <w:color w:val="auto"/>
          <w:sz w:val="28"/>
        </w:rPr>
        <w:sectPr>
          <w:pgSz w:w="11906" w:h="16838"/>
          <w:pgMar w:top="1440" w:right="1134" w:bottom="1440" w:left="1474" w:header="851" w:footer="992" w:gutter="0"/>
          <w:cols w:space="720" w:num="1"/>
          <w:titlePg/>
          <w:docGrid w:type="lines" w:linePitch="312" w:charSpace="0"/>
        </w:sectPr>
      </w:pPr>
    </w:p>
    <w:p>
      <w:pPr>
        <w:jc w:val="center"/>
        <w:rPr>
          <w:rFonts w:hint="default" w:ascii="Times New Roman" w:hAnsi="Times New Roman" w:cs="Times New Roman"/>
          <w:b/>
          <w:color w:val="auto"/>
          <w:sz w:val="28"/>
        </w:rPr>
      </w:pPr>
      <w:r>
        <w:rPr>
          <w:rFonts w:hint="default" w:ascii="Times New Roman" w:hAnsi="Times New Roman" w:cs="Times New Roman"/>
          <w:b/>
          <w:color w:val="auto"/>
          <w:sz w:val="28"/>
        </w:rPr>
        <w:t>无行贿犯罪记录承诺书</w:t>
      </w:r>
    </w:p>
    <w:p>
      <w:pPr>
        <w:spacing w:after="312" w:afterLines="100" w:line="440" w:lineRule="exact"/>
        <w:rPr>
          <w:rFonts w:hint="default" w:ascii="Times New Roman" w:hAnsi="Times New Roman" w:cs="Times New Roman"/>
          <w:color w:val="auto"/>
          <w:position w:val="-7"/>
          <w:szCs w:val="21"/>
        </w:rPr>
      </w:pPr>
    </w:p>
    <w:p>
      <w:pPr>
        <w:spacing w:before="156" w:beforeLines="50" w:after="156" w:afterLines="50" w:line="480" w:lineRule="auto"/>
        <w:rPr>
          <w:rFonts w:hint="default" w:ascii="Times New Roman" w:hAnsi="Times New Roman" w:cs="Times New Roman"/>
          <w:color w:val="auto"/>
          <w:sz w:val="24"/>
        </w:rPr>
      </w:pPr>
      <w:r>
        <w:rPr>
          <w:rFonts w:hint="default" w:ascii="Times New Roman" w:hAnsi="Times New Roman" w:cs="Times New Roman"/>
          <w:color w:val="auto"/>
          <w:sz w:val="24"/>
        </w:rPr>
        <w:t>致：（采购人）</w:t>
      </w:r>
    </w:p>
    <w:p>
      <w:pPr>
        <w:spacing w:line="440" w:lineRule="exact"/>
        <w:ind w:firstLine="480" w:firstLineChars="200"/>
        <w:rPr>
          <w:rFonts w:hint="default" w:ascii="Times New Roman" w:hAnsi="Times New Roman" w:cs="Times New Roman"/>
          <w:color w:val="auto"/>
          <w:szCs w:val="21"/>
          <w:shd w:val="clear" w:color="auto" w:fill="FFFFFF"/>
        </w:rPr>
      </w:pPr>
      <w:r>
        <w:rPr>
          <w:rFonts w:hint="default" w:ascii="Times New Roman" w:hAnsi="Times New Roman" w:cs="Times New Roman"/>
          <w:color w:val="auto"/>
          <w:szCs w:val="21"/>
        </w:rPr>
        <w:t>我方在此声明，我方在</w:t>
      </w:r>
      <w:r>
        <w:rPr>
          <w:rFonts w:hint="default" w:ascii="Times New Roman" w:hAnsi="Times New Roman" w:cs="Times New Roman"/>
          <w:color w:val="auto"/>
          <w:szCs w:val="21"/>
          <w:u w:val="single"/>
        </w:rPr>
        <w:t xml:space="preserve">                  </w:t>
      </w:r>
      <w:r>
        <w:rPr>
          <w:rFonts w:hint="default" w:ascii="Times New Roman" w:hAnsi="Times New Roman" w:cs="Times New Roman"/>
          <w:color w:val="auto"/>
          <w:szCs w:val="21"/>
        </w:rPr>
        <w:t>（项目名称）采购过程中所涉及的</w:t>
      </w:r>
      <w:r>
        <w:rPr>
          <w:rFonts w:hint="default" w:ascii="Times New Roman" w:hAnsi="Times New Roman" w:cs="Times New Roman"/>
          <w:color w:val="auto"/>
          <w:szCs w:val="21"/>
          <w:shd w:val="clear" w:color="auto" w:fill="FFFFFF"/>
        </w:rPr>
        <w:t>包括法人、法定代表人、委托代理人均无行贿犯罪记录。</w:t>
      </w:r>
    </w:p>
    <w:p>
      <w:pPr>
        <w:spacing w:line="440" w:lineRule="exact"/>
        <w:ind w:firstLine="480" w:firstLineChars="200"/>
        <w:rPr>
          <w:rFonts w:hint="default" w:ascii="Times New Roman" w:hAnsi="Times New Roman" w:cs="Times New Roman"/>
          <w:color w:val="auto"/>
          <w:szCs w:val="21"/>
        </w:rPr>
      </w:pPr>
      <w:r>
        <w:rPr>
          <w:rFonts w:hint="default" w:ascii="Times New Roman" w:hAnsi="Times New Roman" w:cs="Times New Roman"/>
          <w:color w:val="auto"/>
          <w:szCs w:val="21"/>
        </w:rPr>
        <w:t>我方保证上述信息的真实和准确，并愿意承担因我方就此弄虚作假所引起的一切法律后果。</w:t>
      </w:r>
    </w:p>
    <w:p>
      <w:pPr>
        <w:spacing w:line="440" w:lineRule="exact"/>
        <w:ind w:firstLine="480" w:firstLineChars="200"/>
        <w:rPr>
          <w:rFonts w:hint="default" w:ascii="Times New Roman" w:hAnsi="Times New Roman" w:cs="Times New Roman"/>
          <w:color w:val="auto"/>
          <w:szCs w:val="21"/>
        </w:rPr>
      </w:pPr>
    </w:p>
    <w:p>
      <w:pPr>
        <w:spacing w:line="440" w:lineRule="exact"/>
        <w:ind w:firstLine="480" w:firstLineChars="200"/>
        <w:rPr>
          <w:rFonts w:hint="default" w:ascii="Times New Roman" w:hAnsi="Times New Roman" w:cs="Times New Roman"/>
          <w:color w:val="auto"/>
          <w:szCs w:val="21"/>
        </w:rPr>
      </w:pPr>
    </w:p>
    <w:p>
      <w:pPr>
        <w:spacing w:line="440" w:lineRule="exact"/>
        <w:ind w:firstLine="480" w:firstLineChars="200"/>
        <w:rPr>
          <w:rFonts w:hint="default" w:ascii="Times New Roman" w:hAnsi="Times New Roman" w:cs="Times New Roman"/>
          <w:color w:val="auto"/>
          <w:szCs w:val="21"/>
        </w:rPr>
      </w:pPr>
      <w:r>
        <w:rPr>
          <w:rFonts w:hint="default" w:ascii="Times New Roman" w:hAnsi="Times New Roman" w:cs="Times New Roman"/>
          <w:color w:val="auto"/>
          <w:szCs w:val="21"/>
        </w:rPr>
        <w:t>特此承诺</w:t>
      </w:r>
    </w:p>
    <w:p>
      <w:pPr>
        <w:spacing w:line="440" w:lineRule="exact"/>
        <w:ind w:firstLine="480" w:firstLineChars="200"/>
        <w:rPr>
          <w:rFonts w:hint="default" w:ascii="Times New Roman" w:hAnsi="Times New Roman" w:cs="Times New Roman"/>
          <w:color w:val="auto"/>
          <w:szCs w:val="21"/>
        </w:rPr>
      </w:pPr>
    </w:p>
    <w:p>
      <w:pPr>
        <w:jc w:val="left"/>
        <w:rPr>
          <w:rFonts w:hint="default" w:ascii="Times New Roman" w:hAnsi="Times New Roman" w:cs="Times New Roman"/>
          <w:color w:val="auto"/>
          <w:szCs w:val="21"/>
        </w:rPr>
      </w:pPr>
    </w:p>
    <w:p>
      <w:pPr>
        <w:jc w:val="left"/>
        <w:rPr>
          <w:rFonts w:hint="default" w:ascii="Times New Roman" w:hAnsi="Times New Roman" w:cs="Times New Roman"/>
          <w:color w:val="auto"/>
          <w:szCs w:val="21"/>
        </w:rPr>
      </w:pPr>
    </w:p>
    <w:p>
      <w:pPr>
        <w:jc w:val="left"/>
        <w:rPr>
          <w:rFonts w:hint="default" w:ascii="Times New Roman" w:hAnsi="Times New Roman" w:cs="Times New Roman"/>
          <w:color w:val="auto"/>
          <w:szCs w:val="21"/>
        </w:rPr>
      </w:pPr>
    </w:p>
    <w:p>
      <w:pPr>
        <w:jc w:val="left"/>
        <w:rPr>
          <w:rFonts w:hint="default" w:ascii="Times New Roman" w:hAnsi="Times New Roman" w:cs="Times New Roman"/>
          <w:color w:val="auto"/>
          <w:szCs w:val="21"/>
        </w:rPr>
      </w:pPr>
    </w:p>
    <w:p>
      <w:pPr>
        <w:spacing w:line="360" w:lineRule="auto"/>
        <w:rPr>
          <w:rFonts w:hint="default" w:ascii="Times New Roman" w:hAnsi="Times New Roman" w:cs="Times New Roman"/>
          <w:color w:val="auto"/>
          <w:sz w:val="24"/>
        </w:rPr>
      </w:pPr>
      <w:r>
        <w:rPr>
          <w:rFonts w:hint="default" w:ascii="Times New Roman" w:hAnsi="Times New Roman" w:cs="Times New Roman"/>
          <w:color w:val="auto"/>
          <w:sz w:val="24"/>
        </w:rPr>
        <w:t xml:space="preserve">                                </w:t>
      </w:r>
      <w:r>
        <w:rPr>
          <w:rFonts w:hint="eastAsia" w:ascii="Times New Roman" w:hAnsi="Times New Roman" w:cs="Times New Roman"/>
          <w:color w:val="auto"/>
          <w:sz w:val="24"/>
          <w:lang w:eastAsia="zh-CN"/>
        </w:rPr>
        <w:t>投标人</w:t>
      </w:r>
      <w:r>
        <w:rPr>
          <w:rFonts w:hint="default" w:ascii="Times New Roman" w:hAnsi="Times New Roman" w:cs="Times New Roman"/>
          <w:color w:val="auto"/>
          <w:sz w:val="24"/>
        </w:rPr>
        <w:t>名称（全称并加盖公章）：</w:t>
      </w:r>
    </w:p>
    <w:p>
      <w:pPr>
        <w:spacing w:line="360" w:lineRule="auto"/>
        <w:rPr>
          <w:rFonts w:hint="default" w:ascii="Times New Roman" w:hAnsi="Times New Roman" w:cs="Times New Roman"/>
          <w:color w:val="auto"/>
          <w:sz w:val="24"/>
        </w:rPr>
      </w:pPr>
      <w:r>
        <w:rPr>
          <w:rFonts w:hint="default" w:ascii="Times New Roman" w:hAnsi="Times New Roman" w:cs="Times New Roman"/>
          <w:color w:val="auto"/>
          <w:sz w:val="24"/>
        </w:rPr>
        <w:t xml:space="preserve">                                法定代表人或其委托代理人（签名或盖章）：</w:t>
      </w:r>
    </w:p>
    <w:p>
      <w:pPr>
        <w:spacing w:line="440" w:lineRule="exact"/>
        <w:jc w:val="right"/>
        <w:rPr>
          <w:rFonts w:hint="default" w:ascii="Times New Roman" w:hAnsi="Times New Roman" w:cs="Times New Roman"/>
          <w:color w:val="auto"/>
          <w:szCs w:val="21"/>
        </w:rPr>
      </w:pPr>
    </w:p>
    <w:p>
      <w:pPr>
        <w:spacing w:line="440" w:lineRule="exact"/>
        <w:jc w:val="right"/>
        <w:rPr>
          <w:rFonts w:hint="default" w:ascii="Times New Roman" w:hAnsi="Times New Roman" w:cs="Times New Roman"/>
          <w:color w:val="auto"/>
          <w:szCs w:val="21"/>
        </w:rPr>
      </w:pPr>
      <w:r>
        <w:rPr>
          <w:rFonts w:hint="default" w:ascii="Times New Roman" w:hAnsi="Times New Roman" w:cs="Times New Roman"/>
          <w:color w:val="auto"/>
          <w:szCs w:val="21"/>
          <w:u w:val="single"/>
        </w:rPr>
        <w:t xml:space="preserve">          </w:t>
      </w:r>
      <w:r>
        <w:rPr>
          <w:rFonts w:hint="default" w:ascii="Times New Roman" w:hAnsi="Times New Roman" w:cs="Times New Roman"/>
          <w:color w:val="auto"/>
          <w:szCs w:val="21"/>
        </w:rPr>
        <w:t>年</w:t>
      </w:r>
      <w:r>
        <w:rPr>
          <w:rFonts w:hint="default" w:ascii="Times New Roman" w:hAnsi="Times New Roman" w:cs="Times New Roman"/>
          <w:color w:val="auto"/>
          <w:szCs w:val="21"/>
          <w:u w:val="single"/>
        </w:rPr>
        <w:t xml:space="preserve">        </w:t>
      </w:r>
      <w:r>
        <w:rPr>
          <w:rFonts w:hint="default" w:ascii="Times New Roman" w:hAnsi="Times New Roman" w:cs="Times New Roman"/>
          <w:color w:val="auto"/>
          <w:szCs w:val="21"/>
        </w:rPr>
        <w:t>月</w:t>
      </w:r>
      <w:r>
        <w:rPr>
          <w:rFonts w:hint="default" w:ascii="Times New Roman" w:hAnsi="Times New Roman" w:cs="Times New Roman"/>
          <w:color w:val="auto"/>
          <w:szCs w:val="21"/>
          <w:u w:val="single"/>
        </w:rPr>
        <w:t xml:space="preserve">        </w:t>
      </w:r>
      <w:r>
        <w:rPr>
          <w:rFonts w:hint="default" w:ascii="Times New Roman" w:hAnsi="Times New Roman" w:cs="Times New Roman"/>
          <w:color w:val="auto"/>
          <w:szCs w:val="21"/>
        </w:rPr>
        <w:t>日</w:t>
      </w:r>
    </w:p>
    <w:p>
      <w:pPr>
        <w:rPr>
          <w:rFonts w:hint="default" w:ascii="Times New Roman" w:hAnsi="Times New Roman" w:cs="Times New Roman"/>
          <w:color w:val="auto"/>
          <w:sz w:val="28"/>
          <w:szCs w:val="24"/>
        </w:rPr>
        <w:sectPr>
          <w:pgSz w:w="11906" w:h="16838"/>
          <w:pgMar w:top="1440" w:right="1134" w:bottom="1440" w:left="1474" w:header="851" w:footer="992" w:gutter="0"/>
          <w:cols w:space="720" w:num="1"/>
          <w:titlePg/>
          <w:docGrid w:type="lines" w:linePitch="312" w:charSpace="0"/>
        </w:sectPr>
      </w:pPr>
    </w:p>
    <w:p>
      <w:pPr>
        <w:numPr>
          <w:ilvl w:val="0"/>
          <w:numId w:val="18"/>
        </w:numPr>
        <w:spacing w:line="360" w:lineRule="auto"/>
        <w:jc w:val="center"/>
        <w:rPr>
          <w:rFonts w:hint="eastAsia" w:ascii="Times New Roman" w:hAnsi="Times New Roman" w:cs="Times New Roman"/>
          <w:b/>
          <w:bCs/>
          <w:color w:val="auto"/>
          <w:sz w:val="32"/>
          <w:szCs w:val="32"/>
          <w:lang w:eastAsia="zh-CN"/>
        </w:rPr>
      </w:pPr>
      <w:r>
        <w:rPr>
          <w:rFonts w:hint="eastAsia" w:ascii="Times New Roman" w:hAnsi="Times New Roman" w:cs="Times New Roman"/>
          <w:b/>
          <w:bCs/>
          <w:color w:val="auto"/>
          <w:sz w:val="32"/>
          <w:szCs w:val="32"/>
          <w:lang w:eastAsia="zh-CN"/>
        </w:rPr>
        <w:t>实施方案</w:t>
      </w:r>
    </w:p>
    <w:p>
      <w:pPr>
        <w:spacing w:line="360" w:lineRule="auto"/>
        <w:ind w:firstLine="420" w:firstLineChars="200"/>
        <w:jc w:val="center"/>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eastAsia="zh-CN"/>
        </w:rPr>
        <w:t>（格式自拟）</w:t>
      </w:r>
    </w:p>
    <w:p>
      <w:pPr>
        <w:pStyle w:val="22"/>
        <w:rPr>
          <w:rFonts w:hint="eastAsia" w:ascii="Times New Roman" w:hAnsi="Times New Roman" w:cs="Times New Roman"/>
          <w:b/>
          <w:bCs/>
          <w:color w:val="auto"/>
          <w:sz w:val="32"/>
          <w:szCs w:val="32"/>
          <w:lang w:eastAsia="zh-CN"/>
        </w:rPr>
      </w:pPr>
    </w:p>
    <w:p>
      <w:pPr>
        <w:rPr>
          <w:rFonts w:hint="eastAsia" w:ascii="Times New Roman" w:hAnsi="Times New Roman" w:cs="Times New Roman"/>
          <w:b/>
          <w:bCs/>
          <w:color w:val="auto"/>
          <w:sz w:val="32"/>
          <w:szCs w:val="32"/>
          <w:lang w:eastAsia="zh-CN"/>
        </w:rPr>
      </w:pPr>
    </w:p>
    <w:p>
      <w:pPr>
        <w:rPr>
          <w:rFonts w:hint="eastAsia"/>
          <w:lang w:eastAsia="zh-CN"/>
        </w:rPr>
      </w:pPr>
      <w:r>
        <w:rPr>
          <w:rFonts w:hint="eastAsia"/>
          <w:lang w:eastAsia="zh-CN"/>
        </w:rPr>
        <w:br w:type="page"/>
      </w:r>
    </w:p>
    <w:p>
      <w:pPr>
        <w:rPr>
          <w:rFonts w:hint="eastAsia"/>
          <w:lang w:eastAsia="zh-CN"/>
        </w:rPr>
      </w:pPr>
    </w:p>
    <w:p>
      <w:pPr>
        <w:numPr>
          <w:ilvl w:val="0"/>
          <w:numId w:val="0"/>
        </w:numPr>
        <w:spacing w:line="360" w:lineRule="auto"/>
        <w:jc w:val="center"/>
        <w:rPr>
          <w:rFonts w:hint="default" w:ascii="Times New Roman" w:hAnsi="Times New Roman" w:cs="Times New Roman"/>
          <w:b/>
          <w:bCs/>
          <w:color w:val="auto"/>
          <w:sz w:val="32"/>
          <w:szCs w:val="32"/>
        </w:rPr>
      </w:pPr>
      <w:r>
        <w:rPr>
          <w:rFonts w:hint="eastAsia" w:ascii="Times New Roman" w:hAnsi="Times New Roman" w:cs="Times New Roman"/>
          <w:b/>
          <w:bCs/>
          <w:color w:val="auto"/>
          <w:sz w:val="32"/>
          <w:szCs w:val="32"/>
          <w:lang w:eastAsia="zh-CN"/>
        </w:rPr>
        <w:t>十一、</w:t>
      </w:r>
      <w:r>
        <w:rPr>
          <w:rFonts w:hint="default" w:ascii="Times New Roman" w:hAnsi="Times New Roman" w:cs="Times New Roman"/>
          <w:b/>
          <w:bCs/>
          <w:color w:val="auto"/>
          <w:sz w:val="32"/>
          <w:szCs w:val="32"/>
        </w:rPr>
        <w:t>法定代表人身份证明</w:t>
      </w:r>
    </w:p>
    <w:p>
      <w:pPr>
        <w:jc w:val="center"/>
        <w:rPr>
          <w:rFonts w:hint="default" w:ascii="Times New Roman" w:hAnsi="Times New Roman" w:cs="Times New Roman"/>
          <w:b/>
          <w:color w:val="auto"/>
        </w:rPr>
      </w:pPr>
    </w:p>
    <w:p>
      <w:pPr>
        <w:jc w:val="center"/>
        <w:rPr>
          <w:rFonts w:hint="default" w:ascii="Times New Roman" w:hAnsi="Times New Roman" w:cs="Times New Roman"/>
          <w:b/>
          <w:color w:val="auto"/>
        </w:rPr>
      </w:pP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投标人名称：</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 xml:space="preserve"> </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单位性质：</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 xml:space="preserve"> </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地    址：</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 xml:space="preserve"> </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成立时间：</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年</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月</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日</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经营期限：</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 xml:space="preserve"> </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姓    名：</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性别：</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年龄：</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职务：</w:t>
      </w:r>
      <w:r>
        <w:rPr>
          <w:rFonts w:hint="default" w:ascii="Times New Roman" w:hAnsi="Times New Roman" w:cs="Times New Roman"/>
          <w:color w:val="auto"/>
          <w:sz w:val="21"/>
          <w:szCs w:val="21"/>
          <w:u w:val="single"/>
        </w:rPr>
        <w:t xml:space="preserve">        </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系</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（投标人名称）营业执照注册号：</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的法定代表人。</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特此证明。</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附：联系地址：               </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联系电话：</w:t>
      </w:r>
    </w:p>
    <w:p>
      <w:pPr>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p>
    <w:p>
      <w:pPr>
        <w:spacing w:line="360" w:lineRule="auto"/>
        <w:ind w:firstLine="3360" w:firstLineChars="1600"/>
        <w:jc w:val="righ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投标人名称（全称并加盖公章）：</w:t>
      </w:r>
    </w:p>
    <w:p>
      <w:pPr>
        <w:spacing w:line="360" w:lineRule="auto"/>
        <w:ind w:firstLine="3360" w:firstLineChars="1600"/>
        <w:jc w:val="righ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p>
    <w:p>
      <w:pPr>
        <w:spacing w:line="360" w:lineRule="auto"/>
        <w:ind w:firstLine="4515" w:firstLineChars="2150"/>
        <w:jc w:val="righ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年   月   日</w:t>
      </w:r>
    </w:p>
    <w:p>
      <w:pPr>
        <w:pStyle w:val="27"/>
        <w:rPr>
          <w:rFonts w:hint="default" w:ascii="Times New Roman" w:hAnsi="Times New Roman" w:cs="Times New Roman"/>
          <w:color w:val="auto"/>
          <w:sz w:val="21"/>
          <w:szCs w:val="21"/>
        </w:rPr>
      </w:pPr>
    </w:p>
    <w:p>
      <w:pPr>
        <w:spacing w:line="360" w:lineRule="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注：附法定代表人身份证（正反两面）复印件。</w:t>
      </w:r>
    </w:p>
    <w:p>
      <w:pPr>
        <w:widowControl/>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br w:type="page"/>
      </w:r>
    </w:p>
    <w:p>
      <w:pPr>
        <w:spacing w:line="360" w:lineRule="auto"/>
        <w:ind w:firstLine="3678" w:firstLineChars="1145"/>
        <w:rPr>
          <w:rFonts w:hint="default" w:ascii="Times New Roman" w:hAnsi="Times New Roman" w:cs="Times New Roman"/>
          <w:b/>
          <w:bCs/>
          <w:color w:val="auto"/>
          <w:sz w:val="32"/>
          <w:szCs w:val="32"/>
        </w:rPr>
      </w:pPr>
      <w:r>
        <w:rPr>
          <w:rFonts w:hint="default" w:ascii="Times New Roman" w:hAnsi="Times New Roman" w:cs="Times New Roman"/>
          <w:b/>
          <w:bCs/>
          <w:color w:val="auto"/>
          <w:sz w:val="32"/>
          <w:szCs w:val="32"/>
          <w:lang w:eastAsia="zh-CN"/>
        </w:rPr>
        <w:t>十</w:t>
      </w:r>
      <w:r>
        <w:rPr>
          <w:rFonts w:hint="eastAsia" w:ascii="Times New Roman" w:hAnsi="Times New Roman" w:cs="Times New Roman"/>
          <w:b/>
          <w:bCs/>
          <w:color w:val="auto"/>
          <w:sz w:val="32"/>
          <w:szCs w:val="32"/>
          <w:lang w:val="en-US" w:eastAsia="zh-CN"/>
        </w:rPr>
        <w:t>二</w:t>
      </w:r>
      <w:r>
        <w:rPr>
          <w:rFonts w:hint="default" w:ascii="Times New Roman" w:hAnsi="Times New Roman" w:cs="Times New Roman"/>
          <w:b/>
          <w:bCs/>
          <w:color w:val="auto"/>
          <w:sz w:val="32"/>
          <w:szCs w:val="32"/>
        </w:rPr>
        <w:t>、授权委托书</w:t>
      </w:r>
    </w:p>
    <w:p>
      <w:pPr>
        <w:spacing w:line="360" w:lineRule="auto"/>
        <w:jc w:val="center"/>
        <w:rPr>
          <w:rFonts w:hint="default" w:ascii="Times New Roman" w:hAnsi="Times New Roman" w:cs="Times New Roman"/>
          <w:b/>
          <w:bCs/>
          <w:color w:val="auto"/>
          <w:sz w:val="32"/>
          <w:szCs w:val="32"/>
        </w:rPr>
      </w:pPr>
    </w:p>
    <w:p>
      <w:pPr>
        <w:spacing w:line="36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本人</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（姓名）系</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（投标人名称）的法定代表人，现委托</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（姓名）为我方代理人。代理人根据授权，以我方名义签署、澄清、说明、补正、递交、撤回、修改</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（项目名称）投标文件、签订合同和处理有关事宜，其法律后果由我方承担。</w:t>
      </w:r>
    </w:p>
    <w:p>
      <w:pPr>
        <w:spacing w:line="36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委托期限：   年   月   日至   年   月   日</w:t>
      </w:r>
    </w:p>
    <w:p>
      <w:pPr>
        <w:spacing w:line="360" w:lineRule="auto"/>
        <w:ind w:firstLine="42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代理人无转委托权。</w:t>
      </w:r>
    </w:p>
    <w:p>
      <w:pPr>
        <w:spacing w:line="360" w:lineRule="auto"/>
        <w:ind w:right="525" w:firstLine="64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投标人名称（全称并加盖公章）：</w:t>
      </w:r>
    </w:p>
    <w:p>
      <w:pPr>
        <w:spacing w:line="360" w:lineRule="auto"/>
        <w:ind w:firstLine="64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法定代表人（签字或盖章）：</w:t>
      </w:r>
    </w:p>
    <w:p>
      <w:pPr>
        <w:spacing w:line="360" w:lineRule="auto"/>
        <w:ind w:firstLine="64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法定代表人委托代理人（签字或盖章）：</w:t>
      </w:r>
    </w:p>
    <w:p>
      <w:pPr>
        <w:spacing w:line="360" w:lineRule="auto"/>
        <w:ind w:firstLine="3990" w:firstLineChars="19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日      期：</w:t>
      </w:r>
      <w:r>
        <w:rPr>
          <w:rFonts w:hint="default" w:ascii="Times New Roman" w:hAnsi="Times New Roman" w:cs="Times New Roman"/>
          <w:color w:val="auto"/>
          <w:sz w:val="21"/>
          <w:szCs w:val="21"/>
          <w:u w:val="single"/>
        </w:rPr>
        <w:t>　  　</w:t>
      </w:r>
      <w:r>
        <w:rPr>
          <w:rFonts w:hint="default" w:ascii="Times New Roman" w:hAnsi="Times New Roman" w:cs="Times New Roman"/>
          <w:color w:val="auto"/>
          <w:sz w:val="21"/>
          <w:szCs w:val="21"/>
        </w:rPr>
        <w:t>年</w:t>
      </w:r>
      <w:r>
        <w:rPr>
          <w:rFonts w:hint="default" w:ascii="Times New Roman" w:hAnsi="Times New Roman" w:cs="Times New Roman"/>
          <w:color w:val="auto"/>
          <w:sz w:val="21"/>
          <w:szCs w:val="21"/>
          <w:u w:val="single"/>
        </w:rPr>
        <w:t>　  　</w:t>
      </w:r>
      <w:r>
        <w:rPr>
          <w:rFonts w:hint="default" w:ascii="Times New Roman" w:hAnsi="Times New Roman" w:cs="Times New Roman"/>
          <w:color w:val="auto"/>
          <w:sz w:val="21"/>
          <w:szCs w:val="21"/>
        </w:rPr>
        <w:t>月</w:t>
      </w:r>
      <w:r>
        <w:rPr>
          <w:rFonts w:hint="default" w:ascii="Times New Roman" w:hAnsi="Times New Roman" w:cs="Times New Roman"/>
          <w:color w:val="auto"/>
          <w:sz w:val="21"/>
          <w:szCs w:val="21"/>
          <w:u w:val="single"/>
        </w:rPr>
        <w:t>　　</w:t>
      </w:r>
      <w:r>
        <w:rPr>
          <w:rFonts w:hint="default" w:ascii="Times New Roman" w:hAnsi="Times New Roman" w:cs="Times New Roman"/>
          <w:color w:val="auto"/>
          <w:sz w:val="21"/>
          <w:szCs w:val="21"/>
        </w:rPr>
        <w:t>日</w:t>
      </w:r>
    </w:p>
    <w:p>
      <w:pPr>
        <w:spacing w:line="360" w:lineRule="auto"/>
        <w:ind w:firstLine="420" w:firstLineChars="200"/>
        <w:jc w:val="center"/>
        <w:rPr>
          <w:rFonts w:hint="default" w:ascii="Times New Roman" w:hAnsi="Times New Roman" w:cs="Times New Roman"/>
          <w:color w:val="auto"/>
          <w:sz w:val="21"/>
          <w:szCs w:val="21"/>
        </w:rPr>
      </w:pPr>
    </w:p>
    <w:p>
      <w:pPr>
        <w:spacing w:line="360" w:lineRule="auto"/>
        <w:ind w:firstLine="420" w:firstLineChars="20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p>
    <w:p>
      <w:pPr>
        <w:spacing w:line="360" w:lineRule="auto"/>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注：附委托代理人身份证（正反两面）复印件，法定代表人参与投标的可不提供授权委托书。</w:t>
      </w:r>
    </w:p>
    <w:p>
      <w:pPr>
        <w:spacing w:line="360" w:lineRule="auto"/>
        <w:rPr>
          <w:rFonts w:hint="default" w:ascii="Times New Roman" w:hAnsi="Times New Roman" w:cs="Times New Roman"/>
          <w:b/>
          <w:bCs/>
          <w:color w:val="auto"/>
          <w:sz w:val="32"/>
          <w:szCs w:val="32"/>
        </w:rPr>
      </w:pPr>
    </w:p>
    <w:p>
      <w:pPr>
        <w:pStyle w:val="19"/>
        <w:ind w:right="560"/>
        <w:jc w:val="right"/>
        <w:rPr>
          <w:rFonts w:hint="default" w:ascii="Times New Roman" w:hAnsi="Times New Roman" w:cs="Times New Roman"/>
          <w:b/>
          <w:bCs/>
          <w:color w:val="auto"/>
          <w:sz w:val="28"/>
        </w:rPr>
      </w:pPr>
    </w:p>
    <w:p>
      <w:pPr>
        <w:adjustRightInd w:val="0"/>
        <w:spacing w:line="400" w:lineRule="exact"/>
        <w:ind w:firstLine="2040" w:firstLineChars="850"/>
        <w:jc w:val="left"/>
        <w:textAlignment w:val="baseline"/>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pStyle w:val="27"/>
        <w:rPr>
          <w:rFonts w:hint="default" w:ascii="Times New Roman" w:hAnsi="Times New Roman" w:cs="Times New Roman"/>
          <w:color w:val="auto"/>
        </w:rPr>
      </w:pPr>
    </w:p>
    <w:p>
      <w:pPr>
        <w:spacing w:line="360" w:lineRule="auto"/>
        <w:jc w:val="center"/>
        <w:rPr>
          <w:rFonts w:hint="default" w:ascii="Times New Roman" w:hAnsi="Times New Roman" w:cs="Times New Roman"/>
          <w:b/>
          <w:bCs/>
          <w:color w:val="auto"/>
          <w:sz w:val="32"/>
          <w:szCs w:val="32"/>
        </w:rPr>
      </w:pPr>
    </w:p>
    <w:p>
      <w:pPr>
        <w:pStyle w:val="22"/>
        <w:ind w:left="480" w:firstLine="480"/>
        <w:rPr>
          <w:rFonts w:hint="default" w:ascii="Times New Roman" w:hAnsi="Times New Roman" w:cs="Times New Roman"/>
          <w:color w:val="auto"/>
        </w:rPr>
      </w:pPr>
    </w:p>
    <w:p>
      <w:pPr>
        <w:pStyle w:val="22"/>
        <w:ind w:left="480" w:firstLine="480"/>
        <w:rPr>
          <w:rFonts w:hint="default" w:ascii="Times New Roman" w:hAnsi="Times New Roman" w:cs="Times New Roman"/>
          <w:color w:val="auto"/>
        </w:rPr>
      </w:pPr>
    </w:p>
    <w:p>
      <w:pPr>
        <w:pStyle w:val="22"/>
        <w:ind w:left="480" w:firstLine="480"/>
        <w:rPr>
          <w:rFonts w:hint="default" w:ascii="Times New Roman" w:hAnsi="Times New Roman" w:cs="Times New Roman"/>
          <w:color w:val="auto"/>
        </w:rPr>
      </w:pPr>
    </w:p>
    <w:p>
      <w:pPr>
        <w:pStyle w:val="22"/>
        <w:ind w:left="480" w:firstLine="480"/>
        <w:rPr>
          <w:rFonts w:hint="default" w:ascii="Times New Roman" w:hAnsi="Times New Roman" w:cs="Times New Roman"/>
          <w:color w:val="auto"/>
        </w:rPr>
      </w:pPr>
    </w:p>
    <w:p>
      <w:pPr>
        <w:pStyle w:val="22"/>
        <w:ind w:left="480" w:leftChars="0" w:firstLine="480"/>
        <w:rPr>
          <w:rFonts w:hint="default" w:ascii="Times New Roman" w:hAnsi="Times New Roman" w:cs="Times New Roman"/>
          <w:color w:val="auto"/>
        </w:rPr>
      </w:pPr>
    </w:p>
    <w:p>
      <w:pPr>
        <w:spacing w:line="360" w:lineRule="auto"/>
        <w:jc w:val="center"/>
        <w:rPr>
          <w:rFonts w:hint="eastAsia" w:ascii="宋体" w:hAnsi="宋体" w:eastAsia="宋体"/>
          <w:b/>
          <w:bCs/>
          <w:sz w:val="32"/>
          <w:szCs w:val="32"/>
          <w:lang w:val="en-US" w:eastAsia="zh-CN"/>
        </w:rPr>
      </w:pPr>
      <w:r>
        <w:rPr>
          <w:rFonts w:hint="eastAsia" w:ascii="宋体" w:hAnsi="宋体"/>
          <w:b/>
          <w:bCs/>
          <w:sz w:val="32"/>
          <w:szCs w:val="32"/>
        </w:rPr>
        <w:t>十</w:t>
      </w:r>
      <w:r>
        <w:rPr>
          <w:rFonts w:hint="eastAsia" w:ascii="宋体" w:hAnsi="宋体"/>
          <w:b/>
          <w:bCs/>
          <w:sz w:val="32"/>
          <w:szCs w:val="32"/>
          <w:lang w:val="en-US" w:eastAsia="zh-CN"/>
        </w:rPr>
        <w:t>三</w:t>
      </w:r>
      <w:r>
        <w:rPr>
          <w:rFonts w:hint="eastAsia" w:ascii="宋体" w:hAnsi="宋体"/>
          <w:b/>
          <w:bCs/>
          <w:sz w:val="32"/>
          <w:szCs w:val="32"/>
        </w:rPr>
        <w:t>、 技术响应</w:t>
      </w:r>
      <w:r>
        <w:rPr>
          <w:rFonts w:hint="eastAsia" w:ascii="宋体" w:hAnsi="宋体"/>
          <w:b/>
          <w:bCs/>
          <w:sz w:val="32"/>
          <w:szCs w:val="32"/>
          <w:lang w:eastAsia="zh-CN"/>
        </w:rPr>
        <w:t>承诺书</w:t>
      </w:r>
    </w:p>
    <w:p>
      <w:pPr>
        <w:spacing w:line="360" w:lineRule="auto"/>
        <w:rPr>
          <w:rFonts w:hint="eastAsia" w:ascii="宋体" w:hAnsi="宋体"/>
          <w:szCs w:val="21"/>
        </w:rPr>
      </w:pPr>
    </w:p>
    <w:p>
      <w:pPr>
        <w:pStyle w:val="19"/>
        <w:ind w:right="560"/>
        <w:rPr>
          <w:rFonts w:hint="default" w:ascii="Times New Roman" w:hAnsi="Times New Roman" w:cs="Times New Roman"/>
          <w:color w:val="auto"/>
          <w:kern w:val="2"/>
          <w:sz w:val="21"/>
          <w:szCs w:val="21"/>
        </w:rPr>
      </w:pPr>
      <w:r>
        <w:rPr>
          <w:rFonts w:hint="eastAsia" w:ascii="Times New Roman" w:hAnsi="Times New Roman" w:cs="Times New Roman"/>
          <w:color w:val="auto"/>
          <w:kern w:val="2"/>
          <w:sz w:val="21"/>
          <w:szCs w:val="21"/>
          <w:lang w:eastAsia="zh-CN"/>
        </w:rPr>
        <w:t>致</w:t>
      </w:r>
      <w:r>
        <w:rPr>
          <w:rFonts w:hint="eastAsia" w:ascii="Times New Roman" w:hAnsi="Times New Roman" w:cs="Times New Roman"/>
          <w:color w:val="auto"/>
          <w:kern w:val="2"/>
          <w:sz w:val="21"/>
          <w:szCs w:val="21"/>
          <w:lang w:val="en-US" w:eastAsia="zh-CN"/>
        </w:rPr>
        <w:t xml:space="preserve">          </w:t>
      </w:r>
      <w:r>
        <w:rPr>
          <w:rFonts w:hint="default" w:ascii="Times New Roman" w:hAnsi="Times New Roman" w:cs="Times New Roman"/>
          <w:color w:val="auto"/>
          <w:kern w:val="2"/>
          <w:sz w:val="21"/>
          <w:szCs w:val="21"/>
        </w:rPr>
        <w:t>：</w:t>
      </w:r>
    </w:p>
    <w:p>
      <w:pPr>
        <w:widowControl/>
        <w:numPr>
          <w:ilvl w:val="0"/>
          <w:numId w:val="0"/>
        </w:numPr>
        <w:adjustRightInd w:val="0"/>
        <w:spacing w:line="360" w:lineRule="auto"/>
        <w:ind w:left="0" w:leftChars="0" w:firstLine="478" w:firstLineChars="228"/>
        <w:jc w:val="left"/>
        <w:rPr>
          <w:rFonts w:hint="eastAsia" w:ascii="Times New Roman" w:hAnsi="Times New Roman" w:cs="Times New Roman"/>
          <w:color w:val="auto"/>
          <w:kern w:val="2"/>
          <w:sz w:val="21"/>
          <w:szCs w:val="21"/>
        </w:rPr>
      </w:pPr>
      <w:r>
        <w:rPr>
          <w:rFonts w:hint="default" w:ascii="Times New Roman" w:hAnsi="Times New Roman" w:cs="Times New Roman"/>
          <w:color w:val="auto"/>
          <w:kern w:val="2"/>
          <w:sz w:val="21"/>
          <w:szCs w:val="21"/>
        </w:rPr>
        <w:t>我方承诺，如中标武陟县县乡村三级养老服务体系建设项目</w:t>
      </w:r>
      <w:r>
        <w:rPr>
          <w:rFonts w:hint="eastAsia" w:ascii="Times New Roman" w:hAnsi="Times New Roman" w:cs="Times New Roman"/>
          <w:color w:val="auto"/>
          <w:kern w:val="2"/>
          <w:sz w:val="21"/>
          <w:szCs w:val="21"/>
          <w:lang w:eastAsia="zh-CN"/>
        </w:rPr>
        <w:t>（县级医养结合养老服务中心建设项目）污水处理设备采购项目，</w:t>
      </w:r>
      <w:r>
        <w:rPr>
          <w:rFonts w:hint="default" w:ascii="Times New Roman" w:hAnsi="Times New Roman" w:cs="Times New Roman"/>
          <w:color w:val="auto"/>
          <w:kern w:val="2"/>
          <w:sz w:val="21"/>
          <w:szCs w:val="21"/>
        </w:rPr>
        <w:t>将</w:t>
      </w:r>
      <w:r>
        <w:rPr>
          <w:rFonts w:hint="eastAsia" w:ascii="Times New Roman" w:hAnsi="Times New Roman" w:cs="Times New Roman"/>
          <w:color w:val="auto"/>
          <w:kern w:val="2"/>
          <w:sz w:val="21"/>
          <w:szCs w:val="21"/>
          <w:lang w:eastAsia="zh-CN"/>
        </w:rPr>
        <w:t>严格</w:t>
      </w:r>
      <w:r>
        <w:rPr>
          <w:rFonts w:hint="default" w:ascii="Times New Roman" w:hAnsi="Times New Roman" w:cs="Times New Roman"/>
          <w:color w:val="auto"/>
          <w:kern w:val="2"/>
          <w:sz w:val="21"/>
          <w:szCs w:val="21"/>
        </w:rPr>
        <w:t>按招标文件所附的本</w:t>
      </w:r>
      <w:r>
        <w:rPr>
          <w:rFonts w:hint="eastAsia" w:ascii="Times New Roman" w:hAnsi="Times New Roman" w:cs="Times New Roman"/>
          <w:color w:val="auto"/>
          <w:kern w:val="2"/>
          <w:sz w:val="21"/>
          <w:szCs w:val="21"/>
          <w:lang w:eastAsia="zh-CN"/>
        </w:rPr>
        <w:t>项目</w:t>
      </w:r>
      <w:r>
        <w:rPr>
          <w:rFonts w:hint="default" w:ascii="Times New Roman" w:hAnsi="Times New Roman" w:cs="Times New Roman"/>
          <w:color w:val="auto"/>
          <w:kern w:val="2"/>
          <w:sz w:val="21"/>
          <w:szCs w:val="21"/>
        </w:rPr>
        <w:t>采购内容及技术要求</w:t>
      </w:r>
      <w:r>
        <w:rPr>
          <w:rFonts w:hint="eastAsia" w:ascii="Times New Roman" w:hAnsi="Times New Roman" w:cs="Times New Roman"/>
          <w:color w:val="auto"/>
          <w:kern w:val="2"/>
          <w:sz w:val="21"/>
          <w:szCs w:val="21"/>
          <w:lang w:eastAsia="zh-CN"/>
        </w:rPr>
        <w:t>安排</w:t>
      </w:r>
      <w:r>
        <w:rPr>
          <w:rFonts w:hint="default" w:ascii="Times New Roman" w:hAnsi="Times New Roman" w:cs="Times New Roman"/>
          <w:color w:val="auto"/>
          <w:kern w:val="2"/>
          <w:sz w:val="21"/>
          <w:szCs w:val="21"/>
        </w:rPr>
        <w:t>设备和材料采购、加工、安装</w:t>
      </w:r>
      <w:r>
        <w:rPr>
          <w:rFonts w:hint="eastAsia" w:ascii="Times New Roman" w:hAnsi="Times New Roman" w:cs="Times New Roman"/>
          <w:color w:val="auto"/>
          <w:kern w:val="2"/>
          <w:sz w:val="21"/>
          <w:szCs w:val="21"/>
          <w:lang w:eastAsia="zh-CN"/>
        </w:rPr>
        <w:t>，</w:t>
      </w:r>
      <w:r>
        <w:rPr>
          <w:rFonts w:hint="eastAsia" w:ascii="Times New Roman" w:hAnsi="Times New Roman" w:cs="Times New Roman"/>
          <w:color w:val="auto"/>
          <w:kern w:val="2"/>
          <w:sz w:val="21"/>
          <w:szCs w:val="21"/>
        </w:rPr>
        <w:t>负责污水处理设备和工艺运行调试（不包括菌种采购），达到合格要求。</w:t>
      </w:r>
    </w:p>
    <w:p>
      <w:pPr>
        <w:widowControl/>
        <w:numPr>
          <w:ilvl w:val="0"/>
          <w:numId w:val="0"/>
        </w:numPr>
        <w:adjustRightInd w:val="0"/>
        <w:spacing w:line="360" w:lineRule="auto"/>
        <w:ind w:left="0" w:leftChars="0" w:firstLine="478" w:firstLineChars="228"/>
        <w:jc w:val="left"/>
        <w:rPr>
          <w:rFonts w:hint="eastAsia" w:ascii="Times New Roman" w:hAnsi="Times New Roman" w:cs="Times New Roman"/>
          <w:color w:val="auto"/>
          <w:kern w:val="2"/>
          <w:sz w:val="21"/>
          <w:szCs w:val="21"/>
        </w:rPr>
      </w:pPr>
      <w:r>
        <w:rPr>
          <w:rFonts w:hint="eastAsia" w:ascii="Times New Roman" w:hAnsi="Times New Roman" w:cs="Times New Roman"/>
          <w:color w:val="auto"/>
          <w:kern w:val="2"/>
          <w:sz w:val="21"/>
          <w:szCs w:val="21"/>
        </w:rPr>
        <w:t>对甲方运行人员进行培训，使其固定技术人员能达到运行维护的要求。</w:t>
      </w:r>
    </w:p>
    <w:p>
      <w:pPr>
        <w:widowControl/>
        <w:numPr>
          <w:ilvl w:val="0"/>
          <w:numId w:val="0"/>
        </w:numPr>
        <w:adjustRightInd w:val="0"/>
        <w:spacing w:line="360" w:lineRule="auto"/>
        <w:ind w:left="0" w:leftChars="0" w:firstLine="478" w:firstLineChars="228"/>
        <w:jc w:val="left"/>
        <w:rPr>
          <w:rFonts w:hint="eastAsia" w:ascii="Times New Roman" w:hAnsi="Times New Roman" w:cs="Times New Roman"/>
          <w:color w:val="auto"/>
          <w:kern w:val="2"/>
          <w:sz w:val="21"/>
          <w:szCs w:val="21"/>
        </w:rPr>
      </w:pPr>
      <w:r>
        <w:rPr>
          <w:rFonts w:hint="eastAsia" w:ascii="Times New Roman" w:hAnsi="Times New Roman" w:cs="Times New Roman"/>
          <w:color w:val="auto"/>
          <w:kern w:val="2"/>
          <w:sz w:val="21"/>
          <w:szCs w:val="21"/>
          <w:lang w:eastAsia="zh-CN"/>
        </w:rPr>
        <w:t>满足项目技术要求，</w:t>
      </w:r>
      <w:r>
        <w:rPr>
          <w:rFonts w:hint="eastAsia" w:ascii="Times New Roman" w:hAnsi="Times New Roman" w:cs="Times New Roman"/>
          <w:color w:val="auto"/>
          <w:kern w:val="2"/>
          <w:sz w:val="21"/>
          <w:szCs w:val="21"/>
        </w:rPr>
        <w:t>废水处理规模</w:t>
      </w:r>
      <w:r>
        <w:rPr>
          <w:rFonts w:hint="eastAsia" w:ascii="Times New Roman" w:hAnsi="Times New Roman" w:cs="Times New Roman"/>
          <w:color w:val="auto"/>
          <w:kern w:val="2"/>
          <w:sz w:val="21"/>
          <w:szCs w:val="21"/>
          <w:lang w:eastAsia="zh-CN"/>
        </w:rPr>
        <w:t>≥</w:t>
      </w:r>
      <w:r>
        <w:rPr>
          <w:rFonts w:hint="eastAsia" w:ascii="Times New Roman" w:hAnsi="Times New Roman" w:cs="Times New Roman"/>
          <w:color w:val="auto"/>
          <w:kern w:val="2"/>
          <w:sz w:val="21"/>
          <w:szCs w:val="21"/>
        </w:rPr>
        <w:t>220吨/日</w:t>
      </w:r>
      <w:r>
        <w:rPr>
          <w:rFonts w:hint="eastAsia" w:ascii="Times New Roman" w:hAnsi="Times New Roman" w:cs="Times New Roman"/>
          <w:color w:val="auto"/>
          <w:kern w:val="2"/>
          <w:sz w:val="21"/>
          <w:szCs w:val="21"/>
          <w:lang w:eastAsia="zh-CN"/>
        </w:rPr>
        <w:t>，排放标准达到</w:t>
      </w:r>
      <w:r>
        <w:rPr>
          <w:rFonts w:hint="eastAsia" w:ascii="Times New Roman" w:hAnsi="Times New Roman" w:cs="Times New Roman"/>
          <w:color w:val="auto"/>
          <w:kern w:val="2"/>
          <w:sz w:val="21"/>
          <w:szCs w:val="21"/>
        </w:rPr>
        <w:t>《医疗机构水污染物排放标准》（GB18466-2005）预处理标准。臭气经处理后满足《恶臭污染物排放标准》（GB14554-201）标准。</w:t>
      </w:r>
    </w:p>
    <w:p>
      <w:pPr>
        <w:pStyle w:val="19"/>
        <w:ind w:right="560" w:firstLine="405"/>
        <w:rPr>
          <w:rFonts w:hint="default" w:ascii="Times New Roman" w:hAnsi="Times New Roman" w:cs="Times New Roman"/>
          <w:color w:val="auto"/>
          <w:kern w:val="2"/>
          <w:sz w:val="21"/>
          <w:szCs w:val="21"/>
        </w:rPr>
      </w:pPr>
      <w:r>
        <w:rPr>
          <w:rFonts w:hint="default" w:ascii="Times New Roman" w:hAnsi="Times New Roman" w:cs="Times New Roman"/>
          <w:color w:val="auto"/>
          <w:kern w:val="2"/>
          <w:sz w:val="21"/>
          <w:szCs w:val="21"/>
        </w:rPr>
        <w:t>。</w:t>
      </w:r>
    </w:p>
    <w:p>
      <w:pPr>
        <w:spacing w:before="156" w:beforeLines="50" w:after="156" w:afterLines="50" w:line="480" w:lineRule="auto"/>
        <w:jc w:val="center"/>
        <w:rPr>
          <w:rFonts w:hint="default" w:ascii="Times New Roman" w:hAnsi="Times New Roman" w:cs="Times New Roman"/>
          <w:color w:val="auto"/>
          <w:szCs w:val="21"/>
        </w:rPr>
      </w:pPr>
      <w:r>
        <w:rPr>
          <w:rFonts w:hint="default" w:ascii="Times New Roman" w:hAnsi="Times New Roman" w:cs="Times New Roman"/>
          <w:color w:val="auto"/>
          <w:szCs w:val="21"/>
        </w:rPr>
        <w:t xml:space="preserve">              </w:t>
      </w:r>
    </w:p>
    <w:p>
      <w:pPr>
        <w:spacing w:before="156" w:beforeLines="50" w:after="156" w:afterLines="50" w:line="480" w:lineRule="auto"/>
        <w:jc w:val="center"/>
        <w:rPr>
          <w:rFonts w:hint="default" w:ascii="Times New Roman" w:hAnsi="Times New Roman" w:cs="Times New Roman"/>
          <w:color w:val="auto"/>
          <w:szCs w:val="21"/>
        </w:rPr>
      </w:pPr>
    </w:p>
    <w:p>
      <w:pPr>
        <w:spacing w:before="156" w:beforeLines="50" w:after="156" w:afterLines="50" w:line="480" w:lineRule="auto"/>
        <w:jc w:val="center"/>
        <w:rPr>
          <w:rFonts w:hint="default" w:ascii="Times New Roman" w:hAnsi="Times New Roman" w:cs="Times New Roman"/>
          <w:color w:val="auto"/>
          <w:szCs w:val="21"/>
        </w:rPr>
      </w:pPr>
    </w:p>
    <w:p>
      <w:pPr>
        <w:spacing w:before="156" w:beforeLines="50" w:after="156" w:afterLines="50" w:line="48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p>
    <w:p>
      <w:pPr>
        <w:spacing w:before="156" w:beforeLines="50" w:after="156" w:afterLines="50" w:line="480" w:lineRule="auto"/>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      </w:t>
      </w:r>
      <w:r>
        <w:rPr>
          <w:rFonts w:hint="eastAsia" w:ascii="Times New Roman" w:hAnsi="Times New Roman" w:cs="Times New Roman"/>
          <w:color w:val="auto"/>
          <w:sz w:val="21"/>
          <w:szCs w:val="21"/>
          <w:lang w:eastAsia="zh-CN"/>
        </w:rPr>
        <w:t>投标人</w:t>
      </w:r>
      <w:r>
        <w:rPr>
          <w:rFonts w:hint="default" w:ascii="Times New Roman" w:hAnsi="Times New Roman" w:cs="Times New Roman"/>
          <w:color w:val="auto"/>
          <w:sz w:val="21"/>
          <w:szCs w:val="21"/>
        </w:rPr>
        <w:t>名称（全称并加盖公章）：</w:t>
      </w:r>
    </w:p>
    <w:p>
      <w:pPr>
        <w:spacing w:before="156" w:beforeLines="50" w:after="156" w:afterLines="50" w:line="48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法定代表人或其委托代理人（签字）：</w:t>
      </w:r>
    </w:p>
    <w:p>
      <w:pPr>
        <w:spacing w:before="156" w:beforeLines="50" w:after="156" w:afterLines="50" w:line="48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时   间：  年   月   日 </w:t>
      </w:r>
    </w:p>
    <w:p>
      <w:pPr>
        <w:rPr>
          <w:rFonts w:hint="default" w:ascii="Times New Roman" w:hAnsi="Times New Roman" w:cs="Times New Roman"/>
          <w:b/>
          <w:bCs/>
          <w:color w:val="auto"/>
          <w:sz w:val="32"/>
          <w:szCs w:val="32"/>
        </w:rPr>
      </w:pPr>
      <w:r>
        <w:rPr>
          <w:rFonts w:hint="default" w:ascii="Times New Roman" w:hAnsi="Times New Roman" w:cs="Times New Roman"/>
          <w:b/>
          <w:bCs/>
          <w:color w:val="auto"/>
          <w:sz w:val="32"/>
          <w:szCs w:val="32"/>
        </w:rPr>
        <w:br w:type="page"/>
      </w:r>
    </w:p>
    <w:p>
      <w:pPr>
        <w:spacing w:line="360" w:lineRule="auto"/>
        <w:jc w:val="center"/>
        <w:rPr>
          <w:rFonts w:hint="default" w:ascii="Times New Roman" w:hAnsi="Times New Roman" w:cs="Times New Roman"/>
          <w:b/>
          <w:bCs/>
          <w:color w:val="auto"/>
          <w:sz w:val="32"/>
          <w:szCs w:val="32"/>
        </w:rPr>
      </w:pPr>
      <w:r>
        <w:rPr>
          <w:rFonts w:hint="default" w:ascii="Times New Roman" w:hAnsi="Times New Roman" w:cs="Times New Roman"/>
          <w:b/>
          <w:bCs/>
          <w:color w:val="auto"/>
          <w:sz w:val="32"/>
          <w:szCs w:val="32"/>
        </w:rPr>
        <w:t>十</w:t>
      </w:r>
      <w:r>
        <w:rPr>
          <w:rFonts w:hint="eastAsia" w:ascii="Times New Roman" w:hAnsi="Times New Roman" w:cs="Times New Roman"/>
          <w:b/>
          <w:bCs/>
          <w:color w:val="auto"/>
          <w:sz w:val="32"/>
          <w:szCs w:val="32"/>
          <w:lang w:eastAsia="zh-CN"/>
        </w:rPr>
        <w:t>四</w:t>
      </w:r>
      <w:r>
        <w:rPr>
          <w:rFonts w:hint="default" w:ascii="Times New Roman" w:hAnsi="Times New Roman" w:cs="Times New Roman"/>
          <w:b/>
          <w:bCs/>
          <w:color w:val="auto"/>
          <w:sz w:val="32"/>
          <w:szCs w:val="32"/>
        </w:rPr>
        <w:t>、反商业贿赂承诺书</w:t>
      </w:r>
    </w:p>
    <w:p>
      <w:pPr>
        <w:spacing w:line="360" w:lineRule="auto"/>
        <w:ind w:firstLine="480" w:firstLineChars="200"/>
        <w:rPr>
          <w:rFonts w:hint="default" w:ascii="Times New Roman" w:hAnsi="Times New Roman" w:cs="Times New Roman"/>
          <w:color w:val="auto"/>
          <w:szCs w:val="21"/>
        </w:rPr>
      </w:pP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我单位承诺：</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在 </w:t>
      </w:r>
      <w:r>
        <w:rPr>
          <w:rFonts w:hint="default" w:ascii="Times New Roman" w:hAnsi="Times New Roman" w:cs="Times New Roman"/>
          <w:color w:val="auto"/>
          <w:sz w:val="21"/>
          <w:szCs w:val="21"/>
          <w:u w:val="single"/>
        </w:rPr>
        <w:t xml:space="preserve">                              </w:t>
      </w:r>
      <w:r>
        <w:rPr>
          <w:rFonts w:hint="default" w:ascii="Times New Roman" w:hAnsi="Times New Roman" w:cs="Times New Roman"/>
          <w:color w:val="auto"/>
          <w:sz w:val="21"/>
          <w:szCs w:val="21"/>
        </w:rPr>
        <w:t>招标活动中，我单位保证做到：</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一、公平竞争参加本次采购活动。</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三、若出现上述行为，我单位及参与投标的工作人员愿意接受按照国家法律法规等有关规定给予的处罚。</w:t>
      </w:r>
    </w:p>
    <w:p>
      <w:pPr>
        <w:spacing w:line="360" w:lineRule="auto"/>
        <w:ind w:firstLine="420" w:firstLineChars="200"/>
        <w:rPr>
          <w:rFonts w:hint="default" w:ascii="Times New Roman" w:hAnsi="Times New Roman" w:cs="Times New Roman"/>
          <w:color w:val="auto"/>
          <w:sz w:val="21"/>
          <w:szCs w:val="21"/>
        </w:rPr>
      </w:pPr>
    </w:p>
    <w:p>
      <w:pPr>
        <w:spacing w:line="360" w:lineRule="auto"/>
        <w:ind w:firstLine="420" w:firstLineChars="200"/>
        <w:rPr>
          <w:rFonts w:hint="default" w:ascii="Times New Roman" w:hAnsi="Times New Roman" w:cs="Times New Roman"/>
          <w:color w:val="auto"/>
          <w:sz w:val="21"/>
          <w:szCs w:val="21"/>
        </w:rPr>
      </w:pPr>
    </w:p>
    <w:p>
      <w:pPr>
        <w:wordWrap w:val="0"/>
        <w:spacing w:before="156" w:beforeLines="50" w:after="156" w:afterLines="50" w:line="480" w:lineRule="auto"/>
        <w:ind w:firstLine="105" w:firstLineChars="50"/>
        <w:jc w:val="right"/>
        <w:rPr>
          <w:rFonts w:hint="eastAsia" w:ascii="Times New Roman" w:hAnsi="Times New Roman" w:cs="Times New Roman"/>
          <w:color w:val="auto"/>
          <w:sz w:val="21"/>
          <w:szCs w:val="21"/>
          <w:lang w:val="en-US" w:eastAsia="zh-CN"/>
        </w:rPr>
      </w:pPr>
      <w:r>
        <w:rPr>
          <w:rFonts w:hint="default" w:ascii="Times New Roman" w:hAnsi="Times New Roman" w:cs="Times New Roman"/>
          <w:color w:val="auto"/>
          <w:sz w:val="21"/>
          <w:szCs w:val="21"/>
        </w:rPr>
        <w:t>投标人名称（全称并加盖公章）：</w:t>
      </w:r>
      <w:r>
        <w:rPr>
          <w:rFonts w:hint="eastAsia" w:ascii="Times New Roman" w:hAnsi="Times New Roman" w:cs="Times New Roman"/>
          <w:color w:val="auto"/>
          <w:sz w:val="21"/>
          <w:szCs w:val="21"/>
          <w:lang w:val="en-US" w:eastAsia="zh-CN"/>
        </w:rPr>
        <w:t xml:space="preserve">     </w:t>
      </w:r>
    </w:p>
    <w:p>
      <w:pPr>
        <w:spacing w:before="156" w:beforeLines="50" w:after="156" w:afterLines="50" w:line="480" w:lineRule="auto"/>
        <w:ind w:left="0" w:leftChars="0" w:firstLine="0" w:firstLineChars="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法定代表人或其委托代理人（签字或盖章）：</w:t>
      </w:r>
      <w:r>
        <w:rPr>
          <w:rFonts w:hint="eastAsia" w:ascii="Times New Roman" w:hAnsi="Times New Roman" w:cs="Times New Roman"/>
          <w:color w:val="auto"/>
          <w:sz w:val="21"/>
          <w:szCs w:val="21"/>
          <w:lang w:val="en-US" w:eastAsia="zh-CN"/>
        </w:rPr>
        <w:t xml:space="preserve">   </w:t>
      </w:r>
      <w:r>
        <w:rPr>
          <w:rFonts w:hint="default" w:ascii="Times New Roman" w:hAnsi="Times New Roman" w:cs="Times New Roman"/>
          <w:color w:val="auto"/>
          <w:sz w:val="21"/>
          <w:szCs w:val="21"/>
        </w:rPr>
        <w:t xml:space="preserve">                          </w:t>
      </w:r>
    </w:p>
    <w:p>
      <w:pPr>
        <w:spacing w:line="360" w:lineRule="auto"/>
        <w:ind w:firstLine="420" w:firstLineChars="200"/>
        <w:jc w:val="righ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年   月   日</w:t>
      </w:r>
    </w:p>
    <w:p>
      <w:pPr>
        <w:pStyle w:val="22"/>
        <w:ind w:left="480" w:leftChars="0"/>
        <w:rPr>
          <w:rFonts w:hint="default" w:ascii="Times New Roman" w:hAnsi="Times New Roman" w:cs="Times New Roman"/>
          <w:color w:val="auto"/>
          <w:sz w:val="21"/>
          <w:szCs w:val="21"/>
        </w:rPr>
      </w:pPr>
    </w:p>
    <w:p>
      <w:pPr>
        <w:rPr>
          <w:rFonts w:hint="default" w:ascii="Times New Roman" w:hAnsi="Times New Roman" w:cs="Times New Roman"/>
          <w:color w:val="auto"/>
          <w:sz w:val="21"/>
          <w:szCs w:val="21"/>
        </w:rPr>
      </w:pPr>
    </w:p>
    <w:p>
      <w:pPr>
        <w:pStyle w:val="22"/>
        <w:ind w:left="480" w:leftChars="0"/>
        <w:rPr>
          <w:rFonts w:hint="default" w:ascii="Times New Roman" w:hAnsi="Times New Roman" w:cs="Times New Roman"/>
          <w:color w:val="auto"/>
          <w:sz w:val="21"/>
          <w:szCs w:val="21"/>
        </w:rPr>
      </w:pPr>
    </w:p>
    <w:p>
      <w:pPr>
        <w:rPr>
          <w:rFonts w:hint="default" w:ascii="Times New Roman" w:hAnsi="Times New Roman" w:cs="Times New Roman"/>
          <w:color w:val="auto"/>
        </w:rPr>
      </w:pPr>
    </w:p>
    <w:p>
      <w:pPr>
        <w:pStyle w:val="22"/>
        <w:ind w:left="480" w:leftChars="0" w:firstLine="480"/>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sz w:val="21"/>
          <w:szCs w:val="21"/>
        </w:rPr>
      </w:pPr>
    </w:p>
    <w:p>
      <w:pPr>
        <w:pStyle w:val="22"/>
        <w:ind w:left="480" w:leftChars="0" w:firstLine="480"/>
        <w:rPr>
          <w:rFonts w:hint="default" w:ascii="Times New Roman" w:hAnsi="Times New Roman" w:cs="Times New Roman"/>
          <w:color w:val="auto"/>
        </w:rPr>
      </w:pPr>
    </w:p>
    <w:p>
      <w:pPr>
        <w:pStyle w:val="22"/>
        <w:ind w:left="480" w:leftChars="0" w:firstLine="480"/>
        <w:rPr>
          <w:rFonts w:hint="default" w:ascii="Times New Roman" w:hAnsi="Times New Roman" w:cs="Times New Roman"/>
          <w:color w:val="auto"/>
        </w:rPr>
      </w:pPr>
    </w:p>
    <w:p>
      <w:pPr>
        <w:pStyle w:val="22"/>
        <w:ind w:left="480" w:leftChars="0" w:firstLine="480"/>
        <w:rPr>
          <w:rFonts w:hint="default" w:ascii="Times New Roman" w:hAnsi="Times New Roman" w:cs="Times New Roman"/>
          <w:color w:val="auto"/>
        </w:rPr>
      </w:pPr>
    </w:p>
    <w:p>
      <w:pPr>
        <w:pStyle w:val="22"/>
        <w:ind w:left="480" w:leftChars="0" w:firstLine="480"/>
        <w:rPr>
          <w:rFonts w:hint="default" w:ascii="Times New Roman" w:hAnsi="Times New Roman" w:cs="Times New Roman"/>
          <w:color w:val="auto"/>
        </w:rPr>
      </w:pPr>
    </w:p>
    <w:p>
      <w:pPr>
        <w:pStyle w:val="22"/>
        <w:ind w:left="480" w:leftChars="0" w:firstLine="480"/>
        <w:rPr>
          <w:rFonts w:hint="default" w:ascii="Times New Roman" w:hAnsi="Times New Roman" w:cs="Times New Roman"/>
          <w:color w:val="auto"/>
        </w:rPr>
      </w:pPr>
    </w:p>
    <w:p>
      <w:pPr>
        <w:pStyle w:val="22"/>
        <w:ind w:left="480" w:leftChars="0" w:firstLine="480"/>
        <w:rPr>
          <w:rFonts w:hint="default" w:ascii="Times New Roman" w:hAnsi="Times New Roman" w:cs="Times New Roman"/>
          <w:color w:val="auto"/>
        </w:rPr>
      </w:pPr>
    </w:p>
    <w:p>
      <w:pPr>
        <w:pStyle w:val="22"/>
        <w:ind w:left="480" w:leftChars="0" w:firstLine="480"/>
        <w:rPr>
          <w:rFonts w:hint="default" w:ascii="Times New Roman" w:hAnsi="Times New Roman" w:cs="Times New Roman"/>
          <w:color w:val="auto"/>
        </w:rPr>
      </w:pPr>
    </w:p>
    <w:p>
      <w:pPr>
        <w:pStyle w:val="22"/>
        <w:ind w:left="480" w:leftChars="0" w:firstLine="480"/>
        <w:rPr>
          <w:rFonts w:hint="default" w:ascii="Times New Roman" w:hAnsi="Times New Roman" w:cs="Times New Roman"/>
          <w:color w:val="auto"/>
        </w:rPr>
      </w:pPr>
    </w:p>
    <w:p>
      <w:pPr>
        <w:rPr>
          <w:rFonts w:hint="default" w:ascii="Times New Roman" w:hAnsi="Times New Roman" w:cs="Times New Roman"/>
          <w:color w:val="auto"/>
        </w:rPr>
      </w:pPr>
    </w:p>
    <w:p>
      <w:pPr>
        <w:spacing w:line="360" w:lineRule="auto"/>
        <w:jc w:val="center"/>
        <w:rPr>
          <w:rFonts w:hint="default" w:ascii="Times New Roman" w:hAnsi="Times New Roman" w:cs="Times New Roman"/>
          <w:color w:val="auto"/>
        </w:rPr>
      </w:pPr>
      <w:r>
        <w:rPr>
          <w:rFonts w:hint="default" w:ascii="Times New Roman" w:hAnsi="Times New Roman" w:cs="Times New Roman"/>
          <w:b/>
          <w:bCs/>
          <w:color w:val="auto"/>
          <w:sz w:val="32"/>
          <w:szCs w:val="32"/>
        </w:rPr>
        <w:t>十</w:t>
      </w:r>
      <w:r>
        <w:rPr>
          <w:rFonts w:hint="eastAsia" w:ascii="Times New Roman" w:hAnsi="Times New Roman" w:cs="Times New Roman"/>
          <w:b/>
          <w:bCs/>
          <w:color w:val="auto"/>
          <w:sz w:val="32"/>
          <w:szCs w:val="32"/>
          <w:lang w:eastAsia="zh-CN"/>
        </w:rPr>
        <w:t>五</w:t>
      </w:r>
      <w:r>
        <w:rPr>
          <w:rFonts w:hint="default" w:ascii="Times New Roman" w:hAnsi="Times New Roman" w:cs="Times New Roman"/>
          <w:b/>
          <w:bCs/>
          <w:color w:val="auto"/>
          <w:sz w:val="32"/>
          <w:szCs w:val="32"/>
        </w:rPr>
        <w:t>、招标文件要求的以及投标人认为应该提供的其他材料</w:t>
      </w:r>
    </w:p>
    <w:p>
      <w:pPr>
        <w:widowControl/>
        <w:jc w:val="left"/>
        <w:rPr>
          <w:rFonts w:hint="default" w:ascii="Times New Roman" w:hAnsi="Times New Roman" w:cs="Times New Roman"/>
          <w:b/>
          <w:color w:val="auto"/>
          <w:sz w:val="32"/>
          <w:szCs w:val="32"/>
        </w:rPr>
      </w:pPr>
      <w:bookmarkStart w:id="61" w:name="_Toc5195"/>
      <w:bookmarkStart w:id="62" w:name="_Toc477166595"/>
      <w:bookmarkStart w:id="63" w:name="_Toc110000296"/>
      <w:r>
        <w:rPr>
          <w:rFonts w:hint="default" w:ascii="Times New Roman" w:hAnsi="Times New Roman" w:cs="Times New Roman"/>
          <w:bCs/>
          <w:color w:val="auto"/>
        </w:rPr>
        <w:br w:type="page"/>
      </w:r>
    </w:p>
    <w:p>
      <w:pPr>
        <w:pStyle w:val="20"/>
        <w:spacing w:line="480" w:lineRule="exact"/>
        <w:ind w:right="-72" w:rightChars="-30"/>
        <w:rPr>
          <w:rFonts w:hint="default" w:ascii="Times New Roman" w:hAnsi="Times New Roman" w:cs="Times New Roman"/>
          <w:bCs w:val="0"/>
          <w:color w:val="auto"/>
        </w:rPr>
      </w:pPr>
      <w:r>
        <w:rPr>
          <w:rFonts w:hint="default" w:ascii="Times New Roman" w:hAnsi="Times New Roman" w:cs="Times New Roman"/>
          <w:bCs w:val="0"/>
          <w:color w:val="auto"/>
        </w:rPr>
        <w:t>第六章 评标方法</w:t>
      </w:r>
      <w:bookmarkEnd w:id="61"/>
      <w:bookmarkEnd w:id="62"/>
      <w:r>
        <w:rPr>
          <w:rFonts w:hint="default" w:ascii="Times New Roman" w:hAnsi="Times New Roman" w:cs="Times New Roman"/>
          <w:bCs w:val="0"/>
          <w:color w:val="auto"/>
        </w:rPr>
        <w:t>和评标标准</w:t>
      </w:r>
      <w:bookmarkEnd w:id="63"/>
    </w:p>
    <w:p>
      <w:pPr>
        <w:pStyle w:val="27"/>
        <w:spacing w:line="440" w:lineRule="exact"/>
        <w:rPr>
          <w:rFonts w:hint="default" w:ascii="Times New Roman" w:hAnsi="Times New Roman" w:cs="Times New Roman"/>
          <w:bCs/>
          <w:color w:val="auto"/>
          <w:spacing w:val="6"/>
          <w:sz w:val="21"/>
          <w:szCs w:val="21"/>
        </w:rPr>
      </w:pPr>
      <w:bookmarkStart w:id="64" w:name="_Toc29055"/>
      <w:r>
        <w:rPr>
          <w:rFonts w:hint="default" w:ascii="Times New Roman" w:hAnsi="Times New Roman" w:cs="Times New Roman"/>
          <w:bCs/>
          <w:color w:val="auto"/>
          <w:spacing w:val="6"/>
          <w:sz w:val="21"/>
          <w:szCs w:val="21"/>
        </w:rPr>
        <w:t>一、评标方法</w:t>
      </w:r>
    </w:p>
    <w:p>
      <w:pPr>
        <w:pStyle w:val="27"/>
        <w:spacing w:line="420" w:lineRule="exact"/>
        <w:ind w:firstLine="444" w:firstLineChars="200"/>
        <w:rPr>
          <w:rFonts w:hint="default" w:ascii="Times New Roman" w:hAnsi="Times New Roman" w:cs="Times New Roman"/>
          <w:bCs/>
          <w:color w:val="auto"/>
          <w:spacing w:val="6"/>
          <w:sz w:val="21"/>
          <w:szCs w:val="21"/>
        </w:rPr>
      </w:pPr>
      <w:r>
        <w:rPr>
          <w:rFonts w:hint="default" w:ascii="Times New Roman" w:hAnsi="Times New Roman" w:cs="Times New Roman"/>
          <w:bCs/>
          <w:color w:val="auto"/>
          <w:spacing w:val="6"/>
          <w:sz w:val="21"/>
          <w:szCs w:val="21"/>
        </w:rPr>
        <w:t>（一）评标委员会将按照招标文件的规定，只对通过资格性审查和符合性审查的投标文件进行评价和比较，投标文件的评价采用综合评分法。</w:t>
      </w:r>
    </w:p>
    <w:p>
      <w:pPr>
        <w:pStyle w:val="27"/>
        <w:spacing w:line="420" w:lineRule="exact"/>
        <w:ind w:firstLine="444" w:firstLineChars="200"/>
        <w:rPr>
          <w:rFonts w:hint="default" w:ascii="Times New Roman" w:hAnsi="Times New Roman" w:cs="Times New Roman"/>
          <w:bCs/>
          <w:color w:val="auto"/>
          <w:spacing w:val="6"/>
          <w:sz w:val="21"/>
          <w:szCs w:val="21"/>
        </w:rPr>
      </w:pPr>
      <w:r>
        <w:rPr>
          <w:rFonts w:hint="default" w:ascii="Times New Roman" w:hAnsi="Times New Roman" w:cs="Times New Roman"/>
          <w:bCs/>
          <w:color w:val="auto"/>
          <w:spacing w:val="6"/>
          <w:sz w:val="21"/>
          <w:szCs w:val="21"/>
        </w:rPr>
        <w:t>（二）综合评分法，是指投标文件满足招标文件全部实质性要求，且按照评审因素的量化指标评审得分最高的投标人为中标候选人的评标方法。</w:t>
      </w:r>
    </w:p>
    <w:p>
      <w:pPr>
        <w:pStyle w:val="27"/>
        <w:spacing w:line="420" w:lineRule="exact"/>
        <w:ind w:firstLine="444" w:firstLineChars="200"/>
        <w:rPr>
          <w:rFonts w:hint="default" w:ascii="Times New Roman" w:hAnsi="Times New Roman" w:cs="Times New Roman"/>
          <w:bCs/>
          <w:color w:val="auto"/>
          <w:spacing w:val="6"/>
          <w:sz w:val="21"/>
          <w:szCs w:val="21"/>
        </w:rPr>
      </w:pPr>
      <w:r>
        <w:rPr>
          <w:rFonts w:hint="default" w:ascii="Times New Roman" w:hAnsi="Times New Roman" w:cs="Times New Roman"/>
          <w:bCs/>
          <w:color w:val="auto"/>
          <w:spacing w:val="6"/>
          <w:sz w:val="21"/>
          <w:szCs w:val="21"/>
        </w:rPr>
        <w:t>（三）评标委员会将按照评标标准分别进行独立评审。</w:t>
      </w:r>
    </w:p>
    <w:p>
      <w:pPr>
        <w:keepNext w:val="0"/>
        <w:keepLines w:val="0"/>
        <w:pageBreakBefore w:val="0"/>
        <w:widowControl w:val="0"/>
        <w:kinsoku/>
        <w:wordWrap/>
        <w:overflowPunct/>
        <w:topLinePunct w:val="0"/>
        <w:autoSpaceDE/>
        <w:autoSpaceDN/>
        <w:bidi w:val="0"/>
        <w:adjustRightInd/>
        <w:spacing w:line="400" w:lineRule="exact"/>
        <w:jc w:val="left"/>
        <w:textAlignment w:val="auto"/>
        <w:rPr>
          <w:rFonts w:hint="default" w:ascii="Times New Roman" w:hAnsi="Times New Roman" w:cs="Times New Roman"/>
          <w:bCs/>
          <w:color w:val="auto"/>
          <w:spacing w:val="6"/>
          <w:sz w:val="21"/>
          <w:szCs w:val="21"/>
        </w:rPr>
      </w:pPr>
      <w:r>
        <w:rPr>
          <w:rFonts w:hint="default" w:ascii="Times New Roman" w:hAnsi="Times New Roman" w:cs="Times New Roman"/>
          <w:bCs/>
          <w:color w:val="auto"/>
          <w:spacing w:val="6"/>
          <w:sz w:val="21"/>
          <w:szCs w:val="21"/>
        </w:rPr>
        <w:t>二、评分标准</w:t>
      </w:r>
      <w:bookmarkEnd w:id="64"/>
    </w:p>
    <w:tbl>
      <w:tblPr>
        <w:tblStyle w:val="23"/>
        <w:tblW w:w="929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041"/>
        <w:gridCol w:w="1560"/>
        <w:gridCol w:w="569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2041" w:type="dxa"/>
            <w:tcBorders>
              <w:right w:val="single" w:color="auto" w:sz="4" w:space="0"/>
            </w:tcBorders>
            <w:noWrap w:val="0"/>
            <w:vAlign w:val="top"/>
          </w:tcPr>
          <w:p>
            <w:pPr>
              <w:spacing w:line="360" w:lineRule="auto"/>
              <w:ind w:firstLine="482" w:firstLineChars="200"/>
              <w:jc w:val="center"/>
              <w:rPr>
                <w:rFonts w:hint="default" w:ascii="Times New Roman" w:hAnsi="Times New Roman" w:eastAsia="仿宋" w:cs="Times New Roman"/>
                <w:b/>
                <w:color w:val="auto"/>
                <w:sz w:val="24"/>
                <w:szCs w:val="24"/>
                <w:highlight w:val="none"/>
              </w:rPr>
            </w:pPr>
            <w:r>
              <w:rPr>
                <w:rFonts w:hint="default" w:ascii="Times New Roman" w:hAnsi="Times New Roman" w:eastAsia="仿宋" w:cs="Times New Roman"/>
                <w:b/>
                <w:color w:val="auto"/>
                <w:sz w:val="24"/>
                <w:szCs w:val="24"/>
                <w:highlight w:val="none"/>
              </w:rPr>
              <w:t>评分因素</w:t>
            </w:r>
          </w:p>
        </w:tc>
        <w:tc>
          <w:tcPr>
            <w:tcW w:w="7256" w:type="dxa"/>
            <w:gridSpan w:val="2"/>
            <w:tcBorders>
              <w:left w:val="single" w:color="auto" w:sz="4" w:space="0"/>
            </w:tcBorders>
            <w:noWrap w:val="0"/>
            <w:vAlign w:val="center"/>
          </w:tcPr>
          <w:p>
            <w:pPr>
              <w:spacing w:line="360" w:lineRule="auto"/>
              <w:jc w:val="center"/>
              <w:rPr>
                <w:rFonts w:hint="default" w:ascii="Times New Roman" w:hAnsi="Times New Roman" w:eastAsia="仿宋" w:cs="Times New Roman"/>
                <w:b/>
                <w:color w:val="auto"/>
                <w:sz w:val="24"/>
                <w:szCs w:val="24"/>
                <w:highlight w:val="none"/>
              </w:rPr>
            </w:pPr>
            <w:r>
              <w:rPr>
                <w:rFonts w:hint="default" w:ascii="Times New Roman" w:hAnsi="Times New Roman" w:eastAsia="仿宋" w:cs="Times New Roman"/>
                <w:b/>
                <w:color w:val="auto"/>
                <w:sz w:val="24"/>
                <w:szCs w:val="24"/>
                <w:highlight w:val="none"/>
              </w:rPr>
              <w:t>评分标准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2041"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rPr>
              <w:t>报价得分（3</w:t>
            </w:r>
            <w:r>
              <w:rPr>
                <w:rFonts w:hint="eastAsia" w:ascii="Times New Roman" w:hAnsi="Times New Roman" w:eastAsia="仿宋" w:cs="Times New Roman"/>
                <w:color w:val="auto"/>
                <w:sz w:val="24"/>
                <w:szCs w:val="24"/>
                <w:highlight w:val="none"/>
                <w:lang w:val="en-US" w:eastAsia="zh-CN"/>
              </w:rPr>
              <w:t>5</w:t>
            </w:r>
            <w:r>
              <w:rPr>
                <w:rFonts w:hint="default" w:ascii="Times New Roman" w:hAnsi="Times New Roman" w:eastAsia="仿宋" w:cs="Times New Roman"/>
                <w:color w:val="auto"/>
                <w:sz w:val="24"/>
                <w:szCs w:val="24"/>
                <w:highlight w:val="none"/>
              </w:rPr>
              <w:t>分）</w:t>
            </w:r>
          </w:p>
        </w:tc>
        <w:tc>
          <w:tcPr>
            <w:tcW w:w="7256" w:type="dxa"/>
            <w:gridSpan w:val="2"/>
            <w:tcBorders>
              <w:lef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Times New Roman" w:hAnsi="Times New Roman" w:eastAsia="仿宋" w:cs="Times New Roman"/>
                <w:color w:val="auto"/>
                <w:sz w:val="24"/>
                <w:szCs w:val="24"/>
                <w:highlight w:val="none"/>
              </w:rPr>
            </w:pPr>
            <w:r>
              <w:rPr>
                <w:rFonts w:hint="eastAsia" w:ascii="Times New Roman" w:hAnsi="Times New Roman" w:eastAsia="仿宋" w:cs="Times New Roman"/>
                <w:color w:val="auto"/>
                <w:sz w:val="24"/>
                <w:szCs w:val="24"/>
                <w:highlight w:val="none"/>
              </w:rPr>
              <w:t>满足招标文件要求且价格最低的报价为评标基准价，其价格分为满分（即</w:t>
            </w:r>
            <w:r>
              <w:rPr>
                <w:rFonts w:hint="eastAsia" w:ascii="Times New Roman" w:hAnsi="Times New Roman" w:eastAsia="仿宋" w:cs="Times New Roman"/>
                <w:color w:val="auto"/>
                <w:sz w:val="24"/>
                <w:szCs w:val="24"/>
                <w:highlight w:val="none"/>
                <w:lang w:val="en-US" w:eastAsia="zh-CN"/>
              </w:rPr>
              <w:t>35</w:t>
            </w:r>
            <w:r>
              <w:rPr>
                <w:rFonts w:hint="eastAsia" w:ascii="Times New Roman" w:hAnsi="Times New Roman" w:eastAsia="仿宋" w:cs="Times New Roman"/>
                <w:color w:val="auto"/>
                <w:sz w:val="24"/>
                <w:szCs w:val="24"/>
                <w:highlight w:val="none"/>
              </w:rPr>
              <w:t>分）。其他投标人的价格分统一按照下列公式计算：</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default"/>
              </w:rPr>
            </w:pPr>
            <w:r>
              <w:rPr>
                <w:rFonts w:hint="eastAsia" w:ascii="Times New Roman" w:hAnsi="Times New Roman" w:eastAsia="仿宋" w:cs="Times New Roman"/>
                <w:color w:val="auto"/>
                <w:sz w:val="24"/>
                <w:szCs w:val="24"/>
                <w:highlight w:val="none"/>
              </w:rPr>
              <w:t>报价得分=(评标基准价／报价) ×价格权值（</w:t>
            </w:r>
            <w:r>
              <w:rPr>
                <w:rFonts w:hint="eastAsia" w:ascii="Times New Roman" w:hAnsi="Times New Roman" w:eastAsia="仿宋" w:cs="Times New Roman"/>
                <w:color w:val="auto"/>
                <w:sz w:val="24"/>
                <w:szCs w:val="24"/>
                <w:highlight w:val="none"/>
                <w:lang w:val="en-US" w:eastAsia="zh-CN"/>
              </w:rPr>
              <w:t>35</w:t>
            </w:r>
            <w:r>
              <w:rPr>
                <w:rFonts w:hint="eastAsia" w:ascii="Times New Roman" w:hAnsi="Times New Roman" w:eastAsia="仿宋" w:cs="Times New Roman"/>
                <w:color w:val="auto"/>
                <w:sz w:val="24"/>
                <w:szCs w:val="24"/>
                <w:highlight w:val="none"/>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2041" w:type="dxa"/>
            <w:vMerge w:val="restar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rPr>
              <w:t>技术部分（</w:t>
            </w:r>
            <w:r>
              <w:rPr>
                <w:rFonts w:hint="eastAsia" w:ascii="Times New Roman" w:hAnsi="Times New Roman" w:eastAsia="仿宋" w:cs="Times New Roman"/>
                <w:color w:val="auto"/>
                <w:sz w:val="24"/>
                <w:szCs w:val="24"/>
                <w:highlight w:val="none"/>
                <w:lang w:val="en-US" w:eastAsia="zh-CN"/>
              </w:rPr>
              <w:t>35</w:t>
            </w:r>
            <w:r>
              <w:rPr>
                <w:rFonts w:hint="default" w:ascii="Times New Roman" w:hAnsi="Times New Roman" w:eastAsia="仿宋" w:cs="Times New Roman"/>
                <w:color w:val="auto"/>
                <w:sz w:val="24"/>
                <w:szCs w:val="24"/>
                <w:highlight w:val="none"/>
              </w:rPr>
              <w:t>分）</w:t>
            </w:r>
          </w:p>
        </w:tc>
        <w:tc>
          <w:tcPr>
            <w:tcW w:w="1560" w:type="dxa"/>
            <w:tcBorders>
              <w:left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Times New Roman" w:hAnsi="Times New Roman" w:eastAsia="仿宋" w:cs="Times New Roman"/>
                <w:color w:val="auto"/>
                <w:sz w:val="24"/>
                <w:szCs w:val="24"/>
                <w:highlight w:val="none"/>
              </w:rPr>
            </w:pPr>
            <w:r>
              <w:rPr>
                <w:rFonts w:hint="eastAsia" w:ascii="Times New Roman" w:hAnsi="Times New Roman" w:eastAsia="仿宋" w:cs="Times New Roman"/>
                <w:color w:val="auto"/>
                <w:sz w:val="24"/>
                <w:szCs w:val="24"/>
                <w:highlight w:val="none"/>
              </w:rPr>
              <w:t>技术方案（2</w:t>
            </w:r>
            <w:r>
              <w:rPr>
                <w:rFonts w:hint="eastAsia" w:ascii="Times New Roman" w:hAnsi="Times New Roman" w:eastAsia="仿宋" w:cs="Times New Roman"/>
                <w:color w:val="auto"/>
                <w:sz w:val="24"/>
                <w:szCs w:val="24"/>
                <w:highlight w:val="none"/>
                <w:lang w:val="en-US" w:eastAsia="zh-CN"/>
              </w:rPr>
              <w:t>0</w:t>
            </w:r>
            <w:r>
              <w:rPr>
                <w:rFonts w:hint="eastAsia" w:ascii="Times New Roman" w:hAnsi="Times New Roman" w:eastAsia="仿宋" w:cs="Times New Roman"/>
                <w:color w:val="auto"/>
                <w:sz w:val="24"/>
                <w:szCs w:val="24"/>
                <w:highlight w:val="none"/>
              </w:rPr>
              <w:t>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Times New Roman" w:hAnsi="Times New Roman" w:eastAsia="仿宋" w:cs="Times New Roman"/>
                <w:color w:val="auto"/>
                <w:sz w:val="24"/>
                <w:szCs w:val="24"/>
                <w:highlight w:val="none"/>
                <w:lang w:val="en-US" w:eastAsia="zh-CN"/>
              </w:rPr>
            </w:pPr>
          </w:p>
        </w:tc>
        <w:tc>
          <w:tcPr>
            <w:tcW w:w="5696" w:type="dxa"/>
            <w:tcBorders>
              <w:left w:val="single" w:color="auto" w:sz="4" w:space="0"/>
            </w:tcBorders>
            <w:noWrap w:val="0"/>
            <w:vAlign w:val="top"/>
          </w:tcPr>
          <w:p>
            <w:pPr>
              <w:pStyle w:val="37"/>
              <w:ind w:firstLine="0" w:firstLineChars="0"/>
              <w:rPr>
                <w:rFonts w:hint="eastAsia" w:ascii="Times New Roman" w:hAnsi="Times New Roman" w:eastAsia="仿宋" w:cs="Times New Roman"/>
                <w:color w:val="auto"/>
                <w:szCs w:val="24"/>
                <w:lang w:val="zh-CN"/>
              </w:rPr>
            </w:pPr>
            <w:r>
              <w:rPr>
                <w:rFonts w:hint="eastAsia" w:ascii="Times New Roman" w:hAnsi="Times New Roman" w:eastAsia="仿宋" w:cs="Times New Roman"/>
                <w:color w:val="auto"/>
                <w:szCs w:val="24"/>
                <w:lang w:val="zh-CN"/>
              </w:rPr>
              <w:t>1、污水处理、废气处理技术方案工艺选择是否合理，优的</w:t>
            </w:r>
            <w:r>
              <w:rPr>
                <w:rFonts w:hint="eastAsia" w:ascii="Times New Roman" w:hAnsi="Times New Roman" w:eastAsia="仿宋" w:cs="Times New Roman"/>
                <w:color w:val="auto"/>
                <w:sz w:val="24"/>
                <w:szCs w:val="24"/>
                <w:lang w:val="en-US" w:eastAsia="zh-CN"/>
              </w:rPr>
              <w:t>得</w:t>
            </w:r>
            <w:r>
              <w:rPr>
                <w:rFonts w:hint="eastAsia" w:ascii="Times New Roman" w:hAnsi="Times New Roman" w:eastAsia="仿宋" w:cs="Times New Roman"/>
                <w:color w:val="auto"/>
                <w:szCs w:val="24"/>
                <w:lang w:val="en-US" w:eastAsia="zh-CN"/>
              </w:rPr>
              <w:t>5</w:t>
            </w:r>
            <w:r>
              <w:rPr>
                <w:rFonts w:hint="eastAsia" w:ascii="Times New Roman" w:hAnsi="Times New Roman" w:eastAsia="仿宋" w:cs="Times New Roman"/>
                <w:color w:val="auto"/>
                <w:szCs w:val="24"/>
                <w:lang w:val="zh-CN"/>
              </w:rPr>
              <w:t>分，较优的得</w:t>
            </w:r>
            <w:r>
              <w:rPr>
                <w:rFonts w:hint="eastAsia" w:ascii="Times New Roman" w:hAnsi="Times New Roman" w:eastAsia="仿宋" w:cs="Times New Roman"/>
                <w:color w:val="auto"/>
                <w:szCs w:val="24"/>
                <w:lang w:val="en-US" w:eastAsia="zh-CN"/>
              </w:rPr>
              <w:t>3</w:t>
            </w:r>
            <w:r>
              <w:rPr>
                <w:rFonts w:hint="eastAsia" w:ascii="Times New Roman" w:hAnsi="Times New Roman" w:eastAsia="仿宋" w:cs="Times New Roman"/>
                <w:color w:val="auto"/>
                <w:szCs w:val="24"/>
                <w:lang w:val="zh-CN"/>
              </w:rPr>
              <w:t>分，一般的得1分，没有的不得分；。</w:t>
            </w:r>
          </w:p>
          <w:p>
            <w:pPr>
              <w:pStyle w:val="37"/>
              <w:ind w:firstLine="0" w:firstLineChars="0"/>
              <w:rPr>
                <w:rFonts w:hint="eastAsia" w:ascii="Times New Roman" w:hAnsi="Times New Roman" w:eastAsia="仿宋" w:cs="Times New Roman"/>
                <w:color w:val="auto"/>
                <w:szCs w:val="24"/>
                <w:lang w:val="zh-CN"/>
              </w:rPr>
            </w:pPr>
            <w:r>
              <w:rPr>
                <w:rFonts w:hint="eastAsia" w:ascii="Times New Roman" w:hAnsi="Times New Roman" w:eastAsia="仿宋" w:cs="Times New Roman"/>
                <w:color w:val="auto"/>
                <w:szCs w:val="24"/>
                <w:lang w:val="zh-CN"/>
              </w:rPr>
              <w:t>2、污水处理、废气处理技术方案中一体化设备钢板厚度不得低于8mm、设备防腐蚀等达到国家技术要求、提供详细内部功能分区，依据方案情况得分，优的</w:t>
            </w:r>
            <w:r>
              <w:rPr>
                <w:rFonts w:hint="eastAsia" w:ascii="Times New Roman" w:hAnsi="Times New Roman" w:eastAsia="仿宋" w:cs="Times New Roman"/>
                <w:color w:val="auto"/>
                <w:sz w:val="24"/>
                <w:szCs w:val="24"/>
                <w:lang w:val="en-US" w:eastAsia="zh-CN"/>
              </w:rPr>
              <w:t>得</w:t>
            </w:r>
            <w:r>
              <w:rPr>
                <w:rFonts w:hint="eastAsia" w:ascii="Times New Roman" w:hAnsi="Times New Roman" w:eastAsia="仿宋" w:cs="Times New Roman"/>
                <w:color w:val="auto"/>
                <w:szCs w:val="24"/>
                <w:lang w:val="en-US" w:eastAsia="zh-CN"/>
              </w:rPr>
              <w:t>10</w:t>
            </w:r>
            <w:r>
              <w:rPr>
                <w:rFonts w:hint="eastAsia" w:ascii="Times New Roman" w:hAnsi="Times New Roman" w:eastAsia="仿宋" w:cs="Times New Roman"/>
                <w:color w:val="auto"/>
                <w:szCs w:val="24"/>
                <w:lang w:val="zh-CN"/>
              </w:rPr>
              <w:t>分，较优的得</w:t>
            </w:r>
            <w:r>
              <w:rPr>
                <w:rFonts w:hint="eastAsia" w:ascii="Times New Roman" w:hAnsi="Times New Roman" w:eastAsia="仿宋" w:cs="Times New Roman"/>
                <w:color w:val="auto"/>
                <w:szCs w:val="24"/>
                <w:lang w:val="en-US" w:eastAsia="zh-CN"/>
              </w:rPr>
              <w:t>7</w:t>
            </w:r>
            <w:r>
              <w:rPr>
                <w:rFonts w:hint="eastAsia" w:ascii="Times New Roman" w:hAnsi="Times New Roman" w:eastAsia="仿宋" w:cs="Times New Roman"/>
                <w:color w:val="auto"/>
                <w:szCs w:val="24"/>
                <w:lang w:val="zh-CN"/>
              </w:rPr>
              <w:t>分，一般的得</w:t>
            </w:r>
            <w:r>
              <w:rPr>
                <w:rFonts w:hint="eastAsia" w:ascii="Times New Roman" w:hAnsi="Times New Roman" w:eastAsia="仿宋" w:cs="Times New Roman"/>
                <w:color w:val="auto"/>
                <w:szCs w:val="24"/>
                <w:lang w:val="en-US" w:eastAsia="zh-CN"/>
              </w:rPr>
              <w:t>3</w:t>
            </w:r>
            <w:r>
              <w:rPr>
                <w:rFonts w:hint="eastAsia" w:ascii="Times New Roman" w:hAnsi="Times New Roman" w:eastAsia="仿宋" w:cs="Times New Roman"/>
                <w:color w:val="auto"/>
                <w:szCs w:val="24"/>
                <w:lang w:val="zh-CN"/>
              </w:rPr>
              <w:t>分，没有的不得分；</w:t>
            </w:r>
          </w:p>
          <w:p>
            <w:pPr>
              <w:pStyle w:val="37"/>
              <w:ind w:firstLine="0" w:firstLineChars="0"/>
              <w:rPr>
                <w:rFonts w:hint="eastAsia" w:ascii="Times New Roman" w:hAnsi="Times New Roman" w:eastAsia="仿宋" w:cs="Times New Roman"/>
                <w:color w:val="auto"/>
                <w:szCs w:val="24"/>
                <w:lang w:val="zh-CN"/>
              </w:rPr>
            </w:pPr>
            <w:r>
              <w:rPr>
                <w:rFonts w:hint="eastAsia" w:ascii="Times New Roman" w:hAnsi="Times New Roman" w:eastAsia="仿宋" w:cs="Times New Roman"/>
                <w:color w:val="auto"/>
                <w:szCs w:val="24"/>
                <w:lang w:val="zh-CN"/>
              </w:rPr>
              <w:t>注：投标人必须提供设备等实际参数。</w:t>
            </w:r>
          </w:p>
          <w:p>
            <w:pPr>
              <w:pStyle w:val="37"/>
              <w:ind w:firstLine="0" w:firstLineChars="0"/>
              <w:rPr>
                <w:rFonts w:hint="eastAsia" w:ascii="Times New Roman" w:hAnsi="Times New Roman" w:eastAsia="仿宋" w:cs="Times New Roman"/>
                <w:color w:val="auto"/>
                <w:szCs w:val="24"/>
                <w:lang w:val="zh-CN"/>
              </w:rPr>
            </w:pPr>
            <w:r>
              <w:rPr>
                <w:rFonts w:hint="eastAsia" w:ascii="Times New Roman" w:hAnsi="Times New Roman" w:eastAsia="仿宋" w:cs="Times New Roman"/>
                <w:color w:val="auto"/>
                <w:szCs w:val="24"/>
                <w:lang w:val="zh-CN"/>
              </w:rPr>
              <w:t>3、污水处理、废气处理技术方案中标准设备、阀门等选择参数是否合理，优的</w:t>
            </w:r>
            <w:r>
              <w:rPr>
                <w:rFonts w:hint="eastAsia" w:ascii="Times New Roman" w:hAnsi="Times New Roman" w:eastAsia="仿宋" w:cs="Times New Roman"/>
                <w:color w:val="auto"/>
                <w:sz w:val="24"/>
                <w:szCs w:val="24"/>
                <w:lang w:val="en-US" w:eastAsia="zh-CN"/>
              </w:rPr>
              <w:t>得</w:t>
            </w:r>
            <w:r>
              <w:rPr>
                <w:rFonts w:hint="eastAsia" w:ascii="Times New Roman" w:hAnsi="Times New Roman" w:eastAsia="仿宋" w:cs="Times New Roman"/>
                <w:color w:val="auto"/>
                <w:szCs w:val="24"/>
                <w:lang w:val="en-US" w:eastAsia="zh-CN"/>
              </w:rPr>
              <w:t>5</w:t>
            </w:r>
            <w:r>
              <w:rPr>
                <w:rFonts w:hint="eastAsia" w:ascii="Times New Roman" w:hAnsi="Times New Roman" w:eastAsia="仿宋" w:cs="Times New Roman"/>
                <w:color w:val="auto"/>
                <w:szCs w:val="24"/>
                <w:lang w:val="zh-CN"/>
              </w:rPr>
              <w:t>分，较优的得</w:t>
            </w:r>
            <w:r>
              <w:rPr>
                <w:rFonts w:hint="eastAsia" w:ascii="Times New Roman" w:hAnsi="Times New Roman" w:eastAsia="仿宋" w:cs="Times New Roman"/>
                <w:color w:val="auto"/>
                <w:szCs w:val="24"/>
                <w:lang w:val="en-US" w:eastAsia="zh-CN"/>
              </w:rPr>
              <w:t>3</w:t>
            </w:r>
            <w:r>
              <w:rPr>
                <w:rFonts w:hint="eastAsia" w:ascii="Times New Roman" w:hAnsi="Times New Roman" w:eastAsia="仿宋" w:cs="Times New Roman"/>
                <w:color w:val="auto"/>
                <w:szCs w:val="24"/>
                <w:lang w:val="zh-CN"/>
              </w:rPr>
              <w:t>分，一般的得1分，没有的不得分。</w:t>
            </w:r>
          </w:p>
          <w:p>
            <w:pPr>
              <w:pStyle w:val="37"/>
              <w:ind w:firstLine="0" w:firstLineChars="0"/>
              <w:rPr>
                <w:rFonts w:hint="default" w:ascii="Times New Roman" w:hAnsi="Times New Roman" w:eastAsia="仿宋" w:cs="Times New Roman"/>
                <w:color w:val="auto"/>
                <w:szCs w:val="24"/>
                <w:lang w:val="zh-CN"/>
              </w:rPr>
            </w:pPr>
            <w:r>
              <w:rPr>
                <w:rFonts w:hint="eastAsia" w:ascii="Times New Roman" w:hAnsi="Times New Roman" w:eastAsia="仿宋" w:cs="Times New Roman"/>
                <w:color w:val="auto"/>
                <w:szCs w:val="24"/>
                <w:lang w:val="zh-CN"/>
              </w:rPr>
              <w:t>注：投标人必须提供标准设备、阀门等实际参数。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2041"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Times New Roman" w:hAnsi="Times New Roman" w:eastAsia="仿宋" w:cs="Times New Roman"/>
                <w:color w:val="auto"/>
                <w:sz w:val="24"/>
                <w:szCs w:val="24"/>
                <w:highlight w:val="none"/>
              </w:rPr>
            </w:pPr>
          </w:p>
        </w:tc>
        <w:tc>
          <w:tcPr>
            <w:tcW w:w="1560" w:type="dxa"/>
            <w:tcBorders>
              <w:left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Times New Roman" w:hAnsi="Times New Roman" w:eastAsia="仿宋" w:cs="Times New Roman"/>
                <w:color w:val="auto"/>
                <w:sz w:val="24"/>
                <w:szCs w:val="24"/>
                <w:highlight w:val="none"/>
              </w:rPr>
            </w:pPr>
            <w:r>
              <w:rPr>
                <w:rFonts w:hint="eastAsia" w:ascii="Times New Roman" w:hAnsi="Times New Roman" w:eastAsia="仿宋" w:cs="Times New Roman"/>
                <w:color w:val="auto"/>
                <w:sz w:val="24"/>
                <w:szCs w:val="24"/>
                <w:highlight w:val="none"/>
              </w:rPr>
              <w:t>实施方案（15分）</w:t>
            </w:r>
          </w:p>
        </w:tc>
        <w:tc>
          <w:tcPr>
            <w:tcW w:w="5696" w:type="dxa"/>
            <w:tcBorders>
              <w:left w:val="single" w:color="auto" w:sz="4" w:space="0"/>
            </w:tcBorders>
            <w:noWrap w:val="0"/>
            <w:vAlign w:val="top"/>
          </w:tcPr>
          <w:p>
            <w:pPr>
              <w:pStyle w:val="37"/>
              <w:ind w:firstLine="0" w:firstLineChars="0"/>
              <w:rPr>
                <w:rFonts w:hint="eastAsia" w:ascii="Times New Roman" w:hAnsi="Times New Roman" w:eastAsia="仿宋" w:cs="Times New Roman"/>
                <w:color w:val="auto"/>
                <w:szCs w:val="24"/>
                <w:lang w:val="zh-CN"/>
              </w:rPr>
            </w:pPr>
            <w:r>
              <w:rPr>
                <w:rFonts w:hint="eastAsia" w:ascii="Times New Roman" w:hAnsi="Times New Roman" w:eastAsia="仿宋" w:cs="Times New Roman"/>
                <w:color w:val="auto"/>
                <w:szCs w:val="24"/>
                <w:lang w:val="zh-CN"/>
              </w:rPr>
              <w:t>1、施工方案和技术措施（方案的完整、合理、可行。）优的</w:t>
            </w:r>
            <w:r>
              <w:rPr>
                <w:rFonts w:hint="eastAsia" w:ascii="Times New Roman" w:hAnsi="Times New Roman" w:eastAsia="仿宋" w:cs="Times New Roman"/>
                <w:color w:val="auto"/>
                <w:sz w:val="24"/>
                <w:szCs w:val="24"/>
                <w:lang w:val="en-US" w:eastAsia="zh-CN"/>
              </w:rPr>
              <w:t>得</w:t>
            </w:r>
            <w:r>
              <w:rPr>
                <w:rFonts w:hint="eastAsia" w:ascii="Times New Roman" w:hAnsi="Times New Roman" w:eastAsia="仿宋" w:cs="Times New Roman"/>
                <w:color w:val="auto"/>
                <w:szCs w:val="24"/>
                <w:lang w:val="zh-CN"/>
              </w:rPr>
              <w:t>3分，较优的得2分，一般的得1分，没有的不得分；</w:t>
            </w:r>
          </w:p>
          <w:p>
            <w:pPr>
              <w:pStyle w:val="37"/>
              <w:ind w:firstLine="0" w:firstLineChars="0"/>
              <w:rPr>
                <w:rFonts w:hint="eastAsia" w:ascii="Times New Roman" w:hAnsi="Times New Roman" w:eastAsia="仿宋" w:cs="Times New Roman"/>
                <w:color w:val="auto"/>
                <w:szCs w:val="24"/>
                <w:lang w:val="zh-CN"/>
              </w:rPr>
            </w:pPr>
            <w:r>
              <w:rPr>
                <w:rFonts w:hint="eastAsia" w:ascii="Times New Roman" w:hAnsi="Times New Roman" w:eastAsia="仿宋" w:cs="Times New Roman"/>
                <w:color w:val="auto"/>
                <w:szCs w:val="24"/>
                <w:lang w:val="zh-CN"/>
              </w:rPr>
              <w:t>2、质量保证与控制措施（方案的完整、合理、可行。）优的得3分，较优的得2分，一般的得1分，没有的不得分；</w:t>
            </w:r>
          </w:p>
          <w:p>
            <w:pPr>
              <w:pStyle w:val="37"/>
              <w:ind w:firstLine="0" w:firstLineChars="0"/>
              <w:rPr>
                <w:rFonts w:hint="eastAsia" w:ascii="Times New Roman" w:hAnsi="Times New Roman" w:eastAsia="仿宋" w:cs="Times New Roman"/>
                <w:color w:val="auto"/>
                <w:szCs w:val="24"/>
                <w:lang w:val="zh-CN"/>
              </w:rPr>
            </w:pPr>
            <w:r>
              <w:rPr>
                <w:rFonts w:hint="eastAsia" w:ascii="Times New Roman" w:hAnsi="Times New Roman" w:eastAsia="仿宋" w:cs="Times New Roman"/>
                <w:color w:val="auto"/>
                <w:szCs w:val="24"/>
                <w:lang w:val="zh-CN"/>
              </w:rPr>
              <w:t>3、工期保证与控制措施（方案的完整、合理、可行。）优的得3分，较优的2分，一般的得1分，没有的不得分；</w:t>
            </w:r>
          </w:p>
          <w:p>
            <w:pPr>
              <w:pStyle w:val="37"/>
              <w:ind w:firstLine="0" w:firstLineChars="0"/>
              <w:rPr>
                <w:rFonts w:hint="eastAsia" w:ascii="Times New Roman" w:hAnsi="Times New Roman" w:eastAsia="仿宋" w:cs="Times New Roman"/>
                <w:color w:val="auto"/>
                <w:szCs w:val="24"/>
                <w:lang w:val="zh-CN"/>
              </w:rPr>
            </w:pPr>
            <w:r>
              <w:rPr>
                <w:rFonts w:hint="eastAsia" w:ascii="Times New Roman" w:hAnsi="Times New Roman" w:eastAsia="仿宋" w:cs="Times New Roman"/>
                <w:color w:val="auto"/>
                <w:szCs w:val="24"/>
                <w:lang w:val="zh-CN"/>
              </w:rPr>
              <w:t>4、安全施工技术组织措施（方案的完整、合理、可行。）优的得3分，较优的得2分，一般的得1分，没有的不得分；</w:t>
            </w:r>
          </w:p>
          <w:p>
            <w:pPr>
              <w:pStyle w:val="37"/>
              <w:ind w:firstLine="0" w:firstLineChars="0"/>
              <w:rPr>
                <w:rFonts w:hint="default" w:ascii="Times New Roman" w:hAnsi="Times New Roman" w:eastAsia="仿宋" w:cs="Times New Roman"/>
                <w:color w:val="auto"/>
                <w:szCs w:val="24"/>
                <w:lang w:val="zh-CN"/>
              </w:rPr>
            </w:pPr>
            <w:r>
              <w:rPr>
                <w:rFonts w:hint="eastAsia" w:ascii="Times New Roman" w:hAnsi="Times New Roman" w:eastAsia="仿宋" w:cs="Times New Roman"/>
                <w:color w:val="auto"/>
                <w:szCs w:val="24"/>
                <w:lang w:val="zh-CN"/>
              </w:rPr>
              <w:t>5、安装、调试、测试等人员配备（方案的完整、合理、可行。）优的得3分，较优的得2分，一般的得1分，没有的不得分；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0" w:hRule="atLeast"/>
          <w:jc w:val="center"/>
        </w:trPr>
        <w:tc>
          <w:tcPr>
            <w:tcW w:w="2041" w:type="dxa"/>
            <w:vMerge w:val="restart"/>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Times New Roman" w:hAnsi="Times New Roman" w:eastAsia="仿宋" w:cs="Times New Roman"/>
                <w:color w:val="auto"/>
                <w:sz w:val="24"/>
                <w:szCs w:val="24"/>
                <w:highlight w:val="none"/>
              </w:rPr>
            </w:pPr>
            <w:r>
              <w:rPr>
                <w:rFonts w:hint="default" w:ascii="Times New Roman" w:hAnsi="Times New Roman" w:eastAsia="仿宋" w:cs="Times New Roman"/>
                <w:color w:val="auto"/>
                <w:sz w:val="24"/>
                <w:szCs w:val="24"/>
                <w:highlight w:val="none"/>
              </w:rPr>
              <w:t>商务部分（</w:t>
            </w:r>
            <w:r>
              <w:rPr>
                <w:rFonts w:hint="default" w:ascii="Times New Roman" w:hAnsi="Times New Roman" w:eastAsia="仿宋" w:cs="Times New Roman"/>
                <w:color w:val="auto"/>
                <w:sz w:val="24"/>
                <w:szCs w:val="24"/>
                <w:highlight w:val="none"/>
                <w:lang w:val="en-US" w:eastAsia="zh-CN"/>
              </w:rPr>
              <w:t>30</w:t>
            </w:r>
            <w:r>
              <w:rPr>
                <w:rFonts w:hint="default" w:ascii="Times New Roman" w:hAnsi="Times New Roman" w:eastAsia="仿宋" w:cs="Times New Roman"/>
                <w:color w:val="auto"/>
                <w:sz w:val="24"/>
                <w:szCs w:val="24"/>
                <w:highlight w:val="none"/>
              </w:rPr>
              <w:t>分）</w:t>
            </w:r>
          </w:p>
        </w:tc>
        <w:tc>
          <w:tcPr>
            <w:tcW w:w="1560" w:type="dxa"/>
            <w:tcBorders>
              <w:left w:val="single" w:color="auto" w:sz="4" w:space="0"/>
              <w:right w:val="single" w:color="auto" w:sz="4" w:space="0"/>
            </w:tcBorders>
            <w:noWrap w:val="0"/>
            <w:vAlign w:val="center"/>
          </w:tcPr>
          <w:p>
            <w:pPr>
              <w:spacing w:line="500" w:lineRule="exact"/>
              <w:ind w:right="120" w:rightChars="50"/>
              <w:jc w:val="center"/>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rPr>
              <w:t>实施团队</w:t>
            </w:r>
          </w:p>
          <w:p>
            <w:pPr>
              <w:spacing w:line="500" w:lineRule="exact"/>
              <w:ind w:right="120" w:rightChars="50"/>
              <w:jc w:val="center"/>
              <w:rPr>
                <w:rFonts w:hint="default" w:ascii="Times New Roman" w:hAnsi="Times New Roman" w:eastAsia="宋体" w:cs="Times New Roman"/>
                <w:color w:val="auto"/>
                <w:kern w:val="2"/>
                <w:sz w:val="21"/>
                <w:lang w:val="en-US" w:eastAsia="zh-CN" w:bidi="ar-SA"/>
              </w:rPr>
            </w:pPr>
            <w:r>
              <w:rPr>
                <w:rFonts w:hint="eastAsia" w:ascii="Times New Roman" w:hAnsi="Times New Roman" w:eastAsia="仿宋" w:cs="Times New Roman"/>
                <w:color w:val="auto"/>
                <w:sz w:val="24"/>
                <w:szCs w:val="24"/>
                <w:lang w:val="en-US" w:eastAsia="zh-CN"/>
              </w:rPr>
              <w:t>10</w:t>
            </w:r>
            <w:r>
              <w:rPr>
                <w:rFonts w:hint="default" w:ascii="Times New Roman" w:hAnsi="Times New Roman" w:eastAsia="仿宋" w:cs="Times New Roman"/>
                <w:color w:val="auto"/>
                <w:sz w:val="24"/>
                <w:szCs w:val="24"/>
              </w:rPr>
              <w:t>分</w:t>
            </w:r>
          </w:p>
        </w:tc>
        <w:tc>
          <w:tcPr>
            <w:tcW w:w="5696" w:type="dxa"/>
            <w:tcBorders>
              <w:left w:val="single" w:color="auto" w:sz="4" w:space="0"/>
            </w:tcBorders>
            <w:noWrap w:val="0"/>
            <w:vAlign w:val="center"/>
          </w:tcPr>
          <w:p>
            <w:pPr>
              <w:pStyle w:val="37"/>
              <w:ind w:firstLine="0" w:firstLineChars="0"/>
              <w:rPr>
                <w:rFonts w:hint="default" w:ascii="Times New Roman" w:hAnsi="Times New Roman" w:eastAsia="仿宋" w:cs="Times New Roman"/>
                <w:color w:val="auto"/>
                <w:szCs w:val="24"/>
              </w:rPr>
            </w:pPr>
            <w:r>
              <w:rPr>
                <w:rFonts w:hint="default" w:ascii="Times New Roman" w:hAnsi="Times New Roman" w:eastAsia="仿宋" w:cs="Times New Roman"/>
                <w:color w:val="auto"/>
                <w:szCs w:val="24"/>
              </w:rPr>
              <w:t>根据</w:t>
            </w:r>
            <w:r>
              <w:rPr>
                <w:rFonts w:hint="eastAsia" w:ascii="Times New Roman" w:hAnsi="Times New Roman" w:eastAsia="仿宋" w:cs="Times New Roman"/>
                <w:color w:val="auto"/>
                <w:szCs w:val="24"/>
                <w:lang w:eastAsia="zh-CN"/>
              </w:rPr>
              <w:t>投标人</w:t>
            </w:r>
            <w:r>
              <w:rPr>
                <w:rFonts w:hint="default" w:ascii="Times New Roman" w:hAnsi="Times New Roman" w:eastAsia="仿宋" w:cs="Times New Roman"/>
                <w:color w:val="auto"/>
                <w:szCs w:val="24"/>
              </w:rPr>
              <w:t>项目实施团队的组织结构和人员配备情况，</w:t>
            </w:r>
            <w:r>
              <w:rPr>
                <w:rFonts w:hint="default" w:ascii="Times New Roman" w:hAnsi="Times New Roman" w:eastAsia="仿宋" w:cs="Times New Roman"/>
                <w:color w:val="auto"/>
                <w:szCs w:val="24"/>
                <w:lang w:val="zh-CN"/>
              </w:rPr>
              <w:t>评标委会进行综合评审打分</w:t>
            </w:r>
            <w:r>
              <w:rPr>
                <w:rFonts w:hint="eastAsia" w:ascii="Times New Roman" w:hAnsi="Times New Roman" w:eastAsia="仿宋" w:cs="Times New Roman"/>
                <w:color w:val="auto"/>
                <w:szCs w:val="24"/>
                <w:lang w:val="zh-CN"/>
              </w:rPr>
              <w:t>（</w:t>
            </w:r>
            <w:r>
              <w:rPr>
                <w:rFonts w:hint="eastAsia" w:ascii="Times New Roman" w:hAnsi="Times New Roman" w:eastAsia="仿宋" w:cs="Times New Roman"/>
                <w:color w:val="auto"/>
                <w:szCs w:val="24"/>
                <w:lang w:val="en-US" w:eastAsia="zh-CN"/>
              </w:rPr>
              <w:t>提供团队成员表格）</w:t>
            </w:r>
            <w:r>
              <w:rPr>
                <w:rFonts w:hint="default" w:ascii="Times New Roman" w:hAnsi="Times New Roman" w:eastAsia="仿宋" w:cs="Times New Roman"/>
                <w:color w:val="auto"/>
                <w:szCs w:val="24"/>
                <w:lang w:val="zh-CN"/>
              </w:rPr>
              <w:t>：</w:t>
            </w:r>
          </w:p>
          <w:p>
            <w:pPr>
              <w:pStyle w:val="37"/>
              <w:ind w:firstLine="480"/>
              <w:rPr>
                <w:rFonts w:hint="default" w:ascii="Times New Roman" w:hAnsi="Times New Roman" w:eastAsia="仿宋" w:cs="Times New Roman"/>
                <w:color w:val="auto"/>
                <w:szCs w:val="24"/>
              </w:rPr>
            </w:pPr>
            <w:r>
              <w:rPr>
                <w:rFonts w:hint="default" w:ascii="Times New Roman" w:hAnsi="Times New Roman" w:eastAsia="仿宋" w:cs="Times New Roman"/>
                <w:color w:val="auto"/>
                <w:szCs w:val="24"/>
              </w:rPr>
              <w:t>a组织管理机构完善、合理，团队人员构成专业性强、经验丰富符合项目特点的，得</w:t>
            </w:r>
            <w:r>
              <w:rPr>
                <w:rFonts w:hint="eastAsia" w:ascii="Times New Roman" w:hAnsi="Times New Roman" w:eastAsia="仿宋" w:cs="Times New Roman"/>
                <w:color w:val="auto"/>
                <w:szCs w:val="24"/>
                <w:lang w:val="en-US" w:eastAsia="zh-CN"/>
              </w:rPr>
              <w:t>10</w:t>
            </w:r>
            <w:r>
              <w:rPr>
                <w:rFonts w:hint="default" w:ascii="Times New Roman" w:hAnsi="Times New Roman" w:eastAsia="仿宋" w:cs="Times New Roman"/>
                <w:color w:val="auto"/>
                <w:szCs w:val="24"/>
              </w:rPr>
              <w:t>分；</w:t>
            </w:r>
          </w:p>
          <w:p>
            <w:pPr>
              <w:pStyle w:val="37"/>
              <w:ind w:firstLine="480"/>
              <w:rPr>
                <w:rFonts w:hint="default" w:ascii="Times New Roman" w:hAnsi="Times New Roman" w:eastAsia="仿宋" w:cs="Times New Roman"/>
                <w:color w:val="auto"/>
                <w:szCs w:val="24"/>
              </w:rPr>
            </w:pPr>
            <w:r>
              <w:rPr>
                <w:rFonts w:hint="default" w:ascii="Times New Roman" w:hAnsi="Times New Roman" w:eastAsia="仿宋" w:cs="Times New Roman"/>
                <w:color w:val="auto"/>
                <w:szCs w:val="24"/>
              </w:rPr>
              <w:t>b组织管理机构健全、合理，团队人员构成和专业性较好，相关经验较丰富，符合项目需求的，得</w:t>
            </w:r>
            <w:r>
              <w:rPr>
                <w:rFonts w:hint="eastAsia" w:ascii="Times New Roman" w:hAnsi="Times New Roman" w:eastAsia="仿宋" w:cs="Times New Roman"/>
                <w:color w:val="auto"/>
                <w:szCs w:val="24"/>
                <w:lang w:val="en-US" w:eastAsia="zh-CN"/>
              </w:rPr>
              <w:t>7</w:t>
            </w:r>
            <w:r>
              <w:rPr>
                <w:rFonts w:hint="default" w:ascii="Times New Roman" w:hAnsi="Times New Roman" w:eastAsia="仿宋" w:cs="Times New Roman"/>
                <w:color w:val="auto"/>
                <w:szCs w:val="24"/>
              </w:rPr>
              <w:t>分；</w:t>
            </w:r>
          </w:p>
          <w:p>
            <w:pPr>
              <w:pStyle w:val="37"/>
              <w:ind w:firstLine="480"/>
              <w:rPr>
                <w:rFonts w:hint="default" w:ascii="Times New Roman" w:hAnsi="Times New Roman" w:eastAsia="仿宋" w:cs="Times New Roman"/>
                <w:color w:val="auto"/>
                <w:szCs w:val="24"/>
              </w:rPr>
            </w:pPr>
            <w:r>
              <w:rPr>
                <w:rFonts w:hint="default" w:ascii="Times New Roman" w:hAnsi="Times New Roman" w:eastAsia="仿宋" w:cs="Times New Roman"/>
                <w:color w:val="auto"/>
                <w:szCs w:val="24"/>
              </w:rPr>
              <w:t>c组织管理机构和人员构成基本合理，专业性和相关经验有欠缺或低于其他档次</w:t>
            </w:r>
            <w:r>
              <w:rPr>
                <w:rFonts w:hint="eastAsia" w:ascii="Times New Roman" w:hAnsi="Times New Roman" w:eastAsia="仿宋" w:cs="Times New Roman"/>
                <w:color w:val="auto"/>
                <w:szCs w:val="24"/>
                <w:lang w:eastAsia="zh-CN"/>
              </w:rPr>
              <w:t>投标人</w:t>
            </w:r>
            <w:r>
              <w:rPr>
                <w:rFonts w:hint="default" w:ascii="Times New Roman" w:hAnsi="Times New Roman" w:eastAsia="仿宋" w:cs="Times New Roman"/>
                <w:color w:val="auto"/>
                <w:szCs w:val="24"/>
              </w:rPr>
              <w:t>，得</w:t>
            </w:r>
            <w:r>
              <w:rPr>
                <w:rFonts w:hint="eastAsia" w:ascii="Times New Roman" w:hAnsi="Times New Roman" w:eastAsia="仿宋" w:cs="Times New Roman"/>
                <w:color w:val="auto"/>
                <w:szCs w:val="24"/>
                <w:lang w:val="en-US" w:eastAsia="zh-CN"/>
              </w:rPr>
              <w:t>3</w:t>
            </w:r>
            <w:r>
              <w:rPr>
                <w:rFonts w:hint="default" w:ascii="Times New Roman" w:hAnsi="Times New Roman" w:eastAsia="仿宋" w:cs="Times New Roman"/>
                <w:color w:val="auto"/>
                <w:szCs w:val="24"/>
              </w:rPr>
              <w:t>分；</w:t>
            </w:r>
          </w:p>
          <w:p>
            <w:pPr>
              <w:pStyle w:val="37"/>
              <w:ind w:firstLine="480" w:firstLineChars="200"/>
              <w:rPr>
                <w:rFonts w:hint="default" w:ascii="Times New Roman" w:hAnsi="Times New Roman" w:eastAsia="仿宋" w:cs="Times New Roman"/>
                <w:color w:val="auto"/>
                <w:kern w:val="2"/>
                <w:sz w:val="24"/>
                <w:lang w:val="en-US" w:eastAsia="zh-CN" w:bidi="ar-SA"/>
              </w:rPr>
            </w:pPr>
            <w:r>
              <w:rPr>
                <w:rFonts w:hint="default" w:ascii="Times New Roman" w:hAnsi="Times New Roman" w:eastAsia="仿宋" w:cs="Times New Roman"/>
                <w:color w:val="auto"/>
                <w:szCs w:val="24"/>
              </w:rPr>
              <w:t>d未提供或存在重大偏差，不得分。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16" w:hRule="atLeast"/>
          <w:jc w:val="center"/>
        </w:trPr>
        <w:tc>
          <w:tcPr>
            <w:tcW w:w="2041" w:type="dxa"/>
            <w:vMerge w:val="continue"/>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default" w:ascii="Times New Roman" w:hAnsi="Times New Roman" w:eastAsia="仿宋" w:cs="Times New Roman"/>
                <w:b/>
                <w:color w:val="auto"/>
                <w:sz w:val="24"/>
                <w:szCs w:val="24"/>
                <w:highlight w:val="none"/>
              </w:rPr>
            </w:pPr>
          </w:p>
        </w:tc>
        <w:tc>
          <w:tcPr>
            <w:tcW w:w="1560" w:type="dxa"/>
            <w:tcBorders>
              <w:left w:val="single" w:color="auto" w:sz="4" w:space="0"/>
              <w:bottom w:val="single" w:color="auto" w:sz="4" w:space="0"/>
              <w:right w:val="single" w:color="auto" w:sz="4" w:space="0"/>
            </w:tcBorders>
            <w:noWrap w:val="0"/>
            <w:vAlign w:val="center"/>
          </w:tcPr>
          <w:p>
            <w:pPr>
              <w:spacing w:line="500" w:lineRule="exact"/>
              <w:jc w:val="center"/>
              <w:rPr>
                <w:rFonts w:hint="default" w:ascii="Times New Roman" w:hAnsi="Times New Roman" w:eastAsia="仿宋" w:cs="Times New Roman"/>
                <w:color w:val="auto"/>
                <w:kern w:val="2"/>
                <w:sz w:val="24"/>
                <w:szCs w:val="24"/>
                <w:lang w:val="en-US" w:eastAsia="zh-CN" w:bidi="ar-SA"/>
              </w:rPr>
            </w:pPr>
            <w:r>
              <w:rPr>
                <w:rFonts w:hint="default" w:ascii="Times New Roman" w:hAnsi="Times New Roman" w:eastAsia="仿宋" w:cs="Times New Roman"/>
                <w:color w:val="auto"/>
                <w:sz w:val="24"/>
                <w:szCs w:val="24"/>
              </w:rPr>
              <w:t>售后服务</w:t>
            </w:r>
            <w:r>
              <w:rPr>
                <w:rFonts w:hint="eastAsia" w:ascii="Times New Roman" w:hAnsi="Times New Roman" w:eastAsia="仿宋" w:cs="Times New Roman"/>
                <w:color w:val="auto"/>
                <w:sz w:val="24"/>
                <w:szCs w:val="24"/>
                <w:lang w:val="en-US" w:eastAsia="zh-CN"/>
              </w:rPr>
              <w:t>10</w:t>
            </w:r>
            <w:r>
              <w:rPr>
                <w:rFonts w:hint="default" w:ascii="Times New Roman" w:hAnsi="Times New Roman" w:eastAsia="仿宋" w:cs="Times New Roman"/>
                <w:color w:val="auto"/>
                <w:sz w:val="24"/>
                <w:szCs w:val="24"/>
              </w:rPr>
              <w:t>分</w:t>
            </w:r>
          </w:p>
        </w:tc>
        <w:tc>
          <w:tcPr>
            <w:tcW w:w="5696" w:type="dxa"/>
            <w:tcBorders>
              <w:left w:val="single" w:color="auto" w:sz="4" w:space="0"/>
              <w:bottom w:val="single" w:color="auto" w:sz="4" w:space="0"/>
            </w:tcBorders>
            <w:noWrap w:val="0"/>
            <w:vAlign w:val="center"/>
          </w:tcPr>
          <w:p>
            <w:pPr>
              <w:spacing w:line="500" w:lineRule="exact"/>
              <w:jc w:val="left"/>
              <w:rPr>
                <w:rFonts w:hint="default" w:ascii="Times New Roman" w:hAnsi="Times New Roman" w:eastAsia="仿宋" w:cs="Times New Roman"/>
                <w:color w:val="auto"/>
                <w:sz w:val="24"/>
                <w:szCs w:val="24"/>
                <w:lang w:val="zh-CN"/>
              </w:rPr>
            </w:pPr>
            <w:r>
              <w:rPr>
                <w:rFonts w:hint="default" w:ascii="Times New Roman" w:hAnsi="Times New Roman" w:eastAsia="仿宋" w:cs="Times New Roman"/>
                <w:color w:val="auto"/>
                <w:sz w:val="24"/>
                <w:szCs w:val="24"/>
              </w:rPr>
              <w:t>详细说明售后服务的内容、形式，含免费维修时间、解决质量或操作问题的实施程序和响应时间、售后服务组架构和质量控制、售后零部件供应体系等有具体详实服务内容描述横向评比</w:t>
            </w:r>
          </w:p>
          <w:p>
            <w:pPr>
              <w:spacing w:line="500" w:lineRule="exact"/>
              <w:jc w:val="left"/>
              <w:rPr>
                <w:rFonts w:hint="default" w:ascii="Times New Roman" w:hAnsi="Times New Roman" w:eastAsia="仿宋" w:cs="Times New Roman"/>
                <w:color w:val="auto"/>
                <w:sz w:val="24"/>
                <w:szCs w:val="24"/>
                <w:lang w:val="zh-CN"/>
              </w:rPr>
            </w:pPr>
            <w:r>
              <w:rPr>
                <w:rFonts w:hint="default" w:ascii="Times New Roman" w:hAnsi="Times New Roman" w:eastAsia="仿宋" w:cs="Times New Roman"/>
                <w:color w:val="auto"/>
                <w:sz w:val="24"/>
                <w:szCs w:val="24"/>
                <w:lang w:val="zh-CN"/>
              </w:rPr>
              <w:t>a对本项目制定有针对性的售后服务方案，服务内容详尽、服务保障工作及方式清晰易懂，适用本项目特性，切实可行的得</w:t>
            </w:r>
            <w:r>
              <w:rPr>
                <w:rFonts w:hint="eastAsia" w:ascii="Times New Roman" w:hAnsi="Times New Roman" w:eastAsia="仿宋" w:cs="Times New Roman"/>
                <w:color w:val="auto"/>
                <w:sz w:val="24"/>
                <w:szCs w:val="24"/>
                <w:lang w:val="en-US" w:eastAsia="zh-CN"/>
              </w:rPr>
              <w:t>10</w:t>
            </w:r>
            <w:r>
              <w:rPr>
                <w:rFonts w:hint="default" w:ascii="Times New Roman" w:hAnsi="Times New Roman" w:eastAsia="仿宋" w:cs="Times New Roman"/>
                <w:color w:val="auto"/>
                <w:sz w:val="24"/>
                <w:szCs w:val="24"/>
                <w:lang w:val="zh-CN"/>
              </w:rPr>
              <w:t>分；</w:t>
            </w:r>
          </w:p>
          <w:p>
            <w:pPr>
              <w:spacing w:line="500" w:lineRule="exact"/>
              <w:jc w:val="left"/>
              <w:rPr>
                <w:rFonts w:hint="default" w:ascii="Times New Roman" w:hAnsi="Times New Roman" w:eastAsia="仿宋" w:cs="Times New Roman"/>
                <w:color w:val="auto"/>
                <w:sz w:val="24"/>
                <w:szCs w:val="24"/>
                <w:lang w:val="zh-CN"/>
              </w:rPr>
            </w:pPr>
            <w:r>
              <w:rPr>
                <w:rFonts w:hint="default" w:ascii="Times New Roman" w:hAnsi="Times New Roman" w:eastAsia="仿宋" w:cs="Times New Roman"/>
                <w:color w:val="auto"/>
                <w:sz w:val="24"/>
                <w:szCs w:val="24"/>
                <w:lang w:val="zh-CN"/>
              </w:rPr>
              <w:t>b对本项目制定有针对性的售后服务方案，服务内容完整、服务保障工作及方式一般，适用本项目特性一般的得</w:t>
            </w:r>
            <w:r>
              <w:rPr>
                <w:rFonts w:hint="eastAsia" w:ascii="Times New Roman" w:hAnsi="Times New Roman" w:eastAsia="仿宋" w:cs="Times New Roman"/>
                <w:color w:val="auto"/>
                <w:sz w:val="24"/>
                <w:szCs w:val="24"/>
                <w:lang w:val="en-US" w:eastAsia="zh-CN"/>
              </w:rPr>
              <w:t>7</w:t>
            </w:r>
            <w:r>
              <w:rPr>
                <w:rFonts w:hint="default" w:ascii="Times New Roman" w:hAnsi="Times New Roman" w:eastAsia="仿宋" w:cs="Times New Roman"/>
                <w:color w:val="auto"/>
                <w:sz w:val="24"/>
                <w:szCs w:val="24"/>
                <w:lang w:val="zh-CN"/>
              </w:rPr>
              <w:t>分；</w:t>
            </w:r>
          </w:p>
          <w:p>
            <w:pPr>
              <w:spacing w:line="500" w:lineRule="exact"/>
              <w:jc w:val="left"/>
              <w:rPr>
                <w:rFonts w:hint="default" w:ascii="Times New Roman" w:hAnsi="Times New Roman" w:eastAsia="仿宋" w:cs="Times New Roman"/>
                <w:color w:val="auto"/>
                <w:sz w:val="24"/>
                <w:szCs w:val="24"/>
                <w:lang w:val="zh-CN"/>
              </w:rPr>
            </w:pPr>
            <w:r>
              <w:rPr>
                <w:rFonts w:hint="default" w:ascii="Times New Roman" w:hAnsi="Times New Roman" w:eastAsia="仿宋" w:cs="Times New Roman"/>
                <w:color w:val="auto"/>
                <w:sz w:val="24"/>
                <w:szCs w:val="24"/>
                <w:lang w:val="zh-CN"/>
              </w:rPr>
              <w:t>c对本项目制定有针对性的售后服务方案，服务内容较差、服务保障工作及方式较差，整体方案较差的</w:t>
            </w:r>
            <w:r>
              <w:rPr>
                <w:rFonts w:hint="eastAsia" w:ascii="Times New Roman" w:hAnsi="Times New Roman" w:eastAsia="仿宋" w:cs="Times New Roman"/>
                <w:color w:val="auto"/>
                <w:sz w:val="24"/>
                <w:szCs w:val="24"/>
                <w:lang w:val="zh-CN"/>
              </w:rPr>
              <w:t>，</w:t>
            </w:r>
            <w:r>
              <w:rPr>
                <w:rFonts w:hint="eastAsia" w:ascii="Times New Roman" w:hAnsi="Times New Roman" w:eastAsia="仿宋" w:cs="Times New Roman"/>
                <w:color w:val="auto"/>
                <w:sz w:val="24"/>
                <w:szCs w:val="24"/>
                <w:lang w:val="zh-CN" w:eastAsia="zh-CN"/>
              </w:rPr>
              <w:t>得</w:t>
            </w:r>
            <w:r>
              <w:rPr>
                <w:rFonts w:hint="eastAsia" w:ascii="Times New Roman" w:hAnsi="Times New Roman" w:eastAsia="仿宋" w:cs="Times New Roman"/>
                <w:color w:val="auto"/>
                <w:sz w:val="24"/>
                <w:szCs w:val="24"/>
                <w:lang w:val="en-US" w:eastAsia="zh-CN"/>
              </w:rPr>
              <w:t>3</w:t>
            </w:r>
            <w:r>
              <w:rPr>
                <w:rFonts w:hint="default" w:ascii="Times New Roman" w:hAnsi="Times New Roman" w:eastAsia="仿宋" w:cs="Times New Roman"/>
                <w:color w:val="auto"/>
                <w:sz w:val="24"/>
                <w:szCs w:val="24"/>
                <w:lang w:val="zh-CN"/>
              </w:rPr>
              <w:t>分；</w:t>
            </w:r>
          </w:p>
          <w:p>
            <w:pPr>
              <w:spacing w:line="500" w:lineRule="exact"/>
              <w:jc w:val="left"/>
              <w:rPr>
                <w:rFonts w:hint="default" w:ascii="Times New Roman" w:hAnsi="Times New Roman" w:eastAsia="宋体" w:cs="Times New Roman"/>
                <w:color w:val="auto"/>
                <w:kern w:val="2"/>
                <w:sz w:val="21"/>
                <w:lang w:val="zh-CN" w:eastAsia="zh-CN" w:bidi="ar-SA"/>
              </w:rPr>
            </w:pPr>
            <w:r>
              <w:rPr>
                <w:rFonts w:hint="default" w:ascii="Times New Roman" w:hAnsi="Times New Roman" w:eastAsia="仿宋" w:cs="Times New Roman"/>
                <w:color w:val="auto"/>
                <w:sz w:val="24"/>
                <w:szCs w:val="24"/>
                <w:lang w:val="zh-CN"/>
              </w:rPr>
              <w:t>d缺项或者服务内容缺失、不全，服务保障工作及方式缺失不全，不适用本项目，得 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1" w:hRule="atLeast"/>
          <w:jc w:val="center"/>
        </w:trPr>
        <w:tc>
          <w:tcPr>
            <w:tcW w:w="2041" w:type="dxa"/>
            <w:tcBorders>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hint="default" w:ascii="Times New Roman" w:hAnsi="Times New Roman" w:eastAsia="仿宋" w:cs="Times New Roman"/>
                <w:b/>
                <w:color w:val="auto"/>
                <w:sz w:val="24"/>
                <w:szCs w:val="24"/>
                <w:highlight w:val="none"/>
              </w:rPr>
            </w:pPr>
          </w:p>
        </w:tc>
        <w:tc>
          <w:tcPr>
            <w:tcW w:w="1560" w:type="dxa"/>
            <w:tcBorders>
              <w:left w:val="single" w:color="auto" w:sz="4" w:space="0"/>
              <w:bottom w:val="single" w:color="auto" w:sz="4" w:space="0"/>
              <w:right w:val="single" w:color="auto" w:sz="4" w:space="0"/>
            </w:tcBorders>
            <w:noWrap w:val="0"/>
            <w:vAlign w:val="center"/>
          </w:tcPr>
          <w:p>
            <w:pPr>
              <w:spacing w:line="500" w:lineRule="exact"/>
              <w:jc w:val="center"/>
              <w:rPr>
                <w:rFonts w:hint="default" w:ascii="Times New Roman" w:hAnsi="Times New Roman" w:eastAsia="仿宋" w:cs="Times New Roman"/>
                <w:color w:val="auto"/>
                <w:sz w:val="24"/>
                <w:szCs w:val="24"/>
                <w:lang w:val="en-US" w:eastAsia="zh-CN"/>
              </w:rPr>
            </w:pPr>
            <w:r>
              <w:rPr>
                <w:rFonts w:hint="default" w:ascii="Times New Roman" w:hAnsi="Times New Roman" w:eastAsia="仿宋" w:cs="Times New Roman"/>
                <w:color w:val="auto"/>
                <w:sz w:val="24"/>
                <w:szCs w:val="24"/>
                <w:lang w:val="en-US" w:eastAsia="zh-CN"/>
              </w:rPr>
              <w:t>培训计划</w:t>
            </w:r>
            <w:r>
              <w:rPr>
                <w:rFonts w:hint="eastAsia" w:ascii="Times New Roman" w:hAnsi="Times New Roman" w:eastAsia="仿宋" w:cs="Times New Roman"/>
                <w:color w:val="auto"/>
                <w:sz w:val="24"/>
                <w:szCs w:val="24"/>
                <w:lang w:val="en-US" w:eastAsia="zh-CN"/>
              </w:rPr>
              <w:t>10</w:t>
            </w:r>
            <w:r>
              <w:rPr>
                <w:rFonts w:hint="default" w:ascii="Times New Roman" w:hAnsi="Times New Roman" w:eastAsia="仿宋" w:cs="Times New Roman"/>
                <w:color w:val="auto"/>
                <w:sz w:val="24"/>
                <w:szCs w:val="24"/>
                <w:lang w:val="en-US" w:eastAsia="zh-CN"/>
              </w:rPr>
              <w:t>分</w:t>
            </w:r>
          </w:p>
        </w:tc>
        <w:tc>
          <w:tcPr>
            <w:tcW w:w="5696" w:type="dxa"/>
            <w:tcBorders>
              <w:left w:val="single" w:color="auto" w:sz="4" w:space="0"/>
              <w:bottom w:val="single" w:color="auto" w:sz="4" w:space="0"/>
            </w:tcBorders>
            <w:noWrap w:val="0"/>
            <w:vAlign w:val="center"/>
          </w:tcPr>
          <w:p>
            <w:pPr>
              <w:spacing w:line="500" w:lineRule="exact"/>
              <w:jc w:val="left"/>
              <w:rPr>
                <w:rFonts w:hint="default" w:ascii="Times New Roman" w:hAnsi="Times New Roman" w:eastAsia="仿宋" w:cs="Times New Roman"/>
                <w:color w:val="auto"/>
                <w:sz w:val="24"/>
                <w:szCs w:val="24"/>
              </w:rPr>
            </w:pPr>
            <w:r>
              <w:rPr>
                <w:rFonts w:hint="default" w:ascii="Times New Roman" w:hAnsi="Times New Roman" w:eastAsia="仿宋" w:cs="Times New Roman"/>
                <w:color w:val="auto"/>
                <w:sz w:val="24"/>
                <w:szCs w:val="24"/>
                <w:lang w:val="zh-CN"/>
              </w:rPr>
              <w:t>人员技术培训投标人提供的人员技术培训方案（包括培训内容、教材、课程安排及相关描述）</w:t>
            </w:r>
            <w:r>
              <w:rPr>
                <w:rFonts w:hint="default" w:ascii="Times New Roman" w:hAnsi="Times New Roman" w:eastAsia="仿宋" w:cs="Times New Roman"/>
                <w:color w:val="auto"/>
                <w:sz w:val="24"/>
                <w:szCs w:val="24"/>
              </w:rPr>
              <w:t>横向评比</w:t>
            </w:r>
          </w:p>
          <w:p>
            <w:pPr>
              <w:spacing w:line="500" w:lineRule="exact"/>
              <w:jc w:val="left"/>
              <w:rPr>
                <w:rFonts w:hint="default" w:ascii="Times New Roman" w:hAnsi="Times New Roman" w:eastAsia="仿宋" w:cs="Times New Roman"/>
                <w:color w:val="auto"/>
                <w:sz w:val="24"/>
                <w:szCs w:val="24"/>
                <w:lang w:val="zh-CN"/>
              </w:rPr>
            </w:pPr>
            <w:r>
              <w:rPr>
                <w:rFonts w:hint="default" w:ascii="Times New Roman" w:hAnsi="Times New Roman" w:eastAsia="仿宋" w:cs="Times New Roman"/>
                <w:color w:val="auto"/>
                <w:sz w:val="24"/>
                <w:szCs w:val="24"/>
                <w:lang w:val="en-US" w:eastAsia="zh-CN"/>
              </w:rPr>
              <w:t>a</w:t>
            </w:r>
            <w:r>
              <w:rPr>
                <w:rFonts w:hint="default" w:ascii="Times New Roman" w:hAnsi="Times New Roman" w:eastAsia="仿宋" w:cs="Times New Roman"/>
                <w:color w:val="auto"/>
                <w:sz w:val="24"/>
                <w:szCs w:val="24"/>
                <w:lang w:val="zh-CN"/>
              </w:rPr>
              <w:t>、培训计划全面、详尽、合理，考核办法符合项目特点，确保满足培训效果的，得</w:t>
            </w:r>
            <w:r>
              <w:rPr>
                <w:rFonts w:hint="eastAsia" w:ascii="Times New Roman" w:hAnsi="Times New Roman" w:eastAsia="仿宋" w:cs="Times New Roman"/>
                <w:color w:val="auto"/>
                <w:sz w:val="24"/>
                <w:szCs w:val="24"/>
                <w:lang w:val="en-US" w:eastAsia="zh-CN"/>
              </w:rPr>
              <w:t>10</w:t>
            </w:r>
            <w:r>
              <w:rPr>
                <w:rFonts w:hint="default" w:ascii="Times New Roman" w:hAnsi="Times New Roman" w:eastAsia="仿宋" w:cs="Times New Roman"/>
                <w:color w:val="auto"/>
                <w:sz w:val="24"/>
                <w:szCs w:val="24"/>
                <w:lang w:val="zh-CN"/>
              </w:rPr>
              <w:t>分</w:t>
            </w:r>
            <w:r>
              <w:rPr>
                <w:rFonts w:hint="default" w:ascii="Times New Roman" w:hAnsi="Times New Roman" w:eastAsia="仿宋" w:cs="Times New Roman"/>
                <w:color w:val="auto"/>
                <w:sz w:val="24"/>
                <w:szCs w:val="24"/>
                <w:lang w:val="zh-CN"/>
              </w:rPr>
              <w:br w:type="textWrapping"/>
            </w:r>
            <w:r>
              <w:rPr>
                <w:rFonts w:hint="default" w:ascii="Times New Roman" w:hAnsi="Times New Roman" w:eastAsia="仿宋" w:cs="Times New Roman"/>
                <w:color w:val="auto"/>
                <w:sz w:val="24"/>
                <w:szCs w:val="24"/>
                <w:lang w:val="en-US" w:eastAsia="zh-CN"/>
              </w:rPr>
              <w:t>b</w:t>
            </w:r>
            <w:r>
              <w:rPr>
                <w:rFonts w:hint="default" w:ascii="Times New Roman" w:hAnsi="Times New Roman" w:eastAsia="仿宋" w:cs="Times New Roman"/>
                <w:color w:val="auto"/>
                <w:sz w:val="24"/>
                <w:szCs w:val="24"/>
                <w:lang w:val="zh-CN"/>
              </w:rPr>
              <w:t>、培训计划</w:t>
            </w:r>
            <w:r>
              <w:rPr>
                <w:rFonts w:hint="default" w:ascii="Times New Roman" w:hAnsi="Times New Roman" w:eastAsia="仿宋" w:cs="Times New Roman"/>
                <w:color w:val="auto"/>
                <w:sz w:val="24"/>
                <w:szCs w:val="24"/>
                <w:lang w:val="en-US" w:eastAsia="zh-CN"/>
              </w:rPr>
              <w:t>不全面</w:t>
            </w:r>
            <w:r>
              <w:rPr>
                <w:rFonts w:hint="default" w:ascii="Times New Roman" w:hAnsi="Times New Roman" w:eastAsia="仿宋" w:cs="Times New Roman"/>
                <w:color w:val="auto"/>
                <w:sz w:val="24"/>
                <w:szCs w:val="24"/>
                <w:lang w:val="zh-CN"/>
              </w:rPr>
              <w:t>、详尽</w:t>
            </w:r>
            <w:r>
              <w:rPr>
                <w:rFonts w:hint="default" w:ascii="Times New Roman" w:hAnsi="Times New Roman" w:eastAsia="仿宋" w:cs="Times New Roman"/>
                <w:color w:val="auto"/>
                <w:sz w:val="24"/>
                <w:szCs w:val="24"/>
                <w:lang w:val="en-US" w:eastAsia="zh-CN"/>
              </w:rPr>
              <w:t>程度一般</w:t>
            </w:r>
            <w:r>
              <w:rPr>
                <w:rFonts w:hint="default" w:ascii="Times New Roman" w:hAnsi="Times New Roman" w:eastAsia="仿宋" w:cs="Times New Roman"/>
                <w:color w:val="auto"/>
                <w:sz w:val="24"/>
                <w:szCs w:val="24"/>
                <w:lang w:val="zh-CN"/>
              </w:rPr>
              <w:t>、合理，考核办法符合项目特点，</w:t>
            </w:r>
            <w:r>
              <w:rPr>
                <w:rFonts w:hint="default" w:ascii="Times New Roman" w:hAnsi="Times New Roman" w:eastAsia="仿宋" w:cs="Times New Roman"/>
                <w:color w:val="auto"/>
                <w:sz w:val="24"/>
                <w:szCs w:val="24"/>
                <w:lang w:val="en-US" w:eastAsia="zh-CN"/>
              </w:rPr>
              <w:t>基本</w:t>
            </w:r>
            <w:r>
              <w:rPr>
                <w:rFonts w:hint="default" w:ascii="Times New Roman" w:hAnsi="Times New Roman" w:eastAsia="仿宋" w:cs="Times New Roman"/>
                <w:color w:val="auto"/>
                <w:sz w:val="24"/>
                <w:szCs w:val="24"/>
                <w:lang w:val="zh-CN"/>
              </w:rPr>
              <w:t>满足培训效果的，得</w:t>
            </w:r>
            <w:r>
              <w:rPr>
                <w:rFonts w:hint="eastAsia" w:ascii="Times New Roman" w:hAnsi="Times New Roman" w:eastAsia="仿宋" w:cs="Times New Roman"/>
                <w:color w:val="auto"/>
                <w:sz w:val="24"/>
                <w:szCs w:val="24"/>
                <w:lang w:val="en-US" w:eastAsia="zh-CN"/>
              </w:rPr>
              <w:t>7</w:t>
            </w:r>
            <w:r>
              <w:rPr>
                <w:rFonts w:hint="default" w:ascii="Times New Roman" w:hAnsi="Times New Roman" w:eastAsia="仿宋" w:cs="Times New Roman"/>
                <w:color w:val="auto"/>
                <w:sz w:val="24"/>
                <w:szCs w:val="24"/>
                <w:lang w:val="zh-CN"/>
              </w:rPr>
              <w:t>分</w:t>
            </w:r>
            <w:r>
              <w:rPr>
                <w:rFonts w:hint="default" w:ascii="Times New Roman" w:hAnsi="Times New Roman" w:eastAsia="仿宋" w:cs="Times New Roman"/>
                <w:color w:val="auto"/>
                <w:sz w:val="24"/>
                <w:szCs w:val="24"/>
                <w:lang w:val="zh-CN"/>
              </w:rPr>
              <w:br w:type="textWrapping"/>
            </w:r>
            <w:r>
              <w:rPr>
                <w:rFonts w:hint="default" w:ascii="Times New Roman" w:hAnsi="Times New Roman" w:eastAsia="仿宋" w:cs="Times New Roman"/>
                <w:color w:val="auto"/>
                <w:sz w:val="24"/>
                <w:szCs w:val="24"/>
                <w:lang w:val="en-US" w:eastAsia="zh-CN"/>
              </w:rPr>
              <w:t>c</w:t>
            </w:r>
            <w:r>
              <w:rPr>
                <w:rFonts w:hint="default" w:ascii="Times New Roman" w:hAnsi="Times New Roman" w:eastAsia="仿宋" w:cs="Times New Roman"/>
                <w:color w:val="auto"/>
                <w:sz w:val="24"/>
                <w:szCs w:val="24"/>
                <w:lang w:val="zh-CN"/>
              </w:rPr>
              <w:t>、培训计划</w:t>
            </w:r>
            <w:r>
              <w:rPr>
                <w:rFonts w:hint="default" w:ascii="Times New Roman" w:hAnsi="Times New Roman" w:eastAsia="仿宋" w:cs="Times New Roman"/>
                <w:color w:val="auto"/>
                <w:sz w:val="24"/>
                <w:szCs w:val="24"/>
                <w:lang w:val="en-US" w:eastAsia="zh-CN"/>
              </w:rPr>
              <w:t>不</w:t>
            </w:r>
            <w:r>
              <w:rPr>
                <w:rFonts w:hint="default" w:ascii="Times New Roman" w:hAnsi="Times New Roman" w:eastAsia="仿宋" w:cs="Times New Roman"/>
                <w:color w:val="auto"/>
                <w:sz w:val="24"/>
                <w:szCs w:val="24"/>
                <w:lang w:val="zh-CN"/>
              </w:rPr>
              <w:t>全面、</w:t>
            </w:r>
            <w:r>
              <w:rPr>
                <w:rFonts w:hint="default" w:ascii="Times New Roman" w:hAnsi="Times New Roman" w:eastAsia="仿宋" w:cs="Times New Roman"/>
                <w:color w:val="auto"/>
                <w:sz w:val="24"/>
                <w:szCs w:val="24"/>
                <w:lang w:val="en-US" w:eastAsia="zh-CN"/>
              </w:rPr>
              <w:t>不</w:t>
            </w:r>
            <w:r>
              <w:rPr>
                <w:rFonts w:hint="default" w:ascii="Times New Roman" w:hAnsi="Times New Roman" w:eastAsia="仿宋" w:cs="Times New Roman"/>
                <w:color w:val="auto"/>
                <w:sz w:val="24"/>
                <w:szCs w:val="24"/>
                <w:lang w:val="zh-CN"/>
              </w:rPr>
              <w:t>详尽、</w:t>
            </w:r>
            <w:r>
              <w:rPr>
                <w:rFonts w:hint="default" w:ascii="Times New Roman" w:hAnsi="Times New Roman" w:eastAsia="仿宋" w:cs="Times New Roman"/>
                <w:color w:val="auto"/>
                <w:sz w:val="24"/>
                <w:szCs w:val="24"/>
                <w:lang w:val="en-US" w:eastAsia="zh-CN"/>
              </w:rPr>
              <w:t>不</w:t>
            </w:r>
            <w:r>
              <w:rPr>
                <w:rFonts w:hint="default" w:ascii="Times New Roman" w:hAnsi="Times New Roman" w:eastAsia="仿宋" w:cs="Times New Roman"/>
                <w:color w:val="auto"/>
                <w:sz w:val="24"/>
                <w:szCs w:val="24"/>
                <w:lang w:val="zh-CN"/>
              </w:rPr>
              <w:t>合理，考核办法</w:t>
            </w:r>
            <w:r>
              <w:rPr>
                <w:rFonts w:hint="default" w:ascii="Times New Roman" w:hAnsi="Times New Roman" w:eastAsia="仿宋" w:cs="Times New Roman"/>
                <w:color w:val="auto"/>
                <w:sz w:val="24"/>
                <w:szCs w:val="24"/>
                <w:lang w:val="en-US" w:eastAsia="zh-CN"/>
              </w:rPr>
              <w:t>不</w:t>
            </w:r>
            <w:r>
              <w:rPr>
                <w:rFonts w:hint="default" w:ascii="Times New Roman" w:hAnsi="Times New Roman" w:eastAsia="仿宋" w:cs="Times New Roman"/>
                <w:color w:val="auto"/>
                <w:sz w:val="24"/>
                <w:szCs w:val="24"/>
                <w:lang w:val="zh-CN"/>
              </w:rPr>
              <w:t>符合项目特点，确保满足培训效果的，得</w:t>
            </w:r>
            <w:r>
              <w:rPr>
                <w:rFonts w:hint="eastAsia" w:ascii="Times New Roman" w:hAnsi="Times New Roman" w:eastAsia="仿宋" w:cs="Times New Roman"/>
                <w:color w:val="auto"/>
                <w:sz w:val="24"/>
                <w:szCs w:val="24"/>
                <w:lang w:val="en-US" w:eastAsia="zh-CN"/>
              </w:rPr>
              <w:t>3</w:t>
            </w:r>
            <w:r>
              <w:rPr>
                <w:rFonts w:hint="default" w:ascii="Times New Roman" w:hAnsi="Times New Roman" w:eastAsia="仿宋" w:cs="Times New Roman"/>
                <w:color w:val="auto"/>
                <w:sz w:val="24"/>
                <w:szCs w:val="24"/>
                <w:lang w:val="zh-CN"/>
              </w:rPr>
              <w:t>分</w:t>
            </w:r>
            <w:r>
              <w:rPr>
                <w:rFonts w:hint="default" w:ascii="Times New Roman" w:hAnsi="Times New Roman" w:eastAsia="仿宋" w:cs="Times New Roman"/>
                <w:color w:val="auto"/>
                <w:sz w:val="24"/>
                <w:szCs w:val="24"/>
                <w:lang w:val="zh-CN"/>
              </w:rPr>
              <w:br w:type="textWrapping"/>
            </w:r>
            <w:r>
              <w:rPr>
                <w:rFonts w:hint="default" w:ascii="Times New Roman" w:hAnsi="Times New Roman" w:eastAsia="仿宋" w:cs="Times New Roman"/>
                <w:color w:val="auto"/>
                <w:sz w:val="24"/>
                <w:szCs w:val="24"/>
                <w:lang w:val="zh-CN"/>
              </w:rPr>
              <w:t>d缺项或者服务内容缺失、不全，服务保障工作及方式缺失不全，不适用本项目，得 0分。</w:t>
            </w:r>
          </w:p>
        </w:tc>
      </w:tr>
    </w:tbl>
    <w:p>
      <w:pPr>
        <w:rPr>
          <w:rFonts w:hint="default" w:ascii="Times New Roman" w:hAnsi="Times New Roman" w:cs="Times New Roman"/>
          <w:color w:val="auto"/>
        </w:rPr>
      </w:pPr>
    </w:p>
    <w:p>
      <w:pPr>
        <w:spacing w:line="360" w:lineRule="auto"/>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注：1.评分办法中所要求的所有证明材料均需按要求附投标文件中，否则不得分。</w:t>
      </w:r>
    </w:p>
    <w:p>
      <w:pPr>
        <w:spacing w:line="360" w:lineRule="auto"/>
        <w:ind w:firstLine="420" w:firstLineChars="200"/>
        <w:jc w:val="left"/>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2.评分分值及计算结果精确到小数点后二位，二位以后四舍五入。</w:t>
      </w:r>
    </w:p>
    <w:p>
      <w:pPr>
        <w:spacing w:line="360" w:lineRule="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 xml:space="preserve">    3.评标时，评标委员会各成员应当独立对每个有效投标人的投标文件进行评价、打分，然后汇总每个投标人每项评分因素的得分，取各评委评分的算术平均数作为投标人的评标最后得分。</w:t>
      </w:r>
    </w:p>
    <w:p>
      <w:pPr>
        <w:spacing w:line="360" w:lineRule="auto"/>
        <w:ind w:firstLine="420" w:firstLineChars="200"/>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评标委员会将按照评标最后得分由高到低的顺序对所有投标文件实质上响应招标文件要求的投标人进行排序；得分相同的，按投标报价由低到高顺序排列；得分和投标报价均相同的，按技术指标优劣（技术及服务部分得分由高到低）顺序排列。</w:t>
      </w:r>
    </w:p>
    <w:p>
      <w:pPr>
        <w:pStyle w:val="22"/>
        <w:ind w:left="480" w:firstLine="480"/>
        <w:rPr>
          <w:rFonts w:hint="default" w:ascii="Times New Roman" w:hAnsi="Times New Roman" w:cs="Times New Roman"/>
          <w:color w:val="auto"/>
        </w:rPr>
      </w:pPr>
    </w:p>
    <w:p>
      <w:pPr>
        <w:pStyle w:val="27"/>
        <w:rPr>
          <w:rFonts w:hint="default" w:ascii="Times New Roman" w:hAnsi="Times New Roman" w:cs="Times New Roman"/>
          <w:color w:val="auto"/>
        </w:rPr>
      </w:pPr>
    </w:p>
    <w:p>
      <w:pPr>
        <w:rPr>
          <w:rFonts w:hint="default" w:ascii="Times New Roman" w:hAnsi="Times New Roman" w:cs="Times New Roman"/>
          <w:color w:val="auto"/>
        </w:rPr>
      </w:pPr>
    </w:p>
    <w:sectPr>
      <w:footerReference r:id="rId6" w:type="default"/>
      <w:pgSz w:w="11906" w:h="16838"/>
      <w:pgMar w:top="1440" w:right="1416"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楷体_GB2312">
    <w:altName w:val="楷体"/>
    <w:panose1 w:val="02010609030101010101"/>
    <w:charset w:val="86"/>
    <w:family w:val="modern"/>
    <w:pitch w:val="default"/>
    <w:sig w:usb0="00000000" w:usb1="0000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FC75D0"/>
    <w:multiLevelType w:val="singleLevel"/>
    <w:tmpl w:val="FAFC75D0"/>
    <w:lvl w:ilvl="0" w:tentative="0">
      <w:start w:val="10"/>
      <w:numFmt w:val="chineseCounting"/>
      <w:suff w:val="nothing"/>
      <w:lvlText w:val="%1、"/>
      <w:lvlJc w:val="left"/>
      <w:rPr>
        <w:rFonts w:hint="eastAsia"/>
      </w:rPr>
    </w:lvl>
  </w:abstractNum>
  <w:abstractNum w:abstractNumId="1">
    <w:nsid w:val="00000009"/>
    <w:multiLevelType w:val="multilevel"/>
    <w:tmpl w:val="00000009"/>
    <w:lvl w:ilvl="0" w:tentative="0">
      <w:start w:val="1"/>
      <w:numFmt w:val="chineseCountingThousand"/>
      <w:suff w:val="nothing"/>
      <w:lvlText w:val="第%1部分"/>
      <w:lvlJc w:val="center"/>
      <w:pPr>
        <w:ind w:firstLine="288"/>
      </w:pPr>
      <w:rPr>
        <w:rFonts w:hint="eastAsia" w:cs="Times New Roman"/>
      </w:rPr>
    </w:lvl>
    <w:lvl w:ilvl="1" w:tentative="0">
      <w:start w:val="1"/>
      <w:numFmt w:val="chineseCountingThousand"/>
      <w:suff w:val="nothing"/>
      <w:lvlText w:val="%2、"/>
      <w:lvlJc w:val="left"/>
      <w:rPr>
        <w:rFonts w:hint="eastAsia" w:cs="Times New Roman"/>
      </w:rPr>
    </w:lvl>
    <w:lvl w:ilvl="2" w:tentative="0">
      <w:start w:val="1"/>
      <w:numFmt w:val="chineseCountingThousand"/>
      <w:suff w:val="nothing"/>
      <w:lvlText w:val="(%3)"/>
      <w:lvlJc w:val="left"/>
      <w:rPr>
        <w:rFonts w:hint="eastAsia" w:cs="Times New Roman"/>
      </w:rPr>
    </w:lvl>
    <w:lvl w:ilvl="3" w:tentative="0">
      <w:start w:val="1"/>
      <w:numFmt w:val="decimal"/>
      <w:pStyle w:val="5"/>
      <w:suff w:val="nothing"/>
      <w:lvlText w:val="%4、"/>
      <w:lvlJc w:val="left"/>
      <w:rPr>
        <w:rFonts w:hint="eastAsia" w:cs="Times New Roman"/>
      </w:rPr>
    </w:lvl>
    <w:lvl w:ilvl="4" w:tentative="0">
      <w:start w:val="1"/>
      <w:numFmt w:val="decimal"/>
      <w:lvlText w:val="（%5）"/>
      <w:lvlJc w:val="left"/>
      <w:pPr>
        <w:tabs>
          <w:tab w:val="left" w:pos="720"/>
        </w:tabs>
        <w:ind w:left="720" w:hanging="720"/>
      </w:pPr>
      <w:rPr>
        <w:rFonts w:hint="default" w:cs="Times New Roman"/>
      </w:rPr>
    </w:lvl>
    <w:lvl w:ilvl="5" w:tentative="0">
      <w:start w:val="1"/>
      <w:numFmt w:val="none"/>
      <w:suff w:val="nothing"/>
      <w:lvlText w:val=""/>
      <w:lvlJc w:val="left"/>
      <w:rPr>
        <w:rFonts w:hint="eastAsia" w:cs="Times New Roman"/>
      </w:rPr>
    </w:lvl>
    <w:lvl w:ilvl="6" w:tentative="0">
      <w:start w:val="1"/>
      <w:numFmt w:val="none"/>
      <w:suff w:val="nothing"/>
      <w:lvlText w:val=""/>
      <w:lvlJc w:val="left"/>
      <w:rPr>
        <w:rFonts w:hint="eastAsia" w:cs="Times New Roman"/>
      </w:rPr>
    </w:lvl>
    <w:lvl w:ilvl="7" w:tentative="0">
      <w:start w:val="1"/>
      <w:numFmt w:val="none"/>
      <w:suff w:val="nothing"/>
      <w:lvlText w:val=""/>
      <w:lvlJc w:val="left"/>
      <w:rPr>
        <w:rFonts w:hint="eastAsia" w:cs="Times New Roman"/>
      </w:rPr>
    </w:lvl>
    <w:lvl w:ilvl="8" w:tentative="0">
      <w:start w:val="1"/>
      <w:numFmt w:val="none"/>
      <w:suff w:val="nothing"/>
      <w:lvlText w:val=""/>
      <w:lvlJc w:val="left"/>
      <w:rPr>
        <w:rFonts w:hint="eastAsia" w:cs="Times New Roman"/>
      </w:rPr>
    </w:lvl>
  </w:abstractNum>
  <w:abstractNum w:abstractNumId="2">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62F32433"/>
    <w:multiLevelType w:val="multilevel"/>
    <w:tmpl w:val="62F32433"/>
    <w:lvl w:ilvl="0" w:tentative="0">
      <w:start w:val="1"/>
      <w:numFmt w:val="decimal"/>
      <w:suff w:val="nothing"/>
      <w:lvlText w:val="%1"/>
      <w:lvlJc w:val="left"/>
      <w:pPr>
        <w:ind w:left="0" w:firstLine="0"/>
      </w:pPr>
    </w:lvl>
    <w:lvl w:ilvl="1" w:tentative="0">
      <w:start w:val="1"/>
      <w:numFmt w:val="decimal"/>
      <w:lvlText w:val="%2."/>
      <w:lvlJc w:val="left"/>
      <w:pPr>
        <w:ind w:left="1050" w:hanging="63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2F32449"/>
    <w:multiLevelType w:val="singleLevel"/>
    <w:tmpl w:val="62F32449"/>
    <w:lvl w:ilvl="0" w:tentative="0">
      <w:start w:val="1"/>
      <w:numFmt w:val="decimal"/>
      <w:suff w:val="nothing"/>
      <w:lvlText w:val="%1."/>
      <w:lvlJc w:val="left"/>
      <w:pPr>
        <w:ind w:left="0" w:firstLine="0"/>
      </w:pPr>
    </w:lvl>
  </w:abstractNum>
  <w:abstractNum w:abstractNumId="5">
    <w:nsid w:val="62F3245F"/>
    <w:multiLevelType w:val="multilevel"/>
    <w:tmpl w:val="62F3245F"/>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2F32475"/>
    <w:multiLevelType w:val="multilevel"/>
    <w:tmpl w:val="62F32475"/>
    <w:lvl w:ilvl="0" w:tentative="0">
      <w:start w:val="1"/>
      <w:numFmt w:val="decimal"/>
      <w:lvlText w:val="%1."/>
      <w:lvlJc w:val="left"/>
      <w:pPr>
        <w:ind w:left="789" w:hanging="420"/>
      </w:pPr>
    </w:lvl>
    <w:lvl w:ilvl="1" w:tentative="0">
      <w:start w:val="1"/>
      <w:numFmt w:val="decimal"/>
      <w:suff w:val="nothing"/>
      <w:lvlText w:val="%2."/>
      <w:lvlJc w:val="left"/>
      <w:pPr>
        <w:ind w:left="284" w:firstLine="0"/>
      </w:pPr>
    </w:lvl>
    <w:lvl w:ilvl="2" w:tentative="0">
      <w:start w:val="1"/>
      <w:numFmt w:val="lowerRoman"/>
      <w:lvlText w:val="%3."/>
      <w:lvlJc w:val="right"/>
      <w:pPr>
        <w:ind w:left="1629" w:hanging="420"/>
      </w:pPr>
    </w:lvl>
    <w:lvl w:ilvl="3" w:tentative="0">
      <w:start w:val="1"/>
      <w:numFmt w:val="decimal"/>
      <w:lvlText w:val="%4."/>
      <w:lvlJc w:val="left"/>
      <w:pPr>
        <w:ind w:left="2049" w:hanging="420"/>
      </w:pPr>
    </w:lvl>
    <w:lvl w:ilvl="4" w:tentative="0">
      <w:start w:val="1"/>
      <w:numFmt w:val="lowerLetter"/>
      <w:lvlText w:val="%5)"/>
      <w:lvlJc w:val="left"/>
      <w:pPr>
        <w:ind w:left="2469" w:hanging="420"/>
      </w:pPr>
    </w:lvl>
    <w:lvl w:ilvl="5" w:tentative="0">
      <w:start w:val="1"/>
      <w:numFmt w:val="lowerRoman"/>
      <w:lvlText w:val="%6."/>
      <w:lvlJc w:val="right"/>
      <w:pPr>
        <w:ind w:left="2889" w:hanging="420"/>
      </w:pPr>
    </w:lvl>
    <w:lvl w:ilvl="6" w:tentative="0">
      <w:start w:val="1"/>
      <w:numFmt w:val="decimal"/>
      <w:lvlText w:val="%7."/>
      <w:lvlJc w:val="left"/>
      <w:pPr>
        <w:ind w:left="3309" w:hanging="420"/>
      </w:pPr>
    </w:lvl>
    <w:lvl w:ilvl="7" w:tentative="0">
      <w:start w:val="1"/>
      <w:numFmt w:val="lowerLetter"/>
      <w:lvlText w:val="%8)"/>
      <w:lvlJc w:val="left"/>
      <w:pPr>
        <w:ind w:left="3729" w:hanging="420"/>
      </w:pPr>
    </w:lvl>
    <w:lvl w:ilvl="8" w:tentative="0">
      <w:start w:val="1"/>
      <w:numFmt w:val="lowerRoman"/>
      <w:lvlText w:val="%9."/>
      <w:lvlJc w:val="right"/>
      <w:pPr>
        <w:ind w:left="4149" w:hanging="420"/>
      </w:pPr>
    </w:lvl>
  </w:abstractNum>
  <w:abstractNum w:abstractNumId="7">
    <w:nsid w:val="62F3248B"/>
    <w:multiLevelType w:val="multilevel"/>
    <w:tmpl w:val="62F3248B"/>
    <w:lvl w:ilvl="0" w:tentative="0">
      <w:start w:val="1"/>
      <w:numFmt w:val="decimal"/>
      <w:suff w:val="nothing"/>
      <w:lvlText w:val="2.%1"/>
      <w:lvlJc w:val="left"/>
      <w:pPr>
        <w:ind w:left="0" w:firstLine="0"/>
      </w:pPr>
    </w:lvl>
    <w:lvl w:ilvl="1" w:tentative="0">
      <w:start w:val="1"/>
      <w:numFmt w:val="decimal"/>
      <w:suff w:val="nothing"/>
      <w:lvlText w:val="2.%2"/>
      <w:lvlJc w:val="left"/>
      <w:pPr>
        <w:ind w:left="-180" w:firstLine="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2F324B7"/>
    <w:multiLevelType w:val="multilevel"/>
    <w:tmpl w:val="62F324B7"/>
    <w:lvl w:ilvl="0" w:tentative="0">
      <w:start w:val="1"/>
      <w:numFmt w:val="decimal"/>
      <w:suff w:val="nothing"/>
      <w:lvlText w:val="5.%1"/>
      <w:lvlJc w:val="left"/>
      <w:pPr>
        <w:ind w:left="0" w:firstLine="0"/>
      </w:pPr>
    </w:lvl>
    <w:lvl w:ilvl="1" w:tentative="0">
      <w:start w:val="1"/>
      <w:numFmt w:val="decimal"/>
      <w:suff w:val="nothing"/>
      <w:lvlText w:val="5.%2"/>
      <w:lvlJc w:val="left"/>
      <w:pPr>
        <w:ind w:left="0" w:firstLine="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2F324CD"/>
    <w:multiLevelType w:val="multilevel"/>
    <w:tmpl w:val="62F324CD"/>
    <w:lvl w:ilvl="0" w:tentative="0">
      <w:start w:val="1"/>
      <w:numFmt w:val="decimal"/>
      <w:suff w:val="nothing"/>
      <w:lvlText w:val="8.%1"/>
      <w:lvlJc w:val="left"/>
      <w:pPr>
        <w:ind w:left="0" w:firstLine="0"/>
      </w:pPr>
    </w:lvl>
    <w:lvl w:ilvl="1" w:tentative="0">
      <w:start w:val="1"/>
      <w:numFmt w:val="decimal"/>
      <w:suff w:val="nothing"/>
      <w:lvlText w:val="8.%2"/>
      <w:lvlJc w:val="left"/>
      <w:pPr>
        <w:ind w:left="0" w:firstLine="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2F324E3"/>
    <w:multiLevelType w:val="multilevel"/>
    <w:tmpl w:val="62F324E3"/>
    <w:lvl w:ilvl="0" w:tentative="0">
      <w:start w:val="1"/>
      <w:numFmt w:val="decimal"/>
      <w:suff w:val="nothing"/>
      <w:lvlText w:val="10.%1"/>
      <w:lvlJc w:val="left"/>
      <w:pPr>
        <w:ind w:left="420" w:firstLine="0"/>
      </w:pPr>
    </w:lvl>
    <w:lvl w:ilvl="1" w:tentative="0">
      <w:start w:val="1"/>
      <w:numFmt w:val="decimal"/>
      <w:suff w:val="nothing"/>
      <w:lvlText w:val="10.%2"/>
      <w:lvlJc w:val="left"/>
      <w:pPr>
        <w:ind w:left="0" w:firstLine="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2F324F9"/>
    <w:multiLevelType w:val="multilevel"/>
    <w:tmpl w:val="62F324F9"/>
    <w:lvl w:ilvl="0" w:tentative="0">
      <w:start w:val="1"/>
      <w:numFmt w:val="decimal"/>
      <w:suff w:val="nothing"/>
      <w:lvlText w:val="11.%1"/>
      <w:lvlJc w:val="left"/>
      <w:pPr>
        <w:ind w:left="420" w:firstLine="0"/>
      </w:pPr>
    </w:lvl>
    <w:lvl w:ilvl="1" w:tentative="0">
      <w:start w:val="1"/>
      <w:numFmt w:val="decimal"/>
      <w:suff w:val="nothing"/>
      <w:lvlText w:val="11.%2"/>
      <w:lvlJc w:val="left"/>
      <w:pPr>
        <w:ind w:left="0" w:firstLine="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2F3250F"/>
    <w:multiLevelType w:val="multilevel"/>
    <w:tmpl w:val="62F3250F"/>
    <w:lvl w:ilvl="0" w:tentative="0">
      <w:start w:val="1"/>
      <w:numFmt w:val="decimal"/>
      <w:suff w:val="nothing"/>
      <w:lvlText w:val="13.%1"/>
      <w:lvlJc w:val="left"/>
      <w:pPr>
        <w:ind w:left="420" w:firstLine="0"/>
      </w:pPr>
    </w:lvl>
    <w:lvl w:ilvl="1" w:tentative="0">
      <w:start w:val="1"/>
      <w:numFmt w:val="decimal"/>
      <w:suff w:val="nothing"/>
      <w:lvlText w:val="13.%2"/>
      <w:lvlJc w:val="left"/>
      <w:pPr>
        <w:ind w:left="0" w:firstLine="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2F32525"/>
    <w:multiLevelType w:val="multilevel"/>
    <w:tmpl w:val="62F32525"/>
    <w:lvl w:ilvl="0" w:tentative="0">
      <w:start w:val="1"/>
      <w:numFmt w:val="decimal"/>
      <w:suff w:val="nothing"/>
      <w:lvlText w:val="16.%1"/>
      <w:lvlJc w:val="left"/>
      <w:pPr>
        <w:ind w:left="420" w:firstLine="0"/>
      </w:pPr>
    </w:lvl>
    <w:lvl w:ilvl="1" w:tentative="0">
      <w:start w:val="1"/>
      <w:numFmt w:val="decimal"/>
      <w:suff w:val="nothing"/>
      <w:lvlText w:val="16.%2"/>
      <w:lvlJc w:val="left"/>
      <w:pPr>
        <w:ind w:left="0" w:firstLine="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62F3253B"/>
    <w:multiLevelType w:val="multilevel"/>
    <w:tmpl w:val="62F3253B"/>
    <w:lvl w:ilvl="0" w:tentative="0">
      <w:start w:val="1"/>
      <w:numFmt w:val="decimal"/>
      <w:suff w:val="nothing"/>
      <w:lvlText w:val="28.%1"/>
      <w:lvlJc w:val="left"/>
      <w:pPr>
        <w:ind w:left="525" w:firstLine="0"/>
      </w:pPr>
      <w:rPr>
        <w:color w:val="auto"/>
      </w:rPr>
    </w:lvl>
    <w:lvl w:ilvl="1" w:tentative="0">
      <w:start w:val="1"/>
      <w:numFmt w:val="decimal"/>
      <w:suff w:val="nothing"/>
      <w:lvlText w:val="28.%2"/>
      <w:lvlJc w:val="left"/>
      <w:pPr>
        <w:ind w:left="0" w:firstLine="0"/>
      </w:pPr>
      <w:rPr>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2F32551"/>
    <w:multiLevelType w:val="multilevel"/>
    <w:tmpl w:val="62F32551"/>
    <w:lvl w:ilvl="0" w:tentative="0">
      <w:start w:val="1"/>
      <w:numFmt w:val="decimal"/>
      <w:suff w:val="nothing"/>
      <w:lvlText w:val="（%1）"/>
      <w:lvlJc w:val="left"/>
      <w:pPr>
        <w:ind w:left="0" w:firstLine="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6">
    <w:nsid w:val="62F3257D"/>
    <w:multiLevelType w:val="multilevel"/>
    <w:tmpl w:val="62F3257D"/>
    <w:lvl w:ilvl="0" w:tentative="0">
      <w:start w:val="1"/>
      <w:numFmt w:val="chineseCountingThousand"/>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chineseCountingThousand"/>
      <w:suff w:val="nothing"/>
      <w:lvlText w:val="%4、"/>
      <w:lvlJc w:val="left"/>
      <w:pPr>
        <w:ind w:left="0" w:firstLine="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6D9946F9"/>
    <w:multiLevelType w:val="multilevel"/>
    <w:tmpl w:val="6D9946F9"/>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1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4YmI2MmJlZTMzZmY0M2UwZWM2MjIwNWYyYWU3ZDEifQ=="/>
  </w:docVars>
  <w:rsids>
    <w:rsidRoot w:val="1CAA0AB9"/>
    <w:rsid w:val="016361EB"/>
    <w:rsid w:val="02351A80"/>
    <w:rsid w:val="023D4F8E"/>
    <w:rsid w:val="03032EA8"/>
    <w:rsid w:val="038439CF"/>
    <w:rsid w:val="056977D2"/>
    <w:rsid w:val="06474C6A"/>
    <w:rsid w:val="07C603A9"/>
    <w:rsid w:val="08487BA6"/>
    <w:rsid w:val="08B433BD"/>
    <w:rsid w:val="08E425D8"/>
    <w:rsid w:val="0AC84F74"/>
    <w:rsid w:val="0BCA201F"/>
    <w:rsid w:val="0EE95F3F"/>
    <w:rsid w:val="10040837"/>
    <w:rsid w:val="11B77692"/>
    <w:rsid w:val="13A51886"/>
    <w:rsid w:val="166C3967"/>
    <w:rsid w:val="16BC3EE5"/>
    <w:rsid w:val="17205F6C"/>
    <w:rsid w:val="18676E18"/>
    <w:rsid w:val="199364A3"/>
    <w:rsid w:val="1AEE6CB4"/>
    <w:rsid w:val="1C9F620E"/>
    <w:rsid w:val="1CAA0AB9"/>
    <w:rsid w:val="1EBA269C"/>
    <w:rsid w:val="21FB5976"/>
    <w:rsid w:val="22681971"/>
    <w:rsid w:val="26A13A6D"/>
    <w:rsid w:val="287D05D0"/>
    <w:rsid w:val="2975476F"/>
    <w:rsid w:val="2B360294"/>
    <w:rsid w:val="2B427AA2"/>
    <w:rsid w:val="2D410C84"/>
    <w:rsid w:val="30D61E7C"/>
    <w:rsid w:val="32274655"/>
    <w:rsid w:val="330E7D0C"/>
    <w:rsid w:val="347316CD"/>
    <w:rsid w:val="39D921EF"/>
    <w:rsid w:val="3AAC0178"/>
    <w:rsid w:val="3B96252D"/>
    <w:rsid w:val="3C933809"/>
    <w:rsid w:val="3D2A6E96"/>
    <w:rsid w:val="3D3C7C6C"/>
    <w:rsid w:val="3DDC6B00"/>
    <w:rsid w:val="42230119"/>
    <w:rsid w:val="449A5DEE"/>
    <w:rsid w:val="46C15951"/>
    <w:rsid w:val="470516B6"/>
    <w:rsid w:val="48172DFF"/>
    <w:rsid w:val="4B1D7BB7"/>
    <w:rsid w:val="4BEC0C35"/>
    <w:rsid w:val="4D3E5A8D"/>
    <w:rsid w:val="4F79770B"/>
    <w:rsid w:val="503B6B05"/>
    <w:rsid w:val="518E22F1"/>
    <w:rsid w:val="51D75295"/>
    <w:rsid w:val="52D16FE8"/>
    <w:rsid w:val="53DF679A"/>
    <w:rsid w:val="54C0055D"/>
    <w:rsid w:val="582F1C77"/>
    <w:rsid w:val="59C6137B"/>
    <w:rsid w:val="5BC16B9B"/>
    <w:rsid w:val="5CBD6A4B"/>
    <w:rsid w:val="5D7835C4"/>
    <w:rsid w:val="5DD6632F"/>
    <w:rsid w:val="5E2A38C0"/>
    <w:rsid w:val="5F090D52"/>
    <w:rsid w:val="6200780C"/>
    <w:rsid w:val="64F754BB"/>
    <w:rsid w:val="65D200F0"/>
    <w:rsid w:val="668C0D69"/>
    <w:rsid w:val="67A152E7"/>
    <w:rsid w:val="697546A2"/>
    <w:rsid w:val="6BAF5C6E"/>
    <w:rsid w:val="7110239D"/>
    <w:rsid w:val="717B01A4"/>
    <w:rsid w:val="7567660A"/>
    <w:rsid w:val="75FE10C9"/>
    <w:rsid w:val="76EA2ADE"/>
    <w:rsid w:val="77AF29C9"/>
    <w:rsid w:val="78913EA6"/>
    <w:rsid w:val="7D3239CA"/>
    <w:rsid w:val="7E4B1285"/>
    <w:rsid w:val="7F7C1D85"/>
    <w:rsid w:val="7FE271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paragraph" w:styleId="3">
    <w:name w:val="heading 2"/>
    <w:basedOn w:val="1"/>
    <w:next w:val="1"/>
    <w:unhideWhenUsed/>
    <w:qFormat/>
    <w:uiPriority w:val="0"/>
    <w:pPr>
      <w:keepNext/>
      <w:keepLines/>
      <w:spacing w:before="260" w:after="260" w:line="415" w:lineRule="auto"/>
      <w:outlineLvl w:val="1"/>
    </w:pPr>
    <w:rPr>
      <w:rFonts w:ascii="Arial" w:hAnsi="Arial" w:eastAsia="黑体" w:cs="Times New Roman"/>
      <w:b/>
      <w:bCs/>
      <w:sz w:val="32"/>
      <w:szCs w:val="32"/>
    </w:rPr>
  </w:style>
  <w:style w:type="paragraph" w:styleId="4">
    <w:name w:val="heading 3"/>
    <w:basedOn w:val="1"/>
    <w:next w:val="1"/>
    <w:qFormat/>
    <w:uiPriority w:val="0"/>
    <w:pPr>
      <w:keepNext/>
      <w:keepLines/>
      <w:spacing w:before="260" w:after="260" w:line="416" w:lineRule="auto"/>
      <w:jc w:val="center"/>
      <w:outlineLvl w:val="2"/>
    </w:pPr>
    <w:rPr>
      <w:rFonts w:ascii="宋体" w:hAnsi="宋体"/>
      <w:b/>
      <w:bCs/>
      <w:sz w:val="32"/>
      <w:szCs w:val="32"/>
    </w:rPr>
  </w:style>
  <w:style w:type="paragraph" w:styleId="5">
    <w:name w:val="heading 4"/>
    <w:basedOn w:val="1"/>
    <w:next w:val="1"/>
    <w:qFormat/>
    <w:uiPriority w:val="99"/>
    <w:pPr>
      <w:keepNext/>
      <w:keepLines/>
      <w:numPr>
        <w:ilvl w:val="3"/>
        <w:numId w:val="1"/>
      </w:numPr>
      <w:spacing w:before="280" w:after="290" w:line="376" w:lineRule="atLeast"/>
      <w:outlineLvl w:val="3"/>
    </w:pPr>
    <w:rPr>
      <w:rFonts w:ascii="Arial" w:hAnsi="Arial" w:eastAsia="黑体"/>
      <w:b/>
      <w:bCs/>
      <w:sz w:val="28"/>
      <w:szCs w:val="28"/>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customStyle="1" w:styleId="2">
    <w:name w:val="No Spacing1"/>
    <w:basedOn w:val="1"/>
    <w:qFormat/>
    <w:uiPriority w:val="0"/>
    <w:pPr>
      <w:spacing w:after="0" w:afterLines="0" w:line="400" w:lineRule="exact"/>
    </w:pPr>
    <w:rPr>
      <w:rFonts w:ascii="Calibri" w:hAnsi="Calibri" w:eastAsia="宋体" w:cs="黑体"/>
      <w:sz w:val="24"/>
      <w:lang w:val="en-US" w:eastAsia="zh-CN" w:bidi="ar-SA"/>
    </w:rPr>
  </w:style>
  <w:style w:type="paragraph" w:styleId="6">
    <w:name w:val="Normal Indent"/>
    <w:basedOn w:val="1"/>
    <w:unhideWhenUsed/>
    <w:qFormat/>
    <w:uiPriority w:val="99"/>
    <w:pPr>
      <w:autoSpaceDE w:val="0"/>
      <w:autoSpaceDN w:val="0"/>
      <w:adjustRightInd w:val="0"/>
      <w:ind w:firstLine="420"/>
      <w:jc w:val="left"/>
    </w:pPr>
    <w:rPr>
      <w:rFonts w:ascii="宋体"/>
      <w:kern w:val="0"/>
      <w:szCs w:val="20"/>
    </w:rPr>
  </w:style>
  <w:style w:type="paragraph" w:styleId="7">
    <w:name w:val="annotation text"/>
    <w:basedOn w:val="1"/>
    <w:qFormat/>
    <w:uiPriority w:val="0"/>
    <w:pPr>
      <w:jc w:val="left"/>
    </w:pPr>
  </w:style>
  <w:style w:type="paragraph" w:styleId="8">
    <w:name w:val="Body Text"/>
    <w:basedOn w:val="1"/>
    <w:next w:val="9"/>
    <w:unhideWhenUsed/>
    <w:qFormat/>
    <w:uiPriority w:val="99"/>
    <w:rPr>
      <w:rFonts w:ascii="Times New Roman" w:hAnsi="Times New Roman" w:eastAsia="楷体_GB2312" w:cs="Times New Roman"/>
      <w:sz w:val="28"/>
    </w:rPr>
  </w:style>
  <w:style w:type="paragraph" w:styleId="9">
    <w:name w:val="Body Text 2"/>
    <w:basedOn w:val="1"/>
    <w:next w:val="8"/>
    <w:unhideWhenUsed/>
    <w:qFormat/>
    <w:uiPriority w:val="99"/>
    <w:pPr>
      <w:spacing w:after="120" w:line="480" w:lineRule="auto"/>
    </w:pPr>
  </w:style>
  <w:style w:type="paragraph" w:styleId="10">
    <w:name w:val="Body Text Indent"/>
    <w:basedOn w:val="1"/>
    <w:next w:val="11"/>
    <w:unhideWhenUsed/>
    <w:qFormat/>
    <w:uiPriority w:val="99"/>
    <w:pPr>
      <w:spacing w:after="120"/>
      <w:ind w:left="420" w:leftChars="200"/>
    </w:pPr>
  </w:style>
  <w:style w:type="paragraph" w:styleId="11">
    <w:name w:val="envelope return"/>
    <w:basedOn w:val="1"/>
    <w:qFormat/>
    <w:uiPriority w:val="0"/>
    <w:pPr>
      <w:snapToGrid w:val="0"/>
    </w:pPr>
    <w:rPr>
      <w:rFonts w:ascii="Arial" w:hAnsi="Arial"/>
    </w:rPr>
  </w:style>
  <w:style w:type="paragraph" w:styleId="12">
    <w:name w:val="Plain Text"/>
    <w:basedOn w:val="1"/>
    <w:qFormat/>
    <w:uiPriority w:val="0"/>
    <w:rPr>
      <w:rFonts w:hAnsi="Courier New" w:eastAsia="幼圆"/>
      <w:sz w:val="21"/>
    </w:rPr>
  </w:style>
  <w:style w:type="paragraph" w:styleId="13">
    <w:name w:val="Balloon Text"/>
    <w:basedOn w:val="1"/>
    <w:qFormat/>
    <w:uiPriority w:val="0"/>
    <w:rPr>
      <w:rFonts w:ascii="宋体" w:hAnsi="宋体" w:eastAsia="宋体"/>
      <w:kern w:val="2"/>
      <w:sz w:val="18"/>
      <w:szCs w:val="18"/>
      <w:lang w:val="en-US" w:eastAsia="zh-CN" w:bidi="ar-SA"/>
    </w:rPr>
  </w:style>
  <w:style w:type="paragraph" w:styleId="14">
    <w:name w:val="footer"/>
    <w:basedOn w:val="1"/>
    <w:unhideWhenUsed/>
    <w:qFormat/>
    <w:uiPriority w:val="99"/>
    <w:pPr>
      <w:tabs>
        <w:tab w:val="center" w:pos="4153"/>
        <w:tab w:val="right" w:pos="8306"/>
      </w:tabs>
      <w:snapToGrid w:val="0"/>
      <w:jc w:val="left"/>
    </w:pPr>
    <w:rPr>
      <w:rFonts w:ascii="Times New Roman" w:hAnsi="Times New Roman" w:cs="Times New Roman"/>
      <w:sz w:val="18"/>
    </w:rPr>
  </w:style>
  <w:style w:type="paragraph" w:styleId="15">
    <w:name w:val="header"/>
    <w:basedOn w:val="1"/>
    <w:next w:val="14"/>
    <w:qFormat/>
    <w:uiPriority w:val="0"/>
    <w:pPr>
      <w:pBdr>
        <w:bottom w:val="single" w:color="auto" w:sz="6" w:space="1"/>
      </w:pBdr>
      <w:tabs>
        <w:tab w:val="center" w:pos="4153"/>
        <w:tab w:val="right" w:pos="8306"/>
      </w:tabs>
      <w:snapToGrid w:val="0"/>
      <w:jc w:val="center"/>
    </w:pPr>
    <w:rPr>
      <w:rFonts w:ascii="宋体" w:hAnsi="宋体" w:eastAsia="宋体"/>
      <w:kern w:val="2"/>
      <w:sz w:val="18"/>
      <w:szCs w:val="18"/>
      <w:lang w:val="en-US" w:eastAsia="zh-CN" w:bidi="ar-SA"/>
    </w:rPr>
  </w:style>
  <w:style w:type="paragraph" w:styleId="16">
    <w:name w:val="toc 1"/>
    <w:basedOn w:val="1"/>
    <w:next w:val="1"/>
    <w:unhideWhenUsed/>
    <w:qFormat/>
    <w:uiPriority w:val="39"/>
    <w:rPr>
      <w:rFonts w:ascii="Times New Roman" w:hAnsi="Times New Roman" w:cs="Times New Roman"/>
    </w:rPr>
  </w:style>
  <w:style w:type="paragraph" w:styleId="17">
    <w:name w:val="table of figures"/>
    <w:basedOn w:val="1"/>
    <w:next w:val="1"/>
    <w:qFormat/>
    <w:uiPriority w:val="0"/>
    <w:pPr>
      <w:ind w:left="200" w:leftChars="200" w:hanging="200" w:hangingChars="200"/>
    </w:pPr>
    <w:rPr>
      <w:sz w:val="24"/>
    </w:rPr>
  </w:style>
  <w:style w:type="paragraph" w:styleId="18">
    <w:name w:val="toc 2"/>
    <w:basedOn w:val="1"/>
    <w:next w:val="1"/>
    <w:unhideWhenUsed/>
    <w:qFormat/>
    <w:uiPriority w:val="39"/>
    <w:pPr>
      <w:ind w:left="420" w:leftChars="200"/>
    </w:pPr>
    <w:rPr>
      <w:rFonts w:ascii="Times New Roman" w:hAnsi="Times New Roman" w:cs="Times New Roman"/>
    </w:rPr>
  </w:style>
  <w:style w:type="paragraph" w:styleId="19">
    <w:name w:val="Normal (Web)"/>
    <w:basedOn w:val="1"/>
    <w:unhideWhenUsed/>
    <w:qFormat/>
    <w:uiPriority w:val="99"/>
    <w:pPr>
      <w:widowControl/>
      <w:spacing w:before="100" w:beforeAutospacing="1" w:after="100" w:afterAutospacing="1"/>
      <w:jc w:val="left"/>
    </w:pPr>
    <w:rPr>
      <w:rFonts w:ascii="宋体" w:hAnsi="宋体"/>
      <w:kern w:val="0"/>
    </w:rPr>
  </w:style>
  <w:style w:type="paragraph" w:styleId="20">
    <w:name w:val="Title"/>
    <w:basedOn w:val="1"/>
    <w:next w:val="1"/>
    <w:qFormat/>
    <w:uiPriority w:val="0"/>
    <w:pPr>
      <w:spacing w:before="240" w:after="60"/>
      <w:jc w:val="center"/>
      <w:outlineLvl w:val="0"/>
    </w:pPr>
    <w:rPr>
      <w:rFonts w:ascii="Arial" w:hAnsi="Arial" w:cs="Arial"/>
      <w:b/>
      <w:bCs/>
      <w:sz w:val="32"/>
      <w:szCs w:val="32"/>
    </w:rPr>
  </w:style>
  <w:style w:type="paragraph" w:styleId="21">
    <w:name w:val="Body Text First Indent"/>
    <w:basedOn w:val="8"/>
    <w:next w:val="22"/>
    <w:unhideWhenUsed/>
    <w:qFormat/>
    <w:uiPriority w:val="99"/>
    <w:pPr>
      <w:ind w:firstLine="420" w:firstLineChars="100"/>
    </w:pPr>
  </w:style>
  <w:style w:type="paragraph" w:styleId="22">
    <w:name w:val="Body Text First Indent 2"/>
    <w:basedOn w:val="10"/>
    <w:next w:val="1"/>
    <w:unhideWhenUsed/>
    <w:qFormat/>
    <w:uiPriority w:val="99"/>
    <w:pPr>
      <w:ind w:firstLine="420" w:firstLineChars="200"/>
    </w:pPr>
  </w:style>
  <w:style w:type="character" w:styleId="25">
    <w:name w:val="Hyperlink"/>
    <w:unhideWhenUsed/>
    <w:qFormat/>
    <w:uiPriority w:val="99"/>
    <w:rPr>
      <w:rFonts w:hint="default" w:ascii="Times New Roman" w:hAnsi="Times New Roman" w:eastAsia="宋体" w:cs="Times New Roman"/>
      <w:color w:val="0000FF"/>
      <w:u w:val="single"/>
    </w:rPr>
  </w:style>
  <w:style w:type="paragraph" w:customStyle="1" w:styleId="26">
    <w:name w:val="Default"/>
    <w:next w:val="17"/>
    <w:qFormat/>
    <w:uiPriority w:val="99"/>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7">
    <w:name w:val="无间隔1"/>
    <w:basedOn w:val="1"/>
    <w:qFormat/>
    <w:uiPriority w:val="0"/>
    <w:pPr>
      <w:spacing w:line="400" w:lineRule="exact"/>
    </w:pPr>
  </w:style>
  <w:style w:type="paragraph" w:customStyle="1" w:styleId="28">
    <w:name w:val="列表段落1"/>
    <w:basedOn w:val="1"/>
    <w:qFormat/>
    <w:uiPriority w:val="99"/>
    <w:pPr>
      <w:ind w:firstLine="420" w:firstLineChars="200"/>
    </w:pPr>
  </w:style>
  <w:style w:type="paragraph" w:customStyle="1" w:styleId="29">
    <w:name w:val="Table Paragraph"/>
    <w:basedOn w:val="1"/>
    <w:qFormat/>
    <w:uiPriority w:val="0"/>
    <w:rPr>
      <w:rFonts w:ascii="仿宋" w:hAnsi="仿宋" w:eastAsia="仿宋" w:cs="仿宋"/>
    </w:rPr>
  </w:style>
  <w:style w:type="paragraph" w:customStyle="1" w:styleId="30">
    <w:name w:val="样式1"/>
    <w:basedOn w:val="1"/>
    <w:qFormat/>
    <w:uiPriority w:val="99"/>
    <w:pPr>
      <w:tabs>
        <w:tab w:val="left" w:pos="709"/>
      </w:tabs>
      <w:ind w:left="709" w:hanging="709"/>
    </w:pPr>
    <w:rPr>
      <w:rFonts w:ascii="宋体" w:hAnsi="宋体"/>
      <w:sz w:val="21"/>
    </w:rPr>
  </w:style>
  <w:style w:type="paragraph" w:customStyle="1" w:styleId="31">
    <w:name w:val="Basistekst Batenburg"/>
    <w:basedOn w:val="32"/>
    <w:qFormat/>
    <w:uiPriority w:val="99"/>
  </w:style>
  <w:style w:type="paragraph" w:customStyle="1" w:styleId="32">
    <w:name w:val="Zsysbasis Batenburg"/>
    <w:next w:val="31"/>
    <w:qFormat/>
    <w:uiPriority w:val="99"/>
    <w:pPr>
      <w:spacing w:line="300" w:lineRule="atLeast"/>
    </w:pPr>
    <w:rPr>
      <w:rFonts w:ascii="Calibri" w:hAnsi="Calibri" w:eastAsia="宋体" w:cs="Times New Roman"/>
      <w:sz w:val="22"/>
      <w:szCs w:val="18"/>
      <w:lang w:val="en-US" w:eastAsia="zh-CN" w:bidi="ar-SA"/>
    </w:rPr>
  </w:style>
  <w:style w:type="paragraph" w:styleId="33">
    <w:name w:val="List Paragraph"/>
    <w:basedOn w:val="1"/>
    <w:qFormat/>
    <w:uiPriority w:val="34"/>
    <w:pPr>
      <w:ind w:firstLine="420" w:firstLineChars="200"/>
    </w:pPr>
    <w:rPr>
      <w:szCs w:val="20"/>
    </w:rPr>
  </w:style>
  <w:style w:type="character" w:customStyle="1" w:styleId="34">
    <w:name w:val="font61"/>
    <w:basedOn w:val="24"/>
    <w:qFormat/>
    <w:uiPriority w:val="0"/>
    <w:rPr>
      <w:rFonts w:hint="default" w:ascii="Times New Roman" w:hAnsi="Times New Roman" w:cs="Times New Roman"/>
      <w:color w:val="FF0000"/>
      <w:sz w:val="24"/>
      <w:szCs w:val="24"/>
      <w:u w:val="none"/>
    </w:rPr>
  </w:style>
  <w:style w:type="character" w:customStyle="1" w:styleId="35">
    <w:name w:val="font01"/>
    <w:basedOn w:val="24"/>
    <w:qFormat/>
    <w:uiPriority w:val="0"/>
    <w:rPr>
      <w:rFonts w:hint="default" w:ascii="微软" w:hAnsi="微软" w:eastAsia="微软" w:cs="微软"/>
      <w:color w:val="FF0000"/>
      <w:sz w:val="24"/>
      <w:szCs w:val="24"/>
      <w:u w:val="none"/>
    </w:rPr>
  </w:style>
  <w:style w:type="character" w:customStyle="1" w:styleId="36">
    <w:name w:val="font51"/>
    <w:basedOn w:val="24"/>
    <w:qFormat/>
    <w:uiPriority w:val="0"/>
    <w:rPr>
      <w:rFonts w:hint="default" w:ascii="Times New Roman" w:hAnsi="Times New Roman" w:cs="Times New Roman"/>
      <w:color w:val="FF0000"/>
      <w:sz w:val="24"/>
      <w:szCs w:val="24"/>
      <w:u w:val="none"/>
    </w:rPr>
  </w:style>
  <w:style w:type="paragraph" w:customStyle="1" w:styleId="37">
    <w:name w:val="标书正文"/>
    <w:basedOn w:val="1"/>
    <w:qFormat/>
    <w:uiPriority w:val="0"/>
    <w:pPr>
      <w:snapToGrid w:val="0"/>
      <w:spacing w:before="50" w:line="480" w:lineRule="exact"/>
      <w:ind w:firstLine="454" w:firstLineChars="200"/>
      <w:jc w:val="left"/>
    </w:pPr>
    <w:rPr>
      <w:rFonts w:ascii="黑体" w:eastAsia="黑体"/>
      <w:sz w:val="24"/>
    </w:rPr>
  </w:style>
  <w:style w:type="paragraph" w:customStyle="1" w:styleId="38">
    <w:name w:val="p17"/>
    <w:basedOn w:val="1"/>
    <w:qFormat/>
    <w:uiPriority w:val="0"/>
    <w:pPr>
      <w:spacing w:line="560" w:lineRule="atLeast"/>
      <w:ind w:firstLine="567"/>
    </w:pPr>
    <w:rPr>
      <w:kern w:val="0"/>
      <w:szCs w:val="28"/>
    </w:rPr>
  </w:style>
  <w:style w:type="paragraph" w:customStyle="1" w:styleId="39">
    <w:name w:val="p15"/>
    <w:basedOn w:val="1"/>
    <w:qFormat/>
    <w:uiPriority w:val="0"/>
    <w:pPr>
      <w:spacing w:line="560" w:lineRule="atLeast"/>
      <w:ind w:firstLine="567"/>
    </w:pPr>
    <w:rPr>
      <w:kern w:val="0"/>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18911</Words>
  <Characters>19557</Characters>
  <Lines>0</Lines>
  <Paragraphs>0</Paragraphs>
  <TotalTime>2</TotalTime>
  <ScaleCrop>false</ScaleCrop>
  <LinksUpToDate>false</LinksUpToDate>
  <CharactersWithSpaces>22398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2022-09-08T03:33:00Z</dcterms:created>
  <dc:creator>Administrator</dc:creator>
  <cp:lastModifiedBy>kuaile~.~baby</cp:lastModifiedBy>
  <cp:lastPrinted>2022-12-29T07:32:00Z</cp:lastPrinted>
  <dcterms:modified xsi:type="dcterms:W3CDTF">2022-12-29T08:26:05Z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87D417AFC47A4A05B9C2F3AF1B9A1FA3</vt:lpwstr>
  </property>
</Properties>
</file>