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80" w:lineRule="exact"/>
        <w:ind w:right="-72" w:rightChars="-30"/>
        <w:rPr>
          <w:rFonts w:hint="default" w:ascii="Times New Roman" w:hAnsi="Times New Roman" w:cs="Times New Roman"/>
          <w:bCs w:val="0"/>
          <w:color w:val="auto"/>
        </w:rPr>
      </w:pPr>
      <w:bookmarkStart w:id="0" w:name="_Toc110000294"/>
      <w:r>
        <w:rPr>
          <w:rFonts w:hint="eastAsia" w:ascii="Times New Roman" w:hAnsi="Times New Roman" w:cs="Times New Roman"/>
          <w:bCs w:val="0"/>
          <w:color w:val="auto"/>
          <w:lang w:eastAsia="zh-CN"/>
        </w:rPr>
        <w:t>设备参数</w:t>
      </w:r>
      <w:bookmarkEnd w:id="0"/>
      <w:bookmarkStart w:id="1" w:name="_GoBack"/>
      <w:bookmarkEnd w:id="1"/>
    </w:p>
    <w:p>
      <w:pPr>
        <w:spacing w:line="360" w:lineRule="auto"/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</w:rPr>
        <w:t>一、</w:t>
      </w: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bCs/>
          <w:kern w:val="0"/>
          <w:sz w:val="21"/>
          <w:szCs w:val="21"/>
        </w:rPr>
        <w:t>招标文件中</w:t>
      </w:r>
      <w:r>
        <w:rPr>
          <w:rFonts w:hint="eastAsia" w:ascii="宋体" w:hAnsi="宋体"/>
          <w:bCs/>
          <w:kern w:val="0"/>
          <w:sz w:val="21"/>
          <w:szCs w:val="21"/>
        </w:rPr>
        <w:t>列出</w:t>
      </w:r>
      <w:r>
        <w:rPr>
          <w:rFonts w:ascii="宋体" w:hAnsi="宋体"/>
          <w:bCs/>
          <w:kern w:val="0"/>
          <w:sz w:val="21"/>
          <w:szCs w:val="21"/>
        </w:rPr>
        <w:t>的质</w:t>
      </w:r>
      <w:r>
        <w:rPr>
          <w:rFonts w:hint="eastAsia" w:ascii="宋体" w:hAnsi="宋体"/>
          <w:bCs/>
          <w:kern w:val="0"/>
          <w:sz w:val="21"/>
          <w:szCs w:val="21"/>
        </w:rPr>
        <w:t>量技术参数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型号</w:t>
      </w:r>
      <w:r>
        <w:rPr>
          <w:rFonts w:ascii="宋体" w:hAnsi="宋体"/>
          <w:bCs/>
          <w:kern w:val="0"/>
          <w:sz w:val="21"/>
          <w:szCs w:val="21"/>
        </w:rPr>
        <w:t>与某产品相同</w:t>
      </w:r>
      <w:r>
        <w:rPr>
          <w:rFonts w:hint="eastAsia" w:ascii="宋体" w:hAnsi="宋体"/>
          <w:bCs/>
          <w:kern w:val="0"/>
          <w:sz w:val="21"/>
          <w:szCs w:val="21"/>
        </w:rPr>
        <w:t>时</w:t>
      </w:r>
      <w:r>
        <w:rPr>
          <w:rFonts w:ascii="宋体" w:hAnsi="宋体"/>
          <w:bCs/>
          <w:kern w:val="0"/>
          <w:sz w:val="21"/>
          <w:szCs w:val="21"/>
        </w:rPr>
        <w:t>仅</w:t>
      </w:r>
      <w:r>
        <w:rPr>
          <w:rFonts w:hint="eastAsia" w:ascii="宋体" w:hAnsi="宋体"/>
          <w:bCs/>
          <w:kern w:val="0"/>
          <w:sz w:val="21"/>
          <w:szCs w:val="21"/>
        </w:rPr>
        <w:t>作为</w:t>
      </w:r>
      <w:r>
        <w:rPr>
          <w:rFonts w:ascii="宋体" w:hAnsi="宋体"/>
          <w:bCs/>
          <w:kern w:val="0"/>
          <w:sz w:val="21"/>
          <w:szCs w:val="21"/>
        </w:rPr>
        <w:t>投标人选择</w:t>
      </w:r>
      <w:r>
        <w:rPr>
          <w:rFonts w:hint="eastAsia" w:ascii="宋体" w:hAnsi="宋体"/>
          <w:bCs/>
          <w:kern w:val="0"/>
          <w:sz w:val="21"/>
          <w:szCs w:val="21"/>
        </w:rPr>
        <w:t>投标产品</w:t>
      </w:r>
      <w:r>
        <w:rPr>
          <w:rFonts w:ascii="宋体" w:hAnsi="宋体"/>
          <w:bCs/>
          <w:kern w:val="0"/>
          <w:sz w:val="21"/>
          <w:szCs w:val="21"/>
        </w:rPr>
        <w:t>时在质量水平上</w:t>
      </w:r>
      <w:r>
        <w:rPr>
          <w:rFonts w:hint="eastAsia" w:ascii="宋体" w:hAnsi="宋体"/>
          <w:bCs/>
          <w:kern w:val="0"/>
          <w:sz w:val="21"/>
          <w:szCs w:val="21"/>
        </w:rPr>
        <w:t>的</w:t>
      </w:r>
      <w:r>
        <w:rPr>
          <w:rFonts w:ascii="宋体" w:hAnsi="宋体"/>
          <w:bCs/>
          <w:kern w:val="0"/>
          <w:sz w:val="21"/>
          <w:szCs w:val="21"/>
        </w:rPr>
        <w:t>参考，不</w:t>
      </w:r>
      <w:r>
        <w:rPr>
          <w:rFonts w:hint="eastAsia" w:ascii="宋体" w:hAnsi="宋体"/>
          <w:bCs/>
          <w:kern w:val="0"/>
          <w:sz w:val="21"/>
          <w:szCs w:val="21"/>
        </w:rPr>
        <w:t>强</w:t>
      </w:r>
      <w:r>
        <w:rPr>
          <w:rFonts w:ascii="宋体" w:hAnsi="宋体"/>
          <w:bCs/>
          <w:kern w:val="0"/>
          <w:sz w:val="21"/>
          <w:szCs w:val="21"/>
        </w:rPr>
        <w:t>制</w:t>
      </w:r>
      <w:r>
        <w:rPr>
          <w:rFonts w:hint="eastAsia" w:ascii="宋体" w:hAnsi="宋体"/>
          <w:bCs/>
          <w:kern w:val="0"/>
          <w:sz w:val="21"/>
          <w:szCs w:val="21"/>
        </w:rPr>
        <w:t>采购某一特定产品</w:t>
      </w:r>
      <w:r>
        <w:rPr>
          <w:rFonts w:ascii="宋体" w:hAnsi="宋体"/>
          <w:bCs/>
          <w:kern w:val="0"/>
          <w:sz w:val="21"/>
          <w:szCs w:val="21"/>
        </w:rPr>
        <w:t>，投标人可提供</w:t>
      </w:r>
      <w:r>
        <w:rPr>
          <w:rFonts w:hint="eastAsia" w:ascii="宋体" w:hAnsi="宋体"/>
          <w:bCs/>
          <w:kern w:val="0"/>
          <w:sz w:val="21"/>
          <w:szCs w:val="21"/>
        </w:rPr>
        <w:t>符合采购需求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更</w:t>
      </w:r>
      <w:r>
        <w:rPr>
          <w:rFonts w:ascii="宋体" w:hAnsi="宋体"/>
          <w:bCs/>
          <w:kern w:val="0"/>
          <w:sz w:val="21"/>
          <w:szCs w:val="21"/>
        </w:rPr>
        <w:t>优</w:t>
      </w:r>
      <w:r>
        <w:rPr>
          <w:rFonts w:hint="eastAsia" w:ascii="宋体" w:hAnsi="宋体"/>
          <w:bCs/>
          <w:kern w:val="0"/>
          <w:sz w:val="21"/>
          <w:szCs w:val="21"/>
        </w:rPr>
        <w:t>的产品及</w:t>
      </w:r>
      <w:r>
        <w:rPr>
          <w:rFonts w:ascii="宋体" w:hAnsi="宋体"/>
          <w:bCs/>
          <w:kern w:val="0"/>
          <w:sz w:val="21"/>
          <w:szCs w:val="21"/>
        </w:rPr>
        <w:t>方案</w:t>
      </w:r>
      <w:r>
        <w:rPr>
          <w:rFonts w:ascii="宋体" w:hAnsi="宋体"/>
          <w:kern w:val="0"/>
          <w:sz w:val="21"/>
          <w:szCs w:val="21"/>
        </w:rPr>
        <w:t>。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</w:rPr>
        <w:t>验收合格前</w:t>
      </w:r>
      <w:r>
        <w:rPr>
          <w:rFonts w:ascii="宋体" w:hAnsi="宋体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kern w:val="0"/>
          <w:sz w:val="21"/>
          <w:szCs w:val="21"/>
        </w:rPr>
        <w:t>均</w:t>
      </w:r>
      <w:r>
        <w:rPr>
          <w:rFonts w:ascii="宋体" w:hAnsi="宋体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</w:rPr>
        <w:t>承担成交价格以外的</w:t>
      </w:r>
      <w:r>
        <w:rPr>
          <w:rFonts w:ascii="宋体" w:hAnsi="宋体"/>
          <w:kern w:val="0"/>
          <w:sz w:val="21"/>
          <w:szCs w:val="21"/>
        </w:rPr>
        <w:t>任何费用。</w:t>
      </w:r>
    </w:p>
    <w:p>
      <w:pPr>
        <w:spacing w:line="360" w:lineRule="auto"/>
        <w:rPr>
          <w:rFonts w:hint="default" w:ascii="Times New Roman" w:hAnsi="Times New Roman" w:cs="Times New Roman"/>
          <w:bCs/>
          <w:color w:val="auto"/>
          <w:sz w:val="32"/>
          <w:szCs w:val="32"/>
          <w:highlight w:val="yellow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二、商务要求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Chars="200"/>
        <w:jc w:val="left"/>
        <w:rPr>
          <w:rFonts w:hint="default" w:ascii="宋体" w:hAnsi="宋体"/>
          <w:kern w:val="0"/>
          <w:sz w:val="21"/>
          <w:szCs w:val="21"/>
          <w:highlight w:val="none"/>
        </w:rPr>
      </w:pPr>
      <w:r>
        <w:rPr>
          <w:rFonts w:hint="default" w:ascii="宋体" w:hAnsi="宋体"/>
          <w:kern w:val="0"/>
          <w:sz w:val="21"/>
          <w:szCs w:val="21"/>
          <w:highlight w:val="none"/>
        </w:rPr>
        <w:t>1.合同履行期限：项目具备设备进场施工的情况下，自合同签订之日起</w:t>
      </w:r>
      <w:r>
        <w:rPr>
          <w:rFonts w:hint="eastAsia" w:ascii="宋体" w:hAnsi="宋体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宋体" w:hAnsi="宋体"/>
          <w:kern w:val="0"/>
          <w:sz w:val="21"/>
          <w:szCs w:val="21"/>
          <w:highlight w:val="none"/>
        </w:rPr>
        <w:t>0天完工。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Chars="200"/>
        <w:jc w:val="left"/>
        <w:rPr>
          <w:rFonts w:hint="default" w:ascii="宋体" w:hAnsi="宋体"/>
          <w:kern w:val="0"/>
          <w:sz w:val="21"/>
          <w:szCs w:val="21"/>
        </w:rPr>
      </w:pPr>
      <w:r>
        <w:rPr>
          <w:rFonts w:hint="default" w:ascii="宋体" w:hAnsi="宋体"/>
          <w:kern w:val="0"/>
          <w:sz w:val="21"/>
          <w:szCs w:val="21"/>
        </w:rPr>
        <w:t>2.供货安装地点：武陟县兴华路以</w:t>
      </w:r>
      <w:r>
        <w:rPr>
          <w:rFonts w:hint="eastAsia" w:ascii="宋体" w:hAnsi="宋体"/>
          <w:kern w:val="0"/>
          <w:sz w:val="21"/>
          <w:szCs w:val="21"/>
          <w:lang w:eastAsia="zh-CN"/>
        </w:rPr>
        <w:t>南</w:t>
      </w:r>
      <w:r>
        <w:rPr>
          <w:rFonts w:hint="default" w:ascii="宋体" w:hAnsi="宋体"/>
          <w:kern w:val="0"/>
          <w:sz w:val="21"/>
          <w:szCs w:val="21"/>
        </w:rPr>
        <w:t>康泰巷以</w:t>
      </w:r>
      <w:r>
        <w:rPr>
          <w:rFonts w:hint="eastAsia" w:ascii="宋体" w:hAnsi="宋体"/>
          <w:kern w:val="0"/>
          <w:sz w:val="21"/>
          <w:szCs w:val="21"/>
          <w:lang w:eastAsia="zh-CN"/>
        </w:rPr>
        <w:t>东</w:t>
      </w:r>
      <w:r>
        <w:rPr>
          <w:rFonts w:hint="default" w:ascii="宋体" w:hAnsi="宋体"/>
          <w:kern w:val="0"/>
          <w:sz w:val="21"/>
          <w:szCs w:val="21"/>
        </w:rPr>
        <w:t>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Chars="200"/>
        <w:jc w:val="left"/>
        <w:rPr>
          <w:rFonts w:hint="eastAsia" w:ascii="宋体" w:hAnsi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/>
          <w:kern w:val="0"/>
          <w:sz w:val="21"/>
          <w:szCs w:val="21"/>
        </w:rPr>
        <w:t>3.</w:t>
      </w:r>
      <w:r>
        <w:rPr>
          <w:rFonts w:hint="eastAsia" w:ascii="宋体" w:hAnsi="宋体"/>
          <w:kern w:val="0"/>
          <w:sz w:val="21"/>
          <w:szCs w:val="21"/>
          <w:lang w:val="en-US" w:eastAsia="zh-CN"/>
        </w:rPr>
        <w:t>质量标准：合格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Chars="200"/>
        <w:jc w:val="left"/>
        <w:rPr>
          <w:rFonts w:hint="default"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  <w:lang w:val="en-US" w:eastAsia="zh-CN"/>
        </w:rPr>
        <w:t>4.</w:t>
      </w:r>
      <w:r>
        <w:rPr>
          <w:rFonts w:hint="default" w:ascii="宋体" w:hAnsi="宋体"/>
          <w:kern w:val="0"/>
          <w:sz w:val="21"/>
          <w:szCs w:val="21"/>
        </w:rPr>
        <w:t>质量保证期：</w:t>
      </w:r>
      <w:r>
        <w:rPr>
          <w:rFonts w:hint="eastAsia" w:ascii="宋体" w:hAnsi="宋体"/>
          <w:kern w:val="0"/>
          <w:sz w:val="21"/>
          <w:szCs w:val="21"/>
          <w:lang w:val="en-US" w:eastAsia="zh-CN"/>
        </w:rPr>
        <w:t>2</w:t>
      </w:r>
      <w:r>
        <w:rPr>
          <w:rFonts w:hint="default" w:ascii="宋体" w:hAnsi="宋体"/>
          <w:kern w:val="0"/>
          <w:sz w:val="21"/>
          <w:szCs w:val="21"/>
        </w:rPr>
        <w:t>年。</w:t>
      </w:r>
    </w:p>
    <w:p>
      <w:pPr>
        <w:spacing w:line="360" w:lineRule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三、采购内容及技术要求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1.本项目的核心产品为：</w:t>
      </w:r>
      <w:r>
        <w:rPr>
          <w:rFonts w:hint="eastAsia" w:ascii="宋体" w:hAnsi="宋体"/>
          <w:kern w:val="0"/>
          <w:sz w:val="21"/>
          <w:szCs w:val="21"/>
          <w:highlight w:val="none"/>
          <w:lang w:val="en-US" w:eastAsia="zh-CN"/>
        </w:rPr>
        <w:t>污水处理设备</w:t>
      </w:r>
      <w:r>
        <w:rPr>
          <w:rFonts w:hint="eastAsia" w:ascii="宋体" w:hAnsi="宋体"/>
          <w:kern w:val="0"/>
          <w:sz w:val="21"/>
          <w:szCs w:val="21"/>
          <w:highlight w:val="none"/>
          <w:lang w:eastAsia="zh-CN"/>
        </w:rPr>
        <w:t>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default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  <w:lang w:eastAsia="zh-CN"/>
        </w:rPr>
        <w:t>（一）</w:t>
      </w:r>
      <w:r>
        <w:rPr>
          <w:rFonts w:hint="default" w:ascii="宋体" w:hAnsi="宋体"/>
          <w:kern w:val="0"/>
          <w:sz w:val="21"/>
          <w:szCs w:val="21"/>
          <w:highlight w:val="none"/>
        </w:rPr>
        <w:t>招标范围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default" w:ascii="宋体" w:hAnsi="宋体"/>
          <w:kern w:val="0"/>
          <w:sz w:val="21"/>
          <w:szCs w:val="21"/>
          <w:highlight w:val="none"/>
        </w:rPr>
      </w:pPr>
      <w:r>
        <w:rPr>
          <w:rFonts w:hint="default" w:ascii="宋体" w:hAnsi="宋体"/>
          <w:kern w:val="0"/>
          <w:sz w:val="21"/>
          <w:szCs w:val="21"/>
          <w:highlight w:val="none"/>
        </w:rPr>
        <w:t>1、设备和材料采购、加工、安装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本项目污水处理场地在地下室，污水处理系统采用设备，不采用钢筋混凝土结构工程。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污水处理配套工艺设备、配电控制设备、工艺管阀、电缆等（不包括排水在线监测等）、污水站内废气处理设备、配电控制、管阀、电缆等。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default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2、设备、工艺运行调试、人员培训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负责污水处理设备和工艺运行调试（不包括菌种采购），达到合格要求。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对甲方运行人员进行培训，使其固定技术人员能达到运行维护的要求。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default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3、工程招标范围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工程范围自地下室污水进水管至地下室污水排水管范围内工程。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甲方将电源接入地下室的污水处理主配电柜，将水源引至地下室的污水处理设备进口。甲方提供地下室内废气排放出口，乙方将处理后废气引至该出口。污泥经消毒后排入室外化粪池。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甲方负责调试期间水、电、药剂、化验设备。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乙方配合甲方进行环保验收。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kern w:val="0"/>
          <w:sz w:val="21"/>
          <w:szCs w:val="21"/>
          <w:highlight w:val="none"/>
          <w:lang w:eastAsia="zh-CN"/>
        </w:rPr>
        <w:t>（二）、项目技术要求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default" w:ascii="宋体" w:hAnsi="宋体"/>
          <w:kern w:val="0"/>
          <w:sz w:val="21"/>
          <w:szCs w:val="21"/>
          <w:highlight w:val="none"/>
        </w:rPr>
      </w:pPr>
      <w:r>
        <w:rPr>
          <w:rFonts w:hint="default" w:ascii="宋体" w:hAnsi="宋体"/>
          <w:kern w:val="0"/>
          <w:sz w:val="21"/>
          <w:szCs w:val="21"/>
          <w:highlight w:val="none"/>
        </w:rPr>
        <w:t>1、废水设计规模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废水处理规模</w:t>
      </w:r>
      <w:r>
        <w:rPr>
          <w:rFonts w:hint="eastAsia" w:ascii="宋体" w:hAnsi="宋体"/>
          <w:kern w:val="0"/>
          <w:sz w:val="21"/>
          <w:szCs w:val="21"/>
          <w:highlight w:val="none"/>
          <w:lang w:eastAsia="zh-CN"/>
        </w:rPr>
        <w:t>≥</w:t>
      </w:r>
      <w:r>
        <w:rPr>
          <w:rFonts w:hint="eastAsia" w:ascii="宋体" w:hAnsi="宋体"/>
          <w:kern w:val="0"/>
          <w:sz w:val="21"/>
          <w:szCs w:val="21"/>
          <w:highlight w:val="none"/>
        </w:rPr>
        <w:t>220吨/日。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default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2、设计进水水质</w:t>
      </w:r>
    </w:p>
    <w:tbl>
      <w:tblPr>
        <w:tblStyle w:val="4"/>
        <w:tblW w:w="793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110"/>
        <w:gridCol w:w="1065"/>
        <w:gridCol w:w="1129"/>
        <w:gridCol w:w="1010"/>
        <w:gridCol w:w="1010"/>
        <w:gridCol w:w="18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6" w:type="dxa"/>
            <w:vAlign w:val="center"/>
          </w:tcPr>
          <w:p>
            <w:pPr>
              <w:pStyle w:val="6"/>
              <w:spacing w:line="360" w:lineRule="auto"/>
              <w:ind w:firstLine="0" w:firstLineChars="0"/>
              <w:jc w:val="both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 w:val="21"/>
                <w:szCs w:val="21"/>
              </w:rPr>
              <w:t>项目</w:t>
            </w:r>
          </w:p>
        </w:tc>
        <w:tc>
          <w:tcPr>
            <w:tcW w:w="1110" w:type="dxa"/>
            <w:vAlign w:val="center"/>
          </w:tcPr>
          <w:p>
            <w:pPr>
              <w:pStyle w:val="6"/>
              <w:spacing w:line="36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 w:val="21"/>
                <w:szCs w:val="21"/>
              </w:rPr>
              <w:t>CODcr</w:t>
            </w:r>
          </w:p>
        </w:tc>
        <w:tc>
          <w:tcPr>
            <w:tcW w:w="1065" w:type="dxa"/>
            <w:vAlign w:val="center"/>
          </w:tcPr>
          <w:p>
            <w:pPr>
              <w:pStyle w:val="6"/>
              <w:spacing w:line="36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 w:val="21"/>
                <w:szCs w:val="21"/>
              </w:rPr>
              <w:t>BOD</w:t>
            </w:r>
            <w:r>
              <w:rPr>
                <w:rFonts w:asciiTheme="minorEastAsia" w:hAnsiTheme="minorEastAsia" w:eastAsiaTheme="minorEastAsia"/>
                <w:bCs/>
                <w:sz w:val="21"/>
                <w:szCs w:val="21"/>
                <w:vertAlign w:val="subscript"/>
              </w:rPr>
              <w:t>5</w:t>
            </w:r>
          </w:p>
        </w:tc>
        <w:tc>
          <w:tcPr>
            <w:tcW w:w="1129" w:type="dxa"/>
            <w:vAlign w:val="center"/>
          </w:tcPr>
          <w:p>
            <w:pPr>
              <w:pStyle w:val="6"/>
              <w:spacing w:line="36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 w:val="21"/>
                <w:szCs w:val="21"/>
              </w:rPr>
              <w:t>SS</w:t>
            </w:r>
          </w:p>
        </w:tc>
        <w:tc>
          <w:tcPr>
            <w:tcW w:w="1010" w:type="dxa"/>
            <w:vAlign w:val="center"/>
          </w:tcPr>
          <w:p>
            <w:pPr>
              <w:pStyle w:val="6"/>
              <w:spacing w:line="36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 w:val="21"/>
                <w:szCs w:val="21"/>
              </w:rPr>
              <w:t>NH</w:t>
            </w:r>
            <w:r>
              <w:rPr>
                <w:rFonts w:asciiTheme="minorEastAsia" w:hAnsiTheme="minorEastAsia" w:eastAsiaTheme="minorEastAsia"/>
                <w:bCs/>
                <w:sz w:val="21"/>
                <w:szCs w:val="21"/>
                <w:vertAlign w:val="subscript"/>
              </w:rPr>
              <w:t>3</w:t>
            </w:r>
            <w:r>
              <w:rPr>
                <w:rFonts w:asciiTheme="minorEastAsia" w:hAnsiTheme="minorEastAsia" w:eastAsiaTheme="minorEastAsia"/>
                <w:bCs/>
                <w:sz w:val="21"/>
                <w:szCs w:val="21"/>
              </w:rPr>
              <w:t>-N</w:t>
            </w:r>
          </w:p>
        </w:tc>
        <w:tc>
          <w:tcPr>
            <w:tcW w:w="1010" w:type="dxa"/>
            <w:vAlign w:val="center"/>
          </w:tcPr>
          <w:p>
            <w:pPr>
              <w:pStyle w:val="6"/>
              <w:spacing w:line="36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 w:val="21"/>
                <w:szCs w:val="21"/>
              </w:rPr>
              <w:t>pH</w:t>
            </w:r>
          </w:p>
        </w:tc>
        <w:tc>
          <w:tcPr>
            <w:tcW w:w="1875" w:type="dxa"/>
            <w:vAlign w:val="center"/>
          </w:tcPr>
          <w:p>
            <w:pPr>
              <w:pStyle w:val="6"/>
              <w:spacing w:line="36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粪大肠菌群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6" w:type="dxa"/>
            <w:vAlign w:val="center"/>
          </w:tcPr>
          <w:p>
            <w:pPr>
              <w:pStyle w:val="7"/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数值</w:t>
            </w:r>
          </w:p>
        </w:tc>
        <w:tc>
          <w:tcPr>
            <w:tcW w:w="1110" w:type="dxa"/>
            <w:vAlign w:val="center"/>
          </w:tcPr>
          <w:p>
            <w:pPr>
              <w:pStyle w:val="7"/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≤36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0</w:t>
            </w:r>
          </w:p>
        </w:tc>
        <w:tc>
          <w:tcPr>
            <w:tcW w:w="1065" w:type="dxa"/>
            <w:vAlign w:val="center"/>
          </w:tcPr>
          <w:p>
            <w:pPr>
              <w:pStyle w:val="7"/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≤18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0</w:t>
            </w:r>
          </w:p>
        </w:tc>
        <w:tc>
          <w:tcPr>
            <w:tcW w:w="1129" w:type="dxa"/>
            <w:vAlign w:val="center"/>
          </w:tcPr>
          <w:p>
            <w:pPr>
              <w:pStyle w:val="7"/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≤18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0</w:t>
            </w:r>
          </w:p>
        </w:tc>
        <w:tc>
          <w:tcPr>
            <w:tcW w:w="1010" w:type="dxa"/>
            <w:vAlign w:val="center"/>
          </w:tcPr>
          <w:p>
            <w:pPr>
              <w:pStyle w:val="7"/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≤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5</w:t>
            </w:r>
          </w:p>
        </w:tc>
        <w:tc>
          <w:tcPr>
            <w:tcW w:w="1010" w:type="dxa"/>
            <w:vAlign w:val="center"/>
          </w:tcPr>
          <w:p>
            <w:pPr>
              <w:pStyle w:val="7"/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6~9</w:t>
            </w:r>
          </w:p>
        </w:tc>
        <w:tc>
          <w:tcPr>
            <w:tcW w:w="1875" w:type="dxa"/>
            <w:vAlign w:val="center"/>
          </w:tcPr>
          <w:p>
            <w:pPr>
              <w:pStyle w:val="7"/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2.5×10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vertAlign w:val="superscript"/>
              </w:rPr>
              <w:t>4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个/L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6" w:type="dxa"/>
            <w:vAlign w:val="center"/>
          </w:tcPr>
          <w:p>
            <w:pPr>
              <w:pStyle w:val="7"/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单位</w:t>
            </w:r>
          </w:p>
        </w:tc>
        <w:tc>
          <w:tcPr>
            <w:tcW w:w="1110" w:type="dxa"/>
            <w:vAlign w:val="center"/>
          </w:tcPr>
          <w:p>
            <w:pPr>
              <w:pStyle w:val="7"/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mg/L</w:t>
            </w:r>
          </w:p>
        </w:tc>
        <w:tc>
          <w:tcPr>
            <w:tcW w:w="1065" w:type="dxa"/>
            <w:vAlign w:val="center"/>
          </w:tcPr>
          <w:p>
            <w:pPr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mg/L</w:t>
            </w:r>
          </w:p>
        </w:tc>
        <w:tc>
          <w:tcPr>
            <w:tcW w:w="1129" w:type="dxa"/>
            <w:vAlign w:val="center"/>
          </w:tcPr>
          <w:p>
            <w:pPr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mg/L</w:t>
            </w:r>
          </w:p>
        </w:tc>
        <w:tc>
          <w:tcPr>
            <w:tcW w:w="1010" w:type="dxa"/>
            <w:vAlign w:val="center"/>
          </w:tcPr>
          <w:p>
            <w:pPr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mg/L</w:t>
            </w:r>
          </w:p>
        </w:tc>
        <w:tc>
          <w:tcPr>
            <w:tcW w:w="1010" w:type="dxa"/>
            <w:vAlign w:val="center"/>
          </w:tcPr>
          <w:p>
            <w:pPr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mg/L</w:t>
            </w:r>
          </w:p>
        </w:tc>
        <w:tc>
          <w:tcPr>
            <w:tcW w:w="1875" w:type="dxa"/>
            <w:vAlign w:val="center"/>
          </w:tcPr>
          <w:p>
            <w:pPr>
              <w:pStyle w:val="7"/>
              <w:autoSpaceDN w:val="0"/>
              <w:spacing w:line="360" w:lineRule="auto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</w:tbl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default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3、排放标准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污水经处理后达到《医疗机构水污染物排放标准》（GB18466-2005）预处理标准。臭气经处理后满足《恶臭污染物排放标准》（GB14554-201）标准。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default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4、其他要求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合理布局污水处理区、废气处理区。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尽可能减少污水提升次数。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污水处理设备采用碳钢防腐结构，废气处理设备采用防腐蚀结构。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="0" w:leftChars="0" w:firstLine="478" w:firstLineChars="228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提供污水处理、废气处理技术方案，方案内容包括工艺选择、设备选择、运行费用等内容。</w:t>
      </w:r>
    </w:p>
    <w:p>
      <w:pPr>
        <w:widowControl/>
        <w:jc w:val="left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5MDA1MjkzNTU0MDQ1ZjAxMTA5ODdkNGIyYTAwMDEifQ=="/>
  </w:docVars>
  <w:rsids>
    <w:rsidRoot w:val="3F736396"/>
    <w:rsid w:val="3F73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 Spacing1"/>
    <w:basedOn w:val="1"/>
    <w:qFormat/>
    <w:uiPriority w:val="0"/>
    <w:pPr>
      <w:spacing w:after="0" w:afterLines="0" w:line="400" w:lineRule="exact"/>
    </w:pPr>
    <w:rPr>
      <w:rFonts w:ascii="Calibri" w:hAnsi="Calibri" w:eastAsia="宋体" w:cs="黑体"/>
      <w:sz w:val="24"/>
      <w:lang w:val="en-US" w:eastAsia="zh-CN" w:bidi="ar-SA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6">
    <w:name w:val="p17"/>
    <w:basedOn w:val="1"/>
    <w:qFormat/>
    <w:uiPriority w:val="0"/>
    <w:pPr>
      <w:spacing w:line="560" w:lineRule="atLeast"/>
      <w:ind w:firstLine="567"/>
    </w:pPr>
    <w:rPr>
      <w:kern w:val="0"/>
      <w:szCs w:val="28"/>
    </w:rPr>
  </w:style>
  <w:style w:type="paragraph" w:customStyle="1" w:styleId="7">
    <w:name w:val="p15"/>
    <w:basedOn w:val="1"/>
    <w:qFormat/>
    <w:uiPriority w:val="0"/>
    <w:pPr>
      <w:spacing w:line="560" w:lineRule="atLeast"/>
      <w:ind w:firstLine="567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2023-01-06T02:24:00Z</dcterms:created>
  <dc:creator>Administrator</dc:creator>
  <cp:lastModifiedBy>Administrator</cp:lastModifiedBy>
  <dcterms:modified xsi:type="dcterms:W3CDTF">2023-01-06T02:28:42Z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E0C0370C6A804E10A88D5978DEF8D8D7</vt:lpwstr>
  </property>
</Properties>
</file>