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80" w:lineRule="exact"/>
        <w:ind w:right="-63" w:rightChars="-30"/>
        <w:jc w:val="center"/>
        <w:rPr>
          <w:rFonts w:hint="eastAsia" w:ascii="宋体" w:hAnsi="宋体" w:eastAsia="宋体" w:cs="宋体"/>
          <w:color w:val="auto"/>
        </w:rPr>
      </w:pPr>
      <w:r>
        <w:rPr>
          <w:rFonts w:hint="eastAsia" w:ascii="宋体" w:hAnsi="宋体" w:eastAsia="宋体" w:cs="宋体"/>
          <w:color w:val="auto"/>
        </w:rPr>
        <w:t>采购需求</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一、</w:t>
      </w:r>
      <w:r>
        <w:rPr>
          <w:rFonts w:hint="eastAsia" w:ascii="宋体" w:hAnsi="宋体" w:eastAsia="宋体" w:cs="宋体"/>
          <w:b/>
          <w:color w:val="auto"/>
          <w:kern w:val="0"/>
          <w:sz w:val="21"/>
          <w:szCs w:val="21"/>
        </w:rPr>
        <w:t>相关说明</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bCs/>
          <w:color w:val="auto"/>
          <w:kern w:val="0"/>
          <w:sz w:val="21"/>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auto"/>
          <w:kern w:val="0"/>
          <w:sz w:val="21"/>
          <w:szCs w:val="21"/>
        </w:rPr>
        <w:t>。</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本采购项目为交钥匙项目，验收合格前所需的一切费用均包含在报价之中，采购人不承担成交价格以外的任何费用。</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lang w:eastAsia="zh-CN"/>
        </w:rPr>
        <w:t>二</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 xml:space="preserve">商务要求：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1.</w:t>
      </w:r>
      <w:r>
        <w:rPr>
          <w:rFonts w:hint="eastAsia" w:ascii="宋体" w:hAnsi="宋体" w:eastAsia="宋体" w:cs="宋体"/>
          <w:color w:val="auto"/>
          <w:kern w:val="0"/>
          <w:sz w:val="21"/>
          <w:szCs w:val="21"/>
          <w:highlight w:val="none"/>
          <w:lang w:val="en-US" w:eastAsia="zh-CN" w:bidi="ar"/>
        </w:rPr>
        <w:t>合同履行期限</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之日起25日历天</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2.供货、</w:t>
      </w:r>
      <w:r>
        <w:rPr>
          <w:rFonts w:hint="eastAsia" w:ascii="宋体" w:hAnsi="宋体" w:eastAsia="宋体" w:cs="宋体"/>
          <w:color w:val="auto"/>
          <w:kern w:val="0"/>
          <w:sz w:val="21"/>
          <w:szCs w:val="21"/>
          <w:highlight w:val="none"/>
          <w:lang w:val="en-US" w:eastAsia="zh-CN" w:bidi="ar"/>
        </w:rPr>
        <w:t>安装</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服务</w:t>
      </w:r>
      <w:r>
        <w:rPr>
          <w:rFonts w:hint="eastAsia" w:ascii="宋体" w:hAnsi="宋体" w:eastAsia="宋体" w:cs="宋体"/>
          <w:color w:val="auto"/>
          <w:kern w:val="0"/>
          <w:sz w:val="21"/>
          <w:szCs w:val="21"/>
          <w:highlight w:val="none"/>
          <w:lang w:eastAsia="zh-CN" w:bidi="ar"/>
        </w:rPr>
        <w:t>）地点：</w:t>
      </w:r>
      <w:r>
        <w:rPr>
          <w:rFonts w:hint="eastAsia" w:ascii="宋体" w:hAnsi="宋体" w:eastAsia="宋体" w:cs="宋体"/>
          <w:color w:val="auto"/>
          <w:kern w:val="0"/>
          <w:sz w:val="21"/>
          <w:szCs w:val="21"/>
          <w:highlight w:val="none"/>
          <w:lang w:val="en-US" w:eastAsia="zh-CN" w:bidi="ar"/>
        </w:rPr>
        <w:t>武陟县区域内</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3.质量标准：符合国家现行及行业标准。</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4.质量保证期：</w:t>
      </w:r>
      <w:r>
        <w:rPr>
          <w:rFonts w:hint="eastAsia" w:ascii="宋体" w:hAnsi="宋体" w:eastAsia="宋体" w:cs="宋体"/>
          <w:color w:val="auto"/>
          <w:kern w:val="0"/>
          <w:sz w:val="21"/>
          <w:szCs w:val="21"/>
          <w:lang w:val="en-US" w:eastAsia="zh-CN" w:bidi="ar"/>
        </w:rPr>
        <w:t>三年</w:t>
      </w:r>
      <w:r>
        <w:rPr>
          <w:rFonts w:hint="eastAsia" w:ascii="宋体" w:hAnsi="宋体" w:eastAsia="宋体" w:cs="宋体"/>
          <w:color w:val="auto"/>
          <w:kern w:val="0"/>
          <w:sz w:val="21"/>
          <w:szCs w:val="21"/>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eastAsia="zh-CN" w:bidi="ar"/>
        </w:rPr>
        <w:t>5.付款方式：</w:t>
      </w:r>
      <w:r>
        <w:rPr>
          <w:rFonts w:hint="eastAsia" w:ascii="宋体" w:hAnsi="宋体" w:eastAsia="宋体" w:cs="宋体"/>
          <w:kern w:val="0"/>
          <w:sz w:val="21"/>
          <w:szCs w:val="21"/>
          <w:lang w:val="en-US" w:eastAsia="zh-CN" w:bidi="ar"/>
        </w:rPr>
        <w:t>全部供货、安装完毕</w:t>
      </w:r>
      <w:r>
        <w:rPr>
          <w:rFonts w:hint="eastAsia" w:ascii="宋体" w:hAnsi="宋体" w:eastAsia="宋体" w:cs="宋体"/>
          <w:color w:val="auto"/>
          <w:kern w:val="0"/>
          <w:sz w:val="21"/>
          <w:szCs w:val="21"/>
          <w:lang w:val="en-US" w:eastAsia="zh-CN" w:bidi="ar"/>
        </w:rPr>
        <w:t>，经第三方验收（验收所需费用由中标人承担）合格后付合同款95%，剩余5%一年后一次性付清。</w:t>
      </w:r>
    </w:p>
    <w:p>
      <w:pPr>
        <w:pStyle w:val="5"/>
        <w:rPr>
          <w:rFonts w:hint="eastAsia" w:ascii="宋体" w:hAnsi="宋体" w:eastAsia="宋体" w:cs="宋体"/>
          <w:color w:val="auto"/>
          <w:lang w:val="en-US" w:eastAsia="zh-CN"/>
        </w:rPr>
      </w:pPr>
      <w:r>
        <w:rPr>
          <w:rFonts w:hint="eastAsia" w:ascii="宋体" w:hAnsi="宋体" w:eastAsia="宋体" w:cs="宋体"/>
          <w:color w:val="auto"/>
          <w:kern w:val="0"/>
          <w:sz w:val="21"/>
          <w:szCs w:val="21"/>
          <w:lang w:val="en-US" w:eastAsia="zh-CN" w:bidi="ar"/>
        </w:rPr>
        <w:t>6.商品包装要求：</w:t>
      </w:r>
    </w:p>
    <w:p>
      <w:pPr>
        <w:widowControl/>
        <w:spacing w:line="360" w:lineRule="auto"/>
        <w:ind w:firstLine="420" w:firstLineChars="200"/>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val="en-US" w:eastAsia="zh-CN" w:bidi="ar"/>
        </w:rPr>
        <w:t>6</w:t>
      </w:r>
      <w:r>
        <w:rPr>
          <w:rFonts w:hint="eastAsia" w:ascii="宋体" w:hAnsi="宋体" w:eastAsia="宋体" w:cs="宋体"/>
          <w:color w:val="auto"/>
          <w:kern w:val="0"/>
          <w:sz w:val="21"/>
          <w:szCs w:val="21"/>
          <w:lang w:bidi="ar"/>
        </w:rPr>
        <w:t xml:space="preserve">.1适用范围 </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 xml:space="preserve">本标准规定了商品使用的塑料、纸质、木质等包装材料的环保要求。 </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 xml:space="preserve">    </w:t>
      </w:r>
      <w:r>
        <w:rPr>
          <w:rFonts w:hint="eastAsia" w:ascii="宋体" w:hAnsi="宋体" w:eastAsia="宋体" w:cs="宋体"/>
          <w:color w:val="auto"/>
          <w:kern w:val="0"/>
          <w:sz w:val="21"/>
          <w:szCs w:val="21"/>
          <w:lang w:val="en-US" w:eastAsia="zh-CN" w:bidi="ar"/>
        </w:rPr>
        <w:t>6</w:t>
      </w:r>
      <w:r>
        <w:rPr>
          <w:rFonts w:hint="eastAsia" w:ascii="宋体" w:hAnsi="宋体" w:eastAsia="宋体" w:cs="宋体"/>
          <w:color w:val="auto"/>
          <w:kern w:val="0"/>
          <w:sz w:val="21"/>
          <w:szCs w:val="21"/>
          <w:lang w:bidi="ar"/>
        </w:rPr>
        <w:t xml:space="preserve">.2商品包装环保要求 </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 xml:space="preserve">（1）商品包装层数不得超过 3 层，空隙率不大于 40%； </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 xml:space="preserve">（3）商品包装中铅、汞、镉、六价铬的总含量应不大于100mg/kg； </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 xml:space="preserve">（5）塑料材质商品包装上呈现的印刷颜色不得超过6色； </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 xml:space="preserve">（6）纸质商品包装应使用75%以上的可再生纤维原料生产； </w:t>
      </w:r>
    </w:p>
    <w:p>
      <w:pPr>
        <w:widowControl/>
        <w:spacing w:line="360" w:lineRule="auto"/>
        <w:ind w:firstLine="420" w:firstLineChars="200"/>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（7）木质商品包装的原料应来源于可持续性森林。</w:t>
      </w:r>
    </w:p>
    <w:p>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rPr>
        <w:t>三、其他要求：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售后服务要求：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1.</w:t>
      </w:r>
      <w:r>
        <w:rPr>
          <w:rFonts w:hint="eastAsia" w:ascii="宋体" w:hAnsi="宋体" w:eastAsia="宋体" w:cs="宋体"/>
          <w:color w:val="auto"/>
          <w:kern w:val="0"/>
          <w:sz w:val="21"/>
          <w:szCs w:val="21"/>
          <w:lang w:eastAsia="zh-CN" w:bidi="ar"/>
        </w:rPr>
        <w:t>故障响应时间：7×24×365全年实施故障响应，接到故障通知后2小时内响应，24小时内到达现场维修并解决问题。</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2.</w:t>
      </w:r>
      <w:r>
        <w:rPr>
          <w:rFonts w:hint="eastAsia" w:ascii="宋体" w:hAnsi="宋体" w:eastAsia="宋体" w:cs="宋体"/>
          <w:color w:val="auto"/>
          <w:kern w:val="0"/>
          <w:sz w:val="21"/>
          <w:szCs w:val="21"/>
          <w:lang w:eastAsia="zh-CN" w:bidi="ar"/>
        </w:rPr>
        <w:t>产品质量保证期从产品验收合格之日起计算，易损件及消耗品不在质保范围内。在质保期内，维修、保养、配件供应(消耗品除外)免费。</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3.供应商</w:t>
      </w:r>
      <w:r>
        <w:rPr>
          <w:rFonts w:hint="eastAsia" w:ascii="宋体" w:hAnsi="宋体" w:eastAsia="宋体" w:cs="宋体"/>
          <w:color w:val="auto"/>
          <w:kern w:val="0"/>
          <w:sz w:val="21"/>
          <w:szCs w:val="21"/>
          <w:lang w:eastAsia="zh-CN" w:bidi="ar"/>
        </w:rPr>
        <w:t>对设备进行终身维修，只收取人工和零部件成本费。施工期内如有设备故障，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在接到</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 xml:space="preserve">通知后2天内派人至现场维修(本市范围内24小时到达)。 </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4.</w:t>
      </w:r>
      <w:r>
        <w:rPr>
          <w:rFonts w:hint="eastAsia" w:ascii="宋体" w:hAnsi="宋体" w:eastAsia="宋体" w:cs="宋体"/>
          <w:color w:val="auto"/>
          <w:kern w:val="0"/>
          <w:sz w:val="21"/>
          <w:szCs w:val="21"/>
          <w:lang w:eastAsia="zh-CN" w:bidi="ar"/>
        </w:rPr>
        <w:t>如货物经</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两次维修仍不能达到约定的质量标准，视作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未能按时交货，</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有权退货并追究</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的违约责任。</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5.</w:t>
      </w:r>
      <w:r>
        <w:rPr>
          <w:rFonts w:hint="eastAsia" w:ascii="宋体" w:hAnsi="宋体" w:eastAsia="宋体" w:cs="宋体"/>
          <w:color w:val="auto"/>
          <w:kern w:val="0"/>
          <w:sz w:val="21"/>
          <w:szCs w:val="21"/>
          <w:lang w:eastAsia="zh-CN" w:bidi="ar"/>
        </w:rPr>
        <w:t>在</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未完全掌握设备使用技术前，</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须指派专人负责与</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联系售后服务事宜。</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6.乙方</w:t>
      </w:r>
      <w:r>
        <w:rPr>
          <w:rFonts w:hint="eastAsia" w:ascii="宋体" w:hAnsi="宋体" w:eastAsia="宋体" w:cs="宋体"/>
          <w:color w:val="auto"/>
          <w:kern w:val="0"/>
          <w:sz w:val="21"/>
          <w:szCs w:val="21"/>
          <w:highlight w:val="none"/>
          <w:lang w:eastAsia="zh-CN" w:bidi="ar"/>
        </w:rPr>
        <w:t>负责设备的安全施工管理。</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7.</w:t>
      </w:r>
      <w:r>
        <w:rPr>
          <w:rFonts w:hint="eastAsia" w:ascii="宋体" w:hAnsi="宋体" w:eastAsia="宋体" w:cs="宋体"/>
          <w:color w:val="auto"/>
          <w:kern w:val="0"/>
          <w:sz w:val="21"/>
          <w:szCs w:val="21"/>
          <w:lang w:eastAsia="zh-CN" w:bidi="ar"/>
        </w:rPr>
        <w:t>质保期外的售后服务按招标文件和</w:t>
      </w:r>
      <w:r>
        <w:rPr>
          <w:rFonts w:hint="eastAsia" w:ascii="宋体" w:hAnsi="宋体" w:eastAsia="宋体" w:cs="宋体"/>
          <w:color w:val="auto"/>
          <w:kern w:val="0"/>
          <w:sz w:val="21"/>
          <w:szCs w:val="21"/>
          <w:lang w:val="en-US" w:eastAsia="zh-CN" w:bidi="ar"/>
        </w:rPr>
        <w:t>供应商的</w:t>
      </w:r>
      <w:r>
        <w:rPr>
          <w:rFonts w:hint="eastAsia" w:ascii="宋体" w:hAnsi="宋体" w:eastAsia="宋体" w:cs="宋体"/>
          <w:color w:val="auto"/>
          <w:kern w:val="0"/>
          <w:sz w:val="21"/>
          <w:szCs w:val="21"/>
          <w:lang w:eastAsia="zh-CN" w:bidi="ar"/>
        </w:rPr>
        <w:t>投标文件执行，如招标文件没有规定，可由双方另行约定。</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8.</w:t>
      </w:r>
      <w:r>
        <w:rPr>
          <w:rFonts w:hint="eastAsia" w:ascii="宋体" w:hAnsi="宋体" w:eastAsia="宋体" w:cs="宋体"/>
          <w:color w:val="auto"/>
          <w:kern w:val="0"/>
          <w:sz w:val="21"/>
          <w:szCs w:val="21"/>
          <w:lang w:eastAsia="zh-CN" w:bidi="ar"/>
        </w:rPr>
        <w:t>培训要求：</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负责对</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操作、维修人员和有关技术人员进行培训，使之完全掌握全部使用技术。</w:t>
      </w:r>
    </w:p>
    <w:p>
      <w:pPr>
        <w:keepNext w:val="0"/>
        <w:keepLines w:val="0"/>
        <w:pageBreakBefore w:val="0"/>
        <w:widowControl/>
        <w:kinsoku/>
        <w:wordWrap/>
        <w:overflowPunct/>
        <w:topLinePunct w:val="0"/>
        <w:autoSpaceDE/>
        <w:autoSpaceDN/>
        <w:bidi w:val="0"/>
        <w:adjustRightInd w:val="0"/>
        <w:snapToGrid/>
        <w:spacing w:line="360" w:lineRule="auto"/>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四</w:t>
      </w:r>
      <w:r>
        <w:rPr>
          <w:rFonts w:hint="eastAsia" w:ascii="宋体" w:hAnsi="宋体" w:eastAsia="宋体" w:cs="宋体"/>
          <w:b/>
          <w:color w:val="auto"/>
          <w:kern w:val="0"/>
          <w:sz w:val="21"/>
          <w:szCs w:val="21"/>
          <w:highlight w:val="none"/>
        </w:rPr>
        <w:t>、采购内容</w:t>
      </w:r>
      <w:r>
        <w:rPr>
          <w:rFonts w:hint="eastAsia" w:ascii="宋体" w:hAnsi="宋体" w:eastAsia="宋体" w:cs="宋体"/>
          <w:b/>
          <w:color w:val="auto"/>
          <w:kern w:val="0"/>
          <w:sz w:val="21"/>
          <w:szCs w:val="21"/>
          <w:highlight w:val="none"/>
          <w:lang w:eastAsia="zh-CN"/>
        </w:rPr>
        <w:t>及技术要求</w:t>
      </w:r>
    </w:p>
    <w:p>
      <w:pPr>
        <w:widowControl/>
        <w:spacing w:line="360" w:lineRule="auto"/>
        <w:ind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本项目的核心产品为</w:t>
      </w:r>
      <w:r>
        <w:rPr>
          <w:rFonts w:hint="eastAsia" w:ascii="宋体" w:hAnsi="宋体" w:eastAsia="宋体" w:cs="宋体"/>
          <w:color w:val="auto"/>
          <w:kern w:val="0"/>
          <w:sz w:val="21"/>
          <w:szCs w:val="21"/>
          <w:u w:val="single"/>
          <w:lang w:val="en-US" w:eastAsia="zh-CN" w:bidi="ar"/>
        </w:rPr>
        <w:t xml:space="preserve"> 钢琴  </w:t>
      </w:r>
      <w:r>
        <w:rPr>
          <w:rFonts w:hint="eastAsia" w:ascii="宋体" w:hAnsi="宋体" w:eastAsia="宋体" w:cs="宋体"/>
          <w:color w:val="auto"/>
          <w:kern w:val="0"/>
          <w:sz w:val="21"/>
          <w:szCs w:val="21"/>
          <w:lang w:val="en-US" w:eastAsia="zh-CN" w:bidi="ar"/>
        </w:rPr>
        <w:t>（核心产品仅适用于本项目同一品牌的认定，同一品牌的认定详见投标人须知）</w:t>
      </w:r>
    </w:p>
    <w:tbl>
      <w:tblPr>
        <w:tblStyle w:val="7"/>
        <w:tblpPr w:leftFromText="180" w:rightFromText="180" w:vertAnchor="text" w:horzAnchor="page" w:tblpX="1316" w:tblpY="712"/>
        <w:tblOverlap w:val="never"/>
        <w:tblW w:w="9375" w:type="dxa"/>
        <w:tblInd w:w="0" w:type="dxa"/>
        <w:tblLayout w:type="fixed"/>
        <w:tblCellMar>
          <w:top w:w="0" w:type="dxa"/>
          <w:left w:w="0" w:type="dxa"/>
          <w:bottom w:w="0" w:type="dxa"/>
          <w:right w:w="0" w:type="dxa"/>
        </w:tblCellMar>
      </w:tblPr>
      <w:tblGrid>
        <w:gridCol w:w="408"/>
        <w:gridCol w:w="1130"/>
        <w:gridCol w:w="5018"/>
        <w:gridCol w:w="849"/>
        <w:gridCol w:w="976"/>
        <w:gridCol w:w="994"/>
      </w:tblGrid>
      <w:tr>
        <w:tblPrEx>
          <w:tblCellMar>
            <w:top w:w="0" w:type="dxa"/>
            <w:left w:w="0" w:type="dxa"/>
            <w:bottom w:w="0" w:type="dxa"/>
            <w:right w:w="0" w:type="dxa"/>
          </w:tblCellMar>
        </w:tblPrEx>
        <w:trPr>
          <w:trHeight w:val="276" w:hRule="atLeast"/>
        </w:trPr>
        <w:tc>
          <w:tcPr>
            <w:tcW w:w="8381" w:type="dxa"/>
            <w:gridSpan w:val="5"/>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8"/>
                <w:szCs w:val="28"/>
                <w:u w:val="none"/>
              </w:rPr>
            </w:pPr>
            <w:r>
              <w:rPr>
                <w:rFonts w:hint="eastAsia" w:ascii="宋体" w:hAnsi="宋体" w:eastAsia="宋体" w:cs="宋体"/>
                <w:b/>
                <w:i w:val="0"/>
                <w:color w:val="auto"/>
                <w:kern w:val="0"/>
                <w:sz w:val="21"/>
                <w:szCs w:val="21"/>
                <w:u w:val="none"/>
                <w:lang w:val="en-US" w:eastAsia="zh-CN" w:bidi="ar"/>
              </w:rPr>
              <w:t>美术器材</w:t>
            </w:r>
          </w:p>
        </w:tc>
        <w:tc>
          <w:tcPr>
            <w:tcW w:w="994" w:type="dxa"/>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kern w:val="0"/>
                <w:sz w:val="21"/>
                <w:szCs w:val="21"/>
                <w:u w:val="none"/>
                <w:lang w:val="en-US" w:eastAsia="zh-CN" w:bidi="ar"/>
              </w:rPr>
            </w:pPr>
          </w:p>
        </w:tc>
      </w:tr>
      <w:tr>
        <w:tblPrEx>
          <w:tblCellMar>
            <w:top w:w="0" w:type="dxa"/>
            <w:left w:w="0" w:type="dxa"/>
            <w:bottom w:w="0" w:type="dxa"/>
            <w:right w:w="0" w:type="dxa"/>
          </w:tblCellMar>
        </w:tblPrEx>
        <w:trPr>
          <w:trHeight w:val="282"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11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lang w:val="en-US" w:eastAsia="zh-CN"/>
              </w:rPr>
            </w:pPr>
            <w:r>
              <w:rPr>
                <w:rFonts w:hint="eastAsia" w:ascii="宋体" w:hAnsi="宋体" w:eastAsia="宋体" w:cs="宋体"/>
                <w:b/>
                <w:i w:val="0"/>
                <w:color w:val="auto"/>
                <w:sz w:val="21"/>
                <w:szCs w:val="21"/>
                <w:u w:val="none"/>
                <w:lang w:val="en-US" w:eastAsia="zh-CN"/>
              </w:rPr>
              <w:t>标的名称</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lang w:val="en-US"/>
              </w:rPr>
            </w:pPr>
            <w:r>
              <w:rPr>
                <w:rFonts w:hint="eastAsia" w:ascii="宋体" w:hAnsi="宋体" w:eastAsia="宋体"/>
                <w:b/>
                <w:bCs/>
              </w:rPr>
              <w:t>主要技术参数、性能、配置等要求</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c>
          <w:tcPr>
            <w:tcW w:w="9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所属行业</w:t>
            </w:r>
          </w:p>
        </w:tc>
      </w:tr>
      <w:tr>
        <w:tblPrEx>
          <w:tblCellMar>
            <w:top w:w="0" w:type="dxa"/>
            <w:left w:w="0" w:type="dxa"/>
            <w:bottom w:w="0" w:type="dxa"/>
            <w:right w:w="0" w:type="dxa"/>
          </w:tblCellMar>
        </w:tblPrEx>
        <w:trPr>
          <w:trHeight w:val="281"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衬布</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100cm×200cm；棉、麻、丝、绒</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块</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140</w:t>
            </w:r>
          </w:p>
        </w:tc>
        <w:tc>
          <w:tcPr>
            <w:tcW w:w="994"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tabs>
                <w:tab w:val="left" w:pos="426"/>
              </w:tabs>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ab/>
            </w:r>
            <w:r>
              <w:rPr>
                <w:rFonts w:hint="eastAsia" w:ascii="宋体" w:hAnsi="宋体" w:eastAsia="宋体" w:cs="宋体"/>
                <w:i w:val="0"/>
                <w:color w:val="auto"/>
                <w:kern w:val="0"/>
                <w:sz w:val="21"/>
                <w:szCs w:val="21"/>
                <w:u w:val="none"/>
                <w:lang w:val="en-US" w:eastAsia="zh-CN" w:bidi="ar"/>
              </w:rPr>
              <w:t>工业</w:t>
            </w:r>
          </w:p>
        </w:tc>
      </w:tr>
      <w:tr>
        <w:tblPrEx>
          <w:tblCellMar>
            <w:top w:w="0" w:type="dxa"/>
            <w:left w:w="0" w:type="dxa"/>
            <w:bottom w:w="0" w:type="dxa"/>
            <w:right w:w="0" w:type="dxa"/>
          </w:tblCellMar>
        </w:tblPrEx>
        <w:trPr>
          <w:trHeight w:val="282"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写生凳</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高度不低于40cm，可升降</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140</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282"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写生灯</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高度不低于60cm，照射角度可调，可升降</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只</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282"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工作台</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不小于160cm×80cm×70cm</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282"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美术教学用品柜</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不小于80cm×45cm×180cm</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349"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磁性白黑板</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600mm*900mm，锌背白板，表面PET 附带磁扣板刷专用笔，易写易擦，不留痕迹。</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块</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282"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7</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展示画框</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60cm×45cm</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140</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290"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展示画框</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60cm×90cm</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140</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184"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9</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小学美术教学挂图</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不少于130张，彩色胶印，对开，不小于128g铜版纸</w:t>
            </w:r>
            <w:r>
              <w:rPr>
                <w:rFonts w:hint="eastAsia" w:ascii="宋体" w:hAnsi="宋体" w:eastAsia="宋体" w:cs="宋体"/>
                <w:i w:val="0"/>
                <w:color w:val="auto"/>
                <w:kern w:val="0"/>
                <w:sz w:val="21"/>
                <w:szCs w:val="21"/>
                <w:highlight w:val="none"/>
                <w:u w:val="none"/>
                <w:lang w:val="en-US" w:eastAsia="zh-CN" w:bidi="ar"/>
              </w:rPr>
              <w:t>。内容</w:t>
            </w:r>
            <w:r>
              <w:rPr>
                <w:rFonts w:hint="eastAsia" w:ascii="宋体" w:hAnsi="宋体" w:eastAsia="宋体" w:cs="宋体"/>
                <w:i w:val="0"/>
                <w:color w:val="auto"/>
                <w:kern w:val="0"/>
                <w:sz w:val="21"/>
                <w:szCs w:val="21"/>
                <w:u w:val="none"/>
                <w:lang w:val="en-US" w:eastAsia="zh-CN" w:bidi="ar"/>
              </w:rPr>
              <w:t>必须体现教育性、科学性、艺术性原则。画面色彩柔和，构图应严谨，布局合理，主次分明。符合GB/T7705-2008《平版</w:t>
            </w:r>
            <w:r>
              <w:rPr>
                <w:rFonts w:hint="eastAsia" w:ascii="宋体" w:hAnsi="宋体" w:eastAsia="宋体" w:cs="宋体"/>
                <w:i w:val="0"/>
                <w:color w:val="auto"/>
                <w:kern w:val="0"/>
                <w:sz w:val="21"/>
                <w:szCs w:val="21"/>
                <w:highlight w:val="none"/>
                <w:u w:val="none"/>
                <w:lang w:val="en-US" w:eastAsia="zh-CN" w:bidi="ar"/>
              </w:rPr>
              <w:t>装潢印刷品》的有关规定。以上挂图均为正式出版物。HY-00796</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082"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初中美术教学挂图</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不少于130张，彩色胶印，对开，不小于128g铜版纸。</w:t>
            </w:r>
            <w:r>
              <w:rPr>
                <w:rFonts w:hint="eastAsia" w:ascii="宋体" w:hAnsi="宋体" w:eastAsia="宋体" w:cs="宋体"/>
                <w:i w:val="0"/>
                <w:color w:val="auto"/>
                <w:kern w:val="0"/>
                <w:sz w:val="21"/>
                <w:szCs w:val="21"/>
                <w:highlight w:val="none"/>
                <w:u w:val="none"/>
                <w:lang w:val="en-US" w:eastAsia="zh-CN" w:bidi="ar"/>
              </w:rPr>
              <w:t>内容</w:t>
            </w:r>
            <w:r>
              <w:rPr>
                <w:rFonts w:hint="eastAsia" w:ascii="宋体" w:hAnsi="宋体" w:eastAsia="宋体" w:cs="宋体"/>
                <w:i w:val="0"/>
                <w:color w:val="auto"/>
                <w:kern w:val="0"/>
                <w:sz w:val="21"/>
                <w:szCs w:val="21"/>
                <w:u w:val="none"/>
                <w:lang w:val="en-US" w:eastAsia="zh-CN" w:bidi="ar"/>
              </w:rPr>
              <w:t>必须体现教育性、科学性、艺术性原则。画面色彩柔和，构图应严谨，布局合理，主次分明。符合GB/T7705-2008《平版装潢印刷品》的有关规定。以上挂图均为正式出版物。</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套</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30"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11</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写生画板</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2#图板；材质：双面椴木三合板，四周实木边框；</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块</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280</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473"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人体结构活动模型</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高不低于40cm，木质</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35</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282"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13</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云台</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直径不小于18cm，高3cm</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台</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105</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16"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泥工工具</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泥塑刀6把、环形刀3把、刮刀2把、切割线1套、刮板1件、拍板1件、型板1块、喷壶1个、海绵1块</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140</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282"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15</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写生画箱</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箱体：47cm×33cm×8cm</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只</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457"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16</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写生教具（1）</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配备不少于七种人物石膏像，石膏像大小应符合中小学美术教学需要，比例适当。</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35</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16"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17</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写生教具（2）</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配备不少于二十种几何石膏形体。石膏形体应符合中小学美术教学需要，比例适当。</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35</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63"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18</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画架</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材质为优质樟子松，可折叠；要求倾斜角度可调，画板托板高度可调。梯形画架外观尺寸：高1400mm；边框宽40mm;边框厚20mm。</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35</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76"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19</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画板</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2#图板；材质：双面椴木三合板，四周实木边框；</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块</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28</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51"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20</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版画工具</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木刻刀5把、笔刀1把、笔刀片3件、电烙铁1把、木蘑托1只、胶滚1套（大中小各1件）、油石1件、刮刀2-3把、6B中华绘图铅笔2支</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28</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898"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21</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绘画工具</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水粉笔1～12#各1支，水彩笔1～12#各1支、大白云毛笔1支、小狼毫1支、勾线笔1支、斗笔1支、扁笔1支、调色盒1个、调色盘1个毛笔符合QB/T 2293—1997、画笔符合QB/T 1749—1993</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99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190" w:hRule="atLeast"/>
        </w:trPr>
        <w:tc>
          <w:tcPr>
            <w:tcW w:w="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22</w:t>
            </w:r>
          </w:p>
        </w:tc>
        <w:tc>
          <w:tcPr>
            <w:tcW w:w="113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制作工具</w:t>
            </w:r>
          </w:p>
        </w:tc>
        <w:tc>
          <w:tcPr>
            <w:tcW w:w="50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美工刀1把、剪刀2把、木刻刀12把、尖钻1把、篆刻刀1把、油石1块、改锥2把、多用锯1把、锯条5根、推刨1把、木锉1把、尖嘴钳1把、铁锤1把、电烙铁1把、凿子2把、什锦锉1套、切割垫1块、三用圆规1件、订书器1个、壁纸刀1把、U型锯1把、线锯条10根、手摇钻1个、刨子1把、盒尺1个、角尺1把、砂纸5张、小台钳1台、钢丝钳1把、钢锉1把、钢板尺1把、金属剪1把、铁砧子1件</w:t>
            </w:r>
          </w:p>
        </w:tc>
        <w:tc>
          <w:tcPr>
            <w:tcW w:w="8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994"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bl>
    <w:tbl>
      <w:tblPr>
        <w:tblStyle w:val="7"/>
        <w:tblW w:w="5144" w:type="pct"/>
        <w:tblInd w:w="0" w:type="dxa"/>
        <w:tblLayout w:type="autofit"/>
        <w:tblCellMar>
          <w:top w:w="0" w:type="dxa"/>
          <w:left w:w="0" w:type="dxa"/>
          <w:bottom w:w="0" w:type="dxa"/>
          <w:right w:w="0" w:type="dxa"/>
        </w:tblCellMar>
      </w:tblPr>
      <w:tblGrid>
        <w:gridCol w:w="343"/>
        <w:gridCol w:w="475"/>
        <w:gridCol w:w="5087"/>
        <w:gridCol w:w="815"/>
        <w:gridCol w:w="942"/>
        <w:gridCol w:w="914"/>
      </w:tblGrid>
      <w:tr>
        <w:tblPrEx>
          <w:tblCellMar>
            <w:top w:w="0" w:type="dxa"/>
            <w:left w:w="0" w:type="dxa"/>
            <w:bottom w:w="0" w:type="dxa"/>
            <w:right w:w="0" w:type="dxa"/>
          </w:tblCellMar>
        </w:tblPrEx>
        <w:trPr>
          <w:trHeight w:val="1080" w:hRule="atLeast"/>
        </w:trPr>
        <w:tc>
          <w:tcPr>
            <w:tcW w:w="4466" w:type="pct"/>
            <w:gridSpan w:val="5"/>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highlight w:val="none"/>
                <w:u w:val="none"/>
                <w:lang w:val="en-US" w:eastAsia="zh-CN" w:bidi="ar"/>
              </w:rPr>
              <w:t>音</w:t>
            </w:r>
            <w:r>
              <w:rPr>
                <w:rFonts w:hint="eastAsia" w:ascii="宋体" w:hAnsi="宋体" w:eastAsia="宋体" w:cs="宋体"/>
                <w:b/>
                <w:i w:val="0"/>
                <w:color w:val="auto"/>
                <w:kern w:val="0"/>
                <w:sz w:val="21"/>
                <w:szCs w:val="21"/>
                <w:u w:val="none"/>
                <w:lang w:val="en-US" w:eastAsia="zh-CN" w:bidi="ar"/>
              </w:rPr>
              <w:t>乐器材</w:t>
            </w:r>
          </w:p>
        </w:tc>
        <w:tc>
          <w:tcPr>
            <w:tcW w:w="533" w:type="pct"/>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kern w:val="0"/>
                <w:sz w:val="21"/>
                <w:szCs w:val="21"/>
                <w:highlight w:val="none"/>
                <w:u w:val="none"/>
                <w:lang w:val="en-US" w:eastAsia="zh-CN" w:bidi="ar"/>
              </w:rPr>
            </w:pPr>
          </w:p>
        </w:tc>
      </w:tr>
      <w:tr>
        <w:tblPrEx>
          <w:tblCellMar>
            <w:top w:w="0" w:type="dxa"/>
            <w:left w:w="0" w:type="dxa"/>
            <w:bottom w:w="0" w:type="dxa"/>
            <w:right w:w="0" w:type="dxa"/>
          </w:tblCellMar>
        </w:tblPrEx>
        <w:trPr>
          <w:trHeight w:val="45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标的名称</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b/>
                <w:bCs/>
              </w:rPr>
              <w:t>主要技术参数、性能、配置等要求</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c>
          <w:tcPr>
            <w:tcW w:w="5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所属行业</w:t>
            </w:r>
          </w:p>
        </w:tc>
      </w:tr>
      <w:tr>
        <w:tblPrEx>
          <w:tblCellMar>
            <w:top w:w="0" w:type="dxa"/>
            <w:left w:w="0" w:type="dxa"/>
            <w:bottom w:w="0" w:type="dxa"/>
            <w:right w:w="0" w:type="dxa"/>
          </w:tblCellMar>
        </w:tblPrEx>
        <w:trPr>
          <w:trHeight w:val="538"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钢琴</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立式，88键，带琴凳（可调节高度）、琴罩</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台</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533"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工业</w:t>
            </w:r>
          </w:p>
        </w:tc>
      </w:tr>
      <w:tr>
        <w:tblPrEx>
          <w:tblCellMar>
            <w:top w:w="0" w:type="dxa"/>
            <w:left w:w="0" w:type="dxa"/>
            <w:bottom w:w="0" w:type="dxa"/>
            <w:right w:w="0" w:type="dxa"/>
          </w:tblCellMar>
        </w:tblPrEx>
        <w:trPr>
          <w:trHeight w:val="436"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手风琴</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80贝司</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架</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72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音乐凳</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规格：400×300×270mm。可单独使用，也可组合成为合唱台使用。材质：高密度彩色三聚氰胺双面板，采用磨具成型塑料边条及齿合式防滑脚。颜色随机配(可选颜色不低于3种)</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59"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音乐节拍器</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机械式</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45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音叉</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钢制，440Hz</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495"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音乐教育教学相关图书及杂志</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音乐基本理论、音乐教育学、心理学、音乐教学设计以及各种音乐专业杂志等</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本</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50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小学音乐教学挂图</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适合小学音乐教学要求的音乐家肖像、乐器图样、乐理知识等，需涵盖《义务教育音乐课程标准（2011年版）》规定及教材所涉及的内容。应为国家正式出版物。</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8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小学音乐教学软件</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具备小学音乐课堂教学、资料检索、学生自主学习等功能</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13</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4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9</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小学音乐欣赏教学曲库</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小学阶段音乐欣赏教学资料（CD），应为国家正式出版物</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90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小学音乐欣赏教学影像库</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各类小学音乐教学音像、歌舞剧等影像资料（VCD、DVD等），应为国家正式出版物</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13</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90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初中音乐教学挂图</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适合初中音乐教学要求的音乐家肖像、乐器图样、乐理知识等，需涵盖《义务教育音乐课程标准（2011年版）》规定及教材所涉及的内容。</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tabs>
                <w:tab w:val="left" w:pos="322"/>
              </w:tabs>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ab/>
            </w:r>
            <w:r>
              <w:rPr>
                <w:rFonts w:hint="eastAsia" w:ascii="宋体" w:hAnsi="宋体" w:eastAsia="宋体" w:cs="宋体"/>
                <w:i w:val="0"/>
                <w:color w:val="auto"/>
                <w:kern w:val="0"/>
                <w:sz w:val="21"/>
                <w:szCs w:val="21"/>
                <w:u w:val="none"/>
                <w:lang w:val="en-US" w:eastAsia="zh-CN" w:bidi="ar"/>
              </w:rPr>
              <w:t>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90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12</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初中音乐教学软件</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具备小学音乐课堂教学、资料检索、学生自主学习等功能</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90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13</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初中音乐欣赏教学曲库</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初中阶段音乐欣赏教学资料（CD），应为国家正式出版物</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085"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14</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初中音乐欣赏教学影像库</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各类初中音乐教学音像、歌舞剧等影像资料（VCD、DVD等），应为国家正式出版物</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92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15</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小堂鼓</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 供中小学音乐教学用，由鼓及击槌组成。</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2.鼓面用牛皮蒙制。鼓体直径不小于300mm，高度不小于</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200mm。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3.击槌用硬杂木制成，尺寸约中12×300mm。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16</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54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16</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小锣</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青铜材料铸造，由1个锣面和击锤组成。小锣外观直径不小于220mm，厚度不小于1mm，小锣边应有穿吊绳的孔2个。</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26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铙</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铜制，直径27cm～55cm,铙面光、弧度适度、圆度准确、边缘厚度一致，中间的帽形大小和两面的音高要相同，两面为一副</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副</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58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小钹</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响铜制，钵形，两面为一副。</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小钹面直径12厘米——14厘米。</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副</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50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19</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大军鼓</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 xml:space="preserve">双面白皮不锈钢；鼓面直径不小于：56cm；高度不小于：38cm;配背带、鼓棒、鼓钥匙 </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26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20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小军鼓</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双面白皮不锈钢；鼓面直径不小于：34cm；高度不小于：14cm；配背带、鼓棒、鼓钥匙</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12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21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铝板琴</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供小学音乐教学，25音，由铝合金配木质音箱构成。音锤用优质杂木制成，用音锤敲击铝板时，复合音节要求，无杂音。</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00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22</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木琴</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 供小学音乐教学用。2、应具有低中高三组音节</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架</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7</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16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23</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成套打击乐器</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响板、双响筒、碰钟、串铃、三角铁、沙锤、小锣、小堂鼓、小钹、吊</w:t>
            </w:r>
            <w:r>
              <w:rPr>
                <w:rFonts w:hint="eastAsia" w:ascii="宋体" w:hAnsi="宋体" w:eastAsia="宋体" w:cs="宋体"/>
                <w:i w:val="0"/>
                <w:color w:val="auto"/>
                <w:kern w:val="0"/>
                <w:sz w:val="21"/>
                <w:szCs w:val="21"/>
                <w:highlight w:val="none"/>
                <w:u w:val="none"/>
                <w:lang w:val="en-US" w:eastAsia="zh-CN" w:bidi="ar"/>
              </w:rPr>
              <w:t>钹等十四件。</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w:t>
            </w:r>
          </w:p>
        </w:tc>
        <w:tc>
          <w:tcPr>
            <w:tcW w:w="533" w:type="pct"/>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4466" w:type="pct"/>
            <w:gridSpan w:val="5"/>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体育器材</w:t>
            </w:r>
          </w:p>
        </w:tc>
        <w:tc>
          <w:tcPr>
            <w:tcW w:w="533" w:type="pct"/>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名称</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lang w:val="en-US"/>
              </w:rPr>
            </w:pPr>
            <w:r>
              <w:rPr>
                <w:rFonts w:hint="eastAsia" w:ascii="宋体" w:hAnsi="宋体" w:eastAsia="宋体"/>
                <w:b/>
                <w:bCs/>
              </w:rPr>
              <w:t>主要技术参数、性能、配置等要求</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c>
          <w:tcPr>
            <w:tcW w:w="5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所属行业</w:t>
            </w: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打气筒</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带储气罐/人工充气,适合给各种球类充气</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22</w:t>
            </w:r>
          </w:p>
        </w:tc>
        <w:tc>
          <w:tcPr>
            <w:tcW w:w="533"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工业</w:t>
            </w: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拔河绳</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长30m,质量10kg左右,采用天然麻棕线绞制</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根</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29</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标志杆</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高1.2m～1.6m，立柱直径25mm，三角形红色旗面</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根</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170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标志筒</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 xml:space="preserve">全塑料制品,高度为15cm～75cm，呈圆锥体状，有配重,放置平稳                                                                            </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177</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布卷尺</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50m，仿皮外壳，苎麻布卷尺，防水，防腐蚀；铜制卡扣和收放扣.符合QB/T 1519-2011</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533" w:type="pct"/>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2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大跳垫</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采用泡沫塑料和泡沫乳胶，帆布或人造革外皮，长2000mm±5mm,宽1000mm±5mm,厚100mm。在长度方向可对半折叠，两侧各有提手，四周加装粘扣。符合GB/T 19851.2-2005</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92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单杠</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杠面高度：1200mm～2000mm，两立柱支点中心距：2000mm～2400mm，横杠材料：弹簧钢，立柱材料：钢管 。符合GB/T 19851.2-2005</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98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短跳绳</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短跳绳，绳长度2800mm～3000mm，直径7mm～8mm，质量90g～120g，柄(2个)：长度140mm～170mm，直径26mm～33mm，质量70g～90g。符合GB/T 19851.20-2007</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根</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809</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92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9</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多功能跳远长垫</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材质外套牛津布，里面环保塑料泡沫板，由六块小垫子粘连拼接然后再装到一个大的牛津布外套里。外套一面印有六个相接的圆圈，圆圈里分别印有数字1-6；另一面印有表示距离的刻度线。</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整体规格：300*150*5cm；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每个子垫子规格：100*75*5cm；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圆圈规格：直径47cm；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刻度最小单位：10cm。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2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发令枪</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可同时装2～5发子弹,军用钢发射装置,塑胶手柄,具有一定撞针冲击力，无后坐力设计</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支</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68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肺活量测试仪</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 xml:space="preserve">1.测定人体呼吸的最大通气能力，测试数值反映肺的容积和肺的扩展能力。吹管不易产生积水，防补气功能，补气时自动锁定数据。2.测试仪采用一体化设计，液晶显示，具有锁定功能，读数方便。3. 符合GB/T19851.12-2005。适应频繁、大量人群集中测试。4.主要技术参数：量程：100～9999ml ，分度值：1ml，允差：±2.5%                          </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w:t>
            </w:r>
          </w:p>
        </w:tc>
        <w:tc>
          <w:tcPr>
            <w:tcW w:w="533" w:type="pct"/>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划线器</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highlight w:val="none"/>
                <w:u w:val="none"/>
                <w:lang w:val="en-US" w:eastAsia="zh-CN"/>
              </w:rPr>
              <w:t>/</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9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13</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毽子</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毽毛采用8支～10支彩色鸡羽，扎成圆形，毽垫直径30mm～32mm，厚度3mm～4mm，球高130mm～180mm，球重13g～15g。符合GB/T 19851.21-2007</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230</w:t>
            </w:r>
          </w:p>
        </w:tc>
        <w:tc>
          <w:tcPr>
            <w:tcW w:w="533" w:type="pct"/>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接力棒</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长280mm-300mm,直径30mm-42mm,质量不小于50g</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根</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124</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15</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篮球</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符合GB/T19851.4-2005标准7号比赛篮球合格品的要求。</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436</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14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16</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篮球架</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篮球架符合GB19851.3-2005和GB19272要求。2.篮球架型式：固定式单臂篮球架。加厚钢板.3.篮板：采用12mm厚有机玻璃、钢化玻璃的篮板四周有铝合金边框保护。4.五金件:螺钉,螺母为防锈钢件防锈级别与器材使用寿命相匹配,并加防盗帽。5.安全性能：框架与配重设计合理，符合力学和相关安全标准。</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副</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15</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48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篮球网</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篮网长400mm～450mm，网口直径450mm，网底直径350mm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49</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6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垒球</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圆周长195mm±10mm,质量80g±5g，1000mm高度自由落体落下，回弹高度不小于300mm.符合GB/T 19851.19-2007</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94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19</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秒表</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显示系统:能够计量50-100个时段，可以读出小时、分钟、秒、1/100秒，分段点时间、分段区时间和全部经过时间的二排显示；防水、防震、防磁。符合GB/T 22778-2008</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29</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08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爬竿或爬绳</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highlight w:val="none"/>
                <w:u w:val="none"/>
                <w:lang w:val="en-US" w:eastAsia="zh-CN" w:bidi="ar"/>
              </w:rPr>
              <w:t>绳2，杆2，</w:t>
            </w:r>
            <w:r>
              <w:rPr>
                <w:rFonts w:hint="eastAsia" w:ascii="宋体" w:hAnsi="宋体" w:eastAsia="宋体" w:cs="宋体"/>
                <w:i w:val="0"/>
                <w:color w:val="auto"/>
                <w:kern w:val="0"/>
                <w:sz w:val="21"/>
                <w:szCs w:val="21"/>
                <w:u w:val="none"/>
                <w:lang w:val="en-US" w:eastAsia="zh-CN" w:bidi="ar"/>
              </w:rPr>
              <w:t>绳杆的握持直径28mm~35mm，有效使用宽度≥600mm，有效使用高度≤3500mm，爬杆的下端若设置为非固定结构的悬空型式时，其下端至运动地面的离地高度应为200mm，且爬杆至其垂直轴线的单向摆动幅度应不大于8°爬绳和爬杆上端的连接部分应设置有防止绳杆断裂的防护装置</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highlight w:val="none"/>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排球网</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排球网长度9500mm～10000mm，宽度700mm±25mm.符合GB/T 19851.14-2007</w:t>
            </w:r>
          </w:p>
        </w:tc>
        <w:tc>
          <w:tcPr>
            <w:tcW w:w="47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18</w:t>
            </w:r>
          </w:p>
        </w:tc>
        <w:tc>
          <w:tcPr>
            <w:tcW w:w="533" w:type="pct"/>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22</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排球网架</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移动配重式，可调，网柱高度：1920mm±5mm，拉网中央高度1800mm±5mm。符合GB/T 19851.13-2007</w:t>
            </w:r>
          </w:p>
        </w:tc>
        <w:tc>
          <w:tcPr>
            <w:tcW w:w="47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w:t>
            </w:r>
          </w:p>
        </w:tc>
        <w:tc>
          <w:tcPr>
            <w:tcW w:w="533" w:type="pct"/>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08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23</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乒乓球</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直径43.4mm～44.4mm，质量2.20g～2.60g，弹跳220mm～250mm，圆度0.4mm，受冲击不小于700次无破裂</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1216</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16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24</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乒乓球拍</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用来击球的拍面用一层齿粒向外的胶粒片覆盖，连同粘合剂，厚度不超过2mm，或者用齿粒向内或向外的海绵胶粒片覆盖，连同粘合剂，厚度不超过4mm。底板与胶粒片或海绵胶粒片的粘接结合力4N。符合GB/T 23115-2008</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195</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08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25</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乒乓球台</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1.户外乒乓球台；能满足学校体育教学、训练需要应符合GB/T 19851.7- 2005的要求。球台长度2340mm；宽度1300mm；高度640mm 2.台面采用整张台面组成或由两个半张台面组成两种类型。3.球台面板选用除玻璃钢、水泥、石材、金属类材料以外的适宜室外使用的材料。</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张</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87</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26</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乒乓球网</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球网高度≥145mm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87</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75"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乒乓球网架</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网架长度152.5mm±2mm，网架高度130mm±2mm，可夹厚度≥30mm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87</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起跑器</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长690mm,宽≥100mm,三角体抵脚板,长160mm,宽120mm,高130mm，倾斜度可调整.</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29</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软式飞盘</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PU制成，质地柔软，圆型饼状外观，采用最外圈围度边沿厚，里圈薄的设计。</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直径：225mm；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边沿厚度：20mm；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重量：120g。</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84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软式练习标枪</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枪身笔直，枪头为圆形弧状，里边为EVA，外边套有硅胶套，四片尾翼由XPE塑料发泡材料制成并呈十字形拼插，与枪身结合牢固，不易脱落，标枪的重心应在枪身中间偏后位置。枪身长800mm--900mm，直径45mm--50mm。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支</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02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软式练习跨栏架</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由底板横板和侧板构成，侧板与横板之间以及侧板与底座之间均为榫卯连接，拆卸组装方便。</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栏架长700mm--800mm，底板宽200mm--250mm；，横版宽80mm--100mm，高度可三档调节为：300mm、500mm、600mm。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highlight w:val="none"/>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24</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32</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软式排球</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5号：圆周长650mm～670mm,质量220g～310g。符合GB/T 19851.6-2005</w:t>
            </w:r>
          </w:p>
        </w:tc>
        <w:tc>
          <w:tcPr>
            <w:tcW w:w="47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60</w:t>
            </w:r>
          </w:p>
        </w:tc>
        <w:tc>
          <w:tcPr>
            <w:tcW w:w="533" w:type="pct"/>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33</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软式铅球3kg</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质量3000g～3050g，直径100mm～110mm；塞子直径φ20mm。外胆由柔软塑胶材料制成。</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04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34</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山羊</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山羊全高：680mm～1080mm；山羊头长：420mm～460mm；头宽：280mm±5mm；头高：180mm～220mm，立轴升降间距：50mm±3mm，山羊腿外直径30mm，山羊腿壁厚3mm。符合GB/T 19851.2-2005</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台</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16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35</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身高体重计</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身高：量程：90cm～210cm，分度值0.1cm，允差：±0.2cm体重：量程：5.0kg～150kg，分度值0.1kg，允差：±0.1kg  （≤100kg）  ±0.15kg （＞100kg）。符合GB/T 19851.12-2005</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w:t>
            </w:r>
          </w:p>
        </w:tc>
        <w:tc>
          <w:tcPr>
            <w:tcW w:w="533" w:type="pct"/>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12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36</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十字跳垫</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5个正方形垫子呈十字形连接：每个垫子边长450mm--500mm，厚度10mm--15mm，分别标有数字0、1、2、3、4</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485"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实心球</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圆周长350mm～780mm,质量1000g±30g,采用适宜的软性材料，球体表面有进行防滑处理,无颗粒脱落、裂缝等缺陷,经过从10m高处自由落体试验后，无破裂。</w:t>
            </w:r>
            <w:r>
              <w:rPr>
                <w:rFonts w:hint="eastAsia" w:ascii="宋体" w:hAnsi="宋体" w:eastAsia="宋体" w:cs="宋体"/>
                <w:i w:val="0"/>
                <w:color w:val="auto"/>
                <w:kern w:val="0"/>
                <w:sz w:val="21"/>
                <w:szCs w:val="21"/>
                <w:highlight w:val="none"/>
                <w:u w:val="none"/>
                <w:lang w:val="en-US" w:eastAsia="zh-CN" w:bidi="ar"/>
              </w:rPr>
              <w:t>符合GB</w:t>
            </w:r>
            <w:r>
              <w:rPr>
                <w:rFonts w:hint="eastAsia" w:ascii="宋体" w:hAnsi="宋体" w:eastAsia="宋体" w:cs="宋体"/>
                <w:i w:val="0"/>
                <w:color w:val="auto"/>
                <w:kern w:val="0"/>
                <w:sz w:val="21"/>
                <w:szCs w:val="21"/>
                <w:u w:val="none"/>
                <w:lang w:val="en-US" w:eastAsia="zh-CN" w:bidi="ar"/>
              </w:rPr>
              <w:t>/T 19851.18-2007</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220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数字圆跳垫</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每个垫子印有0-9不同数字。直径：φ470mm；厚度：5mm。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14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39</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双杠</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木制钢筋加固杠面或其他同等强度及性能的材料，杠高1000mm～1300mm，杠长2700mm～3000mm，两杠内侧距离320mm～520mm，纵向立轴中心距1800mm～2000mm，升降间距50mm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副</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35"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塑料圈(呼啦圈)</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直径80cm，PVC管</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体操棒</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采用木质或塑料。塑料采用硬质塑料，壁厚不小于5mm。长1000mm，截面直径25mm～30mm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根</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101</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42</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跳 高 海 绵 包</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3000mm*2000mm*300mm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9</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32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43</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跳高横杆</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长3000mm～4000mm，直径25mm～30mm,质量不超过2000g,采用不宜折断的适宜材料制成，无采用金属材料，除两端外，横截面呈圆形，颜色醒目。横杆固定在立柱上，中心自然下垂小于20mm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根</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16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44</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跳高架</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立柱高度1600mm～2000mm；高度刻度500mm～1800mm；横杆托长60mm，宽40mm.符合GB/T 19851.17-2007</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highlight w:val="none"/>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6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45</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投掷靶</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铁框架，木靶面。靶面600mm×600mm，中心孔直径为40mm，孔中心距地面1.1m～1.4m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56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46</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橡皮拉力带</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天然橡胶材料制成，无缝连接呈圆环状，外表光滑。</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宽度：45mm；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周长：2080mm；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厚度：2.5mm。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条</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56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橡皮拉力带</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天然橡胶材料制成，无缝连接呈圆环状，外表光滑。</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宽度：20mm；</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周长：4000mm；</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厚度：2.5mm。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条</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小沙包</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帆布制作，质量15</w:t>
            </w:r>
            <w:r>
              <w:rPr>
                <w:rFonts w:hint="eastAsia" w:ascii="宋体" w:hAnsi="宋体" w:eastAsia="宋体" w:cs="宋体"/>
                <w:i w:val="0"/>
                <w:color w:val="auto"/>
                <w:kern w:val="0"/>
                <w:sz w:val="21"/>
                <w:szCs w:val="21"/>
                <w:highlight w:val="none"/>
                <w:u w:val="none"/>
                <w:lang w:val="en-US" w:eastAsia="zh-CN" w:bidi="ar"/>
              </w:rPr>
              <w:t>0gZC-6318</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248</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2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49</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小跳垫</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采用泡沫塑料和泡沫乳胶，帆布或人造革外皮，长1200mm±5mm,宽600mm±5mm,厚50mm。在长度方向可对半折叠，两侧各有提手，四周加装粘扣.符合GB/T 19851.2-2005</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小足球</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4号，圆周长615mm～650mm；质量315g～405g。符合GB/T 22892-2008</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70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44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羽毛球</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球口外径65mm～68mm，球头直径25mm～27mm，球头高度24mm～26mm，毛片插长63mm～64mm，质量4.50g～5.80g，毛片数量16片</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490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52</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羽毛球拍</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总长度≤580mm，宽度≤230mm，拍弦面长度≤280mm，质量≤80g,握柄直径23mm～25mm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111</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53</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羽毛球网</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羽毛球网长度≥6100mm，宽度500mm±25mm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16</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2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54</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羽毛球网柱</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不锈钢支架，网柱高度为1340mm±8mm，拉网中央高度1314mm±5mm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9</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22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55</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长跳绳</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长跳绳，绳长度4000mm～6000mm，直径8～9mm，质量140g～235g；柄(2个)：长度140mm～170mm，直径26mm～33mm，质量70g～90g</w:t>
            </w:r>
            <w:r>
              <w:rPr>
                <w:rFonts w:hint="eastAsia" w:ascii="宋体" w:hAnsi="宋体" w:eastAsia="宋体" w:cs="宋体"/>
                <w:i w:val="0"/>
                <w:color w:val="auto"/>
                <w:kern w:val="0"/>
                <w:sz w:val="21"/>
                <w:szCs w:val="21"/>
                <w:highlight w:val="none"/>
                <w:u w:val="none"/>
                <w:lang w:val="en-US" w:eastAsia="zh-CN" w:bidi="ar"/>
              </w:rPr>
              <w:t>。符合G</w:t>
            </w:r>
            <w:r>
              <w:rPr>
                <w:rFonts w:hint="eastAsia" w:ascii="宋体" w:hAnsi="宋体" w:eastAsia="宋体" w:cs="宋体"/>
                <w:i w:val="0"/>
                <w:color w:val="auto"/>
                <w:kern w:val="0"/>
                <w:sz w:val="21"/>
                <w:szCs w:val="21"/>
                <w:u w:val="none"/>
                <w:lang w:val="en-US" w:eastAsia="zh-CN" w:bidi="ar"/>
              </w:rPr>
              <w:t>B/T 19851.20-2007</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根</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253</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56</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助跳板</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主要原材料采用木材，符合GB/T19851.2-2005中Ⅰ、Ⅱ型要求。</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块</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足球</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5号，其重量为396-453g，周长为680-710mm。符合GB/T 22892-2008</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126</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3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足球门</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2号足球门，门内口宽度5500mm±10mm，高度2000mm±10mm，门柱及横梁直径89mm。足球门能承受的水平拉力1000N，足球门横梁能承受2700N的静负荷.符合GB/T 19851.15-2007</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副</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59</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足球网</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根据选定的球门，选择符合相应标准要求的足球网</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highlight w:val="none"/>
                <w:u w:val="none"/>
                <w:lang w:val="en-US" w:eastAsia="zh-CN" w:bidi="ar"/>
              </w:rPr>
              <w:t>付</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08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钻圈架</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钻圈架两立柱及底座为30mm×30mm的方管，圈体为Φ20mm的圆管。圈体直径为600mm～750mm</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60</w:t>
            </w:r>
          </w:p>
        </w:tc>
        <w:tc>
          <w:tcPr>
            <w:tcW w:w="533" w:type="pct"/>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00" w:hRule="atLeast"/>
        </w:trPr>
        <w:tc>
          <w:tcPr>
            <w:tcW w:w="2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坐位体前屈仪</w:t>
            </w:r>
          </w:p>
        </w:tc>
        <w:tc>
          <w:tcPr>
            <w:tcW w:w="296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量程：-20cm～35cm，分度值0.1cm，允差：±0.2cm。符合GB/T 19851.12-2005</w:t>
            </w:r>
          </w:p>
        </w:tc>
        <w:tc>
          <w:tcPr>
            <w:tcW w:w="4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16</w:t>
            </w:r>
          </w:p>
        </w:tc>
        <w:tc>
          <w:tcPr>
            <w:tcW w:w="533" w:type="pct"/>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bl>
    <w:p>
      <w:pPr>
        <w:pStyle w:val="2"/>
        <w:ind w:left="0" w:leftChars="0" w:firstLine="0" w:firstLineChars="0"/>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五、需要落实的政府采购政策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（一）</w:t>
      </w:r>
      <w:r>
        <w:rPr>
          <w:rFonts w:hint="eastAsia" w:ascii="宋体" w:hAnsi="宋体" w:eastAsia="宋体" w:cs="宋体"/>
          <w:b/>
          <w:bCs/>
          <w:color w:val="auto"/>
          <w:sz w:val="21"/>
          <w:szCs w:val="21"/>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Cs/>
          <w:color w:val="auto"/>
          <w:sz w:val="21"/>
          <w:szCs w:val="21"/>
        </w:rPr>
      </w:pPr>
      <w:r>
        <w:rPr>
          <w:rFonts w:hint="eastAsia" w:ascii="宋体" w:hAnsi="宋体" w:eastAsia="宋体" w:cs="宋体"/>
          <w:b/>
          <w:bCs/>
          <w:color w:val="auto"/>
          <w:sz w:val="21"/>
          <w:szCs w:val="21"/>
        </w:rPr>
        <w:t>促进中小企业发展扶持政策</w:t>
      </w:r>
      <w:r>
        <w:rPr>
          <w:rFonts w:hint="eastAsia" w:ascii="宋体" w:hAnsi="宋体" w:eastAsia="宋体" w:cs="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（4）</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在货物采购项目中，</w:t>
      </w:r>
      <w:r>
        <w:rPr>
          <w:rFonts w:hint="eastAsia" w:ascii="宋体" w:hAnsi="宋体"/>
          <w:bCs/>
          <w:color w:val="auto"/>
          <w:sz w:val="21"/>
          <w:szCs w:val="21"/>
          <w:lang w:eastAsia="zh-CN"/>
        </w:rPr>
        <w:t>投标人</w:t>
      </w:r>
      <w:r>
        <w:rPr>
          <w:rFonts w:hint="eastAsia" w:ascii="宋体" w:hAnsi="宋体"/>
          <w:bCs/>
          <w:color w:val="auto"/>
          <w:sz w:val="21"/>
          <w:szCs w:val="21"/>
        </w:rPr>
        <w:t>提供的货物既有中小企业制造货物，也有大型企业制造货物的，不享受本</w:t>
      </w:r>
      <w:r>
        <w:rPr>
          <w:rFonts w:hint="eastAsia" w:ascii="宋体" w:hAnsi="宋体"/>
          <w:bCs/>
          <w:color w:val="auto"/>
          <w:sz w:val="21"/>
          <w:szCs w:val="21"/>
          <w:lang w:eastAsia="zh-CN"/>
        </w:rPr>
        <w:t>招标文件</w:t>
      </w:r>
      <w:r>
        <w:rPr>
          <w:rFonts w:hint="eastAsia" w:ascii="宋体" w:hAnsi="宋体"/>
          <w:bCs/>
          <w:color w:val="auto"/>
          <w:sz w:val="21"/>
          <w:szCs w:val="21"/>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投标人当按照招标文件规定出具《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color w:val="auto"/>
          <w:sz w:val="21"/>
          <w:szCs w:val="21"/>
        </w:rPr>
      </w:pPr>
      <w:r>
        <w:rPr>
          <w:rFonts w:hint="eastAsia" w:ascii="宋体" w:hAnsi="宋体"/>
          <w:bCs/>
          <w:color w:val="auto"/>
          <w:sz w:val="21"/>
          <w:szCs w:val="21"/>
        </w:rPr>
        <w:t>　　</w:t>
      </w:r>
      <w:r>
        <w:rPr>
          <w:rFonts w:hint="eastAsia" w:ascii="宋体" w:hAnsi="宋体"/>
          <w:bCs/>
          <w:color w:val="auto"/>
          <w:sz w:val="21"/>
          <w:szCs w:val="21"/>
          <w:lang w:val="en-US" w:eastAsia="zh-CN"/>
        </w:rPr>
        <w:t>2</w:t>
      </w:r>
      <w:r>
        <w:rPr>
          <w:rFonts w:hint="eastAsia" w:ascii="宋体" w:hAnsi="宋体"/>
          <w:bCs/>
          <w:color w:val="auto"/>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lang w:eastAsia="zh-CN"/>
        </w:rPr>
      </w:pPr>
      <w:r>
        <w:rPr>
          <w:rFonts w:hint="eastAsia" w:ascii="宋体" w:hAnsi="宋体" w:eastAsia="宋体"/>
          <w:b/>
          <w:bCs w:val="0"/>
          <w:color w:val="auto"/>
          <w:sz w:val="21"/>
          <w:szCs w:val="21"/>
          <w:lang w:eastAsia="zh-CN"/>
        </w:rPr>
        <w:t>采购人根据投标人提供的《</w:t>
      </w:r>
      <w:r>
        <w:rPr>
          <w:rFonts w:hint="eastAsia" w:ascii="宋体" w:hAnsi="宋体" w:eastAsia="宋体"/>
          <w:b/>
          <w:bCs w:val="0"/>
          <w:color w:val="auto"/>
          <w:sz w:val="21"/>
          <w:szCs w:val="21"/>
        </w:rPr>
        <w:t>中小企业声明函</w:t>
      </w:r>
      <w:r>
        <w:rPr>
          <w:rFonts w:hint="eastAsia" w:ascii="宋体" w:hAnsi="宋体" w:eastAsia="宋体"/>
          <w:b/>
          <w:bCs w:val="0"/>
          <w:color w:val="auto"/>
          <w:sz w:val="21"/>
          <w:szCs w:val="21"/>
          <w:lang w:eastAsia="zh-CN"/>
        </w:rPr>
        <w:t>》认定该投标人是否属于中小企业，监狱企业和残疾人福利性单位视同小型、微型企业。不属于中小企业、监狱企业或残疾人福利性单位的拒绝参与本项目投标。</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（二）</w:t>
      </w:r>
      <w:r>
        <w:rPr>
          <w:rFonts w:hint="eastAsia" w:ascii="宋体" w:hAnsi="宋体"/>
          <w:b/>
          <w:bCs/>
          <w:color w:val="auto"/>
          <w:sz w:val="21"/>
          <w:szCs w:val="21"/>
        </w:rPr>
        <w:t>节能产品、环境标志产品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，否则不予认定。</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（三）</w:t>
      </w:r>
      <w:r>
        <w:rPr>
          <w:rFonts w:hint="eastAsia" w:ascii="宋体" w:hAnsi="宋体"/>
          <w:b/>
          <w:bCs/>
          <w:color w:val="auto"/>
          <w:sz w:val="21"/>
          <w:szCs w:val="21"/>
        </w:rPr>
        <w:t>信息安全产品</w:t>
      </w:r>
    </w:p>
    <w:p>
      <w:r>
        <w:rPr>
          <w:rFonts w:hint="eastAsia" w:ascii="宋体" w:hAnsi="宋体"/>
          <w:bCs/>
          <w:color w:val="auto"/>
          <w:sz w:val="21"/>
          <w:szCs w:val="21"/>
        </w:rPr>
        <w:t>根据《财政部 工业和信息化部国家质检总局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05ED3726"/>
    <w:rsid w:val="05ED3726"/>
    <w:rsid w:val="404A2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4">
    <w:name w:val="envelope return"/>
    <w:basedOn w:val="1"/>
    <w:qFormat/>
    <w:uiPriority w:val="0"/>
    <w:pPr>
      <w:snapToGrid w:val="0"/>
    </w:pPr>
    <w:rPr>
      <w:rFonts w:ascii="Arial" w:hAnsi="Arial"/>
    </w:rPr>
  </w:style>
  <w:style w:type="paragraph" w:styleId="5">
    <w:name w:val="Body Text Indent 2"/>
    <w:basedOn w:val="1"/>
    <w:qFormat/>
    <w:uiPriority w:val="0"/>
    <w:pPr>
      <w:spacing w:line="40" w:lineRule="atLeast"/>
      <w:ind w:firstLine="538" w:firstLineChars="192"/>
    </w:pPr>
    <w:rPr>
      <w:rFonts w:ascii="宋体" w:hAnsi="宋体"/>
      <w:kern w:val="0"/>
      <w:sz w:val="28"/>
    </w:rPr>
  </w:style>
  <w:style w:type="paragraph" w:styleId="6">
    <w:name w:val="Title"/>
    <w:basedOn w:val="1"/>
    <w:qFormat/>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6170</Words>
  <Characters>8051</Characters>
  <Lines>0</Lines>
  <Paragraphs>0</Paragraphs>
  <TotalTime>0</TotalTime>
  <ScaleCrop>false</ScaleCrop>
  <LinksUpToDate>false</LinksUpToDate>
  <CharactersWithSpaces>8219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2023-04-21T08:51:00Z</dcterms:created>
  <dc:creator>琳琳0111</dc:creator>
  <cp:lastModifiedBy>琳琳0111</cp:lastModifiedBy>
  <dcterms:modified xsi:type="dcterms:W3CDTF">2023-04-21T09:05:26Z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C45D3A2AF9AE4F62A54652929C837EF6_11</vt:lpwstr>
  </property>
</Properties>
</file>