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2"/>
      </w:pPr>
    </w:p>
    <w:p>
      <w:pPr>
        <w:jc w:val="center"/>
        <w:rPr>
          <w:rFonts w:ascii="宋体" w:hAnsi="宋体"/>
          <w:b/>
          <w:bCs/>
          <w:sz w:val="44"/>
          <w:szCs w:val="44"/>
        </w:rPr>
      </w:pPr>
      <w:r>
        <w:rPr>
          <w:rFonts w:hint="eastAsia" w:ascii="宋体" w:hAnsi="宋体"/>
          <w:b/>
          <w:bCs/>
          <w:sz w:val="40"/>
          <w:szCs w:val="40"/>
        </w:rPr>
        <w:t>武陟县职业技术学校标准化考点建设设备采购项目</w:t>
      </w:r>
    </w:p>
    <w:p>
      <w:pPr>
        <w:pStyle w:val="2"/>
      </w:pPr>
      <w:bookmarkStart w:id="0" w:name="_Toc29289"/>
    </w:p>
    <w:p>
      <w:bookmarkStart w:id="1" w:name="_Toc115021824"/>
    </w:p>
    <w:p/>
    <w:p/>
    <w:p>
      <w:pPr>
        <w:pStyle w:val="2"/>
      </w:pPr>
    </w:p>
    <w:p/>
    <w:p>
      <w:pPr>
        <w:pStyle w:val="2"/>
      </w:pPr>
    </w:p>
    <w:p/>
    <w:p/>
    <w:p>
      <w:pPr>
        <w:jc w:val="center"/>
        <w:outlineLvl w:val="0"/>
        <w:rPr>
          <w:rFonts w:ascii="宋体" w:hAnsi="宋体" w:cs="宋体"/>
          <w:sz w:val="28"/>
          <w:szCs w:val="28"/>
        </w:rPr>
      </w:pPr>
      <w:r>
        <w:rPr>
          <w:rFonts w:hint="eastAsia" w:ascii="黑体" w:hAnsi="黑体" w:eastAsia="黑体" w:cs="黑体"/>
          <w:b/>
          <w:sz w:val="72"/>
          <w:szCs w:val="72"/>
        </w:rPr>
        <w:t>竞争性磋商文件</w:t>
      </w:r>
      <w:bookmarkEnd w:id="0"/>
      <w:bookmarkEnd w:id="1"/>
    </w:p>
    <w:p>
      <w:pPr>
        <w:jc w:val="center"/>
        <w:rPr>
          <w:rFonts w:ascii="宋体" w:hAnsi="宋体"/>
          <w:szCs w:val="21"/>
        </w:rPr>
      </w:pPr>
      <w:r>
        <w:rPr>
          <w:rFonts w:hint="eastAsia" w:ascii="宋体" w:hAnsi="宋体" w:cs="宋体"/>
          <w:sz w:val="28"/>
          <w:szCs w:val="28"/>
        </w:rPr>
        <w:t>项目编号：2023-CS-026</w:t>
      </w:r>
    </w:p>
    <w:p>
      <w:pPr>
        <w:pStyle w:val="54"/>
      </w:pPr>
    </w:p>
    <w:p>
      <w:pPr>
        <w:rPr>
          <w:rFonts w:ascii="宋体" w:hAnsi="宋体" w:cs="宋体"/>
        </w:rPr>
      </w:pPr>
    </w:p>
    <w:p>
      <w:pPr>
        <w:pStyle w:val="2"/>
      </w:pPr>
    </w:p>
    <w:p>
      <w:pPr>
        <w:jc w:val="center"/>
        <w:rPr>
          <w:rFonts w:ascii="宋体" w:hAnsi="宋体" w:cs="宋体"/>
        </w:rPr>
      </w:pPr>
    </w:p>
    <w:p/>
    <w:p>
      <w:pPr>
        <w:pStyle w:val="2"/>
      </w:pPr>
    </w:p>
    <w:p/>
    <w:p>
      <w:pPr>
        <w:pStyle w:val="2"/>
      </w:pPr>
    </w:p>
    <w:p/>
    <w:p>
      <w:pPr>
        <w:pStyle w:val="2"/>
      </w:pPr>
    </w:p>
    <w:p/>
    <w:p>
      <w:pPr>
        <w:pStyle w:val="2"/>
      </w:pPr>
    </w:p>
    <w:p>
      <w:pPr>
        <w:rPr>
          <w:rFonts w:ascii="宋体" w:hAnsi="宋体" w:cs="宋体"/>
          <w:b/>
          <w:bCs/>
          <w:sz w:val="32"/>
        </w:rPr>
      </w:pPr>
    </w:p>
    <w:p>
      <w:pPr>
        <w:rPr>
          <w:rFonts w:ascii="宋体" w:hAnsi="宋体" w:cs="宋体"/>
          <w:b/>
          <w:bCs/>
          <w:sz w:val="32"/>
        </w:rPr>
      </w:pPr>
    </w:p>
    <w:p>
      <w:pPr>
        <w:ind w:firstLine="1606" w:firstLineChars="500"/>
        <w:rPr>
          <w:rFonts w:ascii="宋体" w:hAnsi="宋体" w:cs="宋体"/>
          <w:b/>
          <w:bCs/>
          <w:sz w:val="32"/>
        </w:rPr>
      </w:pPr>
      <w:r>
        <w:rPr>
          <w:rFonts w:hint="eastAsia" w:ascii="宋体" w:hAnsi="宋体" w:cs="宋体"/>
          <w:b/>
          <w:bCs/>
          <w:sz w:val="32"/>
        </w:rPr>
        <w:t>采   购   人：武陟县教育体育局</w:t>
      </w:r>
    </w:p>
    <w:p>
      <w:pPr>
        <w:ind w:firstLine="1606" w:firstLineChars="500"/>
        <w:rPr>
          <w:rFonts w:ascii="宋体" w:hAnsi="宋体" w:cs="宋体"/>
          <w:b/>
          <w:bCs/>
          <w:sz w:val="44"/>
          <w:szCs w:val="32"/>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采购代理机构：河南凯格工程管理有限公司</w:t>
      </w:r>
    </w:p>
    <w:p>
      <w:pPr>
        <w:pStyle w:val="28"/>
        <w:tabs>
          <w:tab w:val="right" w:leader="dot" w:pos="8810"/>
        </w:tabs>
        <w:spacing w:line="360" w:lineRule="auto"/>
        <w:jc w:val="center"/>
        <w:rPr>
          <w:rFonts w:ascii="Calibri" w:hAnsi="Calibri"/>
          <w:sz w:val="30"/>
          <w:szCs w:val="30"/>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Style w:val="48"/>
          <w:rFonts w:hint="eastAsia"/>
          <w:color w:val="auto"/>
          <w:sz w:val="30"/>
          <w:szCs w:val="30"/>
          <w:u w:val="none"/>
        </w:rPr>
        <w:t>目录</w:t>
      </w:r>
    </w:p>
    <w:p>
      <w:pPr>
        <w:pStyle w:val="28"/>
        <w:tabs>
          <w:tab w:val="right" w:leader="dot" w:pos="8810"/>
        </w:tabs>
        <w:spacing w:line="360" w:lineRule="auto"/>
        <w:rPr>
          <w:rFonts w:ascii="宋体" w:hAnsi="宋体"/>
          <w:sz w:val="24"/>
          <w:szCs w:val="24"/>
        </w:rPr>
      </w:pPr>
      <w:r>
        <w:fldChar w:fldCharType="begin"/>
      </w:r>
      <w:r>
        <w:instrText xml:space="preserve"> HYPERLINK \l "_Toc115021825" </w:instrText>
      </w:r>
      <w:r>
        <w:fldChar w:fldCharType="separate"/>
      </w:r>
      <w:r>
        <w:rPr>
          <w:rStyle w:val="48"/>
          <w:rFonts w:hint="eastAsia" w:cs="宋体"/>
          <w:sz w:val="24"/>
        </w:rPr>
        <w:t>第一章 竞争性磋商公告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_Toc115021825 \h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"_Toc115021826" </w:instrText>
      </w:r>
      <w:r>
        <w:fldChar w:fldCharType="separate"/>
      </w:r>
      <w:r>
        <w:rPr>
          <w:rStyle w:val="48"/>
          <w:rFonts w:hint="eastAsia" w:cs="宋体"/>
          <w:sz w:val="24"/>
        </w:rPr>
        <w:t>第二章 供应商须知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_Toc115021826 \h </w:instrText>
      </w:r>
      <w:r>
        <w:rPr>
          <w:rFonts w:ascii="宋体" w:hAnsi="宋体"/>
          <w:sz w:val="24"/>
          <w:szCs w:val="24"/>
        </w:rPr>
        <w:fldChar w:fldCharType="separate"/>
      </w:r>
      <w:r>
        <w:rPr>
          <w:rFonts w:ascii="宋体" w:hAnsi="宋体"/>
          <w:sz w:val="24"/>
          <w:szCs w:val="24"/>
        </w:rPr>
        <w:t>5</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"_Toc115021827" </w:instrText>
      </w:r>
      <w:r>
        <w:fldChar w:fldCharType="separate"/>
      </w:r>
      <w:r>
        <w:rPr>
          <w:rStyle w:val="48"/>
          <w:rFonts w:hint="eastAsia" w:cs="宋体"/>
          <w:sz w:val="24"/>
        </w:rPr>
        <w:t>第三章 评审方法和评审标准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_Toc115021827 \h </w:instrText>
      </w:r>
      <w:r>
        <w:rPr>
          <w:rFonts w:ascii="宋体" w:hAnsi="宋体"/>
          <w:sz w:val="24"/>
          <w:szCs w:val="24"/>
        </w:rPr>
        <w:fldChar w:fldCharType="separate"/>
      </w:r>
      <w:r>
        <w:rPr>
          <w:rFonts w:ascii="宋体" w:hAnsi="宋体"/>
          <w:sz w:val="24"/>
          <w:szCs w:val="24"/>
        </w:rPr>
        <w:t>20</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"_Toc115021828" </w:instrText>
      </w:r>
      <w:r>
        <w:fldChar w:fldCharType="separate"/>
      </w:r>
      <w:r>
        <w:rPr>
          <w:rStyle w:val="48"/>
          <w:rFonts w:hint="eastAsia" w:cs="宋体"/>
          <w:sz w:val="24"/>
        </w:rPr>
        <w:t>第四章 拟签订的合同文本</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_Toc115021828 \h </w:instrText>
      </w:r>
      <w:r>
        <w:rPr>
          <w:rFonts w:ascii="宋体" w:hAnsi="宋体"/>
          <w:sz w:val="24"/>
          <w:szCs w:val="24"/>
        </w:rPr>
        <w:fldChar w:fldCharType="separate"/>
      </w:r>
      <w:r>
        <w:rPr>
          <w:rFonts w:ascii="宋体" w:hAnsi="宋体"/>
          <w:sz w:val="24"/>
          <w:szCs w:val="24"/>
        </w:rPr>
        <w:t>22</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"_Toc115021829" </w:instrText>
      </w:r>
      <w:r>
        <w:fldChar w:fldCharType="separate"/>
      </w:r>
      <w:r>
        <w:rPr>
          <w:rStyle w:val="48"/>
          <w:rFonts w:hint="eastAsia" w:cs="宋体"/>
          <w:sz w:val="24"/>
        </w:rPr>
        <w:t>第五章 采购需求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_Toc115021829 \h </w:instrText>
      </w:r>
      <w:r>
        <w:rPr>
          <w:rFonts w:ascii="宋体" w:hAnsi="宋体"/>
          <w:sz w:val="24"/>
          <w:szCs w:val="24"/>
        </w:rPr>
        <w:fldChar w:fldCharType="separate"/>
      </w:r>
      <w:r>
        <w:rPr>
          <w:rFonts w:ascii="宋体" w:hAnsi="宋体"/>
          <w:sz w:val="24"/>
          <w:szCs w:val="24"/>
        </w:rPr>
        <w:t>25</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"_Toc115021830" </w:instrText>
      </w:r>
      <w:r>
        <w:fldChar w:fldCharType="separate"/>
      </w:r>
      <w:r>
        <w:rPr>
          <w:rStyle w:val="48"/>
          <w:rFonts w:hint="eastAsia" w:cs="宋体"/>
          <w:sz w:val="24"/>
        </w:rPr>
        <w:t>第六章响应文件格式</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_Toc115021830 \h </w:instrText>
      </w:r>
      <w:r>
        <w:rPr>
          <w:rFonts w:ascii="宋体" w:hAnsi="宋体"/>
          <w:sz w:val="24"/>
          <w:szCs w:val="24"/>
        </w:rPr>
        <w:fldChar w:fldCharType="separate"/>
      </w:r>
      <w:r>
        <w:rPr>
          <w:rFonts w:ascii="宋体" w:hAnsi="宋体"/>
          <w:sz w:val="24"/>
          <w:szCs w:val="24"/>
        </w:rPr>
        <w:t>36</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"_Toc115021831" </w:instrText>
      </w:r>
      <w:r>
        <w:fldChar w:fldCharType="separate"/>
      </w:r>
      <w:r>
        <w:rPr>
          <w:rStyle w:val="48"/>
          <w:rFonts w:cs="宋体"/>
          <w:sz w:val="24"/>
        </w:rPr>
        <w:t>1.</w:t>
      </w:r>
      <w:bookmarkStart w:id="2" w:name="_Hlt115021892"/>
      <w:r>
        <w:rPr>
          <w:rStyle w:val="48"/>
          <w:rFonts w:hint="eastAsia" w:cs="宋体"/>
          <w:sz w:val="24"/>
        </w:rPr>
        <w:t>磋商承诺函</w:t>
      </w:r>
      <w:r>
        <w:rPr>
          <w:rFonts w:ascii="宋体" w:hAnsi="宋体"/>
          <w:sz w:val="24"/>
          <w:szCs w:val="24"/>
        </w:rPr>
        <w:tab/>
      </w:r>
      <w:bookmarkEnd w:id="2"/>
      <w:r>
        <w:rPr>
          <w:rFonts w:ascii="宋体" w:hAnsi="宋体"/>
          <w:sz w:val="24"/>
          <w:szCs w:val="24"/>
        </w:rPr>
        <w:fldChar w:fldCharType="begin"/>
      </w:r>
      <w:r>
        <w:rPr>
          <w:rFonts w:ascii="宋体" w:hAnsi="宋体"/>
          <w:sz w:val="24"/>
          <w:szCs w:val="24"/>
        </w:rPr>
        <w:instrText xml:space="preserve"> PAGEREF _Toc115021831 \h </w:instrText>
      </w:r>
      <w:r>
        <w:rPr>
          <w:rFonts w:ascii="宋体" w:hAnsi="宋体"/>
          <w:sz w:val="24"/>
          <w:szCs w:val="24"/>
        </w:rPr>
        <w:fldChar w:fldCharType="separate"/>
      </w:r>
      <w:r>
        <w:rPr>
          <w:rFonts w:ascii="宋体" w:hAnsi="宋体"/>
          <w:sz w:val="24"/>
          <w:szCs w:val="24"/>
        </w:rPr>
        <w:t>38</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"_Toc115021832" </w:instrText>
      </w:r>
      <w:r>
        <w:fldChar w:fldCharType="separate"/>
      </w:r>
      <w:r>
        <w:rPr>
          <w:rStyle w:val="48"/>
          <w:rFonts w:cs="宋体"/>
          <w:sz w:val="24"/>
        </w:rPr>
        <w:t>2.</w:t>
      </w:r>
      <w:r>
        <w:rPr>
          <w:rStyle w:val="48"/>
          <w:rFonts w:hint="eastAsia" w:cs="宋体"/>
          <w:sz w:val="24"/>
        </w:rPr>
        <w:t xml:space="preserve"> 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_Toc115021832 \h </w:instrText>
      </w:r>
      <w:r>
        <w:rPr>
          <w:rFonts w:ascii="宋体" w:hAnsi="宋体"/>
          <w:sz w:val="24"/>
          <w:szCs w:val="24"/>
        </w:rPr>
        <w:fldChar w:fldCharType="separate"/>
      </w:r>
      <w:r>
        <w:rPr>
          <w:rFonts w:ascii="宋体" w:hAnsi="宋体"/>
          <w:sz w:val="24"/>
          <w:szCs w:val="24"/>
        </w:rPr>
        <w:t>39</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"_Toc115021833" </w:instrText>
      </w:r>
      <w:r>
        <w:fldChar w:fldCharType="separate"/>
      </w:r>
      <w:r>
        <w:rPr>
          <w:rStyle w:val="48"/>
          <w:rFonts w:cs="宋体"/>
          <w:sz w:val="24"/>
        </w:rPr>
        <w:t>3.</w:t>
      </w:r>
      <w:r>
        <w:rPr>
          <w:rStyle w:val="48"/>
          <w:rFonts w:hint="eastAsia" w:cs="宋体"/>
          <w:sz w:val="24"/>
        </w:rPr>
        <w:t xml:space="preserve"> 供应</w:t>
      </w:r>
      <w:bookmarkStart w:id="3" w:name="_Hlt115021897"/>
      <w:r>
        <w:rPr>
          <w:rStyle w:val="48"/>
          <w:rFonts w:hint="eastAsia" w:cs="宋体"/>
          <w:sz w:val="24"/>
        </w:rPr>
        <w:t>商</w:t>
      </w:r>
      <w:bookmarkEnd w:id="3"/>
      <w:r>
        <w:rPr>
          <w:rStyle w:val="48"/>
          <w:rFonts w:hint="eastAsia" w:cs="宋体"/>
          <w:sz w:val="24"/>
        </w:rPr>
        <w:t>基本</w:t>
      </w:r>
      <w:bookmarkStart w:id="4" w:name="_Hlt115180455"/>
      <w:r>
        <w:rPr>
          <w:rStyle w:val="48"/>
          <w:rFonts w:hint="eastAsia" w:cs="宋体"/>
          <w:sz w:val="24"/>
        </w:rPr>
        <w:t>情</w:t>
      </w:r>
      <w:bookmarkEnd w:id="4"/>
      <w:r>
        <w:rPr>
          <w:rStyle w:val="48"/>
          <w:rFonts w:hint="eastAsia" w:cs="宋体"/>
          <w:sz w:val="24"/>
        </w:rPr>
        <w:t>况表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_Toc115021833 \h </w:instrText>
      </w:r>
      <w:r>
        <w:rPr>
          <w:rFonts w:ascii="宋体" w:hAnsi="宋体"/>
          <w:sz w:val="24"/>
          <w:szCs w:val="24"/>
        </w:rPr>
        <w:fldChar w:fldCharType="separate"/>
      </w:r>
      <w:r>
        <w:rPr>
          <w:rFonts w:ascii="宋体" w:hAnsi="宋体"/>
          <w:sz w:val="24"/>
          <w:szCs w:val="24"/>
        </w:rPr>
        <w:t>40</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"_Toc115021834" </w:instrText>
      </w:r>
      <w:r>
        <w:fldChar w:fldCharType="separate"/>
      </w:r>
      <w:r>
        <w:rPr>
          <w:rStyle w:val="48"/>
          <w:rFonts w:cs="宋体"/>
          <w:sz w:val="24"/>
        </w:rPr>
        <w:t>4.</w:t>
      </w:r>
      <w:r>
        <w:rPr>
          <w:rStyle w:val="48"/>
          <w:rFonts w:hint="eastAsia" w:cs="宋体"/>
          <w:sz w:val="24"/>
        </w:rPr>
        <w:t xml:space="preserve"> 第一轮报价表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_Toc115021834 \h </w:instrText>
      </w:r>
      <w:r>
        <w:rPr>
          <w:rFonts w:ascii="宋体" w:hAnsi="宋体"/>
          <w:sz w:val="24"/>
          <w:szCs w:val="24"/>
        </w:rPr>
        <w:fldChar w:fldCharType="separate"/>
      </w:r>
      <w:r>
        <w:rPr>
          <w:rFonts w:ascii="宋体" w:hAnsi="宋体"/>
          <w:sz w:val="24"/>
          <w:szCs w:val="24"/>
        </w:rPr>
        <w:t>41</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"_Toc115021835" </w:instrText>
      </w:r>
      <w:r>
        <w:fldChar w:fldCharType="separate"/>
      </w:r>
      <w:r>
        <w:rPr>
          <w:rStyle w:val="48"/>
          <w:rFonts w:cs="宋体"/>
          <w:sz w:val="24"/>
        </w:rPr>
        <w:t>5.</w:t>
      </w:r>
      <w:r>
        <w:rPr>
          <w:rStyle w:val="48"/>
          <w:rFonts w:hint="eastAsia" w:cs="宋体"/>
          <w:sz w:val="24"/>
        </w:rPr>
        <w:t xml:space="preserve"> 报价明细表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_Toc115021835 \h </w:instrText>
      </w:r>
      <w:r>
        <w:rPr>
          <w:rFonts w:ascii="宋体" w:hAnsi="宋体"/>
          <w:sz w:val="24"/>
          <w:szCs w:val="24"/>
        </w:rPr>
        <w:fldChar w:fldCharType="separate"/>
      </w:r>
      <w:r>
        <w:rPr>
          <w:rFonts w:ascii="宋体" w:hAnsi="宋体"/>
          <w:sz w:val="24"/>
          <w:szCs w:val="24"/>
        </w:rPr>
        <w:t>42</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"_Toc115021836" </w:instrText>
      </w:r>
      <w:r>
        <w:fldChar w:fldCharType="separate"/>
      </w:r>
      <w:r>
        <w:rPr>
          <w:rStyle w:val="48"/>
          <w:rFonts w:cs="宋体"/>
          <w:sz w:val="24"/>
        </w:rPr>
        <w:t>6.</w:t>
      </w:r>
      <w:r>
        <w:rPr>
          <w:rStyle w:val="48"/>
          <w:rFonts w:hint="eastAsia" w:cs="宋体"/>
          <w:sz w:val="24"/>
        </w:rPr>
        <w:t xml:space="preserve"> 技术响应表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_Toc115021836 \h </w:instrText>
      </w:r>
      <w:r>
        <w:rPr>
          <w:rFonts w:ascii="宋体" w:hAnsi="宋体"/>
          <w:sz w:val="24"/>
          <w:szCs w:val="24"/>
        </w:rPr>
        <w:fldChar w:fldCharType="separate"/>
      </w:r>
      <w:r>
        <w:rPr>
          <w:rFonts w:ascii="宋体" w:hAnsi="宋体"/>
          <w:sz w:val="24"/>
          <w:szCs w:val="24"/>
        </w:rPr>
        <w:t>43</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"_Toc115021837" </w:instrText>
      </w:r>
      <w:r>
        <w:fldChar w:fldCharType="separate"/>
      </w:r>
      <w:r>
        <w:rPr>
          <w:rStyle w:val="48"/>
          <w:rFonts w:cs="宋体"/>
          <w:sz w:val="24"/>
        </w:rPr>
        <w:t>7.</w:t>
      </w:r>
      <w:r>
        <w:rPr>
          <w:rStyle w:val="48"/>
          <w:rFonts w:hint="eastAsia" w:cs="宋体"/>
          <w:sz w:val="24"/>
        </w:rPr>
        <w:t xml:space="preserve"> 商务响应表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_Toc115021837 \h </w:instrText>
      </w:r>
      <w:r>
        <w:rPr>
          <w:rFonts w:ascii="宋体" w:hAnsi="宋体"/>
          <w:sz w:val="24"/>
          <w:szCs w:val="24"/>
        </w:rPr>
        <w:fldChar w:fldCharType="separate"/>
      </w:r>
      <w:r>
        <w:rPr>
          <w:rFonts w:ascii="宋体" w:hAnsi="宋体"/>
          <w:sz w:val="24"/>
          <w:szCs w:val="24"/>
        </w:rPr>
        <w:t>44</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"_Toc115021838" </w:instrText>
      </w:r>
      <w:r>
        <w:fldChar w:fldCharType="separate"/>
      </w:r>
      <w:r>
        <w:rPr>
          <w:rStyle w:val="48"/>
          <w:rFonts w:cs="宋体"/>
          <w:sz w:val="24"/>
        </w:rPr>
        <w:t>8.</w:t>
      </w:r>
      <w:r>
        <w:rPr>
          <w:rStyle w:val="48"/>
          <w:rFonts w:hint="eastAsia" w:cs="宋体"/>
          <w:sz w:val="24"/>
        </w:rPr>
        <w:t xml:space="preserve"> 资格证明材料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_Toc115021838 \h </w:instrText>
      </w:r>
      <w:r>
        <w:rPr>
          <w:rFonts w:ascii="宋体" w:hAnsi="宋体"/>
          <w:sz w:val="24"/>
          <w:szCs w:val="24"/>
        </w:rPr>
        <w:fldChar w:fldCharType="separate"/>
      </w:r>
      <w:r>
        <w:rPr>
          <w:rFonts w:ascii="宋体" w:hAnsi="宋体"/>
          <w:sz w:val="24"/>
          <w:szCs w:val="24"/>
        </w:rPr>
        <w:t>45</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"_Toc115021841" </w:instrText>
      </w:r>
      <w:r>
        <w:fldChar w:fldCharType="separate"/>
      </w:r>
      <w:r>
        <w:rPr>
          <w:rStyle w:val="48"/>
          <w:rFonts w:cs="宋体"/>
          <w:sz w:val="24"/>
        </w:rPr>
        <w:t>9.</w:t>
      </w:r>
      <w:r>
        <w:rPr>
          <w:rStyle w:val="48"/>
          <w:rFonts w:hint="eastAsia" w:cs="宋体"/>
          <w:sz w:val="24"/>
        </w:rPr>
        <w:t xml:space="preserve"> 法定代表</w:t>
      </w:r>
      <w:bookmarkStart w:id="5" w:name="_Hlt115021899"/>
      <w:r>
        <w:rPr>
          <w:rStyle w:val="48"/>
          <w:rFonts w:hint="eastAsia" w:cs="宋体"/>
          <w:sz w:val="24"/>
        </w:rPr>
        <w:t>人</w:t>
      </w:r>
      <w:bookmarkEnd w:id="5"/>
      <w:r>
        <w:rPr>
          <w:rStyle w:val="48"/>
          <w:rFonts w:hint="eastAsia" w:cs="宋体"/>
          <w:sz w:val="24"/>
        </w:rPr>
        <w:t>身份证明或授权委托书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_Toc115021841 \h </w:instrText>
      </w:r>
      <w:r>
        <w:rPr>
          <w:rFonts w:ascii="宋体" w:hAnsi="宋体"/>
          <w:sz w:val="24"/>
          <w:szCs w:val="24"/>
        </w:rPr>
        <w:fldChar w:fldCharType="separate"/>
      </w:r>
      <w:r>
        <w:rPr>
          <w:rFonts w:ascii="宋体" w:hAnsi="宋体"/>
          <w:sz w:val="24"/>
          <w:szCs w:val="24"/>
        </w:rPr>
        <w:t>48</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"_Toc115021842" </w:instrText>
      </w:r>
      <w:r>
        <w:fldChar w:fldCharType="separate"/>
      </w:r>
      <w:r>
        <w:rPr>
          <w:rStyle w:val="48"/>
          <w:rFonts w:cs="宋体"/>
          <w:sz w:val="24"/>
        </w:rPr>
        <w:t>10.</w:t>
      </w:r>
      <w:r>
        <w:rPr>
          <w:rStyle w:val="48"/>
          <w:rFonts w:hint="eastAsia" w:cs="宋体"/>
          <w:sz w:val="24"/>
        </w:rPr>
        <w:t xml:space="preserve"> 中小企业声明函（货物）</w:t>
      </w:r>
      <w:r>
        <w:rPr>
          <w:rFonts w:ascii="宋体" w:hAnsi="宋体"/>
          <w:sz w:val="24"/>
          <w:szCs w:val="24"/>
        </w:rPr>
        <w:tab/>
      </w:r>
      <w:r>
        <w:rPr>
          <w:rFonts w:hint="eastAsia" w:ascii="宋体" w:hAnsi="宋体"/>
          <w:sz w:val="24"/>
          <w:szCs w:val="24"/>
        </w:rPr>
        <w:t>5</w:t>
      </w:r>
      <w:r>
        <w:rPr>
          <w:rFonts w:hint="eastAsia" w:ascii="宋体" w:hAnsi="宋体"/>
          <w:sz w:val="24"/>
          <w:szCs w:val="24"/>
        </w:rPr>
        <w:fldChar w:fldCharType="end"/>
      </w:r>
      <w:r>
        <w:rPr>
          <w:rFonts w:hint="eastAsia"/>
          <w:sz w:val="24"/>
        </w:rPr>
        <w:t>1</w:t>
      </w:r>
    </w:p>
    <w:p>
      <w:pPr>
        <w:pStyle w:val="28"/>
        <w:tabs>
          <w:tab w:val="right" w:leader="dot" w:pos="8810"/>
        </w:tabs>
        <w:spacing w:line="360" w:lineRule="auto"/>
        <w:rPr>
          <w:rFonts w:ascii="宋体" w:hAnsi="宋体"/>
          <w:sz w:val="24"/>
          <w:szCs w:val="24"/>
        </w:rPr>
      </w:pPr>
      <w:r>
        <w:fldChar w:fldCharType="begin"/>
      </w:r>
      <w:r>
        <w:instrText xml:space="preserve"> HYPERLINK \l "_Toc115021843" </w:instrText>
      </w:r>
      <w:r>
        <w:fldChar w:fldCharType="separate"/>
      </w:r>
      <w:r>
        <w:rPr>
          <w:rStyle w:val="48"/>
          <w:rFonts w:cs="宋体"/>
          <w:sz w:val="24"/>
        </w:rPr>
        <w:t>11.</w:t>
      </w:r>
      <w:r>
        <w:rPr>
          <w:rStyle w:val="48"/>
          <w:rFonts w:hint="eastAsia" w:cs="宋体"/>
          <w:sz w:val="24"/>
        </w:rPr>
        <w:t xml:space="preserve"> 残疾人福利性单位声明函</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_Toc115021843 \h </w:instrText>
      </w:r>
      <w:r>
        <w:rPr>
          <w:rFonts w:ascii="宋体" w:hAnsi="宋体"/>
          <w:sz w:val="24"/>
          <w:szCs w:val="24"/>
        </w:rPr>
        <w:fldChar w:fldCharType="separate"/>
      </w:r>
      <w:r>
        <w:rPr>
          <w:rFonts w:ascii="宋体" w:hAnsi="宋体"/>
          <w:sz w:val="24"/>
          <w:szCs w:val="24"/>
        </w:rPr>
        <w:t>51</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4"/>
          <w:szCs w:val="24"/>
        </w:rPr>
      </w:pPr>
      <w:r>
        <w:fldChar w:fldCharType="begin"/>
      </w:r>
      <w:r>
        <w:instrText xml:space="preserve"> HYPERLINK \l "_Toc115021844" </w:instrText>
      </w:r>
      <w:r>
        <w:fldChar w:fldCharType="separate"/>
      </w:r>
      <w:r>
        <w:rPr>
          <w:rStyle w:val="48"/>
          <w:rFonts w:cs="宋体"/>
          <w:sz w:val="24"/>
        </w:rPr>
        <w:t>12.</w:t>
      </w:r>
      <w:r>
        <w:rPr>
          <w:rStyle w:val="48"/>
          <w:rFonts w:hint="eastAsia" w:cs="宋体"/>
          <w:sz w:val="24"/>
        </w:rPr>
        <w:t xml:space="preserve"> 反商业贿赂承诺书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_Toc115021844 \h </w:instrText>
      </w:r>
      <w:r>
        <w:rPr>
          <w:rFonts w:ascii="宋体" w:hAnsi="宋体"/>
          <w:sz w:val="24"/>
          <w:szCs w:val="24"/>
        </w:rPr>
        <w:fldChar w:fldCharType="separate"/>
      </w:r>
      <w:r>
        <w:rPr>
          <w:rFonts w:ascii="宋体" w:hAnsi="宋体"/>
          <w:sz w:val="24"/>
          <w:szCs w:val="24"/>
        </w:rPr>
        <w:t>52</w:t>
      </w:r>
      <w:r>
        <w:rPr>
          <w:rFonts w:ascii="宋体" w:hAnsi="宋体"/>
          <w:sz w:val="24"/>
          <w:szCs w:val="24"/>
        </w:rPr>
        <w:fldChar w:fldCharType="end"/>
      </w:r>
      <w:r>
        <w:rPr>
          <w:rFonts w:ascii="宋体" w:hAnsi="宋体"/>
          <w:sz w:val="24"/>
          <w:szCs w:val="24"/>
        </w:rPr>
        <w:fldChar w:fldCharType="end"/>
      </w:r>
    </w:p>
    <w:p>
      <w:pPr>
        <w:pStyle w:val="28"/>
        <w:tabs>
          <w:tab w:val="right" w:leader="dot" w:pos="8810"/>
        </w:tabs>
        <w:spacing w:line="360" w:lineRule="auto"/>
        <w:rPr>
          <w:rFonts w:ascii="宋体" w:hAnsi="宋体"/>
          <w:sz w:val="28"/>
          <w:szCs w:val="28"/>
        </w:rPr>
      </w:pPr>
      <w:r>
        <w:fldChar w:fldCharType="begin"/>
      </w:r>
      <w:r>
        <w:instrText xml:space="preserve"> HYPERLINK \l "_Toc115021845" </w:instrText>
      </w:r>
      <w:r>
        <w:fldChar w:fldCharType="separate"/>
      </w:r>
      <w:r>
        <w:rPr>
          <w:rStyle w:val="48"/>
          <w:rFonts w:cs="宋体"/>
          <w:sz w:val="24"/>
        </w:rPr>
        <w:t>13.</w:t>
      </w:r>
      <w:r>
        <w:rPr>
          <w:rStyle w:val="48"/>
          <w:rFonts w:hint="eastAsia" w:cs="宋体"/>
          <w:sz w:val="24"/>
        </w:rPr>
        <w:t xml:space="preserve"> 竞争性磋商文件要求的以及供应商认为应该提供的其</w:t>
      </w:r>
      <w:bookmarkStart w:id="6" w:name="_Hlt115180451"/>
      <w:bookmarkStart w:id="7" w:name="_Hlt115180452"/>
      <w:r>
        <w:rPr>
          <w:rStyle w:val="48"/>
          <w:rFonts w:hint="eastAsia" w:cs="宋体"/>
          <w:sz w:val="24"/>
        </w:rPr>
        <w:t>他</w:t>
      </w:r>
      <w:bookmarkEnd w:id="6"/>
      <w:bookmarkEnd w:id="7"/>
      <w:r>
        <w:rPr>
          <w:rStyle w:val="48"/>
          <w:rFonts w:hint="eastAsia" w:cs="宋体"/>
          <w:sz w:val="24"/>
        </w:rPr>
        <w:t>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_Toc115021845 \h </w:instrText>
      </w:r>
      <w:r>
        <w:rPr>
          <w:rFonts w:ascii="宋体" w:hAnsi="宋体"/>
          <w:sz w:val="24"/>
          <w:szCs w:val="24"/>
        </w:rPr>
        <w:fldChar w:fldCharType="separate"/>
      </w:r>
      <w:r>
        <w:rPr>
          <w:rFonts w:ascii="宋体" w:hAnsi="宋体"/>
          <w:sz w:val="24"/>
          <w:szCs w:val="24"/>
        </w:rPr>
        <w:t>52</w:t>
      </w:r>
      <w:r>
        <w:rPr>
          <w:rFonts w:ascii="宋体" w:hAnsi="宋体"/>
          <w:sz w:val="24"/>
          <w:szCs w:val="24"/>
        </w:rPr>
        <w:fldChar w:fldCharType="end"/>
      </w:r>
      <w:r>
        <w:rPr>
          <w:rFonts w:ascii="宋体" w:hAnsi="宋体"/>
          <w:sz w:val="24"/>
          <w:szCs w:val="24"/>
        </w:rPr>
        <w:fldChar w:fldCharType="end"/>
      </w:r>
    </w:p>
    <w:p>
      <w:pPr>
        <w:pStyle w:val="28"/>
        <w:tabs>
          <w:tab w:val="right" w:leader="dot" w:pos="8820"/>
        </w:tabs>
        <w:rPr>
          <w:rFonts w:ascii="宋体" w:hAnsi="宋体" w:cs="宋体"/>
          <w:b/>
          <w:bCs/>
          <w:caps/>
          <w:sz w:val="32"/>
          <w:szCs w:val="32"/>
          <w:lang w:val="zh-CN"/>
        </w:rPr>
      </w:pPr>
      <w:r>
        <w:rPr>
          <w:rFonts w:hint="eastAsia" w:ascii="宋体" w:hAnsi="宋体" w:cs="宋体"/>
          <w:bCs/>
          <w:caps/>
          <w:sz w:val="24"/>
          <w:szCs w:val="24"/>
          <w:lang w:val="zh-CN"/>
        </w:rPr>
        <w:fldChar w:fldCharType="end"/>
      </w:r>
    </w:p>
    <w:p>
      <w:pPr>
        <w:pStyle w:val="82"/>
        <w:jc w:val="center"/>
        <w:rPr>
          <w:rFonts w:ascii="宋体" w:hAnsi="宋体" w:cs="宋体"/>
          <w:b/>
          <w:color w:val="FF0000"/>
          <w:sz w:val="28"/>
          <w:szCs w:val="28"/>
        </w:rPr>
      </w:pPr>
    </w:p>
    <w:p>
      <w:pPr>
        <w:pStyle w:val="82"/>
        <w:rPr>
          <w:rFonts w:ascii="宋体" w:hAnsi="宋体" w:cs="宋体"/>
          <w:color w:val="FF0000"/>
        </w:rPr>
      </w:pPr>
      <w:r>
        <w:rPr>
          <w:rFonts w:hint="eastAsia" w:ascii="宋体" w:hAnsi="宋体" w:cs="宋体"/>
          <w:color w:val="FF0000"/>
        </w:rPr>
        <w:t> </w:t>
      </w:r>
    </w:p>
    <w:p>
      <w:pPr>
        <w:pStyle w:val="82"/>
        <w:ind w:firstLine="480" w:firstLineChars="200"/>
        <w:rPr>
          <w:rFonts w:ascii="宋体" w:hAnsi="宋体" w:cs="宋体"/>
          <w:color w:val="FF0000"/>
        </w:rPr>
      </w:pPr>
    </w:p>
    <w:p>
      <w:pPr>
        <w:rPr>
          <w:rFonts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7"/>
        <w:numPr>
          <w:ilvl w:val="0"/>
          <w:numId w:val="1"/>
        </w:numPr>
        <w:spacing w:line="360" w:lineRule="auto"/>
        <w:ind w:firstLine="0"/>
        <w:rPr>
          <w:rFonts w:ascii="宋体" w:hAnsi="宋体" w:cs="宋体"/>
          <w:bCs w:val="0"/>
        </w:rPr>
      </w:pPr>
      <w:bookmarkStart w:id="8" w:name="_Toc115021825"/>
      <w:bookmarkStart w:id="9" w:name="_Toc30568"/>
      <w:r>
        <w:rPr>
          <w:rFonts w:hint="eastAsia" w:ascii="宋体" w:hAnsi="宋体" w:cs="宋体"/>
          <w:bCs w:val="0"/>
        </w:rPr>
        <w:t>竞争性磋商公告</w:t>
      </w:r>
      <w:bookmarkEnd w:id="8"/>
      <w:bookmarkEnd w:id="9"/>
    </w:p>
    <w:p>
      <w:pPr>
        <w:spacing w:line="400" w:lineRule="exact"/>
        <w:ind w:firstLine="562" w:firstLineChars="200"/>
        <w:jc w:val="center"/>
        <w:rPr>
          <w:rFonts w:ascii="宋体" w:hAnsi="宋体" w:cs="宋体"/>
          <w:b/>
          <w:bCs/>
          <w:sz w:val="28"/>
          <w:szCs w:val="28"/>
        </w:rPr>
      </w:pPr>
      <w:r>
        <w:rPr>
          <w:rFonts w:hint="eastAsia" w:ascii="宋体" w:hAnsi="宋体" w:cs="宋体"/>
          <w:b/>
          <w:bCs/>
          <w:sz w:val="28"/>
          <w:szCs w:val="28"/>
        </w:rPr>
        <w:t>武陟县职业技术学校标准化考点建设设备采购项目</w:t>
      </w:r>
    </w:p>
    <w:p>
      <w:pPr>
        <w:spacing w:line="380" w:lineRule="exact"/>
        <w:jc w:val="center"/>
        <w:rPr>
          <w:rFonts w:ascii="宋体" w:hAnsi="宋体" w:cs="宋体"/>
          <w:b/>
          <w:bCs/>
          <w:sz w:val="24"/>
          <w:szCs w:val="24"/>
        </w:rPr>
      </w:pPr>
      <w:r>
        <w:rPr>
          <w:rFonts w:hint="eastAsia" w:ascii="宋体" w:hAnsi="宋体" w:cs="宋体"/>
          <w:b/>
          <w:bCs/>
          <w:sz w:val="28"/>
          <w:szCs w:val="28"/>
        </w:rPr>
        <w:t>竞争性磋商公告</w:t>
      </w:r>
    </w:p>
    <w:p>
      <w:pPr>
        <w:spacing w:line="440" w:lineRule="exact"/>
        <w:ind w:firstLine="480" w:firstLineChars="200"/>
        <w:rPr>
          <w:rFonts w:ascii="宋体" w:hAnsi="宋体" w:cs="宋体"/>
          <w:sz w:val="24"/>
          <w:szCs w:val="24"/>
        </w:rPr>
      </w:pPr>
      <w:bookmarkStart w:id="10" w:name="_Toc15614"/>
      <w:bookmarkStart w:id="11" w:name="_Toc477423242"/>
      <w:bookmarkStart w:id="12" w:name="_Toc22562"/>
      <w:bookmarkStart w:id="13" w:name="_Toc374512408"/>
      <w:bookmarkStart w:id="14" w:name="_Toc373230021"/>
      <w:bookmarkStart w:id="15" w:name="_Toc408816341"/>
      <w:r>
        <w:rPr>
          <w:rFonts w:hint="eastAsia" w:ascii="宋体" w:hAnsi="宋体" w:cs="宋体"/>
          <w:sz w:val="24"/>
          <w:szCs w:val="24"/>
        </w:rPr>
        <w:t>项目概况</w:t>
      </w:r>
    </w:p>
    <w:p>
      <w:pPr>
        <w:spacing w:line="440" w:lineRule="exact"/>
        <w:ind w:firstLine="480" w:firstLineChars="200"/>
        <w:rPr>
          <w:rFonts w:ascii="宋体" w:hAnsi="宋体" w:cs="宋体"/>
          <w:sz w:val="24"/>
          <w:szCs w:val="24"/>
        </w:rPr>
      </w:pPr>
      <w:r>
        <w:rPr>
          <w:rFonts w:hint="eastAsia" w:ascii="宋体" w:hAnsi="宋体" w:cs="宋体"/>
          <w:sz w:val="24"/>
          <w:szCs w:val="24"/>
        </w:rPr>
        <w:t>武陟县职业技术学校标准化考点建设设备采购项目的潜在</w:t>
      </w:r>
      <w:r>
        <w:rPr>
          <w:rFonts w:hint="eastAsia" w:ascii="宋体" w:hAnsi="宋体" w:cs="宋体"/>
          <w:sz w:val="24"/>
          <w:szCs w:val="24"/>
          <w:lang w:val="en-US" w:eastAsia="zh-CN"/>
        </w:rPr>
        <w:t>供应商</w:t>
      </w:r>
      <w:r>
        <w:rPr>
          <w:rFonts w:hint="eastAsia" w:ascii="宋体" w:hAnsi="宋体" w:cs="宋体"/>
          <w:sz w:val="24"/>
          <w:szCs w:val="24"/>
        </w:rPr>
        <w:t>应在焦作市公共资源交易中心网站获取</w:t>
      </w:r>
      <w:r>
        <w:rPr>
          <w:rFonts w:hint="eastAsia" w:ascii="宋体" w:hAnsi="宋体" w:cs="宋体"/>
          <w:sz w:val="24"/>
          <w:szCs w:val="24"/>
          <w:lang w:val="en-US" w:eastAsia="zh-CN"/>
        </w:rPr>
        <w:t>磋商</w:t>
      </w:r>
      <w:r>
        <w:rPr>
          <w:rFonts w:hint="eastAsia" w:ascii="宋体" w:hAnsi="宋体" w:cs="宋体"/>
          <w:sz w:val="24"/>
          <w:szCs w:val="24"/>
        </w:rPr>
        <w:t>文件，并</w:t>
      </w:r>
      <w:r>
        <w:rPr>
          <w:rFonts w:hint="eastAsia" w:ascii="宋体" w:hAnsi="宋体" w:cs="宋体"/>
          <w:sz w:val="24"/>
          <w:szCs w:val="24"/>
          <w:highlight w:val="none"/>
        </w:rPr>
        <w:t>于2023年</w:t>
      </w:r>
      <w:r>
        <w:rPr>
          <w:rFonts w:hint="eastAsia" w:ascii="宋体" w:hAnsi="宋体" w:cs="宋体"/>
          <w:sz w:val="24"/>
          <w:szCs w:val="24"/>
          <w:highlight w:val="none"/>
          <w:lang w:val="en-US" w:eastAsia="zh-CN"/>
        </w:rPr>
        <w:t>6</w:t>
      </w:r>
      <w:r>
        <w:rPr>
          <w:rFonts w:hint="eastAsia" w:ascii="宋体" w:hAnsi="宋体" w:cs="宋体"/>
          <w:sz w:val="24"/>
          <w:szCs w:val="24"/>
          <w:highlight w:val="none"/>
        </w:rPr>
        <w:t>月</w:t>
      </w:r>
      <w:r>
        <w:rPr>
          <w:rFonts w:hint="eastAsia" w:ascii="宋体" w:hAnsi="宋体" w:cs="宋体"/>
          <w:sz w:val="24"/>
          <w:szCs w:val="24"/>
          <w:highlight w:val="none"/>
          <w:lang w:val="en-US" w:eastAsia="zh-CN"/>
        </w:rPr>
        <w:t>19</w:t>
      </w:r>
      <w:r>
        <w:rPr>
          <w:rFonts w:hint="eastAsia" w:ascii="宋体" w:hAnsi="宋体" w:cs="宋体"/>
          <w:sz w:val="24"/>
          <w:szCs w:val="24"/>
          <w:highlight w:val="none"/>
        </w:rPr>
        <w:t>日09时00分（</w:t>
      </w:r>
      <w:r>
        <w:rPr>
          <w:rFonts w:hint="eastAsia" w:ascii="宋体" w:hAnsi="宋体" w:cs="宋体"/>
          <w:sz w:val="24"/>
          <w:szCs w:val="24"/>
        </w:rPr>
        <w:t>北京时间）前递交响应文件。</w:t>
      </w:r>
    </w:p>
    <w:p>
      <w:pPr>
        <w:spacing w:line="440" w:lineRule="exact"/>
        <w:ind w:firstLine="480" w:firstLineChars="200"/>
        <w:rPr>
          <w:rFonts w:ascii="宋体" w:hAnsi="宋体" w:cs="宋体"/>
          <w:sz w:val="24"/>
          <w:szCs w:val="24"/>
        </w:rPr>
      </w:pPr>
      <w:r>
        <w:rPr>
          <w:rFonts w:hint="eastAsia" w:ascii="宋体" w:hAnsi="宋体" w:cs="宋体"/>
          <w:sz w:val="24"/>
          <w:szCs w:val="24"/>
        </w:rPr>
        <w:t>一、项目基本情况</w:t>
      </w:r>
    </w:p>
    <w:p>
      <w:pPr>
        <w:spacing w:line="440" w:lineRule="exact"/>
        <w:ind w:firstLine="480" w:firstLineChars="200"/>
        <w:rPr>
          <w:rFonts w:ascii="宋体" w:hAnsi="宋体" w:cs="宋体"/>
          <w:sz w:val="24"/>
          <w:szCs w:val="24"/>
        </w:rPr>
      </w:pPr>
      <w:r>
        <w:rPr>
          <w:rFonts w:hint="eastAsia" w:ascii="宋体" w:hAnsi="宋体" w:cs="宋体"/>
          <w:sz w:val="24"/>
          <w:szCs w:val="24"/>
        </w:rPr>
        <w:t>1、项目编号：2023-CS-026</w:t>
      </w:r>
    </w:p>
    <w:p>
      <w:pPr>
        <w:spacing w:line="440" w:lineRule="exact"/>
        <w:ind w:firstLine="480" w:firstLineChars="200"/>
        <w:rPr>
          <w:rFonts w:ascii="宋体" w:hAnsi="宋体" w:cs="宋体"/>
          <w:sz w:val="24"/>
          <w:szCs w:val="24"/>
        </w:rPr>
      </w:pPr>
      <w:r>
        <w:rPr>
          <w:rFonts w:hint="eastAsia" w:ascii="宋体" w:hAnsi="宋体" w:cs="宋体"/>
          <w:sz w:val="24"/>
          <w:szCs w:val="24"/>
        </w:rPr>
        <w:t>2、项目名称：武陟县职业技术学校标准化考点建设设备采购项目</w:t>
      </w:r>
    </w:p>
    <w:p>
      <w:pPr>
        <w:spacing w:line="440" w:lineRule="exact"/>
        <w:ind w:firstLine="480" w:firstLineChars="200"/>
        <w:rPr>
          <w:rFonts w:ascii="宋体" w:hAnsi="宋体" w:cs="宋体"/>
          <w:sz w:val="24"/>
          <w:szCs w:val="24"/>
        </w:rPr>
      </w:pPr>
      <w:r>
        <w:rPr>
          <w:rFonts w:hint="eastAsia" w:ascii="宋体" w:hAnsi="宋体" w:cs="宋体"/>
          <w:sz w:val="24"/>
          <w:szCs w:val="24"/>
        </w:rPr>
        <w:t>3、采购方式：竞争性磋商</w:t>
      </w:r>
    </w:p>
    <w:p>
      <w:pPr>
        <w:spacing w:line="440" w:lineRule="exact"/>
        <w:ind w:firstLine="480" w:firstLineChars="200"/>
        <w:rPr>
          <w:rFonts w:ascii="宋体" w:hAnsi="宋体" w:cs="宋体"/>
          <w:sz w:val="24"/>
          <w:szCs w:val="24"/>
        </w:rPr>
      </w:pPr>
      <w:r>
        <w:rPr>
          <w:rFonts w:hint="eastAsia" w:ascii="宋体" w:hAnsi="宋体" w:cs="宋体"/>
          <w:sz w:val="24"/>
          <w:szCs w:val="24"/>
        </w:rPr>
        <w:t>4、预算金额：1499526.00元</w:t>
      </w:r>
    </w:p>
    <w:p>
      <w:pPr>
        <w:spacing w:line="440" w:lineRule="exact"/>
        <w:ind w:firstLine="480" w:firstLineChars="200"/>
        <w:rPr>
          <w:rFonts w:ascii="宋体" w:hAnsi="宋体" w:cs="宋体"/>
          <w:sz w:val="24"/>
          <w:szCs w:val="24"/>
        </w:rPr>
      </w:pPr>
      <w:r>
        <w:rPr>
          <w:rFonts w:hint="eastAsia" w:ascii="宋体" w:hAnsi="宋体" w:cs="宋体"/>
          <w:sz w:val="24"/>
          <w:szCs w:val="24"/>
        </w:rPr>
        <w:t xml:space="preserve">   最高限价：1499526.00元</w:t>
      </w:r>
    </w:p>
    <w:tbl>
      <w:tblPr>
        <w:tblStyle w:val="120"/>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561"/>
        <w:gridCol w:w="3284"/>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spacing w:line="440" w:lineRule="exact"/>
              <w:jc w:val="center"/>
              <w:rPr>
                <w:rFonts w:ascii="宋体" w:hAnsi="宋体" w:cs="宋体"/>
                <w:sz w:val="24"/>
                <w:szCs w:val="24"/>
              </w:rPr>
            </w:pPr>
            <w:r>
              <w:rPr>
                <w:rFonts w:hint="eastAsia" w:ascii="宋体" w:hAnsi="宋体" w:cs="宋体"/>
                <w:spacing w:val="2"/>
                <w:sz w:val="24"/>
                <w:szCs w:val="24"/>
              </w:rPr>
              <w:t>序号</w:t>
            </w:r>
          </w:p>
        </w:tc>
        <w:tc>
          <w:tcPr>
            <w:tcW w:w="1561" w:type="dxa"/>
            <w:vAlign w:val="center"/>
          </w:tcPr>
          <w:p>
            <w:pPr>
              <w:spacing w:line="440" w:lineRule="exact"/>
              <w:jc w:val="center"/>
              <w:rPr>
                <w:rFonts w:ascii="宋体" w:hAnsi="宋体" w:cs="宋体"/>
                <w:sz w:val="24"/>
                <w:szCs w:val="24"/>
              </w:rPr>
            </w:pPr>
            <w:r>
              <w:rPr>
                <w:rFonts w:hint="eastAsia" w:ascii="宋体" w:hAnsi="宋体" w:cs="宋体"/>
                <w:spacing w:val="-4"/>
                <w:sz w:val="24"/>
                <w:szCs w:val="24"/>
              </w:rPr>
              <w:t>包</w:t>
            </w:r>
            <w:r>
              <w:rPr>
                <w:rFonts w:hint="eastAsia" w:ascii="宋体" w:hAnsi="宋体" w:cs="宋体"/>
                <w:spacing w:val="-2"/>
                <w:sz w:val="24"/>
                <w:szCs w:val="24"/>
              </w:rPr>
              <w:t>号</w:t>
            </w:r>
          </w:p>
        </w:tc>
        <w:tc>
          <w:tcPr>
            <w:tcW w:w="3284" w:type="dxa"/>
            <w:vAlign w:val="center"/>
          </w:tcPr>
          <w:p>
            <w:pPr>
              <w:spacing w:line="440" w:lineRule="exact"/>
              <w:jc w:val="center"/>
              <w:rPr>
                <w:rFonts w:ascii="宋体" w:hAnsi="宋体" w:cs="宋体"/>
                <w:sz w:val="24"/>
                <w:szCs w:val="24"/>
              </w:rPr>
            </w:pPr>
            <w:r>
              <w:rPr>
                <w:rFonts w:hint="eastAsia" w:ascii="宋体" w:hAnsi="宋体" w:cs="宋体"/>
                <w:spacing w:val="2"/>
                <w:sz w:val="24"/>
                <w:szCs w:val="24"/>
              </w:rPr>
              <w:t>包</w:t>
            </w:r>
            <w:r>
              <w:rPr>
                <w:rFonts w:hint="eastAsia" w:ascii="宋体" w:hAnsi="宋体" w:cs="宋体"/>
                <w:spacing w:val="1"/>
                <w:sz w:val="24"/>
                <w:szCs w:val="24"/>
              </w:rPr>
              <w:t>名称</w:t>
            </w:r>
          </w:p>
        </w:tc>
        <w:tc>
          <w:tcPr>
            <w:tcW w:w="1662" w:type="dxa"/>
            <w:vAlign w:val="center"/>
          </w:tcPr>
          <w:p>
            <w:pPr>
              <w:spacing w:line="440" w:lineRule="exact"/>
              <w:jc w:val="center"/>
              <w:rPr>
                <w:rFonts w:ascii="宋体" w:hAnsi="宋体" w:cs="宋体"/>
                <w:sz w:val="24"/>
                <w:szCs w:val="24"/>
              </w:rPr>
            </w:pPr>
            <w:r>
              <w:rPr>
                <w:rFonts w:hint="eastAsia" w:ascii="宋体" w:hAnsi="宋体" w:cs="宋体"/>
                <w:spacing w:val="4"/>
                <w:sz w:val="24"/>
                <w:szCs w:val="24"/>
              </w:rPr>
              <w:t>包预算(元)</w:t>
            </w:r>
          </w:p>
        </w:tc>
        <w:tc>
          <w:tcPr>
            <w:tcW w:w="2061" w:type="dxa"/>
            <w:vAlign w:val="center"/>
          </w:tcPr>
          <w:p>
            <w:pPr>
              <w:spacing w:line="440" w:lineRule="exact"/>
              <w:jc w:val="center"/>
              <w:rPr>
                <w:rFonts w:ascii="宋体" w:hAnsi="宋体" w:cs="宋体"/>
                <w:sz w:val="24"/>
                <w:szCs w:val="24"/>
              </w:rPr>
            </w:pPr>
            <w:r>
              <w:rPr>
                <w:rFonts w:hint="eastAsia" w:ascii="宋体" w:hAnsi="宋体" w:cs="宋体"/>
                <w:spacing w:val="5"/>
                <w:sz w:val="24"/>
                <w:szCs w:val="24"/>
              </w:rPr>
              <w:t>包最高限</w:t>
            </w:r>
            <w:r>
              <w:rPr>
                <w:rFonts w:hint="eastAsia" w:ascii="宋体" w:hAnsi="宋体" w:cs="宋体"/>
                <w:spacing w:val="4"/>
                <w:sz w:val="24"/>
                <w:szCs w:val="24"/>
              </w:rPr>
              <w:t>价</w:t>
            </w:r>
            <w:r>
              <w:rPr>
                <w:rFonts w:hint="eastAsia" w:ascii="宋体" w:hAnsi="宋体" w:cs="宋体"/>
                <w:spacing w:val="-11"/>
                <w:sz w:val="24"/>
                <w:szCs w:val="24"/>
              </w:rPr>
              <w:t>(</w:t>
            </w:r>
            <w:r>
              <w:rPr>
                <w:rFonts w:hint="eastAsia" w:ascii="宋体" w:hAnsi="宋体" w:cs="宋体"/>
                <w:spacing w:val="-10"/>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vAlign w:val="center"/>
          </w:tcPr>
          <w:p>
            <w:pPr>
              <w:spacing w:line="440" w:lineRule="exact"/>
              <w:jc w:val="center"/>
              <w:rPr>
                <w:rFonts w:ascii="宋体" w:hAnsi="宋体" w:cs="宋体"/>
                <w:sz w:val="24"/>
                <w:szCs w:val="24"/>
              </w:rPr>
            </w:pPr>
            <w:r>
              <w:rPr>
                <w:rFonts w:hint="eastAsia" w:ascii="宋体" w:hAnsi="宋体" w:cs="宋体"/>
                <w:sz w:val="24"/>
                <w:szCs w:val="24"/>
              </w:rPr>
              <w:t>1</w:t>
            </w:r>
          </w:p>
        </w:tc>
        <w:tc>
          <w:tcPr>
            <w:tcW w:w="1561" w:type="dxa"/>
            <w:vAlign w:val="center"/>
          </w:tcPr>
          <w:p>
            <w:pPr>
              <w:spacing w:line="440" w:lineRule="exact"/>
              <w:jc w:val="center"/>
              <w:rPr>
                <w:rFonts w:ascii="宋体" w:hAnsi="宋体" w:cs="宋体"/>
                <w:sz w:val="24"/>
                <w:szCs w:val="24"/>
              </w:rPr>
            </w:pPr>
            <w:r>
              <w:rPr>
                <w:rFonts w:hint="eastAsia" w:ascii="宋体" w:hAnsi="宋体" w:cs="宋体"/>
                <w:sz w:val="24"/>
                <w:szCs w:val="24"/>
              </w:rPr>
              <w:t>2023-CS-026</w:t>
            </w:r>
          </w:p>
        </w:tc>
        <w:tc>
          <w:tcPr>
            <w:tcW w:w="3284" w:type="dxa"/>
            <w:vAlign w:val="center"/>
          </w:tcPr>
          <w:p>
            <w:pPr>
              <w:spacing w:line="440" w:lineRule="exact"/>
              <w:jc w:val="center"/>
              <w:rPr>
                <w:rFonts w:ascii="宋体" w:hAnsi="宋体" w:cs="宋体"/>
                <w:sz w:val="24"/>
                <w:szCs w:val="24"/>
              </w:rPr>
            </w:pPr>
            <w:r>
              <w:rPr>
                <w:rFonts w:hint="eastAsia" w:ascii="宋体" w:hAnsi="宋体" w:cs="宋体"/>
                <w:sz w:val="24"/>
                <w:szCs w:val="24"/>
              </w:rPr>
              <w:t>武陟县职业技术学校标准化考点建设设备采购项目</w:t>
            </w:r>
          </w:p>
        </w:tc>
        <w:tc>
          <w:tcPr>
            <w:tcW w:w="1662" w:type="dxa"/>
            <w:vAlign w:val="center"/>
          </w:tcPr>
          <w:p>
            <w:pPr>
              <w:spacing w:line="440" w:lineRule="exact"/>
              <w:jc w:val="center"/>
              <w:rPr>
                <w:rFonts w:ascii="宋体" w:hAnsi="宋体" w:cs="宋体"/>
                <w:sz w:val="24"/>
                <w:szCs w:val="24"/>
              </w:rPr>
            </w:pPr>
            <w:r>
              <w:rPr>
                <w:rFonts w:hint="eastAsia" w:ascii="宋体" w:hAnsi="宋体" w:cs="宋体"/>
                <w:sz w:val="24"/>
                <w:szCs w:val="24"/>
              </w:rPr>
              <w:t>1499526</w:t>
            </w:r>
          </w:p>
        </w:tc>
        <w:tc>
          <w:tcPr>
            <w:tcW w:w="2061" w:type="dxa"/>
            <w:vAlign w:val="center"/>
          </w:tcPr>
          <w:p>
            <w:pPr>
              <w:spacing w:line="440" w:lineRule="exact"/>
              <w:jc w:val="center"/>
              <w:rPr>
                <w:rFonts w:ascii="宋体" w:hAnsi="宋体" w:cs="宋体"/>
                <w:sz w:val="24"/>
                <w:szCs w:val="24"/>
              </w:rPr>
            </w:pPr>
            <w:r>
              <w:rPr>
                <w:rFonts w:hint="eastAsia" w:ascii="宋体" w:hAnsi="宋体" w:cs="宋体"/>
                <w:sz w:val="24"/>
                <w:szCs w:val="24"/>
              </w:rPr>
              <w:t>1499526</w:t>
            </w:r>
          </w:p>
        </w:tc>
      </w:tr>
    </w:tbl>
    <w:p>
      <w:pPr>
        <w:spacing w:line="440" w:lineRule="exact"/>
        <w:ind w:firstLine="480" w:firstLineChars="200"/>
        <w:rPr>
          <w:rFonts w:ascii="宋体" w:hAnsi="宋体" w:cs="宋体"/>
          <w:sz w:val="24"/>
          <w:szCs w:val="24"/>
        </w:rPr>
      </w:pPr>
      <w:r>
        <w:rPr>
          <w:rFonts w:hint="eastAsia" w:ascii="宋体" w:hAnsi="宋体" w:cs="宋体"/>
          <w:sz w:val="24"/>
          <w:szCs w:val="24"/>
        </w:rPr>
        <w:t>5、采购需求(包括但不限于标的的名称、数量、简要技术需求或服务要求等)</w:t>
      </w:r>
    </w:p>
    <w:p>
      <w:pPr>
        <w:spacing w:line="440" w:lineRule="exact"/>
        <w:ind w:firstLine="480" w:firstLineChars="200"/>
        <w:rPr>
          <w:rFonts w:ascii="宋体" w:hAnsi="宋体" w:cs="宋体"/>
          <w:sz w:val="24"/>
          <w:szCs w:val="24"/>
        </w:rPr>
      </w:pPr>
      <w:r>
        <w:rPr>
          <w:rFonts w:hint="eastAsia" w:ascii="宋体" w:hAnsi="宋体" w:cs="宋体"/>
          <w:sz w:val="24"/>
          <w:szCs w:val="24"/>
        </w:rPr>
        <w:t>采购前端考场监控设备、试卷保密室监控设备、考务办公室监控设备等设备1批（详见《河南省政府采购网》本公告附件）。</w:t>
      </w:r>
    </w:p>
    <w:p>
      <w:pPr>
        <w:pStyle w:val="2"/>
        <w:spacing w:line="440" w:lineRule="exact"/>
        <w:ind w:firstLine="480" w:firstLineChars="200"/>
        <w:rPr>
          <w:rFonts w:ascii="宋体" w:hAnsi="宋体" w:cs="宋体"/>
          <w:sz w:val="24"/>
          <w:szCs w:val="24"/>
        </w:rPr>
      </w:pPr>
      <w:r>
        <w:rPr>
          <w:rFonts w:hint="eastAsia" w:ascii="宋体" w:hAnsi="宋体" w:cs="宋体"/>
          <w:sz w:val="24"/>
          <w:szCs w:val="24"/>
        </w:rPr>
        <w:t>6、合同履行期限：</w:t>
      </w:r>
      <w:r>
        <w:rPr>
          <w:rFonts w:hint="eastAsia" w:ascii="宋体" w:hAnsi="宋体" w:cs="宋体"/>
          <w:kern w:val="2"/>
          <w:sz w:val="24"/>
          <w:szCs w:val="24"/>
        </w:rPr>
        <w:t>自双方签订合同后15日内</w:t>
      </w:r>
      <w:r>
        <w:rPr>
          <w:rFonts w:hint="eastAsia" w:ascii="宋体" w:hAnsi="宋体" w:cs="宋体"/>
          <w:sz w:val="24"/>
          <w:szCs w:val="24"/>
        </w:rPr>
        <w:t>。</w:t>
      </w:r>
    </w:p>
    <w:p>
      <w:pPr>
        <w:spacing w:line="440" w:lineRule="exact"/>
        <w:ind w:firstLine="480" w:firstLineChars="200"/>
        <w:rPr>
          <w:rFonts w:ascii="宋体" w:hAnsi="宋体" w:cs="宋体"/>
          <w:sz w:val="24"/>
          <w:szCs w:val="24"/>
        </w:rPr>
      </w:pPr>
      <w:r>
        <w:rPr>
          <w:rFonts w:hint="eastAsia" w:ascii="宋体" w:hAnsi="宋体" w:cs="宋体"/>
          <w:sz w:val="24"/>
          <w:szCs w:val="24"/>
        </w:rPr>
        <w:t>7、本项目是否接受联合体：否。</w:t>
      </w:r>
    </w:p>
    <w:p>
      <w:pPr>
        <w:spacing w:line="440" w:lineRule="exact"/>
        <w:ind w:firstLine="480" w:firstLineChars="200"/>
        <w:rPr>
          <w:rFonts w:ascii="宋体" w:hAnsi="宋体" w:cs="宋体"/>
          <w:sz w:val="24"/>
          <w:szCs w:val="24"/>
        </w:rPr>
      </w:pPr>
      <w:r>
        <w:rPr>
          <w:rFonts w:hint="eastAsia" w:ascii="宋体" w:hAnsi="宋体" w:cs="宋体"/>
          <w:sz w:val="24"/>
          <w:szCs w:val="24"/>
        </w:rPr>
        <w:t>8、是否接受进口产品：否。</w:t>
      </w:r>
    </w:p>
    <w:p>
      <w:pPr>
        <w:spacing w:line="440" w:lineRule="exact"/>
        <w:ind w:firstLine="480" w:firstLineChars="200"/>
        <w:rPr>
          <w:rFonts w:ascii="宋体" w:hAnsi="宋体" w:cs="宋体"/>
          <w:sz w:val="24"/>
          <w:szCs w:val="24"/>
        </w:rPr>
      </w:pPr>
      <w:r>
        <w:rPr>
          <w:rFonts w:hint="eastAsia" w:ascii="宋体" w:hAnsi="宋体" w:cs="宋体"/>
          <w:sz w:val="24"/>
          <w:szCs w:val="24"/>
        </w:rPr>
        <w:t>9、是否专门面向中小企业：否。</w:t>
      </w:r>
    </w:p>
    <w:p>
      <w:pPr>
        <w:spacing w:line="440" w:lineRule="exact"/>
        <w:ind w:firstLine="482" w:firstLineChars="200"/>
        <w:jc w:val="left"/>
        <w:rPr>
          <w:rFonts w:ascii="宋体" w:hAnsi="宋体" w:cs="宋体"/>
          <w:b/>
          <w:bCs/>
          <w:sz w:val="24"/>
          <w:szCs w:val="24"/>
        </w:rPr>
      </w:pPr>
      <w:r>
        <w:rPr>
          <w:rFonts w:hint="eastAsia" w:ascii="宋体" w:hAnsi="宋体" w:cs="宋体"/>
          <w:b/>
          <w:bCs/>
          <w:sz w:val="24"/>
          <w:szCs w:val="24"/>
        </w:rPr>
        <w:t>二、申请人的资格要求：</w:t>
      </w:r>
    </w:p>
    <w:p>
      <w:pPr>
        <w:tabs>
          <w:tab w:val="left" w:pos="492"/>
          <w:tab w:val="left" w:pos="839"/>
        </w:tabs>
        <w:spacing w:line="440" w:lineRule="exact"/>
        <w:ind w:firstLine="480" w:firstLineChars="200"/>
        <w:rPr>
          <w:rFonts w:ascii="宋体" w:hAnsi="宋体" w:cs="宋体"/>
          <w:sz w:val="24"/>
          <w:szCs w:val="24"/>
        </w:rPr>
      </w:pPr>
      <w:r>
        <w:rPr>
          <w:rFonts w:hint="eastAsia" w:ascii="宋体" w:hAnsi="宋体" w:cs="宋体"/>
          <w:sz w:val="24"/>
          <w:szCs w:val="24"/>
        </w:rPr>
        <w:t>1、满足《中华人民共和国政府采购法》第二十二条规定；</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2、落实政府采购政策需满足的资格要求：本次采购</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打印机、电脑、电视机 </w:t>
      </w:r>
      <w:r>
        <w:rPr>
          <w:rFonts w:hint="eastAsia" w:ascii="宋体" w:hAnsi="宋体" w:cs="宋体"/>
          <w:sz w:val="24"/>
          <w:szCs w:val="24"/>
        </w:rPr>
        <w:t>产品提供依据国家确定的认证机构出具的、处于有效期之内的节能产品认证证书；</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3、本项目的特定资格要求：</w:t>
      </w:r>
    </w:p>
    <w:p>
      <w:pPr>
        <w:spacing w:line="440" w:lineRule="exact"/>
        <w:ind w:firstLine="480" w:firstLineChars="200"/>
        <w:rPr>
          <w:rFonts w:ascii="宋体" w:hAnsi="宋体" w:cs="宋体"/>
          <w:sz w:val="24"/>
          <w:szCs w:val="24"/>
        </w:rPr>
      </w:pPr>
      <w:r>
        <w:rPr>
          <w:rFonts w:hint="eastAsia" w:ascii="宋体" w:hAnsi="宋体" w:cs="宋体"/>
          <w:sz w:val="24"/>
          <w:szCs w:val="24"/>
        </w:rPr>
        <w:t>3.1供应商及其法定代表人、委托代理人均无行贿犯罪记录；</w:t>
      </w:r>
    </w:p>
    <w:p>
      <w:pPr>
        <w:spacing w:line="440" w:lineRule="exact"/>
        <w:ind w:firstLine="480" w:firstLineChars="200"/>
        <w:rPr>
          <w:rFonts w:ascii="宋体" w:hAnsi="宋体" w:cs="宋体"/>
          <w:sz w:val="24"/>
          <w:szCs w:val="24"/>
        </w:rPr>
      </w:pPr>
      <w:r>
        <w:rPr>
          <w:rFonts w:hint="eastAsia" w:ascii="宋体" w:hAnsi="宋体" w:cs="宋体"/>
          <w:sz w:val="24"/>
          <w:szCs w:val="24"/>
        </w:rPr>
        <w:t>3.2经中国人民银行备案的第三方征信机构出具的有效期内的信用报告，信用等级达到A级及以上，并提供出具该信用报告的第三方征信机构在中国人民银行备案的证明材料；</w:t>
      </w:r>
    </w:p>
    <w:p>
      <w:pPr>
        <w:spacing w:line="440" w:lineRule="exact"/>
        <w:ind w:firstLine="480" w:firstLineChars="200"/>
        <w:rPr>
          <w:rFonts w:ascii="宋体" w:hAnsi="宋体" w:cs="宋体"/>
          <w:sz w:val="24"/>
          <w:szCs w:val="24"/>
        </w:rPr>
      </w:pPr>
      <w:r>
        <w:rPr>
          <w:rFonts w:hint="eastAsia" w:ascii="宋体" w:hAnsi="宋体" w:cs="宋体"/>
          <w:sz w:val="24"/>
          <w:szCs w:val="24"/>
        </w:rPr>
        <w:t>3.3不得被列入失信被执行人、重大税收违法失信主体、政府采购严重违法失信行为记录名单。</w:t>
      </w:r>
    </w:p>
    <w:p>
      <w:pPr>
        <w:spacing w:line="440" w:lineRule="exact"/>
        <w:ind w:firstLine="482" w:firstLineChars="200"/>
        <w:jc w:val="left"/>
        <w:rPr>
          <w:rFonts w:ascii="宋体" w:hAnsi="宋体" w:cs="宋体"/>
          <w:b/>
          <w:bCs/>
          <w:sz w:val="24"/>
          <w:szCs w:val="24"/>
        </w:rPr>
      </w:pPr>
      <w:r>
        <w:rPr>
          <w:rFonts w:hint="eastAsia" w:ascii="宋体" w:hAnsi="宋体" w:cs="宋体"/>
          <w:b/>
          <w:bCs/>
          <w:sz w:val="24"/>
          <w:szCs w:val="24"/>
        </w:rPr>
        <w:t>三、获取采购文件</w:t>
      </w:r>
    </w:p>
    <w:p>
      <w:pPr>
        <w:numPr>
          <w:ilvl w:val="0"/>
          <w:numId w:val="2"/>
        </w:numPr>
        <w:spacing w:line="440" w:lineRule="exact"/>
        <w:ind w:firstLine="480" w:firstLineChars="200"/>
        <w:jc w:val="left"/>
        <w:rPr>
          <w:rFonts w:ascii="宋体" w:hAnsi="宋体" w:cs="宋体"/>
          <w:sz w:val="24"/>
          <w:szCs w:val="24"/>
        </w:rPr>
      </w:pPr>
      <w:r>
        <w:rPr>
          <w:rFonts w:hint="eastAsia" w:ascii="宋体" w:hAnsi="宋体" w:cs="宋体"/>
          <w:sz w:val="24"/>
          <w:szCs w:val="24"/>
        </w:rPr>
        <w:t>时</w:t>
      </w:r>
      <w:r>
        <w:rPr>
          <w:rFonts w:hint="eastAsia" w:ascii="宋体" w:hAnsi="宋体" w:cs="宋体"/>
          <w:sz w:val="24"/>
          <w:szCs w:val="24"/>
          <w:highlight w:val="none"/>
        </w:rPr>
        <w:t>间：2023 年</w:t>
      </w:r>
      <w:r>
        <w:rPr>
          <w:rFonts w:hint="eastAsia" w:ascii="宋体" w:hAnsi="宋体" w:cs="宋体"/>
          <w:sz w:val="24"/>
          <w:szCs w:val="24"/>
          <w:highlight w:val="none"/>
          <w:lang w:val="en-US" w:eastAsia="zh-CN"/>
        </w:rPr>
        <w:t>6</w:t>
      </w:r>
      <w:r>
        <w:rPr>
          <w:rFonts w:hint="eastAsia" w:ascii="宋体" w:hAnsi="宋体" w:cs="宋体"/>
          <w:sz w:val="24"/>
          <w:szCs w:val="24"/>
          <w:highlight w:val="none"/>
        </w:rPr>
        <w:t>月</w:t>
      </w:r>
      <w:r>
        <w:rPr>
          <w:rFonts w:hint="eastAsia" w:ascii="宋体" w:hAnsi="宋体" w:cs="宋体"/>
          <w:sz w:val="24"/>
          <w:szCs w:val="24"/>
          <w:highlight w:val="none"/>
          <w:lang w:val="en-US" w:eastAsia="zh-CN"/>
        </w:rPr>
        <w:t>6</w:t>
      </w:r>
      <w:r>
        <w:rPr>
          <w:rFonts w:hint="eastAsia" w:ascii="宋体" w:hAnsi="宋体" w:cs="宋体"/>
          <w:sz w:val="24"/>
          <w:szCs w:val="24"/>
          <w:highlight w:val="none"/>
        </w:rPr>
        <w:t>日至 2023 年</w:t>
      </w:r>
      <w:r>
        <w:rPr>
          <w:rFonts w:hint="eastAsia" w:ascii="宋体" w:hAnsi="宋体" w:cs="宋体"/>
          <w:sz w:val="24"/>
          <w:szCs w:val="24"/>
          <w:highlight w:val="none"/>
          <w:lang w:val="en-US" w:eastAsia="zh-CN"/>
        </w:rPr>
        <w:t>6</w:t>
      </w:r>
      <w:r>
        <w:rPr>
          <w:rFonts w:hint="eastAsia" w:ascii="宋体" w:hAnsi="宋体" w:cs="宋体"/>
          <w:sz w:val="24"/>
          <w:szCs w:val="24"/>
          <w:highlight w:val="none"/>
        </w:rPr>
        <w:t>月</w:t>
      </w:r>
      <w:r>
        <w:rPr>
          <w:rFonts w:hint="eastAsia" w:ascii="宋体" w:hAnsi="宋体" w:cs="宋体"/>
          <w:sz w:val="24"/>
          <w:szCs w:val="24"/>
          <w:highlight w:val="none"/>
          <w:lang w:val="en-US" w:eastAsia="zh-CN"/>
        </w:rPr>
        <w:t>13</w:t>
      </w:r>
      <w:r>
        <w:rPr>
          <w:rFonts w:hint="eastAsia" w:ascii="宋体" w:hAnsi="宋体" w:cs="宋体"/>
          <w:sz w:val="24"/>
          <w:szCs w:val="24"/>
          <w:highlight w:val="none"/>
        </w:rPr>
        <w:t>日，每天</w:t>
      </w:r>
      <w:r>
        <w:rPr>
          <w:rFonts w:hint="eastAsia" w:ascii="宋体" w:hAnsi="宋体" w:cs="宋体"/>
          <w:sz w:val="24"/>
          <w:szCs w:val="24"/>
        </w:rPr>
        <w:t>上午 00:00 至 12:00， 下午 12:00 至 23:59 (北京时间，法定节假日除外。)</w:t>
      </w:r>
    </w:p>
    <w:p>
      <w:pPr>
        <w:numPr>
          <w:ilvl w:val="0"/>
          <w:numId w:val="2"/>
        </w:numPr>
        <w:spacing w:line="440" w:lineRule="exact"/>
        <w:ind w:firstLine="480" w:firstLineChars="200"/>
        <w:jc w:val="left"/>
        <w:rPr>
          <w:rFonts w:ascii="宋体" w:hAnsi="宋体" w:cs="宋体"/>
          <w:sz w:val="24"/>
          <w:szCs w:val="24"/>
          <w:shd w:val="clear" w:color="auto" w:fill="FFFF00"/>
        </w:rPr>
      </w:pPr>
      <w:r>
        <w:rPr>
          <w:rFonts w:hint="eastAsia" w:ascii="宋体" w:hAnsi="宋体" w:cs="宋体"/>
          <w:sz w:val="24"/>
          <w:szCs w:val="24"/>
        </w:rPr>
        <w:t>地点：焦作市公共资源交易中心网站</w:t>
      </w:r>
    </w:p>
    <w:p>
      <w:pPr>
        <w:pStyle w:val="14"/>
        <w:numPr>
          <w:ilvl w:val="0"/>
          <w:numId w:val="2"/>
        </w:numPr>
        <w:spacing w:line="440" w:lineRule="exact"/>
        <w:ind w:firstLine="480" w:firstLineChars="200"/>
        <w:jc w:val="left"/>
        <w:rPr>
          <w:rFonts w:ascii="宋体" w:hAnsi="宋体" w:cs="宋体"/>
          <w:sz w:val="24"/>
          <w:szCs w:val="24"/>
        </w:rPr>
      </w:pPr>
      <w:r>
        <w:rPr>
          <w:rFonts w:hint="eastAsia" w:ascii="宋体" w:hAnsi="宋体" w:cs="宋体"/>
          <w:sz w:val="24"/>
          <w:szCs w:val="24"/>
        </w:rPr>
        <w:t>方式：本项目采用网上获取磋商文件，凡有意参加本项目磋商活动者，请登陆焦作市公共资源交易中心网站进行网上下载磋商文件</w:t>
      </w:r>
    </w:p>
    <w:p>
      <w:pPr>
        <w:spacing w:line="440" w:lineRule="exact"/>
        <w:ind w:firstLine="482" w:firstLineChars="200"/>
        <w:rPr>
          <w:rFonts w:ascii="宋体" w:hAnsi="宋体" w:cs="宋体"/>
          <w:b/>
          <w:bCs/>
          <w:sz w:val="24"/>
          <w:szCs w:val="24"/>
        </w:rPr>
      </w:pPr>
      <w:r>
        <w:rPr>
          <w:rFonts w:hint="eastAsia" w:ascii="宋体" w:hAnsi="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pStyle w:val="2"/>
        <w:spacing w:line="440" w:lineRule="exact"/>
        <w:ind w:firstLine="482" w:firstLineChars="200"/>
        <w:rPr>
          <w:rFonts w:ascii="宋体" w:hAnsi="宋体" w:cs="宋体"/>
          <w:sz w:val="24"/>
          <w:szCs w:val="24"/>
        </w:rPr>
      </w:pPr>
      <w:r>
        <w:rPr>
          <w:rFonts w:hint="eastAsia" w:ascii="宋体" w:hAnsi="宋体" w:cs="宋体"/>
          <w:b/>
          <w:bCs/>
          <w:sz w:val="24"/>
          <w:szCs w:val="24"/>
        </w:rPr>
        <w:t>4.售价：0元</w:t>
      </w:r>
    </w:p>
    <w:p>
      <w:pPr>
        <w:spacing w:line="440" w:lineRule="exact"/>
        <w:ind w:firstLine="482" w:firstLineChars="200"/>
        <w:jc w:val="left"/>
        <w:rPr>
          <w:rFonts w:ascii="宋体" w:hAnsi="宋体" w:cs="宋体"/>
          <w:b/>
          <w:bCs/>
          <w:sz w:val="24"/>
          <w:szCs w:val="24"/>
        </w:rPr>
      </w:pPr>
      <w:r>
        <w:rPr>
          <w:rFonts w:hint="eastAsia" w:ascii="宋体" w:hAnsi="宋体" w:cs="宋体"/>
          <w:b/>
          <w:bCs/>
          <w:sz w:val="24"/>
          <w:szCs w:val="24"/>
        </w:rPr>
        <w:t>四、响应文件提交</w:t>
      </w:r>
    </w:p>
    <w:p>
      <w:pPr>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cs="宋体"/>
          <w:sz w:val="24"/>
          <w:szCs w:val="24"/>
        </w:rPr>
        <w:t>1.截止时间</w:t>
      </w:r>
      <w:r>
        <w:rPr>
          <w:rFonts w:hint="eastAsia" w:ascii="宋体" w:hAnsi="宋体" w:cs="宋体"/>
          <w:sz w:val="24"/>
          <w:szCs w:val="24"/>
          <w:highlight w:val="none"/>
        </w:rPr>
        <w:t>：2023年</w:t>
      </w:r>
      <w:r>
        <w:rPr>
          <w:rFonts w:hint="eastAsia" w:ascii="宋体" w:hAnsi="宋体" w:cs="宋体"/>
          <w:sz w:val="24"/>
          <w:szCs w:val="24"/>
          <w:highlight w:val="none"/>
          <w:lang w:val="en-US" w:eastAsia="zh-CN"/>
        </w:rPr>
        <w:t>6</w:t>
      </w:r>
      <w:r>
        <w:rPr>
          <w:rFonts w:hint="eastAsia" w:ascii="宋体" w:hAnsi="宋体" w:cs="宋体"/>
          <w:sz w:val="24"/>
          <w:szCs w:val="24"/>
          <w:highlight w:val="none"/>
        </w:rPr>
        <w:t>月</w:t>
      </w:r>
      <w:r>
        <w:rPr>
          <w:rFonts w:hint="eastAsia" w:ascii="宋体" w:hAnsi="宋体" w:cs="宋体"/>
          <w:sz w:val="24"/>
          <w:szCs w:val="24"/>
          <w:highlight w:val="none"/>
          <w:lang w:val="en-US" w:eastAsia="zh-CN"/>
        </w:rPr>
        <w:t>19</w:t>
      </w:r>
      <w:r>
        <w:rPr>
          <w:rFonts w:hint="eastAsia" w:ascii="宋体" w:hAnsi="宋体" w:cs="宋体"/>
          <w:sz w:val="24"/>
          <w:szCs w:val="24"/>
          <w:highlight w:val="none"/>
        </w:rPr>
        <w:t>日09点00分（北京时间）</w:t>
      </w:r>
      <w:r>
        <w:rPr>
          <w:rFonts w:hint="eastAsia" w:ascii="宋体" w:hAnsi="宋体" w:cs="宋体"/>
          <w:sz w:val="24"/>
          <w:szCs w:val="24"/>
          <w:highlight w:val="none"/>
          <w:lang w:eastAsia="zh-CN"/>
        </w:rPr>
        <w:t>；</w:t>
      </w:r>
    </w:p>
    <w:p>
      <w:pPr>
        <w:spacing w:line="440" w:lineRule="exact"/>
        <w:ind w:firstLine="480" w:firstLineChars="200"/>
        <w:jc w:val="left"/>
        <w:rPr>
          <w:rFonts w:ascii="宋体" w:hAnsi="宋体" w:cs="宋体"/>
          <w:sz w:val="24"/>
          <w:szCs w:val="24"/>
        </w:rPr>
      </w:pPr>
      <w:r>
        <w:rPr>
          <w:rFonts w:hint="eastAsia" w:ascii="宋体" w:hAnsi="宋体" w:cs="宋体"/>
          <w:sz w:val="24"/>
          <w:szCs w:val="24"/>
          <w:highlight w:val="none"/>
        </w:rPr>
        <w:t>2.地点：焦作市公共资源交易中心网站。为防止网络拥</w:t>
      </w:r>
      <w:r>
        <w:rPr>
          <w:rFonts w:hint="eastAsia" w:ascii="宋体" w:hAnsi="宋体" w:cs="宋体"/>
          <w:sz w:val="24"/>
          <w:szCs w:val="24"/>
        </w:rPr>
        <w:t>堵等不可控因素，影响响应文件的上传，请各供应商尽量提前上传响应文件，因响应文件未能及时上传导致不能参加磋商活动的，后果由供应商自行承担。</w:t>
      </w:r>
    </w:p>
    <w:p>
      <w:pPr>
        <w:spacing w:line="440" w:lineRule="exact"/>
        <w:ind w:firstLine="482" w:firstLineChars="200"/>
        <w:jc w:val="left"/>
        <w:rPr>
          <w:rFonts w:ascii="宋体" w:hAnsi="宋体" w:cs="宋体"/>
          <w:b/>
          <w:bCs/>
          <w:sz w:val="24"/>
          <w:szCs w:val="24"/>
        </w:rPr>
      </w:pPr>
      <w:r>
        <w:rPr>
          <w:rFonts w:hint="eastAsia" w:ascii="宋体" w:hAnsi="宋体" w:cs="宋体"/>
          <w:b/>
          <w:bCs/>
          <w:sz w:val="24"/>
          <w:szCs w:val="24"/>
        </w:rPr>
        <w:t>五、响应文件开启</w:t>
      </w:r>
    </w:p>
    <w:p>
      <w:pPr>
        <w:spacing w:line="440" w:lineRule="exact"/>
        <w:ind w:firstLine="480" w:firstLineChars="200"/>
        <w:jc w:val="left"/>
        <w:rPr>
          <w:rFonts w:ascii="宋体" w:hAnsi="宋体" w:cs="宋体"/>
          <w:sz w:val="24"/>
          <w:szCs w:val="24"/>
        </w:rPr>
      </w:pPr>
      <w:r>
        <w:rPr>
          <w:rFonts w:hint="eastAsia" w:ascii="宋体" w:hAnsi="宋体" w:cs="宋体"/>
          <w:sz w:val="24"/>
          <w:szCs w:val="24"/>
        </w:rPr>
        <w:t>1.时间：</w:t>
      </w:r>
      <w:r>
        <w:rPr>
          <w:rFonts w:hint="eastAsia" w:ascii="宋体" w:hAnsi="宋体" w:cs="宋体"/>
          <w:sz w:val="24"/>
          <w:szCs w:val="24"/>
          <w:highlight w:val="none"/>
        </w:rPr>
        <w:t>2023年</w:t>
      </w:r>
      <w:r>
        <w:rPr>
          <w:rFonts w:hint="eastAsia" w:ascii="宋体" w:hAnsi="宋体" w:cs="宋体"/>
          <w:sz w:val="24"/>
          <w:szCs w:val="24"/>
          <w:highlight w:val="none"/>
          <w:lang w:val="en-US" w:eastAsia="zh-CN"/>
        </w:rPr>
        <w:t>6</w:t>
      </w:r>
      <w:r>
        <w:rPr>
          <w:rFonts w:hint="eastAsia" w:ascii="宋体" w:hAnsi="宋体" w:cs="宋体"/>
          <w:sz w:val="24"/>
          <w:szCs w:val="24"/>
          <w:highlight w:val="none"/>
        </w:rPr>
        <w:t>月</w:t>
      </w:r>
      <w:r>
        <w:rPr>
          <w:rFonts w:hint="eastAsia" w:ascii="宋体" w:hAnsi="宋体" w:cs="宋体"/>
          <w:sz w:val="24"/>
          <w:szCs w:val="24"/>
          <w:highlight w:val="none"/>
          <w:lang w:val="en-US" w:eastAsia="zh-CN"/>
        </w:rPr>
        <w:t>19</w:t>
      </w:r>
      <w:r>
        <w:rPr>
          <w:rFonts w:hint="eastAsia" w:ascii="宋体" w:hAnsi="宋体" w:cs="宋体"/>
          <w:sz w:val="24"/>
          <w:szCs w:val="24"/>
          <w:highlight w:val="none"/>
        </w:rPr>
        <w:t>日09时00分（北京时间）；</w:t>
      </w:r>
    </w:p>
    <w:p>
      <w:pPr>
        <w:spacing w:line="440" w:lineRule="exact"/>
        <w:ind w:firstLine="480" w:firstLineChars="200"/>
        <w:jc w:val="left"/>
        <w:rPr>
          <w:rFonts w:ascii="宋体" w:hAnsi="宋体" w:cs="宋体"/>
          <w:sz w:val="24"/>
          <w:szCs w:val="24"/>
        </w:rPr>
      </w:pPr>
      <w:r>
        <w:rPr>
          <w:rFonts w:hint="eastAsia" w:ascii="宋体" w:hAnsi="宋体" w:cs="宋体"/>
          <w:sz w:val="24"/>
          <w:szCs w:val="24"/>
        </w:rPr>
        <w:t>2.地点：武陟县公共资源交易中心二楼开标三厅。</w:t>
      </w:r>
    </w:p>
    <w:p>
      <w:pPr>
        <w:spacing w:line="440" w:lineRule="exact"/>
        <w:ind w:firstLine="482" w:firstLineChars="200"/>
        <w:jc w:val="left"/>
        <w:rPr>
          <w:rFonts w:ascii="宋体" w:hAnsi="宋体" w:cs="宋体"/>
          <w:b/>
          <w:bCs/>
          <w:sz w:val="24"/>
          <w:szCs w:val="24"/>
        </w:rPr>
      </w:pPr>
      <w:r>
        <w:rPr>
          <w:rFonts w:hint="eastAsia" w:ascii="宋体" w:hAnsi="宋体" w:cs="宋体"/>
          <w:b/>
          <w:bCs/>
          <w:sz w:val="24"/>
          <w:szCs w:val="24"/>
        </w:rPr>
        <w:t>六、发布公告的媒介及招标公告期限：</w:t>
      </w:r>
    </w:p>
    <w:p>
      <w:pPr>
        <w:spacing w:line="440" w:lineRule="exact"/>
        <w:ind w:firstLine="480" w:firstLineChars="200"/>
        <w:jc w:val="left"/>
        <w:rPr>
          <w:rFonts w:ascii="宋体" w:hAnsi="宋体" w:cs="宋体"/>
          <w:sz w:val="24"/>
          <w:szCs w:val="24"/>
        </w:rPr>
      </w:pPr>
      <w:r>
        <w:rPr>
          <w:rFonts w:hint="eastAsia" w:ascii="宋体" w:hAnsi="宋体" w:cs="宋体"/>
          <w:sz w:val="24"/>
          <w:szCs w:val="24"/>
        </w:rPr>
        <w:t>本次招标公告在《河南省政府采购网》、《焦作市公共资源交易中心网》、《武陟县公共资源交易中心网》上发布，招标公告期限为五个工作日。</w:t>
      </w:r>
    </w:p>
    <w:p>
      <w:pPr>
        <w:spacing w:line="440" w:lineRule="exact"/>
        <w:ind w:firstLine="482" w:firstLineChars="200"/>
        <w:jc w:val="left"/>
        <w:rPr>
          <w:rFonts w:ascii="宋体" w:hAnsi="宋体" w:cs="宋体"/>
          <w:sz w:val="24"/>
          <w:szCs w:val="24"/>
        </w:rPr>
      </w:pPr>
      <w:r>
        <w:rPr>
          <w:rFonts w:hint="eastAsia" w:ascii="宋体" w:hAnsi="宋体" w:cs="宋体"/>
          <w:b/>
          <w:bCs/>
          <w:sz w:val="24"/>
          <w:szCs w:val="24"/>
        </w:rPr>
        <w:t>七、其他补充事宜</w:t>
      </w:r>
    </w:p>
    <w:p>
      <w:pPr>
        <w:spacing w:line="440" w:lineRule="exact"/>
        <w:ind w:firstLine="480" w:firstLineChars="200"/>
        <w:jc w:val="left"/>
        <w:rPr>
          <w:rFonts w:ascii="宋体" w:hAnsi="宋体" w:cs="宋体"/>
          <w:sz w:val="24"/>
          <w:szCs w:val="24"/>
        </w:rPr>
      </w:pPr>
      <w:r>
        <w:rPr>
          <w:rFonts w:hint="eastAsia" w:ascii="宋体" w:hAnsi="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spacing w:line="440" w:lineRule="exact"/>
        <w:ind w:firstLine="482" w:firstLineChars="200"/>
        <w:jc w:val="left"/>
        <w:rPr>
          <w:rFonts w:ascii="宋体" w:hAnsi="宋体" w:cs="宋体"/>
          <w:b/>
          <w:bCs/>
          <w:sz w:val="24"/>
          <w:szCs w:val="24"/>
        </w:rPr>
      </w:pPr>
      <w:r>
        <w:rPr>
          <w:rFonts w:hint="eastAsia" w:ascii="宋体" w:hAnsi="宋体" w:cs="宋体"/>
          <w:b/>
          <w:bCs/>
          <w:sz w:val="24"/>
          <w:szCs w:val="24"/>
        </w:rPr>
        <w:t>八、凡对本次采购提出询问，请按以下方式联系</w:t>
      </w:r>
    </w:p>
    <w:p>
      <w:pPr>
        <w:widowControl/>
        <w:spacing w:line="440" w:lineRule="exact"/>
        <w:ind w:firstLine="480" w:firstLineChars="200"/>
        <w:jc w:val="left"/>
        <w:rPr>
          <w:rFonts w:ascii="宋体" w:hAnsi="宋体" w:cs="宋体"/>
          <w:sz w:val="24"/>
          <w:szCs w:val="24"/>
        </w:rPr>
      </w:pPr>
      <w:r>
        <w:rPr>
          <w:rFonts w:hint="eastAsia" w:ascii="宋体" w:hAnsi="宋体" w:cs="宋体"/>
          <w:sz w:val="24"/>
          <w:szCs w:val="24"/>
        </w:rPr>
        <w:t>1.采购人信息</w:t>
      </w:r>
    </w:p>
    <w:p>
      <w:pPr>
        <w:spacing w:line="440" w:lineRule="exact"/>
        <w:ind w:firstLine="480" w:firstLineChars="200"/>
        <w:jc w:val="left"/>
        <w:rPr>
          <w:rFonts w:ascii="宋体" w:hAnsi="宋体" w:cs="宋体"/>
          <w:sz w:val="24"/>
          <w:szCs w:val="24"/>
        </w:rPr>
      </w:pPr>
      <w:r>
        <w:rPr>
          <w:rFonts w:hint="eastAsia" w:ascii="宋体" w:hAnsi="宋体" w:cs="宋体"/>
          <w:sz w:val="24"/>
          <w:szCs w:val="24"/>
        </w:rPr>
        <w:t>名 称：武陟县教育体育局                  　</w:t>
      </w:r>
    </w:p>
    <w:p>
      <w:pPr>
        <w:spacing w:line="440" w:lineRule="exact"/>
        <w:ind w:firstLine="480" w:firstLineChars="200"/>
        <w:jc w:val="left"/>
        <w:rPr>
          <w:rFonts w:ascii="宋体" w:hAnsi="宋体" w:cs="宋体"/>
          <w:sz w:val="24"/>
          <w:szCs w:val="24"/>
        </w:rPr>
      </w:pPr>
      <w:r>
        <w:rPr>
          <w:rFonts w:hint="eastAsia" w:ascii="宋体" w:hAnsi="宋体" w:cs="宋体"/>
          <w:sz w:val="24"/>
          <w:szCs w:val="24"/>
        </w:rPr>
        <w:t>地 址：武陟县兴华路056号</w:t>
      </w:r>
    </w:p>
    <w:p>
      <w:pPr>
        <w:pStyle w:val="2"/>
        <w:spacing w:line="440" w:lineRule="exact"/>
        <w:ind w:firstLine="480" w:firstLineChars="200"/>
        <w:rPr>
          <w:rFonts w:ascii="宋体" w:hAnsi="宋体" w:cs="宋体"/>
          <w:sz w:val="24"/>
          <w:szCs w:val="24"/>
        </w:rPr>
      </w:pPr>
      <w:r>
        <w:rPr>
          <w:rFonts w:hint="eastAsia" w:ascii="宋体" w:hAnsi="宋体" w:cs="宋体"/>
          <w:sz w:val="24"/>
          <w:szCs w:val="24"/>
        </w:rPr>
        <w:t>联系人：岳喜浩</w:t>
      </w:r>
    </w:p>
    <w:p>
      <w:pPr>
        <w:spacing w:line="440" w:lineRule="exact"/>
        <w:ind w:firstLine="480" w:firstLineChars="200"/>
        <w:jc w:val="left"/>
        <w:rPr>
          <w:rFonts w:ascii="宋体" w:hAnsi="宋体" w:cs="宋体"/>
          <w:sz w:val="24"/>
          <w:szCs w:val="24"/>
          <w:shd w:val="clear" w:color="auto" w:fill="FFFFFF"/>
        </w:rPr>
      </w:pPr>
      <w:r>
        <w:rPr>
          <w:rFonts w:hint="eastAsia" w:ascii="宋体" w:hAnsi="宋体" w:cs="宋体"/>
          <w:sz w:val="24"/>
          <w:szCs w:val="24"/>
          <w:shd w:val="clear" w:color="auto" w:fill="FFFFFF"/>
        </w:rPr>
        <w:t>联系方式：0391-7288077</w:t>
      </w:r>
    </w:p>
    <w:p>
      <w:pPr>
        <w:spacing w:line="440" w:lineRule="exact"/>
        <w:ind w:firstLine="480" w:firstLineChars="200"/>
        <w:jc w:val="left"/>
        <w:rPr>
          <w:rFonts w:ascii="宋体" w:hAnsi="宋体" w:cs="宋体"/>
          <w:sz w:val="24"/>
          <w:szCs w:val="24"/>
        </w:rPr>
      </w:pPr>
      <w:r>
        <w:rPr>
          <w:rFonts w:hint="eastAsia" w:ascii="宋体" w:hAnsi="宋体" w:cs="宋体"/>
          <w:sz w:val="24"/>
          <w:szCs w:val="24"/>
        </w:rPr>
        <w:t>2.采购代理机构信息</w:t>
      </w:r>
    </w:p>
    <w:p>
      <w:pPr>
        <w:spacing w:line="440" w:lineRule="exact"/>
        <w:ind w:firstLine="480" w:firstLineChars="200"/>
        <w:rPr>
          <w:rFonts w:ascii="宋体" w:hAnsi="宋体" w:cs="宋体"/>
          <w:sz w:val="24"/>
          <w:szCs w:val="24"/>
        </w:rPr>
      </w:pPr>
      <w:r>
        <w:rPr>
          <w:rFonts w:hint="eastAsia" w:ascii="宋体" w:hAnsi="宋体" w:cs="宋体"/>
          <w:sz w:val="24"/>
          <w:szCs w:val="24"/>
        </w:rPr>
        <w:t>名 称：河南凯格工程管理有限公司                    　</w:t>
      </w:r>
    </w:p>
    <w:p>
      <w:pPr>
        <w:spacing w:line="440" w:lineRule="exact"/>
        <w:ind w:firstLine="480" w:firstLineChars="200"/>
        <w:rPr>
          <w:rFonts w:ascii="宋体" w:hAnsi="宋体" w:cs="宋体"/>
          <w:sz w:val="24"/>
          <w:szCs w:val="24"/>
        </w:rPr>
      </w:pPr>
      <w:r>
        <w:rPr>
          <w:rFonts w:hint="eastAsia" w:ascii="宋体" w:hAnsi="宋体" w:cs="宋体"/>
          <w:sz w:val="24"/>
          <w:szCs w:val="24"/>
        </w:rPr>
        <w:t>地 址：焦作市山阳区光亚街道焦作市工业路2813号东1幢6号</w:t>
      </w:r>
    </w:p>
    <w:p>
      <w:pPr>
        <w:spacing w:line="440" w:lineRule="exact"/>
        <w:ind w:firstLine="480" w:firstLineChars="200"/>
        <w:rPr>
          <w:rFonts w:ascii="宋体" w:hAnsi="宋体" w:cs="宋体"/>
          <w:sz w:val="24"/>
          <w:szCs w:val="24"/>
        </w:rPr>
      </w:pPr>
      <w:r>
        <w:rPr>
          <w:rFonts w:hint="eastAsia" w:ascii="宋体" w:hAnsi="宋体" w:cs="宋体"/>
          <w:sz w:val="24"/>
          <w:szCs w:val="24"/>
        </w:rPr>
        <w:t>联系人：冯静</w:t>
      </w:r>
    </w:p>
    <w:p>
      <w:pPr>
        <w:spacing w:line="440" w:lineRule="exact"/>
        <w:ind w:firstLine="480" w:firstLineChars="200"/>
        <w:rPr>
          <w:rFonts w:ascii="宋体" w:hAnsi="宋体" w:cs="宋体"/>
          <w:sz w:val="24"/>
          <w:szCs w:val="24"/>
        </w:rPr>
      </w:pPr>
      <w:r>
        <w:rPr>
          <w:rFonts w:hint="eastAsia" w:ascii="宋体" w:hAnsi="宋体" w:cs="宋体"/>
          <w:sz w:val="24"/>
          <w:szCs w:val="24"/>
        </w:rPr>
        <w:t xml:space="preserve">联系方式：0391-7289803                          　                                             </w:t>
      </w:r>
    </w:p>
    <w:p>
      <w:pPr>
        <w:spacing w:line="440" w:lineRule="exact"/>
        <w:ind w:firstLine="480" w:firstLineChars="200"/>
        <w:rPr>
          <w:rFonts w:ascii="宋体" w:hAnsi="宋体" w:cs="宋体"/>
          <w:sz w:val="24"/>
          <w:szCs w:val="24"/>
        </w:rPr>
      </w:pPr>
      <w:r>
        <w:rPr>
          <w:rFonts w:hint="eastAsia" w:ascii="宋体" w:hAnsi="宋体" w:cs="宋体"/>
          <w:sz w:val="24"/>
          <w:szCs w:val="24"/>
        </w:rPr>
        <w:t>3.项目联系方式</w:t>
      </w:r>
    </w:p>
    <w:p>
      <w:pPr>
        <w:pStyle w:val="22"/>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项目联系人：岳喜浩</w:t>
      </w:r>
    </w:p>
    <w:p>
      <w:pPr>
        <w:spacing w:line="440" w:lineRule="exact"/>
        <w:ind w:firstLine="480" w:firstLineChars="200"/>
        <w:rPr>
          <w:rFonts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shd w:val="clear" w:color="auto" w:fill="FFFFFF"/>
        </w:rPr>
        <w:t>0391-7288077</w:t>
      </w:r>
    </w:p>
    <w:p>
      <w:pPr>
        <w:spacing w:line="380" w:lineRule="exact"/>
        <w:ind w:firstLine="6000" w:firstLineChars="2500"/>
        <w:rPr>
          <w:rFonts w:ascii="宋体" w:hAnsi="宋体" w:cs="宋体"/>
          <w:sz w:val="24"/>
          <w:szCs w:val="24"/>
          <w:highlight w:val="yellow"/>
        </w:rPr>
      </w:pPr>
    </w:p>
    <w:p>
      <w:pPr>
        <w:spacing w:line="380" w:lineRule="exact"/>
        <w:ind w:firstLine="6000" w:firstLineChars="2500"/>
        <w:rPr>
          <w:rFonts w:hint="default" w:ascii="宋体" w:hAnsi="宋体" w:cs="宋体"/>
          <w:sz w:val="24"/>
          <w:szCs w:val="24"/>
          <w:highlight w:val="none"/>
          <w:lang w:val="en-US"/>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sz w:val="24"/>
          <w:szCs w:val="24"/>
          <w:highlight w:val="none"/>
        </w:rPr>
        <w:t>时间：2023年</w:t>
      </w:r>
      <w:r>
        <w:rPr>
          <w:rFonts w:hint="eastAsia" w:ascii="宋体" w:hAnsi="宋体" w:cs="宋体"/>
          <w:sz w:val="24"/>
          <w:szCs w:val="24"/>
          <w:highlight w:val="none"/>
          <w:lang w:val="en-US" w:eastAsia="zh-CN"/>
        </w:rPr>
        <w:t>6</w:t>
      </w:r>
      <w:r>
        <w:rPr>
          <w:rFonts w:hint="eastAsia" w:ascii="宋体" w:hAnsi="宋体" w:cs="宋体"/>
          <w:sz w:val="24"/>
          <w:szCs w:val="24"/>
          <w:highlight w:val="none"/>
        </w:rPr>
        <w:t>月</w:t>
      </w:r>
      <w:r>
        <w:rPr>
          <w:rFonts w:hint="eastAsia" w:ascii="宋体" w:hAnsi="宋体" w:cs="宋体"/>
          <w:sz w:val="24"/>
          <w:szCs w:val="24"/>
          <w:highlight w:val="none"/>
          <w:lang w:val="en-US" w:eastAsia="zh-CN"/>
        </w:rPr>
        <w:t>6日</w:t>
      </w:r>
    </w:p>
    <w:p>
      <w:pPr>
        <w:pStyle w:val="37"/>
        <w:numPr>
          <w:ilvl w:val="0"/>
          <w:numId w:val="1"/>
        </w:numPr>
        <w:spacing w:line="360" w:lineRule="auto"/>
        <w:ind w:firstLine="0"/>
        <w:rPr>
          <w:rFonts w:ascii="宋体" w:hAnsi="宋体" w:cs="宋体"/>
        </w:rPr>
      </w:pPr>
      <w:bookmarkStart w:id="213" w:name="_GoBack"/>
      <w:bookmarkEnd w:id="213"/>
      <w:bookmarkStart w:id="16" w:name="_Toc115021826"/>
      <w:bookmarkStart w:id="17" w:name="_Toc29694"/>
      <w:r>
        <w:rPr>
          <w:rFonts w:hint="eastAsia" w:ascii="宋体" w:hAnsi="宋体" w:cs="宋体"/>
        </w:rPr>
        <w:t>供应商须知</w:t>
      </w:r>
      <w:bookmarkEnd w:id="10"/>
      <w:bookmarkEnd w:id="16"/>
      <w:bookmarkEnd w:id="17"/>
    </w:p>
    <w:p>
      <w:pPr>
        <w:jc w:val="center"/>
        <w:rPr>
          <w:rFonts w:ascii="宋体" w:hAnsi="宋体" w:cs="宋体"/>
          <w:sz w:val="28"/>
          <w:szCs w:val="28"/>
        </w:rPr>
      </w:pPr>
      <w:r>
        <w:rPr>
          <w:rFonts w:hint="eastAsia" w:ascii="宋体" w:hAnsi="宋体" w:cs="宋体"/>
          <w:sz w:val="28"/>
          <w:szCs w:val="28"/>
        </w:rPr>
        <w:t>供应商须知前附表</w:t>
      </w:r>
    </w:p>
    <w:p>
      <w:pPr>
        <w:spacing w:line="480" w:lineRule="exact"/>
        <w:ind w:right="-420" w:rightChars="-200"/>
        <w:jc w:val="left"/>
        <w:rPr>
          <w:rFonts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b/>
                <w:bCs/>
                <w:kern w:val="0"/>
                <w:szCs w:val="21"/>
              </w:rPr>
            </w:pPr>
            <w:r>
              <w:rPr>
                <w:rFonts w:hint="eastAsia" w:ascii="宋体" w:hAnsi="宋体" w:cs="宋体"/>
                <w:b/>
                <w:bCs/>
                <w:kern w:val="0"/>
                <w:szCs w:val="21"/>
              </w:rPr>
              <w:t>项号</w:t>
            </w:r>
          </w:p>
        </w:tc>
        <w:tc>
          <w:tcPr>
            <w:tcW w:w="2131" w:type="dxa"/>
            <w:vAlign w:val="center"/>
          </w:tcPr>
          <w:p>
            <w:pPr>
              <w:spacing w:line="460" w:lineRule="exact"/>
              <w:jc w:val="center"/>
              <w:rPr>
                <w:rFonts w:ascii="宋体" w:hAnsi="宋体" w:cs="宋体"/>
                <w:b/>
                <w:bCs/>
                <w:kern w:val="0"/>
                <w:szCs w:val="21"/>
              </w:rPr>
            </w:pPr>
            <w:r>
              <w:rPr>
                <w:rFonts w:hint="eastAsia" w:ascii="宋体" w:hAnsi="宋体" w:cs="宋体"/>
                <w:b/>
                <w:bCs/>
                <w:kern w:val="0"/>
                <w:szCs w:val="21"/>
              </w:rPr>
              <w:t>内  容</w:t>
            </w:r>
          </w:p>
        </w:tc>
        <w:tc>
          <w:tcPr>
            <w:tcW w:w="6563" w:type="dxa"/>
            <w:vAlign w:val="center"/>
          </w:tcPr>
          <w:p>
            <w:pPr>
              <w:spacing w:line="460" w:lineRule="exact"/>
              <w:jc w:val="center"/>
              <w:rPr>
                <w:rFonts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采购人</w:t>
            </w:r>
          </w:p>
        </w:tc>
        <w:tc>
          <w:tcPr>
            <w:tcW w:w="6563" w:type="dxa"/>
            <w:vAlign w:val="center"/>
          </w:tcPr>
          <w:p>
            <w:pPr>
              <w:spacing w:line="460" w:lineRule="exact"/>
              <w:rPr>
                <w:rFonts w:ascii="宋体" w:hAnsi="宋体" w:cs="宋体"/>
                <w:kern w:val="0"/>
                <w:szCs w:val="21"/>
              </w:rPr>
            </w:pPr>
            <w:r>
              <w:rPr>
                <w:rFonts w:hint="eastAsia" w:ascii="宋体" w:hAnsi="宋体" w:cs="宋体"/>
                <w:szCs w:val="21"/>
              </w:rPr>
              <w:t xml:space="preserve">武陟县教育体育局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2</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采购代理机构</w:t>
            </w:r>
          </w:p>
        </w:tc>
        <w:tc>
          <w:tcPr>
            <w:tcW w:w="6563" w:type="dxa"/>
            <w:vAlign w:val="center"/>
          </w:tcPr>
          <w:p>
            <w:pPr>
              <w:spacing w:line="460" w:lineRule="exact"/>
              <w:rPr>
                <w:rFonts w:ascii="宋体" w:hAnsi="宋体" w:cs="宋体"/>
                <w:kern w:val="0"/>
                <w:szCs w:val="21"/>
              </w:rPr>
            </w:pPr>
            <w:r>
              <w:rPr>
                <w:rFonts w:hint="eastAsia" w:ascii="宋体" w:hAnsi="宋体" w:cs="宋体"/>
                <w:szCs w:val="21"/>
              </w:rPr>
              <w:t xml:space="preserve">河南凯格工程管理有限公司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3</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项目名称</w:t>
            </w:r>
          </w:p>
        </w:tc>
        <w:tc>
          <w:tcPr>
            <w:tcW w:w="6563" w:type="dxa"/>
            <w:vAlign w:val="center"/>
          </w:tcPr>
          <w:p>
            <w:pPr>
              <w:spacing w:line="380" w:lineRule="exact"/>
              <w:rPr>
                <w:rFonts w:ascii="宋体" w:hAnsi="宋体" w:cs="宋体"/>
                <w:kern w:val="0"/>
                <w:szCs w:val="21"/>
                <w:highlight w:val="yellow"/>
              </w:rPr>
            </w:pPr>
            <w:r>
              <w:rPr>
                <w:rFonts w:hint="eastAsia" w:ascii="宋体" w:hAnsi="宋体" w:cs="宋体"/>
                <w:szCs w:val="21"/>
              </w:rPr>
              <w:t>武陟县职业技术学校标准化考点建设设备采购项目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4</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资金来源</w:t>
            </w:r>
          </w:p>
        </w:tc>
        <w:tc>
          <w:tcPr>
            <w:tcW w:w="6563" w:type="dxa"/>
            <w:vAlign w:val="center"/>
          </w:tcPr>
          <w:p>
            <w:pPr>
              <w:spacing w:line="460" w:lineRule="exact"/>
              <w:rPr>
                <w:rFonts w:ascii="宋体" w:hAnsi="宋体" w:cs="宋体"/>
                <w:kern w:val="0"/>
                <w:szCs w:val="21"/>
              </w:rPr>
            </w:pPr>
            <w:r>
              <w:rPr>
                <w:rFonts w:hint="eastAsia" w:ascii="宋体" w:hAnsi="宋体" w:cs="宋体"/>
                <w:kern w:val="0"/>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5</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资金落实情况</w:t>
            </w:r>
          </w:p>
        </w:tc>
        <w:tc>
          <w:tcPr>
            <w:tcW w:w="6563" w:type="dxa"/>
            <w:vAlign w:val="center"/>
          </w:tcPr>
          <w:p>
            <w:pPr>
              <w:spacing w:line="460" w:lineRule="exact"/>
              <w:rPr>
                <w:rFonts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6</w:t>
            </w:r>
          </w:p>
        </w:tc>
        <w:tc>
          <w:tcPr>
            <w:tcW w:w="2131" w:type="dxa"/>
            <w:vAlign w:val="center"/>
          </w:tcPr>
          <w:p>
            <w:pPr>
              <w:spacing w:line="460" w:lineRule="exact"/>
              <w:jc w:val="center"/>
              <w:rPr>
                <w:rFonts w:ascii="宋体" w:hAnsi="宋体" w:cs="宋体"/>
                <w:kern w:val="0"/>
                <w:szCs w:val="21"/>
              </w:rPr>
            </w:pPr>
            <w:r>
              <w:rPr>
                <w:rFonts w:hint="eastAsia" w:ascii="宋体" w:hAnsi="宋体"/>
                <w:szCs w:val="21"/>
              </w:rPr>
              <w:t>项目属性</w:t>
            </w:r>
          </w:p>
        </w:tc>
        <w:tc>
          <w:tcPr>
            <w:tcW w:w="6563" w:type="dxa"/>
            <w:vAlign w:val="center"/>
          </w:tcPr>
          <w:p>
            <w:pPr>
              <w:spacing w:line="460" w:lineRule="exact"/>
              <w:rPr>
                <w:rFonts w:ascii="宋体" w:hAnsi="宋体" w:cs="宋体"/>
                <w:kern w:val="0"/>
                <w:szCs w:val="21"/>
              </w:rPr>
            </w:pPr>
            <w:r>
              <w:rPr>
                <w:rFonts w:hint="eastAsia" w:ascii="宋体" w:hAnsi="宋体"/>
                <w:szCs w:val="21"/>
              </w:rPr>
              <w:t>货物</w:t>
            </w:r>
            <w:r>
              <w:rPr>
                <w:rFonts w:hint="eastAsia" w:hAnsi="宋体"/>
                <w:szCs w:val="21"/>
              </w:rPr>
              <w:sym w:font="Wingdings" w:char="F0FE"/>
            </w:r>
            <w:r>
              <w:rPr>
                <w:rFonts w:hint="eastAsia" w:hAnsi="宋体"/>
                <w:szCs w:val="21"/>
                <w:lang w:val="en-US" w:eastAsia="zh-CN"/>
              </w:rPr>
              <w:t xml:space="preserve">   </w:t>
            </w:r>
            <w:r>
              <w:rPr>
                <w:rFonts w:hint="eastAsia" w:ascii="宋体" w:hAnsi="宋体"/>
                <w:szCs w:val="21"/>
              </w:rPr>
              <w:t>服务</w:t>
            </w:r>
            <w:r>
              <w:rPr>
                <w:rFonts w:hint="eastAsia" w:hAnsi="宋体"/>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7</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磋商有效期</w:t>
            </w:r>
          </w:p>
        </w:tc>
        <w:tc>
          <w:tcPr>
            <w:tcW w:w="6563" w:type="dxa"/>
            <w:vAlign w:val="center"/>
          </w:tcPr>
          <w:p>
            <w:pPr>
              <w:spacing w:line="460" w:lineRule="exact"/>
              <w:rPr>
                <w:rFonts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8</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采购需求</w:t>
            </w:r>
          </w:p>
        </w:tc>
        <w:tc>
          <w:tcPr>
            <w:tcW w:w="6563" w:type="dxa"/>
            <w:vAlign w:val="center"/>
          </w:tcPr>
          <w:p>
            <w:pPr>
              <w:spacing w:line="460" w:lineRule="exact"/>
              <w:rPr>
                <w:rFonts w:ascii="宋体" w:hAnsi="宋体" w:cs="宋体"/>
                <w:kern w:val="0"/>
                <w:szCs w:val="21"/>
              </w:rPr>
            </w:pPr>
            <w:r>
              <w:rPr>
                <w:rFonts w:hint="eastAsia" w:ascii="宋体" w:hAnsi="宋体" w:cs="宋体"/>
                <w:kern w:val="0"/>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9</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磋商保证金</w:t>
            </w:r>
          </w:p>
        </w:tc>
        <w:tc>
          <w:tcPr>
            <w:tcW w:w="6563" w:type="dxa"/>
            <w:vAlign w:val="center"/>
          </w:tcPr>
          <w:p>
            <w:pPr>
              <w:spacing w:line="400" w:lineRule="exact"/>
              <w:rPr>
                <w:rFonts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szCs w:val="21"/>
                <w:u w:val="single"/>
              </w:rPr>
              <w:t>20000.00</w:t>
            </w:r>
            <w:r>
              <w:rPr>
                <w:rFonts w:hint="eastAsia" w:ascii="宋体" w:hAnsi="宋体" w:cs="宋体"/>
                <w:szCs w:val="21"/>
              </w:rPr>
              <w:t>元（暂不缴纳）</w:t>
            </w:r>
          </w:p>
          <w:p>
            <w:pPr>
              <w:spacing w:line="400" w:lineRule="exact"/>
              <w:rPr>
                <w:rFonts w:ascii="宋体" w:hAnsi="宋体" w:cs="宋体"/>
                <w:szCs w:val="21"/>
              </w:rPr>
            </w:pPr>
            <w:r>
              <w:rPr>
                <w:rFonts w:hint="eastAsia" w:ascii="宋体" w:hAnsi="宋体" w:cs="宋体"/>
                <w:szCs w:val="21"/>
              </w:rPr>
              <w:t xml:space="preserve"> 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szCs w:val="21"/>
                <w:u w:val="single"/>
              </w:rPr>
              <w:t>20000.00</w:t>
            </w:r>
            <w:r>
              <w:rPr>
                <w:rFonts w:hint="eastAsia" w:ascii="宋体" w:hAnsi="宋体" w:cs="宋体"/>
                <w:szCs w:val="21"/>
              </w:rPr>
              <w:t>元，并予以没收，供应商应作出相应承诺（承诺书格式见第六章响应文件格式中）：</w:t>
            </w:r>
          </w:p>
          <w:p>
            <w:pPr>
              <w:spacing w:line="400" w:lineRule="exact"/>
              <w:rPr>
                <w:rFonts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ascii="宋体" w:hAnsi="宋体" w:cs="宋体"/>
                <w:szCs w:val="21"/>
              </w:rPr>
            </w:pPr>
            <w:r>
              <w:rPr>
                <w:rFonts w:hint="eastAsia" w:ascii="宋体" w:hAnsi="宋体" w:cs="宋体"/>
                <w:szCs w:val="21"/>
              </w:rPr>
              <w:t>（2）供应商在响应文件中提供虚假材料的；</w:t>
            </w:r>
          </w:p>
          <w:p>
            <w:pPr>
              <w:spacing w:line="400" w:lineRule="exact"/>
              <w:rPr>
                <w:rFonts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磋商文件的澄清或修改</w:t>
            </w:r>
          </w:p>
        </w:tc>
        <w:tc>
          <w:tcPr>
            <w:tcW w:w="6563" w:type="dxa"/>
            <w:vAlign w:val="center"/>
          </w:tcPr>
          <w:p>
            <w:pPr>
              <w:spacing w:line="500" w:lineRule="exact"/>
              <w:ind w:firstLine="105" w:firstLineChars="50"/>
              <w:rPr>
                <w:rFonts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11</w:t>
            </w:r>
          </w:p>
        </w:tc>
        <w:tc>
          <w:tcPr>
            <w:tcW w:w="2131" w:type="dxa"/>
            <w:vAlign w:val="center"/>
          </w:tcPr>
          <w:p>
            <w:pPr>
              <w:pStyle w:val="104"/>
              <w:spacing w:before="1" w:line="440" w:lineRule="exact"/>
              <w:ind w:left="108"/>
              <w:jc w:val="center"/>
              <w:rPr>
                <w:rFonts w:ascii="宋体" w:hAnsi="宋体" w:cs="宋体"/>
                <w:sz w:val="21"/>
                <w:szCs w:val="21"/>
              </w:rPr>
            </w:pPr>
            <w:r>
              <w:rPr>
                <w:rFonts w:hint="eastAsia" w:ascii="宋体" w:hAnsi="宋体" w:cs="宋体"/>
                <w:sz w:val="21"/>
                <w:szCs w:val="21"/>
              </w:rPr>
              <w:t>响应文件的递交</w:t>
            </w:r>
          </w:p>
          <w:p>
            <w:pPr>
              <w:spacing w:line="440" w:lineRule="exact"/>
              <w:jc w:val="center"/>
              <w:rPr>
                <w:rFonts w:ascii="宋体" w:hAnsi="宋体" w:cs="宋体"/>
                <w:kern w:val="0"/>
                <w:szCs w:val="21"/>
              </w:rPr>
            </w:pPr>
          </w:p>
        </w:tc>
        <w:tc>
          <w:tcPr>
            <w:tcW w:w="6563" w:type="dxa"/>
            <w:vAlign w:val="center"/>
          </w:tcPr>
          <w:p>
            <w:pPr>
              <w:spacing w:line="440" w:lineRule="exact"/>
              <w:rPr>
                <w:rFonts w:ascii="宋体" w:hAnsi="宋体" w:cs="宋体"/>
                <w:szCs w:val="21"/>
              </w:rPr>
            </w:pPr>
            <w:r>
              <w:rPr>
                <w:rFonts w:hint="eastAsia" w:ascii="宋体" w:hAnsi="宋体" w:cs="宋体"/>
                <w:szCs w:val="21"/>
              </w:rPr>
              <w:t>1.在提交响应文件截止时间前递交，具体事宜请查阅焦作市公共资源交易中心官网首页—公共服务—下载专区-下载相关操作手册及视频等，查看操作说明，按要求进行响应文件的递交。</w:t>
            </w:r>
          </w:p>
          <w:p>
            <w:pPr>
              <w:spacing w:line="440" w:lineRule="exact"/>
              <w:rPr>
                <w:rFonts w:ascii="宋体" w:hAnsi="宋体" w:cs="宋体"/>
                <w:szCs w:val="21"/>
              </w:rPr>
            </w:pPr>
            <w:r>
              <w:rPr>
                <w:rFonts w:hint="eastAsia" w:ascii="宋体" w:hAnsi="宋体" w:cs="宋体"/>
                <w:szCs w:val="21"/>
              </w:rPr>
              <w:t>2.如因系统故障需上传非加密文件时，供应商应按照采购人指示将非加密文件递交给采购人。</w:t>
            </w:r>
          </w:p>
          <w:p>
            <w:pPr>
              <w:spacing w:line="440" w:lineRule="exact"/>
              <w:rPr>
                <w:rFonts w:ascii="宋体" w:hAnsi="宋体" w:cs="宋体"/>
                <w:kern w:val="0"/>
                <w:szCs w:val="21"/>
              </w:rPr>
            </w:pPr>
            <w:r>
              <w:rPr>
                <w:rFonts w:hint="eastAsia" w:ascii="宋体" w:hAnsi="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12</w:t>
            </w:r>
          </w:p>
        </w:tc>
        <w:tc>
          <w:tcPr>
            <w:tcW w:w="2131" w:type="dxa"/>
            <w:vAlign w:val="center"/>
          </w:tcPr>
          <w:p>
            <w:pPr>
              <w:jc w:val="center"/>
              <w:rPr>
                <w:rFonts w:ascii="宋体" w:hAnsi="宋体" w:cs="宋体"/>
                <w:kern w:val="0"/>
                <w:szCs w:val="21"/>
              </w:rPr>
            </w:pPr>
            <w:r>
              <w:rPr>
                <w:rFonts w:hint="eastAsia" w:ascii="宋体" w:hAnsi="宋体" w:cs="宋体"/>
                <w:kern w:val="0"/>
                <w:szCs w:val="21"/>
              </w:rPr>
              <w:t>签字或盖章要求</w:t>
            </w:r>
          </w:p>
        </w:tc>
        <w:tc>
          <w:tcPr>
            <w:tcW w:w="6563" w:type="dxa"/>
            <w:vAlign w:val="center"/>
          </w:tcPr>
          <w:p>
            <w:pPr>
              <w:spacing w:line="400" w:lineRule="exact"/>
              <w:rPr>
                <w:rFonts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13</w:t>
            </w:r>
          </w:p>
        </w:tc>
        <w:tc>
          <w:tcPr>
            <w:tcW w:w="2131" w:type="dxa"/>
            <w:vAlign w:val="center"/>
          </w:tcPr>
          <w:p>
            <w:pPr>
              <w:spacing w:line="440" w:lineRule="exact"/>
              <w:jc w:val="center"/>
              <w:rPr>
                <w:rFonts w:ascii="宋体" w:hAnsi="宋体" w:cs="宋体"/>
                <w:kern w:val="0"/>
                <w:szCs w:val="21"/>
              </w:rPr>
            </w:pPr>
            <w:r>
              <w:rPr>
                <w:rFonts w:hint="eastAsia" w:ascii="宋体" w:hAnsi="宋体"/>
                <w:kern w:val="0"/>
                <w:szCs w:val="21"/>
              </w:rPr>
              <w:t>磋商程序</w:t>
            </w:r>
          </w:p>
        </w:tc>
        <w:tc>
          <w:tcPr>
            <w:tcW w:w="6563" w:type="dxa"/>
            <w:vAlign w:val="center"/>
          </w:tcPr>
          <w:p>
            <w:pPr>
              <w:spacing w:line="400" w:lineRule="exact"/>
              <w:rPr>
                <w:szCs w:val="21"/>
              </w:rPr>
            </w:pPr>
            <w:r>
              <w:rPr>
                <w:rFonts w:hint="eastAsia"/>
                <w:szCs w:val="21"/>
              </w:rPr>
              <w:t>（l）公布供应商；</w:t>
            </w:r>
          </w:p>
          <w:p>
            <w:pPr>
              <w:spacing w:line="400" w:lineRule="exact"/>
              <w:rPr>
                <w:szCs w:val="21"/>
              </w:rPr>
            </w:pPr>
            <w:r>
              <w:rPr>
                <w:rFonts w:hint="eastAsia"/>
                <w:szCs w:val="21"/>
              </w:rPr>
              <w:t>（2）由供应商对响应文件进行解密；</w:t>
            </w:r>
          </w:p>
          <w:p>
            <w:pPr>
              <w:spacing w:line="400" w:lineRule="exact"/>
              <w:rPr>
                <w:szCs w:val="21"/>
              </w:rPr>
            </w:pPr>
            <w:r>
              <w:rPr>
                <w:rFonts w:hint="eastAsia"/>
                <w:szCs w:val="21"/>
              </w:rPr>
              <w:t>（3）开标结束；</w:t>
            </w:r>
          </w:p>
          <w:p>
            <w:pPr>
              <w:spacing w:line="400" w:lineRule="exact"/>
              <w:rPr>
                <w:szCs w:val="21"/>
              </w:rPr>
            </w:pPr>
            <w:r>
              <w:rPr>
                <w:rFonts w:hint="eastAsia"/>
                <w:szCs w:val="21"/>
              </w:rPr>
              <w:t>（5）</w:t>
            </w:r>
            <w:r>
              <w:rPr>
                <w:rFonts w:hint="eastAsia" w:ascii="宋体" w:hAnsi="宋体"/>
                <w:kern w:val="0"/>
                <w:szCs w:val="21"/>
              </w:rPr>
              <w:t>磋商</w:t>
            </w:r>
            <w:r>
              <w:rPr>
                <w:rFonts w:hint="eastAsia"/>
                <w:szCs w:val="21"/>
              </w:rPr>
              <w:t>小组对已通过资格性、符合性审查的供应商发起二轮(最后报价)邀请。</w:t>
            </w:r>
          </w:p>
          <w:p>
            <w:pPr>
              <w:pStyle w:val="2"/>
              <w:spacing w:line="400" w:lineRule="exact"/>
              <w:rPr>
                <w:kern w:val="2"/>
                <w:szCs w:val="21"/>
              </w:rPr>
            </w:pPr>
            <w:r>
              <w:rPr>
                <w:rFonts w:hint="eastAsia"/>
                <w:kern w:val="2"/>
                <w:szCs w:val="21"/>
              </w:rPr>
              <w:t>（6）由磋商小组采用综合评分法对提交最后报价的供应商的响应文件和最后报价进行综合评分并出具评审报告。</w:t>
            </w:r>
          </w:p>
          <w:p>
            <w:pPr>
              <w:pStyle w:val="3"/>
              <w:spacing w:line="400" w:lineRule="exact"/>
              <w:ind w:firstLine="211" w:firstLineChars="100"/>
              <w:rPr>
                <w:b/>
                <w:bCs/>
                <w:kern w:val="2"/>
                <w:szCs w:val="21"/>
              </w:rPr>
            </w:pPr>
            <w:r>
              <w:rPr>
                <w:rFonts w:hint="eastAsia"/>
                <w:b/>
                <w:bCs/>
                <w:kern w:val="2"/>
                <w:szCs w:val="21"/>
              </w:rPr>
              <w:t>备注：1.供应商在规定时间内需通过焦作市公共资源交易平台进行二轮报价（最后报价），未在规定时间内提交二轮报价（最后报价）的视为放弃本次磋商。</w:t>
            </w:r>
          </w:p>
          <w:p>
            <w:pPr>
              <w:pStyle w:val="3"/>
              <w:spacing w:line="400" w:lineRule="exact"/>
              <w:ind w:firstLine="422" w:firstLineChars="200"/>
              <w:rPr>
                <w:rFonts w:ascii="宋体" w:hAnsi="宋体" w:cs="宋体"/>
                <w:b/>
                <w:bCs/>
                <w:kern w:val="2"/>
                <w:szCs w:val="21"/>
              </w:rPr>
            </w:pPr>
            <w:r>
              <w:rPr>
                <w:rFonts w:hint="eastAsia"/>
                <w:b/>
                <w:bCs/>
                <w:kern w:val="2"/>
                <w:szCs w:val="21"/>
              </w:rPr>
              <w:t>2.二轮报价（最后报价）操作步骤</w:t>
            </w:r>
            <w:r>
              <w:rPr>
                <w:rFonts w:hint="eastAsia" w:ascii="宋体" w:hAnsi="宋体" w:cs="宋体"/>
                <w:b/>
                <w:bCs/>
                <w:kern w:val="2"/>
                <w:szCs w:val="21"/>
              </w:rPr>
              <w:t>请到焦作市公共资源交易中心官网首页—公共服务—下载专区-下载《投标单位操作手册及视频》中《</w:t>
            </w:r>
            <w:r>
              <w:fldChar w:fldCharType="begin"/>
            </w:r>
            <w:r>
              <w:instrText xml:space="preserve"> HYPERLINK "http://www.jzggzy.cn/jzggzy/88951794-3a73-4903-8a3a-a3156df953c4/59a811ad-be10-452c-92be-8b7a2948cf3a/焦作市公共资源交易平台升级项目-投标人手册.docx" \o "焦作市公共资源交易平台升级项目-投标人手册.docx" </w:instrText>
            </w:r>
            <w:r>
              <w:fldChar w:fldCharType="separate"/>
            </w:r>
            <w:r>
              <w:rPr>
                <w:rFonts w:hint="eastAsia" w:ascii="宋体" w:hAnsi="宋体" w:cs="宋体"/>
                <w:b/>
                <w:bCs/>
                <w:kern w:val="2"/>
                <w:szCs w:val="21"/>
              </w:rPr>
              <w:t>焦作市公共资源交易平台升级项目-投标人手册.docx</w:t>
            </w:r>
            <w:r>
              <w:rPr>
                <w:rFonts w:hint="eastAsia" w:ascii="宋体" w:hAnsi="宋体" w:cs="宋体"/>
                <w:b/>
                <w:bCs/>
                <w:kern w:val="2"/>
                <w:szCs w:val="21"/>
              </w:rPr>
              <w:fldChar w:fldCharType="end"/>
            </w:r>
            <w:r>
              <w:rPr>
                <w:rFonts w:hint="eastAsia" w:ascii="宋体" w:hAnsi="宋体" w:cs="宋体"/>
                <w:b/>
                <w:bCs/>
                <w:kern w:val="2"/>
                <w:szCs w:val="21"/>
              </w:rPr>
              <w:t>》文件查阅。</w:t>
            </w:r>
          </w:p>
          <w:p>
            <w:pPr>
              <w:pStyle w:val="3"/>
              <w:spacing w:line="400" w:lineRule="exact"/>
              <w:ind w:firstLine="422" w:firstLineChars="200"/>
              <w:rPr>
                <w:rFonts w:ascii="宋体" w:hAnsi="宋体" w:cs="宋体"/>
                <w:kern w:val="2"/>
                <w:szCs w:val="21"/>
              </w:rPr>
            </w:pPr>
            <w:r>
              <w:rPr>
                <w:rFonts w:hint="eastAsia" w:ascii="宋体" w:hAnsi="宋体" w:cs="宋体"/>
                <w:b/>
                <w:bCs/>
                <w:kern w:val="2"/>
                <w:szCs w:val="21"/>
              </w:rPr>
              <w:t>3.最后单价明细计算公式：最后单价明细=报价明细表中的单价×（最后总报价/第一轮总报价）。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14</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踏勘现场</w:t>
            </w:r>
          </w:p>
        </w:tc>
        <w:tc>
          <w:tcPr>
            <w:tcW w:w="6563" w:type="dxa"/>
            <w:vAlign w:val="center"/>
          </w:tcPr>
          <w:p>
            <w:pPr>
              <w:spacing w:line="460" w:lineRule="exact"/>
              <w:rPr>
                <w:rFonts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vAlign w:val="center"/>
          </w:tcPr>
          <w:p>
            <w:pPr>
              <w:tabs>
                <w:tab w:val="left" w:pos="1381"/>
              </w:tabs>
              <w:spacing w:line="460" w:lineRule="exact"/>
              <w:jc w:val="left"/>
              <w:rPr>
                <w:rFonts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需要落实的政府采购政策</w:t>
            </w:r>
          </w:p>
        </w:tc>
        <w:tc>
          <w:tcPr>
            <w:tcW w:w="6563" w:type="dxa"/>
            <w:vAlign w:val="center"/>
          </w:tcPr>
          <w:p>
            <w:pPr>
              <w:spacing w:line="500" w:lineRule="exact"/>
            </w:pPr>
            <w:r>
              <w:rPr>
                <w:rFonts w:hint="eastAsia"/>
              </w:rPr>
              <w:t>一、促进中小企业、监狱企业和残疾人福利性单位发展扶持政策中小企业认定：</w:t>
            </w:r>
          </w:p>
          <w:p>
            <w:pPr>
              <w:spacing w:line="500" w:lineRule="exact"/>
              <w:ind w:firstLine="420" w:firstLineChars="200"/>
            </w:pPr>
            <w:r>
              <w:rPr>
                <w:rFonts w:hint="eastAsia"/>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00" w:lineRule="exact"/>
              <w:ind w:firstLine="420" w:firstLineChars="200"/>
            </w:pPr>
            <w:r>
              <w:rPr>
                <w:rFonts w:hint="eastAsia"/>
              </w:rPr>
              <w:t>符合中小企业划分标准的个体工商户，在政府采购活动中视同中小企业。</w:t>
            </w:r>
          </w:p>
          <w:p>
            <w:pPr>
              <w:spacing w:line="500" w:lineRule="exact"/>
              <w:ind w:firstLine="420" w:firstLineChars="200"/>
            </w:pPr>
            <w:r>
              <w:rPr>
                <w:rFonts w:hint="eastAsia"/>
              </w:rPr>
              <w:t>中小企业划分标准见《关于印发中小企业划型标准规定的通知》（工信部联企业〔2011〕300号）。</w:t>
            </w:r>
          </w:p>
          <w:p>
            <w:pPr>
              <w:spacing w:line="500" w:lineRule="exact"/>
              <w:ind w:firstLine="420" w:firstLineChars="200"/>
            </w:pPr>
            <w:r>
              <w:rPr>
                <w:rFonts w:hint="eastAsia"/>
              </w:rPr>
              <w:t>2.在货物采购项目中，货物由中小企业制造，即货物由中小企业生产且使用该中小企业商号或者注册商标；</w:t>
            </w:r>
          </w:p>
          <w:p>
            <w:pPr>
              <w:spacing w:line="500" w:lineRule="exact"/>
              <w:ind w:firstLine="420" w:firstLineChars="200"/>
            </w:pPr>
            <w:r>
              <w:rPr>
                <w:rFonts w:hint="eastAsia"/>
              </w:rPr>
              <w:t>在货物采购项目中，供应商提供的货物既有中小企业制造货物，也有大型企业制造货物的，不享受本竞争性磋商文件规定的中小企业扶持政策。</w:t>
            </w:r>
          </w:p>
          <w:p>
            <w:pPr>
              <w:spacing w:line="500" w:lineRule="exact"/>
              <w:ind w:firstLine="420" w:firstLineChars="200"/>
            </w:pPr>
            <w:r>
              <w:rPr>
                <w:rFonts w:hint="eastAsia"/>
              </w:rPr>
              <w:t>以联合体形式参加政府采购活动，联合体各方均为中小企业的，联合体视同中小企业。其中，联合体各方均为小微企业的，联合体视同小微企业。</w:t>
            </w:r>
          </w:p>
          <w:p>
            <w:pPr>
              <w:spacing w:line="500" w:lineRule="exact"/>
              <w:ind w:firstLine="420" w:firstLineChars="200"/>
            </w:pPr>
            <w:r>
              <w:rPr>
                <w:rFonts w:hint="eastAsia"/>
              </w:rPr>
              <w:t>供应商应当出具竞争性磋商文件规定的《中小企业声明函》，否则不享受相关扶持政策；</w:t>
            </w:r>
          </w:p>
          <w:p>
            <w:pPr>
              <w:spacing w:line="500" w:lineRule="exact"/>
              <w:ind w:firstLine="420" w:firstLineChars="200"/>
            </w:pPr>
            <w:r>
              <w:rPr>
                <w:rFonts w:hint="eastAsia"/>
              </w:rPr>
              <w:t>3.根据财库〔2014〕68号《财政部 司法部关于政府采购支持监狱企业发展有关问题的通知》，监狱企业视同小微企业。提供由省级以上监狱管理局、戒毒管理局(含新疆生产建设兵团)出具的属于监狱企业的证明文件（响应文件中附扫描件或复印件），不再提供《中小企业声明函》,供应商出具的监狱企业证明文件如有虚假，其成交资格将被取消，并根据相关规定进行处罚。</w:t>
            </w:r>
          </w:p>
          <w:p>
            <w:pPr>
              <w:spacing w:line="500" w:lineRule="exact"/>
              <w:ind w:firstLine="420" w:firstLineChars="200"/>
            </w:pPr>
            <w:r>
              <w:rPr>
                <w:rFonts w:hint="eastAsia"/>
              </w:rPr>
              <w:t>4.根据财库〔2017〕141号《三部门联合发布关于促进残疾人就业政府采购政策的通知》残疾人福利性单位视同小型、微型企业，残疾人福利性单位在参加政府采购活动时提供《残疾人福利性单位声明函》（响应文件中附扫描件或复印件），不再提供《中小企业声明函》，供应商在《残疾人福利性单位声明函》中的承诺如有虚假，其成交资格将被取消，并根据相关规定进行处罚。</w:t>
            </w:r>
          </w:p>
          <w:p>
            <w:pPr>
              <w:spacing w:line="500" w:lineRule="exact"/>
              <w:ind w:firstLine="420" w:firstLineChars="200"/>
            </w:pPr>
            <w:r>
              <w:rPr>
                <w:rFonts w:hint="eastAsia"/>
              </w:rPr>
              <w:t xml:space="preserve">本项目将对小型和微型企业、监狱企业和残疾人福利性单位的最后报价给予20 %的扣除，用扣除后的价格参与评审。成交价和合同签约价仍以其最后报价为准。计算公式如下：评审价=最后报价×（100%- 20%）。 </w:t>
            </w:r>
          </w:p>
          <w:p>
            <w:pPr>
              <w:spacing w:line="500" w:lineRule="exact"/>
              <w:ind w:firstLine="420" w:firstLineChars="200"/>
            </w:pPr>
            <w:r>
              <w:rPr>
                <w:rFonts w:hint="eastAsia"/>
              </w:rPr>
              <w:t>磋商小组根据供应商提供的《中小企业声明函》认定该供应商是否属于中小企业；被认定为小型或微型企业的方可享受价格优惠。</w:t>
            </w:r>
          </w:p>
          <w:p>
            <w:pPr>
              <w:spacing w:line="500" w:lineRule="exact"/>
              <w:ind w:firstLine="420" w:firstLineChars="200"/>
            </w:pPr>
            <w:r>
              <w:rPr>
                <w:rFonts w:hint="eastAsia"/>
              </w:rPr>
              <w:t>供应商同时为小型、微型企业、监狱企业、残疾人福利性单位任两种或以上情况的，评审中只享受一次价格扣除，不重复进行价格扣除。</w:t>
            </w:r>
          </w:p>
          <w:p>
            <w:pPr>
              <w:spacing w:line="500" w:lineRule="exact"/>
              <w:ind w:firstLine="420" w:firstLineChars="200"/>
            </w:pPr>
            <w:r>
              <w:rPr>
                <w:rFonts w:hint="eastAsia"/>
              </w:rPr>
              <w:t>（二）节能产品、环境标志产品</w:t>
            </w:r>
          </w:p>
          <w:p>
            <w:pPr>
              <w:spacing w:line="500" w:lineRule="exact"/>
              <w:ind w:firstLine="420" w:firstLineChars="200"/>
            </w:pPr>
            <w:r>
              <w:rPr>
                <w:rFonts w:hint="eastAsia"/>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  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响应文件中附扫描件或复印件），否则不予认定。</w:t>
            </w:r>
          </w:p>
          <w:p>
            <w:pPr>
              <w:spacing w:line="500" w:lineRule="exact"/>
              <w:ind w:firstLine="420" w:firstLineChars="200"/>
            </w:pPr>
            <w:r>
              <w:rPr>
                <w:rFonts w:hint="eastAsia"/>
              </w:rPr>
              <w:t>2.对于所投核心产品为节能产品（政府强制采购节能产品除外）供应商的最后报价给予1 %的扣除，用扣除后的价格参与评审。成交价和合同签约价仍以其最后报价为准。计算公式如下：评审价=最后报价×（100%-1%）。</w:t>
            </w:r>
          </w:p>
          <w:p>
            <w:pPr>
              <w:spacing w:line="500" w:lineRule="exact"/>
              <w:ind w:firstLine="420" w:firstLineChars="200"/>
            </w:pPr>
            <w:r>
              <w:rPr>
                <w:rFonts w:hint="eastAsia"/>
              </w:rPr>
              <w:t>3.对于所投核心产品为环境标志产品的供应商最后报价给予1 %的扣除，用扣除后的价格参与评审。成交价和合同签约价仍以其最后报价为准。计算公式如下：评审价=最后报价×（100%-1%）。</w:t>
            </w:r>
          </w:p>
          <w:p>
            <w:pPr>
              <w:pStyle w:val="2"/>
              <w:spacing w:line="500" w:lineRule="exact"/>
              <w:ind w:firstLine="420" w:firstLineChars="200"/>
            </w:pPr>
            <w:r>
              <w:rPr>
                <w:rFonts w:hint="eastAsia"/>
                <w:kern w:val="2"/>
              </w:rPr>
              <w:t>4.所投核心产品同时为节能产品（政府强制采购节能产品除外）和环境标志产品的计算公式如下：评审价=最后报价×（100%-2%）。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17</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签订合同</w:t>
            </w:r>
          </w:p>
        </w:tc>
        <w:tc>
          <w:tcPr>
            <w:tcW w:w="6563" w:type="dxa"/>
            <w:vAlign w:val="center"/>
          </w:tcPr>
          <w:p>
            <w:pPr>
              <w:spacing w:line="460" w:lineRule="exact"/>
              <w:rPr>
                <w:rFonts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18</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其他</w:t>
            </w:r>
          </w:p>
        </w:tc>
        <w:tc>
          <w:tcPr>
            <w:tcW w:w="6563" w:type="dxa"/>
            <w:vAlign w:val="center"/>
          </w:tcPr>
          <w:p>
            <w:pPr>
              <w:rPr>
                <w:rFonts w:ascii="宋体" w:hAnsi="宋体" w:cs="宋体"/>
                <w:kern w:val="0"/>
                <w:szCs w:val="21"/>
              </w:rPr>
            </w:pPr>
            <w:r>
              <w:rPr>
                <w:rFonts w:hint="eastAsia" w:ascii="宋体" w:hAnsi="宋体" w:cs="宋体"/>
                <w:kern w:val="0"/>
                <w:szCs w:val="21"/>
              </w:rPr>
              <w:t>本竞争性磋商文件解释权归采购人或其委托的采购代理机构。未尽事宜按国家相关法律法规执行。</w:t>
            </w:r>
          </w:p>
          <w:p>
            <w:pPr>
              <w:rPr>
                <w:rFonts w:ascii="宋体" w:hAnsi="宋体" w:cs="宋体"/>
                <w:szCs w:val="21"/>
              </w:rPr>
            </w:pPr>
            <w:r>
              <w:rPr>
                <w:rFonts w:hint="eastAsia" w:ascii="宋体" w:hAnsi="宋体" w:cs="宋体"/>
                <w:szCs w:val="21"/>
              </w:rPr>
              <w:t xml:space="preserve">    （1）在评审过程中，</w:t>
            </w:r>
            <w:r>
              <w:rPr>
                <w:rFonts w:hint="eastAsia" w:ascii="宋体" w:hAnsi="宋体" w:cs="宋体"/>
                <w:kern w:val="0"/>
                <w:szCs w:val="21"/>
              </w:rPr>
              <w:t>磋商</w:t>
            </w:r>
            <w:r>
              <w:rPr>
                <w:rFonts w:hint="eastAsia" w:ascii="宋体" w:hAnsi="宋体" w:cs="宋体"/>
                <w:szCs w:val="21"/>
              </w:rPr>
              <w:t>小组成员存在争议时，可以以少数服从多数的原则解决争议；</w:t>
            </w:r>
          </w:p>
          <w:p>
            <w:pPr>
              <w:spacing w:line="460" w:lineRule="exact"/>
              <w:rPr>
                <w:rFonts w:ascii="宋体" w:hAnsi="宋体" w:cs="宋体"/>
                <w:kern w:val="0"/>
                <w:szCs w:val="21"/>
              </w:rPr>
            </w:pPr>
            <w:r>
              <w:rPr>
                <w:rFonts w:hint="eastAsia" w:ascii="宋体" w:hAnsi="宋体" w:cs="宋体"/>
                <w:szCs w:val="21"/>
              </w:rPr>
              <w:t xml:space="preserve">    （2）在评审过程中，采购人或其委托的代理机构认为</w:t>
            </w:r>
            <w:r>
              <w:rPr>
                <w:rFonts w:hint="eastAsia" w:ascii="宋体" w:hAnsi="宋体" w:cs="宋体"/>
                <w:kern w:val="0"/>
                <w:szCs w:val="21"/>
              </w:rPr>
              <w:t>磋商</w:t>
            </w:r>
            <w:r>
              <w:rPr>
                <w:rFonts w:hint="eastAsia" w:ascii="宋体" w:hAnsi="宋体" w:cs="宋体"/>
                <w:szCs w:val="21"/>
              </w:rPr>
              <w:t>小组对</w:t>
            </w:r>
            <w:r>
              <w:rPr>
                <w:rFonts w:hint="eastAsia" w:ascii="宋体" w:hAnsi="宋体" w:cs="宋体"/>
                <w:kern w:val="0"/>
                <w:szCs w:val="21"/>
              </w:rPr>
              <w:t>磋商</w:t>
            </w:r>
            <w:r>
              <w:rPr>
                <w:rFonts w:hint="eastAsia" w:ascii="宋体" w:hAnsi="宋体" w:cs="宋体"/>
                <w:szCs w:val="21"/>
              </w:rPr>
              <w:t>文件存在误解时，可对</w:t>
            </w:r>
            <w:r>
              <w:rPr>
                <w:rFonts w:hint="eastAsia" w:ascii="宋体" w:hAnsi="宋体" w:cs="宋体"/>
                <w:kern w:val="0"/>
                <w:szCs w:val="21"/>
              </w:rPr>
              <w:t>磋商</w:t>
            </w:r>
            <w:r>
              <w:rPr>
                <w:rFonts w:hint="eastAsia" w:ascii="宋体" w:hAnsi="宋体" w:cs="宋体"/>
                <w:szCs w:val="21"/>
              </w:rPr>
              <w:t>文件做出解释，并承担相应责任，</w:t>
            </w:r>
            <w:r>
              <w:rPr>
                <w:rFonts w:hint="eastAsia" w:ascii="宋体" w:hAnsi="宋体" w:cs="宋体"/>
                <w:kern w:val="0"/>
                <w:szCs w:val="21"/>
              </w:rPr>
              <w:t>磋商</w:t>
            </w:r>
            <w:r>
              <w:rPr>
                <w:rFonts w:hint="eastAsia" w:ascii="宋体" w:hAnsi="宋体" w:cs="宋体"/>
                <w:szCs w:val="21"/>
              </w:rPr>
              <w:t>小组应当依据该解释评审；</w:t>
            </w:r>
            <w:r>
              <w:rPr>
                <w:rFonts w:hint="eastAsia" w:ascii="宋体" w:hAnsi="宋体" w:cs="宋体"/>
                <w:kern w:val="0"/>
                <w:szCs w:val="21"/>
              </w:rPr>
              <w:t>磋商</w:t>
            </w:r>
            <w:r>
              <w:rPr>
                <w:rFonts w:hint="eastAsia" w:ascii="宋体" w:hAnsi="宋体" w:cs="宋体"/>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Align w:val="center"/>
          </w:tcPr>
          <w:p>
            <w:pPr>
              <w:spacing w:line="460" w:lineRule="exact"/>
              <w:jc w:val="center"/>
              <w:rPr>
                <w:rFonts w:ascii="宋体" w:hAnsi="宋体" w:cs="宋体"/>
                <w:kern w:val="0"/>
                <w:szCs w:val="21"/>
              </w:rPr>
            </w:pPr>
            <w:r>
              <w:rPr>
                <w:rFonts w:hint="eastAsia" w:ascii="宋体" w:hAnsi="宋体" w:cs="宋体"/>
                <w:kern w:val="0"/>
                <w:szCs w:val="21"/>
              </w:rPr>
              <w:t>19</w:t>
            </w:r>
          </w:p>
        </w:tc>
        <w:tc>
          <w:tcPr>
            <w:tcW w:w="2131" w:type="dxa"/>
            <w:vAlign w:val="center"/>
          </w:tcPr>
          <w:p>
            <w:pPr>
              <w:spacing w:line="460" w:lineRule="exact"/>
              <w:jc w:val="center"/>
              <w:rPr>
                <w:rFonts w:ascii="宋体" w:hAnsi="宋体" w:cs="宋体"/>
                <w:kern w:val="0"/>
                <w:szCs w:val="21"/>
              </w:rPr>
            </w:pPr>
            <w:r>
              <w:rPr>
                <w:rFonts w:hint="eastAsia" w:ascii="宋体" w:hAnsi="宋体" w:cs="宋体"/>
                <w:kern w:val="0"/>
                <w:szCs w:val="21"/>
              </w:rPr>
              <w:t>采购代理机构代理服务费</w:t>
            </w:r>
          </w:p>
        </w:tc>
        <w:tc>
          <w:tcPr>
            <w:tcW w:w="6563" w:type="dxa"/>
            <w:vAlign w:val="center"/>
          </w:tcPr>
          <w:p>
            <w:pPr>
              <w:spacing w:line="460" w:lineRule="exact"/>
              <w:rPr>
                <w:szCs w:val="21"/>
              </w:rPr>
            </w:pPr>
            <w:r>
              <w:rPr>
                <w:rFonts w:hint="eastAsia"/>
                <w:szCs w:val="21"/>
              </w:rPr>
              <w:t>本项目收取代理服务费：</w:t>
            </w:r>
          </w:p>
          <w:p>
            <w:pPr>
              <w:numPr>
                <w:ilvl w:val="0"/>
                <w:numId w:val="3"/>
              </w:numPr>
              <w:spacing w:line="360" w:lineRule="auto"/>
              <w:rPr>
                <w:rFonts w:ascii="宋体" w:hAnsi="宋体" w:cs="宋体"/>
                <w:kern w:val="0"/>
                <w:szCs w:val="21"/>
              </w:rPr>
            </w:pPr>
            <w:r>
              <w:rPr>
                <w:rFonts w:hint="eastAsia" w:ascii="宋体" w:hAnsi="宋体" w:cs="宋体"/>
                <w:kern w:val="0"/>
                <w:szCs w:val="21"/>
              </w:rPr>
              <w:t>采购代理机构代理服务费用收取标准：见《河南省招标代理服务收费计算标准》。</w:t>
            </w:r>
          </w:p>
          <w:p>
            <w:pPr>
              <w:numPr>
                <w:ilvl w:val="0"/>
                <w:numId w:val="3"/>
              </w:numPr>
              <w:spacing w:line="360" w:lineRule="auto"/>
              <w:rPr>
                <w:rFonts w:ascii="宋体" w:hAnsi="宋体" w:cs="宋体"/>
                <w:kern w:val="0"/>
                <w:szCs w:val="21"/>
              </w:rPr>
            </w:pPr>
            <w:r>
              <w:rPr>
                <w:rFonts w:hint="eastAsia" w:ascii="宋体" w:hAnsi="宋体" w:cs="宋体"/>
                <w:kern w:val="0"/>
                <w:szCs w:val="21"/>
              </w:rPr>
              <w:t>支付方式：现金或转账。</w:t>
            </w:r>
          </w:p>
          <w:p>
            <w:pPr>
              <w:pStyle w:val="14"/>
              <w:rPr>
                <w:szCs w:val="21"/>
              </w:rPr>
            </w:pPr>
            <w:r>
              <w:rPr>
                <w:rFonts w:hint="eastAsia" w:ascii="宋体" w:hAnsi="宋体" w:cs="宋体"/>
                <w:kern w:val="0"/>
                <w:szCs w:val="21"/>
              </w:rPr>
              <w:t>3.采购代理机构代理服务费由中标人支付。</w:t>
            </w:r>
          </w:p>
        </w:tc>
      </w:tr>
      <w:bookmarkEnd w:id="11"/>
      <w:bookmarkEnd w:id="12"/>
      <w:bookmarkEnd w:id="13"/>
      <w:bookmarkEnd w:id="14"/>
      <w:bookmarkEnd w:id="15"/>
    </w:tbl>
    <w:p>
      <w:pPr>
        <w:autoSpaceDN w:val="0"/>
        <w:spacing w:before="75" w:after="75" w:line="360" w:lineRule="auto"/>
        <w:ind w:firstLine="1928" w:firstLineChars="600"/>
        <w:rPr>
          <w:rFonts w:ascii="宋体" w:hAnsi="宋体" w:cs="宋体"/>
          <w:b/>
          <w:sz w:val="32"/>
        </w:rPr>
      </w:pPr>
      <w:bookmarkStart w:id="18" w:name="_Toc461962050"/>
      <w:r>
        <w:rPr>
          <w:rFonts w:hint="eastAsia" w:ascii="宋体" w:hAnsi="宋体" w:cs="宋体"/>
          <w:b/>
          <w:sz w:val="32"/>
        </w:rPr>
        <w:t>河南省招标代理服务收费计算标准</w:t>
      </w:r>
    </w:p>
    <w:p>
      <w:pPr>
        <w:autoSpaceDN w:val="0"/>
        <w:spacing w:before="75" w:after="75" w:line="360" w:lineRule="auto"/>
        <w:jc w:val="center"/>
        <w:rPr>
          <w:rFonts w:ascii="宋体" w:hAnsi="宋体" w:cs="宋体"/>
          <w:b/>
          <w:sz w:val="32"/>
        </w:rPr>
      </w:pPr>
      <w:r>
        <w:drawing>
          <wp:inline distT="0" distB="0" distL="114300" distR="114300">
            <wp:extent cx="5901055" cy="3252470"/>
            <wp:effectExtent l="0" t="0" r="12065" b="889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2" cstate="print"/>
                    <a:stretch>
                      <a:fillRect/>
                    </a:stretch>
                  </pic:blipFill>
                  <pic:spPr>
                    <a:xfrm>
                      <a:off x="0" y="0"/>
                      <a:ext cx="5901055" cy="3252470"/>
                    </a:xfrm>
                    <a:prstGeom prst="rect">
                      <a:avLst/>
                    </a:prstGeom>
                    <a:noFill/>
                    <a:ln>
                      <a:noFill/>
                    </a:ln>
                  </pic:spPr>
                </pic:pic>
              </a:graphicData>
            </a:graphic>
          </wp:inline>
        </w:drawing>
      </w:r>
    </w:p>
    <w:p>
      <w:pPr>
        <w:pStyle w:val="26"/>
        <w:spacing w:line="440" w:lineRule="exact"/>
        <w:rPr>
          <w:rFonts w:cs="宋体"/>
          <w:bCs/>
          <w:sz w:val="21"/>
          <w:szCs w:val="21"/>
        </w:rPr>
      </w:pPr>
      <w:r>
        <w:rPr>
          <w:rFonts w:hint="eastAsia" w:cs="宋体"/>
          <w:bCs/>
          <w:sz w:val="21"/>
          <w:szCs w:val="21"/>
        </w:rPr>
        <w:t>注: 1.按本表费率计算的收费金额为招标代理服务费的基准价格，不含工程量清单、最高投标限价(招标控制价) 或标底的编制费用</w:t>
      </w:r>
    </w:p>
    <w:p>
      <w:pPr>
        <w:pStyle w:val="26"/>
        <w:spacing w:line="440" w:lineRule="exact"/>
        <w:rPr>
          <w:rFonts w:cs="宋体"/>
          <w:bCs/>
          <w:sz w:val="21"/>
          <w:szCs w:val="21"/>
        </w:rPr>
      </w:pPr>
      <w:r>
        <w:rPr>
          <w:rFonts w:hint="eastAsia" w:cs="宋体"/>
          <w:bCs/>
          <w:sz w:val="21"/>
          <w:szCs w:val="21"/>
        </w:rPr>
        <w:t>2.招标代理服务收费按差额定率累进法计算。</w:t>
      </w:r>
    </w:p>
    <w:p>
      <w:pPr>
        <w:pStyle w:val="26"/>
        <w:spacing w:line="440" w:lineRule="exact"/>
        <w:rPr>
          <w:rFonts w:cs="宋体"/>
          <w:bCs/>
          <w:sz w:val="21"/>
          <w:szCs w:val="21"/>
        </w:rPr>
      </w:pPr>
      <w:r>
        <w:rPr>
          <w:rFonts w:hint="eastAsia" w:cs="宋体"/>
          <w:bCs/>
          <w:sz w:val="21"/>
          <w:szCs w:val="21"/>
        </w:rPr>
        <w:t>例如: 某工程招标代理业务，项目预算金额(招标控制价) 为10000 万元，招标代理服务收费计算如下:</w:t>
      </w:r>
    </w:p>
    <w:p>
      <w:pPr>
        <w:pStyle w:val="26"/>
        <w:spacing w:line="440" w:lineRule="exact"/>
        <w:rPr>
          <w:rFonts w:cs="宋体"/>
          <w:bCs/>
          <w:sz w:val="21"/>
          <w:szCs w:val="21"/>
        </w:rPr>
      </w:pPr>
      <w:r>
        <w:rPr>
          <w:rFonts w:hint="eastAsia" w:cs="宋体"/>
          <w:bCs/>
          <w:sz w:val="21"/>
          <w:szCs w:val="21"/>
        </w:rPr>
        <w:t>100万元X1.2%=1.2万元</w:t>
      </w:r>
    </w:p>
    <w:p>
      <w:pPr>
        <w:pStyle w:val="26"/>
        <w:spacing w:line="440" w:lineRule="exact"/>
        <w:rPr>
          <w:rFonts w:cs="宋体"/>
          <w:bCs/>
          <w:sz w:val="21"/>
          <w:szCs w:val="21"/>
        </w:rPr>
      </w:pPr>
      <w:r>
        <w:rPr>
          <w:rFonts w:hint="eastAsia" w:cs="宋体"/>
          <w:bCs/>
          <w:sz w:val="21"/>
          <w:szCs w:val="21"/>
        </w:rPr>
        <w:t>(500-100) 万元X1.0%=4万元</w:t>
      </w:r>
    </w:p>
    <w:p>
      <w:pPr>
        <w:pStyle w:val="26"/>
        <w:spacing w:line="440" w:lineRule="exact"/>
        <w:rPr>
          <w:rFonts w:cs="宋体"/>
          <w:bCs/>
          <w:sz w:val="21"/>
          <w:szCs w:val="21"/>
        </w:rPr>
      </w:pPr>
      <w:r>
        <w:rPr>
          <w:rFonts w:hint="eastAsia" w:cs="宋体"/>
          <w:bCs/>
          <w:sz w:val="21"/>
          <w:szCs w:val="21"/>
        </w:rPr>
        <w:t>(1000-500) X0.7%=3.5万元</w:t>
      </w:r>
    </w:p>
    <w:p>
      <w:pPr>
        <w:pStyle w:val="26"/>
        <w:spacing w:line="440" w:lineRule="exact"/>
        <w:rPr>
          <w:rFonts w:cs="宋体"/>
          <w:bCs/>
          <w:sz w:val="21"/>
          <w:szCs w:val="21"/>
        </w:rPr>
      </w:pPr>
      <w:r>
        <w:rPr>
          <w:rFonts w:hint="eastAsia" w:cs="宋体"/>
          <w:bCs/>
          <w:sz w:val="21"/>
          <w:szCs w:val="21"/>
        </w:rPr>
        <w:t>(5000-1000) X0.4%=16万元</w:t>
      </w:r>
    </w:p>
    <w:p>
      <w:pPr>
        <w:pStyle w:val="26"/>
        <w:spacing w:line="440" w:lineRule="exact"/>
        <w:rPr>
          <w:rFonts w:cs="宋体"/>
          <w:bCs/>
          <w:sz w:val="21"/>
          <w:szCs w:val="21"/>
        </w:rPr>
      </w:pPr>
      <w:r>
        <w:rPr>
          <w:rFonts w:hint="eastAsia" w:cs="宋体"/>
          <w:bCs/>
          <w:sz w:val="21"/>
          <w:szCs w:val="21"/>
        </w:rPr>
        <w:t>(10000-5000) X0.25%=12.5万元</w:t>
      </w:r>
    </w:p>
    <w:p>
      <w:pPr>
        <w:pStyle w:val="26"/>
        <w:spacing w:line="440" w:lineRule="exact"/>
        <w:rPr>
          <w:rFonts w:cs="宋体"/>
          <w:bCs/>
          <w:sz w:val="21"/>
          <w:szCs w:val="21"/>
        </w:rPr>
      </w:pPr>
      <w:r>
        <w:rPr>
          <w:rFonts w:hint="eastAsia" w:cs="宋体"/>
          <w:bCs/>
          <w:sz w:val="21"/>
          <w:szCs w:val="21"/>
        </w:rPr>
        <w:t>合计收费=1.2+4+3.5+16+12.5=37.2万元</w:t>
      </w:r>
    </w:p>
    <w:p>
      <w:pPr>
        <w:pStyle w:val="26"/>
        <w:spacing w:line="440" w:lineRule="exact"/>
        <w:rPr>
          <w:rFonts w:cs="宋体"/>
          <w:bCs/>
          <w:sz w:val="21"/>
          <w:szCs w:val="21"/>
        </w:rPr>
      </w:pPr>
      <w:r>
        <w:rPr>
          <w:rFonts w:hint="eastAsia" w:cs="宋体"/>
          <w:bCs/>
          <w:sz w:val="21"/>
          <w:szCs w:val="21"/>
        </w:rPr>
        <w:t>3.收费标准的计算基数以项目、标段 (包) 的中标金额或预算金额或最高投标限价(招标控制价) 为计费基数。</w:t>
      </w:r>
    </w:p>
    <w:p>
      <w:pPr>
        <w:pStyle w:val="26"/>
        <w:spacing w:line="440" w:lineRule="exact"/>
        <w:rPr>
          <w:rFonts w:cs="宋体"/>
          <w:bCs/>
          <w:sz w:val="21"/>
          <w:szCs w:val="21"/>
        </w:rPr>
      </w:pPr>
      <w:r>
        <w:rPr>
          <w:rFonts w:hint="eastAsia" w:cs="宋体"/>
          <w:bCs/>
          <w:sz w:val="21"/>
          <w:szCs w:val="21"/>
        </w:rPr>
        <w:t>4.根据项目实际需要分段招标并分期分项分专业的，按各标段分别计算各标段招标代理服务费。</w:t>
      </w:r>
    </w:p>
    <w:p>
      <w:pPr>
        <w:pStyle w:val="26"/>
        <w:spacing w:line="440" w:lineRule="exact"/>
        <w:rPr>
          <w:rFonts w:cs="宋体"/>
          <w:bCs/>
          <w:sz w:val="21"/>
          <w:szCs w:val="21"/>
        </w:rPr>
        <w:sectPr>
          <w:footerReference r:id="rId11" w:type="default"/>
          <w:pgSz w:w="11906" w:h="16838"/>
          <w:pgMar w:top="1134" w:right="1134" w:bottom="1134" w:left="1474" w:header="851" w:footer="510" w:gutter="0"/>
          <w:cols w:space="720" w:num="1"/>
          <w:docGrid w:type="lines" w:linePitch="312" w:charSpace="0"/>
        </w:sectPr>
      </w:pPr>
      <w:r>
        <w:rPr>
          <w:rFonts w:hint="eastAsia" w:cs="宋体"/>
          <w:bCs/>
          <w:sz w:val="21"/>
          <w:szCs w:val="21"/>
        </w:rPr>
        <w:t>5.对于小型项目，如按本指导意见计算出的代理服务费，明显低于代理机构代理成本时，</w:t>
      </w:r>
      <w:r>
        <w:rPr>
          <w:rFonts w:hint="eastAsia" w:cs="宋体"/>
          <w:bCs/>
          <w:sz w:val="21"/>
          <w:szCs w:val="21"/>
          <w:lang w:val="en-US" w:eastAsia="zh-CN"/>
        </w:rPr>
        <w:t>采购</w:t>
      </w:r>
      <w:r>
        <w:rPr>
          <w:rFonts w:hint="eastAsia" w:cs="宋体"/>
          <w:bCs/>
          <w:sz w:val="21"/>
          <w:szCs w:val="21"/>
        </w:rPr>
        <w:t>人与招标代理机构可在书面委托合同中直接约定招标代理服务费的保底价，并明确其具体数额，不足1万元的按1万元收取。</w:t>
      </w:r>
    </w:p>
    <w:bookmarkEnd w:id="18"/>
    <w:p>
      <w:pPr>
        <w:pStyle w:val="6"/>
        <w:spacing w:line="440" w:lineRule="exact"/>
        <w:jc w:val="center"/>
        <w:rPr>
          <w:rFonts w:ascii="宋体" w:hAnsi="宋体" w:eastAsia="宋体" w:cs="宋体"/>
        </w:rPr>
      </w:pPr>
      <w:bookmarkStart w:id="19" w:name="_Toc373230023"/>
      <w:bookmarkStart w:id="20" w:name="_Toc461962051"/>
      <w:bookmarkStart w:id="21" w:name="_Toc2200"/>
      <w:bookmarkStart w:id="22" w:name="_Toc487805903"/>
      <w:bookmarkStart w:id="23" w:name="_Toc490161260"/>
      <w:bookmarkStart w:id="24" w:name="_Toc477423243"/>
      <w:bookmarkStart w:id="25" w:name="_Toc374512410"/>
      <w:bookmarkStart w:id="26" w:name="_Toc26492"/>
      <w:r>
        <w:rPr>
          <w:rFonts w:hint="eastAsia" w:ascii="宋体" w:hAnsi="宋体" w:eastAsia="宋体" w:cs="宋体"/>
        </w:rPr>
        <w:t>一、总则</w:t>
      </w:r>
      <w:bookmarkEnd w:id="19"/>
      <w:bookmarkEnd w:id="20"/>
      <w:bookmarkEnd w:id="21"/>
      <w:bookmarkEnd w:id="22"/>
      <w:bookmarkEnd w:id="23"/>
      <w:bookmarkEnd w:id="24"/>
      <w:bookmarkEnd w:id="25"/>
      <w:bookmarkEnd w:id="26"/>
    </w:p>
    <w:p>
      <w:pPr>
        <w:numPr>
          <w:ilvl w:val="0"/>
          <w:numId w:val="4"/>
        </w:numPr>
        <w:tabs>
          <w:tab w:val="left" w:pos="424"/>
        </w:tabs>
        <w:spacing w:line="440" w:lineRule="exact"/>
        <w:ind w:left="425" w:hanging="425"/>
        <w:rPr>
          <w:rFonts w:ascii="宋体" w:hAnsi="宋体" w:cs="宋体"/>
          <w:b/>
          <w:szCs w:val="21"/>
        </w:rPr>
      </w:pPr>
      <w:r>
        <w:rPr>
          <w:rFonts w:hint="eastAsia" w:ascii="宋体" w:hAnsi="宋体" w:cs="宋体"/>
          <w:b/>
          <w:szCs w:val="21"/>
        </w:rPr>
        <w:t>适用范围</w:t>
      </w:r>
    </w:p>
    <w:p>
      <w:pPr>
        <w:spacing w:line="440" w:lineRule="exact"/>
        <w:ind w:firstLine="375" w:firstLineChars="179"/>
        <w:rPr>
          <w:rFonts w:ascii="宋体" w:hAnsi="宋体" w:cs="宋体"/>
          <w:szCs w:val="21"/>
        </w:rPr>
      </w:pPr>
      <w:r>
        <w:rPr>
          <w:rFonts w:hint="eastAsia" w:ascii="宋体" w:hAnsi="宋体" w:cs="宋体"/>
          <w:szCs w:val="21"/>
        </w:rPr>
        <w:t>本磋商文件仅适用于本次竞争性磋商所述的项目。</w:t>
      </w:r>
    </w:p>
    <w:p>
      <w:pPr>
        <w:numPr>
          <w:ilvl w:val="0"/>
          <w:numId w:val="4"/>
        </w:numPr>
        <w:tabs>
          <w:tab w:val="left" w:pos="424"/>
        </w:tabs>
        <w:spacing w:line="440" w:lineRule="exact"/>
        <w:ind w:left="425" w:hanging="425"/>
        <w:rPr>
          <w:rFonts w:ascii="宋体" w:hAnsi="宋体" w:cs="宋体"/>
          <w:b/>
          <w:bCs/>
          <w:szCs w:val="21"/>
        </w:rPr>
      </w:pPr>
      <w:r>
        <w:rPr>
          <w:rFonts w:hint="eastAsia" w:ascii="宋体" w:hAnsi="宋体" w:cs="宋体"/>
          <w:b/>
          <w:szCs w:val="21"/>
        </w:rPr>
        <w:t>定义</w:t>
      </w:r>
    </w:p>
    <w:p>
      <w:pPr>
        <w:numPr>
          <w:ilvl w:val="0"/>
          <w:numId w:val="5"/>
        </w:numPr>
        <w:spacing w:line="440" w:lineRule="exact"/>
        <w:rPr>
          <w:rFonts w:ascii="宋体" w:hAnsi="宋体" w:cs="宋体"/>
          <w:szCs w:val="21"/>
        </w:rPr>
      </w:pPr>
      <w:r>
        <w:rPr>
          <w:rFonts w:hint="eastAsia" w:ascii="宋体" w:hAnsi="宋体" w:cs="宋体"/>
          <w:szCs w:val="21"/>
        </w:rPr>
        <w:t>“采购人” 见供应商须知前附表；</w:t>
      </w:r>
    </w:p>
    <w:p>
      <w:pPr>
        <w:numPr>
          <w:ilvl w:val="0"/>
          <w:numId w:val="5"/>
        </w:numPr>
        <w:spacing w:line="440" w:lineRule="exact"/>
        <w:rPr>
          <w:rFonts w:ascii="宋体" w:hAnsi="宋体" w:cs="宋体"/>
          <w:szCs w:val="21"/>
        </w:rPr>
      </w:pPr>
      <w:r>
        <w:rPr>
          <w:rFonts w:hint="eastAsia" w:ascii="宋体" w:hAnsi="宋体" w:cs="宋体"/>
          <w:szCs w:val="21"/>
        </w:rPr>
        <w:t xml:space="preserve"> “采购代理机构”见供应商须知前附表；</w:t>
      </w:r>
    </w:p>
    <w:p>
      <w:pPr>
        <w:numPr>
          <w:ilvl w:val="0"/>
          <w:numId w:val="5"/>
        </w:numPr>
        <w:spacing w:line="440" w:lineRule="exact"/>
        <w:rPr>
          <w:rFonts w:ascii="宋体" w:hAnsi="宋体" w:cs="宋体"/>
          <w:szCs w:val="21"/>
        </w:rPr>
      </w:pPr>
      <w:r>
        <w:rPr>
          <w:rFonts w:hint="eastAsia" w:ascii="宋体" w:hAnsi="宋体" w:cs="宋体"/>
          <w:szCs w:val="21"/>
        </w:rPr>
        <w:t>“供应商”是指响应磋商、参加磋商竞争的法人、其他组织或者自然人。</w:t>
      </w:r>
    </w:p>
    <w:p>
      <w:pPr>
        <w:numPr>
          <w:ilvl w:val="0"/>
          <w:numId w:val="5"/>
        </w:numPr>
        <w:tabs>
          <w:tab w:val="left" w:pos="0"/>
          <w:tab w:val="clear" w:pos="839"/>
        </w:tabs>
        <w:spacing w:line="440" w:lineRule="exact"/>
        <w:rPr>
          <w:rFonts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5"/>
        </w:numPr>
        <w:spacing w:line="440" w:lineRule="exact"/>
        <w:rPr>
          <w:rFonts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5"/>
        </w:numPr>
        <w:spacing w:line="440" w:lineRule="exact"/>
        <w:rPr>
          <w:rFonts w:ascii="宋体" w:hAnsi="宋体" w:cs="宋体"/>
          <w:szCs w:val="21"/>
        </w:rPr>
      </w:pPr>
      <w:r>
        <w:rPr>
          <w:rFonts w:hint="eastAsia" w:ascii="宋体" w:hAnsi="宋体" w:cs="宋体"/>
          <w:szCs w:val="21"/>
        </w:rPr>
        <w:t>“设立登记证书”是指</w:t>
      </w:r>
      <w:r>
        <w:fldChar w:fldCharType="begin"/>
      </w:r>
      <w:r>
        <w:instrText xml:space="preserve"> HYPERLINK "https://baike.baidu.com/item/%E5%B7%A5%E5%95%86%E8%A1%8C%E6%94%BF%E7%AE%A1%E7%90%86%E6%9C%BA%E5%85%B3/2954967" \t "https://baike.baidu.com/item/%E8%90%A5%E4%B8%9A%E6%89%A7%E7%85%A7/_blank" </w:instrText>
      </w:r>
      <w: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5"/>
        </w:numPr>
        <w:spacing w:line="440" w:lineRule="exact"/>
        <w:rPr>
          <w:rFonts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5"/>
        </w:numPr>
        <w:spacing w:line="440" w:lineRule="exact"/>
        <w:rPr>
          <w:rFonts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5"/>
        </w:numPr>
        <w:spacing w:line="440" w:lineRule="exact"/>
        <w:rPr>
          <w:rFonts w:ascii="宋体" w:hAnsi="宋体" w:cs="宋体"/>
          <w:szCs w:val="21"/>
        </w:rPr>
      </w:pPr>
      <w:r>
        <w:rPr>
          <w:rFonts w:hint="eastAsia" w:ascii="宋体" w:hAnsi="宋体" w:cs="宋体"/>
          <w:szCs w:val="21"/>
        </w:rPr>
        <w:t>“原公告发布媒体”是指《河南省政府采购网》、《焦作市公共资源交易中心网》、《武陟县公共资源交易中心网》。</w:t>
      </w:r>
    </w:p>
    <w:p>
      <w:pPr>
        <w:numPr>
          <w:ilvl w:val="0"/>
          <w:numId w:val="5"/>
        </w:numPr>
        <w:spacing w:line="440" w:lineRule="exact"/>
        <w:ind w:left="0" w:firstLine="422" w:firstLineChars="200"/>
        <w:rPr>
          <w:rFonts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0" w:firstLine="420" w:firstLineChars="200"/>
        <w:rPr>
          <w:rFonts w:ascii="宋体" w:hAnsi="宋体" w:cs="宋体"/>
          <w:bCs/>
          <w:szCs w:val="21"/>
        </w:rPr>
      </w:pPr>
      <w:r>
        <w:rPr>
          <w:rFonts w:hint="eastAsia" w:ascii="宋体" w:hAnsi="宋体" w:cs="宋体"/>
          <w:bCs/>
          <w:szCs w:val="21"/>
        </w:rPr>
        <w:t>本项目磋商文件中要求“加盖</w:t>
      </w:r>
      <w:r>
        <w:rPr>
          <w:rFonts w:hint="eastAsia" w:ascii="宋体" w:hAnsi="宋体" w:cs="宋体"/>
          <w:bCs/>
          <w:szCs w:val="21"/>
          <w:lang w:eastAsia="zh-CN"/>
        </w:rPr>
        <w:t>生产厂家</w:t>
      </w:r>
      <w:r>
        <w:rPr>
          <w:rFonts w:hint="eastAsia" w:ascii="宋体" w:hAnsi="宋体" w:cs="宋体"/>
          <w:bCs/>
          <w:szCs w:val="21"/>
        </w:rPr>
        <w:t>公章”是指不同供应商参加同一合同项下磋商的，提供同一</w:t>
      </w:r>
      <w:r>
        <w:rPr>
          <w:rFonts w:hint="eastAsia" w:ascii="宋体" w:hAnsi="宋体" w:cs="宋体"/>
          <w:bCs/>
          <w:szCs w:val="21"/>
          <w:lang w:eastAsia="zh-CN"/>
        </w:rPr>
        <w:t>生产厂家</w:t>
      </w:r>
      <w:r>
        <w:rPr>
          <w:rFonts w:hint="eastAsia" w:ascii="宋体" w:hAnsi="宋体" w:cs="宋体"/>
          <w:bCs/>
          <w:szCs w:val="21"/>
        </w:rPr>
        <w:t>同一资料的，如其中有一家供应商提供加盖</w:t>
      </w:r>
      <w:r>
        <w:rPr>
          <w:rFonts w:hint="eastAsia" w:ascii="宋体" w:hAnsi="宋体" w:cs="宋体"/>
          <w:bCs/>
          <w:szCs w:val="21"/>
          <w:lang w:eastAsia="zh-CN"/>
        </w:rPr>
        <w:t>生产厂家</w:t>
      </w:r>
      <w:r>
        <w:rPr>
          <w:rFonts w:hint="eastAsia" w:ascii="宋体" w:hAnsi="宋体" w:cs="宋体"/>
          <w:bCs/>
          <w:szCs w:val="21"/>
        </w:rPr>
        <w:t>公章资料，其余供应商提供资料未加盖</w:t>
      </w:r>
      <w:r>
        <w:rPr>
          <w:rFonts w:hint="eastAsia" w:ascii="宋体" w:hAnsi="宋体" w:cs="宋体"/>
          <w:bCs/>
          <w:szCs w:val="21"/>
          <w:lang w:eastAsia="zh-CN"/>
        </w:rPr>
        <w:t>生产厂家</w:t>
      </w:r>
      <w:r>
        <w:rPr>
          <w:rFonts w:hint="eastAsia" w:ascii="宋体" w:hAnsi="宋体" w:cs="宋体"/>
          <w:bCs/>
          <w:szCs w:val="21"/>
        </w:rPr>
        <w:t>公章，均予以认可，如出现内容不一致的以加盖</w:t>
      </w:r>
      <w:r>
        <w:rPr>
          <w:rFonts w:hint="eastAsia" w:ascii="宋体" w:hAnsi="宋体" w:cs="宋体"/>
          <w:bCs/>
          <w:szCs w:val="21"/>
          <w:lang w:eastAsia="zh-CN"/>
        </w:rPr>
        <w:t>生产厂家</w:t>
      </w:r>
      <w:r>
        <w:rPr>
          <w:rFonts w:hint="eastAsia" w:ascii="宋体" w:hAnsi="宋体" w:cs="宋体"/>
          <w:bCs/>
          <w:szCs w:val="21"/>
        </w:rPr>
        <w:t>公章的为准；不同供应商提供同一</w:t>
      </w:r>
      <w:r>
        <w:rPr>
          <w:rFonts w:hint="eastAsia" w:ascii="宋体" w:hAnsi="宋体" w:cs="宋体"/>
          <w:bCs/>
          <w:szCs w:val="21"/>
          <w:lang w:eastAsia="zh-CN"/>
        </w:rPr>
        <w:t>生产厂家</w:t>
      </w:r>
      <w:r>
        <w:rPr>
          <w:rFonts w:hint="eastAsia" w:ascii="宋体" w:hAnsi="宋体" w:cs="宋体"/>
          <w:bCs/>
          <w:szCs w:val="21"/>
        </w:rPr>
        <w:t>同一资料均未加盖</w:t>
      </w:r>
      <w:r>
        <w:rPr>
          <w:rFonts w:hint="eastAsia" w:ascii="宋体" w:hAnsi="宋体" w:cs="宋体"/>
          <w:bCs/>
          <w:szCs w:val="21"/>
          <w:lang w:eastAsia="zh-CN"/>
        </w:rPr>
        <w:t>生产厂家</w:t>
      </w:r>
      <w:r>
        <w:rPr>
          <w:rFonts w:hint="eastAsia" w:ascii="宋体" w:hAnsi="宋体" w:cs="宋体"/>
          <w:bCs/>
          <w:szCs w:val="21"/>
        </w:rPr>
        <w:t>公章的，均不予认可。</w:t>
      </w:r>
    </w:p>
    <w:p>
      <w:pPr>
        <w:numPr>
          <w:ilvl w:val="0"/>
          <w:numId w:val="4"/>
        </w:numPr>
        <w:spacing w:line="440" w:lineRule="exact"/>
        <w:rPr>
          <w:rFonts w:ascii="宋体" w:hAnsi="宋体" w:cs="宋体"/>
          <w:szCs w:val="21"/>
        </w:rPr>
      </w:pPr>
      <w:r>
        <w:rPr>
          <w:rFonts w:hint="eastAsia" w:ascii="宋体" w:hAnsi="宋体" w:cs="宋体"/>
          <w:b/>
          <w:szCs w:val="21"/>
        </w:rPr>
        <w:t>合格的供应商</w:t>
      </w:r>
    </w:p>
    <w:p>
      <w:pPr>
        <w:numPr>
          <w:ilvl w:val="0"/>
          <w:numId w:val="6"/>
        </w:numPr>
        <w:spacing w:line="440" w:lineRule="exact"/>
        <w:ind w:left="0" w:firstLine="420"/>
        <w:rPr>
          <w:rFonts w:ascii="宋体" w:hAnsi="宋体" w:cs="宋体"/>
          <w:bCs/>
          <w:szCs w:val="21"/>
        </w:rPr>
      </w:pPr>
      <w:r>
        <w:rPr>
          <w:rFonts w:hint="eastAsia" w:ascii="宋体" w:hAnsi="宋体" w:cs="宋体"/>
          <w:bCs/>
          <w:szCs w:val="21"/>
        </w:rPr>
        <w:t>符合《中华人民共和国政府采购法》第二十二条规定的条件。</w:t>
      </w:r>
    </w:p>
    <w:p>
      <w:pPr>
        <w:pStyle w:val="77"/>
        <w:spacing w:line="440" w:lineRule="exact"/>
        <w:ind w:firstLine="420" w:firstLineChars="200"/>
        <w:rPr>
          <w:sz w:val="21"/>
          <w:szCs w:val="21"/>
        </w:rPr>
      </w:pPr>
      <w:r>
        <w:rPr>
          <w:rFonts w:hint="eastAsia"/>
          <w:sz w:val="21"/>
          <w:szCs w:val="21"/>
        </w:rPr>
        <w:t>3.1.1.具有有效的“设立登记证书”；</w:t>
      </w:r>
    </w:p>
    <w:p>
      <w:pPr>
        <w:pStyle w:val="77"/>
        <w:spacing w:line="440" w:lineRule="exact"/>
        <w:ind w:firstLine="420" w:firstLineChars="200"/>
        <w:rPr>
          <w:rFonts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7"/>
        <w:spacing w:line="440" w:lineRule="exact"/>
        <w:ind w:firstLine="420" w:firstLineChars="200"/>
        <w:rPr>
          <w:rFonts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7"/>
        <w:spacing w:line="440" w:lineRule="exact"/>
        <w:ind w:firstLine="420" w:firstLineChars="200"/>
        <w:rPr>
          <w:rFonts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7"/>
        <w:spacing w:line="440" w:lineRule="exact"/>
        <w:ind w:firstLine="420" w:firstLineChars="200"/>
        <w:rPr>
          <w:rFonts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7"/>
        <w:spacing w:line="440" w:lineRule="exact"/>
        <w:ind w:firstLine="420" w:firstLineChars="200"/>
        <w:rPr>
          <w:rFonts w:hAnsi="宋体" w:cs="宋体"/>
          <w:bCs/>
          <w:color w:val="auto"/>
          <w:kern w:val="2"/>
          <w:sz w:val="21"/>
          <w:szCs w:val="21"/>
        </w:rPr>
      </w:pPr>
      <w:r>
        <w:rPr>
          <w:rFonts w:hint="eastAsia" w:hAnsi="宋体" w:cs="宋体"/>
          <w:bCs/>
          <w:color w:val="auto"/>
          <w:kern w:val="2"/>
          <w:sz w:val="21"/>
          <w:szCs w:val="21"/>
        </w:rPr>
        <w:t>3.1.4.具有经政府审计部门或会计事务所审计的2021年度财务审计报告（新成立企业不足一年的，提供最近一个月的财务报表。）或其基本开户银行出具的资信证明。</w:t>
      </w:r>
    </w:p>
    <w:p>
      <w:pPr>
        <w:pStyle w:val="77"/>
        <w:spacing w:line="440" w:lineRule="exact"/>
        <w:ind w:firstLine="420" w:firstLineChars="200"/>
        <w:rPr>
          <w:rFonts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7"/>
        <w:spacing w:line="440" w:lineRule="exact"/>
        <w:ind w:firstLine="420" w:firstLineChars="200"/>
        <w:rPr>
          <w:rFonts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7"/>
        <w:spacing w:line="440" w:lineRule="exact"/>
        <w:ind w:firstLine="422" w:firstLineChars="200"/>
        <w:rPr>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7"/>
        <w:spacing w:line="440" w:lineRule="exact"/>
        <w:ind w:firstLine="420" w:firstLineChars="200"/>
        <w:rPr>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6"/>
        </w:numPr>
        <w:spacing w:line="440" w:lineRule="exact"/>
        <w:ind w:left="0" w:firstLine="420"/>
        <w:rPr>
          <w:rFonts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6"/>
        </w:numPr>
        <w:spacing w:line="440" w:lineRule="exact"/>
        <w:ind w:left="0" w:firstLine="420"/>
        <w:rPr>
          <w:rFonts w:ascii="宋体" w:hAnsi="宋体" w:cs="宋体"/>
          <w:bCs/>
          <w:szCs w:val="21"/>
        </w:rPr>
      </w:pPr>
      <w:r>
        <w:rPr>
          <w:rFonts w:hint="eastAsia" w:ascii="宋体" w:hAnsi="宋体" w:cs="宋体"/>
          <w:bCs/>
          <w:szCs w:val="21"/>
        </w:rPr>
        <w:t>供应商应遵守国家法律、法规和有关政府采购的规定。</w:t>
      </w:r>
    </w:p>
    <w:p>
      <w:pPr>
        <w:numPr>
          <w:ilvl w:val="0"/>
          <w:numId w:val="6"/>
        </w:numPr>
        <w:spacing w:line="440" w:lineRule="exact"/>
        <w:ind w:left="0" w:firstLine="420"/>
        <w:rPr>
          <w:rFonts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4"/>
        </w:numPr>
        <w:spacing w:line="440" w:lineRule="exact"/>
        <w:rPr>
          <w:rFonts w:ascii="宋体" w:hAnsi="宋体" w:cs="宋体"/>
          <w:szCs w:val="21"/>
        </w:rPr>
      </w:pPr>
      <w:r>
        <w:rPr>
          <w:rFonts w:hint="eastAsia" w:ascii="宋体" w:hAnsi="宋体" w:cs="宋体"/>
          <w:b/>
          <w:szCs w:val="21"/>
        </w:rPr>
        <w:t>磋商费用</w:t>
      </w:r>
    </w:p>
    <w:p>
      <w:pPr>
        <w:spacing w:line="440" w:lineRule="exact"/>
        <w:ind w:firstLine="420" w:firstLineChars="200"/>
        <w:rPr>
          <w:rFonts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rPr>
          <w:rFonts w:ascii="宋体" w:hAnsi="宋体" w:cs="宋体"/>
          <w:b/>
          <w:szCs w:val="21"/>
        </w:rPr>
      </w:pPr>
      <w:r>
        <w:rPr>
          <w:rFonts w:hint="eastAsia" w:ascii="宋体" w:hAnsi="宋体" w:cs="宋体"/>
          <w:b/>
          <w:szCs w:val="21"/>
        </w:rPr>
        <w:t>需要落实的政府采购政策：见供应商须知前附表</w:t>
      </w:r>
    </w:p>
    <w:p>
      <w:pPr>
        <w:pStyle w:val="6"/>
        <w:spacing w:line="440" w:lineRule="exact"/>
        <w:jc w:val="center"/>
        <w:rPr>
          <w:rFonts w:ascii="宋体" w:hAnsi="宋体" w:eastAsia="宋体" w:cs="宋体"/>
          <w:sz w:val="21"/>
          <w:szCs w:val="21"/>
        </w:rPr>
      </w:pPr>
      <w:bookmarkStart w:id="27" w:name="_Toc373230024"/>
      <w:bookmarkStart w:id="28" w:name="_Toc374512411"/>
      <w:bookmarkStart w:id="29" w:name="_Toc461962052"/>
      <w:bookmarkStart w:id="30" w:name="_Toc487805904"/>
      <w:bookmarkStart w:id="31" w:name="_Toc490161261"/>
      <w:bookmarkStart w:id="32" w:name="_Toc12084"/>
      <w:bookmarkStart w:id="33" w:name="_Toc23018"/>
      <w:bookmarkStart w:id="34" w:name="_Toc477423244"/>
      <w:r>
        <w:rPr>
          <w:rFonts w:hint="eastAsia" w:ascii="宋体" w:hAnsi="宋体" w:eastAsia="宋体" w:cs="宋体"/>
          <w:sz w:val="21"/>
          <w:szCs w:val="21"/>
        </w:rPr>
        <w:t>二、磋商文件</w:t>
      </w:r>
      <w:bookmarkEnd w:id="27"/>
      <w:bookmarkEnd w:id="28"/>
      <w:bookmarkEnd w:id="29"/>
      <w:bookmarkEnd w:id="30"/>
      <w:bookmarkEnd w:id="31"/>
      <w:bookmarkEnd w:id="32"/>
      <w:bookmarkEnd w:id="33"/>
      <w:bookmarkEnd w:id="34"/>
    </w:p>
    <w:p>
      <w:pPr>
        <w:numPr>
          <w:ilvl w:val="0"/>
          <w:numId w:val="4"/>
        </w:numPr>
        <w:spacing w:line="440" w:lineRule="exact"/>
        <w:rPr>
          <w:rFonts w:ascii="宋体" w:hAnsi="宋体" w:cs="宋体"/>
          <w:b/>
          <w:szCs w:val="21"/>
        </w:rPr>
      </w:pPr>
      <w:r>
        <w:rPr>
          <w:rFonts w:hint="eastAsia" w:ascii="宋体" w:hAnsi="宋体" w:cs="宋体"/>
          <w:b/>
          <w:szCs w:val="21"/>
        </w:rPr>
        <w:t>磋商文件的组成</w:t>
      </w:r>
    </w:p>
    <w:p>
      <w:pPr>
        <w:numPr>
          <w:ilvl w:val="0"/>
          <w:numId w:val="7"/>
        </w:numPr>
        <w:tabs>
          <w:tab w:val="left" w:pos="720"/>
          <w:tab w:val="left" w:pos="839"/>
          <w:tab w:val="left" w:pos="1134"/>
        </w:tabs>
        <w:spacing w:line="440" w:lineRule="exact"/>
        <w:ind w:left="840" w:hanging="420"/>
        <w:rPr>
          <w:rFonts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ascii="宋体" w:hAnsi="宋体" w:cs="宋体"/>
          <w:bCs/>
          <w:szCs w:val="21"/>
        </w:rPr>
      </w:pPr>
      <w:r>
        <w:rPr>
          <w:rFonts w:hint="eastAsia" w:ascii="宋体" w:hAnsi="宋体" w:cs="宋体"/>
          <w:bCs/>
          <w:szCs w:val="21"/>
        </w:rPr>
        <w:t>第六章  响应文件格式</w:t>
      </w:r>
    </w:p>
    <w:p>
      <w:pPr>
        <w:numPr>
          <w:ilvl w:val="0"/>
          <w:numId w:val="7"/>
        </w:numPr>
        <w:tabs>
          <w:tab w:val="left" w:pos="720"/>
          <w:tab w:val="left" w:pos="839"/>
          <w:tab w:val="left" w:pos="1134"/>
        </w:tabs>
        <w:spacing w:line="440" w:lineRule="exact"/>
        <w:ind w:left="0" w:firstLine="284"/>
        <w:rPr>
          <w:rFonts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7"/>
        </w:numPr>
        <w:tabs>
          <w:tab w:val="left" w:pos="720"/>
          <w:tab w:val="left" w:pos="839"/>
          <w:tab w:val="left" w:pos="1134"/>
        </w:tabs>
        <w:spacing w:line="440" w:lineRule="exact"/>
        <w:ind w:left="0" w:firstLine="284"/>
        <w:rPr>
          <w:rFonts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rPr>
          <w:rFonts w:ascii="宋体" w:hAnsi="宋体" w:cs="宋体"/>
          <w:b/>
          <w:szCs w:val="21"/>
        </w:rPr>
      </w:pPr>
      <w:r>
        <w:rPr>
          <w:rFonts w:hint="eastAsia" w:ascii="宋体" w:hAnsi="宋体" w:cs="宋体"/>
          <w:b/>
          <w:szCs w:val="21"/>
        </w:rPr>
        <w:t>磋商文件的澄清或修改</w:t>
      </w:r>
    </w:p>
    <w:p>
      <w:pPr>
        <w:numPr>
          <w:ilvl w:val="0"/>
          <w:numId w:val="8"/>
        </w:numPr>
        <w:spacing w:line="440" w:lineRule="exact"/>
        <w:ind w:left="0" w:firstLine="425"/>
        <w:jc w:val="left"/>
        <w:rPr>
          <w:rFonts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8"/>
        </w:numPr>
        <w:spacing w:line="440" w:lineRule="exact"/>
        <w:ind w:left="0" w:firstLine="425"/>
        <w:jc w:val="left"/>
        <w:rPr>
          <w:rFonts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8"/>
        </w:numPr>
        <w:spacing w:line="440" w:lineRule="exact"/>
        <w:ind w:left="0" w:firstLine="425"/>
        <w:jc w:val="left"/>
        <w:rPr>
          <w:rFonts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rPr>
          <w:rFonts w:ascii="宋体" w:hAnsi="宋体" w:cs="宋体"/>
          <w:b/>
          <w:szCs w:val="21"/>
        </w:rPr>
      </w:pPr>
      <w:r>
        <w:rPr>
          <w:rFonts w:hint="eastAsia" w:ascii="宋体" w:hAnsi="宋体" w:cs="宋体"/>
          <w:b/>
          <w:szCs w:val="21"/>
        </w:rPr>
        <w:t>磋商文件的约束力</w:t>
      </w:r>
    </w:p>
    <w:p>
      <w:pPr>
        <w:pStyle w:val="15"/>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15"/>
      </w:pPr>
    </w:p>
    <w:p>
      <w:pPr>
        <w:pStyle w:val="6"/>
        <w:numPr>
          <w:ilvl w:val="0"/>
          <w:numId w:val="9"/>
        </w:numPr>
        <w:spacing w:line="440" w:lineRule="exact"/>
        <w:jc w:val="center"/>
        <w:rPr>
          <w:rFonts w:ascii="宋体" w:hAnsi="宋体" w:eastAsia="宋体" w:cs="宋体"/>
          <w:sz w:val="21"/>
          <w:szCs w:val="21"/>
        </w:rPr>
      </w:pPr>
      <w:bookmarkStart w:id="35" w:name="_Toc374512412"/>
      <w:bookmarkStart w:id="36" w:name="_Toc490161262"/>
      <w:bookmarkStart w:id="37" w:name="_Toc461962053"/>
      <w:bookmarkStart w:id="38" w:name="_Toc487805905"/>
      <w:bookmarkStart w:id="39" w:name="_Toc477423245"/>
      <w:bookmarkStart w:id="40" w:name="_Toc6048"/>
      <w:bookmarkStart w:id="41" w:name="_Toc373230025"/>
      <w:bookmarkStart w:id="42" w:name="_Toc26181"/>
      <w:r>
        <w:rPr>
          <w:rFonts w:hint="eastAsia" w:ascii="宋体" w:hAnsi="宋体" w:eastAsia="宋体" w:cs="宋体"/>
          <w:sz w:val="21"/>
          <w:szCs w:val="21"/>
        </w:rPr>
        <w:t>响应文件的编制</w:t>
      </w:r>
      <w:bookmarkEnd w:id="35"/>
      <w:bookmarkEnd w:id="36"/>
      <w:bookmarkEnd w:id="37"/>
      <w:bookmarkEnd w:id="38"/>
      <w:bookmarkEnd w:id="39"/>
      <w:bookmarkEnd w:id="40"/>
      <w:bookmarkEnd w:id="41"/>
      <w:bookmarkEnd w:id="42"/>
    </w:p>
    <w:p>
      <w:pPr>
        <w:numPr>
          <w:ilvl w:val="0"/>
          <w:numId w:val="4"/>
        </w:numPr>
        <w:spacing w:line="440" w:lineRule="exact"/>
        <w:rPr>
          <w:rFonts w:ascii="宋体" w:hAnsi="宋体" w:cs="宋体"/>
          <w:b/>
          <w:szCs w:val="21"/>
        </w:rPr>
      </w:pPr>
      <w:r>
        <w:rPr>
          <w:rFonts w:hint="eastAsia" w:ascii="宋体" w:hAnsi="宋体" w:cs="宋体"/>
          <w:b/>
          <w:szCs w:val="21"/>
        </w:rPr>
        <w:t>要求</w:t>
      </w:r>
    </w:p>
    <w:p>
      <w:pPr>
        <w:spacing w:line="500" w:lineRule="exact"/>
        <w:ind w:left="420"/>
        <w:rPr>
          <w:rFonts w:ascii="宋体" w:hAnsi="宋体" w:cs="宋体"/>
          <w:szCs w:val="21"/>
        </w:rPr>
      </w:pPr>
      <w:r>
        <w:rPr>
          <w:rFonts w:hint="eastAsia" w:ascii="宋体" w:hAnsi="宋体" w:cs="宋体"/>
          <w:szCs w:val="21"/>
        </w:rPr>
        <w:t>9.1供应商应仔细阅读、并充分理解磋商文件的所有内容，按照磋商文件的要求编制、提交响应文</w:t>
      </w:r>
    </w:p>
    <w:p>
      <w:pPr>
        <w:tabs>
          <w:tab w:val="left" w:pos="2570"/>
        </w:tabs>
        <w:spacing w:line="500" w:lineRule="exact"/>
        <w:rPr>
          <w:rFonts w:ascii="宋体" w:hAnsi="宋体" w:cs="宋体"/>
          <w:szCs w:val="21"/>
        </w:rPr>
      </w:pPr>
      <w:r>
        <w:rPr>
          <w:rFonts w:hint="eastAsia" w:ascii="宋体" w:hAnsi="宋体" w:cs="宋体"/>
          <w:szCs w:val="21"/>
        </w:rPr>
        <w:t>件。</w:t>
      </w:r>
      <w:r>
        <w:rPr>
          <w:rFonts w:hint="eastAsia" w:ascii="宋体" w:hAnsi="宋体" w:cs="宋体"/>
          <w:szCs w:val="21"/>
        </w:rPr>
        <w:tab/>
      </w:r>
    </w:p>
    <w:p>
      <w:pPr>
        <w:spacing w:line="500" w:lineRule="exact"/>
        <w:ind w:left="420"/>
        <w:rPr>
          <w:rFonts w:ascii="宋体" w:hAnsi="宋体" w:cs="宋体"/>
          <w:szCs w:val="21"/>
        </w:rPr>
      </w:pPr>
      <w:r>
        <w:rPr>
          <w:rFonts w:hint="eastAsia" w:ascii="宋体" w:hAnsi="宋体" w:cs="宋体"/>
          <w:szCs w:val="21"/>
        </w:rPr>
        <w:t>9.2响应文件应对磋商文件的要求作出实质性响应（包括供应商资格要求、商务要求和响应文件格</w:t>
      </w:r>
    </w:p>
    <w:p>
      <w:pPr>
        <w:spacing w:line="500" w:lineRule="exact"/>
        <w:rPr>
          <w:rFonts w:ascii="宋体" w:hAnsi="宋体" w:cs="宋体"/>
          <w:szCs w:val="21"/>
        </w:rPr>
      </w:pPr>
      <w:r>
        <w:rPr>
          <w:rFonts w:hint="eastAsia" w:ascii="宋体" w:hAnsi="宋体" w:cs="宋体"/>
          <w:szCs w:val="21"/>
        </w:rPr>
        <w:t>式要求），并保证所提供的全部资料的真实性，否则其响应文件将作为无效文件处理。</w:t>
      </w:r>
    </w:p>
    <w:p>
      <w:pPr>
        <w:spacing w:line="500" w:lineRule="exact"/>
        <w:ind w:left="420"/>
        <w:rPr>
          <w:rFonts w:ascii="宋体" w:hAnsi="宋体" w:cs="宋体"/>
          <w:szCs w:val="21"/>
        </w:rPr>
      </w:pPr>
      <w:r>
        <w:rPr>
          <w:rFonts w:hint="eastAsia" w:ascii="宋体" w:hAnsi="宋体" w:cs="宋体"/>
          <w:szCs w:val="21"/>
        </w:rPr>
        <w:t>9.3供应商没有按照磋商文件要求提供全部资料，或者供应商没有对磋商文件在各方面都作出实质</w:t>
      </w:r>
    </w:p>
    <w:p>
      <w:pPr>
        <w:spacing w:line="500" w:lineRule="exact"/>
        <w:rPr>
          <w:rFonts w:ascii="宋体" w:hAnsi="宋体" w:cs="宋体"/>
          <w:szCs w:val="21"/>
        </w:rPr>
      </w:pPr>
      <w:r>
        <w:rPr>
          <w:rFonts w:hint="eastAsia" w:ascii="宋体" w:hAnsi="宋体" w:cs="宋体"/>
          <w:szCs w:val="21"/>
        </w:rPr>
        <w:t>性响应的是供应商的风险，并可能导致其响应文件被拒绝。</w:t>
      </w:r>
    </w:p>
    <w:p>
      <w:pPr>
        <w:spacing w:line="500" w:lineRule="exact"/>
        <w:ind w:left="420"/>
        <w:rPr>
          <w:rFonts w:ascii="宋体" w:hAnsi="宋体" w:cs="宋体"/>
          <w:szCs w:val="21"/>
        </w:rPr>
      </w:pPr>
      <w:r>
        <w:rPr>
          <w:rFonts w:hint="eastAsia" w:ascii="宋体" w:hAnsi="宋体" w:cs="宋体"/>
          <w:szCs w:val="21"/>
        </w:rPr>
        <w:t>9.4供应商与采购人、采购代理机构的任何口头协议均不影响磋商文件、响应文件的任何条款和内</w:t>
      </w:r>
    </w:p>
    <w:p>
      <w:pPr>
        <w:spacing w:line="500" w:lineRule="exact"/>
      </w:pPr>
      <w:r>
        <w:rPr>
          <w:rFonts w:hint="eastAsia" w:ascii="宋体" w:hAnsi="宋体" w:cs="宋体"/>
          <w:szCs w:val="21"/>
        </w:rPr>
        <w:t>容。</w:t>
      </w:r>
    </w:p>
    <w:p>
      <w:pPr>
        <w:numPr>
          <w:ilvl w:val="0"/>
          <w:numId w:val="4"/>
        </w:numPr>
        <w:spacing w:line="440" w:lineRule="exact"/>
        <w:rPr>
          <w:rFonts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firstLine="284"/>
        <w:rPr>
          <w:rFonts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firstLine="284"/>
        <w:rPr>
          <w:rFonts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firstLine="284"/>
        <w:rPr>
          <w:rFonts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rPr>
          <w:rFonts w:ascii="宋体" w:hAnsi="宋体" w:cs="宋体"/>
          <w:b/>
          <w:szCs w:val="21"/>
        </w:rPr>
      </w:pPr>
      <w:r>
        <w:rPr>
          <w:rFonts w:hint="eastAsia" w:ascii="宋体" w:hAnsi="宋体" w:cs="宋体"/>
          <w:b/>
          <w:szCs w:val="21"/>
        </w:rPr>
        <w:t>响应文件的组成</w:t>
      </w:r>
    </w:p>
    <w:p>
      <w:pPr>
        <w:spacing w:line="440" w:lineRule="exact"/>
        <w:ind w:firstLine="315" w:firstLineChars="150"/>
        <w:rPr>
          <w:rFonts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rPr>
          <w:rFonts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rPr>
          <w:rFonts w:ascii="宋体" w:hAnsi="宋体" w:cs="宋体"/>
          <w:szCs w:val="21"/>
        </w:rPr>
      </w:pPr>
      <w:r>
        <w:rPr>
          <w:rFonts w:hint="eastAsia" w:ascii="宋体" w:hAnsi="宋体" w:cs="宋体"/>
          <w:szCs w:val="21"/>
        </w:rPr>
        <w:t>12.1报价以全过程服务成果及设备为标准；</w:t>
      </w:r>
    </w:p>
    <w:p>
      <w:pPr>
        <w:tabs>
          <w:tab w:val="left" w:pos="839"/>
        </w:tabs>
        <w:spacing w:line="440" w:lineRule="exact"/>
        <w:ind w:firstLine="420" w:firstLineChars="200"/>
        <w:jc w:val="left"/>
        <w:rPr>
          <w:rFonts w:ascii="宋体" w:hAnsi="宋体" w:cs="宋体"/>
          <w:szCs w:val="21"/>
        </w:rPr>
      </w:pPr>
      <w:r>
        <w:rPr>
          <w:rFonts w:hint="eastAsia" w:ascii="宋体" w:hAnsi="宋体" w:cs="宋体"/>
          <w:szCs w:val="21"/>
        </w:rPr>
        <w:t>12.2供应商的报价均包括完成该项目的成本、利润、税金、风险等所有伴随的其他费用。</w:t>
      </w:r>
    </w:p>
    <w:p>
      <w:pPr>
        <w:pStyle w:val="54"/>
        <w:tabs>
          <w:tab w:val="left" w:pos="839"/>
        </w:tabs>
        <w:spacing w:line="440" w:lineRule="exact"/>
        <w:ind w:firstLine="420" w:firstLineChars="200"/>
        <w:rPr>
          <w:rFonts w:ascii="宋体" w:hAnsi="宋体" w:cs="宋体"/>
          <w:sz w:val="21"/>
          <w:szCs w:val="21"/>
        </w:rPr>
      </w:pPr>
      <w:r>
        <w:rPr>
          <w:rFonts w:hint="eastAsia" w:ascii="宋体" w:hAnsi="宋体" w:cs="宋体"/>
          <w:sz w:val="21"/>
          <w:szCs w:val="21"/>
        </w:rPr>
        <w:t>12.3响应性文件中的报价并非最后报价，在磋商结束后由供应商在规定时间内提交最后报价，磋商小组根据供应商的综合得分确定成交供应商，成交供应商其最后的报价为成交价。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rPr>
          <w:rFonts w:ascii="宋体" w:hAnsi="宋体" w:cs="宋体"/>
          <w:b/>
          <w:szCs w:val="21"/>
        </w:rPr>
      </w:pPr>
      <w:r>
        <w:rPr>
          <w:rFonts w:hint="eastAsia" w:ascii="宋体" w:hAnsi="宋体" w:cs="宋体"/>
          <w:b/>
          <w:szCs w:val="21"/>
        </w:rPr>
        <w:t>磋商货币</w:t>
      </w:r>
    </w:p>
    <w:p>
      <w:pPr>
        <w:spacing w:line="440" w:lineRule="exact"/>
        <w:ind w:firstLine="630" w:firstLineChars="300"/>
        <w:rPr>
          <w:rFonts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rPr>
          <w:rFonts w:ascii="宋体" w:hAnsi="宋体" w:cs="宋体"/>
          <w:b/>
          <w:szCs w:val="21"/>
        </w:rPr>
      </w:pPr>
      <w:r>
        <w:rPr>
          <w:rFonts w:hint="eastAsia" w:ascii="宋体" w:hAnsi="宋体" w:cs="宋体"/>
          <w:b/>
          <w:szCs w:val="21"/>
        </w:rPr>
        <w:t>磋商有效期</w:t>
      </w:r>
    </w:p>
    <w:p>
      <w:pPr>
        <w:spacing w:line="440" w:lineRule="exact"/>
        <w:ind w:left="4" w:firstLine="243" w:firstLineChars="116"/>
        <w:rPr>
          <w:rFonts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rPr>
          <w:rFonts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rPr>
          <w:rFonts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ascii="宋体" w:hAnsi="宋体" w:cs="宋体"/>
          <w:szCs w:val="21"/>
        </w:rPr>
      </w:pPr>
      <w:r>
        <w:rPr>
          <w:rFonts w:hint="eastAsia" w:ascii="宋体" w:hAnsi="宋体" w:cs="宋体"/>
          <w:szCs w:val="21"/>
        </w:rPr>
        <w:t>16.6 电报、电话、传真等形式的响应概不接受。</w:t>
      </w:r>
    </w:p>
    <w:p>
      <w:pPr>
        <w:pStyle w:val="6"/>
        <w:spacing w:line="440" w:lineRule="exact"/>
        <w:jc w:val="center"/>
        <w:rPr>
          <w:rFonts w:ascii="宋体" w:hAnsi="宋体" w:eastAsia="宋体" w:cs="宋体"/>
          <w:sz w:val="21"/>
          <w:szCs w:val="21"/>
        </w:rPr>
      </w:pPr>
      <w:bookmarkStart w:id="43" w:name="_Toc487805906"/>
      <w:bookmarkStart w:id="44" w:name="_Toc490161263"/>
      <w:bookmarkStart w:id="45" w:name="_Toc10798"/>
      <w:bookmarkStart w:id="46" w:name="_Toc27919"/>
      <w:bookmarkStart w:id="47" w:name="_Toc477423246"/>
      <w:bookmarkStart w:id="48" w:name="_Toc373230026"/>
      <w:bookmarkStart w:id="49" w:name="_Toc374512413"/>
      <w:bookmarkStart w:id="50" w:name="_Toc461962054"/>
      <w:r>
        <w:rPr>
          <w:rFonts w:hint="eastAsia" w:ascii="宋体" w:hAnsi="宋体" w:eastAsia="宋体" w:cs="宋体"/>
          <w:sz w:val="21"/>
          <w:szCs w:val="21"/>
        </w:rPr>
        <w:t>四、响应文件的提交</w:t>
      </w:r>
      <w:bookmarkEnd w:id="43"/>
      <w:bookmarkEnd w:id="44"/>
      <w:bookmarkEnd w:id="45"/>
      <w:bookmarkEnd w:id="46"/>
      <w:bookmarkEnd w:id="47"/>
      <w:bookmarkEnd w:id="48"/>
      <w:bookmarkEnd w:id="49"/>
      <w:bookmarkEnd w:id="50"/>
    </w:p>
    <w:p>
      <w:pPr>
        <w:numPr>
          <w:ilvl w:val="0"/>
          <w:numId w:val="4"/>
        </w:numPr>
        <w:spacing w:line="440" w:lineRule="exact"/>
        <w:rPr>
          <w:rFonts w:ascii="宋体" w:hAnsi="宋体" w:cs="宋体"/>
          <w:szCs w:val="21"/>
        </w:rPr>
      </w:pPr>
      <w:r>
        <w:rPr>
          <w:rFonts w:hint="eastAsia" w:ascii="宋体" w:hAnsi="宋体" w:cs="宋体"/>
          <w:b/>
          <w:szCs w:val="21"/>
        </w:rPr>
        <w:t>响应文件的提交：</w:t>
      </w:r>
    </w:p>
    <w:p>
      <w:pPr>
        <w:spacing w:line="500" w:lineRule="exact"/>
        <w:ind w:left="420"/>
        <w:rPr>
          <w:rFonts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ascii="宋体" w:hAnsi="宋体" w:cs="宋体"/>
          <w:szCs w:val="21"/>
        </w:rPr>
      </w:pPr>
      <w:r>
        <w:rPr>
          <w:rFonts w:hint="eastAsia" w:ascii="宋体" w:hAnsi="宋体" w:cs="宋体"/>
          <w:szCs w:val="21"/>
        </w:rPr>
        <w:t>17.2采购人拒绝接收在响应文件递交截止时间后上传的响应文件。</w:t>
      </w:r>
    </w:p>
    <w:p>
      <w:pPr>
        <w:numPr>
          <w:ilvl w:val="0"/>
          <w:numId w:val="4"/>
        </w:numPr>
        <w:spacing w:line="440" w:lineRule="exact"/>
        <w:rPr>
          <w:rFonts w:ascii="宋体" w:hAnsi="宋体" w:cs="宋体"/>
          <w:b/>
          <w:szCs w:val="21"/>
        </w:rPr>
      </w:pPr>
      <w:r>
        <w:rPr>
          <w:rFonts w:hint="eastAsia" w:ascii="宋体" w:hAnsi="宋体" w:cs="宋体"/>
          <w:b/>
          <w:szCs w:val="21"/>
        </w:rPr>
        <w:t>响应文件提交的截止时间</w:t>
      </w:r>
    </w:p>
    <w:p>
      <w:pPr>
        <w:numPr>
          <w:ilvl w:val="1"/>
          <w:numId w:val="4"/>
        </w:numPr>
        <w:spacing w:line="440" w:lineRule="exact"/>
        <w:rPr>
          <w:rFonts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7" w:firstLine="277"/>
        <w:rPr>
          <w:rFonts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rPr>
          <w:rFonts w:ascii="宋体" w:hAnsi="宋体" w:cs="宋体"/>
          <w:b/>
          <w:szCs w:val="21"/>
        </w:rPr>
      </w:pPr>
      <w:r>
        <w:rPr>
          <w:rFonts w:hint="eastAsia" w:ascii="宋体" w:hAnsi="宋体" w:cs="宋体"/>
          <w:b/>
          <w:szCs w:val="21"/>
        </w:rPr>
        <w:t>响应文件的修改与撤回</w:t>
      </w:r>
    </w:p>
    <w:p>
      <w:pPr>
        <w:spacing w:line="440" w:lineRule="exact"/>
        <w:ind w:left="420"/>
        <w:rPr>
          <w:rFonts w:ascii="宋体" w:hAnsi="宋体" w:cs="宋体"/>
          <w:szCs w:val="21"/>
        </w:rPr>
      </w:pPr>
      <w:r>
        <w:rPr>
          <w:rFonts w:hint="eastAsia" w:ascii="宋体" w:hAnsi="宋体" w:cs="宋体"/>
          <w:szCs w:val="21"/>
        </w:rPr>
        <w:t>19.1参加磋商的供应商在递交响应文件后，可以修改或撤回其响应文件，但这种修改和撤回，必须在规定的响应文件递交截止时间前；</w:t>
      </w:r>
    </w:p>
    <w:p>
      <w:pPr>
        <w:spacing w:line="440" w:lineRule="exact"/>
        <w:ind w:left="420"/>
        <w:rPr>
          <w:rFonts w:ascii="宋体" w:hAnsi="宋体" w:cs="宋体"/>
          <w:szCs w:val="21"/>
        </w:rPr>
      </w:pPr>
      <w:r>
        <w:rPr>
          <w:rFonts w:hint="eastAsia" w:ascii="宋体" w:hAnsi="宋体" w:cs="宋体"/>
          <w:szCs w:val="21"/>
        </w:rPr>
        <w:t>19.2供应商在响应文件递交截止时间前，可以对所提交的响应文件进行修改或者撤回；</w:t>
      </w:r>
    </w:p>
    <w:p>
      <w:pPr>
        <w:spacing w:line="440" w:lineRule="exact"/>
        <w:ind w:left="420"/>
        <w:rPr>
          <w:rFonts w:ascii="宋体" w:hAnsi="宋体" w:cs="宋体"/>
          <w:szCs w:val="21"/>
        </w:rPr>
      </w:pPr>
      <w:r>
        <w:rPr>
          <w:rFonts w:hint="eastAsia" w:ascii="宋体" w:hAnsi="宋体" w:cs="宋体"/>
          <w:szCs w:val="21"/>
        </w:rPr>
        <w:t>19.3供应商在响应文件递交截止时间后不得修改、撤回响应文件。</w:t>
      </w:r>
    </w:p>
    <w:p>
      <w:pPr>
        <w:pStyle w:val="6"/>
        <w:spacing w:line="440" w:lineRule="exact"/>
        <w:jc w:val="center"/>
        <w:rPr>
          <w:rFonts w:ascii="宋体" w:hAnsi="宋体" w:eastAsia="宋体" w:cs="宋体"/>
          <w:sz w:val="21"/>
          <w:szCs w:val="21"/>
        </w:rPr>
      </w:pPr>
      <w:bookmarkStart w:id="51" w:name="_Toc217235123"/>
      <w:bookmarkStart w:id="52" w:name="_Toc374512414"/>
      <w:bookmarkStart w:id="53" w:name="_Toc373230027"/>
      <w:bookmarkStart w:id="54" w:name="_Toc461962055"/>
      <w:bookmarkStart w:id="55" w:name="_Toc477423247"/>
      <w:bookmarkStart w:id="56" w:name="_Toc490161264"/>
      <w:bookmarkStart w:id="57" w:name="_Toc6236"/>
      <w:bookmarkStart w:id="58" w:name="_Toc9653"/>
      <w:bookmarkStart w:id="59" w:name="_Toc487805907"/>
      <w:r>
        <w:rPr>
          <w:rFonts w:hint="eastAsia" w:ascii="宋体" w:hAnsi="宋体" w:eastAsia="宋体" w:cs="宋体"/>
          <w:sz w:val="21"/>
          <w:szCs w:val="21"/>
        </w:rPr>
        <w:t>五、磋商</w:t>
      </w:r>
      <w:bookmarkEnd w:id="51"/>
      <w:bookmarkEnd w:id="52"/>
      <w:bookmarkEnd w:id="53"/>
      <w:bookmarkEnd w:id="54"/>
      <w:r>
        <w:rPr>
          <w:rFonts w:hint="eastAsia" w:ascii="宋体" w:hAnsi="宋体" w:eastAsia="宋体" w:cs="宋体"/>
          <w:sz w:val="21"/>
          <w:szCs w:val="21"/>
        </w:rPr>
        <w:t>和评审</w:t>
      </w:r>
      <w:bookmarkEnd w:id="55"/>
      <w:bookmarkEnd w:id="56"/>
      <w:bookmarkEnd w:id="57"/>
      <w:bookmarkEnd w:id="58"/>
      <w:bookmarkEnd w:id="59"/>
    </w:p>
    <w:p>
      <w:pPr>
        <w:numPr>
          <w:ilvl w:val="0"/>
          <w:numId w:val="4"/>
        </w:numPr>
        <w:spacing w:line="440" w:lineRule="exact"/>
        <w:rPr>
          <w:rFonts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rPr>
          <w:rFonts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rPr>
          <w:rFonts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rPr>
          <w:rFonts w:ascii="宋体" w:hAnsi="宋体" w:cs="宋体"/>
          <w:b/>
          <w:szCs w:val="21"/>
        </w:rPr>
      </w:pPr>
      <w:r>
        <w:rPr>
          <w:rFonts w:hint="eastAsia" w:ascii="宋体" w:hAnsi="宋体" w:cs="宋体"/>
          <w:b/>
          <w:szCs w:val="21"/>
        </w:rPr>
        <w:t>磋商小组</w:t>
      </w:r>
    </w:p>
    <w:p>
      <w:pPr>
        <w:numPr>
          <w:ilvl w:val="1"/>
          <w:numId w:val="4"/>
        </w:numPr>
        <w:spacing w:line="440" w:lineRule="exact"/>
        <w:ind w:left="7" w:firstLine="277"/>
        <w:rPr>
          <w:rFonts w:ascii="宋体" w:hAnsi="宋体" w:cs="宋体"/>
          <w:szCs w:val="21"/>
        </w:rPr>
      </w:pPr>
      <w:r>
        <w:rPr>
          <w:rFonts w:hint="eastAsia" w:ascii="宋体" w:hAnsi="宋体" w:cs="宋体"/>
          <w:szCs w:val="21"/>
        </w:rPr>
        <w:t>磋商小组由</w:t>
      </w:r>
      <w:r>
        <w:rPr>
          <w:rFonts w:hint="eastAsia" w:ascii="宋体" w:hAnsi="宋体" w:cs="宋体"/>
          <w:szCs w:val="21"/>
          <w:highlight w:val="none"/>
        </w:rPr>
        <w:t>评审专家3人及以上单</w:t>
      </w:r>
      <w:r>
        <w:rPr>
          <w:rFonts w:hint="eastAsia" w:ascii="宋体" w:hAnsi="宋体" w:cs="宋体"/>
          <w:szCs w:val="21"/>
        </w:rPr>
        <w:t>数组成。</w:t>
      </w:r>
    </w:p>
    <w:p>
      <w:pPr>
        <w:numPr>
          <w:ilvl w:val="1"/>
          <w:numId w:val="4"/>
        </w:numPr>
        <w:spacing w:line="440" w:lineRule="exact"/>
        <w:rPr>
          <w:rFonts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4"/>
        </w:numPr>
        <w:spacing w:line="440" w:lineRule="exact"/>
        <w:ind w:left="7" w:firstLine="277"/>
        <w:rPr>
          <w:rFonts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rPr>
          <w:rFonts w:ascii="宋体" w:hAnsi="宋体" w:cs="宋体"/>
          <w:b/>
          <w:szCs w:val="21"/>
        </w:rPr>
      </w:pPr>
      <w:r>
        <w:rPr>
          <w:rFonts w:hint="eastAsia" w:ascii="宋体" w:hAnsi="宋体" w:cs="宋体"/>
          <w:b/>
          <w:szCs w:val="21"/>
        </w:rPr>
        <w:t>响应文件的初步评审</w:t>
      </w:r>
    </w:p>
    <w:p>
      <w:pPr>
        <w:spacing w:line="440" w:lineRule="exact"/>
        <w:rPr>
          <w:rFonts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rPr>
          <w:rFonts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rPr>
          <w:rFonts w:ascii="宋体" w:hAnsi="宋体" w:cs="宋体"/>
          <w:szCs w:val="21"/>
        </w:rPr>
      </w:pPr>
      <w:r>
        <w:rPr>
          <w:rFonts w:hint="eastAsia" w:ascii="宋体" w:hAnsi="宋体" w:cs="宋体"/>
          <w:szCs w:val="21"/>
        </w:rPr>
        <w:t>响应文件有下列情形之一的，视为其没有通过符合性审查：</w:t>
      </w:r>
    </w:p>
    <w:p>
      <w:pPr>
        <w:spacing w:line="440" w:lineRule="exact"/>
        <w:ind w:firstLine="420" w:firstLineChars="200"/>
        <w:rPr>
          <w:rFonts w:ascii="宋体" w:hAnsi="宋体" w:cs="宋体"/>
          <w:szCs w:val="21"/>
        </w:rPr>
      </w:pPr>
      <w:r>
        <w:rPr>
          <w:rFonts w:hint="eastAsia" w:ascii="宋体" w:hAnsi="宋体" w:cs="宋体"/>
          <w:szCs w:val="21"/>
        </w:rPr>
        <w:t>（1）第一轮报价超过磋商文件中规定的项目预算金额的；</w:t>
      </w:r>
    </w:p>
    <w:p>
      <w:pPr>
        <w:spacing w:line="440" w:lineRule="exact"/>
        <w:ind w:firstLine="420" w:firstLineChars="200"/>
        <w:rPr>
          <w:rFonts w:ascii="宋体" w:hAnsi="宋体" w:cs="宋体"/>
          <w:szCs w:val="21"/>
        </w:rPr>
      </w:pPr>
      <w:r>
        <w:rPr>
          <w:rFonts w:hint="eastAsia" w:ascii="宋体" w:hAnsi="宋体" w:cs="宋体"/>
          <w:szCs w:val="21"/>
        </w:rPr>
        <w:t>（2）响应文件未按磋商文件要求签字、盖章的；</w:t>
      </w:r>
    </w:p>
    <w:p>
      <w:pPr>
        <w:spacing w:line="440" w:lineRule="exact"/>
        <w:ind w:firstLine="420" w:firstLineChars="200"/>
        <w:rPr>
          <w:rFonts w:ascii="宋体" w:hAnsi="宋体" w:cs="宋体"/>
          <w:szCs w:val="21"/>
        </w:rPr>
      </w:pPr>
      <w:r>
        <w:rPr>
          <w:rFonts w:hint="eastAsia" w:ascii="宋体" w:hAnsi="宋体" w:cs="宋体"/>
          <w:szCs w:val="21"/>
        </w:rPr>
        <w:t>（3）响应文件格式不符合磋商文件中响应文件格式要求的；</w:t>
      </w:r>
    </w:p>
    <w:p>
      <w:pPr>
        <w:spacing w:line="440" w:lineRule="exact"/>
        <w:ind w:firstLine="420" w:firstLineChars="200"/>
        <w:rPr>
          <w:rFonts w:ascii="宋体" w:hAnsi="宋体" w:cs="宋体"/>
        </w:rPr>
      </w:pPr>
      <w:r>
        <w:rPr>
          <w:rFonts w:hint="eastAsia" w:ascii="宋体" w:hAnsi="宋体" w:cs="宋体"/>
          <w:szCs w:val="21"/>
        </w:rPr>
        <w:t>（4）不响应磋商文件商务要求的；</w:t>
      </w:r>
    </w:p>
    <w:p>
      <w:pPr>
        <w:spacing w:line="440" w:lineRule="exact"/>
        <w:ind w:firstLine="420" w:firstLineChars="200"/>
        <w:rPr>
          <w:rFonts w:ascii="宋体" w:hAnsi="宋体" w:cs="宋体"/>
          <w:szCs w:val="21"/>
        </w:rPr>
      </w:pPr>
      <w:r>
        <w:rPr>
          <w:rFonts w:hint="eastAsia" w:ascii="宋体" w:hAnsi="宋体" w:cs="宋体"/>
          <w:szCs w:val="21"/>
        </w:rPr>
        <w:t>（5）响应文件中出现有选择性报价的；</w:t>
      </w:r>
    </w:p>
    <w:p>
      <w:pPr>
        <w:spacing w:line="440" w:lineRule="exact"/>
        <w:ind w:firstLine="420" w:firstLineChars="200"/>
        <w:rPr>
          <w:rFonts w:ascii="宋体" w:hAnsi="宋体" w:cs="宋体"/>
          <w:szCs w:val="21"/>
        </w:rPr>
      </w:pPr>
      <w:r>
        <w:rPr>
          <w:rFonts w:hint="eastAsia" w:ascii="宋体" w:hAnsi="宋体" w:cs="宋体"/>
          <w:szCs w:val="21"/>
        </w:rPr>
        <w:t>（6）响应文件含有采购人不能接受的附加条件的；</w:t>
      </w:r>
    </w:p>
    <w:p>
      <w:pPr>
        <w:spacing w:line="440" w:lineRule="exact"/>
        <w:ind w:firstLine="420" w:firstLineChars="200"/>
        <w:rPr>
          <w:rFonts w:ascii="宋体" w:hAnsi="宋体" w:cs="宋体"/>
          <w:szCs w:val="21"/>
        </w:rPr>
      </w:pPr>
      <w:r>
        <w:rPr>
          <w:rFonts w:hint="eastAsia" w:ascii="宋体" w:hAnsi="宋体" w:cs="宋体"/>
          <w:szCs w:val="21"/>
        </w:rPr>
        <w:t>（7）法律、法规和磋商文件规定的其他无效情形。</w:t>
      </w:r>
    </w:p>
    <w:p>
      <w:pPr>
        <w:numPr>
          <w:ilvl w:val="0"/>
          <w:numId w:val="4"/>
        </w:numPr>
        <w:spacing w:line="440" w:lineRule="exact"/>
        <w:rPr>
          <w:rFonts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ascii="宋体" w:hAnsi="宋体" w:cs="宋体"/>
          <w:szCs w:val="21"/>
        </w:rPr>
      </w:pPr>
      <w:r>
        <w:rPr>
          <w:rFonts w:hint="eastAsia" w:ascii="宋体" w:hAnsi="宋体" w:cs="宋体"/>
          <w:szCs w:val="21"/>
        </w:rPr>
        <w:t>23.1逾期上传响应文件的；</w:t>
      </w:r>
    </w:p>
    <w:p>
      <w:pPr>
        <w:spacing w:line="500" w:lineRule="exact"/>
        <w:ind w:firstLine="420" w:firstLineChars="200"/>
        <w:rPr>
          <w:rFonts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ascii="宋体" w:hAnsi="宋体" w:cs="宋体"/>
          <w:b/>
          <w:szCs w:val="21"/>
        </w:rPr>
      </w:pPr>
      <w:r>
        <w:rPr>
          <w:rFonts w:hint="eastAsia" w:ascii="宋体" w:hAnsi="宋体" w:cs="宋体"/>
          <w:szCs w:val="21"/>
        </w:rPr>
        <w:t>23.3一个供应商不止递交一套同一合同项目下响应文件的。</w:t>
      </w:r>
    </w:p>
    <w:p>
      <w:pPr>
        <w:numPr>
          <w:ilvl w:val="0"/>
          <w:numId w:val="4"/>
        </w:numPr>
        <w:spacing w:line="440" w:lineRule="exact"/>
        <w:rPr>
          <w:rFonts w:ascii="宋体" w:hAnsi="宋体" w:cs="宋体"/>
          <w:b/>
          <w:szCs w:val="21"/>
        </w:rPr>
      </w:pPr>
      <w:r>
        <w:rPr>
          <w:rFonts w:hint="eastAsia" w:ascii="宋体" w:hAnsi="宋体" w:cs="宋体"/>
          <w:b/>
          <w:szCs w:val="21"/>
        </w:rPr>
        <w:t>响应文件的澄清</w:t>
      </w:r>
    </w:p>
    <w:p>
      <w:pPr>
        <w:numPr>
          <w:ilvl w:val="1"/>
          <w:numId w:val="4"/>
        </w:numPr>
        <w:spacing w:line="440" w:lineRule="exact"/>
        <w:ind w:left="7" w:firstLine="277"/>
        <w:rPr>
          <w:rFonts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rPr>
          <w:rFonts w:ascii="宋体" w:hAnsi="宋体" w:cs="宋体"/>
          <w:szCs w:val="21"/>
        </w:rPr>
      </w:pPr>
      <w:r>
        <w:rPr>
          <w:rFonts w:hint="eastAsia" w:ascii="宋体" w:hAnsi="宋体" w:cs="宋体"/>
          <w:szCs w:val="21"/>
        </w:rPr>
        <w:t>报价出现不一致的，按照下列规定修正：</w:t>
      </w:r>
    </w:p>
    <w:p>
      <w:pPr>
        <w:numPr>
          <w:ilvl w:val="0"/>
          <w:numId w:val="10"/>
        </w:numPr>
        <w:spacing w:line="440" w:lineRule="exact"/>
        <w:rPr>
          <w:rFonts w:ascii="宋体" w:hAnsi="宋体" w:cs="宋体"/>
          <w:szCs w:val="21"/>
        </w:rPr>
      </w:pPr>
      <w:r>
        <w:rPr>
          <w:rFonts w:hint="eastAsia" w:ascii="宋体" w:hAnsi="宋体" w:cs="宋体"/>
          <w:szCs w:val="21"/>
        </w:rPr>
        <w:t>大写金额和小写金额不一致的，以大写金额为准；</w:t>
      </w:r>
    </w:p>
    <w:p>
      <w:pPr>
        <w:numPr>
          <w:ilvl w:val="0"/>
          <w:numId w:val="10"/>
        </w:numPr>
        <w:spacing w:line="440" w:lineRule="exact"/>
        <w:rPr>
          <w:rFonts w:ascii="宋体" w:hAnsi="宋体" w:cs="宋体"/>
          <w:szCs w:val="21"/>
        </w:rPr>
      </w:pPr>
      <w:r>
        <w:rPr>
          <w:rFonts w:hint="eastAsia" w:ascii="宋体" w:hAnsi="宋体" w:cs="宋体"/>
          <w:szCs w:val="21"/>
        </w:rPr>
        <w:t>单价金额小数点或者百分比有明显错位的，以总价为准；</w:t>
      </w:r>
    </w:p>
    <w:p>
      <w:pPr>
        <w:numPr>
          <w:ilvl w:val="0"/>
          <w:numId w:val="10"/>
        </w:numPr>
        <w:spacing w:line="440" w:lineRule="exact"/>
        <w:rPr>
          <w:rFonts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7" w:firstLine="277"/>
        <w:rPr>
          <w:rFonts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7" w:firstLine="277"/>
        <w:rPr>
          <w:rFonts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rPr>
          <w:rFonts w:ascii="宋体" w:hAnsi="宋体" w:cs="宋体"/>
          <w:b/>
          <w:szCs w:val="21"/>
        </w:rPr>
      </w:pPr>
      <w:bookmarkStart w:id="60" w:name="_Toc373230028"/>
      <w:bookmarkStart w:id="61" w:name="_Toc374512415"/>
      <w:r>
        <w:rPr>
          <w:rFonts w:hint="eastAsia" w:ascii="宋体" w:hAnsi="宋体" w:cs="宋体"/>
          <w:b/>
          <w:szCs w:val="21"/>
        </w:rPr>
        <w:t>评审方法</w:t>
      </w:r>
    </w:p>
    <w:p>
      <w:pPr>
        <w:numPr>
          <w:ilvl w:val="1"/>
          <w:numId w:val="4"/>
        </w:numPr>
        <w:spacing w:line="440" w:lineRule="exact"/>
        <w:ind w:left="7" w:firstLine="277"/>
        <w:rPr>
          <w:rFonts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7" w:firstLine="277"/>
        <w:rPr>
          <w:rFonts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7" w:firstLine="277"/>
        <w:rPr>
          <w:rFonts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7" w:firstLine="277"/>
        <w:rPr>
          <w:rFonts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62" w:name="_Toc32423"/>
      <w:r>
        <w:rPr>
          <w:rFonts w:hint="eastAsia" w:ascii="宋体" w:hAnsi="宋体" w:cs="宋体"/>
          <w:szCs w:val="21"/>
        </w:rPr>
        <w:t>《政府采购竞争性磋商采购方式管理暂行办法</w:t>
      </w:r>
      <w:bookmarkEnd w:id="62"/>
      <w:r>
        <w:rPr>
          <w:rFonts w:hint="eastAsia" w:ascii="宋体" w:hAnsi="宋体" w:cs="宋体"/>
          <w:szCs w:val="21"/>
        </w:rPr>
        <w:t>》第三条第四项情形的，提交最后报价的供应商可以为2家</w:t>
      </w:r>
      <w:bookmarkStart w:id="63" w:name="_Toc5652"/>
      <w:r>
        <w:rPr>
          <w:rFonts w:hint="eastAsia" w:ascii="宋体" w:hAnsi="宋体" w:cs="宋体"/>
          <w:szCs w:val="21"/>
        </w:rPr>
        <w:t>或符合《财政部关于政府采购竞争性磋商采购方式管理暂行办法有关问题的补充通知</w:t>
      </w:r>
      <w:bookmarkEnd w:id="63"/>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rPr>
          <w:rFonts w:ascii="宋体" w:hAnsi="宋体" w:cs="宋体"/>
          <w:b/>
          <w:szCs w:val="21"/>
        </w:rPr>
      </w:pPr>
      <w:r>
        <w:rPr>
          <w:rFonts w:hint="eastAsia" w:ascii="宋体" w:hAnsi="宋体" w:cs="宋体"/>
          <w:b/>
          <w:szCs w:val="21"/>
        </w:rPr>
        <w:t xml:space="preserve"> 比较与评价</w:t>
      </w:r>
    </w:p>
    <w:p>
      <w:pPr>
        <w:numPr>
          <w:ilvl w:val="1"/>
          <w:numId w:val="4"/>
        </w:numPr>
        <w:spacing w:line="440" w:lineRule="exact"/>
        <w:rPr>
          <w:rFonts w:ascii="宋体" w:hAnsi="宋体" w:cs="宋体"/>
          <w:szCs w:val="21"/>
        </w:rPr>
      </w:pPr>
      <w:r>
        <w:rPr>
          <w:rFonts w:hint="eastAsia" w:ascii="宋体" w:hAnsi="宋体" w:cs="宋体"/>
          <w:szCs w:val="21"/>
        </w:rPr>
        <w:t>评审标准：见本文件第三章；</w:t>
      </w:r>
    </w:p>
    <w:p>
      <w:pPr>
        <w:numPr>
          <w:ilvl w:val="1"/>
          <w:numId w:val="4"/>
        </w:numPr>
        <w:spacing w:line="440" w:lineRule="exact"/>
        <w:ind w:left="7" w:firstLine="277"/>
        <w:rPr>
          <w:rFonts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7" w:firstLine="277"/>
        <w:rPr>
          <w:rFonts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p>
    <w:p>
      <w:pPr>
        <w:numPr>
          <w:ilvl w:val="0"/>
          <w:numId w:val="4"/>
        </w:numPr>
        <w:spacing w:line="440" w:lineRule="exact"/>
        <w:rPr>
          <w:rFonts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rPr>
          <w:rFonts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rPr>
          <w:rFonts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rPr>
          <w:rFonts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1"/>
        </w:numPr>
        <w:spacing w:line="440" w:lineRule="exact"/>
        <w:rPr>
          <w:rFonts w:ascii="宋体" w:hAnsi="宋体" w:cs="宋体"/>
          <w:szCs w:val="21"/>
        </w:rPr>
      </w:pPr>
      <w:r>
        <w:rPr>
          <w:rFonts w:hint="eastAsia" w:ascii="宋体" w:hAnsi="宋体" w:cs="宋体"/>
          <w:szCs w:val="21"/>
        </w:rPr>
        <w:t>因情况变化，不再符合规定的竞争性磋商采购方式适用情形的；</w:t>
      </w:r>
    </w:p>
    <w:p>
      <w:pPr>
        <w:numPr>
          <w:ilvl w:val="0"/>
          <w:numId w:val="11"/>
        </w:numPr>
        <w:spacing w:line="440" w:lineRule="exact"/>
        <w:rPr>
          <w:rFonts w:ascii="宋体" w:hAnsi="宋体" w:cs="宋体"/>
          <w:szCs w:val="21"/>
        </w:rPr>
      </w:pPr>
      <w:r>
        <w:rPr>
          <w:rFonts w:hint="eastAsia" w:ascii="宋体" w:hAnsi="宋体" w:cs="宋体"/>
          <w:szCs w:val="21"/>
        </w:rPr>
        <w:t>出现影响采购公正的违法、违规行为的；</w:t>
      </w:r>
    </w:p>
    <w:p>
      <w:pPr>
        <w:numPr>
          <w:ilvl w:val="0"/>
          <w:numId w:val="11"/>
        </w:numPr>
        <w:spacing w:line="440" w:lineRule="exact"/>
        <w:rPr>
          <w:rFonts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ascii="宋体" w:hAnsi="宋体" w:eastAsia="宋体" w:cs="宋体"/>
          <w:sz w:val="21"/>
          <w:szCs w:val="21"/>
        </w:rPr>
      </w:pPr>
      <w:bookmarkStart w:id="64" w:name="_Toc487805908"/>
      <w:bookmarkStart w:id="65" w:name="_Toc19608"/>
      <w:bookmarkStart w:id="66" w:name="_Toc490161265"/>
      <w:bookmarkStart w:id="67" w:name="_Toc5841"/>
      <w:bookmarkStart w:id="68" w:name="_Toc477423248"/>
      <w:r>
        <w:rPr>
          <w:rFonts w:hint="eastAsia" w:ascii="宋体" w:hAnsi="宋体" w:eastAsia="宋体" w:cs="宋体"/>
          <w:sz w:val="21"/>
          <w:szCs w:val="21"/>
        </w:rPr>
        <w:t>六、成交和合同</w:t>
      </w:r>
      <w:bookmarkEnd w:id="64"/>
      <w:bookmarkEnd w:id="65"/>
      <w:bookmarkEnd w:id="66"/>
      <w:bookmarkEnd w:id="67"/>
      <w:bookmarkEnd w:id="68"/>
    </w:p>
    <w:p>
      <w:pPr>
        <w:numPr>
          <w:ilvl w:val="0"/>
          <w:numId w:val="4"/>
        </w:numPr>
        <w:spacing w:line="440" w:lineRule="exact"/>
        <w:rPr>
          <w:rFonts w:ascii="宋体" w:hAnsi="宋体" w:cs="宋体"/>
          <w:b/>
          <w:szCs w:val="21"/>
        </w:rPr>
      </w:pPr>
      <w:r>
        <w:rPr>
          <w:rFonts w:hint="eastAsia" w:ascii="宋体" w:hAnsi="宋体" w:cs="宋体"/>
          <w:b/>
          <w:szCs w:val="21"/>
        </w:rPr>
        <w:t xml:space="preserve"> 成交通知</w:t>
      </w:r>
    </w:p>
    <w:p>
      <w:pPr>
        <w:numPr>
          <w:ilvl w:val="1"/>
          <w:numId w:val="4"/>
        </w:numPr>
        <w:spacing w:line="440" w:lineRule="exact"/>
        <w:rPr>
          <w:rFonts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rPr>
          <w:rFonts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rPr>
          <w:rFonts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283" w:firstLine="0"/>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60"/>
    <w:bookmarkEnd w:id="61"/>
    <w:p>
      <w:pPr>
        <w:numPr>
          <w:ilvl w:val="0"/>
          <w:numId w:val="4"/>
        </w:numPr>
        <w:spacing w:line="440" w:lineRule="exact"/>
        <w:rPr>
          <w:rFonts w:ascii="宋体" w:hAnsi="宋体" w:cs="宋体"/>
          <w:b/>
          <w:szCs w:val="21"/>
        </w:rPr>
      </w:pPr>
      <w:r>
        <w:rPr>
          <w:rFonts w:hint="eastAsia" w:ascii="宋体" w:hAnsi="宋体" w:cs="宋体"/>
          <w:b/>
          <w:szCs w:val="21"/>
        </w:rPr>
        <w:t xml:space="preserve"> 签订合同及合同的执行</w:t>
      </w:r>
    </w:p>
    <w:p>
      <w:pPr>
        <w:pStyle w:val="14"/>
        <w:tabs>
          <w:tab w:val="left" w:pos="0"/>
        </w:tabs>
        <w:spacing w:line="400" w:lineRule="exact"/>
        <w:ind w:left="420"/>
        <w:rPr>
          <w:rFonts w:ascii="宋体" w:hAnsi="宋体" w:cs="宋体"/>
          <w:szCs w:val="21"/>
        </w:rPr>
      </w:pPr>
      <w:r>
        <w:rPr>
          <w:rFonts w:hint="eastAsia" w:ascii="宋体" w:hAnsi="宋体" w:cs="宋体"/>
          <w:szCs w:val="21"/>
        </w:rPr>
        <w:t>30.1采购人与成交供应商应当在成交通知书发出之日起30日内（供应商须知前附表另有规定者从</w:t>
      </w:r>
    </w:p>
    <w:p>
      <w:pPr>
        <w:pStyle w:val="14"/>
        <w:tabs>
          <w:tab w:val="left" w:pos="0"/>
        </w:tabs>
        <w:spacing w:line="400" w:lineRule="exact"/>
        <w:rPr>
          <w:rFonts w:ascii="宋体" w:hAnsi="宋体" w:cs="宋体"/>
          <w:szCs w:val="21"/>
        </w:rPr>
      </w:pPr>
      <w:r>
        <w:rPr>
          <w:rFonts w:hint="eastAsia" w:ascii="宋体" w:hAnsi="宋体" w:cs="宋体"/>
          <w:szCs w:val="21"/>
        </w:rPr>
        <w:t>其规定），签订政府采购合同。</w:t>
      </w:r>
    </w:p>
    <w:p>
      <w:pPr>
        <w:pStyle w:val="14"/>
        <w:tabs>
          <w:tab w:val="left" w:pos="0"/>
        </w:tabs>
        <w:spacing w:line="400" w:lineRule="exact"/>
        <w:ind w:left="420"/>
        <w:rPr>
          <w:rFonts w:ascii="宋体" w:hAnsi="宋体" w:cs="宋体"/>
          <w:szCs w:val="21"/>
        </w:rPr>
      </w:pPr>
      <w:r>
        <w:rPr>
          <w:rFonts w:hint="eastAsia" w:ascii="宋体" w:hAnsi="宋体" w:cs="宋体"/>
          <w:szCs w:val="21"/>
        </w:rPr>
        <w:t>30.2磋商文件及修改文件、成交供应商的响应文件、补充或修改的文件及澄清或承诺文件等，均</w:t>
      </w:r>
    </w:p>
    <w:p>
      <w:pPr>
        <w:pStyle w:val="14"/>
        <w:tabs>
          <w:tab w:val="left" w:pos="0"/>
        </w:tabs>
        <w:spacing w:line="400" w:lineRule="exact"/>
        <w:rPr>
          <w:rFonts w:ascii="宋体" w:hAnsi="宋体" w:cs="宋体"/>
          <w:szCs w:val="21"/>
        </w:rPr>
      </w:pPr>
      <w:r>
        <w:rPr>
          <w:rFonts w:hint="eastAsia" w:ascii="宋体" w:hAnsi="宋体" w:cs="宋体"/>
          <w:szCs w:val="21"/>
        </w:rPr>
        <w:t>为双方签订合同的组成部分，并与合同一并作为本磋商所列采购项目的互补性法律文件，与合同具有同等法律效力；</w:t>
      </w:r>
    </w:p>
    <w:p>
      <w:pPr>
        <w:pStyle w:val="14"/>
        <w:tabs>
          <w:tab w:val="left" w:pos="0"/>
        </w:tabs>
        <w:spacing w:line="400" w:lineRule="exact"/>
        <w:ind w:left="420"/>
        <w:rPr>
          <w:rFonts w:ascii="宋体" w:hAnsi="宋体" w:cs="宋体"/>
          <w:szCs w:val="21"/>
        </w:rPr>
      </w:pPr>
      <w:r>
        <w:rPr>
          <w:rFonts w:hint="eastAsia" w:ascii="宋体" w:hAnsi="宋体" w:cs="宋体"/>
          <w:szCs w:val="21"/>
        </w:rPr>
        <w:t>30.3成交供应商应在采购合同签订之日起三个工作日内将合同报武陟县公共资源交易中心、武陟</w:t>
      </w:r>
    </w:p>
    <w:p>
      <w:pPr>
        <w:pStyle w:val="14"/>
        <w:tabs>
          <w:tab w:val="left" w:pos="0"/>
        </w:tabs>
        <w:spacing w:line="400" w:lineRule="exact"/>
        <w:rPr>
          <w:rFonts w:ascii="宋体" w:hAnsi="宋体" w:cs="宋体"/>
          <w:szCs w:val="21"/>
        </w:rPr>
      </w:pPr>
      <w:r>
        <w:rPr>
          <w:rFonts w:hint="eastAsia" w:ascii="宋体" w:hAnsi="宋体" w:cs="宋体"/>
          <w:szCs w:val="21"/>
        </w:rPr>
        <w:t>县政府采购管理办公室备案；</w:t>
      </w:r>
    </w:p>
    <w:p>
      <w:pPr>
        <w:pStyle w:val="14"/>
        <w:tabs>
          <w:tab w:val="left" w:pos="0"/>
        </w:tabs>
        <w:spacing w:line="400" w:lineRule="exact"/>
        <w:ind w:left="420"/>
        <w:rPr>
          <w:rFonts w:ascii="宋体" w:hAnsi="宋体" w:cs="宋体"/>
          <w:szCs w:val="21"/>
        </w:rPr>
      </w:pPr>
      <w:r>
        <w:rPr>
          <w:rFonts w:hint="eastAsia" w:ascii="宋体" w:hAnsi="宋体" w:cs="宋体"/>
          <w:szCs w:val="21"/>
        </w:rPr>
        <w:t>30.4合同双方如违约，将按《中华人民共和国民法典》、《中华人民共和国政府采购法》及有关</w:t>
      </w:r>
    </w:p>
    <w:p>
      <w:pPr>
        <w:pStyle w:val="14"/>
        <w:tabs>
          <w:tab w:val="left" w:pos="0"/>
        </w:tabs>
        <w:spacing w:line="400" w:lineRule="exact"/>
        <w:rPr>
          <w:rFonts w:ascii="宋体" w:hAnsi="宋体" w:cs="宋体"/>
          <w:szCs w:val="21"/>
        </w:rPr>
      </w:pPr>
      <w:r>
        <w:rPr>
          <w:rFonts w:hint="eastAsia" w:ascii="宋体" w:hAnsi="宋体" w:cs="宋体"/>
          <w:szCs w:val="21"/>
        </w:rPr>
        <w:t>法律法规中的规定执行。</w:t>
      </w:r>
    </w:p>
    <w:p>
      <w:pPr>
        <w:pStyle w:val="14"/>
        <w:tabs>
          <w:tab w:val="left" w:pos="0"/>
        </w:tabs>
        <w:spacing w:line="400" w:lineRule="exact"/>
        <w:ind w:left="420"/>
        <w:rPr>
          <w:rFonts w:ascii="宋体" w:hAnsi="宋体" w:cs="宋体"/>
          <w:szCs w:val="21"/>
        </w:rPr>
      </w:pPr>
      <w:r>
        <w:rPr>
          <w:rFonts w:hint="eastAsia" w:ascii="宋体" w:hAnsi="宋体" w:cs="宋体"/>
          <w:szCs w:val="21"/>
        </w:rPr>
        <w:t>30.5根据《政府采购促进中小企业发展管理办法》规定，成交供应商为小微企业的不得将合同分</w:t>
      </w:r>
    </w:p>
    <w:p>
      <w:pPr>
        <w:pStyle w:val="14"/>
        <w:tabs>
          <w:tab w:val="left" w:pos="0"/>
        </w:tabs>
        <w:spacing w:line="400" w:lineRule="exact"/>
        <w:rPr>
          <w:rFonts w:ascii="宋体" w:hAnsi="宋体" w:cs="宋体"/>
          <w:szCs w:val="21"/>
        </w:rPr>
      </w:pPr>
      <w:r>
        <w:rPr>
          <w:rFonts w:hint="eastAsia" w:ascii="宋体" w:hAnsi="宋体" w:cs="宋体"/>
          <w:szCs w:val="21"/>
        </w:rPr>
        <w:t>包给大中型企业，成交供应商为中型企业的不得将合同分包给大型企业。</w:t>
      </w:r>
    </w:p>
    <w:p>
      <w:pPr>
        <w:numPr>
          <w:ilvl w:val="0"/>
          <w:numId w:val="4"/>
        </w:numPr>
        <w:spacing w:line="440" w:lineRule="exact"/>
        <w:rPr>
          <w:rFonts w:ascii="宋体" w:hAnsi="宋体" w:cs="宋体"/>
          <w:b/>
          <w:szCs w:val="21"/>
        </w:rPr>
      </w:pPr>
      <w:r>
        <w:rPr>
          <w:rFonts w:hint="eastAsia" w:ascii="宋体" w:hAnsi="宋体" w:cs="宋体"/>
          <w:b/>
          <w:szCs w:val="21"/>
        </w:rPr>
        <w:t xml:space="preserve"> 质疑</w:t>
      </w:r>
    </w:p>
    <w:p>
      <w:pPr>
        <w:numPr>
          <w:ilvl w:val="1"/>
          <w:numId w:val="4"/>
        </w:numPr>
        <w:spacing w:line="440" w:lineRule="exact"/>
        <w:ind w:left="7" w:firstLine="277"/>
        <w:rPr>
          <w:rFonts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rPr>
          <w:rFonts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rPr>
          <w:rFonts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7" w:firstLine="277"/>
        <w:rPr>
          <w:rFonts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rPr>
          <w:rFonts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7" w:firstLine="277"/>
        <w:rPr>
          <w:rFonts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7" w:firstLine="277"/>
        <w:rPr>
          <w:rFonts w:ascii="宋体" w:hAnsi="宋体" w:cs="宋体"/>
          <w:szCs w:val="21"/>
        </w:rPr>
      </w:pPr>
      <w:r>
        <w:rPr>
          <w:rFonts w:hint="eastAsia" w:ascii="宋体" w:hAnsi="宋体" w:cs="宋体"/>
          <w:szCs w:val="21"/>
        </w:rPr>
        <w:t>质疑文件格式详见《中国政府采购网》下载专区“</w:t>
      </w:r>
      <w:r>
        <w:fldChar w:fldCharType="begin"/>
      </w:r>
      <w:r>
        <w:instrText xml:space="preserve"> HYPERLINK "http://download.ccgp.gov.cn/2018/zhiyihanfanben.zip" </w:instrText>
      </w:r>
      <w: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4"/>
        </w:numPr>
        <w:spacing w:line="440" w:lineRule="exact"/>
        <w:ind w:left="7" w:firstLine="277"/>
        <w:rPr>
          <w:rFonts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7" w:firstLine="277"/>
        <w:rPr>
          <w:rFonts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spacing w:line="440" w:lineRule="exact"/>
        <w:ind w:left="284"/>
        <w:rPr>
          <w:rFonts w:ascii="宋体" w:hAnsi="宋体" w:cs="宋体"/>
          <w:szCs w:val="21"/>
        </w:rPr>
      </w:pPr>
      <w:r>
        <w:rPr>
          <w:rFonts w:hint="eastAsia" w:ascii="宋体" w:hAnsi="宋体" w:cs="宋体"/>
          <w:szCs w:val="21"/>
        </w:rPr>
        <w:t>31.10质疑供应商对采购人或采购代理机构的答复不满意以及采购人或采购代理机构未在规定的时间内做出答复的，可以在答复期满后15个工作日内向同级财政部门投诉。</w:t>
      </w:r>
    </w:p>
    <w:p>
      <w:pPr>
        <w:spacing w:line="440" w:lineRule="exact"/>
        <w:ind w:left="284"/>
        <w:rPr>
          <w:rFonts w:ascii="宋体" w:hAnsi="宋体" w:cs="宋体"/>
          <w:szCs w:val="21"/>
        </w:rPr>
      </w:pPr>
      <w:r>
        <w:rPr>
          <w:rFonts w:hint="eastAsia" w:ascii="宋体" w:hAnsi="宋体" w:cs="宋体"/>
          <w:szCs w:val="21"/>
        </w:rPr>
        <w:t xml:space="preserve">31.11质疑联系事项： </w:t>
      </w:r>
    </w:p>
    <w:p>
      <w:pPr>
        <w:spacing w:line="440" w:lineRule="exact"/>
        <w:ind w:left="284"/>
        <w:rPr>
          <w:rFonts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ascii="宋体" w:hAnsi="宋体" w:cs="宋体"/>
          <w:szCs w:val="21"/>
        </w:rPr>
      </w:pPr>
      <w:r>
        <w:rPr>
          <w:rFonts w:hint="eastAsia" w:ascii="宋体" w:hAnsi="宋体" w:cs="宋体"/>
          <w:szCs w:val="21"/>
        </w:rPr>
        <w:t xml:space="preserve">（2）采购人名称：武陟县教育体育局 </w:t>
      </w:r>
    </w:p>
    <w:p>
      <w:pPr>
        <w:spacing w:line="440" w:lineRule="exact"/>
        <w:ind w:left="284" w:firstLine="210" w:firstLineChars="100"/>
        <w:rPr>
          <w:rFonts w:ascii="宋体" w:hAnsi="宋体" w:cs="宋体"/>
          <w:szCs w:val="21"/>
        </w:rPr>
      </w:pPr>
      <w:r>
        <w:rPr>
          <w:rFonts w:hint="eastAsia" w:ascii="宋体" w:hAnsi="宋体" w:cs="宋体"/>
          <w:szCs w:val="21"/>
        </w:rPr>
        <w:t xml:space="preserve">地点：武陟县兴华路056号 </w:t>
      </w:r>
    </w:p>
    <w:p>
      <w:pPr>
        <w:spacing w:line="440" w:lineRule="exact"/>
        <w:ind w:left="283" w:leftChars="135" w:firstLine="210" w:firstLineChars="100"/>
        <w:rPr>
          <w:rFonts w:ascii="宋体" w:hAnsi="宋体" w:cs="宋体"/>
          <w:szCs w:val="21"/>
        </w:rPr>
      </w:pPr>
      <w:r>
        <w:rPr>
          <w:rFonts w:hint="eastAsia" w:ascii="宋体" w:hAnsi="宋体" w:cs="宋体"/>
          <w:szCs w:val="21"/>
        </w:rPr>
        <w:t>联系人：岳喜浩   联系电话：0391-7288077</w:t>
      </w:r>
    </w:p>
    <w:p>
      <w:pPr>
        <w:spacing w:line="440" w:lineRule="exact"/>
        <w:ind w:left="284"/>
        <w:rPr>
          <w:rFonts w:ascii="宋体" w:hAnsi="宋体" w:cs="宋体"/>
          <w:szCs w:val="21"/>
        </w:rPr>
      </w:pPr>
      <w:r>
        <w:rPr>
          <w:rFonts w:hint="eastAsia" w:ascii="宋体" w:hAnsi="宋体" w:cs="宋体"/>
          <w:szCs w:val="21"/>
        </w:rPr>
        <w:t>（3）采购代理机构名称：河南凯格工程管理有限公司</w:t>
      </w:r>
    </w:p>
    <w:p>
      <w:pPr>
        <w:spacing w:line="440" w:lineRule="exact"/>
        <w:ind w:left="284" w:firstLine="210" w:firstLineChars="100"/>
        <w:rPr>
          <w:rFonts w:ascii="宋体" w:hAnsi="宋体" w:cs="宋体"/>
          <w:szCs w:val="21"/>
        </w:rPr>
      </w:pPr>
      <w:r>
        <w:rPr>
          <w:rFonts w:hint="eastAsia" w:ascii="宋体" w:hAnsi="宋体" w:cs="宋体"/>
          <w:szCs w:val="21"/>
        </w:rPr>
        <w:t>地点：焦作市山阳区光亚街道焦作市工业路2813号东1幢6号</w:t>
      </w:r>
    </w:p>
    <w:p>
      <w:pPr>
        <w:spacing w:line="440" w:lineRule="exact"/>
        <w:ind w:left="284" w:firstLine="210" w:firstLineChars="100"/>
        <w:rPr>
          <w:rFonts w:ascii="宋体" w:hAnsi="宋体" w:cs="宋体"/>
          <w:szCs w:val="21"/>
        </w:rPr>
      </w:pPr>
      <w:r>
        <w:rPr>
          <w:rFonts w:hint="eastAsia" w:ascii="宋体" w:hAnsi="宋体" w:cs="宋体"/>
          <w:szCs w:val="21"/>
        </w:rPr>
        <w:t>联系人：冯静      联系电话：0391-7289803</w:t>
      </w:r>
    </w:p>
    <w:p>
      <w:pPr>
        <w:pStyle w:val="2"/>
        <w:rPr>
          <w:rFonts w:ascii="宋体" w:hAnsi="宋体" w:cs="宋体"/>
          <w:szCs w:val="21"/>
        </w:rPr>
      </w:pPr>
    </w:p>
    <w:p>
      <w:pPr>
        <w:rPr>
          <w:rFonts w:ascii="宋体" w:hAnsi="宋体" w:cs="宋体"/>
          <w:szCs w:val="21"/>
        </w:rPr>
      </w:pPr>
    </w:p>
    <w:p>
      <w:pPr>
        <w:pStyle w:val="2"/>
        <w:rPr>
          <w:rFonts w:ascii="宋体" w:hAnsi="宋体" w:cs="宋体"/>
          <w:szCs w:val="21"/>
        </w:rPr>
      </w:pPr>
    </w:p>
    <w:p>
      <w:pPr>
        <w:numPr>
          <w:ilvl w:val="0"/>
          <w:numId w:val="4"/>
        </w:numPr>
        <w:spacing w:line="440" w:lineRule="exact"/>
        <w:jc w:val="center"/>
        <w:rPr>
          <w:rFonts w:ascii="宋体" w:hAnsi="宋体" w:cs="宋体"/>
          <w:b/>
          <w:szCs w:val="21"/>
        </w:rPr>
      </w:pPr>
      <w:r>
        <w:rPr>
          <w:rFonts w:hint="eastAsia" w:ascii="宋体" w:hAnsi="宋体" w:cs="宋体"/>
          <w:b/>
          <w:szCs w:val="21"/>
        </w:rPr>
        <w:t>河南省政府采购合同融资政策告知函</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各供应商：</w:t>
      </w:r>
    </w:p>
    <w:p>
      <w:pPr>
        <w:spacing w:line="440" w:lineRule="exact"/>
        <w:rPr>
          <w:rFonts w:ascii="宋体" w:hAnsi="宋体" w:cs="宋体"/>
        </w:rPr>
      </w:pPr>
      <w:r>
        <w:rPr>
          <w:rFonts w:hint="eastAsia" w:ascii="宋体" w:hAnsi="宋体" w:cs="宋体"/>
        </w:rPr>
        <w:t xml:space="preserve">   欢迎贵公司参与河南省政府采购活动！</w:t>
      </w:r>
    </w:p>
    <w:p>
      <w:pPr>
        <w:spacing w:line="440" w:lineRule="exact"/>
        <w:rPr>
          <w:rFonts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ascii="宋体" w:hAnsi="宋体" w:cs="宋体"/>
        </w:rPr>
      </w:pPr>
      <w:r>
        <w:rPr>
          <w:rFonts w:hint="eastAsia" w:ascii="宋体" w:hAnsi="宋体" w:cs="宋体"/>
        </w:rPr>
        <w:t>贷款渠道和提供贷款的金融机构，可在河南省政府采购网“河南省政府采购合同融资平台”查询联系。</w:t>
      </w:r>
    </w:p>
    <w:p>
      <w:pPr>
        <w:pStyle w:val="2"/>
        <w:spacing w:line="440" w:lineRule="exact"/>
        <w:ind w:firstLine="420"/>
      </w:pPr>
    </w:p>
    <w:p/>
    <w:p>
      <w:pPr>
        <w:pStyle w:val="2"/>
      </w:pPr>
    </w:p>
    <w:p>
      <w:pPr>
        <w:pStyle w:val="2"/>
      </w:pPr>
    </w:p>
    <w:p>
      <w:pPr>
        <w:pStyle w:val="37"/>
        <w:numPr>
          <w:ilvl w:val="0"/>
          <w:numId w:val="1"/>
        </w:numPr>
        <w:spacing w:line="360" w:lineRule="auto"/>
        <w:ind w:firstLine="0"/>
        <w:rPr>
          <w:rFonts w:ascii="宋体" w:hAnsi="宋体" w:cs="宋体"/>
        </w:rPr>
      </w:pPr>
      <w:bookmarkStart w:id="69" w:name="_Toc11289"/>
      <w:bookmarkStart w:id="70" w:name="_Toc115021827"/>
      <w:bookmarkStart w:id="71" w:name="_Toc8874"/>
      <w:bookmarkStart w:id="72" w:name="_Toc477423249"/>
      <w:bookmarkStart w:id="73" w:name="_Toc373230030"/>
      <w:bookmarkStart w:id="74" w:name="_Toc374512417"/>
      <w:r>
        <w:rPr>
          <w:rFonts w:hint="eastAsia" w:ascii="宋体" w:hAnsi="宋体" w:cs="宋体"/>
        </w:rPr>
        <w:t>评审方法</w:t>
      </w:r>
      <w:bookmarkEnd w:id="69"/>
      <w:r>
        <w:rPr>
          <w:rFonts w:hint="eastAsia" w:ascii="宋体" w:hAnsi="宋体" w:cs="宋体"/>
        </w:rPr>
        <w:t>和评审标准</w:t>
      </w:r>
      <w:bookmarkEnd w:id="70"/>
      <w:bookmarkEnd w:id="71"/>
    </w:p>
    <w:p>
      <w:pPr>
        <w:numPr>
          <w:ilvl w:val="0"/>
          <w:numId w:val="12"/>
        </w:numPr>
        <w:spacing w:line="588" w:lineRule="exact"/>
        <w:jc w:val="center"/>
        <w:rPr>
          <w:rFonts w:ascii="宋体" w:hAnsi="宋体" w:cs="宋体"/>
          <w:spacing w:val="6"/>
          <w:sz w:val="32"/>
          <w:szCs w:val="32"/>
        </w:rPr>
      </w:pPr>
      <w:r>
        <w:rPr>
          <w:rFonts w:hint="eastAsia" w:ascii="宋体" w:hAnsi="宋体" w:cs="宋体"/>
          <w:spacing w:val="6"/>
          <w:sz w:val="32"/>
          <w:szCs w:val="32"/>
        </w:rPr>
        <w:t>评标方法</w:t>
      </w:r>
    </w:p>
    <w:p>
      <w:pPr>
        <w:spacing w:line="440" w:lineRule="exact"/>
        <w:ind w:left="284"/>
        <w:rPr>
          <w:rFonts w:ascii="宋体" w:hAnsi="宋体" w:cs="宋体"/>
          <w:szCs w:val="21"/>
        </w:rPr>
      </w:pPr>
      <w:r>
        <w:rPr>
          <w:rFonts w:hint="eastAsia" w:ascii="宋体" w:hAnsi="宋体" w:cs="宋体"/>
          <w:szCs w:val="21"/>
        </w:rPr>
        <w:t>1、磋商小组将按照磋商文件的规定，只对通过初步评审的响应文件和提交最后报价的供应商，由磋商小组采用综合评分法对提交最后报价的供应商的响应文件和最后报价进行综合评分。</w:t>
      </w:r>
    </w:p>
    <w:p>
      <w:pPr>
        <w:spacing w:line="440" w:lineRule="exact"/>
        <w:ind w:left="284"/>
        <w:rPr>
          <w:rFonts w:ascii="宋体" w:hAnsi="宋体" w:cs="宋体"/>
          <w:szCs w:val="21"/>
        </w:rPr>
      </w:pPr>
      <w:r>
        <w:rPr>
          <w:rFonts w:hint="eastAsia" w:ascii="宋体" w:hAnsi="宋体" w:cs="宋体"/>
          <w:szCs w:val="21"/>
        </w:rPr>
        <w:t>2、综合评分法，是指响应文件满足磋商文件全部实质性要求且按评审因素的量化指标评审得分最高的供应商为成交候选供应商的评审方法。</w:t>
      </w:r>
    </w:p>
    <w:p>
      <w:pPr>
        <w:spacing w:line="440" w:lineRule="exact"/>
        <w:ind w:left="284"/>
        <w:rPr>
          <w:rFonts w:ascii="宋体" w:hAnsi="宋体" w:cs="宋体"/>
          <w:szCs w:val="21"/>
        </w:rPr>
      </w:pPr>
      <w:r>
        <w:rPr>
          <w:rFonts w:hint="eastAsia" w:ascii="宋体" w:hAnsi="宋体" w:cs="宋体"/>
          <w:szCs w:val="21"/>
        </w:rPr>
        <w:t>3、评审时，磋商小组各成员应当独立对每个有效响应的文件进行评价、打分，然后汇总每个供应商每项评分因素的得分。</w:t>
      </w:r>
    </w:p>
    <w:p>
      <w:pPr>
        <w:numPr>
          <w:ilvl w:val="0"/>
          <w:numId w:val="12"/>
        </w:numPr>
        <w:spacing w:line="588" w:lineRule="exact"/>
        <w:jc w:val="center"/>
        <w:rPr>
          <w:rFonts w:ascii="宋体" w:hAnsi="宋体" w:cs="宋体"/>
          <w:spacing w:val="6"/>
          <w:sz w:val="32"/>
          <w:szCs w:val="32"/>
        </w:rPr>
      </w:pPr>
      <w:r>
        <w:rPr>
          <w:rFonts w:hint="eastAsia" w:ascii="宋体" w:hAnsi="宋体" w:cs="宋体"/>
          <w:spacing w:val="6"/>
          <w:sz w:val="32"/>
          <w:szCs w:val="32"/>
        </w:rPr>
        <w:t>评标标准</w:t>
      </w:r>
    </w:p>
    <w:bookmarkEnd w:id="72"/>
    <w:bookmarkEnd w:id="73"/>
    <w:bookmarkEnd w:id="74"/>
    <w:tbl>
      <w:tblPr>
        <w:tblStyle w:val="39"/>
        <w:tblW w:w="909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9"/>
        <w:gridCol w:w="1754"/>
        <w:gridCol w:w="63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jc w:val="center"/>
        </w:trPr>
        <w:tc>
          <w:tcPr>
            <w:tcW w:w="999" w:type="dxa"/>
            <w:tcBorders>
              <w:top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szCs w:val="21"/>
              </w:rPr>
            </w:pPr>
            <w:bookmarkStart w:id="75" w:name="_Toc487805909"/>
            <w:bookmarkStart w:id="76" w:name="_Toc14171"/>
            <w:r>
              <w:rPr>
                <w:rFonts w:hint="eastAsia" w:ascii="宋体" w:hAnsi="宋体" w:cs="宋体"/>
                <w:szCs w:val="21"/>
              </w:rPr>
              <w:t>条款号</w:t>
            </w:r>
          </w:p>
        </w:tc>
        <w:tc>
          <w:tcPr>
            <w:tcW w:w="1754"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spacing w:val="1"/>
                <w:szCs w:val="21"/>
              </w:rPr>
            </w:pPr>
            <w:r>
              <w:rPr>
                <w:rFonts w:hint="eastAsia" w:ascii="宋体" w:hAnsi="宋体" w:cs="宋体"/>
                <w:spacing w:val="1"/>
                <w:szCs w:val="21"/>
              </w:rPr>
              <w:t>评分因素</w:t>
            </w:r>
          </w:p>
        </w:tc>
        <w:tc>
          <w:tcPr>
            <w:tcW w:w="6345" w:type="dxa"/>
            <w:tcBorders>
              <w:top w:val="single" w:color="auto" w:sz="4" w:space="0"/>
            </w:tcBorders>
            <w:shd w:val="solid" w:color="FFFFFF" w:fill="auto"/>
            <w:tcMar>
              <w:top w:w="0" w:type="dxa"/>
              <w:left w:w="108" w:type="dxa"/>
              <w:bottom w:w="0" w:type="dxa"/>
              <w:right w:w="108" w:type="dxa"/>
            </w:tcMar>
            <w:vAlign w:val="center"/>
          </w:tcPr>
          <w:p>
            <w:pPr>
              <w:spacing w:line="400" w:lineRule="exact"/>
              <w:ind w:firstLine="420" w:firstLineChars="200"/>
              <w:jc w:val="center"/>
              <w:rPr>
                <w:rFonts w:ascii="宋体" w:hAnsi="宋体" w:cs="宋体"/>
                <w:szCs w:val="21"/>
              </w:rPr>
            </w:pPr>
          </w:p>
          <w:p>
            <w:pPr>
              <w:spacing w:line="400" w:lineRule="exact"/>
              <w:ind w:firstLine="420" w:firstLineChars="200"/>
              <w:jc w:val="center"/>
              <w:rPr>
                <w:rFonts w:ascii="宋体" w:hAnsi="宋体" w:cs="宋体"/>
                <w:szCs w:val="21"/>
              </w:rPr>
            </w:pPr>
            <w:r>
              <w:rPr>
                <w:rFonts w:hint="eastAsia" w:ascii="宋体" w:hAnsi="宋体" w:cs="宋体"/>
                <w:szCs w:val="21"/>
              </w:rPr>
              <w:t>评分标准</w:t>
            </w:r>
          </w:p>
          <w:p>
            <w:pPr>
              <w:spacing w:line="400" w:lineRule="exact"/>
              <w:jc w:val="center"/>
              <w:rPr>
                <w:rFonts w:ascii="宋体" w:hAnsi="宋体" w:cs="宋体"/>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999"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ind w:left="210" w:hanging="210" w:hangingChars="100"/>
              <w:jc w:val="center"/>
              <w:rPr>
                <w:rFonts w:ascii="宋体" w:hAnsi="宋体" w:cs="宋体"/>
                <w:szCs w:val="21"/>
              </w:rPr>
            </w:pPr>
            <w:r>
              <w:rPr>
                <w:rFonts w:hint="eastAsia" w:ascii="宋体" w:hAnsi="宋体" w:cs="宋体"/>
                <w:szCs w:val="21"/>
              </w:rPr>
              <w:t>1</w:t>
            </w:r>
          </w:p>
        </w:tc>
        <w:tc>
          <w:tcPr>
            <w:tcW w:w="1754"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szCs w:val="21"/>
              </w:rPr>
            </w:pPr>
            <w:r>
              <w:rPr>
                <w:rFonts w:hint="eastAsia" w:ascii="宋体" w:hAnsi="宋体" w:cs="宋体"/>
                <w:szCs w:val="21"/>
                <w:lang w:val="en-US" w:eastAsia="zh-CN"/>
              </w:rPr>
              <w:t>磋商</w:t>
            </w:r>
            <w:r>
              <w:rPr>
                <w:rFonts w:hint="eastAsia" w:ascii="宋体" w:hAnsi="宋体" w:cs="宋体"/>
                <w:szCs w:val="21"/>
              </w:rPr>
              <w:t>报价</w:t>
            </w:r>
          </w:p>
          <w:p>
            <w:pPr>
              <w:spacing w:line="400" w:lineRule="exact"/>
              <w:jc w:val="center"/>
              <w:rPr>
                <w:rFonts w:ascii="宋体" w:hAnsi="宋体" w:cs="宋体"/>
                <w:szCs w:val="21"/>
              </w:rPr>
            </w:pPr>
            <w:r>
              <w:rPr>
                <w:rFonts w:hint="eastAsia" w:ascii="宋体" w:hAnsi="宋体" w:cs="宋体"/>
                <w:szCs w:val="21"/>
              </w:rPr>
              <w:t>（3</w:t>
            </w:r>
            <w:r>
              <w:rPr>
                <w:rFonts w:hint="eastAsia" w:ascii="宋体" w:hAnsi="宋体" w:cs="宋体"/>
                <w:szCs w:val="21"/>
                <w:lang w:val="en-US" w:eastAsia="zh-CN"/>
              </w:rPr>
              <w:t>5</w:t>
            </w:r>
            <w:r>
              <w:rPr>
                <w:rFonts w:hint="eastAsia" w:ascii="宋体" w:hAnsi="宋体" w:cs="宋体"/>
                <w:szCs w:val="21"/>
              </w:rPr>
              <w:t>分）</w:t>
            </w:r>
          </w:p>
        </w:tc>
        <w:tc>
          <w:tcPr>
            <w:tcW w:w="6345" w:type="dxa"/>
            <w:tcBorders>
              <w:left w:val="single" w:color="auto" w:sz="4" w:space="0"/>
            </w:tcBorders>
            <w:shd w:val="solid" w:color="FFFFFF" w:fill="auto"/>
            <w:tcMar>
              <w:top w:w="0" w:type="dxa"/>
              <w:left w:w="108" w:type="dxa"/>
              <w:bottom w:w="0" w:type="dxa"/>
              <w:right w:w="108" w:type="dxa"/>
            </w:tcMar>
            <w:vAlign w:val="center"/>
          </w:tcPr>
          <w:p>
            <w:pPr>
              <w:spacing w:line="400" w:lineRule="exact"/>
              <w:rPr>
                <w:rFonts w:hint="eastAsia" w:ascii="宋体" w:hAnsi="宋体" w:eastAsia="宋体" w:cs="宋体"/>
                <w:bCs/>
                <w:szCs w:val="21"/>
              </w:rPr>
            </w:pPr>
            <w:r>
              <w:rPr>
                <w:rFonts w:hint="eastAsia" w:ascii="宋体" w:hAnsi="宋体" w:eastAsia="宋体" w:cs="宋体"/>
                <w:bCs/>
                <w:szCs w:val="21"/>
              </w:rPr>
              <w:t>满足磋商文件要求且最后报价（</w:t>
            </w:r>
            <w:r>
              <w:rPr>
                <w:rFonts w:hint="eastAsia" w:ascii="宋体" w:hAnsi="宋体" w:eastAsia="宋体" w:cs="宋体"/>
                <w:bCs/>
                <w:szCs w:val="21"/>
                <w:lang w:eastAsia="zh-CN"/>
              </w:rPr>
              <w:t>扣除</w:t>
            </w:r>
            <w:r>
              <w:rPr>
                <w:rFonts w:hint="eastAsia" w:ascii="宋体" w:hAnsi="宋体" w:eastAsia="宋体" w:cs="宋体"/>
                <w:bCs/>
                <w:szCs w:val="21"/>
                <w:lang w:val="en-US" w:eastAsia="zh-CN"/>
              </w:rPr>
              <w:t>小型和微型企业、监狱企业、残疾人福利性单位、</w:t>
            </w:r>
            <w:r>
              <w:rPr>
                <w:rFonts w:hint="eastAsia" w:ascii="宋体" w:hAnsi="宋体" w:eastAsia="宋体" w:cs="宋体"/>
                <w:bCs/>
                <w:szCs w:val="21"/>
              </w:rPr>
              <w:t>节能产品</w:t>
            </w:r>
            <w:r>
              <w:rPr>
                <w:rFonts w:hint="eastAsia" w:ascii="宋体" w:hAnsi="宋体" w:eastAsia="宋体" w:cs="宋体"/>
                <w:bCs/>
                <w:szCs w:val="21"/>
                <w:lang w:val="en-US" w:eastAsia="zh-CN"/>
              </w:rPr>
              <w:t>和</w:t>
            </w:r>
            <w:r>
              <w:rPr>
                <w:rFonts w:hint="eastAsia" w:ascii="宋体" w:hAnsi="宋体" w:eastAsia="宋体" w:cs="宋体"/>
                <w:bCs/>
                <w:szCs w:val="21"/>
              </w:rPr>
              <w:t>环境标志产品</w:t>
            </w:r>
            <w:r>
              <w:rPr>
                <w:rFonts w:hint="eastAsia" w:ascii="宋体" w:hAnsi="宋体" w:eastAsia="宋体" w:cs="宋体"/>
                <w:bCs/>
                <w:szCs w:val="21"/>
                <w:lang w:eastAsia="zh-CN"/>
              </w:rPr>
              <w:t>的价格参与评审，价格扣除规则详见前附表</w:t>
            </w:r>
            <w:r>
              <w:rPr>
                <w:rFonts w:hint="eastAsia" w:ascii="宋体" w:hAnsi="宋体" w:eastAsia="宋体" w:cs="宋体"/>
                <w:bCs/>
                <w:szCs w:val="21"/>
              </w:rPr>
              <w:t>）最低的供应商的价格为磋商基准价，其价格分为满分。其他供应商的价格分统一按照下列公式计算：</w:t>
            </w:r>
          </w:p>
          <w:p>
            <w:pPr>
              <w:spacing w:line="400" w:lineRule="exact"/>
              <w:rPr>
                <w:rFonts w:ascii="宋体" w:hAnsi="宋体" w:cs="宋体"/>
                <w:szCs w:val="21"/>
              </w:rPr>
            </w:pPr>
            <w:r>
              <w:rPr>
                <w:rFonts w:hint="eastAsia" w:ascii="宋体" w:hAnsi="宋体" w:eastAsia="宋体" w:cs="宋体"/>
                <w:bCs/>
                <w:szCs w:val="21"/>
              </w:rPr>
              <w:t>磋商报价得分=（磋商基准价/最后磋商报价）×</w:t>
            </w:r>
            <w:r>
              <w:rPr>
                <w:rFonts w:hint="eastAsia" w:ascii="宋体" w:hAnsi="宋体" w:eastAsia="宋体" w:cs="宋体"/>
                <w:bCs/>
                <w:szCs w:val="21"/>
                <w:lang w:val="en-US" w:eastAsia="zh-CN"/>
              </w:rPr>
              <w:t>35</w:t>
            </w:r>
            <w:r>
              <w:rPr>
                <w:rFonts w:hint="eastAsia" w:ascii="宋体" w:hAnsi="宋体" w:eastAsia="宋体" w:cs="宋体"/>
                <w:bCs/>
                <w:szCs w:val="21"/>
              </w:rPr>
              <w:t>价格权值×100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0" w:hRule="atLeast"/>
          <w:jc w:val="center"/>
        </w:trPr>
        <w:tc>
          <w:tcPr>
            <w:tcW w:w="999" w:type="dxa"/>
            <w:tcBorders>
              <w:right w:val="single" w:color="auto" w:sz="4" w:space="0"/>
            </w:tcBorders>
            <w:shd w:val="solid" w:color="FFFFFF" w:fill="auto"/>
            <w:tcMar>
              <w:top w:w="0" w:type="dxa"/>
              <w:left w:w="108" w:type="dxa"/>
              <w:bottom w:w="0" w:type="dxa"/>
              <w:right w:w="108" w:type="dxa"/>
            </w:tcMar>
            <w:vAlign w:val="center"/>
          </w:tcPr>
          <w:p>
            <w:pPr>
              <w:spacing w:line="400" w:lineRule="exact"/>
              <w:ind w:left="210" w:hanging="210" w:hangingChars="100"/>
              <w:jc w:val="center"/>
              <w:rPr>
                <w:rFonts w:ascii="宋体" w:hAnsi="宋体" w:cs="宋体"/>
                <w:szCs w:val="21"/>
              </w:rPr>
            </w:pPr>
            <w:r>
              <w:rPr>
                <w:rFonts w:hint="eastAsia" w:ascii="宋体" w:hAnsi="宋体" w:cs="宋体"/>
                <w:szCs w:val="21"/>
              </w:rPr>
              <w:t>2</w:t>
            </w:r>
          </w:p>
        </w:tc>
        <w:tc>
          <w:tcPr>
            <w:tcW w:w="1754"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szCs w:val="21"/>
              </w:rPr>
            </w:pPr>
            <w:r>
              <w:rPr>
                <w:rFonts w:hint="eastAsia" w:ascii="宋体" w:hAnsi="宋体" w:cs="宋体"/>
                <w:szCs w:val="21"/>
              </w:rPr>
              <w:t>技术分</w:t>
            </w:r>
          </w:p>
          <w:p>
            <w:pPr>
              <w:spacing w:line="400" w:lineRule="exact"/>
              <w:jc w:val="center"/>
              <w:rPr>
                <w:rFonts w:ascii="宋体" w:hAnsi="宋体" w:cs="宋体"/>
                <w:szCs w:val="21"/>
              </w:rPr>
            </w:pPr>
            <w:r>
              <w:rPr>
                <w:rFonts w:hint="eastAsia" w:ascii="宋体" w:hAnsi="宋体" w:cs="宋体"/>
                <w:szCs w:val="21"/>
              </w:rPr>
              <w:t>( 40分)</w:t>
            </w:r>
          </w:p>
        </w:tc>
        <w:tc>
          <w:tcPr>
            <w:tcW w:w="6345"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bCs/>
                <w:szCs w:val="21"/>
              </w:rPr>
            </w:pPr>
            <w:r>
              <w:rPr>
                <w:rFonts w:hint="eastAsia" w:ascii="宋体" w:hAnsi="宋体" w:cs="宋体"/>
                <w:bCs/>
                <w:szCs w:val="21"/>
                <w:lang w:val="en-US" w:eastAsia="zh-CN"/>
              </w:rPr>
              <w:t>所投</w:t>
            </w:r>
            <w:r>
              <w:rPr>
                <w:rFonts w:hint="eastAsia" w:ascii="宋体" w:hAnsi="宋体" w:cs="宋体"/>
                <w:bCs/>
                <w:szCs w:val="21"/>
              </w:rPr>
              <w:t>货物技术参数、性能及产品功能，全部满足磋商文件技术指标要求并与</w:t>
            </w:r>
            <w:r>
              <w:rPr>
                <w:rFonts w:hint="eastAsia" w:ascii="宋体" w:hAnsi="宋体" w:cs="宋体"/>
                <w:bCs/>
                <w:szCs w:val="21"/>
                <w:lang w:val="en-US" w:eastAsia="zh-CN"/>
              </w:rPr>
              <w:t>所投</w:t>
            </w:r>
            <w:r>
              <w:rPr>
                <w:rFonts w:hint="eastAsia" w:ascii="宋体" w:hAnsi="宋体" w:cs="宋体"/>
                <w:bCs/>
                <w:szCs w:val="21"/>
              </w:rPr>
              <w:t>产品完全一致，得基本分40分。加★参数每有一项不满足磋商文件要求的扣3分，非★参数每有一项不满足磋商文件要求的扣1分，直到扣完为止。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999" w:type="dxa"/>
            <w:vMerge w:val="restart"/>
            <w:vAlign w:val="center"/>
          </w:tcPr>
          <w:p>
            <w:pPr>
              <w:spacing w:line="400" w:lineRule="exact"/>
              <w:ind w:firstLine="420" w:firstLineChars="200"/>
              <w:rPr>
                <w:rFonts w:ascii="宋体" w:hAnsi="宋体" w:cs="宋体"/>
                <w:szCs w:val="21"/>
              </w:rPr>
            </w:pPr>
            <w:r>
              <w:rPr>
                <w:rFonts w:hint="eastAsia" w:ascii="宋体" w:hAnsi="宋体" w:cs="宋体"/>
                <w:szCs w:val="21"/>
              </w:rPr>
              <w:t>4</w:t>
            </w:r>
          </w:p>
        </w:tc>
        <w:tc>
          <w:tcPr>
            <w:tcW w:w="1754" w:type="dxa"/>
            <w:vMerge w:val="restart"/>
            <w:vAlign w:val="center"/>
          </w:tcPr>
          <w:p>
            <w:pPr>
              <w:spacing w:line="400" w:lineRule="exact"/>
              <w:jc w:val="center"/>
              <w:rPr>
                <w:rFonts w:hint="eastAsia" w:ascii="宋体" w:hAnsi="宋体" w:cs="宋体"/>
                <w:szCs w:val="21"/>
              </w:rPr>
            </w:pPr>
            <w:r>
              <w:rPr>
                <w:rFonts w:hint="eastAsia" w:ascii="宋体" w:hAnsi="宋体" w:cs="宋体"/>
                <w:szCs w:val="21"/>
              </w:rPr>
              <w:t>商务部分</w:t>
            </w:r>
          </w:p>
          <w:p>
            <w:pPr>
              <w:spacing w:line="400" w:lineRule="exact"/>
              <w:jc w:val="center"/>
              <w:rPr>
                <w:rFonts w:ascii="宋体" w:hAnsi="宋体" w:cs="宋体"/>
                <w:szCs w:val="21"/>
              </w:rPr>
            </w:pPr>
            <w:r>
              <w:rPr>
                <w:rFonts w:hint="eastAsia" w:ascii="宋体" w:hAnsi="宋体" w:cs="宋体"/>
                <w:szCs w:val="21"/>
              </w:rPr>
              <w:t>（1</w:t>
            </w:r>
            <w:r>
              <w:rPr>
                <w:rFonts w:hint="eastAsia" w:ascii="宋体" w:hAnsi="宋体" w:cs="宋体"/>
                <w:szCs w:val="21"/>
                <w:lang w:val="en-US" w:eastAsia="zh-CN"/>
              </w:rPr>
              <w:t>8</w:t>
            </w:r>
            <w:r>
              <w:rPr>
                <w:rFonts w:hint="eastAsia" w:ascii="宋体" w:hAnsi="宋体" w:cs="宋体"/>
                <w:szCs w:val="21"/>
              </w:rPr>
              <w:t>分）</w:t>
            </w:r>
          </w:p>
        </w:tc>
        <w:tc>
          <w:tcPr>
            <w:tcW w:w="6345" w:type="dxa"/>
            <w:vAlign w:val="center"/>
          </w:tcPr>
          <w:p>
            <w:pPr>
              <w:spacing w:line="400" w:lineRule="exact"/>
              <w:rPr>
                <w:rFonts w:ascii="宋体" w:hAnsi="宋体" w:cs="宋体"/>
              </w:rPr>
            </w:pPr>
            <w:r>
              <w:rPr>
                <w:rFonts w:hint="eastAsia" w:ascii="宋体" w:hAnsi="宋体" w:cs="宋体"/>
                <w:color w:val="auto"/>
                <w:lang w:val="en-US" w:eastAsia="zh-CN"/>
              </w:rPr>
              <w:t>1.</w:t>
            </w:r>
            <w:r>
              <w:rPr>
                <w:rFonts w:hint="eastAsia" w:ascii="宋体" w:hAnsi="宋体" w:cs="宋体"/>
                <w:color w:val="auto"/>
              </w:rPr>
              <w:t>所投标考高清 SIP 管理平台</w:t>
            </w:r>
            <w:r>
              <w:rPr>
                <w:rFonts w:hint="eastAsia" w:ascii="宋体" w:hAnsi="宋体" w:cs="宋体"/>
                <w:color w:val="auto"/>
                <w:lang w:eastAsia="zh-CN"/>
              </w:rPr>
              <w:t>生产厂家</w:t>
            </w:r>
            <w:r>
              <w:rPr>
                <w:rFonts w:hint="eastAsia" w:ascii="宋体" w:hAnsi="宋体" w:cs="宋体"/>
                <w:color w:val="auto"/>
              </w:rPr>
              <w:t>具有标准化考点管理平台、考务基础信息管理平台软件著作权证书的得</w:t>
            </w:r>
            <w:r>
              <w:rPr>
                <w:rFonts w:hint="eastAsia" w:ascii="宋体" w:hAnsi="宋体" w:cs="宋体"/>
                <w:color w:val="auto"/>
                <w:lang w:val="en-US" w:eastAsia="zh-CN"/>
              </w:rPr>
              <w:t>4</w:t>
            </w:r>
            <w:r>
              <w:rPr>
                <w:rFonts w:hint="eastAsia" w:ascii="宋体" w:hAnsi="宋体" w:cs="宋体"/>
                <w:color w:val="auto"/>
              </w:rPr>
              <w:t>分</w:t>
            </w:r>
            <w:r>
              <w:rPr>
                <w:rFonts w:hint="eastAsia" w:ascii="宋体" w:hAnsi="宋体" w:cs="宋体"/>
                <w:color w:val="auto"/>
                <w:lang w:eastAsia="zh-CN"/>
              </w:rPr>
              <w:t>，</w:t>
            </w:r>
            <w:r>
              <w:rPr>
                <w:rFonts w:hint="eastAsia" w:ascii="宋体" w:hAnsi="宋体" w:cs="宋体"/>
                <w:color w:val="auto"/>
                <w:lang w:val="en-US" w:eastAsia="zh-CN"/>
              </w:rPr>
              <w:t>提供其中一项的得2分</w:t>
            </w:r>
            <w:r>
              <w:rPr>
                <w:rFonts w:hint="eastAsia" w:ascii="宋体" w:hAnsi="宋体" w:cs="宋体"/>
                <w:color w:val="auto"/>
              </w:rPr>
              <w:t>，不提供不得分。</w:t>
            </w:r>
            <w:r>
              <w:rPr>
                <w:rFonts w:hint="eastAsia" w:ascii="宋体" w:hAnsi="宋体" w:cs="宋体"/>
                <w:b/>
                <w:bCs/>
              </w:rPr>
              <w:t>（</w:t>
            </w:r>
            <w:r>
              <w:rPr>
                <w:rFonts w:hint="eastAsia" w:ascii="宋体" w:hAnsi="宋体" w:cs="宋体"/>
                <w:b/>
                <w:bCs/>
                <w:szCs w:val="21"/>
              </w:rPr>
              <w:t>响应文件</w:t>
            </w:r>
            <w:r>
              <w:rPr>
                <w:rFonts w:hint="eastAsia" w:ascii="宋体" w:hAnsi="宋体" w:cs="宋体"/>
                <w:b/>
                <w:bCs/>
              </w:rPr>
              <w:t>中提供相关证书复印件并加盖</w:t>
            </w:r>
            <w:r>
              <w:rPr>
                <w:rFonts w:hint="eastAsia" w:ascii="宋体" w:hAnsi="宋体" w:cs="宋体"/>
                <w:b/>
                <w:bCs/>
                <w:lang w:eastAsia="zh-CN"/>
              </w:rPr>
              <w:t>生产厂家</w:t>
            </w:r>
            <w:r>
              <w:rPr>
                <w:rFonts w:hint="eastAsia" w:ascii="宋体" w:hAnsi="宋体" w:cs="宋体"/>
                <w:b/>
                <w:bCs/>
              </w:rPr>
              <w:t>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999" w:type="dxa"/>
            <w:vMerge w:val="continue"/>
            <w:vAlign w:val="center"/>
          </w:tcPr>
          <w:p>
            <w:pPr>
              <w:spacing w:line="400" w:lineRule="exact"/>
              <w:ind w:firstLine="420" w:firstLineChars="200"/>
              <w:rPr>
                <w:rFonts w:ascii="宋体" w:hAnsi="宋体" w:cs="宋体"/>
                <w:szCs w:val="21"/>
              </w:rPr>
            </w:pPr>
          </w:p>
        </w:tc>
        <w:tc>
          <w:tcPr>
            <w:tcW w:w="1754" w:type="dxa"/>
            <w:vMerge w:val="continue"/>
            <w:vAlign w:val="center"/>
          </w:tcPr>
          <w:p>
            <w:pPr>
              <w:spacing w:line="400" w:lineRule="exact"/>
              <w:ind w:firstLine="420" w:firstLineChars="200"/>
              <w:jc w:val="center"/>
              <w:rPr>
                <w:rFonts w:ascii="宋体" w:hAnsi="宋体" w:cs="宋体"/>
                <w:szCs w:val="21"/>
              </w:rPr>
            </w:pPr>
          </w:p>
        </w:tc>
        <w:tc>
          <w:tcPr>
            <w:tcW w:w="6345" w:type="dxa"/>
            <w:vAlign w:val="center"/>
          </w:tcPr>
          <w:p>
            <w:pPr>
              <w:spacing w:line="400" w:lineRule="exact"/>
              <w:rPr>
                <w:rFonts w:ascii="宋体" w:hAnsi="宋体" w:cs="宋体"/>
              </w:rPr>
            </w:pPr>
            <w:r>
              <w:rPr>
                <w:rFonts w:hint="eastAsia" w:ascii="宋体" w:hAnsi="宋体" w:cs="宋体"/>
                <w:kern w:val="2"/>
                <w:sz w:val="21"/>
                <w:szCs w:val="21"/>
                <w:lang w:val="en-US" w:eastAsia="zh-CN"/>
              </w:rPr>
              <w:t>2.</w:t>
            </w:r>
            <w:r>
              <w:rPr>
                <w:rFonts w:hint="eastAsia" w:ascii="宋体" w:hAnsi="宋体" w:eastAsia="宋体" w:cs="宋体"/>
                <w:kern w:val="2"/>
                <w:sz w:val="21"/>
                <w:szCs w:val="21"/>
              </w:rPr>
              <w:t>所投</w:t>
            </w:r>
            <w:r>
              <w:rPr>
                <w:rFonts w:hint="eastAsia" w:ascii="宋体" w:hAnsi="宋体" w:cs="宋体"/>
                <w:color w:val="000000"/>
                <w:kern w:val="0"/>
                <w:sz w:val="21"/>
                <w:szCs w:val="21"/>
                <w:lang w:bidi="ar"/>
              </w:rPr>
              <w:t>标考高清媒体分发服务器</w:t>
            </w:r>
            <w:r>
              <w:rPr>
                <w:rFonts w:hint="eastAsia" w:ascii="宋体" w:hAnsi="宋体" w:cs="宋体"/>
                <w:kern w:val="2"/>
                <w:sz w:val="21"/>
                <w:szCs w:val="21"/>
                <w:lang w:eastAsia="zh-CN"/>
              </w:rPr>
              <w:t>生产厂家</w:t>
            </w:r>
            <w:r>
              <w:rPr>
                <w:rFonts w:hint="eastAsia" w:ascii="宋体" w:hAnsi="宋体" w:eastAsia="宋体" w:cs="宋体"/>
                <w:kern w:val="2"/>
                <w:sz w:val="21"/>
                <w:szCs w:val="21"/>
              </w:rPr>
              <w:t>具有标准化考试系统类的知识产权管理体系认证证书的得</w:t>
            </w:r>
            <w:r>
              <w:rPr>
                <w:rFonts w:hint="eastAsia" w:ascii="宋体" w:hAnsi="宋体" w:cs="宋体"/>
                <w:kern w:val="2"/>
                <w:sz w:val="21"/>
                <w:szCs w:val="21"/>
                <w:lang w:val="en-US" w:eastAsia="zh-CN"/>
              </w:rPr>
              <w:t>3</w:t>
            </w:r>
            <w:r>
              <w:rPr>
                <w:rFonts w:hint="eastAsia" w:ascii="宋体" w:hAnsi="宋体" w:eastAsia="宋体" w:cs="宋体"/>
                <w:kern w:val="2"/>
                <w:sz w:val="21"/>
                <w:szCs w:val="21"/>
              </w:rPr>
              <w:t>分，不提供不得分。</w:t>
            </w:r>
            <w:r>
              <w:rPr>
                <w:rFonts w:hint="eastAsia" w:ascii="宋体" w:hAnsi="宋体" w:cs="宋体"/>
                <w:b/>
                <w:bCs/>
              </w:rPr>
              <w:t>（</w:t>
            </w:r>
            <w:r>
              <w:rPr>
                <w:rFonts w:hint="eastAsia" w:ascii="宋体" w:hAnsi="宋体" w:cs="宋体"/>
                <w:b/>
                <w:bCs/>
                <w:szCs w:val="21"/>
              </w:rPr>
              <w:t>响应文件</w:t>
            </w:r>
            <w:r>
              <w:rPr>
                <w:rFonts w:hint="eastAsia" w:ascii="宋体" w:hAnsi="宋体" w:cs="宋体"/>
                <w:b/>
                <w:bCs/>
              </w:rPr>
              <w:t>中提供相关证书复印件并加盖</w:t>
            </w:r>
            <w:r>
              <w:rPr>
                <w:rFonts w:hint="eastAsia" w:ascii="宋体" w:hAnsi="宋体" w:cs="宋体"/>
                <w:b/>
                <w:bCs/>
                <w:lang w:eastAsia="zh-CN"/>
              </w:rPr>
              <w:t>生产厂家</w:t>
            </w:r>
            <w:r>
              <w:rPr>
                <w:rFonts w:hint="eastAsia" w:ascii="宋体" w:hAnsi="宋体" w:cs="宋体"/>
                <w:b/>
                <w:bCs/>
              </w:rPr>
              <w:t>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atLeast"/>
          <w:jc w:val="center"/>
        </w:trPr>
        <w:tc>
          <w:tcPr>
            <w:tcW w:w="999" w:type="dxa"/>
            <w:vMerge w:val="continue"/>
            <w:vAlign w:val="center"/>
          </w:tcPr>
          <w:p>
            <w:pPr>
              <w:spacing w:line="400" w:lineRule="exact"/>
              <w:ind w:firstLine="420" w:firstLineChars="200"/>
              <w:rPr>
                <w:rFonts w:ascii="宋体" w:hAnsi="宋体" w:cs="宋体"/>
                <w:szCs w:val="21"/>
              </w:rPr>
            </w:pPr>
          </w:p>
        </w:tc>
        <w:tc>
          <w:tcPr>
            <w:tcW w:w="1754" w:type="dxa"/>
            <w:vMerge w:val="continue"/>
            <w:vAlign w:val="center"/>
          </w:tcPr>
          <w:p>
            <w:pPr>
              <w:spacing w:line="400" w:lineRule="exact"/>
              <w:ind w:firstLine="420" w:firstLineChars="200"/>
              <w:jc w:val="center"/>
              <w:rPr>
                <w:rFonts w:ascii="宋体" w:hAnsi="宋体" w:cs="宋体"/>
                <w:szCs w:val="21"/>
              </w:rPr>
            </w:pPr>
          </w:p>
        </w:tc>
        <w:tc>
          <w:tcPr>
            <w:tcW w:w="6345" w:type="dxa"/>
            <w:vAlign w:val="center"/>
          </w:tcPr>
          <w:p>
            <w:pPr>
              <w:spacing w:line="400" w:lineRule="exact"/>
              <w:rPr>
                <w:rFonts w:ascii="宋体" w:hAnsi="宋体" w:cs="宋体"/>
                <w:szCs w:val="21"/>
              </w:rPr>
            </w:pPr>
            <w:r>
              <w:rPr>
                <w:rFonts w:hint="eastAsia" w:ascii="宋体" w:hAnsi="宋体" w:cs="宋体"/>
                <w:lang w:val="en-US" w:eastAsia="zh-CN"/>
              </w:rPr>
              <w:t>3.</w:t>
            </w:r>
            <w:r>
              <w:rPr>
                <w:rFonts w:hint="eastAsia" w:ascii="宋体" w:hAnsi="宋体" w:cs="宋体"/>
              </w:rPr>
              <w:t>所投标考网络流媒体存储管理平台</w:t>
            </w:r>
            <w:r>
              <w:rPr>
                <w:rFonts w:hint="eastAsia" w:ascii="宋体" w:hAnsi="宋体" w:cs="宋体"/>
                <w:lang w:eastAsia="zh-CN"/>
              </w:rPr>
              <w:t>生产厂家</w:t>
            </w:r>
            <w:r>
              <w:rPr>
                <w:rFonts w:hint="eastAsia" w:ascii="宋体" w:hAnsi="宋体" w:cs="宋体"/>
              </w:rPr>
              <w:t>具有获得软件能力成熟度集成模型CMMI5级证书的得</w:t>
            </w:r>
            <w:r>
              <w:rPr>
                <w:rFonts w:hint="eastAsia" w:ascii="宋体" w:hAnsi="宋体" w:cs="宋体"/>
                <w:lang w:val="en-US" w:eastAsia="zh-CN"/>
              </w:rPr>
              <w:t>4</w:t>
            </w:r>
            <w:r>
              <w:rPr>
                <w:rFonts w:hint="eastAsia" w:ascii="宋体" w:hAnsi="宋体" w:cs="宋体"/>
              </w:rPr>
              <w:t>分，CMMI4级及以下证书的得</w:t>
            </w:r>
            <w:r>
              <w:rPr>
                <w:rFonts w:hint="eastAsia" w:ascii="宋体" w:hAnsi="宋体" w:cs="宋体"/>
                <w:lang w:val="en-US" w:eastAsia="zh-CN"/>
              </w:rPr>
              <w:t>1</w:t>
            </w:r>
            <w:r>
              <w:rPr>
                <w:rFonts w:hint="eastAsia" w:ascii="宋体" w:hAnsi="宋体" w:cs="宋体"/>
              </w:rPr>
              <w:t>分，不提供不得分。</w:t>
            </w:r>
            <w:r>
              <w:rPr>
                <w:rFonts w:hint="eastAsia" w:ascii="宋体" w:hAnsi="宋体" w:cs="宋体"/>
                <w:b/>
                <w:bCs/>
              </w:rPr>
              <w:t>（</w:t>
            </w:r>
            <w:r>
              <w:rPr>
                <w:rFonts w:hint="eastAsia" w:ascii="宋体" w:hAnsi="宋体" w:cs="宋体"/>
                <w:b/>
                <w:bCs/>
                <w:szCs w:val="21"/>
              </w:rPr>
              <w:t>响应文件</w:t>
            </w:r>
            <w:r>
              <w:rPr>
                <w:rFonts w:hint="eastAsia" w:ascii="宋体" w:hAnsi="宋体" w:cs="宋体"/>
                <w:b/>
                <w:bCs/>
              </w:rPr>
              <w:t>中提供相关证书复印件并加盖</w:t>
            </w:r>
            <w:r>
              <w:rPr>
                <w:rFonts w:hint="eastAsia" w:ascii="宋体" w:hAnsi="宋体" w:cs="宋体"/>
                <w:b/>
                <w:bCs/>
                <w:lang w:eastAsia="zh-CN"/>
              </w:rPr>
              <w:t>生产厂家</w:t>
            </w:r>
            <w:r>
              <w:rPr>
                <w:rFonts w:hint="eastAsia" w:ascii="宋体" w:hAnsi="宋体" w:cs="宋体"/>
                <w:b/>
                <w:bCs/>
              </w:rPr>
              <w:t>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999" w:type="dxa"/>
            <w:vMerge w:val="continue"/>
            <w:vAlign w:val="center"/>
          </w:tcPr>
          <w:p>
            <w:pPr>
              <w:spacing w:line="400" w:lineRule="exact"/>
              <w:ind w:firstLine="420" w:firstLineChars="200"/>
              <w:rPr>
                <w:rFonts w:ascii="宋体" w:hAnsi="宋体" w:cs="宋体"/>
                <w:szCs w:val="21"/>
              </w:rPr>
            </w:pPr>
          </w:p>
        </w:tc>
        <w:tc>
          <w:tcPr>
            <w:tcW w:w="1754" w:type="dxa"/>
            <w:vMerge w:val="continue"/>
            <w:vAlign w:val="center"/>
          </w:tcPr>
          <w:p>
            <w:pPr>
              <w:spacing w:line="400" w:lineRule="exact"/>
              <w:ind w:firstLine="420" w:firstLineChars="200"/>
              <w:jc w:val="center"/>
              <w:rPr>
                <w:rFonts w:ascii="宋体" w:hAnsi="宋体" w:cs="宋体"/>
                <w:szCs w:val="21"/>
              </w:rPr>
            </w:pPr>
          </w:p>
        </w:tc>
        <w:tc>
          <w:tcPr>
            <w:tcW w:w="6345" w:type="dxa"/>
            <w:tcBorders>
              <w:left w:val="single" w:color="auto" w:sz="4" w:space="0"/>
            </w:tcBorders>
            <w:vAlign w:val="center"/>
          </w:tcPr>
          <w:p>
            <w:pPr>
              <w:spacing w:line="400" w:lineRule="exact"/>
              <w:rPr>
                <w:rFonts w:ascii="宋体" w:hAnsi="宋体" w:cs="宋体"/>
                <w:szCs w:val="21"/>
              </w:rPr>
            </w:pPr>
            <w:r>
              <w:rPr>
                <w:rFonts w:hint="eastAsia" w:ascii="宋体" w:hAnsi="宋体" w:eastAsia="宋体" w:cs="宋体"/>
                <w:color w:val="auto"/>
                <w:szCs w:val="21"/>
                <w:lang w:val="en-US" w:eastAsia="zh-CN"/>
              </w:rPr>
              <w:t xml:space="preserve">4. </w:t>
            </w:r>
            <w:r>
              <w:rPr>
                <w:rFonts w:hint="eastAsia" w:ascii="宋体" w:hAnsi="宋体" w:cs="宋体"/>
                <w:color w:val="auto"/>
                <w:szCs w:val="21"/>
                <w:lang w:val="en-US" w:eastAsia="zh-CN"/>
              </w:rPr>
              <w:t>供应商</w:t>
            </w:r>
            <w:r>
              <w:rPr>
                <w:rFonts w:hint="eastAsia" w:ascii="宋体" w:hAnsi="宋体" w:eastAsia="宋体" w:cs="宋体"/>
                <w:color w:val="auto"/>
                <w:szCs w:val="21"/>
                <w:lang w:val="en-US" w:eastAsia="zh-CN"/>
              </w:rPr>
              <w:t>所投主要标考产品</w:t>
            </w:r>
            <w:r>
              <w:rPr>
                <w:rFonts w:hint="eastAsia" w:ascii="宋体" w:hAnsi="宋体" w:cs="宋体"/>
                <w:color w:val="auto"/>
                <w:szCs w:val="21"/>
                <w:lang w:val="en-US" w:eastAsia="zh-CN"/>
              </w:rPr>
              <w:t>（摄像机、标考高清SIP管理平台、标考高清媒体分发服务器、身份验证服务器、人脸识别验证终端）生产厂家</w:t>
            </w:r>
            <w:r>
              <w:rPr>
                <w:rFonts w:hint="eastAsia" w:ascii="宋体" w:hAnsi="宋体" w:eastAsia="宋体" w:cs="宋体"/>
                <w:color w:val="auto"/>
                <w:szCs w:val="21"/>
                <w:lang w:val="en-US" w:eastAsia="zh-CN"/>
              </w:rPr>
              <w:t>具有省级或市级用户提供的用户使用证明</w:t>
            </w:r>
            <w:r>
              <w:rPr>
                <w:rFonts w:hint="eastAsia" w:ascii="宋体" w:hAnsi="宋体" w:cs="宋体"/>
                <w:color w:val="auto"/>
                <w:szCs w:val="21"/>
                <w:lang w:val="en-US" w:eastAsia="zh-CN"/>
              </w:rPr>
              <w:t>或合同</w:t>
            </w:r>
            <w:r>
              <w:rPr>
                <w:rFonts w:hint="eastAsia" w:ascii="宋体" w:hAnsi="宋体" w:eastAsia="宋体" w:cs="宋体"/>
                <w:color w:val="auto"/>
                <w:szCs w:val="21"/>
                <w:lang w:val="en-US" w:eastAsia="zh-CN"/>
              </w:rPr>
              <w:t>的，提供一项得2分，最多得4分。</w:t>
            </w:r>
            <w:r>
              <w:rPr>
                <w:rFonts w:hint="eastAsia" w:ascii="宋体" w:hAnsi="宋体" w:cs="宋体"/>
                <w:b/>
                <w:bCs/>
              </w:rPr>
              <w:t>（</w:t>
            </w:r>
            <w:r>
              <w:rPr>
                <w:rFonts w:hint="eastAsia" w:ascii="宋体" w:hAnsi="宋体" w:cs="宋体"/>
                <w:b/>
                <w:bCs/>
                <w:szCs w:val="21"/>
              </w:rPr>
              <w:t>响应文件</w:t>
            </w:r>
            <w:r>
              <w:rPr>
                <w:rFonts w:hint="eastAsia" w:ascii="宋体" w:hAnsi="宋体" w:cs="宋体"/>
                <w:b/>
                <w:bCs/>
              </w:rPr>
              <w:t>中提供相关证书复印件并加盖</w:t>
            </w:r>
            <w:r>
              <w:rPr>
                <w:rFonts w:hint="eastAsia" w:ascii="宋体" w:hAnsi="宋体" w:cs="宋体"/>
                <w:b/>
                <w:bCs/>
                <w:lang w:eastAsia="zh-CN"/>
              </w:rPr>
              <w:t>生产厂家</w:t>
            </w:r>
            <w:r>
              <w:rPr>
                <w:rFonts w:hint="eastAsia" w:ascii="宋体" w:hAnsi="宋体" w:cs="宋体"/>
                <w:b/>
                <w:bCs/>
              </w:rPr>
              <w:t>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999" w:type="dxa"/>
            <w:vMerge w:val="continue"/>
            <w:vAlign w:val="center"/>
          </w:tcPr>
          <w:p>
            <w:pPr>
              <w:spacing w:line="400" w:lineRule="exact"/>
              <w:ind w:firstLine="420" w:firstLineChars="200"/>
              <w:rPr>
                <w:rFonts w:ascii="宋体" w:hAnsi="宋体" w:cs="宋体"/>
                <w:szCs w:val="21"/>
              </w:rPr>
            </w:pPr>
          </w:p>
        </w:tc>
        <w:tc>
          <w:tcPr>
            <w:tcW w:w="1754" w:type="dxa"/>
            <w:vMerge w:val="continue"/>
            <w:vAlign w:val="center"/>
          </w:tcPr>
          <w:p>
            <w:pPr>
              <w:spacing w:line="400" w:lineRule="exact"/>
              <w:ind w:firstLine="420" w:firstLineChars="200"/>
              <w:jc w:val="center"/>
              <w:rPr>
                <w:rFonts w:ascii="宋体" w:hAnsi="宋体" w:cs="宋体"/>
                <w:szCs w:val="21"/>
              </w:rPr>
            </w:pPr>
          </w:p>
        </w:tc>
        <w:tc>
          <w:tcPr>
            <w:tcW w:w="6345" w:type="dxa"/>
            <w:tcBorders>
              <w:left w:val="single" w:color="auto" w:sz="4" w:space="0"/>
            </w:tcBorders>
            <w:vAlign w:val="center"/>
          </w:tcPr>
          <w:p>
            <w:pPr>
              <w:spacing w:line="400" w:lineRule="exact"/>
              <w:rPr>
                <w:rFonts w:ascii="宋体" w:hAnsi="宋体" w:cs="宋体"/>
                <w:szCs w:val="21"/>
              </w:rPr>
            </w:pPr>
            <w:r>
              <w:rPr>
                <w:rFonts w:hint="eastAsia" w:ascii="宋体" w:hAnsi="宋体" w:cs="宋体"/>
                <w:szCs w:val="21"/>
                <w:lang w:val="en-US" w:eastAsia="zh-CN"/>
              </w:rPr>
              <w:t>5.</w:t>
            </w:r>
            <w:r>
              <w:rPr>
                <w:rFonts w:hint="eastAsia" w:ascii="宋体" w:hAnsi="宋体" w:cs="宋体"/>
                <w:szCs w:val="21"/>
              </w:rPr>
              <w:t>所投</w:t>
            </w:r>
            <w:r>
              <w:rPr>
                <w:rFonts w:hint="eastAsia" w:ascii="宋体" w:hAnsi="宋体" w:cs="宋体"/>
              </w:rPr>
              <w:t>信号屏蔽仪</w:t>
            </w:r>
            <w:r>
              <w:rPr>
                <w:rFonts w:hint="eastAsia" w:ascii="宋体" w:hAnsi="宋体" w:cs="宋体"/>
                <w:lang w:eastAsia="zh-CN"/>
              </w:rPr>
              <w:t>生产厂家</w:t>
            </w:r>
            <w:r>
              <w:rPr>
                <w:rFonts w:hint="eastAsia" w:ascii="宋体" w:hAnsi="宋体" w:cs="宋体"/>
              </w:rPr>
              <w:t>通过信息安全管理体系、信息技术服务管理体系认证，提供证明文件并</w:t>
            </w:r>
            <w:r>
              <w:rPr>
                <w:rFonts w:hint="eastAsia" w:ascii="宋体" w:hAnsi="宋体" w:cs="宋体"/>
                <w:szCs w:val="21"/>
              </w:rPr>
              <w:t>加盖</w:t>
            </w:r>
            <w:r>
              <w:rPr>
                <w:rFonts w:hint="eastAsia" w:ascii="宋体" w:hAnsi="宋体" w:cs="宋体"/>
                <w:szCs w:val="21"/>
                <w:lang w:eastAsia="zh-CN"/>
              </w:rPr>
              <w:t>生产厂家</w:t>
            </w:r>
            <w:r>
              <w:rPr>
                <w:rFonts w:hint="eastAsia" w:ascii="宋体" w:hAnsi="宋体" w:cs="宋体"/>
                <w:szCs w:val="21"/>
              </w:rPr>
              <w:t>公章的得3分</w:t>
            </w:r>
            <w:r>
              <w:rPr>
                <w:rFonts w:hint="eastAsia" w:ascii="宋体" w:hAnsi="宋体" w:cs="宋体"/>
                <w:szCs w:val="21"/>
                <w:lang w:eastAsia="zh-CN"/>
              </w:rPr>
              <w:t>。</w:t>
            </w:r>
            <w:r>
              <w:rPr>
                <w:rFonts w:hint="eastAsia" w:ascii="宋体" w:hAnsi="宋体" w:cs="宋体"/>
                <w:b/>
                <w:bCs/>
              </w:rPr>
              <w:t>（</w:t>
            </w:r>
            <w:r>
              <w:rPr>
                <w:rFonts w:hint="eastAsia" w:ascii="宋体" w:hAnsi="宋体" w:cs="宋体"/>
                <w:b/>
                <w:bCs/>
                <w:szCs w:val="21"/>
              </w:rPr>
              <w:t>响应文件</w:t>
            </w:r>
            <w:r>
              <w:rPr>
                <w:rFonts w:hint="eastAsia" w:ascii="宋体" w:hAnsi="宋体" w:cs="宋体"/>
                <w:b/>
                <w:bCs/>
              </w:rPr>
              <w:t>中提供相关证书复印件并加盖</w:t>
            </w:r>
            <w:r>
              <w:rPr>
                <w:rFonts w:hint="eastAsia" w:ascii="宋体" w:hAnsi="宋体" w:cs="宋体"/>
                <w:b/>
                <w:bCs/>
                <w:lang w:eastAsia="zh-CN"/>
              </w:rPr>
              <w:t>生产厂家</w:t>
            </w:r>
            <w:r>
              <w:rPr>
                <w:rFonts w:hint="eastAsia" w:ascii="宋体" w:hAnsi="宋体" w:cs="宋体"/>
                <w:b/>
                <w:bCs/>
              </w:rPr>
              <w:t>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99" w:type="dxa"/>
            <w:vMerge w:val="restart"/>
            <w:vAlign w:val="center"/>
          </w:tcPr>
          <w:p>
            <w:pPr>
              <w:spacing w:line="400" w:lineRule="exact"/>
              <w:jc w:val="center"/>
              <w:rPr>
                <w:rFonts w:ascii="宋体" w:hAnsi="宋体" w:cs="宋体"/>
                <w:szCs w:val="21"/>
              </w:rPr>
            </w:pPr>
            <w:r>
              <w:rPr>
                <w:rFonts w:hint="eastAsia" w:ascii="宋体" w:hAnsi="宋体" w:cs="宋体"/>
                <w:szCs w:val="21"/>
              </w:rPr>
              <w:t>5</w:t>
            </w:r>
          </w:p>
        </w:tc>
        <w:tc>
          <w:tcPr>
            <w:tcW w:w="1754" w:type="dxa"/>
            <w:vMerge w:val="restart"/>
            <w:vAlign w:val="center"/>
          </w:tcPr>
          <w:p>
            <w:pPr>
              <w:spacing w:line="400" w:lineRule="exact"/>
              <w:jc w:val="center"/>
              <w:rPr>
                <w:rFonts w:ascii="宋体" w:hAnsi="宋体" w:cs="宋体"/>
                <w:szCs w:val="21"/>
              </w:rPr>
            </w:pPr>
            <w:r>
              <w:rPr>
                <w:rFonts w:hint="eastAsia" w:ascii="宋体" w:hAnsi="宋体" w:cs="宋体"/>
                <w:szCs w:val="21"/>
              </w:rPr>
              <w:t>售后服务（</w:t>
            </w:r>
            <w:r>
              <w:rPr>
                <w:rFonts w:hint="eastAsia" w:ascii="宋体" w:hAnsi="宋体" w:cs="宋体"/>
                <w:szCs w:val="21"/>
                <w:lang w:val="en-US" w:eastAsia="zh-CN"/>
              </w:rPr>
              <w:t>7</w:t>
            </w:r>
            <w:r>
              <w:rPr>
                <w:rFonts w:hint="eastAsia" w:ascii="宋体" w:hAnsi="宋体" w:cs="宋体"/>
                <w:szCs w:val="21"/>
              </w:rPr>
              <w:t>分）</w:t>
            </w:r>
          </w:p>
        </w:tc>
        <w:tc>
          <w:tcPr>
            <w:tcW w:w="6345" w:type="dxa"/>
            <w:tcBorders>
              <w:left w:val="single" w:color="auto" w:sz="4" w:space="0"/>
            </w:tcBorders>
            <w:vAlign w:val="center"/>
          </w:tcPr>
          <w:p>
            <w:pPr>
              <w:spacing w:line="400" w:lineRule="exact"/>
            </w:pPr>
            <w:r>
              <w:rPr>
                <w:rFonts w:hint="eastAsia"/>
              </w:rPr>
              <w:t>1.为确保项目后续良好的漏洞挖掘与发现能力，</w:t>
            </w:r>
            <w:r>
              <w:rPr>
                <w:rFonts w:hint="eastAsia" w:ascii="宋体" w:hAnsi="宋体" w:cs="宋体"/>
                <w:szCs w:val="21"/>
              </w:rPr>
              <w:t>供应商</w:t>
            </w:r>
            <w:r>
              <w:rPr>
                <w:rFonts w:hint="eastAsia"/>
              </w:rPr>
              <w:t>所投考点防火墙</w:t>
            </w:r>
            <w:r>
              <w:rPr>
                <w:rFonts w:hint="eastAsia"/>
                <w:lang w:eastAsia="zh-CN"/>
              </w:rPr>
              <w:t>生产厂家</w:t>
            </w:r>
            <w:r>
              <w:rPr>
                <w:rFonts w:hint="eastAsia"/>
              </w:rPr>
              <w:t>近三年在国家信息安全漏洞共享平台（CNVD）累计提供的安全漏洞数量在10万条以上的得3分，在10万条以</w:t>
            </w:r>
            <w:r>
              <w:rPr>
                <w:rFonts w:hint="eastAsia"/>
                <w:lang w:val="en-US" w:eastAsia="zh-CN"/>
              </w:rPr>
              <w:t>下</w:t>
            </w:r>
            <w:r>
              <w:rPr>
                <w:rFonts w:hint="eastAsia"/>
              </w:rPr>
              <w:t>的得</w:t>
            </w:r>
            <w:r>
              <w:rPr>
                <w:rFonts w:hint="eastAsia"/>
                <w:lang w:val="en-US" w:eastAsia="zh-CN"/>
              </w:rPr>
              <w:t>1</w:t>
            </w:r>
            <w:r>
              <w:rPr>
                <w:rFonts w:hint="eastAsia"/>
              </w:rPr>
              <w:t>分</w:t>
            </w:r>
            <w:r>
              <w:rPr>
                <w:rFonts w:hint="eastAsia"/>
                <w:lang w:eastAsia="zh-CN"/>
              </w:rPr>
              <w:t>，</w:t>
            </w:r>
            <w:r>
              <w:rPr>
                <w:rFonts w:hint="eastAsia"/>
                <w:b/>
                <w:bCs/>
                <w:lang w:val="en-US" w:eastAsia="zh-CN"/>
              </w:rPr>
              <w:t>响应文件中</w:t>
            </w:r>
            <w:r>
              <w:rPr>
                <w:rFonts w:hint="eastAsia"/>
                <w:b/>
                <w:bCs/>
              </w:rPr>
              <w:t>提供国家互联网应急中心认可的报送证明</w:t>
            </w:r>
            <w:r>
              <w:rPr>
                <w:rFonts w:hint="eastAsia"/>
                <w:b/>
                <w:bCs/>
                <w:lang w:val="en-US" w:eastAsia="zh-CN"/>
              </w:rPr>
              <w:t>复印件</w:t>
            </w:r>
            <w:r>
              <w:rPr>
                <w:rFonts w:hint="eastAsia"/>
                <w:b/>
                <w:bCs/>
              </w:rPr>
              <w:t>并加盖</w:t>
            </w:r>
            <w:r>
              <w:rPr>
                <w:rFonts w:hint="eastAsia"/>
                <w:b/>
                <w:bCs/>
                <w:lang w:eastAsia="zh-CN"/>
              </w:rPr>
              <w:t>生产厂家</w:t>
            </w:r>
            <w:r>
              <w:rPr>
                <w:rFonts w:hint="eastAsia"/>
                <w:b/>
                <w:bCs/>
              </w:rPr>
              <w:t>公章</w:t>
            </w:r>
            <w:r>
              <w:rPr>
                <w:rFonts w:hint="eastAsia"/>
                <w:b/>
                <w:bCs/>
                <w:lang w:val="en-US" w:eastAsia="zh-CN"/>
              </w:rPr>
              <w:t>扫描件</w:t>
            </w:r>
            <w:r>
              <w:rPr>
                <w:rFonts w:hint="eastAsia"/>
                <w:b/>
                <w:bC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99" w:type="dxa"/>
            <w:vMerge w:val="continue"/>
            <w:vAlign w:val="center"/>
          </w:tcPr>
          <w:p>
            <w:pPr>
              <w:spacing w:line="400" w:lineRule="exact"/>
              <w:jc w:val="center"/>
              <w:rPr>
                <w:rFonts w:ascii="宋体" w:hAnsi="宋体" w:cs="宋体"/>
                <w:szCs w:val="21"/>
              </w:rPr>
            </w:pPr>
          </w:p>
        </w:tc>
        <w:tc>
          <w:tcPr>
            <w:tcW w:w="1754" w:type="dxa"/>
            <w:vMerge w:val="continue"/>
            <w:vAlign w:val="center"/>
          </w:tcPr>
          <w:p>
            <w:pPr>
              <w:spacing w:line="400" w:lineRule="exact"/>
              <w:jc w:val="center"/>
              <w:rPr>
                <w:rFonts w:ascii="宋体" w:hAnsi="宋体" w:cs="宋体"/>
                <w:szCs w:val="21"/>
              </w:rPr>
            </w:pPr>
          </w:p>
        </w:tc>
        <w:tc>
          <w:tcPr>
            <w:tcW w:w="6345" w:type="dxa"/>
            <w:tcBorders>
              <w:left w:val="single" w:color="auto" w:sz="4" w:space="0"/>
            </w:tcBorders>
            <w:vAlign w:val="center"/>
          </w:tcPr>
          <w:p>
            <w:pPr>
              <w:spacing w:line="400" w:lineRule="exact"/>
            </w:pPr>
            <w:r>
              <w:rPr>
                <w:rFonts w:hint="eastAsia"/>
                <w:color w:val="auto"/>
                <w:lang w:val="en-US" w:eastAsia="zh-CN"/>
              </w:rPr>
              <w:t>2.为保证提供产品质量及售后，</w:t>
            </w:r>
            <w:r>
              <w:rPr>
                <w:rFonts w:hint="eastAsia"/>
                <w:color w:val="auto"/>
              </w:rPr>
              <w:t>所投播放器</w:t>
            </w:r>
            <w:r>
              <w:rPr>
                <w:rFonts w:hint="eastAsia"/>
                <w:color w:val="auto"/>
                <w:lang w:eastAsia="zh-CN"/>
              </w:rPr>
              <w:t>生产厂家</w:t>
            </w:r>
            <w:r>
              <w:rPr>
                <w:rFonts w:hint="eastAsia"/>
                <w:color w:val="auto"/>
              </w:rPr>
              <w:t>售后服务能力达到商品售后服务评价标准GB/T27922-2011规定的五星级要求</w:t>
            </w:r>
            <w:r>
              <w:rPr>
                <w:rFonts w:hint="eastAsia"/>
                <w:color w:val="auto"/>
                <w:lang w:val="en-US" w:eastAsia="zh-CN"/>
              </w:rPr>
              <w:t>的得4分，五星级以下的得1分</w:t>
            </w:r>
            <w:r>
              <w:rPr>
                <w:rFonts w:hint="eastAsia"/>
                <w:color w:val="auto"/>
                <w:lang w:eastAsia="zh-CN"/>
              </w:rPr>
              <w:t>，不提供不得分</w:t>
            </w:r>
            <w:r>
              <w:rPr>
                <w:rFonts w:hint="eastAsia"/>
              </w:rPr>
              <w:t>，</w:t>
            </w:r>
            <w:r>
              <w:rPr>
                <w:rFonts w:hint="eastAsia"/>
                <w:b/>
                <w:bCs/>
                <w:lang w:val="en-US" w:eastAsia="zh-CN"/>
              </w:rPr>
              <w:t>响应文件中</w:t>
            </w:r>
            <w:r>
              <w:rPr>
                <w:rFonts w:hint="eastAsia" w:ascii="宋体" w:hAnsi="宋体" w:cs="宋体"/>
                <w:b/>
                <w:bCs/>
              </w:rPr>
              <w:t>提供证明文件</w:t>
            </w:r>
            <w:r>
              <w:rPr>
                <w:rFonts w:hint="eastAsia" w:ascii="宋体" w:hAnsi="宋体" w:cs="宋体"/>
                <w:b/>
                <w:bCs/>
                <w:color w:val="auto"/>
                <w:lang w:eastAsia="zh-CN"/>
              </w:rPr>
              <w:t>（</w:t>
            </w:r>
            <w:r>
              <w:rPr>
                <w:rFonts w:hint="eastAsia" w:ascii="宋体" w:hAnsi="宋体" w:cs="宋体"/>
                <w:b/>
                <w:bCs/>
                <w:color w:val="auto"/>
                <w:lang w:val="en-US" w:eastAsia="zh-CN"/>
              </w:rPr>
              <w:t>证书认证范围须与采购产品相关</w:t>
            </w:r>
            <w:r>
              <w:rPr>
                <w:rFonts w:hint="eastAsia" w:ascii="宋体" w:hAnsi="宋体" w:cs="宋体"/>
                <w:b/>
                <w:bCs/>
                <w:color w:val="auto"/>
                <w:lang w:eastAsia="zh-CN"/>
              </w:rPr>
              <w:t>）</w:t>
            </w:r>
            <w:r>
              <w:rPr>
                <w:rFonts w:hint="eastAsia" w:ascii="宋体" w:hAnsi="宋体" w:cs="宋体"/>
                <w:b/>
                <w:bCs/>
                <w:lang w:val="en-US" w:eastAsia="zh-CN"/>
              </w:rPr>
              <w:t>复印件</w:t>
            </w:r>
            <w:r>
              <w:rPr>
                <w:rFonts w:hint="eastAsia" w:ascii="宋体" w:hAnsi="宋体" w:cs="宋体"/>
                <w:b/>
                <w:bCs/>
              </w:rPr>
              <w:t>并</w:t>
            </w:r>
            <w:r>
              <w:rPr>
                <w:rFonts w:hint="eastAsia" w:ascii="宋体" w:hAnsi="宋体" w:cs="宋体"/>
                <w:b/>
                <w:bCs/>
                <w:szCs w:val="21"/>
              </w:rPr>
              <w:t>加盖</w:t>
            </w:r>
            <w:r>
              <w:rPr>
                <w:rFonts w:hint="eastAsia" w:ascii="宋体" w:hAnsi="宋体" w:cs="宋体"/>
                <w:b/>
                <w:bCs/>
                <w:szCs w:val="21"/>
                <w:lang w:eastAsia="zh-CN"/>
              </w:rPr>
              <w:t>生产厂家</w:t>
            </w:r>
            <w:r>
              <w:rPr>
                <w:rFonts w:hint="eastAsia" w:ascii="宋体" w:hAnsi="宋体" w:cs="宋体"/>
                <w:b/>
                <w:bCs/>
                <w:szCs w:val="21"/>
              </w:rPr>
              <w:t>公章</w:t>
            </w:r>
            <w:r>
              <w:rPr>
                <w:rFonts w:hint="eastAsia" w:ascii="宋体" w:hAnsi="宋体" w:cs="宋体"/>
                <w:b/>
                <w:bCs/>
                <w:szCs w:val="21"/>
                <w:lang w:val="en-US" w:eastAsia="zh-CN"/>
              </w:rPr>
              <w:t>扫描件</w:t>
            </w:r>
            <w:r>
              <w:rPr>
                <w:rFonts w:hint="eastAsia"/>
                <w:b/>
                <w:bCs/>
              </w:rPr>
              <w:t>。</w:t>
            </w:r>
          </w:p>
        </w:tc>
      </w:tr>
    </w:tbl>
    <w:p>
      <w:pPr>
        <w:spacing w:line="440" w:lineRule="exact"/>
        <w:rPr>
          <w:rFonts w:ascii="宋体" w:hAnsi="宋体" w:cs="宋体"/>
          <w:szCs w:val="21"/>
        </w:rPr>
      </w:pPr>
      <w:r>
        <w:rPr>
          <w:rFonts w:hint="eastAsia" w:ascii="宋体" w:hAnsi="宋体" w:cs="宋体"/>
          <w:szCs w:val="21"/>
        </w:rPr>
        <w:t>注：</w:t>
      </w:r>
    </w:p>
    <w:p>
      <w:pPr>
        <w:spacing w:line="440" w:lineRule="exact"/>
        <w:rPr>
          <w:rFonts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rPr>
          <w:rFonts w:ascii="宋体" w:hAnsi="宋体" w:cs="宋体"/>
          <w:szCs w:val="21"/>
        </w:rPr>
      </w:pPr>
      <w:r>
        <w:rPr>
          <w:rFonts w:hint="eastAsia" w:ascii="宋体" w:hAnsi="宋体" w:cs="宋体"/>
          <w:szCs w:val="21"/>
        </w:rPr>
        <w:t>2.评审时，磋商小组各成员应当独立对每个有效响应的文件进行评价、打分，然后汇总每个供应商每项评分因素的得分，取各磋商小组各成员评分的算术平均数作为供应商的评审最后得分。</w:t>
      </w:r>
    </w:p>
    <w:p>
      <w:pPr>
        <w:spacing w:line="440" w:lineRule="exact"/>
        <w:ind w:left="4" w:hanging="4"/>
        <w:rPr>
          <w:rFonts w:ascii="宋体" w:hAnsi="宋体" w:cs="宋体"/>
          <w:szCs w:val="21"/>
        </w:rPr>
      </w:pPr>
      <w:r>
        <w:rPr>
          <w:rFonts w:hint="eastAsia" w:ascii="宋体" w:hAnsi="宋体" w:cs="宋体"/>
          <w:szCs w:val="21"/>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spacing w:line="440" w:lineRule="exact"/>
        <w:rPr>
          <w:rFonts w:ascii="宋体" w:hAnsi="宋体" w:cs="宋体"/>
          <w:szCs w:val="21"/>
        </w:rPr>
      </w:pPr>
      <w:r>
        <w:rPr>
          <w:rFonts w:hint="eastAsia" w:ascii="宋体" w:hAnsi="宋体" w:cs="宋体"/>
          <w:szCs w:val="21"/>
        </w:rPr>
        <w:t>4.评分分值及计算结果精确到小数点后二位，二位以后四舍五入。</w:t>
      </w:r>
    </w:p>
    <w:p>
      <w:pPr>
        <w:pStyle w:val="2"/>
        <w:rPr>
          <w:rFonts w:ascii="宋体" w:hAnsi="宋体" w:cs="宋体"/>
          <w:szCs w:val="21"/>
        </w:rPr>
      </w:pPr>
    </w:p>
    <w:bookmarkEnd w:id="75"/>
    <w:bookmarkEnd w:id="76"/>
    <w:p>
      <w:pPr>
        <w:sectPr>
          <w:pgSz w:w="11906" w:h="16838"/>
          <w:pgMar w:top="1134" w:right="1134" w:bottom="1134" w:left="1474" w:header="851" w:footer="510" w:gutter="0"/>
          <w:cols w:space="720" w:num="1"/>
          <w:docGrid w:type="lines" w:linePitch="312" w:charSpace="0"/>
        </w:sectPr>
      </w:pPr>
      <w:bookmarkStart w:id="77" w:name="_Toc115021828"/>
      <w:bookmarkStart w:id="78" w:name="_Toc113459850"/>
      <w:bookmarkStart w:id="79" w:name="_Toc7461"/>
    </w:p>
    <w:p>
      <w:pPr>
        <w:pStyle w:val="37"/>
        <w:numPr>
          <w:ilvl w:val="0"/>
          <w:numId w:val="1"/>
        </w:numPr>
        <w:spacing w:line="360" w:lineRule="auto"/>
        <w:ind w:firstLine="0"/>
        <w:rPr>
          <w:rFonts w:ascii="宋体" w:hAnsi="宋体" w:cs="宋体"/>
        </w:rPr>
      </w:pPr>
      <w:r>
        <w:rPr>
          <w:rFonts w:hint="eastAsia" w:ascii="宋体" w:hAnsi="宋体" w:cs="宋体"/>
        </w:rPr>
        <w:t>拟签订的合同</w:t>
      </w:r>
      <w:bookmarkStart w:id="80" w:name="_Toc214329890"/>
      <w:bookmarkStart w:id="81" w:name="_Toc153880771"/>
      <w:bookmarkStart w:id="82" w:name="_Toc374512418"/>
      <w:bookmarkStart w:id="83" w:name="_Toc373230031"/>
      <w:bookmarkStart w:id="84" w:name="_Toc218418181"/>
      <w:r>
        <w:rPr>
          <w:rFonts w:hint="eastAsia" w:ascii="宋体" w:hAnsi="宋体" w:cs="宋体"/>
        </w:rPr>
        <w:t>文本</w:t>
      </w:r>
      <w:bookmarkEnd w:id="77"/>
      <w:bookmarkEnd w:id="78"/>
    </w:p>
    <w:p>
      <w:pPr>
        <w:jc w:val="center"/>
        <w:rPr>
          <w:rFonts w:ascii="宋体" w:hAnsi="宋体"/>
          <w:sz w:val="28"/>
          <w:szCs w:val="24"/>
        </w:rPr>
      </w:pPr>
      <w:r>
        <w:rPr>
          <w:rFonts w:hint="eastAsia" w:ascii="宋体" w:hAnsi="宋体"/>
          <w:sz w:val="28"/>
          <w:szCs w:val="24"/>
        </w:rPr>
        <w:t>（仅供参考）</w:t>
      </w:r>
    </w:p>
    <w:p>
      <w:pPr>
        <w:pStyle w:val="82"/>
        <w:spacing w:line="360" w:lineRule="auto"/>
        <w:rPr>
          <w:rFonts w:ascii="宋体" w:hAnsi="宋体" w:cs="宋体"/>
          <w:sz w:val="21"/>
          <w:szCs w:val="21"/>
        </w:rPr>
      </w:pPr>
      <w:r>
        <w:rPr>
          <w:rFonts w:hint="eastAsia" w:ascii="宋体" w:hAnsi="宋体" w:cs="宋体"/>
          <w:sz w:val="21"/>
          <w:szCs w:val="21"/>
        </w:rPr>
        <w:t>采购方（甲方）：</w:t>
      </w:r>
    </w:p>
    <w:p>
      <w:pPr>
        <w:pStyle w:val="82"/>
        <w:spacing w:line="360" w:lineRule="auto"/>
        <w:rPr>
          <w:rFonts w:ascii="宋体" w:hAnsi="宋体" w:cs="宋体"/>
          <w:sz w:val="21"/>
          <w:szCs w:val="21"/>
        </w:rPr>
      </w:pPr>
      <w:r>
        <w:rPr>
          <w:rFonts w:hint="eastAsia" w:ascii="宋体" w:hAnsi="宋体" w:cs="宋体"/>
          <w:sz w:val="21"/>
          <w:szCs w:val="21"/>
        </w:rPr>
        <w:t>供货方（乙方）：</w:t>
      </w:r>
    </w:p>
    <w:p>
      <w:pPr>
        <w:pStyle w:val="82"/>
        <w:spacing w:line="360" w:lineRule="auto"/>
        <w:rPr>
          <w:rFonts w:ascii="宋体" w:hAnsi="宋体" w:cs="宋体"/>
          <w:sz w:val="21"/>
          <w:szCs w:val="21"/>
        </w:rPr>
      </w:pPr>
      <w:r>
        <w:rPr>
          <w:rFonts w:hint="eastAsia" w:ascii="宋体" w:hAnsi="宋体" w:cs="宋体"/>
          <w:sz w:val="21"/>
          <w:szCs w:val="21"/>
        </w:rPr>
        <w:t xml:space="preserve">签订地点： </w:t>
      </w:r>
    </w:p>
    <w:p>
      <w:pPr>
        <w:pStyle w:val="82"/>
        <w:spacing w:line="360" w:lineRule="auto"/>
        <w:rPr>
          <w:rFonts w:ascii="宋体" w:hAnsi="宋体" w:cs="宋体"/>
          <w:sz w:val="21"/>
          <w:szCs w:val="21"/>
        </w:rPr>
      </w:pPr>
      <w:r>
        <w:rPr>
          <w:rFonts w:hint="eastAsia" w:ascii="宋体" w:hAnsi="宋体" w:cs="宋体"/>
          <w:sz w:val="21"/>
          <w:szCs w:val="21"/>
        </w:rPr>
        <w:t>合同编号：</w:t>
      </w:r>
    </w:p>
    <w:p>
      <w:pPr>
        <w:pStyle w:val="82"/>
        <w:spacing w:line="360" w:lineRule="auto"/>
        <w:ind w:firstLine="420" w:firstLineChars="200"/>
        <w:rPr>
          <w:rFonts w:ascii="宋体" w:hAnsi="宋体" w:cs="宋体"/>
          <w:sz w:val="21"/>
          <w:szCs w:val="21"/>
        </w:rPr>
      </w:pPr>
      <w:r>
        <w:rPr>
          <w:rFonts w:hint="eastAsia" w:ascii="宋体" w:hAnsi="宋体" w:cs="宋体"/>
          <w:sz w:val="21"/>
          <w:szCs w:val="21"/>
        </w:rPr>
        <w:t>参考</w:t>
      </w:r>
      <w:r>
        <w:rPr>
          <w:rFonts w:hint="eastAsia" w:ascii="宋体" w:hAnsi="宋体" w:cs="宋体"/>
          <w:sz w:val="21"/>
          <w:szCs w:val="21"/>
          <w:lang w:val="zh-CN"/>
        </w:rPr>
        <w:t>《中华人民共和国政府采购法》、《中华人民共和国</w:t>
      </w:r>
      <w:r>
        <w:rPr>
          <w:rFonts w:hint="eastAsia" w:ascii="宋体" w:hAnsi="宋体" w:cs="宋体"/>
          <w:sz w:val="21"/>
          <w:szCs w:val="21"/>
        </w:rPr>
        <w:t>民</w:t>
      </w:r>
      <w:r>
        <w:rPr>
          <w:rFonts w:hint="eastAsia" w:ascii="宋体" w:hAnsi="宋体" w:cs="宋体"/>
          <w:sz w:val="21"/>
          <w:szCs w:val="21"/>
          <w:lang w:val="zh-CN"/>
        </w:rPr>
        <w:t>法</w:t>
      </w:r>
      <w:r>
        <w:rPr>
          <w:rFonts w:hint="eastAsia" w:ascii="宋体" w:hAnsi="宋体" w:cs="宋体"/>
          <w:sz w:val="21"/>
          <w:szCs w:val="21"/>
        </w:rPr>
        <w:t>典</w:t>
      </w:r>
      <w:r>
        <w:rPr>
          <w:rFonts w:hint="eastAsia" w:ascii="宋体" w:hAnsi="宋体" w:cs="宋体"/>
          <w:sz w:val="21"/>
          <w:szCs w:val="21"/>
          <w:lang w:val="zh-CN"/>
        </w:rPr>
        <w:t>》</w:t>
      </w:r>
      <w:r>
        <w:rPr>
          <w:rFonts w:hint="eastAsia" w:ascii="宋体" w:hAnsi="宋体" w:cs="宋体"/>
          <w:sz w:val="21"/>
          <w:szCs w:val="21"/>
        </w:rPr>
        <w:t>及有关法律法规，为维护双方的合法权益，甲、乙双方在平等互利、诚实信用的基础上，经友好协商，签订本合同，双方共同遵守执行。</w:t>
      </w:r>
    </w:p>
    <w:p>
      <w:pPr>
        <w:tabs>
          <w:tab w:val="left" w:pos="0"/>
          <w:tab w:val="left" w:pos="1620"/>
        </w:tabs>
        <w:spacing w:line="360" w:lineRule="auto"/>
        <w:rPr>
          <w:rFonts w:ascii="宋体" w:hAnsi="宋体" w:cs="宋体"/>
          <w:b/>
          <w:szCs w:val="21"/>
          <w:u w:val="single"/>
        </w:rPr>
      </w:pPr>
      <w:r>
        <w:rPr>
          <w:rFonts w:hint="eastAsia" w:ascii="宋体" w:hAnsi="宋体" w:cs="宋体"/>
          <w:szCs w:val="21"/>
        </w:rPr>
        <w:t xml:space="preserve"> 一、合同授予</w:t>
      </w:r>
    </w:p>
    <w:p>
      <w:pPr>
        <w:pStyle w:val="82"/>
        <w:spacing w:line="360" w:lineRule="auto"/>
        <w:rPr>
          <w:rFonts w:ascii="宋体" w:hAnsi="宋体" w:cs="宋体"/>
          <w:sz w:val="21"/>
          <w:szCs w:val="21"/>
        </w:rPr>
      </w:pPr>
      <w:r>
        <w:rPr>
          <w:rFonts w:hint="eastAsia" w:ascii="宋体" w:hAnsi="宋体" w:cs="宋体"/>
          <w:sz w:val="21"/>
          <w:szCs w:val="21"/>
        </w:rPr>
        <w:t xml:space="preserve">  (项目编号:  )甲方为采购方，经批准，用竞争性磋商方式采购，经本项目磋商小组认真评审，决定将采购合同授予乙方。</w:t>
      </w:r>
    </w:p>
    <w:p>
      <w:pPr>
        <w:pStyle w:val="82"/>
        <w:spacing w:line="360" w:lineRule="auto"/>
        <w:rPr>
          <w:rFonts w:ascii="宋体" w:hAnsi="宋体" w:cs="宋体"/>
          <w:sz w:val="21"/>
          <w:szCs w:val="21"/>
        </w:rPr>
      </w:pPr>
      <w:r>
        <w:rPr>
          <w:rFonts w:hint="eastAsia" w:ascii="宋体" w:hAnsi="宋体" w:cs="宋体"/>
          <w:sz w:val="21"/>
          <w:szCs w:val="21"/>
        </w:rPr>
        <w:t xml:space="preserve">    二、合同文件组成</w:t>
      </w:r>
    </w:p>
    <w:p>
      <w:pPr>
        <w:pStyle w:val="82"/>
        <w:spacing w:line="360" w:lineRule="auto"/>
        <w:rPr>
          <w:rFonts w:ascii="宋体" w:hAnsi="宋体" w:cs="宋体"/>
          <w:sz w:val="21"/>
          <w:szCs w:val="21"/>
        </w:rPr>
      </w:pPr>
      <w:r>
        <w:rPr>
          <w:rFonts w:hint="eastAsia" w:ascii="宋体" w:hAnsi="宋体" w:cs="宋体"/>
          <w:sz w:val="21"/>
          <w:szCs w:val="21"/>
        </w:rPr>
        <w:t xml:space="preserve">    1.本合同条款；2.成交通知书；3.乙方响应文件；4.竞争性磋商文件；5.其它相关文件。</w:t>
      </w:r>
    </w:p>
    <w:p>
      <w:pPr>
        <w:pStyle w:val="82"/>
        <w:spacing w:line="360" w:lineRule="auto"/>
        <w:rPr>
          <w:rFonts w:ascii="宋体" w:hAnsi="宋体" w:cs="宋体"/>
          <w:sz w:val="21"/>
          <w:szCs w:val="21"/>
        </w:rPr>
      </w:pPr>
      <w:r>
        <w:rPr>
          <w:rFonts w:hint="eastAsia" w:ascii="宋体" w:hAnsi="宋体" w:cs="宋体"/>
          <w:sz w:val="21"/>
          <w:szCs w:val="21"/>
        </w:rPr>
        <w:t xml:space="preserve">    上述所指合同文件应认为是互相补充和解释的，如有不一致之处，以其所列内容顺序为准。</w:t>
      </w:r>
    </w:p>
    <w:p>
      <w:pPr>
        <w:pStyle w:val="82"/>
        <w:spacing w:line="360" w:lineRule="auto"/>
        <w:rPr>
          <w:rFonts w:ascii="宋体" w:hAnsi="宋体" w:cs="宋体"/>
          <w:sz w:val="21"/>
          <w:szCs w:val="21"/>
        </w:rPr>
      </w:pPr>
      <w:bookmarkStart w:id="85" w:name="_Toc25826"/>
      <w:bookmarkStart w:id="86" w:name="_Toc29101"/>
      <w:r>
        <w:rPr>
          <w:rFonts w:hint="eastAsia" w:ascii="宋体" w:hAnsi="宋体" w:cs="宋体"/>
          <w:sz w:val="21"/>
          <w:szCs w:val="21"/>
        </w:rPr>
        <w:t xml:space="preserve">    三、合同</w:t>
      </w:r>
      <w:bookmarkEnd w:id="85"/>
      <w:bookmarkEnd w:id="86"/>
      <w:r>
        <w:rPr>
          <w:rFonts w:hint="eastAsia" w:ascii="宋体" w:hAnsi="宋体" w:cs="宋体"/>
          <w:sz w:val="21"/>
          <w:szCs w:val="21"/>
        </w:rPr>
        <w:t>采购产品名称、规格型号、数量、单价和总价</w:t>
      </w:r>
    </w:p>
    <w:tbl>
      <w:tblPr>
        <w:tblStyle w:val="3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7"/>
        <w:gridCol w:w="1505"/>
        <w:gridCol w:w="1504"/>
        <w:gridCol w:w="752"/>
        <w:gridCol w:w="752"/>
        <w:gridCol w:w="1203"/>
        <w:gridCol w:w="1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1467" w:type="dxa"/>
            <w:vAlign w:val="center"/>
          </w:tcPr>
          <w:p>
            <w:pPr>
              <w:pStyle w:val="82"/>
              <w:spacing w:line="360" w:lineRule="auto"/>
              <w:jc w:val="center"/>
              <w:rPr>
                <w:rFonts w:ascii="宋体" w:hAnsi="宋体" w:cs="宋体"/>
                <w:sz w:val="21"/>
                <w:szCs w:val="21"/>
              </w:rPr>
            </w:pPr>
            <w:r>
              <w:rPr>
                <w:rFonts w:hint="eastAsia" w:ascii="宋体" w:hAnsi="宋体" w:cs="宋体"/>
                <w:sz w:val="21"/>
                <w:szCs w:val="21"/>
              </w:rPr>
              <w:t>产品名称</w:t>
            </w:r>
          </w:p>
        </w:tc>
        <w:tc>
          <w:tcPr>
            <w:tcW w:w="1505" w:type="dxa"/>
            <w:vAlign w:val="center"/>
          </w:tcPr>
          <w:p>
            <w:pPr>
              <w:pStyle w:val="82"/>
              <w:spacing w:line="360" w:lineRule="auto"/>
              <w:jc w:val="center"/>
              <w:rPr>
                <w:rFonts w:ascii="宋体" w:hAnsi="宋体" w:cs="宋体"/>
                <w:sz w:val="21"/>
                <w:szCs w:val="21"/>
              </w:rPr>
            </w:pPr>
            <w:r>
              <w:rPr>
                <w:rFonts w:hint="eastAsia" w:ascii="宋体" w:hAnsi="宋体" w:cs="宋体"/>
                <w:sz w:val="21"/>
                <w:szCs w:val="21"/>
              </w:rPr>
              <w:t>规格型号</w:t>
            </w:r>
          </w:p>
        </w:tc>
        <w:tc>
          <w:tcPr>
            <w:tcW w:w="1504" w:type="dxa"/>
            <w:vAlign w:val="center"/>
          </w:tcPr>
          <w:p>
            <w:pPr>
              <w:pStyle w:val="82"/>
              <w:spacing w:line="360" w:lineRule="auto"/>
              <w:jc w:val="center"/>
              <w:rPr>
                <w:rFonts w:ascii="宋体" w:hAnsi="宋体" w:cs="宋体"/>
                <w:sz w:val="21"/>
                <w:szCs w:val="21"/>
              </w:rPr>
            </w:pPr>
            <w:r>
              <w:rPr>
                <w:rFonts w:hint="eastAsia" w:ascii="宋体" w:hAnsi="宋体" w:cs="宋体"/>
                <w:sz w:val="21"/>
                <w:szCs w:val="21"/>
              </w:rPr>
              <w:t>产地、生产商</w:t>
            </w:r>
          </w:p>
        </w:tc>
        <w:tc>
          <w:tcPr>
            <w:tcW w:w="752" w:type="dxa"/>
            <w:vAlign w:val="center"/>
          </w:tcPr>
          <w:p>
            <w:pPr>
              <w:pStyle w:val="82"/>
              <w:spacing w:line="360" w:lineRule="auto"/>
              <w:jc w:val="center"/>
              <w:rPr>
                <w:rFonts w:ascii="宋体" w:hAnsi="宋体" w:cs="宋体"/>
                <w:sz w:val="21"/>
                <w:szCs w:val="21"/>
              </w:rPr>
            </w:pPr>
            <w:r>
              <w:rPr>
                <w:rFonts w:hint="eastAsia" w:ascii="宋体" w:hAnsi="宋体" w:cs="宋体"/>
                <w:sz w:val="21"/>
                <w:szCs w:val="21"/>
              </w:rPr>
              <w:t>单位</w:t>
            </w:r>
          </w:p>
        </w:tc>
        <w:tc>
          <w:tcPr>
            <w:tcW w:w="752" w:type="dxa"/>
            <w:vAlign w:val="center"/>
          </w:tcPr>
          <w:p>
            <w:pPr>
              <w:pStyle w:val="82"/>
              <w:spacing w:line="360" w:lineRule="auto"/>
              <w:jc w:val="center"/>
              <w:rPr>
                <w:rFonts w:ascii="宋体" w:hAnsi="宋体" w:cs="宋体"/>
                <w:sz w:val="21"/>
                <w:szCs w:val="21"/>
              </w:rPr>
            </w:pPr>
            <w:r>
              <w:rPr>
                <w:rFonts w:hint="eastAsia" w:ascii="宋体" w:hAnsi="宋体" w:cs="宋体"/>
                <w:sz w:val="21"/>
                <w:szCs w:val="21"/>
              </w:rPr>
              <w:t>数量</w:t>
            </w:r>
          </w:p>
        </w:tc>
        <w:tc>
          <w:tcPr>
            <w:tcW w:w="1203" w:type="dxa"/>
            <w:vAlign w:val="center"/>
          </w:tcPr>
          <w:p>
            <w:pPr>
              <w:pStyle w:val="82"/>
              <w:spacing w:line="360" w:lineRule="auto"/>
              <w:jc w:val="center"/>
              <w:rPr>
                <w:rFonts w:ascii="宋体" w:hAnsi="宋体" w:cs="宋体"/>
                <w:sz w:val="21"/>
                <w:szCs w:val="21"/>
              </w:rPr>
            </w:pPr>
            <w:r>
              <w:rPr>
                <w:rFonts w:hint="eastAsia" w:ascii="宋体" w:hAnsi="宋体" w:cs="宋体"/>
                <w:sz w:val="21"/>
                <w:szCs w:val="21"/>
              </w:rPr>
              <w:t>单价</w:t>
            </w:r>
          </w:p>
        </w:tc>
        <w:tc>
          <w:tcPr>
            <w:tcW w:w="1693" w:type="dxa"/>
            <w:vAlign w:val="center"/>
          </w:tcPr>
          <w:p>
            <w:pPr>
              <w:pStyle w:val="82"/>
              <w:spacing w:line="360" w:lineRule="auto"/>
              <w:jc w:val="center"/>
              <w:rPr>
                <w:rFonts w:ascii="宋体" w:hAnsi="宋体" w:cs="宋体"/>
                <w:sz w:val="21"/>
                <w:szCs w:val="21"/>
              </w:rPr>
            </w:pPr>
            <w:r>
              <w:rPr>
                <w:rFonts w:hint="eastAsia" w:ascii="宋体" w:hAnsi="宋体" w:cs="宋体"/>
                <w:sz w:val="21"/>
                <w:szCs w:val="21"/>
              </w:rPr>
              <w:t>合价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tcPr>
          <w:p>
            <w:pPr>
              <w:pStyle w:val="82"/>
              <w:spacing w:line="360" w:lineRule="auto"/>
              <w:rPr>
                <w:rFonts w:ascii="宋体" w:hAnsi="宋体" w:cs="宋体"/>
                <w:sz w:val="21"/>
                <w:szCs w:val="21"/>
              </w:rPr>
            </w:pPr>
          </w:p>
        </w:tc>
        <w:tc>
          <w:tcPr>
            <w:tcW w:w="1505" w:type="dxa"/>
          </w:tcPr>
          <w:p>
            <w:pPr>
              <w:pStyle w:val="82"/>
              <w:spacing w:line="360" w:lineRule="auto"/>
              <w:rPr>
                <w:rFonts w:ascii="宋体" w:hAnsi="宋体" w:cs="宋体"/>
                <w:sz w:val="21"/>
                <w:szCs w:val="21"/>
              </w:rPr>
            </w:pPr>
          </w:p>
        </w:tc>
        <w:tc>
          <w:tcPr>
            <w:tcW w:w="1504" w:type="dxa"/>
          </w:tcPr>
          <w:p>
            <w:pPr>
              <w:pStyle w:val="82"/>
              <w:spacing w:line="360" w:lineRule="auto"/>
              <w:rPr>
                <w:rFonts w:ascii="宋体" w:hAnsi="宋体" w:cs="宋体"/>
                <w:sz w:val="21"/>
                <w:szCs w:val="21"/>
              </w:rPr>
            </w:pPr>
          </w:p>
        </w:tc>
        <w:tc>
          <w:tcPr>
            <w:tcW w:w="752" w:type="dxa"/>
          </w:tcPr>
          <w:p>
            <w:pPr>
              <w:pStyle w:val="82"/>
              <w:spacing w:line="360" w:lineRule="auto"/>
              <w:rPr>
                <w:rFonts w:ascii="宋体" w:hAnsi="宋体" w:cs="宋体"/>
                <w:sz w:val="21"/>
                <w:szCs w:val="21"/>
              </w:rPr>
            </w:pPr>
          </w:p>
        </w:tc>
        <w:tc>
          <w:tcPr>
            <w:tcW w:w="752" w:type="dxa"/>
          </w:tcPr>
          <w:p>
            <w:pPr>
              <w:pStyle w:val="82"/>
              <w:spacing w:line="360" w:lineRule="auto"/>
              <w:rPr>
                <w:rFonts w:ascii="宋体" w:hAnsi="宋体" w:cs="宋体"/>
                <w:sz w:val="21"/>
                <w:szCs w:val="21"/>
              </w:rPr>
            </w:pPr>
          </w:p>
        </w:tc>
        <w:tc>
          <w:tcPr>
            <w:tcW w:w="1203" w:type="dxa"/>
          </w:tcPr>
          <w:p>
            <w:pPr>
              <w:pStyle w:val="82"/>
              <w:spacing w:line="360" w:lineRule="auto"/>
              <w:rPr>
                <w:rFonts w:ascii="宋体" w:hAnsi="宋体" w:cs="宋体"/>
                <w:sz w:val="21"/>
                <w:szCs w:val="21"/>
              </w:rPr>
            </w:pPr>
          </w:p>
        </w:tc>
        <w:tc>
          <w:tcPr>
            <w:tcW w:w="1693" w:type="dxa"/>
          </w:tcPr>
          <w:p>
            <w:pPr>
              <w:pStyle w:val="82"/>
              <w:spacing w:line="360" w:lineRule="auto"/>
              <w:rPr>
                <w:rFonts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467" w:type="dxa"/>
          </w:tcPr>
          <w:p>
            <w:pPr>
              <w:pStyle w:val="82"/>
              <w:spacing w:line="360" w:lineRule="auto"/>
              <w:rPr>
                <w:rFonts w:ascii="宋体" w:hAnsi="宋体" w:cs="宋体"/>
                <w:sz w:val="21"/>
                <w:szCs w:val="21"/>
              </w:rPr>
            </w:pPr>
          </w:p>
        </w:tc>
        <w:tc>
          <w:tcPr>
            <w:tcW w:w="1505" w:type="dxa"/>
          </w:tcPr>
          <w:p>
            <w:pPr>
              <w:pStyle w:val="82"/>
              <w:spacing w:line="360" w:lineRule="auto"/>
              <w:rPr>
                <w:rFonts w:ascii="宋体" w:hAnsi="宋体" w:cs="宋体"/>
                <w:sz w:val="21"/>
                <w:szCs w:val="21"/>
              </w:rPr>
            </w:pPr>
          </w:p>
        </w:tc>
        <w:tc>
          <w:tcPr>
            <w:tcW w:w="1504" w:type="dxa"/>
          </w:tcPr>
          <w:p>
            <w:pPr>
              <w:pStyle w:val="82"/>
              <w:spacing w:line="360" w:lineRule="auto"/>
              <w:rPr>
                <w:rFonts w:ascii="宋体" w:hAnsi="宋体" w:cs="宋体"/>
                <w:sz w:val="21"/>
                <w:szCs w:val="21"/>
              </w:rPr>
            </w:pPr>
          </w:p>
        </w:tc>
        <w:tc>
          <w:tcPr>
            <w:tcW w:w="752" w:type="dxa"/>
          </w:tcPr>
          <w:p>
            <w:pPr>
              <w:pStyle w:val="82"/>
              <w:spacing w:line="360" w:lineRule="auto"/>
              <w:rPr>
                <w:rFonts w:ascii="宋体" w:hAnsi="宋体" w:cs="宋体"/>
                <w:sz w:val="21"/>
                <w:szCs w:val="21"/>
              </w:rPr>
            </w:pPr>
          </w:p>
        </w:tc>
        <w:tc>
          <w:tcPr>
            <w:tcW w:w="752" w:type="dxa"/>
          </w:tcPr>
          <w:p>
            <w:pPr>
              <w:pStyle w:val="82"/>
              <w:spacing w:line="360" w:lineRule="auto"/>
              <w:rPr>
                <w:rFonts w:ascii="宋体" w:hAnsi="宋体" w:cs="宋体"/>
                <w:sz w:val="21"/>
                <w:szCs w:val="21"/>
              </w:rPr>
            </w:pPr>
          </w:p>
        </w:tc>
        <w:tc>
          <w:tcPr>
            <w:tcW w:w="1203" w:type="dxa"/>
          </w:tcPr>
          <w:p>
            <w:pPr>
              <w:pStyle w:val="82"/>
              <w:spacing w:line="360" w:lineRule="auto"/>
              <w:rPr>
                <w:rFonts w:ascii="宋体" w:hAnsi="宋体" w:cs="宋体"/>
                <w:sz w:val="21"/>
                <w:szCs w:val="21"/>
              </w:rPr>
            </w:pPr>
          </w:p>
        </w:tc>
        <w:tc>
          <w:tcPr>
            <w:tcW w:w="1693" w:type="dxa"/>
          </w:tcPr>
          <w:p>
            <w:pPr>
              <w:pStyle w:val="82"/>
              <w:spacing w:line="360" w:lineRule="auto"/>
              <w:rPr>
                <w:rFonts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2972" w:type="dxa"/>
            <w:gridSpan w:val="2"/>
          </w:tcPr>
          <w:p>
            <w:pPr>
              <w:pStyle w:val="82"/>
              <w:spacing w:line="360" w:lineRule="auto"/>
              <w:rPr>
                <w:rFonts w:ascii="宋体" w:hAnsi="宋体" w:cs="宋体"/>
                <w:sz w:val="21"/>
                <w:szCs w:val="21"/>
              </w:rPr>
            </w:pPr>
            <w:r>
              <w:rPr>
                <w:rFonts w:hint="eastAsia" w:ascii="宋体" w:hAnsi="宋体" w:cs="宋体"/>
                <w:sz w:val="21"/>
                <w:szCs w:val="21"/>
              </w:rPr>
              <w:t>总合计：</w:t>
            </w:r>
          </w:p>
        </w:tc>
        <w:tc>
          <w:tcPr>
            <w:tcW w:w="5904" w:type="dxa"/>
            <w:gridSpan w:val="5"/>
          </w:tcPr>
          <w:p>
            <w:pPr>
              <w:pStyle w:val="82"/>
              <w:spacing w:line="360" w:lineRule="auto"/>
              <w:rPr>
                <w:rFonts w:ascii="宋体" w:hAnsi="宋体" w:cs="宋体"/>
                <w:sz w:val="21"/>
                <w:szCs w:val="21"/>
              </w:rPr>
            </w:pPr>
            <w:r>
              <w:rPr>
                <w:rFonts w:hint="eastAsia" w:ascii="宋体" w:hAnsi="宋体" w:cs="宋体"/>
                <w:sz w:val="21"/>
                <w:szCs w:val="21"/>
              </w:rPr>
              <w:t>人民币大写：                 万元；小写：      万元</w:t>
            </w:r>
          </w:p>
        </w:tc>
      </w:tr>
    </w:tbl>
    <w:p>
      <w:pPr>
        <w:pStyle w:val="82"/>
        <w:spacing w:line="360" w:lineRule="auto"/>
        <w:rPr>
          <w:rFonts w:ascii="宋体" w:hAnsi="宋体" w:cs="宋体"/>
          <w:sz w:val="21"/>
          <w:szCs w:val="21"/>
        </w:rPr>
      </w:pPr>
      <w:r>
        <w:rPr>
          <w:rFonts w:hint="eastAsia" w:ascii="宋体" w:hAnsi="宋体" w:cs="宋体"/>
          <w:sz w:val="21"/>
          <w:szCs w:val="21"/>
        </w:rPr>
        <w:t>合同金额（小写）：元(人民币)；（大写）：元(人民币)。</w:t>
      </w:r>
    </w:p>
    <w:p>
      <w:pPr>
        <w:pStyle w:val="82"/>
        <w:spacing w:line="360" w:lineRule="auto"/>
        <w:rPr>
          <w:rFonts w:ascii="宋体" w:hAnsi="宋体" w:cs="宋体"/>
          <w:sz w:val="21"/>
          <w:szCs w:val="21"/>
        </w:rPr>
      </w:pPr>
      <w:r>
        <w:rPr>
          <w:rFonts w:hint="eastAsia" w:ascii="宋体" w:hAnsi="宋体" w:cs="宋体"/>
          <w:sz w:val="21"/>
          <w:szCs w:val="21"/>
        </w:rPr>
        <w:t>备注：合同总价包含装卸、运输、保险、税费和售后服务（保修期内备件、安装、调试、培训费用等）所需费用。</w:t>
      </w:r>
    </w:p>
    <w:p>
      <w:pPr>
        <w:pStyle w:val="82"/>
        <w:spacing w:line="360" w:lineRule="auto"/>
        <w:rPr>
          <w:rFonts w:ascii="宋体" w:hAnsi="宋体" w:cs="宋体"/>
          <w:sz w:val="21"/>
          <w:szCs w:val="21"/>
        </w:rPr>
      </w:pPr>
      <w:r>
        <w:rPr>
          <w:rFonts w:hint="eastAsia" w:ascii="宋体" w:hAnsi="宋体" w:cs="宋体"/>
          <w:sz w:val="21"/>
          <w:szCs w:val="21"/>
        </w:rPr>
        <w:t>四、 产品的要求和技术标准</w:t>
      </w:r>
    </w:p>
    <w:p>
      <w:pPr>
        <w:pStyle w:val="82"/>
        <w:spacing w:line="360" w:lineRule="auto"/>
        <w:rPr>
          <w:rFonts w:ascii="宋体" w:hAnsi="宋体" w:cs="宋体"/>
          <w:sz w:val="21"/>
          <w:szCs w:val="21"/>
        </w:rPr>
      </w:pPr>
      <w:r>
        <w:rPr>
          <w:rFonts w:hint="eastAsia" w:ascii="宋体" w:hAnsi="宋体" w:cs="宋体"/>
          <w:sz w:val="21"/>
          <w:szCs w:val="21"/>
        </w:rPr>
        <w:t>1、质量要求和技术标准按</w:t>
      </w:r>
      <w:r>
        <w:rPr>
          <w:rFonts w:hint="eastAsia" w:ascii="宋体" w:hAnsi="宋体" w:cs="宋体"/>
          <w:sz w:val="21"/>
          <w:szCs w:val="21"/>
          <w:lang w:val="en-US" w:eastAsia="zh-CN"/>
        </w:rPr>
        <w:t>磋商</w:t>
      </w:r>
      <w:r>
        <w:rPr>
          <w:rFonts w:hint="eastAsia" w:ascii="宋体" w:hAnsi="宋体" w:cs="宋体"/>
          <w:sz w:val="21"/>
          <w:szCs w:val="21"/>
        </w:rPr>
        <w:t xml:space="preserve">文件和乙方响应文件执行 。  </w:t>
      </w:r>
    </w:p>
    <w:p>
      <w:pPr>
        <w:pStyle w:val="82"/>
        <w:spacing w:line="360" w:lineRule="auto"/>
        <w:rPr>
          <w:rFonts w:ascii="宋体" w:hAnsi="宋体" w:cs="宋体"/>
          <w:sz w:val="21"/>
          <w:szCs w:val="21"/>
        </w:rPr>
      </w:pPr>
      <w:r>
        <w:rPr>
          <w:rFonts w:hint="eastAsia" w:ascii="宋体" w:hAnsi="宋体" w:cs="宋体"/>
          <w:sz w:val="21"/>
          <w:szCs w:val="21"/>
        </w:rPr>
        <w:t>2、乙方提供货物产品应是货物</w:t>
      </w:r>
      <w:r>
        <w:rPr>
          <w:rFonts w:hint="eastAsia" w:ascii="宋体" w:hAnsi="宋体" w:cs="宋体"/>
          <w:sz w:val="21"/>
          <w:szCs w:val="21"/>
          <w:lang w:eastAsia="zh-CN"/>
        </w:rPr>
        <w:t>生产厂家</w:t>
      </w:r>
      <w:r>
        <w:rPr>
          <w:rFonts w:hint="eastAsia" w:ascii="宋体" w:hAnsi="宋体" w:cs="宋体"/>
          <w:sz w:val="21"/>
          <w:szCs w:val="21"/>
        </w:rPr>
        <w:t xml:space="preserve">授权许可，应保证需方不受到第三方关于侵权的指控，并承担由于提供供货而引起的一切法律责任、费用和后果。      </w:t>
      </w:r>
    </w:p>
    <w:p>
      <w:pPr>
        <w:pStyle w:val="82"/>
        <w:spacing w:line="360" w:lineRule="auto"/>
        <w:rPr>
          <w:rFonts w:ascii="宋体" w:hAnsi="宋体" w:cs="宋体"/>
          <w:sz w:val="21"/>
          <w:szCs w:val="21"/>
        </w:rPr>
      </w:pPr>
      <w:r>
        <w:rPr>
          <w:rFonts w:hint="eastAsia" w:ascii="宋体" w:hAnsi="宋体" w:cs="宋体"/>
          <w:sz w:val="21"/>
          <w:szCs w:val="21"/>
        </w:rPr>
        <w:t>五、交货期限</w:t>
      </w:r>
    </w:p>
    <w:p>
      <w:pPr>
        <w:pStyle w:val="82"/>
        <w:spacing w:line="360" w:lineRule="auto"/>
        <w:rPr>
          <w:rFonts w:ascii="宋体" w:hAnsi="宋体" w:cs="宋体"/>
          <w:sz w:val="21"/>
          <w:szCs w:val="21"/>
        </w:rPr>
      </w:pPr>
      <w:r>
        <w:rPr>
          <w:rFonts w:hint="eastAsia" w:ascii="宋体" w:hAnsi="宋体" w:cs="宋体"/>
          <w:sz w:val="21"/>
          <w:szCs w:val="21"/>
        </w:rPr>
        <w:t>1、合同履行期限及地点和方式：</w:t>
      </w:r>
    </w:p>
    <w:p>
      <w:pPr>
        <w:pStyle w:val="82"/>
        <w:spacing w:line="360" w:lineRule="auto"/>
        <w:rPr>
          <w:rFonts w:ascii="宋体" w:hAnsi="宋体" w:cs="宋体"/>
          <w:color w:val="000000"/>
          <w:sz w:val="21"/>
          <w:szCs w:val="21"/>
        </w:rPr>
      </w:pPr>
      <w:r>
        <w:rPr>
          <w:rFonts w:hint="eastAsia" w:ascii="宋体" w:hAnsi="宋体" w:cs="宋体"/>
          <w:color w:val="000000"/>
          <w:sz w:val="21"/>
          <w:szCs w:val="21"/>
        </w:rPr>
        <w:t>合同履行期限：自双方签订合同后15日内</w:t>
      </w:r>
    </w:p>
    <w:p>
      <w:pPr>
        <w:pStyle w:val="82"/>
        <w:spacing w:line="360" w:lineRule="auto"/>
        <w:rPr>
          <w:rFonts w:ascii="宋体" w:hAnsi="宋体" w:cs="宋体"/>
          <w:color w:val="000000"/>
          <w:sz w:val="21"/>
          <w:szCs w:val="21"/>
        </w:rPr>
      </w:pPr>
      <w:r>
        <w:rPr>
          <w:rFonts w:hint="eastAsia" w:ascii="宋体" w:hAnsi="宋体" w:cs="宋体"/>
          <w:color w:val="000000"/>
          <w:sz w:val="21"/>
          <w:szCs w:val="21"/>
        </w:rPr>
        <w:t>2、供货安装地点：武陟县职业技术学校。</w:t>
      </w:r>
    </w:p>
    <w:p>
      <w:pPr>
        <w:pStyle w:val="82"/>
        <w:spacing w:line="360" w:lineRule="auto"/>
        <w:rPr>
          <w:rFonts w:ascii="宋体" w:hAnsi="宋体" w:cs="宋体"/>
          <w:sz w:val="21"/>
          <w:szCs w:val="21"/>
        </w:rPr>
      </w:pPr>
      <w:r>
        <w:rPr>
          <w:rFonts w:hint="eastAsia" w:ascii="宋体" w:hAnsi="宋体" w:cs="宋体"/>
          <w:sz w:val="21"/>
          <w:szCs w:val="21"/>
        </w:rPr>
        <w:t>3、质量标准</w:t>
      </w:r>
      <w:r>
        <w:rPr>
          <w:rFonts w:hint="eastAsia" w:ascii="宋体" w:hAnsi="宋体" w:cs="宋体"/>
          <w:color w:val="000000"/>
          <w:sz w:val="21"/>
          <w:szCs w:val="21"/>
        </w:rPr>
        <w:t>：符合国家及行业有关合格标准。</w:t>
      </w:r>
    </w:p>
    <w:p>
      <w:pPr>
        <w:pStyle w:val="82"/>
        <w:spacing w:line="360" w:lineRule="auto"/>
        <w:rPr>
          <w:rFonts w:ascii="宋体" w:hAnsi="宋体" w:cs="宋体"/>
          <w:color w:val="000000"/>
          <w:sz w:val="21"/>
          <w:szCs w:val="21"/>
        </w:rPr>
      </w:pPr>
      <w:r>
        <w:rPr>
          <w:rFonts w:hint="eastAsia" w:ascii="宋体" w:hAnsi="宋体" w:cs="宋体"/>
          <w:color w:val="000000"/>
          <w:sz w:val="21"/>
          <w:szCs w:val="21"/>
        </w:rPr>
        <w:t>4、质量保证期：自项目最终验收之日起，主要设备（红外高清半球摄像机、高清SIP管理平台、高清媒体转发平台、标考网络流媒体存储平台、网络视频解码器、电视墙管理软件、核心交换机等）质保三年。</w:t>
      </w:r>
    </w:p>
    <w:p>
      <w:pPr>
        <w:pStyle w:val="82"/>
        <w:spacing w:line="360" w:lineRule="auto"/>
        <w:rPr>
          <w:rFonts w:ascii="宋体" w:hAnsi="宋体" w:cs="宋体"/>
          <w:sz w:val="21"/>
          <w:szCs w:val="21"/>
        </w:rPr>
      </w:pPr>
      <w:r>
        <w:rPr>
          <w:rFonts w:hint="eastAsia" w:ascii="宋体" w:hAnsi="宋体" w:cs="宋体"/>
          <w:sz w:val="21"/>
          <w:szCs w:val="21"/>
        </w:rPr>
        <w:t xml:space="preserve">5、乙方负责送货，供货地为甲方指定地点。供货上门到采购方所产生的装卸、运输、保险、税金和售后服务等所需费用由供货方承担。 </w:t>
      </w:r>
    </w:p>
    <w:p>
      <w:pPr>
        <w:pStyle w:val="82"/>
        <w:spacing w:line="360" w:lineRule="auto"/>
        <w:rPr>
          <w:rFonts w:ascii="宋体" w:hAnsi="宋体" w:cs="宋体"/>
          <w:sz w:val="21"/>
          <w:szCs w:val="21"/>
        </w:rPr>
      </w:pPr>
      <w:r>
        <w:rPr>
          <w:rFonts w:hint="eastAsia" w:ascii="宋体" w:hAnsi="宋体" w:cs="宋体"/>
          <w:sz w:val="21"/>
          <w:szCs w:val="21"/>
        </w:rPr>
        <w:t>6、运输过程中的任何安全事故均由乙方负责。</w:t>
      </w:r>
    </w:p>
    <w:p>
      <w:pPr>
        <w:pStyle w:val="82"/>
        <w:spacing w:line="360" w:lineRule="auto"/>
        <w:rPr>
          <w:rFonts w:ascii="宋体" w:hAnsi="宋体" w:cs="宋体"/>
          <w:sz w:val="21"/>
          <w:szCs w:val="21"/>
        </w:rPr>
      </w:pPr>
      <w:r>
        <w:rPr>
          <w:rFonts w:hint="eastAsia" w:ascii="宋体" w:hAnsi="宋体" w:cs="宋体"/>
          <w:sz w:val="21"/>
          <w:szCs w:val="21"/>
        </w:rPr>
        <w:t>7、若因乙方运输装卸原因，造成产品损坏，损失由乙方承担。</w:t>
      </w:r>
    </w:p>
    <w:p>
      <w:pPr>
        <w:pStyle w:val="82"/>
        <w:spacing w:line="360" w:lineRule="auto"/>
        <w:rPr>
          <w:rFonts w:ascii="宋体" w:hAnsi="宋体" w:cs="宋体"/>
          <w:sz w:val="21"/>
          <w:szCs w:val="21"/>
        </w:rPr>
      </w:pPr>
      <w:r>
        <w:rPr>
          <w:rFonts w:hint="eastAsia" w:ascii="宋体" w:hAnsi="宋体" w:cs="宋体"/>
          <w:sz w:val="21"/>
          <w:szCs w:val="21"/>
        </w:rPr>
        <w:t>8、质保期按合同（8.1条款）约定内容执行，在质保期限内货物非甲方原因所出现的所有质量问题，均由乙方承担。</w:t>
      </w:r>
    </w:p>
    <w:p>
      <w:pPr>
        <w:pStyle w:val="82"/>
        <w:spacing w:line="360" w:lineRule="auto"/>
        <w:rPr>
          <w:rFonts w:ascii="宋体" w:hAnsi="宋体" w:cs="宋体"/>
          <w:sz w:val="21"/>
          <w:szCs w:val="21"/>
        </w:rPr>
      </w:pPr>
      <w:r>
        <w:rPr>
          <w:rFonts w:hint="eastAsia" w:ascii="宋体" w:hAnsi="宋体" w:cs="宋体"/>
          <w:sz w:val="21"/>
          <w:szCs w:val="21"/>
        </w:rPr>
        <w:t>六、供货实施细节</w:t>
      </w:r>
    </w:p>
    <w:p>
      <w:pPr>
        <w:pStyle w:val="82"/>
        <w:spacing w:line="360" w:lineRule="auto"/>
        <w:rPr>
          <w:rFonts w:ascii="宋体" w:hAnsi="宋体" w:cs="宋体"/>
          <w:sz w:val="21"/>
          <w:szCs w:val="21"/>
        </w:rPr>
      </w:pPr>
      <w:r>
        <w:rPr>
          <w:rFonts w:hint="eastAsia" w:ascii="宋体" w:hAnsi="宋体" w:cs="宋体"/>
          <w:sz w:val="21"/>
          <w:szCs w:val="21"/>
        </w:rPr>
        <w:t>1、供货方式：该项目的货物供货事宜，由供货商负责直接供货。</w:t>
      </w:r>
    </w:p>
    <w:p>
      <w:pPr>
        <w:pStyle w:val="82"/>
        <w:spacing w:line="360" w:lineRule="auto"/>
        <w:rPr>
          <w:rFonts w:ascii="宋体" w:hAnsi="宋体" w:cs="宋体"/>
          <w:sz w:val="21"/>
          <w:szCs w:val="21"/>
        </w:rPr>
      </w:pPr>
      <w:r>
        <w:rPr>
          <w:rFonts w:hint="eastAsia" w:ascii="宋体" w:hAnsi="宋体" w:cs="宋体"/>
          <w:sz w:val="21"/>
          <w:szCs w:val="21"/>
        </w:rPr>
        <w:t xml:space="preserve">2、乙方工作:负责组织供货的实施并承担供货后果、售后服务。按照合同产品的要求，并向甲方提供正式的供货销售发票。    </w:t>
      </w:r>
    </w:p>
    <w:p>
      <w:pPr>
        <w:pStyle w:val="82"/>
        <w:spacing w:line="360" w:lineRule="auto"/>
        <w:rPr>
          <w:rFonts w:ascii="宋体" w:hAnsi="宋体" w:cs="宋体"/>
          <w:sz w:val="21"/>
          <w:szCs w:val="21"/>
        </w:rPr>
      </w:pPr>
      <w:r>
        <w:rPr>
          <w:rFonts w:hint="eastAsia" w:ascii="宋体" w:hAnsi="宋体" w:cs="宋体"/>
          <w:sz w:val="21"/>
          <w:szCs w:val="21"/>
        </w:rPr>
        <w:t xml:space="preserve">3、甲方工作：负责协助乙方进行产品验收。    </w:t>
      </w:r>
    </w:p>
    <w:p>
      <w:pPr>
        <w:pStyle w:val="82"/>
        <w:spacing w:line="360" w:lineRule="auto"/>
        <w:rPr>
          <w:rFonts w:ascii="宋体" w:hAnsi="宋体" w:cs="宋体"/>
          <w:sz w:val="21"/>
          <w:szCs w:val="21"/>
        </w:rPr>
      </w:pPr>
      <w:r>
        <w:rPr>
          <w:rFonts w:hint="eastAsia" w:ascii="宋体" w:hAnsi="宋体" w:cs="宋体"/>
          <w:sz w:val="21"/>
          <w:szCs w:val="21"/>
        </w:rPr>
        <w:t>七、验收及货款付款方式：</w:t>
      </w:r>
      <w:bookmarkStart w:id="87" w:name="_Toc22377"/>
      <w:bookmarkStart w:id="88" w:name="_Toc3750"/>
      <w:r>
        <w:rPr>
          <w:rFonts w:hint="eastAsia" w:ascii="宋体" w:hAnsi="宋体" w:cs="宋体"/>
          <w:sz w:val="21"/>
          <w:szCs w:val="21"/>
        </w:rPr>
        <w:t>项目验收合格后，2023年9月31日前支付成交金额95%，次年7月31日前支付成交金额5%。</w:t>
      </w:r>
    </w:p>
    <w:bookmarkEnd w:id="87"/>
    <w:bookmarkEnd w:id="88"/>
    <w:p>
      <w:pPr>
        <w:pStyle w:val="82"/>
        <w:spacing w:line="360" w:lineRule="auto"/>
        <w:rPr>
          <w:rFonts w:ascii="宋体" w:hAnsi="宋体" w:cs="宋体"/>
          <w:sz w:val="21"/>
          <w:szCs w:val="21"/>
        </w:rPr>
      </w:pPr>
      <w:bookmarkStart w:id="89" w:name="_Toc15807"/>
      <w:bookmarkStart w:id="90" w:name="_Toc14384"/>
      <w:r>
        <w:rPr>
          <w:rFonts w:hint="eastAsia" w:ascii="宋体" w:hAnsi="宋体" w:cs="宋体"/>
          <w:sz w:val="21"/>
          <w:szCs w:val="21"/>
        </w:rPr>
        <w:t>八、违约责任：</w:t>
      </w:r>
      <w:bookmarkEnd w:id="89"/>
      <w:bookmarkEnd w:id="90"/>
    </w:p>
    <w:p>
      <w:pPr>
        <w:pStyle w:val="82"/>
        <w:spacing w:line="360" w:lineRule="auto"/>
        <w:rPr>
          <w:rFonts w:ascii="宋体" w:hAnsi="宋体" w:cs="宋体"/>
          <w:sz w:val="21"/>
          <w:szCs w:val="21"/>
        </w:rPr>
      </w:pPr>
      <w:r>
        <w:rPr>
          <w:rFonts w:hint="eastAsia" w:ascii="宋体" w:hAnsi="宋体" w:cs="宋体"/>
          <w:sz w:val="21"/>
          <w:szCs w:val="21"/>
        </w:rPr>
        <w:t>1、乙方所交付的货物品种、型号、规格不符合合同规定的，甲方有权拒收。</w:t>
      </w:r>
    </w:p>
    <w:p>
      <w:pPr>
        <w:pStyle w:val="82"/>
        <w:spacing w:line="360" w:lineRule="auto"/>
        <w:rPr>
          <w:rFonts w:ascii="宋体" w:hAnsi="宋体" w:cs="宋体"/>
          <w:sz w:val="21"/>
          <w:szCs w:val="21"/>
        </w:rPr>
      </w:pPr>
      <w:r>
        <w:rPr>
          <w:rFonts w:hint="eastAsia" w:ascii="宋体" w:hAnsi="宋体" w:cs="宋体"/>
          <w:sz w:val="21"/>
          <w:szCs w:val="21"/>
        </w:rPr>
        <w:t>2.、若甲方未按约定时间支付乙方设备款，甲方除支付乙方设备款外还需按每延迟一日支付未付款额</w:t>
      </w:r>
      <w:r>
        <w:rPr>
          <w:rFonts w:hint="eastAsia" w:ascii="宋体" w:hAnsi="宋体" w:cs="宋体"/>
          <w:sz w:val="21"/>
          <w:szCs w:val="21"/>
          <w:u w:val="single"/>
        </w:rPr>
        <w:t xml:space="preserve">  /    </w:t>
      </w:r>
      <w:r>
        <w:rPr>
          <w:rFonts w:hint="eastAsia" w:ascii="宋体" w:hAnsi="宋体" w:cs="宋体"/>
          <w:sz w:val="21"/>
          <w:szCs w:val="21"/>
        </w:rPr>
        <w:t>的违约金，但累计总额不超过欠款总额的</w:t>
      </w:r>
      <w:r>
        <w:rPr>
          <w:rFonts w:hint="eastAsia" w:ascii="宋体" w:hAnsi="宋体" w:cs="宋体"/>
          <w:sz w:val="21"/>
          <w:szCs w:val="21"/>
          <w:u w:val="single"/>
        </w:rPr>
        <w:t xml:space="preserve">  /  </w:t>
      </w:r>
      <w:r>
        <w:rPr>
          <w:rFonts w:hint="eastAsia" w:ascii="宋体" w:hAnsi="宋体" w:cs="宋体"/>
          <w:sz w:val="21"/>
          <w:szCs w:val="21"/>
        </w:rPr>
        <w:t>。</w:t>
      </w:r>
    </w:p>
    <w:p>
      <w:pPr>
        <w:pStyle w:val="82"/>
        <w:spacing w:line="360" w:lineRule="auto"/>
        <w:rPr>
          <w:rFonts w:ascii="宋体" w:hAnsi="宋体" w:cs="宋体"/>
          <w:sz w:val="21"/>
          <w:szCs w:val="21"/>
        </w:rPr>
      </w:pPr>
      <w:r>
        <w:rPr>
          <w:rFonts w:hint="eastAsia" w:ascii="宋体" w:hAnsi="宋体" w:cs="宋体"/>
          <w:sz w:val="21"/>
          <w:szCs w:val="21"/>
        </w:rPr>
        <w:t>3、乙方逾期交付货物的，每逾期一天，乙方向甲方支付滞纳金，但累计总额不超过合同总额的。</w:t>
      </w:r>
    </w:p>
    <w:p>
      <w:pPr>
        <w:pStyle w:val="82"/>
        <w:spacing w:line="360" w:lineRule="auto"/>
        <w:rPr>
          <w:rFonts w:ascii="宋体" w:hAnsi="宋体" w:cs="宋体"/>
          <w:sz w:val="21"/>
          <w:szCs w:val="21"/>
        </w:rPr>
      </w:pPr>
      <w:r>
        <w:rPr>
          <w:rFonts w:hint="eastAsia" w:ascii="宋体" w:hAnsi="宋体" w:cs="宋体"/>
          <w:sz w:val="21"/>
          <w:szCs w:val="21"/>
        </w:rPr>
        <w:t>4、乙方未按本合同的规定提供伴随服务、售后服务的，给甲方造成损失的，乙方应承担赔偿责任。</w:t>
      </w:r>
    </w:p>
    <w:p>
      <w:pPr>
        <w:pStyle w:val="82"/>
        <w:spacing w:line="360" w:lineRule="auto"/>
        <w:rPr>
          <w:rFonts w:ascii="宋体" w:hAnsi="宋体" w:cs="宋体"/>
          <w:sz w:val="21"/>
          <w:szCs w:val="21"/>
        </w:rPr>
      </w:pPr>
      <w:bookmarkStart w:id="91" w:name="_Toc22445"/>
      <w:bookmarkStart w:id="92" w:name="_Toc22257"/>
      <w:r>
        <w:rPr>
          <w:rFonts w:hint="eastAsia" w:ascii="宋体" w:hAnsi="宋体" w:cs="宋体"/>
          <w:sz w:val="21"/>
          <w:szCs w:val="21"/>
        </w:rPr>
        <w:t>5、如出现违约责任，双方协商解决或按《合同法》执行。</w:t>
      </w:r>
    </w:p>
    <w:p>
      <w:pPr>
        <w:pStyle w:val="82"/>
        <w:spacing w:line="360" w:lineRule="auto"/>
        <w:rPr>
          <w:rFonts w:ascii="宋体" w:hAnsi="宋体" w:cs="宋体"/>
          <w:sz w:val="21"/>
          <w:szCs w:val="21"/>
        </w:rPr>
      </w:pPr>
      <w:r>
        <w:rPr>
          <w:rFonts w:hint="eastAsia" w:ascii="宋体" w:hAnsi="宋体" w:cs="宋体"/>
          <w:sz w:val="21"/>
          <w:szCs w:val="21"/>
        </w:rPr>
        <w:t>十、质保期</w:t>
      </w:r>
    </w:p>
    <w:p>
      <w:pPr>
        <w:pStyle w:val="82"/>
        <w:spacing w:line="360" w:lineRule="auto"/>
        <w:rPr>
          <w:rFonts w:ascii="宋体" w:hAnsi="宋体" w:cs="宋体"/>
          <w:sz w:val="21"/>
          <w:szCs w:val="21"/>
        </w:rPr>
      </w:pPr>
      <w:r>
        <w:rPr>
          <w:rFonts w:hint="eastAsia" w:ascii="宋体" w:hAnsi="宋体" w:cs="宋体"/>
          <w:sz w:val="21"/>
          <w:szCs w:val="21"/>
        </w:rPr>
        <w:t>1、本合同约定保修期限从合同签订之日起计算。</w:t>
      </w:r>
    </w:p>
    <w:p>
      <w:pPr>
        <w:pStyle w:val="82"/>
        <w:spacing w:line="360" w:lineRule="auto"/>
        <w:rPr>
          <w:rFonts w:ascii="宋体" w:hAnsi="宋体" w:cs="宋体"/>
          <w:sz w:val="21"/>
          <w:szCs w:val="21"/>
        </w:rPr>
      </w:pPr>
      <w:r>
        <w:rPr>
          <w:rFonts w:hint="eastAsia" w:ascii="宋体" w:hAnsi="宋体" w:cs="宋体"/>
          <w:sz w:val="21"/>
          <w:szCs w:val="21"/>
        </w:rPr>
        <w:t>2、如在质保期内发生质量问题，乙方需在接到甲方通知后24小时内进行响应并实施维修解决问题。</w:t>
      </w:r>
    </w:p>
    <w:p>
      <w:pPr>
        <w:pStyle w:val="82"/>
        <w:spacing w:line="360" w:lineRule="auto"/>
        <w:rPr>
          <w:rFonts w:ascii="宋体" w:hAnsi="宋体" w:cs="宋体"/>
          <w:sz w:val="21"/>
          <w:szCs w:val="21"/>
        </w:rPr>
      </w:pPr>
      <w:r>
        <w:rPr>
          <w:rFonts w:hint="eastAsia" w:ascii="宋体" w:hAnsi="宋体" w:cs="宋体"/>
          <w:sz w:val="21"/>
          <w:szCs w:val="21"/>
        </w:rPr>
        <w:t>3、质保期内，乙方每个月回访甲方一次，解决甲方提出的问题（如有），并提供必要的质保服务和指导。</w:t>
      </w:r>
    </w:p>
    <w:p>
      <w:pPr>
        <w:pStyle w:val="82"/>
        <w:spacing w:line="360" w:lineRule="auto"/>
        <w:rPr>
          <w:rFonts w:ascii="宋体" w:hAnsi="宋体" w:cs="宋体"/>
          <w:sz w:val="21"/>
          <w:szCs w:val="21"/>
        </w:rPr>
      </w:pPr>
      <w:r>
        <w:rPr>
          <w:rFonts w:hint="eastAsia" w:ascii="宋体" w:hAnsi="宋体" w:cs="宋体"/>
          <w:sz w:val="21"/>
          <w:szCs w:val="21"/>
        </w:rPr>
        <w:t>4、在质保期内，乙方应对出现的质量及安全问题负责处理解决并承担一切费用。</w:t>
      </w:r>
    </w:p>
    <w:bookmarkEnd w:id="91"/>
    <w:bookmarkEnd w:id="92"/>
    <w:p>
      <w:pPr>
        <w:pStyle w:val="82"/>
        <w:spacing w:line="360" w:lineRule="auto"/>
        <w:rPr>
          <w:rFonts w:ascii="宋体" w:hAnsi="宋体" w:cs="宋体"/>
          <w:sz w:val="21"/>
          <w:szCs w:val="21"/>
        </w:rPr>
      </w:pPr>
      <w:r>
        <w:rPr>
          <w:rFonts w:hint="eastAsia" w:ascii="宋体" w:hAnsi="宋体" w:cs="宋体"/>
          <w:sz w:val="21"/>
          <w:szCs w:val="21"/>
        </w:rPr>
        <w:t>5、乙方的质保和服务范围按照按国家相关行业标准执行。</w:t>
      </w:r>
    </w:p>
    <w:p>
      <w:pPr>
        <w:pStyle w:val="82"/>
        <w:spacing w:line="360" w:lineRule="auto"/>
        <w:rPr>
          <w:rFonts w:ascii="宋体" w:hAnsi="宋体" w:cs="宋体"/>
          <w:sz w:val="21"/>
          <w:szCs w:val="21"/>
        </w:rPr>
      </w:pPr>
      <w:r>
        <w:rPr>
          <w:rFonts w:hint="eastAsia" w:ascii="宋体" w:hAnsi="宋体" w:cs="宋体"/>
          <w:sz w:val="21"/>
          <w:szCs w:val="21"/>
        </w:rPr>
        <w:t xml:space="preserve">十一、 解决合同纠纷的方式 </w:t>
      </w:r>
    </w:p>
    <w:p>
      <w:pPr>
        <w:pStyle w:val="82"/>
        <w:spacing w:line="360" w:lineRule="auto"/>
        <w:ind w:firstLine="420" w:firstLineChars="200"/>
        <w:rPr>
          <w:rFonts w:ascii="宋体" w:hAnsi="宋体" w:cs="宋体"/>
          <w:sz w:val="21"/>
          <w:szCs w:val="21"/>
        </w:rPr>
      </w:pPr>
      <w:r>
        <w:rPr>
          <w:rFonts w:hint="eastAsia" w:ascii="宋体" w:hAnsi="宋体" w:cs="宋体"/>
          <w:sz w:val="21"/>
          <w:szCs w:val="21"/>
        </w:rPr>
        <w:t>履行本合同所发生的一切争议，双方应及时协商解决。如经协商未能达成协议，任何一方均有权向甲方所在地人民法院提起诉讼。</w:t>
      </w:r>
    </w:p>
    <w:p>
      <w:pPr>
        <w:pStyle w:val="82"/>
        <w:spacing w:line="360" w:lineRule="auto"/>
        <w:rPr>
          <w:rFonts w:ascii="宋体" w:hAnsi="宋体" w:cs="宋体"/>
          <w:sz w:val="21"/>
          <w:szCs w:val="21"/>
        </w:rPr>
      </w:pPr>
      <w:bookmarkStart w:id="93" w:name="_Toc24387"/>
      <w:bookmarkStart w:id="94" w:name="_Toc22020"/>
      <w:r>
        <w:rPr>
          <w:rFonts w:hint="eastAsia" w:ascii="宋体" w:hAnsi="宋体" w:cs="宋体"/>
          <w:sz w:val="21"/>
          <w:szCs w:val="21"/>
        </w:rPr>
        <w:t>十二、</w:t>
      </w:r>
      <w:bookmarkEnd w:id="93"/>
      <w:bookmarkEnd w:id="94"/>
      <w:r>
        <w:rPr>
          <w:rFonts w:hint="eastAsia" w:ascii="宋体" w:hAnsi="宋体" w:cs="宋体"/>
          <w:sz w:val="21"/>
          <w:szCs w:val="21"/>
        </w:rPr>
        <w:t>未尽事宜的处理</w:t>
      </w:r>
    </w:p>
    <w:p>
      <w:pPr>
        <w:pStyle w:val="82"/>
        <w:spacing w:line="360" w:lineRule="auto"/>
        <w:ind w:firstLine="420" w:firstLineChars="200"/>
        <w:rPr>
          <w:rFonts w:ascii="宋体" w:hAnsi="宋体" w:cs="宋体"/>
          <w:sz w:val="21"/>
          <w:szCs w:val="21"/>
        </w:rPr>
      </w:pPr>
      <w:r>
        <w:rPr>
          <w:rFonts w:hint="eastAsia" w:ascii="宋体" w:hAnsi="宋体" w:cs="宋体"/>
          <w:sz w:val="21"/>
          <w:szCs w:val="21"/>
        </w:rPr>
        <w:t>合同如有未尽事宜，按照法律、法规的规定执行。法律、法规未作规定的，须经双方共同协商达成书面补充协议或条款，作为本合同的附件， 其与本合同具有同等法律效力。</w:t>
      </w:r>
    </w:p>
    <w:p>
      <w:pPr>
        <w:pStyle w:val="82"/>
        <w:spacing w:line="360" w:lineRule="auto"/>
        <w:rPr>
          <w:rFonts w:ascii="宋体" w:hAnsi="宋体" w:cs="宋体"/>
          <w:sz w:val="21"/>
          <w:szCs w:val="21"/>
        </w:rPr>
      </w:pPr>
      <w:bookmarkStart w:id="95" w:name="_Toc7630"/>
      <w:bookmarkStart w:id="96" w:name="_Toc13434"/>
      <w:r>
        <w:rPr>
          <w:rFonts w:hint="eastAsia" w:ascii="宋体" w:hAnsi="宋体" w:cs="宋体"/>
          <w:sz w:val="21"/>
          <w:szCs w:val="21"/>
        </w:rPr>
        <w:t>十三、本合同一式份，甲方执份，乙方执份，具有同等法律效力</w:t>
      </w:r>
      <w:bookmarkEnd w:id="95"/>
      <w:bookmarkEnd w:id="96"/>
      <w:r>
        <w:rPr>
          <w:rFonts w:hint="eastAsia" w:ascii="宋体" w:hAnsi="宋体" w:cs="宋体"/>
          <w:sz w:val="21"/>
          <w:szCs w:val="21"/>
        </w:rPr>
        <w:t>。</w:t>
      </w:r>
    </w:p>
    <w:p>
      <w:pPr>
        <w:pStyle w:val="82"/>
        <w:spacing w:line="360" w:lineRule="auto"/>
        <w:rPr>
          <w:rFonts w:ascii="宋体" w:hAnsi="宋体" w:cs="宋体"/>
          <w:sz w:val="21"/>
          <w:szCs w:val="21"/>
        </w:rPr>
      </w:pPr>
      <w:bookmarkStart w:id="97" w:name="_Toc22142"/>
      <w:bookmarkStart w:id="98" w:name="_Toc18545"/>
      <w:r>
        <w:rPr>
          <w:rFonts w:hint="eastAsia" w:ascii="宋体" w:hAnsi="宋体" w:cs="宋体"/>
          <w:sz w:val="21"/>
          <w:szCs w:val="21"/>
        </w:rPr>
        <w:t>十四、合同的生效和失效</w:t>
      </w:r>
      <w:bookmarkEnd w:id="97"/>
      <w:bookmarkEnd w:id="98"/>
    </w:p>
    <w:p>
      <w:pPr>
        <w:pStyle w:val="82"/>
        <w:spacing w:line="360" w:lineRule="auto"/>
        <w:rPr>
          <w:rFonts w:ascii="宋体" w:hAnsi="宋体" w:cs="宋体"/>
          <w:sz w:val="21"/>
          <w:szCs w:val="21"/>
        </w:rPr>
      </w:pPr>
      <w:r>
        <w:rPr>
          <w:rFonts w:hint="eastAsia" w:ascii="宋体" w:hAnsi="宋体" w:cs="宋体"/>
          <w:sz w:val="21"/>
          <w:szCs w:val="21"/>
        </w:rPr>
        <w:t>本合同经甲乙双方授权代表签字并加盖单位公章之日起生效，自合同履行完毕自行失效。</w:t>
      </w:r>
    </w:p>
    <w:p>
      <w:pPr>
        <w:pStyle w:val="82"/>
        <w:spacing w:line="360" w:lineRule="auto"/>
        <w:rPr>
          <w:rFonts w:ascii="宋体" w:hAnsi="宋体" w:cs="宋体"/>
          <w:sz w:val="21"/>
          <w:szCs w:val="21"/>
        </w:rPr>
      </w:pPr>
    </w:p>
    <w:p>
      <w:pPr>
        <w:pStyle w:val="82"/>
        <w:spacing w:line="360" w:lineRule="auto"/>
        <w:rPr>
          <w:rFonts w:ascii="宋体" w:hAnsi="宋体" w:cs="宋体"/>
          <w:sz w:val="21"/>
          <w:szCs w:val="21"/>
        </w:rPr>
      </w:pPr>
      <w:r>
        <w:rPr>
          <w:rFonts w:hint="eastAsia" w:ascii="宋体" w:hAnsi="宋体" w:cs="宋体"/>
          <w:sz w:val="21"/>
          <w:szCs w:val="21"/>
        </w:rPr>
        <w:t>甲方单位（盖章）：                       乙方单位（盖章）：</w:t>
      </w:r>
    </w:p>
    <w:p>
      <w:pPr>
        <w:pStyle w:val="82"/>
        <w:spacing w:line="360" w:lineRule="auto"/>
        <w:rPr>
          <w:rFonts w:ascii="宋体" w:hAnsi="宋体" w:cs="宋体"/>
          <w:sz w:val="21"/>
          <w:szCs w:val="21"/>
        </w:rPr>
      </w:pPr>
      <w:r>
        <w:rPr>
          <w:rFonts w:hint="eastAsia" w:ascii="宋体" w:hAnsi="宋体" w:cs="宋体"/>
          <w:sz w:val="21"/>
          <w:szCs w:val="21"/>
        </w:rPr>
        <w:t>甲方代表签字：                           乙方代表签字：</w:t>
      </w:r>
    </w:p>
    <w:p>
      <w:pPr>
        <w:pStyle w:val="82"/>
        <w:spacing w:line="360" w:lineRule="auto"/>
        <w:rPr>
          <w:rFonts w:ascii="宋体" w:hAnsi="宋体" w:cs="宋体"/>
          <w:sz w:val="21"/>
          <w:szCs w:val="21"/>
        </w:rPr>
      </w:pPr>
      <w:r>
        <w:rPr>
          <w:rFonts w:hint="eastAsia" w:ascii="宋体" w:hAnsi="宋体" w:cs="宋体"/>
          <w:sz w:val="21"/>
          <w:szCs w:val="21"/>
        </w:rPr>
        <w:t>地址：                                   地址：</w:t>
      </w:r>
    </w:p>
    <w:p>
      <w:pPr>
        <w:pStyle w:val="25"/>
        <w:spacing w:line="440" w:lineRule="exact"/>
        <w:rPr>
          <w:rFonts w:cs="宋体"/>
          <w:sz w:val="21"/>
          <w:szCs w:val="21"/>
        </w:rPr>
      </w:pPr>
      <w:r>
        <w:rPr>
          <w:rFonts w:hint="eastAsia" w:cs="宋体"/>
          <w:sz w:val="21"/>
          <w:szCs w:val="21"/>
        </w:rPr>
        <w:t>日期：   年   月  日                     日期：   年   月  日</w:t>
      </w: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p>
      <w:pPr>
        <w:pStyle w:val="25"/>
        <w:spacing w:line="440" w:lineRule="exact"/>
        <w:rPr>
          <w:rFonts w:cs="宋体"/>
          <w:sz w:val="21"/>
          <w:szCs w:val="21"/>
        </w:rPr>
      </w:pPr>
    </w:p>
    <w:bookmarkEnd w:id="80"/>
    <w:bookmarkEnd w:id="81"/>
    <w:bookmarkEnd w:id="82"/>
    <w:bookmarkEnd w:id="83"/>
    <w:bookmarkEnd w:id="84"/>
    <w:p>
      <w:pPr>
        <w:pStyle w:val="37"/>
        <w:numPr>
          <w:ilvl w:val="0"/>
          <w:numId w:val="1"/>
        </w:numPr>
        <w:spacing w:line="360" w:lineRule="auto"/>
        <w:ind w:firstLine="0"/>
        <w:rPr>
          <w:rFonts w:ascii="宋体" w:hAnsi="宋体" w:cs="宋体"/>
        </w:rPr>
      </w:pPr>
      <w:bookmarkStart w:id="99" w:name="_Toc115021829"/>
      <w:r>
        <w:rPr>
          <w:rFonts w:hint="eastAsia" w:ascii="宋体" w:hAnsi="宋体" w:cs="宋体"/>
        </w:rPr>
        <w:t>采购需求</w:t>
      </w:r>
      <w:bookmarkEnd w:id="79"/>
      <w:bookmarkEnd w:id="99"/>
    </w:p>
    <w:p>
      <w:pPr>
        <w:spacing w:line="360" w:lineRule="auto"/>
        <w:ind w:firstLine="480"/>
        <w:jc w:val="left"/>
        <w:rPr>
          <w:rFonts w:hint="eastAsia" w:ascii="宋体" w:hAnsi="宋体" w:eastAsia="宋体" w:cs="宋体"/>
          <w:sz w:val="24"/>
          <w:szCs w:val="24"/>
          <w:highlight w:val="none"/>
          <w:u w:val="single"/>
          <w:lang w:val="en-US" w:eastAsia="zh-CN"/>
        </w:rPr>
      </w:pPr>
      <w:bookmarkStart w:id="100" w:name="_Toc11229"/>
      <w:bookmarkStart w:id="101" w:name="_Toc374512420"/>
      <w:bookmarkStart w:id="102" w:name="_Toc4426"/>
      <w:bookmarkStart w:id="103" w:name="_Toc487805927"/>
      <w:bookmarkStart w:id="104" w:name="_Toc373230032"/>
      <w:bookmarkStart w:id="105" w:name="_Toc477423251"/>
      <w:r>
        <w:rPr>
          <w:rFonts w:hint="eastAsia" w:ascii="宋体" w:hAnsi="宋体" w:cs="宋体"/>
          <w:b/>
          <w:sz w:val="24"/>
          <w:szCs w:val="24"/>
          <w:highlight w:val="none"/>
        </w:rPr>
        <w:t>1.</w:t>
      </w:r>
      <w:r>
        <w:rPr>
          <w:rFonts w:hint="eastAsia" w:ascii="宋体" w:hAnsi="宋体" w:cs="宋体"/>
          <w:sz w:val="24"/>
          <w:szCs w:val="24"/>
          <w:highlight w:val="none"/>
        </w:rPr>
        <w:t>本项目的核心产品为</w:t>
      </w:r>
      <w:r>
        <w:rPr>
          <w:rFonts w:hint="eastAsia" w:ascii="宋体" w:hAnsi="宋体" w:cs="宋体"/>
          <w:sz w:val="24"/>
          <w:szCs w:val="24"/>
          <w:highlight w:val="none"/>
          <w:u w:val="none"/>
        </w:rPr>
        <w:t>：</w:t>
      </w:r>
      <w:r>
        <w:rPr>
          <w:rFonts w:hint="eastAsia" w:ascii="宋体" w:hAnsi="宋体" w:cs="宋体"/>
          <w:sz w:val="24"/>
          <w:szCs w:val="24"/>
          <w:highlight w:val="none"/>
          <w:u w:val="single"/>
          <w:lang w:val="en-US" w:eastAsia="zh-CN"/>
        </w:rPr>
        <w:t>摄像机</w:t>
      </w:r>
    </w:p>
    <w:tbl>
      <w:tblPr>
        <w:tblStyle w:val="39"/>
        <w:tblpPr w:leftFromText="180" w:rightFromText="180" w:vertAnchor="text" w:horzAnchor="page" w:tblpXSpec="center" w:tblpY="418"/>
        <w:tblOverlap w:val="never"/>
        <w:tblW w:w="5260" w:type="pct"/>
        <w:jc w:val="center"/>
        <w:shd w:val="clear" w:color="auto" w:fill="FFFFFF"/>
        <w:tblLayout w:type="fixed"/>
        <w:tblCellMar>
          <w:top w:w="0" w:type="dxa"/>
          <w:left w:w="108" w:type="dxa"/>
          <w:bottom w:w="0" w:type="dxa"/>
          <w:right w:w="108" w:type="dxa"/>
        </w:tblCellMar>
      </w:tblPr>
      <w:tblGrid>
        <w:gridCol w:w="552"/>
        <w:gridCol w:w="1221"/>
        <w:gridCol w:w="6342"/>
        <w:gridCol w:w="651"/>
        <w:gridCol w:w="554"/>
        <w:gridCol w:w="689"/>
      </w:tblGrid>
      <w:tr>
        <w:tblPrEx>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序号</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标的名称</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sz w:val="18"/>
                <w:szCs w:val="18"/>
              </w:rPr>
              <w:t>主要技术参数、性能、配置等要求</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数量</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单位</w:t>
            </w:r>
          </w:p>
        </w:tc>
        <w:tc>
          <w:tcPr>
            <w:tcW w:w="344"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sz w:val="18"/>
                <w:szCs w:val="18"/>
              </w:rPr>
              <w:t>所属行业</w:t>
            </w: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一、前端考场监控设备</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numPr>
                <w:ilvl w:val="0"/>
                <w:numId w:val="13"/>
              </w:numPr>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★符合《国家教育考试网上巡查系统视频标准技术规范（2017版）》相关技术规范；</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采用高性能两百万像素1/2.7英寸CMOS图像传感器，低照度效果好，图像清晰度高；</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可输出200万(1920*1080)@25fps；</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支持H.264、H.265、MPEG-4视频编码格式；</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★支持智能红外功能，红外夜视距目标轮廓可达50米；</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支持走廊模式，宽动态，3D降噪，强光抑制，背光补偿，数字水印，适用不同监控环境；</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支持ROI，SMART H.264/H.265，灵活编码，适用不同带宽和存储环境；</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支持虚焦侦测，区域入侵，绊线入侵，场景变更，外部报警,音频检测，电压检测；</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★支持PS系统流和TS传输流的封装；</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★支持人脸区域自动曝光，根据场景和光照自动调节曝光参数，支持人脸增强功能；</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支持DC12V/POE电方式，方便工程安装；</w:t>
            </w:r>
          </w:p>
          <w:p>
            <w:pPr>
              <w:widowControl/>
              <w:numPr>
                <w:ilvl w:val="0"/>
                <w:numId w:val="13"/>
              </w:numPr>
              <w:ind w:left="0" w:leftChars="0" w:firstLine="0" w:firstLineChars="0"/>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镜头焦距2.8mm或2.7mm~13.5mm可调。</w:t>
            </w:r>
          </w:p>
          <w:p>
            <w:pPr>
              <w:widowControl/>
              <w:numPr>
                <w:ilvl w:val="0"/>
                <w:numId w:val="0"/>
              </w:numPr>
              <w:ind w:leftChars="0"/>
              <w:jc w:val="left"/>
              <w:textAlignment w:val="center"/>
              <w:rPr>
                <w:rFonts w:ascii="宋体" w:hAnsi="宋体" w:cs="宋体"/>
                <w:color w:val="000000"/>
                <w:sz w:val="18"/>
                <w:szCs w:val="18"/>
              </w:rPr>
            </w:pPr>
            <w:r>
              <w:rPr>
                <w:rFonts w:hint="eastAsia" w:ascii="宋体" w:hAnsi="宋体" w:cs="宋体"/>
                <w:b/>
                <w:bCs/>
                <w:color w:val="000000"/>
                <w:kern w:val="0"/>
                <w:sz w:val="18"/>
                <w:szCs w:val="18"/>
              </w:rPr>
              <w:t>13、以上加★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65</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存储卡</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64GB存储卡</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65</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摄像机支架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定制摄像机支架</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65</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拾音器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全向拾音器,国产高灵敏度，内置低噪音处理电路，拾音范围10-100平方米</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65</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电源模块</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12V2A电源模块</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65</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配电箱</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定制，用于安放集中电源、接线</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65</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bottom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二、试卷保密室监控设备</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符合《国家教育考试网上巡查系统视频标准技术规范（2017版）》相关技术规范；2、采用高性能两百万像素1/2.7英寸CMOS图像传感器，低照度效果好，图像清晰度高；3、可输出200万(1920*1080)@25fps；4、支持H.264、H.265、MPEG-4视频编码格式；5、★支持智能红外功能，红外夜视距目标轮廓可达50米；6、支持走廊模式，宽动态，3D降噪，强光抑制，背光补偿，数字水印，适用不同监控环境；7、支持ROI，SMART H.264/H.265，灵活编码，适用不同带宽和存储环境；8、支持虚焦侦测，区域入侵，绊线入侵，场景变更，外部报警,音频检测，电压检测；9、★支持PS系统流和TS传输流的封装；10、★支持人脸区域自动曝光，根据场景和光照自动调节曝光参数，支持人脸增强功能；11、支持DC12V/POE电方式，方便工程安装；12、镜头焦距2.8mm或2.7mm~13.5mm可调。13、</w:t>
            </w:r>
            <w:r>
              <w:rPr>
                <w:rFonts w:hint="eastAsia" w:ascii="宋体" w:hAnsi="宋体" w:cs="宋体"/>
                <w:b/>
                <w:bCs/>
                <w:color w:val="000000"/>
                <w:kern w:val="0"/>
                <w:sz w:val="18"/>
                <w:szCs w:val="18"/>
              </w:rPr>
              <w:t>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存储卡</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64GB存储卡</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摄像机支架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定制摄像机支架</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拾音器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国产高灵敏度，内置低噪音处理电路，拾音范围10-100平方米</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41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电源模块</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12V2A电源模块</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配电箱</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定制，用于安放集中电源、接线</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bottom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三、考务办公室监控设备</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符合《国家教育考试网上巡查系统视频标准技术规范（2017版）》相关技术规范；2、采用高性能两百万像素1/2.7英寸CMOS图像传感器，低照度效果好，图像清晰度高；3、可输出200万(1920*1080)@25fps；4、支持H.264、H.265、MPEG-4视频编码格式；5、★支持智能红外功能，红外夜视距目标轮廓可达50米；6、支持走廊模式，宽动态，3D降噪，强光抑制，背光补偿，数字水印，适用不同监控环境；7、支持ROI，SMART H.264/H.265，灵活编码，适用不同带宽和存储环境；8、支持虚焦侦测，区域入侵，绊线入侵，场景变更，外部报警,音频检测，电压检测；9、★支持PS系统流和TS传输流的封装；10、★支持人脸区域自动曝光，根据场景和光照自动调节曝光参数，支持人脸增强功能；11、支持DC12V/POE电方式，方便工程安装；12、镜头焦距2.8mm或2.7mm~13.5mm可调。13、</w:t>
            </w:r>
            <w:r>
              <w:rPr>
                <w:rFonts w:hint="eastAsia" w:ascii="宋体" w:hAnsi="宋体" w:cs="宋体"/>
                <w:b/>
                <w:bCs/>
                <w:color w:val="000000"/>
                <w:kern w:val="0"/>
                <w:sz w:val="18"/>
                <w:szCs w:val="18"/>
              </w:rPr>
              <w:t>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存储卡</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64GB存储卡</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摄像机支架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定制摄像机支架</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拾音器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国产高灵敏度，内置低噪音处理电路，拾音范围10-100平方米</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电源模块</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12V2A电源模块</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配电箱</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定制，用于安放集中电源、接线</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投影仪</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3200流明以上,LED,支持无线、Wi-Fi连接，千兆网口，1080p以上，含配件、线缆及安装。</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音箱</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含布线安装</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9</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电脑</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8核处理器/8GB内存/128G+1TB硬盘/2G显卡/23.8寸屏/键盘鼠标</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幕布</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sz w:val="18"/>
                <w:szCs w:val="18"/>
              </w:rPr>
              <w:t>150吋以上，含配件、布线安装</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bottom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四、视频巡查室设备</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符合《国家教育考试网上巡查系统视频标准技术规范（2017版）》相关技术规范；2、采用高性能两百万像素1/2.7英寸CMOS图像传感器，低照度效果好，图像清晰度高；3、可输出200万(1920*1080)@25fps；4、支持H.264、H.265、MPEG-4视频编码格式；5、★支持智能红外功能，红外夜视距目标轮廓可达50米；6、支持走廊模式，宽动态，3D降噪，强光抑制，背光补偿，数字水印，适用不同监控环境；7、支持ROI，SMART H.264/H.265，灵活编码，适用不同带宽和存储环境；8、支持虚焦侦测，区域入侵，绊线入侵，场景变更，外部报警,音频检测，电压检测；9、★支持PS系统流和TS传输流的封装；10、★支持人脸区域自动曝光，根据场景和光照自动调节曝光参数，支持人脸增强功能；11、支持DC12V/POE电方式，方便工程安装；12、镜头焦距2.8mm或2.7mm~13.5mm可调。13、</w:t>
            </w:r>
            <w:r>
              <w:rPr>
                <w:rFonts w:hint="eastAsia" w:ascii="宋体" w:hAnsi="宋体" w:cs="宋体"/>
                <w:b/>
                <w:bCs/>
                <w:color w:val="000000"/>
                <w:kern w:val="0"/>
                <w:sz w:val="18"/>
                <w:szCs w:val="18"/>
              </w:rPr>
              <w:t>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存储卡</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64GB存储卡</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摄像机支架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定制摄像机支架</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拾音器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国产高灵敏度，内置低噪音处理电路，拾音范围10-100平方米</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电源模块</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12V2A电源模块</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配电箱</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定制，用于安放集中电源、接线</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视频监考考生定位系统软件</w:t>
            </w:r>
          </w:p>
        </w:tc>
        <w:tc>
          <w:tcPr>
            <w:tcW w:w="3168" w:type="pct"/>
            <w:tcBorders>
              <w:top w:val="single" w:color="9CA1AC" w:sz="4" w:space="0"/>
              <w:left w:val="single" w:color="9CA1AC" w:sz="4" w:space="0"/>
              <w:bottom w:val="single" w:color="9CA1AC" w:sz="4" w:space="0"/>
              <w:right w:val="single" w:color="9CA1AC" w:sz="0"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支持1、4、9分屏巡查、监看，支持用户 任意分组、支持普通高招、成人、研究生考试、计算机等级等不同考试模版设定，支持考生定位、考场定位，支持逻辑考场与物理考场对应关系，支持监控老师、考生数据系统管理。</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bottom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五、巡查指挥室设备</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标考高清 SIP 管理平台</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1、符合《国家教育考试网上巡查系统视频标准技术规范（2017版）》相关技术规范；2、具备实时操作系统Linux，支持国产嵌入式CPU，单颗CPU核心数在6核或以上，本身具有抗病毒和抗攻击能力；3、支持标准SIP 2.0，支持域、子域管理，可最多支持5级域、子域；4、支持SIP向上级的主动注册与多级注册的管理；5、支持IP、UDP、RTP、RTCP、SIP、TCP/IP、DHCP、PPPOE等网络协议；6、★支持以北斗/GPS/NTP为时间源对服务器进行自动校时，设备具有北斗外置有源天线接口；7、支持多转发分布式部署协同工作，支持媒体流分发，满足大路数高清视频流的转发需求；8、支持根据网络情况和使用需求，动态调整视频分辨率；9、支持考场编排报表，并可打印考场编号；10、★支持根据组网模式、上下级机构拓扑关系生成可视化3D拓扑结构图，支持以3D形式展示系统实时运行状态，SIP工作状态、转发工作状态、平台间SIP注册状态、数据流状态等；11、支持根据考试类型进行视频图像上传控制；12、可设置SIP路由器的相关信息；13、★支持在拓扑图中添加存储服务器、摄像机等前端设备，可快速搜索摄像机信息并绑定到指定存储服务器，提供拖动方式调整摄像机对应的存储服务器通道功能；14、可设置分发服务器的相关信息；15、可设置客户端、巡查主机、控制器等账号权限；16、支持生成设备清单报表；17、支持报警信息查询及搜索；18、支持巡查方案管理，可将窗口通道、窗口分屏、轮巡列表等信息保存为方案；19、★支持巡检任务设置，可关联考试计划，巡检结果支持文件导出，设备作为上级平台时，可查看考点编号、故障点和故障原因，设备作为考点平台时，可查看设备连接状态、OSD设置、设备性能、硬盘信息、视频质量信息；20、★支持考场准备统计、考点巡检统计、考中事件统计，并支持以柱状图形式展示；21、★设备具有较好的适应性与安全性，支持加密狗防护、支持双机热备、支持多网卡、支持链路聚合功能；22、支持图像上墙准备列表显示，可将巡检截图自动筛选高清图像并提供人工二次优选后列入优选列表，并支持一键快速显示到大屏；23、★支持远程运维，可关闭和重启服务程序，支持对系统各服务模块进行一键式升级，支持将数据库备份的文件一键还原到数据库中。24、</w:t>
            </w:r>
            <w:r>
              <w:rPr>
                <w:rFonts w:hint="eastAsia" w:ascii="宋体" w:hAnsi="宋体" w:cs="宋体"/>
                <w:b/>
                <w:bCs/>
                <w:color w:val="000000"/>
                <w:kern w:val="0"/>
                <w:sz w:val="18"/>
                <w:szCs w:val="18"/>
              </w:rPr>
              <w:t>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标考高清媒体分发服务器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符合《国家教育考试网上巡查系统视频标准技术规范（2017版）》相关技术规范；2、具备实时操作系统Linux，支持国产嵌入式CPU，单颗CPU核心数在6核或以上，本身具有抗病毒和抗攻击能力；3、★支持对关键业务提供向导式帮助功能，具备提示性帮助功能；4、支持IP、UDP、RTP、RTCP、SIP、TCP/IP、DHCP、PPPOE等网络协议；5、支持媒体流分发；6、在千兆网络条件下，转发吞吐量在600Mbps以上；7、支持多转发分布式部署协同工作，满足大路数高清视频流的转发需求；8、支持点播、组播、广播；9、★支持访问控制功能，关闭不需要的服务和端口，设置网络地址范围等条件限制终端登录；10、支持网络拥塞控制等功能；11、支持视频多路复用；12、支持视频路由控制；13、支持视频传输优先级控制；14、★支持远程管理采用SSH、HTTPS等安全的远程访问管理手段；15、音/视频数据压缩及封装；16、★支持对数据库进行测试，验证数据库配置正确性与连通性，支持远维连接。16、</w:t>
            </w:r>
            <w:r>
              <w:rPr>
                <w:rFonts w:hint="eastAsia" w:ascii="宋体" w:hAnsi="宋体" w:cs="宋体"/>
                <w:b/>
                <w:bCs/>
                <w:color w:val="000000"/>
                <w:kern w:val="0"/>
                <w:sz w:val="18"/>
                <w:szCs w:val="18"/>
              </w:rPr>
              <w:t>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标考网络流媒体存储管理平台</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符合《国家教育考试网上巡查系统视频标准技术规范（2017版）》相关技术规范；2、嵌入式设备，Linux操作系统；3、最大支持128路网络视频接入，最大存储码流为768Mbps；4、支持录像安全管理：支持录像加锁功能，加锁后录像不会被覆盖，并支持录像添加数字水印，支持九宫格图案密码解锁功能；5、支持数据备份功能：支持USB本地备份、USB DVD刻录机备份、eSata接口同步备份、Web端网络下载备份；6、运行稳定性：支持设备集群管理方式，当设备故障时备机可替换故障设备工作，故障恢复后可将存储的录像回传会原设备，同时支持双系统切换功能，当一个系统无法正常启动时，另一个操作系统能够正常工作；7、回放功能：支持秒级回放、即时回放、常规回放、事件回放、智能回放、切片回放、标签回放、外部文件回放、日志回放等多种回放方式；8、智能检测功能：支持接入的画面绊线入侵、区域入侵、穿越围栏、移动侦测、人脸检测、物品遗留、物品搬移检测，并支持热度图和客流统计；9、支持16个SATA接口（可热插拔），单盘容量支持不低于8TB，支持Raid0、Raid1、Raid5、Raid6、Raid10、JBOD等多种数据模式;支持独立的eSATA扩展，支持录像和备份；10、支持断网续传功能，能将前端网络摄像机断网这段时间内SD卡中的录像回传到NVR；11、支持视频质量诊断，并对条纹、偏色、噪声、失焦等异常现象发出报警；12、支持16路报警输入、8路报警输出；13、支持对主码流、子码流分别或同时进行录像，并支持对同一通道主码流、辅码流分配不同的存储空间；14、★支持全双工功能，当全部视（音）频通道处于满负荷记录状态时，仍能正常运行检索以及回放操作，且不丢帧；15、★支持视频浓缩功能：在特定条件下，支持对固定场景中的录象进行智能分析，提取同一场景中不同时段、符合规则的多个运动目标叠加到同一背景中，同时回放支持手动选择单个运动目标联动原始录象播放，既可以支持Smart IPC,也可以支持第三方普通IPC；16、★支持报警预录功能：当收到报警联动触发信号时，能启动设备相应的通道进行联动记录，能够预录报警触发前最大600s的音视频；17、</w:t>
            </w:r>
            <w:r>
              <w:rPr>
                <w:rFonts w:hint="eastAsia" w:ascii="宋体" w:hAnsi="宋体" w:cs="宋体"/>
                <w:b/>
                <w:bCs/>
                <w:color w:val="000000"/>
                <w:kern w:val="0"/>
                <w:sz w:val="18"/>
                <w:szCs w:val="18"/>
              </w:rPr>
              <w:t>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存储硬盘</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企业级服务器硬盘6T</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16</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块</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KVM切换器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≥8路数字KVM切换器，配置视频口和USB口转网口模块；</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移动硬盘</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4TB移动硬盘，USB3.0接口</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16</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块</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电视墙管理机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8核处理器/8GB内存/128G+1TB硬盘/2G显卡/23.8寸屏/键盘鼠标</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网络视频解码器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符合《国家教育考试网上巡查系统视频标准技术规范（2017版）》相关技术规范；2、支持4路本地信号采集（2路DVI-I和2路HDMI，HDMI接口最大支持4K音视频采集），提供9路HDMI解码输出接口；3、本地采集信号和网络信号在融合屏上墙，整体图像完整，无错位；4、输出接口支持3840x2160,2560x1600，1920x1080，1280x1024,1280x720,1024x768六种显示分辨率，其中6个输出接口最大支持3840x2160；5、支持H.265/ H.264/ MPEG4/ MPEG2 /MJPEG/SVAC标准网络视频流解码，支持各种码流混合解码显示，H.265解码性能与H.264相同；6、支持144个通道同时解码，支持通道任意开窗、漫游、图层叠加等功能，支持预案轮巡设置；7、支持1/4/6/8/9/16画面分割；8、支持主动解码模式；9、★任意一路信号可在整屏的任意位置上与其他信号源拼接漫游缩放叠加显示，图层≥18层。10、支持2*2，2*3，3*2，3*3电视墙拼接；11、支持通过串口控制屏幕开关，亮度，饱和度，对比度调节；12、支持远程录像文件的解码输出；13、支持跨浏览器的WEB 3.0，同时对WEB上的配置进行调整；14、★支持web端解码信息显示，包含每个通道的通道状态、分辨率、帧率、数据和解码流量；15、支持底色选择；16、支持2个10M/100M/1000M自适应以太网接口；17、★支持远程回放功能，能通过网络获取存储设备的音视频数据并解码输出。18、采用标准网络协议和标准压缩算法，在各种平台上轻松实现互联互通。19、</w:t>
            </w:r>
            <w:r>
              <w:rPr>
                <w:rFonts w:hint="eastAsia" w:ascii="宋体" w:hAnsi="宋体" w:cs="宋体"/>
                <w:b/>
                <w:bCs/>
                <w:color w:val="000000"/>
                <w:kern w:val="0"/>
                <w:sz w:val="18"/>
                <w:szCs w:val="18"/>
              </w:rPr>
              <w:t>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电视墙管理软件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支持电视墙服务器和电视墙管理平台控制巡查图像以及设置巡查图像轮巡显示和编码通道上墙显示；控制电视墙服务器和电视墙管理平台。支持分屏模式包括1分屏、4分屏、9分屏、16分屏。</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电视机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≥55寸，屏幕比例16:9，亮度：≥300nit</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电视墙支架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定制电视墙拼接支架</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电脑</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8核处理器/8GB内存/128G+1TB硬盘/2G显卡/23.8寸屏/键盘鼠标</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15</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控制台</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定制控制台</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16</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服务器机柜</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42U标准服务器机柜，前后网孔门设计，前门单开，后门双开，带2个8位5孔PDU插座；</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bottom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六、基础网络及线缆</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核心交换机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1、交换容量≥19Tbps，包转发率≥1440Mpps，业务槽位≥3；2、实际配置主控板≥1个，交流电源模块≥2个，千兆电口≥24，千兆光口≥24；3、端口支持200ms大缓存，整机MAC地址≥1M；4、支持G.8032环网保护技术，可与其他</w:t>
            </w:r>
            <w:r>
              <w:rPr>
                <w:rFonts w:hint="eastAsia" w:ascii="宋体" w:hAnsi="宋体" w:cs="宋体"/>
                <w:color w:val="000000"/>
                <w:kern w:val="0"/>
                <w:sz w:val="18"/>
                <w:szCs w:val="18"/>
                <w:lang w:eastAsia="zh-CN"/>
              </w:rPr>
              <w:t>生产厂家</w:t>
            </w:r>
            <w:r>
              <w:rPr>
                <w:rFonts w:hint="eastAsia" w:ascii="宋体" w:hAnsi="宋体" w:cs="宋体"/>
                <w:color w:val="000000"/>
                <w:kern w:val="0"/>
                <w:sz w:val="18"/>
                <w:szCs w:val="18"/>
              </w:rPr>
              <w:t>设备混合组网；5、支持BFD/OAM，遵循协议标准，支持3.3ms稳定均匀发包检测，50ms内完成故障倒换,保证设备高可靠性；6、支持CPU保护技术，支持5级H-QoS，支持能效以太网功能，IEEE 802.3az；支持核心、接入、AC、AP虚拟成一台设备;</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楼宇汇聚交换机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1、交换容量≥336Gbps ，包转发率≥108Mpps ，支持24个千兆电口，4个千兆光口；2、支持4K个VLAN，支持Voice VLAN，基于端口的VLAN，基于MAC的VLAN，基于协议的VLAN；3、支持MAC地址≥16k；4、支持静态路由、RIP、RIPng、OSPF、BGP等；5、支持堆叠，主机堆叠数不小于9台*支持纵向虚拟化，作为纵向子节点零配置即插即用；6、支持对端口接收报文速率和发送报文速率进行限制，支持SP、WRR、SP+WRR等队列调度算法；7、支持G.8032以太环保护协议；8、支持SNMPv1/v2/v3、Telnet远程维护、网管系统管理。</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光模块</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千兆单模SFP光模块</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光纤</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jc w:val="left"/>
              <w:rPr>
                <w:rFonts w:ascii="宋体" w:hAnsi="宋体" w:cs="宋体"/>
                <w:color w:val="000000"/>
                <w:sz w:val="18"/>
                <w:szCs w:val="18"/>
              </w:rPr>
            </w:pP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1000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米</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4" w:space="0"/>
              <w:left w:val="single" w:color="9CA1AC" w:sz="4" w:space="0"/>
              <w:bottom w:val="single" w:color="9CA1AC" w:sz="4" w:space="0"/>
              <w:right w:val="single" w:color="9CA1AC" w:sz="4" w:space="0"/>
            </w:tcBorders>
            <w:shd w:val="clear" w:color="auto" w:fill="FFFFFF"/>
            <w:noWrap/>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线缆</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电源线缆（主干）RVV3*2.5</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4000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米</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609" w:type="pct"/>
            <w:tcBorders>
              <w:top w:val="single" w:color="9CA1AC" w:sz="4" w:space="0"/>
              <w:left w:val="single" w:color="9CA1AC" w:sz="4" w:space="0"/>
              <w:bottom w:val="single" w:color="9CA1AC" w:sz="4" w:space="0"/>
              <w:right w:val="single" w:color="9CA1AC" w:sz="4" w:space="0"/>
            </w:tcBorders>
            <w:shd w:val="clear" w:color="auto" w:fill="FFFFFF"/>
            <w:noWrap/>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线缆</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电源线缆（支线）RVV3*1.5</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4000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米</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w:t>
            </w:r>
          </w:p>
        </w:tc>
        <w:tc>
          <w:tcPr>
            <w:tcW w:w="609" w:type="pct"/>
            <w:tcBorders>
              <w:top w:val="single" w:color="9CA1AC" w:sz="4" w:space="0"/>
              <w:left w:val="single" w:color="9CA1AC" w:sz="4" w:space="0"/>
              <w:bottom w:val="single" w:color="9CA1AC" w:sz="4" w:space="0"/>
              <w:right w:val="single" w:color="9CA1AC" w:sz="4" w:space="0"/>
            </w:tcBorders>
            <w:shd w:val="clear" w:color="auto" w:fill="FFFFFF"/>
            <w:noWrap/>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广播音箱线</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RVVP2*1.5</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1000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米</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609" w:type="pct"/>
            <w:tcBorders>
              <w:top w:val="single" w:color="9CA1AC" w:sz="4" w:space="0"/>
              <w:left w:val="single" w:color="9CA1AC" w:sz="4" w:space="0"/>
              <w:bottom w:val="single" w:color="9CA1AC" w:sz="4" w:space="0"/>
              <w:right w:val="single" w:color="9CA1AC" w:sz="4" w:space="0"/>
            </w:tcBorders>
            <w:shd w:val="clear" w:color="auto" w:fill="FFFFFF"/>
            <w:noWrap/>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广播音箱线</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RVVP2*2.5</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1800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米</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网线</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国标六类</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件</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桥架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20CM金属桥架</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300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米</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壁挂机柜</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12U壁挂网络机柜，用于安装交换机</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理线架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24口金属理线架</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辅料</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布线管、线槽、水晶头、焊锡、松香、扎带、线号、防水胶布、电工胶布、标签、插排等</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批</w:t>
            </w:r>
          </w:p>
        </w:tc>
        <w:tc>
          <w:tcPr>
            <w:tcW w:w="344" w:type="pct"/>
            <w:vMerge w:val="continue"/>
            <w:tcBorders>
              <w:left w:val="single" w:color="9CA1AC" w:sz="4" w:space="0"/>
              <w:bottom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七、考点网络安全</w:t>
            </w:r>
          </w:p>
        </w:tc>
      </w:tr>
      <w:tr>
        <w:tblPrEx>
          <w:shd w:val="clear" w:color="auto" w:fill="FFFFFF"/>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考点防火墙</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三层吞吐量≥4G，应用层吞吐量≥1G，并发连结数≥100万，新建连接数CPS≥2.5万。2、标准机架式设备，内存≥4GB，SSD硬盘≥64GB，≥8个千兆电口；≥2个千兆光口。3、具有路由、网桥、单臂、旁路、虚拟网线以及混合部署方式。4、具备多链路出站负载均衡功能，应提供基于网络对象（源/目的IP、源/目的端口）、协议、应用类型以及国家地域来进行选路的策略路由选路功能。</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终端安全管理系统</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应能与安全控制中心通信，提供控制中心管理所需的相关数据信息；执行最终的木马病毒查杀、漏洞修复等安全操作。2、应能通过部署在考试专网中的全市统一的管理控制中心实现考点设备的分组管理、策略制定下发、全网健康状况监测、统一杀毒、统一漏洞修复、网络流量管理、终端软件管理、硬件资产管理以及各种报表和查询等功能。3、能设置终端保护密码，设置密码后，终端退出或卸载杀毒或安装控制中心，都需要输入正确的密码方可执行。4、具有网页访问部署、离线安装包部署、域推送等部署方式，可自定义部署通知邮件及部署通知公告。5、能自定义时间/扫描频率/扫描类型，对终端进行定时查毒，并且可以自定义查杀病毒后的处理方式。6、能按病毒、木马、终端等维度统计全网病毒感染状况。7、支持对网内未知文件云查询的控制，可以选择直接连接互联网云查询中心查询，也可以选择采用私有云查杀引擎完成未知文件查询。8、具有漏洞利用防御功能，尤其对通过文件漏洞（尤其是0day漏洞）的攻击行为进行有效检测与防御。9、能对文件解压缩病毒查杀，应具有对zip、rar、7z等多种格式的压缩文件查杀能力。</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bottom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八、考点身份验证系统</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身份验证服务器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应支持从省端通过下发的账号信息拉取本考点的考生编排数据；2、支持通过省端发放的考点考生照片，导入考生照片；3、应支持通过WEB界面对身份验证信息打包成身份验证终端设备可直接使用的数据包；4、应支持通过WEB界面操作，在管理系统界面利用网络或者打包完成后下载到本地通过U盘导入到身份验证终端设备；5、支持实时回收身份验证终端设备上的考生验证数据;6、≥4核处理器，主频≥3.2GHz，≥2块480GB固态硬盘（RAID1），≥16GB,DDR4内存，≥2个USB2.0，≥2个千兆网口。</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人脸识别身份验证终端</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1、设备硬件：电池容量6500毫安；处理器4核，2g内存；8英寸IPS硬屏，800x1280。2、设备接口：内置1个USB接口、1个mini-USB接口、1个RJ45网口、1个TF扩充卡槽，1个3.5mm耳机插口，1个Micro HDMI接口。3、一体化设计：由居民身份证ID模块、指纹模块、拍照模块，一体化封装、无需外接任何设备即可独立完成验证工作。4、操作标识：身份证读取区和指纹采集区均采用正面前置设计，身份证读卡区有显著图文标识。5、工作模式：支持考生和验证数据通过介质和网络（有线和WIFI）导入、导出和实时上传；支持脱机工作方式即不接PC、不接电源。6、指纹模块传感器类型：半导体电容式传感器，符合GA/T-1011-2012标准，支持活体识别，支持360度采集。能有效杜绝指纹膜作弊替考行为。7、双摄像头：前、后置500万像素摄像头，可切换，便于多种情景下由监考老师拍照或考生自拍。8、可在验证终端上进行实时人脸比对，通过现场考生人像与其报名采集照片或身份证芯片内照片进行人脸比对。</w:t>
            </w:r>
            <w:r>
              <w:rPr>
                <w:rFonts w:ascii="宋体" w:hAnsi="宋体" w:cs="宋体"/>
                <w:color w:val="000000"/>
                <w:kern w:val="0"/>
                <w:sz w:val="18"/>
                <w:szCs w:val="18"/>
              </w:rPr>
              <w:t>9</w:t>
            </w:r>
            <w:r>
              <w:rPr>
                <w:rFonts w:hint="eastAsia" w:ascii="宋体" w:hAnsi="宋体" w:cs="宋体"/>
                <w:color w:val="000000"/>
                <w:kern w:val="0"/>
                <w:sz w:val="18"/>
                <w:szCs w:val="18"/>
              </w:rPr>
              <w:t>、多种调取考生信息方式：刷身份证、输入身份证号、准考证号或者点击考生座次图等方式快速的读取到考生个人信息（包括准考证号、身份证号、姓名、考生身份证照片、报名照片等）。</w:t>
            </w:r>
            <w:r>
              <w:rPr>
                <w:rFonts w:ascii="宋体" w:hAnsi="宋体" w:cs="宋体"/>
                <w:color w:val="000000"/>
                <w:kern w:val="0"/>
                <w:sz w:val="18"/>
                <w:szCs w:val="18"/>
              </w:rPr>
              <w:t>10</w:t>
            </w:r>
            <w:r>
              <w:rPr>
                <w:rFonts w:hint="eastAsia" w:ascii="宋体" w:hAnsi="宋体" w:cs="宋体"/>
                <w:color w:val="000000"/>
                <w:kern w:val="0"/>
                <w:sz w:val="18"/>
                <w:szCs w:val="18"/>
              </w:rPr>
              <w:t xml:space="preserve">、内置数据存储容量：指定的身份信息数据存储格式，可存储大于10000枚指纹信息，可存储大于10000条考生数据（考生基本信息、报名照片、身份证照片等），可存储大于100000条验证记录。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打印机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A4 高速黑白激光网络打印机，每分钟打印速度不低于40页</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网络跳线</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3米网络连接跳线</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条</w:t>
            </w:r>
          </w:p>
        </w:tc>
        <w:tc>
          <w:tcPr>
            <w:tcW w:w="344" w:type="pct"/>
            <w:vMerge w:val="continue"/>
            <w:tcBorders>
              <w:left w:val="single" w:color="9CA1AC" w:sz="4" w:space="0"/>
              <w:bottom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九、考点电源保障系统</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UPS电源</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20KAV UPS电源</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电池</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12V 100AH铅酸密封蓄电池，含电池柜</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64</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块</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电池柜</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用于存放UPS电池</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UPS电源线</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UPS电源输入输出线缆</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w:t>
            </w:r>
          </w:p>
        </w:tc>
        <w:tc>
          <w:tcPr>
            <w:tcW w:w="344" w:type="pct"/>
            <w:vMerge w:val="continue"/>
            <w:tcBorders>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配电箱</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定制配电箱，配置断路器</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bottom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十、英语听力系统</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模拟调音台</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1、10路XLR平衡单声道输入+2路立体声输入；2、每通道3段均衡调节，MUTE静音开关，PFL耳机开关，平滑60MM行程推子器；3、2编组输出 +2组AUX输出（包括FX)；4、1组返回，1组监听耳机输出；5、内置48V幻象电源供电；6、24种DSP数字效果器；7、内置USB音频播放MP3；8、USB录音、也可连电脑播放音乐；9、内置蓝牙接收模块；10、LED大显示屏清淅显示播放状态；11、十段三色电平灯显示信号状态；12、XLR平衡输入话放噪声极低，超低噪音线路设计，动态余量大；13、适用全球供电电压功率30瓦；使用灵活。具有无噪声、瞬间反应好、电耗低的特性。</w:t>
            </w:r>
          </w:p>
        </w:tc>
        <w:tc>
          <w:tcPr>
            <w:tcW w:w="325" w:type="pct"/>
            <w:tcBorders>
              <w:top w:val="single" w:color="9CA1AC" w:sz="4"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4"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播放器</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Style w:val="121"/>
                <w:rFonts w:hint="default"/>
                <w:sz w:val="18"/>
                <w:szCs w:val="18"/>
              </w:rPr>
              <w:t>1.CD/MP3/VCD/DVD/WAV 播放功能：高亮度动态 VFD 显示，清晰醒目；2.具有曲目直选功能；3.具有通电后自动播放功能；</w:t>
            </w:r>
            <w:r>
              <w:rPr>
                <w:rFonts w:hint="eastAsia" w:ascii="宋体" w:hAnsi="宋体" w:cs="宋体"/>
                <w:b/>
                <w:bCs/>
                <w:color w:val="000000"/>
                <w:kern w:val="0"/>
                <w:sz w:val="18"/>
                <w:szCs w:val="18"/>
              </w:rPr>
              <w:t>性能规格：</w:t>
            </w:r>
            <w:r>
              <w:rPr>
                <w:rStyle w:val="121"/>
                <w:rFonts w:hint="default"/>
                <w:sz w:val="18"/>
                <w:szCs w:val="18"/>
              </w:rPr>
              <w:t>1.频率响应 20Hz-20kHz（±3dB）；2.信噪比 90dB；3.动态范围 90dB；4.谐波失真 0.005%；抖晃 可测极限之下；5.输出电平 0dBV；6.保护 AC 保险丝；7.电源 AC220V/50Hz</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时序电源控制器</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Style w:val="121"/>
                <w:rFonts w:hint="default"/>
                <w:sz w:val="18"/>
                <w:szCs w:val="18"/>
              </w:rPr>
              <w:t>1.按顺序开启或关闭16路受控设备的电源。2.可以通过定时器自动控制或人工控制。3.插座总容量达 3.5kVA。</w:t>
            </w:r>
            <w:r>
              <w:rPr>
                <w:rFonts w:hint="eastAsia" w:ascii="宋体" w:hAnsi="宋体" w:cs="宋体"/>
                <w:b/>
                <w:bCs/>
                <w:color w:val="000000"/>
                <w:kern w:val="0"/>
                <w:sz w:val="18"/>
                <w:szCs w:val="18"/>
              </w:rPr>
              <w:t>性能规格：</w:t>
            </w:r>
            <w:r>
              <w:rPr>
                <w:rStyle w:val="121"/>
                <w:rFonts w:hint="default"/>
                <w:sz w:val="18"/>
                <w:szCs w:val="18"/>
              </w:rPr>
              <w:t>1.电源插座输出总容量3.5kVA，16A，16通道；每个插座最大输出为220V，10A；2.定时器控制信号 交流220伏，0.01A；3.动作间隔时间 0.4秒-0.5秒；4.保护 AC保险丝；5.耗电 AC220V/50Hz/16A</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广播寻呼话筒</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操作便捷，适应不同；支持终端即插即用；具有延时自动关闭功能；可弯曲式话筒。话筒输出电压600mV±10mV或20mV±10%（非平衡）；钟声额定输出电压600mV±10mV或20mV±10%；出钟声种类CHIMEUP：上音符1-3-5-і-CHIMEDOWN：下音符i-5-3-1-</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频率范围100Hz-15kHz；失真度MIC：≤1%</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微型智能广播媒体矩阵</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集播放、智能定时控制、音频矩阵、分区控制、等功能于一身的公共广播控制器；有5套定时方案，每套定时方案有500个定时点，按7天循环。每个定时点可控制分区的音源选择、钟声、内部MP3、内置AM/FM、2路电源、外部4种周边音源（CD、调谐器、卡座、MP3节目播放器）。5套定时方案可方便切换；八路普通音源输入，内置MP3、AM/FM收音，一路本机航空话筒输入（有第一优先功能），一路警报信号输入（有第二优先功能），多路远程寻呼话筒信号输入（有第三级优先功能），二十路输出的大型音频矩阵；二十路消防紧急输入（短路信号），一路消防联动输出（短路信号，用于扩展，可连接语音报警器、电源时序器等）。消防信号触发每一路紧急输入可以触发分区可编程，可以触发任意分区；通过局域网接口能外接电脑通过软件对主机进行控制。（实现电脑远程设置定时、定点、定节目自动播发）（需配套远程控制软件使用）；能通过9针口连接扩展远程寻呼话筒；所有定时程序可随时简易的手动干预；可实时监听各分区，带音量调节功能；（数字音量调节）采用高性能DSP处理器、数字矩阵、数字音量控制、数字均衡器，7英寸触摸彩屏控制；有USB接口，USB口可将U盘的歌曲直接拷贝到主机里播放；100米范围无线遥控，有12个可编程按键，可定制一键打开/关闭分区，选音源，选曲等；带3种钟声信号输出功能（机械音量调节）；带警报信号输出功能（机械音量调节）；带电话分区寻呼功能（机械音量调节，可修改密码、全区寻呼、自选寻呼、编组寻呼等功能）；可定时控制外部音源的播放状态；具有触摸屏触摸点校准功能；20路输入信号数字音量调节功能，可远程控制；20路分区输出数字音量调节功能，可远程控制；</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远程控制软件</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支持window9x/2000/xp操作系统。人性化主机界面设计。</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控制软件使用Java语言编写，安全可靠。辅助主控系统广播操作，实现配置、控制、编程、检测等功能。支持程序上传下载，远程升级和故障解决</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套</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w:t>
            </w:r>
          </w:p>
        </w:tc>
        <w:tc>
          <w:tcPr>
            <w:tcW w:w="609" w:type="pct"/>
            <w:tcBorders>
              <w:top w:val="single" w:color="9CA1AC" w:sz="4"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壁挂扬声器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作电压70/100V，功率1.5-10W（多个配接端子），适应不同场合；最大声压级达100±2dB，有效频率范围宽达160Hz-18kHz;重1.75kg，自备悬挂孔，安装方便；优质工程塑料注塑成型，经久耐用，不变形，不褪色；扬声器悬边阻尼处理，寿命长，灵敏度高（达92±2dB），声音清晰</w:t>
            </w:r>
          </w:p>
        </w:tc>
        <w:tc>
          <w:tcPr>
            <w:tcW w:w="325" w:type="pct"/>
            <w:tcBorders>
              <w:top w:val="single" w:color="9CA1AC" w:sz="4"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132</w:t>
            </w:r>
          </w:p>
        </w:tc>
        <w:tc>
          <w:tcPr>
            <w:tcW w:w="276" w:type="pct"/>
            <w:tcBorders>
              <w:top w:val="single" w:color="9CA1AC" w:sz="4"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609"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主/备功放自动切换器</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能自动发现声频功放故障并在“主功放”和“ 备用功放”之间实现自动切换。具有4个完全相同的独立通道，每个通道均能完成主/备功放之自动检测与切换。兼有手动主/备切换之功能。一目了然的工作状态指示。性能规格：可控通道组数 4组；工作组态 （4主4备）或（4主1备）；通道工作容量 100V/10A（音频信号）；功放增益要求 &gt;20dB；输入检测电压阀值 &lt;500mV；30k检测信号输出电压 20mV-50mV；故障切换时间 200ms；通道检测时间 40ms；保护 AC 保险丝；电源 AC 220V/50Hz</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广播分区器</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2路输入（A和B）， 10通道输出。有强行插入功能。便捷的全开全关功能控制。当有警报信号输入时，相应通道自动切换到通道B。性能规格：通道数 10，可任意选通；输入容量 70-100V，10A；输出容量 每个通道70-100V，5A；警报信号 0/+24V，0V（短路）有效；保护 AC 保险丝；电源 AC 220-240V/50-60Hz。</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前置放大器</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多种、多个输入/输出口：5个话筒口；3个辅助口；2个优先口；4个输出口。各通道独立音量控制。高音和低音音调控制。自动默音（有强插功能）。性能规格：最小源电动势 Mic：≤3.2mV， 不平衡/Aux：≤300mV 不平衡/EMC：≤450mV；输出电平 0dBV；频率响应 Line：30Hz-20KHz （±3dB） ；总谐波失真 Aux：≤0.1%（1KHz，额定正常工作条件）；信噪比 Aux input：≥66dB；音调调节范围 Bass：±10dB（100Hz）/Treble：±10dB（10kHz）；保护 AC保险丝；电源 AC 220V/50Hz</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11</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纯后级数字广播功放</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高效率的开关电源。高效率的 CLASS D 功放。100V、70V 定压输出（共用输出端），支持 100V/70V 输出实时切换。具有完善可靠的直流输出保护、短路保护、过热保护，提高本机的安全性能。5 单位 LED 指示灯，作状态显示。</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6.35mm 插口和 XLR 插口可方便地实现环接。输出短路保护并可自动恢复；额定输出功率(100V) 1500W；额定输出功率(70V) 750W；最小源电动势 ≤1000mV；信噪比 ≥80dB；频率响应 80Hz~16kHz (±3dB)；总谐波失真 ≤1% （1kHz，正常工作条件）；指示灯 “70V”、“信号”、“削顶”、 “保护” 、“超温” 保护 超温、直流、短路；电源 AC220V/50Hz；额定功耗 2700W</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609" w:type="pct"/>
            <w:tcBorders>
              <w:top w:val="single" w:color="9CA1AC" w:sz="4"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号筒扬声器</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作电压70/100V，额定功率50W，多种功率选择，适应不同场合；重4.5kg，配有安装支架，安装便捷；尺寸（长×宽×高）：500×500×406mm；全天候设计，室内外均宜，灵敏度高（104±2dB），声音清晰、明亮;有效频率范围250Hz-15kHz，最大声压级达121±2dB.。</w:t>
            </w:r>
          </w:p>
        </w:tc>
        <w:tc>
          <w:tcPr>
            <w:tcW w:w="325" w:type="pct"/>
            <w:tcBorders>
              <w:top w:val="single" w:color="9CA1AC" w:sz="4"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6" w:type="pct"/>
            <w:tcBorders>
              <w:top w:val="single" w:color="9CA1AC" w:sz="4"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13</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合并式数字广播功放</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三个话筒输入口，两个辅助输入口，一个辅助输出口,最宜于公共广播。100V, 70V定压输出和P1输出。有默音功能,便于插入优先广播。各通道独立音量控制。高音和低音音调控制。5单位LED 电平表,甚易监察工作状态。额定输出功率: 450W ；输出方式: 4~16欧，70V、100V定压输出；辅助输出电平: 1000 mV±100mV；话筒：≤5.5mV（不平衡）,线路：≤300mV（不平衡）；频率响应: 80Hz-15KHz（±3dB）；总谐波失真 ≤1% （1KHz，正常工作条件）；信噪比 线路输入：≥74dB（宽带）；音调调节范围:低音：±10dB（100Hz）,高音：±10dB（10kHz)；保护:交流保险丝, 直流输出，过载, 输出短路保护并告警。默音功能 Mic1 输入覆盖其它输入（衰减0 到 -30dB）；电源 AC 220V/50Hz；额定功耗: 600W ；</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14</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电脑</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8核处理器/8GB内存/128G+1TB硬盘/2G显卡/23.8寸屏/键盘鼠标</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15</w:t>
            </w:r>
          </w:p>
        </w:tc>
        <w:tc>
          <w:tcPr>
            <w:tcW w:w="609"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机柜</w:t>
            </w:r>
          </w:p>
        </w:tc>
        <w:tc>
          <w:tcPr>
            <w:tcW w:w="3168" w:type="pct"/>
            <w:tcBorders>
              <w:top w:val="single" w:color="9CA1AC" w:sz="0"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600mm*800mm*2000mm</w:t>
            </w:r>
          </w:p>
        </w:tc>
        <w:tc>
          <w:tcPr>
            <w:tcW w:w="325"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6" w:type="pct"/>
            <w:tcBorders>
              <w:top w:val="single" w:color="9CA1AC" w:sz="0" w:space="0"/>
              <w:left w:val="single" w:color="9CA1AC" w:sz="0"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bottom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5000" w:type="pct"/>
            <w:gridSpan w:val="6"/>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十一、作弊防控系统</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金属探测仪</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高灵敏金属探测仪</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信号屏蔽仪</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1.能有效屏蔽各运营商的2G/3G/4G/5G手机，2.4G（Wifi/Zigbee/Bluetooth）等无线通信信号。</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2.安装方便，即插即用，无需软件设置。</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continue"/>
            <w:tcBorders>
              <w:left w:val="single" w:color="9CA1AC" w:sz="4" w:space="0"/>
              <w:bottom w:val="single" w:color="9CA1AC" w:sz="4" w:space="0"/>
              <w:right w:val="single" w:color="9CA1AC" w:sz="4" w:space="0"/>
            </w:tcBorders>
            <w:shd w:val="clear" w:color="auto" w:fill="FFFFFF"/>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4053" w:type="pct"/>
            <w:gridSpan w:val="3"/>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十二、试卷流转通道设备</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jc w:val="center"/>
              <w:rPr>
                <w:rFonts w:ascii="宋体" w:hAnsi="宋体" w:cs="宋体"/>
                <w:color w:val="000000"/>
                <w:sz w:val="18"/>
                <w:szCs w:val="18"/>
              </w:rPr>
            </w:pP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jc w:val="center"/>
              <w:rPr>
                <w:rFonts w:ascii="宋体" w:hAnsi="宋体" w:cs="宋体"/>
                <w:color w:val="000000"/>
                <w:sz w:val="18"/>
                <w:szCs w:val="18"/>
              </w:rPr>
            </w:pPr>
          </w:p>
        </w:tc>
        <w:tc>
          <w:tcPr>
            <w:tcW w:w="344" w:type="pct"/>
            <w:tcBorders>
              <w:top w:val="single" w:color="9CA1AC" w:sz="4" w:space="0"/>
              <w:left w:val="single" w:color="9CA1AC" w:sz="4" w:space="0"/>
              <w:bottom w:val="single" w:color="9CA1AC" w:sz="4" w:space="0"/>
              <w:right w:val="single" w:color="9CA1AC" w:sz="4" w:space="0"/>
            </w:tcBorders>
            <w:shd w:val="clear" w:color="auto" w:fill="FFFFFF"/>
            <w:noWrap/>
            <w:vAlign w:val="center"/>
          </w:tcPr>
          <w:p>
            <w:pPr>
              <w:jc w:val="right"/>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红外高清枪式摄像机</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 xml:space="preserve">1、★符合《国家教育考试网上巡查系统视频标准技术规范（2017版）》相关技术规范；2、采用高性能200万像素1/2.7英寸CMOS图像传感器，低照度效果好，图像清晰度高；3、可输出200万(1920×1080)@25fps；4、支持H.264、H.265视频编码格式；5、最大红外监控距离50米；6、支持走廊模式，宽动态，3D降噪，强光抑制，背光补偿，数字水印，适用不同监控环境；7、支持ROI，SMART H.264/H.265，灵活编码，适用不同带宽和存储环境；8、支持虚焦侦测，区域入侵，绊线入侵，场景变更，外部报警,音频检测，电压检测；9、★支持PS系统流和TS传输流的封装；10、★支持断网续传、虚焦侦测、人脸侦测、人脸增强、人脸区域自动曝光等功能；11、支持DC12V/POE供电方式，方便工程安装；12、镜头焦距3.6mm。                                                               </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13、</w:t>
            </w:r>
            <w:r>
              <w:rPr>
                <w:rFonts w:hint="eastAsia" w:ascii="宋体" w:hAnsi="宋体" w:cs="宋体"/>
                <w:b/>
                <w:bCs/>
                <w:color w:val="000000"/>
                <w:kern w:val="0"/>
                <w:sz w:val="18"/>
                <w:szCs w:val="18"/>
              </w:rPr>
              <w:t>以上加★</w:t>
            </w:r>
            <w:r>
              <w:rPr>
                <w:rFonts w:hint="eastAsia" w:ascii="宋体" w:hAnsi="宋体" w:eastAsia="宋体" w:cs="宋体"/>
                <w:b/>
                <w:bCs/>
                <w:color w:val="000000"/>
                <w:kern w:val="0"/>
                <w:sz w:val="18"/>
                <w:szCs w:val="18"/>
                <w:lang w:val="en-US" w:eastAsia="zh-CN"/>
              </w:rPr>
              <w:t>项</w:t>
            </w:r>
            <w:r>
              <w:rPr>
                <w:rFonts w:hint="eastAsia" w:ascii="宋体" w:hAnsi="宋体" w:cs="宋体"/>
                <w:b/>
                <w:bCs/>
                <w:color w:val="000000"/>
                <w:kern w:val="0"/>
                <w:sz w:val="18"/>
                <w:szCs w:val="18"/>
                <w:lang w:val="en-US" w:eastAsia="zh-CN"/>
              </w:rPr>
              <w:t>响应文件中</w:t>
            </w:r>
            <w:r>
              <w:rPr>
                <w:rFonts w:hint="eastAsia" w:ascii="宋体" w:hAnsi="宋体" w:eastAsia="宋体" w:cs="宋体"/>
                <w:b/>
                <w:bCs/>
                <w:color w:val="000000"/>
                <w:kern w:val="0"/>
                <w:sz w:val="18"/>
                <w:szCs w:val="18"/>
                <w:lang w:val="en-US" w:eastAsia="zh-CN"/>
              </w:rPr>
              <w:t>需</w:t>
            </w:r>
            <w:r>
              <w:rPr>
                <w:rFonts w:hint="eastAsia" w:ascii="宋体" w:hAnsi="宋体" w:eastAsia="宋体" w:cs="宋体"/>
                <w:b/>
                <w:bCs/>
                <w:color w:val="000000"/>
                <w:kern w:val="0"/>
                <w:sz w:val="18"/>
                <w:szCs w:val="18"/>
              </w:rPr>
              <w:t>提供第三方</w:t>
            </w:r>
            <w:r>
              <w:rPr>
                <w:rFonts w:hint="eastAsia" w:ascii="宋体" w:hAnsi="宋体" w:eastAsia="宋体" w:cs="宋体"/>
                <w:b/>
                <w:bCs/>
                <w:color w:val="000000"/>
                <w:kern w:val="0"/>
                <w:sz w:val="18"/>
                <w:szCs w:val="18"/>
                <w:lang w:val="en-US" w:eastAsia="zh-CN"/>
              </w:rPr>
              <w:t>检测报告</w:t>
            </w:r>
            <w:r>
              <w:rPr>
                <w:rFonts w:hint="eastAsia" w:ascii="宋体" w:hAnsi="宋体" w:eastAsia="宋体" w:cs="宋体"/>
                <w:b/>
                <w:bCs/>
                <w:color w:val="000000"/>
                <w:kern w:val="0"/>
                <w:sz w:val="18"/>
                <w:szCs w:val="18"/>
              </w:rPr>
              <w:t>复印件并加盖</w:t>
            </w:r>
            <w:r>
              <w:rPr>
                <w:rFonts w:hint="eastAsia" w:ascii="宋体" w:hAnsi="宋体" w:cs="宋体"/>
                <w:b/>
                <w:bCs/>
                <w:color w:val="000000"/>
                <w:kern w:val="0"/>
                <w:sz w:val="18"/>
                <w:szCs w:val="18"/>
                <w:lang w:eastAsia="zh-CN"/>
              </w:rPr>
              <w:t>生产厂家</w:t>
            </w:r>
            <w:r>
              <w:rPr>
                <w:rFonts w:hint="eastAsia" w:ascii="宋体" w:hAnsi="宋体" w:eastAsia="宋体" w:cs="宋体"/>
                <w:b/>
                <w:bCs/>
                <w:color w:val="000000"/>
                <w:kern w:val="0"/>
                <w:sz w:val="18"/>
                <w:szCs w:val="18"/>
              </w:rPr>
              <w:t xml:space="preserve">公章扫描件。 </w:t>
            </w:r>
            <w:r>
              <w:rPr>
                <w:rFonts w:hint="eastAsia" w:ascii="宋体" w:hAnsi="宋体" w:cs="宋体"/>
                <w:color w:val="000000"/>
                <w:kern w:val="0"/>
                <w:sz w:val="18"/>
                <w:szCs w:val="18"/>
              </w:rPr>
              <w:t xml:space="preserve">                                                </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台</w:t>
            </w:r>
          </w:p>
        </w:tc>
        <w:tc>
          <w:tcPr>
            <w:tcW w:w="344" w:type="pct"/>
            <w:vMerge w:val="restart"/>
            <w:tcBorders>
              <w:top w:val="single" w:color="9CA1AC" w:sz="4" w:space="0"/>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lang w:val="en-US" w:eastAsia="zh-CN"/>
              </w:rPr>
              <w:t>工业</w:t>
            </w: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存储卡</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64GB存储卡</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摄像机支架</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定制摄像机支架</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电源模块</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12V2A电源模块</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只</w:t>
            </w:r>
          </w:p>
        </w:tc>
        <w:tc>
          <w:tcPr>
            <w:tcW w:w="344" w:type="pct"/>
            <w:vMerge w:val="continue"/>
            <w:tcBorders>
              <w:left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r>
        <w:tblPrEx>
          <w:shd w:val="clear" w:color="auto" w:fill="FFFFFF"/>
          <w:tblCellMar>
            <w:top w:w="0" w:type="dxa"/>
            <w:left w:w="108" w:type="dxa"/>
            <w:bottom w:w="0" w:type="dxa"/>
            <w:right w:w="108" w:type="dxa"/>
          </w:tblCellMar>
        </w:tblPrEx>
        <w:trPr>
          <w:trHeight w:val="397" w:hRule="atLeast"/>
          <w:jc w:val="center"/>
        </w:trPr>
        <w:tc>
          <w:tcPr>
            <w:tcW w:w="27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609"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配电箱</w:t>
            </w:r>
          </w:p>
        </w:tc>
        <w:tc>
          <w:tcPr>
            <w:tcW w:w="3168"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定制，用于安放集中电源、接线</w:t>
            </w:r>
          </w:p>
        </w:tc>
        <w:tc>
          <w:tcPr>
            <w:tcW w:w="325"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276" w:type="pct"/>
            <w:tcBorders>
              <w:top w:val="single" w:color="9CA1AC" w:sz="4" w:space="0"/>
              <w:left w:val="single" w:color="9CA1AC" w:sz="4" w:space="0"/>
              <w:bottom w:val="single" w:color="9CA1AC" w:sz="4" w:space="0"/>
              <w:right w:val="single" w:color="9CA1AC"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个</w:t>
            </w:r>
          </w:p>
        </w:tc>
        <w:tc>
          <w:tcPr>
            <w:tcW w:w="344" w:type="pct"/>
            <w:vMerge w:val="continue"/>
            <w:tcBorders>
              <w:left w:val="single" w:color="9CA1AC" w:sz="4" w:space="0"/>
              <w:bottom w:val="single" w:color="9CA1AC" w:sz="4" w:space="0"/>
              <w:right w:val="single" w:color="9CA1AC" w:sz="4" w:space="0"/>
            </w:tcBorders>
            <w:shd w:val="clear" w:color="auto" w:fill="FFFFFF"/>
            <w:noWrap/>
            <w:vAlign w:val="center"/>
          </w:tcPr>
          <w:p>
            <w:pPr>
              <w:widowControl/>
              <w:jc w:val="right"/>
              <w:textAlignment w:val="center"/>
              <w:rPr>
                <w:rFonts w:ascii="宋体" w:hAnsi="宋体" w:cs="宋体"/>
                <w:color w:val="000000"/>
                <w:sz w:val="18"/>
                <w:szCs w:val="18"/>
              </w:rPr>
            </w:pPr>
          </w:p>
        </w:tc>
      </w:tr>
    </w:tbl>
    <w:p>
      <w:pPr>
        <w:numPr>
          <w:ilvl w:val="0"/>
          <w:numId w:val="0"/>
        </w:numPr>
        <w:autoSpaceDE w:val="0"/>
        <w:autoSpaceDN w:val="0"/>
        <w:spacing w:line="500" w:lineRule="exact"/>
        <w:ind w:leftChars="0"/>
        <w:rPr>
          <w:rFonts w:hint="eastAsia" w:ascii="宋体" w:hAnsi="宋体" w:cs="宋体"/>
          <w:b/>
          <w:bCs/>
          <w:sz w:val="24"/>
          <w:szCs w:val="28"/>
        </w:rPr>
      </w:pPr>
      <w:r>
        <w:rPr>
          <w:rFonts w:hint="eastAsia" w:ascii="宋体" w:hAnsi="宋体" w:cs="宋体"/>
          <w:b/>
          <w:bCs/>
          <w:sz w:val="24"/>
          <w:szCs w:val="28"/>
          <w:lang w:val="en-US" w:eastAsia="zh-CN"/>
        </w:rPr>
        <w:t>2.</w:t>
      </w:r>
      <w:r>
        <w:rPr>
          <w:rFonts w:hint="eastAsia" w:ascii="宋体" w:hAnsi="宋体" w:cs="宋体"/>
          <w:b/>
          <w:bCs/>
          <w:sz w:val="24"/>
          <w:szCs w:val="28"/>
        </w:rPr>
        <w:t>商务要求</w:t>
      </w:r>
    </w:p>
    <w:p>
      <w:pPr>
        <w:numPr>
          <w:ilvl w:val="0"/>
          <w:numId w:val="0"/>
        </w:numPr>
        <w:autoSpaceDE w:val="0"/>
        <w:autoSpaceDN w:val="0"/>
        <w:spacing w:line="500" w:lineRule="exact"/>
        <w:ind w:leftChars="0"/>
        <w:rPr>
          <w:rFonts w:ascii="宋体" w:hAnsi="宋体" w:cs="宋体"/>
          <w:color w:val="000000"/>
          <w:kern w:val="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1</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为保证所投标准化考点产品能够满足与省市级考务管理平台互联互通，无缝对接，</w:t>
      </w:r>
      <w:r>
        <w:rPr>
          <w:rFonts w:hint="eastAsia" w:ascii="宋体" w:hAnsi="宋体" w:cs="宋体"/>
          <w:color w:val="000000"/>
          <w:kern w:val="0"/>
          <w:sz w:val="24"/>
          <w:szCs w:val="24"/>
          <w:lang w:val="en-US" w:eastAsia="zh-CN"/>
        </w:rPr>
        <w:t>须提供无缝对接承诺，</w:t>
      </w:r>
      <w:r>
        <w:rPr>
          <w:rFonts w:hint="eastAsia" w:ascii="宋体" w:hAnsi="宋体" w:cs="宋体"/>
          <w:color w:val="000000"/>
          <w:kern w:val="0"/>
          <w:sz w:val="24"/>
          <w:szCs w:val="24"/>
        </w:rPr>
        <w:t xml:space="preserve">采购方有权对预中标供应商所投的标准化考点产品进行无条件互联互通测试，对测试不通过的投标商直接取消中标资格。                                        </w:t>
      </w:r>
    </w:p>
    <w:p>
      <w:pPr>
        <w:spacing w:line="560" w:lineRule="exact"/>
        <w:rPr>
          <w:rFonts w:ascii="宋体" w:hAnsi="宋体" w:cs="宋体"/>
          <w:color w:val="000000"/>
          <w:kern w:val="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2</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交货时间：自双方签订合同后15日内。</w:t>
      </w:r>
    </w:p>
    <w:p>
      <w:pPr>
        <w:spacing w:line="560" w:lineRule="exact"/>
        <w:rPr>
          <w:rFonts w:ascii="宋体" w:hAnsi="宋体" w:cs="宋体"/>
          <w:color w:val="000000"/>
          <w:kern w:val="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3</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付款方式：项目验收合格后，2023年9月31日前支付成交金额95%，次年7月31日前支付成交金额5%。</w:t>
      </w:r>
    </w:p>
    <w:p>
      <w:pPr>
        <w:spacing w:line="560" w:lineRule="exact"/>
        <w:rPr>
          <w:rFonts w:ascii="宋体" w:hAnsi="宋体" w:cs="宋体"/>
          <w:color w:val="000000"/>
          <w:kern w:val="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4</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售后服务：</w:t>
      </w:r>
    </w:p>
    <w:p>
      <w:pPr>
        <w:spacing w:line="560" w:lineRule="exact"/>
        <w:rPr>
          <w:rFonts w:ascii="宋体" w:hAnsi="宋体" w:cs="宋体"/>
          <w:color w:val="000000"/>
          <w:kern w:val="0"/>
          <w:sz w:val="24"/>
          <w:szCs w:val="24"/>
        </w:rPr>
      </w:pPr>
      <w:r>
        <w:rPr>
          <w:rFonts w:hint="default" w:ascii="宋体" w:hAnsi="宋体" w:eastAsia="宋体" w:cs="宋体"/>
          <w:color w:val="000000"/>
          <w:kern w:val="0"/>
          <w:sz w:val="24"/>
          <w:szCs w:val="24"/>
          <w:lang w:val="en-US" w:eastAsia="zh-CN"/>
        </w:rPr>
        <w:t>①</w:t>
      </w:r>
      <w:r>
        <w:rPr>
          <w:rFonts w:hint="eastAsia" w:ascii="宋体" w:hAnsi="宋体" w:cs="宋体"/>
          <w:color w:val="000000"/>
          <w:kern w:val="0"/>
          <w:sz w:val="24"/>
          <w:szCs w:val="24"/>
        </w:rPr>
        <w:t>自项目最终验收之日起，主要设备（红外高清半球摄像机、高清SIP管理平台、高清媒体转发平台、标考网络流媒体存储平台、网络视频解码器、电视墙管理软件、核心交换机等）质保三年，免费提供三年的上门设备维护服务、终身的技术服务支持，在每年举行的高考、中考及学业水平考试前一个月，中标商必须安排技术人员对本考点以上所有设备进行检测维修，在考试前3天至考试结束，为本考点至少派驻一名技术、业务过硬的技术员提供全程技术服务。</w:t>
      </w:r>
    </w:p>
    <w:p>
      <w:pPr>
        <w:spacing w:line="560" w:lineRule="exact"/>
        <w:rPr>
          <w:rFonts w:ascii="宋体" w:hAnsi="宋体" w:cs="宋体"/>
          <w:color w:val="000000"/>
          <w:kern w:val="0"/>
          <w:sz w:val="24"/>
          <w:szCs w:val="24"/>
        </w:rPr>
      </w:pPr>
      <w:r>
        <w:rPr>
          <w:rFonts w:hint="default" w:ascii="宋体" w:hAnsi="宋体" w:eastAsia="宋体" w:cs="宋体"/>
          <w:color w:val="000000"/>
          <w:kern w:val="0"/>
          <w:sz w:val="24"/>
          <w:szCs w:val="24"/>
        </w:rPr>
        <w:t>②</w:t>
      </w:r>
      <w:r>
        <w:rPr>
          <w:rFonts w:hint="eastAsia" w:ascii="宋体" w:hAnsi="宋体" w:cs="宋体"/>
          <w:color w:val="000000"/>
          <w:kern w:val="0"/>
          <w:sz w:val="24"/>
          <w:szCs w:val="24"/>
        </w:rPr>
        <w:t>设备符合国家三包规定的，应依据国家规定予以保修。</w:t>
      </w:r>
    </w:p>
    <w:p>
      <w:pPr>
        <w:spacing w:line="560" w:lineRule="exact"/>
        <w:rPr>
          <w:rFonts w:ascii="宋体" w:hAnsi="宋体" w:cs="宋体"/>
          <w:color w:val="000000"/>
          <w:kern w:val="0"/>
          <w:sz w:val="24"/>
          <w:szCs w:val="24"/>
        </w:rPr>
      </w:pPr>
      <w:r>
        <w:rPr>
          <w:rFonts w:hint="default" w:ascii="宋体" w:hAnsi="宋体" w:eastAsia="宋体" w:cs="宋体"/>
          <w:color w:val="000000"/>
          <w:kern w:val="0"/>
          <w:sz w:val="24"/>
          <w:szCs w:val="24"/>
        </w:rPr>
        <w:t>③</w:t>
      </w:r>
      <w:r>
        <w:rPr>
          <w:rFonts w:hint="eastAsia" w:ascii="宋体" w:hAnsi="宋体" w:cs="宋体"/>
          <w:color w:val="000000"/>
          <w:kern w:val="0"/>
          <w:sz w:val="24"/>
          <w:szCs w:val="24"/>
        </w:rPr>
        <w:t>自项目投入正式运行和在服务期内，对于设备出现的故障，供应商应提供导致有关问题的原因及解决问题时所要采取的措施。</w:t>
      </w:r>
    </w:p>
    <w:p>
      <w:pPr>
        <w:spacing w:line="560" w:lineRule="exact"/>
        <w:rPr>
          <w:rFonts w:ascii="宋体" w:hAnsi="宋体" w:cs="宋体"/>
          <w:color w:val="000000"/>
          <w:kern w:val="0"/>
          <w:sz w:val="24"/>
          <w:szCs w:val="24"/>
        </w:rPr>
      </w:pPr>
      <w:r>
        <w:rPr>
          <w:rFonts w:hint="eastAsia" w:ascii="宋体" w:hAnsi="宋体" w:eastAsia="宋体" w:cs="宋体"/>
          <w:color w:val="000000"/>
          <w:kern w:val="0"/>
          <w:sz w:val="24"/>
          <w:szCs w:val="24"/>
        </w:rPr>
        <w:t>④</w:t>
      </w:r>
      <w:r>
        <w:rPr>
          <w:rFonts w:hint="eastAsia" w:ascii="宋体" w:hAnsi="宋体" w:cs="宋体"/>
          <w:color w:val="000000"/>
          <w:kern w:val="0"/>
          <w:sz w:val="24"/>
          <w:szCs w:val="24"/>
        </w:rPr>
        <w:t>成交供应商完成本项目后要与所在学校做好相关交付工作，将本考点原有更换下的所有设备及线材交付投标方，并在系统正式投入运行前，为学校相关工作人员进行相应的系统操作、应用和维护等方面的培训。</w:t>
      </w:r>
    </w:p>
    <w:p>
      <w:pPr>
        <w:autoSpaceDE w:val="0"/>
        <w:autoSpaceDN w:val="0"/>
        <w:spacing w:line="500" w:lineRule="exact"/>
        <w:rPr>
          <w:rFonts w:ascii="宋体" w:hAnsi="宋体" w:cs="宋体"/>
          <w:b/>
          <w:bCs/>
          <w:sz w:val="24"/>
          <w:szCs w:val="28"/>
        </w:rPr>
      </w:pPr>
      <w:r>
        <w:rPr>
          <w:rFonts w:hint="eastAsia" w:ascii="宋体" w:hAnsi="宋体" w:cs="宋体"/>
          <w:b/>
          <w:bCs/>
          <w:sz w:val="24"/>
          <w:szCs w:val="28"/>
        </w:rPr>
        <w:t>3.其他要求</w:t>
      </w:r>
    </w:p>
    <w:p>
      <w:pPr>
        <w:spacing w:line="440" w:lineRule="exact"/>
        <w:rPr>
          <w:rFonts w:ascii="宋体" w:hAnsi="宋体"/>
          <w:sz w:val="24"/>
          <w:szCs w:val="24"/>
        </w:rPr>
      </w:pPr>
      <w:r>
        <w:rPr>
          <w:rFonts w:hint="eastAsia" w:ascii="宋体" w:hAnsi="宋体"/>
          <w:sz w:val="24"/>
          <w:szCs w:val="24"/>
        </w:rPr>
        <w:t>商品包装要求：</w:t>
      </w:r>
    </w:p>
    <w:p>
      <w:pPr>
        <w:spacing w:line="440" w:lineRule="exact"/>
        <w:rPr>
          <w:rFonts w:ascii="宋体" w:hAnsi="宋体"/>
          <w:sz w:val="24"/>
          <w:szCs w:val="24"/>
        </w:rPr>
      </w:pPr>
      <w:r>
        <w:rPr>
          <w:rFonts w:hint="eastAsia" w:ascii="宋体" w:hAnsi="宋体" w:cs="宋体"/>
          <w:color w:val="000000"/>
          <w:kern w:val="0"/>
          <w:sz w:val="24"/>
          <w:szCs w:val="24"/>
        </w:rPr>
        <w:t>（1）</w:t>
      </w:r>
      <w:r>
        <w:rPr>
          <w:rFonts w:hint="eastAsia" w:ascii="宋体" w:hAnsi="宋体"/>
          <w:sz w:val="24"/>
          <w:szCs w:val="24"/>
        </w:rPr>
        <w:t xml:space="preserve">适用范围 </w:t>
      </w:r>
    </w:p>
    <w:p>
      <w:pPr>
        <w:spacing w:line="440" w:lineRule="exact"/>
        <w:rPr>
          <w:rFonts w:ascii="宋体" w:hAnsi="宋体"/>
          <w:sz w:val="24"/>
          <w:szCs w:val="24"/>
        </w:rPr>
      </w:pPr>
      <w:r>
        <w:rPr>
          <w:rFonts w:hint="eastAsia" w:ascii="宋体" w:hAnsi="宋体"/>
          <w:sz w:val="24"/>
          <w:szCs w:val="24"/>
        </w:rPr>
        <w:t xml:space="preserve">本标准规定了商品使用的塑料、纸质、木质等包装材料的环保要求。 </w:t>
      </w:r>
    </w:p>
    <w:p>
      <w:pPr>
        <w:spacing w:line="440" w:lineRule="exact"/>
        <w:rPr>
          <w:rFonts w:ascii="宋体" w:hAnsi="宋体"/>
          <w:sz w:val="24"/>
          <w:szCs w:val="24"/>
        </w:rPr>
      </w:pPr>
      <w:r>
        <w:rPr>
          <w:rFonts w:hint="eastAsia" w:ascii="宋体" w:hAnsi="宋体" w:cs="宋体"/>
          <w:color w:val="000000"/>
          <w:kern w:val="0"/>
          <w:sz w:val="24"/>
          <w:szCs w:val="24"/>
        </w:rPr>
        <w:t>（2）</w:t>
      </w:r>
      <w:r>
        <w:rPr>
          <w:rFonts w:hint="eastAsia" w:ascii="宋体" w:hAnsi="宋体"/>
          <w:sz w:val="24"/>
          <w:szCs w:val="24"/>
        </w:rPr>
        <w:t xml:space="preserve">商品包装环保要求 </w:t>
      </w:r>
    </w:p>
    <w:p>
      <w:pPr>
        <w:spacing w:line="440" w:lineRule="exact"/>
        <w:rPr>
          <w:rFonts w:ascii="宋体" w:hAnsi="宋体"/>
          <w:sz w:val="24"/>
          <w:szCs w:val="24"/>
        </w:rPr>
      </w:pPr>
      <w:r>
        <w:rPr>
          <w:rFonts w:hint="eastAsia" w:ascii="宋体" w:hAnsi="宋体"/>
          <w:sz w:val="24"/>
          <w:szCs w:val="24"/>
        </w:rPr>
        <w:t xml:space="preserve">2.1.商品包装层数不得超过 3 层，空隙率不大于 40%； </w:t>
      </w:r>
    </w:p>
    <w:p>
      <w:pPr>
        <w:spacing w:line="440" w:lineRule="exact"/>
        <w:rPr>
          <w:rFonts w:ascii="宋体" w:hAnsi="宋体"/>
          <w:sz w:val="24"/>
          <w:szCs w:val="24"/>
        </w:rPr>
      </w:pPr>
      <w:r>
        <w:rPr>
          <w:rFonts w:hint="eastAsia" w:ascii="宋体" w:hAnsi="宋体"/>
          <w:sz w:val="24"/>
          <w:szCs w:val="24"/>
        </w:rPr>
        <w:t xml:space="preserve">2.2.商品包装尽可能使用单一材质的包装材料，如因功能需求必需使用不同材质，不同材质间应便于分离； </w:t>
      </w:r>
    </w:p>
    <w:p>
      <w:pPr>
        <w:spacing w:line="440" w:lineRule="exact"/>
        <w:rPr>
          <w:rFonts w:ascii="宋体" w:hAnsi="宋体"/>
          <w:sz w:val="24"/>
          <w:szCs w:val="24"/>
        </w:rPr>
      </w:pPr>
      <w:r>
        <w:rPr>
          <w:rFonts w:hint="eastAsia" w:ascii="宋体" w:hAnsi="宋体"/>
          <w:sz w:val="24"/>
          <w:szCs w:val="24"/>
        </w:rPr>
        <w:t xml:space="preserve">2.3.商品包装中铅、汞、镉、六价铬的总含量应不大于100mg/kg； </w:t>
      </w:r>
    </w:p>
    <w:p>
      <w:pPr>
        <w:spacing w:line="440" w:lineRule="exact"/>
        <w:rPr>
          <w:rFonts w:ascii="宋体" w:hAnsi="宋体"/>
          <w:sz w:val="24"/>
          <w:szCs w:val="24"/>
        </w:rPr>
      </w:pPr>
      <w:r>
        <w:rPr>
          <w:rFonts w:hint="eastAsia" w:ascii="宋体" w:hAnsi="宋体"/>
          <w:sz w:val="24"/>
          <w:szCs w:val="24"/>
        </w:rPr>
        <w:t xml:space="preserve">2.4.商品包装印刷使用的油墨中挥发性有机化合物(VOCs)含量应不大于 5%（以重量计）； </w:t>
      </w:r>
    </w:p>
    <w:p>
      <w:pPr>
        <w:spacing w:line="440" w:lineRule="exact"/>
        <w:rPr>
          <w:rFonts w:ascii="宋体" w:hAnsi="宋体"/>
          <w:sz w:val="24"/>
          <w:szCs w:val="24"/>
        </w:rPr>
      </w:pPr>
      <w:r>
        <w:rPr>
          <w:rFonts w:hint="eastAsia" w:ascii="宋体" w:hAnsi="宋体"/>
          <w:sz w:val="24"/>
          <w:szCs w:val="24"/>
        </w:rPr>
        <w:t xml:space="preserve">2.5.塑料材质商品包装上呈现的印刷颜色不得超过6色； </w:t>
      </w:r>
    </w:p>
    <w:p>
      <w:pPr>
        <w:spacing w:line="440" w:lineRule="exact"/>
        <w:rPr>
          <w:rFonts w:ascii="宋体" w:hAnsi="宋体"/>
          <w:sz w:val="24"/>
          <w:szCs w:val="24"/>
        </w:rPr>
      </w:pPr>
      <w:r>
        <w:rPr>
          <w:rFonts w:hint="eastAsia" w:ascii="宋体" w:hAnsi="宋体"/>
          <w:sz w:val="24"/>
          <w:szCs w:val="24"/>
        </w:rPr>
        <w:t xml:space="preserve">2.6.纸质商品包装应使用75%以上的可再生纤维原料生产； </w:t>
      </w:r>
    </w:p>
    <w:p>
      <w:pPr>
        <w:spacing w:line="440" w:lineRule="exact"/>
        <w:rPr>
          <w:rFonts w:ascii="宋体" w:hAnsi="宋体"/>
          <w:sz w:val="24"/>
          <w:szCs w:val="24"/>
        </w:rPr>
      </w:pPr>
      <w:r>
        <w:rPr>
          <w:rFonts w:hint="eastAsia" w:ascii="宋体" w:hAnsi="宋体"/>
          <w:sz w:val="24"/>
          <w:szCs w:val="24"/>
        </w:rPr>
        <w:t xml:space="preserve">2.7.木质商品包装的原料应来源于可持续性森林。 </w:t>
      </w:r>
    </w:p>
    <w:p>
      <w:pPr>
        <w:pStyle w:val="2"/>
        <w:rPr>
          <w:sz w:val="24"/>
          <w:szCs w:val="22"/>
        </w:rPr>
      </w:pPr>
    </w:p>
    <w:p>
      <w:bookmarkStart w:id="106" w:name="_Toc20594"/>
    </w:p>
    <w:p>
      <w:pPr>
        <w:pStyle w:val="2"/>
      </w:pPr>
    </w:p>
    <w:p/>
    <w:p>
      <w:pPr>
        <w:pStyle w:val="3"/>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2"/>
      </w:pPr>
    </w:p>
    <w:p/>
    <w:p/>
    <w:bookmarkEnd w:id="100"/>
    <w:bookmarkEnd w:id="101"/>
    <w:bookmarkEnd w:id="102"/>
    <w:bookmarkEnd w:id="103"/>
    <w:bookmarkEnd w:id="104"/>
    <w:bookmarkEnd w:id="105"/>
    <w:bookmarkEnd w:id="106"/>
    <w:p>
      <w:pPr>
        <w:pStyle w:val="37"/>
        <w:spacing w:line="360" w:lineRule="auto"/>
        <w:rPr>
          <w:rFonts w:ascii="宋体" w:hAnsi="宋体" w:cs="宋体"/>
        </w:rPr>
      </w:pPr>
      <w:bookmarkStart w:id="107" w:name="_Toc115021830"/>
      <w:r>
        <w:rPr>
          <w:rFonts w:hint="eastAsia" w:ascii="宋体" w:hAnsi="宋体" w:cs="宋体"/>
        </w:rPr>
        <w:t>第六章 响应文件格式</w:t>
      </w:r>
      <w:bookmarkEnd w:id="107"/>
    </w:p>
    <w:p>
      <w:pPr>
        <w:pStyle w:val="2"/>
      </w:pPr>
    </w:p>
    <w:p>
      <w:pPr>
        <w:spacing w:line="460" w:lineRule="exact"/>
        <w:jc w:val="left"/>
        <w:rPr>
          <w:rFonts w:ascii="宋体" w:hAnsi="宋体" w:cs="宋体"/>
          <w:b/>
          <w:sz w:val="44"/>
          <w:szCs w:val="44"/>
        </w:rPr>
      </w:pPr>
    </w:p>
    <w:p>
      <w:pPr>
        <w:spacing w:line="460" w:lineRule="exact"/>
        <w:jc w:val="center"/>
        <w:rPr>
          <w:rFonts w:ascii="宋体" w:hAnsi="宋体" w:cs="宋体"/>
          <w:b/>
          <w:sz w:val="44"/>
          <w:szCs w:val="44"/>
          <w:u w:val="single"/>
        </w:rPr>
      </w:pPr>
      <w:r>
        <w:rPr>
          <w:rFonts w:hint="eastAsia" w:ascii="宋体" w:hAnsi="宋体" w:cs="宋体"/>
          <w:b/>
          <w:sz w:val="44"/>
          <w:szCs w:val="44"/>
        </w:rPr>
        <w:t>（项目名称）</w:t>
      </w:r>
    </w:p>
    <w:p>
      <w:pPr>
        <w:spacing w:line="460" w:lineRule="exact"/>
        <w:jc w:val="center"/>
        <w:rPr>
          <w:rFonts w:ascii="宋体" w:hAnsi="宋体" w:cs="宋体"/>
          <w:sz w:val="32"/>
        </w:rPr>
      </w:pPr>
    </w:p>
    <w:p>
      <w:pPr>
        <w:spacing w:line="460" w:lineRule="exact"/>
        <w:jc w:val="center"/>
        <w:rPr>
          <w:rFonts w:ascii="宋体" w:hAnsi="宋体" w:cs="宋体"/>
          <w:sz w:val="32"/>
        </w:rPr>
      </w:pPr>
    </w:p>
    <w:p>
      <w:pPr>
        <w:spacing w:line="460" w:lineRule="exact"/>
        <w:jc w:val="center"/>
        <w:rPr>
          <w:rFonts w:ascii="宋体" w:hAnsi="宋体" w:cs="宋体"/>
          <w:sz w:val="32"/>
        </w:rPr>
      </w:pPr>
    </w:p>
    <w:p>
      <w:pPr>
        <w:spacing w:line="460" w:lineRule="exact"/>
        <w:jc w:val="center"/>
        <w:rPr>
          <w:rFonts w:ascii="宋体" w:hAnsi="宋体" w:cs="宋体"/>
          <w:sz w:val="32"/>
        </w:rPr>
      </w:pPr>
    </w:p>
    <w:p>
      <w:pPr>
        <w:spacing w:line="460" w:lineRule="exact"/>
        <w:jc w:val="center"/>
        <w:rPr>
          <w:rFonts w:ascii="宋体" w:hAnsi="宋体" w:cs="宋体"/>
          <w:sz w:val="32"/>
        </w:rPr>
      </w:pPr>
    </w:p>
    <w:p>
      <w:pPr>
        <w:spacing w:line="480" w:lineRule="auto"/>
        <w:jc w:val="center"/>
        <w:rPr>
          <w:rFonts w:ascii="宋体" w:hAnsi="宋体" w:cs="宋体"/>
          <w:sz w:val="32"/>
        </w:rPr>
      </w:pPr>
    </w:p>
    <w:p>
      <w:pPr>
        <w:spacing w:line="480" w:lineRule="auto"/>
        <w:jc w:val="center"/>
        <w:rPr>
          <w:rFonts w:ascii="宋体" w:hAnsi="宋体" w:cs="宋体"/>
          <w:sz w:val="32"/>
        </w:rPr>
      </w:pPr>
    </w:p>
    <w:p>
      <w:pPr>
        <w:spacing w:line="480" w:lineRule="auto"/>
        <w:jc w:val="center"/>
        <w:rPr>
          <w:rFonts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ascii="宋体" w:hAnsi="宋体" w:cs="宋体"/>
          <w:sz w:val="28"/>
        </w:rPr>
      </w:pPr>
    </w:p>
    <w:p>
      <w:pPr>
        <w:spacing w:line="460" w:lineRule="exact"/>
        <w:ind w:firstLine="537" w:firstLineChars="192"/>
        <w:rPr>
          <w:rFonts w:ascii="宋体" w:hAnsi="宋体" w:cs="宋体"/>
          <w:sz w:val="28"/>
        </w:rPr>
      </w:pPr>
    </w:p>
    <w:p>
      <w:pPr>
        <w:spacing w:line="460" w:lineRule="exact"/>
        <w:ind w:firstLine="537" w:firstLineChars="192"/>
        <w:rPr>
          <w:rFonts w:ascii="宋体" w:hAnsi="宋体" w:cs="宋体"/>
          <w:sz w:val="28"/>
        </w:rPr>
      </w:pPr>
    </w:p>
    <w:p>
      <w:pPr>
        <w:spacing w:line="460" w:lineRule="exact"/>
        <w:ind w:firstLine="537" w:firstLineChars="192"/>
        <w:rPr>
          <w:rFonts w:ascii="宋体" w:hAnsi="宋体" w:cs="宋体"/>
          <w:sz w:val="28"/>
        </w:rPr>
      </w:pPr>
    </w:p>
    <w:p>
      <w:pPr>
        <w:spacing w:line="460" w:lineRule="exact"/>
        <w:ind w:firstLine="537" w:firstLineChars="192"/>
        <w:rPr>
          <w:rFonts w:ascii="宋体" w:hAnsi="宋体" w:cs="宋体"/>
          <w:sz w:val="28"/>
        </w:rPr>
      </w:pPr>
    </w:p>
    <w:p>
      <w:pPr>
        <w:spacing w:line="460" w:lineRule="exact"/>
        <w:rPr>
          <w:rFonts w:ascii="宋体" w:hAnsi="宋体" w:cs="宋体"/>
          <w:sz w:val="28"/>
        </w:rPr>
      </w:pPr>
    </w:p>
    <w:p>
      <w:pPr>
        <w:spacing w:line="460" w:lineRule="exact"/>
        <w:rPr>
          <w:rFonts w:ascii="宋体" w:hAnsi="宋体" w:cs="宋体"/>
          <w:sz w:val="28"/>
        </w:rPr>
      </w:pPr>
    </w:p>
    <w:p>
      <w:pPr>
        <w:spacing w:line="460" w:lineRule="exact"/>
        <w:rPr>
          <w:rFonts w:ascii="宋体" w:hAnsi="宋体" w:cs="宋体"/>
          <w:sz w:val="32"/>
        </w:rPr>
      </w:pPr>
    </w:p>
    <w:p>
      <w:pPr>
        <w:spacing w:line="480" w:lineRule="auto"/>
        <w:ind w:left="735" w:leftChars="350" w:firstLine="614" w:firstLineChars="192"/>
        <w:rPr>
          <w:rFonts w:ascii="宋体" w:hAnsi="宋体" w:cs="宋体"/>
          <w:sz w:val="32"/>
        </w:rPr>
      </w:pPr>
      <w:r>
        <w:rPr>
          <w:rFonts w:hint="eastAsia" w:ascii="宋体" w:hAnsi="宋体" w:cs="宋体"/>
          <w:sz w:val="32"/>
        </w:rPr>
        <w:t>采购人：</w:t>
      </w:r>
    </w:p>
    <w:p>
      <w:pPr>
        <w:spacing w:line="480" w:lineRule="auto"/>
        <w:ind w:left="735" w:leftChars="350" w:firstLine="614" w:firstLineChars="192"/>
        <w:rPr>
          <w:rFonts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ascii="宋体" w:hAnsi="宋体" w:cs="宋体"/>
          <w:sz w:val="32"/>
        </w:rPr>
      </w:pPr>
    </w:p>
    <w:p>
      <w:pPr>
        <w:spacing w:line="460" w:lineRule="exact"/>
        <w:rPr>
          <w:rFonts w:ascii="宋体" w:hAnsi="宋体" w:cs="宋体"/>
          <w:sz w:val="32"/>
          <w:szCs w:val="32"/>
        </w:rPr>
      </w:pPr>
    </w:p>
    <w:p>
      <w:pPr>
        <w:pStyle w:val="2"/>
      </w:pPr>
    </w:p>
    <w:p>
      <w:pPr>
        <w:pStyle w:val="2"/>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r>
        <w:rPr>
          <w:rFonts w:hint="eastAsia" w:ascii="宋体" w:hAnsi="宋体" w:cs="宋体"/>
          <w:sz w:val="32"/>
          <w:szCs w:val="32"/>
        </w:rPr>
        <w:t>目  录</w:t>
      </w: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jc w:val="center"/>
        <w:rPr>
          <w:rFonts w:ascii="宋体" w:hAnsi="宋体" w:cs="宋体"/>
          <w:sz w:val="32"/>
          <w:szCs w:val="32"/>
        </w:rPr>
      </w:pPr>
    </w:p>
    <w:p>
      <w:pPr>
        <w:spacing w:line="460" w:lineRule="exact"/>
        <w:rPr>
          <w:rFonts w:ascii="宋体" w:hAnsi="宋体" w:cs="宋体"/>
          <w:sz w:val="32"/>
          <w:szCs w:val="32"/>
        </w:rPr>
      </w:pPr>
    </w:p>
    <w:p>
      <w:pPr>
        <w:spacing w:line="460" w:lineRule="exact"/>
        <w:jc w:val="center"/>
        <w:rPr>
          <w:rFonts w:ascii="宋体" w:hAnsi="宋体" w:cs="宋体"/>
          <w:sz w:val="32"/>
          <w:szCs w:val="32"/>
        </w:rPr>
      </w:pPr>
    </w:p>
    <w:p>
      <w:pPr>
        <w:pStyle w:val="2"/>
      </w:pPr>
    </w:p>
    <w:p>
      <w:pPr>
        <w:spacing w:line="460" w:lineRule="exact"/>
        <w:rPr>
          <w:rFonts w:ascii="宋体" w:hAnsi="宋体" w:cs="宋体"/>
          <w:sz w:val="32"/>
          <w:szCs w:val="32"/>
        </w:rPr>
      </w:pPr>
    </w:p>
    <w:p>
      <w:pPr>
        <w:pStyle w:val="2"/>
      </w:pPr>
      <w:bookmarkStart w:id="108" w:name="_Toc12304"/>
      <w:bookmarkStart w:id="109" w:name="_Toc530584396"/>
      <w:bookmarkStart w:id="110" w:name="_Toc22461"/>
      <w:bookmarkStart w:id="111" w:name="_Toc115021831"/>
      <w:bookmarkStart w:id="112" w:name="_Toc23451"/>
      <w:bookmarkStart w:id="113" w:name="_Toc373230035"/>
      <w:bookmarkStart w:id="114" w:name="_Toc374512423"/>
      <w:bookmarkStart w:id="115" w:name="_Toc26310"/>
      <w:bookmarkStart w:id="116" w:name="_Toc490161460"/>
      <w:bookmarkStart w:id="117" w:name="_Toc3023"/>
      <w:bookmarkStart w:id="118" w:name="_Toc487805929"/>
      <w:bookmarkStart w:id="119" w:name="_Toc477423253"/>
      <w:bookmarkStart w:id="120" w:name="_Toc408816353"/>
    </w:p>
    <w:p>
      <w:pPr>
        <w:pStyle w:val="5"/>
        <w:numPr>
          <w:ilvl w:val="0"/>
          <w:numId w:val="14"/>
        </w:numPr>
        <w:spacing w:line="360" w:lineRule="auto"/>
        <w:rPr>
          <w:rFonts w:ascii="宋体" w:hAnsi="宋体" w:cs="宋体"/>
          <w:sz w:val="32"/>
          <w:szCs w:val="32"/>
        </w:rPr>
      </w:pPr>
      <w:r>
        <w:rPr>
          <w:rFonts w:hint="eastAsia" w:ascii="宋体" w:hAnsi="宋体" w:cs="宋体"/>
          <w:sz w:val="32"/>
          <w:szCs w:val="32"/>
        </w:rPr>
        <w:t>磋商承诺函</w:t>
      </w:r>
      <w:bookmarkEnd w:id="108"/>
      <w:bookmarkEnd w:id="109"/>
      <w:bookmarkEnd w:id="110"/>
      <w:bookmarkEnd w:id="111"/>
      <w:bookmarkEnd w:id="112"/>
    </w:p>
    <w:p>
      <w:pPr>
        <w:adjustRightInd w:val="0"/>
        <w:spacing w:line="400" w:lineRule="exact"/>
        <w:jc w:val="left"/>
        <w:textAlignment w:val="baseline"/>
        <w:rPr>
          <w:rFonts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lang w:val="en-US" w:eastAsia="zh-CN"/>
        </w:rPr>
        <w:t xml:space="preserve">     </w:t>
      </w:r>
      <w:r>
        <w:rPr>
          <w:rFonts w:hint="eastAsia" w:ascii="宋体" w:hAnsi="宋体" w:cs="宋体"/>
          <w:sz w:val="24"/>
          <w:szCs w:val="24"/>
        </w:rPr>
        <w:t>项目（项目编号：</w:t>
      </w:r>
      <w:r>
        <w:rPr>
          <w:rFonts w:hint="eastAsia" w:ascii="宋体" w:hAnsi="宋体" w:cs="宋体"/>
          <w:sz w:val="24"/>
          <w:szCs w:val="24"/>
          <w:u w:val="single"/>
          <w:lang w:val="en-US" w:eastAsia="zh-CN"/>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lang w:val="en-US" w:eastAsia="zh-CN"/>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  </w:t>
      </w:r>
    </w:p>
    <w:p>
      <w:pPr>
        <w:pStyle w:val="35"/>
        <w:shd w:val="clear" w:color="auto" w:fill="FFFFFF"/>
        <w:spacing w:beforeAutospacing="0" w:afterAutospacing="0" w:line="400" w:lineRule="exact"/>
        <w:rPr>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ascii="宋体" w:hAnsi="宋体" w:cs="宋体"/>
          <w:sz w:val="24"/>
          <w:szCs w:val="24"/>
        </w:rPr>
      </w:pPr>
    </w:p>
    <w:p>
      <w:pPr>
        <w:adjustRightInd w:val="0"/>
        <w:spacing w:line="400" w:lineRule="exact"/>
        <w:ind w:firstLine="2040" w:firstLineChars="850"/>
        <w:jc w:val="left"/>
        <w:textAlignment w:val="baseline"/>
        <w:rPr>
          <w:rFonts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jc w:val="left"/>
        <w:textAlignment w:val="baseline"/>
        <w:rPr>
          <w:rFonts w:ascii="宋体" w:hAnsi="宋体" w:cs="宋体"/>
          <w:szCs w:val="21"/>
        </w:rPr>
      </w:pPr>
    </w:p>
    <w:p>
      <w:pPr>
        <w:pStyle w:val="2"/>
        <w:rPr>
          <w:rFonts w:ascii="宋体" w:hAnsi="宋体" w:cs="宋体"/>
          <w:szCs w:val="21"/>
        </w:rPr>
      </w:pPr>
    </w:p>
    <w:p>
      <w:pPr>
        <w:rPr>
          <w:rFonts w:ascii="宋体" w:hAnsi="宋体" w:cs="宋体"/>
          <w:szCs w:val="21"/>
        </w:rPr>
      </w:pPr>
    </w:p>
    <w:p>
      <w:pPr>
        <w:pStyle w:val="2"/>
      </w:pPr>
    </w:p>
    <w:p>
      <w:pPr>
        <w:pStyle w:val="2"/>
        <w:rPr>
          <w:rFonts w:ascii="宋体" w:hAnsi="宋体" w:cs="宋体"/>
          <w:szCs w:val="21"/>
        </w:rPr>
      </w:pPr>
    </w:p>
    <w:p/>
    <w:p>
      <w:pPr>
        <w:pStyle w:val="5"/>
        <w:numPr>
          <w:ilvl w:val="0"/>
          <w:numId w:val="14"/>
        </w:numPr>
        <w:spacing w:line="360" w:lineRule="auto"/>
        <w:rPr>
          <w:rFonts w:ascii="宋体" w:hAnsi="宋体" w:cs="宋体"/>
          <w:sz w:val="32"/>
          <w:szCs w:val="32"/>
        </w:rPr>
      </w:pPr>
      <w:bookmarkStart w:id="121" w:name="_Toc115021832"/>
      <w:bookmarkStart w:id="122" w:name="_Toc32512"/>
      <w:bookmarkStart w:id="123" w:name="_Toc13659"/>
      <w:bookmarkStart w:id="124" w:name="_Toc438"/>
      <w:r>
        <w:rPr>
          <w:rFonts w:hint="eastAsia" w:ascii="宋体" w:hAnsi="宋体" w:cs="宋体"/>
          <w:sz w:val="32"/>
          <w:szCs w:val="32"/>
        </w:rPr>
        <w:t>承诺书</w:t>
      </w:r>
      <w:bookmarkEnd w:id="121"/>
      <w:bookmarkEnd w:id="122"/>
      <w:bookmarkEnd w:id="123"/>
      <w:bookmarkEnd w:id="124"/>
    </w:p>
    <w:p/>
    <w:p>
      <w:pPr>
        <w:spacing w:line="400" w:lineRule="exact"/>
        <w:ind w:firstLine="480" w:firstLineChars="200"/>
        <w:rPr>
          <w:rFonts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lang w:val="en-US" w:eastAsia="zh-CN"/>
        </w:rPr>
        <w:t xml:space="preserve">     </w:t>
      </w:r>
      <w:r>
        <w:rPr>
          <w:rFonts w:hint="eastAsia" w:ascii="宋体" w:hAnsi="宋体" w:cs="宋体"/>
          <w:sz w:val="24"/>
          <w:szCs w:val="24"/>
        </w:rPr>
        <w:t>项目（项目编号：</w:t>
      </w:r>
      <w:r>
        <w:rPr>
          <w:rFonts w:hint="eastAsia" w:ascii="宋体" w:hAnsi="宋体" w:cs="宋体"/>
          <w:sz w:val="24"/>
          <w:szCs w:val="24"/>
          <w:u w:val="single"/>
          <w:lang w:val="en-US" w:eastAsia="zh-CN"/>
        </w:rPr>
        <w:t xml:space="preserve">     </w:t>
      </w:r>
      <w:r>
        <w:rPr>
          <w:rFonts w:hint="eastAsia" w:ascii="宋体" w:hAnsi="宋体" w:cs="宋体"/>
          <w:sz w:val="24"/>
          <w:szCs w:val="24"/>
        </w:rPr>
        <w:t>）的供应商，现郑重承诺如下：</w:t>
      </w:r>
    </w:p>
    <w:p>
      <w:pPr>
        <w:spacing w:line="400" w:lineRule="exact"/>
        <w:ind w:firstLine="480" w:firstLineChars="200"/>
        <w:rPr>
          <w:rFonts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ascii="宋体" w:hAnsi="宋体" w:cs="宋体"/>
          <w:sz w:val="24"/>
          <w:szCs w:val="24"/>
        </w:rPr>
      </w:pPr>
    </w:p>
    <w:p>
      <w:pPr>
        <w:spacing w:line="400" w:lineRule="exact"/>
        <w:rPr>
          <w:rFonts w:ascii="宋体" w:hAnsi="宋体" w:cs="宋体"/>
          <w:sz w:val="24"/>
          <w:szCs w:val="24"/>
        </w:rPr>
      </w:pPr>
      <w:r>
        <w:rPr>
          <w:rFonts w:hint="eastAsia" w:ascii="宋体" w:hAnsi="宋体" w:cs="宋体"/>
          <w:sz w:val="24"/>
          <w:szCs w:val="24"/>
        </w:rPr>
        <w:t>特此承诺</w:t>
      </w:r>
    </w:p>
    <w:p>
      <w:pPr>
        <w:spacing w:line="400" w:lineRule="exact"/>
        <w:rPr>
          <w:rFonts w:ascii="宋体" w:hAnsi="宋体" w:cs="宋体"/>
          <w:sz w:val="24"/>
          <w:szCs w:val="24"/>
        </w:rPr>
      </w:pPr>
    </w:p>
    <w:p>
      <w:pPr>
        <w:spacing w:line="400" w:lineRule="exact"/>
        <w:rPr>
          <w:rFonts w:ascii="宋体" w:hAnsi="宋体" w:cs="宋体"/>
          <w:sz w:val="24"/>
          <w:szCs w:val="24"/>
        </w:rPr>
      </w:pPr>
    </w:p>
    <w:p>
      <w:pPr>
        <w:adjustRightInd w:val="0"/>
        <w:spacing w:line="400" w:lineRule="exact"/>
        <w:ind w:firstLine="2040" w:firstLineChars="850"/>
        <w:jc w:val="left"/>
        <w:textAlignment w:val="baseline"/>
        <w:rPr>
          <w:rFonts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ascii="宋体" w:hAnsi="宋体" w:cs="宋体"/>
          <w:sz w:val="24"/>
          <w:szCs w:val="24"/>
        </w:rPr>
      </w:pPr>
    </w:p>
    <w:p>
      <w:pPr>
        <w:adjustRightInd w:val="0"/>
        <w:spacing w:line="400" w:lineRule="exact"/>
        <w:ind w:firstLine="2040" w:firstLineChars="850"/>
        <w:jc w:val="left"/>
        <w:textAlignment w:val="baseline"/>
        <w:rPr>
          <w:rFonts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ascii="宋体" w:hAnsi="宋体" w:cs="宋体"/>
          <w:sz w:val="24"/>
          <w:szCs w:val="24"/>
        </w:rPr>
      </w:pPr>
    </w:p>
    <w:p>
      <w:pPr>
        <w:adjustRightInd w:val="0"/>
        <w:spacing w:line="400" w:lineRule="exact"/>
        <w:ind w:firstLine="2040" w:firstLineChars="850"/>
        <w:jc w:val="left"/>
        <w:textAlignment w:val="baseline"/>
        <w:rPr>
          <w:rFonts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adjustRightInd w:val="0"/>
        <w:spacing w:line="400" w:lineRule="exact"/>
        <w:jc w:val="left"/>
        <w:textAlignment w:val="baseline"/>
        <w:rPr>
          <w:rFonts w:ascii="宋体" w:hAnsi="宋体" w:cs="宋体"/>
          <w:sz w:val="24"/>
          <w:szCs w:val="24"/>
        </w:rPr>
      </w:pPr>
    </w:p>
    <w:p>
      <w:pPr>
        <w:adjustRightInd w:val="0"/>
        <w:spacing w:line="330" w:lineRule="exact"/>
        <w:jc w:val="left"/>
        <w:textAlignment w:val="baseline"/>
        <w:rPr>
          <w:rFonts w:ascii="宋体" w:hAnsi="宋体" w:cs="宋体"/>
          <w:szCs w:val="21"/>
        </w:rPr>
      </w:pPr>
    </w:p>
    <w:p>
      <w:pPr>
        <w:adjustRightInd w:val="0"/>
        <w:spacing w:line="330" w:lineRule="exact"/>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p>
      <w:pPr>
        <w:pStyle w:val="54"/>
      </w:pPr>
    </w:p>
    <w:p>
      <w:pPr>
        <w:pStyle w:val="54"/>
      </w:pPr>
    </w:p>
    <w:p>
      <w:pPr>
        <w:pStyle w:val="54"/>
      </w:pPr>
    </w:p>
    <w:p>
      <w:pPr>
        <w:pStyle w:val="54"/>
      </w:pPr>
    </w:p>
    <w:p>
      <w:pPr>
        <w:pStyle w:val="54"/>
      </w:pP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p>
      <w:pPr>
        <w:adjustRightInd w:val="0"/>
        <w:spacing w:line="330" w:lineRule="exact"/>
        <w:ind w:firstLine="1785" w:firstLineChars="850"/>
        <w:jc w:val="left"/>
        <w:textAlignment w:val="baseline"/>
        <w:rPr>
          <w:rFonts w:ascii="宋体" w:hAnsi="宋体" w:cs="宋体"/>
          <w:szCs w:val="21"/>
        </w:rPr>
      </w:pPr>
    </w:p>
    <w:bookmarkEnd w:id="113"/>
    <w:bookmarkEnd w:id="114"/>
    <w:bookmarkEnd w:id="115"/>
    <w:bookmarkEnd w:id="116"/>
    <w:bookmarkEnd w:id="117"/>
    <w:bookmarkEnd w:id="118"/>
    <w:bookmarkEnd w:id="119"/>
    <w:bookmarkEnd w:id="120"/>
    <w:p>
      <w:pPr>
        <w:pStyle w:val="5"/>
        <w:numPr>
          <w:ilvl w:val="0"/>
          <w:numId w:val="14"/>
        </w:numPr>
        <w:spacing w:line="360" w:lineRule="auto"/>
        <w:rPr>
          <w:rFonts w:ascii="宋体" w:hAnsi="宋体" w:cs="宋体"/>
          <w:sz w:val="32"/>
          <w:szCs w:val="32"/>
        </w:rPr>
      </w:pPr>
      <w:bookmarkStart w:id="125" w:name="_Toc29369"/>
      <w:bookmarkStart w:id="126" w:name="_Toc6638"/>
      <w:bookmarkStart w:id="127" w:name="_Toc484"/>
      <w:bookmarkStart w:id="128" w:name="_Toc115021833"/>
      <w:bookmarkStart w:id="129" w:name="_Toc408816355"/>
      <w:bookmarkStart w:id="130" w:name="_Toc477423254"/>
      <w:bookmarkStart w:id="131" w:name="_Toc476045982"/>
      <w:bookmarkStart w:id="132" w:name="_Toc453513319"/>
      <w:bookmarkStart w:id="133" w:name="_Toc475955188"/>
      <w:bookmarkStart w:id="134" w:name="_Toc364490445"/>
      <w:bookmarkStart w:id="135" w:name="_Toc27591"/>
      <w:bookmarkStart w:id="136" w:name="_Toc374512425"/>
      <w:bookmarkStart w:id="137" w:name="_Toc373230037"/>
      <w:r>
        <w:rPr>
          <w:rFonts w:hint="eastAsia" w:ascii="宋体" w:hAnsi="宋体" w:cs="宋体"/>
          <w:sz w:val="32"/>
          <w:szCs w:val="32"/>
        </w:rPr>
        <w:t>供应商基本情况表</w:t>
      </w:r>
      <w:bookmarkEnd w:id="125"/>
      <w:bookmarkEnd w:id="126"/>
      <w:bookmarkEnd w:id="127"/>
      <w:bookmarkEnd w:id="128"/>
    </w:p>
    <w:tbl>
      <w:tblPr>
        <w:tblStyle w:val="3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ascii="宋体" w:hAnsi="宋体" w:cs="宋体"/>
                <w:sz w:val="24"/>
              </w:rPr>
            </w:pPr>
            <w:r>
              <w:rPr>
                <w:rFonts w:hint="eastAsia" w:ascii="宋体" w:hAnsi="宋体" w:cs="宋体"/>
                <w:sz w:val="24"/>
              </w:rPr>
              <w:t>供应商名称</w:t>
            </w:r>
          </w:p>
        </w:tc>
        <w:tc>
          <w:tcPr>
            <w:tcW w:w="6211" w:type="dxa"/>
            <w:gridSpan w:val="9"/>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ascii="宋体" w:hAnsi="宋体" w:cs="宋体"/>
                <w:sz w:val="24"/>
              </w:rPr>
            </w:pPr>
            <w:r>
              <w:rPr>
                <w:rFonts w:hint="eastAsia" w:ascii="宋体" w:hAnsi="宋体" w:cs="宋体"/>
                <w:sz w:val="24"/>
              </w:rPr>
              <w:t>注册地址</w:t>
            </w:r>
          </w:p>
        </w:tc>
        <w:tc>
          <w:tcPr>
            <w:tcW w:w="2141" w:type="dxa"/>
            <w:gridSpan w:val="4"/>
            <w:vAlign w:val="center"/>
          </w:tcPr>
          <w:p>
            <w:pPr>
              <w:spacing w:line="360" w:lineRule="auto"/>
              <w:jc w:val="center"/>
              <w:rPr>
                <w:rFonts w:ascii="宋体" w:hAnsi="宋体" w:cs="宋体"/>
                <w:sz w:val="24"/>
              </w:rPr>
            </w:pPr>
          </w:p>
        </w:tc>
        <w:tc>
          <w:tcPr>
            <w:tcW w:w="1191" w:type="dxa"/>
            <w:gridSpan w:val="2"/>
            <w:vAlign w:val="center"/>
          </w:tcPr>
          <w:p>
            <w:pPr>
              <w:spacing w:line="360" w:lineRule="auto"/>
              <w:jc w:val="center"/>
              <w:rPr>
                <w:rFonts w:ascii="宋体" w:hAnsi="宋体" w:cs="宋体"/>
                <w:sz w:val="24"/>
              </w:rPr>
            </w:pPr>
            <w:r>
              <w:rPr>
                <w:rFonts w:hint="eastAsia" w:ascii="宋体" w:hAnsi="宋体" w:cs="宋体"/>
                <w:sz w:val="24"/>
              </w:rPr>
              <w:t>邮政编码</w:t>
            </w:r>
          </w:p>
        </w:tc>
        <w:tc>
          <w:tcPr>
            <w:tcW w:w="2879" w:type="dxa"/>
            <w:gridSpan w:val="3"/>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vAlign w:val="center"/>
          </w:tcPr>
          <w:p>
            <w:pPr>
              <w:spacing w:line="360" w:lineRule="auto"/>
              <w:jc w:val="center"/>
              <w:rPr>
                <w:rFonts w:ascii="宋体" w:hAnsi="宋体" w:cs="宋体"/>
                <w:sz w:val="24"/>
              </w:rPr>
            </w:pPr>
            <w:r>
              <w:rPr>
                <w:rFonts w:hint="eastAsia" w:ascii="宋体" w:hAnsi="宋体" w:cs="宋体"/>
                <w:sz w:val="24"/>
              </w:rPr>
              <w:t>联系方式</w:t>
            </w:r>
          </w:p>
        </w:tc>
        <w:tc>
          <w:tcPr>
            <w:tcW w:w="1036" w:type="dxa"/>
            <w:gridSpan w:val="2"/>
            <w:vAlign w:val="center"/>
          </w:tcPr>
          <w:p>
            <w:pPr>
              <w:spacing w:line="360" w:lineRule="auto"/>
              <w:jc w:val="center"/>
              <w:rPr>
                <w:rFonts w:ascii="宋体" w:hAnsi="宋体" w:cs="宋体"/>
                <w:sz w:val="24"/>
              </w:rPr>
            </w:pPr>
            <w:r>
              <w:rPr>
                <w:rFonts w:hint="eastAsia" w:ascii="宋体" w:hAnsi="宋体" w:cs="宋体"/>
                <w:sz w:val="24"/>
              </w:rPr>
              <w:t>联系人</w:t>
            </w:r>
          </w:p>
        </w:tc>
        <w:tc>
          <w:tcPr>
            <w:tcW w:w="1105" w:type="dxa"/>
            <w:gridSpan w:val="2"/>
            <w:vAlign w:val="center"/>
          </w:tcPr>
          <w:p>
            <w:pPr>
              <w:spacing w:line="360" w:lineRule="auto"/>
              <w:jc w:val="center"/>
              <w:rPr>
                <w:rFonts w:ascii="宋体" w:hAnsi="宋体" w:cs="宋体"/>
                <w:sz w:val="24"/>
              </w:rPr>
            </w:pPr>
          </w:p>
        </w:tc>
        <w:tc>
          <w:tcPr>
            <w:tcW w:w="1191" w:type="dxa"/>
            <w:gridSpan w:val="2"/>
            <w:vAlign w:val="center"/>
          </w:tcPr>
          <w:p>
            <w:pPr>
              <w:spacing w:line="360" w:lineRule="auto"/>
              <w:jc w:val="center"/>
              <w:rPr>
                <w:rFonts w:ascii="宋体" w:hAnsi="宋体" w:cs="宋体"/>
                <w:sz w:val="24"/>
              </w:rPr>
            </w:pPr>
            <w:r>
              <w:rPr>
                <w:rFonts w:hint="eastAsia" w:ascii="宋体" w:hAnsi="宋体" w:cs="宋体"/>
                <w:sz w:val="24"/>
              </w:rPr>
              <w:t>电话</w:t>
            </w:r>
          </w:p>
        </w:tc>
        <w:tc>
          <w:tcPr>
            <w:tcW w:w="2879" w:type="dxa"/>
            <w:gridSpan w:val="3"/>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vAlign w:val="center"/>
          </w:tcPr>
          <w:p>
            <w:pPr>
              <w:spacing w:line="360" w:lineRule="auto"/>
              <w:jc w:val="center"/>
              <w:rPr>
                <w:rFonts w:ascii="宋体" w:hAnsi="宋体" w:cs="宋体"/>
                <w:sz w:val="24"/>
              </w:rPr>
            </w:pPr>
          </w:p>
        </w:tc>
        <w:tc>
          <w:tcPr>
            <w:tcW w:w="1036" w:type="dxa"/>
            <w:gridSpan w:val="2"/>
            <w:vAlign w:val="center"/>
          </w:tcPr>
          <w:p>
            <w:pPr>
              <w:spacing w:line="360" w:lineRule="auto"/>
              <w:jc w:val="center"/>
              <w:rPr>
                <w:rFonts w:ascii="宋体" w:hAnsi="宋体" w:cs="宋体"/>
                <w:sz w:val="24"/>
              </w:rPr>
            </w:pPr>
            <w:r>
              <w:rPr>
                <w:rFonts w:hint="eastAsia" w:ascii="宋体" w:hAnsi="宋体" w:cs="宋体"/>
                <w:sz w:val="24"/>
              </w:rPr>
              <w:t>传真</w:t>
            </w:r>
          </w:p>
        </w:tc>
        <w:tc>
          <w:tcPr>
            <w:tcW w:w="1105" w:type="dxa"/>
            <w:gridSpan w:val="2"/>
            <w:vAlign w:val="center"/>
          </w:tcPr>
          <w:p>
            <w:pPr>
              <w:spacing w:line="360" w:lineRule="auto"/>
              <w:jc w:val="center"/>
              <w:rPr>
                <w:rFonts w:ascii="宋体" w:hAnsi="宋体" w:cs="宋体"/>
                <w:sz w:val="24"/>
              </w:rPr>
            </w:pPr>
          </w:p>
        </w:tc>
        <w:tc>
          <w:tcPr>
            <w:tcW w:w="1191" w:type="dxa"/>
            <w:gridSpan w:val="2"/>
            <w:vAlign w:val="center"/>
          </w:tcPr>
          <w:p>
            <w:pPr>
              <w:spacing w:line="360" w:lineRule="auto"/>
              <w:jc w:val="center"/>
              <w:rPr>
                <w:rFonts w:ascii="宋体" w:hAnsi="宋体" w:cs="宋体"/>
                <w:sz w:val="24"/>
              </w:rPr>
            </w:pPr>
            <w:r>
              <w:rPr>
                <w:rFonts w:hint="eastAsia" w:ascii="宋体" w:hAnsi="宋体" w:cs="宋体"/>
                <w:sz w:val="24"/>
              </w:rPr>
              <w:t>网址</w:t>
            </w:r>
          </w:p>
        </w:tc>
        <w:tc>
          <w:tcPr>
            <w:tcW w:w="2879" w:type="dxa"/>
            <w:gridSpan w:val="3"/>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ascii="宋体" w:hAnsi="宋体" w:cs="宋体"/>
                <w:sz w:val="24"/>
              </w:rPr>
            </w:pPr>
            <w:r>
              <w:rPr>
                <w:rFonts w:hint="eastAsia" w:ascii="宋体" w:hAnsi="宋体" w:cs="宋体"/>
                <w:sz w:val="24"/>
              </w:rPr>
              <w:t>营业执照号</w:t>
            </w:r>
          </w:p>
        </w:tc>
        <w:tc>
          <w:tcPr>
            <w:tcW w:w="6211" w:type="dxa"/>
            <w:gridSpan w:val="9"/>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ascii="宋体" w:hAnsi="宋体" w:cs="宋体"/>
                <w:sz w:val="24"/>
              </w:rPr>
            </w:pPr>
            <w:r>
              <w:rPr>
                <w:rFonts w:hint="eastAsia" w:ascii="宋体" w:hAnsi="宋体" w:cs="宋体"/>
                <w:sz w:val="24"/>
              </w:rPr>
              <w:t>法定代表人</w:t>
            </w:r>
          </w:p>
        </w:tc>
        <w:tc>
          <w:tcPr>
            <w:tcW w:w="837" w:type="dxa"/>
            <w:vAlign w:val="center"/>
          </w:tcPr>
          <w:p>
            <w:pPr>
              <w:spacing w:line="360" w:lineRule="auto"/>
              <w:jc w:val="center"/>
              <w:rPr>
                <w:rFonts w:ascii="宋体" w:hAnsi="宋体" w:cs="宋体"/>
                <w:sz w:val="24"/>
              </w:rPr>
            </w:pPr>
            <w:r>
              <w:rPr>
                <w:rFonts w:hint="eastAsia" w:ascii="宋体" w:hAnsi="宋体" w:cs="宋体"/>
                <w:sz w:val="24"/>
              </w:rPr>
              <w:t>姓名</w:t>
            </w:r>
          </w:p>
        </w:tc>
        <w:tc>
          <w:tcPr>
            <w:tcW w:w="1030" w:type="dxa"/>
            <w:gridSpan w:val="2"/>
            <w:vAlign w:val="center"/>
          </w:tcPr>
          <w:p>
            <w:pPr>
              <w:spacing w:line="360" w:lineRule="auto"/>
              <w:jc w:val="center"/>
              <w:rPr>
                <w:rFonts w:ascii="宋体" w:hAnsi="宋体" w:cs="宋体"/>
                <w:sz w:val="24"/>
              </w:rPr>
            </w:pPr>
          </w:p>
        </w:tc>
        <w:tc>
          <w:tcPr>
            <w:tcW w:w="788" w:type="dxa"/>
            <w:gridSpan w:val="2"/>
            <w:vAlign w:val="center"/>
          </w:tcPr>
          <w:p>
            <w:pPr>
              <w:spacing w:line="360" w:lineRule="auto"/>
              <w:jc w:val="center"/>
              <w:rPr>
                <w:rFonts w:ascii="宋体" w:hAnsi="宋体" w:cs="宋体"/>
                <w:sz w:val="24"/>
              </w:rPr>
            </w:pPr>
            <w:r>
              <w:rPr>
                <w:rFonts w:hint="eastAsia" w:ascii="宋体" w:hAnsi="宋体" w:cs="宋体"/>
                <w:sz w:val="24"/>
              </w:rPr>
              <w:t>职务</w:t>
            </w:r>
          </w:p>
        </w:tc>
        <w:tc>
          <w:tcPr>
            <w:tcW w:w="1440" w:type="dxa"/>
            <w:gridSpan w:val="2"/>
            <w:vAlign w:val="center"/>
          </w:tcPr>
          <w:p>
            <w:pPr>
              <w:spacing w:line="360" w:lineRule="auto"/>
              <w:jc w:val="center"/>
              <w:rPr>
                <w:rFonts w:ascii="宋体" w:hAnsi="宋体" w:cs="宋体"/>
                <w:sz w:val="24"/>
              </w:rPr>
            </w:pPr>
          </w:p>
        </w:tc>
        <w:tc>
          <w:tcPr>
            <w:tcW w:w="788" w:type="dxa"/>
            <w:vAlign w:val="center"/>
          </w:tcPr>
          <w:p>
            <w:pPr>
              <w:spacing w:line="360" w:lineRule="auto"/>
              <w:jc w:val="center"/>
              <w:rPr>
                <w:rFonts w:ascii="宋体" w:hAnsi="宋体" w:cs="宋体"/>
                <w:sz w:val="24"/>
              </w:rPr>
            </w:pPr>
            <w:r>
              <w:rPr>
                <w:rFonts w:hint="eastAsia" w:ascii="宋体" w:hAnsi="宋体" w:cs="宋体"/>
                <w:sz w:val="24"/>
              </w:rPr>
              <w:t>电话</w:t>
            </w:r>
          </w:p>
        </w:tc>
        <w:tc>
          <w:tcPr>
            <w:tcW w:w="1328" w:type="dxa"/>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ascii="宋体" w:hAnsi="宋体" w:cs="宋体"/>
                <w:sz w:val="24"/>
              </w:rPr>
            </w:pPr>
            <w:r>
              <w:rPr>
                <w:rFonts w:hint="eastAsia" w:ascii="宋体" w:hAnsi="宋体" w:cs="宋体"/>
                <w:sz w:val="24"/>
              </w:rPr>
              <w:t>注册资金</w:t>
            </w:r>
          </w:p>
        </w:tc>
        <w:tc>
          <w:tcPr>
            <w:tcW w:w="1867" w:type="dxa"/>
            <w:gridSpan w:val="3"/>
            <w:vAlign w:val="center"/>
          </w:tcPr>
          <w:p>
            <w:pPr>
              <w:spacing w:line="360" w:lineRule="auto"/>
              <w:jc w:val="center"/>
              <w:rPr>
                <w:rFonts w:ascii="宋体" w:hAnsi="宋体" w:cs="宋体"/>
                <w:sz w:val="24"/>
              </w:rPr>
            </w:pPr>
          </w:p>
        </w:tc>
        <w:tc>
          <w:tcPr>
            <w:tcW w:w="2228" w:type="dxa"/>
            <w:gridSpan w:val="4"/>
            <w:vAlign w:val="center"/>
          </w:tcPr>
          <w:p>
            <w:pPr>
              <w:spacing w:line="360" w:lineRule="auto"/>
              <w:jc w:val="center"/>
              <w:rPr>
                <w:rFonts w:ascii="宋体" w:hAnsi="宋体" w:cs="宋体"/>
                <w:sz w:val="24"/>
              </w:rPr>
            </w:pPr>
            <w:r>
              <w:rPr>
                <w:rFonts w:hint="eastAsia" w:ascii="宋体" w:hAnsi="宋体" w:cs="宋体"/>
                <w:sz w:val="24"/>
              </w:rPr>
              <w:t>成立时间</w:t>
            </w:r>
          </w:p>
        </w:tc>
        <w:tc>
          <w:tcPr>
            <w:tcW w:w="2116" w:type="dxa"/>
            <w:gridSpan w:val="2"/>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ascii="宋体" w:hAnsi="宋体" w:cs="宋体"/>
                <w:sz w:val="24"/>
              </w:rPr>
            </w:pPr>
            <w:r>
              <w:rPr>
                <w:rFonts w:hint="eastAsia" w:ascii="宋体" w:hAnsi="宋体" w:cs="宋体"/>
                <w:sz w:val="24"/>
              </w:rPr>
              <w:t>开户银行</w:t>
            </w:r>
          </w:p>
        </w:tc>
        <w:tc>
          <w:tcPr>
            <w:tcW w:w="1867" w:type="dxa"/>
            <w:gridSpan w:val="3"/>
            <w:vAlign w:val="center"/>
          </w:tcPr>
          <w:p>
            <w:pPr>
              <w:spacing w:line="360" w:lineRule="auto"/>
              <w:jc w:val="center"/>
              <w:rPr>
                <w:rFonts w:ascii="宋体" w:hAnsi="宋体" w:cs="宋体"/>
                <w:sz w:val="24"/>
              </w:rPr>
            </w:pPr>
          </w:p>
        </w:tc>
        <w:tc>
          <w:tcPr>
            <w:tcW w:w="2228" w:type="dxa"/>
            <w:gridSpan w:val="4"/>
            <w:vAlign w:val="center"/>
          </w:tcPr>
          <w:p>
            <w:pPr>
              <w:spacing w:line="360" w:lineRule="auto"/>
              <w:jc w:val="center"/>
              <w:rPr>
                <w:rFonts w:ascii="宋体" w:hAnsi="宋体" w:cs="宋体"/>
                <w:sz w:val="24"/>
              </w:rPr>
            </w:pPr>
            <w:r>
              <w:rPr>
                <w:rFonts w:hint="eastAsia" w:ascii="宋体" w:hAnsi="宋体" w:cs="宋体"/>
                <w:sz w:val="24"/>
              </w:rPr>
              <w:t>账号</w:t>
            </w:r>
          </w:p>
        </w:tc>
        <w:tc>
          <w:tcPr>
            <w:tcW w:w="2116" w:type="dxa"/>
            <w:gridSpan w:val="2"/>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ascii="宋体" w:hAnsi="宋体" w:cs="宋体"/>
                <w:sz w:val="24"/>
              </w:rPr>
            </w:pPr>
            <w:r>
              <w:rPr>
                <w:rFonts w:hint="eastAsia" w:ascii="宋体" w:hAnsi="宋体" w:cs="宋体"/>
                <w:sz w:val="24"/>
              </w:rPr>
              <w:t>经营范围</w:t>
            </w:r>
          </w:p>
        </w:tc>
        <w:tc>
          <w:tcPr>
            <w:tcW w:w="6211" w:type="dxa"/>
            <w:gridSpan w:val="9"/>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ascii="宋体" w:hAnsi="宋体" w:cs="宋体"/>
                <w:sz w:val="24"/>
              </w:rPr>
            </w:pPr>
            <w:r>
              <w:rPr>
                <w:rFonts w:hint="eastAsia" w:ascii="宋体" w:hAnsi="宋体" w:cs="宋体"/>
                <w:sz w:val="24"/>
              </w:rPr>
              <w:t>备注</w:t>
            </w:r>
          </w:p>
        </w:tc>
        <w:tc>
          <w:tcPr>
            <w:tcW w:w="6211" w:type="dxa"/>
            <w:gridSpan w:val="9"/>
            <w:vAlign w:val="center"/>
          </w:tcPr>
          <w:p>
            <w:pPr>
              <w:spacing w:line="360" w:lineRule="auto"/>
              <w:jc w:val="center"/>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注：供应商可根据实际情况自行添加表格内容。</w:t>
      </w:r>
    </w:p>
    <w:p>
      <w:pPr>
        <w:spacing w:line="360" w:lineRule="auto"/>
        <w:rPr>
          <w:rFonts w:ascii="宋体" w:hAnsi="宋体" w:cs="宋体"/>
          <w:sz w:val="24"/>
        </w:rPr>
      </w:pPr>
      <w:r>
        <w:rPr>
          <w:rFonts w:hint="eastAsia" w:ascii="宋体" w:hAnsi="宋体" w:cs="宋体"/>
          <w:sz w:val="24"/>
        </w:rPr>
        <w:t xml:space="preserve">                                供应商名称（全称并加盖公章）：</w:t>
      </w:r>
    </w:p>
    <w:p>
      <w:pPr>
        <w:spacing w:line="360" w:lineRule="auto"/>
        <w:rPr>
          <w:rFonts w:ascii="宋体" w:hAnsi="宋体" w:cs="宋体"/>
          <w:sz w:val="24"/>
        </w:rPr>
      </w:pPr>
      <w:r>
        <w:rPr>
          <w:rFonts w:hint="eastAsia" w:ascii="宋体" w:hAnsi="宋体" w:cs="宋体"/>
          <w:sz w:val="24"/>
        </w:rPr>
        <w:t xml:space="preserve">                                法定代表人或其委托代理人（签名或盖章）：</w:t>
      </w:r>
    </w:p>
    <w:p>
      <w:pPr>
        <w:spacing w:line="360" w:lineRule="auto"/>
        <w:rPr>
          <w:rFonts w:ascii="宋体" w:hAnsi="宋体" w:cs="宋体"/>
          <w:sz w:val="24"/>
        </w:rPr>
      </w:pPr>
      <w:r>
        <w:rPr>
          <w:rFonts w:hint="eastAsia" w:ascii="宋体" w:hAnsi="宋体" w:cs="宋体"/>
          <w:sz w:val="24"/>
        </w:rPr>
        <w:t xml:space="preserve">                                       年  月  日</w:t>
      </w:r>
    </w:p>
    <w:p>
      <w:pPr>
        <w:spacing w:line="360" w:lineRule="auto"/>
        <w:rPr>
          <w:rFonts w:ascii="宋体" w:hAnsi="宋体" w:cs="宋体"/>
          <w:sz w:val="24"/>
        </w:rPr>
      </w:pPr>
    </w:p>
    <w:p>
      <w:pPr>
        <w:rPr>
          <w:rFonts w:ascii="宋体" w:hAnsi="宋体" w:cs="宋体"/>
          <w:sz w:val="28"/>
          <w:szCs w:val="24"/>
        </w:rPr>
      </w:pPr>
    </w:p>
    <w:p>
      <w:pPr>
        <w:rPr>
          <w:rFonts w:ascii="宋体" w:hAnsi="宋体" w:cs="宋体"/>
          <w:sz w:val="28"/>
          <w:szCs w:val="24"/>
        </w:rPr>
      </w:pPr>
    </w:p>
    <w:p>
      <w:pPr>
        <w:rPr>
          <w:rFonts w:ascii="宋体" w:hAnsi="宋体" w:cs="宋体"/>
          <w:sz w:val="28"/>
          <w:szCs w:val="24"/>
        </w:rPr>
      </w:pPr>
    </w:p>
    <w:p>
      <w:pPr>
        <w:rPr>
          <w:rFonts w:ascii="宋体" w:hAnsi="宋体" w:cs="宋体"/>
          <w:sz w:val="28"/>
          <w:szCs w:val="24"/>
        </w:rPr>
      </w:pPr>
    </w:p>
    <w:p>
      <w:pPr>
        <w:rPr>
          <w:rFonts w:ascii="宋体" w:hAnsi="宋体" w:cs="宋体"/>
          <w:sz w:val="28"/>
          <w:szCs w:val="24"/>
        </w:rPr>
      </w:pPr>
    </w:p>
    <w:p>
      <w:pPr>
        <w:rPr>
          <w:rFonts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5"/>
        <w:numPr>
          <w:ilvl w:val="0"/>
          <w:numId w:val="14"/>
        </w:numPr>
        <w:spacing w:line="360" w:lineRule="auto"/>
        <w:rPr>
          <w:rFonts w:ascii="宋体" w:hAnsi="宋体" w:cs="宋体"/>
          <w:sz w:val="32"/>
          <w:szCs w:val="32"/>
        </w:rPr>
      </w:pPr>
      <w:bookmarkStart w:id="138" w:name="_Toc19916"/>
      <w:bookmarkStart w:id="139" w:name="_Toc115021834"/>
      <w:bookmarkStart w:id="140" w:name="_Toc530584397"/>
      <w:bookmarkStart w:id="141" w:name="_Toc31769"/>
      <w:bookmarkStart w:id="142" w:name="_Toc20355"/>
      <w:r>
        <w:rPr>
          <w:rFonts w:hint="eastAsia" w:ascii="宋体" w:hAnsi="宋体" w:cs="宋体"/>
          <w:sz w:val="32"/>
          <w:szCs w:val="32"/>
        </w:rPr>
        <w:t>第一轮报价表</w:t>
      </w:r>
      <w:bookmarkEnd w:id="138"/>
      <w:bookmarkEnd w:id="139"/>
      <w:bookmarkEnd w:id="140"/>
      <w:bookmarkEnd w:id="141"/>
      <w:bookmarkEnd w:id="142"/>
    </w:p>
    <w:tbl>
      <w:tblPr>
        <w:tblStyle w:val="39"/>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项目名称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项目编号</w:t>
            </w:r>
          </w:p>
        </w:tc>
        <w:tc>
          <w:tcPr>
            <w:tcW w:w="6260" w:type="dxa"/>
            <w:tcBorders>
              <w:left w:val="single" w:color="auto" w:sz="4" w:space="0"/>
              <w:right w:val="single" w:color="auto" w:sz="4" w:space="0"/>
            </w:tcBorders>
            <w:vAlign w:val="center"/>
          </w:tcPr>
          <w:p>
            <w:pPr>
              <w:ind w:left="108"/>
              <w:jc w:val="center"/>
              <w:rPr>
                <w:rFonts w:ascii="宋体" w:hAnsi="宋体" w:cs="宋体"/>
                <w:szCs w:val="21"/>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供应商名称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总报价</w:t>
            </w:r>
          </w:p>
        </w:tc>
        <w:tc>
          <w:tcPr>
            <w:tcW w:w="6260"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cs="宋体"/>
                <w:szCs w:val="21"/>
              </w:rPr>
            </w:pPr>
            <w:r>
              <w:rPr>
                <w:rFonts w:hint="eastAsia" w:ascii="宋体" w:hAnsi="宋体" w:cs="宋体"/>
                <w:szCs w:val="21"/>
              </w:rPr>
              <w:t>大写：                　　¥：</w:t>
            </w:r>
          </w:p>
        </w:tc>
      </w:tr>
    </w:tbl>
    <w:p>
      <w:pPr>
        <w:rPr>
          <w:rFonts w:ascii="宋体" w:hAnsi="宋体" w:cs="宋体"/>
          <w:sz w:val="28"/>
          <w:szCs w:val="24"/>
        </w:rPr>
      </w:pPr>
    </w:p>
    <w:p>
      <w:pPr>
        <w:rPr>
          <w:rFonts w:ascii="宋体" w:hAnsi="宋体" w:cs="宋体"/>
          <w:sz w:val="28"/>
          <w:szCs w:val="24"/>
        </w:rPr>
      </w:pPr>
    </w:p>
    <w:p>
      <w:pPr>
        <w:adjustRightInd w:val="0"/>
        <w:spacing w:line="400" w:lineRule="exact"/>
        <w:ind w:firstLine="420" w:firstLineChars="200"/>
        <w:jc w:val="left"/>
        <w:textAlignment w:val="baseline"/>
        <w:rPr>
          <w:rFonts w:ascii="宋体" w:hAnsi="宋体" w:cs="宋体"/>
          <w:szCs w:val="21"/>
        </w:rPr>
      </w:pPr>
    </w:p>
    <w:p>
      <w:pPr>
        <w:spacing w:line="360" w:lineRule="auto"/>
        <w:rPr>
          <w:rFonts w:ascii="宋体" w:hAnsi="宋体" w:cs="宋体"/>
          <w:sz w:val="24"/>
        </w:rPr>
      </w:pPr>
      <w:r>
        <w:rPr>
          <w:rFonts w:hint="eastAsia" w:ascii="宋体" w:hAnsi="宋体" w:cs="宋体"/>
          <w:sz w:val="24"/>
        </w:rPr>
        <w:t xml:space="preserve">                                供应商名称（全称并加盖公章）：</w:t>
      </w:r>
    </w:p>
    <w:p>
      <w:pPr>
        <w:spacing w:line="360" w:lineRule="auto"/>
        <w:rPr>
          <w:rFonts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ascii="宋体" w:hAnsi="宋体" w:cs="宋体"/>
          <w:szCs w:val="21"/>
        </w:rPr>
      </w:pPr>
      <w:r>
        <w:rPr>
          <w:rFonts w:hint="eastAsia" w:ascii="宋体" w:hAnsi="宋体" w:cs="宋体"/>
          <w:szCs w:val="21"/>
        </w:rPr>
        <w:t xml:space="preserve">                                                   年    月   日</w:t>
      </w: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spacing w:line="360" w:lineRule="exact"/>
        <w:rPr>
          <w:rFonts w:ascii="宋体" w:hAnsi="宋体" w:cs="宋体"/>
          <w:sz w:val="28"/>
          <w:szCs w:val="28"/>
        </w:rPr>
      </w:pPr>
    </w:p>
    <w:p>
      <w:pPr>
        <w:pStyle w:val="5"/>
        <w:numPr>
          <w:ilvl w:val="0"/>
          <w:numId w:val="14"/>
        </w:numPr>
        <w:spacing w:line="360" w:lineRule="auto"/>
        <w:rPr>
          <w:rFonts w:ascii="宋体" w:hAnsi="宋体" w:cs="宋体"/>
          <w:sz w:val="32"/>
          <w:szCs w:val="32"/>
        </w:rPr>
      </w:pPr>
      <w:bookmarkStart w:id="143" w:name="_Toc115021835"/>
      <w:bookmarkStart w:id="144" w:name="_Toc16334"/>
      <w:bookmarkStart w:id="145" w:name="_Toc8227"/>
      <w:bookmarkStart w:id="146" w:name="_Toc23602"/>
      <w:r>
        <w:rPr>
          <w:rFonts w:hint="eastAsia" w:ascii="宋体" w:hAnsi="宋体" w:cs="宋体"/>
          <w:sz w:val="32"/>
          <w:szCs w:val="32"/>
        </w:rPr>
        <w:t>报价明细表</w:t>
      </w:r>
      <w:bookmarkEnd w:id="143"/>
      <w:bookmarkEnd w:id="144"/>
      <w:bookmarkEnd w:id="145"/>
      <w:bookmarkEnd w:id="146"/>
    </w:p>
    <w:p>
      <w:pPr>
        <w:spacing w:line="360" w:lineRule="auto"/>
        <w:rPr>
          <w:rFonts w:ascii="宋体" w:hAnsi="宋体" w:cs="宋体"/>
          <w:szCs w:val="21"/>
        </w:rPr>
      </w:pPr>
      <w:r>
        <w:rPr>
          <w:rFonts w:hint="eastAsia" w:ascii="宋体" w:hAnsi="宋体" w:cs="宋体"/>
          <w:szCs w:val="21"/>
        </w:rPr>
        <w:t>项目名称：                                                项目编号：</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081"/>
        <w:gridCol w:w="886"/>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vAlign w:val="center"/>
          </w:tcPr>
          <w:p>
            <w:pPr>
              <w:spacing w:line="240" w:lineRule="atLeast"/>
              <w:jc w:val="center"/>
              <w:rPr>
                <w:rFonts w:ascii="宋体" w:hAnsi="宋体" w:cs="宋体"/>
                <w:szCs w:val="21"/>
              </w:rPr>
            </w:pPr>
            <w:r>
              <w:rPr>
                <w:rFonts w:hint="eastAsia" w:ascii="宋体" w:hAnsi="宋体" w:cs="宋体"/>
                <w:szCs w:val="21"/>
              </w:rPr>
              <w:t>序号</w:t>
            </w:r>
          </w:p>
        </w:tc>
        <w:tc>
          <w:tcPr>
            <w:tcW w:w="1081" w:type="dxa"/>
            <w:vAlign w:val="center"/>
          </w:tcPr>
          <w:p>
            <w:pPr>
              <w:spacing w:line="240" w:lineRule="atLeast"/>
              <w:jc w:val="center"/>
              <w:rPr>
                <w:rFonts w:ascii="宋体" w:hAnsi="宋体" w:cs="宋体"/>
                <w:szCs w:val="21"/>
              </w:rPr>
            </w:pPr>
            <w:r>
              <w:rPr>
                <w:rFonts w:hint="eastAsia" w:ascii="宋体" w:hAnsi="宋体" w:cs="宋体"/>
                <w:szCs w:val="21"/>
              </w:rPr>
              <w:t>标的名称</w:t>
            </w:r>
          </w:p>
        </w:tc>
        <w:tc>
          <w:tcPr>
            <w:tcW w:w="886" w:type="dxa"/>
            <w:vAlign w:val="center"/>
          </w:tcPr>
          <w:p>
            <w:pPr>
              <w:spacing w:line="240" w:lineRule="atLeast"/>
              <w:jc w:val="center"/>
              <w:rPr>
                <w:rFonts w:ascii="宋体" w:hAnsi="宋体" w:cs="宋体"/>
                <w:szCs w:val="21"/>
              </w:rPr>
            </w:pPr>
          </w:p>
          <w:p>
            <w:pPr>
              <w:spacing w:line="240" w:lineRule="atLeast"/>
              <w:jc w:val="center"/>
              <w:rPr>
                <w:rFonts w:ascii="宋体" w:hAnsi="宋体" w:cs="宋体"/>
                <w:szCs w:val="21"/>
              </w:rPr>
            </w:pPr>
            <w:r>
              <w:rPr>
                <w:rFonts w:hint="eastAsia" w:ascii="宋体" w:hAnsi="宋体" w:cs="宋体"/>
                <w:szCs w:val="21"/>
              </w:rPr>
              <w:t>品牌</w:t>
            </w:r>
          </w:p>
          <w:p>
            <w:pPr>
              <w:spacing w:line="240" w:lineRule="atLeast"/>
              <w:jc w:val="center"/>
              <w:rPr>
                <w:rFonts w:ascii="宋体" w:hAnsi="宋体" w:cs="宋体"/>
                <w:szCs w:val="21"/>
              </w:rPr>
            </w:pPr>
          </w:p>
        </w:tc>
        <w:tc>
          <w:tcPr>
            <w:tcW w:w="1211" w:type="dxa"/>
            <w:vAlign w:val="center"/>
          </w:tcPr>
          <w:p>
            <w:pPr>
              <w:spacing w:line="240" w:lineRule="atLeast"/>
              <w:jc w:val="center"/>
              <w:rPr>
                <w:rFonts w:ascii="宋体" w:hAnsi="宋体" w:cs="宋体"/>
                <w:szCs w:val="21"/>
              </w:rPr>
            </w:pPr>
            <w:r>
              <w:rPr>
                <w:rFonts w:hint="eastAsia" w:ascii="宋体" w:hAnsi="宋体" w:cs="宋体"/>
                <w:szCs w:val="21"/>
              </w:rPr>
              <w:t>规格</w:t>
            </w:r>
          </w:p>
          <w:p>
            <w:pPr>
              <w:spacing w:line="240" w:lineRule="atLeast"/>
              <w:jc w:val="center"/>
              <w:rPr>
                <w:rFonts w:ascii="宋体" w:hAnsi="宋体" w:cs="宋体"/>
                <w:szCs w:val="21"/>
              </w:rPr>
            </w:pPr>
            <w:r>
              <w:rPr>
                <w:rFonts w:hint="eastAsia" w:ascii="宋体" w:hAnsi="宋体" w:cs="宋体"/>
                <w:szCs w:val="21"/>
              </w:rPr>
              <w:t>型号</w:t>
            </w:r>
          </w:p>
        </w:tc>
        <w:tc>
          <w:tcPr>
            <w:tcW w:w="1078" w:type="dxa"/>
            <w:vAlign w:val="center"/>
          </w:tcPr>
          <w:p>
            <w:pPr>
              <w:spacing w:line="240" w:lineRule="atLeast"/>
              <w:jc w:val="center"/>
              <w:rPr>
                <w:rFonts w:ascii="宋体" w:hAnsi="宋体" w:cs="宋体"/>
                <w:szCs w:val="21"/>
              </w:rPr>
            </w:pPr>
            <w:r>
              <w:rPr>
                <w:rFonts w:hint="eastAsia" w:ascii="宋体" w:hAnsi="宋体" w:cs="宋体"/>
                <w:szCs w:val="21"/>
              </w:rPr>
              <w:t>制造企业名称</w:t>
            </w:r>
          </w:p>
        </w:tc>
        <w:tc>
          <w:tcPr>
            <w:tcW w:w="908" w:type="dxa"/>
            <w:vAlign w:val="center"/>
          </w:tcPr>
          <w:p>
            <w:pPr>
              <w:spacing w:line="240" w:lineRule="atLeast"/>
              <w:jc w:val="center"/>
              <w:rPr>
                <w:rFonts w:ascii="宋体" w:hAnsi="宋体" w:cs="宋体"/>
                <w:szCs w:val="21"/>
              </w:rPr>
            </w:pPr>
            <w:r>
              <w:rPr>
                <w:rFonts w:hint="eastAsia" w:ascii="宋体" w:hAnsi="宋体" w:cs="宋体"/>
                <w:szCs w:val="21"/>
              </w:rPr>
              <w:t>原产地</w:t>
            </w:r>
          </w:p>
        </w:tc>
        <w:tc>
          <w:tcPr>
            <w:tcW w:w="984" w:type="dxa"/>
            <w:vAlign w:val="center"/>
          </w:tcPr>
          <w:p>
            <w:pPr>
              <w:spacing w:line="240" w:lineRule="atLeast"/>
              <w:jc w:val="center"/>
              <w:rPr>
                <w:rFonts w:ascii="宋体" w:hAnsi="宋体" w:cs="宋体"/>
                <w:szCs w:val="21"/>
              </w:rPr>
            </w:pPr>
            <w:r>
              <w:rPr>
                <w:rFonts w:hint="eastAsia" w:ascii="宋体" w:hAnsi="宋体" w:cs="宋体"/>
                <w:szCs w:val="21"/>
              </w:rPr>
              <w:t>数量</w:t>
            </w:r>
          </w:p>
        </w:tc>
        <w:tc>
          <w:tcPr>
            <w:tcW w:w="1059" w:type="dxa"/>
            <w:vAlign w:val="center"/>
          </w:tcPr>
          <w:p>
            <w:pPr>
              <w:spacing w:line="240" w:lineRule="atLeast"/>
              <w:jc w:val="center"/>
              <w:rPr>
                <w:rFonts w:ascii="宋体" w:hAnsi="宋体" w:cs="宋体"/>
                <w:szCs w:val="21"/>
              </w:rPr>
            </w:pPr>
            <w:r>
              <w:rPr>
                <w:rFonts w:hint="eastAsia" w:ascii="宋体" w:hAnsi="宋体" w:cs="宋体"/>
                <w:szCs w:val="21"/>
              </w:rPr>
              <w:t>单价</w:t>
            </w:r>
          </w:p>
        </w:tc>
        <w:tc>
          <w:tcPr>
            <w:tcW w:w="1059" w:type="dxa"/>
            <w:vAlign w:val="center"/>
          </w:tcPr>
          <w:p>
            <w:pPr>
              <w:spacing w:line="240" w:lineRule="atLeast"/>
              <w:jc w:val="center"/>
              <w:rPr>
                <w:rFonts w:ascii="宋体" w:hAnsi="宋体" w:cs="宋体"/>
                <w:szCs w:val="21"/>
              </w:rPr>
            </w:pPr>
            <w:r>
              <w:rPr>
                <w:rFonts w:hint="eastAsia" w:ascii="宋体" w:hAnsi="宋体" w:cs="宋体"/>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vAlign w:val="center"/>
          </w:tcPr>
          <w:p>
            <w:pPr>
              <w:spacing w:line="360" w:lineRule="auto"/>
              <w:jc w:val="center"/>
              <w:rPr>
                <w:rFonts w:ascii="宋体" w:hAnsi="宋体" w:cs="宋体"/>
                <w:szCs w:val="21"/>
              </w:rPr>
            </w:pPr>
          </w:p>
        </w:tc>
        <w:tc>
          <w:tcPr>
            <w:tcW w:w="1081" w:type="dxa"/>
            <w:vAlign w:val="center"/>
          </w:tcPr>
          <w:p>
            <w:pPr>
              <w:spacing w:line="360" w:lineRule="auto"/>
              <w:jc w:val="center"/>
              <w:rPr>
                <w:rFonts w:ascii="宋体" w:hAnsi="宋体" w:cs="宋体"/>
                <w:szCs w:val="21"/>
              </w:rPr>
            </w:pPr>
          </w:p>
        </w:tc>
        <w:tc>
          <w:tcPr>
            <w:tcW w:w="886" w:type="dxa"/>
            <w:vAlign w:val="center"/>
          </w:tcPr>
          <w:p>
            <w:pPr>
              <w:spacing w:line="360" w:lineRule="auto"/>
              <w:jc w:val="center"/>
              <w:rPr>
                <w:rFonts w:ascii="宋体" w:hAnsi="宋体" w:cs="宋体"/>
                <w:szCs w:val="21"/>
              </w:rPr>
            </w:pPr>
          </w:p>
        </w:tc>
        <w:tc>
          <w:tcPr>
            <w:tcW w:w="1211" w:type="dxa"/>
            <w:vAlign w:val="center"/>
          </w:tcPr>
          <w:p>
            <w:pPr>
              <w:spacing w:line="360" w:lineRule="auto"/>
              <w:jc w:val="center"/>
              <w:rPr>
                <w:rFonts w:ascii="宋体" w:hAnsi="宋体" w:cs="宋体"/>
                <w:szCs w:val="21"/>
              </w:rPr>
            </w:pPr>
          </w:p>
        </w:tc>
        <w:tc>
          <w:tcPr>
            <w:tcW w:w="1078" w:type="dxa"/>
            <w:vAlign w:val="center"/>
          </w:tcPr>
          <w:p>
            <w:pPr>
              <w:spacing w:line="360" w:lineRule="auto"/>
              <w:jc w:val="center"/>
              <w:rPr>
                <w:rFonts w:ascii="宋体" w:hAnsi="宋体" w:cs="宋体"/>
                <w:szCs w:val="21"/>
              </w:rPr>
            </w:pPr>
          </w:p>
        </w:tc>
        <w:tc>
          <w:tcPr>
            <w:tcW w:w="908" w:type="dxa"/>
            <w:vAlign w:val="center"/>
          </w:tcPr>
          <w:p>
            <w:pPr>
              <w:spacing w:line="360" w:lineRule="auto"/>
              <w:jc w:val="center"/>
              <w:rPr>
                <w:rFonts w:ascii="宋体" w:hAnsi="宋体" w:cs="宋体"/>
                <w:szCs w:val="21"/>
              </w:rPr>
            </w:pPr>
          </w:p>
        </w:tc>
        <w:tc>
          <w:tcPr>
            <w:tcW w:w="984" w:type="dxa"/>
            <w:vAlign w:val="center"/>
          </w:tcPr>
          <w:p>
            <w:pPr>
              <w:spacing w:line="360" w:lineRule="auto"/>
              <w:jc w:val="center"/>
              <w:rPr>
                <w:rFonts w:ascii="宋体" w:hAnsi="宋体" w:cs="宋体"/>
                <w:szCs w:val="21"/>
              </w:rPr>
            </w:pPr>
          </w:p>
        </w:tc>
        <w:tc>
          <w:tcPr>
            <w:tcW w:w="1059" w:type="dxa"/>
            <w:vAlign w:val="center"/>
          </w:tcPr>
          <w:p>
            <w:pPr>
              <w:spacing w:line="360" w:lineRule="auto"/>
              <w:jc w:val="center"/>
              <w:rPr>
                <w:rFonts w:ascii="宋体" w:hAnsi="宋体" w:cs="宋体"/>
                <w:szCs w:val="21"/>
              </w:rPr>
            </w:pPr>
          </w:p>
        </w:tc>
        <w:tc>
          <w:tcPr>
            <w:tcW w:w="1059" w:type="dxa"/>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vAlign w:val="center"/>
          </w:tcPr>
          <w:p>
            <w:pPr>
              <w:spacing w:line="360" w:lineRule="auto"/>
              <w:jc w:val="center"/>
              <w:rPr>
                <w:rFonts w:ascii="宋体" w:hAnsi="宋体" w:cs="宋体"/>
                <w:szCs w:val="21"/>
              </w:rPr>
            </w:pPr>
          </w:p>
        </w:tc>
        <w:tc>
          <w:tcPr>
            <w:tcW w:w="1081" w:type="dxa"/>
            <w:vAlign w:val="center"/>
          </w:tcPr>
          <w:p>
            <w:pPr>
              <w:spacing w:line="360" w:lineRule="auto"/>
              <w:jc w:val="center"/>
              <w:rPr>
                <w:rFonts w:ascii="宋体" w:hAnsi="宋体" w:cs="宋体"/>
                <w:szCs w:val="21"/>
              </w:rPr>
            </w:pPr>
          </w:p>
        </w:tc>
        <w:tc>
          <w:tcPr>
            <w:tcW w:w="886" w:type="dxa"/>
            <w:vAlign w:val="center"/>
          </w:tcPr>
          <w:p>
            <w:pPr>
              <w:spacing w:line="360" w:lineRule="auto"/>
              <w:jc w:val="center"/>
              <w:rPr>
                <w:rFonts w:ascii="宋体" w:hAnsi="宋体" w:cs="宋体"/>
                <w:szCs w:val="21"/>
              </w:rPr>
            </w:pPr>
          </w:p>
        </w:tc>
        <w:tc>
          <w:tcPr>
            <w:tcW w:w="1211" w:type="dxa"/>
            <w:vAlign w:val="center"/>
          </w:tcPr>
          <w:p>
            <w:pPr>
              <w:spacing w:line="360" w:lineRule="auto"/>
              <w:jc w:val="center"/>
              <w:rPr>
                <w:rFonts w:ascii="宋体" w:hAnsi="宋体" w:cs="宋体"/>
                <w:szCs w:val="21"/>
              </w:rPr>
            </w:pPr>
          </w:p>
        </w:tc>
        <w:tc>
          <w:tcPr>
            <w:tcW w:w="1078" w:type="dxa"/>
            <w:vAlign w:val="center"/>
          </w:tcPr>
          <w:p>
            <w:pPr>
              <w:spacing w:line="360" w:lineRule="auto"/>
              <w:jc w:val="center"/>
              <w:rPr>
                <w:rFonts w:ascii="宋体" w:hAnsi="宋体" w:cs="宋体"/>
                <w:szCs w:val="21"/>
              </w:rPr>
            </w:pPr>
          </w:p>
        </w:tc>
        <w:tc>
          <w:tcPr>
            <w:tcW w:w="908" w:type="dxa"/>
            <w:vAlign w:val="center"/>
          </w:tcPr>
          <w:p>
            <w:pPr>
              <w:spacing w:line="360" w:lineRule="auto"/>
              <w:jc w:val="center"/>
              <w:rPr>
                <w:rFonts w:ascii="宋体" w:hAnsi="宋体" w:cs="宋体"/>
                <w:szCs w:val="21"/>
              </w:rPr>
            </w:pPr>
          </w:p>
        </w:tc>
        <w:tc>
          <w:tcPr>
            <w:tcW w:w="984" w:type="dxa"/>
            <w:vAlign w:val="center"/>
          </w:tcPr>
          <w:p>
            <w:pPr>
              <w:spacing w:line="360" w:lineRule="auto"/>
              <w:jc w:val="center"/>
              <w:rPr>
                <w:rFonts w:ascii="宋体" w:hAnsi="宋体" w:cs="宋体"/>
                <w:szCs w:val="21"/>
              </w:rPr>
            </w:pPr>
          </w:p>
        </w:tc>
        <w:tc>
          <w:tcPr>
            <w:tcW w:w="1059" w:type="dxa"/>
            <w:vAlign w:val="center"/>
          </w:tcPr>
          <w:p>
            <w:pPr>
              <w:spacing w:line="360" w:lineRule="auto"/>
              <w:jc w:val="center"/>
              <w:rPr>
                <w:rFonts w:ascii="宋体" w:hAnsi="宋体" w:cs="宋体"/>
                <w:szCs w:val="21"/>
              </w:rPr>
            </w:pPr>
          </w:p>
        </w:tc>
        <w:tc>
          <w:tcPr>
            <w:tcW w:w="1059" w:type="dxa"/>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vAlign w:val="center"/>
          </w:tcPr>
          <w:p>
            <w:pPr>
              <w:spacing w:line="360" w:lineRule="auto"/>
              <w:jc w:val="center"/>
              <w:rPr>
                <w:rFonts w:ascii="宋体" w:hAnsi="宋体" w:cs="宋体"/>
                <w:szCs w:val="21"/>
              </w:rPr>
            </w:pPr>
          </w:p>
        </w:tc>
        <w:tc>
          <w:tcPr>
            <w:tcW w:w="1081" w:type="dxa"/>
            <w:vAlign w:val="center"/>
          </w:tcPr>
          <w:p>
            <w:pPr>
              <w:spacing w:line="360" w:lineRule="auto"/>
              <w:jc w:val="center"/>
              <w:rPr>
                <w:rFonts w:ascii="宋体" w:hAnsi="宋体" w:cs="宋体"/>
                <w:szCs w:val="21"/>
              </w:rPr>
            </w:pPr>
          </w:p>
        </w:tc>
        <w:tc>
          <w:tcPr>
            <w:tcW w:w="886" w:type="dxa"/>
            <w:vAlign w:val="center"/>
          </w:tcPr>
          <w:p>
            <w:pPr>
              <w:spacing w:line="360" w:lineRule="auto"/>
              <w:jc w:val="center"/>
              <w:rPr>
                <w:rFonts w:ascii="宋体" w:hAnsi="宋体" w:cs="宋体"/>
                <w:szCs w:val="21"/>
              </w:rPr>
            </w:pPr>
          </w:p>
        </w:tc>
        <w:tc>
          <w:tcPr>
            <w:tcW w:w="1211" w:type="dxa"/>
            <w:vAlign w:val="center"/>
          </w:tcPr>
          <w:p>
            <w:pPr>
              <w:spacing w:line="360" w:lineRule="auto"/>
              <w:jc w:val="center"/>
              <w:rPr>
                <w:rFonts w:ascii="宋体" w:hAnsi="宋体" w:cs="宋体"/>
                <w:szCs w:val="21"/>
              </w:rPr>
            </w:pPr>
          </w:p>
        </w:tc>
        <w:tc>
          <w:tcPr>
            <w:tcW w:w="1078" w:type="dxa"/>
            <w:vAlign w:val="center"/>
          </w:tcPr>
          <w:p>
            <w:pPr>
              <w:spacing w:line="360" w:lineRule="auto"/>
              <w:jc w:val="center"/>
              <w:rPr>
                <w:rFonts w:ascii="宋体" w:hAnsi="宋体" w:cs="宋体"/>
                <w:szCs w:val="21"/>
              </w:rPr>
            </w:pPr>
          </w:p>
        </w:tc>
        <w:tc>
          <w:tcPr>
            <w:tcW w:w="908" w:type="dxa"/>
            <w:vAlign w:val="center"/>
          </w:tcPr>
          <w:p>
            <w:pPr>
              <w:spacing w:line="360" w:lineRule="auto"/>
              <w:jc w:val="center"/>
              <w:rPr>
                <w:rFonts w:ascii="宋体" w:hAnsi="宋体" w:cs="宋体"/>
                <w:szCs w:val="21"/>
              </w:rPr>
            </w:pPr>
          </w:p>
        </w:tc>
        <w:tc>
          <w:tcPr>
            <w:tcW w:w="984" w:type="dxa"/>
            <w:vAlign w:val="center"/>
          </w:tcPr>
          <w:p>
            <w:pPr>
              <w:spacing w:line="360" w:lineRule="auto"/>
              <w:jc w:val="center"/>
              <w:rPr>
                <w:rFonts w:ascii="宋体" w:hAnsi="宋体" w:cs="宋体"/>
                <w:szCs w:val="21"/>
              </w:rPr>
            </w:pPr>
          </w:p>
        </w:tc>
        <w:tc>
          <w:tcPr>
            <w:tcW w:w="1059" w:type="dxa"/>
            <w:vAlign w:val="center"/>
          </w:tcPr>
          <w:p>
            <w:pPr>
              <w:spacing w:line="360" w:lineRule="auto"/>
              <w:jc w:val="center"/>
              <w:rPr>
                <w:rFonts w:ascii="宋体" w:hAnsi="宋体" w:cs="宋体"/>
                <w:szCs w:val="21"/>
              </w:rPr>
            </w:pPr>
          </w:p>
        </w:tc>
        <w:tc>
          <w:tcPr>
            <w:tcW w:w="1059" w:type="dxa"/>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105" w:type="dxa"/>
            <w:gridSpan w:val="8"/>
            <w:vAlign w:val="center"/>
          </w:tcPr>
          <w:p>
            <w:pPr>
              <w:spacing w:line="360" w:lineRule="auto"/>
              <w:rPr>
                <w:rFonts w:ascii="宋体" w:hAnsi="宋体" w:cs="宋体"/>
                <w:szCs w:val="21"/>
              </w:rPr>
            </w:pPr>
            <w:r>
              <w:rPr>
                <w:rFonts w:hint="eastAsia" w:ascii="宋体" w:hAnsi="宋体" w:cs="宋体"/>
                <w:szCs w:val="21"/>
              </w:rPr>
              <w:t>投标总价（大写）：                               投标总价（小写）：</w:t>
            </w:r>
          </w:p>
        </w:tc>
        <w:tc>
          <w:tcPr>
            <w:tcW w:w="1059" w:type="dxa"/>
            <w:vAlign w:val="center"/>
          </w:tcPr>
          <w:p>
            <w:pPr>
              <w:spacing w:line="360" w:lineRule="auto"/>
              <w:rPr>
                <w:rFonts w:ascii="宋体" w:hAnsi="宋体" w:cs="宋体"/>
                <w:szCs w:val="21"/>
              </w:rPr>
            </w:pPr>
          </w:p>
        </w:tc>
      </w:tr>
    </w:tbl>
    <w:p>
      <w:pPr>
        <w:spacing w:line="360" w:lineRule="auto"/>
        <w:ind w:firstLine="422" w:firstLineChars="200"/>
        <w:rPr>
          <w:rFonts w:ascii="宋体" w:hAnsi="宋体" w:cs="宋体"/>
          <w:b/>
          <w:bCs/>
          <w:szCs w:val="21"/>
        </w:rPr>
      </w:pPr>
    </w:p>
    <w:p>
      <w:pPr>
        <w:spacing w:line="360" w:lineRule="auto"/>
        <w:ind w:firstLine="420" w:firstLineChars="200"/>
        <w:rPr>
          <w:rFonts w:ascii="宋体" w:hAnsi="宋体" w:cs="宋体"/>
          <w:szCs w:val="21"/>
        </w:rPr>
      </w:pPr>
    </w:p>
    <w:p>
      <w:pPr>
        <w:spacing w:line="360" w:lineRule="auto"/>
        <w:rPr>
          <w:rFonts w:ascii="宋体" w:hAnsi="宋体" w:cs="宋体"/>
          <w:sz w:val="24"/>
        </w:rPr>
      </w:pPr>
      <w:r>
        <w:rPr>
          <w:rFonts w:hint="eastAsia" w:ascii="宋体" w:hAnsi="宋体" w:cs="宋体"/>
          <w:sz w:val="24"/>
        </w:rPr>
        <w:t xml:space="preserve">                                供应商名称（全称并加盖公章）：</w:t>
      </w:r>
    </w:p>
    <w:p>
      <w:pPr>
        <w:spacing w:line="360" w:lineRule="auto"/>
        <w:rPr>
          <w:rFonts w:ascii="宋体" w:hAnsi="宋体" w:cs="宋体"/>
          <w:sz w:val="24"/>
        </w:rPr>
      </w:pPr>
      <w:r>
        <w:rPr>
          <w:rFonts w:hint="eastAsia" w:ascii="宋体" w:hAnsi="宋体" w:cs="宋体"/>
          <w:sz w:val="24"/>
        </w:rPr>
        <w:t xml:space="preserve">                                法定代表人或其委托代理人（签字）：</w:t>
      </w:r>
    </w:p>
    <w:p>
      <w:pPr>
        <w:adjustRightInd w:val="0"/>
        <w:spacing w:line="400" w:lineRule="exact"/>
        <w:ind w:firstLine="420" w:firstLineChars="200"/>
        <w:jc w:val="left"/>
        <w:textAlignment w:val="baseline"/>
        <w:rPr>
          <w:rFonts w:ascii="宋体" w:hAnsi="宋体" w:cs="宋体"/>
          <w:szCs w:val="21"/>
        </w:rPr>
      </w:pPr>
      <w:r>
        <w:rPr>
          <w:rFonts w:hint="eastAsia" w:ascii="宋体" w:hAnsi="宋体" w:cs="宋体"/>
          <w:szCs w:val="21"/>
        </w:rPr>
        <w:t xml:space="preserve">                                                   年    月   日</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pStyle w:val="14"/>
        <w:rPr>
          <w:rFonts w:ascii="宋体" w:hAnsi="宋体" w:cs="宋体"/>
          <w:szCs w:val="21"/>
        </w:rPr>
      </w:pPr>
    </w:p>
    <w:p>
      <w:pPr>
        <w:pStyle w:val="15"/>
        <w:rPr>
          <w:rFonts w:hAnsi="宋体"/>
          <w:szCs w:val="21"/>
        </w:rPr>
      </w:pPr>
    </w:p>
    <w:p>
      <w:pPr>
        <w:spacing w:line="360" w:lineRule="auto"/>
        <w:rPr>
          <w:rFonts w:ascii="宋体" w:hAnsi="宋体" w:cs="宋体"/>
          <w:b/>
        </w:rPr>
      </w:pPr>
    </w:p>
    <w:p>
      <w:pPr>
        <w:pStyle w:val="14"/>
        <w:rPr>
          <w:rFonts w:ascii="宋体" w:hAnsi="宋体" w:cs="宋体"/>
          <w:b/>
        </w:rPr>
      </w:pPr>
    </w:p>
    <w:p>
      <w:pPr>
        <w:pStyle w:val="15"/>
        <w:rPr>
          <w:rFonts w:hAnsi="宋体"/>
          <w:b/>
        </w:rPr>
      </w:pPr>
    </w:p>
    <w:p>
      <w:pPr>
        <w:spacing w:line="360" w:lineRule="auto"/>
        <w:rPr>
          <w:rFonts w:ascii="宋体" w:hAnsi="宋体" w:cs="宋体"/>
        </w:rPr>
      </w:pPr>
      <w:bookmarkStart w:id="147" w:name="_Toc11308"/>
      <w:bookmarkStart w:id="148" w:name="_Toc115021836"/>
      <w:bookmarkStart w:id="149" w:name="_Toc30567"/>
      <w:bookmarkStart w:id="150" w:name="_Toc15225"/>
    </w:p>
    <w:p>
      <w:pPr>
        <w:pStyle w:val="53"/>
        <w:rPr>
          <w:rFonts w:ascii="宋体" w:hAnsi="宋体" w:cs="宋体"/>
        </w:rPr>
      </w:pPr>
    </w:p>
    <w:p>
      <w:pPr>
        <w:rPr>
          <w:rFonts w:ascii="宋体" w:hAnsi="宋体" w:cs="宋体"/>
        </w:rPr>
      </w:pPr>
      <w:r>
        <w:rPr>
          <w:rFonts w:hint="eastAsia" w:ascii="宋体" w:hAnsi="宋体" w:cs="宋体"/>
        </w:rPr>
        <w:br w:type="page"/>
      </w:r>
    </w:p>
    <w:p>
      <w:pPr>
        <w:pStyle w:val="5"/>
        <w:numPr>
          <w:ilvl w:val="0"/>
          <w:numId w:val="14"/>
        </w:numPr>
        <w:spacing w:line="360" w:lineRule="auto"/>
        <w:rPr>
          <w:rFonts w:ascii="宋体" w:hAnsi="宋体" w:cs="宋体"/>
          <w:sz w:val="32"/>
          <w:szCs w:val="32"/>
        </w:rPr>
      </w:pPr>
      <w:r>
        <w:rPr>
          <w:rFonts w:hint="eastAsia" w:ascii="宋体" w:hAnsi="宋体" w:cs="宋体"/>
          <w:sz w:val="32"/>
          <w:szCs w:val="32"/>
        </w:rPr>
        <w:t>技术响应表</w:t>
      </w:r>
      <w:bookmarkEnd w:id="147"/>
      <w:bookmarkEnd w:id="148"/>
      <w:bookmarkEnd w:id="149"/>
    </w:p>
    <w:bookmarkEnd w:id="150"/>
    <w:p>
      <w:pPr>
        <w:spacing w:line="360" w:lineRule="auto"/>
        <w:ind w:firstLine="420" w:firstLineChars="200"/>
        <w:rPr>
          <w:rFonts w:ascii="宋体" w:hAnsi="宋体" w:cs="宋体"/>
          <w:szCs w:val="21"/>
        </w:rPr>
      </w:pPr>
      <w:r>
        <w:rPr>
          <w:rFonts w:hint="eastAsia" w:ascii="宋体" w:hAnsi="宋体" w:cs="宋体"/>
          <w:szCs w:val="21"/>
        </w:rPr>
        <w:t>项目名称：                                             项目编号：</w:t>
      </w:r>
    </w:p>
    <w:tbl>
      <w:tblPr>
        <w:tblStyle w:val="39"/>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3849"/>
        <w:gridCol w:w="1163"/>
        <w:gridCol w:w="313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09"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序号</w:t>
            </w:r>
          </w:p>
        </w:tc>
        <w:tc>
          <w:tcPr>
            <w:tcW w:w="3849"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lang w:val="en-US" w:eastAsia="zh-CN"/>
              </w:rPr>
              <w:t>磋商</w:t>
            </w:r>
            <w:r>
              <w:rPr>
                <w:rFonts w:hint="eastAsia" w:ascii="宋体" w:hAnsi="宋体"/>
                <w:szCs w:val="21"/>
              </w:rPr>
              <w:t>文件要求</w:t>
            </w:r>
          </w:p>
        </w:tc>
        <w:tc>
          <w:tcPr>
            <w:tcW w:w="1163"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是否响应</w:t>
            </w:r>
          </w:p>
        </w:tc>
        <w:tc>
          <w:tcPr>
            <w:tcW w:w="3137"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lang w:val="en-US" w:eastAsia="zh-CN"/>
              </w:rPr>
              <w:t>供应商</w:t>
            </w:r>
            <w:r>
              <w:rPr>
                <w:rFonts w:hint="eastAsia" w:ascii="宋体" w:hAnsi="宋体"/>
                <w:szCs w:val="21"/>
              </w:rPr>
              <w:t>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Cs w:val="21"/>
              </w:rPr>
            </w:pPr>
          </w:p>
        </w:tc>
        <w:tc>
          <w:tcPr>
            <w:tcW w:w="3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Cs w:val="21"/>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c>
          <w:tcPr>
            <w:tcW w:w="3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Cs w:val="21"/>
              </w:rPr>
            </w:pPr>
          </w:p>
        </w:tc>
        <w:tc>
          <w:tcPr>
            <w:tcW w:w="3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Cs w:val="21"/>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c>
          <w:tcPr>
            <w:tcW w:w="3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Cs w:val="21"/>
              </w:rPr>
            </w:pPr>
          </w:p>
        </w:tc>
        <w:tc>
          <w:tcPr>
            <w:tcW w:w="3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Cs w:val="21"/>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c>
          <w:tcPr>
            <w:tcW w:w="3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Cs w:val="21"/>
              </w:rPr>
            </w:pPr>
          </w:p>
        </w:tc>
        <w:tc>
          <w:tcPr>
            <w:tcW w:w="3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Cs w:val="21"/>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c>
          <w:tcPr>
            <w:tcW w:w="3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Cs w:val="21"/>
              </w:rPr>
            </w:pPr>
          </w:p>
        </w:tc>
        <w:tc>
          <w:tcPr>
            <w:tcW w:w="3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Cs w:val="21"/>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c>
          <w:tcPr>
            <w:tcW w:w="3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Cs w:val="21"/>
              </w:rPr>
            </w:pPr>
          </w:p>
        </w:tc>
        <w:tc>
          <w:tcPr>
            <w:tcW w:w="3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Cs w:val="21"/>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c>
          <w:tcPr>
            <w:tcW w:w="3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Cs w:val="21"/>
              </w:rPr>
            </w:pPr>
          </w:p>
        </w:tc>
        <w:tc>
          <w:tcPr>
            <w:tcW w:w="3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Cs w:val="21"/>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c>
          <w:tcPr>
            <w:tcW w:w="3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92" w:hRule="exact"/>
          <w:jc w:val="center"/>
        </w:trPr>
        <w:tc>
          <w:tcPr>
            <w:tcW w:w="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Cs w:val="21"/>
              </w:rPr>
            </w:pPr>
            <w:r>
              <w:rPr>
                <w:rFonts w:hint="eastAsia" w:ascii="宋体" w:hAnsi="宋体" w:cs="宋体"/>
                <w:szCs w:val="21"/>
              </w:rPr>
              <w:t>…</w:t>
            </w:r>
          </w:p>
        </w:tc>
        <w:tc>
          <w:tcPr>
            <w:tcW w:w="38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Cs w:val="21"/>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c>
          <w:tcPr>
            <w:tcW w:w="3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Cs w:val="21"/>
              </w:rPr>
            </w:pPr>
          </w:p>
        </w:tc>
      </w:tr>
    </w:tbl>
    <w:p>
      <w:pPr>
        <w:rPr>
          <w:rFonts w:ascii="宋体" w:hAnsi="宋体" w:cs="宋体"/>
          <w:color w:val="000000"/>
          <w:szCs w:val="21"/>
        </w:rPr>
      </w:pPr>
      <w:r>
        <w:rPr>
          <w:rFonts w:hint="eastAsia" w:ascii="宋体" w:hAnsi="宋体" w:cs="宋体"/>
          <w:color w:val="000000"/>
          <w:szCs w:val="21"/>
        </w:rPr>
        <w:t>注：供应商必须如实填写上表。</w:t>
      </w:r>
    </w:p>
    <w:p>
      <w:pPr>
        <w:adjustRightInd w:val="0"/>
        <w:snapToGrid w:val="0"/>
        <w:ind w:right="210" w:rightChars="100" w:firstLine="210" w:firstLineChars="100"/>
        <w:rPr>
          <w:rFonts w:ascii="宋体" w:hAnsi="宋体" w:cs="宋体"/>
        </w:rPr>
      </w:pPr>
    </w:p>
    <w:p>
      <w:pPr>
        <w:spacing w:line="360" w:lineRule="auto"/>
        <w:rPr>
          <w:rFonts w:ascii="宋体" w:hAnsi="宋体" w:cs="宋体"/>
          <w:sz w:val="24"/>
        </w:rPr>
      </w:pPr>
      <w:r>
        <w:rPr>
          <w:rFonts w:hint="eastAsia" w:ascii="宋体" w:hAnsi="宋体" w:cs="宋体"/>
          <w:sz w:val="24"/>
        </w:rPr>
        <w:t xml:space="preserve">                                供应商名称（全称并加盖公章）：</w:t>
      </w:r>
    </w:p>
    <w:p>
      <w:pPr>
        <w:spacing w:line="360" w:lineRule="auto"/>
        <w:rPr>
          <w:rFonts w:ascii="宋体" w:hAnsi="宋体" w:cs="宋体"/>
          <w:sz w:val="24"/>
        </w:rPr>
      </w:pPr>
      <w:r>
        <w:rPr>
          <w:rFonts w:hint="eastAsia" w:ascii="宋体" w:hAnsi="宋体" w:cs="宋体"/>
          <w:sz w:val="24"/>
        </w:rPr>
        <w:t xml:space="preserve">                                法定代表人或其委托代理人（签字）：</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adjustRightInd w:val="0"/>
        <w:snapToGrid w:val="0"/>
        <w:ind w:right="210" w:rightChars="100" w:firstLine="6720" w:firstLineChars="3200"/>
        <w:rPr>
          <w:rFonts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ascii="宋体" w:hAnsi="宋体" w:cs="宋体"/>
        </w:rPr>
      </w:pPr>
    </w:p>
    <w:p>
      <w:pPr>
        <w:adjustRightInd w:val="0"/>
        <w:snapToGrid w:val="0"/>
        <w:ind w:right="210" w:rightChars="100" w:firstLine="210" w:firstLineChars="100"/>
        <w:rPr>
          <w:rFonts w:ascii="宋体" w:hAnsi="宋体" w:cs="宋体"/>
        </w:rPr>
      </w:pPr>
    </w:p>
    <w:p>
      <w:pPr>
        <w:ind w:firstLine="735" w:firstLineChars="350"/>
        <w:jc w:val="left"/>
        <w:rPr>
          <w:rFonts w:ascii="宋体" w:hAnsi="宋体" w:cs="宋体"/>
        </w:rPr>
      </w:pPr>
    </w:p>
    <w:p>
      <w:pPr>
        <w:jc w:val="left"/>
        <w:rPr>
          <w:rFonts w:ascii="宋体" w:hAnsi="宋体" w:cs="宋体"/>
        </w:rPr>
      </w:pPr>
    </w:p>
    <w:p>
      <w:pPr>
        <w:jc w:val="center"/>
        <w:rPr>
          <w:rFonts w:ascii="宋体" w:hAnsi="宋体" w:cs="宋体"/>
        </w:rPr>
      </w:pPr>
    </w:p>
    <w:p>
      <w:pPr>
        <w:jc w:val="center"/>
        <w:rPr>
          <w:rFonts w:ascii="宋体" w:hAnsi="宋体" w:cs="宋体"/>
        </w:rPr>
      </w:pPr>
    </w:p>
    <w:p>
      <w:pPr>
        <w:jc w:val="center"/>
        <w:rPr>
          <w:rFonts w:ascii="宋体" w:hAnsi="宋体" w:cs="宋体"/>
        </w:rPr>
      </w:pPr>
    </w:p>
    <w:p>
      <w:pPr>
        <w:jc w:val="center"/>
        <w:rPr>
          <w:rFonts w:ascii="宋体" w:hAnsi="宋体" w:cs="宋体"/>
        </w:rPr>
      </w:pPr>
    </w:p>
    <w:p>
      <w:pPr>
        <w:pStyle w:val="2"/>
        <w:rPr>
          <w:rFonts w:ascii="宋体" w:hAnsi="宋体" w:cs="宋体"/>
        </w:rPr>
      </w:pPr>
    </w:p>
    <w:p/>
    <w:p>
      <w:pPr>
        <w:jc w:val="center"/>
        <w:rPr>
          <w:rFonts w:ascii="宋体" w:hAnsi="宋体" w:cs="宋体"/>
        </w:rPr>
      </w:pPr>
    </w:p>
    <w:p>
      <w:pPr>
        <w:jc w:val="center"/>
        <w:rPr>
          <w:rFonts w:ascii="宋体" w:hAnsi="宋体" w:cs="宋体"/>
        </w:rPr>
      </w:pPr>
    </w:p>
    <w:p>
      <w:r>
        <w:rPr>
          <w:rFonts w:hint="eastAsia"/>
        </w:rPr>
        <w:br w:type="page"/>
      </w:r>
    </w:p>
    <w:p>
      <w:pPr>
        <w:pStyle w:val="5"/>
        <w:numPr>
          <w:ilvl w:val="0"/>
          <w:numId w:val="14"/>
        </w:numPr>
        <w:spacing w:line="360" w:lineRule="auto"/>
        <w:rPr>
          <w:rFonts w:ascii="宋体" w:hAnsi="宋体" w:cs="宋体"/>
          <w:sz w:val="32"/>
          <w:szCs w:val="32"/>
        </w:rPr>
      </w:pPr>
      <w:bookmarkStart w:id="151" w:name="_Toc31901"/>
      <w:bookmarkStart w:id="152" w:name="_Toc24554"/>
      <w:bookmarkStart w:id="153" w:name="_Toc115021837"/>
      <w:r>
        <w:rPr>
          <w:rFonts w:hint="eastAsia" w:ascii="宋体" w:hAnsi="宋体" w:cs="宋体"/>
          <w:sz w:val="32"/>
          <w:szCs w:val="32"/>
        </w:rPr>
        <w:t>商务响应表</w:t>
      </w:r>
      <w:bookmarkEnd w:id="151"/>
      <w:bookmarkEnd w:id="152"/>
      <w:bookmarkEnd w:id="153"/>
    </w:p>
    <w:p>
      <w:pPr>
        <w:spacing w:line="360" w:lineRule="auto"/>
        <w:ind w:firstLine="420" w:firstLineChars="200"/>
        <w:rPr>
          <w:rFonts w:ascii="宋体" w:hAnsi="宋体" w:cs="宋体"/>
          <w:szCs w:val="21"/>
        </w:rPr>
      </w:pPr>
      <w:r>
        <w:rPr>
          <w:rFonts w:hint="eastAsia" w:ascii="宋体" w:hAnsi="宋体" w:cs="宋体"/>
          <w:szCs w:val="21"/>
        </w:rPr>
        <w:t>项目名称：                                        项目编号：</w:t>
      </w:r>
    </w:p>
    <w:tbl>
      <w:tblPr>
        <w:tblStyle w:val="39"/>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240" w:lineRule="exact"/>
              <w:jc w:val="center"/>
              <w:rPr>
                <w:rFonts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240" w:lineRule="exact"/>
              <w:jc w:val="center"/>
              <w:rPr>
                <w:rFonts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ascii="宋体" w:hAnsi="宋体" w:cs="宋体"/>
                <w:szCs w:val="21"/>
              </w:rPr>
            </w:pPr>
          </w:p>
        </w:tc>
      </w:tr>
    </w:tbl>
    <w:p>
      <w:pPr>
        <w:rPr>
          <w:rFonts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ascii="宋体" w:hAnsi="宋体" w:cs="宋体"/>
          <w:color w:val="000000"/>
          <w:szCs w:val="21"/>
        </w:rPr>
      </w:pPr>
    </w:p>
    <w:p>
      <w:pPr>
        <w:spacing w:line="360" w:lineRule="auto"/>
        <w:rPr>
          <w:rFonts w:ascii="宋体" w:hAnsi="宋体" w:cs="宋体"/>
          <w:sz w:val="24"/>
        </w:rPr>
      </w:pPr>
      <w:r>
        <w:rPr>
          <w:rFonts w:hint="eastAsia" w:ascii="宋体" w:hAnsi="宋体" w:cs="宋体"/>
          <w:sz w:val="24"/>
        </w:rPr>
        <w:t xml:space="preserve">                                供应商名称（全称并加盖公章）：</w:t>
      </w:r>
    </w:p>
    <w:p>
      <w:pPr>
        <w:spacing w:line="360" w:lineRule="auto"/>
        <w:rPr>
          <w:rFonts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ascii="宋体" w:hAnsi="宋体" w:cs="宋体"/>
          <w:szCs w:val="21"/>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pPr>
    </w:p>
    <w:bookmarkEnd w:id="129"/>
    <w:bookmarkEnd w:id="130"/>
    <w:bookmarkEnd w:id="131"/>
    <w:bookmarkEnd w:id="132"/>
    <w:bookmarkEnd w:id="133"/>
    <w:bookmarkEnd w:id="134"/>
    <w:bookmarkEnd w:id="135"/>
    <w:p>
      <w:pPr>
        <w:pStyle w:val="5"/>
        <w:numPr>
          <w:ilvl w:val="0"/>
          <w:numId w:val="14"/>
        </w:numPr>
        <w:spacing w:line="360" w:lineRule="auto"/>
        <w:rPr>
          <w:rFonts w:ascii="宋体" w:hAnsi="宋体" w:cs="宋体"/>
          <w:sz w:val="32"/>
          <w:szCs w:val="32"/>
        </w:rPr>
      </w:pPr>
      <w:bookmarkStart w:id="154" w:name="18.4.4_信息采集费用概算明细表"/>
      <w:bookmarkEnd w:id="154"/>
      <w:bookmarkStart w:id="155" w:name="_bookmark278"/>
      <w:bookmarkEnd w:id="155"/>
      <w:bookmarkStart w:id="156" w:name="_Toc6508"/>
      <w:bookmarkStart w:id="157" w:name="_Toc8927"/>
      <w:bookmarkStart w:id="158" w:name="_Toc115021838"/>
      <w:r>
        <w:rPr>
          <w:rFonts w:hint="eastAsia" w:ascii="宋体" w:hAnsi="宋体" w:cs="宋体"/>
          <w:sz w:val="32"/>
          <w:szCs w:val="32"/>
        </w:rPr>
        <w:t>资格证明材料</w:t>
      </w:r>
      <w:bookmarkEnd w:id="156"/>
      <w:bookmarkEnd w:id="157"/>
      <w:bookmarkEnd w:id="158"/>
    </w:p>
    <w:p>
      <w:pPr>
        <w:spacing w:line="360" w:lineRule="auto"/>
        <w:ind w:firstLine="480" w:firstLineChars="200"/>
        <w:jc w:val="left"/>
        <w:rPr>
          <w:rFonts w:ascii="宋体" w:hAnsi="宋体" w:cs="宋体"/>
          <w:sz w:val="24"/>
          <w:szCs w:val="24"/>
        </w:rPr>
      </w:pPr>
      <w:r>
        <w:rPr>
          <w:rFonts w:hint="eastAsia" w:ascii="宋体" w:hAnsi="宋体" w:cs="宋体"/>
          <w:sz w:val="24"/>
          <w:szCs w:val="24"/>
        </w:rPr>
        <w:t>1.武陟县政府采购供应商资格信用承诺函（详见格式）；</w:t>
      </w:r>
    </w:p>
    <w:p>
      <w:pPr>
        <w:spacing w:line="360" w:lineRule="auto"/>
        <w:ind w:firstLine="480" w:firstLineChars="200"/>
        <w:jc w:val="left"/>
        <w:rPr>
          <w:rFonts w:ascii="宋体" w:hAnsi="宋体" w:cs="宋体"/>
          <w:color w:val="FF0000"/>
          <w:sz w:val="24"/>
          <w:szCs w:val="24"/>
          <w:highlight w:val="yellow"/>
        </w:rPr>
      </w:pPr>
      <w:r>
        <w:rPr>
          <w:rFonts w:hint="eastAsia" w:ascii="宋体" w:hAnsi="宋体" w:cs="宋体"/>
          <w:sz w:val="24"/>
          <w:szCs w:val="24"/>
        </w:rPr>
        <w:t>2.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80" w:firstLineChars="200"/>
        <w:rPr>
          <w:rFonts w:ascii="宋体" w:hAnsi="宋体" w:cs="宋体"/>
          <w:sz w:val="24"/>
          <w:szCs w:val="24"/>
        </w:rPr>
      </w:pPr>
      <w:r>
        <w:rPr>
          <w:rFonts w:hint="eastAsia" w:ascii="宋体" w:hAnsi="宋体" w:cs="宋体"/>
          <w:sz w:val="24"/>
          <w:szCs w:val="24"/>
        </w:rPr>
        <w:t>3.供应商及其法定代表人、委托代理人均无行贿犯罪记录（提供无行贿犯罪记录承诺书，详见格式）；</w:t>
      </w:r>
    </w:p>
    <w:p>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4.不得被列入失信被执行人、重大税收违法失信主体、政府采购严重违法失信行为记录名单（以采购人、采购代理机构在响应文件提交截止时间当日的查询结果为准，该条资料响应文件中无需提供）；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jc w:val="left"/>
        <w:rPr>
          <w:rFonts w:hint="eastAsia" w:ascii="宋体" w:hAnsi="宋体" w:cs="宋体"/>
          <w:sz w:val="24"/>
          <w:szCs w:val="24"/>
          <w:lang w:val="en-US" w:eastAsia="zh-CN"/>
        </w:rPr>
      </w:pPr>
      <w:r>
        <w:rPr>
          <w:rFonts w:hint="eastAsia" w:ascii="宋体" w:hAnsi="宋体" w:cs="宋体"/>
          <w:sz w:val="24"/>
          <w:szCs w:val="24"/>
          <w:lang w:val="en-US" w:eastAsia="zh-CN"/>
        </w:rPr>
        <w:t>5.本次采购 打印机、电脑、电视机 产品提供依据国家确定的认证机构出具的、处于有效期之内的节能产品认证证书。</w:t>
      </w:r>
    </w:p>
    <w:p>
      <w:pPr>
        <w:pStyle w:val="14"/>
        <w:rPr>
          <w:rFonts w:hint="eastAsia" w:ascii="宋体" w:hAnsi="宋体" w:eastAsia="宋体" w:cs="宋体"/>
          <w:kern w:val="2"/>
          <w:sz w:val="24"/>
          <w:szCs w:val="24"/>
          <w:lang w:val="en-US" w:eastAsia="zh-CN" w:bidi="ar-SA"/>
        </w:rPr>
      </w:pPr>
    </w:p>
    <w:p>
      <w:pPr>
        <w:pStyle w:val="15"/>
      </w:pPr>
    </w:p>
    <w:p>
      <w:pPr>
        <w:spacing w:line="460" w:lineRule="exact"/>
        <w:ind w:firstLine="482" w:firstLineChars="200"/>
        <w:jc w:val="left"/>
        <w:rPr>
          <w:rFonts w:ascii="宋体" w:hAnsi="宋体" w:cs="宋体"/>
          <w:b/>
          <w:sz w:val="24"/>
          <w:szCs w:val="24"/>
        </w:rPr>
      </w:pPr>
    </w:p>
    <w:p>
      <w:pPr>
        <w:spacing w:line="460" w:lineRule="exact"/>
        <w:ind w:firstLine="482" w:firstLineChars="200"/>
        <w:jc w:val="left"/>
        <w:rPr>
          <w:rFonts w:ascii="宋体" w:hAnsi="宋体" w:cs="宋体"/>
          <w:b/>
          <w:sz w:val="24"/>
          <w:szCs w:val="24"/>
        </w:rPr>
      </w:pPr>
    </w:p>
    <w:p>
      <w:pPr>
        <w:spacing w:line="460" w:lineRule="exact"/>
        <w:ind w:firstLine="482" w:firstLineChars="200"/>
        <w:jc w:val="left"/>
        <w:rPr>
          <w:rFonts w:ascii="宋体" w:hAnsi="宋体" w:cs="宋体"/>
          <w:b/>
          <w:sz w:val="24"/>
          <w:szCs w:val="24"/>
        </w:rPr>
      </w:pPr>
    </w:p>
    <w:p>
      <w:pPr>
        <w:spacing w:line="460" w:lineRule="exact"/>
        <w:ind w:firstLine="482" w:firstLineChars="200"/>
        <w:jc w:val="left"/>
        <w:rPr>
          <w:rFonts w:ascii="宋体" w:hAnsi="宋体" w:cs="宋体"/>
          <w:b/>
          <w:sz w:val="24"/>
          <w:szCs w:val="24"/>
        </w:rPr>
      </w:pPr>
    </w:p>
    <w:p>
      <w:pPr>
        <w:spacing w:line="460" w:lineRule="exact"/>
        <w:ind w:firstLine="482" w:firstLineChars="200"/>
        <w:jc w:val="left"/>
        <w:rPr>
          <w:rFonts w:ascii="宋体" w:hAnsi="宋体" w:cs="宋体"/>
          <w:b/>
          <w:sz w:val="24"/>
          <w:szCs w:val="24"/>
        </w:rPr>
      </w:pPr>
    </w:p>
    <w:p>
      <w:pPr>
        <w:spacing w:line="460" w:lineRule="exact"/>
        <w:ind w:firstLine="482" w:firstLineChars="200"/>
        <w:jc w:val="left"/>
        <w:rPr>
          <w:rFonts w:ascii="宋体" w:hAnsi="宋体" w:cs="宋体"/>
          <w:b/>
          <w:sz w:val="24"/>
          <w:szCs w:val="24"/>
        </w:rPr>
      </w:pPr>
    </w:p>
    <w:p>
      <w:pPr>
        <w:spacing w:line="460" w:lineRule="exact"/>
        <w:ind w:firstLine="482" w:firstLineChars="200"/>
        <w:jc w:val="left"/>
        <w:rPr>
          <w:rFonts w:ascii="宋体" w:hAnsi="宋体" w:cs="宋体"/>
          <w:b/>
          <w:sz w:val="24"/>
          <w:szCs w:val="24"/>
        </w:rPr>
      </w:pPr>
    </w:p>
    <w:p>
      <w:pPr>
        <w:pStyle w:val="2"/>
      </w:pPr>
    </w:p>
    <w:p>
      <w:pPr>
        <w:pStyle w:val="14"/>
        <w:rPr>
          <w:rFonts w:ascii="宋体" w:hAnsi="宋体" w:cs="宋体"/>
          <w:b/>
          <w:sz w:val="24"/>
          <w:szCs w:val="24"/>
        </w:rPr>
      </w:pPr>
    </w:p>
    <w:p>
      <w:pPr>
        <w:pStyle w:val="15"/>
        <w:rPr>
          <w:rFonts w:hAnsi="宋体"/>
          <w:b/>
          <w:color w:val="auto"/>
        </w:rPr>
      </w:pPr>
    </w:p>
    <w:p>
      <w:pPr>
        <w:pStyle w:val="26"/>
        <w:rPr>
          <w:rFonts w:cs="宋体"/>
          <w:b/>
          <w:sz w:val="24"/>
          <w:szCs w:val="24"/>
        </w:rPr>
      </w:pPr>
    </w:p>
    <w:p>
      <w:pPr>
        <w:pStyle w:val="26"/>
        <w:rPr>
          <w:rFonts w:cs="宋体"/>
          <w:b/>
          <w:sz w:val="24"/>
          <w:szCs w:val="24"/>
        </w:rPr>
      </w:pPr>
    </w:p>
    <w:p>
      <w:pPr>
        <w:pStyle w:val="26"/>
        <w:rPr>
          <w:rFonts w:cs="宋体"/>
          <w:b/>
          <w:sz w:val="24"/>
          <w:szCs w:val="24"/>
        </w:rPr>
      </w:pPr>
    </w:p>
    <w:p>
      <w:pPr>
        <w:pStyle w:val="26"/>
        <w:rPr>
          <w:rFonts w:cs="宋体"/>
          <w:b/>
          <w:sz w:val="24"/>
          <w:szCs w:val="24"/>
        </w:rPr>
      </w:pPr>
    </w:p>
    <w:p>
      <w:pPr>
        <w:pStyle w:val="26"/>
        <w:rPr>
          <w:rFonts w:cs="宋体"/>
          <w:b/>
          <w:sz w:val="24"/>
          <w:szCs w:val="24"/>
        </w:rPr>
      </w:pPr>
    </w:p>
    <w:p>
      <w:pPr>
        <w:rPr>
          <w:rFonts w:cs="宋体"/>
          <w:b/>
          <w:sz w:val="24"/>
          <w:szCs w:val="24"/>
        </w:rPr>
      </w:pPr>
      <w:r>
        <w:rPr>
          <w:rFonts w:hint="eastAsia" w:cs="宋体"/>
          <w:b/>
          <w:sz w:val="24"/>
          <w:szCs w:val="24"/>
        </w:rPr>
        <w:br w:type="page"/>
      </w:r>
    </w:p>
    <w:p>
      <w:pPr>
        <w:widowControl/>
        <w:kinsoku w:val="0"/>
        <w:autoSpaceDE w:val="0"/>
        <w:autoSpaceDN w:val="0"/>
        <w:adjustRightInd w:val="0"/>
        <w:snapToGrid w:val="0"/>
        <w:spacing w:line="560" w:lineRule="exact"/>
        <w:jc w:val="center"/>
        <w:textAlignment w:val="baseline"/>
        <w:outlineLvl w:val="0"/>
        <w:rPr>
          <w:rFonts w:ascii="宋体" w:hAnsi="宋体" w:cs="宋体"/>
          <w:sz w:val="32"/>
          <w:szCs w:val="32"/>
        </w:rPr>
      </w:pPr>
      <w:bookmarkStart w:id="159" w:name="_Toc8011"/>
      <w:bookmarkStart w:id="160" w:name="_Toc114940421"/>
      <w:bookmarkStart w:id="161" w:name="_Toc31392"/>
      <w:r>
        <w:rPr>
          <w:rFonts w:hint="eastAsia" w:ascii="宋体" w:hAnsi="宋体" w:cs="宋体"/>
          <w:b/>
          <w:bCs/>
          <w:sz w:val="30"/>
          <w:szCs w:val="30"/>
        </w:rPr>
        <w:t>武陟县政府采购供应商资格信用承诺函</w:t>
      </w:r>
      <w:bookmarkEnd w:id="159"/>
    </w:p>
    <w:p>
      <w:pPr>
        <w:widowControl/>
        <w:kinsoku w:val="0"/>
        <w:autoSpaceDE w:val="0"/>
        <w:autoSpaceDN w:val="0"/>
        <w:adjustRightInd w:val="0"/>
        <w:snapToGrid w:val="0"/>
        <w:spacing w:line="560" w:lineRule="exact"/>
        <w:jc w:val="center"/>
        <w:textAlignment w:val="baseline"/>
        <w:rPr>
          <w:rFonts w:ascii="宋体" w:hAnsi="宋体" w:cs="宋体"/>
          <w:sz w:val="32"/>
          <w:szCs w:val="32"/>
        </w:rPr>
      </w:pPr>
    </w:p>
    <w:p>
      <w:pPr>
        <w:widowControl/>
        <w:kinsoku w:val="0"/>
        <w:autoSpaceDE w:val="0"/>
        <w:autoSpaceDN w:val="0"/>
        <w:adjustRightInd w:val="0"/>
        <w:snapToGrid w:val="0"/>
        <w:spacing w:before="143" w:line="500" w:lineRule="exact"/>
        <w:textAlignment w:val="baseline"/>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ascii="宋体" w:hAnsi="宋体" w:cs="宋体"/>
          <w:sz w:val="24"/>
          <w:szCs w:val="24"/>
        </w:rPr>
      </w:pPr>
      <w:r>
        <w:rPr>
          <w:rFonts w:hint="eastAsia" w:ascii="宋体" w:hAnsi="宋体" w:cs="宋体"/>
          <w:sz w:val="24"/>
          <w:szCs w:val="24"/>
        </w:rPr>
        <w:t>供应商名称：</w:t>
      </w:r>
    </w:p>
    <w:p>
      <w:pPr>
        <w:widowControl/>
        <w:kinsoku w:val="0"/>
        <w:autoSpaceDE w:val="0"/>
        <w:autoSpaceDN w:val="0"/>
        <w:adjustRightInd w:val="0"/>
        <w:snapToGrid w:val="0"/>
        <w:spacing w:line="500" w:lineRule="exact"/>
        <w:jc w:val="left"/>
        <w:textAlignment w:val="baseline"/>
        <w:rPr>
          <w:rFonts w:ascii="宋体" w:hAnsi="宋体" w:cs="宋体"/>
          <w:sz w:val="24"/>
          <w:szCs w:val="24"/>
        </w:rPr>
      </w:pPr>
      <w:r>
        <w:rPr>
          <w:rFonts w:hint="eastAsia" w:ascii="宋体" w:hAnsi="宋体" w:cs="宋体"/>
          <w:sz w:val="24"/>
          <w:szCs w:val="24"/>
        </w:rPr>
        <w:t>统一社会信用代码：</w:t>
      </w:r>
    </w:p>
    <w:p>
      <w:pPr>
        <w:widowControl/>
        <w:kinsoku w:val="0"/>
        <w:autoSpaceDE w:val="0"/>
        <w:autoSpaceDN w:val="0"/>
        <w:adjustRightInd w:val="0"/>
        <w:snapToGrid w:val="0"/>
        <w:spacing w:line="500" w:lineRule="exact"/>
        <w:jc w:val="left"/>
        <w:textAlignment w:val="baseline"/>
        <w:rPr>
          <w:rFonts w:ascii="宋体" w:hAnsi="宋体" w:cs="宋体"/>
          <w:sz w:val="24"/>
          <w:szCs w:val="24"/>
        </w:rPr>
      </w:pPr>
      <w:r>
        <w:rPr>
          <w:rFonts w:hint="eastAsia" w:ascii="宋体" w:hAnsi="宋体" w:cs="宋体"/>
          <w:sz w:val="24"/>
          <w:szCs w:val="24"/>
        </w:rPr>
        <w:t>供应商地址：</w:t>
      </w:r>
    </w:p>
    <w:p>
      <w:pPr>
        <w:widowControl/>
        <w:kinsoku w:val="0"/>
        <w:autoSpaceDE w:val="0"/>
        <w:autoSpaceDN w:val="0"/>
        <w:adjustRightInd w:val="0"/>
        <w:snapToGrid w:val="0"/>
        <w:spacing w:line="500" w:lineRule="exact"/>
        <w:ind w:firstLine="480" w:firstLineChars="200"/>
        <w:jc w:val="left"/>
        <w:textAlignment w:val="baseline"/>
        <w:rPr>
          <w:rFonts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ascii="宋体" w:hAnsi="宋体" w:cs="宋体"/>
          <w:sz w:val="24"/>
          <w:szCs w:val="24"/>
        </w:rPr>
      </w:pPr>
    </w:p>
    <w:p>
      <w:pPr>
        <w:widowControl/>
        <w:kinsoku w:val="0"/>
        <w:autoSpaceDE w:val="0"/>
        <w:autoSpaceDN w:val="0"/>
        <w:adjustRightInd w:val="0"/>
        <w:snapToGrid w:val="0"/>
        <w:spacing w:line="500" w:lineRule="exact"/>
        <w:jc w:val="left"/>
        <w:textAlignment w:val="baseline"/>
        <w:rPr>
          <w:rFonts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ascii="宋体" w:hAnsi="宋体" w:cs="宋体"/>
          <w:sz w:val="24"/>
          <w:szCs w:val="24"/>
        </w:rPr>
      </w:pPr>
      <w:r>
        <w:rPr>
          <w:rFonts w:hint="eastAsia" w:ascii="宋体" w:hAnsi="宋体" w:cs="宋体"/>
          <w:sz w:val="24"/>
          <w:szCs w:val="24"/>
        </w:rPr>
        <w:t>承诺供应商（全称并加盖公章）：</w:t>
      </w:r>
    </w:p>
    <w:p>
      <w:pPr>
        <w:widowControl/>
        <w:kinsoku w:val="0"/>
        <w:autoSpaceDE w:val="0"/>
        <w:autoSpaceDN w:val="0"/>
        <w:adjustRightInd w:val="0"/>
        <w:snapToGrid w:val="0"/>
        <w:spacing w:line="500" w:lineRule="exact"/>
        <w:ind w:firstLine="3600" w:firstLineChars="1500"/>
        <w:jc w:val="left"/>
        <w:textAlignment w:val="baseline"/>
        <w:rPr>
          <w:rFonts w:ascii="宋体" w:hAnsi="宋体" w:cs="宋体"/>
          <w:sz w:val="24"/>
          <w:szCs w:val="24"/>
        </w:rPr>
      </w:pPr>
      <w:r>
        <w:rPr>
          <w:rFonts w:hint="eastAsia" w:ascii="宋体" w:hAnsi="宋体" w:cs="宋体"/>
          <w:sz w:val="24"/>
          <w:szCs w:val="24"/>
        </w:rPr>
        <w:t>法定代表人或授权代表(签字或签章)：</w:t>
      </w:r>
    </w:p>
    <w:p>
      <w:pPr>
        <w:widowControl/>
        <w:kinsoku w:val="0"/>
        <w:autoSpaceDE w:val="0"/>
        <w:autoSpaceDN w:val="0"/>
        <w:adjustRightInd w:val="0"/>
        <w:snapToGrid w:val="0"/>
        <w:spacing w:line="500" w:lineRule="exact"/>
        <w:ind w:firstLine="3600" w:firstLineChars="1500"/>
        <w:jc w:val="left"/>
        <w:textAlignment w:val="baseline"/>
        <w:rPr>
          <w:rFonts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ascii="宋体" w:hAnsi="宋体" w:cs="宋体"/>
          <w:szCs w:val="21"/>
        </w:rPr>
      </w:pPr>
    </w:p>
    <w:p>
      <w:pPr>
        <w:widowControl/>
        <w:kinsoku w:val="0"/>
        <w:autoSpaceDE w:val="0"/>
        <w:autoSpaceDN w:val="0"/>
        <w:adjustRightInd w:val="0"/>
        <w:snapToGrid w:val="0"/>
        <w:spacing w:line="440" w:lineRule="exact"/>
        <w:jc w:val="left"/>
        <w:textAlignment w:val="baseline"/>
        <w:rPr>
          <w:rFonts w:ascii="宋体" w:hAnsi="宋体" w:cs="宋体"/>
          <w:szCs w:val="21"/>
        </w:rPr>
      </w:pPr>
    </w:p>
    <w:p>
      <w:pPr>
        <w:widowControl/>
        <w:kinsoku w:val="0"/>
        <w:autoSpaceDE w:val="0"/>
        <w:autoSpaceDN w:val="0"/>
        <w:adjustRightInd w:val="0"/>
        <w:snapToGrid w:val="0"/>
        <w:spacing w:line="440" w:lineRule="exact"/>
        <w:jc w:val="left"/>
        <w:textAlignment w:val="baseline"/>
        <w:rPr>
          <w:rFonts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pPr>
      <w:r>
        <w:rPr>
          <w:rFonts w:hint="eastAsia"/>
          <w:b/>
          <w:sz w:val="28"/>
        </w:rPr>
        <w:t>无行贿犯罪记录承诺书</w:t>
      </w:r>
      <w:bookmarkEnd w:id="160"/>
      <w:bookmarkEnd w:id="161"/>
    </w:p>
    <w:p>
      <w:pPr>
        <w:spacing w:afterLines="100" w:line="440" w:lineRule="exact"/>
        <w:rPr>
          <w:rFonts w:ascii="宋体" w:hAnsi="宋体" w:cs="宋体"/>
          <w:position w:val="-7"/>
          <w:szCs w:val="21"/>
        </w:rPr>
      </w:pPr>
    </w:p>
    <w:p>
      <w:pPr>
        <w:spacing w:beforeLines="50" w:afterLines="50" w:line="480" w:lineRule="auto"/>
        <w:rPr>
          <w:rFonts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ascii="宋体" w:hAnsi="宋体" w:cs="宋体"/>
          <w:color w:val="000000"/>
          <w:sz w:val="24"/>
          <w:szCs w:val="24"/>
          <w:shd w:val="clear" w:color="auto" w:fill="FFFFFF"/>
        </w:rPr>
      </w:pPr>
      <w:r>
        <w:rPr>
          <w:rFonts w:hint="eastAsia" w:ascii="宋体" w:hAnsi="宋体" w:cs="宋体"/>
          <w:sz w:val="24"/>
          <w:szCs w:val="24"/>
        </w:rPr>
        <w:t>我方在此声明，我方在（项目名称）采购过程中所涉及的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ascii="宋体" w:hAnsi="宋体" w:cs="宋体"/>
          <w:sz w:val="24"/>
          <w:szCs w:val="24"/>
        </w:rPr>
      </w:pPr>
    </w:p>
    <w:p>
      <w:pPr>
        <w:spacing w:line="440" w:lineRule="exact"/>
        <w:ind w:firstLine="480" w:firstLineChars="200"/>
        <w:rPr>
          <w:rFonts w:ascii="宋体" w:hAnsi="宋体" w:cs="宋体"/>
          <w:sz w:val="24"/>
          <w:szCs w:val="24"/>
        </w:rPr>
      </w:pPr>
    </w:p>
    <w:p>
      <w:pPr>
        <w:spacing w:line="440" w:lineRule="exact"/>
        <w:ind w:firstLine="480" w:firstLineChars="200"/>
        <w:rPr>
          <w:rFonts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ascii="宋体" w:hAnsi="宋体" w:cs="宋体"/>
          <w:sz w:val="24"/>
          <w:szCs w:val="24"/>
        </w:rPr>
      </w:pPr>
    </w:p>
    <w:p>
      <w:pPr>
        <w:jc w:val="left"/>
        <w:rPr>
          <w:rFonts w:ascii="宋体" w:hAnsi="宋体" w:cs="宋体"/>
          <w:sz w:val="24"/>
          <w:szCs w:val="24"/>
        </w:rPr>
      </w:pPr>
    </w:p>
    <w:p>
      <w:pPr>
        <w:jc w:val="left"/>
        <w:rPr>
          <w:rFonts w:ascii="宋体" w:hAnsi="宋体" w:cs="宋体"/>
          <w:sz w:val="24"/>
          <w:szCs w:val="24"/>
        </w:rPr>
      </w:pPr>
    </w:p>
    <w:p>
      <w:pPr>
        <w:jc w:val="left"/>
        <w:rPr>
          <w:rFonts w:ascii="宋体" w:hAnsi="宋体" w:cs="宋体"/>
          <w:sz w:val="24"/>
          <w:szCs w:val="24"/>
        </w:rPr>
      </w:pPr>
    </w:p>
    <w:p>
      <w:pPr>
        <w:jc w:val="left"/>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ascii="宋体" w:hAnsi="宋体" w:cs="宋体"/>
          <w:sz w:val="24"/>
          <w:szCs w:val="24"/>
        </w:rPr>
      </w:pPr>
    </w:p>
    <w:p>
      <w:pPr>
        <w:spacing w:line="440" w:lineRule="exact"/>
        <w:jc w:val="right"/>
        <w:rPr>
          <w:rFonts w:ascii="宋体" w:hAnsi="宋体" w:cs="宋体"/>
          <w:sz w:val="24"/>
          <w:szCs w:val="24"/>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pStyle w:val="6"/>
        <w:jc w:val="center"/>
        <w:rPr>
          <w:rFonts w:ascii="宋体" w:hAnsi="宋体" w:eastAsia="宋体" w:cs="宋体"/>
          <w:sz w:val="28"/>
          <w:szCs w:val="28"/>
        </w:rPr>
      </w:pPr>
    </w:p>
    <w:p>
      <w:pPr>
        <w:pStyle w:val="6"/>
        <w:jc w:val="center"/>
        <w:rPr>
          <w:rFonts w:ascii="宋体" w:hAnsi="宋体" w:eastAsia="宋体" w:cs="宋体"/>
          <w:sz w:val="28"/>
          <w:szCs w:val="28"/>
        </w:rPr>
      </w:pPr>
    </w:p>
    <w:p>
      <w:pPr>
        <w:pStyle w:val="35"/>
        <w:spacing w:beforeAutospacing="0" w:afterAutospacing="0"/>
        <w:ind w:right="560"/>
        <w:jc w:val="center"/>
        <w:rPr>
          <w:b/>
          <w:bCs/>
          <w:sz w:val="32"/>
          <w:szCs w:val="32"/>
        </w:rPr>
      </w:pPr>
    </w:p>
    <w:p>
      <w:pPr>
        <w:pStyle w:val="35"/>
        <w:spacing w:beforeAutospacing="0" w:afterAutospacing="0"/>
        <w:ind w:right="560"/>
        <w:jc w:val="center"/>
        <w:rPr>
          <w:b/>
          <w:bCs/>
          <w:sz w:val="32"/>
          <w:szCs w:val="32"/>
        </w:rPr>
      </w:pPr>
    </w:p>
    <w:p>
      <w:pPr>
        <w:pStyle w:val="35"/>
        <w:spacing w:beforeAutospacing="0" w:afterAutospacing="0"/>
        <w:ind w:right="560"/>
        <w:jc w:val="center"/>
        <w:rPr>
          <w:b/>
          <w:bCs/>
          <w:sz w:val="32"/>
          <w:szCs w:val="32"/>
        </w:rPr>
      </w:pPr>
    </w:p>
    <w:p>
      <w:pPr>
        <w:pStyle w:val="35"/>
        <w:spacing w:beforeAutospacing="0" w:afterAutospacing="0"/>
        <w:ind w:right="560"/>
        <w:jc w:val="center"/>
        <w:rPr>
          <w:b/>
          <w:bCs/>
          <w:sz w:val="32"/>
          <w:szCs w:val="32"/>
        </w:rPr>
      </w:pPr>
    </w:p>
    <w:bookmarkEnd w:id="136"/>
    <w:bookmarkEnd w:id="137"/>
    <w:p>
      <w:pPr>
        <w:rPr>
          <w:b/>
          <w:sz w:val="28"/>
        </w:rPr>
        <w:sectPr>
          <w:type w:val="nextColumn"/>
          <w:pgSz w:w="11906" w:h="16838"/>
          <w:pgMar w:top="1440" w:right="1134" w:bottom="1440" w:left="1474" w:header="851" w:footer="992" w:gutter="0"/>
          <w:cols w:space="720" w:num="1"/>
          <w:titlePg/>
          <w:docGrid w:type="lines" w:linePitch="312" w:charSpace="0"/>
        </w:sectPr>
      </w:pPr>
      <w:bookmarkStart w:id="162" w:name="_Toc115021841"/>
      <w:bookmarkStart w:id="163" w:name="_Toc23619"/>
      <w:bookmarkStart w:id="164" w:name="_Toc477423256"/>
      <w:bookmarkStart w:id="165" w:name="_Toc428454062"/>
      <w:bookmarkStart w:id="166" w:name="_Toc487805932"/>
      <w:bookmarkStart w:id="167" w:name="_Toc5506"/>
      <w:bookmarkStart w:id="168" w:name="_Toc490161471"/>
      <w:bookmarkStart w:id="169" w:name="_Toc406663316"/>
      <w:bookmarkStart w:id="170" w:name="_Toc428525390"/>
      <w:bookmarkStart w:id="171" w:name="_Toc15846"/>
      <w:bookmarkStart w:id="172" w:name="_Toc25878"/>
      <w:bookmarkStart w:id="173" w:name="_Toc214329904"/>
      <w:bookmarkStart w:id="174" w:name="_Toc373230045"/>
      <w:bookmarkStart w:id="175" w:name="_Toc408816356"/>
      <w:bookmarkStart w:id="176" w:name="_Toc374512433"/>
      <w:bookmarkStart w:id="177" w:name="_Toc364490446"/>
    </w:p>
    <w:p>
      <w:pPr>
        <w:pStyle w:val="5"/>
        <w:numPr>
          <w:ilvl w:val="0"/>
          <w:numId w:val="14"/>
        </w:numPr>
        <w:spacing w:line="360" w:lineRule="auto"/>
        <w:rPr>
          <w:rFonts w:ascii="宋体" w:hAnsi="宋体" w:cs="宋体"/>
          <w:sz w:val="32"/>
          <w:szCs w:val="32"/>
        </w:rPr>
      </w:pPr>
      <w:r>
        <w:rPr>
          <w:rFonts w:hint="eastAsia" w:ascii="宋体" w:hAnsi="宋体" w:cs="宋体"/>
          <w:sz w:val="32"/>
          <w:szCs w:val="32"/>
        </w:rPr>
        <w:t>法定代表人身份证明或授权委托书</w:t>
      </w:r>
      <w:bookmarkEnd w:id="162"/>
      <w:bookmarkEnd w:id="163"/>
      <w:bookmarkEnd w:id="164"/>
      <w:bookmarkEnd w:id="165"/>
      <w:bookmarkEnd w:id="166"/>
      <w:bookmarkEnd w:id="167"/>
      <w:bookmarkEnd w:id="168"/>
      <w:bookmarkEnd w:id="169"/>
      <w:bookmarkEnd w:id="170"/>
      <w:bookmarkEnd w:id="171"/>
    </w:p>
    <w:p>
      <w:pPr>
        <w:spacing w:line="460" w:lineRule="exact"/>
        <w:jc w:val="center"/>
        <w:rPr>
          <w:rFonts w:ascii="宋体" w:hAnsi="宋体" w:cs="宋体"/>
          <w:b/>
          <w:sz w:val="24"/>
          <w:szCs w:val="24"/>
        </w:rPr>
      </w:pPr>
      <w:r>
        <w:rPr>
          <w:rFonts w:hint="eastAsia" w:ascii="宋体" w:hAnsi="宋体" w:cs="宋体"/>
          <w:b/>
          <w:sz w:val="24"/>
          <w:szCs w:val="24"/>
        </w:rPr>
        <w:t>法定代表人身份证明</w:t>
      </w:r>
    </w:p>
    <w:p>
      <w:pPr>
        <w:pStyle w:val="54"/>
        <w:rPr>
          <w:rFonts w:ascii="宋体" w:hAnsi="宋体" w:cs="宋体"/>
        </w:rPr>
      </w:pPr>
    </w:p>
    <w:p>
      <w:pPr>
        <w:spacing w:line="460" w:lineRule="exact"/>
        <w:rPr>
          <w:rFonts w:ascii="宋体" w:hAnsi="宋体" w:cs="宋体"/>
          <w:sz w:val="24"/>
          <w:szCs w:val="24"/>
        </w:rPr>
      </w:pPr>
    </w:p>
    <w:p>
      <w:pPr>
        <w:spacing w:line="460" w:lineRule="exact"/>
        <w:ind w:firstLine="480" w:firstLineChars="200"/>
        <w:rPr>
          <w:rFonts w:ascii="宋体" w:hAnsi="宋体" w:cs="宋体"/>
          <w:sz w:val="24"/>
          <w:szCs w:val="24"/>
        </w:rPr>
      </w:pPr>
      <w:r>
        <w:rPr>
          <w:rFonts w:hint="eastAsia" w:ascii="宋体" w:hAnsi="宋体" w:cs="宋体"/>
          <w:sz w:val="24"/>
          <w:szCs w:val="24"/>
        </w:rPr>
        <w:t>供应商名称：</w:t>
      </w:r>
    </w:p>
    <w:p>
      <w:pPr>
        <w:spacing w:line="460" w:lineRule="exact"/>
        <w:ind w:firstLine="480" w:firstLineChars="200"/>
        <w:rPr>
          <w:rFonts w:ascii="宋体" w:hAnsi="宋体" w:cs="宋体"/>
          <w:sz w:val="24"/>
          <w:szCs w:val="24"/>
        </w:rPr>
      </w:pPr>
      <w:r>
        <w:rPr>
          <w:rFonts w:hint="eastAsia" w:ascii="宋体" w:hAnsi="宋体" w:cs="宋体"/>
          <w:sz w:val="24"/>
          <w:szCs w:val="24"/>
        </w:rPr>
        <w:t>单位性质：</w:t>
      </w:r>
    </w:p>
    <w:p>
      <w:pPr>
        <w:spacing w:line="460" w:lineRule="exact"/>
        <w:ind w:firstLine="480" w:firstLineChars="200"/>
        <w:rPr>
          <w:rFonts w:ascii="宋体" w:hAnsi="宋体" w:cs="宋体"/>
          <w:sz w:val="24"/>
          <w:szCs w:val="24"/>
        </w:rPr>
      </w:pPr>
      <w:r>
        <w:rPr>
          <w:rFonts w:hint="eastAsia" w:ascii="宋体" w:hAnsi="宋体" w:cs="宋体"/>
          <w:sz w:val="24"/>
          <w:szCs w:val="24"/>
        </w:rPr>
        <w:t>地    址：</w:t>
      </w:r>
    </w:p>
    <w:p>
      <w:pPr>
        <w:spacing w:line="460" w:lineRule="exac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spacing w:line="460" w:lineRule="exact"/>
        <w:ind w:firstLine="480" w:firstLineChars="200"/>
        <w:rPr>
          <w:rFonts w:ascii="宋体" w:hAnsi="宋体" w:cs="宋体"/>
          <w:sz w:val="24"/>
          <w:szCs w:val="24"/>
        </w:rPr>
      </w:pPr>
      <w:r>
        <w:rPr>
          <w:rFonts w:hint="eastAsia" w:ascii="宋体" w:hAnsi="宋体" w:cs="宋体"/>
          <w:sz w:val="24"/>
          <w:szCs w:val="24"/>
        </w:rPr>
        <w:t>经营期限：</w:t>
      </w:r>
    </w:p>
    <w:p>
      <w:pPr>
        <w:spacing w:line="460" w:lineRule="exact"/>
        <w:ind w:firstLine="480" w:firstLineChars="200"/>
        <w:rPr>
          <w:rFonts w:ascii="宋体" w:hAnsi="宋体" w:cs="宋体"/>
          <w:sz w:val="24"/>
          <w:szCs w:val="24"/>
        </w:rPr>
      </w:pPr>
      <w:r>
        <w:rPr>
          <w:rFonts w:hint="eastAsia" w:ascii="宋体" w:hAnsi="宋体" w:cs="宋体"/>
          <w:sz w:val="24"/>
          <w:szCs w:val="24"/>
        </w:rPr>
        <w:t>姓    名：</w:t>
      </w:r>
      <w:r>
        <w:rPr>
          <w:rFonts w:hint="eastAsia" w:ascii="宋体" w:hAnsi="宋体" w:cs="宋体"/>
          <w:sz w:val="24"/>
          <w:szCs w:val="24"/>
          <w:lang w:val="en-US" w:eastAsia="zh-CN"/>
        </w:rPr>
        <w:t xml:space="preserve">     </w:t>
      </w:r>
      <w:r>
        <w:rPr>
          <w:rFonts w:hint="eastAsia" w:ascii="宋体" w:hAnsi="宋体" w:cs="宋体"/>
          <w:sz w:val="24"/>
          <w:szCs w:val="24"/>
        </w:rPr>
        <w:t>性别：</w:t>
      </w:r>
      <w:r>
        <w:rPr>
          <w:rFonts w:hint="eastAsia" w:ascii="宋体" w:hAnsi="宋体" w:cs="宋体"/>
          <w:sz w:val="24"/>
          <w:szCs w:val="24"/>
          <w:lang w:val="en-US" w:eastAsia="zh-CN"/>
        </w:rPr>
        <w:t xml:space="preserve">    </w:t>
      </w:r>
      <w:r>
        <w:rPr>
          <w:rFonts w:hint="eastAsia" w:ascii="宋体" w:hAnsi="宋体" w:cs="宋体"/>
          <w:sz w:val="24"/>
          <w:szCs w:val="24"/>
        </w:rPr>
        <w:t>年龄：</w:t>
      </w:r>
      <w:r>
        <w:rPr>
          <w:rFonts w:hint="eastAsia" w:ascii="宋体" w:hAnsi="宋体" w:cs="宋体"/>
          <w:sz w:val="24"/>
          <w:szCs w:val="24"/>
          <w:lang w:val="en-US" w:eastAsia="zh-CN"/>
        </w:rPr>
        <w:t xml:space="preserve">    </w:t>
      </w:r>
      <w:r>
        <w:rPr>
          <w:rFonts w:hint="eastAsia" w:ascii="宋体" w:hAnsi="宋体" w:cs="宋体"/>
          <w:sz w:val="24"/>
          <w:szCs w:val="24"/>
        </w:rPr>
        <w:t>职务：</w:t>
      </w:r>
    </w:p>
    <w:p>
      <w:pPr>
        <w:spacing w:line="460" w:lineRule="exact"/>
        <w:ind w:firstLine="480" w:firstLineChars="200"/>
        <w:rPr>
          <w:rFonts w:ascii="宋体" w:hAnsi="宋体" w:cs="宋体"/>
          <w:sz w:val="24"/>
          <w:szCs w:val="24"/>
        </w:rPr>
      </w:pPr>
      <w:r>
        <w:rPr>
          <w:rFonts w:hint="eastAsia" w:ascii="宋体" w:hAnsi="宋体" w:cs="宋体"/>
          <w:sz w:val="24"/>
          <w:szCs w:val="24"/>
        </w:rPr>
        <w:t>系（供应商名称）营业执照注册号：_______________的法定代表人。</w:t>
      </w:r>
    </w:p>
    <w:p>
      <w:pPr>
        <w:spacing w:line="460" w:lineRule="exact"/>
        <w:ind w:firstLine="960" w:firstLineChars="400"/>
        <w:rPr>
          <w:rFonts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ascii="宋体" w:hAnsi="宋体" w:cs="宋体"/>
          <w:sz w:val="24"/>
          <w:szCs w:val="24"/>
        </w:rPr>
      </w:pPr>
    </w:p>
    <w:p>
      <w:pPr>
        <w:spacing w:line="460" w:lineRule="exact"/>
        <w:ind w:firstLine="480" w:firstLineChars="200"/>
        <w:rPr>
          <w:rFonts w:ascii="宋体" w:hAnsi="宋体" w:cs="宋体"/>
          <w:sz w:val="24"/>
          <w:szCs w:val="24"/>
        </w:rPr>
      </w:pPr>
    </w:p>
    <w:p>
      <w:pPr>
        <w:spacing w:line="360" w:lineRule="auto"/>
        <w:jc w:val="center"/>
        <w:rPr>
          <w:rFonts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ascii="宋体" w:hAnsi="宋体" w:cs="宋体"/>
          <w:szCs w:val="21"/>
          <w:u w:val="single"/>
        </w:rPr>
      </w:pPr>
    </w:p>
    <w:p>
      <w:pPr>
        <w:spacing w:line="360" w:lineRule="auto"/>
        <w:ind w:firstLine="4725" w:firstLineChars="2250"/>
        <w:jc w:val="right"/>
        <w:rPr>
          <w:rFonts w:ascii="宋体" w:hAnsi="宋体" w:cs="宋体"/>
          <w:szCs w:val="21"/>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p>
      <w:pPr>
        <w:spacing w:line="360" w:lineRule="auto"/>
        <w:jc w:val="center"/>
        <w:rPr>
          <w:rFonts w:ascii="宋体" w:hAnsi="宋体" w:cs="宋体"/>
          <w:b/>
          <w:szCs w:val="21"/>
        </w:rPr>
      </w:pPr>
    </w:p>
    <w:p>
      <w:pPr>
        <w:spacing w:line="360" w:lineRule="auto"/>
        <w:jc w:val="center"/>
        <w:rPr>
          <w:rFonts w:ascii="宋体" w:hAnsi="宋体" w:cs="宋体"/>
          <w:b/>
          <w:szCs w:val="21"/>
        </w:rPr>
      </w:pPr>
    </w:p>
    <w:p>
      <w:pPr>
        <w:spacing w:line="360" w:lineRule="auto"/>
        <w:rPr>
          <w:rFonts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ascii="宋体" w:hAnsi="宋体" w:cs="宋体"/>
          <w:b/>
          <w:szCs w:val="21"/>
        </w:rPr>
      </w:pPr>
    </w:p>
    <w:p>
      <w:pPr>
        <w:spacing w:line="460" w:lineRule="exact"/>
        <w:jc w:val="center"/>
        <w:rPr>
          <w:rFonts w:ascii="宋体" w:hAnsi="宋体" w:cs="宋体"/>
          <w:b/>
          <w:sz w:val="24"/>
          <w:szCs w:val="24"/>
        </w:rPr>
      </w:pPr>
    </w:p>
    <w:p>
      <w:pPr>
        <w:spacing w:line="460" w:lineRule="exact"/>
        <w:jc w:val="center"/>
        <w:rPr>
          <w:rFonts w:ascii="宋体" w:hAnsi="宋体" w:cs="宋体"/>
          <w:b/>
          <w:sz w:val="24"/>
          <w:szCs w:val="24"/>
        </w:rPr>
      </w:pPr>
    </w:p>
    <w:p>
      <w:pPr>
        <w:spacing w:line="460" w:lineRule="exact"/>
        <w:jc w:val="center"/>
        <w:rPr>
          <w:rFonts w:ascii="宋体" w:hAnsi="宋体" w:cs="宋体"/>
          <w:b/>
          <w:sz w:val="24"/>
          <w:szCs w:val="24"/>
        </w:rPr>
      </w:pPr>
    </w:p>
    <w:p>
      <w:pPr>
        <w:spacing w:line="460" w:lineRule="exact"/>
        <w:jc w:val="center"/>
        <w:rPr>
          <w:rFonts w:ascii="宋体" w:hAnsi="宋体" w:cs="宋体"/>
          <w:b/>
          <w:sz w:val="24"/>
          <w:szCs w:val="24"/>
        </w:rPr>
      </w:pPr>
    </w:p>
    <w:p>
      <w:pPr>
        <w:spacing w:line="460" w:lineRule="exact"/>
        <w:jc w:val="center"/>
        <w:rPr>
          <w:rFonts w:ascii="宋体" w:hAnsi="宋体" w:cs="宋体"/>
          <w:b/>
          <w:sz w:val="24"/>
          <w:szCs w:val="24"/>
        </w:rPr>
      </w:pPr>
    </w:p>
    <w:p>
      <w:pPr>
        <w:pStyle w:val="2"/>
        <w:rPr>
          <w:rFonts w:ascii="宋体" w:hAnsi="宋体" w:cs="宋体"/>
          <w:b/>
          <w:sz w:val="24"/>
          <w:szCs w:val="24"/>
        </w:rPr>
      </w:pPr>
    </w:p>
    <w:p/>
    <w:p>
      <w:pPr>
        <w:spacing w:line="460" w:lineRule="exact"/>
        <w:jc w:val="center"/>
        <w:rPr>
          <w:rFonts w:ascii="宋体" w:hAnsi="宋体" w:cs="宋体"/>
          <w:b/>
          <w:sz w:val="24"/>
          <w:szCs w:val="24"/>
        </w:rPr>
      </w:pPr>
    </w:p>
    <w:p>
      <w:pPr>
        <w:spacing w:line="460" w:lineRule="exact"/>
        <w:jc w:val="center"/>
        <w:rPr>
          <w:rFonts w:ascii="宋体" w:hAnsi="宋体" w:cs="宋体"/>
          <w:b/>
          <w:sz w:val="24"/>
          <w:szCs w:val="24"/>
        </w:rPr>
      </w:pPr>
    </w:p>
    <w:p>
      <w:pPr>
        <w:spacing w:line="460" w:lineRule="exact"/>
        <w:jc w:val="center"/>
        <w:rPr>
          <w:rFonts w:ascii="宋体" w:hAnsi="宋体" w:cs="宋体"/>
          <w:b/>
          <w:sz w:val="24"/>
          <w:szCs w:val="24"/>
        </w:rPr>
      </w:pPr>
      <w:r>
        <w:rPr>
          <w:rFonts w:hint="eastAsia" w:ascii="宋体" w:hAnsi="宋体" w:cs="宋体"/>
          <w:b/>
          <w:sz w:val="24"/>
          <w:szCs w:val="24"/>
        </w:rPr>
        <w:t>授权委托书</w:t>
      </w:r>
    </w:p>
    <w:p>
      <w:pPr>
        <w:spacing w:line="460" w:lineRule="exact"/>
        <w:jc w:val="center"/>
        <w:rPr>
          <w:rFonts w:ascii="宋体" w:hAnsi="宋体" w:cs="宋体"/>
          <w:sz w:val="24"/>
          <w:szCs w:val="24"/>
        </w:rPr>
      </w:pPr>
    </w:p>
    <w:p>
      <w:pPr>
        <w:spacing w:line="460" w:lineRule="exact"/>
        <w:ind w:firstLine="480" w:firstLineChars="200"/>
        <w:rPr>
          <w:rFonts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（姓名）为我公司（院）代理人，以本公司（院）的名义参加项目（项目编号：）的磋商活动。代理人在磋商、评审、合同谈判过程中所签署的一切文件和处理与之有关的一切事务，我均予以承认。</w:t>
      </w:r>
    </w:p>
    <w:p>
      <w:pPr>
        <w:spacing w:line="460" w:lineRule="exact"/>
        <w:ind w:firstLine="480" w:firstLineChars="200"/>
        <w:rPr>
          <w:rFonts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ascii="宋体" w:hAnsi="宋体" w:cs="宋体"/>
          <w:sz w:val="24"/>
          <w:szCs w:val="24"/>
        </w:rPr>
      </w:pPr>
    </w:p>
    <w:p>
      <w:pPr>
        <w:spacing w:line="460" w:lineRule="exact"/>
        <w:rPr>
          <w:rFonts w:ascii="宋体" w:hAnsi="宋体" w:cs="宋体"/>
          <w:sz w:val="24"/>
          <w:szCs w:val="24"/>
        </w:rPr>
      </w:pPr>
    </w:p>
    <w:p>
      <w:pPr>
        <w:spacing w:line="360" w:lineRule="auto"/>
        <w:jc w:val="center"/>
        <w:rPr>
          <w:rFonts w:ascii="宋体" w:hAnsi="宋体" w:cs="宋体"/>
          <w:sz w:val="24"/>
          <w:szCs w:val="24"/>
        </w:rPr>
      </w:pPr>
      <w:bookmarkStart w:id="178" w:name="_Toc15453"/>
      <w:bookmarkStart w:id="179" w:name="_Toc487805933"/>
      <w:bookmarkStart w:id="180" w:name="_Toc476045985"/>
      <w:bookmarkStart w:id="181" w:name="_Toc490161472"/>
      <w:bookmarkStart w:id="182" w:name="_Toc475955191"/>
      <w:bookmarkStart w:id="183" w:name="_Toc477423257"/>
      <w:bookmarkStart w:id="184" w:name="_Toc428525391"/>
      <w:bookmarkStart w:id="185" w:name="_Toc428454066"/>
      <w:r>
        <w:rPr>
          <w:rFonts w:hint="eastAsia" w:ascii="宋体" w:hAnsi="宋体" w:cs="宋体"/>
          <w:sz w:val="24"/>
          <w:szCs w:val="24"/>
        </w:rPr>
        <w:t>供应商名称（全称并加盖公章）：</w:t>
      </w:r>
    </w:p>
    <w:p>
      <w:pPr>
        <w:spacing w:line="360" w:lineRule="auto"/>
        <w:rPr>
          <w:rFonts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ascii="宋体" w:hAnsi="宋体" w:cs="宋体"/>
          <w:szCs w:val="21"/>
        </w:rPr>
      </w:pPr>
    </w:p>
    <w:p>
      <w:pPr>
        <w:spacing w:line="360" w:lineRule="auto"/>
        <w:ind w:firstLine="422" w:firstLineChars="200"/>
        <w:jc w:val="left"/>
        <w:rPr>
          <w:rFonts w:ascii="宋体" w:hAnsi="宋体" w:cs="宋体"/>
          <w:szCs w:val="21"/>
        </w:rPr>
      </w:pPr>
      <w:r>
        <w:rPr>
          <w:rFonts w:hint="eastAsia" w:ascii="宋体" w:hAnsi="宋体" w:cs="宋体"/>
          <w:b/>
          <w:bCs/>
          <w:szCs w:val="21"/>
        </w:rPr>
        <w:t>注： 1.附委托代理人身份证（正反两面）复印件</w:t>
      </w:r>
    </w:p>
    <w:p>
      <w:pPr>
        <w:pStyle w:val="82"/>
        <w:ind w:firstLine="964" w:firstLineChars="400"/>
        <w:rPr>
          <w:rFonts w:ascii="宋体" w:hAnsi="宋体" w:cs="宋体"/>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8"/>
      <w:bookmarkEnd w:id="179"/>
      <w:bookmarkEnd w:id="180"/>
      <w:bookmarkEnd w:id="181"/>
      <w:bookmarkEnd w:id="182"/>
      <w:bookmarkEnd w:id="183"/>
      <w:bookmarkStart w:id="186" w:name="_Toc17258"/>
      <w:bookmarkStart w:id="187" w:name="_Toc477423259"/>
      <w:bookmarkStart w:id="188" w:name="_Toc490161474"/>
      <w:bookmarkStart w:id="189" w:name="_Toc487805935"/>
      <w:r>
        <w:rPr>
          <w:rFonts w:hint="eastAsia" w:ascii="宋体" w:hAnsi="宋体" w:cs="宋体"/>
          <w:b/>
        </w:rPr>
        <w:t>此项。</w:t>
      </w:r>
    </w:p>
    <w:p>
      <w:pPr>
        <w:pStyle w:val="5"/>
        <w:numPr>
          <w:ilvl w:val="0"/>
          <w:numId w:val="14"/>
        </w:numPr>
        <w:spacing w:line="360" w:lineRule="auto"/>
        <w:rPr>
          <w:sz w:val="32"/>
          <w:szCs w:val="32"/>
        </w:rPr>
      </w:pPr>
      <w:r>
        <w:rPr>
          <w:rFonts w:hint="eastAsia"/>
          <w:sz w:val="32"/>
          <w:szCs w:val="32"/>
        </w:rPr>
        <w:t>中小企业声明函（货物）</w:t>
      </w:r>
    </w:p>
    <w:p>
      <w:pPr>
        <w:spacing w:line="360" w:lineRule="auto"/>
        <w:ind w:firstLine="420" w:firstLineChars="200"/>
        <w:rPr>
          <w:rFonts w:ascii="宋体" w:hAnsi="宋体" w:cs="宋体"/>
          <w:szCs w:val="21"/>
        </w:rPr>
      </w:pPr>
      <w:r>
        <w:rPr>
          <w:rFonts w:hint="eastAsia" w:ascii="宋体" w:hAnsi="宋体" w:cs="宋体"/>
          <w:szCs w:val="21"/>
        </w:rPr>
        <w:t>本公司（联合体）郑重声明，根据《政府采购促进中小企业发展管理办法》 (财库（2020) 46号）的规定，本公司（联合体）参加</w:t>
      </w:r>
      <w:r>
        <w:rPr>
          <w:rFonts w:hint="eastAsia" w:ascii="宋体" w:hAnsi="宋体" w:cs="宋体"/>
          <w:szCs w:val="21"/>
          <w:u w:val="single"/>
        </w:rPr>
        <w:t>（单位名称）</w:t>
      </w:r>
      <w:r>
        <w:rPr>
          <w:rFonts w:hint="eastAsia" w:ascii="宋体" w:hAnsi="宋体" w:cs="宋体"/>
          <w:szCs w:val="21"/>
        </w:rPr>
        <w:t>的</w:t>
      </w:r>
      <w:r>
        <w:rPr>
          <w:rFonts w:hint="eastAsia" w:ascii="宋体" w:hAnsi="宋体" w:cs="宋体"/>
          <w:szCs w:val="21"/>
          <w:u w:val="single"/>
        </w:rPr>
        <w:t>（项目名称）</w:t>
      </w:r>
      <w:r>
        <w:rPr>
          <w:rFonts w:hint="eastAsia" w:ascii="宋体" w:hAnsi="宋体" w:cs="宋体"/>
          <w:szCs w:val="21"/>
        </w:rPr>
        <w:t>采购活动，提供的货物全部由符合政策要求的中小企业制造。相关企业（含联合体中的中小企业、签订分包意向协议的中小企业）的具体情况如下：</w:t>
      </w:r>
    </w:p>
    <w:p>
      <w:pPr>
        <w:spacing w:line="360" w:lineRule="auto"/>
        <w:ind w:firstLine="420" w:firstLineChars="200"/>
        <w:rPr>
          <w:rFonts w:ascii="宋体" w:hAnsi="宋体" w:cs="宋体"/>
          <w:szCs w:val="21"/>
        </w:rPr>
      </w:pPr>
      <w:r>
        <w:rPr>
          <w:rFonts w:hint="eastAsia" w:ascii="宋体" w:hAnsi="宋体" w:cs="宋体"/>
          <w:szCs w:val="21"/>
        </w:rPr>
        <w:t>1.</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 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2.</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widowControl/>
        <w:spacing w:line="580" w:lineRule="atLeast"/>
        <w:ind w:firstLine="420" w:firstLineChars="200"/>
        <w:rPr>
          <w:rFonts w:ascii="宋体" w:hAnsi="宋体" w:cs="宋体"/>
        </w:rPr>
      </w:pPr>
      <w:r>
        <w:rPr>
          <w:rFonts w:ascii="Arial" w:hAnsi="Arial" w:cs="Arial"/>
        </w:rPr>
        <w:t>……</w:t>
      </w:r>
    </w:p>
    <w:p>
      <w:pPr>
        <w:spacing w:line="360" w:lineRule="auto"/>
        <w:ind w:firstLine="420" w:firstLineChars="200"/>
        <w:rPr>
          <w:rFonts w:ascii="宋体" w:hAnsi="宋体" w:cs="宋体"/>
          <w:szCs w:val="21"/>
        </w:rPr>
      </w:pPr>
      <w:r>
        <w:rPr>
          <w:rFonts w:hint="eastAsia" w:ascii="宋体" w:hAnsi="宋体" w:cs="宋体"/>
          <w:szCs w:val="21"/>
        </w:rPr>
        <w:t>以上企业，不属于大企业的分支机构，不存在控股股东为大企业的情形，也不存在与大企业的负责人为同一人的情形。</w:t>
      </w:r>
    </w:p>
    <w:p>
      <w:pPr>
        <w:spacing w:line="360" w:lineRule="auto"/>
        <w:ind w:firstLine="420" w:firstLineChars="200"/>
        <w:rPr>
          <w:rFonts w:ascii="宋体" w:hAnsi="宋体" w:cs="宋体"/>
          <w:szCs w:val="21"/>
        </w:rPr>
      </w:pPr>
      <w:r>
        <w:rPr>
          <w:rFonts w:hint="eastAsia" w:ascii="宋体" w:hAnsi="宋体" w:cs="宋体"/>
          <w:szCs w:val="21"/>
        </w:rPr>
        <w:t>本企业对上述声明内容的真实性负责。如有虚假，将依法承担相应责任。</w:t>
      </w:r>
    </w:p>
    <w:p>
      <w:pPr>
        <w:spacing w:line="360" w:lineRule="auto"/>
        <w:ind w:firstLine="5040" w:firstLineChars="2400"/>
        <w:rPr>
          <w:rFonts w:ascii="宋体" w:hAnsi="宋体" w:cs="宋体"/>
          <w:szCs w:val="21"/>
        </w:rPr>
      </w:pPr>
      <w:r>
        <w:rPr>
          <w:rFonts w:hint="eastAsia" w:ascii="宋体" w:hAnsi="宋体" w:cs="宋体"/>
          <w:szCs w:val="21"/>
        </w:rPr>
        <w:t>企业名称（盖章）：</w:t>
      </w:r>
    </w:p>
    <w:p>
      <w:pPr>
        <w:spacing w:line="360" w:lineRule="auto"/>
        <w:jc w:val="center"/>
        <w:rPr>
          <w:rFonts w:ascii="宋体" w:hAnsi="宋体" w:cs="宋体"/>
          <w:szCs w:val="21"/>
        </w:rPr>
      </w:pPr>
      <w:r>
        <w:rPr>
          <w:rFonts w:hint="eastAsia" w:ascii="宋体" w:hAnsi="宋体" w:cs="宋体"/>
          <w:szCs w:val="21"/>
        </w:rPr>
        <w:t>日期：</w:t>
      </w:r>
    </w:p>
    <w:p>
      <w:pPr>
        <w:spacing w:line="360" w:lineRule="auto"/>
        <w:rPr>
          <w:rFonts w:ascii="宋体" w:hAnsi="宋体" w:cs="宋体"/>
          <w:szCs w:val="21"/>
        </w:rPr>
      </w:pPr>
    </w:p>
    <w:p>
      <w:pPr>
        <w:spacing w:line="360" w:lineRule="auto"/>
        <w:rPr>
          <w:rFonts w:ascii="宋体" w:hAnsi="宋体" w:cs="宋体"/>
          <w:b/>
          <w:szCs w:val="21"/>
        </w:rPr>
      </w:pPr>
      <w:r>
        <w:rPr>
          <w:rFonts w:hint="eastAsia" w:ascii="宋体" w:hAnsi="宋体" w:cs="宋体"/>
          <w:b/>
          <w:szCs w:val="21"/>
        </w:rPr>
        <w:t>注：1.从业人员、营业收入、资产总额填报上一年度数据，无上一年度数据的新成立企业可不填报；</w:t>
      </w:r>
    </w:p>
    <w:p>
      <w:pPr>
        <w:pStyle w:val="2"/>
        <w:ind w:firstLine="420" w:firstLineChars="200"/>
        <w:rPr>
          <w:rFonts w:ascii="宋体" w:hAnsi="宋体" w:cs="宋体"/>
          <w:b/>
          <w:kern w:val="2"/>
          <w:szCs w:val="21"/>
        </w:rPr>
      </w:pPr>
      <w:r>
        <w:rPr>
          <w:rFonts w:hint="eastAsia" w:ascii="宋体" w:hAnsi="宋体" w:cs="宋体"/>
          <w:b/>
          <w:kern w:val="2"/>
          <w:szCs w:val="21"/>
        </w:rPr>
        <w:t>2.不符合《政府采购促进中小企业发展管理办法》规定的可不填写、不递交该声明；</w:t>
      </w:r>
    </w:p>
    <w:p>
      <w:pPr>
        <w:spacing w:line="360" w:lineRule="auto"/>
        <w:ind w:firstLine="420" w:firstLineChars="200"/>
        <w:rPr>
          <w:rFonts w:ascii="宋体" w:hAnsi="宋体" w:cs="宋体"/>
          <w:sz w:val="32"/>
          <w:szCs w:val="32"/>
        </w:rPr>
      </w:pPr>
      <w:r>
        <w:rPr>
          <w:rFonts w:hint="eastAsia" w:ascii="宋体" w:hAnsi="宋体" w:cs="宋体"/>
          <w:b/>
          <w:szCs w:val="21"/>
        </w:rPr>
        <w:t>3.本“注”的文字，仅为告知，不作为文件格式要求。</w:t>
      </w:r>
    </w:p>
    <w:p>
      <w:pPr>
        <w:widowControl/>
        <w:spacing w:line="580" w:lineRule="atLeast"/>
        <w:rPr>
          <w:rFonts w:ascii="宋体" w:hAnsi="宋体" w:cs="宋体"/>
        </w:rPr>
      </w:pPr>
    </w:p>
    <w:p>
      <w:pPr>
        <w:widowControl/>
        <w:spacing w:line="580" w:lineRule="atLeast"/>
        <w:rPr>
          <w:rFonts w:ascii="宋体" w:hAnsi="宋体" w:cs="宋体"/>
        </w:rPr>
      </w:pPr>
    </w:p>
    <w:p>
      <w:pPr>
        <w:pStyle w:val="54"/>
        <w:rPr>
          <w:rFonts w:ascii="宋体" w:hAnsi="宋体" w:cs="宋体"/>
        </w:rPr>
      </w:pPr>
    </w:p>
    <w:p>
      <w:pPr>
        <w:pStyle w:val="54"/>
        <w:rPr>
          <w:rFonts w:ascii="宋体" w:hAnsi="宋体" w:cs="宋体"/>
        </w:rPr>
      </w:pPr>
    </w:p>
    <w:p>
      <w:pPr>
        <w:pStyle w:val="54"/>
        <w:rPr>
          <w:rFonts w:ascii="宋体" w:hAnsi="宋体" w:cs="宋体"/>
        </w:rPr>
      </w:pPr>
    </w:p>
    <w:p>
      <w:pPr>
        <w:widowControl/>
        <w:spacing w:line="580" w:lineRule="atLeast"/>
        <w:rPr>
          <w:rFonts w:ascii="宋体" w:hAnsi="宋体" w:cs="宋体"/>
        </w:rPr>
      </w:pPr>
    </w:p>
    <w:p>
      <w:pPr>
        <w:pStyle w:val="53"/>
        <w:rPr>
          <w:rFonts w:ascii="宋体" w:hAnsi="宋体" w:cs="宋体"/>
        </w:rPr>
      </w:pPr>
    </w:p>
    <w:p>
      <w:pPr>
        <w:pStyle w:val="14"/>
        <w:rPr>
          <w:rFonts w:ascii="宋体" w:hAnsi="宋体" w:cs="宋体"/>
        </w:rPr>
      </w:pPr>
    </w:p>
    <w:p>
      <w:pPr>
        <w:pStyle w:val="15"/>
        <w:rPr>
          <w:rFonts w:hAnsi="宋体"/>
        </w:rPr>
      </w:pPr>
    </w:p>
    <w:p>
      <w:pPr>
        <w:pStyle w:val="16"/>
        <w:rPr>
          <w:rFonts w:ascii="宋体" w:hAnsi="宋体" w:cs="宋体"/>
        </w:rPr>
      </w:pPr>
    </w:p>
    <w:p>
      <w:pPr>
        <w:pStyle w:val="5"/>
        <w:numPr>
          <w:ilvl w:val="0"/>
          <w:numId w:val="14"/>
        </w:numPr>
        <w:spacing w:line="360" w:lineRule="auto"/>
        <w:rPr>
          <w:rFonts w:ascii="宋体" w:hAnsi="宋体" w:cs="宋体"/>
          <w:sz w:val="32"/>
          <w:szCs w:val="32"/>
        </w:rPr>
      </w:pPr>
      <w:bookmarkStart w:id="190" w:name="_Toc115021843"/>
      <w:bookmarkStart w:id="191" w:name="_Toc5526"/>
      <w:bookmarkStart w:id="192" w:name="_Toc12027"/>
      <w:bookmarkStart w:id="193" w:name="_Toc529865893"/>
      <w:r>
        <w:rPr>
          <w:rFonts w:hint="eastAsia" w:ascii="宋体" w:hAnsi="宋体" w:cs="宋体"/>
          <w:sz w:val="32"/>
          <w:szCs w:val="32"/>
        </w:rPr>
        <w:t>残疾人福利性单位声明函</w:t>
      </w:r>
      <w:bookmarkEnd w:id="190"/>
      <w:bookmarkEnd w:id="191"/>
      <w:bookmarkEnd w:id="192"/>
      <w:bookmarkEnd w:id="193"/>
    </w:p>
    <w:p>
      <w:pPr>
        <w:spacing w:line="588" w:lineRule="exact"/>
        <w:rPr>
          <w:rFonts w:ascii="宋体" w:hAnsi="宋体" w:cs="宋体"/>
          <w:b/>
          <w:spacing w:val="6"/>
          <w:sz w:val="30"/>
          <w:szCs w:val="30"/>
        </w:rPr>
      </w:pPr>
    </w:p>
    <w:p>
      <w:pPr>
        <w:spacing w:line="588" w:lineRule="exact"/>
        <w:ind w:firstLine="504" w:firstLineChars="200"/>
        <w:rPr>
          <w:rFonts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ascii="宋体" w:hAnsi="宋体" w:cs="宋体"/>
          <w:spacing w:val="6"/>
          <w:sz w:val="24"/>
          <w:szCs w:val="24"/>
        </w:rPr>
      </w:pPr>
    </w:p>
    <w:p>
      <w:pPr>
        <w:spacing w:line="588" w:lineRule="exact"/>
        <w:ind w:firstLine="504" w:firstLineChars="200"/>
        <w:rPr>
          <w:rFonts w:ascii="宋体" w:hAnsi="宋体" w:cs="宋体"/>
          <w:spacing w:val="6"/>
          <w:sz w:val="24"/>
          <w:szCs w:val="24"/>
        </w:rPr>
      </w:pPr>
    </w:p>
    <w:p>
      <w:pPr>
        <w:tabs>
          <w:tab w:val="left" w:pos="4860"/>
        </w:tabs>
        <w:spacing w:line="588" w:lineRule="exact"/>
        <w:ind w:right="1560" w:firstLine="504" w:firstLineChars="200"/>
        <w:jc w:val="right"/>
        <w:rPr>
          <w:rFonts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ascii="宋体" w:hAnsi="宋体" w:cs="宋体"/>
          <w:sz w:val="24"/>
          <w:szCs w:val="24"/>
        </w:rPr>
      </w:pPr>
    </w:p>
    <w:p>
      <w:pPr>
        <w:spacing w:line="600" w:lineRule="exact"/>
        <w:ind w:firstLine="420" w:firstLineChars="175"/>
        <w:rPr>
          <w:rFonts w:ascii="宋体" w:hAnsi="宋体" w:cs="宋体"/>
          <w:sz w:val="24"/>
        </w:rPr>
      </w:pPr>
    </w:p>
    <w:p>
      <w:pPr>
        <w:pStyle w:val="6"/>
        <w:spacing w:line="460" w:lineRule="exact"/>
        <w:jc w:val="center"/>
        <w:rPr>
          <w:rFonts w:ascii="宋体" w:hAnsi="宋体" w:eastAsia="宋体" w:cs="宋体"/>
          <w:sz w:val="24"/>
          <w:szCs w:val="24"/>
        </w:rPr>
      </w:pPr>
    </w:p>
    <w:p>
      <w:pPr>
        <w:rPr>
          <w:rFonts w:ascii="宋体" w:hAnsi="宋体" w:cs="宋体"/>
        </w:rPr>
      </w:pPr>
    </w:p>
    <w:p>
      <w:pPr>
        <w:pStyle w:val="6"/>
        <w:spacing w:line="460" w:lineRule="exact"/>
        <w:jc w:val="center"/>
        <w:rPr>
          <w:rFonts w:ascii="宋体" w:hAnsi="宋体" w:eastAsia="宋体" w:cs="宋体"/>
          <w:sz w:val="24"/>
          <w:szCs w:val="24"/>
        </w:rPr>
      </w:pPr>
    </w:p>
    <w:p>
      <w:pPr>
        <w:rPr>
          <w:rFonts w:ascii="宋体" w:hAnsi="宋体" w:eastAsia="宋体" w:cs="宋体"/>
          <w:sz w:val="24"/>
          <w:szCs w:val="24"/>
        </w:rPr>
      </w:pPr>
    </w:p>
    <w:p>
      <w:pPr>
        <w:pStyle w:val="2"/>
        <w:rPr>
          <w:rFonts w:ascii="宋体" w:hAnsi="宋体" w:eastAsia="宋体" w:cs="宋体"/>
          <w:sz w:val="24"/>
          <w:szCs w:val="24"/>
        </w:rPr>
      </w:pPr>
    </w:p>
    <w:p>
      <w:pPr>
        <w:rPr>
          <w:rFonts w:ascii="宋体" w:hAnsi="宋体" w:eastAsia="宋体" w:cs="宋体"/>
          <w:sz w:val="24"/>
          <w:szCs w:val="24"/>
        </w:rPr>
      </w:pPr>
    </w:p>
    <w:p>
      <w:pPr>
        <w:pStyle w:val="2"/>
        <w:rPr>
          <w:rFonts w:ascii="宋体" w:hAnsi="宋体" w:eastAsia="宋体" w:cs="宋体"/>
          <w:sz w:val="24"/>
          <w:szCs w:val="24"/>
        </w:rPr>
      </w:pPr>
    </w:p>
    <w:p/>
    <w:p>
      <w:pPr>
        <w:pStyle w:val="6"/>
        <w:spacing w:line="460" w:lineRule="exact"/>
        <w:jc w:val="center"/>
        <w:rPr>
          <w:rFonts w:ascii="宋体" w:hAnsi="宋体" w:eastAsia="宋体" w:cs="宋体"/>
          <w:sz w:val="24"/>
          <w:szCs w:val="24"/>
        </w:rPr>
      </w:pPr>
    </w:p>
    <w:p>
      <w:pPr>
        <w:pStyle w:val="6"/>
        <w:spacing w:line="460" w:lineRule="exact"/>
        <w:jc w:val="center"/>
        <w:rPr>
          <w:rFonts w:ascii="宋体" w:hAnsi="宋体" w:eastAsia="宋体" w:cs="宋体"/>
          <w:sz w:val="24"/>
          <w:szCs w:val="24"/>
        </w:rPr>
      </w:pPr>
    </w:p>
    <w:p>
      <w:pPr>
        <w:rPr>
          <w:rFonts w:ascii="宋体" w:hAnsi="宋体" w:cs="宋体"/>
        </w:rPr>
      </w:pPr>
    </w:p>
    <w:p>
      <w:pPr>
        <w:pStyle w:val="25"/>
        <w:rPr>
          <w:rFonts w:cs="宋体"/>
        </w:rPr>
      </w:pPr>
    </w:p>
    <w:bookmarkEnd w:id="186"/>
    <w:bookmarkEnd w:id="187"/>
    <w:bookmarkEnd w:id="188"/>
    <w:bookmarkEnd w:id="189"/>
    <w:p>
      <w:pPr>
        <w:pStyle w:val="5"/>
        <w:numPr>
          <w:ilvl w:val="0"/>
          <w:numId w:val="14"/>
        </w:numPr>
        <w:spacing w:line="360" w:lineRule="auto"/>
        <w:rPr>
          <w:rFonts w:ascii="宋体" w:hAnsi="宋体" w:cs="宋体"/>
          <w:sz w:val="32"/>
          <w:szCs w:val="32"/>
        </w:rPr>
      </w:pPr>
      <w:bookmarkStart w:id="194" w:name="_Toc490161475"/>
      <w:bookmarkStart w:id="195" w:name="_Toc477423260"/>
      <w:bookmarkStart w:id="196" w:name="_Toc1654"/>
      <w:bookmarkStart w:id="197" w:name="_Toc7213"/>
      <w:bookmarkStart w:id="198" w:name="_Toc115021844"/>
      <w:bookmarkStart w:id="199" w:name="_Toc19062"/>
      <w:bookmarkStart w:id="200" w:name="_Toc487805936"/>
      <w:r>
        <w:rPr>
          <w:rFonts w:hint="eastAsia" w:ascii="宋体" w:hAnsi="宋体" w:cs="宋体"/>
          <w:sz w:val="32"/>
          <w:szCs w:val="32"/>
        </w:rPr>
        <w:t>反商业贿赂承诺书</w:t>
      </w:r>
      <w:bookmarkEnd w:id="194"/>
      <w:bookmarkEnd w:id="195"/>
      <w:bookmarkEnd w:id="196"/>
      <w:bookmarkEnd w:id="197"/>
      <w:bookmarkEnd w:id="198"/>
      <w:bookmarkEnd w:id="199"/>
      <w:bookmarkEnd w:id="200"/>
    </w:p>
    <w:p>
      <w:pPr>
        <w:spacing w:line="460" w:lineRule="exact"/>
        <w:rPr>
          <w:rFonts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ascii="宋体" w:hAnsi="宋体" w:cs="宋体"/>
          <w:sz w:val="24"/>
          <w:szCs w:val="24"/>
        </w:rPr>
      </w:pPr>
    </w:p>
    <w:bookmarkEnd w:id="172"/>
    <w:bookmarkEnd w:id="173"/>
    <w:bookmarkEnd w:id="174"/>
    <w:bookmarkEnd w:id="175"/>
    <w:bookmarkEnd w:id="176"/>
    <w:bookmarkEnd w:id="177"/>
    <w:bookmarkEnd w:id="184"/>
    <w:bookmarkEnd w:id="185"/>
    <w:p>
      <w:pPr>
        <w:spacing w:line="460" w:lineRule="exact"/>
        <w:rPr>
          <w:rFonts w:ascii="宋体" w:hAnsi="宋体" w:cs="宋体"/>
          <w:sz w:val="24"/>
          <w:szCs w:val="24"/>
        </w:rPr>
      </w:pPr>
      <w:bookmarkStart w:id="201" w:name="_Toc475955200"/>
      <w:bookmarkStart w:id="202" w:name="_Toc476045994"/>
      <w:bookmarkStart w:id="203" w:name="_Toc477423265"/>
      <w:bookmarkStart w:id="204" w:name="_Toc19579"/>
      <w:bookmarkStart w:id="205" w:name="_Toc365712853"/>
      <w:bookmarkStart w:id="206" w:name="_Toc19463"/>
      <w:bookmarkStart w:id="207" w:name="_Toc406663323"/>
      <w:bookmarkStart w:id="208" w:name="_Toc115021845"/>
      <w:bookmarkStart w:id="209" w:name="_Toc450037734"/>
      <w:bookmarkStart w:id="210" w:name="_Toc490161482"/>
      <w:bookmarkStart w:id="211" w:name="_Toc18166"/>
      <w:bookmarkStart w:id="212" w:name="_Toc364962592"/>
    </w:p>
    <w:p>
      <w:pPr>
        <w:spacing w:line="460" w:lineRule="exact"/>
        <w:rPr>
          <w:rFonts w:ascii="宋体" w:hAnsi="宋体" w:cs="宋体"/>
          <w:sz w:val="24"/>
          <w:szCs w:val="24"/>
        </w:rPr>
      </w:pPr>
    </w:p>
    <w:p>
      <w:pPr>
        <w:spacing w:line="460" w:lineRule="exact"/>
        <w:jc w:val="center"/>
        <w:rPr>
          <w:rFonts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ascii="宋体" w:hAnsi="宋体" w:cs="宋体"/>
          <w:sz w:val="24"/>
          <w:szCs w:val="24"/>
        </w:rPr>
      </w:pPr>
    </w:p>
    <w:p>
      <w:pPr>
        <w:spacing w:line="460" w:lineRule="exact"/>
        <w:jc w:val="center"/>
        <w:rPr>
          <w:rFonts w:ascii="宋体" w:hAnsi="宋体" w:cs="宋体"/>
          <w:sz w:val="24"/>
          <w:szCs w:val="24"/>
        </w:rPr>
      </w:pPr>
    </w:p>
    <w:p>
      <w:pPr>
        <w:spacing w:line="460" w:lineRule="exact"/>
        <w:jc w:val="center"/>
        <w:rPr>
          <w:rFonts w:ascii="宋体" w:hAnsi="宋体" w:cs="宋体"/>
          <w:sz w:val="24"/>
          <w:szCs w:val="24"/>
        </w:rPr>
      </w:pPr>
      <w:r>
        <w:rPr>
          <w:rFonts w:hint="eastAsia" w:ascii="宋体" w:hAnsi="宋体" w:cs="宋体"/>
          <w:sz w:val="24"/>
          <w:szCs w:val="24"/>
        </w:rPr>
        <w:t xml:space="preserve">                                         年   月   日</w:t>
      </w:r>
    </w:p>
    <w:p>
      <w:pPr>
        <w:spacing w:line="460" w:lineRule="exact"/>
        <w:rPr>
          <w:rFonts w:ascii="宋体" w:hAnsi="宋体" w:cs="宋体"/>
          <w:sz w:val="24"/>
          <w:szCs w:val="24"/>
        </w:rPr>
      </w:pPr>
    </w:p>
    <w:p>
      <w:pPr>
        <w:spacing w:line="460" w:lineRule="exact"/>
        <w:rPr>
          <w:rFonts w:ascii="宋体" w:hAnsi="宋体" w:cs="宋体"/>
          <w:sz w:val="24"/>
          <w:szCs w:val="24"/>
        </w:rPr>
      </w:pPr>
    </w:p>
    <w:p>
      <w:pPr>
        <w:spacing w:line="460" w:lineRule="exact"/>
        <w:rPr>
          <w:rFonts w:ascii="宋体" w:hAnsi="宋体" w:cs="宋体"/>
          <w:sz w:val="24"/>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spacing w:line="460" w:lineRule="exact"/>
        <w:rPr>
          <w:rFonts w:ascii="宋体" w:hAnsi="宋体" w:cs="宋体"/>
          <w:sz w:val="24"/>
          <w:szCs w:val="24"/>
        </w:rPr>
      </w:pPr>
    </w:p>
    <w:p>
      <w:pPr>
        <w:spacing w:line="460" w:lineRule="exact"/>
        <w:rPr>
          <w:rFonts w:ascii="宋体" w:hAnsi="宋体" w:cs="宋体"/>
          <w:sz w:val="24"/>
          <w:szCs w:val="24"/>
        </w:rPr>
      </w:pPr>
    </w:p>
    <w:p>
      <w:pPr>
        <w:pStyle w:val="5"/>
        <w:numPr>
          <w:ilvl w:val="0"/>
          <w:numId w:val="14"/>
        </w:numPr>
        <w:spacing w:line="360" w:lineRule="auto"/>
        <w:rPr>
          <w:rFonts w:ascii="宋体" w:hAnsi="宋体" w:cs="宋体"/>
          <w:sz w:val="32"/>
          <w:szCs w:val="32"/>
        </w:rPr>
      </w:pPr>
      <w:r>
        <w:rPr>
          <w:rFonts w:hint="eastAsia" w:ascii="宋体" w:hAnsi="宋体" w:cs="宋体"/>
          <w:sz w:val="32"/>
          <w:szCs w:val="32"/>
        </w:rPr>
        <w:t>竞争性磋商文件要求的以及供应商认为应该提供的其他材料</w:t>
      </w:r>
      <w:bookmarkEnd w:id="201"/>
      <w:bookmarkEnd w:id="202"/>
      <w:bookmarkEnd w:id="203"/>
      <w:bookmarkEnd w:id="204"/>
      <w:bookmarkEnd w:id="205"/>
      <w:bookmarkEnd w:id="206"/>
      <w:bookmarkEnd w:id="207"/>
      <w:bookmarkEnd w:id="208"/>
      <w:bookmarkEnd w:id="209"/>
      <w:bookmarkEnd w:id="210"/>
      <w:bookmarkEnd w:id="211"/>
      <w:bookmarkEnd w:id="212"/>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pStyle w:val="25"/>
        <w:rPr>
          <w:rFonts w:cs="宋体"/>
          <w:sz w:val="28"/>
          <w:szCs w:val="24"/>
        </w:rPr>
      </w:pPr>
    </w:p>
    <w:p>
      <w:pPr>
        <w:rPr>
          <w:rFonts w:ascii="宋体" w:hAnsi="宋体" w:cs="宋体"/>
          <w:b/>
          <w:bCs/>
          <w:sz w:val="32"/>
          <w:szCs w:val="32"/>
        </w:rPr>
      </w:pP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auto"/>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pict>
        <v:shape id="文本框 1032" o:spid="_x0000_s3073"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path/>
          <v:fill on="f" focussize="0,0"/>
          <v:stroke on="f" weight="1.25pt" joinstyle="miter"/>
          <v:imagedata o:title=""/>
          <o:lock v:ext="edit"/>
          <v:textbox inset="0mm,0mm,0mm,0mm" style="mso-fit-shape-to-text:t;">
            <w:txbxContent>
              <w:p>
                <w:pPr>
                  <w:pStyle w:val="26"/>
                </w:pPr>
                <w:r>
                  <w:rPr>
                    <w:rFonts w:hint="eastAsia"/>
                  </w:rPr>
                  <w:t xml:space="preserve">第 </w:t>
                </w:r>
                <w:r>
                  <w:fldChar w:fldCharType="begin"/>
                </w:r>
                <w:r>
                  <w:instrText xml:space="preserve"> PAGE  \* MERGEFORMAT </w:instrText>
                </w:r>
                <w:r>
                  <w:fldChar w:fldCharType="separate"/>
                </w:r>
                <w:r>
                  <w:t>51</w:t>
                </w:r>
                <w:r>
                  <w:fldChar w:fldCharType="end"/>
                </w:r>
                <w:r>
                  <w:rPr>
                    <w:rFonts w:hint="eastAsia"/>
                  </w:rPr>
                  <w:t xml:space="preserve"> 页</w:t>
                </w:r>
              </w:p>
            </w:txbxContent>
          </v:textbox>
        </v:shape>
      </w:pic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pict>
        <v:shape id="_x0000_s3074" o:spid="_x0000_s3074"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path/>
          <v:fill on="f" focussize="0,0"/>
          <v:stroke on="f" weight="1.25pt" joinstyle="miter"/>
          <v:imagedata o:title=""/>
          <o:lock v:ext="edit"/>
          <v:textbox inset="0mm,0mm,0mm,0mm" style="mso-fit-shape-to-text:t;">
            <w:txbxContent>
              <w:p>
                <w:pPr>
                  <w:pStyle w:val="26"/>
                </w:pPr>
                <w:r>
                  <w:rPr>
                    <w:rFonts w:hint="eastAsia"/>
                  </w:rPr>
                  <w:t xml:space="preserve">第 </w:t>
                </w:r>
                <w:r>
                  <w:fldChar w:fldCharType="begin"/>
                </w:r>
                <w:r>
                  <w:instrText xml:space="preserve"> PAGE  \* MERGEFORMAT </w:instrText>
                </w:r>
                <w:r>
                  <w:fldChar w:fldCharType="separate"/>
                </w:r>
                <w:r>
                  <w:t>50</w:t>
                </w:r>
                <w:r>
                  <w:fldChar w:fldCharType="end"/>
                </w:r>
                <w:r>
                  <w:rPr>
                    <w:rFonts w:hint="eastAsia"/>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path/>
          <v:fill on="f" focussize="0,0"/>
          <v:stroke on="f" joinstyle="miter"/>
          <v:imagedata o:title=""/>
          <o:lock v:ext="edit"/>
          <v:textbox inset="0mm,0mm,0mm,0mm" style="mso-fit-shape-to-text:t;">
            <w:txbxContent>
              <w:p>
                <w:pPr>
                  <w:pStyle w:val="26"/>
                </w:pPr>
                <w:r>
                  <w:fldChar w:fldCharType="begin"/>
                </w:r>
                <w:r>
                  <w:instrText xml:space="preserve"> PAGE  \* MERGEFORMAT </w:instrText>
                </w:r>
                <w:r>
                  <w:fldChar w:fldCharType="separate"/>
                </w:r>
                <w:r>
                  <w:t>16</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pict>
        <v:shape id="文本框 1026" o:spid="_x0000_s308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path/>
          <v:fill on="f" focussize="0,0"/>
          <v:stroke on="f" weight="1.25pt" joinstyle="miter"/>
          <v:imagedata o:title=""/>
          <o:lock v:ext="edit"/>
          <v:textbox inset="0mm,0mm,0mm,0mm" style="mso-fit-shape-to-text:t;">
            <w:txbxContent>
              <w:p>
                <w:pPr>
                  <w:pStyle w:val="26"/>
                </w:pPr>
                <w:r>
                  <w:rPr>
                    <w:rFonts w:hint="eastAsia"/>
                  </w:rPr>
                  <w:t xml:space="preserve">第 </w:t>
                </w:r>
                <w:r>
                  <w:fldChar w:fldCharType="begin"/>
                </w:r>
                <w:r>
                  <w:instrText xml:space="preserve"> PAGE  \* MERGEFORMAT </w:instrText>
                </w:r>
                <w:r>
                  <w:fldChar w:fldCharType="separate"/>
                </w:r>
                <w:r>
                  <w:t>1</w:t>
                </w:r>
                <w:r>
                  <w:fldChar w:fldCharType="end"/>
                </w:r>
                <w:r>
                  <w:rPr>
                    <w:rFonts w:hint="eastAsia"/>
                  </w:rPr>
                  <w:t xml:space="preserve"> 页</w:t>
                </w:r>
              </w:p>
            </w:txbxContent>
          </v:textbox>
        </v:shape>
      </w:pict>
    </w:r>
  </w:p>
  <w:p>
    <w:pPr>
      <w:pStyle w:val="2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rFonts w:hint="eastAsia"/>
        <w:lang w:val="zh-CN"/>
      </w:rPr>
      <w:t>第</w:t>
    </w:r>
    <w:r>
      <w:fldChar w:fldCharType="begin"/>
    </w:r>
    <w:r>
      <w:instrText xml:space="preserve">PAGE</w:instrText>
    </w:r>
    <w:r>
      <w:fldChar w:fldCharType="separate"/>
    </w:r>
    <w:r>
      <w:t>41</w:t>
    </w:r>
    <w:r>
      <w:fldChar w:fldCharType="end"/>
    </w:r>
    <w:r>
      <w:rPr>
        <w:rFonts w:hint="eastAsia"/>
      </w:rPr>
      <w:t>页</w:t>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pict>
        <v:shape id="文本框 1034" o:spid="_x0000_s307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path/>
          <v:fill on="f" focussize="0,0"/>
          <v:stroke on="f" weight="1.25pt" joinstyle="miter"/>
          <v:imagedata o:title=""/>
          <o:lock v:ext="edit"/>
          <v:textbox inset="0mm,0mm,0mm,0mm" style="mso-fit-shape-to-text:t;">
            <w:txbxContent>
              <w:p>
                <w:pPr>
                  <w:pStyle w:val="26"/>
                </w:pPr>
                <w:r>
                  <w:rPr>
                    <w:rFonts w:hint="eastAsia"/>
                  </w:rPr>
                  <w:t xml:space="preserve">第 </w:t>
                </w:r>
                <w:r>
                  <w:fldChar w:fldCharType="begin"/>
                </w:r>
                <w:r>
                  <w:instrText xml:space="preserve"> PAGE  \* MERGEFORMAT </w:instrText>
                </w:r>
                <w:r>
                  <w:fldChar w:fldCharType="separate"/>
                </w:r>
                <w:r>
                  <w:t>22</w:t>
                </w:r>
                <w:r>
                  <w:fldChar w:fldCharType="end"/>
                </w:r>
                <w:r>
                  <w:rPr>
                    <w:rFonts w:hint="eastAsia"/>
                  </w:rPr>
                  <w:t xml:space="preserve"> 页</w:t>
                </w:r>
              </w:p>
            </w:txbxContent>
          </v:textbox>
        </v:shape>
      </w:pict>
    </w:r>
  </w:p>
  <w:p>
    <w:pPr>
      <w:pStyle w:val="26"/>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pict>
        <v:shape id="文本框 1027" o:spid="_x0000_s3077"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path/>
          <v:fill on="f" focussize="0,0"/>
          <v:stroke on="f" weight="1.25pt" joinstyle="miter"/>
          <v:imagedata o:title=""/>
          <o:lock v:ext="edit"/>
          <v:textbox inset="0mm,0mm,0mm,0mm" style="mso-fit-shape-to-text:t;">
            <w:txbxContent>
              <w:p>
                <w:pPr>
                  <w:pStyle w:val="26"/>
                </w:pPr>
                <w:r>
                  <w:rPr>
                    <w:rFonts w:hint="eastAsia"/>
                  </w:rPr>
                  <w:t xml:space="preserve">第 </w:t>
                </w:r>
                <w:r>
                  <w:fldChar w:fldCharType="begin"/>
                </w:r>
                <w:r>
                  <w:instrText xml:space="preserve"> PAGE  \* MERGEFORMAT </w:instrText>
                </w:r>
                <w:r>
                  <w:fldChar w:fldCharType="separate"/>
                </w:r>
                <w:r>
                  <w:t>23</w:t>
                </w:r>
                <w:r>
                  <w:fldChar w:fldCharType="end"/>
                </w:r>
                <w:r>
                  <w:rPr>
                    <w:rFonts w:hint="eastAsia"/>
                  </w:rPr>
                  <w:t xml:space="preserve"> 页</w:t>
                </w:r>
              </w:p>
            </w:txbxContent>
          </v:textbox>
        </v:shape>
      </w:pict>
    </w:r>
  </w:p>
  <w:p>
    <w:pPr>
      <w:pStyle w:val="26"/>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pict>
        <v:shape id="文本框 1036" o:spid="_x0000_s3075"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path/>
          <v:fill on="f" focussize="0,0"/>
          <v:stroke on="f" weight="1.25pt" joinstyle="miter"/>
          <v:imagedata o:title=""/>
          <o:lock v:ext="edit"/>
          <v:textbox inset="0mm,0mm,0mm,0mm" style="mso-fit-shape-to-text:t;">
            <w:txbxContent>
              <w:p>
                <w:pPr>
                  <w:pStyle w:val="26"/>
                </w:pPr>
                <w:r>
                  <w:rPr>
                    <w:rFonts w:hint="eastAsia"/>
                  </w:rPr>
                  <w:t xml:space="preserve">第 </w:t>
                </w:r>
                <w:r>
                  <w:fldChar w:fldCharType="begin"/>
                </w:r>
                <w:r>
                  <w:instrText xml:space="preserve"> PAGE  \* MERGEFORMAT </w:instrText>
                </w:r>
                <w:r>
                  <w:fldChar w:fldCharType="separate"/>
                </w:r>
                <w:r>
                  <w:t>49</w:t>
                </w:r>
                <w:r>
                  <w:fldChar w:fldCharType="end"/>
                </w:r>
                <w:r>
                  <w:rPr>
                    <w:rFonts w:hint="eastAsia"/>
                  </w:rPr>
                  <w:t xml:space="preserve"> 页</w:t>
                </w:r>
              </w:p>
            </w:txbxContent>
          </v:textbox>
        </v:shape>
      </w:pic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pict>
        <v:shape id="文本框 1035" o:spid="_x0000_s307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path/>
          <v:fill on="f" focussize="0,0"/>
          <v:stroke on="f" weight="1.25pt" joinstyle="miter"/>
          <v:imagedata o:title=""/>
          <o:lock v:ext="edit"/>
          <v:textbox inset="0mm,0mm,0mm,0mm" style="mso-fit-shape-to-text:t;">
            <w:txbxContent>
              <w:p>
                <w:pPr>
                  <w:pStyle w:val="26"/>
                </w:pPr>
                <w:r>
                  <w:rPr>
                    <w:rFonts w:hint="eastAsia"/>
                  </w:rPr>
                  <w:t xml:space="preserve">第 </w:t>
                </w:r>
                <w:r>
                  <w:fldChar w:fldCharType="begin"/>
                </w:r>
                <w:r>
                  <w:instrText xml:space="preserve"> PAGE  \* MERGEFORMAT </w:instrText>
                </w:r>
                <w:r>
                  <w:fldChar w:fldCharType="separate"/>
                </w:r>
                <w:r>
                  <w:t>48</w:t>
                </w:r>
                <w:r>
                  <w:fldChar w:fldCharType="end"/>
                </w:r>
                <w:r>
                  <w:rPr>
                    <w:rFonts w:hint="eastAsia"/>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F6615"/>
    <w:multiLevelType w:val="singleLevel"/>
    <w:tmpl w:val="9EDF6615"/>
    <w:lvl w:ilvl="0" w:tentative="0">
      <w:start w:val="3"/>
      <w:numFmt w:val="chineseCounting"/>
      <w:suff w:val="nothing"/>
      <w:lvlText w:val="%1、"/>
      <w:lvlJc w:val="left"/>
      <w:rPr>
        <w:rFonts w:hint="eastAsia"/>
      </w:rPr>
    </w:lvl>
  </w:abstractNum>
  <w:abstractNum w:abstractNumId="1">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2">
    <w:nsid w:val="00000001"/>
    <w:multiLevelType w:val="singleLevel"/>
    <w:tmpl w:val="00000001"/>
    <w:lvl w:ilvl="0" w:tentative="0">
      <w:start w:val="1"/>
      <w:numFmt w:val="chineseCounting"/>
      <w:suff w:val="nothing"/>
      <w:lvlText w:val="%1、"/>
      <w:lvlJc w:val="left"/>
      <w:pPr>
        <w:ind w:left="0" w:firstLine="420"/>
      </w:pPr>
      <w:rPr>
        <w:rFonts w:hint="eastAsia"/>
      </w:rPr>
    </w:lvl>
  </w:abstractNum>
  <w:abstractNum w:abstractNumId="3">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5">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6">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1B"/>
    <w:multiLevelType w:val="singleLevel"/>
    <w:tmpl w:val="0000001B"/>
    <w:lvl w:ilvl="0" w:tentative="0">
      <w:start w:val="1"/>
      <w:numFmt w:val="decimal"/>
      <w:suff w:val="nothing"/>
      <w:lvlText w:val="%1."/>
      <w:lvlJc w:val="left"/>
    </w:lvl>
  </w:abstractNum>
  <w:abstractNum w:abstractNumId="9">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00000036"/>
    <w:multiLevelType w:val="singleLevel"/>
    <w:tmpl w:val="00000036"/>
    <w:lvl w:ilvl="0" w:tentative="0">
      <w:start w:val="1"/>
      <w:numFmt w:val="decimal"/>
      <w:suff w:val="nothing"/>
      <w:lvlText w:val="%1."/>
      <w:lvlJc w:val="left"/>
    </w:lvl>
  </w:abstractNum>
  <w:abstractNum w:abstractNumId="12">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3683B75B"/>
    <w:multiLevelType w:val="singleLevel"/>
    <w:tmpl w:val="3683B75B"/>
    <w:lvl w:ilvl="0" w:tentative="0">
      <w:start w:val="1"/>
      <w:numFmt w:val="decimal"/>
      <w:suff w:val="nothing"/>
      <w:lvlText w:val="%1、"/>
      <w:lvlJc w:val="left"/>
    </w:lvl>
  </w:abstractNum>
  <w:num w:numId="1">
    <w:abstractNumId w:val="5"/>
  </w:num>
  <w:num w:numId="2">
    <w:abstractNumId w:val="12"/>
  </w:num>
  <w:num w:numId="3">
    <w:abstractNumId w:val="11"/>
  </w:num>
  <w:num w:numId="4">
    <w:abstractNumId w:val="10"/>
  </w:num>
  <w:num w:numId="5">
    <w:abstractNumId w:val="1"/>
  </w:num>
  <w:num w:numId="6">
    <w:abstractNumId w:val="3"/>
  </w:num>
  <w:num w:numId="7">
    <w:abstractNumId w:val="6"/>
  </w:num>
  <w:num w:numId="8">
    <w:abstractNumId w:val="9"/>
  </w:num>
  <w:num w:numId="9">
    <w:abstractNumId w:val="0"/>
  </w:num>
  <w:num w:numId="10">
    <w:abstractNumId w:val="7"/>
  </w:num>
  <w:num w:numId="11">
    <w:abstractNumId w:val="4"/>
  </w:num>
  <w:num w:numId="12">
    <w:abstractNumId w:val="2"/>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420"/>
  <w:drawingGridHorizontalSpacing w:val="210"/>
  <w:drawingGridVerticalSpacing w:val="156"/>
  <w:noPunctuationKerning w:val="1"/>
  <w:characterSpacingControl w:val="compressPunctuation"/>
  <w:doNotValidateAgainstSchema/>
  <w:doNotDemarcateInvalidXml/>
  <w:hdrShapeDefaults>
    <o:shapelayout v:ext="edit">
      <o:idmap v:ext="edit" data="1,3"/>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YzNjBkOTgyNWQ1YTMxYzM3MzMwNWFiODNmOWIzYWMifQ=="/>
    <w:docVar w:name="KSO_WPS_MARK_KEY" w:val="bbbe849f-7322-4c8d-9d97-d1ed96eae2e0"/>
  </w:docVars>
  <w:rsids>
    <w:rsidRoot w:val="00172A27"/>
    <w:rsid w:val="00076597"/>
    <w:rsid w:val="00091C2F"/>
    <w:rsid w:val="00095EB7"/>
    <w:rsid w:val="001237C2"/>
    <w:rsid w:val="00164823"/>
    <w:rsid w:val="00172A27"/>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2054D"/>
    <w:rsid w:val="00457D08"/>
    <w:rsid w:val="00475B0B"/>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827DF"/>
    <w:rsid w:val="009B0AF1"/>
    <w:rsid w:val="009E5C69"/>
    <w:rsid w:val="009F0BEE"/>
    <w:rsid w:val="00A44EA6"/>
    <w:rsid w:val="00A45C82"/>
    <w:rsid w:val="00A52746"/>
    <w:rsid w:val="00A66A66"/>
    <w:rsid w:val="00A86788"/>
    <w:rsid w:val="00B148D1"/>
    <w:rsid w:val="00B27C07"/>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61E1C"/>
    <w:rsid w:val="00FB72AA"/>
    <w:rsid w:val="00FC6BA5"/>
    <w:rsid w:val="00FF31E5"/>
    <w:rsid w:val="010F2C65"/>
    <w:rsid w:val="01125696"/>
    <w:rsid w:val="01395070"/>
    <w:rsid w:val="017460A8"/>
    <w:rsid w:val="01BD7A4F"/>
    <w:rsid w:val="01F62F61"/>
    <w:rsid w:val="0200793B"/>
    <w:rsid w:val="022D22A4"/>
    <w:rsid w:val="02B32C00"/>
    <w:rsid w:val="02D0730E"/>
    <w:rsid w:val="02EB23E7"/>
    <w:rsid w:val="02FF7BF3"/>
    <w:rsid w:val="030F6088"/>
    <w:rsid w:val="036566EB"/>
    <w:rsid w:val="03830824"/>
    <w:rsid w:val="03EF1DEA"/>
    <w:rsid w:val="04323463"/>
    <w:rsid w:val="04562E58"/>
    <w:rsid w:val="04644C52"/>
    <w:rsid w:val="046E2D62"/>
    <w:rsid w:val="04E57AC0"/>
    <w:rsid w:val="04EC22B8"/>
    <w:rsid w:val="05130FB5"/>
    <w:rsid w:val="0536281A"/>
    <w:rsid w:val="053C0C8A"/>
    <w:rsid w:val="05465E75"/>
    <w:rsid w:val="056A1C9B"/>
    <w:rsid w:val="05932DEC"/>
    <w:rsid w:val="05B93485"/>
    <w:rsid w:val="05C71142"/>
    <w:rsid w:val="05D02EA9"/>
    <w:rsid w:val="05D821BC"/>
    <w:rsid w:val="064365F2"/>
    <w:rsid w:val="067726AC"/>
    <w:rsid w:val="06C8536A"/>
    <w:rsid w:val="07AF7E3A"/>
    <w:rsid w:val="07ED78FB"/>
    <w:rsid w:val="07FC3AF7"/>
    <w:rsid w:val="087E3197"/>
    <w:rsid w:val="08C94A81"/>
    <w:rsid w:val="08E753B1"/>
    <w:rsid w:val="09032B5D"/>
    <w:rsid w:val="091C32AD"/>
    <w:rsid w:val="097F55EA"/>
    <w:rsid w:val="09831C8A"/>
    <w:rsid w:val="09BB7A3D"/>
    <w:rsid w:val="09D41DD9"/>
    <w:rsid w:val="0A23066B"/>
    <w:rsid w:val="0A7D7D7B"/>
    <w:rsid w:val="0ABA2D7D"/>
    <w:rsid w:val="0AF52007"/>
    <w:rsid w:val="0AFD0EBC"/>
    <w:rsid w:val="0B4A5E65"/>
    <w:rsid w:val="0B955598"/>
    <w:rsid w:val="0C195E4B"/>
    <w:rsid w:val="0C2506CA"/>
    <w:rsid w:val="0C65082C"/>
    <w:rsid w:val="0C6A432F"/>
    <w:rsid w:val="0CE55CFE"/>
    <w:rsid w:val="0D32353D"/>
    <w:rsid w:val="0D7D4536"/>
    <w:rsid w:val="0D8E04F1"/>
    <w:rsid w:val="0E0620AA"/>
    <w:rsid w:val="0E5C239D"/>
    <w:rsid w:val="0E63197E"/>
    <w:rsid w:val="0F044A03"/>
    <w:rsid w:val="0F1B6A2C"/>
    <w:rsid w:val="0F223D21"/>
    <w:rsid w:val="0F3A297B"/>
    <w:rsid w:val="0F3B1FB3"/>
    <w:rsid w:val="0F5372FC"/>
    <w:rsid w:val="0F5C4866"/>
    <w:rsid w:val="0FF07241"/>
    <w:rsid w:val="1022110A"/>
    <w:rsid w:val="103939A5"/>
    <w:rsid w:val="104135F9"/>
    <w:rsid w:val="10437371"/>
    <w:rsid w:val="10F845FF"/>
    <w:rsid w:val="112706F4"/>
    <w:rsid w:val="113263C3"/>
    <w:rsid w:val="115D4462"/>
    <w:rsid w:val="115F08E1"/>
    <w:rsid w:val="117417AC"/>
    <w:rsid w:val="117B4B6D"/>
    <w:rsid w:val="118F65E6"/>
    <w:rsid w:val="11F3777D"/>
    <w:rsid w:val="121D3BF2"/>
    <w:rsid w:val="128D141F"/>
    <w:rsid w:val="12920EF5"/>
    <w:rsid w:val="135B70C7"/>
    <w:rsid w:val="13710699"/>
    <w:rsid w:val="13CC1D73"/>
    <w:rsid w:val="13D44784"/>
    <w:rsid w:val="143C2A55"/>
    <w:rsid w:val="145130D6"/>
    <w:rsid w:val="14787805"/>
    <w:rsid w:val="147E15D3"/>
    <w:rsid w:val="14902DA1"/>
    <w:rsid w:val="14AB1989"/>
    <w:rsid w:val="14B94509"/>
    <w:rsid w:val="14E8498B"/>
    <w:rsid w:val="15030FCE"/>
    <w:rsid w:val="15086DDB"/>
    <w:rsid w:val="151B6B0E"/>
    <w:rsid w:val="156C736A"/>
    <w:rsid w:val="15826DAB"/>
    <w:rsid w:val="158703BA"/>
    <w:rsid w:val="15927A8F"/>
    <w:rsid w:val="15F2599B"/>
    <w:rsid w:val="16486627"/>
    <w:rsid w:val="16502CDA"/>
    <w:rsid w:val="16BA216A"/>
    <w:rsid w:val="16C72E02"/>
    <w:rsid w:val="16E66CA8"/>
    <w:rsid w:val="17033CFE"/>
    <w:rsid w:val="170B4961"/>
    <w:rsid w:val="179901BE"/>
    <w:rsid w:val="17A44311"/>
    <w:rsid w:val="18177ED1"/>
    <w:rsid w:val="18837C5C"/>
    <w:rsid w:val="18C354F3"/>
    <w:rsid w:val="19355CC5"/>
    <w:rsid w:val="19362169"/>
    <w:rsid w:val="19397563"/>
    <w:rsid w:val="193D01D8"/>
    <w:rsid w:val="19587403"/>
    <w:rsid w:val="199B0BC1"/>
    <w:rsid w:val="19C93D85"/>
    <w:rsid w:val="1A2279A0"/>
    <w:rsid w:val="1A393BF0"/>
    <w:rsid w:val="1A66082C"/>
    <w:rsid w:val="1AE55376"/>
    <w:rsid w:val="1B0C692E"/>
    <w:rsid w:val="1BB05AD7"/>
    <w:rsid w:val="1BBE6686"/>
    <w:rsid w:val="1BC33A5C"/>
    <w:rsid w:val="1C24274C"/>
    <w:rsid w:val="1C395ACC"/>
    <w:rsid w:val="1C5260F7"/>
    <w:rsid w:val="1C654B13"/>
    <w:rsid w:val="1D210BFD"/>
    <w:rsid w:val="1D2B3667"/>
    <w:rsid w:val="1D4B5AB7"/>
    <w:rsid w:val="1D540C49"/>
    <w:rsid w:val="1D8D377B"/>
    <w:rsid w:val="1DB655BE"/>
    <w:rsid w:val="1DED3012"/>
    <w:rsid w:val="1E206E52"/>
    <w:rsid w:val="1E7164F7"/>
    <w:rsid w:val="1E8E4B6A"/>
    <w:rsid w:val="1EDD2E3F"/>
    <w:rsid w:val="1F0D396C"/>
    <w:rsid w:val="1F1F062E"/>
    <w:rsid w:val="1F312BF1"/>
    <w:rsid w:val="1F490E82"/>
    <w:rsid w:val="1F925C1F"/>
    <w:rsid w:val="1FEA5EA1"/>
    <w:rsid w:val="20370574"/>
    <w:rsid w:val="203C7A5B"/>
    <w:rsid w:val="20602C7A"/>
    <w:rsid w:val="20C148C6"/>
    <w:rsid w:val="20C46053"/>
    <w:rsid w:val="20E26732"/>
    <w:rsid w:val="215C2350"/>
    <w:rsid w:val="21C34257"/>
    <w:rsid w:val="21F4496F"/>
    <w:rsid w:val="222D7E81"/>
    <w:rsid w:val="22433DD5"/>
    <w:rsid w:val="22525B39"/>
    <w:rsid w:val="226A1CE7"/>
    <w:rsid w:val="22821F7B"/>
    <w:rsid w:val="22A40E2A"/>
    <w:rsid w:val="22CB4C39"/>
    <w:rsid w:val="22E55B06"/>
    <w:rsid w:val="22F52960"/>
    <w:rsid w:val="23250B58"/>
    <w:rsid w:val="23616034"/>
    <w:rsid w:val="23647A1C"/>
    <w:rsid w:val="23706277"/>
    <w:rsid w:val="23CB5BA3"/>
    <w:rsid w:val="242B03F0"/>
    <w:rsid w:val="24444377"/>
    <w:rsid w:val="24855D52"/>
    <w:rsid w:val="248F6BD1"/>
    <w:rsid w:val="24AF4B7D"/>
    <w:rsid w:val="24B108F5"/>
    <w:rsid w:val="24D81875"/>
    <w:rsid w:val="24E24F53"/>
    <w:rsid w:val="24E94533"/>
    <w:rsid w:val="250F386E"/>
    <w:rsid w:val="25356324"/>
    <w:rsid w:val="253B22C4"/>
    <w:rsid w:val="255A71DF"/>
    <w:rsid w:val="25764637"/>
    <w:rsid w:val="25AE3087"/>
    <w:rsid w:val="25B85CB3"/>
    <w:rsid w:val="25D52D09"/>
    <w:rsid w:val="26011794"/>
    <w:rsid w:val="26094761"/>
    <w:rsid w:val="261C4494"/>
    <w:rsid w:val="2675723C"/>
    <w:rsid w:val="26A92FFB"/>
    <w:rsid w:val="26B97F35"/>
    <w:rsid w:val="26C02369"/>
    <w:rsid w:val="26DD1E76"/>
    <w:rsid w:val="27145658"/>
    <w:rsid w:val="27283ECE"/>
    <w:rsid w:val="27286E69"/>
    <w:rsid w:val="2733425E"/>
    <w:rsid w:val="27441EF5"/>
    <w:rsid w:val="28016BEB"/>
    <w:rsid w:val="280E153D"/>
    <w:rsid w:val="285F68BA"/>
    <w:rsid w:val="2863671A"/>
    <w:rsid w:val="28836A4D"/>
    <w:rsid w:val="28AB7D51"/>
    <w:rsid w:val="28B01ACD"/>
    <w:rsid w:val="28FE4325"/>
    <w:rsid w:val="291E02EB"/>
    <w:rsid w:val="297447B0"/>
    <w:rsid w:val="29C56BF1"/>
    <w:rsid w:val="29DD4F4B"/>
    <w:rsid w:val="2A2D4EC2"/>
    <w:rsid w:val="2A3A138D"/>
    <w:rsid w:val="2A573CED"/>
    <w:rsid w:val="2A8D770F"/>
    <w:rsid w:val="2A9E7B6E"/>
    <w:rsid w:val="2AC84BEB"/>
    <w:rsid w:val="2B193346"/>
    <w:rsid w:val="2B225319"/>
    <w:rsid w:val="2B260516"/>
    <w:rsid w:val="2B2B560D"/>
    <w:rsid w:val="2B6B095B"/>
    <w:rsid w:val="2BC57C52"/>
    <w:rsid w:val="2BF11F1F"/>
    <w:rsid w:val="2C003885"/>
    <w:rsid w:val="2C2E3173"/>
    <w:rsid w:val="2C526E91"/>
    <w:rsid w:val="2C867239"/>
    <w:rsid w:val="2CD930DF"/>
    <w:rsid w:val="2D483DC1"/>
    <w:rsid w:val="2D524754"/>
    <w:rsid w:val="2D573CA4"/>
    <w:rsid w:val="2D9E61E0"/>
    <w:rsid w:val="2DCD5A64"/>
    <w:rsid w:val="2DE53D06"/>
    <w:rsid w:val="2E0C4DEE"/>
    <w:rsid w:val="2E291D46"/>
    <w:rsid w:val="2EF7784D"/>
    <w:rsid w:val="2F227824"/>
    <w:rsid w:val="2F4440CA"/>
    <w:rsid w:val="2F49150D"/>
    <w:rsid w:val="302B7E84"/>
    <w:rsid w:val="3043740F"/>
    <w:rsid w:val="30660E93"/>
    <w:rsid w:val="30C73495"/>
    <w:rsid w:val="30DF11B1"/>
    <w:rsid w:val="30EB38AE"/>
    <w:rsid w:val="31232B7B"/>
    <w:rsid w:val="31264419"/>
    <w:rsid w:val="319F3B14"/>
    <w:rsid w:val="3200110E"/>
    <w:rsid w:val="32450C5C"/>
    <w:rsid w:val="328518BA"/>
    <w:rsid w:val="32B855C8"/>
    <w:rsid w:val="32D700C1"/>
    <w:rsid w:val="331570B9"/>
    <w:rsid w:val="332B6F4B"/>
    <w:rsid w:val="33A36954"/>
    <w:rsid w:val="33B71CA0"/>
    <w:rsid w:val="33C00B55"/>
    <w:rsid w:val="33C148CD"/>
    <w:rsid w:val="33F85841"/>
    <w:rsid w:val="3402116D"/>
    <w:rsid w:val="340257AD"/>
    <w:rsid w:val="34034EE6"/>
    <w:rsid w:val="3417273F"/>
    <w:rsid w:val="342033A2"/>
    <w:rsid w:val="342B117C"/>
    <w:rsid w:val="343B467F"/>
    <w:rsid w:val="3445105A"/>
    <w:rsid w:val="347600C7"/>
    <w:rsid w:val="35216B3A"/>
    <w:rsid w:val="357240D1"/>
    <w:rsid w:val="35E46F67"/>
    <w:rsid w:val="36172D69"/>
    <w:rsid w:val="36392432"/>
    <w:rsid w:val="365A2ACD"/>
    <w:rsid w:val="367E6AA5"/>
    <w:rsid w:val="36CA1CEB"/>
    <w:rsid w:val="36F34D9D"/>
    <w:rsid w:val="37215DAE"/>
    <w:rsid w:val="37621F23"/>
    <w:rsid w:val="3768578B"/>
    <w:rsid w:val="376F6900"/>
    <w:rsid w:val="377834F5"/>
    <w:rsid w:val="379B4086"/>
    <w:rsid w:val="381E23B5"/>
    <w:rsid w:val="384E0062"/>
    <w:rsid w:val="386677F1"/>
    <w:rsid w:val="38ED3A6E"/>
    <w:rsid w:val="39404C40"/>
    <w:rsid w:val="395922F3"/>
    <w:rsid w:val="3962445C"/>
    <w:rsid w:val="39893797"/>
    <w:rsid w:val="39A1607B"/>
    <w:rsid w:val="3A6B4003"/>
    <w:rsid w:val="3AB331C1"/>
    <w:rsid w:val="3AC802EF"/>
    <w:rsid w:val="3AD06540"/>
    <w:rsid w:val="3ADF038D"/>
    <w:rsid w:val="3B223EA3"/>
    <w:rsid w:val="3B68689B"/>
    <w:rsid w:val="3B776F92"/>
    <w:rsid w:val="3BCC3E0F"/>
    <w:rsid w:val="3C2A559E"/>
    <w:rsid w:val="3C4B567C"/>
    <w:rsid w:val="3C545E01"/>
    <w:rsid w:val="3C7D2064"/>
    <w:rsid w:val="3C8666B4"/>
    <w:rsid w:val="3CAF5C0A"/>
    <w:rsid w:val="3CE358B4"/>
    <w:rsid w:val="3D4520CB"/>
    <w:rsid w:val="3D51730D"/>
    <w:rsid w:val="3E114C4C"/>
    <w:rsid w:val="3E375EB7"/>
    <w:rsid w:val="3E655A64"/>
    <w:rsid w:val="3E895FE7"/>
    <w:rsid w:val="3E8A4C21"/>
    <w:rsid w:val="3E9958B1"/>
    <w:rsid w:val="3EE719AC"/>
    <w:rsid w:val="3EEA2F2A"/>
    <w:rsid w:val="3F6833D1"/>
    <w:rsid w:val="3FAE708C"/>
    <w:rsid w:val="3FDA1030"/>
    <w:rsid w:val="3FF12C3A"/>
    <w:rsid w:val="400A54C8"/>
    <w:rsid w:val="40386761"/>
    <w:rsid w:val="409725E8"/>
    <w:rsid w:val="40A215BE"/>
    <w:rsid w:val="40FA4E7B"/>
    <w:rsid w:val="41201CCA"/>
    <w:rsid w:val="415D3E87"/>
    <w:rsid w:val="41DF489C"/>
    <w:rsid w:val="42106AA5"/>
    <w:rsid w:val="42442C17"/>
    <w:rsid w:val="425816DC"/>
    <w:rsid w:val="426E40F0"/>
    <w:rsid w:val="430C233C"/>
    <w:rsid w:val="43184112"/>
    <w:rsid w:val="43664B49"/>
    <w:rsid w:val="43730583"/>
    <w:rsid w:val="43D917BF"/>
    <w:rsid w:val="4412230A"/>
    <w:rsid w:val="44390EDF"/>
    <w:rsid w:val="445C7456"/>
    <w:rsid w:val="44623562"/>
    <w:rsid w:val="447514E8"/>
    <w:rsid w:val="447F1515"/>
    <w:rsid w:val="449D27EC"/>
    <w:rsid w:val="44A07CD1"/>
    <w:rsid w:val="45291D8C"/>
    <w:rsid w:val="45A8769B"/>
    <w:rsid w:val="45CD5A14"/>
    <w:rsid w:val="45CF2E79"/>
    <w:rsid w:val="45DB1070"/>
    <w:rsid w:val="46113492"/>
    <w:rsid w:val="46265A4F"/>
    <w:rsid w:val="464C3F11"/>
    <w:rsid w:val="46BA3E8B"/>
    <w:rsid w:val="472157E5"/>
    <w:rsid w:val="47525B10"/>
    <w:rsid w:val="478F0B12"/>
    <w:rsid w:val="47BC567F"/>
    <w:rsid w:val="47F22E4F"/>
    <w:rsid w:val="47F60B91"/>
    <w:rsid w:val="47FB61A8"/>
    <w:rsid w:val="480056D8"/>
    <w:rsid w:val="48374480"/>
    <w:rsid w:val="483F277D"/>
    <w:rsid w:val="488E2B78"/>
    <w:rsid w:val="48B40105"/>
    <w:rsid w:val="48DF1625"/>
    <w:rsid w:val="48FB2CF7"/>
    <w:rsid w:val="49107A31"/>
    <w:rsid w:val="49372EB2"/>
    <w:rsid w:val="494E5146"/>
    <w:rsid w:val="49FB621D"/>
    <w:rsid w:val="4A05080D"/>
    <w:rsid w:val="4A091ED0"/>
    <w:rsid w:val="4A7D10F6"/>
    <w:rsid w:val="4AC37A66"/>
    <w:rsid w:val="4B52754A"/>
    <w:rsid w:val="4B616322"/>
    <w:rsid w:val="4B6E3019"/>
    <w:rsid w:val="4B6F5345"/>
    <w:rsid w:val="4B8F7BC6"/>
    <w:rsid w:val="4BBA394F"/>
    <w:rsid w:val="4BFD6A13"/>
    <w:rsid w:val="4C2757BD"/>
    <w:rsid w:val="4C3C07ED"/>
    <w:rsid w:val="4C5C2F8D"/>
    <w:rsid w:val="4C7B4A9E"/>
    <w:rsid w:val="4C9170DB"/>
    <w:rsid w:val="4CC7434F"/>
    <w:rsid w:val="4D03307E"/>
    <w:rsid w:val="4D91713A"/>
    <w:rsid w:val="4DD21759"/>
    <w:rsid w:val="4DF72F6D"/>
    <w:rsid w:val="4E0A47AA"/>
    <w:rsid w:val="4E847CBD"/>
    <w:rsid w:val="4E8E2ED5"/>
    <w:rsid w:val="4ED70257"/>
    <w:rsid w:val="4F873249"/>
    <w:rsid w:val="4FEB08B0"/>
    <w:rsid w:val="4FFA0B3D"/>
    <w:rsid w:val="500951DA"/>
    <w:rsid w:val="501A1D50"/>
    <w:rsid w:val="503075AA"/>
    <w:rsid w:val="50410780"/>
    <w:rsid w:val="50524154"/>
    <w:rsid w:val="50632B3C"/>
    <w:rsid w:val="5112712D"/>
    <w:rsid w:val="5119144D"/>
    <w:rsid w:val="513A1AEF"/>
    <w:rsid w:val="51552F41"/>
    <w:rsid w:val="51B750E9"/>
    <w:rsid w:val="51BB2E7F"/>
    <w:rsid w:val="522C218B"/>
    <w:rsid w:val="529E11CC"/>
    <w:rsid w:val="52C21214"/>
    <w:rsid w:val="52D65847"/>
    <w:rsid w:val="531E71EE"/>
    <w:rsid w:val="5360493A"/>
    <w:rsid w:val="538F24EB"/>
    <w:rsid w:val="53981F52"/>
    <w:rsid w:val="53A24582"/>
    <w:rsid w:val="53A5521A"/>
    <w:rsid w:val="54974F18"/>
    <w:rsid w:val="54A576B4"/>
    <w:rsid w:val="55055AD7"/>
    <w:rsid w:val="55805F3E"/>
    <w:rsid w:val="559A2BCB"/>
    <w:rsid w:val="55A97243"/>
    <w:rsid w:val="55DA73FC"/>
    <w:rsid w:val="55FF3307"/>
    <w:rsid w:val="5685572F"/>
    <w:rsid w:val="568764C8"/>
    <w:rsid w:val="568B6949"/>
    <w:rsid w:val="56903F5F"/>
    <w:rsid w:val="56EF512A"/>
    <w:rsid w:val="570010E5"/>
    <w:rsid w:val="570109B9"/>
    <w:rsid w:val="579D4B86"/>
    <w:rsid w:val="57EA69F9"/>
    <w:rsid w:val="57ED3822"/>
    <w:rsid w:val="581326DD"/>
    <w:rsid w:val="584B45E2"/>
    <w:rsid w:val="588071E3"/>
    <w:rsid w:val="58D97369"/>
    <w:rsid w:val="59446509"/>
    <w:rsid w:val="594C53EE"/>
    <w:rsid w:val="596040BD"/>
    <w:rsid w:val="596D0588"/>
    <w:rsid w:val="598F6750"/>
    <w:rsid w:val="59A8341F"/>
    <w:rsid w:val="59B537F0"/>
    <w:rsid w:val="59C503C4"/>
    <w:rsid w:val="5A1F7AD4"/>
    <w:rsid w:val="5A3F7093"/>
    <w:rsid w:val="5AC468CD"/>
    <w:rsid w:val="5B1566C6"/>
    <w:rsid w:val="5B1935A9"/>
    <w:rsid w:val="5B1A724D"/>
    <w:rsid w:val="5B215ACE"/>
    <w:rsid w:val="5B7025B1"/>
    <w:rsid w:val="5B8624B1"/>
    <w:rsid w:val="5BD26DC8"/>
    <w:rsid w:val="5BE014E5"/>
    <w:rsid w:val="5BF07D9A"/>
    <w:rsid w:val="5C2C4F12"/>
    <w:rsid w:val="5C6300BB"/>
    <w:rsid w:val="5C806824"/>
    <w:rsid w:val="5C9D4F74"/>
    <w:rsid w:val="5CB00EB7"/>
    <w:rsid w:val="5CC34005"/>
    <w:rsid w:val="5CD21182"/>
    <w:rsid w:val="5CFC10D2"/>
    <w:rsid w:val="5D0F1411"/>
    <w:rsid w:val="5D156F6C"/>
    <w:rsid w:val="5D384925"/>
    <w:rsid w:val="5DB744C7"/>
    <w:rsid w:val="5DD0153B"/>
    <w:rsid w:val="5E0A4982"/>
    <w:rsid w:val="5E3E42E7"/>
    <w:rsid w:val="5E3F564C"/>
    <w:rsid w:val="5E682CE6"/>
    <w:rsid w:val="5EE45C2E"/>
    <w:rsid w:val="5F5064A5"/>
    <w:rsid w:val="5F6266F6"/>
    <w:rsid w:val="5FB3249C"/>
    <w:rsid w:val="5FE77349"/>
    <w:rsid w:val="602816AC"/>
    <w:rsid w:val="6079112D"/>
    <w:rsid w:val="608E20E7"/>
    <w:rsid w:val="60942A5D"/>
    <w:rsid w:val="609B1E7E"/>
    <w:rsid w:val="60B46A9C"/>
    <w:rsid w:val="615D7134"/>
    <w:rsid w:val="6189617B"/>
    <w:rsid w:val="619D39D4"/>
    <w:rsid w:val="61E6537B"/>
    <w:rsid w:val="620C0345"/>
    <w:rsid w:val="629D6E17"/>
    <w:rsid w:val="634174F0"/>
    <w:rsid w:val="6371143E"/>
    <w:rsid w:val="63B76FCF"/>
    <w:rsid w:val="63BF5E84"/>
    <w:rsid w:val="63CB2219"/>
    <w:rsid w:val="63F5294F"/>
    <w:rsid w:val="64774C22"/>
    <w:rsid w:val="64AA3411"/>
    <w:rsid w:val="64E35BA2"/>
    <w:rsid w:val="64EA1700"/>
    <w:rsid w:val="651D4188"/>
    <w:rsid w:val="6530119C"/>
    <w:rsid w:val="65353E6F"/>
    <w:rsid w:val="65546448"/>
    <w:rsid w:val="65766A16"/>
    <w:rsid w:val="65901886"/>
    <w:rsid w:val="65953E0C"/>
    <w:rsid w:val="65982BDD"/>
    <w:rsid w:val="65CC0F8F"/>
    <w:rsid w:val="665C34CD"/>
    <w:rsid w:val="666D296A"/>
    <w:rsid w:val="66B62179"/>
    <w:rsid w:val="66D2602E"/>
    <w:rsid w:val="66DB3E09"/>
    <w:rsid w:val="670E33AA"/>
    <w:rsid w:val="67584625"/>
    <w:rsid w:val="67884E65"/>
    <w:rsid w:val="6796339F"/>
    <w:rsid w:val="679A5B4D"/>
    <w:rsid w:val="679D472E"/>
    <w:rsid w:val="67A63223"/>
    <w:rsid w:val="67C84888"/>
    <w:rsid w:val="67CD72E8"/>
    <w:rsid w:val="681B5FA2"/>
    <w:rsid w:val="68727968"/>
    <w:rsid w:val="690802CD"/>
    <w:rsid w:val="69605006"/>
    <w:rsid w:val="69796E11"/>
    <w:rsid w:val="69A73B89"/>
    <w:rsid w:val="69C51D1A"/>
    <w:rsid w:val="6A3B177D"/>
    <w:rsid w:val="6A3B3D8A"/>
    <w:rsid w:val="6A616079"/>
    <w:rsid w:val="6A617C95"/>
    <w:rsid w:val="6A753740"/>
    <w:rsid w:val="6B116D78"/>
    <w:rsid w:val="6B20545A"/>
    <w:rsid w:val="6B2111D2"/>
    <w:rsid w:val="6B301415"/>
    <w:rsid w:val="6B3428F7"/>
    <w:rsid w:val="6B3B2294"/>
    <w:rsid w:val="6B620166"/>
    <w:rsid w:val="6B65611A"/>
    <w:rsid w:val="6B99375A"/>
    <w:rsid w:val="6BA8544F"/>
    <w:rsid w:val="6BF730D7"/>
    <w:rsid w:val="6C565104"/>
    <w:rsid w:val="6C602FC1"/>
    <w:rsid w:val="6C9C7C7B"/>
    <w:rsid w:val="6CB71DEE"/>
    <w:rsid w:val="6CC2668D"/>
    <w:rsid w:val="6CD02EB0"/>
    <w:rsid w:val="6CD24E7A"/>
    <w:rsid w:val="6D157495"/>
    <w:rsid w:val="6DC87723"/>
    <w:rsid w:val="6E166FE8"/>
    <w:rsid w:val="6E263E89"/>
    <w:rsid w:val="6E47692C"/>
    <w:rsid w:val="6E6164B5"/>
    <w:rsid w:val="6E62222D"/>
    <w:rsid w:val="6E7361E8"/>
    <w:rsid w:val="6EB44070"/>
    <w:rsid w:val="6EEB648C"/>
    <w:rsid w:val="6EF1592B"/>
    <w:rsid w:val="6F101C89"/>
    <w:rsid w:val="6F3112FC"/>
    <w:rsid w:val="6F394D3C"/>
    <w:rsid w:val="6F3D38C2"/>
    <w:rsid w:val="6F4D6A39"/>
    <w:rsid w:val="6FB36BC5"/>
    <w:rsid w:val="6FD24C25"/>
    <w:rsid w:val="6FE03BE8"/>
    <w:rsid w:val="6FF6546C"/>
    <w:rsid w:val="700A66D9"/>
    <w:rsid w:val="70426C52"/>
    <w:rsid w:val="7145658E"/>
    <w:rsid w:val="718537AD"/>
    <w:rsid w:val="71E04ECC"/>
    <w:rsid w:val="71E63F20"/>
    <w:rsid w:val="726437BB"/>
    <w:rsid w:val="726A127D"/>
    <w:rsid w:val="728E35F1"/>
    <w:rsid w:val="729B7ABC"/>
    <w:rsid w:val="72B8088B"/>
    <w:rsid w:val="734A4D94"/>
    <w:rsid w:val="734B2FC2"/>
    <w:rsid w:val="736D3206"/>
    <w:rsid w:val="7378018E"/>
    <w:rsid w:val="73890E04"/>
    <w:rsid w:val="73AD6CEC"/>
    <w:rsid w:val="73C91FB4"/>
    <w:rsid w:val="73DE5EB2"/>
    <w:rsid w:val="740F250F"/>
    <w:rsid w:val="74365CEE"/>
    <w:rsid w:val="743E1047"/>
    <w:rsid w:val="744228E5"/>
    <w:rsid w:val="746601C4"/>
    <w:rsid w:val="749F723D"/>
    <w:rsid w:val="74A35832"/>
    <w:rsid w:val="74A7099A"/>
    <w:rsid w:val="74D177C5"/>
    <w:rsid w:val="74E9081C"/>
    <w:rsid w:val="75257396"/>
    <w:rsid w:val="754206C3"/>
    <w:rsid w:val="754B12D3"/>
    <w:rsid w:val="75941572"/>
    <w:rsid w:val="75AB6268"/>
    <w:rsid w:val="75F220E9"/>
    <w:rsid w:val="76256605"/>
    <w:rsid w:val="76371099"/>
    <w:rsid w:val="7693567A"/>
    <w:rsid w:val="76EE28B0"/>
    <w:rsid w:val="7718515B"/>
    <w:rsid w:val="775B7B9D"/>
    <w:rsid w:val="778036C3"/>
    <w:rsid w:val="77A6276C"/>
    <w:rsid w:val="77AB07A1"/>
    <w:rsid w:val="77DD178E"/>
    <w:rsid w:val="781D5DA5"/>
    <w:rsid w:val="781E1591"/>
    <w:rsid w:val="785827F6"/>
    <w:rsid w:val="78647DA9"/>
    <w:rsid w:val="7889049B"/>
    <w:rsid w:val="78B44DDC"/>
    <w:rsid w:val="78ED57C7"/>
    <w:rsid w:val="790F4D60"/>
    <w:rsid w:val="791800B8"/>
    <w:rsid w:val="794B2AAD"/>
    <w:rsid w:val="79534C4C"/>
    <w:rsid w:val="79C8388C"/>
    <w:rsid w:val="79D3028B"/>
    <w:rsid w:val="79EC750C"/>
    <w:rsid w:val="7A0A5C53"/>
    <w:rsid w:val="7A61783D"/>
    <w:rsid w:val="7A7237F8"/>
    <w:rsid w:val="7A740891"/>
    <w:rsid w:val="7AA80846"/>
    <w:rsid w:val="7AB570B4"/>
    <w:rsid w:val="7AF17F97"/>
    <w:rsid w:val="7B0F1047"/>
    <w:rsid w:val="7B130B37"/>
    <w:rsid w:val="7B207CB9"/>
    <w:rsid w:val="7B707D38"/>
    <w:rsid w:val="7BB265A2"/>
    <w:rsid w:val="7BB65001"/>
    <w:rsid w:val="7C083123"/>
    <w:rsid w:val="7C4F5666"/>
    <w:rsid w:val="7C5036C5"/>
    <w:rsid w:val="7C570EF7"/>
    <w:rsid w:val="7C6F4E89"/>
    <w:rsid w:val="7CAB04C7"/>
    <w:rsid w:val="7D252DA4"/>
    <w:rsid w:val="7D6041D6"/>
    <w:rsid w:val="7D697134"/>
    <w:rsid w:val="7DA956A4"/>
    <w:rsid w:val="7DBD122E"/>
    <w:rsid w:val="7DCC76C3"/>
    <w:rsid w:val="7DFB04BA"/>
    <w:rsid w:val="7E0E1A8A"/>
    <w:rsid w:val="7E300756"/>
    <w:rsid w:val="7E6A6EBA"/>
    <w:rsid w:val="7E7A45CB"/>
    <w:rsid w:val="7F0562FB"/>
    <w:rsid w:val="7F0A03FD"/>
    <w:rsid w:val="7F855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line="578" w:lineRule="auto"/>
      <w:jc w:val="center"/>
      <w:outlineLvl w:val="0"/>
    </w:pPr>
    <w:rPr>
      <w:b/>
      <w:bCs/>
      <w:kern w:val="44"/>
      <w:sz w:val="44"/>
      <w:szCs w:val="44"/>
    </w:rPr>
  </w:style>
  <w:style w:type="paragraph" w:styleId="6">
    <w:name w:val="heading 2"/>
    <w:basedOn w:val="1"/>
    <w:next w:val="1"/>
    <w:link w:val="56"/>
    <w:qFormat/>
    <w:uiPriority w:val="0"/>
    <w:pPr>
      <w:keepNext/>
      <w:keepLines/>
      <w:spacing w:line="416" w:lineRule="auto"/>
      <w:outlineLvl w:val="1"/>
    </w:pPr>
    <w:rPr>
      <w:rFonts w:ascii="Arial" w:hAnsi="Arial" w:eastAsia="黑体"/>
      <w:b/>
      <w:bCs/>
      <w:sz w:val="32"/>
      <w:szCs w:val="32"/>
    </w:rPr>
  </w:style>
  <w:style w:type="paragraph" w:styleId="7">
    <w:name w:val="heading 3"/>
    <w:basedOn w:val="1"/>
    <w:next w:val="1"/>
    <w:link w:val="57"/>
    <w:qFormat/>
    <w:uiPriority w:val="0"/>
    <w:pPr>
      <w:keepNext/>
      <w:keepLines/>
      <w:spacing w:line="416" w:lineRule="auto"/>
      <w:outlineLvl w:val="2"/>
    </w:pPr>
    <w:rPr>
      <w:rFonts w:ascii="宋体" w:hAnsi="宋体" w:eastAsia="幼圆"/>
      <w:b/>
      <w:bCs/>
      <w:sz w:val="32"/>
      <w:szCs w:val="32"/>
    </w:rPr>
  </w:style>
  <w:style w:type="paragraph" w:styleId="8">
    <w:name w:val="heading 4"/>
    <w:basedOn w:val="1"/>
    <w:next w:val="1"/>
    <w:qFormat/>
    <w:uiPriority w:val="0"/>
    <w:pPr>
      <w:keepNext/>
      <w:keepLines/>
      <w:spacing w:line="376" w:lineRule="auto"/>
      <w:outlineLvl w:val="3"/>
    </w:pPr>
    <w:rPr>
      <w:rFonts w:ascii="Cambria" w:hAnsi="Cambria"/>
      <w:b/>
      <w:bCs/>
      <w:sz w:val="28"/>
      <w:szCs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style>
  <w:style w:type="paragraph" w:styleId="3">
    <w:name w:val="Body Text Indent"/>
    <w:basedOn w:val="1"/>
    <w:next w:val="4"/>
    <w:link w:val="55"/>
    <w:qFormat/>
    <w:uiPriority w:val="0"/>
    <w:rPr>
      <w:kern w:val="0"/>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style>
  <w:style w:type="paragraph" w:styleId="10">
    <w:name w:val="Normal Indent"/>
    <w:basedOn w:val="1"/>
    <w:link w:val="58"/>
    <w:qFormat/>
    <w:uiPriority w:val="0"/>
    <w:pPr>
      <w:autoSpaceDE w:val="0"/>
      <w:autoSpaceDN w:val="0"/>
      <w:adjustRightInd w:val="0"/>
      <w:ind w:firstLine="420"/>
      <w:jc w:val="left"/>
    </w:pPr>
    <w:rPr>
      <w:rFonts w:ascii="宋体"/>
      <w:kern w:val="0"/>
      <w:sz w:val="24"/>
    </w:rPr>
  </w:style>
  <w:style w:type="paragraph" w:styleId="11">
    <w:name w:val="Document Map"/>
    <w:basedOn w:val="1"/>
    <w:qFormat/>
    <w:uiPriority w:val="0"/>
    <w:pPr>
      <w:shd w:val="clear" w:color="auto" w:fill="000080"/>
    </w:pPr>
  </w:style>
  <w:style w:type="paragraph" w:styleId="12">
    <w:name w:val="annotation text"/>
    <w:basedOn w:val="1"/>
    <w:qFormat/>
    <w:uiPriority w:val="0"/>
    <w:pPr>
      <w:jc w:val="left"/>
    </w:pPr>
  </w:style>
  <w:style w:type="paragraph" w:styleId="13">
    <w:name w:val="Body Text 3"/>
    <w:basedOn w:val="1"/>
    <w:qFormat/>
    <w:uiPriority w:val="0"/>
    <w:rPr>
      <w:rFonts w:eastAsia="楷体_GB2312"/>
      <w:sz w:val="28"/>
    </w:rPr>
  </w:style>
  <w:style w:type="paragraph" w:styleId="14">
    <w:name w:val="Body Text"/>
    <w:basedOn w:val="1"/>
    <w:next w:val="15"/>
    <w:qFormat/>
    <w:uiPriority w:val="0"/>
  </w:style>
  <w:style w:type="paragraph" w:customStyle="1" w:styleId="15">
    <w:name w:val="Default"/>
    <w:next w:val="16"/>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Char Char10 Char Char Char Char"/>
    <w:basedOn w:val="1"/>
    <w:next w:val="17"/>
    <w:qFormat/>
    <w:uiPriority w:val="0"/>
  </w:style>
  <w:style w:type="paragraph" w:customStyle="1" w:styleId="17">
    <w:name w:val="xl87"/>
    <w:basedOn w:val="1"/>
    <w:next w:val="18"/>
    <w:qFormat/>
    <w:uiPriority w:val="0"/>
    <w:pPr>
      <w:widowControl/>
      <w:shd w:val="clear" w:color="FFFFFF" w:fill="FFFFFF"/>
      <w:jc w:val="right"/>
    </w:pPr>
    <w:rPr>
      <w:rFonts w:ascii="宋体"/>
      <w:sz w:val="24"/>
    </w:rPr>
  </w:style>
  <w:style w:type="paragraph" w:customStyle="1" w:styleId="18">
    <w:name w:val="xl72"/>
    <w:basedOn w:val="1"/>
    <w:next w:val="19"/>
    <w:qFormat/>
    <w:uiPriority w:val="0"/>
    <w:pPr>
      <w:widowControl/>
      <w:shd w:val="clear" w:color="FFFFFF" w:fill="FFFFFF"/>
      <w:jc w:val="right"/>
    </w:pPr>
    <w:rPr>
      <w:rFonts w:ascii="宋体"/>
      <w:sz w:val="24"/>
    </w:rPr>
  </w:style>
  <w:style w:type="paragraph" w:styleId="19">
    <w:name w:val="Date"/>
    <w:basedOn w:val="1"/>
    <w:next w:val="1"/>
    <w:qFormat/>
    <w:uiPriority w:val="0"/>
    <w:pPr>
      <w:ind w:left="100" w:leftChars="2500"/>
    </w:pPr>
    <w:rPr>
      <w:rFonts w:ascii="宋体" w:hAnsi="宋体"/>
      <w:sz w:val="28"/>
    </w:rPr>
  </w:style>
  <w:style w:type="paragraph" w:styleId="20">
    <w:name w:val="toc 5"/>
    <w:basedOn w:val="1"/>
    <w:next w:val="1"/>
    <w:qFormat/>
    <w:uiPriority w:val="0"/>
    <w:pPr>
      <w:ind w:left="1680" w:leftChars="800"/>
    </w:pPr>
  </w:style>
  <w:style w:type="paragraph" w:styleId="21">
    <w:name w:val="toc 3"/>
    <w:basedOn w:val="1"/>
    <w:next w:val="1"/>
    <w:qFormat/>
    <w:uiPriority w:val="0"/>
    <w:pPr>
      <w:ind w:left="840" w:leftChars="400"/>
    </w:pPr>
  </w:style>
  <w:style w:type="paragraph" w:styleId="22">
    <w:name w:val="Plain Text"/>
    <w:basedOn w:val="1"/>
    <w:link w:val="59"/>
    <w:qFormat/>
    <w:uiPriority w:val="0"/>
    <w:rPr>
      <w:rFonts w:hAnsi="Courier New" w:eastAsia="幼圆"/>
      <w:kern w:val="0"/>
    </w:rPr>
  </w:style>
  <w:style w:type="paragraph" w:styleId="23">
    <w:name w:val="toc 8"/>
    <w:basedOn w:val="1"/>
    <w:next w:val="1"/>
    <w:qFormat/>
    <w:uiPriority w:val="0"/>
    <w:pPr>
      <w:ind w:left="2940" w:leftChars="1400"/>
    </w:pPr>
  </w:style>
  <w:style w:type="paragraph" w:styleId="24">
    <w:name w:val="Body Text Indent 2"/>
    <w:basedOn w:val="1"/>
    <w:qFormat/>
    <w:uiPriority w:val="0"/>
    <w:pPr>
      <w:ind w:firstLine="405" w:firstLineChars="193"/>
    </w:pPr>
    <w:rPr>
      <w:rFonts w:ascii="宋体" w:hAnsi="宋体"/>
    </w:rPr>
  </w:style>
  <w:style w:type="paragraph" w:styleId="25">
    <w:name w:val="Balloon Text"/>
    <w:basedOn w:val="1"/>
    <w:link w:val="60"/>
    <w:qFormat/>
    <w:uiPriority w:val="0"/>
    <w:rPr>
      <w:rFonts w:ascii="宋体" w:hAnsi="宋体"/>
      <w:sz w:val="18"/>
      <w:szCs w:val="18"/>
    </w:rPr>
  </w:style>
  <w:style w:type="paragraph" w:styleId="26">
    <w:name w:val="footer"/>
    <w:basedOn w:val="1"/>
    <w:qFormat/>
    <w:uiPriority w:val="0"/>
    <w:pPr>
      <w:tabs>
        <w:tab w:val="center" w:pos="4153"/>
        <w:tab w:val="right" w:pos="8306"/>
      </w:tabs>
      <w:snapToGrid w:val="0"/>
      <w:jc w:val="left"/>
    </w:pPr>
    <w:rPr>
      <w:rFonts w:ascii="宋体" w:hAnsi="宋体"/>
      <w:sz w:val="18"/>
      <w:szCs w:val="18"/>
    </w:rPr>
  </w:style>
  <w:style w:type="paragraph" w:styleId="27">
    <w:name w:val="header"/>
    <w:basedOn w:val="1"/>
    <w:next w:val="26"/>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28">
    <w:name w:val="toc 1"/>
    <w:basedOn w:val="1"/>
    <w:next w:val="1"/>
    <w:qFormat/>
    <w:uiPriority w:val="39"/>
  </w:style>
  <w:style w:type="paragraph" w:styleId="29">
    <w:name w:val="toc 4"/>
    <w:basedOn w:val="1"/>
    <w:next w:val="1"/>
    <w:qFormat/>
    <w:uiPriority w:val="0"/>
    <w:pPr>
      <w:ind w:left="1260" w:leftChars="600"/>
    </w:pPr>
  </w:style>
  <w:style w:type="paragraph" w:styleId="30">
    <w:name w:val="toc 6"/>
    <w:basedOn w:val="1"/>
    <w:next w:val="1"/>
    <w:qFormat/>
    <w:uiPriority w:val="0"/>
    <w:pPr>
      <w:ind w:left="2100" w:leftChars="1000"/>
    </w:pPr>
  </w:style>
  <w:style w:type="paragraph" w:styleId="31">
    <w:name w:val="Body Text Indent 3"/>
    <w:basedOn w:val="1"/>
    <w:qFormat/>
    <w:uiPriority w:val="0"/>
    <w:pPr>
      <w:ind w:firstLine="420" w:firstLineChars="200"/>
    </w:pPr>
    <w:rPr>
      <w:rFonts w:ascii="宋体" w:hAnsi="宋体"/>
    </w:rPr>
  </w:style>
  <w:style w:type="paragraph" w:styleId="32">
    <w:name w:val="toc 2"/>
    <w:basedOn w:val="1"/>
    <w:next w:val="1"/>
    <w:qFormat/>
    <w:uiPriority w:val="0"/>
    <w:pPr>
      <w:ind w:left="420" w:leftChars="200"/>
    </w:pPr>
  </w:style>
  <w:style w:type="paragraph" w:styleId="33">
    <w:name w:val="toc 9"/>
    <w:basedOn w:val="1"/>
    <w:next w:val="1"/>
    <w:qFormat/>
    <w:uiPriority w:val="0"/>
    <w:pPr>
      <w:ind w:left="3360" w:leftChars="1600"/>
    </w:pPr>
  </w:style>
  <w:style w:type="paragraph" w:styleId="34">
    <w:name w:val="Body Text 2"/>
    <w:basedOn w:val="1"/>
    <w:qFormat/>
    <w:uiPriority w:val="0"/>
    <w:pPr>
      <w:spacing w:line="480" w:lineRule="auto"/>
    </w:pPr>
  </w:style>
  <w:style w:type="paragraph" w:styleId="35">
    <w:name w:val="Normal (Web)"/>
    <w:basedOn w:val="1"/>
    <w:qFormat/>
    <w:uiPriority w:val="0"/>
    <w:pPr>
      <w:widowControl/>
      <w:spacing w:beforeAutospacing="1" w:afterAutospacing="1"/>
      <w:jc w:val="left"/>
    </w:pPr>
    <w:rPr>
      <w:rFonts w:ascii="宋体" w:hAnsi="宋体" w:cs="宋体"/>
      <w:kern w:val="0"/>
      <w:sz w:val="24"/>
    </w:rPr>
  </w:style>
  <w:style w:type="paragraph" w:styleId="36">
    <w:name w:val="index 1"/>
    <w:basedOn w:val="1"/>
    <w:next w:val="1"/>
    <w:qFormat/>
    <w:uiPriority w:val="0"/>
  </w:style>
  <w:style w:type="paragraph" w:styleId="37">
    <w:name w:val="Title"/>
    <w:basedOn w:val="1"/>
    <w:next w:val="1"/>
    <w:qFormat/>
    <w:uiPriority w:val="0"/>
    <w:pPr>
      <w:jc w:val="center"/>
      <w:outlineLvl w:val="0"/>
    </w:pPr>
    <w:rPr>
      <w:rFonts w:ascii="Arial" w:hAnsi="Arial" w:cs="Arial"/>
      <w:b/>
      <w:bCs/>
      <w:sz w:val="32"/>
      <w:szCs w:val="32"/>
    </w:rPr>
  </w:style>
  <w:style w:type="paragraph" w:styleId="38">
    <w:name w:val="Body Text First Indent"/>
    <w:basedOn w:val="14"/>
    <w:next w:val="2"/>
    <w:qFormat/>
    <w:uiPriority w:val="0"/>
  </w:style>
  <w:style w:type="table" w:styleId="40">
    <w:name w:val="Table Grid"/>
    <w:basedOn w:val="3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page number"/>
    <w:qFormat/>
    <w:uiPriority w:val="0"/>
    <w:rPr>
      <w:lang w:val="en-US" w:eastAsia="zh-CN" w:bidi="ar-SA"/>
    </w:rPr>
  </w:style>
  <w:style w:type="character" w:styleId="43">
    <w:name w:val="FollowedHyperlink"/>
    <w:qFormat/>
    <w:uiPriority w:val="0"/>
    <w:rPr>
      <w:rFonts w:ascii="宋体" w:hAnsi="宋体" w:eastAsia="宋体"/>
      <w:color w:val="333333"/>
      <w:kern w:val="2"/>
      <w:sz w:val="18"/>
      <w:szCs w:val="18"/>
      <w:u w:val="none"/>
      <w:lang w:val="en-US" w:eastAsia="zh-CN" w:bidi="ar-SA"/>
    </w:rPr>
  </w:style>
  <w:style w:type="character" w:styleId="44">
    <w:name w:val="HTML Definition"/>
    <w:qFormat/>
    <w:uiPriority w:val="0"/>
    <w:rPr>
      <w:lang w:val="en-US" w:eastAsia="zh-CN" w:bidi="ar-SA"/>
    </w:rPr>
  </w:style>
  <w:style w:type="character" w:styleId="45">
    <w:name w:val="HTML Typewriter"/>
    <w:qFormat/>
    <w:uiPriority w:val="0"/>
    <w:rPr>
      <w:rFonts w:hint="default" w:ascii="monospace" w:hAnsi="monospace" w:eastAsia="monospace" w:cs="monospace"/>
      <w:sz w:val="20"/>
      <w:lang w:val="en-US" w:eastAsia="zh-CN" w:bidi="ar-SA"/>
    </w:rPr>
  </w:style>
  <w:style w:type="character" w:styleId="46">
    <w:name w:val="HTML Acronym"/>
    <w:qFormat/>
    <w:uiPriority w:val="0"/>
    <w:rPr>
      <w:lang w:val="en-US" w:eastAsia="zh-CN" w:bidi="ar-SA"/>
    </w:rPr>
  </w:style>
  <w:style w:type="character" w:styleId="47">
    <w:name w:val="HTML Variable"/>
    <w:qFormat/>
    <w:uiPriority w:val="0"/>
    <w:rPr>
      <w:lang w:val="en-US" w:eastAsia="zh-CN" w:bidi="ar-SA"/>
    </w:rPr>
  </w:style>
  <w:style w:type="character" w:styleId="48">
    <w:name w:val="Hyperlink"/>
    <w:qFormat/>
    <w:uiPriority w:val="99"/>
    <w:rPr>
      <w:rFonts w:ascii="宋体" w:hAnsi="宋体" w:eastAsia="宋体"/>
      <w:color w:val="0000FF"/>
      <w:kern w:val="2"/>
      <w:sz w:val="28"/>
      <w:szCs w:val="24"/>
      <w:u w:val="single"/>
      <w:lang w:val="en-US" w:eastAsia="zh-CN" w:bidi="ar-SA"/>
    </w:rPr>
  </w:style>
  <w:style w:type="character" w:styleId="49">
    <w:name w:val="HTML Code"/>
    <w:qFormat/>
    <w:uiPriority w:val="0"/>
    <w:rPr>
      <w:rFonts w:ascii="monospace" w:hAnsi="monospace" w:eastAsia="monospace" w:cs="monospace"/>
      <w:sz w:val="20"/>
      <w:lang w:val="en-US" w:eastAsia="zh-CN" w:bidi="ar-SA"/>
    </w:rPr>
  </w:style>
  <w:style w:type="character" w:styleId="50">
    <w:name w:val="HTML Cite"/>
    <w:qFormat/>
    <w:uiPriority w:val="0"/>
    <w:rPr>
      <w:lang w:val="en-US" w:eastAsia="zh-CN" w:bidi="ar-SA"/>
    </w:rPr>
  </w:style>
  <w:style w:type="character" w:styleId="51">
    <w:name w:val="HTML Keyboard"/>
    <w:qFormat/>
    <w:uiPriority w:val="0"/>
    <w:rPr>
      <w:rFonts w:hint="default" w:ascii="monospace" w:hAnsi="monospace" w:eastAsia="monospace" w:cs="monospace"/>
      <w:sz w:val="20"/>
      <w:lang w:val="en-US" w:eastAsia="zh-CN" w:bidi="ar-SA"/>
    </w:rPr>
  </w:style>
  <w:style w:type="character" w:styleId="52">
    <w:name w:val="HTML Sample"/>
    <w:qFormat/>
    <w:uiPriority w:val="0"/>
    <w:rPr>
      <w:rFonts w:hint="default" w:ascii="monospace" w:hAnsi="monospace" w:eastAsia="monospace" w:cs="monospace"/>
      <w:lang w:val="en-US" w:eastAsia="zh-CN" w:bidi="ar-SA"/>
    </w:rPr>
  </w:style>
  <w:style w:type="paragraph" w:customStyle="1" w:styleId="53">
    <w:name w:val="表格文字"/>
    <w:basedOn w:val="1"/>
    <w:next w:val="14"/>
    <w:qFormat/>
    <w:uiPriority w:val="0"/>
    <w:pPr>
      <w:adjustRightInd w:val="0"/>
      <w:spacing w:line="420" w:lineRule="atLeast"/>
      <w:jc w:val="left"/>
      <w:textAlignment w:val="baseline"/>
    </w:pPr>
    <w:rPr>
      <w:kern w:val="0"/>
    </w:rPr>
  </w:style>
  <w:style w:type="paragraph" w:customStyle="1" w:styleId="54">
    <w:name w:val="No Spacing1"/>
    <w:basedOn w:val="1"/>
    <w:qFormat/>
    <w:uiPriority w:val="0"/>
    <w:pPr>
      <w:spacing w:line="400" w:lineRule="exact"/>
    </w:pPr>
    <w:rPr>
      <w:rFonts w:ascii="Calibri" w:hAnsi="Calibri" w:cs="黑体"/>
      <w:sz w:val="24"/>
    </w:rPr>
  </w:style>
  <w:style w:type="character" w:customStyle="1" w:styleId="55">
    <w:name w:val="正文文本缩进 Char"/>
    <w:link w:val="3"/>
    <w:qFormat/>
    <w:uiPriority w:val="0"/>
    <w:rPr>
      <w:sz w:val="21"/>
      <w:lang w:val="en-US" w:eastAsia="zh-CN" w:bidi="ar-SA"/>
    </w:rPr>
  </w:style>
  <w:style w:type="character" w:customStyle="1" w:styleId="56">
    <w:name w:val="标题 2 Char"/>
    <w:link w:val="6"/>
    <w:qFormat/>
    <w:uiPriority w:val="0"/>
    <w:rPr>
      <w:rFonts w:ascii="Arial" w:hAnsi="Arial" w:eastAsia="黑体"/>
      <w:b/>
      <w:bCs/>
      <w:kern w:val="2"/>
      <w:sz w:val="32"/>
      <w:szCs w:val="32"/>
      <w:lang w:val="en-US" w:eastAsia="zh-CN" w:bidi="ar-SA"/>
    </w:rPr>
  </w:style>
  <w:style w:type="character" w:customStyle="1" w:styleId="57">
    <w:name w:val="标题 3 Char"/>
    <w:link w:val="7"/>
    <w:qFormat/>
    <w:uiPriority w:val="0"/>
    <w:rPr>
      <w:rFonts w:ascii="宋体" w:hAnsi="宋体" w:eastAsia="幼圆"/>
      <w:b/>
      <w:bCs/>
      <w:kern w:val="2"/>
      <w:sz w:val="32"/>
      <w:szCs w:val="32"/>
      <w:lang w:val="en-US" w:eastAsia="zh-CN" w:bidi="ar-SA"/>
    </w:rPr>
  </w:style>
  <w:style w:type="character" w:customStyle="1" w:styleId="58">
    <w:name w:val="正文缩进 Char"/>
    <w:link w:val="10"/>
    <w:qFormat/>
    <w:uiPriority w:val="0"/>
    <w:rPr>
      <w:rFonts w:ascii="宋体"/>
      <w:sz w:val="24"/>
    </w:rPr>
  </w:style>
  <w:style w:type="character" w:customStyle="1" w:styleId="59">
    <w:name w:val="纯文本 Char"/>
    <w:link w:val="22"/>
    <w:qFormat/>
    <w:uiPriority w:val="0"/>
    <w:rPr>
      <w:rFonts w:hAnsi="Courier New" w:eastAsia="幼圆"/>
      <w:sz w:val="21"/>
      <w:lang w:val="en-US" w:eastAsia="zh-CN" w:bidi="ar-SA"/>
    </w:rPr>
  </w:style>
  <w:style w:type="character" w:customStyle="1" w:styleId="60">
    <w:name w:val="批注框文本 Char"/>
    <w:link w:val="25"/>
    <w:qFormat/>
    <w:uiPriority w:val="0"/>
    <w:rPr>
      <w:rFonts w:ascii="宋体" w:hAnsi="宋体" w:eastAsia="宋体"/>
      <w:kern w:val="2"/>
      <w:sz w:val="18"/>
      <w:szCs w:val="18"/>
      <w:lang w:val="en-US" w:eastAsia="zh-CN" w:bidi="ar-SA"/>
    </w:rPr>
  </w:style>
  <w:style w:type="character" w:customStyle="1" w:styleId="61">
    <w:name w:val="页眉 Char Char"/>
    <w:qFormat/>
    <w:uiPriority w:val="0"/>
    <w:rPr>
      <w:rFonts w:ascii="宋体" w:hAnsi="宋体" w:eastAsia="宋体"/>
      <w:kern w:val="2"/>
      <w:sz w:val="18"/>
      <w:szCs w:val="18"/>
      <w:lang w:val="en-US" w:eastAsia="zh-CN" w:bidi="ar-SA"/>
    </w:rPr>
  </w:style>
  <w:style w:type="character" w:customStyle="1" w:styleId="62">
    <w:name w:val="页脚 Char Char"/>
    <w:qFormat/>
    <w:uiPriority w:val="0"/>
    <w:rPr>
      <w:rFonts w:ascii="宋体" w:hAnsi="宋体" w:eastAsia="宋体"/>
      <w:kern w:val="2"/>
      <w:sz w:val="18"/>
      <w:szCs w:val="18"/>
      <w:lang w:val="en-US" w:eastAsia="zh-CN" w:bidi="ar-SA"/>
    </w:rPr>
  </w:style>
  <w:style w:type="character" w:customStyle="1" w:styleId="63">
    <w:name w:val="ca-21"/>
    <w:qFormat/>
    <w:uiPriority w:val="0"/>
    <w:rPr>
      <w:rFonts w:hint="eastAsia" w:ascii="仿宋_GB2312" w:eastAsia="仿宋_GB2312"/>
      <w:sz w:val="32"/>
      <w:szCs w:val="32"/>
    </w:rPr>
  </w:style>
  <w:style w:type="character" w:customStyle="1" w:styleId="64">
    <w:name w:val="ca-31"/>
    <w:qFormat/>
    <w:uiPriority w:val="0"/>
    <w:rPr>
      <w:rFonts w:hint="eastAsia" w:ascii="仿宋_GB2312" w:eastAsia="仿宋_GB2312"/>
      <w:b/>
      <w:bCs/>
      <w:spacing w:val="-20"/>
      <w:sz w:val="32"/>
      <w:szCs w:val="32"/>
    </w:rPr>
  </w:style>
  <w:style w:type="character" w:customStyle="1" w:styleId="65">
    <w:name w:val="UserStyle_17"/>
    <w:qFormat/>
    <w:uiPriority w:val="0"/>
    <w:rPr>
      <w:rFonts w:ascii="Times New Roman" w:hAnsi="Times New Roman" w:eastAsia="宋体" w:cs="Times New Roman"/>
      <w:kern w:val="2"/>
      <w:sz w:val="21"/>
      <w:szCs w:val="24"/>
      <w:lang w:val="en-US" w:eastAsia="zh-CN" w:bidi="ar-SA"/>
    </w:rPr>
  </w:style>
  <w:style w:type="character" w:customStyle="1" w:styleId="66">
    <w:name w:val="ca-11"/>
    <w:qFormat/>
    <w:uiPriority w:val="0"/>
    <w:rPr>
      <w:rFonts w:hint="default" w:ascii="Times New Roman" w:hAnsi="Times New Roman" w:cs="Times New Roman"/>
      <w:sz w:val="32"/>
      <w:szCs w:val="32"/>
    </w:rPr>
  </w:style>
  <w:style w:type="character" w:customStyle="1" w:styleId="67">
    <w:name w:val="font11"/>
    <w:qFormat/>
    <w:uiPriority w:val="0"/>
    <w:rPr>
      <w:rFonts w:hint="eastAsia" w:ascii="宋体" w:hAnsi="宋体" w:eastAsia="宋体" w:cs="宋体"/>
      <w:color w:val="000000"/>
      <w:sz w:val="20"/>
      <w:szCs w:val="20"/>
      <w:u w:val="none"/>
    </w:rPr>
  </w:style>
  <w:style w:type="character" w:customStyle="1" w:styleId="68">
    <w:name w:val="Char Char Char"/>
    <w:qFormat/>
    <w:uiPriority w:val="0"/>
    <w:rPr>
      <w:rFonts w:ascii="Arial" w:hAnsi="Arial" w:eastAsia="黑体"/>
      <w:b/>
      <w:bCs/>
      <w:kern w:val="2"/>
      <w:sz w:val="32"/>
      <w:szCs w:val="32"/>
      <w:lang w:val="en-US" w:eastAsia="zh-CN" w:bidi="ar-SA"/>
    </w:rPr>
  </w:style>
  <w:style w:type="character" w:customStyle="1" w:styleId="69">
    <w:name w:val="ca-121"/>
    <w:qFormat/>
    <w:uiPriority w:val="0"/>
    <w:rPr>
      <w:rFonts w:hint="eastAsia" w:ascii="仿宋_GB2312" w:eastAsia="仿宋_GB2312"/>
      <w:color w:val="000000"/>
      <w:sz w:val="21"/>
      <w:szCs w:val="21"/>
    </w:rPr>
  </w:style>
  <w:style w:type="paragraph" w:customStyle="1" w:styleId="70">
    <w:name w:val="样式 正文文字 + 小四 段后: 0 磅 行距: 1.5 倍行距"/>
    <w:basedOn w:val="14"/>
    <w:qFormat/>
    <w:uiPriority w:val="0"/>
    <w:pPr>
      <w:spacing w:line="360" w:lineRule="auto"/>
      <w:ind w:firstLine="480" w:firstLineChars="200"/>
    </w:pPr>
    <w:rPr>
      <w:rFonts w:cs="宋体"/>
      <w:sz w:val="24"/>
    </w:rPr>
  </w:style>
  <w:style w:type="paragraph" w:customStyle="1" w:styleId="71">
    <w:name w:val="pa-58"/>
    <w:basedOn w:val="1"/>
    <w:qFormat/>
    <w:uiPriority w:val="0"/>
    <w:pPr>
      <w:widowControl/>
      <w:spacing w:line="240" w:lineRule="atLeast"/>
      <w:ind w:firstLine="460"/>
    </w:pPr>
    <w:rPr>
      <w:rFonts w:ascii="宋体" w:hAnsi="宋体" w:cs="宋体"/>
      <w:kern w:val="0"/>
      <w:sz w:val="24"/>
    </w:rPr>
  </w:style>
  <w:style w:type="paragraph" w:customStyle="1" w:styleId="72">
    <w:name w:val="xl26"/>
    <w:basedOn w:val="1"/>
    <w:qFormat/>
    <w:uiPriority w:val="0"/>
    <w:pPr>
      <w:widowControl/>
      <w:spacing w:beforeAutospacing="1" w:afterAutospacing="1"/>
      <w:jc w:val="left"/>
    </w:pPr>
    <w:rPr>
      <w:rFonts w:hint="eastAsia" w:ascii="仿宋_GB2312" w:hAnsi="宋体" w:eastAsia="仿宋_GB2312"/>
      <w:kern w:val="0"/>
      <w:sz w:val="32"/>
      <w:szCs w:val="32"/>
    </w:rPr>
  </w:style>
  <w:style w:type="paragraph" w:customStyle="1" w:styleId="73">
    <w:name w:val="普通(网站)1"/>
    <w:basedOn w:val="1"/>
    <w:qFormat/>
    <w:uiPriority w:val="0"/>
    <w:pPr>
      <w:widowControl/>
      <w:spacing w:beforeAutospacing="1" w:afterAutospacing="1"/>
      <w:jc w:val="left"/>
    </w:pPr>
    <w:rPr>
      <w:rFonts w:ascii="宋体" w:hAnsi="宋体" w:cs="宋体"/>
      <w:kern w:val="0"/>
      <w:sz w:val="24"/>
      <w:szCs w:val="24"/>
    </w:rPr>
  </w:style>
  <w:style w:type="paragraph" w:customStyle="1" w:styleId="74">
    <w:name w:val="pa-6"/>
    <w:basedOn w:val="1"/>
    <w:qFormat/>
    <w:uiPriority w:val="0"/>
    <w:pPr>
      <w:widowControl/>
      <w:spacing w:line="360" w:lineRule="atLeast"/>
    </w:pPr>
    <w:rPr>
      <w:rFonts w:ascii="宋体" w:hAnsi="宋体" w:cs="宋体"/>
      <w:kern w:val="0"/>
      <w:sz w:val="24"/>
    </w:rPr>
  </w:style>
  <w:style w:type="paragraph" w:customStyle="1" w:styleId="75">
    <w:name w:val="pa-2"/>
    <w:basedOn w:val="1"/>
    <w:qFormat/>
    <w:uiPriority w:val="0"/>
    <w:pPr>
      <w:widowControl/>
      <w:spacing w:line="360" w:lineRule="atLeast"/>
    </w:pPr>
    <w:rPr>
      <w:rFonts w:ascii="宋体" w:hAnsi="宋体" w:cs="宋体"/>
      <w:kern w:val="0"/>
      <w:sz w:val="24"/>
    </w:rPr>
  </w:style>
  <w:style w:type="paragraph" w:customStyle="1" w:styleId="76">
    <w:name w:val="Heading 1"/>
    <w:basedOn w:val="1"/>
    <w:qFormat/>
    <w:uiPriority w:val="0"/>
    <w:pPr>
      <w:outlineLvl w:val="1"/>
    </w:pPr>
    <w:rPr>
      <w:rFonts w:ascii="黑体" w:hAnsi="黑体" w:eastAsia="黑体"/>
      <w:b/>
      <w:bCs/>
      <w:sz w:val="44"/>
      <w:szCs w:val="44"/>
    </w:rPr>
  </w:style>
  <w:style w:type="paragraph" w:customStyle="1" w:styleId="77">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78">
    <w:name w:val="正文（首行缩进一字）"/>
    <w:basedOn w:val="1"/>
    <w:qFormat/>
    <w:uiPriority w:val="0"/>
  </w:style>
  <w:style w:type="paragraph" w:customStyle="1" w:styleId="79">
    <w:name w:val="pa-53"/>
    <w:basedOn w:val="1"/>
    <w:qFormat/>
    <w:uiPriority w:val="0"/>
    <w:pPr>
      <w:widowControl/>
      <w:spacing w:line="240" w:lineRule="atLeast"/>
    </w:pPr>
    <w:rPr>
      <w:rFonts w:ascii="宋体" w:hAnsi="宋体" w:cs="宋体"/>
      <w:kern w:val="0"/>
      <w:sz w:val="24"/>
    </w:rPr>
  </w:style>
  <w:style w:type="paragraph" w:customStyle="1" w:styleId="80">
    <w:name w:val="列出段落1"/>
    <w:basedOn w:val="1"/>
    <w:qFormat/>
    <w:uiPriority w:val="0"/>
    <w:pPr>
      <w:ind w:firstLine="420" w:firstLineChars="200"/>
    </w:pPr>
  </w:style>
  <w:style w:type="paragraph" w:customStyle="1" w:styleId="81">
    <w:name w:val="标题 11"/>
    <w:basedOn w:val="1"/>
    <w:qFormat/>
    <w:uiPriority w:val="0"/>
    <w:pPr>
      <w:jc w:val="left"/>
      <w:outlineLvl w:val="1"/>
    </w:pPr>
    <w:rPr>
      <w:rFonts w:ascii="黑体" w:hAnsi="黑体" w:eastAsia="黑体"/>
      <w:b/>
      <w:bCs/>
      <w:kern w:val="0"/>
      <w:sz w:val="44"/>
      <w:szCs w:val="44"/>
      <w:lang w:eastAsia="en-US"/>
    </w:rPr>
  </w:style>
  <w:style w:type="paragraph" w:customStyle="1" w:styleId="82">
    <w:name w:val="无间隔1"/>
    <w:basedOn w:val="1"/>
    <w:qFormat/>
    <w:uiPriority w:val="0"/>
    <w:pPr>
      <w:spacing w:line="400" w:lineRule="exact"/>
    </w:pPr>
    <w:rPr>
      <w:sz w:val="24"/>
    </w:rPr>
  </w:style>
  <w:style w:type="paragraph" w:customStyle="1" w:styleId="83">
    <w:name w:val="目录 31"/>
    <w:basedOn w:val="1"/>
    <w:qFormat/>
    <w:uiPriority w:val="0"/>
    <w:pPr>
      <w:ind w:left="330"/>
      <w:jc w:val="left"/>
    </w:pPr>
    <w:rPr>
      <w:rFonts w:ascii="宋体" w:hAnsi="宋体"/>
      <w:b/>
      <w:bCs/>
      <w:kern w:val="0"/>
      <w:sz w:val="20"/>
      <w:lang w:eastAsia="en-US"/>
    </w:rPr>
  </w:style>
  <w:style w:type="paragraph" w:customStyle="1" w:styleId="84">
    <w:name w:val="标题 21"/>
    <w:basedOn w:val="1"/>
    <w:qFormat/>
    <w:uiPriority w:val="0"/>
    <w:pPr>
      <w:ind w:left="117"/>
      <w:jc w:val="left"/>
      <w:outlineLvl w:val="2"/>
    </w:pPr>
    <w:rPr>
      <w:rFonts w:ascii="黑体" w:hAnsi="黑体" w:eastAsia="黑体"/>
      <w:b/>
      <w:bCs/>
      <w:kern w:val="0"/>
      <w:sz w:val="32"/>
      <w:szCs w:val="32"/>
      <w:lang w:eastAsia="en-US"/>
    </w:rPr>
  </w:style>
  <w:style w:type="paragraph" w:customStyle="1" w:styleId="85">
    <w:name w:val="pa-62"/>
    <w:basedOn w:val="1"/>
    <w:qFormat/>
    <w:uiPriority w:val="0"/>
    <w:pPr>
      <w:widowControl/>
      <w:spacing w:line="240" w:lineRule="atLeast"/>
    </w:pPr>
    <w:rPr>
      <w:rFonts w:ascii="宋体" w:hAnsi="宋体" w:cs="宋体"/>
      <w:kern w:val="0"/>
      <w:sz w:val="24"/>
    </w:rPr>
  </w:style>
  <w:style w:type="paragraph" w:customStyle="1" w:styleId="86">
    <w:name w:val="_Style 80"/>
    <w:qFormat/>
    <w:uiPriority w:val="0"/>
    <w:rPr>
      <w:rFonts w:ascii="Times New Roman" w:hAnsi="Times New Roman" w:eastAsia="宋体" w:cs="Times New Roman"/>
      <w:kern w:val="2"/>
      <w:sz w:val="21"/>
      <w:lang w:val="en-US" w:eastAsia="zh-CN" w:bidi="ar-SA"/>
    </w:rPr>
  </w:style>
  <w:style w:type="paragraph" w:customStyle="1" w:styleId="87">
    <w:name w:val="p0"/>
    <w:basedOn w:val="1"/>
    <w:qFormat/>
    <w:uiPriority w:val="0"/>
    <w:pPr>
      <w:widowControl/>
    </w:pPr>
    <w:rPr>
      <w:kern w:val="0"/>
      <w:szCs w:val="21"/>
    </w:rPr>
  </w:style>
  <w:style w:type="paragraph" w:customStyle="1" w:styleId="88">
    <w:name w:val="彩色列表1"/>
    <w:basedOn w:val="1"/>
    <w:qFormat/>
    <w:uiPriority w:val="0"/>
    <w:pPr>
      <w:jc w:val="left"/>
    </w:pPr>
    <w:rPr>
      <w:rFonts w:ascii="Calibri" w:hAnsi="Calibri"/>
      <w:kern w:val="0"/>
      <w:sz w:val="22"/>
      <w:szCs w:val="22"/>
      <w:lang w:eastAsia="en-US"/>
    </w:rPr>
  </w:style>
  <w:style w:type="paragraph" w:customStyle="1" w:styleId="89">
    <w:name w:val="目录 51"/>
    <w:basedOn w:val="1"/>
    <w:qFormat/>
    <w:uiPriority w:val="0"/>
    <w:pPr>
      <w:ind w:left="540"/>
      <w:jc w:val="left"/>
    </w:pPr>
    <w:rPr>
      <w:rFonts w:ascii="黑体" w:hAnsi="黑体" w:eastAsia="黑体"/>
      <w:b/>
      <w:bCs/>
      <w:i/>
      <w:kern w:val="0"/>
      <w:sz w:val="22"/>
      <w:szCs w:val="22"/>
      <w:lang w:eastAsia="en-US"/>
    </w:rPr>
  </w:style>
  <w:style w:type="paragraph" w:customStyle="1" w:styleId="90">
    <w:name w:val="目录 11"/>
    <w:basedOn w:val="1"/>
    <w:qFormat/>
    <w:uiPriority w:val="0"/>
    <w:pPr>
      <w:jc w:val="left"/>
    </w:pPr>
    <w:rPr>
      <w:rFonts w:ascii="黑体" w:hAnsi="黑体" w:eastAsia="黑体"/>
      <w:b/>
      <w:bCs/>
      <w:kern w:val="0"/>
      <w:sz w:val="20"/>
      <w:lang w:eastAsia="en-US"/>
    </w:rPr>
  </w:style>
  <w:style w:type="paragraph" w:customStyle="1" w:styleId="91">
    <w:name w:val="目录 21"/>
    <w:basedOn w:val="1"/>
    <w:qFormat/>
    <w:uiPriority w:val="0"/>
    <w:pPr>
      <w:ind w:left="126"/>
      <w:jc w:val="left"/>
    </w:pPr>
    <w:rPr>
      <w:rFonts w:ascii="宋体" w:hAnsi="宋体"/>
      <w:b/>
      <w:bCs/>
      <w:kern w:val="0"/>
      <w:sz w:val="20"/>
      <w:lang w:eastAsia="en-US"/>
    </w:rPr>
  </w:style>
  <w:style w:type="paragraph" w:customStyle="1" w:styleId="92">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3">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5">
    <w:name w:val="pa-56"/>
    <w:basedOn w:val="1"/>
    <w:qFormat/>
    <w:uiPriority w:val="0"/>
    <w:pPr>
      <w:widowControl/>
      <w:spacing w:line="240" w:lineRule="atLeast"/>
    </w:pPr>
    <w:rPr>
      <w:rFonts w:ascii="宋体" w:hAnsi="宋体" w:cs="宋体"/>
      <w:kern w:val="0"/>
      <w:sz w:val="24"/>
    </w:rPr>
  </w:style>
  <w:style w:type="paragraph" w:customStyle="1" w:styleId="96">
    <w:name w:val="Char Char Char1"/>
    <w:basedOn w:val="1"/>
    <w:qFormat/>
    <w:uiPriority w:val="0"/>
    <w:rPr>
      <w:rFonts w:ascii="Tahoma" w:hAnsi="Tahoma"/>
      <w:sz w:val="24"/>
    </w:rPr>
  </w:style>
  <w:style w:type="paragraph" w:customStyle="1" w:styleId="97">
    <w:name w:val="pa-4"/>
    <w:basedOn w:val="1"/>
    <w:qFormat/>
    <w:uiPriority w:val="0"/>
    <w:pPr>
      <w:widowControl/>
      <w:spacing w:line="360" w:lineRule="atLeast"/>
      <w:ind w:firstLine="960"/>
    </w:pPr>
    <w:rPr>
      <w:rFonts w:ascii="宋体" w:hAnsi="宋体" w:cs="宋体"/>
      <w:kern w:val="0"/>
      <w:sz w:val="24"/>
    </w:rPr>
  </w:style>
  <w:style w:type="paragraph" w:customStyle="1" w:styleId="98">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99">
    <w:name w:val="目录 41"/>
    <w:basedOn w:val="1"/>
    <w:qFormat/>
    <w:uiPriority w:val="0"/>
    <w:pPr>
      <w:ind w:left="540"/>
      <w:jc w:val="left"/>
    </w:pPr>
    <w:rPr>
      <w:rFonts w:ascii="黑体" w:hAnsi="黑体" w:eastAsia="黑体"/>
      <w:i/>
      <w:kern w:val="0"/>
      <w:szCs w:val="21"/>
      <w:lang w:eastAsia="en-US"/>
    </w:rPr>
  </w:style>
  <w:style w:type="paragraph" w:customStyle="1" w:styleId="100">
    <w:name w:val="_Style 2"/>
    <w:basedOn w:val="1"/>
    <w:qFormat/>
    <w:uiPriority w:val="0"/>
    <w:pPr>
      <w:ind w:firstLine="420" w:firstLineChars="200"/>
    </w:pPr>
    <w:rPr>
      <w:kern w:val="0"/>
      <w:sz w:val="20"/>
      <w:szCs w:val="24"/>
    </w:rPr>
  </w:style>
  <w:style w:type="paragraph" w:customStyle="1" w:styleId="101">
    <w:name w:val="彩色底纹 - 强调文字颜色 61"/>
    <w:basedOn w:val="5"/>
    <w:next w:val="1"/>
    <w:qFormat/>
    <w:uiPriority w:val="0"/>
    <w:pPr>
      <w:widowControl/>
      <w:spacing w:line="276" w:lineRule="auto"/>
      <w:jc w:val="left"/>
      <w:outlineLvl w:val="9"/>
    </w:pPr>
    <w:rPr>
      <w:rFonts w:ascii="Cambria" w:hAnsi="Cambria"/>
      <w:color w:val="365F91"/>
      <w:kern w:val="0"/>
      <w:sz w:val="28"/>
      <w:szCs w:val="28"/>
    </w:rPr>
  </w:style>
  <w:style w:type="paragraph" w:customStyle="1" w:styleId="102">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103">
    <w:name w:val="pa-57"/>
    <w:basedOn w:val="1"/>
    <w:qFormat/>
    <w:uiPriority w:val="0"/>
    <w:pPr>
      <w:widowControl/>
      <w:spacing w:line="240" w:lineRule="atLeast"/>
      <w:ind w:firstLine="480"/>
    </w:pPr>
    <w:rPr>
      <w:rFonts w:ascii="宋体" w:hAnsi="宋体" w:cs="宋体"/>
      <w:kern w:val="0"/>
      <w:sz w:val="24"/>
    </w:rPr>
  </w:style>
  <w:style w:type="paragraph" w:customStyle="1" w:styleId="104">
    <w:name w:val="Table Paragraph"/>
    <w:basedOn w:val="1"/>
    <w:qFormat/>
    <w:uiPriority w:val="0"/>
    <w:pPr>
      <w:jc w:val="left"/>
    </w:pPr>
    <w:rPr>
      <w:rFonts w:ascii="Calibri" w:hAnsi="Calibri"/>
      <w:kern w:val="0"/>
      <w:sz w:val="22"/>
      <w:szCs w:val="22"/>
      <w:lang w:eastAsia="en-US"/>
    </w:rPr>
  </w:style>
  <w:style w:type="paragraph" w:styleId="105">
    <w:name w:val="List Paragraph"/>
    <w:basedOn w:val="1"/>
    <w:qFormat/>
    <w:uiPriority w:val="34"/>
    <w:pPr>
      <w:ind w:firstLine="420" w:firstLineChars="200"/>
    </w:pPr>
    <w:rPr>
      <w:rFonts w:ascii="Calibri" w:hAnsi="Calibri"/>
      <w:szCs w:val="22"/>
    </w:rPr>
  </w:style>
  <w:style w:type="paragraph" w:customStyle="1" w:styleId="106">
    <w:name w:val="标题 31"/>
    <w:basedOn w:val="1"/>
    <w:qFormat/>
    <w:uiPriority w:val="0"/>
    <w:pPr>
      <w:ind w:left="828"/>
      <w:jc w:val="left"/>
      <w:outlineLvl w:val="3"/>
    </w:pPr>
    <w:rPr>
      <w:rFonts w:ascii="宋体" w:hAnsi="宋体"/>
      <w:b/>
      <w:bCs/>
      <w:kern w:val="0"/>
      <w:sz w:val="24"/>
      <w:szCs w:val="24"/>
      <w:lang w:eastAsia="en-US"/>
    </w:rPr>
  </w:style>
  <w:style w:type="paragraph" w:customStyle="1" w:styleId="107">
    <w:name w:val="pa-59"/>
    <w:basedOn w:val="1"/>
    <w:qFormat/>
    <w:uiPriority w:val="0"/>
    <w:pPr>
      <w:widowControl/>
      <w:spacing w:line="240" w:lineRule="atLeast"/>
      <w:ind w:firstLine="640"/>
    </w:pPr>
    <w:rPr>
      <w:rFonts w:ascii="宋体" w:hAnsi="宋体" w:cs="宋体"/>
      <w:kern w:val="0"/>
      <w:sz w:val="24"/>
    </w:rPr>
  </w:style>
  <w:style w:type="paragraph" w:customStyle="1" w:styleId="108">
    <w:name w:val="WPSOffice手动目录 1"/>
    <w:qFormat/>
    <w:uiPriority w:val="0"/>
    <w:rPr>
      <w:rFonts w:ascii="Times New Roman" w:hAnsi="Times New Roman" w:eastAsia="宋体" w:cs="Times New Roman"/>
      <w:lang w:val="en-US" w:eastAsia="zh-CN" w:bidi="ar-SA"/>
    </w:rPr>
  </w:style>
  <w:style w:type="paragraph" w:customStyle="1" w:styleId="109">
    <w:name w:val="Heading 2"/>
    <w:basedOn w:val="1"/>
    <w:qFormat/>
    <w:uiPriority w:val="0"/>
    <w:pPr>
      <w:ind w:left="117"/>
      <w:outlineLvl w:val="2"/>
    </w:pPr>
    <w:rPr>
      <w:rFonts w:ascii="黑体" w:hAnsi="黑体" w:eastAsia="黑体"/>
      <w:b/>
      <w:bCs/>
      <w:sz w:val="32"/>
      <w:szCs w:val="32"/>
    </w:rPr>
  </w:style>
  <w:style w:type="paragraph" w:customStyle="1" w:styleId="110">
    <w:name w:val="List Paragraph1"/>
    <w:basedOn w:val="1"/>
    <w:qFormat/>
    <w:uiPriority w:val="0"/>
  </w:style>
  <w:style w:type="paragraph" w:customStyle="1" w:styleId="111">
    <w:name w:val="Char Char Char Char"/>
    <w:basedOn w:val="1"/>
    <w:qFormat/>
    <w:uiPriority w:val="0"/>
    <w:rPr>
      <w:rFonts w:ascii="Tahoma" w:hAnsi="Tahoma"/>
      <w:sz w:val="24"/>
    </w:rPr>
  </w:style>
  <w:style w:type="paragraph" w:customStyle="1" w:styleId="112">
    <w:name w:val="Char"/>
    <w:basedOn w:val="1"/>
    <w:qFormat/>
    <w:uiPriority w:val="0"/>
    <w:pPr>
      <w:widowControl/>
      <w:spacing w:line="240" w:lineRule="exact"/>
      <w:jc w:val="left"/>
    </w:pPr>
    <w:rPr>
      <w:rFonts w:ascii="Verdana" w:hAnsi="Verdana" w:eastAsia="楷体_GB2312"/>
      <w:b/>
      <w:i/>
      <w:iCs/>
      <w:color w:val="000000"/>
      <w:kern w:val="0"/>
      <w:sz w:val="20"/>
      <w:lang w:eastAsia="en-US"/>
    </w:rPr>
  </w:style>
  <w:style w:type="paragraph" w:customStyle="1" w:styleId="113">
    <w:name w:val="pa-7"/>
    <w:basedOn w:val="1"/>
    <w:qFormat/>
    <w:uiPriority w:val="0"/>
    <w:pPr>
      <w:widowControl/>
      <w:spacing w:line="360" w:lineRule="atLeast"/>
      <w:ind w:firstLine="800"/>
    </w:pPr>
    <w:rPr>
      <w:rFonts w:ascii="宋体" w:hAnsi="宋体" w:cs="宋体"/>
      <w:kern w:val="0"/>
      <w:sz w:val="24"/>
    </w:rPr>
  </w:style>
  <w:style w:type="paragraph" w:customStyle="1" w:styleId="114">
    <w:name w:val="Heading 3"/>
    <w:basedOn w:val="1"/>
    <w:qFormat/>
    <w:uiPriority w:val="0"/>
    <w:pPr>
      <w:ind w:left="828"/>
      <w:outlineLvl w:val="3"/>
    </w:pPr>
    <w:rPr>
      <w:rFonts w:ascii="宋体" w:hAnsi="宋体"/>
      <w:b/>
      <w:bCs/>
      <w:sz w:val="24"/>
      <w:szCs w:val="24"/>
    </w:rPr>
  </w:style>
  <w:style w:type="paragraph" w:customStyle="1" w:styleId="115">
    <w:name w:val="Char1"/>
    <w:basedOn w:val="1"/>
    <w:qFormat/>
    <w:uiPriority w:val="0"/>
    <w:pPr>
      <w:ind w:left="567" w:hanging="283"/>
    </w:pPr>
    <w:rPr>
      <w:rFonts w:ascii="宋体" w:hAnsi="宋体"/>
      <w:sz w:val="28"/>
      <w:szCs w:val="24"/>
    </w:rPr>
  </w:style>
  <w:style w:type="paragraph" w:customStyle="1" w:styleId="116">
    <w:name w:val="正文_0"/>
    <w:qFormat/>
    <w:uiPriority w:val="0"/>
    <w:rPr>
      <w:rFonts w:ascii="Times New Roman" w:hAnsi="Times New Roman" w:eastAsia="宋体" w:cs="Times New Roman"/>
      <w:sz w:val="21"/>
      <w:lang w:val="en-US" w:eastAsia="zh-CN" w:bidi="ar-SA"/>
    </w:rPr>
  </w:style>
  <w:style w:type="paragraph" w:customStyle="1" w:styleId="117">
    <w:name w:val="0"/>
    <w:basedOn w:val="1"/>
    <w:qFormat/>
    <w:uiPriority w:val="0"/>
    <w:pPr>
      <w:widowControl/>
      <w:snapToGrid w:val="0"/>
      <w:spacing w:line="408" w:lineRule="auto"/>
      <w:ind w:left="1"/>
      <w:textAlignment w:val="bottom"/>
    </w:pPr>
    <w:rPr>
      <w:color w:val="000000"/>
      <w:kern w:val="0"/>
      <w:szCs w:val="21"/>
    </w:rPr>
  </w:style>
  <w:style w:type="paragraph" w:customStyle="1" w:styleId="118">
    <w:name w:val="pa-55"/>
    <w:basedOn w:val="1"/>
    <w:qFormat/>
    <w:uiPriority w:val="0"/>
    <w:pPr>
      <w:widowControl/>
      <w:spacing w:line="240" w:lineRule="atLeast"/>
      <w:ind w:firstLine="420"/>
    </w:pPr>
    <w:rPr>
      <w:rFonts w:ascii="宋体" w:hAnsi="宋体" w:cs="宋体"/>
      <w:kern w:val="0"/>
      <w:sz w:val="24"/>
    </w:rPr>
  </w:style>
  <w:style w:type="paragraph" w:customStyle="1" w:styleId="119">
    <w:name w:val="pa-1"/>
    <w:basedOn w:val="1"/>
    <w:qFormat/>
    <w:uiPriority w:val="0"/>
    <w:pPr>
      <w:widowControl/>
      <w:spacing w:line="360" w:lineRule="atLeast"/>
      <w:ind w:firstLine="640"/>
    </w:pPr>
    <w:rPr>
      <w:rFonts w:ascii="宋体" w:hAnsi="宋体" w:cs="宋体"/>
      <w:kern w:val="0"/>
      <w:sz w:val="24"/>
    </w:rPr>
  </w:style>
  <w:style w:type="table" w:customStyle="1" w:styleId="120">
    <w:name w:val="Table Normal"/>
    <w:semiHidden/>
    <w:unhideWhenUsed/>
    <w:qFormat/>
    <w:uiPriority w:val="0"/>
    <w:tblPr>
      <w:tblCellMar>
        <w:top w:w="0" w:type="dxa"/>
        <w:left w:w="0" w:type="dxa"/>
        <w:bottom w:w="0" w:type="dxa"/>
        <w:right w:w="0" w:type="dxa"/>
      </w:tblCellMar>
    </w:tblPr>
  </w:style>
  <w:style w:type="character" w:customStyle="1" w:styleId="121">
    <w:name w:val="font21"/>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Info spid="_x0000_s3080"/>
    <customShpInfo spid="_x0000_s3078"/>
    <customShpInfo spid="_x0000_s3077"/>
    <customShpInfo spid="_x0000_s3075"/>
    <customShpInfo spid="_x0000_s3076"/>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31578</Words>
  <Characters>34456</Characters>
  <Lines>280</Lines>
  <Paragraphs>79</Paragraphs>
  <TotalTime>0</TotalTime>
  <ScaleCrop>false</ScaleCrop>
  <LinksUpToDate>false</LinksUpToDate>
  <CharactersWithSpaces>36525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王俊博</cp:lastModifiedBy>
  <cp:lastPrinted>2023-05-25T06:45:00Z</cp:lastPrinted>
  <dcterms:modified xsi:type="dcterms:W3CDTF">2023-06-06T07:26:51Z</dcterms:modified>
  <dc:title>工程施工招标</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A36695D2C29F47C2B7AD2F27E0519FD1</vt:lpwstr>
  </property>
</Properties>
</file>