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48"/>
          <w:lang w:eastAsia="zh-CN"/>
        </w:rPr>
      </w:pPr>
    </w:p>
    <w:p>
      <w:pPr>
        <w:jc w:val="center"/>
        <w:rPr>
          <w:rFonts w:hint="eastAsia" w:ascii="宋体" w:hAnsi="宋体" w:eastAsia="宋体" w:cs="宋体"/>
          <w:b/>
          <w:sz w:val="48"/>
          <w:szCs w:val="48"/>
        </w:rPr>
      </w:pPr>
      <w:r>
        <w:rPr>
          <w:rFonts w:hint="eastAsia" w:ascii="宋体" w:hAnsi="宋体"/>
          <w:b/>
          <w:bCs/>
          <w:sz w:val="48"/>
          <w:szCs w:val="48"/>
          <w:lang w:eastAsia="zh-CN"/>
        </w:rPr>
        <w:t>武陟县市场监督管理局食品安全抽样检测工作</w:t>
      </w:r>
      <w:r>
        <w:rPr>
          <w:rFonts w:hint="eastAsia" w:ascii="宋体" w:hAnsi="宋体"/>
          <w:b/>
          <w:bCs/>
          <w:sz w:val="48"/>
          <w:szCs w:val="48"/>
          <w:lang w:val="en-US" w:eastAsia="zh-CN"/>
        </w:rPr>
        <w:t>一</w:t>
      </w:r>
      <w:r>
        <w:rPr>
          <w:rFonts w:hint="eastAsia" w:ascii="宋体" w:hAnsi="宋体"/>
          <w:b/>
          <w:bCs/>
          <w:sz w:val="48"/>
          <w:szCs w:val="48"/>
          <w:lang w:eastAsia="zh-CN"/>
        </w:rPr>
        <w:t>包</w:t>
      </w:r>
    </w:p>
    <w:p>
      <w:pPr>
        <w:jc w:val="center"/>
        <w:rPr>
          <w:rFonts w:hint="eastAsia" w:ascii="宋体" w:hAnsi="宋体" w:eastAsia="宋体" w:cs="宋体"/>
          <w:b/>
          <w:sz w:val="44"/>
          <w:szCs w:val="44"/>
        </w:rPr>
      </w:pPr>
    </w:p>
    <w:p>
      <w:pPr>
        <w:jc w:val="center"/>
        <w:rPr>
          <w:rFonts w:hint="eastAsia" w:ascii="宋体" w:hAnsi="宋体" w:eastAsia="宋体" w:cs="宋体"/>
          <w:b/>
          <w:sz w:val="44"/>
          <w:szCs w:val="44"/>
        </w:rPr>
      </w:pPr>
    </w:p>
    <w:p>
      <w:pPr>
        <w:pStyle w:val="15"/>
        <w:rPr>
          <w:rFonts w:hint="eastAsia" w:ascii="宋体" w:hAnsi="宋体" w:eastAsia="宋体" w:cs="宋体"/>
          <w:b/>
          <w:sz w:val="44"/>
          <w:szCs w:val="44"/>
        </w:rPr>
      </w:pPr>
    </w:p>
    <w:p>
      <w:pPr>
        <w:jc w:val="center"/>
        <w:outlineLvl w:val="9"/>
        <w:rPr>
          <w:rFonts w:hint="eastAsia" w:ascii="宋体" w:hAnsi="宋体" w:eastAsia="宋体" w:cs="宋体"/>
          <w:b/>
          <w:sz w:val="40"/>
          <w:szCs w:val="40"/>
        </w:rPr>
      </w:pPr>
      <w:bookmarkStart w:id="0" w:name="_Toc7435"/>
      <w:bookmarkStart w:id="1" w:name="_Toc29289"/>
      <w:bookmarkStart w:id="2" w:name="_Toc26136"/>
      <w:bookmarkStart w:id="3" w:name="_Toc20729"/>
      <w:bookmarkStart w:id="4" w:name="_Toc1554"/>
      <w:r>
        <w:rPr>
          <w:rFonts w:hint="eastAsia" w:ascii="宋体" w:hAnsi="宋体" w:eastAsia="宋体" w:cs="宋体"/>
          <w:b/>
          <w:sz w:val="72"/>
          <w:szCs w:val="72"/>
        </w:rPr>
        <w:t>竞争性磋商文件</w:t>
      </w:r>
      <w:bookmarkEnd w:id="0"/>
      <w:bookmarkEnd w:id="1"/>
      <w:bookmarkEnd w:id="2"/>
      <w:bookmarkEnd w:id="3"/>
      <w:bookmarkEnd w:id="4"/>
    </w:p>
    <w:p>
      <w:pPr>
        <w:widowControl/>
        <w:spacing w:line="360" w:lineRule="auto"/>
        <w:ind w:firstLine="2548" w:firstLineChars="846"/>
        <w:jc w:val="left"/>
        <w:rPr>
          <w:rFonts w:hint="eastAsia" w:ascii="宋体" w:hAnsi="宋体"/>
          <w:b/>
          <w:sz w:val="30"/>
          <w:szCs w:val="30"/>
        </w:rPr>
      </w:pPr>
      <w:r>
        <w:rPr>
          <w:rFonts w:hint="eastAsia" w:ascii="宋体" w:hAnsi="宋体"/>
          <w:b/>
          <w:sz w:val="30"/>
          <w:szCs w:val="30"/>
          <w:lang w:eastAsia="zh-CN"/>
        </w:rPr>
        <w:t>项目编号</w:t>
      </w:r>
      <w:r>
        <w:rPr>
          <w:rFonts w:hint="eastAsia" w:ascii="宋体" w:hAnsi="宋体"/>
          <w:b/>
          <w:sz w:val="30"/>
          <w:szCs w:val="30"/>
        </w:rPr>
        <w:t>：</w:t>
      </w:r>
      <w:r>
        <w:rPr>
          <w:rFonts w:hint="eastAsia" w:ascii="宋体" w:hAnsi="宋体"/>
          <w:b/>
          <w:sz w:val="30"/>
          <w:szCs w:val="30"/>
          <w:lang w:val="en-US" w:eastAsia="zh-CN"/>
        </w:rPr>
        <w:t>2023-CS-037</w:t>
      </w:r>
    </w:p>
    <w:p>
      <w:pPr>
        <w:jc w:val="center"/>
        <w:rPr>
          <w:rFonts w:hint="eastAsia" w:ascii="宋体" w:hAnsi="宋体" w:eastAsia="宋体" w:cs="宋体"/>
        </w:rPr>
      </w:pPr>
    </w:p>
    <w:p>
      <w:pPr>
        <w:jc w:val="center"/>
        <w:rPr>
          <w:rFonts w:hint="eastAsia" w:ascii="宋体" w:hAnsi="宋体" w:eastAsia="宋体" w:cs="宋体"/>
        </w:rPr>
      </w:pPr>
    </w:p>
    <w:p>
      <w:pPr>
        <w:rPr>
          <w:rFonts w:hint="eastAsia" w:ascii="宋体" w:hAnsi="宋体" w:eastAsia="宋体" w:cs="宋体"/>
        </w:rPr>
      </w:pPr>
    </w:p>
    <w:p>
      <w:pPr>
        <w:pStyle w:val="15"/>
        <w:rPr>
          <w:rFonts w:hint="eastAsia" w:ascii="宋体" w:hAnsi="宋体" w:eastAsia="宋体" w:cs="宋体"/>
        </w:rPr>
      </w:pPr>
    </w:p>
    <w:p>
      <w:pPr>
        <w:pStyle w:val="11"/>
        <w:rPr>
          <w:rFonts w:hint="eastAsia" w:ascii="宋体" w:hAnsi="宋体" w:eastAsia="宋体" w:cs="宋体"/>
        </w:rPr>
      </w:pPr>
    </w:p>
    <w:p>
      <w:pPr>
        <w:rPr>
          <w:rFonts w:hint="eastAsia"/>
        </w:rPr>
      </w:pPr>
    </w:p>
    <w:p>
      <w:pPr>
        <w:jc w:val="both"/>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ind w:firstLine="840" w:firstLineChars="400"/>
        <w:jc w:val="left"/>
        <w:rPr>
          <w:rFonts w:hint="eastAsia" w:ascii="宋体" w:hAnsi="宋体" w:eastAsia="宋体" w:cs="宋体"/>
        </w:rPr>
      </w:pPr>
    </w:p>
    <w:p>
      <w:pPr>
        <w:rPr>
          <w:rFonts w:hint="eastAsia" w:ascii="宋体" w:hAnsi="宋体" w:cs="宋体"/>
          <w:sz w:val="32"/>
          <w:u w:val="single"/>
        </w:rPr>
      </w:pPr>
      <w:r>
        <w:rPr>
          <w:rFonts w:hint="eastAsia" w:ascii="宋体" w:hAnsi="宋体" w:eastAsia="宋体" w:cs="宋体"/>
          <w:sz w:val="32"/>
        </w:rPr>
        <w:t xml:space="preserve">         </w:t>
      </w:r>
      <w:r>
        <w:rPr>
          <w:rFonts w:hint="eastAsia" w:ascii="宋体" w:hAnsi="宋体" w:cs="宋体"/>
          <w:sz w:val="32"/>
        </w:rPr>
        <w:t>采 购 人：</w:t>
      </w:r>
      <w:r>
        <w:rPr>
          <w:rFonts w:hint="eastAsia" w:ascii="宋体" w:hAnsi="宋体" w:cs="宋体"/>
          <w:sz w:val="32"/>
          <w:lang w:eastAsia="zh-CN"/>
        </w:rPr>
        <w:t>武陟县市场监督管理局</w:t>
      </w:r>
    </w:p>
    <w:p>
      <w:pPr>
        <w:rPr>
          <w:rFonts w:hint="eastAsia" w:ascii="宋体" w:hAnsi="宋体" w:eastAsia="宋体" w:cs="宋体"/>
          <w:sz w:val="32"/>
          <w:u w:val="single"/>
          <w:lang w:val="en-US" w:eastAsia="zh-CN"/>
        </w:rPr>
      </w:pPr>
      <w:r>
        <w:rPr>
          <w:rFonts w:hint="eastAsia" w:ascii="宋体" w:hAnsi="宋体" w:cs="宋体"/>
          <w:sz w:val="32"/>
        </w:rPr>
        <w:t xml:space="preserve">         采购代理机构：</w:t>
      </w:r>
      <w:r>
        <w:rPr>
          <w:rFonts w:hint="eastAsia" w:ascii="宋体" w:hAnsi="宋体" w:cs="宋体"/>
          <w:sz w:val="32"/>
          <w:lang w:eastAsia="zh-CN"/>
        </w:rPr>
        <w:t>达信建设发展有限公司</w:t>
      </w:r>
    </w:p>
    <w:p>
      <w:pPr>
        <w:rPr>
          <w:rFonts w:hint="eastAsia" w:ascii="宋体" w:hAnsi="宋体" w:eastAsia="宋体" w:cs="宋体"/>
          <w:sz w:val="32"/>
          <w:u w:val="single"/>
        </w:rPr>
      </w:pPr>
    </w:p>
    <w:p>
      <w:pPr>
        <w:jc w:val="center"/>
        <w:rPr>
          <w:rFonts w:hint="eastAsia" w:ascii="宋体" w:hAnsi="宋体" w:eastAsia="宋体" w:cs="宋体"/>
          <w:sz w:val="28"/>
          <w:szCs w:val="28"/>
        </w:rPr>
        <w:sectPr>
          <w:footerReference r:id="rId6" w:type="first"/>
          <w:headerReference r:id="rId3" w:type="default"/>
          <w:footerReference r:id="rId5" w:type="default"/>
          <w:headerReference r:id="rId4" w:type="even"/>
          <w:pgSz w:w="11906" w:h="16838"/>
          <w:pgMar w:top="1440" w:right="1286" w:bottom="1440" w:left="1800" w:header="851" w:footer="992" w:gutter="0"/>
          <w:pgNumType w:fmt="decimal" w:start="1"/>
          <w:cols w:space="720" w:num="1"/>
          <w:docGrid w:type="lines" w:linePitch="312" w:charSpace="0"/>
        </w:sectPr>
      </w:pPr>
    </w:p>
    <w:p>
      <w:pPr>
        <w:pStyle w:val="8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FF0000"/>
          <w:kern w:val="2"/>
          <w:sz w:val="28"/>
          <w:szCs w:val="28"/>
          <w:lang w:val="en-US" w:eastAsia="zh-CN" w:bidi="ar-SA"/>
        </w:rPr>
      </w:pPr>
      <w:r>
        <w:rPr>
          <w:rFonts w:hint="eastAsia" w:ascii="宋体" w:hAnsi="宋体" w:eastAsia="宋体" w:cs="宋体"/>
          <w:sz w:val="28"/>
          <w:szCs w:val="28"/>
        </w:rPr>
        <w:t>目录</w:t>
      </w:r>
      <w:r>
        <w:rPr>
          <w:rFonts w:hint="eastAsia" w:ascii="宋体" w:hAnsi="宋体" w:eastAsia="宋体" w:cs="宋体"/>
          <w:b/>
          <w:color w:val="FF0000"/>
          <w:sz w:val="28"/>
          <w:szCs w:val="28"/>
        </w:rPr>
        <w:fldChar w:fldCharType="begin"/>
      </w:r>
      <w:r>
        <w:rPr>
          <w:rFonts w:hint="eastAsia" w:ascii="宋体" w:hAnsi="宋体" w:eastAsia="宋体" w:cs="宋体"/>
          <w:b/>
          <w:color w:val="FF0000"/>
          <w:sz w:val="28"/>
          <w:szCs w:val="28"/>
        </w:rPr>
        <w:instrText xml:space="preserve">TOC \o "1-1" \h \u </w:instrText>
      </w:r>
      <w:r>
        <w:rPr>
          <w:rFonts w:hint="eastAsia" w:ascii="宋体" w:hAnsi="宋体" w:eastAsia="宋体" w:cs="宋体"/>
          <w:b/>
          <w:color w:val="FF0000"/>
          <w:sz w:val="28"/>
          <w:szCs w:val="28"/>
        </w:rPr>
        <w:fldChar w:fldCharType="separate"/>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_Toc30299 </w:instrText>
      </w:r>
      <w:r>
        <w:rPr>
          <w:rFonts w:hint="eastAsia" w:ascii="宋体" w:hAnsi="宋体" w:eastAsia="宋体" w:cs="宋体"/>
          <w:sz w:val="28"/>
          <w:szCs w:val="28"/>
        </w:rPr>
        <w:fldChar w:fldCharType="separate"/>
      </w:r>
      <w:r>
        <w:rPr>
          <w:rFonts w:hint="eastAsia"/>
          <w:bCs/>
          <w:sz w:val="28"/>
          <w:szCs w:val="28"/>
        </w:rPr>
        <w:t xml:space="preserve">第一章 </w:t>
      </w:r>
      <w:r>
        <w:rPr>
          <w:rFonts w:hint="eastAsia"/>
          <w:sz w:val="28"/>
          <w:szCs w:val="28"/>
        </w:rPr>
        <w:t>竞争性磋商公告</w:t>
      </w:r>
      <w:r>
        <w:rPr>
          <w:sz w:val="28"/>
          <w:szCs w:val="28"/>
        </w:rPr>
        <w:tab/>
      </w:r>
      <w:r>
        <w:rPr>
          <w:sz w:val="28"/>
          <w:szCs w:val="28"/>
        </w:rPr>
        <w:fldChar w:fldCharType="begin"/>
      </w:r>
      <w:r>
        <w:rPr>
          <w:sz w:val="28"/>
          <w:szCs w:val="28"/>
        </w:rPr>
        <w:instrText xml:space="preserve"> PAGEREF _Toc30299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_Toc7876 </w:instrText>
      </w:r>
      <w:r>
        <w:rPr>
          <w:rFonts w:hint="eastAsia" w:ascii="宋体" w:hAnsi="宋体" w:eastAsia="宋体" w:cs="宋体"/>
          <w:sz w:val="28"/>
          <w:szCs w:val="28"/>
        </w:rPr>
        <w:fldChar w:fldCharType="separate"/>
      </w:r>
      <w:r>
        <w:rPr>
          <w:rFonts w:hint="eastAsia"/>
          <w:bCs/>
          <w:sz w:val="28"/>
          <w:szCs w:val="28"/>
        </w:rPr>
        <w:t xml:space="preserve">第二章 </w:t>
      </w:r>
      <w:r>
        <w:rPr>
          <w:rFonts w:hint="eastAsia"/>
          <w:sz w:val="28"/>
          <w:szCs w:val="28"/>
        </w:rPr>
        <w:t>供应商须知</w:t>
      </w:r>
      <w:r>
        <w:rPr>
          <w:sz w:val="28"/>
          <w:szCs w:val="28"/>
        </w:rPr>
        <w:tab/>
      </w:r>
      <w:r>
        <w:rPr>
          <w:sz w:val="28"/>
          <w:szCs w:val="28"/>
        </w:rPr>
        <w:fldChar w:fldCharType="begin"/>
      </w:r>
      <w:r>
        <w:rPr>
          <w:sz w:val="28"/>
          <w:szCs w:val="28"/>
        </w:rPr>
        <w:instrText xml:space="preserve"> PAGEREF _Toc7876 \h </w:instrText>
      </w:r>
      <w:r>
        <w:rPr>
          <w:sz w:val="28"/>
          <w:szCs w:val="28"/>
        </w:rPr>
        <w:fldChar w:fldCharType="separate"/>
      </w:r>
      <w:r>
        <w:rPr>
          <w:sz w:val="28"/>
          <w:szCs w:val="28"/>
        </w:rPr>
        <w:t>6</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_Toc637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第三章 </w:t>
      </w:r>
      <w:r>
        <w:rPr>
          <w:rFonts w:hint="eastAsia" w:ascii="宋体" w:hAnsi="宋体" w:eastAsia="宋体" w:cs="宋体"/>
          <w:sz w:val="28"/>
          <w:szCs w:val="28"/>
        </w:rPr>
        <w:t>评审方法和评审标准</w:t>
      </w:r>
      <w:r>
        <w:rPr>
          <w:sz w:val="28"/>
          <w:szCs w:val="28"/>
        </w:rPr>
        <w:tab/>
      </w:r>
      <w:r>
        <w:rPr>
          <w:sz w:val="28"/>
          <w:szCs w:val="28"/>
        </w:rPr>
        <w:fldChar w:fldCharType="begin"/>
      </w:r>
      <w:r>
        <w:rPr>
          <w:sz w:val="28"/>
          <w:szCs w:val="28"/>
        </w:rPr>
        <w:instrText xml:space="preserve"> PAGEREF _Toc637 \h </w:instrText>
      </w:r>
      <w:r>
        <w:rPr>
          <w:sz w:val="28"/>
          <w:szCs w:val="28"/>
        </w:rPr>
        <w:fldChar w:fldCharType="separate"/>
      </w:r>
      <w:r>
        <w:rPr>
          <w:sz w:val="28"/>
          <w:szCs w:val="28"/>
        </w:rPr>
        <w:t>24</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_Toc5542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第四章 </w:t>
      </w:r>
      <w:r>
        <w:rPr>
          <w:rFonts w:hint="eastAsia" w:ascii="宋体" w:hAnsi="宋体" w:eastAsia="宋体" w:cs="宋体"/>
          <w:sz w:val="28"/>
          <w:szCs w:val="28"/>
        </w:rPr>
        <w:t>拟签订</w:t>
      </w:r>
      <w:r>
        <w:rPr>
          <w:rFonts w:hint="eastAsia" w:ascii="宋体" w:hAnsi="宋体" w:cs="宋体"/>
          <w:sz w:val="28"/>
          <w:szCs w:val="28"/>
          <w:lang w:eastAsia="zh-CN"/>
        </w:rPr>
        <w:t>的</w:t>
      </w:r>
      <w:r>
        <w:rPr>
          <w:rFonts w:hint="eastAsia" w:ascii="宋体" w:hAnsi="宋体" w:eastAsia="宋体" w:cs="宋体"/>
          <w:sz w:val="28"/>
          <w:szCs w:val="28"/>
        </w:rPr>
        <w:t>合同</w:t>
      </w:r>
      <w:r>
        <w:rPr>
          <w:rFonts w:hint="eastAsia" w:ascii="宋体" w:hAnsi="宋体" w:cs="宋体"/>
          <w:sz w:val="28"/>
          <w:szCs w:val="28"/>
          <w:lang w:eastAsia="zh-CN"/>
        </w:rPr>
        <w:t>文本</w:t>
      </w:r>
      <w:r>
        <w:rPr>
          <w:sz w:val="28"/>
          <w:szCs w:val="28"/>
        </w:rPr>
        <w:tab/>
      </w:r>
      <w:r>
        <w:rPr>
          <w:sz w:val="28"/>
          <w:szCs w:val="28"/>
        </w:rPr>
        <w:fldChar w:fldCharType="begin"/>
      </w:r>
      <w:r>
        <w:rPr>
          <w:sz w:val="28"/>
          <w:szCs w:val="28"/>
        </w:rPr>
        <w:instrText xml:space="preserve"> PAGEREF _Toc5542 \h </w:instrText>
      </w:r>
      <w:r>
        <w:rPr>
          <w:sz w:val="28"/>
          <w:szCs w:val="28"/>
        </w:rPr>
        <w:fldChar w:fldCharType="separate"/>
      </w:r>
      <w:r>
        <w:rPr>
          <w:sz w:val="28"/>
          <w:szCs w:val="28"/>
        </w:rPr>
        <w:t>28</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_Toc24987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第五章 </w:t>
      </w:r>
      <w:r>
        <w:rPr>
          <w:rFonts w:hint="eastAsia" w:ascii="宋体" w:hAnsi="宋体" w:eastAsia="宋体" w:cs="宋体"/>
          <w:sz w:val="28"/>
          <w:szCs w:val="28"/>
        </w:rPr>
        <w:t>采购需求</w:t>
      </w:r>
      <w:r>
        <w:rPr>
          <w:sz w:val="28"/>
          <w:szCs w:val="28"/>
        </w:rPr>
        <w:tab/>
      </w:r>
      <w:r>
        <w:rPr>
          <w:sz w:val="28"/>
          <w:szCs w:val="28"/>
        </w:rPr>
        <w:fldChar w:fldCharType="begin"/>
      </w:r>
      <w:r>
        <w:rPr>
          <w:sz w:val="28"/>
          <w:szCs w:val="28"/>
        </w:rPr>
        <w:instrText xml:space="preserve"> PAGEREF _Toc24987 \h </w:instrText>
      </w:r>
      <w:r>
        <w:rPr>
          <w:sz w:val="28"/>
          <w:szCs w:val="28"/>
        </w:rPr>
        <w:fldChar w:fldCharType="separate"/>
      </w:r>
      <w:r>
        <w:rPr>
          <w:sz w:val="28"/>
          <w:szCs w:val="28"/>
        </w:rPr>
        <w:t>30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_Toc17770 </w:instrText>
      </w:r>
      <w:r>
        <w:rPr>
          <w:rFonts w:hint="eastAsia" w:ascii="宋体" w:hAnsi="宋体" w:eastAsia="宋体" w:cs="宋体"/>
          <w:sz w:val="28"/>
          <w:szCs w:val="28"/>
        </w:rPr>
        <w:fldChar w:fldCharType="separate"/>
      </w:r>
      <w:r>
        <w:rPr>
          <w:rFonts w:hint="eastAsia" w:ascii="宋体" w:hAnsi="宋体" w:eastAsia="宋体" w:cs="宋体"/>
          <w:bCs/>
          <w:sz w:val="28"/>
          <w:szCs w:val="28"/>
        </w:rPr>
        <w:t xml:space="preserve">第六章 </w:t>
      </w:r>
      <w:r>
        <w:rPr>
          <w:rFonts w:hint="eastAsia" w:ascii="宋体" w:hAnsi="宋体" w:eastAsia="宋体" w:cs="宋体"/>
          <w:sz w:val="28"/>
          <w:szCs w:val="28"/>
        </w:rPr>
        <w:t>响应文件格式</w:t>
      </w:r>
      <w:r>
        <w:rPr>
          <w:sz w:val="28"/>
          <w:szCs w:val="28"/>
        </w:rPr>
        <w:tab/>
      </w:r>
      <w:r>
        <w:rPr>
          <w:sz w:val="28"/>
          <w:szCs w:val="28"/>
        </w:rPr>
        <w:fldChar w:fldCharType="begin"/>
      </w:r>
      <w:r>
        <w:rPr>
          <w:sz w:val="28"/>
          <w:szCs w:val="28"/>
        </w:rPr>
        <w:instrText xml:space="preserve"> PAGEREF _Toc17770 \h </w:instrText>
      </w:r>
      <w:r>
        <w:rPr>
          <w:sz w:val="28"/>
          <w:szCs w:val="28"/>
        </w:rPr>
        <w:fldChar w:fldCharType="separate"/>
      </w:r>
      <w:r>
        <w:rPr>
          <w:sz w:val="28"/>
          <w:szCs w:val="28"/>
        </w:rPr>
        <w:t>45</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_Toc17218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1. </w:t>
      </w:r>
      <w:r>
        <w:rPr>
          <w:rFonts w:hint="eastAsia" w:ascii="宋体" w:hAnsi="宋体" w:eastAsia="宋体" w:cs="宋体"/>
          <w:sz w:val="28"/>
          <w:szCs w:val="28"/>
          <w:lang w:eastAsia="zh-CN"/>
        </w:rPr>
        <w:t>磋商</w:t>
      </w:r>
      <w:r>
        <w:rPr>
          <w:rFonts w:hint="eastAsia" w:ascii="宋体" w:hAnsi="宋体" w:eastAsia="宋体" w:cs="宋体"/>
          <w:sz w:val="28"/>
          <w:szCs w:val="28"/>
        </w:rPr>
        <w:t>承诺函</w:t>
      </w:r>
      <w:r>
        <w:rPr>
          <w:sz w:val="28"/>
          <w:szCs w:val="28"/>
        </w:rPr>
        <w:tab/>
      </w:r>
      <w:r>
        <w:rPr>
          <w:sz w:val="28"/>
          <w:szCs w:val="28"/>
        </w:rPr>
        <w:fldChar w:fldCharType="begin"/>
      </w:r>
      <w:r>
        <w:rPr>
          <w:sz w:val="28"/>
          <w:szCs w:val="28"/>
        </w:rPr>
        <w:instrText xml:space="preserve"> PAGEREF _Toc17218 \h </w:instrText>
      </w:r>
      <w:r>
        <w:rPr>
          <w:sz w:val="28"/>
          <w:szCs w:val="28"/>
        </w:rPr>
        <w:fldChar w:fldCharType="separate"/>
      </w:r>
      <w:r>
        <w:rPr>
          <w:sz w:val="28"/>
          <w:szCs w:val="28"/>
        </w:rPr>
        <w:t>48</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_Toc4067 </w:instrText>
      </w:r>
      <w:r>
        <w:rPr>
          <w:rFonts w:hint="eastAsia" w:ascii="宋体" w:hAnsi="宋体" w:eastAsia="宋体" w:cs="宋体"/>
          <w:sz w:val="28"/>
          <w:szCs w:val="28"/>
        </w:rPr>
        <w:fldChar w:fldCharType="separate"/>
      </w:r>
      <w:r>
        <w:rPr>
          <w:rFonts w:hint="eastAsia" w:ascii="宋体" w:hAnsi="宋体" w:eastAsia="宋体" w:cs="宋体"/>
          <w:sz w:val="28"/>
          <w:szCs w:val="28"/>
          <w:lang w:eastAsia="zh-CN"/>
        </w:rPr>
        <w:t>2. 承诺书</w:t>
      </w:r>
      <w:bookmarkStart w:id="208" w:name="_GoBack"/>
      <w:bookmarkEnd w:id="208"/>
      <w:r>
        <w:rPr>
          <w:sz w:val="28"/>
          <w:szCs w:val="28"/>
        </w:rPr>
        <w:tab/>
      </w:r>
      <w:r>
        <w:rPr>
          <w:sz w:val="28"/>
          <w:szCs w:val="28"/>
        </w:rPr>
        <w:fldChar w:fldCharType="begin"/>
      </w:r>
      <w:r>
        <w:rPr>
          <w:sz w:val="28"/>
          <w:szCs w:val="28"/>
        </w:rPr>
        <w:instrText xml:space="preserve"> PAGEREF _Toc4067 \h </w:instrText>
      </w:r>
      <w:r>
        <w:rPr>
          <w:sz w:val="28"/>
          <w:szCs w:val="28"/>
        </w:rPr>
        <w:fldChar w:fldCharType="separate"/>
      </w:r>
      <w:r>
        <w:rPr>
          <w:sz w:val="28"/>
          <w:szCs w:val="28"/>
        </w:rPr>
        <w:t>49</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_Toc27955 </w:instrText>
      </w:r>
      <w:r>
        <w:rPr>
          <w:rFonts w:hint="eastAsia" w:ascii="宋体" w:hAnsi="宋体" w:eastAsia="宋体" w:cs="宋体"/>
          <w:sz w:val="28"/>
          <w:szCs w:val="28"/>
        </w:rPr>
        <w:fldChar w:fldCharType="separate"/>
      </w:r>
      <w:r>
        <w:rPr>
          <w:rFonts w:hint="eastAsia" w:ascii="宋体" w:hAnsi="宋体" w:eastAsia="宋体" w:cs="宋体"/>
          <w:sz w:val="28"/>
          <w:szCs w:val="28"/>
        </w:rPr>
        <w:t>3. 供应商基本情况表</w:t>
      </w:r>
      <w:r>
        <w:rPr>
          <w:sz w:val="28"/>
          <w:szCs w:val="28"/>
        </w:rPr>
        <w:tab/>
      </w:r>
      <w:r>
        <w:rPr>
          <w:sz w:val="28"/>
          <w:szCs w:val="28"/>
        </w:rPr>
        <w:fldChar w:fldCharType="begin"/>
      </w:r>
      <w:r>
        <w:rPr>
          <w:sz w:val="28"/>
          <w:szCs w:val="28"/>
        </w:rPr>
        <w:instrText xml:space="preserve"> PAGEREF _Toc27955 \h </w:instrText>
      </w:r>
      <w:r>
        <w:rPr>
          <w:sz w:val="28"/>
          <w:szCs w:val="28"/>
        </w:rPr>
        <w:fldChar w:fldCharType="separate"/>
      </w:r>
      <w:r>
        <w:rPr>
          <w:sz w:val="28"/>
          <w:szCs w:val="28"/>
        </w:rPr>
        <w:t>50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_Toc2713 </w:instrText>
      </w:r>
      <w:r>
        <w:rPr>
          <w:rFonts w:hint="eastAsia" w:ascii="宋体" w:hAnsi="宋体" w:eastAsia="宋体" w:cs="宋体"/>
          <w:sz w:val="28"/>
          <w:szCs w:val="28"/>
        </w:rPr>
        <w:fldChar w:fldCharType="separate"/>
      </w:r>
      <w:r>
        <w:rPr>
          <w:rFonts w:hint="eastAsia" w:ascii="宋体" w:hAnsi="宋体" w:eastAsia="宋体" w:cs="宋体"/>
          <w:sz w:val="28"/>
          <w:szCs w:val="28"/>
        </w:rPr>
        <w:t>4. 第一轮报价表</w:t>
      </w:r>
      <w:r>
        <w:rPr>
          <w:sz w:val="28"/>
          <w:szCs w:val="28"/>
        </w:rPr>
        <w:tab/>
      </w:r>
      <w:r>
        <w:rPr>
          <w:sz w:val="28"/>
          <w:szCs w:val="28"/>
        </w:rPr>
        <w:fldChar w:fldCharType="begin"/>
      </w:r>
      <w:r>
        <w:rPr>
          <w:sz w:val="28"/>
          <w:szCs w:val="28"/>
        </w:rPr>
        <w:instrText xml:space="preserve"> PAGEREF _Toc2713 \h </w:instrText>
      </w:r>
      <w:r>
        <w:rPr>
          <w:sz w:val="28"/>
          <w:szCs w:val="28"/>
        </w:rPr>
        <w:fldChar w:fldCharType="separate"/>
      </w:r>
      <w:r>
        <w:rPr>
          <w:sz w:val="28"/>
          <w:szCs w:val="28"/>
        </w:rPr>
        <w:t>51</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_Toc21907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5. </w:t>
      </w:r>
      <w:r>
        <w:rPr>
          <w:rFonts w:hint="eastAsia" w:ascii="宋体" w:hAnsi="宋体" w:eastAsia="宋体" w:cs="宋体"/>
          <w:sz w:val="28"/>
          <w:szCs w:val="28"/>
          <w:lang w:eastAsia="zh-CN"/>
        </w:rPr>
        <w:t>技术响应表</w:t>
      </w:r>
      <w:r>
        <w:rPr>
          <w:sz w:val="28"/>
          <w:szCs w:val="28"/>
        </w:rPr>
        <w:tab/>
      </w:r>
      <w:r>
        <w:rPr>
          <w:sz w:val="28"/>
          <w:szCs w:val="28"/>
        </w:rPr>
        <w:fldChar w:fldCharType="begin"/>
      </w:r>
      <w:r>
        <w:rPr>
          <w:sz w:val="28"/>
          <w:szCs w:val="28"/>
        </w:rPr>
        <w:instrText xml:space="preserve"> PAGEREF _Toc21907 \h </w:instrText>
      </w:r>
      <w:r>
        <w:rPr>
          <w:sz w:val="28"/>
          <w:szCs w:val="28"/>
        </w:rPr>
        <w:fldChar w:fldCharType="separate"/>
      </w:r>
      <w:r>
        <w:rPr>
          <w:sz w:val="28"/>
          <w:szCs w:val="28"/>
        </w:rPr>
        <w:t>52</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_Toc405 </w:instrText>
      </w:r>
      <w:r>
        <w:rPr>
          <w:rFonts w:hint="eastAsia" w:ascii="宋体" w:hAnsi="宋体" w:eastAsia="宋体" w:cs="宋体"/>
          <w:sz w:val="28"/>
          <w:szCs w:val="28"/>
        </w:rPr>
        <w:fldChar w:fldCharType="separate"/>
      </w:r>
      <w:r>
        <w:rPr>
          <w:rFonts w:hint="eastAsia" w:ascii="宋体" w:hAnsi="宋体" w:eastAsia="宋体" w:cs="宋体"/>
          <w:sz w:val="28"/>
          <w:szCs w:val="28"/>
        </w:rPr>
        <w:t>6. 商务响应表</w:t>
      </w:r>
      <w:r>
        <w:rPr>
          <w:sz w:val="28"/>
          <w:szCs w:val="28"/>
        </w:rPr>
        <w:tab/>
      </w:r>
      <w:r>
        <w:rPr>
          <w:sz w:val="28"/>
          <w:szCs w:val="28"/>
        </w:rPr>
        <w:fldChar w:fldCharType="begin"/>
      </w:r>
      <w:r>
        <w:rPr>
          <w:sz w:val="28"/>
          <w:szCs w:val="28"/>
        </w:rPr>
        <w:instrText xml:space="preserve"> PAGEREF _Toc405 \h </w:instrText>
      </w:r>
      <w:r>
        <w:rPr>
          <w:sz w:val="28"/>
          <w:szCs w:val="28"/>
        </w:rPr>
        <w:fldChar w:fldCharType="separate"/>
      </w:r>
      <w:r>
        <w:rPr>
          <w:sz w:val="28"/>
          <w:szCs w:val="28"/>
        </w:rPr>
        <w:t>53</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_Toc13168 </w:instrText>
      </w:r>
      <w:r>
        <w:rPr>
          <w:rFonts w:hint="eastAsia" w:ascii="宋体" w:hAnsi="宋体" w:eastAsia="宋体" w:cs="宋体"/>
          <w:sz w:val="28"/>
          <w:szCs w:val="28"/>
        </w:rPr>
        <w:fldChar w:fldCharType="separate"/>
      </w:r>
      <w:r>
        <w:rPr>
          <w:rFonts w:hint="eastAsia" w:ascii="宋体" w:hAnsi="宋体" w:eastAsia="宋体" w:cs="宋体"/>
          <w:sz w:val="28"/>
          <w:szCs w:val="28"/>
        </w:rPr>
        <w:t>7. 资格证明材料</w:t>
      </w:r>
      <w:r>
        <w:rPr>
          <w:sz w:val="28"/>
          <w:szCs w:val="28"/>
        </w:rPr>
        <w:tab/>
      </w:r>
      <w:r>
        <w:rPr>
          <w:sz w:val="28"/>
          <w:szCs w:val="28"/>
        </w:rPr>
        <w:fldChar w:fldCharType="begin"/>
      </w:r>
      <w:r>
        <w:rPr>
          <w:sz w:val="28"/>
          <w:szCs w:val="28"/>
        </w:rPr>
        <w:instrText xml:space="preserve"> PAGEREF _Toc13168 \h </w:instrText>
      </w:r>
      <w:r>
        <w:rPr>
          <w:sz w:val="28"/>
          <w:szCs w:val="28"/>
        </w:rPr>
        <w:fldChar w:fldCharType="separate"/>
      </w:r>
      <w:r>
        <w:rPr>
          <w:sz w:val="28"/>
          <w:szCs w:val="28"/>
        </w:rPr>
        <w:t>54</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_Toc7113 </w:instrText>
      </w:r>
      <w:r>
        <w:rPr>
          <w:rFonts w:hint="eastAsia" w:ascii="宋体" w:hAnsi="宋体" w:eastAsia="宋体" w:cs="宋体"/>
          <w:sz w:val="28"/>
          <w:szCs w:val="28"/>
        </w:rPr>
        <w:fldChar w:fldCharType="separate"/>
      </w:r>
      <w:r>
        <w:rPr>
          <w:rFonts w:hint="eastAsia" w:ascii="宋体" w:hAnsi="宋体" w:eastAsia="宋体" w:cs="宋体"/>
          <w:sz w:val="28"/>
          <w:szCs w:val="28"/>
        </w:rPr>
        <w:t>8. 法定代表人身份证明或授权委托书</w:t>
      </w:r>
      <w:r>
        <w:rPr>
          <w:sz w:val="28"/>
          <w:szCs w:val="28"/>
        </w:rPr>
        <w:tab/>
      </w:r>
      <w:r>
        <w:rPr>
          <w:sz w:val="28"/>
          <w:szCs w:val="28"/>
        </w:rPr>
        <w:fldChar w:fldCharType="begin"/>
      </w:r>
      <w:r>
        <w:rPr>
          <w:sz w:val="28"/>
          <w:szCs w:val="28"/>
        </w:rPr>
        <w:instrText xml:space="preserve"> PAGEREF _Toc7113 \h </w:instrText>
      </w:r>
      <w:r>
        <w:rPr>
          <w:sz w:val="28"/>
          <w:szCs w:val="28"/>
        </w:rPr>
        <w:fldChar w:fldCharType="separate"/>
      </w:r>
      <w:r>
        <w:rPr>
          <w:sz w:val="28"/>
          <w:szCs w:val="28"/>
        </w:rPr>
        <w:t>60</w:t>
      </w:r>
      <w:r>
        <w:rPr>
          <w:sz w:val="28"/>
          <w:szCs w:val="28"/>
        </w:rPr>
        <w:fldChar w:fldCharType="end"/>
      </w:r>
      <w:r>
        <w:rPr>
          <w:rFonts w:hint="eastAsia" w:ascii="宋体" w:hAnsi="宋体" w:eastAsia="宋体" w:cs="宋体"/>
          <w:color w:val="FF0000"/>
          <w:sz w:val="28"/>
          <w:szCs w:val="28"/>
        </w:rPr>
        <w:fldChar w:fldCharType="end"/>
      </w:r>
    </w:p>
    <w:p>
      <w:pPr>
        <w:pStyle w:val="25"/>
        <w:tabs>
          <w:tab w:val="right" w:leader="dot" w:pos="8820"/>
        </w:tabs>
        <w:ind w:firstLine="280" w:firstLineChars="100"/>
        <w:rPr>
          <w:sz w:val="28"/>
          <w:szCs w:val="28"/>
        </w:rPr>
      </w:pPr>
      <w:r>
        <w:rPr>
          <w:rFonts w:hint="eastAsia" w:ascii="宋体" w:hAnsi="宋体" w:eastAsia="宋体" w:cs="宋体"/>
          <w:color w:val="FF0000"/>
          <w:sz w:val="28"/>
          <w:szCs w:val="28"/>
        </w:rPr>
        <w:fldChar w:fldCharType="begin"/>
      </w:r>
      <w:r>
        <w:rPr>
          <w:rFonts w:hint="eastAsia" w:ascii="宋体" w:hAnsi="宋体" w:eastAsia="宋体" w:cs="宋体"/>
          <w:sz w:val="28"/>
          <w:szCs w:val="28"/>
        </w:rPr>
        <w:instrText xml:space="preserve"> HYPERLINK \l _Toc24855 </w:instrText>
      </w:r>
      <w:r>
        <w:rPr>
          <w:rFonts w:hint="eastAsia" w:ascii="宋体" w:hAnsi="宋体" w:eastAsia="宋体" w:cs="宋体"/>
          <w:sz w:val="28"/>
          <w:szCs w:val="28"/>
        </w:rPr>
        <w:fldChar w:fldCharType="separate"/>
      </w:r>
      <w:r>
        <w:rPr>
          <w:rFonts w:hint="eastAsia" w:ascii="宋体" w:hAnsi="宋体" w:eastAsia="宋体" w:cs="宋体"/>
          <w:sz w:val="28"/>
          <w:szCs w:val="28"/>
          <w:lang w:val="en-US" w:eastAsia="zh-CN"/>
        </w:rPr>
        <w:t>9.</w:t>
      </w:r>
      <w:r>
        <w:rPr>
          <w:rFonts w:hint="eastAsia" w:ascii="宋体" w:hAnsi="宋体" w:eastAsia="宋体" w:cs="宋体"/>
          <w:sz w:val="28"/>
          <w:szCs w:val="28"/>
        </w:rPr>
        <w:t>竞争性磋商文件要求的以及供应商认为应该提供的其他材料</w:t>
      </w:r>
      <w:r>
        <w:rPr>
          <w:sz w:val="28"/>
          <w:szCs w:val="28"/>
        </w:rPr>
        <w:tab/>
      </w:r>
      <w:r>
        <w:rPr>
          <w:sz w:val="28"/>
          <w:szCs w:val="28"/>
        </w:rPr>
        <w:fldChar w:fldCharType="begin"/>
      </w:r>
      <w:r>
        <w:rPr>
          <w:sz w:val="28"/>
          <w:szCs w:val="28"/>
        </w:rPr>
        <w:instrText xml:space="preserve"> PAGEREF _Toc24855 \h </w:instrText>
      </w:r>
      <w:r>
        <w:rPr>
          <w:sz w:val="28"/>
          <w:szCs w:val="28"/>
        </w:rPr>
        <w:fldChar w:fldCharType="separate"/>
      </w:r>
      <w:r>
        <w:rPr>
          <w:sz w:val="28"/>
          <w:szCs w:val="28"/>
        </w:rPr>
        <w:t>62</w:t>
      </w:r>
      <w:r>
        <w:rPr>
          <w:sz w:val="28"/>
          <w:szCs w:val="28"/>
        </w:rPr>
        <w:fldChar w:fldCharType="end"/>
      </w:r>
      <w:r>
        <w:rPr>
          <w:rFonts w:hint="eastAsia" w:ascii="宋体" w:hAnsi="宋体" w:eastAsia="宋体" w:cs="宋体"/>
          <w:color w:val="FF0000"/>
          <w:sz w:val="28"/>
          <w:szCs w:val="28"/>
        </w:rPr>
        <w:fldChar w:fldCharType="end"/>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FF0000"/>
          <w:sz w:val="28"/>
          <w:szCs w:val="28"/>
        </w:rPr>
      </w:pPr>
      <w:r>
        <w:rPr>
          <w:rFonts w:hint="eastAsia" w:ascii="宋体" w:hAnsi="宋体" w:eastAsia="宋体" w:cs="宋体"/>
          <w:color w:val="FF0000"/>
          <w:sz w:val="28"/>
          <w:szCs w:val="28"/>
        </w:rPr>
        <w:fldChar w:fldCharType="end"/>
      </w:r>
    </w:p>
    <w:p>
      <w:pPr>
        <w:pStyle w:val="81"/>
        <w:ind w:firstLine="480" w:firstLineChars="200"/>
        <w:rPr>
          <w:rFonts w:hint="eastAsia" w:ascii="宋体" w:hAnsi="宋体" w:eastAsia="宋体" w:cs="宋体"/>
          <w:color w:val="FF0000"/>
          <w:lang w:eastAsia="zh-CN"/>
        </w:rPr>
      </w:pPr>
    </w:p>
    <w:p>
      <w:pPr>
        <w:rPr>
          <w:rFonts w:hint="eastAsia" w:ascii="宋体" w:hAnsi="宋体" w:eastAsia="宋体" w:cs="宋体"/>
          <w:color w:val="FF0000"/>
        </w:rPr>
        <w:sectPr>
          <w:footerReference r:id="rId7" w:type="default"/>
          <w:pgSz w:w="11906" w:h="16838"/>
          <w:pgMar w:top="1440" w:right="1286" w:bottom="1440" w:left="1800" w:header="851" w:footer="992" w:gutter="0"/>
          <w:pgNumType w:fmt="decimal" w:start="1"/>
          <w:cols w:space="720" w:num="1"/>
          <w:docGrid w:type="lines" w:linePitch="312" w:charSpace="0"/>
        </w:sectPr>
      </w:pPr>
    </w:p>
    <w:p>
      <w:pPr>
        <w:pStyle w:val="34"/>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firstLine="403"/>
        <w:textAlignment w:val="auto"/>
        <w:outlineLvl w:val="0"/>
        <w:rPr>
          <w:rFonts w:hint="eastAsia"/>
        </w:rPr>
      </w:pPr>
      <w:bookmarkStart w:id="5" w:name="_Toc30568"/>
      <w:bookmarkStart w:id="6" w:name="_Toc30299"/>
      <w:bookmarkStart w:id="7" w:name="_Toc14393"/>
      <w:r>
        <w:rPr>
          <w:rFonts w:hint="eastAsia"/>
        </w:rPr>
        <w:t>竞争性磋商公告</w:t>
      </w:r>
      <w:bookmarkEnd w:id="5"/>
      <w:bookmarkEnd w:id="6"/>
      <w:bookmarkEnd w:id="7"/>
    </w:p>
    <w:p>
      <w:pPr>
        <w:spacing w:line="380" w:lineRule="exact"/>
        <w:jc w:val="center"/>
        <w:rPr>
          <w:rFonts w:hint="eastAsia" w:ascii="宋体" w:hAnsi="宋体" w:cs="宋体"/>
          <w:b/>
          <w:bCs/>
          <w:sz w:val="24"/>
          <w:szCs w:val="24"/>
        </w:rPr>
      </w:pPr>
      <w:r>
        <w:rPr>
          <w:rFonts w:hint="eastAsia" w:ascii="宋体" w:hAnsi="宋体" w:cs="宋体"/>
          <w:b/>
          <w:bCs/>
          <w:sz w:val="28"/>
          <w:szCs w:val="28"/>
          <w:lang w:val="en-US" w:eastAsia="zh-CN"/>
        </w:rPr>
        <w:t>武陟县市场监督管理局食品安全抽样检测工作</w:t>
      </w:r>
      <w:r>
        <w:rPr>
          <w:rFonts w:hint="eastAsia" w:ascii="宋体" w:hAnsi="宋体" w:cs="宋体"/>
          <w:b/>
          <w:bCs/>
          <w:sz w:val="28"/>
          <w:szCs w:val="28"/>
        </w:rPr>
        <w:t>竞争性磋商公告(不见面磋商)</w:t>
      </w:r>
    </w:p>
    <w:p>
      <w:pPr>
        <w:spacing w:line="400" w:lineRule="exact"/>
        <w:rPr>
          <w:rFonts w:hint="eastAsia" w:ascii="宋体" w:hAnsi="宋体" w:cs="宋体"/>
          <w:sz w:val="24"/>
          <w:szCs w:val="24"/>
        </w:rPr>
      </w:pPr>
      <w:r>
        <w:rPr>
          <w:rFonts w:hint="eastAsia" w:ascii="宋体" w:hAnsi="宋体" w:cs="宋体"/>
          <w:sz w:val="24"/>
          <w:szCs w:val="24"/>
        </w:rPr>
        <w:t>项目概况</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val="en-US" w:eastAsia="zh-CN"/>
        </w:rPr>
        <w:t>武陟县市场监督管理局食品安全抽样检测工作采购项目</w:t>
      </w:r>
      <w:r>
        <w:rPr>
          <w:rFonts w:hint="eastAsia" w:ascii="宋体" w:hAnsi="宋体" w:cs="宋体"/>
          <w:sz w:val="24"/>
          <w:szCs w:val="24"/>
        </w:rPr>
        <w:t>的潜在供应商应登陆焦作市公共资源交易中心网站获取磋商文件，并于</w:t>
      </w:r>
      <w:r>
        <w:rPr>
          <w:rFonts w:hint="eastAsia" w:ascii="宋体" w:hAnsi="宋体" w:cs="宋体"/>
          <w:sz w:val="24"/>
          <w:szCs w:val="24"/>
          <w:u w:val="single"/>
          <w:lang w:val="en-US" w:eastAsia="zh-CN"/>
        </w:rPr>
        <w:t xml:space="preserve"> 2023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日09点00分00秒（北京时间）前提交响应文件。</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项目基本情况</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lang w:val="en-US" w:eastAsia="zh-CN"/>
        </w:rPr>
        <w:t>1、</w:t>
      </w:r>
      <w:r>
        <w:rPr>
          <w:rFonts w:hint="eastAsia" w:ascii="宋体" w:hAnsi="宋体" w:cs="宋体"/>
          <w:sz w:val="24"/>
          <w:szCs w:val="24"/>
        </w:rPr>
        <w:t>项目编号：</w:t>
      </w:r>
      <w:r>
        <w:rPr>
          <w:rFonts w:hint="eastAsia" w:ascii="宋体" w:hAnsi="宋体" w:cs="宋体"/>
          <w:sz w:val="24"/>
          <w:szCs w:val="24"/>
          <w:lang w:val="en-US" w:eastAsia="zh-CN"/>
        </w:rPr>
        <w:t>2023-CS-037</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2、</w:t>
      </w:r>
      <w:r>
        <w:rPr>
          <w:rFonts w:hint="eastAsia" w:ascii="宋体" w:hAnsi="宋体" w:cs="宋体"/>
          <w:sz w:val="24"/>
          <w:szCs w:val="24"/>
        </w:rPr>
        <w:t>项目名称：</w:t>
      </w:r>
      <w:r>
        <w:rPr>
          <w:rFonts w:hint="eastAsia" w:ascii="宋体" w:hAnsi="宋体" w:cs="宋体"/>
          <w:sz w:val="24"/>
          <w:szCs w:val="24"/>
          <w:lang w:val="en-US" w:eastAsia="zh-CN"/>
        </w:rPr>
        <w:t>武陟县市场监督管理局食品安全抽样检测工作</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采购方式：竞争性磋商</w:t>
      </w:r>
    </w:p>
    <w:p>
      <w:pPr>
        <w:spacing w:line="4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4、</w:t>
      </w:r>
      <w:r>
        <w:rPr>
          <w:rFonts w:hint="eastAsia" w:ascii="宋体" w:hAnsi="宋体" w:cs="宋体"/>
          <w:sz w:val="24"/>
          <w:szCs w:val="24"/>
        </w:rPr>
        <w:t>预算金额：</w:t>
      </w:r>
      <w:r>
        <w:rPr>
          <w:rFonts w:hint="eastAsia" w:ascii="宋体" w:hAnsi="宋体" w:cs="宋体"/>
          <w:sz w:val="24"/>
          <w:szCs w:val="24"/>
          <w:lang w:val="en-US" w:eastAsia="zh-CN"/>
        </w:rPr>
        <w:t>90</w:t>
      </w:r>
      <w:r>
        <w:rPr>
          <w:rFonts w:hint="eastAsia" w:ascii="宋体" w:hAnsi="宋体" w:cs="宋体"/>
          <w:sz w:val="24"/>
          <w:szCs w:val="24"/>
          <w:lang w:eastAsia="zh-CN"/>
        </w:rPr>
        <w:t>0000</w:t>
      </w:r>
      <w:r>
        <w:rPr>
          <w:rFonts w:hint="eastAsia" w:ascii="宋体" w:hAnsi="宋体" w:cs="宋体"/>
          <w:sz w:val="24"/>
          <w:szCs w:val="24"/>
          <w:lang w:val="en-US" w:eastAsia="zh-CN"/>
        </w:rPr>
        <w:t>.00</w:t>
      </w:r>
      <w:r>
        <w:rPr>
          <w:rFonts w:hint="eastAsia" w:ascii="宋体" w:hAnsi="宋体" w:cs="宋体"/>
          <w:sz w:val="24"/>
          <w:szCs w:val="24"/>
          <w:lang w:eastAsia="zh-CN"/>
        </w:rPr>
        <w:t>元</w:t>
      </w:r>
    </w:p>
    <w:p>
      <w:pPr>
        <w:pStyle w:val="15"/>
        <w:rPr>
          <w:rFonts w:hint="eastAsia" w:ascii="宋体" w:hAnsi="宋体" w:cs="宋体"/>
          <w:sz w:val="24"/>
          <w:szCs w:val="24"/>
          <w:lang w:val="en-US" w:eastAsia="zh-CN"/>
        </w:rPr>
      </w:pPr>
      <w:r>
        <w:rPr>
          <w:rFonts w:hint="eastAsia" w:ascii="宋体" w:hAnsi="宋体" w:cs="宋体"/>
          <w:sz w:val="24"/>
          <w:szCs w:val="24"/>
          <w:lang w:val="en-US" w:eastAsia="zh-CN"/>
        </w:rPr>
        <w:t xml:space="preserve">       最高限价：900000.00元</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7"/>
        <w:gridCol w:w="800"/>
        <w:gridCol w:w="2496"/>
        <w:gridCol w:w="1318"/>
        <w:gridCol w:w="1318"/>
        <w:gridCol w:w="1272"/>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4"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序号</w:t>
            </w:r>
          </w:p>
        </w:tc>
        <w:tc>
          <w:tcPr>
            <w:tcW w:w="840" w:type="dxa"/>
            <w:noWrap w:val="0"/>
            <w:vAlign w:val="center"/>
          </w:tcPr>
          <w:p>
            <w:pPr>
              <w:jc w:val="center"/>
              <w:rPr>
                <w:rFonts w:hint="default"/>
                <w:vertAlign w:val="baseline"/>
                <w:lang w:val="en-US" w:eastAsia="zh-CN"/>
              </w:rPr>
            </w:pPr>
            <w:r>
              <w:rPr>
                <w:rFonts w:hint="eastAsia"/>
                <w:color w:val="auto"/>
                <w:vertAlign w:val="baseline"/>
                <w:lang w:val="en-US" w:eastAsia="zh-CN"/>
              </w:rPr>
              <w:t>包号</w:t>
            </w:r>
          </w:p>
        </w:tc>
        <w:tc>
          <w:tcPr>
            <w:tcW w:w="2688" w:type="dxa"/>
            <w:noWrap w:val="0"/>
            <w:vAlign w:val="center"/>
          </w:tcPr>
          <w:p>
            <w:pPr>
              <w:jc w:val="center"/>
              <w:rPr>
                <w:rFonts w:hint="default"/>
                <w:vertAlign w:val="baseline"/>
                <w:lang w:val="en-US" w:eastAsia="zh-CN"/>
              </w:rPr>
            </w:pPr>
            <w:r>
              <w:rPr>
                <w:rFonts w:hint="eastAsia"/>
                <w:vertAlign w:val="baseline"/>
                <w:lang w:val="en-US" w:eastAsia="zh-CN"/>
              </w:rPr>
              <w:t>包名称</w:t>
            </w:r>
          </w:p>
        </w:tc>
        <w:tc>
          <w:tcPr>
            <w:tcW w:w="1359" w:type="dxa"/>
            <w:noWrap w:val="0"/>
            <w:vAlign w:val="center"/>
          </w:tcPr>
          <w:p>
            <w:pPr>
              <w:jc w:val="center"/>
              <w:rPr>
                <w:rFonts w:hint="default"/>
                <w:vertAlign w:val="baseline"/>
                <w:lang w:val="en-US" w:eastAsia="zh-CN"/>
              </w:rPr>
            </w:pPr>
            <w:r>
              <w:rPr>
                <w:rFonts w:hint="eastAsia"/>
                <w:vertAlign w:val="baseline"/>
                <w:lang w:val="en-US" w:eastAsia="zh-CN"/>
              </w:rPr>
              <w:t>包预算（元）</w:t>
            </w:r>
          </w:p>
        </w:tc>
        <w:tc>
          <w:tcPr>
            <w:tcW w:w="1359" w:type="dxa"/>
            <w:noWrap w:val="0"/>
            <w:vAlign w:val="center"/>
          </w:tcPr>
          <w:p>
            <w:pPr>
              <w:jc w:val="center"/>
              <w:rPr>
                <w:rFonts w:hint="default"/>
                <w:vertAlign w:val="baseline"/>
                <w:lang w:val="en-US" w:eastAsia="zh-CN"/>
              </w:rPr>
            </w:pPr>
            <w:r>
              <w:rPr>
                <w:rFonts w:hint="default"/>
                <w:vertAlign w:val="baseline"/>
                <w:lang w:val="en-US" w:eastAsia="zh-CN"/>
              </w:rPr>
              <w:t>包最高限价（元</w:t>
            </w:r>
            <w:r>
              <w:rPr>
                <w:rFonts w:hint="eastAsia"/>
                <w:vertAlign w:val="baseline"/>
                <w:lang w:val="en-US" w:eastAsia="zh-CN"/>
              </w:rPr>
              <w:t>）</w:t>
            </w:r>
          </w:p>
        </w:tc>
        <w:tc>
          <w:tcPr>
            <w:tcW w:w="1359" w:type="dxa"/>
            <w:noWrap w:val="0"/>
            <w:vAlign w:val="center"/>
          </w:tcPr>
          <w:p>
            <w:pPr>
              <w:jc w:val="center"/>
              <w:rPr>
                <w:rFonts w:hint="default"/>
                <w:vertAlign w:val="baseline"/>
                <w:lang w:val="en-US" w:eastAsia="zh-CN"/>
              </w:rPr>
            </w:pPr>
            <w:r>
              <w:rPr>
                <w:rFonts w:hint="default"/>
                <w:vertAlign w:val="baseline"/>
                <w:lang w:val="en-US" w:eastAsia="zh-CN"/>
              </w:rPr>
              <w:t>是否专门面向中小企业</w:t>
            </w:r>
          </w:p>
        </w:tc>
        <w:tc>
          <w:tcPr>
            <w:tcW w:w="1360" w:type="dxa"/>
            <w:noWrap w:val="0"/>
            <w:vAlign w:val="center"/>
          </w:tcPr>
          <w:p>
            <w:pPr>
              <w:jc w:val="center"/>
              <w:rPr>
                <w:rFonts w:hint="default"/>
                <w:vertAlign w:val="baseline"/>
                <w:lang w:val="en-US" w:eastAsia="zh-CN"/>
              </w:rPr>
            </w:pPr>
            <w:r>
              <w:rPr>
                <w:rFonts w:hint="eastAsia"/>
                <w:vertAlign w:val="baseline"/>
                <w:lang w:val="en-US" w:eastAsia="zh-CN"/>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1</w:t>
            </w:r>
          </w:p>
        </w:tc>
        <w:tc>
          <w:tcPr>
            <w:tcW w:w="840" w:type="dxa"/>
            <w:noWrap w:val="0"/>
            <w:vAlign w:val="center"/>
          </w:tcPr>
          <w:p>
            <w:pPr>
              <w:jc w:val="center"/>
              <w:rPr>
                <w:rFonts w:hint="default"/>
                <w:vertAlign w:val="baseline"/>
                <w:lang w:val="en-US" w:eastAsia="zh-CN"/>
              </w:rPr>
            </w:pPr>
            <w:r>
              <w:rPr>
                <w:rFonts w:hint="eastAsia" w:ascii="宋体" w:hAnsi="宋体" w:eastAsia="宋体" w:cs="宋体"/>
                <w:sz w:val="21"/>
                <w:szCs w:val="21"/>
                <w:vertAlign w:val="baseline"/>
                <w:lang w:val="en-US" w:eastAsia="zh-CN"/>
              </w:rPr>
              <w:t>1包</w:t>
            </w:r>
          </w:p>
        </w:tc>
        <w:tc>
          <w:tcPr>
            <w:tcW w:w="2688" w:type="dxa"/>
            <w:noWrap w:val="0"/>
            <w:vAlign w:val="center"/>
          </w:tcPr>
          <w:p>
            <w:pPr>
              <w:jc w:val="center"/>
              <w:rPr>
                <w:rFonts w:hint="default"/>
                <w:vertAlign w:val="baseline"/>
                <w:lang w:val="en-US" w:eastAsia="zh-CN"/>
              </w:rPr>
            </w:pPr>
            <w:r>
              <w:rPr>
                <w:rFonts w:hint="eastAsia" w:ascii="宋体" w:hAnsi="宋体" w:eastAsia="宋体" w:cs="宋体"/>
                <w:i w:val="0"/>
                <w:iCs w:val="0"/>
                <w:color w:val="000000"/>
                <w:kern w:val="2"/>
                <w:sz w:val="24"/>
                <w:szCs w:val="24"/>
                <w:highlight w:val="none"/>
                <w:u w:val="none"/>
                <w:lang w:val="en-US" w:eastAsia="zh-CN"/>
              </w:rPr>
              <w:t>食用农产品抽检</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360"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2" w:hRule="atLeast"/>
        </w:trPr>
        <w:tc>
          <w:tcPr>
            <w:tcW w:w="549" w:type="dxa"/>
            <w:noWrap w:val="0"/>
            <w:vAlign w:val="center"/>
          </w:tcPr>
          <w:p>
            <w:pPr>
              <w:jc w:val="center"/>
              <w:rPr>
                <w:rFonts w:hint="default"/>
                <w:vertAlign w:val="baseline"/>
                <w:lang w:val="en-US" w:eastAsia="zh-CN"/>
              </w:rPr>
            </w:pPr>
            <w:r>
              <w:rPr>
                <w:rFonts w:hint="eastAsia"/>
                <w:vertAlign w:val="baseline"/>
                <w:lang w:val="en-US" w:eastAsia="zh-CN"/>
              </w:rPr>
              <w:t>2</w:t>
            </w:r>
          </w:p>
        </w:tc>
        <w:tc>
          <w:tcPr>
            <w:tcW w:w="840" w:type="dxa"/>
            <w:noWrap w:val="0"/>
            <w:vAlign w:val="center"/>
          </w:tcPr>
          <w:p>
            <w:pPr>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2包</w:t>
            </w:r>
          </w:p>
        </w:tc>
        <w:tc>
          <w:tcPr>
            <w:tcW w:w="2688" w:type="dxa"/>
            <w:noWrap w:val="0"/>
            <w:vAlign w:val="center"/>
          </w:tcPr>
          <w:p>
            <w:pPr>
              <w:jc w:val="center"/>
              <w:rPr>
                <w:rFonts w:hint="eastAsia" w:ascii="宋体" w:hAnsi="宋体" w:cs="宋体"/>
                <w:sz w:val="24"/>
                <w:szCs w:val="24"/>
                <w:lang w:eastAsia="zh-CN"/>
              </w:rPr>
            </w:pPr>
            <w:r>
              <w:rPr>
                <w:rFonts w:hint="eastAsia" w:ascii="宋体" w:hAnsi="宋体" w:cs="宋体"/>
                <w:sz w:val="24"/>
                <w:szCs w:val="24"/>
                <w:lang w:val="en-US" w:eastAsia="zh-CN"/>
              </w:rPr>
              <w:t>食品、餐饮、流通食品、商超食品抽检</w:t>
            </w:r>
          </w:p>
        </w:tc>
        <w:tc>
          <w:tcPr>
            <w:tcW w:w="1359" w:type="dxa"/>
            <w:noWrap w:val="0"/>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600000</w:t>
            </w:r>
          </w:p>
        </w:tc>
        <w:tc>
          <w:tcPr>
            <w:tcW w:w="1359"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600000</w:t>
            </w:r>
          </w:p>
        </w:tc>
        <w:tc>
          <w:tcPr>
            <w:tcW w:w="1359"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36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600000</w:t>
            </w:r>
          </w:p>
        </w:tc>
      </w:tr>
    </w:tbl>
    <w:p>
      <w:pPr>
        <w:numPr>
          <w:ilvl w:val="0"/>
          <w:numId w:val="3"/>
        </w:numPr>
        <w:spacing w:line="360" w:lineRule="auto"/>
        <w:ind w:firstLine="480" w:firstLineChars="200"/>
        <w:jc w:val="both"/>
        <w:rPr>
          <w:rFonts w:hint="eastAsia" w:ascii="宋体" w:hAnsi="宋体"/>
          <w:sz w:val="24"/>
          <w:lang w:val="en-US" w:eastAsia="zh-CN"/>
        </w:rPr>
      </w:pPr>
      <w:r>
        <w:rPr>
          <w:rFonts w:hint="eastAsia" w:ascii="宋体" w:hAnsi="宋体" w:cs="宋体"/>
          <w:sz w:val="24"/>
          <w:szCs w:val="24"/>
        </w:rPr>
        <w:t>采购需求：</w:t>
      </w: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sz w:val="24"/>
          <w:lang w:val="en-US" w:eastAsia="zh-CN"/>
        </w:rPr>
        <w:t>根据采购需求计划要求，县市场监管局2023年需在本辖区内开展食品安全监督抽检任务。共分为2个包，其中一包为对武陟县农产品进行900批次抽样检测，二包为对武陟县小作坊食品、餐饮、流通食品、商超食品进行1700批次抽样检测（内容详见磋商文件）</w:t>
      </w:r>
    </w:p>
    <w:p>
      <w:pPr>
        <w:autoSpaceDE w:val="0"/>
        <w:spacing w:line="500" w:lineRule="exact"/>
        <w:ind w:firstLine="720" w:firstLineChars="3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项目地点：</w:t>
      </w:r>
      <w:r>
        <w:rPr>
          <w:rFonts w:hint="eastAsia" w:ascii="宋体" w:hAnsi="宋体"/>
          <w:sz w:val="24"/>
          <w:lang w:val="en-US" w:eastAsia="zh-CN"/>
        </w:rPr>
        <w:t>武陟县辖区内</w:t>
      </w:r>
      <w:r>
        <w:rPr>
          <w:rFonts w:hint="eastAsia" w:ascii="宋体" w:hAnsi="宋体"/>
          <w:sz w:val="24"/>
        </w:rPr>
        <w:t>。</w:t>
      </w:r>
    </w:p>
    <w:p>
      <w:pPr>
        <w:autoSpaceDE w:val="0"/>
        <w:spacing w:line="500" w:lineRule="exact"/>
        <w:ind w:firstLine="720" w:firstLineChars="300"/>
        <w:rPr>
          <w:rFonts w:hint="eastAsia" w:ascii="宋体" w:hAnsi="宋体"/>
          <w:color w:val="auto"/>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eastAsia="宋体" w:cs="宋体"/>
          <w:color w:val="auto"/>
          <w:sz w:val="24"/>
          <w:szCs w:val="24"/>
          <w:lang w:val="en-US" w:eastAsia="zh-CN"/>
        </w:rPr>
        <w:t>合同履行期限</w:t>
      </w:r>
      <w:r>
        <w:rPr>
          <w:rFonts w:hint="eastAsia" w:ascii="宋体" w:hAnsi="宋体"/>
          <w:color w:val="auto"/>
          <w:sz w:val="24"/>
        </w:rPr>
        <w:t>：</w:t>
      </w:r>
      <w:r>
        <w:rPr>
          <w:rFonts w:hint="eastAsia" w:ascii="宋体" w:hAnsi="宋体"/>
          <w:color w:val="auto"/>
          <w:sz w:val="24"/>
          <w:lang w:val="en-US" w:eastAsia="zh-CN"/>
        </w:rPr>
        <w:t>180日历天</w:t>
      </w:r>
      <w:r>
        <w:rPr>
          <w:rFonts w:hint="eastAsia" w:ascii="宋体" w:hAnsi="宋体"/>
          <w:color w:val="auto"/>
          <w:sz w:val="24"/>
        </w:rPr>
        <w:t>。</w:t>
      </w:r>
    </w:p>
    <w:p>
      <w:pPr>
        <w:autoSpaceDE w:val="0"/>
        <w:spacing w:line="500" w:lineRule="exact"/>
        <w:ind w:firstLine="720" w:firstLineChars="300"/>
        <w:rPr>
          <w:rFonts w:hint="eastAsia" w:ascii="宋体" w:hAnsi="宋体"/>
          <w:color w:val="auto"/>
          <w:sz w:val="24"/>
        </w:rPr>
      </w:pPr>
      <w:r>
        <w:rPr>
          <w:rFonts w:hint="eastAsia" w:ascii="宋体" w:hAnsi="宋体"/>
          <w:color w:val="auto"/>
          <w:sz w:val="24"/>
          <w:lang w:eastAsia="zh-CN"/>
        </w:rPr>
        <w:t>（</w:t>
      </w:r>
      <w:r>
        <w:rPr>
          <w:rFonts w:hint="eastAsia" w:ascii="宋体" w:hAnsi="宋体"/>
          <w:color w:val="auto"/>
          <w:sz w:val="24"/>
          <w:lang w:val="en-US" w:eastAsia="zh-CN"/>
        </w:rPr>
        <w:t>4</w:t>
      </w:r>
      <w:r>
        <w:rPr>
          <w:rFonts w:hint="eastAsia" w:ascii="宋体" w:hAnsi="宋体"/>
          <w:color w:val="auto"/>
          <w:sz w:val="24"/>
          <w:lang w:eastAsia="zh-CN"/>
        </w:rPr>
        <w:t>）</w:t>
      </w:r>
      <w:r>
        <w:rPr>
          <w:rFonts w:hint="eastAsia" w:ascii="宋体" w:hAnsi="宋体"/>
          <w:color w:val="auto"/>
          <w:sz w:val="24"/>
        </w:rPr>
        <w:t>质量要求：</w:t>
      </w:r>
      <w:r>
        <w:rPr>
          <w:rFonts w:hint="eastAsia" w:ascii="宋体" w:hAnsi="宋体"/>
          <w:color w:val="auto"/>
          <w:sz w:val="24"/>
          <w:lang w:val="en-US" w:eastAsia="zh-CN"/>
        </w:rPr>
        <w:t>样品抽样、运输及贮存、检测方法、检测依据的法律法规和国家规定标准、判定原则与结论须符合最新国家食品安全监督抽检实施细则相关规定</w:t>
      </w:r>
      <w:r>
        <w:rPr>
          <w:rFonts w:hint="eastAsia" w:ascii="宋体" w:hAnsi="宋体"/>
          <w:color w:val="auto"/>
          <w:sz w:val="24"/>
        </w:rPr>
        <w:t>。</w:t>
      </w:r>
    </w:p>
    <w:p>
      <w:pPr>
        <w:spacing w:line="360" w:lineRule="auto"/>
        <w:ind w:firstLine="480" w:firstLineChars="200"/>
        <w:jc w:val="both"/>
        <w:rPr>
          <w:rFonts w:hint="eastAsia" w:ascii="宋体" w:hAnsi="宋体"/>
          <w:color w:val="auto"/>
          <w:sz w:val="24"/>
        </w:rPr>
      </w:pPr>
      <w:r>
        <w:rPr>
          <w:rFonts w:hint="eastAsia" w:ascii="宋体" w:hAnsi="宋体"/>
          <w:color w:val="auto"/>
          <w:sz w:val="24"/>
          <w:lang w:eastAsia="zh-CN"/>
        </w:rPr>
        <w:t>（</w:t>
      </w:r>
      <w:r>
        <w:rPr>
          <w:rFonts w:hint="eastAsia" w:ascii="宋体" w:hAnsi="宋体"/>
          <w:color w:val="auto"/>
          <w:sz w:val="24"/>
          <w:lang w:val="en-US" w:eastAsia="zh-CN"/>
        </w:rPr>
        <w:t>5</w:t>
      </w:r>
      <w:r>
        <w:rPr>
          <w:rFonts w:hint="eastAsia" w:ascii="宋体" w:hAnsi="宋体"/>
          <w:color w:val="auto"/>
          <w:sz w:val="24"/>
          <w:lang w:eastAsia="zh-CN"/>
        </w:rPr>
        <w:t>）</w:t>
      </w:r>
      <w:r>
        <w:rPr>
          <w:rFonts w:hint="eastAsia" w:ascii="宋体" w:hAnsi="宋体"/>
          <w:color w:val="auto"/>
          <w:sz w:val="24"/>
        </w:rPr>
        <w:t>服务要求：</w:t>
      </w:r>
      <w:r>
        <w:rPr>
          <w:rFonts w:hint="eastAsia" w:ascii="宋体" w:hAnsi="宋体"/>
          <w:color w:val="auto"/>
          <w:sz w:val="24"/>
          <w:lang w:val="en-US" w:eastAsia="zh-CN"/>
        </w:rPr>
        <w:t>满足国家相关规范合格标准及采购人要求。</w:t>
      </w:r>
    </w:p>
    <w:p>
      <w:pPr>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6</w:t>
      </w:r>
      <w:r>
        <w:rPr>
          <w:rFonts w:hint="eastAsia" w:ascii="宋体" w:hAnsi="宋体"/>
          <w:color w:val="auto"/>
          <w:sz w:val="24"/>
          <w:lang w:eastAsia="zh-CN"/>
        </w:rPr>
        <w:t>）</w:t>
      </w:r>
      <w:r>
        <w:rPr>
          <w:rFonts w:hint="eastAsia" w:ascii="宋体" w:hAnsi="宋体" w:eastAsia="宋体" w:cs="宋体"/>
          <w:sz w:val="24"/>
          <w:szCs w:val="24"/>
          <w:lang w:val="en-US" w:eastAsia="zh-CN"/>
        </w:rPr>
        <w:t>本项目是否接受联合体投标：否</w:t>
      </w:r>
    </w:p>
    <w:p>
      <w:pPr>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7</w:t>
      </w:r>
      <w:r>
        <w:rPr>
          <w:rFonts w:hint="eastAsia" w:ascii="宋体" w:hAnsi="宋体"/>
          <w:color w:val="auto"/>
          <w:sz w:val="24"/>
          <w:lang w:eastAsia="zh-CN"/>
        </w:rPr>
        <w:t>）</w:t>
      </w:r>
      <w:r>
        <w:rPr>
          <w:rFonts w:hint="eastAsia" w:ascii="宋体" w:hAnsi="宋体" w:eastAsia="宋体" w:cs="宋体"/>
          <w:sz w:val="24"/>
          <w:szCs w:val="24"/>
          <w:lang w:val="en-US" w:eastAsia="zh-CN"/>
        </w:rPr>
        <w:t>是否接受进口产品：否</w:t>
      </w:r>
    </w:p>
    <w:p>
      <w:pPr>
        <w:spacing w:line="360" w:lineRule="auto"/>
        <w:ind w:firstLine="480" w:firstLineChars="200"/>
        <w:jc w:val="both"/>
        <w:rPr>
          <w:rFonts w:hint="default" w:ascii="宋体" w:hAnsi="宋体" w:eastAsia="宋体" w:cs="宋体"/>
          <w:sz w:val="24"/>
          <w:szCs w:val="24"/>
          <w:lang w:val="en-US" w:eastAsia="zh-CN"/>
        </w:rPr>
      </w:pPr>
      <w:r>
        <w:rPr>
          <w:rFonts w:hint="eastAsia" w:ascii="宋体" w:hAnsi="宋体"/>
          <w:color w:val="auto"/>
          <w:sz w:val="24"/>
          <w:lang w:eastAsia="zh-CN"/>
        </w:rPr>
        <w:t>（</w:t>
      </w:r>
      <w:r>
        <w:rPr>
          <w:rFonts w:hint="eastAsia" w:ascii="宋体" w:hAnsi="宋体"/>
          <w:color w:val="auto"/>
          <w:sz w:val="24"/>
          <w:lang w:val="en-US" w:eastAsia="zh-CN"/>
        </w:rPr>
        <w:t>8</w:t>
      </w:r>
      <w:r>
        <w:rPr>
          <w:rFonts w:hint="eastAsia" w:ascii="宋体" w:hAnsi="宋体"/>
          <w:color w:val="auto"/>
          <w:sz w:val="24"/>
          <w:lang w:eastAsia="zh-CN"/>
        </w:rPr>
        <w:t>）</w:t>
      </w:r>
      <w:r>
        <w:rPr>
          <w:rFonts w:hint="eastAsia" w:ascii="宋体" w:hAnsi="宋体" w:eastAsia="宋体" w:cs="宋体"/>
          <w:sz w:val="24"/>
          <w:szCs w:val="24"/>
          <w:lang w:val="en-US" w:eastAsia="zh-CN"/>
        </w:rPr>
        <w:t>是否专门面向中小企业：是</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申请人的资格要求：</w:t>
      </w:r>
    </w:p>
    <w:p>
      <w:pPr>
        <w:numPr>
          <w:ilvl w:val="0"/>
          <w:numId w:val="4"/>
        </w:numPr>
        <w:tabs>
          <w:tab w:val="left" w:pos="492"/>
          <w:tab w:val="left" w:pos="839"/>
        </w:tabs>
        <w:spacing w:line="360" w:lineRule="auto"/>
        <w:rPr>
          <w:rFonts w:hint="eastAsia" w:ascii="宋体" w:hAnsi="宋体" w:cs="宋体"/>
          <w:sz w:val="24"/>
          <w:szCs w:val="24"/>
        </w:rPr>
      </w:pPr>
      <w:r>
        <w:rPr>
          <w:rFonts w:hint="eastAsia" w:ascii="宋体" w:hAnsi="宋体" w:cs="宋体"/>
          <w:sz w:val="24"/>
          <w:szCs w:val="24"/>
        </w:rPr>
        <w:t>满足《中华人民共和国政府采购法》第二十二条规定；</w:t>
      </w:r>
    </w:p>
    <w:p>
      <w:pPr>
        <w:numPr>
          <w:ilvl w:val="0"/>
          <w:numId w:val="4"/>
        </w:numPr>
        <w:spacing w:line="360" w:lineRule="auto"/>
        <w:ind w:left="0" w:leftChars="0" w:firstLine="400" w:firstLineChars="0"/>
        <w:rPr>
          <w:rFonts w:hint="eastAsia" w:ascii="宋体" w:hAnsi="宋体" w:eastAsia="宋体" w:cs="宋体"/>
          <w:sz w:val="24"/>
          <w:szCs w:val="24"/>
        </w:rPr>
      </w:pPr>
      <w:r>
        <w:rPr>
          <w:rFonts w:hint="eastAsia" w:ascii="宋体" w:hAnsi="宋体" w:eastAsia="宋体" w:cs="宋体"/>
          <w:sz w:val="24"/>
          <w:szCs w:val="24"/>
        </w:rPr>
        <w:t>落实政府采购政策需满足的资格要求：</w:t>
      </w:r>
      <w:r>
        <w:rPr>
          <w:rFonts w:hint="eastAsia" w:ascii="宋体" w:hAnsi="宋体" w:eastAsia="宋体" w:cs="宋体"/>
          <w:sz w:val="24"/>
          <w:szCs w:val="24"/>
          <w:lang w:val="en-US" w:eastAsia="zh-CN"/>
        </w:rPr>
        <w:t>供应商应为中小企业、监狱企业或残疾人福利性单位；</w:t>
      </w:r>
    </w:p>
    <w:p>
      <w:pPr>
        <w:pStyle w:val="56"/>
        <w:spacing w:line="360" w:lineRule="auto"/>
        <w:rPr>
          <w:rFonts w:hint="default"/>
          <w:sz w:val="24"/>
          <w:szCs w:val="24"/>
          <w:lang w:val="en-US"/>
        </w:rPr>
      </w:pPr>
      <w:r>
        <w:rPr>
          <w:rFonts w:hint="eastAsia" w:ascii="宋体" w:hAnsi="宋体" w:eastAsia="宋体" w:cs="宋体"/>
          <w:sz w:val="24"/>
          <w:szCs w:val="24"/>
          <w:lang w:val="en-US" w:eastAsia="zh-CN"/>
        </w:rPr>
        <w:t xml:space="preserve">   3.</w:t>
      </w:r>
      <w:r>
        <w:rPr>
          <w:rFonts w:hint="eastAsia" w:ascii="宋体" w:hAnsi="宋体" w:eastAsia="宋体" w:cs="宋体"/>
          <w:b w:val="0"/>
          <w:bCs w:val="0"/>
          <w:sz w:val="24"/>
          <w:szCs w:val="24"/>
          <w:lang w:val="en-US" w:eastAsia="zh-CN"/>
        </w:rPr>
        <w:t>本项目的特定资格要求：</w:t>
      </w:r>
    </w:p>
    <w:p>
      <w:pPr>
        <w:autoSpaceDE w:val="0"/>
        <w:spacing w:line="360" w:lineRule="auto"/>
        <w:ind w:firstLine="720" w:firstLineChars="300"/>
        <w:rPr>
          <w:rFonts w:hint="eastAsia" w:ascii="宋体" w:hAnsi="宋体" w:eastAsia="宋体" w:cs="Times New Roman"/>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 xml:space="preserve"> 供应</w:t>
      </w:r>
      <w:r>
        <w:rPr>
          <w:rFonts w:hint="eastAsia" w:ascii="宋体" w:hAnsi="宋体" w:eastAsia="宋体" w:cs="Times New Roman"/>
          <w:color w:val="auto"/>
          <w:sz w:val="24"/>
        </w:rPr>
        <w:t>商须具有检验检测机构资质认定食品检验机构资质认定证书（CMAF）或标识含食品的资质认定计量认证证书（CMA）；</w:t>
      </w:r>
    </w:p>
    <w:p>
      <w:pPr>
        <w:spacing w:line="360" w:lineRule="auto"/>
        <w:ind w:left="420" w:leftChars="200" w:firstLine="240" w:firstLineChars="1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供应商及其法定代表人、委托代理人均无行贿犯罪记录；</w:t>
      </w:r>
    </w:p>
    <w:p>
      <w:pPr>
        <w:spacing w:line="360" w:lineRule="auto"/>
        <w:ind w:firstLine="660" w:firstLineChars="275"/>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3</w:t>
      </w:r>
      <w:r>
        <w:rPr>
          <w:rFonts w:hint="eastAsia" w:ascii="宋体" w:hAnsi="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spacing w:line="360" w:lineRule="auto"/>
        <w:ind w:firstLine="660" w:firstLineChars="275"/>
        <w:rPr>
          <w:rFonts w:hint="eastAsia"/>
          <w:sz w:val="24"/>
          <w:szCs w:val="24"/>
        </w:rPr>
      </w:pPr>
      <w:r>
        <w:rPr>
          <w:rFonts w:hint="eastAsia" w:ascii="宋体" w:hAnsi="宋体" w:cs="宋体"/>
          <w:sz w:val="24"/>
          <w:szCs w:val="24"/>
        </w:rPr>
        <w:t>3.</w:t>
      </w:r>
      <w:r>
        <w:rPr>
          <w:rFonts w:hint="eastAsia" w:ascii="宋体" w:hAnsi="宋体" w:cs="宋体"/>
          <w:sz w:val="24"/>
          <w:szCs w:val="24"/>
          <w:lang w:val="en-US" w:eastAsia="zh-CN"/>
        </w:rPr>
        <w:t>4</w:t>
      </w:r>
      <w:r>
        <w:rPr>
          <w:rFonts w:hint="eastAsia" w:ascii="宋体" w:hAnsi="宋体" w:cs="宋体"/>
          <w:sz w:val="24"/>
          <w:szCs w:val="24"/>
        </w:rPr>
        <w:t>不得被列入失信被执行人、重大税收违法失信主体、政府采购严重违法失信行为记录名单。</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获取</w:t>
      </w:r>
      <w:r>
        <w:rPr>
          <w:rFonts w:hint="eastAsia" w:ascii="宋体" w:hAnsi="宋体" w:cs="宋体"/>
          <w:b/>
          <w:bCs/>
          <w:sz w:val="24"/>
          <w:szCs w:val="24"/>
          <w:lang w:eastAsia="zh-CN"/>
        </w:rPr>
        <w:t>采购</w:t>
      </w:r>
      <w:r>
        <w:rPr>
          <w:rFonts w:hint="eastAsia" w:ascii="宋体" w:hAnsi="宋体" w:cs="宋体"/>
          <w:b/>
          <w:bCs/>
          <w:sz w:val="24"/>
          <w:szCs w:val="24"/>
        </w:rPr>
        <w:t>文件</w:t>
      </w:r>
    </w:p>
    <w:p>
      <w:pPr>
        <w:numPr>
          <w:ilvl w:val="0"/>
          <w:numId w:val="5"/>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时间：</w:t>
      </w:r>
      <w:r>
        <w:rPr>
          <w:rFonts w:hint="eastAsia" w:ascii="宋体" w:hAnsi="宋体" w:cs="宋体"/>
          <w:sz w:val="24"/>
          <w:szCs w:val="24"/>
          <w:u w:val="single"/>
          <w:lang w:val="en-US" w:eastAsia="zh-CN"/>
        </w:rPr>
        <w:t>2023</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日至</w:t>
      </w:r>
      <w:r>
        <w:rPr>
          <w:rFonts w:hint="eastAsia" w:ascii="宋体" w:hAnsi="宋体" w:cs="宋体"/>
          <w:sz w:val="24"/>
          <w:szCs w:val="24"/>
          <w:u w:val="single"/>
          <w:lang w:val="en-US" w:eastAsia="zh-CN"/>
        </w:rPr>
        <w:t>2023</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z w:val="24"/>
          <w:szCs w:val="24"/>
          <w:lang w:eastAsia="zh-CN"/>
        </w:rPr>
        <w:t>，每天上午00:00至12:00，下午12:00至23:59</w:t>
      </w:r>
      <w:r>
        <w:rPr>
          <w:rFonts w:hint="eastAsia" w:ascii="宋体" w:hAnsi="宋体" w:cs="宋体"/>
          <w:sz w:val="24"/>
          <w:szCs w:val="24"/>
        </w:rPr>
        <w:t>（北京时间）；</w:t>
      </w:r>
    </w:p>
    <w:p>
      <w:pPr>
        <w:numPr>
          <w:ilvl w:val="0"/>
          <w:numId w:val="5"/>
        </w:numPr>
        <w:spacing w:line="360" w:lineRule="auto"/>
        <w:ind w:firstLine="480" w:firstLineChars="200"/>
        <w:jc w:val="left"/>
        <w:rPr>
          <w:rFonts w:hint="eastAsia" w:ascii="宋体" w:hAnsi="宋体" w:cs="宋体"/>
          <w:sz w:val="24"/>
          <w:szCs w:val="24"/>
          <w:shd w:val="clear" w:color="auto" w:fill="FFFF00"/>
        </w:rPr>
      </w:pPr>
      <w:r>
        <w:rPr>
          <w:rFonts w:hint="eastAsia" w:ascii="宋体" w:hAnsi="宋体" w:cs="宋体"/>
          <w:sz w:val="24"/>
          <w:szCs w:val="24"/>
        </w:rPr>
        <w:t>地点：焦作市公共资源交易中心网站；</w:t>
      </w:r>
    </w:p>
    <w:p>
      <w:pPr>
        <w:pStyle w:val="15"/>
        <w:numPr>
          <w:ilvl w:val="0"/>
          <w:numId w:val="0"/>
        </w:numPr>
        <w:spacing w:line="360" w:lineRule="auto"/>
        <w:ind w:firstLine="480" w:firstLineChars="200"/>
        <w:jc w:val="left"/>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360" w:lineRule="auto"/>
        <w:ind w:firstLine="600" w:firstLineChars="250"/>
        <w:rPr>
          <w:rFonts w:hint="eastAsia" w:ascii="宋体" w:hAnsi="宋体" w:cs="宋体"/>
          <w:b/>
          <w:bCs/>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15"/>
        <w:spacing w:line="360" w:lineRule="auto"/>
        <w:rPr>
          <w:rFonts w:hint="default" w:eastAsia="宋体"/>
          <w:lang w:val="en-US" w:eastAsia="zh-CN"/>
        </w:rPr>
      </w:pPr>
      <w:r>
        <w:rPr>
          <w:rFonts w:hint="eastAsia" w:ascii="宋体" w:hAnsi="宋体" w:cs="宋体"/>
          <w:b/>
          <w:bCs/>
          <w:sz w:val="24"/>
          <w:szCs w:val="24"/>
          <w:lang w:val="en-US" w:eastAsia="zh-CN"/>
        </w:rPr>
        <w:t xml:space="preserve">     </w:t>
      </w:r>
      <w:r>
        <w:rPr>
          <w:rFonts w:hint="eastAsia" w:ascii="宋体" w:hAnsi="宋体" w:eastAsia="宋体" w:cs="宋体"/>
          <w:sz w:val="24"/>
          <w:szCs w:val="24"/>
          <w:lang w:val="en-US" w:eastAsia="zh-CN"/>
        </w:rPr>
        <w:t>4.售价：0元</w:t>
      </w:r>
    </w:p>
    <w:p>
      <w:pPr>
        <w:numPr>
          <w:ilvl w:val="0"/>
          <w:numId w:val="2"/>
        </w:numPr>
        <w:spacing w:line="360" w:lineRule="auto"/>
        <w:jc w:val="left"/>
        <w:rPr>
          <w:rFonts w:hint="eastAsia" w:ascii="宋体" w:hAnsi="宋体" w:cs="宋体"/>
          <w:b/>
          <w:bCs/>
          <w:sz w:val="24"/>
          <w:szCs w:val="24"/>
        </w:rPr>
      </w:pPr>
      <w:r>
        <w:rPr>
          <w:rFonts w:hint="eastAsia" w:ascii="宋体" w:hAnsi="宋体" w:cs="宋体"/>
          <w:b/>
          <w:bCs/>
          <w:sz w:val="24"/>
          <w:szCs w:val="24"/>
        </w:rPr>
        <w:t>提交响应文件截止时间及地点</w:t>
      </w:r>
    </w:p>
    <w:p>
      <w:pPr>
        <w:spacing w:line="400" w:lineRule="exact"/>
        <w:ind w:firstLine="480" w:firstLineChars="200"/>
        <w:rPr>
          <w:rFonts w:hint="eastAsia" w:ascii="宋体" w:hAnsi="宋体" w:cs="宋体"/>
          <w:sz w:val="24"/>
          <w:szCs w:val="24"/>
          <w:highlight w:val="yellow"/>
        </w:rPr>
      </w:pPr>
      <w:r>
        <w:rPr>
          <w:rFonts w:hint="eastAsia" w:ascii="宋体" w:hAnsi="宋体" w:cs="宋体"/>
          <w:sz w:val="24"/>
          <w:szCs w:val="24"/>
        </w:rPr>
        <w:t>1.提交响应文件截止时间：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点</w:t>
      </w:r>
      <w:r>
        <w:rPr>
          <w:rFonts w:hint="eastAsia" w:ascii="宋体" w:hAnsi="宋体" w:cs="宋体"/>
          <w:sz w:val="24"/>
          <w:szCs w:val="24"/>
          <w:u w:val="single"/>
        </w:rPr>
        <w:t>00</w:t>
      </w:r>
      <w:r>
        <w:rPr>
          <w:rFonts w:hint="eastAsia" w:ascii="宋体" w:hAnsi="宋体" w:cs="宋体"/>
          <w:sz w:val="24"/>
          <w:szCs w:val="24"/>
        </w:rPr>
        <w:t>分</w:t>
      </w:r>
      <w:r>
        <w:rPr>
          <w:rFonts w:hint="eastAsia" w:ascii="宋体" w:hAnsi="宋体" w:cs="宋体"/>
          <w:sz w:val="24"/>
          <w:szCs w:val="24"/>
          <w:u w:val="single"/>
        </w:rPr>
        <w:t>00</w:t>
      </w:r>
      <w:r>
        <w:rPr>
          <w:rFonts w:hint="eastAsia" w:ascii="宋体" w:hAnsi="宋体" w:cs="宋体"/>
          <w:sz w:val="24"/>
          <w:szCs w:val="24"/>
        </w:rPr>
        <w:t>秒（北京时间）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开启时间及地点</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1.开启时间：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日09时00分后（北京时间）；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2.开启地点：武陟县公共资源交易中心二楼</w:t>
      </w:r>
      <w:r>
        <w:rPr>
          <w:rFonts w:hint="eastAsia" w:ascii="宋体" w:hAnsi="宋体" w:cs="宋体"/>
          <w:color w:val="auto"/>
          <w:sz w:val="24"/>
          <w:szCs w:val="24"/>
        </w:rPr>
        <w:t>开标</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厅。</w:t>
      </w:r>
    </w:p>
    <w:p>
      <w:pPr>
        <w:numPr>
          <w:ilvl w:val="0"/>
          <w:numId w:val="2"/>
        </w:numPr>
        <w:spacing w:line="400" w:lineRule="exact"/>
        <w:jc w:val="left"/>
        <w:rPr>
          <w:rFonts w:hint="eastAsia" w:ascii="宋体" w:hAnsi="宋体" w:cs="宋体"/>
          <w:b/>
          <w:bCs/>
          <w:sz w:val="24"/>
          <w:szCs w:val="24"/>
        </w:rPr>
      </w:pPr>
      <w:r>
        <w:rPr>
          <w:rFonts w:hint="eastAsia" w:ascii="宋体" w:hAnsi="宋体" w:eastAsia="宋体" w:cs="宋体"/>
          <w:b/>
          <w:bCs/>
          <w:sz w:val="24"/>
          <w:szCs w:val="24"/>
        </w:rPr>
        <w:t>公告发布</w:t>
      </w:r>
      <w:r>
        <w:rPr>
          <w:rFonts w:hint="eastAsia" w:ascii="宋体" w:hAnsi="宋体" w:eastAsia="宋体" w:cs="宋体"/>
          <w:b/>
          <w:bCs/>
          <w:sz w:val="24"/>
          <w:szCs w:val="24"/>
          <w:lang w:eastAsia="zh-CN"/>
        </w:rPr>
        <w:t>的</w:t>
      </w:r>
      <w:r>
        <w:rPr>
          <w:rFonts w:hint="eastAsia" w:ascii="宋体" w:hAnsi="宋体" w:eastAsia="宋体" w:cs="宋体"/>
          <w:b/>
          <w:bCs/>
          <w:sz w:val="24"/>
          <w:szCs w:val="24"/>
        </w:rPr>
        <w:t>媒体</w:t>
      </w:r>
      <w:r>
        <w:rPr>
          <w:rFonts w:hint="eastAsia" w:ascii="宋体" w:hAnsi="宋体" w:eastAsia="宋体" w:cs="宋体"/>
          <w:b/>
          <w:bCs/>
          <w:sz w:val="24"/>
          <w:szCs w:val="24"/>
          <w:lang w:eastAsia="zh-CN"/>
        </w:rPr>
        <w:t>及竞争性磋商</w:t>
      </w:r>
      <w:r>
        <w:rPr>
          <w:rFonts w:hint="eastAsia" w:ascii="宋体" w:hAnsi="宋体" w:eastAsia="宋体" w:cs="宋体"/>
          <w:b/>
          <w:bCs/>
          <w:sz w:val="24"/>
          <w:szCs w:val="24"/>
        </w:rPr>
        <w:t>公</w:t>
      </w:r>
      <w:r>
        <w:rPr>
          <w:rFonts w:hint="eastAsia" w:ascii="宋体" w:hAnsi="宋体" w:cs="宋体"/>
          <w:b/>
          <w:bCs/>
          <w:sz w:val="24"/>
          <w:szCs w:val="24"/>
        </w:rPr>
        <w:t>告期限</w:t>
      </w:r>
    </w:p>
    <w:p>
      <w:pPr>
        <w:spacing w:line="4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本次招标公告在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上发布，竞争性磋商</w:t>
      </w:r>
      <w:r>
        <w:rPr>
          <w:rFonts w:hint="eastAsia" w:ascii="宋体" w:hAnsi="宋体" w:eastAsia="宋体" w:cs="宋体"/>
          <w:sz w:val="24"/>
          <w:szCs w:val="24"/>
        </w:rPr>
        <w:t>公告期限</w:t>
      </w:r>
      <w:r>
        <w:rPr>
          <w:rFonts w:hint="eastAsia" w:ascii="宋体" w:hAnsi="宋体" w:eastAsia="宋体" w:cs="宋体"/>
          <w:sz w:val="24"/>
          <w:szCs w:val="24"/>
          <w:lang w:eastAsia="zh-CN"/>
        </w:rPr>
        <w:t>为五个工作日。</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其他补充事宜</w:t>
      </w:r>
    </w:p>
    <w:p>
      <w:pPr>
        <w:spacing w:line="400" w:lineRule="exact"/>
        <w:ind w:firstLine="480" w:firstLineChars="200"/>
        <w:jc w:val="left"/>
        <w:rPr>
          <w:rFonts w:hint="eastAsia"/>
        </w:rPr>
      </w:pPr>
      <w:r>
        <w:rPr>
          <w:rFonts w:hint="eastAsia" w:ascii="宋体" w:hAnsi="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凡对本次采购提出询问，请按以下方式联系：</w:t>
      </w:r>
    </w:p>
    <w:p>
      <w:pPr>
        <w:widowControl/>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1.采购人信息</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名 称：武陟县市场监督管理局</w:t>
      </w:r>
    </w:p>
    <w:p>
      <w:pPr>
        <w:spacing w:line="40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地址：武陟县兴华路269号</w:t>
      </w:r>
    </w:p>
    <w:p>
      <w:pPr>
        <w:spacing w:line="400" w:lineRule="exact"/>
        <w:ind w:firstLine="480" w:firstLineChars="200"/>
        <w:jc w:val="left"/>
        <w:rPr>
          <w:rFonts w:hint="eastAsia" w:ascii="宋体" w:hAnsi="宋体" w:eastAsia="宋体" w:cs="宋体"/>
          <w:color w:val="000000"/>
          <w:sz w:val="24"/>
          <w:szCs w:val="24"/>
          <w:lang w:eastAsia="zh-CN"/>
        </w:rPr>
      </w:pPr>
      <w:r>
        <w:rPr>
          <w:rFonts w:hint="eastAsia" w:ascii="宋体" w:hAnsi="宋体" w:cs="宋体"/>
          <w:color w:val="000000"/>
          <w:sz w:val="24"/>
          <w:szCs w:val="24"/>
        </w:rPr>
        <w:t>联系人：</w:t>
      </w:r>
      <w:r>
        <w:rPr>
          <w:rFonts w:hint="eastAsia" w:ascii="宋体" w:hAnsi="宋体" w:cs="宋体"/>
          <w:color w:val="000000"/>
          <w:sz w:val="24"/>
          <w:szCs w:val="24"/>
          <w:lang w:val="en-US" w:eastAsia="zh-CN"/>
        </w:rPr>
        <w:t>常红娟</w:t>
      </w:r>
    </w:p>
    <w:p>
      <w:pPr>
        <w:spacing w:line="40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联系方式：</w:t>
      </w:r>
      <w:r>
        <w:rPr>
          <w:rFonts w:hint="eastAsia" w:ascii="宋体" w:hAnsi="宋体" w:cs="宋体"/>
          <w:color w:val="000000"/>
          <w:sz w:val="24"/>
          <w:szCs w:val="24"/>
          <w:lang w:eastAsia="zh-CN"/>
        </w:rPr>
        <w:t>15839119151</w:t>
      </w:r>
    </w:p>
    <w:p>
      <w:pPr>
        <w:spacing w:line="400" w:lineRule="exact"/>
        <w:ind w:firstLine="480" w:firstLineChars="200"/>
        <w:jc w:val="left"/>
        <w:rPr>
          <w:rFonts w:hint="eastAsia" w:ascii="宋体" w:hAnsi="宋体" w:eastAsia="宋体" w:cs="宋体"/>
          <w:sz w:val="24"/>
          <w:szCs w:val="24"/>
          <w:lang w:eastAsia="zh-CN"/>
        </w:rPr>
      </w:pPr>
      <w:r>
        <w:rPr>
          <w:rFonts w:hint="eastAsia" w:ascii="宋体" w:hAnsi="宋体" w:cs="宋体"/>
          <w:sz w:val="24"/>
          <w:szCs w:val="24"/>
        </w:rPr>
        <w:t>2.采购代理机构信息</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达信建设发展有限公司</w:t>
      </w:r>
      <w:r>
        <w:rPr>
          <w:rFonts w:hint="eastAsia" w:ascii="宋体" w:hAnsi="宋体" w:cs="宋体"/>
          <w:sz w:val="24"/>
          <w:szCs w:val="24"/>
        </w:rPr>
        <w:t xml:space="preserve">                    　</w:t>
      </w:r>
    </w:p>
    <w:p>
      <w:pPr>
        <w:spacing w:line="400" w:lineRule="exact"/>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val="en-US" w:eastAsia="zh-CN"/>
        </w:rPr>
        <w:t xml:space="preserve"> 新乡市新二街356号国贸大厦A座9楼</w:t>
      </w:r>
    </w:p>
    <w:p>
      <w:pPr>
        <w:spacing w:line="400" w:lineRule="exact"/>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联系人：王一帆</w:t>
      </w:r>
    </w:p>
    <w:p>
      <w:pPr>
        <w:spacing w:line="400" w:lineRule="exact"/>
        <w:ind w:firstLine="480" w:firstLineChars="200"/>
        <w:jc w:val="left"/>
        <w:rPr>
          <w:rFonts w:hint="eastAsia" w:ascii="宋体" w:hAnsi="宋体" w:cs="宋体"/>
          <w:color w:val="000000"/>
          <w:sz w:val="24"/>
          <w:szCs w:val="24"/>
        </w:rPr>
      </w:pPr>
      <w:r>
        <w:rPr>
          <w:rFonts w:hint="eastAsia" w:ascii="宋体" w:hAnsi="宋体" w:eastAsia="宋体" w:cs="宋体"/>
          <w:color w:val="000000"/>
          <w:sz w:val="24"/>
          <w:szCs w:val="24"/>
        </w:rPr>
        <w:t>联系方式：</w:t>
      </w:r>
      <w:r>
        <w:rPr>
          <w:rFonts w:hint="eastAsia" w:ascii="宋体" w:hAnsi="宋体" w:eastAsia="宋体" w:cs="宋体"/>
          <w:color w:val="000000"/>
          <w:sz w:val="24"/>
          <w:szCs w:val="24"/>
          <w:lang w:val="en-US" w:eastAsia="zh-CN"/>
        </w:rPr>
        <w:t xml:space="preserve">0391-7289803 </w:t>
      </w:r>
      <w:r>
        <w:rPr>
          <w:rFonts w:hint="eastAsia" w:ascii="宋体" w:hAnsi="宋体" w:eastAsia="宋体" w:cs="宋体"/>
          <w:color w:val="000000"/>
          <w:sz w:val="24"/>
          <w:szCs w:val="24"/>
        </w:rPr>
        <w:t xml:space="preserve">  </w:t>
      </w:r>
      <w:r>
        <w:rPr>
          <w:rFonts w:hint="eastAsia" w:ascii="宋体" w:hAnsi="宋体" w:cs="宋体"/>
          <w:color w:val="000000"/>
          <w:sz w:val="24"/>
          <w:szCs w:val="24"/>
        </w:rPr>
        <w:t xml:space="preserve">                      　                                             </w:t>
      </w:r>
    </w:p>
    <w:p>
      <w:pPr>
        <w:spacing w:line="40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3.项目联系方式</w:t>
      </w:r>
    </w:p>
    <w:p>
      <w:pPr>
        <w:pStyle w:val="16"/>
        <w:spacing w:line="400" w:lineRule="exact"/>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项目联系人：</w:t>
      </w:r>
      <w:r>
        <w:rPr>
          <w:rFonts w:hint="eastAsia" w:ascii="宋体" w:hAnsi="宋体" w:cs="宋体"/>
          <w:color w:val="000000"/>
          <w:sz w:val="24"/>
          <w:szCs w:val="24"/>
          <w:lang w:val="en-US" w:eastAsia="zh-CN"/>
        </w:rPr>
        <w:t>常红娟</w:t>
      </w:r>
    </w:p>
    <w:p>
      <w:pPr>
        <w:spacing w:line="400" w:lineRule="exact"/>
        <w:ind w:firstLine="480" w:firstLineChars="200"/>
        <w:rPr>
          <w:rFonts w:hint="default" w:ascii="宋体" w:hAnsi="宋体" w:eastAsia="宋体" w:cs="宋体"/>
          <w:color w:val="000000"/>
          <w:sz w:val="24"/>
          <w:szCs w:val="24"/>
          <w:u w:val="single"/>
          <w:lang w:val="en-US" w:eastAsia="zh-CN"/>
        </w:rPr>
      </w:pPr>
      <w:r>
        <w:rPr>
          <w:rFonts w:hint="eastAsia" w:ascii="宋体" w:hAnsi="宋体" w:cs="宋体"/>
          <w:color w:val="000000"/>
          <w:sz w:val="24"/>
          <w:szCs w:val="24"/>
        </w:rPr>
        <w:t>电　话：</w:t>
      </w:r>
      <w:r>
        <w:rPr>
          <w:rFonts w:hint="eastAsia" w:ascii="宋体" w:hAnsi="宋体" w:cs="宋体"/>
          <w:color w:val="000000"/>
          <w:sz w:val="24"/>
          <w:szCs w:val="24"/>
          <w:shd w:val="clear" w:color="auto" w:fill="FFFFFF"/>
          <w:lang w:val="en-US" w:eastAsia="zh-CN"/>
        </w:rPr>
        <w:t xml:space="preserve"> </w:t>
      </w:r>
      <w:r>
        <w:rPr>
          <w:rFonts w:hint="eastAsia" w:ascii="宋体" w:hAnsi="宋体" w:cs="宋体"/>
          <w:color w:val="000000"/>
          <w:sz w:val="24"/>
          <w:szCs w:val="24"/>
          <w:lang w:eastAsia="zh-CN"/>
        </w:rPr>
        <w:t>15839119151</w:t>
      </w:r>
    </w:p>
    <w:p>
      <w:pPr>
        <w:spacing w:line="380" w:lineRule="exact"/>
        <w:ind w:firstLine="6000" w:firstLineChars="2500"/>
        <w:rPr>
          <w:rFonts w:hint="eastAsia" w:ascii="宋体" w:hAnsi="宋体" w:cs="宋体"/>
          <w:sz w:val="24"/>
          <w:szCs w:val="24"/>
        </w:rPr>
      </w:pPr>
    </w:p>
    <w:p>
      <w:pPr>
        <w:keepNext w:val="0"/>
        <w:keepLines w:val="0"/>
        <w:pageBreakBefore w:val="0"/>
        <w:kinsoku/>
        <w:wordWrap/>
        <w:overflowPunct/>
        <w:topLinePunct w:val="0"/>
        <w:autoSpaceDE/>
        <w:autoSpaceDN/>
        <w:bidi w:val="0"/>
        <w:adjustRightInd/>
        <w:snapToGrid/>
        <w:spacing w:line="380" w:lineRule="exact"/>
        <w:ind w:firstLine="6000" w:firstLineChars="2500"/>
        <w:jc w:val="both"/>
        <w:textAlignment w:val="auto"/>
        <w:rPr>
          <w:rFonts w:hint="eastAsia" w:ascii="宋体" w:hAnsi="宋体" w:eastAsia="宋体" w:cs="宋体"/>
          <w:color w:val="auto"/>
          <w:sz w:val="24"/>
          <w:szCs w:val="24"/>
          <w:u w:val="none"/>
          <w:lang w:eastAsia="zh-CN"/>
        </w:rPr>
      </w:pPr>
      <w:r>
        <w:rPr>
          <w:rFonts w:hint="eastAsia" w:ascii="宋体" w:hAnsi="宋体" w:cs="宋体"/>
          <w:sz w:val="24"/>
          <w:szCs w:val="24"/>
        </w:rPr>
        <w:t>时间：</w:t>
      </w:r>
      <w:r>
        <w:rPr>
          <w:rFonts w:hint="eastAsia" w:ascii="宋体" w:hAnsi="宋体" w:cs="宋体"/>
          <w:sz w:val="24"/>
          <w:szCs w:val="24"/>
          <w:lang w:val="en-US" w:eastAsia="zh-CN"/>
        </w:rPr>
        <w:t xml:space="preserve"> 2023</w:t>
      </w: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pStyle w:val="15"/>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rPr>
      </w:pPr>
    </w:p>
    <w:p>
      <w:pPr>
        <w:pStyle w:val="34"/>
        <w:keepNext w:val="0"/>
        <w:keepLines w:val="0"/>
        <w:pageBreakBefore w:val="0"/>
        <w:widowControl w:val="0"/>
        <w:numPr>
          <w:ilvl w:val="0"/>
          <w:numId w:val="1"/>
        </w:numPr>
        <w:kinsoku/>
        <w:wordWrap/>
        <w:overflowPunct/>
        <w:topLinePunct w:val="0"/>
        <w:autoSpaceDE/>
        <w:autoSpaceDN/>
        <w:bidi w:val="0"/>
        <w:adjustRightInd/>
        <w:snapToGrid/>
        <w:spacing w:before="0" w:after="0" w:line="360" w:lineRule="auto"/>
        <w:ind w:firstLine="403"/>
        <w:textAlignment w:val="auto"/>
        <w:outlineLvl w:val="0"/>
        <w:rPr>
          <w:rFonts w:hint="eastAsia"/>
        </w:rPr>
      </w:pPr>
      <w:bookmarkStart w:id="8" w:name="_Toc15614"/>
      <w:bookmarkStart w:id="9" w:name="_Toc374512408"/>
      <w:bookmarkStart w:id="10" w:name="_Toc477423242"/>
      <w:bookmarkStart w:id="11" w:name="_Toc373230021"/>
      <w:bookmarkStart w:id="12" w:name="_Toc408816341"/>
      <w:bookmarkStart w:id="13" w:name="_Toc22562"/>
      <w:r>
        <w:rPr>
          <w:rFonts w:hint="eastAsia"/>
        </w:rPr>
        <w:br w:type="page"/>
      </w:r>
      <w:r>
        <w:rPr>
          <w:rFonts w:hint="eastAsia"/>
        </w:rPr>
        <w:t xml:space="preserve"> </w:t>
      </w:r>
      <w:bookmarkStart w:id="14" w:name="_Toc16725"/>
      <w:bookmarkStart w:id="15" w:name="_Toc7876"/>
      <w:bookmarkStart w:id="16" w:name="_Toc29694"/>
      <w:r>
        <w:rPr>
          <w:rFonts w:hint="eastAsia"/>
        </w:rPr>
        <w:t>供应商须知</w:t>
      </w:r>
      <w:bookmarkEnd w:id="8"/>
      <w:bookmarkEnd w:id="14"/>
      <w:bookmarkEnd w:id="15"/>
      <w:bookmarkEnd w:id="16"/>
    </w:p>
    <w:p>
      <w:pPr>
        <w:jc w:val="center"/>
        <w:rPr>
          <w:rFonts w:hint="eastAsia" w:ascii="宋体" w:hAnsi="宋体" w:eastAsia="宋体" w:cs="宋体"/>
          <w:sz w:val="28"/>
          <w:szCs w:val="28"/>
        </w:rPr>
      </w:pPr>
      <w:r>
        <w:rPr>
          <w:rFonts w:hint="eastAsia" w:ascii="宋体" w:hAnsi="宋体" w:eastAsia="宋体" w:cs="宋体"/>
          <w:sz w:val="28"/>
          <w:szCs w:val="28"/>
        </w:rPr>
        <w:t>供应商须知前附表</w:t>
      </w:r>
    </w:p>
    <w:p>
      <w:pPr>
        <w:spacing w:line="480" w:lineRule="exact"/>
        <w:ind w:right="-420" w:rightChars="-200" w:firstLine="420" w:firstLineChars="200"/>
        <w:jc w:val="left"/>
        <w:rPr>
          <w:rFonts w:hint="eastAsia" w:ascii="宋体" w:hAnsi="宋体" w:eastAsia="宋体" w:cs="宋体"/>
          <w:szCs w:val="21"/>
        </w:rPr>
      </w:pPr>
      <w:r>
        <w:rPr>
          <w:rFonts w:hint="eastAsia" w:ascii="宋体" w:hAnsi="宋体" w:eastAsia="宋体" w:cs="宋体"/>
          <w:kern w:val="0"/>
          <w:szCs w:val="21"/>
        </w:rPr>
        <w:t>本表是对竞争性磋商文件的具体补充和修改，如与竞争性磋商文件其他部分内容有差异，应以本表为准。</w:t>
      </w:r>
    </w:p>
    <w:tbl>
      <w:tblPr>
        <w:tblStyle w:val="36"/>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项号</w:t>
            </w:r>
          </w:p>
        </w:tc>
        <w:tc>
          <w:tcPr>
            <w:tcW w:w="2131"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内  容</w:t>
            </w:r>
          </w:p>
        </w:tc>
        <w:tc>
          <w:tcPr>
            <w:tcW w:w="6563" w:type="dxa"/>
            <w:noWrap w:val="0"/>
            <w:vAlign w:val="center"/>
          </w:tcPr>
          <w:p>
            <w:pPr>
              <w:spacing w:line="460" w:lineRule="exact"/>
              <w:jc w:val="center"/>
              <w:rPr>
                <w:rFonts w:hint="eastAsia" w:ascii="宋体" w:hAnsi="宋体" w:eastAsia="宋体" w:cs="宋体"/>
                <w:kern w:val="0"/>
                <w:szCs w:val="21"/>
              </w:rPr>
            </w:pPr>
            <w:r>
              <w:rPr>
                <w:rFonts w:hint="eastAsia" w:ascii="宋体" w:hAnsi="宋体" w:eastAsia="宋体" w:cs="宋体"/>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采购人</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cs="仿宋_GB2312"/>
                <w:kern w:val="0"/>
                <w:sz w:val="21"/>
                <w:szCs w:val="21"/>
                <w:lang w:eastAsia="zh-CN"/>
              </w:rPr>
              <w:t>武陟县市场监督管理局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采购代理机构</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sz w:val="21"/>
                <w:szCs w:val="21"/>
                <w:lang w:eastAsia="zh-CN"/>
              </w:rPr>
              <w:t>达信建设发展有限公司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6563" w:type="dxa"/>
            <w:noWrap w:val="0"/>
            <w:vAlign w:val="center"/>
          </w:tcPr>
          <w:p>
            <w:pPr>
              <w:spacing w:line="460" w:lineRule="exact"/>
              <w:rPr>
                <w:rFonts w:hint="default" w:ascii="宋体" w:hAnsi="宋体" w:eastAsia="宋体" w:cs="宋体"/>
                <w:kern w:val="0"/>
                <w:sz w:val="21"/>
                <w:szCs w:val="21"/>
                <w:highlight w:val="yellow"/>
                <w:lang w:val="en-US"/>
              </w:rPr>
            </w:pPr>
            <w:r>
              <w:rPr>
                <w:rFonts w:hint="eastAsia" w:ascii="宋体" w:hAnsi="宋体" w:cs="仿宋_GB2312"/>
                <w:color w:val="auto"/>
                <w:kern w:val="0"/>
                <w:sz w:val="21"/>
                <w:szCs w:val="21"/>
                <w:highlight w:val="none"/>
                <w:lang w:eastAsia="zh-CN"/>
              </w:rPr>
              <w:t>武陟县市场监督管理局食品安全抽样检测工作</w:t>
            </w:r>
            <w:r>
              <w:rPr>
                <w:rFonts w:hint="eastAsia" w:ascii="宋体" w:hAnsi="宋体" w:cs="仿宋_GB2312"/>
                <w:color w:val="auto"/>
                <w:kern w:val="0"/>
                <w:sz w:val="21"/>
                <w:szCs w:val="21"/>
                <w:highlight w:val="none"/>
                <w:lang w:val="en-US" w:eastAsia="zh-CN"/>
              </w:rPr>
              <w:t>一包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资金来源</w:t>
            </w:r>
          </w:p>
        </w:tc>
        <w:tc>
          <w:tcPr>
            <w:tcW w:w="6563" w:type="dxa"/>
            <w:noWrap w:val="0"/>
            <w:vAlign w:val="center"/>
          </w:tcPr>
          <w:p>
            <w:pPr>
              <w:spacing w:line="460" w:lineRule="exact"/>
              <w:rPr>
                <w:rFonts w:hint="eastAsia" w:ascii="宋体" w:hAnsi="宋体" w:eastAsia="宋体" w:cs="宋体"/>
                <w:kern w:val="0"/>
                <w:sz w:val="21"/>
                <w:szCs w:val="21"/>
                <w:lang w:eastAsia="zh-CN"/>
              </w:rPr>
            </w:pPr>
            <w:r>
              <w:rPr>
                <w:rFonts w:hint="eastAsia" w:ascii="宋体" w:hAnsi="宋体" w:eastAsia="宋体" w:cs="宋体"/>
                <w:kern w:val="0"/>
                <w:sz w:val="21"/>
                <w:szCs w:val="21"/>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资金落实情况</w:t>
            </w:r>
          </w:p>
        </w:tc>
        <w:tc>
          <w:tcPr>
            <w:tcW w:w="6563" w:type="dxa"/>
            <w:noWrap w:val="0"/>
            <w:vAlign w:val="center"/>
          </w:tcPr>
          <w:p>
            <w:pPr>
              <w:spacing w:line="460" w:lineRule="exact"/>
              <w:rPr>
                <w:rFonts w:hint="eastAsia" w:ascii="宋体" w:hAnsi="宋体" w:eastAsia="宋体" w:cs="宋体"/>
                <w:kern w:val="0"/>
                <w:sz w:val="21"/>
                <w:szCs w:val="21"/>
                <w:highlight w:val="yellow"/>
              </w:rPr>
            </w:pPr>
            <w:r>
              <w:rPr>
                <w:rFonts w:hint="eastAsia" w:ascii="宋体" w:hAnsi="宋体" w:eastAsia="宋体" w:cs="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sz w:val="21"/>
                <w:szCs w:val="21"/>
                <w:lang w:eastAsia="zh-CN"/>
              </w:rPr>
              <w:t>项目属性</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color w:val="auto"/>
                <w:sz w:val="21"/>
                <w:szCs w:val="21"/>
                <w:lang w:eastAsia="zh-CN"/>
              </w:rPr>
              <w:t>货物</w:t>
            </w:r>
            <w:r>
              <w:rPr>
                <w:rFonts w:hint="eastAsia" w:hAnsi="宋体"/>
                <w:color w:val="auto"/>
                <w:sz w:val="21"/>
                <w:szCs w:val="21"/>
              </w:rPr>
              <w:sym w:font="Wingdings" w:char="00A8"/>
            </w:r>
            <w:r>
              <w:rPr>
                <w:rFonts w:hint="eastAsia" w:hAnsi="宋体"/>
                <w:color w:val="auto"/>
                <w:sz w:val="21"/>
                <w:szCs w:val="21"/>
                <w:lang w:val="en-US" w:eastAsia="zh-CN"/>
              </w:rPr>
              <w:t xml:space="preserve">      </w:t>
            </w:r>
            <w:r>
              <w:rPr>
                <w:rFonts w:hint="eastAsia" w:ascii="宋体" w:hAnsi="宋体"/>
                <w:color w:val="auto"/>
                <w:sz w:val="21"/>
                <w:szCs w:val="21"/>
                <w:lang w:eastAsia="zh-CN"/>
              </w:rPr>
              <w:t>服务</w:t>
            </w:r>
            <w:r>
              <w:rPr>
                <w:rFonts w:hint="eastAsia" w:hAnsi="宋体"/>
                <w:color w:val="auto"/>
                <w:sz w:val="21"/>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7</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磋商有效期</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自响应文件提交之日起</w:t>
            </w:r>
            <w:r>
              <w:rPr>
                <w:rFonts w:hint="eastAsia" w:ascii="宋体" w:hAnsi="宋体" w:eastAsia="宋体" w:cs="宋体"/>
                <w:kern w:val="0"/>
                <w:sz w:val="21"/>
                <w:szCs w:val="21"/>
                <w:u w:val="single"/>
              </w:rPr>
              <w:t>60</w:t>
            </w:r>
            <w:r>
              <w:rPr>
                <w:rFonts w:hint="eastAsia" w:ascii="宋体" w:hAnsi="宋体" w:eastAsia="宋体" w:cs="宋体"/>
                <w:kern w:val="0"/>
                <w:sz w:val="21"/>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8</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采购需求</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val="en-US" w:eastAsia="zh-CN"/>
              </w:rPr>
              <w:t>9</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磋商保证金</w:t>
            </w:r>
          </w:p>
        </w:tc>
        <w:tc>
          <w:tcPr>
            <w:tcW w:w="6563"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kern w:val="0"/>
                <w:sz w:val="21"/>
                <w:szCs w:val="21"/>
              </w:rPr>
              <w:t>磋商</w:t>
            </w:r>
            <w:r>
              <w:rPr>
                <w:rFonts w:hint="eastAsia" w:ascii="宋体" w:hAnsi="宋体" w:eastAsia="宋体" w:cs="宋体"/>
                <w:sz w:val="21"/>
                <w:szCs w:val="21"/>
              </w:rPr>
              <w:t>保证金：</w:t>
            </w:r>
            <w:r>
              <w:rPr>
                <w:rFonts w:hint="eastAsia" w:ascii="宋体" w:hAnsi="宋体" w:eastAsia="宋体" w:cs="宋体"/>
                <w:sz w:val="21"/>
                <w:szCs w:val="21"/>
                <w:u w:val="single"/>
                <w:lang w:val="en-US" w:eastAsia="zh-CN"/>
              </w:rPr>
              <w:t>0.6</w:t>
            </w:r>
            <w:r>
              <w:rPr>
                <w:rFonts w:hint="eastAsia" w:ascii="宋体" w:hAnsi="宋体" w:eastAsia="宋体" w:cs="宋体"/>
                <w:sz w:val="21"/>
                <w:szCs w:val="21"/>
                <w:u w:val="single"/>
              </w:rPr>
              <w:t xml:space="preserve"> </w:t>
            </w:r>
            <w:r>
              <w:rPr>
                <w:rFonts w:hint="eastAsia" w:ascii="宋体" w:hAnsi="宋体" w:eastAsia="宋体" w:cs="宋体"/>
                <w:sz w:val="21"/>
                <w:szCs w:val="21"/>
              </w:rPr>
              <w:t>万元（暂不缴纳）</w:t>
            </w:r>
          </w:p>
          <w:p>
            <w:pPr>
              <w:spacing w:line="400" w:lineRule="exact"/>
              <w:rPr>
                <w:rFonts w:hint="eastAsia" w:ascii="宋体" w:hAnsi="宋体" w:eastAsia="宋体" w:cs="宋体"/>
                <w:sz w:val="21"/>
                <w:szCs w:val="21"/>
              </w:rPr>
            </w:pPr>
            <w:r>
              <w:rPr>
                <w:rFonts w:hint="eastAsia" w:ascii="宋体" w:hAnsi="宋体" w:eastAsia="宋体" w:cs="宋体"/>
                <w:sz w:val="21"/>
                <w:szCs w:val="21"/>
              </w:rPr>
              <w:t xml:space="preserve"> 2.供应商有下列情形之一的，采购人将追索</w:t>
            </w:r>
            <w:r>
              <w:rPr>
                <w:rFonts w:hint="eastAsia" w:ascii="宋体" w:hAnsi="宋体" w:eastAsia="宋体" w:cs="宋体"/>
                <w:kern w:val="0"/>
                <w:sz w:val="21"/>
                <w:szCs w:val="21"/>
              </w:rPr>
              <w:t>磋商</w:t>
            </w:r>
            <w:r>
              <w:rPr>
                <w:rFonts w:hint="eastAsia" w:ascii="宋体" w:hAnsi="宋体" w:eastAsia="宋体" w:cs="宋体"/>
                <w:sz w:val="21"/>
                <w:szCs w:val="21"/>
              </w:rPr>
              <w:t>保证金人民币</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0.6</w:t>
            </w:r>
            <w:r>
              <w:rPr>
                <w:rFonts w:hint="eastAsia" w:ascii="宋体" w:hAnsi="宋体" w:eastAsia="宋体" w:cs="宋体"/>
                <w:sz w:val="21"/>
                <w:szCs w:val="21"/>
                <w:u w:val="single"/>
              </w:rPr>
              <w:t xml:space="preserve"> </w:t>
            </w:r>
            <w:r>
              <w:rPr>
                <w:rFonts w:hint="eastAsia" w:ascii="宋体" w:hAnsi="宋体" w:eastAsia="宋体" w:cs="宋体"/>
                <w:sz w:val="21"/>
                <w:szCs w:val="21"/>
              </w:rPr>
              <w:t>万元，并予以没收，供应商应作出相应承诺（承诺书格式见第</w:t>
            </w:r>
            <w:r>
              <w:rPr>
                <w:rFonts w:hint="eastAsia" w:ascii="宋体" w:hAnsi="宋体" w:eastAsia="宋体" w:cs="宋体"/>
                <w:sz w:val="21"/>
                <w:szCs w:val="21"/>
                <w:lang w:eastAsia="zh-CN"/>
              </w:rPr>
              <w:t>六</w:t>
            </w:r>
            <w:r>
              <w:rPr>
                <w:rFonts w:hint="eastAsia" w:ascii="宋体" w:hAnsi="宋体" w:eastAsia="宋体" w:cs="宋体"/>
                <w:sz w:val="21"/>
                <w:szCs w:val="21"/>
              </w:rPr>
              <w:t>章响应文件格式中）：</w:t>
            </w:r>
          </w:p>
          <w:p>
            <w:pPr>
              <w:spacing w:line="400" w:lineRule="exact"/>
              <w:rPr>
                <w:rFonts w:hint="eastAsia" w:ascii="宋体" w:hAnsi="宋体" w:eastAsia="宋体" w:cs="宋体"/>
                <w:sz w:val="21"/>
                <w:szCs w:val="21"/>
              </w:rPr>
            </w:pPr>
            <w:r>
              <w:rPr>
                <w:rFonts w:hint="eastAsia" w:ascii="宋体" w:hAnsi="宋体" w:eastAsia="宋体" w:cs="宋体"/>
                <w:sz w:val="21"/>
                <w:szCs w:val="21"/>
              </w:rPr>
              <w:t>（1）供应商在提交响应文件截止时间后或</w:t>
            </w:r>
            <w:r>
              <w:rPr>
                <w:rFonts w:hint="eastAsia" w:ascii="宋体" w:hAnsi="宋体" w:eastAsia="宋体" w:cs="宋体"/>
                <w:sz w:val="21"/>
                <w:szCs w:val="21"/>
                <w:lang w:eastAsia="zh-CN"/>
              </w:rPr>
              <w:t>磋商</w:t>
            </w:r>
            <w:r>
              <w:rPr>
                <w:rFonts w:hint="eastAsia" w:ascii="宋体" w:hAnsi="宋体" w:eastAsia="宋体" w:cs="宋体"/>
                <w:sz w:val="21"/>
                <w:szCs w:val="21"/>
              </w:rPr>
              <w:t>有效期内撤回响应文件的；</w:t>
            </w:r>
          </w:p>
          <w:p>
            <w:pPr>
              <w:spacing w:line="400" w:lineRule="exact"/>
              <w:rPr>
                <w:rFonts w:hint="eastAsia" w:ascii="宋体" w:hAnsi="宋体" w:eastAsia="宋体" w:cs="宋体"/>
                <w:sz w:val="21"/>
                <w:szCs w:val="21"/>
              </w:rPr>
            </w:pPr>
            <w:r>
              <w:rPr>
                <w:rFonts w:hint="eastAsia" w:ascii="宋体" w:hAnsi="宋体" w:eastAsia="宋体" w:cs="宋体"/>
                <w:sz w:val="21"/>
                <w:szCs w:val="21"/>
              </w:rPr>
              <w:t>（2）供应商在响应文件中提供虚假材料的；</w:t>
            </w:r>
          </w:p>
          <w:p>
            <w:pPr>
              <w:spacing w:line="400" w:lineRule="exact"/>
              <w:rPr>
                <w:rFonts w:hint="eastAsia" w:ascii="宋体" w:hAnsi="宋体" w:eastAsia="宋体" w:cs="宋体"/>
                <w:sz w:val="21"/>
                <w:szCs w:val="21"/>
              </w:rPr>
            </w:pPr>
            <w:r>
              <w:rPr>
                <w:rFonts w:hint="eastAsia" w:ascii="宋体" w:hAnsi="宋体" w:eastAsia="宋体" w:cs="宋体"/>
                <w:sz w:val="21"/>
                <w:szCs w:val="21"/>
              </w:rPr>
              <w:t>（3）除因不可抗力或</w:t>
            </w:r>
            <w:r>
              <w:rPr>
                <w:rFonts w:hint="eastAsia" w:ascii="宋体" w:hAnsi="宋体" w:eastAsia="宋体" w:cs="宋体"/>
                <w:sz w:val="21"/>
                <w:szCs w:val="21"/>
                <w:lang w:eastAsia="zh-CN"/>
              </w:rPr>
              <w:t>竞争性磋商文件</w:t>
            </w:r>
            <w:r>
              <w:rPr>
                <w:rFonts w:hint="eastAsia" w:ascii="宋体" w:hAnsi="宋体" w:eastAsia="宋体" w:cs="宋体"/>
                <w:sz w:val="21"/>
                <w:szCs w:val="21"/>
              </w:rPr>
              <w:t>认可的情形以外，成交供应商不与采购人签订合同的；</w:t>
            </w:r>
          </w:p>
          <w:p>
            <w:pPr>
              <w:spacing w:line="400" w:lineRule="exact"/>
              <w:rPr>
                <w:rFonts w:hint="eastAsia" w:ascii="宋体" w:hAnsi="宋体" w:eastAsia="宋体" w:cs="宋体"/>
                <w:sz w:val="21"/>
                <w:szCs w:val="21"/>
              </w:rPr>
            </w:pPr>
            <w:r>
              <w:rPr>
                <w:rFonts w:hint="eastAsia" w:ascii="宋体" w:hAnsi="宋体" w:eastAsia="宋体" w:cs="宋体"/>
                <w:sz w:val="21"/>
                <w:szCs w:val="21"/>
              </w:rPr>
              <w:t>（4）供应商与采购人、其他供应商或者采购代理机构恶意串通的。</w:t>
            </w:r>
          </w:p>
          <w:p>
            <w:pPr>
              <w:spacing w:line="460" w:lineRule="exact"/>
              <w:rPr>
                <w:rFonts w:hint="eastAsia" w:ascii="宋体" w:hAnsi="宋体" w:eastAsia="宋体" w:cs="宋体"/>
                <w:kern w:val="0"/>
                <w:sz w:val="21"/>
                <w:szCs w:val="21"/>
              </w:rPr>
            </w:pPr>
            <w:r>
              <w:rPr>
                <w:rFonts w:hint="eastAsia" w:ascii="宋体" w:hAnsi="宋体" w:eastAsia="宋体" w:cs="宋体"/>
                <w:sz w:val="21"/>
                <w:szCs w:val="21"/>
              </w:rPr>
              <w:t>3.供应商违反上述规定且拒不支付</w:t>
            </w:r>
            <w:r>
              <w:rPr>
                <w:rFonts w:hint="eastAsia" w:ascii="宋体" w:hAnsi="宋体" w:eastAsia="宋体" w:cs="宋体"/>
                <w:sz w:val="21"/>
                <w:szCs w:val="21"/>
                <w:lang w:eastAsia="zh-CN"/>
              </w:rPr>
              <w:t>磋商保证金</w:t>
            </w:r>
            <w:r>
              <w:rPr>
                <w:rFonts w:hint="eastAsia" w:ascii="宋体" w:hAnsi="宋体" w:eastAsia="宋体" w:cs="宋体"/>
                <w:sz w:val="21"/>
                <w:szCs w:val="21"/>
              </w:rPr>
              <w:t>的，采购人可向武陟县人民法院起诉追索</w:t>
            </w:r>
            <w:r>
              <w:rPr>
                <w:rFonts w:hint="eastAsia" w:ascii="宋体" w:hAnsi="宋体" w:eastAsia="宋体" w:cs="宋体"/>
                <w:sz w:val="21"/>
                <w:szCs w:val="21"/>
                <w:lang w:eastAsia="zh-CN"/>
              </w:rPr>
              <w:t>磋商保证金</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磋商文件的澄清或修改</w:t>
            </w:r>
          </w:p>
        </w:tc>
        <w:tc>
          <w:tcPr>
            <w:tcW w:w="6563" w:type="dxa"/>
            <w:noWrap w:val="0"/>
            <w:vAlign w:val="center"/>
          </w:tcPr>
          <w:p>
            <w:pPr>
              <w:spacing w:line="500" w:lineRule="exact"/>
              <w:ind w:firstLine="105" w:firstLineChars="50"/>
              <w:rPr>
                <w:rFonts w:hint="eastAsia" w:ascii="宋体" w:hAnsi="宋体" w:eastAsia="宋体" w:cs="宋体"/>
                <w:sz w:val="21"/>
                <w:szCs w:val="21"/>
              </w:rPr>
            </w:pPr>
            <w:r>
              <w:rPr>
                <w:rFonts w:hint="eastAsia" w:ascii="宋体" w:hAnsi="宋体" w:eastAsia="宋体" w:cs="宋体"/>
                <w:sz w:val="21"/>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131" w:type="dxa"/>
            <w:noWrap w:val="0"/>
            <w:vAlign w:val="center"/>
          </w:tcPr>
          <w:p>
            <w:pPr>
              <w:pStyle w:val="107"/>
              <w:spacing w:before="1" w:line="440" w:lineRule="exact"/>
              <w:ind w:left="108"/>
              <w:jc w:val="center"/>
              <w:rPr>
                <w:rFonts w:hint="eastAsia" w:ascii="宋体" w:hAnsi="宋体" w:eastAsia="宋体" w:cs="宋体"/>
                <w:szCs w:val="21"/>
              </w:rPr>
            </w:pPr>
            <w:r>
              <w:rPr>
                <w:rFonts w:hint="eastAsia" w:ascii="宋体" w:hAnsi="宋体" w:eastAsia="宋体" w:cs="宋体"/>
                <w:szCs w:val="21"/>
              </w:rPr>
              <w:t>响应文件的递交</w:t>
            </w:r>
          </w:p>
          <w:p>
            <w:pPr>
              <w:spacing w:line="440" w:lineRule="exact"/>
              <w:jc w:val="center"/>
              <w:rPr>
                <w:rFonts w:hint="eastAsia" w:ascii="宋体" w:hAnsi="宋体" w:eastAsia="宋体" w:cs="宋体"/>
                <w:kern w:val="0"/>
                <w:sz w:val="21"/>
                <w:szCs w:val="21"/>
              </w:rPr>
            </w:pPr>
          </w:p>
        </w:tc>
        <w:tc>
          <w:tcPr>
            <w:tcW w:w="6563" w:type="dxa"/>
            <w:noWrap w:val="0"/>
            <w:vAlign w:val="center"/>
          </w:tcPr>
          <w:p>
            <w:pPr>
              <w:spacing w:line="440" w:lineRule="exact"/>
              <w:rPr>
                <w:rFonts w:hint="eastAsia" w:ascii="宋体" w:hAnsi="宋体" w:eastAsia="宋体" w:cs="宋体"/>
                <w:szCs w:val="21"/>
              </w:rPr>
            </w:pPr>
            <w:r>
              <w:rPr>
                <w:rFonts w:hint="eastAsia" w:ascii="宋体" w:hAnsi="宋体" w:eastAsia="宋体" w:cs="宋体"/>
                <w:szCs w:val="21"/>
              </w:rPr>
              <w:t>1.在提交响应文件截止时间前递交，具体事宜请查阅焦作市公共资源交易中心官网首页—公共服务—下载专区-下载</w:t>
            </w:r>
            <w:r>
              <w:rPr>
                <w:rFonts w:hint="eastAsia" w:ascii="宋体" w:hAnsi="宋体" w:eastAsia="宋体" w:cs="宋体"/>
                <w:szCs w:val="21"/>
                <w:lang w:eastAsia="zh-CN"/>
              </w:rPr>
              <w:t>相关操作手册及视频</w:t>
            </w:r>
            <w:r>
              <w:rPr>
                <w:rFonts w:hint="eastAsia" w:ascii="宋体" w:hAnsi="宋体" w:eastAsia="宋体" w:cs="宋体"/>
                <w:szCs w:val="21"/>
              </w:rPr>
              <w:t>等，查看操作说明，按要求进行响应文件的递交。</w:t>
            </w:r>
          </w:p>
          <w:p>
            <w:pPr>
              <w:spacing w:line="440" w:lineRule="exact"/>
              <w:rPr>
                <w:rFonts w:hint="eastAsia" w:ascii="宋体" w:hAnsi="宋体" w:eastAsia="宋体" w:cs="宋体"/>
                <w:szCs w:val="21"/>
              </w:rPr>
            </w:pPr>
            <w:r>
              <w:rPr>
                <w:rFonts w:hint="eastAsia" w:ascii="宋体" w:hAnsi="宋体" w:eastAsia="宋体" w:cs="宋体"/>
                <w:szCs w:val="21"/>
              </w:rPr>
              <w:t>2.如因系统故障需上传非加密文件时，供应商应按照采购人指示将非加密文件递交给采购人。</w:t>
            </w:r>
          </w:p>
          <w:p>
            <w:pPr>
              <w:spacing w:line="440" w:lineRule="exact"/>
              <w:rPr>
                <w:rFonts w:hint="eastAsia" w:ascii="宋体" w:hAnsi="宋体" w:eastAsia="宋体" w:cs="宋体"/>
                <w:kern w:val="0"/>
                <w:sz w:val="21"/>
                <w:szCs w:val="21"/>
              </w:rPr>
            </w:pPr>
            <w:r>
              <w:rPr>
                <w:rFonts w:hint="eastAsia" w:ascii="宋体" w:hAnsi="宋体" w:eastAsia="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2131" w:type="dxa"/>
            <w:noWrap w:val="0"/>
            <w:vAlign w:val="center"/>
          </w:tcPr>
          <w:p>
            <w:pPr>
              <w:jc w:val="center"/>
              <w:rPr>
                <w:rFonts w:hint="eastAsia" w:ascii="宋体" w:hAnsi="宋体" w:eastAsia="宋体" w:cs="宋体"/>
                <w:kern w:val="0"/>
                <w:sz w:val="21"/>
                <w:szCs w:val="21"/>
              </w:rPr>
            </w:pPr>
            <w:r>
              <w:rPr>
                <w:rFonts w:hint="eastAsia" w:ascii="宋体" w:hAnsi="宋体" w:eastAsia="宋体" w:cs="宋体"/>
                <w:kern w:val="0"/>
                <w:szCs w:val="21"/>
              </w:rPr>
              <w:t>签字或盖章要求</w:t>
            </w:r>
          </w:p>
        </w:tc>
        <w:tc>
          <w:tcPr>
            <w:tcW w:w="6563" w:type="dxa"/>
            <w:noWrap w:val="0"/>
            <w:vAlign w:val="center"/>
          </w:tcPr>
          <w:p>
            <w:pPr>
              <w:rPr>
                <w:rFonts w:hint="eastAsia" w:ascii="宋体" w:hAnsi="宋体" w:eastAsia="宋体" w:cs="宋体"/>
              </w:rPr>
            </w:pPr>
            <w:r>
              <w:rPr>
                <w:rFonts w:hint="eastAsia" w:ascii="宋体" w:hAnsi="宋体" w:eastAsia="宋体" w:cs="宋体"/>
              </w:rPr>
              <w:t>1.所有要求供应商加盖单位公章的地方都应加盖供应商单位的CA印章。</w:t>
            </w:r>
          </w:p>
          <w:p>
            <w:pPr>
              <w:rPr>
                <w:rFonts w:hint="eastAsia" w:ascii="宋体" w:hAnsi="宋体" w:eastAsia="宋体" w:cs="宋体"/>
                <w:color w:val="000000"/>
              </w:rPr>
            </w:pPr>
            <w:r>
              <w:rPr>
                <w:rFonts w:hint="eastAsia" w:ascii="宋体" w:hAnsi="宋体" w:eastAsia="宋体" w:cs="宋体"/>
              </w:rPr>
              <w:t>2</w:t>
            </w:r>
            <w:r>
              <w:rPr>
                <w:rFonts w:hint="eastAsia" w:ascii="宋体" w:hAnsi="宋体" w:eastAsia="宋体" w:cs="宋体"/>
                <w:color w:val="000000"/>
              </w:rPr>
              <w:t>.所有要求法定代表人签字或盖章的，要求法定代表人在签字或盖章的地方上传有手写签名的扫描件或加盖法定代表人CA印章。</w:t>
            </w:r>
          </w:p>
          <w:p>
            <w:pPr>
              <w:rPr>
                <w:rFonts w:hint="eastAsia" w:ascii="宋体" w:hAnsi="宋体" w:eastAsia="宋体" w:cs="宋体"/>
                <w:kern w:val="0"/>
                <w:sz w:val="21"/>
                <w:szCs w:val="21"/>
              </w:rPr>
            </w:pPr>
            <w:r>
              <w:rPr>
                <w:rFonts w:hint="eastAsia" w:ascii="宋体" w:hAnsi="宋体" w:eastAsia="宋体" w:cs="宋体"/>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rPr>
              <w:t>13</w:t>
            </w:r>
          </w:p>
        </w:tc>
        <w:tc>
          <w:tcPr>
            <w:tcW w:w="2131" w:type="dxa"/>
            <w:noWrap w:val="0"/>
            <w:vAlign w:val="center"/>
          </w:tcPr>
          <w:p>
            <w:pPr>
              <w:spacing w:line="440" w:lineRule="exact"/>
              <w:jc w:val="center"/>
              <w:rPr>
                <w:rFonts w:hint="eastAsia" w:ascii="宋体" w:hAnsi="宋体" w:eastAsia="宋体" w:cs="宋体"/>
                <w:kern w:val="0"/>
                <w:szCs w:val="21"/>
              </w:rPr>
            </w:pPr>
            <w:r>
              <w:rPr>
                <w:rFonts w:hint="eastAsia" w:ascii="宋体" w:hAnsi="宋体"/>
                <w:kern w:val="0"/>
                <w:szCs w:val="21"/>
                <w:lang w:eastAsia="zh-CN"/>
              </w:rPr>
              <w:t>磋商</w:t>
            </w:r>
            <w:r>
              <w:rPr>
                <w:rFonts w:hint="eastAsia" w:ascii="宋体" w:hAnsi="宋体"/>
                <w:kern w:val="0"/>
                <w:szCs w:val="21"/>
              </w:rPr>
              <w:t>程序</w:t>
            </w:r>
          </w:p>
        </w:tc>
        <w:tc>
          <w:tcPr>
            <w:tcW w:w="6563" w:type="dxa"/>
            <w:noWrap w:val="0"/>
            <w:vAlign w:val="center"/>
          </w:tcPr>
          <w:p>
            <w:pPr>
              <w:spacing w:line="440" w:lineRule="exact"/>
              <w:rPr>
                <w:rFonts w:hint="eastAsia"/>
              </w:rPr>
            </w:pPr>
            <w:r>
              <w:rPr>
                <w:rFonts w:hint="eastAsia"/>
              </w:rPr>
              <w:t>（l）公布</w:t>
            </w:r>
            <w:r>
              <w:rPr>
                <w:rFonts w:hint="eastAsia"/>
                <w:lang w:eastAsia="zh-CN"/>
              </w:rPr>
              <w:t>供应商</w:t>
            </w:r>
            <w:r>
              <w:rPr>
                <w:rFonts w:hint="eastAsia"/>
              </w:rPr>
              <w:t>；</w:t>
            </w:r>
          </w:p>
          <w:p>
            <w:pPr>
              <w:spacing w:line="440" w:lineRule="exact"/>
              <w:rPr>
                <w:rFonts w:hint="eastAsia"/>
              </w:rPr>
            </w:pPr>
            <w:r>
              <w:rPr>
                <w:rFonts w:hint="eastAsia"/>
              </w:rPr>
              <w:t>（2）</w:t>
            </w:r>
            <w:r>
              <w:rPr>
                <w:rFonts w:hint="eastAsia"/>
                <w:lang w:eastAsia="zh-CN"/>
              </w:rPr>
              <w:t>由供应商对</w:t>
            </w:r>
            <w:r>
              <w:rPr>
                <w:rFonts w:hint="eastAsia"/>
              </w:rPr>
              <w:t>响应文件</w:t>
            </w:r>
            <w:r>
              <w:rPr>
                <w:rFonts w:hint="eastAsia"/>
                <w:lang w:eastAsia="zh-CN"/>
              </w:rPr>
              <w:t>进行解密</w:t>
            </w:r>
            <w:r>
              <w:rPr>
                <w:rFonts w:hint="eastAsia"/>
              </w:rPr>
              <w:t>；</w:t>
            </w:r>
          </w:p>
          <w:p>
            <w:pPr>
              <w:spacing w:line="440" w:lineRule="exact"/>
              <w:rPr>
                <w:rFonts w:hint="eastAsia"/>
              </w:rPr>
            </w:pPr>
            <w:r>
              <w:rPr>
                <w:rFonts w:hint="eastAsia"/>
                <w:lang w:eastAsia="zh-CN"/>
              </w:rPr>
              <w:t>（</w:t>
            </w:r>
            <w:r>
              <w:rPr>
                <w:rFonts w:hint="eastAsia"/>
                <w:lang w:val="en-US" w:eastAsia="zh-CN"/>
              </w:rPr>
              <w:t>3</w:t>
            </w:r>
            <w:r>
              <w:rPr>
                <w:rFonts w:hint="eastAsia"/>
                <w:lang w:eastAsia="zh-CN"/>
              </w:rPr>
              <w:t>）</w:t>
            </w:r>
            <w:r>
              <w:rPr>
                <w:rFonts w:hint="eastAsia"/>
              </w:rPr>
              <w:t>开标结束；</w:t>
            </w:r>
          </w:p>
          <w:p>
            <w:pPr>
              <w:spacing w:line="440" w:lineRule="exact"/>
              <w:rPr>
                <w:rFonts w:hint="eastAsia"/>
              </w:rPr>
            </w:pPr>
            <w:r>
              <w:rPr>
                <w:rFonts w:hint="eastAsia"/>
              </w:rPr>
              <w:t>（</w:t>
            </w:r>
            <w:r>
              <w:rPr>
                <w:rFonts w:hint="eastAsia"/>
                <w:lang w:val="en-US" w:eastAsia="zh-CN"/>
              </w:rPr>
              <w:t>4</w:t>
            </w:r>
            <w:r>
              <w:rPr>
                <w:rFonts w:hint="eastAsia"/>
              </w:rPr>
              <w:t>）</w:t>
            </w:r>
            <w:r>
              <w:rPr>
                <w:rFonts w:hint="eastAsia" w:ascii="宋体" w:hAnsi="宋体"/>
                <w:kern w:val="0"/>
                <w:szCs w:val="21"/>
                <w:lang w:eastAsia="zh-CN"/>
              </w:rPr>
              <w:t>磋商</w:t>
            </w:r>
            <w:r>
              <w:rPr>
                <w:rFonts w:hint="eastAsia"/>
              </w:rPr>
              <w:t>小组对已通过资格性、符合性审查的供应商发起二轮(最</w:t>
            </w:r>
            <w:r>
              <w:rPr>
                <w:rFonts w:hint="eastAsia"/>
                <w:lang w:eastAsia="zh-CN"/>
              </w:rPr>
              <w:t>后</w:t>
            </w:r>
            <w:r>
              <w:rPr>
                <w:rFonts w:hint="eastAsia"/>
              </w:rPr>
              <w:t>报价)邀请。</w:t>
            </w:r>
          </w:p>
          <w:p>
            <w:pPr>
              <w:spacing w:line="440" w:lineRule="exact"/>
              <w:rPr>
                <w:rFonts w:hint="eastAsia"/>
              </w:rPr>
            </w:pPr>
            <w:r>
              <w:rPr>
                <w:rFonts w:hint="eastAsia"/>
              </w:rPr>
              <w:t>（</w:t>
            </w:r>
            <w:r>
              <w:rPr>
                <w:rFonts w:hint="eastAsia"/>
                <w:lang w:val="en-US" w:eastAsia="zh-CN"/>
              </w:rPr>
              <w:t>5</w:t>
            </w:r>
            <w:r>
              <w:rPr>
                <w:rFonts w:hint="eastAsia"/>
              </w:rPr>
              <w:t>）</w:t>
            </w:r>
            <w:r>
              <w:rPr>
                <w:rFonts w:hint="eastAsia"/>
                <w:color w:val="auto"/>
                <w:lang w:eastAsia="zh-CN"/>
              </w:rPr>
              <w:t>由磋商小组采用综合评分法对提交最后报价的供应商的响应文件和最后报价进行综合评分并出具评审报告。</w:t>
            </w:r>
          </w:p>
          <w:p>
            <w:pPr>
              <w:pStyle w:val="3"/>
              <w:spacing w:line="360" w:lineRule="auto"/>
              <w:ind w:firstLine="210" w:firstLineChars="100"/>
              <w:rPr>
                <w:rFonts w:hint="eastAsia"/>
                <w:b/>
                <w:bCs/>
                <w:lang w:eastAsia="zh-CN"/>
              </w:rPr>
            </w:pPr>
            <w:r>
              <w:rPr>
                <w:rFonts w:hint="eastAsia"/>
                <w:b/>
                <w:bCs/>
              </w:rPr>
              <w:t>备注：</w:t>
            </w:r>
            <w:r>
              <w:rPr>
                <w:rFonts w:hint="eastAsia"/>
                <w:b/>
                <w:bCs/>
                <w:lang w:val="en-US" w:eastAsia="zh-CN"/>
              </w:rPr>
              <w:t>1.</w:t>
            </w:r>
            <w:r>
              <w:rPr>
                <w:rFonts w:hint="eastAsia"/>
                <w:b/>
                <w:bCs/>
              </w:rPr>
              <w:t>供应商在规定时间内需通过焦作市公共资源交易平台进行二轮报价（最后报价）</w:t>
            </w:r>
            <w:r>
              <w:rPr>
                <w:rFonts w:hint="eastAsia"/>
                <w:b/>
                <w:bCs/>
                <w:lang w:eastAsia="zh-CN"/>
              </w:rPr>
              <w:t>，未在规定时间内提交二轮报价（最后报价）的视为放弃本次磋商。</w:t>
            </w:r>
          </w:p>
          <w:p>
            <w:pPr>
              <w:pStyle w:val="3"/>
              <w:spacing w:line="360" w:lineRule="auto"/>
              <w:ind w:firstLine="420" w:firstLineChars="200"/>
              <w:rPr>
                <w:rFonts w:hint="eastAsia" w:ascii="宋体" w:hAnsi="宋体" w:eastAsia="宋体" w:cs="宋体"/>
                <w:b/>
                <w:bCs/>
                <w:color w:val="auto"/>
                <w:szCs w:val="21"/>
              </w:rPr>
            </w:pPr>
            <w:r>
              <w:rPr>
                <w:rFonts w:hint="eastAsia"/>
                <w:b/>
                <w:bCs/>
                <w:color w:val="auto"/>
                <w:lang w:val="en-US" w:eastAsia="zh-CN"/>
              </w:rPr>
              <w:t>2.</w:t>
            </w:r>
            <w:r>
              <w:rPr>
                <w:rFonts w:hint="eastAsia"/>
                <w:b/>
                <w:bCs/>
                <w:color w:val="auto"/>
                <w:lang w:eastAsia="zh-CN"/>
              </w:rPr>
              <w:t>二轮报价（最后报价）操作步骤</w:t>
            </w:r>
            <w:r>
              <w:rPr>
                <w:rFonts w:hint="eastAsia" w:ascii="宋体" w:hAnsi="宋体" w:cs="宋体"/>
                <w:b/>
                <w:bCs/>
                <w:color w:val="auto"/>
                <w:szCs w:val="21"/>
              </w:rPr>
              <w:t>请到焦作市公共资源交易中心官网首页—公共服务—下载专区-下载《投标单位操作手册及视频》</w:t>
            </w:r>
            <w:r>
              <w:rPr>
                <w:rFonts w:hint="eastAsia" w:ascii="宋体" w:hAnsi="宋体" w:cs="宋体"/>
                <w:b/>
                <w:bCs/>
                <w:color w:val="auto"/>
                <w:szCs w:val="21"/>
                <w:lang w:eastAsia="zh-CN"/>
              </w:rPr>
              <w:t>中</w:t>
            </w:r>
            <w:r>
              <w:rPr>
                <w:rFonts w:hint="eastAsia" w:ascii="宋体" w:hAnsi="宋体" w:cs="宋体"/>
                <w:b/>
                <w:bCs/>
                <w:color w:val="auto"/>
                <w:szCs w:val="21"/>
              </w:rPr>
              <w:t>《</w:t>
            </w:r>
            <w:r>
              <w:rPr>
                <w:rFonts w:hint="eastAsia" w:ascii="宋体" w:hAnsi="宋体" w:cs="宋体"/>
                <w:b/>
                <w:bCs/>
                <w:color w:val="auto"/>
                <w:szCs w:val="21"/>
                <w:lang w:val="en-US" w:eastAsia="zh-CN"/>
              </w:rPr>
              <w:fldChar w:fldCharType="begin"/>
            </w:r>
            <w:r>
              <w:rPr>
                <w:rFonts w:hint="eastAsia" w:ascii="宋体" w:hAnsi="宋体" w:cs="宋体"/>
                <w:b/>
                <w:bCs/>
                <w:color w:val="auto"/>
                <w:szCs w:val="21"/>
                <w:lang w:val="en-US" w:eastAsia="zh-CN"/>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color w:val="auto"/>
                <w:szCs w:val="21"/>
                <w:lang w:val="en-US" w:eastAsia="zh-CN"/>
              </w:rPr>
              <w:fldChar w:fldCharType="separate"/>
            </w:r>
            <w:r>
              <w:rPr>
                <w:rFonts w:hint="eastAsia" w:ascii="宋体" w:hAnsi="宋体" w:cs="宋体"/>
                <w:b/>
                <w:bCs/>
                <w:color w:val="auto"/>
                <w:szCs w:val="21"/>
                <w:lang w:eastAsia="zh-CN"/>
              </w:rPr>
              <w:t>焦作市公共资源交易平台升级项目-投标人手册.docx</w:t>
            </w:r>
            <w:r>
              <w:rPr>
                <w:rFonts w:hint="eastAsia" w:ascii="宋体" w:hAnsi="宋体" w:cs="宋体"/>
                <w:b/>
                <w:bCs/>
                <w:color w:val="auto"/>
                <w:szCs w:val="21"/>
                <w:lang w:val="en-US" w:eastAsia="zh-CN"/>
              </w:rPr>
              <w:fldChar w:fldCharType="end"/>
            </w:r>
            <w:r>
              <w:rPr>
                <w:rFonts w:hint="eastAsia" w:ascii="宋体" w:hAnsi="宋体" w:cs="宋体"/>
                <w:b/>
                <w:bCs/>
                <w:color w:val="auto"/>
                <w:szCs w:val="21"/>
              </w:rPr>
              <w:t>》</w:t>
            </w:r>
            <w:r>
              <w:rPr>
                <w:rFonts w:hint="eastAsia" w:ascii="宋体" w:hAnsi="宋体" w:cs="宋体"/>
                <w:b/>
                <w:bCs/>
                <w:color w:val="auto"/>
                <w:szCs w:val="21"/>
                <w:lang w:eastAsia="zh-CN"/>
              </w:rPr>
              <w:t>文件查阅。</w:t>
            </w:r>
          </w:p>
          <w:p>
            <w:pPr>
              <w:pStyle w:val="3"/>
              <w:spacing w:line="460" w:lineRule="exact"/>
              <w:ind w:firstLine="420" w:firstLineChars="200"/>
              <w:rPr>
                <w:rFonts w:hint="eastAsia" w:ascii="宋体" w:hAnsi="宋体" w:eastAsia="宋体" w:cs="宋体"/>
              </w:rPr>
            </w:pPr>
            <w:r>
              <w:rPr>
                <w:rFonts w:hint="eastAsia" w:ascii="宋体" w:hAnsi="宋体" w:eastAsia="宋体" w:cs="宋体"/>
                <w:b/>
                <w:bCs/>
                <w:color w:val="auto"/>
                <w:szCs w:val="21"/>
                <w:lang w:val="en-US" w:eastAsia="zh-CN"/>
              </w:rPr>
              <w:t>3</w:t>
            </w:r>
            <w:r>
              <w:rPr>
                <w:rFonts w:hint="eastAsia" w:ascii="宋体" w:hAnsi="宋体" w:eastAsia="宋体" w:cs="宋体"/>
                <w:b/>
                <w:bCs/>
                <w:color w:val="auto"/>
                <w:szCs w:val="21"/>
              </w:rPr>
              <w:t>.最后单价明细计算公式：最后单价明细=报价明细表中的单价×（最后总报价/第一轮总报价）。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rPr>
              <w:t>14</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踏勘现场</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sym w:font="Wingdings" w:char="F0FE"/>
            </w:r>
            <w:r>
              <w:rPr>
                <w:rFonts w:hint="eastAsia" w:ascii="宋体" w:hAnsi="宋体" w:eastAsia="宋体" w:cs="宋体"/>
                <w:kern w:val="0"/>
                <w:sz w:val="21"/>
                <w:szCs w:val="21"/>
              </w:rPr>
              <w:t>不组织，各供应商自行考察</w:t>
            </w:r>
          </w:p>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15</w:t>
            </w:r>
          </w:p>
        </w:tc>
        <w:tc>
          <w:tcPr>
            <w:tcW w:w="8694" w:type="dxa"/>
            <w:gridSpan w:val="2"/>
            <w:noWrap w:val="0"/>
            <w:vAlign w:val="center"/>
          </w:tcPr>
          <w:p>
            <w:pPr>
              <w:tabs>
                <w:tab w:val="left" w:pos="1381"/>
              </w:tabs>
              <w:spacing w:line="460" w:lineRule="exact"/>
              <w:jc w:val="left"/>
              <w:rPr>
                <w:rFonts w:hint="eastAsia" w:ascii="宋体" w:hAnsi="宋体" w:eastAsia="宋体" w:cs="宋体"/>
                <w:kern w:val="0"/>
                <w:sz w:val="21"/>
                <w:szCs w:val="21"/>
                <w:highlight w:val="cyan"/>
              </w:rPr>
            </w:pPr>
            <w:r>
              <w:rPr>
                <w:rFonts w:hint="eastAsia" w:ascii="宋体" w:hAnsi="宋体" w:eastAsia="宋体" w:cs="宋体"/>
                <w:kern w:val="0"/>
                <w:sz w:val="21"/>
                <w:szCs w:val="21"/>
              </w:rPr>
              <w:t>本项目采购的所有产品是否允许进口产品</w:t>
            </w:r>
            <w:r>
              <w:rPr>
                <w:rFonts w:hint="eastAsia" w:ascii="宋体" w:hAnsi="宋体" w:eastAsia="宋体" w:cs="宋体"/>
                <w:kern w:val="0"/>
                <w:sz w:val="21"/>
                <w:szCs w:val="21"/>
                <w:lang w:eastAsia="zh-CN"/>
              </w:rPr>
              <w:t>参加磋商</w:t>
            </w:r>
            <w:r>
              <w:rPr>
                <w:rFonts w:hint="eastAsia" w:ascii="宋体" w:hAnsi="宋体" w:eastAsia="宋体" w:cs="宋体"/>
                <w:kern w:val="0"/>
                <w:sz w:val="21"/>
                <w:szCs w:val="21"/>
              </w:rPr>
              <w:t>：否（进口产品是指通过中国海关报关验放进入中国境内且产自关境外的产品。）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16</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需要落实的政府采购政策</w:t>
            </w:r>
          </w:p>
        </w:tc>
        <w:tc>
          <w:tcPr>
            <w:tcW w:w="6563" w:type="dxa"/>
            <w:noWrap w:val="0"/>
            <w:vAlign w:val="center"/>
          </w:tcPr>
          <w:p>
            <w:pPr>
              <w:spacing w:line="440" w:lineRule="exact"/>
              <w:ind w:left="425"/>
              <w:rPr>
                <w:rFonts w:hint="eastAsia"/>
              </w:rPr>
            </w:pPr>
            <w:r>
              <w:rPr>
                <w:rFonts w:hint="eastAsia"/>
              </w:rPr>
              <w:t>一</w:t>
            </w:r>
            <w:r>
              <w:rPr>
                <w:rFonts w:hint="eastAsia"/>
                <w:lang w:eastAsia="zh-CN"/>
              </w:rPr>
              <w:t>、</w:t>
            </w:r>
            <w:r>
              <w:rPr>
                <w:rFonts w:hint="eastAsia"/>
              </w:rPr>
              <w:t>促进中小企业、监狱企业和残疾人福利性单位发展扶持政策</w:t>
            </w:r>
          </w:p>
          <w:p>
            <w:pPr>
              <w:numPr>
                <w:ilvl w:val="0"/>
                <w:numId w:val="6"/>
              </w:numPr>
              <w:spacing w:line="440" w:lineRule="exact"/>
              <w:ind w:firstLine="424" w:firstLineChars="202"/>
              <w:rPr>
                <w:rFonts w:hint="eastAsia"/>
              </w:rPr>
            </w:pPr>
            <w:r>
              <w:rPr>
                <w:rFonts w:hint="eastAsia"/>
              </w:rPr>
              <w:t>中小企业</w:t>
            </w:r>
            <w:r>
              <w:rPr>
                <w:rFonts w:hint="eastAsia"/>
                <w:lang w:eastAsia="zh-CN"/>
              </w:rPr>
              <w:t>认定</w:t>
            </w:r>
            <w:r>
              <w:rPr>
                <w:rFonts w:hint="eastAsia"/>
              </w:rPr>
              <w:t>：</w:t>
            </w:r>
          </w:p>
          <w:p>
            <w:pPr>
              <w:numPr>
                <w:ilvl w:val="0"/>
                <w:numId w:val="0"/>
              </w:numPr>
              <w:spacing w:line="440" w:lineRule="exact"/>
              <w:ind w:firstLine="420" w:firstLineChars="200"/>
              <w:rPr>
                <w:rFonts w:hint="eastAsia"/>
                <w:lang w:val="en-US" w:eastAsia="zh-CN"/>
              </w:rPr>
            </w:pPr>
            <w:r>
              <w:rPr>
                <w:rFonts w:hint="eastAsia"/>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numPr>
                <w:ilvl w:val="0"/>
                <w:numId w:val="0"/>
              </w:numPr>
              <w:spacing w:line="440" w:lineRule="exact"/>
              <w:ind w:firstLine="420" w:firstLineChars="200"/>
              <w:rPr>
                <w:rFonts w:hint="eastAsia"/>
                <w:lang w:val="en-US" w:eastAsia="zh-CN"/>
              </w:rPr>
            </w:pPr>
            <w:r>
              <w:rPr>
                <w:rFonts w:hint="eastAsia"/>
                <w:lang w:val="en-US" w:eastAsia="zh-CN"/>
              </w:rPr>
              <w:t>符合中小企业划分标准的个体工商户，在政府采购活动中视同中小企业。</w:t>
            </w:r>
          </w:p>
          <w:p>
            <w:pPr>
              <w:numPr>
                <w:ilvl w:val="0"/>
                <w:numId w:val="0"/>
              </w:numPr>
              <w:spacing w:line="440" w:lineRule="exact"/>
              <w:ind w:firstLine="420" w:firstLineChars="200"/>
              <w:rPr>
                <w:rFonts w:hint="eastAsia"/>
                <w:lang w:val="en-US" w:eastAsia="zh-CN"/>
              </w:rPr>
            </w:pPr>
            <w:r>
              <w:rPr>
                <w:rFonts w:hint="eastAsia"/>
                <w:lang w:val="en-US" w:eastAsia="zh-CN"/>
              </w:rPr>
              <w:t>中小企业划分标准见《关于印发中小企业划型标准规定的通知》（工信部联企业〔2011〕300号）。</w:t>
            </w:r>
          </w:p>
          <w:p>
            <w:pPr>
              <w:spacing w:line="440" w:lineRule="exact"/>
              <w:ind w:firstLine="424" w:firstLineChars="202"/>
              <w:rPr>
                <w:rFonts w:hint="eastAsia"/>
              </w:rPr>
            </w:pPr>
            <w:r>
              <w:rPr>
                <w:rFonts w:hint="eastAsia"/>
                <w:lang w:val="en-US" w:eastAsia="zh-CN"/>
              </w:rPr>
              <w:t>2.</w:t>
            </w:r>
            <w:r>
              <w:rPr>
                <w:rFonts w:hint="eastAsia"/>
              </w:rPr>
              <w:t>在服务采购项目中，服务由中小企业承接，即提供服务的人员为中小企业依照《中华人民共和国劳动合同法</w:t>
            </w:r>
            <w:r>
              <w:rPr>
                <w:rFonts w:hint="eastAsia"/>
                <w:lang w:eastAsia="zh-CN"/>
              </w:rPr>
              <w:t>》</w:t>
            </w:r>
            <w:r>
              <w:rPr>
                <w:rFonts w:hint="eastAsia"/>
              </w:rPr>
              <w:t>订立劳动合同的从业人员。</w:t>
            </w:r>
          </w:p>
          <w:p>
            <w:pPr>
              <w:spacing w:line="440" w:lineRule="exact"/>
              <w:ind w:firstLine="424" w:firstLineChars="202"/>
              <w:rPr>
                <w:rFonts w:hint="eastAsia"/>
              </w:rPr>
            </w:pPr>
            <w:r>
              <w:rPr>
                <w:rFonts w:hint="eastAsia"/>
                <w:lang w:eastAsia="zh-CN"/>
              </w:rPr>
              <w:t>供应商应当出具竞争性磋商文件规定的《</w:t>
            </w:r>
            <w:r>
              <w:rPr>
                <w:rFonts w:hint="eastAsia"/>
              </w:rPr>
              <w:t>中小企业声明函</w:t>
            </w:r>
            <w:r>
              <w:rPr>
                <w:rFonts w:hint="eastAsia"/>
                <w:lang w:eastAsia="zh-CN"/>
              </w:rPr>
              <w:t>》，否则不享受相关扶持政策</w:t>
            </w:r>
            <w:r>
              <w:rPr>
                <w:rFonts w:hint="eastAsia"/>
              </w:rPr>
              <w:t>；</w:t>
            </w:r>
          </w:p>
          <w:p>
            <w:pPr>
              <w:spacing w:line="440" w:lineRule="exact"/>
              <w:ind w:firstLine="424" w:firstLineChars="202"/>
              <w:rPr>
                <w:rFonts w:hint="eastAsia"/>
              </w:rPr>
            </w:pPr>
            <w:r>
              <w:rPr>
                <w:rFonts w:hint="eastAsia"/>
                <w:lang w:val="en-US" w:eastAsia="zh-CN"/>
              </w:rPr>
              <w:t>3</w:t>
            </w:r>
            <w:r>
              <w:rPr>
                <w:rFonts w:hint="eastAsia"/>
              </w:rPr>
              <w:t>.根据财库〔2014〕68号《财政部 司法部关于政府采购支持监狱企业发展有关问题的通知》，监狱企业视同小微企业。提供由省级以上监狱管理局、戒毒管理局(含新疆生产建设兵团)出具的属于监狱企业的证明文件（响应文件中附扫描件</w:t>
            </w:r>
            <w:r>
              <w:rPr>
                <w:rFonts w:hint="eastAsia"/>
                <w:lang w:eastAsia="zh-CN"/>
              </w:rPr>
              <w:t>或复印件</w:t>
            </w:r>
            <w:r>
              <w:rPr>
                <w:rFonts w:hint="eastAsia"/>
              </w:rPr>
              <w:t>），不再提供《中小企业声明函》,供应商出具的监狱企业证明文件如有虚假，其成交资格将被取消，并根据相关规定进行处罚。</w:t>
            </w:r>
          </w:p>
          <w:p>
            <w:pPr>
              <w:spacing w:line="440" w:lineRule="exact"/>
              <w:ind w:firstLine="424" w:firstLineChars="202"/>
              <w:rPr>
                <w:rFonts w:hint="eastAsia"/>
              </w:rPr>
            </w:pPr>
            <w:r>
              <w:rPr>
                <w:rFonts w:hint="eastAsia"/>
                <w:lang w:val="en-US" w:eastAsia="zh-CN"/>
              </w:rPr>
              <w:t>4</w:t>
            </w:r>
            <w:r>
              <w:rPr>
                <w:rFonts w:hint="eastAsia"/>
              </w:rPr>
              <w:t>.根据财库〔2017〕141号《三部门联合发布关于促进残疾人就业政府采购政策的通知》残疾人福利性单位视同小型、微型企业，残疾人福利性单位在参加政府采购活动时提供《残疾人福利性单位声明函》（响应文件中附扫描件</w:t>
            </w:r>
            <w:r>
              <w:rPr>
                <w:rFonts w:hint="eastAsia"/>
                <w:lang w:eastAsia="zh-CN"/>
              </w:rPr>
              <w:t>或复印件</w:t>
            </w:r>
            <w:r>
              <w:rPr>
                <w:rFonts w:hint="eastAsia"/>
              </w:rPr>
              <w:t>），不再提供《中小企业声明函》，供应商在《残疾人福利性单位声明函》中的承诺如有虚假，其成交资格将被取消，并根据相关规定进行处罚。</w:t>
            </w:r>
          </w:p>
          <w:p>
            <w:pPr>
              <w:spacing w:line="440" w:lineRule="exact"/>
              <w:ind w:firstLine="424" w:firstLineChars="202"/>
              <w:rPr>
                <w:rFonts w:hint="eastAsia"/>
              </w:rPr>
            </w:pPr>
            <w:r>
              <w:rPr>
                <w:rFonts w:hint="eastAsia" w:ascii="宋体" w:hAnsi="宋体" w:cs="宋体"/>
                <w:bCs/>
                <w:szCs w:val="21"/>
                <w:lang w:eastAsia="zh-CN"/>
              </w:rPr>
              <w:t>磋商小组根据供应商提供的《中小企业声明函》认定该供应商是否属于中小企业；监狱企业和残疾人福利性单位视同小型、微型企业。</w:t>
            </w:r>
            <w:r>
              <w:rPr>
                <w:rFonts w:hint="eastAsia" w:ascii="宋体" w:hAnsi="宋体" w:cs="宋体"/>
                <w:b/>
                <w:bCs w:val="0"/>
                <w:szCs w:val="21"/>
                <w:lang w:eastAsia="zh-CN"/>
              </w:rPr>
              <w:t>不属于中小企业、监狱企业或残疾人福利性单位的不得参与本项目磋商。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17</w:t>
            </w:r>
          </w:p>
        </w:tc>
        <w:tc>
          <w:tcPr>
            <w:tcW w:w="213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履约担保</w:t>
            </w:r>
          </w:p>
        </w:tc>
        <w:tc>
          <w:tcPr>
            <w:tcW w:w="6563" w:type="dxa"/>
            <w:noWrap w:val="0"/>
            <w:vAlign w:val="center"/>
          </w:tcPr>
          <w:p>
            <w:pPr>
              <w:spacing w:line="460" w:lineRule="exac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18</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签订合同</w:t>
            </w:r>
          </w:p>
        </w:tc>
        <w:tc>
          <w:tcPr>
            <w:tcW w:w="6563" w:type="dxa"/>
            <w:noWrap w:val="0"/>
            <w:vAlign w:val="center"/>
          </w:tcPr>
          <w:p>
            <w:pPr>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成交供应商在《成交通知</w:t>
            </w:r>
            <w:r>
              <w:rPr>
                <w:rFonts w:hint="eastAsia" w:ascii="宋体" w:hAnsi="宋体" w:eastAsia="宋体" w:cs="宋体"/>
                <w:color w:val="auto"/>
                <w:kern w:val="0"/>
                <w:sz w:val="21"/>
                <w:szCs w:val="21"/>
              </w:rPr>
              <w:t>书》发出后</w:t>
            </w:r>
            <w:r>
              <w:rPr>
                <w:rFonts w:hint="eastAsia" w:ascii="宋体" w:hAnsi="宋体" w:eastAsia="宋体" w:cs="宋体"/>
                <w:color w:val="auto"/>
                <w:kern w:val="0"/>
                <w:sz w:val="21"/>
                <w:szCs w:val="21"/>
                <w:u w:val="single"/>
                <w:lang w:val="en-US" w:eastAsia="zh-CN"/>
              </w:rPr>
              <w:t>30</w:t>
            </w:r>
            <w:r>
              <w:rPr>
                <w:rFonts w:hint="eastAsia" w:ascii="宋体" w:hAnsi="宋体" w:eastAsia="宋体" w:cs="宋体"/>
                <w:color w:val="auto"/>
                <w:kern w:val="0"/>
                <w:sz w:val="21"/>
                <w:szCs w:val="21"/>
              </w:rPr>
              <w:t>日内，</w:t>
            </w:r>
            <w:r>
              <w:rPr>
                <w:rFonts w:hint="eastAsia" w:ascii="宋体" w:hAnsi="宋体" w:eastAsia="宋体" w:cs="宋体"/>
                <w:kern w:val="0"/>
                <w:sz w:val="21"/>
                <w:szCs w:val="21"/>
              </w:rPr>
              <w:t>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19</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rPr>
                <w:rFonts w:hint="eastAsia" w:ascii="宋体" w:hAnsi="宋体" w:eastAsia="宋体" w:cs="宋体"/>
                <w:kern w:val="0"/>
                <w:sz w:val="21"/>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rPr>
              <w:t>20</w:t>
            </w:r>
          </w:p>
        </w:tc>
        <w:tc>
          <w:tcPr>
            <w:tcW w:w="2131" w:type="dxa"/>
            <w:noWrap w:val="0"/>
            <w:vAlign w:val="center"/>
          </w:tcPr>
          <w:p>
            <w:pPr>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其他</w:t>
            </w:r>
          </w:p>
        </w:tc>
        <w:tc>
          <w:tcPr>
            <w:tcW w:w="6563" w:type="dxa"/>
            <w:noWrap w:val="0"/>
            <w:vAlign w:val="center"/>
          </w:tcPr>
          <w:p>
            <w:pPr>
              <w:rPr>
                <w:rFonts w:hint="eastAsia" w:ascii="宋体" w:hAnsi="宋体" w:eastAsia="宋体" w:cs="宋体"/>
                <w:kern w:val="0"/>
                <w:sz w:val="21"/>
                <w:szCs w:val="21"/>
              </w:rPr>
            </w:pPr>
            <w:r>
              <w:rPr>
                <w:rFonts w:hint="eastAsia" w:ascii="宋体" w:hAnsi="宋体" w:eastAsia="宋体" w:cs="宋体"/>
                <w:kern w:val="0"/>
                <w:sz w:val="21"/>
                <w:szCs w:val="21"/>
              </w:rPr>
              <w:t xml:space="preserve">   </w:t>
            </w:r>
            <w:r>
              <w:rPr>
                <w:rFonts w:hint="eastAsia" w:ascii="宋体" w:hAnsi="宋体" w:eastAsia="宋体" w:cs="宋体"/>
                <w:color w:val="FF0000"/>
                <w:kern w:val="0"/>
                <w:sz w:val="21"/>
                <w:szCs w:val="21"/>
              </w:rPr>
              <w:t xml:space="preserve"> </w:t>
            </w:r>
            <w:r>
              <w:rPr>
                <w:rFonts w:hint="eastAsia" w:ascii="宋体" w:hAnsi="宋体" w:eastAsia="宋体" w:cs="宋体"/>
                <w:kern w:val="0"/>
                <w:sz w:val="21"/>
                <w:szCs w:val="21"/>
              </w:rPr>
              <w:t>本竞争性磋商文件解释权归采购人或其委托的采购代理机构。未尽事宜按国家相关法律法规执行。</w:t>
            </w:r>
          </w:p>
          <w:p>
            <w:pPr>
              <w:rPr>
                <w:rFonts w:hint="eastAsia" w:ascii="宋体" w:hAnsi="宋体" w:eastAsia="宋体" w:cs="宋体"/>
                <w:sz w:val="21"/>
                <w:szCs w:val="21"/>
              </w:rPr>
            </w:pPr>
            <w:r>
              <w:rPr>
                <w:rFonts w:hint="eastAsia" w:ascii="宋体" w:hAnsi="宋体" w:eastAsia="宋体" w:cs="宋体"/>
                <w:sz w:val="21"/>
                <w:szCs w:val="21"/>
              </w:rPr>
              <w:t xml:space="preserve">    （1）在评审过程中，</w:t>
            </w:r>
            <w:r>
              <w:rPr>
                <w:rFonts w:hint="eastAsia" w:ascii="宋体" w:hAnsi="宋体" w:eastAsia="宋体" w:cs="宋体"/>
                <w:kern w:val="0"/>
                <w:sz w:val="21"/>
                <w:szCs w:val="21"/>
              </w:rPr>
              <w:t>磋商</w:t>
            </w:r>
            <w:r>
              <w:rPr>
                <w:rFonts w:hint="eastAsia" w:ascii="宋体" w:hAnsi="宋体" w:eastAsia="宋体" w:cs="宋体"/>
                <w:sz w:val="21"/>
                <w:szCs w:val="21"/>
              </w:rPr>
              <w:t>小组成员存在争议时，可以以少数服从多数的原则解决争议；</w:t>
            </w:r>
          </w:p>
          <w:p>
            <w:pPr>
              <w:spacing w:line="460" w:lineRule="exact"/>
              <w:rPr>
                <w:rFonts w:hint="eastAsia" w:ascii="宋体" w:hAnsi="宋体" w:eastAsia="宋体" w:cs="宋体"/>
                <w:kern w:val="0"/>
                <w:sz w:val="21"/>
                <w:szCs w:val="21"/>
              </w:rPr>
            </w:pPr>
            <w:r>
              <w:rPr>
                <w:rFonts w:hint="eastAsia" w:ascii="宋体" w:hAnsi="宋体" w:eastAsia="宋体" w:cs="宋体"/>
                <w:sz w:val="21"/>
                <w:szCs w:val="21"/>
              </w:rPr>
              <w:t xml:space="preserve">    （2）在评审过程中，采购人或其委托的代理机构认为</w:t>
            </w:r>
            <w:r>
              <w:rPr>
                <w:rFonts w:hint="eastAsia" w:ascii="宋体" w:hAnsi="宋体" w:eastAsia="宋体" w:cs="宋体"/>
                <w:kern w:val="0"/>
                <w:sz w:val="21"/>
                <w:szCs w:val="21"/>
              </w:rPr>
              <w:t>磋商</w:t>
            </w:r>
            <w:r>
              <w:rPr>
                <w:rFonts w:hint="eastAsia" w:ascii="宋体" w:hAnsi="宋体" w:eastAsia="宋体" w:cs="宋体"/>
                <w:sz w:val="21"/>
                <w:szCs w:val="21"/>
              </w:rPr>
              <w:t>小组对</w:t>
            </w:r>
            <w:r>
              <w:rPr>
                <w:rFonts w:hint="eastAsia" w:ascii="宋体" w:hAnsi="宋体" w:eastAsia="宋体" w:cs="宋体"/>
                <w:kern w:val="0"/>
                <w:sz w:val="21"/>
                <w:szCs w:val="21"/>
              </w:rPr>
              <w:t>磋商</w:t>
            </w:r>
            <w:r>
              <w:rPr>
                <w:rFonts w:hint="eastAsia" w:ascii="宋体" w:hAnsi="宋体" w:eastAsia="宋体" w:cs="宋体"/>
                <w:sz w:val="21"/>
                <w:szCs w:val="21"/>
              </w:rPr>
              <w:t>文件存在误解时，可对</w:t>
            </w:r>
            <w:r>
              <w:rPr>
                <w:rFonts w:hint="eastAsia" w:ascii="宋体" w:hAnsi="宋体" w:eastAsia="宋体" w:cs="宋体"/>
                <w:kern w:val="0"/>
                <w:sz w:val="21"/>
                <w:szCs w:val="21"/>
              </w:rPr>
              <w:t>磋商</w:t>
            </w:r>
            <w:r>
              <w:rPr>
                <w:rFonts w:hint="eastAsia" w:ascii="宋体" w:hAnsi="宋体" w:eastAsia="宋体" w:cs="宋体"/>
                <w:sz w:val="21"/>
                <w:szCs w:val="21"/>
              </w:rPr>
              <w:t>文件做出解释，并承担相应责任，</w:t>
            </w:r>
            <w:r>
              <w:rPr>
                <w:rFonts w:hint="eastAsia" w:ascii="宋体" w:hAnsi="宋体" w:eastAsia="宋体" w:cs="宋体"/>
                <w:kern w:val="0"/>
                <w:sz w:val="21"/>
                <w:szCs w:val="21"/>
              </w:rPr>
              <w:t>磋商</w:t>
            </w:r>
            <w:r>
              <w:rPr>
                <w:rFonts w:hint="eastAsia" w:ascii="宋体" w:hAnsi="宋体" w:eastAsia="宋体" w:cs="宋体"/>
                <w:sz w:val="21"/>
                <w:szCs w:val="21"/>
              </w:rPr>
              <w:t>小组应当依据该解释评审；</w:t>
            </w:r>
            <w:r>
              <w:rPr>
                <w:rFonts w:hint="eastAsia" w:ascii="宋体" w:hAnsi="宋体" w:eastAsia="宋体" w:cs="宋体"/>
                <w:kern w:val="0"/>
                <w:sz w:val="21"/>
                <w:szCs w:val="21"/>
              </w:rPr>
              <w:t>磋商</w:t>
            </w:r>
            <w:r>
              <w:rPr>
                <w:rFonts w:hint="eastAsia" w:ascii="宋体" w:hAnsi="宋体" w:eastAsia="宋体" w:cs="宋体"/>
                <w:sz w:val="21"/>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21</w:t>
            </w:r>
          </w:p>
        </w:tc>
        <w:tc>
          <w:tcPr>
            <w:tcW w:w="2131" w:type="dxa"/>
            <w:noWrap w:val="0"/>
            <w:vAlign w:val="center"/>
          </w:tcPr>
          <w:p>
            <w:pPr>
              <w:spacing w:line="46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采购代理机构代理服务费</w:t>
            </w:r>
          </w:p>
        </w:tc>
        <w:tc>
          <w:tcPr>
            <w:tcW w:w="6563" w:type="dxa"/>
            <w:noWrap w:val="0"/>
            <w:vAlign w:val="center"/>
          </w:tcPr>
          <w:p>
            <w:pPr>
              <w:spacing w:line="460" w:lineRule="exact"/>
              <w:rPr>
                <w:rFonts w:hint="eastAsia"/>
              </w:rPr>
            </w:pPr>
            <w:r>
              <w:rPr>
                <w:rFonts w:hint="eastAsia"/>
              </w:rPr>
              <w:t>本项目收取代理服务费：</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采购代理机构代理服务费用收取标准：见《采购代理机构代理费用的收取标准》。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rPr>
                <w:rFonts w:hint="eastAsia" w:ascii="宋体" w:hAnsi="宋体" w:eastAsia="宋体" w:cs="宋体"/>
                <w:kern w:val="0"/>
                <w:sz w:val="21"/>
                <w:szCs w:val="21"/>
              </w:rPr>
            </w:pPr>
            <w:r>
              <w:rPr>
                <w:rFonts w:hint="eastAsia" w:ascii="宋体" w:hAnsi="宋体" w:eastAsia="宋体" w:cs="宋体"/>
                <w:kern w:val="0"/>
                <w:sz w:val="21"/>
                <w:szCs w:val="21"/>
              </w:rPr>
              <w:t>支付方式：现金</w:t>
            </w:r>
            <w:r>
              <w:rPr>
                <w:rFonts w:hint="eastAsia" w:ascii="宋体" w:hAnsi="宋体" w:eastAsia="宋体" w:cs="宋体"/>
                <w:kern w:val="0"/>
                <w:sz w:val="21"/>
                <w:szCs w:val="21"/>
                <w:lang w:eastAsia="zh-CN"/>
              </w:rPr>
              <w:t>或转账</w:t>
            </w:r>
            <w:r>
              <w:rPr>
                <w:rFonts w:hint="eastAsia" w:ascii="宋体" w:hAnsi="宋体" w:eastAsia="宋体" w:cs="宋体"/>
                <w:kern w:val="0"/>
                <w:sz w:val="21"/>
                <w:szCs w:val="21"/>
              </w:rPr>
              <w:t>。</w:t>
            </w:r>
          </w:p>
          <w:p>
            <w:pPr>
              <w:pStyle w:val="15"/>
              <w:rPr>
                <w:rFonts w:hint="eastAsia"/>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采购代理机构代理服务费由</w:t>
            </w:r>
            <w:r>
              <w:rPr>
                <w:rFonts w:hint="eastAsia" w:ascii="宋体" w:hAnsi="宋体" w:eastAsia="宋体" w:cs="宋体"/>
                <w:kern w:val="0"/>
                <w:sz w:val="21"/>
                <w:szCs w:val="21"/>
                <w:lang w:eastAsia="zh-CN"/>
              </w:rPr>
              <w:t>成交供应商</w:t>
            </w:r>
            <w:r>
              <w:rPr>
                <w:rFonts w:hint="eastAsia" w:ascii="宋体" w:hAnsi="宋体" w:eastAsia="宋体" w:cs="宋体"/>
                <w:kern w:val="0"/>
                <w:sz w:val="21"/>
                <w:szCs w:val="21"/>
              </w:rPr>
              <w:t>支付。</w:t>
            </w:r>
          </w:p>
        </w:tc>
      </w:tr>
      <w:bookmarkEnd w:id="9"/>
      <w:bookmarkEnd w:id="10"/>
      <w:bookmarkEnd w:id="11"/>
      <w:bookmarkEnd w:id="12"/>
      <w:bookmarkEnd w:id="13"/>
    </w:tbl>
    <w:p>
      <w:pPr>
        <w:autoSpaceDN w:val="0"/>
        <w:spacing w:before="75" w:beforeLines="0" w:after="75" w:afterLines="0"/>
        <w:jc w:val="center"/>
        <w:rPr>
          <w:rFonts w:hint="eastAsia" w:ascii="宋体" w:hAnsi="宋体" w:eastAsia="宋体" w:cs="宋体"/>
          <w:b/>
          <w:sz w:val="21"/>
          <w:szCs w:val="21"/>
        </w:rPr>
      </w:pPr>
      <w:bookmarkStart w:id="17" w:name="_Toc461962050"/>
    </w:p>
    <w:p>
      <w:pPr>
        <w:autoSpaceDN w:val="0"/>
        <w:spacing w:before="75" w:beforeLines="0" w:after="75" w:afterLines="0"/>
        <w:jc w:val="center"/>
        <w:rPr>
          <w:rFonts w:hint="eastAsia" w:ascii="宋体" w:hAnsi="宋体" w:eastAsia="宋体" w:cs="宋体"/>
          <w:b/>
          <w:sz w:val="24"/>
          <w:szCs w:val="24"/>
        </w:rPr>
      </w:pPr>
    </w:p>
    <w:p>
      <w:pPr>
        <w:pStyle w:val="15"/>
        <w:rPr>
          <w:rFonts w:hint="eastAsia" w:ascii="宋体" w:hAnsi="宋体" w:eastAsia="宋体" w:cs="宋体"/>
          <w:b/>
          <w:sz w:val="24"/>
          <w:szCs w:val="24"/>
        </w:rPr>
      </w:pPr>
    </w:p>
    <w:p>
      <w:pPr>
        <w:pStyle w:val="57"/>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autoSpaceDN w:val="0"/>
        <w:spacing w:before="75" w:after="75" w:line="360" w:lineRule="auto"/>
        <w:jc w:val="center"/>
        <w:rPr>
          <w:rFonts w:hint="eastAsia" w:ascii="宋体" w:hAnsi="宋体" w:cs="宋体"/>
          <w:b/>
          <w:sz w:val="32"/>
        </w:rPr>
      </w:pP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4968240" cy="2764155"/>
            <wp:effectExtent l="0" t="0" r="3810" b="17145"/>
            <wp:docPr id="1" name="图片 2"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Desktop\河南省招标代理服务收费计算标准.png河南省招标代理服务收费计算标准"/>
                    <pic:cNvPicPr>
                      <a:picLocks noChangeAspect="1"/>
                    </pic:cNvPicPr>
                  </pic:nvPicPr>
                  <pic:blipFill>
                    <a:blip r:embed="rId14"/>
                    <a:stretch>
                      <a:fillRect/>
                    </a:stretch>
                  </pic:blipFill>
                  <pic:spPr>
                    <a:xfrm>
                      <a:off x="0" y="0"/>
                      <a:ext cx="496824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w:t>
      </w:r>
      <w:r>
        <w:rPr>
          <w:rFonts w:hint="eastAsia" w:ascii="宋体" w:hAnsi="宋体" w:cs="宋体"/>
          <w:szCs w:val="21"/>
          <w:lang w:val="en-US" w:eastAsia="zh-CN"/>
        </w:rPr>
        <w:t>7</w:t>
      </w:r>
      <w:r>
        <w:rPr>
          <w:rFonts w:hint="eastAsia" w:ascii="宋体" w:hAnsi="宋体" w:cs="宋体"/>
          <w:szCs w:val="21"/>
        </w:rPr>
        <w:t>%=1.</w:t>
      </w:r>
      <w:r>
        <w:rPr>
          <w:rFonts w:hint="eastAsia" w:ascii="宋体" w:hAnsi="宋体" w:cs="宋体"/>
          <w:szCs w:val="21"/>
          <w:lang w:val="en-US" w:eastAsia="zh-CN"/>
        </w:rPr>
        <w:t>7</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（500-100）万元×1.</w:t>
      </w:r>
      <w:r>
        <w:rPr>
          <w:rFonts w:hint="eastAsia" w:ascii="宋体" w:hAnsi="宋体" w:cs="宋体"/>
          <w:szCs w:val="21"/>
          <w:lang w:val="en-US" w:eastAsia="zh-CN"/>
        </w:rPr>
        <w:t>2</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w:t>
      </w:r>
      <w:r>
        <w:rPr>
          <w:rFonts w:hint="eastAsia" w:ascii="宋体" w:hAnsi="宋体" w:cs="宋体"/>
          <w:szCs w:val="21"/>
          <w:lang w:val="en-US" w:eastAsia="zh-CN"/>
        </w:rPr>
        <w:t>7</w:t>
      </w:r>
      <w:r>
        <w:rPr>
          <w:rFonts w:hint="eastAsia" w:ascii="宋体" w:hAnsi="宋体" w:cs="宋体"/>
          <w:szCs w:val="21"/>
        </w:rPr>
        <w:t>+4.</w:t>
      </w: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lang w:val="en-US" w:eastAsia="zh-CN"/>
        </w:rPr>
        <w:t>6.5</w:t>
      </w:r>
      <w:r>
        <w:rPr>
          <w:rFonts w:hint="eastAsia" w:ascii="宋体" w:hAnsi="宋体" w:cs="宋体"/>
          <w:szCs w:val="21"/>
        </w:rPr>
        <w:t>万元</w:t>
      </w: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pStyle w:val="23"/>
        <w:rPr>
          <w:rFonts w:hint="eastAsia" w:ascii="宋体" w:hAnsi="宋体" w:eastAsia="宋体" w:cs="宋体"/>
          <w:b/>
          <w:sz w:val="24"/>
          <w:szCs w:val="24"/>
        </w:rPr>
      </w:pPr>
    </w:p>
    <w:p>
      <w:pPr>
        <w:autoSpaceDN w:val="0"/>
        <w:spacing w:before="75" w:beforeLines="0" w:after="75" w:afterLines="0"/>
        <w:jc w:val="center"/>
        <w:rPr>
          <w:rFonts w:hint="eastAsia" w:ascii="宋体" w:hAnsi="宋体" w:eastAsia="宋体" w:cs="宋体"/>
          <w:b/>
          <w:sz w:val="24"/>
          <w:szCs w:val="24"/>
        </w:rPr>
      </w:pPr>
    </w:p>
    <w:bookmarkEnd w:id="17"/>
    <w:p>
      <w:pPr>
        <w:pStyle w:val="6"/>
        <w:spacing w:line="440" w:lineRule="exact"/>
        <w:jc w:val="center"/>
        <w:rPr>
          <w:rFonts w:hint="eastAsia" w:ascii="宋体" w:hAnsi="宋体" w:eastAsia="宋体" w:cs="宋体"/>
        </w:rPr>
      </w:pPr>
      <w:bookmarkStart w:id="18" w:name="_Toc374512410"/>
      <w:bookmarkStart w:id="19" w:name="_Toc477423243"/>
      <w:bookmarkStart w:id="20" w:name="_Toc26492"/>
      <w:bookmarkStart w:id="21" w:name="_Toc461962051"/>
      <w:bookmarkStart w:id="22" w:name="_Toc2200"/>
      <w:bookmarkStart w:id="23" w:name="_Toc373230023"/>
      <w:bookmarkStart w:id="24" w:name="_Toc490161260"/>
      <w:bookmarkStart w:id="25" w:name="_Toc487805903"/>
      <w:r>
        <w:rPr>
          <w:rFonts w:hint="eastAsia" w:ascii="宋体" w:hAnsi="宋体" w:eastAsia="宋体" w:cs="宋体"/>
        </w:rPr>
        <w:t>一、总则</w:t>
      </w:r>
      <w:bookmarkEnd w:id="18"/>
      <w:bookmarkEnd w:id="19"/>
      <w:bookmarkEnd w:id="20"/>
      <w:bookmarkEnd w:id="21"/>
      <w:bookmarkEnd w:id="22"/>
      <w:bookmarkEnd w:id="23"/>
      <w:bookmarkEnd w:id="24"/>
      <w:bookmarkEnd w:id="25"/>
    </w:p>
    <w:p>
      <w:pPr>
        <w:numPr>
          <w:ilvl w:val="0"/>
          <w:numId w:val="8"/>
        </w:numPr>
        <w:tabs>
          <w:tab w:val="left" w:pos="424"/>
        </w:tabs>
        <w:spacing w:line="440" w:lineRule="exact"/>
        <w:ind w:left="425" w:hanging="425"/>
        <w:rPr>
          <w:rFonts w:hint="eastAsia" w:ascii="宋体" w:hAnsi="宋体" w:cs="宋体"/>
          <w:b/>
          <w:sz w:val="24"/>
          <w:szCs w:val="24"/>
        </w:rPr>
      </w:pPr>
      <w:r>
        <w:rPr>
          <w:rFonts w:hint="eastAsia" w:ascii="宋体" w:hAnsi="宋体" w:cs="宋体"/>
          <w:b/>
          <w:sz w:val="24"/>
          <w:szCs w:val="24"/>
        </w:rPr>
        <w:t>适用范围</w:t>
      </w:r>
    </w:p>
    <w:p>
      <w:pPr>
        <w:spacing w:line="440" w:lineRule="exact"/>
        <w:ind w:firstLine="429" w:firstLineChars="179"/>
        <w:rPr>
          <w:rFonts w:hint="eastAsia" w:ascii="宋体" w:hAnsi="宋体" w:cs="宋体"/>
          <w:sz w:val="24"/>
          <w:szCs w:val="24"/>
        </w:rPr>
      </w:pPr>
      <w:r>
        <w:rPr>
          <w:rFonts w:hint="eastAsia" w:ascii="宋体" w:hAnsi="宋体" w:cs="宋体"/>
          <w:sz w:val="24"/>
          <w:szCs w:val="24"/>
        </w:rPr>
        <w:t>本磋商文件仅适用于本次竞争性磋商所述的项目。</w:t>
      </w:r>
    </w:p>
    <w:p>
      <w:pPr>
        <w:numPr>
          <w:ilvl w:val="0"/>
          <w:numId w:val="8"/>
        </w:numPr>
        <w:tabs>
          <w:tab w:val="left" w:pos="424"/>
        </w:tabs>
        <w:spacing w:line="440" w:lineRule="exact"/>
        <w:ind w:left="425" w:hanging="425"/>
        <w:rPr>
          <w:rFonts w:hint="eastAsia" w:ascii="宋体" w:hAnsi="宋体" w:cs="宋体"/>
          <w:b/>
          <w:bCs/>
          <w:sz w:val="24"/>
          <w:szCs w:val="24"/>
        </w:rPr>
      </w:pPr>
      <w:r>
        <w:rPr>
          <w:rFonts w:hint="eastAsia" w:ascii="宋体" w:hAnsi="宋体" w:cs="宋体"/>
          <w:b/>
          <w:sz w:val="24"/>
          <w:szCs w:val="24"/>
        </w:rPr>
        <w:t>定义</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“采购人” 见供应商须知前附表；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“采购代理机构”见供应商须知前附表；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“供应商”是指响应磋商、参加磋商竞争的法人、其他组织或者自然人。</w:t>
      </w:r>
    </w:p>
    <w:p>
      <w:pPr>
        <w:numPr>
          <w:ilvl w:val="0"/>
          <w:numId w:val="9"/>
        </w:numPr>
        <w:tabs>
          <w:tab w:val="left" w:pos="0"/>
          <w:tab w:val="clear" w:pos="839"/>
        </w:tabs>
        <w:spacing w:line="440" w:lineRule="exact"/>
        <w:rPr>
          <w:rFonts w:hint="eastAsia" w:ascii="宋体" w:hAnsi="宋体" w:cs="宋体"/>
          <w:sz w:val="24"/>
          <w:szCs w:val="24"/>
        </w:rPr>
      </w:pPr>
      <w:r>
        <w:rPr>
          <w:rFonts w:hint="eastAsia" w:ascii="宋体" w:hAnsi="宋体" w:cs="宋体"/>
          <w:sz w:val="24"/>
          <w:szCs w:val="24"/>
        </w:rPr>
        <w:t xml:space="preserve"> “成交供应商”是指依据本竞争性磋商文件规定经评审被最终授予合同的供应商。</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“质量保证期”在此期限内因设备质量问题均由供应商免费维修或更换，采购人不因此承担任何费用。</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“设立登记证书”是指</w:t>
      </w:r>
      <w:r>
        <w:rPr>
          <w:rFonts w:hint="eastAsia" w:ascii="宋体" w:hAnsi="宋体" w:cs="宋体"/>
          <w:sz w:val="24"/>
          <w:szCs w:val="24"/>
        </w:rPr>
        <w:fldChar w:fldCharType="begin"/>
      </w:r>
      <w:r>
        <w:rPr>
          <w:rFonts w:hint="eastAsia" w:ascii="宋体" w:hAnsi="宋体" w:cs="宋体"/>
          <w:sz w:val="24"/>
          <w:szCs w:val="24"/>
        </w:rPr>
        <w:instrText xml:space="preserve"> HYPERLINK "https://baike.baidu.com/item/%E5%B7%A5%E5%95%86%E8%A1%8C%E6%94%BF%E7%AE%A1%E7%90%86%E6%9C%BA%E5%85%B3/2954967" \t "https://baike.baidu.com/item/%E8%90%A5%E4%B8%9A%E6%89%A7%E7%85%A7/_blank" </w:instrText>
      </w:r>
      <w:r>
        <w:rPr>
          <w:rFonts w:hint="eastAsia" w:ascii="宋体" w:hAnsi="宋体" w:cs="宋体"/>
          <w:sz w:val="24"/>
          <w:szCs w:val="24"/>
        </w:rPr>
        <w:fldChar w:fldCharType="separate"/>
      </w:r>
      <w:r>
        <w:rPr>
          <w:rFonts w:hint="eastAsia" w:ascii="宋体" w:hAnsi="宋体" w:cs="宋体"/>
          <w:sz w:val="24"/>
          <w:szCs w:val="24"/>
        </w:rPr>
        <w:t>工商行政管理机关</w:t>
      </w:r>
      <w:r>
        <w:rPr>
          <w:rFonts w:hint="eastAsia" w:ascii="宋体" w:hAnsi="宋体" w:cs="宋体"/>
          <w:sz w:val="24"/>
          <w:szCs w:val="24"/>
        </w:rPr>
        <w:fldChar w:fldCharType="end"/>
      </w:r>
      <w:r>
        <w:rPr>
          <w:rFonts w:hint="eastAsia" w:ascii="宋体" w:hAnsi="宋体" w:cs="宋体"/>
          <w:sz w:val="24"/>
          <w:szCs w:val="24"/>
        </w:rPr>
        <w:t>或市场监督管理部门颁发的营业执照，或民政部门颁发的民办非企业单位登记证书，或司法行政机关颁发的律师事务所执业许可证等凭证；</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“法定代表人”系指“设立登记证书”上注明的法定代表人、负责人或经营者等。</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 xml:space="preserve"> “重大违法行为”系指供应商因违法经营受到刑事处罚或者责令停业停产、吊销许可证或者执照、较大数额罚款等行政处罚；</w:t>
      </w:r>
    </w:p>
    <w:p>
      <w:pPr>
        <w:numPr>
          <w:ilvl w:val="0"/>
          <w:numId w:val="9"/>
        </w:numPr>
        <w:spacing w:line="440" w:lineRule="exact"/>
        <w:rPr>
          <w:rFonts w:hint="eastAsia" w:ascii="宋体" w:hAnsi="宋体" w:cs="宋体"/>
          <w:sz w:val="24"/>
          <w:szCs w:val="24"/>
        </w:rPr>
      </w:pPr>
      <w:r>
        <w:rPr>
          <w:rFonts w:hint="eastAsia" w:ascii="宋体" w:hAnsi="宋体" w:cs="宋体"/>
          <w:sz w:val="24"/>
          <w:szCs w:val="24"/>
        </w:rPr>
        <w:t>“原公告发布媒体”是指《河南省政府采购网》、《焦作市公共资源交易中心网》、《武陟县公共资源交易中心网》。</w:t>
      </w:r>
    </w:p>
    <w:p>
      <w:pPr>
        <w:numPr>
          <w:ilvl w:val="0"/>
          <w:numId w:val="9"/>
        </w:numPr>
        <w:spacing w:line="440" w:lineRule="exact"/>
        <w:ind w:left="0" w:firstLine="480" w:firstLineChars="200"/>
        <w:rPr>
          <w:rFonts w:hint="eastAsia" w:ascii="宋体" w:hAnsi="宋体" w:cs="宋体"/>
          <w:sz w:val="24"/>
          <w:szCs w:val="24"/>
        </w:rPr>
      </w:pPr>
      <w:r>
        <w:rPr>
          <w:rFonts w:hint="eastAsia" w:ascii="宋体" w:hAnsi="宋体" w:cs="宋体"/>
          <w:b/>
          <w:sz w:val="24"/>
          <w:szCs w:val="24"/>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9"/>
        </w:numPr>
        <w:spacing w:line="440" w:lineRule="exact"/>
        <w:ind w:left="0" w:firstLine="480" w:firstLineChars="200"/>
        <w:rPr>
          <w:rFonts w:hint="eastAsia" w:ascii="宋体" w:hAnsi="宋体" w:cs="宋体"/>
          <w:bCs/>
          <w:sz w:val="24"/>
          <w:szCs w:val="24"/>
        </w:rPr>
      </w:pPr>
      <w:r>
        <w:rPr>
          <w:rFonts w:hint="eastAsia" w:ascii="宋体" w:hAnsi="宋体" w:cs="宋体"/>
          <w:bCs/>
          <w:sz w:val="24"/>
          <w:szCs w:val="24"/>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合格的供应商</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符合《中华人民共和国政府采购法》第二十二条规定的条件。</w:t>
      </w:r>
    </w:p>
    <w:p>
      <w:pPr>
        <w:pStyle w:val="118"/>
        <w:spacing w:line="440" w:lineRule="exact"/>
        <w:ind w:firstLine="480" w:firstLineChars="200"/>
        <w:rPr>
          <w:rFonts w:hint="eastAsia"/>
          <w:sz w:val="24"/>
          <w:szCs w:val="24"/>
        </w:rPr>
      </w:pPr>
      <w:r>
        <w:rPr>
          <w:rFonts w:hint="eastAsia"/>
          <w:sz w:val="24"/>
          <w:szCs w:val="24"/>
        </w:rPr>
        <w:t>3.1.1.具有有效的“设立登记证书”；</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3.1.2.具有依法缴纳税收的相关证明材料：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 xml:space="preserve">“依法缴纳税收的相关证明材料”是指提交响应文件截止时间前近六个月任意一个月依法缴纳税收的证明材料。依法免税的供应商，能提供相应文件证明其依法免税。 </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3.1.3.具有依法缴纳社会保障资金的相关证明材料：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3.1.4.具有经政府审计部门或会计事务所审计的2021年度财务审计报告（新成立企业不足一年的，提供最近一个月的财务报表。）或其基本开户银行出具的资信证明。</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3.1.5.具备履行合同所必需的设备和专业技术能力的证明材料；</w:t>
      </w:r>
    </w:p>
    <w:p>
      <w:pPr>
        <w:pStyle w:val="118"/>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3.1.6.参加政府采购活动前3年内在经营活动中没有重大违法记录的书面声明；</w:t>
      </w:r>
    </w:p>
    <w:p>
      <w:pPr>
        <w:pStyle w:val="118"/>
        <w:spacing w:line="440" w:lineRule="exact"/>
        <w:ind w:firstLine="480" w:firstLineChars="200"/>
        <w:rPr>
          <w:rFonts w:hint="eastAsia"/>
          <w:b/>
          <w:bCs/>
          <w:sz w:val="24"/>
          <w:szCs w:val="24"/>
        </w:rPr>
      </w:pPr>
      <w:r>
        <w:rPr>
          <w:rFonts w:hint="eastAsia"/>
          <w:b/>
          <w:bCs/>
          <w:sz w:val="24"/>
          <w:szCs w:val="24"/>
        </w:rPr>
        <w:t>注：1.供应商在响应时，按照竞争性磋商文件规定提供《武陟县政府采购供应商资格信用承诺函》，无需再提交上述证明材料。</w:t>
      </w:r>
    </w:p>
    <w:p>
      <w:pPr>
        <w:pStyle w:val="118"/>
        <w:spacing w:line="440" w:lineRule="exact"/>
        <w:ind w:firstLine="480" w:firstLineChars="200"/>
        <w:rPr>
          <w:rFonts w:hint="eastAsia"/>
          <w:sz w:val="24"/>
          <w:szCs w:val="24"/>
        </w:rPr>
      </w:pPr>
      <w:r>
        <w:rPr>
          <w:rFonts w:hint="eastAsia"/>
          <w:sz w:val="24"/>
          <w:szCs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符合本磋商文件规定的资格要求及项目要求的其它条件，并按照要求提供相关证明材料。</w:t>
      </w:r>
    </w:p>
    <w:p>
      <w:pPr>
        <w:numPr>
          <w:ilvl w:val="0"/>
          <w:numId w:val="10"/>
        </w:numPr>
        <w:spacing w:line="440" w:lineRule="exact"/>
        <w:ind w:left="0" w:firstLine="420"/>
        <w:rPr>
          <w:rFonts w:hint="eastAsia" w:ascii="宋体" w:hAnsi="宋体" w:cs="宋体"/>
          <w:bCs/>
          <w:sz w:val="24"/>
          <w:szCs w:val="24"/>
        </w:rPr>
      </w:pPr>
      <w:r>
        <w:rPr>
          <w:rFonts w:hint="eastAsia" w:ascii="宋体" w:hAnsi="宋体" w:cs="宋体"/>
          <w:bCs/>
          <w:sz w:val="24"/>
          <w:szCs w:val="24"/>
        </w:rPr>
        <w:t>供应商应遵守国家法律、法规和有关政府采购的规定。</w:t>
      </w:r>
    </w:p>
    <w:p>
      <w:pPr>
        <w:numPr>
          <w:ilvl w:val="0"/>
          <w:numId w:val="10"/>
        </w:numPr>
        <w:spacing w:line="440" w:lineRule="exact"/>
        <w:ind w:left="0" w:firstLine="420"/>
        <w:rPr>
          <w:rFonts w:hint="eastAsia" w:ascii="宋体" w:hAnsi="宋体" w:cs="宋体"/>
          <w:b/>
          <w:sz w:val="24"/>
          <w:szCs w:val="24"/>
        </w:rPr>
      </w:pPr>
      <w:r>
        <w:rPr>
          <w:rFonts w:hint="eastAsia" w:ascii="宋体" w:hAnsi="宋体" w:cs="宋体"/>
          <w:bCs/>
          <w:sz w:val="24"/>
          <w:szCs w:val="24"/>
        </w:rPr>
        <w:t>已按竞争性磋商公告要求获取竞争性磋商文件的。</w:t>
      </w:r>
    </w:p>
    <w:p>
      <w:pPr>
        <w:tabs>
          <w:tab w:val="left" w:pos="720"/>
          <w:tab w:val="left" w:pos="1134"/>
        </w:tabs>
        <w:spacing w:line="440" w:lineRule="exact"/>
        <w:ind w:firstLine="480" w:firstLineChars="200"/>
        <w:rPr>
          <w:rFonts w:hint="eastAsia" w:ascii="宋体" w:hAnsi="宋体" w:cs="宋体"/>
          <w:bCs/>
          <w:sz w:val="24"/>
          <w:szCs w:val="24"/>
        </w:rPr>
      </w:pPr>
      <w:r>
        <w:rPr>
          <w:rFonts w:hint="eastAsia" w:ascii="宋体" w:hAnsi="宋体" w:cs="宋体"/>
          <w:b/>
          <w:sz w:val="24"/>
          <w:szCs w:val="24"/>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80" w:firstLineChars="200"/>
        <w:rPr>
          <w:rFonts w:hint="eastAsia" w:ascii="宋体" w:hAnsi="宋体" w:cs="宋体"/>
          <w:b/>
          <w:sz w:val="24"/>
          <w:szCs w:val="24"/>
        </w:rPr>
      </w:pPr>
      <w:r>
        <w:rPr>
          <w:rFonts w:hint="eastAsia" w:ascii="宋体" w:hAnsi="宋体" w:cs="宋体"/>
          <w:b/>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80" w:firstLineChars="200"/>
        <w:rPr>
          <w:rFonts w:hint="eastAsia" w:ascii="宋体" w:hAnsi="宋体" w:cs="宋体"/>
          <w:b/>
          <w:sz w:val="24"/>
          <w:szCs w:val="24"/>
        </w:rPr>
      </w:pPr>
      <w:r>
        <w:rPr>
          <w:rFonts w:hint="eastAsia" w:ascii="宋体" w:hAnsi="宋体" w:cs="宋体"/>
          <w:b/>
          <w:sz w:val="24"/>
          <w:szCs w:val="24"/>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80" w:firstLineChars="200"/>
        <w:rPr>
          <w:rFonts w:hint="eastAsia" w:ascii="宋体" w:hAnsi="宋体" w:cs="宋体"/>
          <w:bCs/>
          <w:sz w:val="24"/>
          <w:szCs w:val="24"/>
        </w:rPr>
      </w:pPr>
      <w:r>
        <w:rPr>
          <w:rFonts w:hint="eastAsia" w:ascii="宋体" w:hAnsi="宋体" w:cs="宋体"/>
          <w:bCs/>
          <w:sz w:val="24"/>
          <w:szCs w:val="24"/>
        </w:rPr>
        <w:t>3.6 单位负责人为同一人或者存在直接控股、管理关系的不同供应商，不得参加同一合同项下的政府采购活动。</w:t>
      </w:r>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磋商费用</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供应商应承担所有与准备和参加磋商有关的费用。不论磋商结果如何，采购代理机构、采购人均无义务和责任承担这些费用。</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需要落实的政府采购政策：见供应商须知前附表</w:t>
      </w:r>
    </w:p>
    <w:p>
      <w:pPr>
        <w:pStyle w:val="6"/>
        <w:spacing w:line="440" w:lineRule="exact"/>
        <w:jc w:val="center"/>
        <w:rPr>
          <w:rFonts w:hint="eastAsia" w:ascii="宋体" w:hAnsi="宋体" w:eastAsia="宋体" w:cs="宋体"/>
          <w:sz w:val="32"/>
          <w:szCs w:val="32"/>
        </w:rPr>
      </w:pPr>
      <w:bookmarkStart w:id="26" w:name="_Toc373230024"/>
      <w:bookmarkStart w:id="27" w:name="_Toc487805904"/>
      <w:bookmarkStart w:id="28" w:name="_Toc490161261"/>
      <w:bookmarkStart w:id="29" w:name="_Toc477423244"/>
      <w:bookmarkStart w:id="30" w:name="_Toc461962052"/>
      <w:bookmarkStart w:id="31" w:name="_Toc23018"/>
      <w:bookmarkStart w:id="32" w:name="_Toc374512411"/>
      <w:bookmarkStart w:id="33" w:name="_Toc12084"/>
      <w:r>
        <w:rPr>
          <w:rFonts w:hint="eastAsia" w:ascii="宋体" w:hAnsi="宋体" w:eastAsia="宋体" w:cs="宋体"/>
          <w:sz w:val="32"/>
          <w:szCs w:val="32"/>
        </w:rPr>
        <w:t>二、磋商文件</w:t>
      </w:r>
      <w:bookmarkEnd w:id="26"/>
      <w:bookmarkEnd w:id="27"/>
      <w:bookmarkEnd w:id="28"/>
      <w:bookmarkEnd w:id="29"/>
      <w:bookmarkEnd w:id="30"/>
      <w:bookmarkEnd w:id="31"/>
      <w:bookmarkEnd w:id="32"/>
      <w:bookmarkEnd w:id="33"/>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磋商文件的组成</w:t>
      </w:r>
    </w:p>
    <w:p>
      <w:pPr>
        <w:numPr>
          <w:ilvl w:val="0"/>
          <w:numId w:val="11"/>
        </w:numPr>
        <w:tabs>
          <w:tab w:val="left" w:pos="720"/>
          <w:tab w:val="left" w:pos="839"/>
          <w:tab w:val="left" w:pos="1134"/>
        </w:tabs>
        <w:spacing w:line="440" w:lineRule="exact"/>
        <w:ind w:left="840" w:hanging="420"/>
        <w:rPr>
          <w:rFonts w:hint="eastAsia" w:ascii="宋体" w:hAnsi="宋体" w:cs="宋体"/>
          <w:bCs/>
          <w:sz w:val="24"/>
          <w:szCs w:val="24"/>
        </w:rPr>
      </w:pPr>
      <w:r>
        <w:rPr>
          <w:rFonts w:hint="eastAsia" w:ascii="宋体" w:hAnsi="宋体" w:cs="宋体"/>
          <w:bCs/>
          <w:sz w:val="24"/>
          <w:szCs w:val="24"/>
        </w:rPr>
        <w:t>磋商文件包括下列内容：</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第一章  竞争性磋商公告</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第二章  供应商须知</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第三章  评审方法和评审标准</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第四章  拟签订的合同文本</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第五章  采购需求</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第六章  响应文件格式</w:t>
      </w:r>
    </w:p>
    <w:p>
      <w:pPr>
        <w:numPr>
          <w:ilvl w:val="0"/>
          <w:numId w:val="11"/>
        </w:numPr>
        <w:tabs>
          <w:tab w:val="left" w:pos="720"/>
          <w:tab w:val="left" w:pos="839"/>
          <w:tab w:val="left" w:pos="1134"/>
        </w:tabs>
        <w:spacing w:line="440" w:lineRule="exact"/>
        <w:ind w:left="0" w:firstLine="284"/>
        <w:rPr>
          <w:rFonts w:hint="eastAsia" w:ascii="宋体" w:hAnsi="宋体" w:cs="宋体"/>
          <w:bCs/>
          <w:sz w:val="24"/>
          <w:szCs w:val="24"/>
        </w:rPr>
      </w:pPr>
      <w:r>
        <w:rPr>
          <w:rFonts w:hint="eastAsia" w:ascii="宋体" w:hAnsi="宋体" w:cs="宋体"/>
          <w:bCs/>
          <w:sz w:val="24"/>
          <w:szCs w:val="24"/>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11"/>
        </w:numPr>
        <w:tabs>
          <w:tab w:val="left" w:pos="720"/>
          <w:tab w:val="left" w:pos="839"/>
          <w:tab w:val="left" w:pos="1134"/>
        </w:tabs>
        <w:spacing w:line="440" w:lineRule="exact"/>
        <w:ind w:left="0" w:firstLine="284"/>
        <w:rPr>
          <w:rFonts w:hint="eastAsia" w:ascii="宋体" w:hAnsi="宋体" w:cs="宋体"/>
          <w:bCs/>
          <w:sz w:val="24"/>
          <w:szCs w:val="24"/>
        </w:rPr>
      </w:pPr>
      <w:r>
        <w:rPr>
          <w:rFonts w:hint="eastAsia" w:ascii="宋体" w:hAnsi="宋体" w:cs="宋体"/>
          <w:bCs/>
          <w:sz w:val="24"/>
          <w:szCs w:val="24"/>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磋商文件的澄清或修改</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磋商文件的澄清或修改将在原公告发布媒体上发布，磋商文件的澄清或修改内容作为磋商文件的组成部分，对采购人和供应商均具有约束作用；</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磋商文件的澄清、修改、补充等在同一内容的表述不一致时，以最后发出的通知为准；</w:t>
      </w:r>
    </w:p>
    <w:p>
      <w:pPr>
        <w:numPr>
          <w:ilvl w:val="0"/>
          <w:numId w:val="12"/>
        </w:numPr>
        <w:spacing w:line="360" w:lineRule="auto"/>
        <w:ind w:left="0" w:firstLine="425"/>
        <w:jc w:val="left"/>
        <w:rPr>
          <w:rFonts w:hint="eastAsia" w:ascii="宋体" w:hAnsi="宋体" w:cs="宋体"/>
          <w:sz w:val="24"/>
          <w:szCs w:val="24"/>
        </w:rPr>
      </w:pPr>
      <w:r>
        <w:rPr>
          <w:rFonts w:hint="eastAsia" w:ascii="宋体" w:hAnsi="宋体" w:cs="宋体"/>
          <w:sz w:val="24"/>
          <w:szCs w:val="24"/>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8"/>
        </w:numPr>
        <w:spacing w:line="360" w:lineRule="auto"/>
        <w:rPr>
          <w:rFonts w:ascii="宋体" w:hAnsi="宋体" w:cs="宋体"/>
          <w:b/>
          <w:sz w:val="24"/>
          <w:szCs w:val="24"/>
        </w:rPr>
      </w:pPr>
      <w:r>
        <w:rPr>
          <w:rFonts w:hint="eastAsia" w:ascii="宋体" w:hAnsi="宋体" w:cs="宋体"/>
          <w:b/>
          <w:sz w:val="24"/>
          <w:szCs w:val="24"/>
        </w:rPr>
        <w:t>磋商文件的约束力</w:t>
      </w:r>
    </w:p>
    <w:p>
      <w:pPr>
        <w:pStyle w:val="57"/>
        <w:spacing w:line="360" w:lineRule="auto"/>
        <w:ind w:firstLine="480" w:firstLineChars="200"/>
        <w:rPr>
          <w:rFonts w:hAnsi="宋体"/>
          <w:color w:val="auto"/>
          <w:kern w:val="2"/>
          <w:sz w:val="24"/>
          <w:szCs w:val="24"/>
        </w:rPr>
      </w:pPr>
      <w:r>
        <w:rPr>
          <w:rFonts w:hAnsi="宋体"/>
          <w:color w:val="auto"/>
          <w:kern w:val="2"/>
          <w:sz w:val="24"/>
          <w:szCs w:val="24"/>
        </w:rPr>
        <w:t>供应商一旦获取了本</w:t>
      </w:r>
      <w:r>
        <w:rPr>
          <w:rFonts w:hint="eastAsia" w:hAnsi="宋体"/>
          <w:color w:val="auto"/>
          <w:kern w:val="2"/>
          <w:sz w:val="24"/>
          <w:szCs w:val="24"/>
        </w:rPr>
        <w:t>磋商</w:t>
      </w:r>
      <w:r>
        <w:rPr>
          <w:rFonts w:hAnsi="宋体"/>
          <w:color w:val="auto"/>
          <w:kern w:val="2"/>
          <w:sz w:val="24"/>
          <w:szCs w:val="24"/>
        </w:rPr>
        <w:t>文件并参加</w:t>
      </w:r>
      <w:r>
        <w:rPr>
          <w:rFonts w:hint="eastAsia" w:hAnsi="宋体"/>
          <w:color w:val="auto"/>
          <w:kern w:val="2"/>
          <w:sz w:val="24"/>
          <w:szCs w:val="24"/>
        </w:rPr>
        <w:t>磋商</w:t>
      </w:r>
      <w:r>
        <w:rPr>
          <w:rFonts w:hAnsi="宋体"/>
          <w:color w:val="auto"/>
          <w:kern w:val="2"/>
          <w:sz w:val="24"/>
          <w:szCs w:val="24"/>
        </w:rPr>
        <w:t>，即被认为对本</w:t>
      </w:r>
      <w:r>
        <w:rPr>
          <w:rFonts w:hint="eastAsia" w:hAnsi="宋体"/>
          <w:color w:val="auto"/>
          <w:kern w:val="2"/>
          <w:sz w:val="24"/>
          <w:szCs w:val="24"/>
        </w:rPr>
        <w:t>磋商</w:t>
      </w:r>
      <w:r>
        <w:rPr>
          <w:rFonts w:hAnsi="宋体"/>
          <w:color w:val="auto"/>
          <w:kern w:val="2"/>
          <w:sz w:val="24"/>
          <w:szCs w:val="24"/>
        </w:rPr>
        <w:t>文件中的所有条件和规定均无异议。</w:t>
      </w:r>
    </w:p>
    <w:p>
      <w:pPr>
        <w:pStyle w:val="57"/>
        <w:rPr>
          <w:sz w:val="24"/>
          <w:szCs w:val="24"/>
        </w:rPr>
      </w:pPr>
    </w:p>
    <w:p>
      <w:pPr>
        <w:pStyle w:val="6"/>
        <w:numPr>
          <w:ilvl w:val="0"/>
          <w:numId w:val="0"/>
        </w:numPr>
        <w:tabs>
          <w:tab w:val="left" w:pos="0"/>
        </w:tabs>
        <w:spacing w:line="440" w:lineRule="exact"/>
        <w:ind w:left="284" w:leftChars="0"/>
        <w:jc w:val="center"/>
        <w:rPr>
          <w:rFonts w:hint="eastAsia" w:ascii="宋体" w:hAnsi="宋体" w:eastAsia="宋体" w:cs="宋体"/>
          <w:sz w:val="32"/>
          <w:szCs w:val="32"/>
        </w:rPr>
      </w:pPr>
      <w:bookmarkStart w:id="34" w:name="_Toc374512412"/>
      <w:bookmarkStart w:id="35" w:name="_Toc26181"/>
      <w:bookmarkStart w:id="36" w:name="_Toc6048"/>
      <w:bookmarkStart w:id="37" w:name="_Toc461962053"/>
      <w:bookmarkStart w:id="38" w:name="_Toc477423245"/>
      <w:bookmarkStart w:id="39" w:name="_Toc373230025"/>
      <w:bookmarkStart w:id="40" w:name="_Toc487805905"/>
      <w:bookmarkStart w:id="41" w:name="_Toc490161262"/>
      <w:r>
        <w:rPr>
          <w:rFonts w:hint="eastAsia" w:ascii="宋体" w:hAnsi="宋体" w:eastAsia="宋体" w:cs="宋体"/>
          <w:sz w:val="32"/>
          <w:szCs w:val="32"/>
          <w:lang w:val="en-US" w:eastAsia="zh-CN"/>
        </w:rPr>
        <w:t>三、</w:t>
      </w:r>
      <w:r>
        <w:rPr>
          <w:rFonts w:hint="eastAsia" w:ascii="宋体" w:hAnsi="宋体" w:eastAsia="宋体" w:cs="宋体"/>
          <w:sz w:val="32"/>
          <w:szCs w:val="32"/>
        </w:rPr>
        <w:t>响应文件的编制</w:t>
      </w:r>
      <w:bookmarkEnd w:id="34"/>
      <w:bookmarkEnd w:id="35"/>
      <w:bookmarkEnd w:id="36"/>
      <w:bookmarkEnd w:id="37"/>
      <w:bookmarkEnd w:id="38"/>
      <w:bookmarkEnd w:id="39"/>
      <w:bookmarkEnd w:id="40"/>
      <w:bookmarkEnd w:id="41"/>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要求</w:t>
      </w:r>
    </w:p>
    <w:p>
      <w:pPr>
        <w:spacing w:line="500" w:lineRule="exact"/>
        <w:ind w:left="420"/>
        <w:rPr>
          <w:rFonts w:hint="eastAsia" w:ascii="宋体" w:hAnsi="宋体" w:cs="宋体"/>
          <w:sz w:val="24"/>
          <w:szCs w:val="24"/>
        </w:rPr>
      </w:pPr>
      <w:r>
        <w:rPr>
          <w:rFonts w:hint="eastAsia" w:ascii="宋体" w:hAnsi="宋体" w:cs="宋体"/>
          <w:sz w:val="24"/>
          <w:szCs w:val="24"/>
        </w:rPr>
        <w:t>9.1供应商应仔细阅读、并充分理解磋商文件的所有内容，按照磋商文件的要求编制、提交响应文</w:t>
      </w:r>
    </w:p>
    <w:p>
      <w:pPr>
        <w:spacing w:line="500" w:lineRule="exact"/>
        <w:rPr>
          <w:rFonts w:hint="eastAsia" w:ascii="宋体" w:hAnsi="宋体" w:cs="宋体"/>
          <w:sz w:val="24"/>
          <w:szCs w:val="24"/>
        </w:rPr>
      </w:pPr>
      <w:r>
        <w:rPr>
          <w:rFonts w:hint="eastAsia" w:ascii="宋体" w:hAnsi="宋体" w:cs="宋体"/>
          <w:sz w:val="24"/>
          <w:szCs w:val="24"/>
        </w:rPr>
        <w:t>件。</w:t>
      </w:r>
    </w:p>
    <w:p>
      <w:pPr>
        <w:spacing w:line="500" w:lineRule="exact"/>
        <w:ind w:left="420"/>
        <w:rPr>
          <w:rFonts w:hint="eastAsia" w:ascii="宋体" w:hAnsi="宋体" w:cs="宋体"/>
          <w:sz w:val="24"/>
          <w:szCs w:val="24"/>
        </w:rPr>
      </w:pPr>
      <w:r>
        <w:rPr>
          <w:rFonts w:hint="eastAsia" w:ascii="宋体" w:hAnsi="宋体" w:cs="宋体"/>
          <w:sz w:val="24"/>
          <w:szCs w:val="24"/>
        </w:rPr>
        <w:t>9.2响应文件应对磋商文件的要求作出实质性响应（包括供应商资格要求、商务要求和响应文件格</w:t>
      </w:r>
    </w:p>
    <w:p>
      <w:pPr>
        <w:spacing w:line="500" w:lineRule="exact"/>
        <w:rPr>
          <w:rFonts w:hint="eastAsia" w:ascii="宋体" w:hAnsi="宋体" w:cs="宋体"/>
          <w:sz w:val="24"/>
          <w:szCs w:val="24"/>
        </w:rPr>
      </w:pPr>
      <w:r>
        <w:rPr>
          <w:rFonts w:hint="eastAsia" w:ascii="宋体" w:hAnsi="宋体" w:cs="宋体"/>
          <w:sz w:val="24"/>
          <w:szCs w:val="24"/>
        </w:rPr>
        <w:t>式要求），并保证所提供的全部资料的真实性，否则其响应文件将作为无效文件处理。</w:t>
      </w:r>
    </w:p>
    <w:p>
      <w:pPr>
        <w:spacing w:line="500" w:lineRule="exact"/>
        <w:ind w:left="420"/>
        <w:rPr>
          <w:rFonts w:hint="eastAsia" w:ascii="宋体" w:hAnsi="宋体" w:cs="宋体"/>
          <w:sz w:val="24"/>
          <w:szCs w:val="24"/>
        </w:rPr>
      </w:pPr>
      <w:r>
        <w:rPr>
          <w:rFonts w:hint="eastAsia" w:ascii="宋体" w:hAnsi="宋体" w:cs="宋体"/>
          <w:sz w:val="24"/>
          <w:szCs w:val="24"/>
        </w:rPr>
        <w:t>9.3供应商没有按照磋商文件要求提供全部资料，或者供应商没有对磋商文件在各方面都作出实质</w:t>
      </w:r>
    </w:p>
    <w:p>
      <w:pPr>
        <w:spacing w:line="500" w:lineRule="exact"/>
        <w:rPr>
          <w:rFonts w:hint="eastAsia" w:ascii="宋体" w:hAnsi="宋体" w:cs="宋体"/>
          <w:sz w:val="24"/>
          <w:szCs w:val="24"/>
        </w:rPr>
      </w:pPr>
      <w:r>
        <w:rPr>
          <w:rFonts w:hint="eastAsia" w:ascii="宋体" w:hAnsi="宋体" w:cs="宋体"/>
          <w:sz w:val="24"/>
          <w:szCs w:val="24"/>
        </w:rPr>
        <w:t>性响应的是供应商的风险，并可能导致其响应文件被拒绝。</w:t>
      </w:r>
    </w:p>
    <w:p>
      <w:pPr>
        <w:spacing w:line="500" w:lineRule="exact"/>
        <w:ind w:left="420"/>
        <w:rPr>
          <w:rFonts w:hint="eastAsia" w:ascii="宋体" w:hAnsi="宋体" w:cs="宋体"/>
          <w:sz w:val="24"/>
          <w:szCs w:val="24"/>
        </w:rPr>
      </w:pPr>
      <w:r>
        <w:rPr>
          <w:rFonts w:hint="eastAsia" w:ascii="宋体" w:hAnsi="宋体" w:cs="宋体"/>
          <w:sz w:val="24"/>
          <w:szCs w:val="24"/>
        </w:rPr>
        <w:t>9.4供应商与采购人、采购代理机构的任何口头协议均不影响磋商文件、响应文件的任何条款和内</w:t>
      </w:r>
    </w:p>
    <w:p>
      <w:pPr>
        <w:spacing w:line="500" w:lineRule="exact"/>
        <w:rPr>
          <w:rFonts w:hint="eastAsia"/>
          <w:sz w:val="24"/>
          <w:szCs w:val="24"/>
        </w:rPr>
      </w:pPr>
      <w:r>
        <w:rPr>
          <w:rFonts w:hint="eastAsia" w:ascii="宋体" w:hAnsi="宋体" w:cs="宋体"/>
          <w:sz w:val="24"/>
          <w:szCs w:val="24"/>
        </w:rPr>
        <w:t>容。</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响应文件的语言及度量衡单位</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除相关技术规范另有规定外，响应文件使用的度量衡单位，均采用中华人民共和国法定计量单位；</w:t>
      </w:r>
    </w:p>
    <w:p>
      <w:pPr>
        <w:numPr>
          <w:ilvl w:val="1"/>
          <w:numId w:val="8"/>
        </w:numPr>
        <w:spacing w:line="440" w:lineRule="exact"/>
        <w:ind w:left="0" w:firstLine="284"/>
        <w:rPr>
          <w:rFonts w:hint="eastAsia" w:ascii="宋体" w:hAnsi="宋体" w:cs="宋体"/>
          <w:sz w:val="24"/>
          <w:szCs w:val="24"/>
        </w:rPr>
      </w:pPr>
      <w:r>
        <w:rPr>
          <w:rFonts w:hint="eastAsia" w:ascii="宋体" w:hAnsi="宋体" w:cs="宋体"/>
          <w:sz w:val="24"/>
          <w:szCs w:val="24"/>
        </w:rPr>
        <w:t>本竞争性磋商文件所表述的时间均为北京时间。</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响应文件的组成</w:t>
      </w:r>
    </w:p>
    <w:p>
      <w:pPr>
        <w:spacing w:line="440" w:lineRule="exact"/>
        <w:ind w:firstLine="360" w:firstLineChars="150"/>
        <w:rPr>
          <w:rFonts w:hint="eastAsia" w:ascii="宋体" w:hAnsi="宋体" w:cs="宋体"/>
          <w:sz w:val="24"/>
          <w:szCs w:val="24"/>
        </w:rPr>
      </w:pPr>
      <w:r>
        <w:rPr>
          <w:rFonts w:hint="eastAsia" w:ascii="宋体" w:hAnsi="宋体" w:cs="宋体"/>
          <w:sz w:val="24"/>
          <w:szCs w:val="24"/>
        </w:rPr>
        <w:t>供应商提交的响应文件应当使用磋商文件所提供的响应文件格式，未提供格式的供应商自拟。</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报价</w:t>
      </w:r>
    </w:p>
    <w:p>
      <w:pPr>
        <w:tabs>
          <w:tab w:val="left" w:pos="839"/>
        </w:tabs>
        <w:spacing w:line="440" w:lineRule="exact"/>
        <w:ind w:firstLine="480" w:firstLineChars="200"/>
        <w:jc w:val="left"/>
        <w:rPr>
          <w:rFonts w:hint="eastAsia" w:ascii="宋体" w:hAnsi="宋体" w:cs="宋体"/>
          <w:sz w:val="24"/>
          <w:szCs w:val="24"/>
        </w:rPr>
      </w:pPr>
      <w:r>
        <w:rPr>
          <w:rFonts w:hint="eastAsia" w:ascii="宋体" w:hAnsi="宋体" w:cs="宋体"/>
          <w:sz w:val="24"/>
          <w:szCs w:val="24"/>
        </w:rPr>
        <w:t>12.</w:t>
      </w:r>
      <w:r>
        <w:rPr>
          <w:rFonts w:hint="eastAsia" w:ascii="宋体" w:hAnsi="宋体" w:cs="宋体"/>
          <w:sz w:val="24"/>
          <w:szCs w:val="24"/>
          <w:lang w:val="en-US" w:eastAsia="zh-CN"/>
        </w:rPr>
        <w:t>1</w:t>
      </w:r>
      <w:r>
        <w:rPr>
          <w:rFonts w:hint="eastAsia" w:ascii="宋体" w:hAnsi="宋体" w:cs="宋体"/>
          <w:sz w:val="24"/>
          <w:szCs w:val="24"/>
        </w:rPr>
        <w:t>供应商的报价均包括完成该项目的成本、利润、税金、风险等所有伴随的其他费用。</w:t>
      </w:r>
    </w:p>
    <w:p>
      <w:pPr>
        <w:pStyle w:val="56"/>
        <w:tabs>
          <w:tab w:val="left" w:pos="839"/>
        </w:tabs>
        <w:spacing w:line="440" w:lineRule="exact"/>
        <w:ind w:firstLine="480" w:firstLineChars="200"/>
        <w:rPr>
          <w:rFonts w:hint="eastAsia" w:ascii="宋体" w:hAnsi="宋体" w:cs="宋体"/>
          <w:sz w:val="24"/>
          <w:szCs w:val="24"/>
        </w:rPr>
      </w:pPr>
      <w:r>
        <w:rPr>
          <w:rFonts w:hint="eastAsia" w:ascii="宋体" w:hAnsi="宋体" w:cs="宋体"/>
          <w:sz w:val="24"/>
          <w:szCs w:val="24"/>
        </w:rPr>
        <w:t>12.</w:t>
      </w:r>
      <w:r>
        <w:rPr>
          <w:rFonts w:hint="eastAsia" w:ascii="宋体" w:hAnsi="宋体" w:cs="宋体"/>
          <w:sz w:val="24"/>
          <w:szCs w:val="24"/>
          <w:lang w:val="en-US" w:eastAsia="zh-CN"/>
        </w:rPr>
        <w:t>2</w:t>
      </w:r>
      <w:r>
        <w:rPr>
          <w:rFonts w:hint="eastAsia" w:ascii="宋体" w:hAnsi="宋体" w:cs="宋体"/>
          <w:sz w:val="24"/>
          <w:szCs w:val="24"/>
        </w:rPr>
        <w:t>响应性文件中的报价并非最后报价，在磋商结束后由供应商在规定时间内提交最后报价，磋商小组根据供应商的综合得分确定成交供应商，成交供应商其最后的报价为成交价。</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磋商货币</w:t>
      </w:r>
    </w:p>
    <w:p>
      <w:pPr>
        <w:spacing w:line="440" w:lineRule="exact"/>
        <w:ind w:firstLine="720" w:firstLineChars="300"/>
        <w:rPr>
          <w:rFonts w:hint="eastAsia" w:ascii="宋体" w:hAnsi="宋体" w:cs="宋体"/>
          <w:sz w:val="24"/>
          <w:szCs w:val="24"/>
        </w:rPr>
      </w:pPr>
      <w:r>
        <w:rPr>
          <w:rFonts w:hint="eastAsia" w:ascii="宋体" w:hAnsi="宋体" w:cs="宋体"/>
          <w:sz w:val="24"/>
          <w:szCs w:val="24"/>
        </w:rPr>
        <w:t>供应商以人民币填报所有单价或价格，合同实施时亦以人民币支付。</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磋商有效期</w:t>
      </w:r>
    </w:p>
    <w:p>
      <w:pPr>
        <w:spacing w:line="440" w:lineRule="exact"/>
        <w:ind w:left="4" w:firstLine="278" w:firstLineChars="116"/>
        <w:rPr>
          <w:rFonts w:hint="eastAsia" w:ascii="宋体" w:hAnsi="宋体" w:cs="宋体"/>
          <w:sz w:val="24"/>
          <w:szCs w:val="24"/>
        </w:rPr>
      </w:pPr>
      <w:r>
        <w:rPr>
          <w:rFonts w:hint="eastAsia" w:ascii="宋体" w:hAnsi="宋体" w:cs="宋体"/>
          <w:sz w:val="24"/>
          <w:szCs w:val="24"/>
        </w:rPr>
        <w:t xml:space="preserve">  磋商有效期见本须知前附表所规定的期限，在此期限内，凡符合本磋商文件要求的响应文件均保持有效；</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磋商保证金:见供应商须知前附表。</w:t>
      </w:r>
    </w:p>
    <w:p>
      <w:pPr>
        <w:numPr>
          <w:ilvl w:val="0"/>
          <w:numId w:val="8"/>
        </w:numPr>
        <w:spacing w:line="440" w:lineRule="exact"/>
        <w:rPr>
          <w:rFonts w:hint="eastAsia" w:ascii="宋体" w:hAnsi="宋体" w:cs="宋体"/>
          <w:b/>
          <w:sz w:val="24"/>
          <w:szCs w:val="24"/>
        </w:rPr>
      </w:pPr>
      <w:r>
        <w:rPr>
          <w:rFonts w:hint="eastAsia" w:ascii="宋体" w:hAnsi="宋体" w:cs="宋体"/>
          <w:b/>
          <w:bCs/>
          <w:sz w:val="24"/>
          <w:szCs w:val="24"/>
        </w:rPr>
        <w:t>响应文件的编制、签署、盖章</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16.1加密电子响应文件的编制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16.1.1 加密电子响应文件应按照统一的“电子投标文件制作工具”以及竞争性磋商文件要求进行制作编制；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16.1.2 加密电子响应文件各类证件须与供应商注册登记资料相一致；</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16.1.3 </w:t>
      </w:r>
      <w:r>
        <w:rPr>
          <w:rFonts w:hint="eastAsia" w:hAnsi="宋体"/>
          <w:sz w:val="24"/>
          <w:szCs w:val="24"/>
        </w:rPr>
        <w:t>加密电子响应文件未按本竞争性磋商文件中响应文件格式要求加盖电子签章的视为无效文件。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16.2 供应商应完整地填写竞争性磋商文件中规定的所有内容。</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16.3 供应商必须保证响应文件所提供的全部资料真实可靠。</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16.4 如果因为供应商响应文件填报的内容不详，或没有提供磋商文件中所要求的全部资料及数据，由此造成的后果，其责任由供应商自行承担。</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 xml:space="preserve">16.5 </w:t>
      </w:r>
      <w:r>
        <w:rPr>
          <w:rFonts w:hint="eastAsia"/>
          <w:sz w:val="24"/>
          <w:szCs w:val="24"/>
        </w:rPr>
        <w:t>本竞争性磋商文件所表述（指定）的公章是指法人（供应商）行政公章，不包括专用章，并应与电子签章保持一致。</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16.6 电报、电话、传真等形式的响应概不接受。</w:t>
      </w:r>
    </w:p>
    <w:p>
      <w:pPr>
        <w:pStyle w:val="6"/>
        <w:spacing w:line="440" w:lineRule="exact"/>
        <w:jc w:val="center"/>
        <w:rPr>
          <w:rFonts w:hint="eastAsia" w:ascii="宋体" w:hAnsi="宋体" w:eastAsia="宋体" w:cs="宋体"/>
          <w:sz w:val="32"/>
          <w:szCs w:val="32"/>
        </w:rPr>
      </w:pPr>
      <w:bookmarkStart w:id="42" w:name="_Toc487805906"/>
      <w:bookmarkStart w:id="43" w:name="_Toc27919"/>
      <w:bookmarkStart w:id="44" w:name="_Toc461962054"/>
      <w:bookmarkStart w:id="45" w:name="_Toc490161263"/>
      <w:bookmarkStart w:id="46" w:name="_Toc10798"/>
      <w:bookmarkStart w:id="47" w:name="_Toc477423246"/>
      <w:bookmarkStart w:id="48" w:name="_Toc374512413"/>
      <w:bookmarkStart w:id="49" w:name="_Toc373230026"/>
      <w:r>
        <w:rPr>
          <w:rFonts w:hint="eastAsia" w:ascii="宋体" w:hAnsi="宋体" w:eastAsia="宋体" w:cs="宋体"/>
          <w:sz w:val="32"/>
          <w:szCs w:val="32"/>
        </w:rPr>
        <w:t>四、响应文件的提交</w:t>
      </w:r>
      <w:bookmarkEnd w:id="42"/>
      <w:bookmarkEnd w:id="43"/>
      <w:bookmarkEnd w:id="44"/>
      <w:bookmarkEnd w:id="45"/>
      <w:bookmarkEnd w:id="46"/>
      <w:bookmarkEnd w:id="47"/>
      <w:bookmarkEnd w:id="48"/>
      <w:bookmarkEnd w:id="49"/>
    </w:p>
    <w:p>
      <w:pPr>
        <w:numPr>
          <w:ilvl w:val="0"/>
          <w:numId w:val="8"/>
        </w:numPr>
        <w:spacing w:line="440" w:lineRule="exact"/>
        <w:rPr>
          <w:rFonts w:hint="eastAsia" w:ascii="宋体" w:hAnsi="宋体" w:cs="宋体"/>
          <w:sz w:val="24"/>
          <w:szCs w:val="24"/>
        </w:rPr>
      </w:pPr>
      <w:r>
        <w:rPr>
          <w:rFonts w:hint="eastAsia" w:ascii="宋体" w:hAnsi="宋体" w:cs="宋体"/>
          <w:b/>
          <w:sz w:val="24"/>
          <w:szCs w:val="24"/>
        </w:rPr>
        <w:t>响应文件的提交：</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 w:val="24"/>
          <w:szCs w:val="24"/>
        </w:rPr>
        <w:t>磋商</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17.2采购人拒绝接收在响应文件递交截止时间后上传的响应文件。</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响应文件提交的截止时间</w:t>
      </w:r>
    </w:p>
    <w:p>
      <w:pPr>
        <w:numPr>
          <w:ilvl w:val="1"/>
          <w:numId w:val="8"/>
        </w:numPr>
        <w:spacing w:line="440" w:lineRule="exact"/>
        <w:rPr>
          <w:rFonts w:hint="eastAsia" w:ascii="宋体" w:hAnsi="宋体" w:cs="宋体"/>
          <w:sz w:val="24"/>
          <w:szCs w:val="24"/>
        </w:rPr>
      </w:pPr>
      <w:r>
        <w:rPr>
          <w:rFonts w:hint="eastAsia" w:ascii="宋体" w:hAnsi="宋体" w:cs="宋体"/>
          <w:sz w:val="24"/>
          <w:szCs w:val="24"/>
        </w:rPr>
        <w:t>响应文件的递交截止时间及地点见竞争性磋商公告规定；</w:t>
      </w:r>
    </w:p>
    <w:p>
      <w:pPr>
        <w:numPr>
          <w:ilvl w:val="1"/>
          <w:numId w:val="8"/>
        </w:numPr>
        <w:spacing w:line="440" w:lineRule="exact"/>
        <w:ind w:left="7" w:firstLine="277"/>
        <w:rPr>
          <w:rFonts w:hint="eastAsia" w:ascii="宋体" w:hAnsi="宋体" w:cs="宋体"/>
          <w:sz w:val="24"/>
          <w:szCs w:val="24"/>
        </w:rPr>
      </w:pPr>
      <w:r>
        <w:rPr>
          <w:rFonts w:hint="eastAsia" w:ascii="宋体" w:hAnsi="宋体" w:cs="宋体"/>
          <w:sz w:val="24"/>
          <w:szCs w:val="24"/>
        </w:rPr>
        <w:t>采购代理机构可按本须知规定以修改补充通知的方式，酌情延长递交响应文件的截止时间。</w:t>
      </w:r>
    </w:p>
    <w:p>
      <w:pPr>
        <w:numPr>
          <w:ilvl w:val="0"/>
          <w:numId w:val="8"/>
        </w:numPr>
        <w:spacing w:line="440" w:lineRule="exact"/>
        <w:rPr>
          <w:rFonts w:hint="eastAsia" w:ascii="宋体" w:hAnsi="宋体" w:cs="宋体"/>
          <w:b/>
          <w:sz w:val="24"/>
          <w:szCs w:val="24"/>
        </w:rPr>
      </w:pPr>
      <w:r>
        <w:rPr>
          <w:rFonts w:hint="eastAsia" w:ascii="宋体" w:hAnsi="宋体" w:cs="宋体"/>
          <w:b/>
          <w:sz w:val="24"/>
          <w:szCs w:val="24"/>
        </w:rPr>
        <w:t>响应文件的修改与撤回</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参加磋商的供应商在递交响应文件后，可以修改或撤回其响应文件，但这种修改和撤回，必须在规定的响应文件递交截止时间前；</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供应商在响应文件递交截止时间前，可以对所提交的响应文件进行修改或者撤回；</w:t>
      </w:r>
    </w:p>
    <w:p>
      <w:pPr>
        <w:numPr>
          <w:ilvl w:val="1"/>
          <w:numId w:val="8"/>
        </w:numPr>
        <w:spacing w:line="440" w:lineRule="exact"/>
        <w:ind w:left="7" w:firstLine="413"/>
        <w:rPr>
          <w:rFonts w:hint="eastAsia" w:ascii="宋体" w:hAnsi="宋体" w:cs="宋体"/>
          <w:sz w:val="24"/>
          <w:szCs w:val="24"/>
        </w:rPr>
      </w:pPr>
      <w:r>
        <w:rPr>
          <w:rFonts w:hint="eastAsia" w:ascii="宋体" w:hAnsi="宋体" w:cs="宋体"/>
          <w:sz w:val="24"/>
          <w:szCs w:val="24"/>
        </w:rPr>
        <w:t>供应商在响应文件递交截止时间后不得修改、撤回响应文件。</w:t>
      </w:r>
    </w:p>
    <w:p>
      <w:pPr>
        <w:pStyle w:val="6"/>
        <w:spacing w:line="440" w:lineRule="exact"/>
        <w:jc w:val="center"/>
        <w:rPr>
          <w:rFonts w:hint="eastAsia" w:ascii="宋体" w:hAnsi="宋体" w:eastAsia="宋体" w:cs="宋体"/>
          <w:sz w:val="32"/>
          <w:szCs w:val="32"/>
        </w:rPr>
      </w:pPr>
      <w:bookmarkStart w:id="50" w:name="_Toc374512414"/>
      <w:bookmarkStart w:id="51" w:name="_Toc373230027"/>
      <w:bookmarkStart w:id="52" w:name="_Toc217235123"/>
      <w:bookmarkStart w:id="53" w:name="_Toc461962055"/>
      <w:bookmarkStart w:id="54" w:name="_Toc487805907"/>
      <w:bookmarkStart w:id="55" w:name="_Toc490161264"/>
      <w:bookmarkStart w:id="56" w:name="_Toc6236"/>
      <w:bookmarkStart w:id="57" w:name="_Toc477423247"/>
      <w:bookmarkStart w:id="58" w:name="_Toc9653"/>
      <w:r>
        <w:rPr>
          <w:rFonts w:hint="eastAsia" w:ascii="宋体" w:hAnsi="宋体" w:eastAsia="宋体" w:cs="宋体"/>
          <w:sz w:val="32"/>
          <w:szCs w:val="32"/>
        </w:rPr>
        <w:t>五、磋商</w:t>
      </w:r>
      <w:bookmarkEnd w:id="50"/>
      <w:bookmarkEnd w:id="51"/>
      <w:bookmarkEnd w:id="52"/>
      <w:bookmarkEnd w:id="53"/>
      <w:r>
        <w:rPr>
          <w:rFonts w:hint="eastAsia" w:ascii="宋体" w:hAnsi="宋体" w:eastAsia="宋体" w:cs="宋体"/>
          <w:sz w:val="32"/>
          <w:szCs w:val="32"/>
        </w:rPr>
        <w:t>和评审</w:t>
      </w:r>
      <w:bookmarkEnd w:id="54"/>
      <w:bookmarkEnd w:id="55"/>
      <w:bookmarkEnd w:id="56"/>
      <w:bookmarkEnd w:id="57"/>
      <w:bookmarkEnd w:id="58"/>
    </w:p>
    <w:p>
      <w:pPr>
        <w:numPr>
          <w:ilvl w:val="0"/>
          <w:numId w:val="8"/>
        </w:numPr>
        <w:spacing w:line="360" w:lineRule="auto"/>
        <w:rPr>
          <w:rFonts w:hint="eastAsia" w:ascii="宋体" w:hAnsi="宋体" w:cs="宋体"/>
          <w:b/>
          <w:sz w:val="24"/>
          <w:szCs w:val="24"/>
        </w:rPr>
      </w:pPr>
      <w:r>
        <w:rPr>
          <w:rFonts w:hint="eastAsia" w:ascii="宋体" w:hAnsi="宋体" w:cs="宋体"/>
          <w:b/>
          <w:bCs/>
          <w:sz w:val="24"/>
          <w:szCs w:val="24"/>
        </w:rPr>
        <w:t>磋商时出现下列情况的，采购人将拒绝其响应文件</w:t>
      </w:r>
      <w:r>
        <w:rPr>
          <w:rFonts w:hint="eastAsia" w:ascii="宋体" w:hAnsi="宋体" w:cs="宋体"/>
          <w:b/>
          <w:sz w:val="24"/>
          <w:szCs w:val="24"/>
        </w:rPr>
        <w:t>：</w:t>
      </w:r>
    </w:p>
    <w:p>
      <w:pPr>
        <w:numPr>
          <w:ilvl w:val="1"/>
          <w:numId w:val="8"/>
        </w:numPr>
        <w:spacing w:line="360" w:lineRule="auto"/>
        <w:rPr>
          <w:rFonts w:hint="eastAsia" w:ascii="宋体" w:hAnsi="宋体" w:cs="宋体"/>
          <w:b/>
          <w:sz w:val="24"/>
          <w:szCs w:val="24"/>
        </w:rPr>
      </w:pPr>
      <w:r>
        <w:rPr>
          <w:rFonts w:hint="eastAsia" w:ascii="宋体" w:hAnsi="宋体" w:cs="宋体"/>
          <w:sz w:val="24"/>
          <w:szCs w:val="24"/>
        </w:rPr>
        <w:t>供应商逾期上传电子响应文件的；</w:t>
      </w:r>
    </w:p>
    <w:p>
      <w:pPr>
        <w:numPr>
          <w:ilvl w:val="1"/>
          <w:numId w:val="8"/>
        </w:numPr>
        <w:spacing w:line="360" w:lineRule="auto"/>
        <w:rPr>
          <w:rFonts w:hint="eastAsia" w:ascii="宋体" w:hAnsi="宋体" w:cs="宋体"/>
          <w:b/>
          <w:sz w:val="24"/>
          <w:szCs w:val="24"/>
        </w:rPr>
      </w:pPr>
      <w:r>
        <w:rPr>
          <w:rFonts w:hint="eastAsia" w:ascii="宋体" w:hAnsi="宋体" w:cs="宋体"/>
          <w:sz w:val="24"/>
          <w:szCs w:val="24"/>
        </w:rPr>
        <w:t>供应商未按规定的时间内解密响应文件的；</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磋商小组</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磋商小组由采购人代表和评审专家共3人及以上单数组成，其中评审专家人数不得少于磋商小组成员总数的2/3。</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磋商小组负责评审工作，对响应文件进行审查和评估，并向采购人提交书面评审报告。</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磋商小组所有成员应当集中与单一供应商分别进行磋商，并给予所有参加磋商的供应商平等的磋商机会。</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响应文件的初步评审</w:t>
      </w:r>
    </w:p>
    <w:p>
      <w:pPr>
        <w:spacing w:line="360" w:lineRule="auto"/>
        <w:rPr>
          <w:rFonts w:hint="eastAsia" w:ascii="宋体" w:hAnsi="宋体" w:cs="宋体"/>
          <w:sz w:val="24"/>
          <w:szCs w:val="24"/>
        </w:rPr>
      </w:pPr>
      <w:r>
        <w:rPr>
          <w:rFonts w:hint="eastAsia" w:ascii="宋体" w:hAnsi="宋体" w:cs="宋体"/>
          <w:sz w:val="24"/>
          <w:szCs w:val="24"/>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响应文件有下列情形之一的，其磋商视为没有通过资格性审查：</w:t>
      </w:r>
    </w:p>
    <w:p>
      <w:pPr>
        <w:spacing w:line="360" w:lineRule="auto"/>
        <w:ind w:firstLine="420" w:firstLineChars="175"/>
        <w:rPr>
          <w:rFonts w:hint="eastAsia" w:ascii="宋体" w:hAnsi="宋体" w:cs="宋体"/>
          <w:sz w:val="24"/>
          <w:szCs w:val="24"/>
        </w:rPr>
      </w:pPr>
      <w:r>
        <w:rPr>
          <w:rFonts w:hint="eastAsia" w:ascii="宋体" w:hAnsi="宋体" w:cs="宋体"/>
          <w:sz w:val="24"/>
          <w:szCs w:val="24"/>
        </w:rPr>
        <w:t>第六章响应文件格式中</w:t>
      </w:r>
      <w:r>
        <w:rPr>
          <w:rFonts w:hint="eastAsia" w:ascii="宋体" w:hAnsi="宋体" w:cs="宋体"/>
          <w:b/>
          <w:sz w:val="24"/>
          <w:szCs w:val="24"/>
        </w:rPr>
        <w:t>“资格证明材料”</w:t>
      </w:r>
      <w:r>
        <w:rPr>
          <w:rFonts w:hint="eastAsia" w:ascii="宋体" w:hAnsi="宋体" w:cs="宋体"/>
          <w:sz w:val="24"/>
          <w:szCs w:val="24"/>
        </w:rPr>
        <w:t>要求的资格证明文件不全或不符合要求的；</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响应文件有下列情形之一的，视为其没有通过符合性审查：</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第一轮报价超过磋商文件中规定的项目预算金额的；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响应文件未按磋商文件要求签字、盖章的；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响应文件格式不符合磋商文件中响应文件格式要求的；</w:t>
      </w:r>
    </w:p>
    <w:p>
      <w:pPr>
        <w:numPr>
          <w:ilvl w:val="0"/>
          <w:numId w:val="13"/>
        </w:numPr>
        <w:spacing w:line="360" w:lineRule="auto"/>
        <w:rPr>
          <w:rFonts w:hint="default" w:eastAsia="宋体"/>
          <w:sz w:val="24"/>
          <w:szCs w:val="24"/>
          <w:lang w:val="en-US" w:eastAsia="zh-CN"/>
        </w:rPr>
      </w:pPr>
      <w:r>
        <w:rPr>
          <w:rFonts w:hint="eastAsia" w:ascii="宋体" w:hAnsi="宋体" w:cs="宋体"/>
          <w:sz w:val="24"/>
          <w:szCs w:val="24"/>
        </w:rPr>
        <w:t>不响应磋商文件商务要求的；</w:t>
      </w:r>
    </w:p>
    <w:p>
      <w:pPr>
        <w:numPr>
          <w:ilvl w:val="0"/>
          <w:numId w:val="13"/>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不响应磋商文件第五章采购需求中“三、</w:t>
      </w:r>
      <w:r>
        <w:rPr>
          <w:rFonts w:hint="default" w:ascii="宋体" w:hAnsi="宋体" w:eastAsia="宋体" w:cs="宋体"/>
          <w:sz w:val="24"/>
          <w:szCs w:val="24"/>
          <w:lang w:val="en-US" w:eastAsia="zh-CN"/>
        </w:rPr>
        <w:t>服务要求</w:t>
      </w:r>
      <w:r>
        <w:rPr>
          <w:rFonts w:hint="eastAsia" w:ascii="宋体" w:hAnsi="宋体" w:eastAsia="宋体" w:cs="宋体"/>
          <w:sz w:val="24"/>
          <w:szCs w:val="24"/>
          <w:lang w:val="en-US" w:eastAsia="zh-CN"/>
        </w:rPr>
        <w:t>”的；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响应文件含有采购人不能接受的附加条件的；</w:t>
      </w:r>
    </w:p>
    <w:p>
      <w:pPr>
        <w:numPr>
          <w:ilvl w:val="0"/>
          <w:numId w:val="13"/>
        </w:numPr>
        <w:spacing w:line="360" w:lineRule="auto"/>
        <w:rPr>
          <w:rFonts w:hint="eastAsia" w:ascii="宋体" w:hAnsi="宋体" w:cs="宋体"/>
          <w:sz w:val="24"/>
          <w:szCs w:val="24"/>
        </w:rPr>
      </w:pPr>
      <w:r>
        <w:rPr>
          <w:rFonts w:hint="eastAsia" w:ascii="宋体" w:hAnsi="宋体" w:cs="宋体"/>
          <w:sz w:val="24"/>
          <w:szCs w:val="24"/>
        </w:rPr>
        <w:t>法律、法规和磋商文件规定的其他无效情形。</w:t>
      </w:r>
    </w:p>
    <w:p>
      <w:pPr>
        <w:numPr>
          <w:ilvl w:val="0"/>
          <w:numId w:val="8"/>
        </w:numPr>
        <w:spacing w:line="360" w:lineRule="auto"/>
        <w:rPr>
          <w:rFonts w:hint="eastAsia" w:ascii="宋体" w:hAnsi="宋体" w:cs="宋体"/>
          <w:b/>
          <w:sz w:val="24"/>
          <w:szCs w:val="24"/>
        </w:rPr>
      </w:pPr>
      <w:r>
        <w:rPr>
          <w:rFonts w:hint="eastAsia" w:ascii="宋体" w:hAnsi="宋体" w:cs="宋体"/>
          <w:b/>
          <w:bCs/>
          <w:sz w:val="24"/>
          <w:szCs w:val="24"/>
        </w:rPr>
        <w:t>响应文件有下列情形之一的为无效响应文件，采购代理机构不予受理：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23.1逾期上传响应文件的；</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23.2在规定的响应文件递交截止时间之前，提交合格的撤回通知的；</w:t>
      </w:r>
    </w:p>
    <w:p>
      <w:pPr>
        <w:spacing w:line="360" w:lineRule="auto"/>
        <w:ind w:firstLine="480" w:firstLineChars="200"/>
        <w:rPr>
          <w:rFonts w:hint="eastAsia" w:ascii="宋体" w:hAnsi="宋体" w:cs="宋体"/>
          <w:b/>
          <w:sz w:val="24"/>
          <w:szCs w:val="24"/>
        </w:rPr>
      </w:pPr>
      <w:r>
        <w:rPr>
          <w:rFonts w:hint="eastAsia" w:ascii="宋体" w:hAnsi="宋体" w:cs="宋体"/>
          <w:sz w:val="24"/>
          <w:szCs w:val="24"/>
        </w:rPr>
        <w:t>23.3一个供应商不止递交一套同一合同项</w:t>
      </w:r>
      <w:r>
        <w:rPr>
          <w:rFonts w:hint="eastAsia" w:ascii="宋体" w:hAnsi="宋体" w:cs="宋体"/>
          <w:sz w:val="24"/>
          <w:szCs w:val="24"/>
          <w:lang w:eastAsia="zh-CN"/>
        </w:rPr>
        <w:t>目</w:t>
      </w:r>
      <w:r>
        <w:rPr>
          <w:rFonts w:hint="eastAsia" w:ascii="宋体" w:hAnsi="宋体" w:cs="宋体"/>
          <w:sz w:val="24"/>
          <w:szCs w:val="24"/>
        </w:rPr>
        <w:t>下响应文件的。</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响应文件的澄清</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报价出现不一致的，按照下列规定修正：</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大写金额和小写金额不一致的，以大写金额为准；</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单价金额小数点或者百分比有明显错位的，以总价为准；</w:t>
      </w:r>
    </w:p>
    <w:p>
      <w:pPr>
        <w:numPr>
          <w:ilvl w:val="0"/>
          <w:numId w:val="0"/>
        </w:numPr>
        <w:spacing w:line="360" w:lineRule="auto"/>
        <w:ind w:left="402" w:leftChars="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总价金额与按单价汇总金额不一致的，以单价金额计算结果为准。</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同时出现两种以上不一致的，按照前款规定的顺序修正。修正后的报价经供应商确认后产生约束力，供应商不确认的，其响应文件按无效处理。</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供应商的澄清、说明或者更正应当由法定代表人或其授权代表签字或者加盖公章。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供应商的澄清文件是响应文件的组成部分，取代响应文件中被澄清的部分；供应商不予澄清的，其响应文件按无效处理。</w:t>
      </w:r>
    </w:p>
    <w:p>
      <w:pPr>
        <w:numPr>
          <w:ilvl w:val="0"/>
          <w:numId w:val="8"/>
        </w:numPr>
        <w:spacing w:line="360" w:lineRule="auto"/>
        <w:rPr>
          <w:rFonts w:hint="eastAsia" w:ascii="宋体" w:hAnsi="宋体" w:cs="宋体"/>
          <w:b/>
          <w:sz w:val="24"/>
          <w:szCs w:val="24"/>
        </w:rPr>
      </w:pPr>
      <w:bookmarkStart w:id="59" w:name="_Toc374512415"/>
      <w:bookmarkStart w:id="60" w:name="_Toc373230028"/>
      <w:r>
        <w:rPr>
          <w:rFonts w:hint="eastAsia" w:ascii="宋体" w:hAnsi="宋体" w:cs="宋体"/>
          <w:b/>
          <w:sz w:val="24"/>
          <w:szCs w:val="24"/>
        </w:rPr>
        <w:t>评审方法</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对磋商文件作出的实质性变动是磋商文件的有效组成部分，磋商小组应当及时以书面形式同时通知所有参加磋商的供应商。</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供应商应当按照磋商文件的变动情况和磋商小组的要求重新提交响应文件，并由其法定代表人或授权代表签字或者加盖公章。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磋商结束后，磋商小组应当要求所有实质性响应的供应商在规定时间内提交最后报价，提交最后报价的供应商不得少于3家。符合</w:t>
      </w:r>
      <w:bookmarkStart w:id="61" w:name="_Toc32423"/>
      <w:r>
        <w:rPr>
          <w:rFonts w:hint="eastAsia" w:ascii="宋体" w:hAnsi="宋体" w:cs="宋体"/>
          <w:sz w:val="24"/>
          <w:szCs w:val="24"/>
        </w:rPr>
        <w:t>《政府采购竞争性磋商采购方式管理暂行办法</w:t>
      </w:r>
      <w:bookmarkEnd w:id="61"/>
      <w:r>
        <w:rPr>
          <w:rFonts w:hint="eastAsia" w:ascii="宋体" w:hAnsi="宋体" w:cs="宋体"/>
          <w:sz w:val="24"/>
          <w:szCs w:val="24"/>
        </w:rPr>
        <w:t>》第三条第四项情形的，提交最后报价的供应商可以为2家</w:t>
      </w:r>
      <w:bookmarkStart w:id="62" w:name="_Toc5652"/>
      <w:r>
        <w:rPr>
          <w:rFonts w:hint="eastAsia" w:ascii="宋体" w:hAnsi="宋体" w:cs="宋体"/>
          <w:sz w:val="24"/>
          <w:szCs w:val="24"/>
        </w:rPr>
        <w:t>或符合《财政部关于政府采购竞争性磋商采购方式管理暂行办法有关问题的补充通知</w:t>
      </w:r>
      <w:bookmarkEnd w:id="62"/>
      <w:r>
        <w:rPr>
          <w:rFonts w:hint="eastAsia" w:ascii="宋体" w:hAnsi="宋体" w:cs="宋体"/>
          <w:sz w:val="24"/>
          <w:szCs w:val="24"/>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360" w:lineRule="auto"/>
        <w:ind w:left="4" w:firstLine="475" w:firstLineChars="198"/>
        <w:rPr>
          <w:rFonts w:hint="eastAsia" w:ascii="宋体" w:hAnsi="宋体" w:cs="宋体"/>
          <w:sz w:val="24"/>
          <w:szCs w:val="24"/>
        </w:rPr>
      </w:pPr>
      <w:r>
        <w:rPr>
          <w:rFonts w:hint="eastAsia" w:ascii="宋体" w:hAnsi="宋体" w:cs="宋体"/>
          <w:sz w:val="24"/>
          <w:szCs w:val="24"/>
        </w:rPr>
        <w:t>经磋商确定最终采购需求和提交最后报价的供应商后，由磋商小组采用综合评分法对提交最后报价的供应商的响应文件和最后报价进行综合评分。</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比较与评价</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评审标准：见本文件第三章；</w:t>
      </w:r>
    </w:p>
    <w:p>
      <w:pPr>
        <w:numPr>
          <w:ilvl w:val="1"/>
          <w:numId w:val="8"/>
        </w:numPr>
        <w:spacing w:line="360" w:lineRule="auto"/>
        <w:ind w:left="7" w:firstLine="277"/>
        <w:rPr>
          <w:rFonts w:hint="eastAsia" w:ascii="宋体" w:hAnsi="宋体" w:cs="宋体"/>
          <w:sz w:val="24"/>
          <w:szCs w:val="24"/>
        </w:rPr>
      </w:pP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8"/>
        </w:numPr>
        <w:spacing w:line="360" w:lineRule="auto"/>
        <w:ind w:left="7" w:firstLine="277"/>
        <w:rPr>
          <w:rFonts w:hint="eastAsia" w:ascii="宋体" w:hAnsi="宋体" w:cs="宋体"/>
          <w:sz w:val="24"/>
          <w:szCs w:val="24"/>
        </w:rPr>
      </w:pPr>
      <w:r>
        <w:rPr>
          <w:rFonts w:hint="eastAsia" w:ascii="宋体" w:hAnsi="宋体" w:cs="宋体"/>
          <w:b/>
          <w:bCs/>
          <w:sz w:val="24"/>
          <w:szCs w:val="24"/>
        </w:rPr>
        <w:t>采购人从评审报告提出的成交候选供应商中，按照排序由高到低的原则确定成交供应商，也可以书面授权磋商小组直接确定成交供应商。</w:t>
      </w:r>
      <w:r>
        <w:rPr>
          <w:rFonts w:hint="eastAsia" w:ascii="宋体" w:hAnsi="宋体" w:cs="宋体"/>
          <w:sz w:val="24"/>
          <w:szCs w:val="24"/>
        </w:rPr>
        <w:t xml:space="preserve"> </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保密及其他注意事项</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283"/>
        <w:textAlignment w:val="auto"/>
        <w:rPr>
          <w:rFonts w:hint="eastAsia" w:ascii="宋体" w:hAnsi="宋体" w:cs="宋体"/>
          <w:sz w:val="24"/>
          <w:szCs w:val="24"/>
        </w:rPr>
      </w:pPr>
      <w:r>
        <w:rPr>
          <w:rFonts w:hint="eastAsia" w:ascii="宋体" w:hAnsi="宋体" w:cs="宋体"/>
          <w:sz w:val="24"/>
          <w:szCs w:val="24"/>
        </w:rPr>
        <w:t>磋商小组将遵照评审原则，公平、公正地对待所有供应商；</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283"/>
        <w:textAlignment w:val="auto"/>
        <w:rPr>
          <w:rFonts w:hint="eastAsia" w:ascii="宋体" w:hAnsi="宋体" w:cs="宋体"/>
          <w:sz w:val="24"/>
          <w:szCs w:val="24"/>
        </w:rPr>
      </w:pPr>
      <w:r>
        <w:rPr>
          <w:rFonts w:hint="eastAsia" w:ascii="宋体" w:hAnsi="宋体" w:cs="宋体"/>
          <w:sz w:val="24"/>
          <w:szCs w:val="24"/>
        </w:rPr>
        <w:t>在评审期间，供应商不得向磋商小组成员询问评审情况，不得进行旨在影响成交结果的活动.</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出现下列情形之一的，采购人或者采购代理机构应当终止竞争性磋商采购活动，发布项目终止公告并说明原因，重新开展采购活动：</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因情况变化，不再符合规定的竞争性磋商采购方式适用情形的；</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出现影响采购公正的违法、违规行为的；</w:t>
      </w:r>
    </w:p>
    <w:p>
      <w:pPr>
        <w:numPr>
          <w:ilvl w:val="0"/>
          <w:numId w:val="14"/>
        </w:numPr>
        <w:spacing w:line="360" w:lineRule="auto"/>
        <w:rPr>
          <w:rFonts w:hint="eastAsia" w:ascii="宋体" w:hAnsi="宋体" w:cs="宋体"/>
          <w:sz w:val="24"/>
          <w:szCs w:val="24"/>
        </w:rPr>
      </w:pPr>
      <w:r>
        <w:rPr>
          <w:rFonts w:hint="eastAsia" w:ascii="宋体" w:hAnsi="宋体" w:cs="宋体"/>
          <w:sz w:val="24"/>
          <w:szCs w:val="24"/>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32"/>
          <w:szCs w:val="32"/>
        </w:rPr>
      </w:pPr>
      <w:r>
        <w:rPr>
          <w:rFonts w:hint="eastAsia" w:ascii="宋体" w:hAnsi="宋体" w:eastAsia="宋体" w:cs="宋体"/>
          <w:sz w:val="32"/>
          <w:szCs w:val="32"/>
        </w:rPr>
        <w:t xml:space="preserve">  </w:t>
      </w:r>
      <w:bookmarkStart w:id="63" w:name="_Toc490161265"/>
      <w:bookmarkStart w:id="64" w:name="_Toc487805908"/>
      <w:bookmarkStart w:id="65" w:name="_Toc477423248"/>
      <w:bookmarkStart w:id="66" w:name="_Toc5841"/>
      <w:bookmarkStart w:id="67" w:name="_Toc19608"/>
      <w:r>
        <w:rPr>
          <w:rFonts w:hint="eastAsia" w:ascii="宋体" w:hAnsi="宋体" w:eastAsia="宋体" w:cs="宋体"/>
          <w:sz w:val="32"/>
          <w:szCs w:val="32"/>
        </w:rPr>
        <w:t>六、成交和合同</w:t>
      </w:r>
      <w:bookmarkEnd w:id="63"/>
      <w:bookmarkEnd w:id="64"/>
      <w:bookmarkEnd w:id="65"/>
      <w:bookmarkEnd w:id="66"/>
      <w:bookmarkEnd w:id="67"/>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成交通知</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成交供应商确定后，成交结果将在“原公告发布媒体”上进行公告。</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在发布成交公告的同时向成交供应商发出成交通知书；</w:t>
      </w:r>
    </w:p>
    <w:p>
      <w:pPr>
        <w:numPr>
          <w:ilvl w:val="1"/>
          <w:numId w:val="8"/>
        </w:numPr>
        <w:spacing w:line="360" w:lineRule="auto"/>
        <w:rPr>
          <w:rFonts w:hint="eastAsia" w:ascii="宋体" w:hAnsi="宋体" w:cs="宋体"/>
          <w:sz w:val="24"/>
          <w:szCs w:val="24"/>
        </w:rPr>
      </w:pPr>
      <w:r>
        <w:rPr>
          <w:rFonts w:hint="eastAsia" w:ascii="宋体" w:hAnsi="宋体" w:cs="宋体"/>
          <w:sz w:val="24"/>
          <w:szCs w:val="24"/>
        </w:rPr>
        <w:t>成交通知书将作为签订合同的依据。</w:t>
      </w:r>
    </w:p>
    <w:p>
      <w:pPr>
        <w:numPr>
          <w:ilvl w:val="1"/>
          <w:numId w:val="8"/>
        </w:numPr>
        <w:spacing w:line="360" w:lineRule="auto"/>
        <w:ind w:left="283" w:firstLine="0"/>
        <w:rPr>
          <w:rFonts w:hint="eastAsia"/>
          <w:sz w:val="24"/>
          <w:szCs w:val="24"/>
        </w:rPr>
      </w:pPr>
      <w:r>
        <w:rPr>
          <w:rFonts w:hint="eastAsia" w:ascii="宋体" w:hAnsi="宋体" w:cs="宋体"/>
          <w:sz w:val="24"/>
          <w:szCs w:val="24"/>
        </w:rPr>
        <w:t>履约担保（如有）：成交供应商应按磋商文件的规定在签订合同前向采购人交纳履约担保。过期不交的将取消其成交资格，另行确定成交供应商。</w:t>
      </w:r>
    </w:p>
    <w:bookmarkEnd w:id="59"/>
    <w:bookmarkEnd w:id="60"/>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签订合同及合同的执行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30.1采购人与成交供应商应当在成交通知书发出之日起30日内（供应商须知前附表另有规定者从其规定），签订政府采购合同。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30.3成交供应商应在采购合同签订之日起三个工作日内将合同报武陟县公共资源交易中心、武陟县</w:t>
      </w:r>
      <w:r>
        <w:rPr>
          <w:rFonts w:hint="eastAsia" w:ascii="宋体" w:hAnsi="宋体" w:cs="宋体"/>
          <w:sz w:val="24"/>
          <w:szCs w:val="24"/>
          <w:lang w:eastAsia="zh-CN"/>
        </w:rPr>
        <w:t>财政综合服务中心政府采购股</w:t>
      </w:r>
      <w:r>
        <w:rPr>
          <w:rFonts w:hint="eastAsia" w:ascii="宋体" w:hAnsi="宋体" w:cs="宋体"/>
          <w:sz w:val="24"/>
          <w:szCs w:val="24"/>
        </w:rPr>
        <w:t>备案；</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30.4合同双方如违约，将按《中华人民共和国民法典》、《中华人民共和国政府采购法》及有关法律法规中的规定执行。</w:t>
      </w:r>
    </w:p>
    <w:p>
      <w:pPr>
        <w:pStyle w:val="15"/>
        <w:keepNext w:val="0"/>
        <w:keepLines w:val="0"/>
        <w:pageBreakBefore w:val="0"/>
        <w:widowControl w:val="0"/>
        <w:tabs>
          <w:tab w:val="left" w:pos="0"/>
        </w:tabs>
        <w:kinsoku/>
        <w:wordWrap/>
        <w:overflowPunct/>
        <w:topLinePunct w:val="0"/>
        <w:autoSpaceDE/>
        <w:autoSpaceDN/>
        <w:bidi w:val="0"/>
        <w:adjustRightInd/>
        <w:snapToGrid/>
        <w:spacing w:after="0"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30.5根据《政府采购促进中小企业发展管理办法》规定，成交供应商为小微企业的不得将合同分包给大中型企业，成交供应商为中型企业的不得将合同分包给大型企业。</w:t>
      </w:r>
    </w:p>
    <w:p>
      <w:pPr>
        <w:numPr>
          <w:ilvl w:val="0"/>
          <w:numId w:val="8"/>
        </w:numPr>
        <w:spacing w:line="360" w:lineRule="auto"/>
        <w:rPr>
          <w:rFonts w:hint="eastAsia" w:ascii="宋体" w:hAnsi="宋体" w:cs="宋体"/>
          <w:b/>
          <w:sz w:val="24"/>
          <w:szCs w:val="24"/>
        </w:rPr>
      </w:pPr>
      <w:r>
        <w:rPr>
          <w:rFonts w:hint="eastAsia" w:ascii="宋体" w:hAnsi="宋体" w:cs="宋体"/>
          <w:b/>
          <w:sz w:val="24"/>
          <w:szCs w:val="24"/>
        </w:rPr>
        <w:t xml:space="preserve"> 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供应商认为磋商文件、磋商过程、成交结果使自己的权益受到损害的，可以在知道或者应知其权益受到损害之日起7个工作日内，以书面形式向采购人、采购代理机构提出质疑。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供应商应在法定质疑期内一次性提出针对同一采购程序环节的质疑。</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提出质疑的供应商应当是参与所质疑项目采购活动的供应商。</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潜在供应商已依法获取其可质疑的磋商文件的，可以对该文件提出质疑。对磋商文件提出质疑的，应当在获取磋商文件之日起7个工作日内提出。</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供应商提出质疑应当提交质疑函和必要的证明材料。</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质疑文件格式详见《中国政府采购网》下载专区“</w:t>
      </w:r>
      <w:r>
        <w:rPr>
          <w:rFonts w:hint="eastAsia" w:ascii="宋体" w:hAnsi="宋体" w:cs="宋体"/>
          <w:sz w:val="24"/>
          <w:szCs w:val="24"/>
        </w:rPr>
        <w:fldChar w:fldCharType="begin"/>
      </w:r>
      <w:r>
        <w:rPr>
          <w:rFonts w:hint="eastAsia" w:ascii="宋体" w:hAnsi="宋体" w:cs="宋体"/>
          <w:sz w:val="24"/>
          <w:szCs w:val="24"/>
        </w:rPr>
        <w:instrText xml:space="preserve">HYPERLINK "http://download.ccgp.gov.cn/2018/zhiyihanfanben.zip"</w:instrText>
      </w:r>
      <w:r>
        <w:rPr>
          <w:rFonts w:hint="eastAsia" w:ascii="宋体" w:hAnsi="宋体" w:cs="宋体"/>
          <w:sz w:val="24"/>
          <w:szCs w:val="24"/>
        </w:rPr>
        <w:fldChar w:fldCharType="separate"/>
      </w:r>
      <w:r>
        <w:rPr>
          <w:rFonts w:hint="eastAsia" w:ascii="宋体" w:hAnsi="宋体" w:cs="宋体"/>
          <w:sz w:val="24"/>
          <w:szCs w:val="24"/>
        </w:rPr>
        <w:t>政府采购供应商质疑函范本</w:t>
      </w:r>
      <w:r>
        <w:rPr>
          <w:rFonts w:hint="eastAsia" w:ascii="宋体" w:hAnsi="宋体" w:cs="宋体"/>
          <w:sz w:val="24"/>
          <w:szCs w:val="24"/>
        </w:rPr>
        <w:fldChar w:fldCharType="end"/>
      </w:r>
      <w:r>
        <w:rPr>
          <w:rFonts w:hint="eastAsia" w:ascii="宋体" w:hAnsi="宋体" w:cs="宋体"/>
          <w:sz w:val="24"/>
          <w:szCs w:val="24"/>
        </w:rPr>
        <w:t>”，并按照“谁主张、谁举证”的原则，附上相关证明材料。否则，采购人或采购代理机构不予受理, 质疑文件及相关证明材料一式二份，采购人、采购代理机构各执一份。</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质疑供应商对采购人或采购代理机构的答复不满意以及采购人或采购代理机构未在规定的时间内做出答复的，可以在答复期满后15个工作日内向同级财政部门投诉。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numPr>
          <w:ilvl w:val="1"/>
          <w:numId w:val="8"/>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cs="宋体"/>
          <w:sz w:val="24"/>
          <w:szCs w:val="24"/>
        </w:rPr>
      </w:pPr>
      <w:r>
        <w:rPr>
          <w:rFonts w:hint="eastAsia" w:ascii="宋体" w:hAnsi="宋体" w:cs="宋体"/>
          <w:sz w:val="24"/>
          <w:szCs w:val="24"/>
        </w:rPr>
        <w:t xml:space="preserve">质疑联系事项： </w:t>
      </w:r>
    </w:p>
    <w:p>
      <w:pPr>
        <w:spacing w:line="360" w:lineRule="auto"/>
        <w:ind w:left="284"/>
        <w:rPr>
          <w:rFonts w:hint="eastAsia" w:ascii="宋体" w:hAnsi="宋体" w:cs="宋体"/>
          <w:sz w:val="24"/>
          <w:szCs w:val="24"/>
        </w:rPr>
      </w:pPr>
      <w:r>
        <w:rPr>
          <w:rFonts w:hint="eastAsia" w:ascii="宋体" w:hAnsi="宋体" w:cs="宋体"/>
          <w:sz w:val="24"/>
          <w:szCs w:val="24"/>
        </w:rPr>
        <w:t>（1）供应商应以书面方式将质疑函分别送至采购人、采购代理机构；</w:t>
      </w:r>
    </w:p>
    <w:p>
      <w:pPr>
        <w:spacing w:line="360" w:lineRule="auto"/>
        <w:ind w:left="284"/>
        <w:rPr>
          <w:rFonts w:hint="eastAsia" w:ascii="宋体" w:hAnsi="宋体" w:eastAsia="宋体" w:cs="宋体"/>
          <w:sz w:val="24"/>
          <w:szCs w:val="24"/>
          <w:lang w:eastAsia="zh-CN"/>
        </w:rPr>
      </w:pPr>
      <w:r>
        <w:rPr>
          <w:rFonts w:hint="eastAsia" w:ascii="宋体" w:hAnsi="宋体" w:cs="宋体"/>
          <w:sz w:val="24"/>
          <w:szCs w:val="24"/>
        </w:rPr>
        <w:t>（2）采购人名称：</w:t>
      </w:r>
      <w:r>
        <w:rPr>
          <w:rFonts w:hint="eastAsia" w:ascii="宋体" w:hAnsi="宋体" w:cs="宋体"/>
          <w:sz w:val="24"/>
          <w:szCs w:val="24"/>
          <w:lang w:eastAsia="zh-CN"/>
        </w:rPr>
        <w:t>武陟县市场监督管理局</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lang w:eastAsia="zh-CN"/>
        </w:rPr>
        <w:t>地址：</w:t>
      </w:r>
      <w:r>
        <w:rPr>
          <w:rFonts w:hint="eastAsia" w:ascii="宋体" w:hAnsi="宋体" w:cs="宋体"/>
          <w:sz w:val="24"/>
          <w:szCs w:val="24"/>
        </w:rPr>
        <w:t>武陟县兴华路269号</w:t>
      </w:r>
    </w:p>
    <w:p>
      <w:pPr>
        <w:spacing w:line="360" w:lineRule="auto"/>
        <w:ind w:left="283" w:leftChars="135" w:firstLine="240" w:firstLineChars="100"/>
        <w:rPr>
          <w:rFonts w:hint="default" w:ascii="宋体" w:hAnsi="宋体" w:eastAsia="宋体" w:cs="宋体"/>
          <w:color w:val="000000"/>
          <w:sz w:val="24"/>
          <w:szCs w:val="24"/>
          <w:lang w:val="en-US" w:eastAsia="zh-CN"/>
        </w:rPr>
      </w:pPr>
      <w:r>
        <w:rPr>
          <w:rFonts w:hint="eastAsia" w:ascii="宋体" w:hAnsi="宋体" w:cs="宋体"/>
          <w:color w:val="000000"/>
          <w:sz w:val="24"/>
          <w:szCs w:val="24"/>
        </w:rPr>
        <w:t>联系人 ：</w:t>
      </w:r>
      <w:r>
        <w:rPr>
          <w:rFonts w:hint="eastAsia" w:ascii="宋体" w:hAnsi="宋体" w:cs="宋体"/>
          <w:color w:val="000000"/>
          <w:sz w:val="24"/>
          <w:szCs w:val="24"/>
          <w:lang w:val="en-US" w:eastAsia="zh-CN"/>
        </w:rPr>
        <w:t xml:space="preserve"> 常红娟 </w:t>
      </w:r>
      <w:r>
        <w:rPr>
          <w:rFonts w:hint="eastAsia" w:ascii="宋体" w:hAnsi="宋体" w:cs="宋体"/>
          <w:color w:val="000000"/>
          <w:sz w:val="24"/>
          <w:szCs w:val="24"/>
        </w:rPr>
        <w:t>联系电话：</w:t>
      </w:r>
      <w:r>
        <w:rPr>
          <w:rFonts w:hint="eastAsia" w:ascii="宋体" w:hAnsi="宋体" w:cs="宋体"/>
          <w:color w:val="000000"/>
          <w:sz w:val="24"/>
          <w:szCs w:val="24"/>
          <w:lang w:eastAsia="zh-CN"/>
        </w:rPr>
        <w:t>15839119151</w:t>
      </w:r>
    </w:p>
    <w:p>
      <w:pPr>
        <w:spacing w:line="360" w:lineRule="auto"/>
        <w:ind w:left="284"/>
        <w:rPr>
          <w:rFonts w:hint="eastAsia" w:ascii="宋体" w:hAnsi="宋体" w:eastAsia="宋体" w:cs="宋体"/>
          <w:color w:val="000000"/>
          <w:sz w:val="24"/>
          <w:szCs w:val="24"/>
          <w:lang w:eastAsia="zh-CN"/>
        </w:rPr>
      </w:pPr>
      <w:r>
        <w:rPr>
          <w:rFonts w:hint="eastAsia" w:ascii="宋体" w:hAnsi="宋体" w:cs="宋体"/>
          <w:color w:val="000000"/>
          <w:sz w:val="24"/>
          <w:szCs w:val="24"/>
        </w:rPr>
        <w:t>（3）采购代理机构名称：</w:t>
      </w:r>
      <w:r>
        <w:rPr>
          <w:rFonts w:hint="eastAsia" w:ascii="宋体" w:hAnsi="宋体" w:cs="宋体"/>
          <w:color w:val="000000"/>
          <w:sz w:val="24"/>
          <w:szCs w:val="24"/>
          <w:lang w:eastAsia="zh-CN"/>
        </w:rPr>
        <w:t>达信建设发展有限公司</w:t>
      </w:r>
    </w:p>
    <w:p>
      <w:pPr>
        <w:spacing w:line="360" w:lineRule="auto"/>
        <w:ind w:left="284" w:firstLine="240" w:firstLineChars="100"/>
        <w:rPr>
          <w:rFonts w:hint="eastAsia" w:ascii="宋体" w:hAnsi="宋体" w:cs="宋体"/>
          <w:color w:val="000000"/>
          <w:sz w:val="24"/>
          <w:szCs w:val="24"/>
          <w:lang w:val="en-US" w:eastAsia="zh-CN"/>
        </w:rPr>
      </w:pPr>
      <w:r>
        <w:rPr>
          <w:rFonts w:hint="eastAsia" w:ascii="宋体" w:hAnsi="宋体" w:cs="宋体"/>
          <w:color w:val="000000"/>
          <w:sz w:val="24"/>
          <w:szCs w:val="24"/>
        </w:rPr>
        <w:t>地点：</w:t>
      </w:r>
      <w:r>
        <w:rPr>
          <w:rFonts w:hint="eastAsia" w:ascii="宋体" w:hAnsi="宋体" w:cs="宋体"/>
          <w:color w:val="000000"/>
          <w:sz w:val="24"/>
          <w:szCs w:val="24"/>
          <w:lang w:eastAsia="zh-CN"/>
        </w:rPr>
        <w:t>河南省新乡市新二街</w:t>
      </w:r>
      <w:r>
        <w:rPr>
          <w:rFonts w:hint="eastAsia" w:ascii="宋体" w:hAnsi="宋体" w:cs="宋体"/>
          <w:color w:val="000000"/>
          <w:sz w:val="24"/>
          <w:szCs w:val="24"/>
          <w:lang w:val="en-US" w:eastAsia="zh-CN"/>
        </w:rPr>
        <w:t>356号国贸大厦A座9楼</w:t>
      </w:r>
    </w:p>
    <w:p>
      <w:pPr>
        <w:spacing w:line="360" w:lineRule="auto"/>
        <w:ind w:left="284" w:firstLine="240" w:firstLineChars="100"/>
        <w:rPr>
          <w:rFonts w:ascii="宋体" w:hAnsi="宋体" w:cs="宋体"/>
          <w:color w:val="000000"/>
          <w:sz w:val="24"/>
          <w:szCs w:val="24"/>
        </w:rPr>
      </w:pPr>
      <w:r>
        <w:rPr>
          <w:rFonts w:hint="eastAsia" w:ascii="宋体" w:hAnsi="宋体" w:cs="宋体"/>
          <w:color w:val="000000"/>
          <w:sz w:val="24"/>
          <w:szCs w:val="24"/>
        </w:rPr>
        <w:t>联系人：</w:t>
      </w:r>
      <w:r>
        <w:rPr>
          <w:rFonts w:hint="eastAsia" w:ascii="宋体" w:hAnsi="宋体" w:cs="宋体"/>
          <w:color w:val="000000"/>
          <w:sz w:val="24"/>
          <w:szCs w:val="24"/>
          <w:lang w:eastAsia="zh-CN"/>
        </w:rPr>
        <w:t>王一帆</w:t>
      </w:r>
      <w:r>
        <w:rPr>
          <w:rFonts w:hint="eastAsia" w:ascii="宋体" w:hAnsi="宋体" w:cs="宋体"/>
          <w:color w:val="000000"/>
          <w:sz w:val="24"/>
          <w:szCs w:val="24"/>
        </w:rPr>
        <w:t xml:space="preserve">   联系电话：0391-7289803</w:t>
      </w: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p>
    <w:p>
      <w:pPr>
        <w:numPr>
          <w:ilvl w:val="0"/>
          <w:numId w:val="0"/>
        </w:numPr>
        <w:spacing w:line="360" w:lineRule="auto"/>
        <w:ind w:leftChars="0"/>
        <w:jc w:val="center"/>
        <w:rPr>
          <w:rFonts w:hint="eastAsia" w:ascii="宋体" w:hAnsi="宋体" w:cs="宋体"/>
          <w:b/>
          <w:sz w:val="24"/>
          <w:szCs w:val="24"/>
        </w:rPr>
      </w:pPr>
      <w:r>
        <w:rPr>
          <w:rFonts w:hint="eastAsia" w:ascii="宋体" w:hAnsi="宋体" w:cs="宋体"/>
          <w:b/>
          <w:sz w:val="24"/>
          <w:szCs w:val="24"/>
        </w:rPr>
        <w:t>河南省政府采购合同融资政策告知函</w:t>
      </w:r>
    </w:p>
    <w:p>
      <w:pPr>
        <w:spacing w:line="360" w:lineRule="auto"/>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各供应商：</w:t>
      </w:r>
    </w:p>
    <w:p>
      <w:pPr>
        <w:spacing w:line="360" w:lineRule="auto"/>
        <w:rPr>
          <w:rFonts w:hint="eastAsia" w:ascii="宋体" w:hAnsi="宋体" w:cs="宋体"/>
          <w:sz w:val="24"/>
          <w:szCs w:val="24"/>
        </w:rPr>
      </w:pPr>
      <w:r>
        <w:rPr>
          <w:rFonts w:hint="eastAsia" w:ascii="宋体" w:hAnsi="宋体" w:cs="宋体"/>
          <w:sz w:val="24"/>
          <w:szCs w:val="24"/>
        </w:rPr>
        <w:t xml:space="preserve">   欢迎贵公司参与河南省政府采购活动！</w:t>
      </w:r>
    </w:p>
    <w:p>
      <w:pPr>
        <w:spacing w:line="360" w:lineRule="auto"/>
        <w:rPr>
          <w:rFonts w:hint="eastAsia" w:ascii="宋体" w:hAnsi="宋体" w:cs="宋体"/>
          <w:sz w:val="24"/>
          <w:szCs w:val="24"/>
        </w:rPr>
      </w:pPr>
      <w:r>
        <w:rPr>
          <w:rFonts w:hint="eastAsia" w:ascii="宋体" w:hAnsi="宋体" w:cs="宋体"/>
          <w:sz w:val="24"/>
          <w:szCs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360" w:lineRule="auto"/>
        <w:ind w:firstLine="420"/>
        <w:rPr>
          <w:rFonts w:hint="eastAsia" w:ascii="宋体" w:hAnsi="宋体" w:eastAsia="宋体" w:cs="宋体"/>
          <w:sz w:val="24"/>
          <w:szCs w:val="24"/>
          <w:lang w:val="en-US" w:eastAsia="zh-CN"/>
        </w:rPr>
      </w:pPr>
      <w:r>
        <w:rPr>
          <w:rFonts w:hint="eastAsia" w:ascii="宋体" w:hAnsi="宋体" w:cs="宋体"/>
          <w:sz w:val="24"/>
          <w:szCs w:val="24"/>
        </w:rPr>
        <w:t>贷款渠道和提供贷款的金融机构，可在河南省政府采购网“河南省政府采购合同融资平台”查询联系。</w:t>
      </w:r>
    </w:p>
    <w:p>
      <w:pPr>
        <w:pStyle w:val="2"/>
        <w:spacing w:line="360" w:lineRule="auto"/>
        <w:ind w:firstLine="420"/>
        <w:rPr>
          <w:rFonts w:hint="eastAsia"/>
          <w:sz w:val="24"/>
          <w:szCs w:val="24"/>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lang w:val="en-US" w:eastAsia="zh-CN"/>
        </w:rPr>
      </w:pPr>
    </w:p>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jc w:val="both"/>
        <w:textAlignment w:val="auto"/>
        <w:outlineLvl w:val="0"/>
        <w:rPr>
          <w:rFonts w:hint="eastAsia" w:ascii="宋体" w:hAnsi="宋体" w:eastAsia="宋体" w:cs="宋体"/>
        </w:rPr>
      </w:pPr>
      <w:bookmarkStart w:id="68" w:name="_Toc11289"/>
      <w:bookmarkStart w:id="69" w:name="_Toc477423249"/>
      <w:bookmarkStart w:id="70" w:name="_Toc8874"/>
      <w:bookmarkStart w:id="71" w:name="_Toc23369"/>
      <w:bookmarkStart w:id="72" w:name="_Toc374512417"/>
      <w:bookmarkStart w:id="73" w:name="_Toc373230030"/>
      <w:r>
        <w:rPr>
          <w:rFonts w:hint="eastAsia" w:ascii="宋体" w:hAnsi="宋体" w:eastAsia="宋体" w:cs="宋体"/>
        </w:rPr>
        <w:br w:type="page"/>
      </w:r>
      <w:bookmarkEnd w:id="68"/>
      <w:bookmarkEnd w:id="69"/>
      <w:bookmarkEnd w:id="70"/>
      <w:bookmarkEnd w:id="71"/>
      <w:bookmarkEnd w:id="72"/>
      <w:bookmarkEnd w:id="73"/>
      <w:bookmarkStart w:id="74" w:name="_Toc14171"/>
      <w:bookmarkStart w:id="75" w:name="_Toc487805909"/>
      <w:r>
        <w:rPr>
          <w:rFonts w:hint="eastAsia" w:ascii="宋体" w:hAnsi="宋体" w:cs="宋体"/>
          <w:lang w:val="en-US" w:eastAsia="zh-CN"/>
        </w:rPr>
        <w:t xml:space="preserve">                 </w:t>
      </w:r>
      <w:r>
        <w:rPr>
          <w:rFonts w:hint="eastAsia" w:ascii="宋体" w:hAnsi="宋体" w:cs="宋体"/>
          <w:lang w:eastAsia="zh-CN"/>
        </w:rPr>
        <w:t>第三章</w:t>
      </w:r>
      <w:r>
        <w:rPr>
          <w:rFonts w:hint="eastAsia" w:ascii="宋体" w:hAnsi="宋体" w:cs="宋体"/>
          <w:lang w:val="en-US" w:eastAsia="zh-CN"/>
        </w:rPr>
        <w:t xml:space="preserve"> </w:t>
      </w:r>
      <w:r>
        <w:rPr>
          <w:rFonts w:hint="eastAsia" w:ascii="宋体" w:hAnsi="宋体" w:eastAsia="宋体" w:cs="宋体"/>
        </w:rPr>
        <w:t>评审方法和评审标准</w:t>
      </w:r>
    </w:p>
    <w:p>
      <w:pPr>
        <w:numPr>
          <w:ilvl w:val="0"/>
          <w:numId w:val="15"/>
        </w:numPr>
        <w:spacing w:line="588" w:lineRule="exact"/>
        <w:jc w:val="center"/>
        <w:rPr>
          <w:rFonts w:hint="eastAsia" w:ascii="宋体" w:hAnsi="宋体" w:eastAsia="宋体" w:cs="宋体"/>
          <w:spacing w:val="6"/>
          <w:sz w:val="32"/>
          <w:szCs w:val="32"/>
        </w:rPr>
      </w:pPr>
      <w:r>
        <w:rPr>
          <w:rFonts w:hint="eastAsia" w:ascii="宋体" w:hAnsi="宋体" w:eastAsia="宋体" w:cs="宋体"/>
          <w:spacing w:val="6"/>
          <w:sz w:val="32"/>
          <w:szCs w:val="32"/>
        </w:rPr>
        <w:t>评标方法</w:t>
      </w:r>
    </w:p>
    <w:p>
      <w:pPr>
        <w:numPr>
          <w:ilvl w:val="0"/>
          <w:numId w:val="16"/>
        </w:numPr>
        <w:spacing w:line="480" w:lineRule="exact"/>
        <w:rPr>
          <w:rFonts w:hint="eastAsia" w:ascii="宋体" w:hAnsi="宋体" w:eastAsia="宋体" w:cs="宋体"/>
          <w:sz w:val="24"/>
        </w:rPr>
      </w:pPr>
      <w:r>
        <w:rPr>
          <w:rFonts w:hint="eastAsia" w:ascii="宋体" w:hAnsi="宋体" w:eastAsia="宋体" w:cs="宋体"/>
          <w:sz w:val="24"/>
        </w:rPr>
        <w:t>磋商小组将按照磋商文件的规定，只对通过初步评审的响应文件和提交最后报价的供应商，由磋商小组采用综合评分法对提交最后报价的供应商的响应文件和最后报价进行综合评分。</w:t>
      </w:r>
    </w:p>
    <w:p>
      <w:pPr>
        <w:numPr>
          <w:ilvl w:val="0"/>
          <w:numId w:val="16"/>
        </w:numPr>
        <w:spacing w:line="480" w:lineRule="exact"/>
        <w:rPr>
          <w:rFonts w:hint="eastAsia" w:ascii="宋体" w:hAnsi="宋体" w:eastAsia="宋体" w:cs="宋体"/>
          <w:sz w:val="24"/>
          <w:szCs w:val="22"/>
        </w:rPr>
      </w:pPr>
      <w:r>
        <w:rPr>
          <w:rFonts w:hint="eastAsia" w:ascii="宋体" w:hAnsi="宋体" w:eastAsia="宋体" w:cs="宋体"/>
          <w:sz w:val="24"/>
          <w:szCs w:val="22"/>
        </w:rPr>
        <w:t>综合评分法，是指响应文件满足磋商文件全部实质性要求且按评审因素的量化指标评审得分最高的供应商为成交候选供应商的评审方法。</w:t>
      </w:r>
    </w:p>
    <w:p>
      <w:pPr>
        <w:numPr>
          <w:ilvl w:val="0"/>
          <w:numId w:val="16"/>
        </w:numPr>
        <w:spacing w:line="480" w:lineRule="exact"/>
        <w:rPr>
          <w:rFonts w:hint="eastAsia" w:ascii="宋体" w:hAnsi="宋体" w:eastAsia="宋体" w:cs="宋体"/>
          <w:sz w:val="24"/>
          <w:szCs w:val="22"/>
        </w:rPr>
      </w:pPr>
      <w:r>
        <w:rPr>
          <w:rFonts w:hint="eastAsia" w:ascii="宋体" w:hAnsi="宋体" w:eastAsia="宋体" w:cs="宋体"/>
          <w:sz w:val="24"/>
          <w:szCs w:val="22"/>
        </w:rPr>
        <w:t>评审时，磋商小组各成员应当独立对每个有效响应的文件进行评价、打分，然后汇总每个供应商每项评分因素的得分。</w:t>
      </w:r>
    </w:p>
    <w:p>
      <w:pPr>
        <w:numPr>
          <w:ilvl w:val="0"/>
          <w:numId w:val="15"/>
        </w:numPr>
        <w:spacing w:line="588" w:lineRule="exact"/>
        <w:jc w:val="center"/>
        <w:rPr>
          <w:rFonts w:hint="eastAsia" w:ascii="宋体" w:hAnsi="宋体" w:eastAsia="宋体" w:cs="宋体"/>
          <w:spacing w:val="6"/>
          <w:sz w:val="32"/>
          <w:szCs w:val="32"/>
        </w:rPr>
      </w:pPr>
      <w:r>
        <w:rPr>
          <w:rFonts w:hint="eastAsia" w:ascii="宋体" w:hAnsi="宋体" w:eastAsia="宋体" w:cs="宋体"/>
          <w:spacing w:val="6"/>
          <w:sz w:val="32"/>
          <w:szCs w:val="32"/>
        </w:rPr>
        <w:t>评标标准</w:t>
      </w:r>
    </w:p>
    <w:tbl>
      <w:tblPr>
        <w:tblStyle w:val="36"/>
        <w:tblW w:w="9900" w:type="dxa"/>
        <w:tblInd w:w="-2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900"/>
        <w:gridCol w:w="1080"/>
        <w:gridCol w:w="7380"/>
        <w:gridCol w:w="54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926" w:hRule="atLeast"/>
        </w:trPr>
        <w:tc>
          <w:tcPr>
            <w:tcW w:w="900" w:type="dxa"/>
            <w:noWrap w:val="0"/>
            <w:vAlign w:val="top"/>
          </w:tcPr>
          <w:p>
            <w:pPr>
              <w:spacing w:before="68" w:line="184" w:lineRule="auto"/>
              <w:rPr>
                <w:rFonts w:ascii="宋体" w:hAnsi="宋体"/>
                <w:sz w:val="21"/>
                <w:szCs w:val="21"/>
              </w:rPr>
            </w:pPr>
            <w:r>
              <w:rPr>
                <w:rFonts w:hint="eastAsia" w:ascii="宋体" w:hAnsi="宋体"/>
                <w:spacing w:val="-2"/>
                <w:sz w:val="21"/>
                <w:szCs w:val="21"/>
              </w:rPr>
              <w:t>序号</w:t>
            </w:r>
          </w:p>
        </w:tc>
        <w:tc>
          <w:tcPr>
            <w:tcW w:w="1080" w:type="dxa"/>
            <w:noWrap w:val="0"/>
            <w:vAlign w:val="top"/>
          </w:tcPr>
          <w:p>
            <w:pPr>
              <w:spacing w:before="68" w:line="184" w:lineRule="auto"/>
              <w:rPr>
                <w:rFonts w:ascii="宋体" w:hAnsi="宋体"/>
                <w:sz w:val="21"/>
                <w:szCs w:val="21"/>
              </w:rPr>
            </w:pPr>
            <w:r>
              <w:rPr>
                <w:rFonts w:hint="eastAsia" w:ascii="宋体" w:hAnsi="宋体"/>
                <w:spacing w:val="2"/>
                <w:sz w:val="21"/>
                <w:szCs w:val="21"/>
              </w:rPr>
              <w:t>评分因素</w:t>
            </w:r>
          </w:p>
        </w:tc>
        <w:tc>
          <w:tcPr>
            <w:tcW w:w="7380" w:type="dxa"/>
            <w:noWrap w:val="0"/>
            <w:vAlign w:val="top"/>
          </w:tcPr>
          <w:p>
            <w:pPr>
              <w:spacing w:before="68" w:line="184" w:lineRule="auto"/>
              <w:jc w:val="center"/>
              <w:rPr>
                <w:rFonts w:ascii="宋体" w:hAnsi="宋体"/>
                <w:sz w:val="21"/>
                <w:szCs w:val="21"/>
              </w:rPr>
            </w:pPr>
            <w:r>
              <w:rPr>
                <w:rFonts w:hint="eastAsia" w:ascii="宋体" w:hAnsi="宋体"/>
                <w:spacing w:val="2"/>
                <w:sz w:val="21"/>
                <w:szCs w:val="21"/>
              </w:rPr>
              <w:t>评分标准</w:t>
            </w:r>
          </w:p>
        </w:tc>
        <w:tc>
          <w:tcPr>
            <w:tcW w:w="540" w:type="dxa"/>
            <w:noWrap w:val="0"/>
            <w:vAlign w:val="top"/>
          </w:tcPr>
          <w:p>
            <w:pPr>
              <w:spacing w:before="68" w:line="184" w:lineRule="auto"/>
              <w:rPr>
                <w:rFonts w:ascii="宋体" w:hAnsi="宋体"/>
                <w:sz w:val="21"/>
                <w:szCs w:val="21"/>
              </w:rPr>
            </w:pPr>
            <w:r>
              <w:rPr>
                <w:rFonts w:hint="eastAsia" w:ascii="宋体" w:hAnsi="宋体"/>
                <w:spacing w:val="-3"/>
                <w:sz w:val="21"/>
                <w:szCs w:val="21"/>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931" w:hRule="atLeast"/>
        </w:trPr>
        <w:tc>
          <w:tcPr>
            <w:tcW w:w="900" w:type="dxa"/>
            <w:noWrap w:val="0"/>
            <w:vAlign w:val="top"/>
          </w:tcPr>
          <w:p>
            <w:pPr>
              <w:spacing w:line="252" w:lineRule="auto"/>
              <w:rPr>
                <w:rFonts w:ascii="宋体" w:hAnsi="宋体"/>
                <w:color w:val="0000FF"/>
                <w:sz w:val="21"/>
                <w:szCs w:val="21"/>
              </w:rPr>
            </w:pPr>
          </w:p>
          <w:p>
            <w:pPr>
              <w:spacing w:before="68" w:line="274" w:lineRule="auto"/>
              <w:ind w:right="116"/>
              <w:rPr>
                <w:rFonts w:ascii="宋体" w:hAnsi="宋体"/>
                <w:color w:val="0000FF"/>
                <w:sz w:val="21"/>
                <w:szCs w:val="21"/>
              </w:rPr>
            </w:pPr>
            <w:r>
              <w:rPr>
                <w:rFonts w:hint="eastAsia" w:ascii="宋体" w:hAnsi="宋体" w:eastAsia="宋体" w:cs="宋体"/>
                <w:bCs/>
                <w:sz w:val="21"/>
                <w:szCs w:val="21"/>
                <w:highlight w:val="none"/>
              </w:rPr>
              <w:t>磋商报价</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20分</w:t>
            </w:r>
            <w:r>
              <w:rPr>
                <w:rFonts w:hint="eastAsia" w:ascii="宋体" w:hAnsi="宋体" w:eastAsia="宋体" w:cs="宋体"/>
                <w:color w:val="auto"/>
                <w:kern w:val="0"/>
                <w:sz w:val="21"/>
                <w:szCs w:val="21"/>
                <w:highlight w:val="none"/>
                <w:lang w:eastAsia="zh-CN"/>
              </w:rPr>
              <w:t>）</w:t>
            </w:r>
          </w:p>
        </w:tc>
        <w:tc>
          <w:tcPr>
            <w:tcW w:w="1080" w:type="dxa"/>
            <w:noWrap w:val="0"/>
            <w:vAlign w:val="top"/>
          </w:tcPr>
          <w:p>
            <w:pPr>
              <w:spacing w:before="68" w:line="184" w:lineRule="auto"/>
              <w:rPr>
                <w:rFonts w:ascii="宋体" w:hAnsi="宋体"/>
                <w:color w:val="0000FF"/>
                <w:sz w:val="21"/>
                <w:szCs w:val="21"/>
              </w:rPr>
            </w:pPr>
            <w:r>
              <w:rPr>
                <w:rFonts w:hint="eastAsia" w:ascii="宋体" w:hAnsi="宋体"/>
                <w:color w:val="auto"/>
                <w:spacing w:val="2"/>
                <w:sz w:val="21"/>
                <w:szCs w:val="21"/>
              </w:rPr>
              <w:t>价格得分</w:t>
            </w:r>
          </w:p>
        </w:tc>
        <w:tc>
          <w:tcPr>
            <w:tcW w:w="7380" w:type="dxa"/>
            <w:noWrap w:val="0"/>
            <w:vAlign w:val="bottom"/>
          </w:tcPr>
          <w:p>
            <w:pPr>
              <w:widowControl/>
              <w:spacing w:line="357" w:lineRule="atLeast"/>
              <w:textAlignment w:val="baseline"/>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价格分统一采用低价优先法计算，即满足磋商文件要求且最后报价最低的供应商的价格为磋商基准价，其价格分为满分。其他供应商的价格分统一按照下列公式计算：磋商报价得分=（磋商基准价/最后磋商报价）×</w:t>
            </w:r>
            <w:r>
              <w:rPr>
                <w:rFonts w:hint="eastAsia" w:ascii="宋体" w:hAnsi="宋体" w:eastAsia="宋体" w:cs="宋体"/>
                <w:color w:val="auto"/>
                <w:kern w:val="0"/>
                <w:sz w:val="21"/>
                <w:szCs w:val="21"/>
                <w:highlight w:val="none"/>
                <w:lang w:eastAsia="zh-CN"/>
              </w:rPr>
              <w:t>价格权值</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100</w:t>
            </w:r>
          </w:p>
          <w:p>
            <w:pPr>
              <w:spacing w:before="208" w:line="360" w:lineRule="auto"/>
              <w:ind w:left="107" w:right="45"/>
              <w:rPr>
                <w:rFonts w:ascii="宋体" w:hAnsi="宋体"/>
                <w:color w:val="0000FF"/>
                <w:sz w:val="21"/>
                <w:szCs w:val="21"/>
              </w:rPr>
            </w:pPr>
          </w:p>
        </w:tc>
        <w:tc>
          <w:tcPr>
            <w:tcW w:w="540" w:type="dxa"/>
            <w:noWrap w:val="0"/>
            <w:vAlign w:val="top"/>
          </w:tcPr>
          <w:p>
            <w:pPr>
              <w:spacing w:before="69" w:line="180" w:lineRule="auto"/>
              <w:rPr>
                <w:rFonts w:ascii="宋体" w:hAnsi="宋体"/>
                <w:color w:val="000000"/>
                <w:sz w:val="21"/>
                <w:szCs w:val="21"/>
              </w:rPr>
            </w:pPr>
            <w:r>
              <w:rPr>
                <w:rFonts w:hint="eastAsia" w:ascii="宋体" w:hAnsi="宋体"/>
                <w:spacing w:val="2"/>
                <w:sz w:val="21"/>
                <w:szCs w:val="21"/>
                <w:lang w:val="en-US" w:eastAsia="zh-CN"/>
              </w:rPr>
              <w:t>2</w:t>
            </w:r>
            <w:r>
              <w:rPr>
                <w:rFonts w:ascii="宋体" w:hAnsi="宋体"/>
                <w:spacing w:val="2"/>
                <w:sz w:val="21"/>
                <w:szCs w:val="21"/>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restart"/>
            <w:noWrap w:val="0"/>
            <w:vAlign w:val="top"/>
          </w:tcPr>
          <w:p>
            <w:pPr>
              <w:spacing w:line="252" w:lineRule="auto"/>
              <w:rPr>
                <w:rFonts w:ascii="宋体" w:hAnsi="宋体"/>
                <w:sz w:val="21"/>
                <w:szCs w:val="21"/>
              </w:rPr>
            </w:pPr>
            <w:r>
              <w:rPr>
                <w:rFonts w:hint="eastAsia" w:ascii="宋体" w:hAnsi="宋体"/>
                <w:sz w:val="21"/>
                <w:szCs w:val="21"/>
              </w:rPr>
              <w:t>技术部分（48分）</w:t>
            </w: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管理制度</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有详尽完善的食品安全检测制度、抽样管理制度、责任追究制度、检测档案管理制度等管理制度的得7分:</w:t>
            </w:r>
          </w:p>
          <w:p>
            <w:pPr>
              <w:spacing w:line="500" w:lineRule="exact"/>
              <w:rPr>
                <w:rFonts w:hint="eastAsia" w:ascii="宋体" w:hAnsi="宋体" w:eastAsia="宋体"/>
                <w:sz w:val="21"/>
                <w:szCs w:val="21"/>
                <w:lang w:eastAsia="zh-CN"/>
              </w:rPr>
            </w:pPr>
            <w:r>
              <w:rPr>
                <w:rFonts w:ascii="宋体" w:hAnsi="宋体"/>
                <w:sz w:val="21"/>
                <w:szCs w:val="21"/>
              </w:rPr>
              <w:t>详细一般可行的食品安全检测制度、抽样管理制度、责任追究制度、检测档案管理制度等管理制度的得5分:</w:t>
            </w:r>
          </w:p>
          <w:p>
            <w:pPr>
              <w:spacing w:line="500" w:lineRule="exact"/>
              <w:rPr>
                <w:rFonts w:ascii="宋体" w:hAnsi="宋体"/>
                <w:sz w:val="21"/>
                <w:szCs w:val="21"/>
              </w:rPr>
            </w:pPr>
            <w:r>
              <w:rPr>
                <w:rFonts w:ascii="宋体" w:hAnsi="宋体"/>
                <w:sz w:val="21"/>
                <w:szCs w:val="21"/>
              </w:rPr>
              <w:t>不够详细但有食品安全检测制度、抽样管理制度、责任追究制度、检测档案管理制度等管理制度的得3分;不提供者得0分。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检测技术实施方案</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详尽完善合理的检测技术及实施方案明确阐述针对本项目的技术服务工作方法和管理制度，方法中明确成立专门项目组、抽样实施管理细则、检测实施细则、结果专报机制、客户回访、档案管理机制及应急处置机制的得7分;</w:t>
            </w:r>
          </w:p>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针对本项目提供的检测技术及实施方案，技术服务工作方法和管理制度，成立专门项目组、抽样实施管理细则、检测实施细则、结果专报机制、客户回访、档案管理机制及应急处置机制一般可行的得5分: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086"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技术服务流程(7分)</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明确技术服务工作流程，流程设置合理，分工明确，每个工作流程有细致说明及相关责任人员等;</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明确技术服务工作要点，包括抽样工作要点、检测工作要点等内容，明确工作难点的得7分: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对技术服务工作流程有设置，有分工，每个工作流程有说明及相关责任人员的: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对技术服务工作要点，包括抽样工作要点、检测工作要点等内容详细一般可行的得5分:</w:t>
            </w:r>
          </w:p>
          <w:p>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对技术服务工作流程有设置，有分工，对工作流程有说明及相关责任人员的: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053"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样品运输及贮存方案</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具有符合食用农产品检测样品特性的检测检测样品采集、运输及贮存方案。方案环节清晰完整，措施具体，切实可行的得7分:</w:t>
            </w:r>
          </w:p>
          <w:p>
            <w:pPr>
              <w:spacing w:line="500" w:lineRule="exact"/>
              <w:rPr>
                <w:rFonts w:ascii="宋体" w:hAnsi="宋体"/>
                <w:sz w:val="21"/>
                <w:szCs w:val="21"/>
              </w:rPr>
            </w:pPr>
            <w:r>
              <w:rPr>
                <w:rFonts w:ascii="宋体" w:hAnsi="宋体"/>
                <w:sz w:val="21"/>
                <w:szCs w:val="21"/>
              </w:rPr>
              <w:t>具有食用农产品检测样品特性的检测检测样品采集、运输及贮存方案。方案环节和措施方案一般详细可行的得5分:</w:t>
            </w:r>
          </w:p>
          <w:p>
            <w:pPr>
              <w:pStyle w:val="2"/>
              <w:ind w:left="0" w:leftChars="0" w:firstLine="0" w:firstLineChars="0"/>
              <w:rPr>
                <w:rFonts w:ascii="宋体" w:hAnsi="宋体" w:eastAsia="宋体" w:cs="宋体"/>
                <w:sz w:val="21"/>
                <w:szCs w:val="21"/>
              </w:rPr>
            </w:pPr>
            <w:r>
              <w:rPr>
                <w:rFonts w:ascii="宋体" w:hAnsi="宋体" w:eastAsia="宋体" w:cs="宋体"/>
                <w:sz w:val="21"/>
                <w:szCs w:val="21"/>
              </w:rPr>
              <w:t>有含用农产品检测样品特性的检测检测样品采集、运输及贮存方案。方案环节和措施方案不够详细但此有项的得3分:不提供者得0分。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52"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质量控制</w:t>
            </w:r>
          </w:p>
        </w:tc>
        <w:tc>
          <w:tcPr>
            <w:tcW w:w="7380" w:type="dxa"/>
            <w:noWrap w:val="0"/>
            <w:vAlign w:val="bottom"/>
          </w:tcPr>
          <w:p>
            <w:pPr>
              <w:spacing w:line="500" w:lineRule="exact"/>
              <w:rPr>
                <w:rFonts w:hint="eastAsia" w:ascii="宋体" w:hAnsi="宋体" w:eastAsia="宋体"/>
                <w:sz w:val="21"/>
                <w:szCs w:val="21"/>
                <w:lang w:eastAsia="zh-CN"/>
              </w:rPr>
            </w:pPr>
            <w:r>
              <w:rPr>
                <w:rFonts w:ascii="宋体" w:hAnsi="宋体"/>
                <w:sz w:val="21"/>
                <w:szCs w:val="21"/>
              </w:rPr>
              <w:t>具有详尽完善的食品抽样检测质量控制方案及措施的得7分;</w:t>
            </w:r>
          </w:p>
          <w:p>
            <w:pPr>
              <w:spacing w:line="500" w:lineRule="exact"/>
              <w:rPr>
                <w:rFonts w:hint="eastAsia" w:ascii="宋体" w:hAnsi="宋体" w:eastAsia="宋体"/>
                <w:sz w:val="21"/>
                <w:szCs w:val="21"/>
                <w:lang w:eastAsia="zh-CN"/>
              </w:rPr>
            </w:pPr>
            <w:r>
              <w:rPr>
                <w:rFonts w:ascii="宋体" w:hAnsi="宋体"/>
                <w:sz w:val="21"/>
                <w:szCs w:val="21"/>
              </w:rPr>
              <w:t>有食品抽样检测质量控制方案及措施的，但详细一般的得5分;</w:t>
            </w:r>
          </w:p>
          <w:p>
            <w:pPr>
              <w:spacing w:line="500" w:lineRule="exact"/>
              <w:rPr>
                <w:rFonts w:ascii="宋体" w:hAnsi="宋体"/>
                <w:sz w:val="21"/>
                <w:szCs w:val="21"/>
              </w:rPr>
            </w:pPr>
            <w:r>
              <w:rPr>
                <w:rFonts w:ascii="宋体" w:hAnsi="宋体"/>
                <w:sz w:val="21"/>
                <w:szCs w:val="21"/>
              </w:rPr>
              <w:t>有食品抽样检测质量控制方案及措施的，不够详细但有此项的得3分:不提供者得0分。</w:t>
            </w:r>
          </w:p>
        </w:tc>
        <w:tc>
          <w:tcPr>
            <w:tcW w:w="540" w:type="dxa"/>
            <w:noWrap w:val="0"/>
            <w:vAlign w:val="top"/>
          </w:tcPr>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continue"/>
            <w:noWrap w:val="0"/>
            <w:vAlign w:val="top"/>
          </w:tcPr>
          <w:p>
            <w:pPr>
              <w:spacing w:line="252" w:lineRule="auto"/>
              <w:rPr>
                <w:rFonts w:ascii="宋体" w:hAnsi="宋体"/>
                <w:sz w:val="21"/>
                <w:szCs w:val="21"/>
              </w:rPr>
            </w:pPr>
          </w:p>
        </w:tc>
        <w:tc>
          <w:tcPr>
            <w:tcW w:w="1080" w:type="dxa"/>
            <w:noWrap w:val="0"/>
            <w:vAlign w:val="top"/>
          </w:tcPr>
          <w:p>
            <w:pPr>
              <w:spacing w:before="68" w:line="184" w:lineRule="auto"/>
              <w:rPr>
                <w:rFonts w:ascii="宋体" w:hAnsi="宋体"/>
                <w:spacing w:val="2"/>
                <w:sz w:val="21"/>
                <w:szCs w:val="21"/>
              </w:rPr>
            </w:pPr>
            <w:r>
              <w:rPr>
                <w:rFonts w:ascii="宋体" w:hAnsi="宋体"/>
                <w:sz w:val="21"/>
                <w:szCs w:val="21"/>
              </w:rPr>
              <w:t>应急管理</w:t>
            </w:r>
          </w:p>
        </w:tc>
        <w:tc>
          <w:tcPr>
            <w:tcW w:w="7380" w:type="dxa"/>
            <w:noWrap w:val="0"/>
            <w:vAlign w:val="bottom"/>
          </w:tcPr>
          <w:p>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文件中提供相应的应急预案措施及详细方案的得7分;</w:t>
            </w:r>
          </w:p>
          <w:p>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pPr>
              <w:spacing w:line="500" w:lineRule="exact"/>
              <w:rPr>
                <w:rFonts w:hint="eastAsia" w:ascii="宋体" w:hAnsi="宋体" w:eastAsia="宋体"/>
                <w:sz w:val="21"/>
                <w:szCs w:val="21"/>
                <w:lang w:eastAsia="zh-CN"/>
              </w:rPr>
            </w:pPr>
            <w:r>
              <w:rPr>
                <w:rFonts w:ascii="宋体" w:hAnsi="宋体"/>
                <w:sz w:val="21"/>
                <w:szCs w:val="21"/>
              </w:rPr>
              <w:t>急预案措施方案详细一般可行的得5分;</w:t>
            </w:r>
          </w:p>
          <w:p>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pPr>
              <w:spacing w:line="500" w:lineRule="exact"/>
              <w:rPr>
                <w:rFonts w:ascii="宋体" w:hAnsi="宋体"/>
                <w:sz w:val="21"/>
                <w:szCs w:val="21"/>
              </w:rPr>
            </w:pPr>
            <w:r>
              <w:rPr>
                <w:rFonts w:ascii="宋体" w:hAnsi="宋体"/>
                <w:sz w:val="21"/>
                <w:szCs w:val="21"/>
              </w:rPr>
              <w:t>急预案措施方案</w:t>
            </w:r>
            <w:r>
              <w:rPr>
                <w:rFonts w:hint="eastAsia" w:ascii="宋体" w:hAnsi="宋体"/>
                <w:sz w:val="21"/>
                <w:szCs w:val="21"/>
              </w:rPr>
              <w:t>不够详细，</w:t>
            </w:r>
            <w:r>
              <w:rPr>
                <w:rFonts w:ascii="宋体" w:hAnsi="宋体"/>
                <w:sz w:val="21"/>
                <w:szCs w:val="21"/>
              </w:rPr>
              <w:t>一般可行的得的得3分:不提供者得0分。</w:t>
            </w:r>
          </w:p>
        </w:tc>
        <w:tc>
          <w:tcPr>
            <w:tcW w:w="540" w:type="dxa"/>
            <w:noWrap w:val="0"/>
            <w:vAlign w:val="top"/>
          </w:tcPr>
          <w:p>
            <w:pPr>
              <w:spacing w:before="69" w:line="180" w:lineRule="auto"/>
              <w:rPr>
                <w:rFonts w:hint="eastAsia" w:ascii="宋体" w:hAnsi="宋体"/>
                <w:spacing w:val="2"/>
                <w:sz w:val="21"/>
                <w:szCs w:val="21"/>
              </w:rPr>
            </w:pPr>
          </w:p>
          <w:p>
            <w:pPr>
              <w:spacing w:before="69" w:line="180" w:lineRule="auto"/>
              <w:rPr>
                <w:rFonts w:ascii="宋体" w:hAnsi="宋体"/>
                <w:spacing w:val="2"/>
                <w:sz w:val="21"/>
                <w:szCs w:val="21"/>
              </w:rPr>
            </w:pPr>
            <w:r>
              <w:rPr>
                <w:rFonts w:hint="eastAsia" w:ascii="宋体" w:hAnsi="宋体"/>
                <w:spacing w:val="2"/>
                <w:sz w:val="21"/>
                <w:szCs w:val="21"/>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restart"/>
            <w:noWrap w:val="0"/>
            <w:vAlign w:val="top"/>
          </w:tcPr>
          <w:p>
            <w:pPr>
              <w:spacing w:line="252" w:lineRule="auto"/>
              <w:rPr>
                <w:rFonts w:ascii="宋体" w:hAnsi="宋体"/>
                <w:sz w:val="21"/>
                <w:szCs w:val="21"/>
              </w:rPr>
            </w:pPr>
          </w:p>
        </w:tc>
        <w:tc>
          <w:tcPr>
            <w:tcW w:w="1080" w:type="dxa"/>
            <w:vMerge w:val="restart"/>
            <w:noWrap w:val="0"/>
            <w:vAlign w:val="top"/>
          </w:tcPr>
          <w:p>
            <w:pPr>
              <w:spacing w:before="68" w:line="184" w:lineRule="auto"/>
              <w:rPr>
                <w:rFonts w:ascii="宋体" w:hAnsi="宋体"/>
                <w:sz w:val="21"/>
                <w:szCs w:val="21"/>
              </w:rPr>
            </w:pPr>
            <w:r>
              <w:rPr>
                <w:rFonts w:hint="eastAsia" w:ascii="宋体" w:hAnsi="宋体"/>
                <w:spacing w:val="2"/>
                <w:sz w:val="21"/>
                <w:szCs w:val="21"/>
              </w:rPr>
              <w:t>服务承诺</w:t>
            </w:r>
          </w:p>
        </w:tc>
        <w:tc>
          <w:tcPr>
            <w:tcW w:w="7380" w:type="dxa"/>
            <w:noWrap w:val="0"/>
            <w:vAlign w:val="top"/>
          </w:tcPr>
          <w:p>
            <w:pPr>
              <w:spacing w:before="285" w:line="200" w:lineRule="exact"/>
              <w:ind w:right="85"/>
              <w:rPr>
                <w:rFonts w:ascii="宋体" w:hAnsi="宋体"/>
                <w:spacing w:val="2"/>
                <w:sz w:val="21"/>
                <w:szCs w:val="21"/>
              </w:rPr>
            </w:pPr>
            <w:r>
              <w:rPr>
                <w:rFonts w:hint="eastAsia" w:ascii="宋体" w:hAnsi="宋体"/>
                <w:spacing w:val="2"/>
                <w:sz w:val="21"/>
                <w:szCs w:val="21"/>
                <w:lang w:eastAsia="zh-CN"/>
              </w:rPr>
              <w:t>供应商</w:t>
            </w:r>
            <w:r>
              <w:rPr>
                <w:rFonts w:hint="eastAsia" w:ascii="宋体" w:hAnsi="宋体"/>
                <w:spacing w:val="2"/>
                <w:sz w:val="21"/>
                <w:szCs w:val="21"/>
              </w:rPr>
              <w:t>承诺为采购单位提供咨询、食品安全风险评估、合理化建议等服务。</w:t>
            </w:r>
          </w:p>
          <w:p>
            <w:pPr>
              <w:spacing w:before="285" w:line="200" w:lineRule="exact"/>
              <w:ind w:right="85"/>
              <w:rPr>
                <w:rFonts w:ascii="宋体" w:hAnsi="宋体"/>
                <w:spacing w:val="2"/>
                <w:sz w:val="21"/>
                <w:szCs w:val="21"/>
              </w:rPr>
            </w:pPr>
            <w:r>
              <w:rPr>
                <w:rFonts w:hint="eastAsia" w:ascii="宋体" w:hAnsi="宋体"/>
                <w:spacing w:val="2"/>
                <w:sz w:val="21"/>
                <w:szCs w:val="21"/>
              </w:rPr>
              <w:t>1.承诺全面，内容完整得3分。</w:t>
            </w:r>
          </w:p>
          <w:p>
            <w:pPr>
              <w:spacing w:before="285" w:line="200" w:lineRule="exact"/>
              <w:ind w:right="85"/>
              <w:rPr>
                <w:rFonts w:ascii="宋体" w:hAnsi="宋体"/>
                <w:spacing w:val="2"/>
                <w:sz w:val="21"/>
                <w:szCs w:val="21"/>
              </w:rPr>
            </w:pPr>
            <w:r>
              <w:rPr>
                <w:rFonts w:hint="eastAsia" w:ascii="宋体" w:hAnsi="宋体"/>
                <w:spacing w:val="2"/>
                <w:sz w:val="21"/>
                <w:szCs w:val="21"/>
              </w:rPr>
              <w:t>2.承诺一般，内容基本完整得2分。</w:t>
            </w:r>
          </w:p>
          <w:p>
            <w:pPr>
              <w:spacing w:before="285" w:line="200" w:lineRule="exact"/>
              <w:ind w:right="85"/>
              <w:rPr>
                <w:rFonts w:ascii="宋体" w:hAnsi="宋体"/>
                <w:spacing w:val="2"/>
                <w:sz w:val="21"/>
                <w:szCs w:val="21"/>
              </w:rPr>
            </w:pPr>
            <w:r>
              <w:rPr>
                <w:rFonts w:hint="eastAsia" w:ascii="宋体" w:hAnsi="宋体"/>
                <w:spacing w:val="2"/>
                <w:sz w:val="21"/>
                <w:szCs w:val="21"/>
              </w:rPr>
              <w:t>3.仅有本项承诺内容得1分。</w:t>
            </w:r>
          </w:p>
          <w:p>
            <w:pPr>
              <w:spacing w:before="285" w:line="200" w:lineRule="exact"/>
              <w:ind w:right="85"/>
              <w:rPr>
                <w:rFonts w:ascii="宋体" w:hAnsi="宋体" w:cs="Times New Roman"/>
              </w:rPr>
            </w:pPr>
            <w:r>
              <w:rPr>
                <w:rFonts w:hint="eastAsia" w:ascii="宋体" w:hAnsi="宋体"/>
                <w:spacing w:val="2"/>
                <w:sz w:val="21"/>
                <w:szCs w:val="21"/>
              </w:rPr>
              <w:t>4.未承诺得0分。</w:t>
            </w:r>
          </w:p>
        </w:tc>
        <w:tc>
          <w:tcPr>
            <w:tcW w:w="540" w:type="dxa"/>
            <w:vMerge w:val="restart"/>
            <w:noWrap w:val="0"/>
            <w:vAlign w:val="top"/>
          </w:tcPr>
          <w:p>
            <w:pPr>
              <w:spacing w:before="69" w:line="180" w:lineRule="auto"/>
              <w:rPr>
                <w:rFonts w:ascii="宋体" w:hAnsi="宋体"/>
                <w:spacing w:val="2"/>
                <w:sz w:val="21"/>
                <w:szCs w:val="21"/>
              </w:rPr>
            </w:pPr>
            <w:r>
              <w:rPr>
                <w:rFonts w:hint="eastAsia" w:ascii="宋体" w:hAnsi="宋体"/>
                <w:spacing w:val="2"/>
                <w:sz w:val="21"/>
                <w:szCs w:val="21"/>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774" w:hRule="atLeast"/>
        </w:trPr>
        <w:tc>
          <w:tcPr>
            <w:tcW w:w="900" w:type="dxa"/>
            <w:vMerge w:val="continue"/>
            <w:noWrap w:val="0"/>
            <w:vAlign w:val="top"/>
          </w:tcPr>
          <w:p>
            <w:pPr>
              <w:spacing w:line="252" w:lineRule="auto"/>
              <w:rPr>
                <w:rFonts w:ascii="宋体" w:hAnsi="宋体"/>
                <w:sz w:val="21"/>
                <w:szCs w:val="21"/>
              </w:rPr>
            </w:pPr>
          </w:p>
        </w:tc>
        <w:tc>
          <w:tcPr>
            <w:tcW w:w="1080" w:type="dxa"/>
            <w:vMerge w:val="continue"/>
            <w:noWrap w:val="0"/>
            <w:vAlign w:val="top"/>
          </w:tcPr>
          <w:p>
            <w:pPr>
              <w:spacing w:before="68" w:line="184" w:lineRule="auto"/>
              <w:rPr>
                <w:rFonts w:ascii="宋体" w:hAnsi="宋体"/>
                <w:spacing w:val="2"/>
                <w:sz w:val="21"/>
                <w:szCs w:val="21"/>
              </w:rPr>
            </w:pPr>
          </w:p>
        </w:tc>
        <w:tc>
          <w:tcPr>
            <w:tcW w:w="7380" w:type="dxa"/>
            <w:noWrap w:val="0"/>
            <w:vAlign w:val="top"/>
          </w:tcPr>
          <w:p>
            <w:pPr>
              <w:spacing w:before="285" w:line="200" w:lineRule="exact"/>
              <w:ind w:right="85"/>
              <w:rPr>
                <w:rFonts w:ascii="宋体" w:hAnsi="宋体"/>
                <w:spacing w:val="2"/>
                <w:sz w:val="21"/>
                <w:szCs w:val="21"/>
              </w:rPr>
            </w:pPr>
            <w:r>
              <w:rPr>
                <w:rFonts w:hint="eastAsia" w:ascii="宋体" w:hAnsi="宋体"/>
                <w:spacing w:val="2"/>
                <w:sz w:val="21"/>
                <w:szCs w:val="21"/>
                <w:lang w:eastAsia="zh-CN"/>
              </w:rPr>
              <w:t>供应商</w:t>
            </w:r>
            <w:r>
              <w:rPr>
                <w:rFonts w:hint="eastAsia" w:ascii="宋体" w:hAnsi="宋体"/>
                <w:spacing w:val="2"/>
                <w:sz w:val="21"/>
                <w:szCs w:val="21"/>
              </w:rPr>
              <w:t>承诺自觉接受监督检查、现场考核、能力比对等考核工作。</w:t>
            </w:r>
          </w:p>
          <w:p>
            <w:pPr>
              <w:spacing w:before="285" w:line="200" w:lineRule="exact"/>
              <w:ind w:right="85"/>
              <w:rPr>
                <w:rFonts w:ascii="宋体" w:hAnsi="宋体"/>
                <w:spacing w:val="2"/>
                <w:sz w:val="21"/>
                <w:szCs w:val="21"/>
              </w:rPr>
            </w:pPr>
            <w:r>
              <w:rPr>
                <w:rFonts w:hint="eastAsia" w:ascii="宋体" w:hAnsi="宋体"/>
                <w:spacing w:val="2"/>
                <w:sz w:val="21"/>
                <w:szCs w:val="21"/>
              </w:rPr>
              <w:t>1.承诺全面，内容完整得3分。</w:t>
            </w:r>
          </w:p>
          <w:p>
            <w:pPr>
              <w:spacing w:before="285" w:line="200" w:lineRule="exact"/>
              <w:ind w:right="85"/>
              <w:rPr>
                <w:rFonts w:ascii="宋体" w:hAnsi="宋体"/>
                <w:spacing w:val="2"/>
                <w:sz w:val="21"/>
                <w:szCs w:val="21"/>
              </w:rPr>
            </w:pPr>
            <w:r>
              <w:rPr>
                <w:rFonts w:hint="eastAsia" w:ascii="宋体" w:hAnsi="宋体"/>
                <w:spacing w:val="2"/>
                <w:sz w:val="21"/>
                <w:szCs w:val="21"/>
              </w:rPr>
              <w:t>2.承诺一般，内容基本完整得2分。</w:t>
            </w:r>
          </w:p>
          <w:p>
            <w:pPr>
              <w:spacing w:before="285" w:line="200" w:lineRule="exact"/>
              <w:ind w:right="85"/>
              <w:rPr>
                <w:rFonts w:ascii="宋体" w:hAnsi="宋体"/>
                <w:spacing w:val="2"/>
                <w:sz w:val="21"/>
                <w:szCs w:val="21"/>
              </w:rPr>
            </w:pPr>
            <w:r>
              <w:rPr>
                <w:rFonts w:hint="eastAsia" w:ascii="宋体" w:hAnsi="宋体"/>
                <w:spacing w:val="2"/>
                <w:sz w:val="21"/>
                <w:szCs w:val="21"/>
              </w:rPr>
              <w:t>3.仅有本项承诺内容得1分。</w:t>
            </w:r>
          </w:p>
          <w:p>
            <w:pPr>
              <w:spacing w:before="285" w:line="200" w:lineRule="exact"/>
              <w:ind w:right="85"/>
              <w:rPr>
                <w:rFonts w:ascii="宋体" w:hAnsi="宋体"/>
                <w:spacing w:val="2"/>
                <w:sz w:val="21"/>
                <w:szCs w:val="21"/>
              </w:rPr>
            </w:pPr>
            <w:r>
              <w:rPr>
                <w:rFonts w:hint="eastAsia" w:ascii="宋体" w:hAnsi="宋体"/>
                <w:spacing w:val="2"/>
                <w:sz w:val="21"/>
                <w:szCs w:val="21"/>
              </w:rPr>
              <w:t>4.未承诺得0分。</w:t>
            </w:r>
          </w:p>
        </w:tc>
        <w:tc>
          <w:tcPr>
            <w:tcW w:w="540" w:type="dxa"/>
            <w:vMerge w:val="continue"/>
            <w:noWrap w:val="0"/>
            <w:vAlign w:val="top"/>
          </w:tcPr>
          <w:p>
            <w:pPr>
              <w:spacing w:before="69" w:line="180" w:lineRule="auto"/>
              <w:rPr>
                <w:rFonts w:ascii="宋体" w:hAnsi="宋体"/>
                <w:spacing w:val="2"/>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615" w:hRule="atLeast"/>
        </w:trPr>
        <w:tc>
          <w:tcPr>
            <w:tcW w:w="900" w:type="dxa"/>
            <w:vMerge w:val="restart"/>
            <w:noWrap w:val="0"/>
            <w:vAlign w:val="center"/>
          </w:tcPr>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line="243" w:lineRule="auto"/>
              <w:rPr>
                <w:rFonts w:ascii="宋体" w:hAnsi="宋体"/>
                <w:sz w:val="21"/>
                <w:szCs w:val="21"/>
              </w:rPr>
            </w:pPr>
          </w:p>
          <w:p>
            <w:pPr>
              <w:spacing w:before="68" w:line="274" w:lineRule="auto"/>
              <w:ind w:right="123"/>
              <w:rPr>
                <w:rFonts w:ascii="宋体" w:hAnsi="宋体"/>
                <w:sz w:val="21"/>
                <w:szCs w:val="21"/>
              </w:rPr>
            </w:pPr>
            <w:r>
              <w:rPr>
                <w:rFonts w:hint="eastAsia" w:ascii="宋体" w:hAnsi="宋体"/>
                <w:sz w:val="21"/>
                <w:szCs w:val="21"/>
              </w:rPr>
              <w:t>商务部分</w:t>
            </w:r>
            <w:r>
              <w:rPr>
                <w:rFonts w:hint="eastAsia" w:ascii="宋体" w:hAnsi="宋体"/>
                <w:spacing w:val="-2"/>
                <w:sz w:val="21"/>
                <w:szCs w:val="21"/>
                <w:lang w:val="en-US" w:eastAsia="zh-CN"/>
              </w:rPr>
              <w:t>8</w:t>
            </w:r>
            <w:r>
              <w:rPr>
                <w:rFonts w:hint="eastAsia" w:ascii="宋体" w:hAnsi="宋体"/>
                <w:spacing w:val="-2"/>
                <w:sz w:val="21"/>
                <w:szCs w:val="21"/>
              </w:rPr>
              <w:t>分</w:t>
            </w:r>
          </w:p>
        </w:tc>
        <w:tc>
          <w:tcPr>
            <w:tcW w:w="1080" w:type="dxa"/>
            <w:noWrap w:val="0"/>
            <w:vAlign w:val="top"/>
          </w:tcPr>
          <w:p>
            <w:pPr>
              <w:spacing w:line="258" w:lineRule="auto"/>
              <w:rPr>
                <w:rFonts w:ascii="宋体" w:hAnsi="宋体"/>
                <w:sz w:val="21"/>
                <w:szCs w:val="21"/>
              </w:rPr>
            </w:pPr>
          </w:p>
          <w:p>
            <w:pPr>
              <w:spacing w:line="258" w:lineRule="auto"/>
              <w:rPr>
                <w:rFonts w:ascii="宋体" w:hAnsi="宋体"/>
                <w:sz w:val="21"/>
                <w:szCs w:val="21"/>
              </w:rPr>
            </w:pPr>
          </w:p>
          <w:p>
            <w:pPr>
              <w:spacing w:line="258" w:lineRule="auto"/>
              <w:rPr>
                <w:rFonts w:ascii="宋体" w:hAnsi="宋体"/>
                <w:sz w:val="21"/>
                <w:szCs w:val="21"/>
              </w:rPr>
            </w:pPr>
          </w:p>
          <w:p>
            <w:pPr>
              <w:spacing w:before="68" w:line="184" w:lineRule="auto"/>
              <w:rPr>
                <w:rFonts w:ascii="宋体" w:hAnsi="宋体"/>
                <w:sz w:val="21"/>
                <w:szCs w:val="21"/>
              </w:rPr>
            </w:pPr>
            <w:r>
              <w:rPr>
                <w:rFonts w:hint="eastAsia" w:ascii="宋体" w:hAnsi="宋体"/>
                <w:spacing w:val="1"/>
                <w:sz w:val="21"/>
                <w:szCs w:val="21"/>
              </w:rPr>
              <w:t>资质荣誉</w:t>
            </w:r>
          </w:p>
        </w:tc>
        <w:tc>
          <w:tcPr>
            <w:tcW w:w="7380" w:type="dxa"/>
            <w:noWrap w:val="0"/>
            <w:vAlign w:val="top"/>
          </w:tcPr>
          <w:p>
            <w:pPr>
              <w:spacing w:before="55" w:line="360" w:lineRule="auto"/>
              <w:ind w:left="113" w:right="88" w:firstLine="15"/>
              <w:rPr>
                <w:rFonts w:ascii="宋体" w:hAnsi="宋体"/>
                <w:color w:val="auto"/>
                <w:sz w:val="21"/>
                <w:szCs w:val="21"/>
              </w:rPr>
            </w:pPr>
            <w:r>
              <w:rPr>
                <w:rFonts w:hint="eastAsia" w:ascii="宋体" w:hAnsi="宋体"/>
                <w:color w:val="auto"/>
                <w:spacing w:val="-2"/>
                <w:sz w:val="21"/>
                <w:szCs w:val="21"/>
                <w:lang w:eastAsia="zh-CN"/>
              </w:rPr>
              <w:t>供应商</w:t>
            </w:r>
            <w:r>
              <w:rPr>
                <w:rFonts w:hint="eastAsia" w:ascii="宋体" w:hAnsi="宋体"/>
                <w:color w:val="auto"/>
                <w:spacing w:val="-2"/>
                <w:sz w:val="21"/>
                <w:szCs w:val="21"/>
              </w:rPr>
              <w:t>提供经中国人民银行备案的第三方征信机构出具的信用报告，并提供出具该信用报告的第三方征信机构在中国人民银行备案的证明材料</w:t>
            </w:r>
            <w:r>
              <w:rPr>
                <w:rFonts w:hint="eastAsia" w:ascii="宋体" w:hAnsi="宋体"/>
                <w:color w:val="auto"/>
                <w:spacing w:val="-2"/>
                <w:sz w:val="21"/>
                <w:szCs w:val="21"/>
                <w:lang w:eastAsia="zh-CN"/>
              </w:rPr>
              <w:t>，</w:t>
            </w:r>
            <w:r>
              <w:rPr>
                <w:rFonts w:hint="eastAsia" w:ascii="宋体" w:hAnsi="宋体"/>
                <w:color w:val="auto"/>
                <w:spacing w:val="-2"/>
                <w:sz w:val="21"/>
                <w:szCs w:val="21"/>
              </w:rPr>
              <w:t>信用等级为</w:t>
            </w:r>
            <w:r>
              <w:rPr>
                <w:rFonts w:ascii="宋体" w:hAnsi="宋体"/>
                <w:color w:val="auto"/>
                <w:spacing w:val="-2"/>
                <w:sz w:val="21"/>
                <w:szCs w:val="21"/>
              </w:rPr>
              <w:t>AAA</w:t>
            </w:r>
            <w:r>
              <w:rPr>
                <w:rFonts w:hint="eastAsia" w:ascii="宋体" w:hAnsi="宋体"/>
                <w:color w:val="auto"/>
                <w:spacing w:val="-2"/>
                <w:sz w:val="21"/>
                <w:szCs w:val="21"/>
              </w:rPr>
              <w:t>级的得</w:t>
            </w:r>
            <w:r>
              <w:rPr>
                <w:rFonts w:ascii="宋体" w:hAnsi="宋体"/>
                <w:color w:val="auto"/>
                <w:spacing w:val="-2"/>
                <w:sz w:val="21"/>
                <w:szCs w:val="21"/>
              </w:rPr>
              <w:t>2</w:t>
            </w:r>
            <w:r>
              <w:rPr>
                <w:rFonts w:hint="eastAsia" w:ascii="宋体" w:hAnsi="宋体"/>
                <w:color w:val="auto"/>
                <w:spacing w:val="-2"/>
                <w:sz w:val="21"/>
                <w:szCs w:val="21"/>
              </w:rPr>
              <w:t>分，信用等级为</w:t>
            </w:r>
            <w:r>
              <w:rPr>
                <w:rFonts w:ascii="宋体" w:hAnsi="宋体"/>
                <w:color w:val="auto"/>
                <w:spacing w:val="-2"/>
                <w:sz w:val="21"/>
                <w:szCs w:val="21"/>
              </w:rPr>
              <w:t>AA</w:t>
            </w:r>
            <w:r>
              <w:rPr>
                <w:rFonts w:hint="eastAsia" w:ascii="宋体" w:hAnsi="宋体"/>
                <w:color w:val="auto"/>
                <w:spacing w:val="-2"/>
                <w:sz w:val="21"/>
                <w:szCs w:val="21"/>
              </w:rPr>
              <w:t>级的得</w:t>
            </w:r>
            <w:r>
              <w:rPr>
                <w:rFonts w:ascii="宋体" w:hAnsi="宋体"/>
                <w:color w:val="auto"/>
                <w:spacing w:val="-2"/>
                <w:sz w:val="21"/>
                <w:szCs w:val="21"/>
              </w:rPr>
              <w:t>1</w:t>
            </w:r>
            <w:r>
              <w:rPr>
                <w:rFonts w:hint="eastAsia" w:ascii="宋体" w:hAnsi="宋体"/>
                <w:color w:val="auto"/>
                <w:spacing w:val="-2"/>
                <w:sz w:val="21"/>
                <w:szCs w:val="21"/>
              </w:rPr>
              <w:t>分，信用等级为</w:t>
            </w:r>
            <w:r>
              <w:rPr>
                <w:rFonts w:ascii="宋体" w:hAnsi="宋体"/>
                <w:color w:val="auto"/>
                <w:spacing w:val="-2"/>
                <w:sz w:val="21"/>
                <w:szCs w:val="21"/>
              </w:rPr>
              <w:t>A</w:t>
            </w:r>
            <w:r>
              <w:rPr>
                <w:rFonts w:hint="eastAsia" w:ascii="宋体" w:hAnsi="宋体"/>
                <w:color w:val="auto"/>
                <w:spacing w:val="-2"/>
                <w:sz w:val="21"/>
                <w:szCs w:val="21"/>
              </w:rPr>
              <w:t>级的得不得分。</w:t>
            </w:r>
          </w:p>
          <w:p>
            <w:pPr>
              <w:spacing w:before="102" w:line="360" w:lineRule="auto"/>
              <w:rPr>
                <w:rFonts w:ascii="宋体" w:hAnsi="宋体"/>
                <w:color w:val="auto"/>
                <w:sz w:val="21"/>
                <w:szCs w:val="21"/>
              </w:rPr>
            </w:pPr>
            <w:r>
              <w:rPr>
                <w:rFonts w:hint="eastAsia" w:ascii="宋体" w:hAnsi="宋体"/>
                <w:color w:val="auto"/>
                <w:spacing w:val="-6"/>
                <w:sz w:val="21"/>
                <w:szCs w:val="21"/>
              </w:rPr>
              <w:t>注：以上证件附证书扫描件。</w:t>
            </w:r>
          </w:p>
        </w:tc>
        <w:tc>
          <w:tcPr>
            <w:tcW w:w="540" w:type="dxa"/>
            <w:noWrap w:val="0"/>
            <w:vAlign w:val="top"/>
          </w:tcPr>
          <w:p>
            <w:pPr>
              <w:spacing w:line="253" w:lineRule="auto"/>
              <w:rPr>
                <w:rFonts w:hint="eastAsia" w:ascii="宋体" w:hAnsi="宋体" w:eastAsia="宋体"/>
                <w:sz w:val="21"/>
                <w:szCs w:val="21"/>
                <w:lang w:val="en-US" w:eastAsia="zh-CN"/>
              </w:rPr>
            </w:pPr>
            <w:r>
              <w:rPr>
                <w:rFonts w:hint="eastAsia" w:ascii="宋体" w:hAnsi="宋体"/>
                <w:sz w:val="21"/>
                <w:szCs w:val="21"/>
                <w:lang w:val="en-US" w:eastAsia="zh-CN"/>
              </w:rPr>
              <w:t>2</w:t>
            </w: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line="253" w:lineRule="auto"/>
              <w:rPr>
                <w:rFonts w:ascii="宋体" w:hAnsi="宋体"/>
                <w:sz w:val="21"/>
                <w:szCs w:val="21"/>
              </w:rPr>
            </w:pPr>
          </w:p>
          <w:p>
            <w:pPr>
              <w:spacing w:before="68" w:line="180" w:lineRule="auto"/>
              <w:rPr>
                <w:rFonts w:ascii="宋体" w:hAnsi="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72" w:hRule="atLeast"/>
        </w:trPr>
        <w:tc>
          <w:tcPr>
            <w:tcW w:w="900" w:type="dxa"/>
            <w:vMerge w:val="continue"/>
            <w:noWrap w:val="0"/>
            <w:vAlign w:val="top"/>
          </w:tcPr>
          <w:p>
            <w:pPr>
              <w:rPr>
                <w:rFonts w:ascii="宋体" w:hAnsi="宋体"/>
                <w:sz w:val="21"/>
                <w:szCs w:val="21"/>
              </w:rPr>
            </w:pPr>
          </w:p>
        </w:tc>
        <w:tc>
          <w:tcPr>
            <w:tcW w:w="1080" w:type="dxa"/>
            <w:noWrap w:val="0"/>
            <w:vAlign w:val="top"/>
          </w:tcPr>
          <w:p>
            <w:pPr>
              <w:spacing w:before="68" w:line="184" w:lineRule="auto"/>
              <w:rPr>
                <w:rFonts w:ascii="宋体" w:hAnsi="宋体"/>
                <w:sz w:val="21"/>
                <w:szCs w:val="21"/>
              </w:rPr>
            </w:pPr>
            <w:r>
              <w:rPr>
                <w:rFonts w:hint="eastAsia" w:ascii="宋体" w:hAnsi="宋体"/>
                <w:spacing w:val="2"/>
                <w:sz w:val="21"/>
                <w:szCs w:val="21"/>
              </w:rPr>
              <w:t>检测业绩</w:t>
            </w:r>
          </w:p>
        </w:tc>
        <w:tc>
          <w:tcPr>
            <w:tcW w:w="7380" w:type="dxa"/>
            <w:noWrap w:val="0"/>
            <w:vAlign w:val="top"/>
          </w:tcPr>
          <w:p>
            <w:pPr>
              <w:spacing w:before="55" w:line="360" w:lineRule="auto"/>
              <w:ind w:left="113" w:right="88"/>
              <w:rPr>
                <w:rFonts w:ascii="宋体" w:hAnsi="宋体"/>
                <w:color w:val="auto"/>
                <w:spacing w:val="-7"/>
                <w:sz w:val="21"/>
                <w:szCs w:val="21"/>
              </w:rPr>
            </w:pPr>
            <w:r>
              <w:rPr>
                <w:rFonts w:ascii="宋体" w:hAnsi="宋体"/>
                <w:color w:val="auto"/>
                <w:spacing w:val="-7"/>
                <w:sz w:val="21"/>
                <w:szCs w:val="21"/>
              </w:rPr>
              <w:t>20</w:t>
            </w:r>
            <w:r>
              <w:rPr>
                <w:rFonts w:hint="eastAsia" w:ascii="宋体" w:hAnsi="宋体"/>
                <w:color w:val="auto"/>
                <w:spacing w:val="-7"/>
                <w:sz w:val="21"/>
                <w:szCs w:val="21"/>
                <w:lang w:val="en-US" w:eastAsia="zh-CN"/>
              </w:rPr>
              <w:t>20</w:t>
            </w:r>
            <w:r>
              <w:rPr>
                <w:rFonts w:hint="eastAsia" w:ascii="宋体" w:hAnsi="宋体"/>
                <w:color w:val="auto"/>
                <w:spacing w:val="-7"/>
                <w:sz w:val="21"/>
                <w:szCs w:val="21"/>
              </w:rPr>
              <w:t>年</w:t>
            </w:r>
            <w:r>
              <w:rPr>
                <w:rFonts w:hint="eastAsia" w:ascii="宋体" w:hAnsi="宋体"/>
                <w:color w:val="auto"/>
                <w:spacing w:val="-7"/>
                <w:sz w:val="21"/>
                <w:szCs w:val="21"/>
                <w:lang w:val="en-US" w:eastAsia="zh-CN"/>
              </w:rPr>
              <w:t>1月1日</w:t>
            </w:r>
            <w:r>
              <w:rPr>
                <w:rFonts w:hint="eastAsia" w:ascii="宋体" w:hAnsi="宋体"/>
                <w:color w:val="auto"/>
                <w:spacing w:val="-7"/>
                <w:sz w:val="21"/>
                <w:szCs w:val="21"/>
              </w:rPr>
              <w:t>以来承担类似服务业绩的，每提供一份合同得2分，最高得</w:t>
            </w:r>
            <w:r>
              <w:rPr>
                <w:rFonts w:hint="eastAsia" w:ascii="宋体" w:hAnsi="宋体"/>
                <w:color w:val="auto"/>
                <w:spacing w:val="-7"/>
                <w:sz w:val="21"/>
                <w:szCs w:val="21"/>
                <w:lang w:val="en-US" w:eastAsia="zh-CN"/>
              </w:rPr>
              <w:t>6</w:t>
            </w:r>
            <w:r>
              <w:rPr>
                <w:rFonts w:hint="eastAsia" w:ascii="宋体" w:hAnsi="宋体"/>
                <w:color w:val="auto"/>
                <w:spacing w:val="-7"/>
                <w:sz w:val="21"/>
                <w:szCs w:val="21"/>
              </w:rPr>
              <w:t>分。（此项满分8分，提供相关合同、中标通知书扫描件以及中标网址截图）</w:t>
            </w:r>
          </w:p>
        </w:tc>
        <w:tc>
          <w:tcPr>
            <w:tcW w:w="540" w:type="dxa"/>
            <w:noWrap w:val="0"/>
            <w:vAlign w:val="top"/>
          </w:tcPr>
          <w:p>
            <w:pPr>
              <w:spacing w:before="69"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914" w:hRule="atLeast"/>
        </w:trPr>
        <w:tc>
          <w:tcPr>
            <w:tcW w:w="900" w:type="dxa"/>
            <w:vMerge w:val="restart"/>
            <w:noWrap w:val="0"/>
            <w:vAlign w:val="top"/>
          </w:tcPr>
          <w:p>
            <w:pPr>
              <w:spacing w:line="253"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line="254" w:lineRule="auto"/>
              <w:rPr>
                <w:rFonts w:ascii="宋体" w:hAnsi="宋体"/>
                <w:sz w:val="21"/>
                <w:szCs w:val="21"/>
              </w:rPr>
            </w:pPr>
          </w:p>
          <w:p>
            <w:pPr>
              <w:spacing w:before="69" w:line="274" w:lineRule="auto"/>
              <w:ind w:right="116"/>
              <w:rPr>
                <w:rFonts w:ascii="宋体" w:hAnsi="宋体"/>
                <w:sz w:val="21"/>
                <w:szCs w:val="21"/>
              </w:rPr>
            </w:pPr>
            <w:r>
              <w:rPr>
                <w:rFonts w:hint="eastAsia" w:ascii="宋体" w:hAnsi="宋体"/>
                <w:spacing w:val="1"/>
                <w:sz w:val="21"/>
                <w:szCs w:val="21"/>
              </w:rPr>
              <w:t>企业综合</w:t>
            </w:r>
            <w:r>
              <w:rPr>
                <w:rFonts w:hint="eastAsia" w:ascii="宋体" w:hAnsi="宋体"/>
                <w:spacing w:val="9"/>
                <w:sz w:val="21"/>
                <w:szCs w:val="21"/>
              </w:rPr>
              <w:t>实力</w:t>
            </w:r>
            <w:r>
              <w:rPr>
                <w:rFonts w:hint="eastAsia" w:ascii="宋体" w:hAnsi="宋体"/>
                <w:spacing w:val="-5"/>
                <w:sz w:val="21"/>
                <w:szCs w:val="21"/>
              </w:rPr>
              <w:t>2</w:t>
            </w:r>
            <w:r>
              <w:rPr>
                <w:rFonts w:hint="eastAsia" w:ascii="宋体" w:hAnsi="宋体"/>
                <w:spacing w:val="-5"/>
                <w:sz w:val="21"/>
                <w:szCs w:val="21"/>
                <w:lang w:val="en-US" w:eastAsia="zh-CN"/>
              </w:rPr>
              <w:t>4</w:t>
            </w:r>
            <w:r>
              <w:rPr>
                <w:rFonts w:hint="eastAsia" w:ascii="宋体" w:hAnsi="宋体"/>
                <w:spacing w:val="-5"/>
                <w:sz w:val="21"/>
                <w:szCs w:val="21"/>
              </w:rPr>
              <w:t>分</w:t>
            </w:r>
          </w:p>
        </w:tc>
        <w:tc>
          <w:tcPr>
            <w:tcW w:w="1080" w:type="dxa"/>
            <w:noWrap w:val="0"/>
            <w:vAlign w:val="top"/>
          </w:tcPr>
          <w:p>
            <w:pPr>
              <w:spacing w:line="272" w:lineRule="auto"/>
              <w:rPr>
                <w:rFonts w:ascii="宋体" w:hAnsi="宋体"/>
                <w:sz w:val="21"/>
                <w:szCs w:val="21"/>
              </w:rPr>
            </w:pPr>
          </w:p>
          <w:p>
            <w:pPr>
              <w:spacing w:line="272"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line="273" w:lineRule="auto"/>
              <w:rPr>
                <w:rFonts w:ascii="宋体" w:hAnsi="宋体"/>
                <w:sz w:val="21"/>
                <w:szCs w:val="21"/>
              </w:rPr>
            </w:pPr>
          </w:p>
          <w:p>
            <w:pPr>
              <w:spacing w:before="68" w:line="184" w:lineRule="auto"/>
              <w:rPr>
                <w:rFonts w:ascii="宋体" w:hAnsi="宋体"/>
                <w:sz w:val="21"/>
                <w:szCs w:val="21"/>
              </w:rPr>
            </w:pPr>
            <w:r>
              <w:rPr>
                <w:rFonts w:hint="eastAsia" w:ascii="宋体" w:hAnsi="宋体"/>
                <w:sz w:val="21"/>
                <w:szCs w:val="21"/>
              </w:rPr>
              <w:t>实验仪器</w:t>
            </w:r>
          </w:p>
        </w:tc>
        <w:tc>
          <w:tcPr>
            <w:tcW w:w="7380" w:type="dxa"/>
            <w:noWrap w:val="0"/>
            <w:vAlign w:val="top"/>
          </w:tcPr>
          <w:p>
            <w:pPr>
              <w:spacing w:before="281" w:line="360" w:lineRule="auto"/>
              <w:ind w:right="81"/>
              <w:rPr>
                <w:rFonts w:ascii="宋体" w:hAnsi="宋体"/>
                <w:sz w:val="21"/>
                <w:szCs w:val="21"/>
              </w:rPr>
            </w:pPr>
            <w:r>
              <w:rPr>
                <w:rFonts w:hint="eastAsia" w:ascii="宋体" w:hAnsi="宋体"/>
                <w:spacing w:val="-3"/>
                <w:sz w:val="21"/>
                <w:szCs w:val="21"/>
                <w:lang w:eastAsia="zh-CN"/>
              </w:rPr>
              <w:t>供应商</w:t>
            </w:r>
            <w:r>
              <w:rPr>
                <w:rFonts w:hint="eastAsia" w:ascii="宋体" w:hAnsi="宋体"/>
                <w:spacing w:val="-3"/>
                <w:sz w:val="21"/>
                <w:szCs w:val="21"/>
              </w:rPr>
              <w:t>至少应具备以下检验及相关设备：</w:t>
            </w:r>
            <w:r>
              <w:rPr>
                <w:rFonts w:ascii="宋体" w:hAnsi="宋体"/>
                <w:spacing w:val="-3"/>
                <w:sz w:val="21"/>
                <w:szCs w:val="21"/>
              </w:rPr>
              <w:t>GC</w:t>
            </w:r>
            <w:r>
              <w:rPr>
                <w:rFonts w:hint="eastAsia" w:ascii="宋体" w:hAnsi="宋体"/>
                <w:spacing w:val="-3"/>
                <w:sz w:val="21"/>
                <w:szCs w:val="21"/>
              </w:rPr>
              <w:t>（气相色谱仪）、</w:t>
            </w:r>
            <w:r>
              <w:rPr>
                <w:rFonts w:ascii="宋体" w:hAnsi="宋体"/>
                <w:spacing w:val="-3"/>
                <w:sz w:val="21"/>
                <w:szCs w:val="21"/>
              </w:rPr>
              <w:t>GC/MS</w:t>
            </w:r>
            <w:r>
              <w:rPr>
                <w:rFonts w:hint="eastAsia" w:ascii="宋体" w:hAnsi="宋体"/>
                <w:spacing w:val="-3"/>
                <w:sz w:val="21"/>
                <w:szCs w:val="21"/>
              </w:rPr>
              <w:t>（气</w:t>
            </w:r>
            <w:r>
              <w:rPr>
                <w:rFonts w:hint="eastAsia" w:ascii="宋体" w:hAnsi="宋体"/>
                <w:spacing w:val="-4"/>
                <w:sz w:val="21"/>
                <w:szCs w:val="21"/>
              </w:rPr>
              <w:t>相色谱</w:t>
            </w:r>
            <w:r>
              <w:rPr>
                <w:rFonts w:ascii="宋体" w:hAnsi="宋体"/>
                <w:spacing w:val="-4"/>
                <w:sz w:val="21"/>
                <w:szCs w:val="21"/>
              </w:rPr>
              <w:t>/</w:t>
            </w:r>
            <w:r>
              <w:rPr>
                <w:rFonts w:hint="eastAsia" w:ascii="宋体" w:hAnsi="宋体"/>
                <w:spacing w:val="-4"/>
                <w:sz w:val="21"/>
                <w:szCs w:val="21"/>
              </w:rPr>
              <w:t>质谱联用仪）、</w:t>
            </w:r>
            <w:r>
              <w:rPr>
                <w:rFonts w:ascii="宋体" w:hAnsi="宋体"/>
                <w:spacing w:val="-4"/>
                <w:sz w:val="21"/>
                <w:szCs w:val="21"/>
              </w:rPr>
              <w:t>HPLC</w:t>
            </w:r>
            <w:r>
              <w:rPr>
                <w:rFonts w:hint="eastAsia" w:ascii="宋体" w:hAnsi="宋体"/>
                <w:spacing w:val="-4"/>
                <w:sz w:val="21"/>
                <w:szCs w:val="21"/>
              </w:rPr>
              <w:t>（液相色谱仪）、</w:t>
            </w:r>
            <w:r>
              <w:rPr>
                <w:rFonts w:ascii="宋体" w:hAnsi="宋体"/>
                <w:spacing w:val="-4"/>
                <w:sz w:val="21"/>
                <w:szCs w:val="21"/>
              </w:rPr>
              <w:t>LC/MS/MS(</w:t>
            </w:r>
            <w:r>
              <w:rPr>
                <w:rFonts w:hint="eastAsia" w:ascii="宋体" w:hAnsi="宋体"/>
                <w:spacing w:val="-4"/>
                <w:sz w:val="21"/>
                <w:szCs w:val="21"/>
              </w:rPr>
              <w:t>液相色谱</w:t>
            </w:r>
            <w:r>
              <w:rPr>
                <w:rFonts w:ascii="宋体" w:hAnsi="宋体"/>
                <w:spacing w:val="5"/>
                <w:sz w:val="21"/>
                <w:szCs w:val="21"/>
              </w:rPr>
              <w:t>/</w:t>
            </w:r>
            <w:r>
              <w:rPr>
                <w:rFonts w:hint="eastAsia" w:ascii="宋体" w:hAnsi="宋体"/>
                <w:spacing w:val="5"/>
                <w:sz w:val="21"/>
                <w:szCs w:val="21"/>
              </w:rPr>
              <w:t>串级质谱联用仪</w:t>
            </w:r>
            <w:r>
              <w:rPr>
                <w:rFonts w:ascii="宋体" w:hAnsi="宋体"/>
                <w:spacing w:val="5"/>
                <w:sz w:val="21"/>
                <w:szCs w:val="21"/>
              </w:rPr>
              <w:t>)</w:t>
            </w:r>
            <w:r>
              <w:rPr>
                <w:rFonts w:hint="eastAsia" w:ascii="宋体" w:hAnsi="宋体"/>
                <w:spacing w:val="5"/>
                <w:sz w:val="21"/>
                <w:szCs w:val="21"/>
              </w:rPr>
              <w:t>、</w:t>
            </w:r>
            <w:r>
              <w:rPr>
                <w:rFonts w:ascii="宋体" w:hAnsi="宋体"/>
                <w:spacing w:val="5"/>
                <w:sz w:val="21"/>
                <w:szCs w:val="21"/>
              </w:rPr>
              <w:t>ICP-OES</w:t>
            </w:r>
            <w:r>
              <w:rPr>
                <w:rFonts w:hint="eastAsia" w:ascii="宋体" w:hAnsi="宋体"/>
                <w:spacing w:val="5"/>
                <w:sz w:val="21"/>
                <w:szCs w:val="21"/>
              </w:rPr>
              <w:t>电感耦合等离子体发射光谱仪、</w:t>
            </w:r>
            <w:r>
              <w:rPr>
                <w:rFonts w:ascii="宋体" w:hAnsi="宋体"/>
                <w:spacing w:val="5"/>
                <w:sz w:val="21"/>
                <w:szCs w:val="21"/>
              </w:rPr>
              <w:t>AAS</w:t>
            </w:r>
            <w:r>
              <w:rPr>
                <w:rFonts w:hint="eastAsia" w:ascii="宋体" w:hAnsi="宋体"/>
                <w:spacing w:val="5"/>
                <w:sz w:val="21"/>
                <w:szCs w:val="21"/>
              </w:rPr>
              <w:t>（原子</w:t>
            </w:r>
            <w:r>
              <w:rPr>
                <w:rFonts w:hint="eastAsia" w:ascii="宋体" w:hAnsi="宋体"/>
                <w:spacing w:val="1"/>
                <w:sz w:val="21"/>
                <w:szCs w:val="21"/>
              </w:rPr>
              <w:t>吸收光谱仪）、离子色谱仪、</w:t>
            </w:r>
            <w:r>
              <w:rPr>
                <w:rFonts w:ascii="宋体" w:hAnsi="宋体"/>
                <w:spacing w:val="1"/>
                <w:sz w:val="21"/>
                <w:szCs w:val="21"/>
              </w:rPr>
              <w:t>ICP-MS</w:t>
            </w:r>
            <w:r>
              <w:rPr>
                <w:rFonts w:hint="eastAsia" w:ascii="宋体" w:hAnsi="宋体"/>
                <w:spacing w:val="1"/>
                <w:sz w:val="21"/>
                <w:szCs w:val="21"/>
              </w:rPr>
              <w:t>电感耦合等离子体发射质谱仪、</w:t>
            </w:r>
            <w:r>
              <w:rPr>
                <w:rFonts w:ascii="宋体" w:hAnsi="宋体"/>
                <w:spacing w:val="1"/>
                <w:sz w:val="21"/>
                <w:szCs w:val="21"/>
              </w:rPr>
              <w:t>UV</w:t>
            </w:r>
            <w:r>
              <w:rPr>
                <w:rFonts w:hint="eastAsia" w:ascii="宋体" w:hAnsi="宋体"/>
                <w:spacing w:val="-3"/>
                <w:sz w:val="21"/>
                <w:szCs w:val="21"/>
              </w:rPr>
              <w:t>（紫外分光光度计）、</w:t>
            </w:r>
            <w:r>
              <w:rPr>
                <w:rFonts w:ascii="宋体" w:hAnsi="宋体"/>
                <w:spacing w:val="-3"/>
                <w:sz w:val="21"/>
                <w:szCs w:val="21"/>
              </w:rPr>
              <w:t>AFS</w:t>
            </w:r>
            <w:r>
              <w:rPr>
                <w:rFonts w:hint="eastAsia" w:ascii="宋体" w:hAnsi="宋体"/>
                <w:spacing w:val="-3"/>
                <w:sz w:val="21"/>
                <w:szCs w:val="21"/>
              </w:rPr>
              <w:t>（原子荧光分光光度计）、自动电位滴定仪、</w:t>
            </w:r>
            <w:r>
              <w:rPr>
                <w:rFonts w:hint="eastAsia" w:ascii="宋体" w:hAnsi="宋体"/>
                <w:spacing w:val="5"/>
                <w:sz w:val="21"/>
                <w:szCs w:val="21"/>
              </w:rPr>
              <w:t>酶标仪。</w:t>
            </w:r>
          </w:p>
          <w:p>
            <w:pPr>
              <w:spacing w:before="61" w:line="360" w:lineRule="auto"/>
              <w:ind w:right="22"/>
              <w:rPr>
                <w:rFonts w:ascii="宋体" w:hAnsi="宋体"/>
                <w:sz w:val="21"/>
                <w:szCs w:val="21"/>
              </w:rPr>
            </w:pPr>
            <w:r>
              <w:rPr>
                <w:rFonts w:hint="eastAsia" w:ascii="宋体" w:hAnsi="宋体"/>
                <w:sz w:val="21"/>
                <w:szCs w:val="21"/>
              </w:rPr>
              <w:t>上述设备中，</w:t>
            </w:r>
            <w:r>
              <w:rPr>
                <w:rFonts w:hint="eastAsia" w:ascii="宋体" w:hAnsi="宋体"/>
                <w:sz w:val="21"/>
                <w:szCs w:val="21"/>
                <w:lang w:eastAsia="zh-CN"/>
              </w:rPr>
              <w:t>供应商</w:t>
            </w:r>
            <w:r>
              <w:rPr>
                <w:rFonts w:hint="eastAsia" w:ascii="宋体" w:hAnsi="宋体"/>
                <w:sz w:val="21"/>
                <w:szCs w:val="21"/>
              </w:rPr>
              <w:t>具有以上全部设备得12分，其中每少一种扣1分，扣</w:t>
            </w:r>
            <w:r>
              <w:rPr>
                <w:rFonts w:hint="eastAsia" w:ascii="宋体" w:hAnsi="宋体"/>
                <w:spacing w:val="-2"/>
                <w:sz w:val="21"/>
                <w:szCs w:val="21"/>
              </w:rPr>
              <w:t>完为止。（须提供相关设备名称、实物照片、品牌型号、功能、购进票据，</w:t>
            </w:r>
            <w:r>
              <w:rPr>
                <w:rFonts w:hint="eastAsia" w:ascii="宋体" w:hAnsi="宋体"/>
                <w:spacing w:val="5"/>
                <w:sz w:val="21"/>
                <w:szCs w:val="21"/>
              </w:rPr>
              <w:t>投标文件中附扫描件（发票或采购合同</w:t>
            </w:r>
            <w:r>
              <w:rPr>
                <w:rFonts w:hint="eastAsia" w:ascii="宋体" w:hAnsi="宋体"/>
                <w:spacing w:val="-58"/>
                <w:sz w:val="21"/>
                <w:szCs w:val="21"/>
              </w:rPr>
              <w:t>））</w:t>
            </w:r>
            <w:r>
              <w:rPr>
                <w:rFonts w:hint="eastAsia" w:ascii="宋体" w:hAnsi="宋体"/>
                <w:spacing w:val="5"/>
                <w:sz w:val="21"/>
                <w:szCs w:val="21"/>
              </w:rPr>
              <w:t>。</w:t>
            </w:r>
          </w:p>
        </w:tc>
        <w:tc>
          <w:tcPr>
            <w:tcW w:w="540" w:type="dxa"/>
            <w:noWrap w:val="0"/>
            <w:vAlign w:val="top"/>
          </w:tcPr>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2" w:lineRule="auto"/>
              <w:rPr>
                <w:rFonts w:ascii="宋体" w:hAnsi="宋体"/>
                <w:sz w:val="21"/>
                <w:szCs w:val="21"/>
              </w:rPr>
            </w:pPr>
          </w:p>
          <w:p>
            <w:pPr>
              <w:spacing w:line="243" w:lineRule="auto"/>
              <w:rPr>
                <w:rFonts w:ascii="宋体" w:hAnsi="宋体"/>
                <w:sz w:val="21"/>
                <w:szCs w:val="21"/>
              </w:rPr>
            </w:pPr>
          </w:p>
          <w:p>
            <w:pPr>
              <w:spacing w:before="69" w:line="180" w:lineRule="auto"/>
              <w:rPr>
                <w:rFonts w:ascii="宋体" w:hAnsi="宋体"/>
                <w:sz w:val="21"/>
                <w:szCs w:val="21"/>
              </w:rPr>
            </w:pPr>
            <w:r>
              <w:rPr>
                <w:rFonts w:hint="eastAsia" w:ascii="宋体" w:hAnsi="宋体"/>
                <w:sz w:val="21"/>
                <w:szCs w:val="21"/>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328" w:hRule="atLeast"/>
        </w:trPr>
        <w:tc>
          <w:tcPr>
            <w:tcW w:w="900" w:type="dxa"/>
            <w:vMerge w:val="continue"/>
            <w:noWrap w:val="0"/>
            <w:vAlign w:val="top"/>
          </w:tcPr>
          <w:p>
            <w:pPr>
              <w:rPr>
                <w:rFonts w:ascii="宋体" w:hAnsi="宋体"/>
                <w:sz w:val="21"/>
                <w:szCs w:val="21"/>
              </w:rPr>
            </w:pPr>
          </w:p>
        </w:tc>
        <w:tc>
          <w:tcPr>
            <w:tcW w:w="1080" w:type="dxa"/>
            <w:vMerge w:val="restart"/>
            <w:noWrap w:val="0"/>
            <w:vAlign w:val="top"/>
          </w:tcPr>
          <w:p>
            <w:pPr>
              <w:spacing w:line="252" w:lineRule="auto"/>
              <w:rPr>
                <w:rFonts w:ascii="宋体" w:hAnsi="宋体"/>
                <w:sz w:val="21"/>
                <w:szCs w:val="21"/>
              </w:rPr>
            </w:pPr>
          </w:p>
          <w:p>
            <w:pPr>
              <w:spacing w:line="253" w:lineRule="auto"/>
              <w:rPr>
                <w:rFonts w:ascii="宋体" w:hAnsi="宋体"/>
                <w:sz w:val="21"/>
                <w:szCs w:val="21"/>
              </w:rPr>
            </w:pPr>
            <w:r>
              <w:rPr>
                <w:rFonts w:hint="eastAsia" w:ascii="宋体" w:hAnsi="宋体"/>
                <w:sz w:val="21"/>
                <w:szCs w:val="21"/>
              </w:rPr>
              <w:t>人员设备</w:t>
            </w:r>
          </w:p>
          <w:p>
            <w:pPr>
              <w:spacing w:before="68" w:line="184" w:lineRule="auto"/>
              <w:rPr>
                <w:rFonts w:ascii="宋体" w:hAnsi="宋体"/>
                <w:sz w:val="21"/>
                <w:szCs w:val="21"/>
              </w:rPr>
            </w:pPr>
          </w:p>
        </w:tc>
        <w:tc>
          <w:tcPr>
            <w:tcW w:w="7380" w:type="dxa"/>
            <w:noWrap w:val="0"/>
            <w:vAlign w:val="top"/>
          </w:tcPr>
          <w:p>
            <w:pPr>
              <w:spacing w:before="286" w:line="360" w:lineRule="auto"/>
              <w:ind w:right="16"/>
              <w:rPr>
                <w:rFonts w:ascii="宋体" w:hAnsi="宋体"/>
                <w:sz w:val="21"/>
                <w:szCs w:val="21"/>
              </w:rPr>
            </w:pPr>
            <w:r>
              <w:rPr>
                <w:rFonts w:hint="eastAsia" w:ascii="宋体" w:hAnsi="宋体"/>
                <w:sz w:val="21"/>
                <w:szCs w:val="21"/>
                <w:lang w:eastAsia="zh-CN"/>
              </w:rPr>
              <w:t>供应商</w:t>
            </w:r>
            <w:r>
              <w:rPr>
                <w:rFonts w:hint="eastAsia" w:ascii="宋体" w:hAnsi="宋体"/>
                <w:sz w:val="21"/>
                <w:szCs w:val="21"/>
              </w:rPr>
              <w:t>应具备与承担任务相适应的检验人员、抽样专业人员。提供项目相关人员名单及社保缴纳证明，得</w:t>
            </w:r>
            <w:r>
              <w:rPr>
                <w:rFonts w:hint="eastAsia" w:ascii="宋体" w:hAnsi="宋体"/>
                <w:sz w:val="21"/>
                <w:szCs w:val="21"/>
                <w:lang w:val="en-US" w:eastAsia="zh-CN"/>
              </w:rPr>
              <w:t>6</w:t>
            </w:r>
            <w:r>
              <w:rPr>
                <w:rFonts w:hint="eastAsia" w:ascii="宋体" w:hAnsi="宋体"/>
                <w:sz w:val="21"/>
                <w:szCs w:val="21"/>
              </w:rPr>
              <w:t>分，不提供不得分。</w:t>
            </w:r>
          </w:p>
        </w:tc>
        <w:tc>
          <w:tcPr>
            <w:tcW w:w="540" w:type="dxa"/>
            <w:noWrap w:val="0"/>
            <w:vAlign w:val="top"/>
          </w:tcPr>
          <w:p>
            <w:pPr>
              <w:spacing w:before="68" w:line="180" w:lineRule="auto"/>
              <w:rPr>
                <w:rFonts w:ascii="宋体" w:hAnsi="宋体"/>
                <w:sz w:val="21"/>
                <w:szCs w:val="21"/>
              </w:rPr>
            </w:pPr>
          </w:p>
          <w:p>
            <w:pPr>
              <w:spacing w:before="68"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537" w:hRule="atLeast"/>
        </w:trPr>
        <w:tc>
          <w:tcPr>
            <w:tcW w:w="900" w:type="dxa"/>
            <w:vMerge w:val="continue"/>
            <w:noWrap w:val="0"/>
            <w:vAlign w:val="top"/>
          </w:tcPr>
          <w:p>
            <w:pPr>
              <w:rPr>
                <w:rFonts w:ascii="宋体" w:hAnsi="宋体"/>
                <w:sz w:val="21"/>
                <w:szCs w:val="21"/>
              </w:rPr>
            </w:pPr>
          </w:p>
        </w:tc>
        <w:tc>
          <w:tcPr>
            <w:tcW w:w="1080" w:type="dxa"/>
            <w:vMerge w:val="continue"/>
            <w:noWrap w:val="0"/>
            <w:vAlign w:val="top"/>
          </w:tcPr>
          <w:p>
            <w:pPr>
              <w:rPr>
                <w:rFonts w:ascii="宋体" w:hAnsi="宋体"/>
                <w:sz w:val="21"/>
                <w:szCs w:val="21"/>
              </w:rPr>
            </w:pPr>
          </w:p>
        </w:tc>
        <w:tc>
          <w:tcPr>
            <w:tcW w:w="7380" w:type="dxa"/>
            <w:noWrap w:val="0"/>
            <w:vAlign w:val="top"/>
          </w:tcPr>
          <w:p>
            <w:pPr>
              <w:spacing w:before="55" w:line="360" w:lineRule="auto"/>
              <w:ind w:right="88"/>
              <w:rPr>
                <w:rFonts w:ascii="宋体" w:hAnsi="宋体"/>
                <w:spacing w:val="-7"/>
                <w:sz w:val="21"/>
                <w:szCs w:val="21"/>
                <w:highlight w:val="yellow"/>
              </w:rPr>
            </w:pPr>
            <w:r>
              <w:rPr>
                <w:rFonts w:hint="eastAsia" w:ascii="宋体" w:hAnsi="宋体"/>
                <w:spacing w:val="-7"/>
                <w:sz w:val="21"/>
                <w:szCs w:val="21"/>
                <w:lang w:eastAsia="zh-CN"/>
              </w:rPr>
              <w:t>供应商</w:t>
            </w:r>
            <w:r>
              <w:rPr>
                <w:rFonts w:hint="eastAsia" w:ascii="宋体" w:hAnsi="宋体"/>
                <w:spacing w:val="-7"/>
                <w:sz w:val="21"/>
                <w:szCs w:val="21"/>
              </w:rPr>
              <w:t>具备与承担任务相匹配的自有专职抽检用车（轿车除外）得2分，其中含一辆自有专职冷链车，得</w:t>
            </w:r>
            <w:r>
              <w:rPr>
                <w:rFonts w:hint="eastAsia" w:ascii="宋体" w:hAnsi="宋体"/>
                <w:spacing w:val="-7"/>
                <w:sz w:val="21"/>
                <w:szCs w:val="21"/>
                <w:lang w:val="en-US" w:eastAsia="zh-CN"/>
              </w:rPr>
              <w:t>3</w:t>
            </w:r>
            <w:r>
              <w:rPr>
                <w:rFonts w:hint="eastAsia" w:ascii="宋体" w:hAnsi="宋体"/>
                <w:spacing w:val="-7"/>
                <w:sz w:val="21"/>
                <w:szCs w:val="21"/>
              </w:rPr>
              <w:t>分，本项最高得</w:t>
            </w:r>
            <w:r>
              <w:rPr>
                <w:rFonts w:hint="eastAsia" w:ascii="宋体" w:hAnsi="宋体"/>
                <w:spacing w:val="-7"/>
                <w:sz w:val="21"/>
                <w:szCs w:val="21"/>
                <w:lang w:val="en-US" w:eastAsia="zh-CN"/>
              </w:rPr>
              <w:t>6</w:t>
            </w:r>
            <w:r>
              <w:rPr>
                <w:rFonts w:hint="eastAsia" w:ascii="宋体" w:hAnsi="宋体"/>
                <w:spacing w:val="-7"/>
                <w:sz w:val="21"/>
                <w:szCs w:val="21"/>
              </w:rPr>
              <w:t>分。否则此项不得分；</w:t>
            </w:r>
          </w:p>
          <w:p>
            <w:pPr>
              <w:spacing w:before="55" w:line="360" w:lineRule="auto"/>
              <w:ind w:right="88"/>
              <w:rPr>
                <w:rFonts w:ascii="宋体" w:hAnsi="宋体"/>
                <w:spacing w:val="4"/>
                <w:sz w:val="21"/>
                <w:szCs w:val="21"/>
              </w:rPr>
            </w:pPr>
            <w:r>
              <w:rPr>
                <w:rFonts w:hint="eastAsia" w:ascii="宋体" w:hAnsi="宋体"/>
                <w:spacing w:val="-7"/>
                <w:sz w:val="21"/>
                <w:szCs w:val="21"/>
              </w:rPr>
              <w:t>（</w:t>
            </w:r>
            <w:r>
              <w:rPr>
                <w:rFonts w:hint="eastAsia" w:ascii="宋体" w:hAnsi="宋体"/>
                <w:spacing w:val="-7"/>
                <w:sz w:val="21"/>
                <w:szCs w:val="21"/>
                <w:lang w:eastAsia="zh-CN"/>
              </w:rPr>
              <w:t>响应</w:t>
            </w:r>
            <w:r>
              <w:rPr>
                <w:rFonts w:hint="eastAsia" w:ascii="宋体" w:hAnsi="宋体"/>
                <w:spacing w:val="-7"/>
                <w:sz w:val="21"/>
                <w:szCs w:val="21"/>
              </w:rPr>
              <w:t>文件中附发票以及车辆照片，否则不得分。）</w:t>
            </w:r>
          </w:p>
        </w:tc>
        <w:tc>
          <w:tcPr>
            <w:tcW w:w="540" w:type="dxa"/>
            <w:noWrap w:val="0"/>
            <w:vAlign w:val="top"/>
          </w:tcPr>
          <w:p>
            <w:pPr>
              <w:spacing w:line="273" w:lineRule="auto"/>
              <w:rPr>
                <w:rFonts w:ascii="宋体" w:hAnsi="宋体"/>
                <w:sz w:val="21"/>
                <w:szCs w:val="21"/>
              </w:rPr>
            </w:pPr>
          </w:p>
          <w:p>
            <w:pPr>
              <w:spacing w:line="273" w:lineRule="auto"/>
              <w:rPr>
                <w:rFonts w:ascii="宋体" w:hAnsi="宋体"/>
                <w:sz w:val="21"/>
                <w:szCs w:val="21"/>
              </w:rPr>
            </w:pPr>
          </w:p>
          <w:p>
            <w:pPr>
              <w:spacing w:before="68" w:line="180" w:lineRule="auto"/>
              <w:rPr>
                <w:rFonts w:hint="eastAsia" w:ascii="宋体" w:hAnsi="宋体" w:eastAsia="宋体"/>
                <w:sz w:val="21"/>
                <w:szCs w:val="21"/>
                <w:lang w:eastAsia="zh-CN"/>
              </w:rPr>
            </w:pPr>
            <w:r>
              <w:rPr>
                <w:rFonts w:hint="eastAsia" w:ascii="宋体" w:hAnsi="宋体"/>
                <w:sz w:val="21"/>
                <w:szCs w:val="21"/>
                <w:lang w:val="en-US" w:eastAsia="zh-CN"/>
              </w:rPr>
              <w:t>6</w:t>
            </w:r>
          </w:p>
        </w:tc>
      </w:tr>
    </w:tbl>
    <w:p>
      <w:pPr>
        <w:pStyle w:val="2"/>
        <w:rPr>
          <w:rFonts w:hint="eastAsia"/>
        </w:rPr>
      </w:pPr>
    </w:p>
    <w:p>
      <w:pPr>
        <w:spacing w:line="440" w:lineRule="exact"/>
        <w:rPr>
          <w:rFonts w:hint="eastAsia" w:ascii="宋体" w:hAnsi="宋体" w:cs="宋体"/>
          <w:szCs w:val="21"/>
        </w:rPr>
      </w:pPr>
      <w:r>
        <w:rPr>
          <w:rFonts w:hint="eastAsia" w:ascii="宋体" w:hAnsi="宋体" w:cs="宋体"/>
          <w:szCs w:val="21"/>
        </w:rPr>
        <w:t>注：</w:t>
      </w:r>
    </w:p>
    <w:p>
      <w:pPr>
        <w:spacing w:line="440" w:lineRule="exact"/>
        <w:ind w:firstLine="210" w:firstLineChars="100"/>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firstLine="210" w:firstLineChars="100"/>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56"/>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56"/>
        <w:rPr>
          <w:rFonts w:hint="eastAsia" w:ascii="宋体" w:hAnsi="宋体" w:cs="宋体"/>
          <w:szCs w:val="21"/>
        </w:rPr>
      </w:pPr>
    </w:p>
    <w:bookmarkEnd w:id="74"/>
    <w:bookmarkEnd w:id="75"/>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0" w:right="0" w:rightChars="0" w:firstLine="2240" w:firstLineChars="700"/>
        <w:jc w:val="both"/>
        <w:textAlignment w:val="auto"/>
        <w:outlineLvl w:val="0"/>
        <w:rPr>
          <w:rFonts w:hint="eastAsia" w:ascii="宋体" w:hAnsi="宋体" w:eastAsia="宋体" w:cs="宋体"/>
        </w:rPr>
      </w:pPr>
      <w:bookmarkStart w:id="76" w:name="_Toc218418181"/>
      <w:bookmarkStart w:id="77" w:name="_Toc214329890"/>
      <w:bookmarkStart w:id="78" w:name="_Toc153880771"/>
      <w:bookmarkStart w:id="79" w:name="_Toc373230031"/>
      <w:bookmarkStart w:id="80" w:name="_Toc374512418"/>
      <w:r>
        <w:rPr>
          <w:rFonts w:hint="eastAsia" w:ascii="宋体" w:hAnsi="宋体" w:cs="宋体"/>
          <w:lang w:val="en-US" w:eastAsia="zh-CN"/>
        </w:rPr>
        <w:t xml:space="preserve">第四章  </w:t>
      </w:r>
      <w:r>
        <w:rPr>
          <w:rFonts w:hint="eastAsia" w:ascii="宋体" w:hAnsi="宋体" w:eastAsia="宋体" w:cs="宋体"/>
        </w:rPr>
        <w:t>拟签订</w:t>
      </w:r>
      <w:r>
        <w:rPr>
          <w:rFonts w:hint="eastAsia" w:ascii="宋体" w:hAnsi="宋体" w:cs="宋体"/>
          <w:lang w:eastAsia="zh-CN"/>
        </w:rPr>
        <w:t>的</w:t>
      </w:r>
      <w:r>
        <w:rPr>
          <w:rFonts w:hint="eastAsia" w:ascii="宋体" w:hAnsi="宋体" w:eastAsia="宋体" w:cs="宋体"/>
        </w:rPr>
        <w:t>合同</w:t>
      </w:r>
      <w:r>
        <w:rPr>
          <w:rFonts w:hint="eastAsia" w:ascii="宋体" w:hAnsi="宋体" w:cs="宋体"/>
          <w:lang w:eastAsia="zh-CN"/>
        </w:rPr>
        <w:t>文本</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委托方：                            （以下简称甲方）</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受托方：                            （以下简称乙方）</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签订地点：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合同编号：</w:t>
      </w:r>
    </w:p>
    <w:p>
      <w:pPr>
        <w:autoSpaceDE w:val="0"/>
        <w:autoSpaceDN w:val="0"/>
        <w:adjustRightIn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参考《中华人民共和国政府采购法》《中华人民共和国</w:t>
      </w:r>
      <w:r>
        <w:rPr>
          <w:rFonts w:hint="eastAsia" w:ascii="宋体" w:hAnsi="宋体" w:eastAsia="宋体" w:cs="宋体"/>
          <w:color w:val="000000"/>
          <w:sz w:val="21"/>
          <w:szCs w:val="21"/>
          <w:lang w:eastAsia="zh-CN"/>
        </w:rPr>
        <w:t>民法典</w:t>
      </w:r>
      <w:r>
        <w:rPr>
          <w:rFonts w:hint="eastAsia" w:ascii="宋体" w:hAnsi="宋体" w:eastAsia="宋体" w:cs="宋体"/>
          <w:color w:val="000000"/>
          <w:sz w:val="21"/>
          <w:szCs w:val="21"/>
        </w:rPr>
        <w:t>》及有关法律法规，为维护双方的合法权益，甲、乙双方在平等互利、诚实信用的基础上，经友好协商，签订本合同，双方共同遵守执行。</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甲方为了按时、保质完成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项目，与乙方达成以下协议：</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一、甲方委托乙方完成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项目，该项目内容包括</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二、乙方接受委托并按国家相关法规政策要求，在</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三、合同总金额为人民币</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rPr>
        <w:t>四、付款方式：</w:t>
      </w:r>
      <w:r>
        <w:rPr>
          <w:rFonts w:hint="eastAsia" w:ascii="宋体" w:hAnsi="宋体" w:eastAsia="宋体" w:cs="宋体"/>
          <w:color w:val="000000"/>
          <w:sz w:val="21"/>
          <w:szCs w:val="21"/>
          <w:u w:val="single"/>
          <w:lang w:eastAsia="zh-CN"/>
        </w:rPr>
        <w:t>成交人</w:t>
      </w:r>
      <w:r>
        <w:rPr>
          <w:rFonts w:hint="eastAsia" w:ascii="宋体" w:hAnsi="宋体" w:eastAsia="宋体" w:cs="宋体"/>
          <w:color w:val="000000"/>
          <w:sz w:val="21"/>
          <w:szCs w:val="21"/>
          <w:u w:val="single"/>
        </w:rPr>
        <w:t>交出每批次检品的食品检验报告书后支付相应价款，以此类推直至全部工作任务结束后全部付清</w:t>
      </w:r>
      <w:r>
        <w:rPr>
          <w:rFonts w:hint="eastAsia" w:ascii="宋体" w:hAnsi="宋体" w:eastAsia="宋体" w:cs="宋体"/>
          <w:color w:val="auto"/>
          <w:sz w:val="21"/>
          <w:szCs w:val="21"/>
          <w:highlight w:val="none"/>
          <w:u w:val="single"/>
          <w:lang w:eastAsia="zh-CN"/>
        </w:rPr>
        <w:t>。</w:t>
      </w:r>
    </w:p>
    <w:p>
      <w:pPr>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五、服务期限：</w:t>
      </w:r>
      <w:r>
        <w:rPr>
          <w:rFonts w:hint="eastAsia" w:ascii="宋体" w:hAnsi="宋体" w:eastAsia="宋体" w:cs="宋体"/>
          <w:color w:val="000000"/>
          <w:sz w:val="21"/>
          <w:szCs w:val="21"/>
          <w:lang w:val="en-US" w:eastAsia="zh-CN"/>
        </w:rPr>
        <w:t>180日历天</w:t>
      </w:r>
      <w:r>
        <w:rPr>
          <w:rFonts w:hint="eastAsia" w:ascii="宋体" w:hAnsi="宋体" w:eastAsia="宋体" w:cs="宋体"/>
          <w:sz w:val="21"/>
          <w:szCs w:val="21"/>
        </w:rPr>
        <w:t>；</w:t>
      </w:r>
    </w:p>
    <w:p>
      <w:pPr>
        <w:spacing w:line="360" w:lineRule="auto"/>
        <w:jc w:val="left"/>
        <w:rPr>
          <w:rFonts w:hint="eastAsia" w:ascii="宋体" w:hAnsi="宋体" w:eastAsia="宋体" w:cs="宋体"/>
          <w:sz w:val="21"/>
          <w:szCs w:val="21"/>
        </w:rPr>
      </w:pPr>
      <w:r>
        <w:rPr>
          <w:rFonts w:hint="eastAsia" w:ascii="宋体" w:hAnsi="宋体" w:eastAsia="宋体" w:cs="宋体"/>
          <w:sz w:val="21"/>
          <w:szCs w:val="21"/>
        </w:rPr>
        <w:t>七、服务地点：武陟县；</w:t>
      </w:r>
    </w:p>
    <w:p>
      <w:pPr>
        <w:spacing w:line="360" w:lineRule="auto"/>
        <w:jc w:val="left"/>
        <w:rPr>
          <w:rFonts w:hint="default" w:ascii="宋体" w:hAnsi="宋体" w:eastAsia="宋体" w:cs="宋体"/>
          <w:color w:val="FF0000"/>
          <w:sz w:val="21"/>
          <w:szCs w:val="21"/>
          <w:u w:val="single"/>
          <w:lang w:val="en-US" w:eastAsia="zh-CN"/>
        </w:rPr>
      </w:pPr>
      <w:r>
        <w:rPr>
          <w:rFonts w:hint="eastAsia" w:ascii="宋体" w:hAnsi="宋体" w:eastAsia="宋体" w:cs="宋体"/>
          <w:color w:val="auto"/>
          <w:sz w:val="21"/>
          <w:szCs w:val="21"/>
        </w:rPr>
        <w:t>八、</w:t>
      </w:r>
      <w:r>
        <w:rPr>
          <w:rFonts w:hint="eastAsia" w:ascii="宋体" w:hAnsi="宋体" w:eastAsia="宋体" w:cs="宋体"/>
          <w:color w:val="auto"/>
          <w:sz w:val="21"/>
          <w:szCs w:val="21"/>
          <w:lang w:eastAsia="zh-CN"/>
        </w:rPr>
        <w:t>服务</w:t>
      </w:r>
      <w:r>
        <w:rPr>
          <w:rFonts w:hint="eastAsia" w:ascii="宋体" w:hAnsi="宋体" w:eastAsia="宋体" w:cs="宋体"/>
          <w:color w:val="auto"/>
          <w:sz w:val="21"/>
          <w:szCs w:val="21"/>
        </w:rPr>
        <w:t>内容：</w:t>
      </w:r>
      <w:r>
        <w:rPr>
          <w:rFonts w:hint="eastAsia" w:ascii="宋体" w:hAnsi="宋体"/>
          <w:sz w:val="24"/>
          <w:lang w:val="en-US" w:eastAsia="zh-CN"/>
        </w:rPr>
        <w:t>县市场监管局2023年需在本辖区内开展食品安全监督抽检任务。共分为2个包，其中一包为对武陟县农产品进行900批次抽样检测，二包为对武陟县小作坊食品、餐饮、流通食品、商超食品进行1700批次抽样检测</w:t>
      </w:r>
      <w:r>
        <w:rPr>
          <w:rFonts w:hint="eastAsia" w:ascii="宋体" w:hAnsi="宋体" w:eastAsia="宋体" w:cs="宋体"/>
          <w:color w:val="auto"/>
          <w:sz w:val="21"/>
          <w:szCs w:val="21"/>
          <w:lang w:val="en-US" w:eastAsia="zh-CN"/>
        </w:rPr>
        <w:t xml:space="preserve">。    </w:t>
      </w:r>
    </w:p>
    <w:p>
      <w:pPr>
        <w:spacing w:line="360" w:lineRule="auto"/>
        <w:jc w:val="left"/>
        <w:rPr>
          <w:rFonts w:hint="eastAsia" w:ascii="宋体" w:hAnsi="宋体" w:eastAsia="宋体" w:cs="宋体"/>
          <w:sz w:val="21"/>
          <w:szCs w:val="21"/>
        </w:rPr>
      </w:pPr>
      <w:r>
        <w:rPr>
          <w:rFonts w:hint="eastAsia" w:ascii="宋体" w:hAnsi="宋体" w:eastAsia="宋体" w:cs="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pStyle w:val="56"/>
        <w:rPr>
          <w:rFonts w:hint="default" w:ascii="宋体" w:hAnsi="宋体" w:eastAsia="宋体" w:cs="宋体"/>
          <w:sz w:val="21"/>
          <w:szCs w:val="21"/>
          <w:u w:val="single"/>
          <w:lang w:val="en-US"/>
        </w:rPr>
      </w:pPr>
      <w:r>
        <w:rPr>
          <w:rFonts w:hint="eastAsia" w:ascii="宋体" w:hAnsi="宋体" w:eastAsia="宋体" w:cs="宋体"/>
          <w:sz w:val="21"/>
          <w:szCs w:val="21"/>
        </w:rPr>
        <w:t>十、</w:t>
      </w:r>
      <w:r>
        <w:rPr>
          <w:rFonts w:hint="eastAsia" w:ascii="宋体" w:hAnsi="宋体" w:eastAsia="宋体" w:cs="宋体"/>
          <w:sz w:val="21"/>
          <w:szCs w:val="21"/>
          <w:lang w:eastAsia="zh-CN"/>
        </w:rPr>
        <w:t>其它要求：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十一、争议的解决</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如双方在履行合同时发生纠纷，应协商解决；协商不成，任何一方可向仲裁委员会申请仲裁或向项目所在地人民法院提起诉讼。</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十三、本合同一经双方法定代表人（或委托代理人）签字，并加盖公章即为生效。合同一式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份，甲乙双方各执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份、政府采购办及公共资源交易中心各执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份，效力相同。</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乙方： </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地址：</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法定代表人：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法定代表人：</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委托代理人：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委托代理人：</w:t>
      </w:r>
    </w:p>
    <w:p>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电话：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电话： </w:t>
      </w:r>
    </w:p>
    <w:p>
      <w:pPr>
        <w:pStyle w:val="22"/>
        <w:rPr>
          <w:rFonts w:hint="eastAsia" w:ascii="宋体" w:hAnsi="宋体" w:eastAsia="宋体" w:cs="宋体"/>
          <w:sz w:val="28"/>
          <w:szCs w:val="24"/>
        </w:rPr>
      </w:pPr>
      <w:r>
        <w:rPr>
          <w:rFonts w:hint="eastAsia" w:ascii="宋体" w:hAnsi="宋体" w:eastAsia="宋体" w:cs="宋体"/>
          <w:color w:val="000000"/>
          <w:sz w:val="21"/>
          <w:szCs w:val="21"/>
        </w:rPr>
        <w:t xml:space="preserve">日期：   年   月    日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日期：   年   月    日</w:t>
      </w: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bookmarkEnd w:id="76"/>
    <w:bookmarkEnd w:id="77"/>
    <w:bookmarkEnd w:id="78"/>
    <w:bookmarkEnd w:id="79"/>
    <w:bookmarkEnd w:id="80"/>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0" w:right="0" w:rightChars="0"/>
        <w:jc w:val="both"/>
        <w:textAlignment w:val="auto"/>
        <w:outlineLvl w:val="0"/>
        <w:rPr>
          <w:rFonts w:hint="eastAsia" w:ascii="宋体" w:hAnsi="宋体" w:eastAsia="宋体" w:cs="宋体"/>
        </w:rPr>
      </w:pPr>
      <w:bookmarkStart w:id="81" w:name="_Toc7461"/>
      <w:bookmarkStart w:id="82" w:name="_Toc19680"/>
      <w:r>
        <w:rPr>
          <w:rFonts w:hint="eastAsia" w:ascii="宋体" w:hAnsi="宋体" w:eastAsia="宋体" w:cs="宋体"/>
        </w:rPr>
        <w:br w:type="page"/>
      </w:r>
      <w:bookmarkStart w:id="83" w:name="_Toc24987"/>
      <w:r>
        <w:rPr>
          <w:rFonts w:hint="eastAsia" w:ascii="宋体" w:hAnsi="宋体" w:cs="宋体"/>
          <w:lang w:val="en-US" w:eastAsia="zh-CN"/>
        </w:rPr>
        <w:t xml:space="preserve">                  </w:t>
      </w:r>
      <w:r>
        <w:rPr>
          <w:rFonts w:hint="eastAsia" w:ascii="宋体" w:hAnsi="宋体" w:cs="宋体"/>
          <w:lang w:eastAsia="zh-CN"/>
        </w:rPr>
        <w:t>第五章</w:t>
      </w:r>
      <w:r>
        <w:rPr>
          <w:rFonts w:hint="eastAsia" w:ascii="宋体" w:hAnsi="宋体" w:cs="宋体"/>
          <w:lang w:val="en-US" w:eastAsia="zh-CN"/>
        </w:rPr>
        <w:t xml:space="preserve">   </w:t>
      </w:r>
      <w:r>
        <w:rPr>
          <w:rFonts w:hint="eastAsia" w:ascii="宋体" w:hAnsi="宋体" w:eastAsia="宋体" w:cs="宋体"/>
        </w:rPr>
        <w:t>采购需求</w:t>
      </w:r>
      <w:bookmarkEnd w:id="81"/>
      <w:bookmarkEnd w:id="82"/>
      <w:bookmarkEnd w:id="83"/>
    </w:p>
    <w:p>
      <w:pPr>
        <w:spacing w:line="400" w:lineRule="exact"/>
        <w:rPr>
          <w:rFonts w:hint="eastAsia" w:ascii="宋体" w:hAnsi="宋体" w:eastAsia="宋体" w:cs="宋体"/>
          <w:color w:val="auto"/>
        </w:rPr>
      </w:pPr>
      <w:bookmarkStart w:id="84" w:name="_Toc487805927"/>
      <w:bookmarkStart w:id="85" w:name="_Toc374512420"/>
      <w:bookmarkStart w:id="86" w:name="_Toc373230032"/>
      <w:bookmarkStart w:id="87" w:name="_Toc4426"/>
      <w:bookmarkStart w:id="88" w:name="_Toc11229"/>
      <w:bookmarkStart w:id="89" w:name="_Toc477423251"/>
    </w:p>
    <w:p>
      <w:pPr>
        <w:spacing w:line="360" w:lineRule="auto"/>
        <w:rPr>
          <w:rFonts w:ascii="宋体" w:hAnsi="宋体"/>
          <w:b/>
          <w:color w:val="000000"/>
          <w:sz w:val="32"/>
          <w:szCs w:val="32"/>
        </w:rPr>
      </w:pPr>
      <w:r>
        <w:rPr>
          <w:rFonts w:hint="eastAsia" w:ascii="宋体" w:hAnsi="宋体"/>
          <w:b/>
          <w:color w:val="000000"/>
          <w:sz w:val="32"/>
          <w:szCs w:val="32"/>
        </w:rPr>
        <w:t>一、相关说明</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本次采购内容如果要求的某些技术标准低于国家标准，均以最新的国家标准为准。招标技术要求中未明确的技术标准也均不得低于国家标准；</w:t>
      </w:r>
    </w:p>
    <w:p>
      <w:pPr>
        <w:spacing w:line="360" w:lineRule="auto"/>
        <w:rPr>
          <w:rFonts w:ascii="宋体" w:hAnsi="宋体"/>
          <w:bCs/>
          <w:sz w:val="30"/>
          <w:szCs w:val="30"/>
          <w:highlight w:val="yellow"/>
        </w:rPr>
      </w:pPr>
      <w:r>
        <w:rPr>
          <w:rFonts w:hint="eastAsia" w:ascii="宋体" w:hAnsi="宋体"/>
          <w:b/>
          <w:sz w:val="32"/>
          <w:szCs w:val="32"/>
        </w:rPr>
        <w:t>二、商务要求：</w:t>
      </w:r>
    </w:p>
    <w:p>
      <w:pPr>
        <w:autoSpaceDE w:val="0"/>
        <w:spacing w:line="50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lang w:eastAsia="zh-CN"/>
        </w:rPr>
        <w:t>服务</w:t>
      </w:r>
      <w:r>
        <w:rPr>
          <w:rFonts w:hint="eastAsia" w:ascii="宋体" w:hAnsi="宋体"/>
          <w:sz w:val="24"/>
        </w:rPr>
        <w:t>地点：</w:t>
      </w:r>
      <w:r>
        <w:rPr>
          <w:rFonts w:hint="eastAsia" w:ascii="宋体" w:hAnsi="宋体"/>
          <w:sz w:val="24"/>
          <w:lang w:val="en-US" w:eastAsia="zh-CN"/>
        </w:rPr>
        <w:t>武陟县辖区内</w:t>
      </w:r>
      <w:r>
        <w:rPr>
          <w:rFonts w:hint="eastAsia" w:ascii="宋体" w:hAnsi="宋体"/>
          <w:sz w:val="24"/>
        </w:rPr>
        <w:t>。</w:t>
      </w:r>
    </w:p>
    <w:p>
      <w:pPr>
        <w:autoSpaceDE w:val="0"/>
        <w:spacing w:line="500" w:lineRule="exact"/>
        <w:ind w:firstLine="480" w:firstLineChars="200"/>
        <w:rPr>
          <w:rFonts w:hint="eastAsia" w:ascii="宋体" w:hAnsi="宋体"/>
          <w:color w:val="auto"/>
          <w:sz w:val="24"/>
        </w:rPr>
      </w:pPr>
      <w:r>
        <w:rPr>
          <w:rFonts w:hint="eastAsia" w:ascii="宋体" w:hAnsi="宋体"/>
          <w:sz w:val="24"/>
          <w:lang w:val="en-US" w:eastAsia="zh-CN"/>
        </w:rPr>
        <w:t>2.</w:t>
      </w:r>
      <w:r>
        <w:rPr>
          <w:rFonts w:hint="eastAsia" w:ascii="宋体" w:hAnsi="宋体" w:eastAsia="宋体" w:cs="宋体"/>
          <w:color w:val="auto"/>
          <w:sz w:val="24"/>
          <w:szCs w:val="24"/>
          <w:lang w:val="en-US" w:eastAsia="zh-CN"/>
        </w:rPr>
        <w:t>合同履行期限</w:t>
      </w:r>
      <w:r>
        <w:rPr>
          <w:rFonts w:hint="eastAsia" w:ascii="宋体" w:hAnsi="宋体"/>
          <w:color w:val="auto"/>
          <w:sz w:val="24"/>
        </w:rPr>
        <w:t>：</w:t>
      </w:r>
      <w:r>
        <w:rPr>
          <w:rFonts w:hint="eastAsia" w:ascii="宋体" w:hAnsi="宋体"/>
          <w:color w:val="auto"/>
          <w:sz w:val="24"/>
          <w:lang w:val="en-US" w:eastAsia="zh-CN"/>
        </w:rPr>
        <w:t>180日</w:t>
      </w:r>
      <w:r>
        <w:rPr>
          <w:rFonts w:hint="eastAsia" w:ascii="宋体" w:hAnsi="宋体"/>
          <w:color w:val="auto"/>
          <w:sz w:val="24"/>
          <w:lang w:eastAsia="zh-CN"/>
        </w:rPr>
        <w:t>历天</w:t>
      </w:r>
      <w:r>
        <w:rPr>
          <w:rFonts w:hint="eastAsia" w:ascii="宋体" w:hAnsi="宋体"/>
          <w:color w:val="auto"/>
          <w:sz w:val="24"/>
        </w:rPr>
        <w:t>。</w:t>
      </w:r>
    </w:p>
    <w:p>
      <w:pPr>
        <w:autoSpaceDE w:val="0"/>
        <w:spacing w:line="500" w:lineRule="exact"/>
        <w:ind w:firstLine="480" w:firstLineChars="200"/>
        <w:rPr>
          <w:rFonts w:hint="eastAsia" w:ascii="宋体" w:hAnsi="宋体"/>
          <w:color w:val="auto"/>
          <w:sz w:val="24"/>
        </w:rPr>
      </w:pPr>
      <w:r>
        <w:rPr>
          <w:rFonts w:hint="eastAsia" w:ascii="宋体" w:hAnsi="宋体"/>
          <w:color w:val="auto"/>
          <w:sz w:val="24"/>
          <w:lang w:val="en-US" w:eastAsia="zh-CN"/>
        </w:rPr>
        <w:t>3.</w:t>
      </w:r>
      <w:r>
        <w:rPr>
          <w:rFonts w:hint="eastAsia" w:ascii="宋体" w:hAnsi="宋体"/>
          <w:color w:val="auto"/>
          <w:sz w:val="24"/>
        </w:rPr>
        <w:t>质量要求：</w:t>
      </w:r>
      <w:r>
        <w:rPr>
          <w:rFonts w:hint="eastAsia" w:ascii="宋体" w:hAnsi="宋体"/>
          <w:color w:val="auto"/>
          <w:sz w:val="24"/>
          <w:lang w:val="en-US" w:eastAsia="zh-CN"/>
        </w:rPr>
        <w:t>样品抽样、运输及贮存、检测方法、检测依据的法律法规和国家规定标准、判定原则与结论须符合最新国家食品安全监督抽检实施细则相关规定</w:t>
      </w:r>
      <w:r>
        <w:rPr>
          <w:rFonts w:hint="eastAsia" w:ascii="宋体" w:hAnsi="宋体"/>
          <w:color w:val="auto"/>
          <w:sz w:val="24"/>
        </w:rPr>
        <w:t>。</w:t>
      </w:r>
    </w:p>
    <w:p>
      <w:pPr>
        <w:spacing w:line="360" w:lineRule="auto"/>
        <w:ind w:firstLine="480" w:firstLineChars="200"/>
        <w:jc w:val="both"/>
        <w:rPr>
          <w:rFonts w:hint="eastAsia" w:ascii="宋体" w:hAnsi="宋体"/>
          <w:color w:val="auto"/>
          <w:sz w:val="24"/>
        </w:rPr>
      </w:pPr>
      <w:r>
        <w:rPr>
          <w:rFonts w:hint="eastAsia" w:ascii="宋体" w:hAnsi="宋体"/>
          <w:color w:val="auto"/>
          <w:sz w:val="24"/>
          <w:lang w:val="en-US" w:eastAsia="zh-CN"/>
        </w:rPr>
        <w:t>4.</w:t>
      </w:r>
      <w:r>
        <w:rPr>
          <w:rFonts w:hint="eastAsia" w:ascii="宋体" w:hAnsi="宋体"/>
          <w:color w:val="auto"/>
          <w:sz w:val="24"/>
        </w:rPr>
        <w:t>服务要求：</w:t>
      </w:r>
      <w:r>
        <w:rPr>
          <w:rFonts w:hint="eastAsia" w:ascii="宋体" w:hAnsi="宋体"/>
          <w:color w:val="auto"/>
          <w:sz w:val="24"/>
          <w:lang w:val="en-US" w:eastAsia="zh-CN"/>
        </w:rPr>
        <w:t>满足国家相关规范合格标准及采购人要求。</w:t>
      </w:r>
    </w:p>
    <w:p>
      <w:pPr>
        <w:spacing w:line="360" w:lineRule="auto"/>
        <w:ind w:firstLine="480" w:firstLineChars="200"/>
        <w:rPr>
          <w:rFonts w:ascii="宋体" w:hAnsi="宋体"/>
          <w:color w:val="auto"/>
          <w:sz w:val="24"/>
          <w:szCs w:val="24"/>
        </w:rPr>
      </w:pPr>
      <w:r>
        <w:rPr>
          <w:rFonts w:hint="eastAsia" w:ascii="宋体" w:hAnsi="宋体"/>
          <w:color w:val="auto"/>
          <w:sz w:val="24"/>
          <w:szCs w:val="24"/>
          <w:lang w:val="en-US" w:eastAsia="zh-CN"/>
        </w:rPr>
        <w:t>5</w:t>
      </w:r>
      <w:r>
        <w:rPr>
          <w:rFonts w:ascii="宋体" w:hAnsi="宋体"/>
          <w:color w:val="auto"/>
          <w:sz w:val="24"/>
          <w:szCs w:val="24"/>
        </w:rPr>
        <w:t>.</w:t>
      </w:r>
      <w:r>
        <w:rPr>
          <w:rFonts w:hint="eastAsia" w:ascii="宋体" w:hAnsi="宋体"/>
          <w:color w:val="auto"/>
          <w:sz w:val="24"/>
          <w:szCs w:val="24"/>
        </w:rPr>
        <w:t>付款方式：</w:t>
      </w:r>
      <w:r>
        <w:rPr>
          <w:rFonts w:hint="eastAsia" w:ascii="宋体" w:hAnsi="宋体"/>
          <w:color w:val="auto"/>
          <w:sz w:val="24"/>
          <w:szCs w:val="24"/>
          <w:lang w:eastAsia="zh-CN"/>
        </w:rPr>
        <w:t>成交人</w:t>
      </w:r>
      <w:r>
        <w:rPr>
          <w:rFonts w:hint="eastAsia" w:ascii="宋体" w:hAnsi="宋体"/>
          <w:color w:val="auto"/>
          <w:sz w:val="24"/>
          <w:szCs w:val="24"/>
        </w:rPr>
        <w:t>交出每批次检品的食品检验报告书后支付相应价款，以此类推直至全部工作任务结束后全部付清。</w:t>
      </w:r>
    </w:p>
    <w:p>
      <w:pPr>
        <w:spacing w:line="360" w:lineRule="auto"/>
        <w:rPr>
          <w:rFonts w:ascii="宋体" w:hAnsi="宋体"/>
          <w:b/>
          <w:sz w:val="32"/>
          <w:szCs w:val="32"/>
        </w:rPr>
      </w:pPr>
      <w:r>
        <w:rPr>
          <w:rFonts w:hint="eastAsia" w:ascii="宋体" w:hAnsi="宋体"/>
          <w:b/>
          <w:sz w:val="32"/>
          <w:szCs w:val="32"/>
        </w:rPr>
        <w:t>三、服务要求：</w:t>
      </w:r>
    </w:p>
    <w:p>
      <w:pPr>
        <w:spacing w:line="360" w:lineRule="auto"/>
        <w:ind w:firstLine="480" w:firstLineChars="200"/>
        <w:rPr>
          <w:rFonts w:ascii="宋体" w:hAnsi="宋体" w:cs="仿宋_GB2312"/>
          <w:sz w:val="24"/>
          <w:szCs w:val="24"/>
        </w:rPr>
      </w:pPr>
      <w:r>
        <w:rPr>
          <w:rFonts w:ascii="宋体" w:hAnsi="宋体" w:cs="仿宋_GB2312"/>
          <w:sz w:val="24"/>
          <w:szCs w:val="24"/>
        </w:rPr>
        <w:t>1.</w:t>
      </w:r>
      <w:r>
        <w:rPr>
          <w:rFonts w:hint="eastAsia" w:ascii="宋体" w:hAnsi="宋体" w:cs="仿宋_GB2312"/>
          <w:sz w:val="24"/>
          <w:szCs w:val="24"/>
        </w:rPr>
        <w:t>抽检时间及范围</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本次监督抽检计划的实施时间：从签订合同之日起到本年度结束之前全部完成。</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抽检范围为武陟县辖区内生产企业、批发市场、农贸市场、商场、超市、餐饮饭店等环节。抽检样品的品牌、厂家应在市民日常生活中占主导地位。</w:t>
      </w:r>
      <w:r>
        <w:rPr>
          <w:rFonts w:ascii="宋体" w:hAnsi="宋体" w:cs="仿宋_GB2312"/>
          <w:sz w:val="24"/>
          <w:szCs w:val="24"/>
        </w:rPr>
        <w:t xml:space="preserve">                                                                                                                                                </w:t>
      </w:r>
    </w:p>
    <w:p>
      <w:pPr>
        <w:spacing w:line="360" w:lineRule="auto"/>
        <w:ind w:firstLine="480" w:firstLineChars="200"/>
        <w:rPr>
          <w:rFonts w:ascii="宋体" w:hAnsi="宋体" w:cs="仿宋_GB2312"/>
          <w:sz w:val="24"/>
          <w:szCs w:val="24"/>
        </w:rPr>
      </w:pPr>
      <w:r>
        <w:rPr>
          <w:rFonts w:ascii="宋体" w:hAnsi="宋体" w:cs="仿宋_GB2312"/>
          <w:sz w:val="24"/>
          <w:szCs w:val="24"/>
        </w:rPr>
        <w:t>2.</w:t>
      </w:r>
      <w:r>
        <w:rPr>
          <w:rFonts w:hint="eastAsia" w:ascii="宋体" w:hAnsi="宋体" w:cs="仿宋_GB2312"/>
          <w:sz w:val="24"/>
          <w:szCs w:val="24"/>
        </w:rPr>
        <w:t>工作要求</w:t>
      </w:r>
    </w:p>
    <w:p>
      <w:pPr>
        <w:spacing w:line="360" w:lineRule="auto"/>
        <w:ind w:firstLine="480" w:firstLineChars="200"/>
        <w:rPr>
          <w:rFonts w:ascii="宋体" w:hAnsi="宋体"/>
          <w:color w:val="FF0000"/>
          <w:sz w:val="24"/>
          <w:szCs w:val="24"/>
        </w:rPr>
      </w:pPr>
      <w:r>
        <w:rPr>
          <w:rFonts w:hint="eastAsia" w:ascii="宋体" w:hAnsi="宋体" w:cs="仿宋_GB2312"/>
          <w:sz w:val="24"/>
          <w:szCs w:val="24"/>
        </w:rPr>
        <w:t>承接机构负责本次抽检计划的样品抽取、检验等全部工作。必须按照采购人提供的检测目录在</w:t>
      </w:r>
      <w:r>
        <w:rPr>
          <w:rFonts w:ascii="宋体" w:hAnsi="宋体" w:cs="仿宋_GB2312"/>
          <w:sz w:val="24"/>
          <w:szCs w:val="24"/>
        </w:rPr>
        <w:t>10</w:t>
      </w:r>
      <w:r>
        <w:rPr>
          <w:rFonts w:hint="eastAsia" w:ascii="宋体" w:hAnsi="宋体" w:cs="仿宋_GB2312"/>
          <w:sz w:val="24"/>
          <w:szCs w:val="24"/>
        </w:rPr>
        <w:t>日内，完成抽样及检测任务，若有复检须</w:t>
      </w:r>
      <w:r>
        <w:rPr>
          <w:rFonts w:hint="eastAsia" w:ascii="宋体" w:hAnsi="宋体" w:cs="仿宋_GB2312"/>
          <w:sz w:val="24"/>
          <w:szCs w:val="24"/>
          <w:lang w:eastAsia="zh-CN"/>
        </w:rPr>
        <w:t>供应商</w:t>
      </w:r>
      <w:r>
        <w:rPr>
          <w:rFonts w:hint="eastAsia" w:ascii="宋体" w:hAnsi="宋体" w:cs="仿宋_GB2312"/>
          <w:sz w:val="24"/>
          <w:szCs w:val="24"/>
        </w:rPr>
        <w:t>给予配合。具体抽样及检验工作要求，由承检机构严格按照国家食品药品监督管理总局、河南省食品药品监督管理局有关抽检管理规定执行。</w:t>
      </w:r>
    </w:p>
    <w:p>
      <w:pPr>
        <w:spacing w:line="360" w:lineRule="auto"/>
        <w:ind w:firstLine="480" w:firstLineChars="200"/>
        <w:rPr>
          <w:rFonts w:ascii="宋体" w:hAnsi="宋体" w:cs="仿宋_GB2312"/>
          <w:sz w:val="24"/>
          <w:szCs w:val="24"/>
        </w:rPr>
      </w:pPr>
      <w:r>
        <w:rPr>
          <w:rFonts w:ascii="宋体" w:hAnsi="宋体" w:cs="仿宋_GB2312"/>
          <w:sz w:val="24"/>
          <w:szCs w:val="24"/>
        </w:rPr>
        <w:t>3.</w:t>
      </w:r>
      <w:r>
        <w:rPr>
          <w:rFonts w:hint="eastAsia" w:ascii="宋体" w:hAnsi="宋体" w:cs="仿宋_GB2312"/>
          <w:sz w:val="24"/>
          <w:szCs w:val="24"/>
        </w:rPr>
        <w:t>结果报送</w:t>
      </w:r>
    </w:p>
    <w:p>
      <w:pPr>
        <w:spacing w:line="360" w:lineRule="auto"/>
        <w:ind w:firstLine="480" w:firstLineChars="200"/>
        <w:rPr>
          <w:rFonts w:ascii="宋体" w:hAnsi="宋体" w:cs="仿宋_GB2312"/>
          <w:sz w:val="24"/>
          <w:szCs w:val="24"/>
        </w:rPr>
      </w:pPr>
      <w:r>
        <w:rPr>
          <w:rFonts w:hint="eastAsia" w:ascii="宋体" w:hAnsi="宋体" w:cs="仿宋_GB2312"/>
          <w:sz w:val="24"/>
          <w:szCs w:val="24"/>
        </w:rPr>
        <w:t>本次抽查结果，承检机构要严格按照合同约定时间上报。检验报告、监督抽查汇总表、质量分析报告分别以纸质材料和电子文本的形式，也一并上报县食药局抽检办。</w:t>
      </w:r>
    </w:p>
    <w:p>
      <w:pPr>
        <w:spacing w:line="360" w:lineRule="auto"/>
        <w:ind w:firstLine="480" w:firstLineChars="200"/>
        <w:rPr>
          <w:rFonts w:ascii="宋体" w:hAnsi="宋体" w:cs="仿宋_GB2312"/>
          <w:sz w:val="24"/>
          <w:szCs w:val="24"/>
        </w:rPr>
      </w:pPr>
      <w:r>
        <w:rPr>
          <w:rFonts w:ascii="宋体" w:hAnsi="宋体" w:cs="仿宋_GB2312"/>
          <w:sz w:val="24"/>
          <w:szCs w:val="24"/>
        </w:rPr>
        <w:t>4.</w:t>
      </w:r>
      <w:r>
        <w:rPr>
          <w:rFonts w:hint="eastAsia" w:ascii="宋体" w:hAnsi="宋体" w:cs="仿宋_GB2312"/>
          <w:sz w:val="24"/>
          <w:szCs w:val="24"/>
        </w:rPr>
        <w:t>有关工作要求</w:t>
      </w:r>
    </w:p>
    <w:p>
      <w:pPr>
        <w:spacing w:line="360" w:lineRule="auto"/>
        <w:ind w:firstLine="480" w:firstLineChars="200"/>
        <w:rPr>
          <w:rFonts w:ascii="宋体" w:hAnsi="宋体" w:cs="仿宋_GB2312"/>
          <w:sz w:val="24"/>
          <w:szCs w:val="24"/>
        </w:rPr>
      </w:pPr>
      <w:r>
        <w:rPr>
          <w:rFonts w:ascii="宋体" w:hAnsi="宋体" w:cs="仿宋_GB2312"/>
          <w:sz w:val="24"/>
          <w:szCs w:val="24"/>
        </w:rPr>
        <w:t>4.1</w:t>
      </w:r>
      <w:r>
        <w:rPr>
          <w:rFonts w:hint="eastAsia" w:ascii="宋体" w:hAnsi="宋体" w:cs="仿宋_GB2312"/>
          <w:sz w:val="24"/>
          <w:szCs w:val="24"/>
        </w:rPr>
        <w:t>承检机构抽检时要严格工作纪律，依据有关规定抽检，不得由食品经营单位代抽送样，不得将检验结果直接报告给企业，不得出具虚假报告，确保抽检结果的真实性、客观性和准确性。</w:t>
      </w:r>
    </w:p>
    <w:p>
      <w:pPr>
        <w:spacing w:line="360" w:lineRule="auto"/>
        <w:ind w:firstLine="480" w:firstLineChars="200"/>
        <w:rPr>
          <w:rFonts w:ascii="宋体" w:hAnsi="宋体" w:cs="仿宋_GB2312"/>
          <w:sz w:val="24"/>
          <w:szCs w:val="24"/>
        </w:rPr>
      </w:pPr>
      <w:r>
        <w:rPr>
          <w:rFonts w:ascii="宋体" w:hAnsi="宋体" w:cs="仿宋_GB2312"/>
          <w:sz w:val="24"/>
          <w:szCs w:val="24"/>
        </w:rPr>
        <w:t>4.2</w:t>
      </w:r>
      <w:r>
        <w:rPr>
          <w:rFonts w:hint="eastAsia" w:ascii="宋体" w:hAnsi="宋体" w:cs="仿宋_GB2312"/>
          <w:sz w:val="24"/>
          <w:szCs w:val="24"/>
        </w:rPr>
        <w:t>抽检机构要严肃纪律，有关检验结果不得擅自对外公布。</w:t>
      </w:r>
    </w:p>
    <w:p>
      <w:pPr>
        <w:pStyle w:val="34"/>
        <w:numPr>
          <w:ilvl w:val="0"/>
          <w:numId w:val="17"/>
        </w:numPr>
        <w:spacing w:line="360" w:lineRule="auto"/>
        <w:ind w:right="-63" w:rightChars="-30" w:firstLine="480" w:firstLineChars="200"/>
        <w:jc w:val="left"/>
        <w:rPr>
          <w:rFonts w:hint="eastAsia" w:ascii="宋体" w:hAnsi="宋体"/>
          <w:b w:val="0"/>
          <w:bCs w:val="0"/>
          <w:sz w:val="24"/>
          <w:szCs w:val="24"/>
        </w:rPr>
      </w:pPr>
      <w:bookmarkStart w:id="90" w:name="_Toc21208"/>
      <w:bookmarkStart w:id="91" w:name="_Toc27676"/>
      <w:bookmarkStart w:id="92" w:name="_Toc29875"/>
      <w:r>
        <w:rPr>
          <w:rFonts w:hint="eastAsia" w:ascii="宋体" w:hAnsi="宋体"/>
          <w:b w:val="0"/>
          <w:bCs w:val="0"/>
          <w:sz w:val="24"/>
          <w:szCs w:val="24"/>
        </w:rPr>
        <w:t>服务内容</w:t>
      </w:r>
      <w:bookmarkEnd w:id="90"/>
      <w:bookmarkEnd w:id="91"/>
      <w:bookmarkEnd w:id="92"/>
    </w:p>
    <w:p>
      <w:pPr>
        <w:pStyle w:val="34"/>
        <w:numPr>
          <w:ilvl w:val="0"/>
          <w:numId w:val="0"/>
        </w:numPr>
        <w:spacing w:line="360" w:lineRule="auto"/>
        <w:ind w:right="-63" w:rightChars="-30"/>
        <w:jc w:val="left"/>
        <w:rPr>
          <w:rFonts w:hint="eastAsia" w:ascii="宋体" w:hAnsi="宋体"/>
          <w:b w:val="0"/>
          <w:bCs w:val="0"/>
          <w:sz w:val="24"/>
          <w:szCs w:val="24"/>
        </w:rPr>
        <w:sectPr>
          <w:pgSz w:w="11907" w:h="16840"/>
          <w:pgMar w:top="1418" w:right="1531" w:bottom="1418" w:left="1531" w:header="567" w:footer="998" w:gutter="0"/>
          <w:cols w:space="720" w:num="1"/>
          <w:docGrid w:type="linesAndChars" w:linePitch="380" w:charSpace="0"/>
        </w:sectPr>
      </w:pPr>
    </w:p>
    <w:p>
      <w:pPr>
        <w:pStyle w:val="2"/>
        <w:rPr>
          <w:rFonts w:hint="eastAsia"/>
        </w:rPr>
      </w:pPr>
    </w:p>
    <w:tbl>
      <w:tblPr>
        <w:tblStyle w:val="36"/>
        <w:tblW w:w="14765" w:type="dxa"/>
        <w:tblInd w:w="103" w:type="dxa"/>
        <w:tblLayout w:type="autofit"/>
        <w:tblCellMar>
          <w:top w:w="0" w:type="dxa"/>
          <w:left w:w="108" w:type="dxa"/>
          <w:bottom w:w="0" w:type="dxa"/>
          <w:right w:w="108" w:type="dxa"/>
        </w:tblCellMar>
      </w:tblPr>
      <w:tblGrid>
        <w:gridCol w:w="460"/>
        <w:gridCol w:w="1525"/>
        <w:gridCol w:w="1800"/>
        <w:gridCol w:w="1440"/>
        <w:gridCol w:w="1440"/>
        <w:gridCol w:w="720"/>
        <w:gridCol w:w="6840"/>
        <w:gridCol w:w="540"/>
      </w:tblGrid>
      <w:tr>
        <w:tblPrEx>
          <w:tblCellMar>
            <w:top w:w="0" w:type="dxa"/>
            <w:left w:w="108" w:type="dxa"/>
            <w:bottom w:w="0" w:type="dxa"/>
            <w:right w:w="108" w:type="dxa"/>
          </w:tblCellMar>
        </w:tblPrEx>
        <w:trPr>
          <w:trHeight w:val="702" w:hRule="atLeast"/>
        </w:trPr>
        <w:tc>
          <w:tcPr>
            <w:tcW w:w="4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序号</w:t>
            </w:r>
          </w:p>
        </w:tc>
        <w:tc>
          <w:tcPr>
            <w:tcW w:w="152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食品大类(一级)</w:t>
            </w:r>
          </w:p>
        </w:tc>
        <w:tc>
          <w:tcPr>
            <w:tcW w:w="180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食品亚类(二级)</w:t>
            </w:r>
          </w:p>
        </w:tc>
        <w:tc>
          <w:tcPr>
            <w:tcW w:w="14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食品品种(三级)</w:t>
            </w:r>
          </w:p>
        </w:tc>
        <w:tc>
          <w:tcPr>
            <w:tcW w:w="14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食品细类(四级)</w:t>
            </w: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kern w:val="0"/>
                <w:sz w:val="20"/>
                <w:szCs w:val="20"/>
                <w:highlight w:val="none"/>
              </w:rPr>
            </w:pPr>
            <w:r>
              <w:rPr>
                <w:rFonts w:hint="eastAsia" w:ascii="宋体" w:hAnsi="宋体"/>
                <w:b/>
                <w:bCs/>
                <w:kern w:val="0"/>
                <w:sz w:val="20"/>
                <w:szCs w:val="20"/>
                <w:highlight w:val="none"/>
              </w:rPr>
              <w:t>风险等级</w:t>
            </w:r>
          </w:p>
        </w:tc>
        <w:tc>
          <w:tcPr>
            <w:tcW w:w="68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检验项目</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b/>
                <w:bCs/>
                <w:color w:val="000000"/>
                <w:kern w:val="0"/>
                <w:sz w:val="20"/>
                <w:szCs w:val="20"/>
                <w:highlight w:val="none"/>
              </w:rPr>
            </w:pPr>
            <w:r>
              <w:rPr>
                <w:rFonts w:hint="eastAsia" w:ascii="宋体" w:hAnsi="宋体"/>
                <w:b/>
                <w:bCs/>
                <w:color w:val="000000"/>
                <w:kern w:val="0"/>
                <w:sz w:val="20"/>
                <w:szCs w:val="20"/>
                <w:highlight w:val="none"/>
              </w:rPr>
              <w:t>批次</w:t>
            </w:r>
          </w:p>
        </w:tc>
      </w:tr>
      <w:tr>
        <w:tblPrEx>
          <w:tblCellMar>
            <w:top w:w="0" w:type="dxa"/>
            <w:left w:w="108" w:type="dxa"/>
            <w:bottom w:w="0" w:type="dxa"/>
            <w:right w:w="108" w:type="dxa"/>
          </w:tblCellMar>
        </w:tblPrEx>
        <w:trPr>
          <w:trHeight w:val="900"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猪肉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color w:val="auto"/>
                <w:kern w:val="0"/>
                <w:sz w:val="20"/>
                <w:szCs w:val="20"/>
                <w:highlight w:val="none"/>
              </w:rPr>
            </w:pPr>
            <w:r>
              <w:rPr>
                <w:rFonts w:hint="eastAsia" w:ascii="宋体" w:hAnsi="宋体"/>
                <w:color w:val="FF0000"/>
                <w:kern w:val="0"/>
                <w:sz w:val="20"/>
                <w:szCs w:val="20"/>
                <w:highlight w:val="none"/>
                <w:lang w:val="en-US" w:eastAsia="zh-CN"/>
              </w:rPr>
              <w:t>五氯酚酸钠（以五氯酚计）、磺胺类（总量）、氯霉素</w:t>
            </w:r>
            <w:r>
              <w:rPr>
                <w:rFonts w:hint="eastAsia" w:ascii="宋体" w:hAnsi="宋体"/>
                <w:color w:val="auto"/>
                <w:kern w:val="0"/>
                <w:sz w:val="20"/>
                <w:szCs w:val="20"/>
                <w:highlight w:val="none"/>
                <w:lang w:val="en-US" w:eastAsia="zh-CN"/>
              </w:rPr>
              <w:t>、克伦特罗、莱克多巴胺、沙丁胺醇</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r>
      <w:tr>
        <w:tblPrEx>
          <w:tblCellMar>
            <w:top w:w="0" w:type="dxa"/>
            <w:left w:w="108" w:type="dxa"/>
            <w:bottom w:w="0" w:type="dxa"/>
            <w:right w:w="108" w:type="dxa"/>
          </w:tblCellMar>
        </w:tblPrEx>
        <w:trPr>
          <w:trHeight w:val="799"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牛肉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五氯酚酸钠（以五氯酚计）、磺胺类（总量）</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氯霉素、</w:t>
            </w:r>
            <w:r>
              <w:rPr>
                <w:rFonts w:hint="eastAsia" w:ascii="宋体" w:hAnsi="宋体"/>
                <w:color w:val="FF0000"/>
                <w:kern w:val="0"/>
                <w:sz w:val="20"/>
                <w:szCs w:val="20"/>
                <w:highlight w:val="none"/>
              </w:rPr>
              <w:t>克伦特罗</w:t>
            </w:r>
            <w:r>
              <w:rPr>
                <w:rFonts w:hint="eastAsia" w:ascii="宋体" w:hAnsi="宋体"/>
                <w:color w:val="auto"/>
                <w:kern w:val="0"/>
                <w:sz w:val="20"/>
                <w:szCs w:val="20"/>
                <w:highlight w:val="none"/>
              </w:rPr>
              <w:t>、莱克多巴胺、沙丁胺醇</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羊肉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五氯酚酸钠（以五氯酚计）、磺胺类（总量）</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氯霉素、</w:t>
            </w:r>
            <w:r>
              <w:rPr>
                <w:rFonts w:hint="eastAsia" w:ascii="宋体" w:hAnsi="宋体"/>
                <w:color w:val="auto"/>
                <w:kern w:val="0"/>
                <w:sz w:val="20"/>
                <w:szCs w:val="20"/>
                <w:highlight w:val="none"/>
              </w:rPr>
              <w:t>克伦特罗、莱克多巴胺、沙丁胺醇</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其他畜肉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auto"/>
                <w:kern w:val="0"/>
                <w:sz w:val="20"/>
                <w:szCs w:val="20"/>
                <w:highlight w:val="none"/>
                <w:lang w:eastAsia="zh-CN"/>
              </w:rPr>
            </w:pPr>
            <w:r>
              <w:rPr>
                <w:rFonts w:hint="eastAsia" w:ascii="宋体" w:hAnsi="宋体"/>
                <w:color w:val="auto"/>
                <w:kern w:val="0"/>
                <w:sz w:val="20"/>
                <w:szCs w:val="20"/>
                <w:highlight w:val="none"/>
              </w:rPr>
              <w:t>五氯酚酸钠（以五氯酚计）、</w:t>
            </w:r>
            <w:r>
              <w:rPr>
                <w:rFonts w:hint="eastAsia" w:ascii="宋体" w:hAnsi="宋体"/>
                <w:color w:val="auto"/>
                <w:kern w:val="0"/>
                <w:sz w:val="20"/>
                <w:szCs w:val="20"/>
                <w:highlight w:val="none"/>
                <w:lang w:eastAsia="zh-CN"/>
              </w:rPr>
              <w:t>氯霉素、</w:t>
            </w:r>
            <w:r>
              <w:rPr>
                <w:rFonts w:hint="eastAsia" w:ascii="宋体" w:hAnsi="宋体"/>
                <w:color w:val="auto"/>
                <w:kern w:val="0"/>
                <w:sz w:val="20"/>
                <w:szCs w:val="20"/>
                <w:highlight w:val="none"/>
              </w:rPr>
              <w:t>克伦特罗、莱克多巴胺、沙丁胺醇</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840"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禽肉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鸡肉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恩诺沙星</w:t>
            </w:r>
            <w:r>
              <w:rPr>
                <w:rFonts w:hint="eastAsia" w:ascii="宋体" w:hAnsi="宋体"/>
                <w:color w:val="auto"/>
                <w:kern w:val="0"/>
                <w:sz w:val="20"/>
                <w:szCs w:val="20"/>
                <w:highlight w:val="none"/>
              </w:rPr>
              <w:t>、磺胺类（总量）、</w:t>
            </w:r>
            <w:r>
              <w:rPr>
                <w:rFonts w:hint="eastAsia" w:ascii="宋体" w:hAnsi="宋体"/>
                <w:color w:val="auto"/>
                <w:kern w:val="0"/>
                <w:sz w:val="20"/>
                <w:szCs w:val="20"/>
                <w:highlight w:val="none"/>
                <w:lang w:eastAsia="zh-CN"/>
              </w:rPr>
              <w:t>恩诺沙星、沙拉沙星</w:t>
            </w:r>
            <w:r>
              <w:rPr>
                <w:rFonts w:hint="eastAsia" w:ascii="宋体" w:hAnsi="宋体"/>
                <w:color w:val="auto"/>
                <w:kern w:val="0"/>
                <w:sz w:val="20"/>
                <w:szCs w:val="20"/>
                <w:highlight w:val="none"/>
              </w:rPr>
              <w:t>、</w:t>
            </w:r>
            <w:r>
              <w:rPr>
                <w:rFonts w:hint="eastAsia" w:ascii="宋体" w:hAnsi="宋体"/>
                <w:color w:val="FF0000"/>
                <w:kern w:val="0"/>
                <w:sz w:val="20"/>
                <w:szCs w:val="20"/>
                <w:highlight w:val="none"/>
              </w:rPr>
              <w:t>氯霉素</w:t>
            </w:r>
            <w:r>
              <w:rPr>
                <w:rFonts w:hint="eastAsia" w:ascii="宋体" w:hAnsi="宋体"/>
                <w:color w:val="auto"/>
                <w:kern w:val="0"/>
                <w:sz w:val="20"/>
                <w:szCs w:val="20"/>
                <w:highlight w:val="none"/>
              </w:rPr>
              <w:t>、</w:t>
            </w:r>
            <w:r>
              <w:rPr>
                <w:rFonts w:hint="eastAsia" w:ascii="宋体" w:hAnsi="宋体"/>
                <w:color w:val="FF0000"/>
                <w:kern w:val="0"/>
                <w:sz w:val="20"/>
                <w:szCs w:val="20"/>
                <w:highlight w:val="none"/>
              </w:rPr>
              <w:t>五氯酚酸钠（以五氯酚计）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禽肉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鸭肉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恩诺沙星、磺胺类（总量）、甲氧苄啶、氯霉素、五氯酚酸钠（以五氯酚计）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禽肉</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其他禽肉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rPr>
              <w:t>恩诺沙星、氯霉素、氟苯尼考、五氯酚酸钠（以五氯酚计）</w:t>
            </w:r>
            <w:r>
              <w:rPr>
                <w:rFonts w:hint="eastAsia" w:ascii="宋体" w:hAnsi="宋体"/>
                <w:color w:val="000000"/>
                <w:kern w:val="0"/>
                <w:sz w:val="20"/>
                <w:szCs w:val="20"/>
                <w:highlight w:val="none"/>
                <w:lang w:eastAsia="zh-CN"/>
              </w:rPr>
              <w:t>、甲硝唑</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900"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猪肝</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克伦特罗、莱克多巴胺、沙丁胺醇、甲氧苄啶、恩诺沙星</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其他畜副产品</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auto"/>
                <w:kern w:val="0"/>
                <w:sz w:val="20"/>
                <w:szCs w:val="20"/>
                <w:highlight w:val="none"/>
              </w:rPr>
              <w:t>呋喃西林代谢物</w:t>
            </w:r>
            <w:r>
              <w:rPr>
                <w:rFonts w:hint="eastAsia" w:ascii="宋体" w:hAnsi="宋体"/>
                <w:color w:val="000000"/>
                <w:kern w:val="0"/>
                <w:sz w:val="20"/>
                <w:szCs w:val="20"/>
                <w:highlight w:val="none"/>
              </w:rPr>
              <w:t>、氯霉素、五氯酚酸钠（以五氯酚计）、莱克多巴胺</w:t>
            </w:r>
            <w:r>
              <w:rPr>
                <w:rFonts w:hint="eastAsia" w:ascii="宋体" w:hAnsi="宋体"/>
                <w:color w:val="000000"/>
                <w:kern w:val="0"/>
                <w:sz w:val="20"/>
                <w:szCs w:val="20"/>
                <w:highlight w:val="none"/>
                <w:lang w:eastAsia="zh-CN"/>
              </w:rPr>
              <w:t>、克伦特罗</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禽副产品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鸡肝</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color w:val="000000"/>
                <w:kern w:val="0"/>
                <w:sz w:val="20"/>
                <w:szCs w:val="20"/>
                <w:highlight w:val="none"/>
                <w:lang w:eastAsia="zh-CN"/>
              </w:rPr>
            </w:pPr>
            <w:r>
              <w:rPr>
                <w:rFonts w:hint="eastAsia" w:ascii="宋体" w:hAnsi="宋体"/>
                <w:color w:val="000000"/>
                <w:kern w:val="0"/>
                <w:sz w:val="20"/>
                <w:szCs w:val="20"/>
                <w:highlight w:val="none"/>
                <w:lang w:val="en-US" w:eastAsia="zh-CN"/>
              </w:rPr>
              <w:t>五氯酚酸钠（以五氯酚计）、氯霉素、诺氟沙星、呋喃唑酮代谢物、呋喃西林代谢物</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畜禽肉及副产品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禽副产品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其他禽副产品</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呋喃唑酮代谢物、呋喃西林代谢物、氯霉素</w:t>
            </w:r>
            <w:r>
              <w:rPr>
                <w:rFonts w:hint="eastAsia" w:ascii="宋体" w:hAnsi="宋体"/>
                <w:color w:val="auto"/>
                <w:kern w:val="0"/>
                <w:sz w:val="20"/>
                <w:szCs w:val="20"/>
                <w:highlight w:val="none"/>
                <w:lang w:eastAsia="zh-CN"/>
              </w:rPr>
              <w:t>、</w:t>
            </w:r>
            <w:r>
              <w:rPr>
                <w:rFonts w:hint="eastAsia" w:ascii="宋体" w:hAnsi="宋体"/>
                <w:color w:val="000000"/>
                <w:kern w:val="0"/>
                <w:sz w:val="20"/>
                <w:szCs w:val="20"/>
                <w:highlight w:val="none"/>
                <w:lang w:eastAsia="zh-CN"/>
              </w:rPr>
              <w:t>五氯酚酸钠(以五氯酚计)、氧氟沙星</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豆芽</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豆芽</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铅（以Pb计）、总汞(以Hg计）、</w:t>
            </w:r>
            <w:r>
              <w:rPr>
                <w:rFonts w:hint="eastAsia" w:ascii="宋体" w:hAnsi="宋体"/>
                <w:color w:val="FF0000"/>
                <w:kern w:val="0"/>
                <w:sz w:val="20"/>
                <w:szCs w:val="20"/>
                <w:highlight w:val="none"/>
              </w:rPr>
              <w:t>4-氯苯氧乙酸钠（以4-氯苯氧乙酸计）、6-苄基腺嘌呤（6-BA）</w:t>
            </w:r>
            <w:r>
              <w:rPr>
                <w:rFonts w:hint="eastAsia" w:ascii="宋体" w:hAnsi="宋体"/>
                <w:color w:val="auto"/>
                <w:kern w:val="0"/>
                <w:sz w:val="20"/>
                <w:szCs w:val="20"/>
                <w:highlight w:val="none"/>
              </w:rPr>
              <w:t>、亚硫酸盐（以SO2计）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鲜食用菌</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鲜食用菌</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镉（以Cd计）、总砷（以As计）、百菌清、氯氟氰菊酯和高效氯氟氰菊酯、氯氰菊酯和高效氯氰菊酯</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859"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鳞茎类蔬菜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韭菜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镉（以Cd计）</w:t>
            </w:r>
            <w:r>
              <w:rPr>
                <w:rFonts w:hint="eastAsia" w:ascii="宋体" w:hAnsi="宋体"/>
                <w:color w:val="auto"/>
                <w:kern w:val="0"/>
                <w:sz w:val="20"/>
                <w:szCs w:val="20"/>
                <w:highlight w:val="none"/>
              </w:rPr>
              <w:t>、啶虫脒、</w:t>
            </w:r>
            <w:r>
              <w:rPr>
                <w:rFonts w:hint="eastAsia" w:ascii="宋体" w:hAnsi="宋体"/>
                <w:color w:val="FF0000"/>
                <w:kern w:val="0"/>
                <w:sz w:val="20"/>
                <w:szCs w:val="20"/>
                <w:highlight w:val="none"/>
              </w:rPr>
              <w:t>毒死蜱、腐霉利、</w:t>
            </w:r>
            <w:r>
              <w:rPr>
                <w:rFonts w:hint="eastAsia" w:ascii="宋体" w:hAnsi="宋体"/>
                <w:color w:val="auto"/>
                <w:kern w:val="0"/>
                <w:sz w:val="20"/>
                <w:szCs w:val="20"/>
                <w:highlight w:val="none"/>
              </w:rPr>
              <w:t>氯氟氰菊酯和高效氯氟氰菊酯、氧乐果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芸薹属类蔬菜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结球甘蓝</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甲胺磷、甲基异柳磷、克百威、灭线磷、氧乐果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芸薹属类蔬菜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菜薹</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auto"/>
                <w:kern w:val="0"/>
                <w:sz w:val="20"/>
                <w:szCs w:val="20"/>
                <w:highlight w:val="none"/>
                <w:lang w:eastAsia="zh-CN"/>
              </w:rPr>
            </w:pPr>
            <w:r>
              <w:rPr>
                <w:rFonts w:hint="eastAsia" w:ascii="宋体" w:hAnsi="宋体"/>
                <w:color w:val="auto"/>
                <w:kern w:val="0"/>
                <w:sz w:val="20"/>
                <w:szCs w:val="20"/>
                <w:highlight w:val="none"/>
              </w:rPr>
              <w:t>吡虫啉、啶虫脒、</w:t>
            </w:r>
            <w:r>
              <w:rPr>
                <w:rFonts w:hint="eastAsia" w:ascii="宋体" w:hAnsi="宋体"/>
                <w:color w:val="auto"/>
                <w:kern w:val="0"/>
                <w:sz w:val="20"/>
                <w:szCs w:val="20"/>
                <w:highlight w:val="none"/>
                <w:lang w:eastAsia="zh-CN"/>
              </w:rPr>
              <w:t>毒死蜱</w:t>
            </w:r>
            <w:r>
              <w:rPr>
                <w:rFonts w:hint="eastAsia" w:ascii="宋体" w:hAnsi="宋体"/>
                <w:color w:val="auto"/>
                <w:kern w:val="0"/>
                <w:sz w:val="20"/>
                <w:szCs w:val="20"/>
                <w:highlight w:val="none"/>
              </w:rPr>
              <w:t>、甲拌磷</w:t>
            </w:r>
            <w:r>
              <w:rPr>
                <w:rFonts w:hint="eastAsia" w:ascii="宋体" w:hAnsi="宋体"/>
                <w:color w:val="auto"/>
                <w:kern w:val="0"/>
                <w:sz w:val="20"/>
                <w:szCs w:val="20"/>
                <w:highlight w:val="none"/>
                <w:lang w:eastAsia="zh-CN"/>
              </w:rPr>
              <w:t>、镉(以 Cd 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叶菜类蔬菜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菠菜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阿维菌素、</w:t>
            </w:r>
            <w:r>
              <w:rPr>
                <w:rFonts w:hint="eastAsia" w:ascii="宋体" w:hAnsi="宋体"/>
                <w:color w:val="FF0000"/>
                <w:kern w:val="0"/>
                <w:sz w:val="20"/>
                <w:szCs w:val="20"/>
                <w:highlight w:val="none"/>
              </w:rPr>
              <w:t>毒死蜱</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腐霉利</w:t>
            </w:r>
            <w:r>
              <w:rPr>
                <w:rFonts w:hint="eastAsia" w:ascii="宋体" w:hAnsi="宋体"/>
                <w:color w:val="auto"/>
                <w:kern w:val="0"/>
                <w:sz w:val="20"/>
                <w:szCs w:val="20"/>
                <w:highlight w:val="none"/>
              </w:rPr>
              <w:t>、克百威、氧乐果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叶菜类蔬菜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大白菜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阿维菌素、毒死蜱、</w:t>
            </w:r>
            <w:r>
              <w:rPr>
                <w:rFonts w:hint="eastAsia" w:ascii="宋体" w:hAnsi="宋体"/>
                <w:color w:val="auto"/>
                <w:kern w:val="0"/>
                <w:sz w:val="20"/>
                <w:szCs w:val="20"/>
                <w:highlight w:val="none"/>
                <w:lang w:eastAsia="zh-CN"/>
              </w:rPr>
              <w:t>啶虫脒</w:t>
            </w:r>
            <w:r>
              <w:rPr>
                <w:rFonts w:hint="eastAsia" w:ascii="宋体" w:hAnsi="宋体"/>
                <w:color w:val="auto"/>
                <w:kern w:val="0"/>
                <w:sz w:val="20"/>
                <w:szCs w:val="20"/>
                <w:highlight w:val="none"/>
              </w:rPr>
              <w:t>、甲胺磷、氧乐果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叶菜类蔬菜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普通白菜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啶虫脒、毒死蜱</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吡虫啉</w:t>
            </w:r>
            <w:r>
              <w:rPr>
                <w:rFonts w:hint="eastAsia" w:ascii="宋体" w:hAnsi="宋体"/>
                <w:color w:val="auto"/>
                <w:kern w:val="0"/>
                <w:sz w:val="20"/>
                <w:szCs w:val="20"/>
                <w:highlight w:val="none"/>
              </w:rPr>
              <w:t>、克百威、氧乐果、甲拌磷</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840"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叶菜类蔬菜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芹菜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毒死蜱、甲拌磷</w:t>
            </w:r>
            <w:r>
              <w:rPr>
                <w:rFonts w:hint="eastAsia" w:ascii="宋体" w:hAnsi="宋体"/>
                <w:color w:val="auto"/>
                <w:kern w:val="0"/>
                <w:sz w:val="20"/>
                <w:szCs w:val="20"/>
                <w:highlight w:val="none"/>
              </w:rPr>
              <w:t>、克百威、氯氟氰菊酯和高效氯氟氰菊酯、</w:t>
            </w:r>
            <w:r>
              <w:rPr>
                <w:rFonts w:hint="eastAsia" w:ascii="宋体" w:hAnsi="宋体"/>
                <w:color w:val="FF0000"/>
                <w:kern w:val="0"/>
                <w:sz w:val="20"/>
                <w:szCs w:val="20"/>
                <w:highlight w:val="none"/>
              </w:rPr>
              <w:t>噻虫胺</w:t>
            </w:r>
            <w:r>
              <w:rPr>
                <w:rFonts w:hint="eastAsia" w:ascii="宋体" w:hAnsi="宋体"/>
                <w:color w:val="auto"/>
                <w:kern w:val="0"/>
                <w:sz w:val="20"/>
                <w:szCs w:val="20"/>
                <w:highlight w:val="none"/>
              </w:rPr>
              <w:t>、氧乐果、水胺硫磷、阿维菌素</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叶菜类蔬菜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油麦菜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阿维菌素</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毒死蜱</w:t>
            </w:r>
            <w:r>
              <w:rPr>
                <w:rFonts w:hint="eastAsia" w:ascii="宋体" w:hAnsi="宋体"/>
                <w:color w:val="auto"/>
                <w:kern w:val="0"/>
                <w:sz w:val="20"/>
                <w:szCs w:val="20"/>
                <w:highlight w:val="none"/>
              </w:rPr>
              <w:t>、克百威、氯氟氰菊酯和高效氯氟氰菊酯、氧乐果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茄果类蔬菜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茄子</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镉（以Cd计）</w:t>
            </w:r>
            <w:r>
              <w:rPr>
                <w:rFonts w:hint="eastAsia" w:ascii="宋体" w:hAnsi="宋体"/>
                <w:color w:val="auto"/>
                <w:kern w:val="0"/>
                <w:sz w:val="20"/>
                <w:szCs w:val="20"/>
                <w:highlight w:val="none"/>
              </w:rPr>
              <w:t>、甲胺磷、甲拌磷、克百威、氧乐果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840"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茄果类蔬菜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辣椒</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镉（以Cd计）</w:t>
            </w:r>
            <w:r>
              <w:rPr>
                <w:rFonts w:hint="eastAsia" w:ascii="宋体" w:hAnsi="宋体"/>
                <w:color w:val="FF0000"/>
                <w:kern w:val="0"/>
                <w:sz w:val="20"/>
                <w:szCs w:val="20"/>
                <w:highlight w:val="none"/>
                <w:lang w:eastAsia="zh-CN"/>
              </w:rPr>
              <w:t>、毒死蜱</w:t>
            </w:r>
            <w:r>
              <w:rPr>
                <w:rFonts w:hint="eastAsia" w:ascii="宋体" w:hAnsi="宋体"/>
                <w:color w:val="auto"/>
                <w:kern w:val="0"/>
                <w:sz w:val="20"/>
                <w:szCs w:val="20"/>
                <w:highlight w:val="none"/>
              </w:rPr>
              <w:t>、啶虫脒、克百威、</w:t>
            </w:r>
            <w:r>
              <w:rPr>
                <w:rFonts w:hint="eastAsia" w:ascii="宋体" w:hAnsi="宋体"/>
                <w:color w:val="FF0000"/>
                <w:kern w:val="0"/>
                <w:sz w:val="20"/>
                <w:szCs w:val="20"/>
                <w:highlight w:val="none"/>
              </w:rPr>
              <w:t>噻虫胺</w:t>
            </w:r>
            <w:r>
              <w:rPr>
                <w:rFonts w:hint="eastAsia" w:ascii="宋体" w:hAnsi="宋体"/>
                <w:color w:val="auto"/>
                <w:kern w:val="0"/>
                <w:sz w:val="20"/>
                <w:szCs w:val="20"/>
                <w:highlight w:val="none"/>
              </w:rPr>
              <w:t>、噻虫嗪、氧乐果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茄果类蔬菜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番茄</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敌敌畏、毒死蜱、腐霉利、甲拌磷、氧乐果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茄果类蔬菜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甜椒</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吡虫啉、啶虫脒、噻虫嗪、</w:t>
            </w:r>
            <w:r>
              <w:rPr>
                <w:rFonts w:hint="eastAsia" w:ascii="宋体" w:hAnsi="宋体"/>
                <w:color w:val="FF0000"/>
                <w:kern w:val="0"/>
                <w:sz w:val="20"/>
                <w:szCs w:val="20"/>
                <w:highlight w:val="none"/>
              </w:rPr>
              <w:t>噻虫胺</w:t>
            </w:r>
            <w:r>
              <w:rPr>
                <w:rFonts w:hint="eastAsia" w:ascii="宋体" w:hAnsi="宋体"/>
                <w:color w:val="auto"/>
                <w:kern w:val="0"/>
                <w:sz w:val="20"/>
                <w:szCs w:val="20"/>
                <w:highlight w:val="none"/>
              </w:rPr>
              <w:t>、氧乐果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瓜类蔬菜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黄瓜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毒死蜱、甲拌磷、克百威、噻虫嗪、氧乐果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豆类蔬菜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豇豆</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倍硫磷</w:t>
            </w:r>
            <w:r>
              <w:rPr>
                <w:rFonts w:hint="eastAsia" w:ascii="宋体" w:hAnsi="宋体"/>
                <w:color w:val="FF0000"/>
                <w:kern w:val="0"/>
                <w:sz w:val="20"/>
                <w:szCs w:val="20"/>
                <w:highlight w:val="none"/>
                <w:lang w:eastAsia="zh-CN"/>
              </w:rPr>
              <w:t>、毒死蜱</w:t>
            </w:r>
            <w:r>
              <w:rPr>
                <w:rFonts w:hint="eastAsia" w:ascii="宋体" w:hAnsi="宋体"/>
                <w:color w:val="auto"/>
                <w:kern w:val="0"/>
                <w:sz w:val="20"/>
                <w:szCs w:val="20"/>
                <w:highlight w:val="none"/>
              </w:rPr>
              <w:t>、</w:t>
            </w:r>
            <w:r>
              <w:rPr>
                <w:rFonts w:hint="eastAsia" w:ascii="宋体" w:hAnsi="宋体"/>
                <w:color w:val="FF0000"/>
                <w:kern w:val="0"/>
                <w:sz w:val="20"/>
                <w:szCs w:val="20"/>
                <w:highlight w:val="none"/>
              </w:rPr>
              <w:t>甲氨基阿维菌素苯甲酸盐</w:t>
            </w:r>
            <w:r>
              <w:rPr>
                <w:rFonts w:hint="eastAsia" w:ascii="宋体" w:hAnsi="宋体"/>
                <w:color w:val="auto"/>
                <w:kern w:val="0"/>
                <w:sz w:val="20"/>
                <w:szCs w:val="20"/>
                <w:highlight w:val="none"/>
              </w:rPr>
              <w:t>、</w:t>
            </w:r>
            <w:r>
              <w:rPr>
                <w:rFonts w:hint="eastAsia" w:ascii="宋体" w:hAnsi="宋体"/>
                <w:color w:val="FF0000"/>
                <w:kern w:val="0"/>
                <w:sz w:val="20"/>
                <w:szCs w:val="20"/>
                <w:highlight w:val="none"/>
              </w:rPr>
              <w:t>克百威、灭蝇胺</w:t>
            </w:r>
            <w:r>
              <w:rPr>
                <w:rFonts w:hint="eastAsia" w:ascii="宋体" w:hAnsi="宋体"/>
                <w:color w:val="auto"/>
                <w:kern w:val="0"/>
                <w:sz w:val="20"/>
                <w:szCs w:val="20"/>
                <w:highlight w:val="none"/>
              </w:rPr>
              <w:t>、</w:t>
            </w:r>
            <w:r>
              <w:rPr>
                <w:rFonts w:hint="eastAsia" w:ascii="宋体" w:hAnsi="宋体"/>
                <w:color w:val="FF0000"/>
                <w:kern w:val="0"/>
                <w:sz w:val="20"/>
                <w:szCs w:val="20"/>
                <w:highlight w:val="none"/>
              </w:rPr>
              <w:t>噻虫胺、噻虫嗪</w:t>
            </w:r>
            <w:r>
              <w:rPr>
                <w:rFonts w:hint="eastAsia" w:ascii="宋体" w:hAnsi="宋体"/>
                <w:color w:val="auto"/>
                <w:kern w:val="0"/>
                <w:sz w:val="20"/>
                <w:szCs w:val="20"/>
                <w:highlight w:val="none"/>
              </w:rPr>
              <w:t>、水胺硫磷、氧乐果、甲胺磷、甲拌磷</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菜豆</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FF0000"/>
                <w:kern w:val="0"/>
                <w:sz w:val="20"/>
                <w:szCs w:val="20"/>
                <w:highlight w:val="none"/>
              </w:rPr>
              <w:t>噻虫胺</w:t>
            </w:r>
            <w:r>
              <w:rPr>
                <w:rFonts w:hint="eastAsia" w:ascii="宋体" w:hAnsi="宋体"/>
                <w:color w:val="FF0000"/>
                <w:kern w:val="0"/>
                <w:sz w:val="20"/>
                <w:szCs w:val="20"/>
                <w:highlight w:val="none"/>
                <w:lang w:eastAsia="zh-CN"/>
              </w:rPr>
              <w:t>、</w:t>
            </w:r>
            <w:r>
              <w:rPr>
                <w:rFonts w:hint="eastAsia" w:ascii="宋体" w:hAnsi="宋体"/>
                <w:color w:val="000000"/>
                <w:kern w:val="0"/>
                <w:sz w:val="20"/>
                <w:szCs w:val="20"/>
                <w:highlight w:val="none"/>
              </w:rPr>
              <w:t>吡虫啉、多菌灵、甲胺磷、克百威、氧乐果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根茎类和薯芋类蔬菜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山药</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铅（以Pb计）、克百威、氯氟氰菊酯和高效氯氟氰菊酯、涕灭威</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30</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根茎类和薯芋类蔬菜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胡萝卜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w:t>
            </w:r>
            <w:r>
              <w:rPr>
                <w:rFonts w:hint="eastAsia" w:ascii="宋体" w:hAnsi="宋体"/>
                <w:color w:val="000000"/>
                <w:kern w:val="0"/>
                <w:sz w:val="20"/>
                <w:szCs w:val="20"/>
                <w:highlight w:val="none"/>
                <w:lang w:eastAsia="zh-CN"/>
              </w:rPr>
              <w:t>毒死蜱</w:t>
            </w:r>
            <w:r>
              <w:rPr>
                <w:rFonts w:hint="eastAsia" w:ascii="宋体" w:hAnsi="宋体"/>
                <w:color w:val="000000"/>
                <w:kern w:val="0"/>
                <w:sz w:val="20"/>
                <w:szCs w:val="20"/>
                <w:highlight w:val="none"/>
              </w:rPr>
              <w:t>、甲拌磷、氯氟氰菊酯和高效氯氟氰菊酯</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根茎类和薯芋类蔬菜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FF0000"/>
                <w:kern w:val="0"/>
                <w:sz w:val="20"/>
                <w:szCs w:val="20"/>
                <w:highlight w:val="none"/>
              </w:rPr>
              <w:t>铅（以Pb计）</w:t>
            </w:r>
            <w:r>
              <w:rPr>
                <w:rFonts w:hint="eastAsia" w:ascii="宋体" w:hAnsi="宋体"/>
                <w:color w:val="auto"/>
                <w:kern w:val="0"/>
                <w:sz w:val="20"/>
                <w:szCs w:val="20"/>
                <w:highlight w:val="none"/>
              </w:rPr>
              <w:t>、镉（以Cd计）、吡虫啉、</w:t>
            </w:r>
            <w:r>
              <w:rPr>
                <w:rFonts w:hint="eastAsia" w:ascii="宋体" w:hAnsi="宋体"/>
                <w:color w:val="FF0000"/>
                <w:kern w:val="0"/>
                <w:sz w:val="20"/>
                <w:szCs w:val="20"/>
                <w:highlight w:val="none"/>
              </w:rPr>
              <w:t>噻虫胺、噻虫嗪</w:t>
            </w:r>
            <w:r>
              <w:rPr>
                <w:rFonts w:hint="eastAsia" w:ascii="宋体" w:hAnsi="宋体"/>
                <w:color w:val="auto"/>
                <w:kern w:val="0"/>
                <w:sz w:val="20"/>
                <w:szCs w:val="20"/>
                <w:highlight w:val="none"/>
              </w:rPr>
              <w:t>、克百威、氧乐果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水生类蔬菜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莲藕</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较高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铅（以Pb计）、镉（以Cd计）、铬（以Cr计）、克百威、氧乐果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淡水产品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淡水鱼</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auto"/>
                <w:kern w:val="0"/>
                <w:sz w:val="20"/>
                <w:szCs w:val="20"/>
                <w:highlight w:val="none"/>
                <w:lang w:eastAsia="zh-CN"/>
              </w:rPr>
            </w:pPr>
            <w:r>
              <w:rPr>
                <w:rFonts w:hint="eastAsia" w:ascii="宋体" w:hAnsi="宋体"/>
                <w:color w:val="FF0000"/>
                <w:kern w:val="0"/>
                <w:sz w:val="20"/>
                <w:szCs w:val="20"/>
                <w:highlight w:val="none"/>
              </w:rPr>
              <w:t>孔雀石绿、恩诺沙星</w:t>
            </w:r>
            <w:r>
              <w:rPr>
                <w:rFonts w:hint="eastAsia" w:ascii="宋体" w:hAnsi="宋体"/>
                <w:color w:val="auto"/>
                <w:kern w:val="0"/>
                <w:sz w:val="20"/>
                <w:szCs w:val="20"/>
                <w:highlight w:val="none"/>
              </w:rPr>
              <w:t>、磺胺类（总量）、甲氧苄啶、</w:t>
            </w:r>
            <w:r>
              <w:rPr>
                <w:rFonts w:hint="eastAsia" w:ascii="宋体" w:hAnsi="宋体"/>
                <w:color w:val="FF0000"/>
                <w:kern w:val="0"/>
                <w:sz w:val="20"/>
                <w:szCs w:val="20"/>
                <w:highlight w:val="none"/>
              </w:rPr>
              <w:t>地西泮</w:t>
            </w:r>
            <w:r>
              <w:rPr>
                <w:rFonts w:hint="eastAsia" w:ascii="宋体" w:hAnsi="宋体"/>
                <w:color w:val="FF0000"/>
                <w:kern w:val="0"/>
                <w:sz w:val="20"/>
                <w:szCs w:val="20"/>
                <w:highlight w:val="none"/>
                <w:lang w:eastAsia="zh-CN"/>
              </w:rPr>
              <w:t>、五氯酚酸钠(以五氯酚计)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海水产品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海水鱼</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lang w:eastAsia="zh-CN"/>
              </w:rPr>
              <w:t>氯霉素</w:t>
            </w:r>
            <w:r>
              <w:rPr>
                <w:rFonts w:hint="eastAsia" w:ascii="宋体" w:hAnsi="宋体"/>
                <w:color w:val="auto"/>
                <w:kern w:val="0"/>
                <w:sz w:val="20"/>
                <w:szCs w:val="20"/>
                <w:highlight w:val="none"/>
              </w:rPr>
              <w:t>、</w:t>
            </w:r>
            <w:r>
              <w:rPr>
                <w:rFonts w:hint="eastAsia" w:ascii="宋体" w:hAnsi="宋体"/>
                <w:color w:val="auto"/>
                <w:kern w:val="0"/>
                <w:sz w:val="20"/>
                <w:szCs w:val="20"/>
                <w:highlight w:val="none"/>
                <w:lang w:eastAsia="zh-CN"/>
              </w:rPr>
              <w:t>磺胺类（总量）</w:t>
            </w:r>
            <w:r>
              <w:rPr>
                <w:rFonts w:hint="eastAsia" w:ascii="宋体" w:hAnsi="宋体"/>
                <w:color w:val="auto"/>
                <w:kern w:val="0"/>
                <w:sz w:val="20"/>
                <w:szCs w:val="20"/>
                <w:highlight w:val="none"/>
              </w:rPr>
              <w:t>、镉（以Cd计）、孔雀石绿、</w:t>
            </w:r>
            <w:r>
              <w:rPr>
                <w:rFonts w:hint="eastAsia" w:ascii="宋体" w:hAnsi="宋体"/>
                <w:color w:val="FF0000"/>
                <w:kern w:val="0"/>
                <w:sz w:val="20"/>
                <w:szCs w:val="20"/>
                <w:highlight w:val="none"/>
              </w:rPr>
              <w:t>恩诺沙星</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海水产品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海水虾</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镉（以Cd计）、孔雀石绿、呋喃唑酮代谢物、呋喃妥因代谢物、恩诺沙星</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贝类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贝类</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镉（以Cd计）、孔雀石绿、氯霉素、氟苯尼考、呋喃唑酮代谢物</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其他水产品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其他水产品</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镉（以Cd计）、孔雀石绿、</w:t>
            </w:r>
            <w:r>
              <w:rPr>
                <w:rFonts w:hint="eastAsia" w:ascii="宋体" w:hAnsi="宋体"/>
                <w:color w:val="FF0000"/>
                <w:kern w:val="0"/>
                <w:sz w:val="20"/>
                <w:szCs w:val="20"/>
                <w:highlight w:val="none"/>
              </w:rPr>
              <w:t>呋喃唑酮代谢物、呋喃西林代谢物、恩诺沙星</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仁果类水果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苹果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敌敌畏、啶虫脒、毒死蜱、甲拌磷、克百威、氧乐果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39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仁果类水果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梨</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auto"/>
                <w:kern w:val="0"/>
                <w:sz w:val="20"/>
                <w:szCs w:val="20"/>
                <w:highlight w:val="none"/>
              </w:rPr>
            </w:pPr>
            <w:r>
              <w:rPr>
                <w:rFonts w:hint="eastAsia" w:ascii="宋体" w:hAnsi="宋体"/>
                <w:color w:val="auto"/>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auto"/>
                <w:kern w:val="0"/>
                <w:sz w:val="20"/>
                <w:szCs w:val="20"/>
                <w:highlight w:val="none"/>
              </w:rPr>
            </w:pPr>
            <w:r>
              <w:rPr>
                <w:rFonts w:hint="eastAsia" w:ascii="宋体" w:hAnsi="宋体"/>
                <w:color w:val="auto"/>
                <w:kern w:val="0"/>
                <w:sz w:val="20"/>
                <w:szCs w:val="20"/>
                <w:highlight w:val="none"/>
              </w:rPr>
              <w:t>吡虫啉、敌敌畏、毒死蜱、克百威、氧乐果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40</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核果类水果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枣</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多菌灵、氟虫腈、氰戊菊酯和S-氰戊菊酯、氧乐果、糖精钠（以糖精计）</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核果类水果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桃</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敌敌畏、多菌灵、甲胺磷、克百威、氧乐果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核果类水果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油桃</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kern w:val="0"/>
                <w:sz w:val="20"/>
                <w:szCs w:val="20"/>
                <w:highlight w:val="none"/>
              </w:rPr>
            </w:pPr>
            <w:r>
              <w:rPr>
                <w:rFonts w:hint="eastAsia" w:ascii="宋体" w:hAnsi="宋体"/>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多菌灵、甲胺磷、克百威、氧乐果、敌敌畏</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柑橘类水果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柑、橘</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FF0000"/>
                <w:kern w:val="0"/>
                <w:sz w:val="20"/>
                <w:szCs w:val="20"/>
                <w:highlight w:val="none"/>
              </w:rPr>
              <w:t>苯醚甲环唑、丙溴磷</w:t>
            </w:r>
            <w:r>
              <w:rPr>
                <w:rFonts w:hint="eastAsia" w:ascii="宋体" w:hAnsi="宋体"/>
                <w:color w:val="FF0000"/>
                <w:kern w:val="0"/>
                <w:sz w:val="20"/>
                <w:szCs w:val="20"/>
                <w:highlight w:val="none"/>
                <w:lang w:eastAsia="zh-CN"/>
              </w:rPr>
              <w:t>、联苯菊酯</w:t>
            </w:r>
            <w:r>
              <w:rPr>
                <w:rFonts w:hint="eastAsia" w:ascii="宋体" w:hAnsi="宋体"/>
                <w:color w:val="000000"/>
                <w:kern w:val="0"/>
                <w:sz w:val="20"/>
                <w:szCs w:val="20"/>
                <w:highlight w:val="none"/>
              </w:rPr>
              <w:t>、克百威、氧乐果、甲拌磷</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柑橘类水果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柚</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水胺硫磷、联苯菊酯、氯氟氰菊酯和高效氯氟氰菊酯、氯唑磷、多菌灵</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柑橘类水果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柠檬</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多菌灵、克百威、联苯菊酯、水胺硫磷、乙螨唑</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柑橘类水果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橙</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rPr>
              <w:t>丙溴磷、克百威、联苯菊酯、氧乐果</w:t>
            </w:r>
            <w:r>
              <w:rPr>
                <w:rFonts w:hint="eastAsia" w:ascii="宋体" w:hAnsi="宋体"/>
                <w:color w:val="000000"/>
                <w:kern w:val="0"/>
                <w:sz w:val="20"/>
                <w:szCs w:val="20"/>
                <w:highlight w:val="none"/>
                <w:lang w:eastAsia="zh-CN"/>
              </w:rPr>
              <w:t>、水胺硫磷</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浆果和其他小型水果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葡萄</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苯醚甲环唑</w:t>
            </w:r>
            <w:r>
              <w:rPr>
                <w:rFonts w:hint="eastAsia" w:ascii="宋体" w:hAnsi="宋体"/>
                <w:color w:val="000000"/>
                <w:kern w:val="0"/>
                <w:sz w:val="20"/>
                <w:szCs w:val="20"/>
                <w:highlight w:val="none"/>
                <w:lang w:eastAsia="zh-CN"/>
              </w:rPr>
              <w:t>、</w:t>
            </w:r>
            <w:r>
              <w:rPr>
                <w:rFonts w:hint="eastAsia" w:ascii="宋体" w:hAnsi="宋体"/>
                <w:color w:val="000000"/>
                <w:kern w:val="0"/>
                <w:sz w:val="20"/>
                <w:szCs w:val="20"/>
                <w:highlight w:val="none"/>
              </w:rPr>
              <w:t>克百威、氯氰菊酯和高效氯氰菊酯、氧乐果、氯氟氰菊酯和高效氯氟氰菊酯</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浆果和其他小型水果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草莓</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阿维菌素、敌敌畏、多菌灵、克百威、烯酰吗啉、氧乐果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49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浆果和其他小型水果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猕猴桃</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敌敌畏、多菌灵、</w:t>
            </w:r>
            <w:r>
              <w:rPr>
                <w:rFonts w:hint="eastAsia" w:ascii="宋体" w:hAnsi="宋体"/>
                <w:color w:val="FF0000"/>
                <w:kern w:val="0"/>
                <w:sz w:val="20"/>
                <w:szCs w:val="20"/>
                <w:highlight w:val="none"/>
              </w:rPr>
              <w:t>氯吡脲</w:t>
            </w:r>
            <w:r>
              <w:rPr>
                <w:rFonts w:hint="eastAsia" w:ascii="宋体" w:hAnsi="宋体"/>
                <w:color w:val="000000"/>
                <w:kern w:val="0"/>
                <w:sz w:val="20"/>
                <w:szCs w:val="20"/>
                <w:highlight w:val="none"/>
              </w:rPr>
              <w:t>、氧乐果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50</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热带和亚热带水果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香蕉</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甲拌磷</w:t>
            </w:r>
            <w:r>
              <w:rPr>
                <w:rFonts w:hint="eastAsia" w:ascii="宋体" w:hAnsi="宋体"/>
                <w:color w:val="000000"/>
                <w:kern w:val="0"/>
                <w:sz w:val="20"/>
                <w:szCs w:val="20"/>
                <w:highlight w:val="none"/>
                <w:lang w:eastAsia="zh-CN"/>
              </w:rPr>
              <w:t>、多菌灵</w:t>
            </w:r>
            <w:r>
              <w:rPr>
                <w:rFonts w:hint="eastAsia" w:ascii="宋体" w:hAnsi="宋体"/>
                <w:color w:val="000000"/>
                <w:kern w:val="0"/>
                <w:sz w:val="20"/>
                <w:szCs w:val="20"/>
                <w:highlight w:val="none"/>
              </w:rPr>
              <w:t>、</w:t>
            </w:r>
            <w:r>
              <w:rPr>
                <w:rFonts w:hint="eastAsia" w:ascii="宋体" w:hAnsi="宋体"/>
                <w:color w:val="FF0000"/>
                <w:kern w:val="0"/>
                <w:sz w:val="20"/>
                <w:szCs w:val="20"/>
                <w:highlight w:val="none"/>
              </w:rPr>
              <w:t>腈苯唑、吡虫啉</w:t>
            </w:r>
            <w:r>
              <w:rPr>
                <w:rFonts w:hint="eastAsia" w:ascii="宋体" w:hAnsi="宋体"/>
                <w:color w:val="000000"/>
                <w:kern w:val="0"/>
                <w:sz w:val="20"/>
                <w:szCs w:val="20"/>
                <w:highlight w:val="none"/>
              </w:rPr>
              <w:t>、</w:t>
            </w:r>
            <w:r>
              <w:rPr>
                <w:rFonts w:hint="eastAsia" w:ascii="宋体" w:hAnsi="宋体"/>
                <w:color w:val="FF0000"/>
                <w:kern w:val="0"/>
                <w:sz w:val="20"/>
                <w:szCs w:val="20"/>
                <w:highlight w:val="none"/>
              </w:rPr>
              <w:t>噻虫胺、噻虫嗪</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51</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热带和亚热带水果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芒果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FF0000"/>
                <w:kern w:val="0"/>
                <w:sz w:val="20"/>
                <w:szCs w:val="20"/>
                <w:highlight w:val="none"/>
              </w:rPr>
              <w:t>吡唑醚菌酯</w:t>
            </w:r>
            <w:r>
              <w:rPr>
                <w:rFonts w:hint="eastAsia" w:ascii="宋体" w:hAnsi="宋体"/>
                <w:color w:val="FF0000"/>
                <w:kern w:val="0"/>
                <w:sz w:val="20"/>
                <w:szCs w:val="20"/>
                <w:highlight w:val="none"/>
                <w:lang w:eastAsia="zh-CN"/>
              </w:rPr>
              <w:t>、噻虫胺</w:t>
            </w:r>
            <w:r>
              <w:rPr>
                <w:rFonts w:hint="eastAsia" w:ascii="宋体" w:hAnsi="宋体"/>
                <w:color w:val="000000"/>
                <w:kern w:val="0"/>
                <w:sz w:val="20"/>
                <w:szCs w:val="20"/>
                <w:highlight w:val="none"/>
                <w:lang w:eastAsia="zh-CN"/>
              </w:rPr>
              <w:t>、</w:t>
            </w:r>
            <w:r>
              <w:rPr>
                <w:rFonts w:hint="eastAsia" w:ascii="宋体" w:hAnsi="宋体"/>
                <w:color w:val="000000"/>
                <w:kern w:val="0"/>
                <w:sz w:val="20"/>
                <w:szCs w:val="20"/>
                <w:highlight w:val="none"/>
              </w:rPr>
              <w:t>苯醚甲环唑、多菌灵、嘧菌酯、戊唑醇、氧乐果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52</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热带和亚热带水果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火龙果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氟虫腈、甲胺磷、克百威、氧乐果</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53</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热带和亚热带水果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荔枝</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多菌灵、氧乐果、毒死蜱、苯醚甲环唑、</w:t>
            </w:r>
            <w:r>
              <w:rPr>
                <w:rFonts w:hint="eastAsia" w:ascii="宋体" w:hAnsi="宋体"/>
                <w:color w:val="FF0000"/>
                <w:kern w:val="0"/>
                <w:sz w:val="20"/>
                <w:szCs w:val="20"/>
                <w:highlight w:val="none"/>
              </w:rPr>
              <w:t>氯氟氰菊酯和高效氯氟氰菊酯</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54</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瓜果类水果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西瓜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克百威、噻虫嗪、氧乐果、乙酰甲胺磷、苯醚甲环唑</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55</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水果类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瓜果类水果</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甜瓜类</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克百威、烯酰吗啉、氧乐果、乙酰甲胺磷</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56</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鲜蛋</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鲜蛋</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鸡蛋</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lang w:eastAsia="zh-CN"/>
              </w:rPr>
              <w:t>恩诺沙星</w:t>
            </w:r>
            <w:r>
              <w:rPr>
                <w:rFonts w:hint="eastAsia" w:ascii="宋体" w:hAnsi="宋体"/>
                <w:color w:val="000000"/>
                <w:kern w:val="0"/>
                <w:sz w:val="20"/>
                <w:szCs w:val="20"/>
                <w:highlight w:val="none"/>
              </w:rPr>
              <w:t>、</w:t>
            </w:r>
            <w:r>
              <w:rPr>
                <w:rFonts w:hint="eastAsia" w:ascii="宋体" w:hAnsi="宋体"/>
                <w:color w:val="FF0000"/>
                <w:kern w:val="0"/>
                <w:sz w:val="20"/>
                <w:szCs w:val="20"/>
                <w:highlight w:val="none"/>
              </w:rPr>
              <w:t>甲硝唑、地美硝唑</w:t>
            </w:r>
            <w:r>
              <w:rPr>
                <w:rFonts w:hint="eastAsia" w:ascii="宋体" w:hAnsi="宋体"/>
                <w:color w:val="000000"/>
                <w:kern w:val="0"/>
                <w:sz w:val="20"/>
                <w:szCs w:val="20"/>
                <w:highlight w:val="none"/>
              </w:rPr>
              <w:t>、呋喃唑酮代谢物、氟虫腈</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57</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鲜蛋</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鲜蛋</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其他禽蛋</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高</w:t>
            </w:r>
          </w:p>
        </w:tc>
        <w:tc>
          <w:tcPr>
            <w:tcW w:w="6840" w:type="dxa"/>
            <w:tcBorders>
              <w:top w:val="nil"/>
              <w:left w:val="nil"/>
              <w:bottom w:val="single" w:color="auto" w:sz="4" w:space="0"/>
              <w:right w:val="single" w:color="auto" w:sz="4" w:space="0"/>
            </w:tcBorders>
            <w:noWrap w:val="0"/>
            <w:vAlign w:val="center"/>
          </w:tcPr>
          <w:p>
            <w:pPr>
              <w:widowControl/>
              <w:jc w:val="left"/>
              <w:rPr>
                <w:rFonts w:hint="eastAsia" w:ascii="宋体" w:hAnsi="宋体" w:eastAsia="宋体"/>
                <w:color w:val="000000"/>
                <w:kern w:val="0"/>
                <w:sz w:val="20"/>
                <w:szCs w:val="20"/>
                <w:highlight w:val="none"/>
                <w:lang w:eastAsia="zh-CN"/>
              </w:rPr>
            </w:pPr>
            <w:r>
              <w:rPr>
                <w:rFonts w:hint="eastAsia" w:ascii="宋体" w:hAnsi="宋体"/>
                <w:color w:val="000000"/>
                <w:kern w:val="0"/>
                <w:sz w:val="20"/>
                <w:szCs w:val="20"/>
                <w:highlight w:val="none"/>
              </w:rPr>
              <w:t>呋喃唑酮代谢物</w:t>
            </w:r>
            <w:r>
              <w:rPr>
                <w:rFonts w:hint="eastAsia" w:ascii="宋体" w:hAnsi="宋体"/>
                <w:color w:val="000000"/>
                <w:kern w:val="0"/>
                <w:sz w:val="20"/>
                <w:szCs w:val="20"/>
                <w:highlight w:val="none"/>
                <w:lang w:eastAsia="zh-CN"/>
              </w:rPr>
              <w:t>、磺胺类(总量)</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58</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豆类</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豆类</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铅（以Pb计）、铬（以Cr计）、赭曲霉毒素A、吡虫啉、环丙唑醇</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20</w:t>
            </w:r>
          </w:p>
        </w:tc>
      </w:tr>
      <w:tr>
        <w:tblPrEx>
          <w:tblCellMar>
            <w:top w:w="0" w:type="dxa"/>
            <w:left w:w="108" w:type="dxa"/>
            <w:bottom w:w="0" w:type="dxa"/>
            <w:right w:w="108" w:type="dxa"/>
          </w:tblCellMar>
        </w:tblPrEx>
        <w:trPr>
          <w:trHeight w:val="702" w:hRule="atLeast"/>
        </w:trPr>
        <w:tc>
          <w:tcPr>
            <w:tcW w:w="46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59</w:t>
            </w:r>
          </w:p>
        </w:tc>
        <w:tc>
          <w:tcPr>
            <w:tcW w:w="1525"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食用农产品</w:t>
            </w:r>
          </w:p>
        </w:tc>
        <w:tc>
          <w:tcPr>
            <w:tcW w:w="180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生干坚果与籽类食品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生干坚果与籽类食品</w:t>
            </w:r>
          </w:p>
        </w:tc>
        <w:tc>
          <w:tcPr>
            <w:tcW w:w="14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生干坚果</w:t>
            </w:r>
          </w:p>
        </w:tc>
        <w:tc>
          <w:tcPr>
            <w:tcW w:w="72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一般</w:t>
            </w:r>
          </w:p>
        </w:tc>
        <w:tc>
          <w:tcPr>
            <w:tcW w:w="6840" w:type="dxa"/>
            <w:tcBorders>
              <w:top w:val="nil"/>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rPr>
            </w:pPr>
            <w:r>
              <w:rPr>
                <w:rFonts w:hint="eastAsia" w:ascii="宋体" w:hAnsi="宋体"/>
                <w:color w:val="000000"/>
                <w:kern w:val="0"/>
                <w:sz w:val="20"/>
                <w:szCs w:val="20"/>
                <w:highlight w:val="none"/>
              </w:rPr>
              <w:t>酸价（以脂肪计）、过氧化值（以脂肪计）、铅（以Pb计）、吡虫啉</w:t>
            </w:r>
          </w:p>
        </w:tc>
        <w:tc>
          <w:tcPr>
            <w:tcW w:w="540" w:type="dxa"/>
            <w:tcBorders>
              <w:top w:val="nil"/>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rPr>
            </w:pPr>
            <w:r>
              <w:rPr>
                <w:rFonts w:hint="eastAsia" w:ascii="宋体" w:hAnsi="宋体"/>
                <w:color w:val="000000"/>
                <w:kern w:val="0"/>
                <w:sz w:val="20"/>
                <w:szCs w:val="20"/>
                <w:highlight w:val="none"/>
              </w:rPr>
              <w:t>15</w:t>
            </w:r>
          </w:p>
        </w:tc>
      </w:tr>
      <w:tr>
        <w:tblPrEx>
          <w:tblCellMar>
            <w:top w:w="0" w:type="dxa"/>
            <w:left w:w="108" w:type="dxa"/>
            <w:bottom w:w="0" w:type="dxa"/>
            <w:right w:w="108" w:type="dxa"/>
          </w:tblCellMar>
        </w:tblPrEx>
        <w:trPr>
          <w:trHeight w:val="702" w:hRule="atLeast"/>
        </w:trPr>
        <w:tc>
          <w:tcPr>
            <w:tcW w:w="4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60</w:t>
            </w:r>
          </w:p>
        </w:tc>
        <w:tc>
          <w:tcPr>
            <w:tcW w:w="152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食用农产品</w:t>
            </w:r>
          </w:p>
        </w:tc>
        <w:tc>
          <w:tcPr>
            <w:tcW w:w="180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生干坚果与籽类食品</w:t>
            </w:r>
          </w:p>
        </w:tc>
        <w:tc>
          <w:tcPr>
            <w:tcW w:w="14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生干坚果与籽类食品</w:t>
            </w:r>
          </w:p>
        </w:tc>
        <w:tc>
          <w:tcPr>
            <w:tcW w:w="14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生干籽类</w:t>
            </w:r>
          </w:p>
        </w:tc>
        <w:tc>
          <w:tcPr>
            <w:tcW w:w="72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一般</w:t>
            </w:r>
          </w:p>
        </w:tc>
        <w:tc>
          <w:tcPr>
            <w:tcW w:w="6840"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olor w:val="000000"/>
                <w:kern w:val="0"/>
                <w:sz w:val="20"/>
                <w:szCs w:val="20"/>
                <w:highlight w:val="none"/>
                <w:u w:val="none"/>
              </w:rPr>
            </w:pPr>
            <w:r>
              <w:rPr>
                <w:rFonts w:hint="eastAsia" w:ascii="宋体" w:hAnsi="宋体"/>
                <w:color w:val="FF0000"/>
                <w:kern w:val="0"/>
                <w:sz w:val="20"/>
                <w:szCs w:val="20"/>
                <w:highlight w:val="none"/>
                <w:u w:val="none"/>
              </w:rPr>
              <w:t>酸价（以脂肪计）</w:t>
            </w:r>
            <w:r>
              <w:rPr>
                <w:rFonts w:hint="eastAsia" w:ascii="宋体" w:hAnsi="宋体"/>
                <w:color w:val="000000"/>
                <w:kern w:val="0"/>
                <w:sz w:val="20"/>
                <w:szCs w:val="20"/>
                <w:highlight w:val="none"/>
                <w:u w:val="none"/>
              </w:rPr>
              <w:t>、过氧化值（以脂肪计）、镉（以Cd计）、</w:t>
            </w:r>
            <w:r>
              <w:rPr>
                <w:rFonts w:hint="eastAsia" w:ascii="宋体" w:hAnsi="宋体"/>
                <w:color w:val="FF0000"/>
                <w:kern w:val="0"/>
                <w:sz w:val="20"/>
                <w:szCs w:val="20"/>
                <w:highlight w:val="none"/>
                <w:u w:val="none"/>
              </w:rPr>
              <w:t>黄曲霉毒素B</w:t>
            </w:r>
            <w:r>
              <w:rPr>
                <w:rFonts w:hint="eastAsia" w:ascii="宋体" w:hAnsi="宋体"/>
                <w:color w:val="FF0000"/>
                <w:kern w:val="0"/>
                <w:sz w:val="20"/>
                <w:szCs w:val="20"/>
                <w:highlight w:val="none"/>
                <w:u w:val="none"/>
                <w:vertAlign w:val="subscript"/>
              </w:rPr>
              <w:t>1</w:t>
            </w:r>
            <w:r>
              <w:rPr>
                <w:rFonts w:hint="eastAsia" w:ascii="宋体" w:hAnsi="宋体"/>
                <w:color w:val="000000"/>
                <w:kern w:val="0"/>
                <w:sz w:val="20"/>
                <w:szCs w:val="20"/>
                <w:highlight w:val="none"/>
                <w:u w:val="none"/>
              </w:rPr>
              <w:t>、嘧菌酯</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olor w:val="000000"/>
                <w:kern w:val="0"/>
                <w:sz w:val="20"/>
                <w:szCs w:val="20"/>
                <w:highlight w:val="none"/>
                <w:u w:val="none"/>
              </w:rPr>
            </w:pPr>
            <w:r>
              <w:rPr>
                <w:rFonts w:hint="eastAsia" w:ascii="宋体" w:hAnsi="宋体"/>
                <w:color w:val="000000"/>
                <w:kern w:val="0"/>
                <w:sz w:val="20"/>
                <w:szCs w:val="20"/>
                <w:highlight w:val="none"/>
                <w:u w:val="none"/>
              </w:rPr>
              <w:t>15</w:t>
            </w:r>
          </w:p>
        </w:tc>
      </w:tr>
      <w:tr>
        <w:tblPrEx>
          <w:tblCellMar>
            <w:top w:w="0" w:type="dxa"/>
            <w:left w:w="108" w:type="dxa"/>
            <w:bottom w:w="0" w:type="dxa"/>
            <w:right w:w="108" w:type="dxa"/>
          </w:tblCellMar>
        </w:tblPrEx>
        <w:trPr>
          <w:trHeight w:val="702" w:hRule="atLeast"/>
        </w:trPr>
        <w:tc>
          <w:tcPr>
            <w:tcW w:w="14225"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000000"/>
                <w:kern w:val="0"/>
                <w:sz w:val="20"/>
                <w:szCs w:val="20"/>
                <w:highlight w:val="none"/>
              </w:rPr>
            </w:pPr>
            <w:r>
              <w:rPr>
                <w:rFonts w:hint="eastAsia" w:ascii="宋体" w:hAnsi="宋体"/>
                <w:color w:val="000000"/>
                <w:kern w:val="0"/>
                <w:sz w:val="20"/>
                <w:szCs w:val="20"/>
                <w:highlight w:val="none"/>
              </w:rPr>
              <w:t>合计</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olor w:val="000000"/>
                <w:kern w:val="0"/>
                <w:sz w:val="20"/>
                <w:szCs w:val="20"/>
                <w:highlight w:val="none"/>
              </w:rPr>
            </w:pPr>
            <w:r>
              <w:rPr>
                <w:rFonts w:hint="eastAsia" w:ascii="宋体" w:hAnsi="宋体"/>
                <w:color w:val="000000"/>
                <w:kern w:val="0"/>
                <w:sz w:val="20"/>
                <w:szCs w:val="20"/>
                <w:highlight w:val="none"/>
              </w:rPr>
              <w:t>900</w:t>
            </w:r>
          </w:p>
        </w:tc>
      </w:tr>
    </w:tbl>
    <w:p>
      <w:pPr>
        <w:widowControl/>
        <w:adjustRightInd w:val="0"/>
        <w:spacing w:line="500" w:lineRule="exact"/>
        <w:rPr>
          <w:rFonts w:hint="eastAsia" w:ascii="宋体" w:hAnsi="宋体"/>
          <w:b/>
          <w:kern w:val="0"/>
          <w:sz w:val="21"/>
          <w:szCs w:val="21"/>
          <w:highlight w:val="none"/>
        </w:rPr>
        <w:sectPr>
          <w:pgSz w:w="16840" w:h="11907" w:orient="landscape"/>
          <w:pgMar w:top="1531" w:right="1418" w:bottom="1531" w:left="1418" w:header="567" w:footer="998" w:gutter="0"/>
          <w:cols w:space="720" w:num="1"/>
          <w:rtlGutter w:val="0"/>
          <w:docGrid w:type="linesAndChars" w:linePitch="384" w:charSpace="0"/>
        </w:sectPr>
      </w:pPr>
    </w:p>
    <w:p>
      <w:pPr>
        <w:rPr>
          <w:rFonts w:hint="eastAsia"/>
        </w:rPr>
      </w:pPr>
    </w:p>
    <w:p>
      <w:pPr>
        <w:pStyle w:val="81"/>
        <w:ind w:left="2400"/>
        <w:rPr>
          <w:rFonts w:hint="eastAsia" w:ascii="宋体" w:hAnsi="宋体"/>
          <w:b/>
          <w:sz w:val="32"/>
          <w:szCs w:val="32"/>
        </w:rPr>
      </w:pPr>
    </w:p>
    <w:p>
      <w:pPr>
        <w:spacing w:line="400" w:lineRule="exact"/>
        <w:rPr>
          <w:rFonts w:hint="eastAsia" w:ascii="宋体" w:hAnsi="宋体" w:eastAsia="宋体" w:cs="宋体"/>
          <w:color w:val="auto"/>
          <w:szCs w:val="21"/>
          <w:highlight w:val="yellow"/>
        </w:rPr>
      </w:pPr>
    </w:p>
    <w:p>
      <w:pPr>
        <w:widowControl/>
        <w:spacing w:line="360" w:lineRule="auto"/>
        <w:ind w:firstLine="420" w:firstLineChars="200"/>
        <w:textAlignment w:val="center"/>
        <w:rPr>
          <w:rFonts w:hint="eastAsia" w:ascii="宋体" w:hAnsi="宋体" w:eastAsia="宋体" w:cs="宋体"/>
          <w:szCs w:val="21"/>
          <w:lang w:bidi="ar"/>
        </w:rPr>
      </w:pPr>
    </w:p>
    <w:p>
      <w:pPr>
        <w:widowControl/>
        <w:spacing w:line="360" w:lineRule="auto"/>
        <w:textAlignment w:val="center"/>
        <w:rPr>
          <w:rFonts w:hint="eastAsia" w:ascii="宋体" w:hAnsi="宋体" w:eastAsia="宋体" w:cs="宋体"/>
          <w:szCs w:val="21"/>
          <w:lang w:bidi="ar"/>
        </w:rPr>
      </w:pPr>
    </w:p>
    <w:p>
      <w:pPr>
        <w:pStyle w:val="15"/>
        <w:rPr>
          <w:rFonts w:hint="eastAsia"/>
        </w:rPr>
      </w:pPr>
    </w:p>
    <w:bookmarkEnd w:id="84"/>
    <w:bookmarkEnd w:id="85"/>
    <w:bookmarkEnd w:id="86"/>
    <w:bookmarkEnd w:id="87"/>
    <w:bookmarkEnd w:id="88"/>
    <w:bookmarkEnd w:id="89"/>
    <w:p>
      <w:pPr>
        <w:pStyle w:val="34"/>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right="0" w:rightChars="0" w:firstLine="2570" w:firstLineChars="800"/>
        <w:jc w:val="both"/>
        <w:textAlignment w:val="auto"/>
        <w:outlineLvl w:val="0"/>
        <w:rPr>
          <w:rFonts w:hint="eastAsia" w:ascii="宋体" w:hAnsi="宋体" w:eastAsia="宋体" w:cs="宋体"/>
          <w:sz w:val="32"/>
          <w:szCs w:val="32"/>
        </w:rPr>
      </w:pPr>
      <w:bookmarkStart w:id="93" w:name="_Toc17770"/>
      <w:bookmarkStart w:id="94" w:name="_Toc5037"/>
      <w:bookmarkStart w:id="95" w:name="_Toc20594"/>
      <w:r>
        <w:rPr>
          <w:rFonts w:hint="eastAsia" w:ascii="宋体" w:hAnsi="宋体" w:cs="宋体"/>
          <w:sz w:val="32"/>
          <w:szCs w:val="32"/>
          <w:lang w:eastAsia="zh-CN"/>
        </w:rPr>
        <w:t>第六章</w:t>
      </w:r>
      <w:r>
        <w:rPr>
          <w:rFonts w:hint="eastAsia" w:ascii="宋体" w:hAnsi="宋体" w:cs="宋体"/>
          <w:sz w:val="32"/>
          <w:szCs w:val="32"/>
          <w:lang w:val="en-US" w:eastAsia="zh-CN"/>
        </w:rPr>
        <w:t xml:space="preserve">   </w:t>
      </w:r>
      <w:r>
        <w:rPr>
          <w:rFonts w:hint="eastAsia" w:ascii="宋体" w:hAnsi="宋体" w:eastAsia="宋体" w:cs="宋体"/>
          <w:sz w:val="32"/>
          <w:szCs w:val="32"/>
        </w:rPr>
        <w:t>响应文件格式</w:t>
      </w:r>
      <w:bookmarkEnd w:id="93"/>
      <w:bookmarkEnd w:id="94"/>
      <w:bookmarkEnd w:id="95"/>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rPr>
      </w:pPr>
    </w:p>
    <w:p>
      <w:pPr>
        <w:spacing w:line="460" w:lineRule="exact"/>
        <w:jc w:val="left"/>
        <w:rPr>
          <w:rFonts w:hint="eastAsia" w:ascii="宋体" w:hAnsi="宋体" w:eastAsia="宋体" w:cs="宋体"/>
          <w:b/>
          <w:sz w:val="44"/>
          <w:szCs w:val="44"/>
        </w:rPr>
      </w:pPr>
    </w:p>
    <w:p>
      <w:pPr>
        <w:spacing w:line="460" w:lineRule="exact"/>
        <w:jc w:val="left"/>
        <w:rPr>
          <w:rFonts w:hint="default" w:ascii="宋体" w:hAnsi="宋体" w:eastAsia="宋体" w:cs="宋体"/>
          <w:b/>
          <w:sz w:val="44"/>
          <w:szCs w:val="44"/>
          <w:u w:val="single"/>
          <w:lang w:val="en-US" w:eastAsia="zh-CN"/>
        </w:rPr>
      </w:pPr>
      <w:r>
        <w:rPr>
          <w:rFonts w:hint="eastAsia" w:ascii="宋体" w:hAnsi="宋体" w:eastAsia="宋体" w:cs="宋体"/>
          <w:b/>
          <w:sz w:val="44"/>
          <w:szCs w:val="44"/>
        </w:rPr>
        <w:t xml:space="preserve">     </w:t>
      </w:r>
      <w:r>
        <w:rPr>
          <w:rFonts w:hint="eastAsia" w:ascii="宋体" w:hAnsi="宋体" w:eastAsia="宋体" w:cs="宋体"/>
          <w:b/>
          <w:sz w:val="44"/>
          <w:szCs w:val="44"/>
          <w:u w:val="single"/>
        </w:rPr>
        <w:t xml:space="preserve">                  </w:t>
      </w:r>
      <w:r>
        <w:rPr>
          <w:rFonts w:hint="eastAsia" w:ascii="宋体" w:hAnsi="宋体" w:eastAsia="宋体" w:cs="宋体"/>
          <w:b/>
          <w:sz w:val="44"/>
          <w:szCs w:val="44"/>
        </w:rPr>
        <w:t>（项目名称）</w:t>
      </w:r>
      <w:r>
        <w:rPr>
          <w:rFonts w:hint="eastAsia" w:ascii="宋体" w:hAnsi="宋体" w:eastAsia="宋体" w:cs="宋体"/>
          <w:b/>
          <w:sz w:val="44"/>
          <w:szCs w:val="44"/>
          <w:u w:val="single"/>
          <w:lang w:val="en-US" w:eastAsia="zh-CN"/>
        </w:rPr>
        <w:t xml:space="preserve">   </w:t>
      </w:r>
      <w:r>
        <w:rPr>
          <w:rFonts w:hint="eastAsia" w:ascii="宋体" w:hAnsi="宋体" w:eastAsia="宋体" w:cs="宋体"/>
          <w:b/>
          <w:sz w:val="44"/>
          <w:szCs w:val="44"/>
          <w:lang w:val="en-US" w:eastAsia="zh-CN"/>
        </w:rPr>
        <w:t>包</w:t>
      </w: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60" w:lineRule="exact"/>
        <w:jc w:val="center"/>
        <w:rPr>
          <w:rFonts w:hint="eastAsia" w:ascii="宋体" w:hAnsi="宋体" w:eastAsia="宋体" w:cs="宋体"/>
          <w:sz w:val="32"/>
        </w:rPr>
      </w:pPr>
    </w:p>
    <w:p>
      <w:pPr>
        <w:spacing w:line="480" w:lineRule="auto"/>
        <w:jc w:val="center"/>
        <w:rPr>
          <w:rFonts w:hint="eastAsia" w:ascii="宋体" w:hAnsi="宋体" w:eastAsia="宋体" w:cs="宋体"/>
          <w:sz w:val="32"/>
        </w:rPr>
      </w:pPr>
    </w:p>
    <w:p>
      <w:pPr>
        <w:spacing w:line="480" w:lineRule="auto"/>
        <w:jc w:val="center"/>
        <w:rPr>
          <w:rFonts w:hint="eastAsia" w:ascii="宋体" w:hAnsi="宋体" w:eastAsia="宋体" w:cs="宋体"/>
          <w:sz w:val="32"/>
        </w:rPr>
      </w:pPr>
    </w:p>
    <w:p>
      <w:pPr>
        <w:spacing w:line="480" w:lineRule="auto"/>
        <w:jc w:val="center"/>
        <w:rPr>
          <w:rFonts w:hint="eastAsia" w:ascii="宋体" w:hAnsi="宋体" w:eastAsia="宋体" w:cs="宋体"/>
          <w:sz w:val="84"/>
          <w:szCs w:val="84"/>
        </w:rPr>
      </w:pPr>
      <w:r>
        <w:rPr>
          <w:rFonts w:hint="eastAsia" w:ascii="宋体" w:hAnsi="宋体" w:eastAsia="宋体" w:cs="宋体"/>
          <w:sz w:val="84"/>
          <w:szCs w:val="84"/>
        </w:rPr>
        <w:t>响应文件</w:t>
      </w:r>
    </w:p>
    <w:p>
      <w:pPr>
        <w:spacing w:line="480" w:lineRule="auto"/>
        <w:ind w:firstLine="2108" w:firstLineChars="750"/>
        <w:rPr>
          <w:rFonts w:hint="eastAsia" w:ascii="宋体" w:hAnsi="宋体" w:eastAsia="宋体" w:cs="宋体"/>
          <w:b/>
          <w:bCs/>
          <w:sz w:val="28"/>
          <w:szCs w:val="28"/>
          <w:u w:val="single"/>
        </w:rPr>
      </w:pP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项目</w:t>
      </w:r>
      <w:r>
        <w:rPr>
          <w:rFonts w:hint="eastAsia" w:ascii="宋体" w:hAnsi="宋体" w:eastAsia="宋体" w:cs="宋体"/>
          <w:b/>
          <w:bCs/>
          <w:sz w:val="28"/>
          <w:szCs w:val="28"/>
        </w:rPr>
        <w:t>编号：</w:t>
      </w:r>
    </w:p>
    <w:p>
      <w:pPr>
        <w:spacing w:line="460" w:lineRule="exact"/>
        <w:ind w:firstLine="537" w:firstLineChars="192"/>
        <w:rPr>
          <w:rFonts w:hint="eastAsia" w:ascii="宋体" w:hAnsi="宋体" w:eastAsia="宋体" w:cs="宋体"/>
          <w:sz w:val="28"/>
        </w:rPr>
      </w:pPr>
    </w:p>
    <w:p>
      <w:pPr>
        <w:pStyle w:val="15"/>
        <w:rPr>
          <w:rFonts w:hint="eastAsia"/>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ind w:firstLine="537" w:firstLineChars="192"/>
        <w:rPr>
          <w:rFonts w:hint="eastAsia" w:ascii="宋体" w:hAnsi="宋体" w:eastAsia="宋体" w:cs="宋体"/>
          <w:sz w:val="28"/>
        </w:rPr>
      </w:pPr>
    </w:p>
    <w:p>
      <w:pPr>
        <w:spacing w:line="460" w:lineRule="exact"/>
        <w:rPr>
          <w:rFonts w:hint="eastAsia" w:ascii="宋体" w:hAnsi="宋体" w:eastAsia="宋体" w:cs="宋体"/>
          <w:sz w:val="28"/>
        </w:rPr>
      </w:pPr>
    </w:p>
    <w:p>
      <w:pPr>
        <w:spacing w:line="460" w:lineRule="exact"/>
        <w:rPr>
          <w:rFonts w:hint="eastAsia" w:ascii="宋体" w:hAnsi="宋体" w:eastAsia="宋体" w:cs="宋体"/>
          <w:sz w:val="28"/>
        </w:rPr>
      </w:pPr>
    </w:p>
    <w:p>
      <w:pPr>
        <w:spacing w:line="460" w:lineRule="exact"/>
        <w:rPr>
          <w:rFonts w:hint="eastAsia" w:ascii="宋体" w:hAnsi="宋体" w:eastAsia="宋体" w:cs="宋体"/>
          <w:sz w:val="32"/>
        </w:rPr>
      </w:pP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采购人：</w:t>
      </w: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供应商</w:t>
      </w:r>
      <w:r>
        <w:rPr>
          <w:rFonts w:hint="eastAsia" w:ascii="宋体" w:hAnsi="宋体" w:eastAsia="宋体" w:cs="宋体"/>
          <w:sz w:val="30"/>
          <w:szCs w:val="30"/>
        </w:rPr>
        <w:t>名称</w:t>
      </w:r>
      <w:r>
        <w:rPr>
          <w:rFonts w:hint="eastAsia" w:ascii="宋体" w:hAnsi="宋体" w:eastAsia="宋体" w:cs="宋体"/>
          <w:sz w:val="32"/>
        </w:rPr>
        <w:t>（全称并加盖公章）：</w:t>
      </w:r>
    </w:p>
    <w:p>
      <w:pPr>
        <w:spacing w:line="480" w:lineRule="auto"/>
        <w:ind w:left="735" w:leftChars="350" w:firstLine="614" w:firstLineChars="192"/>
        <w:rPr>
          <w:rFonts w:hint="eastAsia" w:ascii="宋体" w:hAnsi="宋体" w:eastAsia="宋体" w:cs="宋体"/>
          <w:sz w:val="32"/>
        </w:rPr>
      </w:pPr>
      <w:r>
        <w:rPr>
          <w:rFonts w:hint="eastAsia" w:ascii="宋体" w:hAnsi="宋体" w:eastAsia="宋体" w:cs="宋体"/>
          <w:sz w:val="32"/>
        </w:rPr>
        <w:t>法定代表人或其委托代理人：（签名或盖章）</w:t>
      </w:r>
    </w:p>
    <w:p>
      <w:pPr>
        <w:spacing w:line="460" w:lineRule="exact"/>
        <w:ind w:left="735" w:leftChars="350" w:firstLine="614" w:firstLineChars="192"/>
        <w:rPr>
          <w:rFonts w:hint="eastAsia" w:ascii="宋体" w:hAnsi="宋体" w:eastAsia="宋体" w:cs="宋体"/>
          <w:sz w:val="32"/>
        </w:rPr>
      </w:pPr>
    </w:p>
    <w:p>
      <w:pPr>
        <w:spacing w:line="460" w:lineRule="exact"/>
        <w:rPr>
          <w:rFonts w:hint="eastAsia" w:ascii="宋体" w:hAnsi="宋体" w:eastAsia="宋体" w:cs="宋体"/>
          <w:sz w:val="32"/>
          <w:szCs w:val="32"/>
        </w:rPr>
      </w:pPr>
    </w:p>
    <w:p>
      <w:pPr>
        <w:pStyle w:val="2"/>
        <w:rPr>
          <w:rFonts w:hint="eastAsia"/>
        </w:rPr>
      </w:pPr>
    </w:p>
    <w:p>
      <w:pPr>
        <w:pStyle w:val="2"/>
        <w:rPr>
          <w:rFonts w:hint="eastAsia"/>
        </w:rPr>
      </w:pPr>
    </w:p>
    <w:p>
      <w:pPr>
        <w:spacing w:line="460" w:lineRule="exact"/>
        <w:jc w:val="center"/>
        <w:rPr>
          <w:rFonts w:hint="eastAsia" w:ascii="宋体" w:hAnsi="宋体" w:eastAsia="宋体" w:cs="宋体"/>
          <w:sz w:val="32"/>
          <w:szCs w:val="32"/>
        </w:rPr>
      </w:pPr>
      <w:r>
        <w:rPr>
          <w:rFonts w:hint="eastAsia" w:ascii="宋体" w:hAnsi="宋体" w:eastAsia="宋体" w:cs="宋体"/>
          <w:sz w:val="32"/>
          <w:szCs w:val="32"/>
        </w:rPr>
        <w:t>目录</w:t>
      </w: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spacing w:line="460" w:lineRule="exact"/>
        <w:jc w:val="both"/>
        <w:rPr>
          <w:rFonts w:hint="eastAsia" w:ascii="宋体" w:hAnsi="宋体" w:eastAsia="宋体" w:cs="宋体"/>
          <w:sz w:val="32"/>
          <w:szCs w:val="32"/>
        </w:rPr>
      </w:pPr>
    </w:p>
    <w:p>
      <w:pPr>
        <w:spacing w:line="460" w:lineRule="exact"/>
        <w:jc w:val="center"/>
        <w:rPr>
          <w:rFonts w:hint="eastAsia" w:ascii="宋体" w:hAnsi="宋体" w:eastAsia="宋体" w:cs="宋体"/>
          <w:sz w:val="32"/>
          <w:szCs w:val="32"/>
        </w:rPr>
      </w:pPr>
    </w:p>
    <w:p>
      <w:pPr>
        <w:pStyle w:val="2"/>
        <w:rPr>
          <w:rFonts w:hint="eastAsia"/>
        </w:rPr>
      </w:pPr>
    </w:p>
    <w:p>
      <w:pPr>
        <w:spacing w:line="460" w:lineRule="exact"/>
        <w:rPr>
          <w:rFonts w:hint="eastAsia" w:ascii="宋体" w:hAnsi="宋体" w:eastAsia="宋体" w:cs="宋体"/>
          <w:sz w:val="32"/>
          <w:szCs w:val="32"/>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96" w:name="_Toc17218"/>
      <w:bookmarkStart w:id="97" w:name="_Toc23451"/>
      <w:bookmarkStart w:id="98" w:name="_Toc12304"/>
      <w:bookmarkStart w:id="99" w:name="_Toc22461"/>
      <w:bookmarkStart w:id="100" w:name="_Toc530584396"/>
      <w:bookmarkStart w:id="101" w:name="_Toc490161460"/>
      <w:bookmarkStart w:id="102" w:name="_Toc487805929"/>
      <w:bookmarkStart w:id="103" w:name="_Toc477423253"/>
      <w:bookmarkStart w:id="104" w:name="_Toc408816353"/>
      <w:bookmarkStart w:id="105" w:name="_Toc374512423"/>
      <w:bookmarkStart w:id="106" w:name="_Toc26310"/>
      <w:bookmarkStart w:id="107" w:name="_Toc373230035"/>
      <w:bookmarkStart w:id="108" w:name="_Toc3023"/>
      <w:r>
        <w:rPr>
          <w:rFonts w:hint="eastAsia" w:ascii="宋体" w:hAnsi="宋体" w:eastAsia="宋体" w:cs="宋体"/>
          <w:sz w:val="32"/>
          <w:szCs w:val="32"/>
          <w:lang w:eastAsia="zh-CN"/>
        </w:rPr>
        <w:t>磋商</w:t>
      </w:r>
      <w:r>
        <w:rPr>
          <w:rFonts w:hint="eastAsia" w:ascii="宋体" w:hAnsi="宋体" w:eastAsia="宋体" w:cs="宋体"/>
          <w:sz w:val="32"/>
          <w:szCs w:val="32"/>
        </w:rPr>
        <w:t>承诺函</w:t>
      </w:r>
      <w:bookmarkEnd w:id="96"/>
      <w:bookmarkEnd w:id="97"/>
      <w:bookmarkEnd w:id="98"/>
      <w:bookmarkEnd w:id="99"/>
      <w:bookmarkEnd w:id="100"/>
    </w:p>
    <w:p>
      <w:pPr>
        <w:adjustRightInd w:val="0"/>
        <w:spacing w:line="360" w:lineRule="auto"/>
        <w:jc w:val="left"/>
        <w:textAlignment w:val="baseline"/>
        <w:rPr>
          <w:rFonts w:hint="eastAsia" w:ascii="宋体" w:hAnsi="宋体" w:eastAsia="宋体" w:cs="宋体"/>
          <w:sz w:val="24"/>
          <w:szCs w:val="24"/>
        </w:rPr>
      </w:pPr>
      <w:r>
        <w:rPr>
          <w:rFonts w:hint="eastAsia" w:ascii="宋体" w:hAnsi="宋体" w:eastAsia="宋体" w:cs="宋体"/>
          <w:sz w:val="24"/>
          <w:szCs w:val="24"/>
        </w:rPr>
        <w:t>致（采购人及采购代理机构）：</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）的供应商，根据</w:t>
      </w:r>
      <w:r>
        <w:rPr>
          <w:rFonts w:hint="eastAsia" w:ascii="宋体" w:hAnsi="宋体" w:eastAsia="宋体" w:cs="宋体"/>
          <w:sz w:val="24"/>
          <w:szCs w:val="24"/>
          <w:lang w:eastAsia="zh-CN"/>
        </w:rPr>
        <w:t>竞争性磋商文件</w:t>
      </w:r>
      <w:r>
        <w:rPr>
          <w:rFonts w:hint="eastAsia" w:ascii="宋体" w:hAnsi="宋体" w:eastAsia="宋体" w:cs="宋体"/>
          <w:sz w:val="24"/>
          <w:szCs w:val="24"/>
        </w:rPr>
        <w:t>要求，现郑重承诺如下：</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一、具备《中华人民共和国政府采购法》第二十二条第一款和本项目规定的条件。</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二、我公司同意按</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中的规定，认定本项目</w:t>
      </w:r>
      <w:r>
        <w:rPr>
          <w:rFonts w:hint="eastAsia" w:ascii="宋体" w:hAnsi="宋体" w:eastAsia="宋体" w:cs="宋体"/>
          <w:sz w:val="24"/>
          <w:szCs w:val="24"/>
          <w:lang w:eastAsia="zh-CN"/>
        </w:rPr>
        <w:t>磋商</w:t>
      </w:r>
      <w:r>
        <w:rPr>
          <w:rFonts w:hint="eastAsia" w:ascii="宋体" w:hAnsi="宋体" w:eastAsia="宋体" w:cs="宋体"/>
          <w:sz w:val="24"/>
          <w:szCs w:val="24"/>
        </w:rPr>
        <w:t>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日历天。</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三、完全接受和满足本项目</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中的规定，如对</w:t>
      </w:r>
      <w:r>
        <w:rPr>
          <w:rFonts w:hint="eastAsia" w:ascii="宋体" w:hAnsi="宋体" w:eastAsia="宋体" w:cs="宋体"/>
          <w:sz w:val="24"/>
          <w:szCs w:val="24"/>
          <w:lang w:eastAsia="zh-CN"/>
        </w:rPr>
        <w:t>竞争性磋商文件</w:t>
      </w:r>
      <w:r>
        <w:rPr>
          <w:rFonts w:hint="eastAsia" w:ascii="宋体" w:hAnsi="宋体" w:eastAsia="宋体" w:cs="宋体"/>
          <w:sz w:val="24"/>
          <w:szCs w:val="24"/>
        </w:rPr>
        <w:t>有异议，已经在响应文件提交截止时间前依法进行维权救济，不存在对</w:t>
      </w:r>
      <w:r>
        <w:rPr>
          <w:rFonts w:hint="eastAsia" w:ascii="宋体" w:hAnsi="宋体" w:eastAsia="宋体" w:cs="宋体"/>
          <w:sz w:val="24"/>
          <w:szCs w:val="24"/>
          <w:lang w:eastAsia="zh-CN"/>
        </w:rPr>
        <w:t>竞争性磋商文件</w:t>
      </w:r>
      <w:r>
        <w:rPr>
          <w:rFonts w:hint="eastAsia" w:ascii="宋体" w:hAnsi="宋体" w:eastAsia="宋体" w:cs="宋体"/>
          <w:sz w:val="24"/>
          <w:szCs w:val="24"/>
        </w:rPr>
        <w:t>有异议的同时又参加</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以求侥幸成交或者为实现其他非法目的的行为。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四、参加本次采购活动，不存在与单位负责人为同一人或者存在直接控股、管理关系的其他供应商参与同一合同项下的政府采购活动的行为。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五、参加本次采购活动，不存在为采购项目提供整体设计、规范编制或者项目管理、监理、检测等服务的行为。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七、供应商和其法定代表人及其委托代理人没有行贿犯罪行为。</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w:t>
      </w:r>
    </w:p>
    <w:p>
      <w:pPr>
        <w:pStyle w:val="32"/>
        <w:shd w:val="clear" w:color="auto" w:fill="FFFFFF"/>
        <w:spacing w:before="0" w:beforeLines="0" w:beforeAutospacing="0" w:after="0" w:afterLines="0" w:afterAutospacing="0" w:line="360" w:lineRule="auto"/>
        <w:rPr>
          <w:rFonts w:hint="eastAsia" w:ascii="宋体" w:hAnsi="宋体" w:eastAsia="宋体" w:cs="宋体"/>
          <w:color w:val="333333"/>
          <w:spacing w:val="8"/>
          <w:sz w:val="24"/>
          <w:szCs w:val="24"/>
        </w:rPr>
      </w:pPr>
      <w:r>
        <w:rPr>
          <w:rFonts w:hint="eastAsia" w:ascii="宋体" w:hAnsi="宋体" w:eastAsia="宋体" w:cs="宋体"/>
          <w:color w:val="333333"/>
          <w:spacing w:val="8"/>
          <w:sz w:val="24"/>
          <w:szCs w:val="24"/>
          <w:shd w:val="clear" w:color="auto" w:fill="FFFFFF"/>
        </w:rPr>
        <w:t>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与本</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有关的一切往来通讯请寄</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地址：                     电话： </w:t>
      </w:r>
    </w:p>
    <w:p>
      <w:pPr>
        <w:adjustRightInd w:val="0"/>
        <w:spacing w:line="360"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电子邮箱：</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p>
    <w:p>
      <w:pPr>
        <w:adjustRightInd w:val="0"/>
        <w:spacing w:line="330" w:lineRule="exact"/>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lang w:eastAsia="zh-CN"/>
        </w:rPr>
      </w:pPr>
      <w:bookmarkStart w:id="109" w:name="_Toc438"/>
      <w:bookmarkStart w:id="110" w:name="_Toc13659"/>
      <w:bookmarkStart w:id="111" w:name="_Toc32512"/>
      <w:bookmarkStart w:id="112" w:name="_Toc4067"/>
      <w:r>
        <w:rPr>
          <w:rFonts w:hint="eastAsia" w:ascii="宋体" w:hAnsi="宋体" w:eastAsia="宋体" w:cs="宋体"/>
          <w:sz w:val="32"/>
          <w:szCs w:val="32"/>
          <w:lang w:eastAsia="zh-CN"/>
        </w:rPr>
        <w:t>承诺书</w:t>
      </w:r>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致（采购人及采购代理机构）：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我公司作为</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）的供应商，现郑重承诺如下：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在本次采购活动中，我公司存在下列情形之一的，自愿向采购人缴纳</w:t>
      </w:r>
      <w:r>
        <w:rPr>
          <w:rFonts w:hint="eastAsia" w:ascii="宋体" w:hAnsi="宋体" w:cs="宋体"/>
          <w:sz w:val="24"/>
          <w:szCs w:val="24"/>
          <w:lang w:eastAsia="zh-CN"/>
        </w:rPr>
        <w:t>本竞争性磋商文件第二章供应商须知前附表中规定的磋商</w:t>
      </w:r>
      <w:r>
        <w:rPr>
          <w:rFonts w:hint="eastAsia" w:ascii="宋体" w:hAnsi="宋体" w:cs="宋体"/>
          <w:sz w:val="24"/>
          <w:szCs w:val="24"/>
        </w:rPr>
        <w:t>保证金</w:t>
      </w:r>
      <w:r>
        <w:rPr>
          <w:rFonts w:hint="eastAsia" w:ascii="宋体" w:hAnsi="宋体" w:cs="宋体"/>
          <w:sz w:val="24"/>
          <w:szCs w:val="24"/>
          <w:lang w:eastAsia="zh-CN"/>
        </w:rPr>
        <w:t>金额</w:t>
      </w:r>
      <w:r>
        <w:rPr>
          <w:rFonts w:hint="eastAsia" w:ascii="宋体" w:hAnsi="宋体" w:cs="宋体"/>
          <w:sz w:val="24"/>
          <w:szCs w:val="24"/>
        </w:rPr>
        <w:t>，由采购人没收，因此产生的一切后果和责任由我公司承担，我公司放弃对此提出的任何异议和权利：</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（1）在提交响应文件截止时间后或</w:t>
      </w:r>
      <w:r>
        <w:rPr>
          <w:rFonts w:hint="eastAsia" w:ascii="宋体" w:hAnsi="宋体" w:eastAsia="宋体" w:cs="宋体"/>
          <w:bCs/>
          <w:color w:val="auto"/>
          <w:sz w:val="24"/>
          <w:szCs w:val="24"/>
          <w:lang w:eastAsia="zh-CN"/>
        </w:rPr>
        <w:t>磋商</w:t>
      </w:r>
      <w:r>
        <w:rPr>
          <w:rFonts w:hint="eastAsia" w:ascii="宋体" w:hAnsi="宋体" w:eastAsia="宋体" w:cs="宋体"/>
          <w:sz w:val="24"/>
          <w:szCs w:val="24"/>
        </w:rPr>
        <w:t>有效期内撤回响应文件的；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（2）在响应文件中提供虚假材料的；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（3）如我公司成交，除因不可抗力或</w:t>
      </w:r>
      <w:r>
        <w:rPr>
          <w:rFonts w:hint="eastAsia" w:ascii="宋体" w:hAnsi="宋体" w:eastAsia="宋体" w:cs="宋体"/>
          <w:sz w:val="24"/>
          <w:szCs w:val="24"/>
          <w:lang w:eastAsia="zh-CN"/>
        </w:rPr>
        <w:t>竞争性磋商文件</w:t>
      </w:r>
      <w:r>
        <w:rPr>
          <w:rFonts w:hint="eastAsia" w:ascii="宋体" w:hAnsi="宋体" w:eastAsia="宋体" w:cs="宋体"/>
          <w:sz w:val="24"/>
          <w:szCs w:val="24"/>
        </w:rPr>
        <w:t>认可的情形以外，我公司不与采购人签订合同的；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（4）我公司与采购人、其他供应商或者采购代理机构恶意串通的。</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特此承诺</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adjustRightInd w:val="0"/>
        <w:spacing w:line="360" w:lineRule="auto"/>
        <w:ind w:firstLine="2040" w:firstLineChars="850"/>
        <w:jc w:val="left"/>
        <w:textAlignment w:val="baseline"/>
        <w:rPr>
          <w:rFonts w:hint="eastAsia" w:ascii="宋体" w:hAnsi="宋体" w:eastAsia="宋体" w:cs="宋体"/>
          <w:sz w:val="24"/>
          <w:szCs w:val="24"/>
        </w:rPr>
      </w:pPr>
    </w:p>
    <w:p>
      <w:pPr>
        <w:adjustRightInd w:val="0"/>
        <w:spacing w:line="360" w:lineRule="auto"/>
        <w:ind w:firstLine="2040" w:firstLineChars="850"/>
        <w:jc w:val="left"/>
        <w:textAlignment w:val="baseline"/>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pacing w:line="360" w:lineRule="auto"/>
        <w:jc w:val="left"/>
        <w:textAlignment w:val="baseline"/>
        <w:rPr>
          <w:rFonts w:hint="eastAsia" w:ascii="宋体" w:hAnsi="宋体" w:eastAsia="宋体" w:cs="宋体"/>
          <w:sz w:val="24"/>
          <w:szCs w:val="24"/>
        </w:rPr>
      </w:pPr>
    </w:p>
    <w:p>
      <w:pPr>
        <w:adjustRightInd w:val="0"/>
        <w:spacing w:line="330" w:lineRule="exact"/>
        <w:jc w:val="left"/>
        <w:textAlignment w:val="baseline"/>
        <w:rPr>
          <w:rFonts w:hint="eastAsia" w:ascii="宋体" w:hAnsi="宋体" w:eastAsia="宋体" w:cs="宋体"/>
          <w:szCs w:val="21"/>
        </w:rPr>
      </w:pPr>
    </w:p>
    <w:p>
      <w:pPr>
        <w:adjustRightInd w:val="0"/>
        <w:spacing w:line="330" w:lineRule="exact"/>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p>
      <w:pPr>
        <w:adjustRightInd w:val="0"/>
        <w:spacing w:line="330" w:lineRule="exact"/>
        <w:ind w:firstLine="1785" w:firstLineChars="850"/>
        <w:jc w:val="left"/>
        <w:textAlignment w:val="baseline"/>
        <w:rPr>
          <w:rFonts w:hint="eastAsia" w:ascii="宋体" w:hAnsi="宋体" w:eastAsia="宋体" w:cs="宋体"/>
          <w:szCs w:val="21"/>
        </w:rPr>
      </w:pPr>
    </w:p>
    <w:bookmarkEnd w:id="101"/>
    <w:bookmarkEnd w:id="102"/>
    <w:bookmarkEnd w:id="103"/>
    <w:bookmarkEnd w:id="104"/>
    <w:bookmarkEnd w:id="105"/>
    <w:bookmarkEnd w:id="106"/>
    <w:bookmarkEnd w:id="107"/>
    <w:bookmarkEnd w:id="108"/>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13" w:name="_Toc27955"/>
      <w:bookmarkStart w:id="114" w:name="_Toc484"/>
      <w:bookmarkStart w:id="115" w:name="_Toc29369"/>
      <w:bookmarkStart w:id="116" w:name="_Toc6638"/>
      <w:bookmarkStart w:id="117" w:name="_Toc453513319"/>
      <w:bookmarkStart w:id="118" w:name="_Toc477423254"/>
      <w:bookmarkStart w:id="119" w:name="_Toc476045982"/>
      <w:bookmarkStart w:id="120" w:name="_Toc27591"/>
      <w:bookmarkStart w:id="121" w:name="_Toc408816355"/>
      <w:bookmarkStart w:id="122" w:name="_Toc364490445"/>
      <w:bookmarkStart w:id="123" w:name="_Toc475955188"/>
      <w:bookmarkStart w:id="124" w:name="_Toc374512425"/>
      <w:bookmarkStart w:id="125" w:name="_Toc373230037"/>
      <w:r>
        <w:rPr>
          <w:rFonts w:hint="eastAsia" w:ascii="宋体" w:hAnsi="宋体" w:eastAsia="宋体" w:cs="宋体"/>
          <w:sz w:val="32"/>
          <w:szCs w:val="32"/>
        </w:rPr>
        <w:t>供应商基本情况表</w:t>
      </w:r>
      <w:bookmarkEnd w:id="113"/>
      <w:bookmarkEnd w:id="114"/>
      <w:bookmarkEnd w:id="115"/>
      <w:bookmarkEnd w:id="116"/>
    </w:p>
    <w:tbl>
      <w:tblPr>
        <w:tblStyle w:val="3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供应商名称</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2141" w:type="dxa"/>
            <w:gridSpan w:val="4"/>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36"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1105" w:type="dxa"/>
            <w:gridSpan w:val="2"/>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eastAsia="宋体" w:cs="宋体"/>
                <w:sz w:val="24"/>
              </w:rPr>
            </w:pPr>
          </w:p>
        </w:tc>
        <w:tc>
          <w:tcPr>
            <w:tcW w:w="1036"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1105" w:type="dxa"/>
            <w:gridSpan w:val="2"/>
            <w:noWrap w:val="0"/>
            <w:vAlign w:val="center"/>
          </w:tcPr>
          <w:p>
            <w:pPr>
              <w:spacing w:line="360" w:lineRule="auto"/>
              <w:jc w:val="center"/>
              <w:rPr>
                <w:rFonts w:hint="eastAsia" w:ascii="宋体" w:hAnsi="宋体" w:eastAsia="宋体" w:cs="宋体"/>
                <w:sz w:val="24"/>
              </w:rPr>
            </w:pPr>
          </w:p>
        </w:tc>
        <w:tc>
          <w:tcPr>
            <w:tcW w:w="1191"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879" w:type="dxa"/>
            <w:gridSpan w:val="3"/>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837"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030" w:type="dxa"/>
            <w:gridSpan w:val="2"/>
            <w:noWrap w:val="0"/>
            <w:vAlign w:val="center"/>
          </w:tcPr>
          <w:p>
            <w:pPr>
              <w:spacing w:line="360" w:lineRule="auto"/>
              <w:jc w:val="center"/>
              <w:rPr>
                <w:rFonts w:hint="eastAsia" w:ascii="宋体" w:hAnsi="宋体" w:eastAsia="宋体" w:cs="宋体"/>
                <w:sz w:val="24"/>
              </w:rPr>
            </w:pPr>
          </w:p>
        </w:tc>
        <w:tc>
          <w:tcPr>
            <w:tcW w:w="788" w:type="dxa"/>
            <w:gridSpan w:val="2"/>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职务</w:t>
            </w:r>
          </w:p>
        </w:tc>
        <w:tc>
          <w:tcPr>
            <w:tcW w:w="1440" w:type="dxa"/>
            <w:gridSpan w:val="2"/>
            <w:noWrap w:val="0"/>
            <w:vAlign w:val="center"/>
          </w:tcPr>
          <w:p>
            <w:pPr>
              <w:spacing w:line="360" w:lineRule="auto"/>
              <w:jc w:val="center"/>
              <w:rPr>
                <w:rFonts w:hint="eastAsia" w:ascii="宋体" w:hAnsi="宋体" w:eastAsia="宋体" w:cs="宋体"/>
                <w:sz w:val="24"/>
              </w:rPr>
            </w:pPr>
          </w:p>
        </w:tc>
        <w:tc>
          <w:tcPr>
            <w:tcW w:w="788"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1328" w:type="dxa"/>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1867" w:type="dxa"/>
            <w:gridSpan w:val="3"/>
            <w:noWrap w:val="0"/>
            <w:vAlign w:val="center"/>
          </w:tcPr>
          <w:p>
            <w:pPr>
              <w:spacing w:line="360" w:lineRule="auto"/>
              <w:jc w:val="center"/>
              <w:rPr>
                <w:rFonts w:hint="eastAsia" w:ascii="宋体" w:hAnsi="宋体" w:eastAsia="宋体" w:cs="宋体"/>
                <w:sz w:val="24"/>
              </w:rPr>
            </w:pPr>
          </w:p>
        </w:tc>
        <w:tc>
          <w:tcPr>
            <w:tcW w:w="2228" w:type="dxa"/>
            <w:gridSpan w:val="4"/>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116" w:type="dxa"/>
            <w:gridSpan w:val="2"/>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1867" w:type="dxa"/>
            <w:gridSpan w:val="3"/>
            <w:noWrap w:val="0"/>
            <w:vAlign w:val="center"/>
          </w:tcPr>
          <w:p>
            <w:pPr>
              <w:spacing w:line="360" w:lineRule="auto"/>
              <w:jc w:val="center"/>
              <w:rPr>
                <w:rFonts w:hint="eastAsia" w:ascii="宋体" w:hAnsi="宋体" w:eastAsia="宋体" w:cs="宋体"/>
                <w:sz w:val="24"/>
              </w:rPr>
            </w:pPr>
          </w:p>
        </w:tc>
        <w:tc>
          <w:tcPr>
            <w:tcW w:w="2228" w:type="dxa"/>
            <w:gridSpan w:val="4"/>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116" w:type="dxa"/>
            <w:gridSpan w:val="2"/>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6211" w:type="dxa"/>
            <w:gridSpan w:val="9"/>
            <w:noWrap w:val="0"/>
            <w:vAlign w:val="center"/>
          </w:tcPr>
          <w:p>
            <w:pPr>
              <w:spacing w:line="360" w:lineRule="auto"/>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6211" w:type="dxa"/>
            <w:gridSpan w:val="9"/>
            <w:noWrap w:val="0"/>
            <w:vAlign w:val="center"/>
          </w:tcPr>
          <w:p>
            <w:pPr>
              <w:spacing w:line="360" w:lineRule="auto"/>
              <w:jc w:val="center"/>
              <w:rPr>
                <w:rFonts w:hint="eastAsia" w:ascii="宋体" w:hAnsi="宋体" w:eastAsia="宋体" w:cs="宋体"/>
                <w:sz w:val="24"/>
              </w:rPr>
            </w:pPr>
          </w:p>
        </w:tc>
      </w:tr>
    </w:tbl>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注：供应商可根据实际情况自行添加表格内容。</w:t>
      </w: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 xml:space="preserve">                                       年  月  日</w:t>
      </w:r>
    </w:p>
    <w:p>
      <w:pPr>
        <w:spacing w:line="360" w:lineRule="auto"/>
        <w:rPr>
          <w:rFonts w:hint="eastAsia" w:ascii="宋体" w:hAnsi="宋体" w:eastAsia="宋体" w:cs="宋体"/>
          <w:sz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pPr>
    </w:p>
    <w:p>
      <w:pPr>
        <w:rPr>
          <w:rFonts w:hint="eastAsia" w:ascii="宋体" w:hAnsi="宋体" w:eastAsia="宋体" w:cs="宋体"/>
          <w:sz w:val="28"/>
          <w:szCs w:val="24"/>
        </w:rPr>
        <w:sectPr>
          <w:footerReference r:id="rId8" w:type="default"/>
          <w:pgSz w:w="11906" w:h="16838"/>
          <w:pgMar w:top="1440" w:right="1134" w:bottom="1440" w:left="1474" w:header="851" w:footer="992" w:gutter="0"/>
          <w:pgNumType w:fmt="decimal"/>
          <w:cols w:space="720" w:num="1"/>
          <w:docGrid w:type="lines" w:linePitch="312" w:charSpace="0"/>
        </w:sect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26" w:name="_Toc2713"/>
      <w:bookmarkStart w:id="127" w:name="_Toc530584397"/>
      <w:bookmarkStart w:id="128" w:name="_Toc20355"/>
      <w:bookmarkStart w:id="129" w:name="_Toc31769"/>
      <w:bookmarkStart w:id="130" w:name="_Toc19916"/>
      <w:r>
        <w:rPr>
          <w:rFonts w:hint="eastAsia" w:ascii="宋体" w:hAnsi="宋体" w:eastAsia="宋体" w:cs="宋体"/>
          <w:sz w:val="32"/>
          <w:szCs w:val="32"/>
        </w:rPr>
        <w:t>第一轮报价表</w:t>
      </w:r>
      <w:bookmarkEnd w:id="126"/>
      <w:bookmarkEnd w:id="127"/>
      <w:bookmarkEnd w:id="128"/>
      <w:bookmarkEnd w:id="129"/>
      <w:bookmarkEnd w:id="130"/>
    </w:p>
    <w:tbl>
      <w:tblPr>
        <w:tblStyle w:val="36"/>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eastAsia="宋体" w:cs="宋体"/>
                <w:szCs w:val="21"/>
                <w:lang w:val="en-US" w:eastAsia="zh-CN"/>
              </w:rPr>
              <w:t xml:space="preserve">   </w:t>
            </w:r>
          </w:p>
        </w:tc>
      </w:tr>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包段</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Cs w:val="21"/>
              </w:rPr>
            </w:pPr>
            <w:r>
              <w:rPr>
                <w:rFonts w:hint="eastAsia" w:ascii="宋体" w:hAnsi="宋体" w:eastAsia="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eastAsia="宋体" w:cs="宋体"/>
                <w:szCs w:val="21"/>
              </w:rPr>
            </w:pPr>
            <w:r>
              <w:rPr>
                <w:rFonts w:hint="eastAsia" w:ascii="宋体" w:hAnsi="宋体" w:eastAsia="宋体" w:cs="宋体"/>
                <w:szCs w:val="21"/>
              </w:rPr>
              <w:t>大写：                　</w:t>
            </w:r>
            <w:r>
              <w:rPr>
                <w:rFonts w:hint="eastAsia" w:ascii="宋体" w:hAnsi="宋体" w:eastAsia="宋体" w:cs="宋体"/>
                <w:szCs w:val="21"/>
                <w:lang w:eastAsia="zh-CN"/>
              </w:rPr>
              <w:t>小写</w:t>
            </w:r>
            <w:r>
              <w:rPr>
                <w:rFonts w:hint="eastAsia" w:ascii="宋体" w:hAnsi="宋体" w:eastAsia="宋体" w:cs="宋体"/>
                <w:szCs w:val="21"/>
              </w:rPr>
              <w:t>　¥：</w:t>
            </w:r>
          </w:p>
        </w:tc>
      </w:tr>
    </w:tbl>
    <w:p>
      <w:pPr>
        <w:rPr>
          <w:rFonts w:hint="eastAsia" w:ascii="宋体" w:hAnsi="宋体" w:eastAsia="宋体" w:cs="宋体"/>
          <w:sz w:val="28"/>
          <w:szCs w:val="24"/>
        </w:rPr>
      </w:pPr>
    </w:p>
    <w:p>
      <w:pPr>
        <w:rPr>
          <w:rFonts w:hint="eastAsia" w:ascii="宋体" w:hAnsi="宋体" w:eastAsia="宋体" w:cs="宋体"/>
          <w:sz w:val="28"/>
          <w:szCs w:val="24"/>
        </w:rPr>
      </w:pPr>
    </w:p>
    <w:p>
      <w:pPr>
        <w:adjustRightInd w:val="0"/>
        <w:spacing w:line="400" w:lineRule="exact"/>
        <w:ind w:firstLine="420" w:firstLineChars="200"/>
        <w:jc w:val="left"/>
        <w:textAlignment w:val="baseline"/>
        <w:rPr>
          <w:rFonts w:hint="eastAsia" w:ascii="宋体" w:hAnsi="宋体" w:eastAsia="宋体" w:cs="宋体"/>
          <w:szCs w:val="21"/>
        </w:rPr>
      </w:pP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adjustRightInd w:val="0"/>
        <w:spacing w:line="400" w:lineRule="exact"/>
        <w:ind w:firstLine="420" w:firstLineChars="200"/>
        <w:jc w:val="left"/>
        <w:textAlignment w:val="baseline"/>
        <w:rPr>
          <w:rFonts w:hint="eastAsia" w:ascii="宋体" w:hAnsi="宋体" w:eastAsia="宋体" w:cs="宋体"/>
          <w:szCs w:val="21"/>
        </w:rPr>
      </w:pPr>
      <w:r>
        <w:rPr>
          <w:rFonts w:hint="eastAsia" w:ascii="宋体" w:hAnsi="宋体" w:eastAsia="宋体" w:cs="宋体"/>
          <w:szCs w:val="21"/>
        </w:rPr>
        <w:t xml:space="preserve">                                                   年    月   日</w:t>
      </w: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spacing w:line="360" w:lineRule="exact"/>
        <w:rPr>
          <w:rFonts w:hint="eastAsia" w:ascii="宋体" w:hAnsi="宋体" w:eastAsia="宋体" w:cs="宋体"/>
          <w:sz w:val="28"/>
          <w:szCs w:val="28"/>
        </w:rPr>
      </w:pPr>
    </w:p>
    <w:p>
      <w:pPr>
        <w:pStyle w:val="6"/>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1"/>
        <w:rPr>
          <w:rFonts w:hint="eastAsia" w:ascii="宋体" w:hAnsi="宋体" w:eastAsia="宋体" w:cs="宋体"/>
          <w:sz w:val="32"/>
          <w:szCs w:val="32"/>
          <w:highlight w:val="none"/>
        </w:rPr>
      </w:pPr>
      <w:bookmarkStart w:id="131" w:name="_Toc30567"/>
      <w:bookmarkStart w:id="132" w:name="_Toc11308"/>
      <w:bookmarkStart w:id="133" w:name="_Toc5611"/>
      <w:bookmarkStart w:id="134" w:name="_Toc15225"/>
      <w:r>
        <w:rPr>
          <w:rFonts w:hint="eastAsia" w:ascii="宋体" w:hAnsi="宋体" w:eastAsia="宋体" w:cs="宋体"/>
          <w:sz w:val="32"/>
          <w:szCs w:val="32"/>
          <w:lang w:eastAsia="zh-CN"/>
        </w:rPr>
        <w:br w:type="page"/>
      </w:r>
      <w:bookmarkEnd w:id="131"/>
      <w:bookmarkEnd w:id="132"/>
      <w:bookmarkEnd w:id="133"/>
      <w:bookmarkEnd w:id="134"/>
      <w:bookmarkStart w:id="135" w:name="_Toc2051"/>
      <w:r>
        <w:rPr>
          <w:rFonts w:hint="eastAsia" w:ascii="宋体" w:hAnsi="宋体" w:eastAsia="宋体" w:cs="宋体"/>
          <w:b/>
          <w:bCs/>
          <w:sz w:val="32"/>
          <w:szCs w:val="32"/>
          <w:highlight w:val="none"/>
          <w:lang w:eastAsia="zh-CN"/>
        </w:rPr>
        <w:t>技术（服务）</w:t>
      </w:r>
      <w:r>
        <w:rPr>
          <w:rFonts w:hint="eastAsia" w:ascii="宋体" w:hAnsi="宋体" w:eastAsia="宋体" w:cs="宋体"/>
          <w:sz w:val="32"/>
          <w:szCs w:val="32"/>
          <w:highlight w:val="none"/>
          <w:lang w:eastAsia="zh-CN"/>
        </w:rPr>
        <w:t>响应承诺函</w:t>
      </w:r>
      <w:bookmarkEnd w:id="135"/>
    </w:p>
    <w:p>
      <w:pPr>
        <w:pageBreakBefore w:val="0"/>
        <w:overflowPunct/>
        <w:topLinePunct w:val="0"/>
        <w:bidi w:val="0"/>
        <w:adjustRightInd w:val="0"/>
        <w:snapToGrid w:val="0"/>
        <w:spacing w:line="360" w:lineRule="auto"/>
        <w:ind w:right="210" w:rightChars="100" w:firstLine="210" w:firstLineChars="100"/>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致（采购人及采购代理机构）：</w:t>
      </w:r>
    </w:p>
    <w:p>
      <w:pPr>
        <w:pageBreakBefore w:val="0"/>
        <w:overflowPunct/>
        <w:topLinePunct w:val="0"/>
        <w:bidi w:val="0"/>
        <w:spacing w:line="360" w:lineRule="auto"/>
        <w:rPr>
          <w:rFonts w:hint="eastAsia" w:ascii="宋体" w:hAnsi="宋体" w:eastAsia="宋体" w:cs="宋体"/>
          <w:sz w:val="24"/>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我公司作为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w:t>
      </w:r>
      <w:r>
        <w:rPr>
          <w:rFonts w:hint="eastAsia" w:ascii="宋体" w:hAnsi="宋体" w:eastAsia="宋体" w:cs="宋体"/>
          <w:sz w:val="24"/>
          <w:highlight w:val="none"/>
          <w:lang w:eastAsia="zh-CN"/>
        </w:rPr>
        <w:t>一包</w:t>
      </w:r>
      <w:r>
        <w:rPr>
          <w:rFonts w:hint="eastAsia" w:ascii="宋体" w:hAnsi="宋体" w:eastAsia="宋体" w:cs="宋体"/>
          <w:sz w:val="24"/>
          <w:highlight w:val="none"/>
        </w:rPr>
        <w:t>（</w:t>
      </w:r>
      <w:r>
        <w:rPr>
          <w:rFonts w:hint="eastAsia" w:ascii="宋体" w:hAnsi="宋体" w:eastAsia="宋体" w:cs="宋体"/>
          <w:sz w:val="24"/>
          <w:highlight w:val="none"/>
          <w:lang w:eastAsia="zh-CN"/>
        </w:rPr>
        <w:t>项目编号</w:t>
      </w:r>
      <w:r>
        <w:rPr>
          <w:rFonts w:hint="eastAsia" w:ascii="宋体" w:hAnsi="宋体" w:eastAsia="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）的供应商，现郑重承诺响应</w:t>
      </w:r>
      <w:r>
        <w:rPr>
          <w:rFonts w:hint="eastAsia" w:ascii="宋体" w:hAnsi="宋体" w:eastAsia="宋体" w:cs="宋体"/>
          <w:sz w:val="24"/>
          <w:szCs w:val="24"/>
          <w:lang w:val="en-US" w:eastAsia="zh-CN"/>
        </w:rPr>
        <w:t>第五章采购需求中“三、</w:t>
      </w:r>
      <w:r>
        <w:rPr>
          <w:rFonts w:hint="default" w:ascii="宋体" w:hAnsi="宋体" w:eastAsia="宋体" w:cs="宋体"/>
          <w:sz w:val="24"/>
          <w:szCs w:val="24"/>
          <w:lang w:val="en-US" w:eastAsia="zh-CN"/>
        </w:rPr>
        <w:t>服务要求</w:t>
      </w:r>
      <w:r>
        <w:rPr>
          <w:rFonts w:hint="eastAsia" w:ascii="宋体" w:hAnsi="宋体" w:eastAsia="宋体" w:cs="宋体"/>
          <w:sz w:val="24"/>
          <w:szCs w:val="24"/>
          <w:lang w:val="en-US" w:eastAsia="zh-CN"/>
        </w:rPr>
        <w:t>”的全部内容</w:t>
      </w:r>
      <w:r>
        <w:rPr>
          <w:rFonts w:hint="eastAsia" w:ascii="宋体" w:hAnsi="宋体" w:eastAsia="宋体" w:cs="宋体"/>
          <w:sz w:val="24"/>
          <w:highlight w:val="none"/>
        </w:rPr>
        <w:t>。</w:t>
      </w:r>
    </w:p>
    <w:p>
      <w:pPr>
        <w:pageBreakBefore w:val="0"/>
        <w:overflowPunct/>
        <w:topLinePunct w:val="0"/>
        <w:bidi w:val="0"/>
        <w:spacing w:line="360" w:lineRule="auto"/>
        <w:rPr>
          <w:rFonts w:hint="eastAsia" w:ascii="宋体" w:hAnsi="宋体" w:eastAsia="宋体" w:cs="宋体"/>
          <w:sz w:val="24"/>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Style w:val="56"/>
        <w:pageBreakBefore w:val="0"/>
        <w:overflowPunct/>
        <w:topLinePunct w:val="0"/>
        <w:bidi w:val="0"/>
        <w:spacing w:after="0" w:afterLines="0" w:line="360" w:lineRule="auto"/>
        <w:rPr>
          <w:rFonts w:hint="eastAsia" w:ascii="宋体" w:hAnsi="宋体" w:eastAsia="宋体" w:cs="宋体"/>
          <w:highlight w:val="none"/>
        </w:rPr>
      </w:pP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供应商名称（全称并加盖公章）：</w:t>
      </w:r>
    </w:p>
    <w:p>
      <w:pPr>
        <w:pageBreakBefore w:val="0"/>
        <w:overflowPunct/>
        <w:topLinePunct w:val="0"/>
        <w:bidi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法定代表人或其委托代理人（签字）：</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pageBreakBefore w:val="0"/>
        <w:overflowPunct/>
        <w:topLinePunct w:val="0"/>
        <w:bidi w:val="0"/>
        <w:adjustRightInd w:val="0"/>
        <w:snapToGrid w:val="0"/>
        <w:spacing w:line="360" w:lineRule="auto"/>
        <w:ind w:right="210" w:rightChars="100" w:firstLine="6720" w:firstLineChars="3200"/>
        <w:rPr>
          <w:rFonts w:hint="eastAsia" w:ascii="宋体" w:hAnsi="宋体" w:eastAsia="宋体" w:cs="宋体"/>
          <w:highlight w:val="none"/>
        </w:rPr>
      </w:pPr>
      <w:r>
        <w:rPr>
          <w:rFonts w:hint="eastAsia" w:ascii="宋体" w:hAnsi="宋体" w:eastAsia="宋体" w:cs="宋体"/>
          <w:szCs w:val="21"/>
          <w:highlight w:val="none"/>
        </w:rPr>
        <w:t xml:space="preserve"> 年  月  日</w:t>
      </w:r>
    </w:p>
    <w:p>
      <w:pPr>
        <w:adjustRightInd w:val="0"/>
        <w:snapToGrid w:val="0"/>
        <w:ind w:right="210" w:rightChars="100" w:firstLine="210" w:firstLineChars="100"/>
        <w:rPr>
          <w:rFonts w:hint="eastAsia" w:ascii="宋体" w:hAnsi="宋体" w:eastAsia="宋体" w:cs="宋体"/>
        </w:rPr>
      </w:pPr>
      <w:r>
        <w:rPr>
          <w:rFonts w:hint="eastAsia" w:ascii="宋体" w:hAnsi="宋体" w:eastAsia="宋体" w:cs="宋体"/>
        </w:rPr>
        <w:t xml:space="preserve">                                        </w:t>
      </w:r>
    </w:p>
    <w:p>
      <w:pPr>
        <w:ind w:firstLine="735" w:firstLineChars="350"/>
        <w:jc w:val="left"/>
        <w:rPr>
          <w:rFonts w:hint="eastAsia" w:ascii="宋体" w:hAnsi="宋体" w:eastAsia="宋体" w:cs="宋体"/>
        </w:rPr>
      </w:pPr>
      <w:r>
        <w:rPr>
          <w:rFonts w:hint="eastAsia" w:ascii="宋体" w:hAnsi="宋体" w:eastAsia="宋体" w:cs="宋体"/>
        </w:rPr>
        <w:t xml:space="preserve">                                       </w:t>
      </w:r>
    </w:p>
    <w:p>
      <w:pPr>
        <w:jc w:val="left"/>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pStyle w:val="2"/>
        <w:rPr>
          <w:rFonts w:hint="eastAsia"/>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jc w:val="center"/>
        <w:rPr>
          <w:rFonts w:hint="eastAsia" w:ascii="宋体" w:hAnsi="宋体" w:eastAsia="宋体" w:cs="宋体"/>
        </w:rPr>
      </w:pPr>
    </w:p>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36" w:name="_Toc24554"/>
      <w:bookmarkStart w:id="137" w:name="_Toc31901"/>
      <w:bookmarkStart w:id="138" w:name="_Toc405"/>
      <w:bookmarkStart w:id="139" w:name="_Toc20003"/>
      <w:r>
        <w:rPr>
          <w:rFonts w:hint="eastAsia" w:ascii="宋体" w:hAnsi="宋体" w:eastAsia="宋体" w:cs="宋体"/>
          <w:sz w:val="32"/>
          <w:szCs w:val="32"/>
        </w:rPr>
        <w:t>商务响应表</w:t>
      </w:r>
      <w:bookmarkEnd w:id="136"/>
      <w:bookmarkEnd w:id="137"/>
      <w:bookmarkEnd w:id="138"/>
      <w:bookmarkEnd w:id="139"/>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项目名称</w:t>
      </w:r>
      <w:r>
        <w:rPr>
          <w:rFonts w:hint="eastAsia" w:ascii="宋体" w:hAnsi="宋体" w:eastAsia="宋体" w:cs="宋体"/>
          <w:szCs w:val="21"/>
          <w:lang w:eastAsia="zh-CN"/>
        </w:rPr>
        <w:t>、</w:t>
      </w:r>
      <w:r>
        <w:rPr>
          <w:rFonts w:hint="eastAsia" w:ascii="宋体" w:hAnsi="宋体" w:eastAsia="宋体" w:cs="宋体"/>
          <w:szCs w:val="21"/>
          <w:lang w:val="en-US" w:eastAsia="zh-CN"/>
        </w:rPr>
        <w:t>包号</w:t>
      </w:r>
      <w:r>
        <w:rPr>
          <w:rFonts w:hint="eastAsia" w:ascii="宋体" w:hAnsi="宋体" w:eastAsia="宋体" w:cs="宋体"/>
          <w:szCs w:val="21"/>
        </w:rPr>
        <w:t xml:space="preserve">：                                        </w:t>
      </w:r>
      <w:r>
        <w:rPr>
          <w:rFonts w:hint="eastAsia" w:ascii="宋体" w:hAnsi="宋体" w:eastAsia="宋体" w:cs="宋体"/>
          <w:szCs w:val="21"/>
          <w:lang w:eastAsia="zh-CN"/>
        </w:rPr>
        <w:t>项目编号</w:t>
      </w:r>
      <w:r>
        <w:rPr>
          <w:rFonts w:hint="eastAsia" w:ascii="宋体" w:hAnsi="宋体" w:eastAsia="宋体" w:cs="宋体"/>
          <w:szCs w:val="21"/>
        </w:rPr>
        <w:t>：</w:t>
      </w:r>
    </w:p>
    <w:tbl>
      <w:tblPr>
        <w:tblStyle w:val="3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eastAsia="宋体" w:cs="宋体"/>
                <w:szCs w:val="21"/>
              </w:rPr>
            </w:pPr>
            <w:r>
              <w:rPr>
                <w:rFonts w:hint="eastAsia" w:ascii="宋体" w:hAnsi="宋体" w:eastAsia="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eastAsia="宋体" w:cs="宋体"/>
                <w:szCs w:val="21"/>
              </w:rPr>
            </w:pPr>
          </w:p>
        </w:tc>
      </w:tr>
    </w:tbl>
    <w:p>
      <w:pPr>
        <w:rPr>
          <w:rFonts w:hint="eastAsia" w:ascii="宋体" w:hAnsi="宋体" w:eastAsia="宋体" w:cs="宋体"/>
          <w:color w:val="000000"/>
          <w:szCs w:val="21"/>
        </w:rPr>
      </w:pPr>
      <w:r>
        <w:rPr>
          <w:rFonts w:hint="eastAsia" w:ascii="宋体" w:hAnsi="宋体" w:eastAsia="宋体" w:cs="宋体"/>
          <w:color w:val="000000"/>
          <w:szCs w:val="21"/>
        </w:rPr>
        <w:t>注：1.</w:t>
      </w:r>
      <w:r>
        <w:rPr>
          <w:rFonts w:hint="eastAsia" w:ascii="宋体" w:hAnsi="宋体" w:eastAsia="宋体" w:cs="宋体"/>
          <w:szCs w:val="21"/>
        </w:rPr>
        <w:t>供应商</w:t>
      </w:r>
      <w:r>
        <w:rPr>
          <w:rFonts w:hint="eastAsia" w:ascii="宋体" w:hAnsi="宋体" w:eastAsia="宋体" w:cs="宋体"/>
          <w:color w:val="000000"/>
          <w:szCs w:val="21"/>
        </w:rPr>
        <w:t>可根据实际情况自行添加表格内容；</w:t>
      </w:r>
    </w:p>
    <w:p>
      <w:pPr>
        <w:ind w:firstLine="420" w:firstLineChars="200"/>
        <w:rPr>
          <w:rFonts w:hint="eastAsia" w:ascii="宋体" w:hAnsi="宋体" w:eastAsia="宋体" w:cs="宋体"/>
          <w:color w:val="000000"/>
          <w:szCs w:val="21"/>
        </w:rPr>
      </w:pPr>
      <w:r>
        <w:rPr>
          <w:rFonts w:hint="eastAsia" w:ascii="宋体" w:hAnsi="宋体" w:eastAsia="宋体" w:cs="宋体"/>
          <w:szCs w:val="21"/>
        </w:rPr>
        <w:t>2.供应商</w:t>
      </w:r>
      <w:r>
        <w:rPr>
          <w:rFonts w:hint="eastAsia" w:ascii="宋体" w:hAnsi="宋体" w:eastAsia="宋体" w:cs="宋体"/>
          <w:color w:val="000000"/>
          <w:szCs w:val="21"/>
        </w:rPr>
        <w:t>必须完全响应并按上表逐条填写竞争性磋商文件商务要求，否则按无效文件处理。</w:t>
      </w:r>
    </w:p>
    <w:p>
      <w:pPr>
        <w:ind w:firstLine="420" w:firstLineChars="200"/>
        <w:rPr>
          <w:rFonts w:hint="eastAsia" w:ascii="宋体" w:hAnsi="宋体" w:eastAsia="宋体" w:cs="宋体"/>
          <w:color w:val="000000"/>
          <w:szCs w:val="21"/>
        </w:rPr>
      </w:pPr>
      <w:r>
        <w:rPr>
          <w:rFonts w:hint="eastAsia" w:ascii="宋体" w:hAnsi="宋体" w:eastAsia="宋体" w:cs="宋体"/>
          <w:color w:val="000000"/>
          <w:szCs w:val="21"/>
        </w:rPr>
        <w:t>3.商务要求包括：磋商文件</w:t>
      </w:r>
      <w:r>
        <w:rPr>
          <w:rFonts w:hint="eastAsia" w:ascii="宋体" w:hAnsi="宋体" w:eastAsia="宋体" w:cs="宋体"/>
          <w:b/>
          <w:bCs/>
          <w:color w:val="auto"/>
          <w:szCs w:val="21"/>
        </w:rPr>
        <w:t>第五章中的“商务要求”</w:t>
      </w:r>
      <w:r>
        <w:rPr>
          <w:rFonts w:hint="eastAsia" w:ascii="宋体" w:hAnsi="宋体" w:eastAsia="宋体" w:cs="宋体"/>
          <w:b w:val="0"/>
          <w:bCs w:val="0"/>
          <w:color w:val="auto"/>
          <w:szCs w:val="21"/>
        </w:rPr>
        <w:t>中</w:t>
      </w:r>
      <w:r>
        <w:rPr>
          <w:rFonts w:hint="eastAsia" w:ascii="宋体" w:hAnsi="宋体" w:eastAsia="宋体" w:cs="宋体"/>
          <w:color w:val="000000"/>
          <w:szCs w:val="21"/>
        </w:rPr>
        <w:t>的内容。</w:t>
      </w:r>
    </w:p>
    <w:p>
      <w:pPr>
        <w:ind w:firstLine="420" w:firstLineChars="200"/>
        <w:rPr>
          <w:rFonts w:hint="eastAsia" w:ascii="宋体" w:hAnsi="宋体" w:eastAsia="宋体" w:cs="宋体"/>
          <w:color w:val="000000"/>
          <w:szCs w:val="21"/>
        </w:rPr>
      </w:pPr>
    </w:p>
    <w:p>
      <w:pPr>
        <w:rPr>
          <w:rFonts w:hint="eastAsia" w:ascii="宋体" w:hAnsi="宋体" w:eastAsia="宋体" w:cs="宋体"/>
          <w:color w:val="000000"/>
          <w:szCs w:val="21"/>
        </w:rPr>
      </w:pPr>
    </w:p>
    <w:p>
      <w:pPr>
        <w:spacing w:line="360" w:lineRule="auto"/>
        <w:rPr>
          <w:rFonts w:hint="eastAsia" w:ascii="宋体" w:hAnsi="宋体" w:eastAsia="宋体" w:cs="宋体"/>
          <w:color w:val="000000"/>
          <w:szCs w:val="21"/>
        </w:rPr>
      </w:pPr>
    </w:p>
    <w:p>
      <w:pPr>
        <w:spacing w:line="360" w:lineRule="auto"/>
        <w:rPr>
          <w:rFonts w:hint="eastAsia" w:ascii="宋体" w:hAnsi="宋体" w:eastAsia="宋体" w:cs="宋体"/>
          <w:sz w:val="24"/>
        </w:rPr>
      </w:pPr>
      <w:r>
        <w:rPr>
          <w:rFonts w:hint="eastAsia" w:ascii="宋体" w:hAnsi="宋体" w:eastAsia="宋体" w:cs="宋体"/>
          <w:sz w:val="24"/>
        </w:rPr>
        <w:t xml:space="preserve">                                供应商名称（全称并加盖公章）：</w:t>
      </w:r>
    </w:p>
    <w:p>
      <w:pPr>
        <w:spacing w:line="360" w:lineRule="auto"/>
        <w:rPr>
          <w:rFonts w:hint="eastAsia" w:ascii="宋体" w:hAnsi="宋体" w:eastAsia="宋体" w:cs="宋体"/>
          <w:sz w:val="24"/>
        </w:rPr>
      </w:pPr>
      <w:r>
        <w:rPr>
          <w:rFonts w:hint="eastAsia" w:ascii="宋体" w:hAnsi="宋体" w:eastAsia="宋体" w:cs="宋体"/>
          <w:sz w:val="24"/>
        </w:rPr>
        <w:t xml:space="preserve">                                法定代表人或其委托代理人（签</w:t>
      </w:r>
      <w:r>
        <w:rPr>
          <w:rFonts w:hint="eastAsia" w:ascii="宋体" w:hAnsi="宋体" w:eastAsia="宋体" w:cs="宋体"/>
          <w:sz w:val="24"/>
          <w:lang w:eastAsia="zh-CN"/>
        </w:rPr>
        <w:t>名或盖章</w:t>
      </w:r>
      <w:r>
        <w:rPr>
          <w:rFonts w:hint="eastAsia" w:ascii="宋体" w:hAnsi="宋体" w:eastAsia="宋体" w:cs="宋体"/>
          <w:sz w:val="24"/>
        </w:rPr>
        <w:t>）：</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spacing w:line="360" w:lineRule="auto"/>
        <w:ind w:firstLine="420" w:firstLineChars="200"/>
        <w:jc w:val="right"/>
        <w:rPr>
          <w:rFonts w:hint="eastAsia" w:ascii="宋体" w:hAnsi="宋体" w:eastAsia="宋体" w:cs="宋体"/>
          <w:szCs w:val="21"/>
        </w:rPr>
      </w:pPr>
      <w:r>
        <w:rPr>
          <w:rFonts w:hint="eastAsia" w:ascii="宋体" w:hAnsi="宋体" w:eastAsia="宋体" w:cs="宋体"/>
          <w:szCs w:val="21"/>
        </w:rPr>
        <w:t xml:space="preserve"> 年  月  日</w:t>
      </w:r>
    </w:p>
    <w:p>
      <w:pPr>
        <w:spacing w:line="360" w:lineRule="exact"/>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exact"/>
        <w:rPr>
          <w:rFonts w:hint="eastAsia" w:ascii="宋体" w:hAnsi="宋体" w:eastAsia="宋体" w:cs="宋体"/>
          <w:sz w:val="28"/>
          <w:szCs w:val="28"/>
        </w:rPr>
      </w:pPr>
    </w:p>
    <w:bookmarkEnd w:id="117"/>
    <w:bookmarkEnd w:id="118"/>
    <w:bookmarkEnd w:id="119"/>
    <w:bookmarkEnd w:id="120"/>
    <w:bookmarkEnd w:id="121"/>
    <w:bookmarkEnd w:id="122"/>
    <w:bookmarkEnd w:id="123"/>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40" w:name="18.4.4_信息采集费用概算明细表"/>
      <w:bookmarkEnd w:id="140"/>
      <w:bookmarkStart w:id="141" w:name="_bookmark278"/>
      <w:bookmarkEnd w:id="141"/>
      <w:bookmarkStart w:id="142" w:name="_Toc13168"/>
      <w:bookmarkStart w:id="143" w:name="_Toc6508"/>
      <w:bookmarkStart w:id="144" w:name="_Toc8927"/>
      <w:r>
        <w:rPr>
          <w:rFonts w:hint="eastAsia" w:ascii="宋体" w:hAnsi="宋体" w:eastAsia="宋体" w:cs="宋体"/>
          <w:sz w:val="32"/>
          <w:szCs w:val="32"/>
        </w:rPr>
        <w:t>资格证明材料</w:t>
      </w:r>
      <w:bookmarkEnd w:id="142"/>
      <w:bookmarkEnd w:id="143"/>
      <w:bookmarkEnd w:id="14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FF0000"/>
          <w:sz w:val="24"/>
          <w:szCs w:val="24"/>
          <w:highlight w:val="yellow"/>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武陟县政府采购供应商资格信用承诺函（详见格式）；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.供应商及其法定代表人、委托代理人均无行贿犯罪记录（提供无行贿犯罪记录承诺书，详见格式）；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3.供应商须具有检验检测机构资质认定食品检验机构资质认定证书（CMAF）或标识含食品的资质认定计量认证证书（CMA）；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提供中小企业声明函（详见格式），磋商小组根据供应商提供的《中小企业声明函》认定该供应商是否属于中小企业，监狱企业和残疾人福利性单位视同小型、微型企业。不属于中小企业、监狱企业或残疾人福利性单位的不得参与本项目磋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不得被列入失信被执行人、重大税收违法失信主体、政府采购严重违法失信行为记录名单、经营异常名录或者严重违法失信企业名单（以采购人、采购代理机构在响应文件提交截止时间当日的查询结果为准，该条资料响应文件中无需提供）；</w:t>
      </w:r>
    </w:p>
    <w:p>
      <w:pPr>
        <w:rPr>
          <w:rFonts w:hint="eastAsia"/>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pStyle w:val="15"/>
        <w:rPr>
          <w:rFonts w:hint="eastAsia" w:ascii="宋体" w:hAnsi="宋体" w:eastAsia="宋体" w:cs="宋体"/>
          <w:b/>
          <w:color w:val="auto"/>
          <w:sz w:val="24"/>
          <w:szCs w:val="24"/>
        </w:rPr>
      </w:pPr>
    </w:p>
    <w:p>
      <w:pPr>
        <w:pStyle w:val="57"/>
        <w:rPr>
          <w:rFonts w:hint="eastAsia"/>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eastAsia="宋体" w:cs="宋体"/>
          <w:b/>
          <w:color w:val="auto"/>
          <w:sz w:val="24"/>
          <w:szCs w:val="24"/>
        </w:rPr>
      </w:pPr>
    </w:p>
    <w:p>
      <w:pPr>
        <w:pStyle w:val="15"/>
        <w:rPr>
          <w:rFonts w:hint="eastAsia" w:ascii="宋体" w:hAnsi="宋体" w:eastAsia="宋体" w:cs="宋体"/>
          <w:b/>
          <w:color w:val="auto"/>
          <w:sz w:val="24"/>
          <w:szCs w:val="24"/>
        </w:rPr>
      </w:pPr>
    </w:p>
    <w:p>
      <w:pPr>
        <w:pStyle w:val="57"/>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pStyle w:val="23"/>
        <w:rPr>
          <w:rFonts w:hint="eastAsia" w:ascii="宋体" w:hAnsi="宋体" w:eastAsia="宋体" w:cs="宋体"/>
          <w:b/>
          <w:color w:val="auto"/>
          <w:sz w:val="24"/>
          <w:szCs w:val="24"/>
        </w:rPr>
      </w:pPr>
    </w:p>
    <w:p>
      <w:pPr>
        <w:widowControl/>
        <w:kinsoku w:val="0"/>
        <w:autoSpaceDE w:val="0"/>
        <w:autoSpaceDN w:val="0"/>
        <w:adjustRightInd w:val="0"/>
        <w:snapToGrid w:val="0"/>
        <w:spacing w:line="560" w:lineRule="exact"/>
        <w:jc w:val="center"/>
        <w:textAlignment w:val="baseline"/>
        <w:outlineLvl w:val="0"/>
        <w:rPr>
          <w:rFonts w:hint="eastAsia" w:ascii="宋体" w:hAnsi="宋体" w:eastAsia="宋体" w:cs="宋体"/>
          <w:sz w:val="32"/>
          <w:szCs w:val="32"/>
        </w:rPr>
      </w:pPr>
      <w:bookmarkStart w:id="145" w:name="_Toc23955"/>
      <w:bookmarkStart w:id="146" w:name="_Toc12317"/>
      <w:bookmarkStart w:id="147" w:name="_Toc8011"/>
      <w:r>
        <w:rPr>
          <w:rFonts w:hint="eastAsia" w:ascii="宋体" w:hAnsi="宋体" w:eastAsia="宋体" w:cs="宋体"/>
          <w:b/>
          <w:bCs/>
          <w:sz w:val="30"/>
          <w:szCs w:val="30"/>
        </w:rPr>
        <w:br w:type="page"/>
      </w:r>
      <w:bookmarkStart w:id="148" w:name="_Toc18560"/>
      <w:bookmarkStart w:id="149" w:name="_Toc9770"/>
      <w:bookmarkStart w:id="150" w:name="_Toc31738"/>
      <w:r>
        <w:rPr>
          <w:rFonts w:hint="eastAsia" w:ascii="宋体" w:hAnsi="宋体" w:eastAsia="宋体" w:cs="宋体"/>
          <w:b/>
          <w:bCs/>
          <w:sz w:val="30"/>
          <w:szCs w:val="30"/>
        </w:rPr>
        <w:t>武陟县政府采购供应商资格信用承诺函</w:t>
      </w:r>
      <w:bookmarkEnd w:id="145"/>
      <w:bookmarkEnd w:id="146"/>
      <w:bookmarkEnd w:id="147"/>
      <w:bookmarkEnd w:id="148"/>
      <w:bookmarkEnd w:id="149"/>
      <w:bookmarkEnd w:id="150"/>
      <w:r>
        <w:rPr>
          <w:rFonts w:hint="eastAsia" w:ascii="宋体" w:hAnsi="宋体" w:eastAsia="宋体" w:cs="宋体"/>
          <w:b/>
          <w:bCs/>
          <w:sz w:val="30"/>
          <w:szCs w:val="30"/>
        </w:rPr>
        <w:t xml:space="preserve"> </w:t>
      </w:r>
      <w:r>
        <w:rPr>
          <w:rFonts w:hint="eastAsia" w:ascii="宋体" w:hAnsi="宋体" w:eastAsia="宋体" w:cs="宋体"/>
          <w:b/>
          <w:bCs/>
          <w:sz w:val="32"/>
          <w:szCs w:val="32"/>
        </w:rPr>
        <w:t xml:space="preserve"> </w:t>
      </w:r>
      <w:r>
        <w:rPr>
          <w:rFonts w:hint="eastAsia" w:ascii="宋体" w:hAnsi="宋体" w:eastAsia="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eastAsia="宋体" w:cs="宋体"/>
          <w:sz w:val="32"/>
          <w:szCs w:val="32"/>
        </w:rPr>
      </w:pPr>
      <w:r>
        <w:rPr>
          <w:rFonts w:hint="eastAsia" w:ascii="宋体" w:hAnsi="宋体" w:eastAsia="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（采购人或采购代理机构）</w:t>
      </w:r>
      <w:r>
        <w:rPr>
          <w:rFonts w:hint="eastAsia" w:ascii="宋体" w:hAnsi="宋体" w:eastAsia="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r>
        <w:rPr>
          <w:rFonts w:hint="eastAsia" w:ascii="宋体" w:hAnsi="宋体" w:eastAsia="宋体" w:cs="宋体"/>
          <w:sz w:val="24"/>
          <w:szCs w:val="24"/>
        </w:rPr>
        <w:t>供应商地址：</w:t>
      </w:r>
      <w:r>
        <w:rPr>
          <w:rFonts w:hint="eastAsia" w:ascii="宋体" w:hAnsi="宋体" w:eastAsia="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2.我单位具有符合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3.我单位具有符合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4.我单位具有符合</w:t>
      </w:r>
      <w:r>
        <w:rPr>
          <w:rFonts w:hint="eastAsia" w:ascii="宋体" w:hAnsi="宋体" w:eastAsia="宋体" w:cs="宋体"/>
          <w:sz w:val="24"/>
          <w:szCs w:val="24"/>
          <w:lang w:eastAsia="zh-CN"/>
        </w:rPr>
        <w:t>磋商</w:t>
      </w:r>
      <w:r>
        <w:rPr>
          <w:rFonts w:hint="eastAsia" w:ascii="宋体" w:hAnsi="宋体" w:eastAsia="宋体" w:cs="宋体"/>
          <w:sz w:val="24"/>
          <w:szCs w:val="24"/>
        </w:rPr>
        <w:t>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承诺供应商（全称并加盖公章）：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法定代表人或授权代表(签字或签章)：</w:t>
      </w:r>
      <w:r>
        <w:rPr>
          <w:rFonts w:hint="eastAsia" w:ascii="宋体" w:hAnsi="宋体" w:eastAsia="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eastAsia="宋体" w:cs="宋体"/>
          <w:sz w:val="24"/>
          <w:szCs w:val="24"/>
        </w:rPr>
      </w:pPr>
      <w:r>
        <w:rPr>
          <w:rFonts w:hint="eastAsia" w:ascii="宋体" w:hAnsi="宋体" w:eastAsia="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440" w:lineRule="exact"/>
        <w:jc w:val="left"/>
        <w:textAlignment w:val="baseline"/>
        <w:rPr>
          <w:rFonts w:hint="eastAsia" w:ascii="宋体" w:hAnsi="宋体" w:eastAsia="宋体" w:cs="宋体"/>
          <w:sz w:val="24"/>
          <w:szCs w:val="24"/>
        </w:rPr>
      </w:pPr>
    </w:p>
    <w:p>
      <w:pPr>
        <w:widowControl/>
        <w:kinsoku w:val="0"/>
        <w:autoSpaceDE w:val="0"/>
        <w:autoSpaceDN w:val="0"/>
        <w:adjustRightInd w:val="0"/>
        <w:snapToGrid w:val="0"/>
        <w:spacing w:line="440" w:lineRule="exact"/>
        <w:jc w:val="left"/>
        <w:textAlignment w:val="baseline"/>
        <w:rPr>
          <w:rFonts w:hint="eastAsia" w:ascii="宋体" w:hAnsi="宋体" w:eastAsia="宋体" w:cs="宋体"/>
          <w:b/>
          <w:bCs/>
          <w:szCs w:val="21"/>
        </w:rPr>
      </w:pPr>
      <w:r>
        <w:rPr>
          <w:rFonts w:hint="eastAsia" w:ascii="宋体" w:hAnsi="宋体" w:eastAsia="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eastAsia="宋体" w:cs="宋体"/>
          <w:b/>
          <w:bCs/>
          <w:szCs w:val="21"/>
        </w:rPr>
      </w:pPr>
      <w:r>
        <w:rPr>
          <w:rFonts w:hint="eastAsia" w:ascii="宋体" w:hAnsi="宋体" w:eastAsia="宋体" w:cs="宋体"/>
          <w:b/>
          <w:bCs/>
          <w:szCs w:val="21"/>
        </w:rPr>
        <w:t>2.供应商的法定代表人（其他组织的为负责人）或者授权代表的签字或盖章应真实、有效，如由授权代表签字或盖章的，应提供 “法定代表人授权书”。</w:t>
      </w:r>
    </w:p>
    <w:p>
      <w:pPr>
        <w:pStyle w:val="56"/>
        <w:rPr>
          <w:rFonts w:hint="eastAsia" w:ascii="宋体" w:hAnsi="宋体" w:eastAsia="宋体" w:cs="宋体"/>
          <w:b/>
          <w:kern w:val="44"/>
          <w:sz w:val="32"/>
          <w:szCs w:val="32"/>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408" w:lineRule="auto"/>
        <w:ind w:firstLine="321" w:firstLineChars="100"/>
        <w:jc w:val="center"/>
        <w:textAlignment w:val="auto"/>
        <w:outlineLvl w:val="0"/>
        <w:rPr>
          <w:rFonts w:hint="eastAsia"/>
          <w:sz w:val="32"/>
          <w:szCs w:val="32"/>
        </w:rPr>
      </w:pPr>
      <w:bookmarkStart w:id="151" w:name="_Toc11613"/>
      <w:bookmarkStart w:id="152" w:name="_Toc15709"/>
      <w:bookmarkStart w:id="153" w:name="_Toc25131"/>
      <w:bookmarkStart w:id="154" w:name="_Toc30541"/>
      <w:r>
        <w:rPr>
          <w:rFonts w:hint="eastAsia"/>
          <w:sz w:val="32"/>
          <w:szCs w:val="32"/>
        </w:rPr>
        <w:t>中小企业声明函（服务）</w:t>
      </w:r>
      <w:bookmarkEnd w:id="151"/>
      <w:bookmarkEnd w:id="152"/>
      <w:bookmarkEnd w:id="153"/>
      <w:bookmarkEnd w:id="154"/>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u w:val="single"/>
          <w:lang w:eastAsia="zh-CN"/>
        </w:rPr>
        <w:t>、</w:t>
      </w:r>
      <w:r>
        <w:rPr>
          <w:rFonts w:hint="eastAsia" w:ascii="宋体" w:hAnsi="宋体" w:cs="宋体"/>
          <w:u w:val="single"/>
          <w:lang w:val="en-US" w:eastAsia="zh-CN"/>
        </w:rPr>
        <w:t>包段</w:t>
      </w:r>
      <w:r>
        <w:rPr>
          <w:rFonts w:hint="eastAsia" w:ascii="宋体" w:hAnsi="宋体" w:cs="宋体"/>
          <w:u w:val="single"/>
        </w:rPr>
        <w:t>）</w:t>
      </w:r>
      <w:r>
        <w:rPr>
          <w:rFonts w:hint="eastAsia" w:ascii="宋体" w:hAnsi="宋体" w:cs="宋体"/>
        </w:rPr>
        <w:t>采购活动，服务全部由符合政策要求的中小企业承接。相关企业（含联合体中的中小企业、签订分包意向协议的中小企业）的具体情况如下：</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1.</w:t>
      </w:r>
      <w:r>
        <w:rPr>
          <w:rFonts w:hint="eastAsia" w:ascii="宋体" w:hAnsi="宋体" w:cs="宋体"/>
          <w:u w:val="single"/>
          <w:lang w:eastAsia="zh-CN"/>
        </w:rPr>
        <w:t>武陟县市场监督管理局食品安全抽样检测工作</w:t>
      </w:r>
      <w:r>
        <w:rPr>
          <w:rFonts w:hint="eastAsia" w:ascii="宋体" w:hAnsi="宋体" w:cs="宋体"/>
        </w:rPr>
        <w:t>，属于</w:t>
      </w:r>
      <w:r>
        <w:rPr>
          <w:rFonts w:hint="eastAsia" w:ascii="宋体" w:hAnsi="宋体" w:cs="宋体"/>
          <w:u w:val="single"/>
          <w:lang w:val="en-US" w:eastAsia="zh-CN"/>
        </w:rPr>
        <w:t>其他未列明服务业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pageBreakBefore w:val="0"/>
        <w:widowControl/>
        <w:kinsoku/>
        <w:wordWrap/>
        <w:overflowPunct/>
        <w:topLinePunct w:val="0"/>
        <w:autoSpaceDE/>
        <w:autoSpaceDN/>
        <w:bidi w:val="0"/>
        <w:adjustRightInd/>
        <w:snapToGrid/>
        <w:spacing w:line="408" w:lineRule="auto"/>
        <w:ind w:firstLine="420" w:firstLineChars="200"/>
        <w:textAlignment w:val="auto"/>
        <w:rPr>
          <w:rFonts w:hint="eastAsia" w:ascii="宋体" w:hAnsi="宋体" w:cs="宋体"/>
        </w:rPr>
      </w:pPr>
      <w:r>
        <w:rPr>
          <w:rFonts w:hint="eastAsia" w:ascii="宋体" w:hAnsi="宋体" w:cs="宋体"/>
        </w:rPr>
        <w:t>本企业对上述声明内容的真实性负责。如有虚假，将依法承担相应责任。</w:t>
      </w:r>
    </w:p>
    <w:p>
      <w:pPr>
        <w:pageBreakBefore w:val="0"/>
        <w:widowControl/>
        <w:kinsoku/>
        <w:wordWrap/>
        <w:overflowPunct/>
        <w:topLinePunct w:val="0"/>
        <w:autoSpaceDE/>
        <w:autoSpaceDN/>
        <w:bidi w:val="0"/>
        <w:adjustRightInd/>
        <w:snapToGrid/>
        <w:spacing w:line="408" w:lineRule="auto"/>
        <w:jc w:val="center"/>
        <w:textAlignment w:val="auto"/>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ageBreakBefore w:val="0"/>
        <w:widowControl/>
        <w:kinsoku/>
        <w:wordWrap/>
        <w:overflowPunct/>
        <w:topLinePunct w:val="0"/>
        <w:autoSpaceDE/>
        <w:autoSpaceDN/>
        <w:bidi w:val="0"/>
        <w:adjustRightInd/>
        <w:snapToGrid/>
        <w:spacing w:line="408" w:lineRule="auto"/>
        <w:jc w:val="center"/>
        <w:textAlignment w:val="auto"/>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ind w:firstLine="422" w:firstLineChars="200"/>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Chars="0" w:firstLine="843" w:firstLineChars="400"/>
        <w:rPr>
          <w:rFonts w:hint="eastAsia" w:ascii="宋体" w:hAnsi="宋体" w:cs="宋体"/>
          <w:b/>
          <w:szCs w:val="21"/>
          <w:lang w:val="en-US" w:eastAsia="zh-CN"/>
        </w:rPr>
      </w:pPr>
      <w:r>
        <w:rPr>
          <w:rFonts w:hint="eastAsia" w:ascii="宋体" w:hAnsi="宋体" w:cs="宋体"/>
          <w:b/>
          <w:szCs w:val="21"/>
          <w:lang w:val="en-US" w:eastAsia="zh-CN"/>
        </w:rPr>
        <w:t>2.本注的文字，仅作告知，不作格式要求。</w:t>
      </w:r>
    </w:p>
    <w:p>
      <w:pPr>
        <w:pStyle w:val="35"/>
        <w:widowControl w:val="0"/>
        <w:numPr>
          <w:ilvl w:val="0"/>
          <w:numId w:val="0"/>
        </w:numPr>
        <w:spacing w:after="120" w:afterLines="0"/>
        <w:jc w:val="both"/>
        <w:rPr>
          <w:rFonts w:hint="eastAsia"/>
        </w:rPr>
      </w:pPr>
    </w:p>
    <w:p>
      <w:pPr>
        <w:pStyle w:val="2"/>
        <w:rPr>
          <w:rFonts w:hint="eastAsia"/>
        </w:rPr>
      </w:pPr>
    </w:p>
    <w:p>
      <w:pPr>
        <w:rPr>
          <w:rFonts w:hint="eastAsia"/>
        </w:rPr>
      </w:pPr>
    </w:p>
    <w:p>
      <w:pPr>
        <w:pStyle w:val="35"/>
        <w:rPr>
          <w:rFonts w:hint="eastAsia"/>
        </w:rPr>
      </w:pPr>
    </w:p>
    <w:p>
      <w:pPr>
        <w:pStyle w:val="2"/>
        <w:rPr>
          <w:rFonts w:hint="eastAsia"/>
        </w:rPr>
      </w:pPr>
    </w:p>
    <w:p>
      <w:pPr>
        <w:rPr>
          <w:rFonts w:hint="eastAsia"/>
        </w:rPr>
      </w:pPr>
    </w:p>
    <w:p>
      <w:pPr>
        <w:pStyle w:val="35"/>
        <w:rPr>
          <w:rFonts w:hint="eastAsia"/>
        </w:rPr>
      </w:pPr>
    </w:p>
    <w:p>
      <w:pPr>
        <w:pStyle w:val="2"/>
        <w:rPr>
          <w:rFonts w:hint="eastAsia"/>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55" w:name="_Toc16339"/>
      <w:bookmarkStart w:id="156" w:name="_Toc30312"/>
      <w:r>
        <w:rPr>
          <w:rFonts w:hint="eastAsia" w:ascii="宋体" w:hAnsi="宋体" w:eastAsia="宋体" w:cs="宋体"/>
          <w:sz w:val="32"/>
          <w:szCs w:val="32"/>
        </w:rPr>
        <w:br w:type="page"/>
      </w:r>
      <w:bookmarkStart w:id="157" w:name="_Toc356"/>
      <w:r>
        <w:rPr>
          <w:rFonts w:hint="eastAsia" w:ascii="宋体" w:hAnsi="宋体" w:eastAsia="宋体" w:cs="宋体"/>
          <w:sz w:val="32"/>
          <w:szCs w:val="32"/>
        </w:rPr>
        <w:t>反商业贿赂承诺书</w:t>
      </w:r>
      <w:bookmarkEnd w:id="155"/>
      <w:bookmarkEnd w:id="156"/>
      <w:bookmarkEnd w:id="157"/>
    </w:p>
    <w:p>
      <w:pPr>
        <w:spacing w:line="360" w:lineRule="auto"/>
        <w:rPr>
          <w:rFonts w:hint="eastAsia" w:ascii="宋体" w:hAnsi="宋体" w:eastAsia="宋体" w:cs="宋体"/>
          <w:sz w:val="24"/>
          <w:szCs w:val="24"/>
        </w:rPr>
      </w:pPr>
      <w:r>
        <w:rPr>
          <w:rFonts w:hint="eastAsia" w:ascii="宋体" w:hAnsi="宋体" w:eastAsia="宋体" w:cs="宋体"/>
          <w:sz w:val="24"/>
          <w:szCs w:val="24"/>
        </w:rPr>
        <w:t>我公司承诺：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在本次磋商活动中，我公司保证做到：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一、公平竞争参加本次采购活动。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供应商名称（全称并加盖公章）： </w:t>
      </w: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供应商法定代表人（签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spacing w:line="460" w:lineRule="exact"/>
        <w:jc w:val="center"/>
        <w:rPr>
          <w:rFonts w:hint="eastAsia" w:ascii="宋体" w:hAnsi="宋体" w:eastAsia="宋体" w:cs="宋体"/>
          <w:sz w:val="24"/>
          <w:szCs w:val="24"/>
        </w:rPr>
      </w:pPr>
      <w:r>
        <w:rPr>
          <w:rFonts w:hint="eastAsia" w:ascii="宋体" w:hAnsi="宋体" w:eastAsia="宋体" w:cs="宋体"/>
          <w:sz w:val="24"/>
          <w:szCs w:val="24"/>
        </w:rPr>
        <w:t xml:space="preserve">                     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p>
    <w:p>
      <w:pPr>
        <w:pStyle w:val="56"/>
        <w:rPr>
          <w:rFonts w:hint="eastAsia" w:ascii="宋体" w:hAnsi="宋体" w:eastAsia="宋体" w:cs="宋体"/>
          <w:b/>
          <w:kern w:val="44"/>
          <w:sz w:val="32"/>
          <w:szCs w:val="32"/>
        </w:rPr>
      </w:pPr>
    </w:p>
    <w:p>
      <w:pPr>
        <w:spacing w:line="440" w:lineRule="exact"/>
        <w:jc w:val="right"/>
        <w:rPr>
          <w:rFonts w:hint="eastAsia" w:ascii="宋体" w:hAnsi="宋体" w:eastAsia="宋体" w:cs="宋体"/>
          <w:szCs w:val="21"/>
        </w:rPr>
      </w:pPr>
    </w:p>
    <w:p>
      <w:pPr>
        <w:pStyle w:val="6"/>
        <w:jc w:val="center"/>
        <w:outlineLvl w:val="9"/>
        <w:rPr>
          <w:rFonts w:hint="eastAsia" w:ascii="宋体" w:hAnsi="宋体" w:eastAsia="宋体" w:cs="宋体"/>
          <w:sz w:val="28"/>
          <w:szCs w:val="28"/>
        </w:rPr>
      </w:pPr>
    </w:p>
    <w:p>
      <w:pPr>
        <w:rPr>
          <w:rFonts w:hint="eastAsia"/>
        </w:rPr>
      </w:pPr>
    </w:p>
    <w:p>
      <w:pPr>
        <w:pStyle w:val="15"/>
        <w:rPr>
          <w:rFonts w:hint="eastAsia"/>
        </w:rPr>
      </w:pPr>
    </w:p>
    <w:p>
      <w:pPr>
        <w:pStyle w:val="11"/>
        <w:rPr>
          <w:rFonts w:hint="eastAsia"/>
        </w:rPr>
      </w:pPr>
    </w:p>
    <w:p>
      <w:pPr>
        <w:rPr>
          <w:rFonts w:hint="eastAsia"/>
        </w:rPr>
      </w:pPr>
    </w:p>
    <w:p>
      <w:pPr>
        <w:pStyle w:val="2"/>
        <w:rPr>
          <w:rFonts w:hint="eastAsia"/>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szCs w:val="21"/>
        </w:rPr>
      </w:pPr>
    </w:p>
    <w:p>
      <w:pPr>
        <w:pStyle w:val="56"/>
        <w:rPr>
          <w:rFonts w:hint="eastAsia" w:ascii="宋体" w:hAnsi="宋体" w:eastAsia="宋体" w:cs="宋体"/>
          <w:sz w:val="32"/>
          <w:szCs w:val="32"/>
        </w:rPr>
      </w:pPr>
      <w:bookmarkStart w:id="158" w:name="_Toc12483"/>
      <w:bookmarkStart w:id="159" w:name="_Toc529865893"/>
      <w:bookmarkStart w:id="160" w:name="_Toc12027"/>
      <w:bookmarkStart w:id="161" w:name="_Toc5526"/>
      <w:r>
        <w:rPr>
          <w:rFonts w:hint="eastAsia" w:ascii="宋体" w:hAnsi="宋体" w:eastAsia="宋体" w:cs="宋体"/>
          <w:sz w:val="32"/>
          <w:szCs w:val="32"/>
        </w:rPr>
        <w:br w:type="page"/>
      </w:r>
      <w:bookmarkEnd w:id="158"/>
    </w:p>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62" w:name="_Toc25489"/>
      <w:bookmarkStart w:id="163" w:name="_Toc16061"/>
      <w:bookmarkStart w:id="164" w:name="_Toc32421"/>
      <w:bookmarkStart w:id="165" w:name="_Toc15946"/>
      <w:r>
        <w:rPr>
          <w:rFonts w:hint="eastAsia" w:ascii="宋体" w:hAnsi="宋体" w:eastAsia="宋体" w:cs="宋体"/>
          <w:sz w:val="32"/>
          <w:szCs w:val="32"/>
        </w:rPr>
        <w:t>残疾人福利性单位声明函</w:t>
      </w:r>
      <w:bookmarkEnd w:id="159"/>
      <w:bookmarkEnd w:id="160"/>
      <w:bookmarkEnd w:id="161"/>
      <w:bookmarkEnd w:id="162"/>
      <w:bookmarkEnd w:id="163"/>
      <w:bookmarkEnd w:id="164"/>
      <w:bookmarkEnd w:id="165"/>
    </w:p>
    <w:p>
      <w:pPr>
        <w:spacing w:line="588" w:lineRule="exact"/>
        <w:rPr>
          <w:rFonts w:hint="eastAsia" w:ascii="宋体" w:hAnsi="宋体" w:eastAsia="宋体" w:cs="宋体"/>
          <w:b/>
          <w:spacing w:val="6"/>
          <w:sz w:val="30"/>
          <w:szCs w:val="30"/>
        </w:rPr>
      </w:pPr>
    </w:p>
    <w:p>
      <w:pPr>
        <w:spacing w:line="588" w:lineRule="exact"/>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本单位郑重声明，根据《财政部 民政部 中国残疾人联合会关于促进残疾人就业政府采购政策的通知》（财库</w:t>
      </w:r>
      <w:r>
        <w:rPr>
          <w:rFonts w:hint="eastAsia" w:ascii="宋体" w:hAnsi="宋体" w:eastAsia="宋体" w:cs="宋体"/>
          <w:sz w:val="24"/>
          <w:szCs w:val="24"/>
        </w:rPr>
        <w:t>〔2017〕 141</w:t>
      </w:r>
      <w:r>
        <w:rPr>
          <w:rFonts w:hint="eastAsia" w:ascii="宋体" w:hAnsi="宋体" w:eastAsia="宋体" w:cs="宋体"/>
          <w:spacing w:val="6"/>
          <w:sz w:val="24"/>
          <w:szCs w:val="24"/>
        </w:rPr>
        <w:t>号）的规定，本单位为符合条件的残疾人福利性单位，且本单位参加______单位的______项目</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val="en-US" w:eastAsia="zh-CN"/>
        </w:rPr>
        <w:t>包</w:t>
      </w:r>
      <w:r>
        <w:rPr>
          <w:rFonts w:hint="eastAsia" w:ascii="宋体" w:hAnsi="宋体" w:eastAsia="宋体" w:cs="宋体"/>
          <w:spacing w:val="6"/>
          <w:sz w:val="24"/>
          <w:szCs w:val="24"/>
        </w:rPr>
        <w:t>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eastAsia="宋体" w:cs="宋体"/>
          <w:spacing w:val="6"/>
          <w:sz w:val="24"/>
          <w:szCs w:val="24"/>
        </w:rPr>
      </w:pPr>
      <w:r>
        <w:rPr>
          <w:rFonts w:hint="eastAsia" w:ascii="宋体" w:hAnsi="宋体" w:eastAsia="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eastAsia="宋体" w:cs="宋体"/>
          <w:spacing w:val="6"/>
          <w:sz w:val="24"/>
          <w:szCs w:val="24"/>
        </w:rPr>
      </w:pPr>
    </w:p>
    <w:p>
      <w:pPr>
        <w:spacing w:line="588" w:lineRule="exact"/>
        <w:ind w:firstLine="504" w:firstLineChars="200"/>
        <w:rPr>
          <w:rFonts w:hint="eastAsia" w:ascii="宋体" w:hAnsi="宋体" w:eastAsia="宋体" w:cs="宋体"/>
          <w:spacing w:val="6"/>
          <w:sz w:val="24"/>
          <w:szCs w:val="24"/>
        </w:rPr>
      </w:pPr>
    </w:p>
    <w:p>
      <w:pPr>
        <w:tabs>
          <w:tab w:val="left" w:pos="4860"/>
        </w:tabs>
        <w:spacing w:line="588" w:lineRule="exact"/>
        <w:ind w:right="1560" w:firstLine="504" w:firstLineChars="200"/>
        <w:jc w:val="right"/>
        <w:rPr>
          <w:rFonts w:hint="eastAsia" w:ascii="宋体" w:hAnsi="宋体" w:eastAsia="宋体" w:cs="宋体"/>
          <w:spacing w:val="6"/>
          <w:sz w:val="24"/>
          <w:szCs w:val="24"/>
        </w:rPr>
      </w:pPr>
      <w:r>
        <w:rPr>
          <w:rFonts w:hint="eastAsia" w:ascii="宋体" w:hAnsi="宋体" w:eastAsia="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eastAsia="宋体" w:cs="宋体"/>
          <w:spacing w:val="6"/>
          <w:sz w:val="24"/>
          <w:szCs w:val="24"/>
        </w:rPr>
      </w:pPr>
      <w:r>
        <w:rPr>
          <w:rFonts w:hint="eastAsia" w:ascii="宋体" w:hAnsi="宋体" w:eastAsia="宋体" w:cs="宋体"/>
          <w:spacing w:val="6"/>
          <w:sz w:val="24"/>
          <w:szCs w:val="24"/>
        </w:rPr>
        <w:t xml:space="preserve">       日  期：</w:t>
      </w:r>
    </w:p>
    <w:p>
      <w:pPr>
        <w:spacing w:line="360" w:lineRule="auto"/>
        <w:rPr>
          <w:rFonts w:hint="eastAsia" w:ascii="宋体" w:hAnsi="宋体" w:eastAsia="宋体" w:cs="宋体"/>
          <w:b/>
          <w:bCs/>
          <w:sz w:val="24"/>
          <w:szCs w:val="24"/>
        </w:rPr>
      </w:pPr>
      <w:r>
        <w:rPr>
          <w:rFonts w:hint="eastAsia" w:ascii="宋体" w:hAnsi="宋体" w:eastAsia="宋体" w:cs="宋体"/>
          <w:sz w:val="24"/>
          <w:szCs w:val="24"/>
        </w:rPr>
        <w:t>说明：</w:t>
      </w:r>
      <w:r>
        <w:rPr>
          <w:rFonts w:hint="eastAsia" w:ascii="宋体" w:hAnsi="宋体" w:eastAsia="宋体" w:cs="宋体"/>
          <w:b/>
          <w:bCs/>
          <w:sz w:val="24"/>
          <w:szCs w:val="24"/>
        </w:rPr>
        <w:t>非残疾人福利性单位无需填写、递交该声明。</w:t>
      </w: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pStyle w:val="56"/>
        <w:rPr>
          <w:rFonts w:hint="eastAsia" w:ascii="宋体" w:hAnsi="宋体" w:eastAsia="宋体" w:cs="宋体"/>
          <w:b/>
          <w:kern w:val="44"/>
          <w:sz w:val="32"/>
          <w:szCs w:val="32"/>
        </w:rPr>
      </w:pPr>
    </w:p>
    <w:p>
      <w:pPr>
        <w:jc w:val="center"/>
        <w:outlineLvl w:val="0"/>
        <w:rPr>
          <w:rFonts w:hint="eastAsia" w:ascii="宋体" w:hAnsi="宋体" w:eastAsia="宋体" w:cs="宋体"/>
          <w:b/>
          <w:sz w:val="32"/>
          <w:szCs w:val="32"/>
        </w:rPr>
      </w:pPr>
      <w:bookmarkStart w:id="166" w:name="_Toc31392"/>
      <w:bookmarkStart w:id="167" w:name="_Toc2217"/>
      <w:bookmarkStart w:id="168" w:name="_Toc5772"/>
      <w:bookmarkStart w:id="169" w:name="_Toc18644"/>
      <w:bookmarkStart w:id="170" w:name="_Toc31104"/>
      <w:r>
        <w:rPr>
          <w:rFonts w:hint="eastAsia" w:ascii="宋体" w:hAnsi="宋体" w:eastAsia="宋体" w:cs="宋体"/>
          <w:b/>
          <w:sz w:val="32"/>
          <w:szCs w:val="32"/>
        </w:rPr>
        <w:br w:type="page"/>
      </w:r>
      <w:bookmarkStart w:id="171" w:name="_Toc15107"/>
      <w:r>
        <w:rPr>
          <w:rFonts w:hint="eastAsia" w:ascii="宋体" w:hAnsi="宋体" w:eastAsia="宋体" w:cs="宋体"/>
          <w:b/>
          <w:sz w:val="32"/>
          <w:szCs w:val="32"/>
        </w:rPr>
        <w:t>无行贿犯罪记录承诺书</w:t>
      </w:r>
      <w:bookmarkEnd w:id="166"/>
      <w:bookmarkEnd w:id="167"/>
      <w:bookmarkEnd w:id="168"/>
      <w:bookmarkEnd w:id="169"/>
      <w:bookmarkEnd w:id="170"/>
      <w:bookmarkEnd w:id="171"/>
    </w:p>
    <w:p>
      <w:pPr>
        <w:spacing w:after="312" w:afterLines="100" w:line="440" w:lineRule="exact"/>
        <w:rPr>
          <w:rFonts w:hint="eastAsia" w:ascii="宋体" w:hAnsi="宋体" w:eastAsia="宋体" w:cs="宋体"/>
          <w:position w:val="-7"/>
          <w:szCs w:val="21"/>
        </w:rPr>
      </w:pPr>
    </w:p>
    <w:p>
      <w:pPr>
        <w:spacing w:before="156" w:beforeLines="50" w:after="156" w:afterLines="50"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480" w:firstLineChars="200"/>
        <w:rPr>
          <w:rFonts w:hint="eastAsia" w:ascii="宋体" w:hAnsi="宋体" w:eastAsia="宋体" w:cs="宋体"/>
          <w:color w:val="000000"/>
          <w:sz w:val="24"/>
          <w:szCs w:val="24"/>
          <w:shd w:val="clear" w:color="auto" w:fill="FFFFFF"/>
        </w:rPr>
      </w:pPr>
      <w:r>
        <w:rPr>
          <w:rFonts w:hint="eastAsia" w:ascii="宋体" w:hAnsi="宋体" w:eastAsia="宋体" w:cs="宋体"/>
          <w:sz w:val="24"/>
          <w:szCs w:val="24"/>
        </w:rPr>
        <w:t>我方在此声明，我方在</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包段</w:t>
      </w:r>
      <w:r>
        <w:rPr>
          <w:rFonts w:hint="eastAsia" w:ascii="宋体" w:hAnsi="宋体" w:eastAsia="宋体" w:cs="宋体"/>
          <w:sz w:val="24"/>
          <w:szCs w:val="24"/>
        </w:rPr>
        <w:t>）采购过程中所涉及的</w:t>
      </w:r>
      <w:r>
        <w:rPr>
          <w:rFonts w:hint="eastAsia" w:ascii="宋体" w:hAnsi="宋体" w:eastAsia="宋体" w:cs="宋体"/>
          <w:color w:val="000000"/>
          <w:sz w:val="24"/>
          <w:szCs w:val="24"/>
          <w:shd w:val="clear" w:color="auto" w:fill="FFFFFF"/>
        </w:rPr>
        <w:t>包括法人、法定代表人、委托代理人均无行贿犯罪记录。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我方保证上述信息的真实和准确，并愿意承担因我方就此弄虚作假所引起的一切法律后果。</w:t>
      </w: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pPr>
        <w:spacing w:line="360" w:lineRule="auto"/>
        <w:ind w:firstLine="480" w:firstLineChars="200"/>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供应商名称（全称并加盖公章）：</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法定代表人或其委托代理人（签</w:t>
      </w:r>
      <w:r>
        <w:rPr>
          <w:rFonts w:hint="eastAsia" w:ascii="宋体" w:hAnsi="宋体" w:eastAsia="宋体" w:cs="宋体"/>
          <w:sz w:val="24"/>
          <w:szCs w:val="24"/>
          <w:lang w:eastAsia="zh-CN"/>
        </w:rPr>
        <w:t>名或盖章</w:t>
      </w:r>
      <w:r>
        <w:rPr>
          <w:rFonts w:hint="eastAsia" w:ascii="宋体" w:hAnsi="宋体" w:eastAsia="宋体" w:cs="宋体"/>
          <w:sz w:val="24"/>
          <w:szCs w:val="24"/>
        </w:rPr>
        <w:t>）：</w:t>
      </w:r>
    </w:p>
    <w:p>
      <w:pPr>
        <w:spacing w:line="360" w:lineRule="auto"/>
        <w:jc w:val="right"/>
        <w:rPr>
          <w:rFonts w:hint="eastAsia" w:ascii="宋体" w:hAnsi="宋体" w:eastAsia="宋体" w:cs="宋体"/>
          <w:sz w:val="24"/>
          <w:szCs w:val="24"/>
        </w:rPr>
      </w:pPr>
    </w:p>
    <w:p>
      <w:pPr>
        <w:pStyle w:val="56"/>
        <w:spacing w:line="360" w:lineRule="auto"/>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jc w:val="center"/>
        <w:outlineLvl w:val="9"/>
        <w:rPr>
          <w:rFonts w:hint="eastAsia" w:ascii="宋体" w:hAnsi="宋体" w:eastAsia="宋体" w:cs="宋体"/>
          <w:b/>
          <w:bCs/>
          <w:sz w:val="32"/>
          <w:szCs w:val="32"/>
        </w:rPr>
      </w:pPr>
      <w:r>
        <w:rPr>
          <w:rFonts w:hint="eastAsia" w:ascii="宋体" w:hAnsi="宋体" w:eastAsia="宋体" w:cs="宋体"/>
          <w:sz w:val="24"/>
          <w:szCs w:val="24"/>
        </w:rPr>
        <w:br w:type="page"/>
      </w:r>
    </w:p>
    <w:bookmarkEnd w:id="124"/>
    <w:bookmarkEnd w:id="125"/>
    <w:p>
      <w:pPr>
        <w:pStyle w:val="5"/>
        <w:keepNext/>
        <w:keepLines/>
        <w:pageBreakBefore w:val="0"/>
        <w:widowControl w:val="0"/>
        <w:numPr>
          <w:ilvl w:val="0"/>
          <w:numId w:val="18"/>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72" w:name="_Toc490161471"/>
      <w:bookmarkStart w:id="173" w:name="_Toc5506"/>
      <w:bookmarkStart w:id="174" w:name="_Toc487805932"/>
      <w:bookmarkStart w:id="175" w:name="_Toc428525390"/>
      <w:bookmarkStart w:id="176" w:name="_Toc428454062"/>
      <w:bookmarkStart w:id="177" w:name="_Toc23619"/>
      <w:bookmarkStart w:id="178" w:name="_Toc477423256"/>
      <w:bookmarkStart w:id="179" w:name="_Toc7113"/>
      <w:bookmarkStart w:id="180" w:name="_Toc15846"/>
      <w:bookmarkStart w:id="181" w:name="_Toc406663316"/>
      <w:bookmarkStart w:id="182" w:name="_Toc373230045"/>
      <w:bookmarkStart w:id="183" w:name="_Toc374512433"/>
      <w:bookmarkStart w:id="184" w:name="_Toc364490446"/>
      <w:bookmarkStart w:id="185" w:name="_Toc214329904"/>
      <w:bookmarkStart w:id="186" w:name="_Toc408816356"/>
      <w:bookmarkStart w:id="187" w:name="_Toc25878"/>
      <w:r>
        <w:rPr>
          <w:rFonts w:hint="eastAsia" w:ascii="宋体" w:hAnsi="宋体" w:eastAsia="宋体" w:cs="宋体"/>
          <w:sz w:val="32"/>
          <w:szCs w:val="32"/>
        </w:rPr>
        <w:t>法定代表人身份证明或授权委托书</w:t>
      </w:r>
      <w:bookmarkEnd w:id="172"/>
      <w:bookmarkEnd w:id="173"/>
      <w:bookmarkEnd w:id="174"/>
      <w:bookmarkEnd w:id="175"/>
      <w:bookmarkEnd w:id="176"/>
      <w:bookmarkEnd w:id="177"/>
      <w:bookmarkEnd w:id="178"/>
      <w:bookmarkEnd w:id="179"/>
      <w:bookmarkEnd w:id="180"/>
      <w:bookmarkEnd w:id="181"/>
    </w:p>
    <w:p>
      <w:pPr>
        <w:spacing w:line="460" w:lineRule="exact"/>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pPr>
        <w:pStyle w:val="56"/>
        <w:rPr>
          <w:rFonts w:hint="eastAsia" w:ascii="宋体" w:hAnsi="宋体" w:eastAsia="宋体" w:cs="宋体"/>
        </w:rPr>
      </w:pPr>
    </w:p>
    <w:p>
      <w:pPr>
        <w:spacing w:line="460" w:lineRule="exact"/>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（供应商名称）营业执照注册号：</w:t>
      </w:r>
      <w:r>
        <w:rPr>
          <w:rFonts w:hint="eastAsia" w:ascii="宋体" w:hAnsi="宋体" w:eastAsia="宋体" w:cs="宋体"/>
          <w:sz w:val="24"/>
          <w:szCs w:val="24"/>
          <w:u w:val="single"/>
        </w:rPr>
        <w:t xml:space="preserve">                   </w:t>
      </w:r>
      <w:r>
        <w:rPr>
          <w:rFonts w:hint="eastAsia" w:ascii="宋体" w:hAnsi="宋体" w:eastAsia="宋体" w:cs="宋体"/>
          <w:sz w:val="24"/>
          <w:szCs w:val="24"/>
        </w:rPr>
        <w:t>_______________的法定代表人。</w:t>
      </w:r>
    </w:p>
    <w:p>
      <w:pPr>
        <w:spacing w:line="46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特此证明。</w:t>
      </w:r>
    </w:p>
    <w:p>
      <w:pPr>
        <w:spacing w:line="460" w:lineRule="exact"/>
        <w:ind w:firstLine="480" w:firstLineChars="200"/>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p>
    <w:p>
      <w:pPr>
        <w:spacing w:line="360" w:lineRule="auto"/>
        <w:jc w:val="center"/>
        <w:rPr>
          <w:rFonts w:hint="eastAsia" w:ascii="宋体" w:hAnsi="宋体" w:eastAsia="宋体" w:cs="宋体"/>
          <w:sz w:val="24"/>
        </w:rPr>
      </w:pPr>
      <w:r>
        <w:rPr>
          <w:rFonts w:hint="eastAsia" w:ascii="宋体" w:hAnsi="宋体" w:eastAsia="宋体" w:cs="宋体"/>
          <w:sz w:val="24"/>
        </w:rPr>
        <w:t>供应商名称（全称并加盖公章）：</w:t>
      </w:r>
    </w:p>
    <w:p>
      <w:pPr>
        <w:spacing w:line="360" w:lineRule="auto"/>
        <w:ind w:firstLine="4515" w:firstLineChars="2150"/>
        <w:rPr>
          <w:rFonts w:hint="eastAsia" w:ascii="宋体" w:hAnsi="宋体" w:eastAsia="宋体" w:cs="宋体"/>
          <w:szCs w:val="21"/>
          <w:u w:val="single"/>
        </w:rPr>
      </w:pPr>
    </w:p>
    <w:p>
      <w:pPr>
        <w:spacing w:line="360" w:lineRule="auto"/>
        <w:ind w:firstLine="4725" w:firstLineChars="2250"/>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spacing w:line="360" w:lineRule="auto"/>
        <w:jc w:val="center"/>
        <w:rPr>
          <w:rFonts w:hint="eastAsia" w:ascii="宋体" w:hAnsi="宋体" w:eastAsia="宋体" w:cs="宋体"/>
          <w:b/>
          <w:szCs w:val="21"/>
        </w:rPr>
      </w:pPr>
    </w:p>
    <w:p>
      <w:pPr>
        <w:spacing w:line="360" w:lineRule="auto"/>
        <w:jc w:val="center"/>
        <w:rPr>
          <w:rFonts w:hint="eastAsia" w:ascii="宋体" w:hAnsi="宋体" w:eastAsia="宋体" w:cs="宋体"/>
          <w:b/>
          <w:szCs w:val="21"/>
        </w:rPr>
      </w:pPr>
    </w:p>
    <w:p>
      <w:pPr>
        <w:spacing w:line="360" w:lineRule="auto"/>
        <w:rPr>
          <w:rFonts w:hint="eastAsia" w:ascii="宋体" w:hAnsi="宋体" w:eastAsia="宋体" w:cs="宋体"/>
          <w:b/>
          <w:bCs/>
          <w:szCs w:val="21"/>
        </w:rPr>
      </w:pPr>
      <w:r>
        <w:rPr>
          <w:rFonts w:hint="eastAsia" w:ascii="宋体" w:hAnsi="宋体" w:eastAsia="宋体" w:cs="宋体"/>
          <w:b/>
          <w:bCs/>
          <w:szCs w:val="21"/>
        </w:rPr>
        <w:t>注：附法定代表人身份证（正反两面）复印件。</w:t>
      </w:r>
    </w:p>
    <w:p>
      <w:pPr>
        <w:spacing w:line="360" w:lineRule="auto"/>
        <w:jc w:val="center"/>
        <w:rPr>
          <w:rFonts w:hint="eastAsia" w:ascii="宋体" w:hAnsi="宋体" w:eastAsia="宋体" w:cs="宋体"/>
          <w:b/>
          <w:szCs w:val="21"/>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p>
    <w:p>
      <w:pPr>
        <w:spacing w:line="460" w:lineRule="exact"/>
        <w:jc w:val="center"/>
        <w:rPr>
          <w:rFonts w:hint="eastAsia" w:ascii="宋体" w:hAnsi="宋体" w:eastAsia="宋体" w:cs="宋体"/>
          <w:b/>
          <w:sz w:val="24"/>
          <w:szCs w:val="24"/>
        </w:rPr>
      </w:pPr>
      <w:r>
        <w:rPr>
          <w:rFonts w:hint="eastAsia" w:ascii="宋体" w:hAnsi="宋体" w:eastAsia="宋体" w:cs="宋体"/>
          <w:b/>
          <w:sz w:val="24"/>
          <w:szCs w:val="24"/>
        </w:rPr>
        <w:t>授权委托书</w:t>
      </w:r>
    </w:p>
    <w:p>
      <w:pPr>
        <w:spacing w:line="460" w:lineRule="exact"/>
        <w:jc w:val="center"/>
        <w:rPr>
          <w:rFonts w:hint="eastAsia" w:ascii="宋体" w:hAnsi="宋体" w:eastAsia="宋体" w:cs="宋体"/>
          <w:sz w:val="24"/>
          <w:szCs w:val="24"/>
        </w:rPr>
      </w:pP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本授权委托声明：我</w:t>
      </w:r>
      <w:r>
        <w:rPr>
          <w:rFonts w:hint="eastAsia" w:ascii="宋体" w:hAnsi="宋体" w:eastAsia="宋体" w:cs="宋体"/>
          <w:sz w:val="24"/>
          <w:szCs w:val="24"/>
          <w:u w:val="single"/>
        </w:rPr>
        <w:t>　　　　　</w:t>
      </w:r>
      <w:r>
        <w:rPr>
          <w:rFonts w:hint="eastAsia" w:ascii="宋体" w:hAnsi="宋体" w:eastAsia="宋体" w:cs="宋体"/>
          <w:sz w:val="24"/>
          <w:szCs w:val="24"/>
        </w:rPr>
        <w:t>（姓名）系</w:t>
      </w:r>
      <w:r>
        <w:rPr>
          <w:rFonts w:hint="eastAsia" w:ascii="宋体" w:hAnsi="宋体" w:eastAsia="宋体" w:cs="宋体"/>
          <w:sz w:val="24"/>
          <w:szCs w:val="24"/>
          <w:u w:val="single"/>
        </w:rPr>
        <w:t>　　　　</w:t>
      </w:r>
      <w:r>
        <w:rPr>
          <w:rFonts w:hint="eastAsia" w:ascii="宋体" w:hAnsi="宋体" w:eastAsia="宋体" w:cs="宋体"/>
          <w:sz w:val="24"/>
          <w:szCs w:val="24"/>
        </w:rPr>
        <w:t>（供应商名称）的法定代表人，现授权委托</w:t>
      </w:r>
      <w:r>
        <w:rPr>
          <w:rFonts w:hint="eastAsia" w:ascii="宋体" w:hAnsi="宋体" w:eastAsia="宋体" w:cs="宋体"/>
          <w:sz w:val="24"/>
          <w:szCs w:val="24"/>
          <w:u w:val="single"/>
        </w:rPr>
        <w:t>　　　　　</w:t>
      </w:r>
      <w:r>
        <w:rPr>
          <w:rFonts w:hint="eastAsia" w:ascii="宋体" w:hAnsi="宋体" w:eastAsia="宋体" w:cs="宋体"/>
          <w:sz w:val="24"/>
          <w:szCs w:val="24"/>
        </w:rPr>
        <w:t>（单位名称）的</w:t>
      </w:r>
      <w:r>
        <w:rPr>
          <w:rFonts w:hint="eastAsia" w:ascii="宋体" w:hAnsi="宋体" w:eastAsia="宋体" w:cs="宋体"/>
          <w:sz w:val="24"/>
          <w:szCs w:val="24"/>
          <w:u w:val="single"/>
        </w:rPr>
        <w:t>　　　</w:t>
      </w:r>
      <w:r>
        <w:rPr>
          <w:rFonts w:hint="eastAsia" w:ascii="宋体" w:hAnsi="宋体" w:eastAsia="宋体" w:cs="宋体"/>
          <w:sz w:val="24"/>
          <w:szCs w:val="24"/>
        </w:rPr>
        <w:t>（姓名）为我公司（院）代理人，以本公司（院）的名义参加</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包</w:t>
      </w:r>
      <w:r>
        <w:rPr>
          <w:rFonts w:hint="eastAsia" w:ascii="宋体" w:hAnsi="宋体" w:eastAsia="宋体" w:cs="宋体"/>
          <w:sz w:val="24"/>
          <w:szCs w:val="24"/>
        </w:rPr>
        <w:t>（</w:t>
      </w:r>
      <w:r>
        <w:rPr>
          <w:rFonts w:hint="eastAsia" w:ascii="宋体" w:hAnsi="宋体" w:eastAsia="宋体" w:cs="宋体"/>
          <w:sz w:val="24"/>
          <w:szCs w:val="24"/>
          <w:lang w:eastAsia="zh-CN"/>
        </w:rPr>
        <w:t>项目编号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代理人无转委托权，特此声明。</w:t>
      </w:r>
    </w:p>
    <w:p>
      <w:pPr>
        <w:spacing w:line="460" w:lineRule="exact"/>
        <w:ind w:firstLine="403" w:firstLineChars="168"/>
        <w:rPr>
          <w:rFonts w:hint="eastAsia" w:ascii="宋体" w:hAnsi="宋体" w:eastAsia="宋体" w:cs="宋体"/>
          <w:sz w:val="24"/>
          <w:szCs w:val="24"/>
        </w:rPr>
      </w:pPr>
    </w:p>
    <w:p>
      <w:pPr>
        <w:spacing w:line="460" w:lineRule="exact"/>
        <w:rPr>
          <w:rFonts w:hint="eastAsia" w:ascii="宋体" w:hAnsi="宋体" w:eastAsia="宋体" w:cs="宋体"/>
          <w:sz w:val="24"/>
          <w:szCs w:val="24"/>
        </w:rPr>
      </w:pPr>
    </w:p>
    <w:p>
      <w:pPr>
        <w:spacing w:line="360" w:lineRule="auto"/>
        <w:jc w:val="center"/>
        <w:rPr>
          <w:rFonts w:hint="eastAsia" w:ascii="宋体" w:hAnsi="宋体" w:eastAsia="宋体" w:cs="宋体"/>
          <w:szCs w:val="21"/>
        </w:rPr>
      </w:pPr>
      <w:bookmarkStart w:id="188" w:name="_Toc487805933"/>
      <w:bookmarkStart w:id="189" w:name="_Toc476045985"/>
      <w:bookmarkStart w:id="190" w:name="_Toc475955191"/>
      <w:bookmarkStart w:id="191" w:name="_Toc490161472"/>
      <w:bookmarkStart w:id="192" w:name="_Toc15453"/>
      <w:bookmarkStart w:id="193" w:name="_Toc477423257"/>
      <w:bookmarkStart w:id="194" w:name="_Toc428525391"/>
      <w:bookmarkStart w:id="195" w:name="_Toc428454066"/>
      <w:r>
        <w:rPr>
          <w:rFonts w:hint="eastAsia" w:ascii="宋体" w:hAnsi="宋体" w:eastAsia="宋体" w:cs="宋体"/>
          <w:szCs w:val="21"/>
        </w:rPr>
        <w:t>供应商名称（全称并加盖公章）：</w:t>
      </w:r>
    </w:p>
    <w:p>
      <w:pPr>
        <w:spacing w:line="360" w:lineRule="auto"/>
        <w:rPr>
          <w:rFonts w:hint="eastAsia" w:ascii="宋体" w:hAnsi="宋体" w:eastAsia="宋体" w:cs="宋体"/>
          <w:szCs w:val="21"/>
          <w:u w:val="single"/>
        </w:rPr>
      </w:pPr>
      <w:r>
        <w:rPr>
          <w:rFonts w:hint="eastAsia" w:ascii="宋体" w:hAnsi="宋体" w:eastAsia="宋体" w:cs="宋体"/>
          <w:szCs w:val="21"/>
        </w:rPr>
        <w:t xml:space="preserve">                             法定代表人（签</w:t>
      </w:r>
      <w:r>
        <w:rPr>
          <w:rFonts w:hint="eastAsia" w:ascii="宋体" w:hAnsi="宋体" w:eastAsia="宋体" w:cs="宋体"/>
          <w:szCs w:val="21"/>
          <w:lang w:eastAsia="zh-CN"/>
        </w:rPr>
        <w:t>名或盖章</w:t>
      </w:r>
      <w:r>
        <w:rPr>
          <w:rFonts w:hint="eastAsia" w:ascii="宋体" w:hAnsi="宋体" w:eastAsia="宋体" w:cs="宋体"/>
          <w:szCs w:val="21"/>
        </w:rPr>
        <w:t>）：</w:t>
      </w:r>
    </w:p>
    <w:p>
      <w:pPr>
        <w:spacing w:line="360" w:lineRule="auto"/>
        <w:rPr>
          <w:rFonts w:hint="eastAsia" w:ascii="宋体" w:hAnsi="宋体" w:eastAsia="宋体" w:cs="宋体"/>
          <w:szCs w:val="21"/>
          <w:u w:val="single"/>
        </w:rPr>
      </w:pPr>
      <w:r>
        <w:rPr>
          <w:rFonts w:hint="eastAsia" w:ascii="宋体" w:hAnsi="宋体" w:eastAsia="宋体" w:cs="宋体"/>
          <w:szCs w:val="21"/>
        </w:rPr>
        <w:t xml:space="preserve">                             委托代理人（签</w:t>
      </w:r>
      <w:r>
        <w:rPr>
          <w:rFonts w:hint="eastAsia" w:ascii="宋体" w:hAnsi="宋体" w:eastAsia="宋体" w:cs="宋体"/>
          <w:szCs w:val="21"/>
          <w:lang w:eastAsia="zh-CN"/>
        </w:rPr>
        <w:t>名或盖章</w:t>
      </w:r>
      <w:r>
        <w:rPr>
          <w:rFonts w:hint="eastAsia" w:ascii="宋体" w:hAnsi="宋体" w:eastAsia="宋体" w:cs="宋体"/>
          <w:szCs w:val="21"/>
        </w:rPr>
        <w:t>）：</w:t>
      </w:r>
    </w:p>
    <w:p>
      <w:pPr>
        <w:spacing w:line="360" w:lineRule="auto"/>
        <w:ind w:firstLine="4830" w:firstLineChars="2300"/>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szCs w:val="21"/>
          <w:u w:val="single"/>
        </w:rPr>
        <w:t>　　</w:t>
      </w:r>
      <w:r>
        <w:rPr>
          <w:rFonts w:hint="eastAsia" w:ascii="宋体" w:hAnsi="宋体" w:eastAsia="宋体" w:cs="宋体"/>
          <w:szCs w:val="21"/>
        </w:rPr>
        <w:t>年</w:t>
      </w:r>
      <w:r>
        <w:rPr>
          <w:rFonts w:hint="eastAsia" w:ascii="宋体" w:hAnsi="宋体" w:eastAsia="宋体" w:cs="宋体"/>
          <w:szCs w:val="21"/>
          <w:u w:val="single"/>
        </w:rPr>
        <w:t>　　</w:t>
      </w:r>
      <w:r>
        <w:rPr>
          <w:rFonts w:hint="eastAsia" w:ascii="宋体" w:hAnsi="宋体" w:eastAsia="宋体" w:cs="宋体"/>
          <w:szCs w:val="21"/>
        </w:rPr>
        <w:t>月</w:t>
      </w:r>
      <w:r>
        <w:rPr>
          <w:rFonts w:hint="eastAsia" w:ascii="宋体" w:hAnsi="宋体" w:eastAsia="宋体" w:cs="宋体"/>
          <w:szCs w:val="21"/>
          <w:u w:val="single"/>
        </w:rPr>
        <w:t>　　</w:t>
      </w:r>
      <w:r>
        <w:rPr>
          <w:rFonts w:hint="eastAsia" w:ascii="宋体" w:hAnsi="宋体" w:eastAsia="宋体" w:cs="宋体"/>
          <w:szCs w:val="21"/>
        </w:rPr>
        <w:t>日</w:t>
      </w:r>
    </w:p>
    <w:p>
      <w:pPr>
        <w:spacing w:line="360" w:lineRule="auto"/>
        <w:ind w:firstLine="562" w:firstLineChars="268"/>
        <w:rPr>
          <w:rFonts w:hint="eastAsia" w:ascii="宋体" w:hAnsi="宋体" w:eastAsia="宋体" w:cs="宋体"/>
          <w:szCs w:val="21"/>
        </w:rPr>
      </w:pPr>
    </w:p>
    <w:p>
      <w:pPr>
        <w:spacing w:line="360" w:lineRule="auto"/>
        <w:ind w:firstLine="422" w:firstLineChars="200"/>
        <w:jc w:val="left"/>
        <w:rPr>
          <w:rFonts w:hint="eastAsia" w:ascii="宋体" w:hAnsi="宋体" w:eastAsia="宋体" w:cs="宋体"/>
          <w:szCs w:val="21"/>
        </w:rPr>
      </w:pPr>
      <w:r>
        <w:rPr>
          <w:rFonts w:hint="eastAsia" w:ascii="宋体" w:hAnsi="宋体" w:eastAsia="宋体" w:cs="宋体"/>
          <w:b/>
          <w:bCs/>
          <w:szCs w:val="21"/>
        </w:rPr>
        <w:t>注： 1.附委托代理人身份证（正反两面）复印件</w:t>
      </w:r>
    </w:p>
    <w:p>
      <w:pPr>
        <w:pStyle w:val="81"/>
        <w:ind w:firstLine="964" w:firstLineChars="400"/>
        <w:rPr>
          <w:rFonts w:hint="eastAsia" w:ascii="宋体" w:hAnsi="宋体" w:eastAsia="宋体" w:cs="宋体"/>
          <w:b/>
        </w:rPr>
      </w:pPr>
      <w:r>
        <w:rPr>
          <w:rFonts w:hint="eastAsia" w:ascii="宋体" w:hAnsi="宋体" w:eastAsia="宋体" w:cs="宋体"/>
          <w:b/>
        </w:rPr>
        <w:t>2.如是法定代表人参加磋商的，可不提供此</w:t>
      </w: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ind w:firstLine="964" w:firstLineChars="400"/>
        <w:rPr>
          <w:rFonts w:hint="eastAsia" w:ascii="宋体" w:hAnsi="宋体" w:eastAsia="宋体" w:cs="宋体"/>
          <w:b/>
        </w:rPr>
      </w:pPr>
    </w:p>
    <w:p>
      <w:pPr>
        <w:pStyle w:val="81"/>
        <w:rPr>
          <w:rFonts w:hint="eastAsia" w:ascii="宋体" w:hAnsi="宋体" w:eastAsia="宋体" w:cs="宋体"/>
          <w:b/>
        </w:rPr>
        <w:sectPr>
          <w:headerReference r:id="rId10" w:type="first"/>
          <w:footerReference r:id="rId12" w:type="first"/>
          <w:headerReference r:id="rId9" w:type="default"/>
          <w:footerReference r:id="rId11" w:type="default"/>
          <w:type w:val="nextColumn"/>
          <w:pgSz w:w="11906" w:h="16838"/>
          <w:pgMar w:top="1440" w:right="1134" w:bottom="1440" w:left="1474" w:header="851" w:footer="992" w:gutter="0"/>
          <w:pgNumType w:fmt="decimal"/>
          <w:cols w:space="720" w:num="1"/>
          <w:titlePg/>
          <w:docGrid w:type="lines" w:linePitch="312" w:charSpace="0"/>
        </w:sectPr>
      </w:pPr>
    </w:p>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Pr>
        <w:pStyle w:val="5"/>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0"/>
        <w:rPr>
          <w:rFonts w:hint="eastAsia" w:ascii="宋体" w:hAnsi="宋体" w:eastAsia="宋体" w:cs="宋体"/>
          <w:sz w:val="32"/>
          <w:szCs w:val="32"/>
        </w:rPr>
      </w:pPr>
      <w:bookmarkStart w:id="196" w:name="_Toc365712853"/>
      <w:bookmarkStart w:id="197" w:name="_Toc19463"/>
      <w:bookmarkStart w:id="198" w:name="_Toc24855"/>
      <w:bookmarkStart w:id="199" w:name="_Toc450037734"/>
      <w:bookmarkStart w:id="200" w:name="_Toc19579"/>
      <w:bookmarkStart w:id="201" w:name="_Toc18166"/>
      <w:bookmarkStart w:id="202" w:name="_Toc406663323"/>
      <w:bookmarkStart w:id="203" w:name="_Toc476045994"/>
      <w:bookmarkStart w:id="204" w:name="_Toc475955200"/>
      <w:bookmarkStart w:id="205" w:name="_Toc477423265"/>
      <w:bookmarkStart w:id="206" w:name="_Toc364962592"/>
      <w:bookmarkStart w:id="207" w:name="_Toc490161482"/>
      <w:r>
        <w:rPr>
          <w:rFonts w:hint="eastAsia" w:ascii="宋体" w:hAnsi="宋体" w:eastAsia="宋体" w:cs="宋体"/>
          <w:sz w:val="32"/>
          <w:szCs w:val="32"/>
          <w:lang w:val="en-US" w:eastAsia="zh-CN"/>
        </w:rPr>
        <w:t>9.</w:t>
      </w:r>
      <w:r>
        <w:rPr>
          <w:rFonts w:hint="eastAsia" w:ascii="宋体" w:hAnsi="宋体" w:eastAsia="宋体" w:cs="宋体"/>
          <w:sz w:val="32"/>
          <w:szCs w:val="32"/>
        </w:rPr>
        <w:t>竞争性磋商文件要求的以及供应商认为应该提供的其他材料</w:t>
      </w:r>
      <w:bookmarkEnd w:id="196"/>
      <w:bookmarkEnd w:id="197"/>
      <w:bookmarkEnd w:id="198"/>
      <w:bookmarkEnd w:id="199"/>
      <w:bookmarkEnd w:id="200"/>
      <w:bookmarkEnd w:id="201"/>
      <w:bookmarkEnd w:id="202"/>
      <w:bookmarkEnd w:id="203"/>
      <w:bookmarkEnd w:id="204"/>
      <w:bookmarkEnd w:id="205"/>
      <w:bookmarkEnd w:id="206"/>
      <w:bookmarkEnd w:id="207"/>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pStyle w:val="22"/>
        <w:rPr>
          <w:rFonts w:hint="eastAsia" w:ascii="宋体" w:hAnsi="宋体" w:eastAsia="宋体" w:cs="宋体"/>
          <w:sz w:val="28"/>
          <w:szCs w:val="24"/>
        </w:rPr>
      </w:pPr>
    </w:p>
    <w:p>
      <w:pPr>
        <w:rPr>
          <w:rFonts w:hint="eastAsia" w:ascii="宋体" w:hAnsi="宋体" w:eastAsia="宋体" w:cs="宋体"/>
          <w:b/>
          <w:bCs/>
          <w:sz w:val="32"/>
          <w:szCs w:val="32"/>
        </w:rPr>
      </w:pPr>
    </w:p>
    <w:sectPr>
      <w:type w:val="nextColumn"/>
      <w:pgSz w:w="11906" w:h="16838"/>
      <w:pgMar w:top="1440" w:right="1230" w:bottom="1440" w:left="1230" w:header="851" w:footer="760"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pPr>
      <w:pStyle w:val="2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&#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4/7UcdIBAACkAwAADgAAAAAAAAABACAAAAAi&#10;AQAAZHJzL2Uyb0RvYy54bWxQSwUGAAAAAAYABgBZAQAAZgU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UqQUS+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p>
    <w:pPr>
      <w:pStyle w:val="23"/>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ry4hP+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vert="horz" wrap="none" lIns="0" tIns="0" rIns="0" bIns="0" anchor="t" anchorCtr="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oaYJL0wAAAAUB&#10;AAAPAAAAAAAAAAEAIAAAACIAAABkcnMvZG93bnJldi54bWxQSwECFAAUAAAACACHTuJAoJsUHecB&#10;AADJAwAADgAAAAAAAAABACAAAAAiAQAAZHJzL2Uyb0RvYy54bWxQSwUGAAAAAAYABgBZAQAAewUA&#10;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CE1DCFD5"/>
    <w:multiLevelType w:val="singleLevel"/>
    <w:tmpl w:val="CE1DCFD5"/>
    <w:lvl w:ilvl="0" w:tentative="0">
      <w:start w:val="5"/>
      <w:numFmt w:val="decimal"/>
      <w:lvlText w:val="%1."/>
      <w:lvlJc w:val="left"/>
      <w:pPr>
        <w:tabs>
          <w:tab w:val="left" w:pos="312"/>
        </w:tabs>
      </w:pPr>
    </w:lvl>
  </w:abstractNum>
  <w:abstractNum w:abstractNumId="2">
    <w:nsid w:val="E1347700"/>
    <w:multiLevelType w:val="singleLevel"/>
    <w:tmpl w:val="E1347700"/>
    <w:lvl w:ilvl="0" w:tentative="0">
      <w:start w:val="5"/>
      <w:numFmt w:val="decimal"/>
      <w:suff w:val="nothing"/>
      <w:lvlText w:val="%1、"/>
      <w:lvlJc w:val="left"/>
    </w:lvl>
  </w:abstractNum>
  <w:abstractNum w:abstractNumId="3">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4">
    <w:nsid w:val="00000003"/>
    <w:multiLevelType w:val="singleLevel"/>
    <w:tmpl w:val="00000003"/>
    <w:lvl w:ilvl="0" w:tentative="0">
      <w:start w:val="1"/>
      <w:numFmt w:val="chineseCounting"/>
      <w:suff w:val="nothing"/>
      <w:lvlText w:val="（%1）"/>
      <w:lvlJc w:val="left"/>
      <w:pPr>
        <w:ind w:left="0" w:firstLine="420"/>
      </w:pPr>
      <w:rPr>
        <w:rFonts w:hint="eastAsia"/>
      </w:rPr>
    </w:lvl>
  </w:abstractNum>
  <w:abstractNum w:abstractNumId="5">
    <w:nsid w:val="00000004"/>
    <w:multiLevelType w:val="singleLevel"/>
    <w:tmpl w:val="00000004"/>
    <w:lvl w:ilvl="0" w:tentative="0">
      <w:start w:val="1"/>
      <w:numFmt w:val="chineseCounting"/>
      <w:suff w:val="nothing"/>
      <w:lvlText w:val="（%1）"/>
      <w:lvlJc w:val="left"/>
      <w:pPr>
        <w:ind w:left="0" w:firstLine="420"/>
      </w:pPr>
      <w:rPr>
        <w:rFonts w:hint="eastAsia"/>
      </w:rPr>
    </w:lvl>
  </w:abstractNum>
  <w:abstractNum w:abstractNumId="6">
    <w:nsid w:val="00000006"/>
    <w:multiLevelType w:val="multilevel"/>
    <w:tmpl w:val="00000006"/>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0000007"/>
    <w:multiLevelType w:val="multilevel"/>
    <w:tmpl w:val="00000007"/>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09"/>
    <w:multiLevelType w:val="multilevel"/>
    <w:tmpl w:val="00000009"/>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0D"/>
    <w:multiLevelType w:val="multilevel"/>
    <w:tmpl w:val="0000000D"/>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0">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1">
    <w:nsid w:val="00000013"/>
    <w:multiLevelType w:val="multilevel"/>
    <w:tmpl w:val="00000013"/>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1B"/>
    <w:multiLevelType w:val="singleLevel"/>
    <w:tmpl w:val="0000001B"/>
    <w:lvl w:ilvl="0" w:tentative="0">
      <w:start w:val="1"/>
      <w:numFmt w:val="decimal"/>
      <w:suff w:val="nothing"/>
      <w:lvlText w:val="%1."/>
      <w:lvlJc w:val="left"/>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C7D1700"/>
    <w:multiLevelType w:val="singleLevel"/>
    <w:tmpl w:val="1C7D1700"/>
    <w:lvl w:ilvl="0" w:tentative="0">
      <w:start w:val="1"/>
      <w:numFmt w:val="chineseCounting"/>
      <w:suff w:val="nothing"/>
      <w:lvlText w:val="%1、"/>
      <w:lvlJc w:val="left"/>
      <w:pPr>
        <w:ind w:left="0" w:firstLine="420"/>
      </w:pPr>
      <w:rPr>
        <w:rFonts w:hint="eastAsia"/>
      </w:rPr>
    </w:lvl>
  </w:abstractNum>
  <w:abstractNum w:abstractNumId="17">
    <w:nsid w:val="73BD885E"/>
    <w:multiLevelType w:val="singleLevel"/>
    <w:tmpl w:val="73BD885E"/>
    <w:lvl w:ilvl="0" w:tentative="0">
      <w:start w:val="1"/>
      <w:numFmt w:val="decimal"/>
      <w:suff w:val="nothing"/>
      <w:lvlText w:val="%1．"/>
      <w:lvlJc w:val="left"/>
      <w:pPr>
        <w:ind w:left="0" w:firstLine="400"/>
      </w:pPr>
      <w:rPr>
        <w:rFonts w:hint="default"/>
      </w:rPr>
    </w:lvl>
  </w:abstractNum>
  <w:num w:numId="1">
    <w:abstractNumId w:val="10"/>
  </w:num>
  <w:num w:numId="2">
    <w:abstractNumId w:val="16"/>
  </w:num>
  <w:num w:numId="3">
    <w:abstractNumId w:val="2"/>
  </w:num>
  <w:num w:numId="4">
    <w:abstractNumId w:val="17"/>
  </w:num>
  <w:num w:numId="5">
    <w:abstractNumId w:val="15"/>
  </w:num>
  <w:num w:numId="6">
    <w:abstractNumId w:val="0"/>
  </w:num>
  <w:num w:numId="7">
    <w:abstractNumId w:val="14"/>
  </w:num>
  <w:num w:numId="8">
    <w:abstractNumId w:val="6"/>
  </w:num>
  <w:num w:numId="9">
    <w:abstractNumId w:val="9"/>
  </w:num>
  <w:num w:numId="10">
    <w:abstractNumId w:val="7"/>
  </w:num>
  <w:num w:numId="11">
    <w:abstractNumId w:val="12"/>
  </w:num>
  <w:num w:numId="12">
    <w:abstractNumId w:val="8"/>
  </w:num>
  <w:num w:numId="13">
    <w:abstractNumId w:val="11"/>
  </w:num>
  <w:num w:numId="14">
    <w:abstractNumId w:val="5"/>
  </w:num>
  <w:num w:numId="15">
    <w:abstractNumId w:val="3"/>
  </w:num>
  <w:num w:numId="16">
    <w:abstractNumId w:val="4"/>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92"/>
  <w:displayHorizontalDrawingGridEvery w:val="1"/>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Mzc1NTVlMTNlYWU3MzUyNDQwYjM3NWYwNDE0MDIifQ=="/>
  </w:docVars>
  <w:rsids>
    <w:rsidRoot w:val="00172A27"/>
    <w:rsid w:val="01125696"/>
    <w:rsid w:val="017460A8"/>
    <w:rsid w:val="01BD7A4F"/>
    <w:rsid w:val="01F62F61"/>
    <w:rsid w:val="0200793B"/>
    <w:rsid w:val="022D22A4"/>
    <w:rsid w:val="02B32C00"/>
    <w:rsid w:val="030F6088"/>
    <w:rsid w:val="03771E7F"/>
    <w:rsid w:val="03EF1DEA"/>
    <w:rsid w:val="04323463"/>
    <w:rsid w:val="044E2BE0"/>
    <w:rsid w:val="04562E58"/>
    <w:rsid w:val="04644C52"/>
    <w:rsid w:val="046E2D62"/>
    <w:rsid w:val="04D701B4"/>
    <w:rsid w:val="04E57AC0"/>
    <w:rsid w:val="04EC22B8"/>
    <w:rsid w:val="05130FB5"/>
    <w:rsid w:val="053C0C8A"/>
    <w:rsid w:val="05846B46"/>
    <w:rsid w:val="05932DEC"/>
    <w:rsid w:val="05B93485"/>
    <w:rsid w:val="05D821BC"/>
    <w:rsid w:val="064365F2"/>
    <w:rsid w:val="06B10C1B"/>
    <w:rsid w:val="075D0CA2"/>
    <w:rsid w:val="078F41C3"/>
    <w:rsid w:val="07AF7E3A"/>
    <w:rsid w:val="07FC3AF7"/>
    <w:rsid w:val="087E3197"/>
    <w:rsid w:val="08C94A81"/>
    <w:rsid w:val="08E753B1"/>
    <w:rsid w:val="09032B5D"/>
    <w:rsid w:val="090D46C9"/>
    <w:rsid w:val="091C32AD"/>
    <w:rsid w:val="097F55EA"/>
    <w:rsid w:val="09831C8A"/>
    <w:rsid w:val="09BB7A3D"/>
    <w:rsid w:val="09D41DD9"/>
    <w:rsid w:val="0A23066B"/>
    <w:rsid w:val="0A7D7D7B"/>
    <w:rsid w:val="0ABA2D7D"/>
    <w:rsid w:val="0AF52007"/>
    <w:rsid w:val="0AFD0EBC"/>
    <w:rsid w:val="0C195E4B"/>
    <w:rsid w:val="0C2506CA"/>
    <w:rsid w:val="0C6A432F"/>
    <w:rsid w:val="0CBD68EC"/>
    <w:rsid w:val="0D32353D"/>
    <w:rsid w:val="0D7D4536"/>
    <w:rsid w:val="0E0620AA"/>
    <w:rsid w:val="0E5C239D"/>
    <w:rsid w:val="0E63197E"/>
    <w:rsid w:val="0E9F5CF7"/>
    <w:rsid w:val="0FF07241"/>
    <w:rsid w:val="103939A5"/>
    <w:rsid w:val="10437371"/>
    <w:rsid w:val="10F845FF"/>
    <w:rsid w:val="113263C3"/>
    <w:rsid w:val="115F08E1"/>
    <w:rsid w:val="117417AC"/>
    <w:rsid w:val="117B4B6D"/>
    <w:rsid w:val="12E36BE9"/>
    <w:rsid w:val="132C05F4"/>
    <w:rsid w:val="134F052D"/>
    <w:rsid w:val="135B70C7"/>
    <w:rsid w:val="13710699"/>
    <w:rsid w:val="13D44784"/>
    <w:rsid w:val="143C2A55"/>
    <w:rsid w:val="147E15D3"/>
    <w:rsid w:val="14902DA1"/>
    <w:rsid w:val="14AB1989"/>
    <w:rsid w:val="14E8498B"/>
    <w:rsid w:val="15030FCE"/>
    <w:rsid w:val="15086DDB"/>
    <w:rsid w:val="151B6B0E"/>
    <w:rsid w:val="15826DAB"/>
    <w:rsid w:val="158703BA"/>
    <w:rsid w:val="15E24D95"/>
    <w:rsid w:val="15F2599B"/>
    <w:rsid w:val="16486627"/>
    <w:rsid w:val="16BA216A"/>
    <w:rsid w:val="16C72E02"/>
    <w:rsid w:val="16E35EAA"/>
    <w:rsid w:val="16E66CA8"/>
    <w:rsid w:val="170B4961"/>
    <w:rsid w:val="179901BE"/>
    <w:rsid w:val="17A93666"/>
    <w:rsid w:val="180C700E"/>
    <w:rsid w:val="18177ED1"/>
    <w:rsid w:val="18C354F3"/>
    <w:rsid w:val="192561AE"/>
    <w:rsid w:val="19355CC5"/>
    <w:rsid w:val="19362169"/>
    <w:rsid w:val="19397563"/>
    <w:rsid w:val="193D01D8"/>
    <w:rsid w:val="19587403"/>
    <w:rsid w:val="195F55F7"/>
    <w:rsid w:val="19693D33"/>
    <w:rsid w:val="199B0BC1"/>
    <w:rsid w:val="19C93D85"/>
    <w:rsid w:val="1A2279A0"/>
    <w:rsid w:val="1A393BF0"/>
    <w:rsid w:val="1A66082C"/>
    <w:rsid w:val="1AE569D6"/>
    <w:rsid w:val="1B0C692E"/>
    <w:rsid w:val="1B66485B"/>
    <w:rsid w:val="1B927E51"/>
    <w:rsid w:val="1BBE6686"/>
    <w:rsid w:val="1BF276EB"/>
    <w:rsid w:val="1C24274C"/>
    <w:rsid w:val="1C395ACC"/>
    <w:rsid w:val="1C5260F7"/>
    <w:rsid w:val="1C654B13"/>
    <w:rsid w:val="1CA94A00"/>
    <w:rsid w:val="1D210BFD"/>
    <w:rsid w:val="1D4B5AB7"/>
    <w:rsid w:val="1D9A07EC"/>
    <w:rsid w:val="1D9F7AD3"/>
    <w:rsid w:val="1DB655BE"/>
    <w:rsid w:val="1DED3012"/>
    <w:rsid w:val="1E206E52"/>
    <w:rsid w:val="1E8E4B6A"/>
    <w:rsid w:val="1EDD2E3F"/>
    <w:rsid w:val="1F0D396C"/>
    <w:rsid w:val="1F1F062E"/>
    <w:rsid w:val="1F312BF1"/>
    <w:rsid w:val="1F925C1F"/>
    <w:rsid w:val="1FEA5EA1"/>
    <w:rsid w:val="201B393C"/>
    <w:rsid w:val="20602C7A"/>
    <w:rsid w:val="20C148C6"/>
    <w:rsid w:val="20D6509C"/>
    <w:rsid w:val="20E26732"/>
    <w:rsid w:val="215C2350"/>
    <w:rsid w:val="21F4496F"/>
    <w:rsid w:val="222D7E81"/>
    <w:rsid w:val="22433DD5"/>
    <w:rsid w:val="22491174"/>
    <w:rsid w:val="22821F7B"/>
    <w:rsid w:val="22A40E2A"/>
    <w:rsid w:val="22E55B06"/>
    <w:rsid w:val="22F52960"/>
    <w:rsid w:val="23616034"/>
    <w:rsid w:val="23647A1C"/>
    <w:rsid w:val="23706277"/>
    <w:rsid w:val="24005385"/>
    <w:rsid w:val="2438647E"/>
    <w:rsid w:val="24855D52"/>
    <w:rsid w:val="248F6BD1"/>
    <w:rsid w:val="24B108F5"/>
    <w:rsid w:val="24E24F53"/>
    <w:rsid w:val="24E94533"/>
    <w:rsid w:val="250F386E"/>
    <w:rsid w:val="25356324"/>
    <w:rsid w:val="25AE3087"/>
    <w:rsid w:val="25B85CB3"/>
    <w:rsid w:val="26011794"/>
    <w:rsid w:val="26094761"/>
    <w:rsid w:val="26A92FFB"/>
    <w:rsid w:val="26AF07A1"/>
    <w:rsid w:val="26C02369"/>
    <w:rsid w:val="26DD1E76"/>
    <w:rsid w:val="26E31456"/>
    <w:rsid w:val="27283ECE"/>
    <w:rsid w:val="27286E69"/>
    <w:rsid w:val="2733425E"/>
    <w:rsid w:val="280E153D"/>
    <w:rsid w:val="285F68BA"/>
    <w:rsid w:val="28831C5A"/>
    <w:rsid w:val="28AB7D51"/>
    <w:rsid w:val="28B01ACD"/>
    <w:rsid w:val="28FE4325"/>
    <w:rsid w:val="291E02EB"/>
    <w:rsid w:val="29C56BF1"/>
    <w:rsid w:val="2A2D4EC2"/>
    <w:rsid w:val="2A3A138D"/>
    <w:rsid w:val="2A573CED"/>
    <w:rsid w:val="2A9E7B6E"/>
    <w:rsid w:val="2AC84BEB"/>
    <w:rsid w:val="2B260516"/>
    <w:rsid w:val="2BF11F1F"/>
    <w:rsid w:val="2C003885"/>
    <w:rsid w:val="2C2E3173"/>
    <w:rsid w:val="2C6E114C"/>
    <w:rsid w:val="2C867239"/>
    <w:rsid w:val="2D524754"/>
    <w:rsid w:val="2D573CA4"/>
    <w:rsid w:val="2D9E61E0"/>
    <w:rsid w:val="2DE53D06"/>
    <w:rsid w:val="2E0C4DEE"/>
    <w:rsid w:val="2E6049C3"/>
    <w:rsid w:val="2E712405"/>
    <w:rsid w:val="2EA709DE"/>
    <w:rsid w:val="2EF02654"/>
    <w:rsid w:val="2EF7784D"/>
    <w:rsid w:val="2F4440CA"/>
    <w:rsid w:val="2F49150D"/>
    <w:rsid w:val="2FF960C6"/>
    <w:rsid w:val="3043740F"/>
    <w:rsid w:val="30660E93"/>
    <w:rsid w:val="30EB38AE"/>
    <w:rsid w:val="3200110E"/>
    <w:rsid w:val="328518BA"/>
    <w:rsid w:val="32D700C1"/>
    <w:rsid w:val="331570B9"/>
    <w:rsid w:val="332B6F4B"/>
    <w:rsid w:val="334D105C"/>
    <w:rsid w:val="334E24EC"/>
    <w:rsid w:val="337845AE"/>
    <w:rsid w:val="33A36954"/>
    <w:rsid w:val="33B71CA0"/>
    <w:rsid w:val="33C148CD"/>
    <w:rsid w:val="33F85841"/>
    <w:rsid w:val="340257AD"/>
    <w:rsid w:val="34034EE6"/>
    <w:rsid w:val="3417273F"/>
    <w:rsid w:val="342033A2"/>
    <w:rsid w:val="343B467F"/>
    <w:rsid w:val="347600C7"/>
    <w:rsid w:val="35216B3A"/>
    <w:rsid w:val="357240D1"/>
    <w:rsid w:val="365A2ACD"/>
    <w:rsid w:val="36CA1CEB"/>
    <w:rsid w:val="36F34D9D"/>
    <w:rsid w:val="37215DAE"/>
    <w:rsid w:val="37621F23"/>
    <w:rsid w:val="377834F5"/>
    <w:rsid w:val="379B4086"/>
    <w:rsid w:val="384E0062"/>
    <w:rsid w:val="386677F1"/>
    <w:rsid w:val="39404C40"/>
    <w:rsid w:val="395922F3"/>
    <w:rsid w:val="3962445C"/>
    <w:rsid w:val="39893797"/>
    <w:rsid w:val="39A1607B"/>
    <w:rsid w:val="3AB331C1"/>
    <w:rsid w:val="3AD94169"/>
    <w:rsid w:val="3ADF038D"/>
    <w:rsid w:val="3B223EA3"/>
    <w:rsid w:val="3B5D13B0"/>
    <w:rsid w:val="3B68689B"/>
    <w:rsid w:val="3B9A4D1A"/>
    <w:rsid w:val="3BCC3E0F"/>
    <w:rsid w:val="3BE66A3A"/>
    <w:rsid w:val="3C4B567C"/>
    <w:rsid w:val="3C545E01"/>
    <w:rsid w:val="3C7D2064"/>
    <w:rsid w:val="3C837AE9"/>
    <w:rsid w:val="3C8666B4"/>
    <w:rsid w:val="3CAF5C0A"/>
    <w:rsid w:val="3D073351"/>
    <w:rsid w:val="3D4F4CF8"/>
    <w:rsid w:val="3D6469F5"/>
    <w:rsid w:val="3DE24D6D"/>
    <w:rsid w:val="3E241DEE"/>
    <w:rsid w:val="3E895FE7"/>
    <w:rsid w:val="3E8A4C21"/>
    <w:rsid w:val="3EE719AC"/>
    <w:rsid w:val="3EEA2F2A"/>
    <w:rsid w:val="3F5D7028"/>
    <w:rsid w:val="3FF12C3A"/>
    <w:rsid w:val="400A54C8"/>
    <w:rsid w:val="40386761"/>
    <w:rsid w:val="403B23F1"/>
    <w:rsid w:val="409725E8"/>
    <w:rsid w:val="409D1145"/>
    <w:rsid w:val="40A215BE"/>
    <w:rsid w:val="40FA4E7B"/>
    <w:rsid w:val="411521DD"/>
    <w:rsid w:val="414E14B2"/>
    <w:rsid w:val="415A4E0E"/>
    <w:rsid w:val="415D3E87"/>
    <w:rsid w:val="41DF489C"/>
    <w:rsid w:val="42442C17"/>
    <w:rsid w:val="43184112"/>
    <w:rsid w:val="43664B49"/>
    <w:rsid w:val="43D917BF"/>
    <w:rsid w:val="44390EDF"/>
    <w:rsid w:val="443D2C6C"/>
    <w:rsid w:val="44463BE1"/>
    <w:rsid w:val="44623562"/>
    <w:rsid w:val="447514E8"/>
    <w:rsid w:val="447F1515"/>
    <w:rsid w:val="449D27EC"/>
    <w:rsid w:val="44A7556A"/>
    <w:rsid w:val="45291D8C"/>
    <w:rsid w:val="45A8769B"/>
    <w:rsid w:val="45CD5A14"/>
    <w:rsid w:val="45CF2E79"/>
    <w:rsid w:val="46113492"/>
    <w:rsid w:val="46265A4F"/>
    <w:rsid w:val="464C3F11"/>
    <w:rsid w:val="46BA3E8B"/>
    <w:rsid w:val="473A07C7"/>
    <w:rsid w:val="47525B10"/>
    <w:rsid w:val="478F0B12"/>
    <w:rsid w:val="47BC567F"/>
    <w:rsid w:val="47FB61A8"/>
    <w:rsid w:val="480056D8"/>
    <w:rsid w:val="48374480"/>
    <w:rsid w:val="483F277D"/>
    <w:rsid w:val="488E2B78"/>
    <w:rsid w:val="48DA7B6B"/>
    <w:rsid w:val="48DF1625"/>
    <w:rsid w:val="49107A31"/>
    <w:rsid w:val="49372EB2"/>
    <w:rsid w:val="494E5146"/>
    <w:rsid w:val="4A066713"/>
    <w:rsid w:val="4A091ED0"/>
    <w:rsid w:val="4ACA6FF1"/>
    <w:rsid w:val="4AF30D7F"/>
    <w:rsid w:val="4B52754A"/>
    <w:rsid w:val="4B6F5345"/>
    <w:rsid w:val="4B8F7BC6"/>
    <w:rsid w:val="4B916240"/>
    <w:rsid w:val="4BBA394F"/>
    <w:rsid w:val="4BF03B4A"/>
    <w:rsid w:val="4BFD6A13"/>
    <w:rsid w:val="4C2757BD"/>
    <w:rsid w:val="4C3C07ED"/>
    <w:rsid w:val="4C7B4A9E"/>
    <w:rsid w:val="4CC24C3B"/>
    <w:rsid w:val="4D03307E"/>
    <w:rsid w:val="4D91713A"/>
    <w:rsid w:val="4DF72F6D"/>
    <w:rsid w:val="4E775E5C"/>
    <w:rsid w:val="4E8E2ED5"/>
    <w:rsid w:val="4ED70257"/>
    <w:rsid w:val="4EE53D61"/>
    <w:rsid w:val="4FE2612B"/>
    <w:rsid w:val="4FEB08B0"/>
    <w:rsid w:val="4FFF25B9"/>
    <w:rsid w:val="500951DA"/>
    <w:rsid w:val="501A1D50"/>
    <w:rsid w:val="503075AA"/>
    <w:rsid w:val="50602A78"/>
    <w:rsid w:val="5062497B"/>
    <w:rsid w:val="5112712D"/>
    <w:rsid w:val="5119144D"/>
    <w:rsid w:val="513A1AEF"/>
    <w:rsid w:val="51991247"/>
    <w:rsid w:val="51A62266"/>
    <w:rsid w:val="51B750E9"/>
    <w:rsid w:val="52560AF9"/>
    <w:rsid w:val="529E11CC"/>
    <w:rsid w:val="53A24582"/>
    <w:rsid w:val="53A5521A"/>
    <w:rsid w:val="53CE4D78"/>
    <w:rsid w:val="54AE5A8C"/>
    <w:rsid w:val="55805F3E"/>
    <w:rsid w:val="55DA73FC"/>
    <w:rsid w:val="56723C80"/>
    <w:rsid w:val="5685572F"/>
    <w:rsid w:val="568B6949"/>
    <w:rsid w:val="56DB2DD3"/>
    <w:rsid w:val="570010E5"/>
    <w:rsid w:val="57931601"/>
    <w:rsid w:val="579D4B86"/>
    <w:rsid w:val="57ED3822"/>
    <w:rsid w:val="581326DD"/>
    <w:rsid w:val="588071E3"/>
    <w:rsid w:val="58D97369"/>
    <w:rsid w:val="59446509"/>
    <w:rsid w:val="598F6750"/>
    <w:rsid w:val="59A8341F"/>
    <w:rsid w:val="59C503C4"/>
    <w:rsid w:val="5A1F7AD4"/>
    <w:rsid w:val="5A35680A"/>
    <w:rsid w:val="5A3F7093"/>
    <w:rsid w:val="5A920684"/>
    <w:rsid w:val="5AC468CD"/>
    <w:rsid w:val="5B215ACE"/>
    <w:rsid w:val="5B5574BD"/>
    <w:rsid w:val="5B7025B1"/>
    <w:rsid w:val="5BD12501"/>
    <w:rsid w:val="5BD26DC8"/>
    <w:rsid w:val="5BE014E5"/>
    <w:rsid w:val="5C181A9A"/>
    <w:rsid w:val="5C2E5E60"/>
    <w:rsid w:val="5C806824"/>
    <w:rsid w:val="5CA521CF"/>
    <w:rsid w:val="5CB00EB7"/>
    <w:rsid w:val="5CC34005"/>
    <w:rsid w:val="5CFC10D2"/>
    <w:rsid w:val="5D156F6C"/>
    <w:rsid w:val="5D31777E"/>
    <w:rsid w:val="5DB744C7"/>
    <w:rsid w:val="5DD0153B"/>
    <w:rsid w:val="5EE45C2E"/>
    <w:rsid w:val="5FB3249C"/>
    <w:rsid w:val="5FB62BC7"/>
    <w:rsid w:val="602816AC"/>
    <w:rsid w:val="6079112D"/>
    <w:rsid w:val="60942A5D"/>
    <w:rsid w:val="610064CE"/>
    <w:rsid w:val="615D7134"/>
    <w:rsid w:val="6189617B"/>
    <w:rsid w:val="61E6537B"/>
    <w:rsid w:val="61EF54AA"/>
    <w:rsid w:val="628E1255"/>
    <w:rsid w:val="629D6E17"/>
    <w:rsid w:val="632B74E9"/>
    <w:rsid w:val="634174F0"/>
    <w:rsid w:val="63AE18DC"/>
    <w:rsid w:val="63B76FCF"/>
    <w:rsid w:val="63BF5E84"/>
    <w:rsid w:val="63F5294F"/>
    <w:rsid w:val="64274E39"/>
    <w:rsid w:val="64774C22"/>
    <w:rsid w:val="64E35BA2"/>
    <w:rsid w:val="651D4188"/>
    <w:rsid w:val="6530119C"/>
    <w:rsid w:val="65353E6F"/>
    <w:rsid w:val="65546448"/>
    <w:rsid w:val="65766A16"/>
    <w:rsid w:val="657A3AC6"/>
    <w:rsid w:val="65901886"/>
    <w:rsid w:val="65953E0C"/>
    <w:rsid w:val="65FE65B4"/>
    <w:rsid w:val="665C34CD"/>
    <w:rsid w:val="66A01F9C"/>
    <w:rsid w:val="66B62179"/>
    <w:rsid w:val="670544F5"/>
    <w:rsid w:val="670E33AA"/>
    <w:rsid w:val="673D459B"/>
    <w:rsid w:val="67584625"/>
    <w:rsid w:val="67884E65"/>
    <w:rsid w:val="6796339F"/>
    <w:rsid w:val="679D472E"/>
    <w:rsid w:val="67A63223"/>
    <w:rsid w:val="67C84888"/>
    <w:rsid w:val="67EE4F89"/>
    <w:rsid w:val="680839B6"/>
    <w:rsid w:val="682426B2"/>
    <w:rsid w:val="68602E67"/>
    <w:rsid w:val="68727968"/>
    <w:rsid w:val="69111A94"/>
    <w:rsid w:val="69605006"/>
    <w:rsid w:val="69796E11"/>
    <w:rsid w:val="69A73B89"/>
    <w:rsid w:val="6A3B177D"/>
    <w:rsid w:val="6A3B3D8A"/>
    <w:rsid w:val="6A616079"/>
    <w:rsid w:val="6A617C95"/>
    <w:rsid w:val="6A753740"/>
    <w:rsid w:val="6B116D78"/>
    <w:rsid w:val="6B2111D2"/>
    <w:rsid w:val="6B301415"/>
    <w:rsid w:val="6B3428F7"/>
    <w:rsid w:val="6B99375A"/>
    <w:rsid w:val="6BA8544F"/>
    <w:rsid w:val="6BF730D7"/>
    <w:rsid w:val="6C602FC1"/>
    <w:rsid w:val="6CD02EB0"/>
    <w:rsid w:val="6CD24E7A"/>
    <w:rsid w:val="6E263E89"/>
    <w:rsid w:val="6E32760E"/>
    <w:rsid w:val="6E47692C"/>
    <w:rsid w:val="6E601CA3"/>
    <w:rsid w:val="6E6164B5"/>
    <w:rsid w:val="6E7361E8"/>
    <w:rsid w:val="6EB44070"/>
    <w:rsid w:val="6EEB648C"/>
    <w:rsid w:val="6EEC101C"/>
    <w:rsid w:val="6EF1592B"/>
    <w:rsid w:val="6F3112FC"/>
    <w:rsid w:val="6F394D3C"/>
    <w:rsid w:val="6F3D38C2"/>
    <w:rsid w:val="6F4D6A39"/>
    <w:rsid w:val="6F9A0A25"/>
    <w:rsid w:val="6FB36BC5"/>
    <w:rsid w:val="6FD24C25"/>
    <w:rsid w:val="70426C52"/>
    <w:rsid w:val="7145658E"/>
    <w:rsid w:val="71E04ECC"/>
    <w:rsid w:val="71EB7141"/>
    <w:rsid w:val="726437BB"/>
    <w:rsid w:val="726A127D"/>
    <w:rsid w:val="728E35F1"/>
    <w:rsid w:val="729B7ABC"/>
    <w:rsid w:val="72B8088B"/>
    <w:rsid w:val="734B2FC2"/>
    <w:rsid w:val="73890E04"/>
    <w:rsid w:val="73C91FB4"/>
    <w:rsid w:val="73DE5EB2"/>
    <w:rsid w:val="740F250F"/>
    <w:rsid w:val="74365CEE"/>
    <w:rsid w:val="743E1047"/>
    <w:rsid w:val="744228E5"/>
    <w:rsid w:val="745F21CB"/>
    <w:rsid w:val="74A7099A"/>
    <w:rsid w:val="74D177C5"/>
    <w:rsid w:val="74E9081C"/>
    <w:rsid w:val="753626EF"/>
    <w:rsid w:val="754206C3"/>
    <w:rsid w:val="754B12D3"/>
    <w:rsid w:val="75941572"/>
    <w:rsid w:val="75F220E9"/>
    <w:rsid w:val="76256605"/>
    <w:rsid w:val="76371099"/>
    <w:rsid w:val="7693567A"/>
    <w:rsid w:val="76950A02"/>
    <w:rsid w:val="76EE28B0"/>
    <w:rsid w:val="7718515B"/>
    <w:rsid w:val="77354FDC"/>
    <w:rsid w:val="77553316"/>
    <w:rsid w:val="778036C3"/>
    <w:rsid w:val="77A6276C"/>
    <w:rsid w:val="77DB5C36"/>
    <w:rsid w:val="77F422F2"/>
    <w:rsid w:val="781E1591"/>
    <w:rsid w:val="78647DA9"/>
    <w:rsid w:val="788802C8"/>
    <w:rsid w:val="790F4D60"/>
    <w:rsid w:val="791800B8"/>
    <w:rsid w:val="79534C4C"/>
    <w:rsid w:val="79C8388C"/>
    <w:rsid w:val="79D3028B"/>
    <w:rsid w:val="79EC750C"/>
    <w:rsid w:val="7A0A5C53"/>
    <w:rsid w:val="7A61783D"/>
    <w:rsid w:val="7A7237F8"/>
    <w:rsid w:val="7A740891"/>
    <w:rsid w:val="7AA80846"/>
    <w:rsid w:val="7AB570B4"/>
    <w:rsid w:val="7AB647FE"/>
    <w:rsid w:val="7ACA0EC0"/>
    <w:rsid w:val="7AF17F97"/>
    <w:rsid w:val="7B4F6802"/>
    <w:rsid w:val="7B707D38"/>
    <w:rsid w:val="7BB265A2"/>
    <w:rsid w:val="7BB65001"/>
    <w:rsid w:val="7C4F5666"/>
    <w:rsid w:val="7C5036C5"/>
    <w:rsid w:val="7C6F4E89"/>
    <w:rsid w:val="7CAB04C7"/>
    <w:rsid w:val="7CC56772"/>
    <w:rsid w:val="7D5D0AAA"/>
    <w:rsid w:val="7D6041D6"/>
    <w:rsid w:val="7D697134"/>
    <w:rsid w:val="7D8D7597"/>
    <w:rsid w:val="7DC4436B"/>
    <w:rsid w:val="7DCC76C3"/>
    <w:rsid w:val="7E0E1A8A"/>
    <w:rsid w:val="7F0562FB"/>
    <w:rsid w:val="7F0A03FD"/>
    <w:rsid w:val="7F855D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1"/>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paragraph" w:styleId="7">
    <w:name w:val="heading 3"/>
    <w:basedOn w:val="1"/>
    <w:next w:val="1"/>
    <w:link w:val="52"/>
    <w:qFormat/>
    <w:uiPriority w:val="0"/>
    <w:pPr>
      <w:keepNext/>
      <w:keepLines/>
      <w:spacing w:before="260" w:beforeLines="0" w:after="260" w:afterLines="0" w:line="416" w:lineRule="auto"/>
      <w:outlineLvl w:val="2"/>
    </w:pPr>
    <w:rPr>
      <w:rFonts w:ascii="宋体" w:hAnsi="宋体" w:eastAsia="幼圆"/>
      <w:b/>
      <w:bCs/>
      <w:kern w:val="2"/>
      <w:sz w:val="32"/>
      <w:szCs w:val="32"/>
      <w:lang w:val="en-US" w:eastAsia="zh-CN" w:bidi="ar-SA"/>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8">
    <w:name w:val="Default Paragraph Font"/>
    <w:qFormat/>
    <w:uiPriority w:val="0"/>
    <w:rPr>
      <w:rFonts w:ascii="宋体" w:hAnsi="宋体" w:eastAsia="宋体"/>
      <w:kern w:val="2"/>
      <w:sz w:val="28"/>
      <w:szCs w:val="24"/>
      <w:lang w:val="en-US" w:eastAsia="zh-CN" w:bidi="ar-SA"/>
    </w:rPr>
  </w:style>
  <w:style w:type="table" w:default="1" w:styleId="3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iPriority w:val="0"/>
    <w:pPr>
      <w:numPr>
        <w:ilvl w:val="0"/>
        <w:numId w:val="0"/>
      </w:numPr>
      <w:spacing w:after="120" w:afterLines="0"/>
    </w:pPr>
  </w:style>
  <w:style w:type="paragraph" w:styleId="3">
    <w:name w:val="Body Text Indent"/>
    <w:basedOn w:val="1"/>
    <w:next w:val="4"/>
    <w:link w:val="50"/>
    <w:uiPriority w:val="0"/>
    <w:rPr>
      <w:sz w:val="21"/>
    </w:rPr>
  </w:style>
  <w:style w:type="paragraph" w:styleId="4">
    <w:name w:val="envelope return"/>
    <w:basedOn w:val="1"/>
    <w:qFormat/>
    <w:uiPriority w:val="0"/>
    <w:pPr>
      <w:snapToGrid w:val="0"/>
    </w:pPr>
    <w:rPr>
      <w:rFonts w:ascii="Arial" w:hAnsi="Arial"/>
    </w:rPr>
  </w:style>
  <w:style w:type="paragraph" w:styleId="9">
    <w:name w:val="toc 7"/>
    <w:basedOn w:val="1"/>
    <w:next w:val="1"/>
    <w:uiPriority w:val="0"/>
    <w:pPr>
      <w:ind w:left="2520" w:leftChars="1200"/>
    </w:pPr>
  </w:style>
  <w:style w:type="paragraph" w:styleId="10">
    <w:name w:val="Normal Indent"/>
    <w:basedOn w:val="1"/>
    <w:link w:val="53"/>
    <w:qFormat/>
    <w:uiPriority w:val="0"/>
    <w:pPr>
      <w:autoSpaceDE w:val="0"/>
      <w:autoSpaceDN w:val="0"/>
      <w:adjustRightInd w:val="0"/>
      <w:ind w:firstLine="420"/>
      <w:jc w:val="left"/>
    </w:pPr>
    <w:rPr>
      <w:rFonts w:ascii="宋体"/>
      <w:sz w:val="24"/>
    </w:rPr>
  </w:style>
  <w:style w:type="paragraph" w:styleId="11">
    <w:name w:val="index 5"/>
    <w:basedOn w:val="1"/>
    <w:next w:val="1"/>
    <w:qFormat/>
    <w:uiPriority w:val="0"/>
    <w:pPr>
      <w:widowControl w:val="0"/>
      <w:spacing w:line="240" w:lineRule="auto"/>
      <w:ind w:left="1050" w:hanging="210" w:firstLineChars="0"/>
    </w:pPr>
    <w:rPr>
      <w:rFonts w:eastAsia="宋体" w:cs="Times New Roman"/>
      <w:sz w:val="20"/>
      <w:szCs w:val="20"/>
    </w:rPr>
  </w:style>
  <w:style w:type="paragraph" w:styleId="12">
    <w:name w:val="Document Map"/>
    <w:basedOn w:val="1"/>
    <w:qFormat/>
    <w:uiPriority w:val="0"/>
    <w:pPr>
      <w:shd w:val="clear" w:color="auto" w:fill="000080"/>
    </w:pPr>
  </w:style>
  <w:style w:type="paragraph" w:styleId="13">
    <w:name w:val="annotation text"/>
    <w:basedOn w:val="1"/>
    <w:qFormat/>
    <w:uiPriority w:val="0"/>
    <w:pPr>
      <w:jc w:val="left"/>
    </w:pPr>
  </w:style>
  <w:style w:type="paragraph" w:styleId="14">
    <w:name w:val="Body Text 3"/>
    <w:basedOn w:val="1"/>
    <w:qFormat/>
    <w:uiPriority w:val="0"/>
    <w:rPr>
      <w:rFonts w:eastAsia="楷体_GB2312"/>
      <w:sz w:val="28"/>
    </w:rPr>
  </w:style>
  <w:style w:type="paragraph" w:styleId="15">
    <w:name w:val="Body Text"/>
    <w:basedOn w:val="1"/>
    <w:next w:val="16"/>
    <w:qFormat/>
    <w:uiPriority w:val="0"/>
    <w:pPr>
      <w:spacing w:after="120" w:afterLines="0"/>
    </w:pPr>
  </w:style>
  <w:style w:type="paragraph" w:styleId="16">
    <w:name w:val="Plain Text"/>
    <w:basedOn w:val="1"/>
    <w:link w:val="54"/>
    <w:qFormat/>
    <w:uiPriority w:val="0"/>
    <w:rPr>
      <w:rFonts w:hAnsi="Courier New" w:eastAsia="幼圆"/>
      <w:sz w:val="21"/>
    </w:rPr>
  </w:style>
  <w:style w:type="paragraph" w:styleId="17">
    <w:name w:val="toc 5"/>
    <w:basedOn w:val="1"/>
    <w:next w:val="1"/>
    <w:qFormat/>
    <w:uiPriority w:val="0"/>
    <w:pPr>
      <w:ind w:left="1680" w:leftChars="800"/>
    </w:pPr>
  </w:style>
  <w:style w:type="paragraph" w:styleId="18">
    <w:name w:val="toc 3"/>
    <w:basedOn w:val="1"/>
    <w:next w:val="1"/>
    <w:qFormat/>
    <w:uiPriority w:val="0"/>
    <w:pPr>
      <w:ind w:left="840" w:leftChars="400"/>
    </w:pPr>
  </w:style>
  <w:style w:type="paragraph" w:styleId="19">
    <w:name w:val="toc 8"/>
    <w:basedOn w:val="1"/>
    <w:next w:val="1"/>
    <w:qFormat/>
    <w:uiPriority w:val="0"/>
    <w:pPr>
      <w:ind w:left="2940" w:leftChars="1400"/>
    </w:pPr>
  </w:style>
  <w:style w:type="paragraph" w:styleId="20">
    <w:name w:val="Date"/>
    <w:basedOn w:val="1"/>
    <w:next w:val="1"/>
    <w:qFormat/>
    <w:uiPriority w:val="0"/>
    <w:pPr>
      <w:ind w:left="100" w:leftChars="2500"/>
    </w:pPr>
    <w:rPr>
      <w:rFonts w:ascii="宋体" w:hAnsi="宋体"/>
      <w:sz w:val="28"/>
    </w:rPr>
  </w:style>
  <w:style w:type="paragraph" w:styleId="21">
    <w:name w:val="Body Text Indent 2"/>
    <w:basedOn w:val="1"/>
    <w:qFormat/>
    <w:uiPriority w:val="0"/>
    <w:pPr>
      <w:ind w:firstLine="405" w:firstLineChars="193"/>
    </w:pPr>
    <w:rPr>
      <w:rFonts w:ascii="宋体" w:hAnsi="宋体"/>
    </w:rPr>
  </w:style>
  <w:style w:type="paragraph" w:styleId="22">
    <w:name w:val="Balloon Text"/>
    <w:basedOn w:val="1"/>
    <w:link w:val="55"/>
    <w:qFormat/>
    <w:uiPriority w:val="0"/>
    <w:rPr>
      <w:rFonts w:ascii="宋体" w:hAnsi="宋体" w:eastAsia="宋体"/>
      <w:kern w:val="2"/>
      <w:sz w:val="18"/>
      <w:szCs w:val="18"/>
      <w:lang w:val="en-US" w:eastAsia="zh-CN" w:bidi="ar-SA"/>
    </w:rPr>
  </w:style>
  <w:style w:type="paragraph" w:styleId="23">
    <w:name w:val="footer"/>
    <w:basedOn w:val="1"/>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4">
    <w:name w:val="header"/>
    <w:basedOn w:val="1"/>
    <w:next w:val="23"/>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5">
    <w:name w:val="toc 1"/>
    <w:basedOn w:val="1"/>
    <w:next w:val="1"/>
    <w:uiPriority w:val="0"/>
  </w:style>
  <w:style w:type="paragraph" w:styleId="26">
    <w:name w:val="toc 4"/>
    <w:basedOn w:val="1"/>
    <w:next w:val="1"/>
    <w:qFormat/>
    <w:uiPriority w:val="0"/>
    <w:pPr>
      <w:ind w:left="1260" w:leftChars="600"/>
    </w:pPr>
  </w:style>
  <w:style w:type="paragraph" w:styleId="27">
    <w:name w:val="toc 6"/>
    <w:basedOn w:val="1"/>
    <w:next w:val="1"/>
    <w:qFormat/>
    <w:uiPriority w:val="0"/>
    <w:pPr>
      <w:ind w:left="2100" w:leftChars="1000"/>
    </w:pPr>
  </w:style>
  <w:style w:type="paragraph" w:styleId="28">
    <w:name w:val="Body Text Indent 3"/>
    <w:basedOn w:val="1"/>
    <w:uiPriority w:val="0"/>
    <w:pPr>
      <w:ind w:firstLine="420" w:firstLineChars="200"/>
    </w:pPr>
    <w:rPr>
      <w:rFonts w:ascii="宋体" w:hAnsi="宋体"/>
    </w:rPr>
  </w:style>
  <w:style w:type="paragraph" w:styleId="29">
    <w:name w:val="toc 2"/>
    <w:basedOn w:val="1"/>
    <w:next w:val="1"/>
    <w:qFormat/>
    <w:uiPriority w:val="0"/>
    <w:pPr>
      <w:ind w:left="420" w:leftChars="200"/>
    </w:pPr>
  </w:style>
  <w:style w:type="paragraph" w:styleId="30">
    <w:name w:val="toc 9"/>
    <w:basedOn w:val="1"/>
    <w:next w:val="1"/>
    <w:uiPriority w:val="0"/>
    <w:pPr>
      <w:ind w:left="3360" w:leftChars="1600"/>
    </w:pPr>
  </w:style>
  <w:style w:type="paragraph" w:styleId="31">
    <w:name w:val="Body Text 2"/>
    <w:basedOn w:val="1"/>
    <w:next w:val="15"/>
    <w:uiPriority w:val="0"/>
    <w:pPr>
      <w:spacing w:after="120" w:afterLines="0" w:line="480" w:lineRule="auto"/>
    </w:pPr>
  </w:style>
  <w:style w:type="paragraph" w:styleId="3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3">
    <w:name w:val="index 1"/>
    <w:basedOn w:val="1"/>
    <w:next w:val="1"/>
    <w:uiPriority w:val="0"/>
    <w:rPr>
      <w:szCs w:val="20"/>
    </w:rPr>
  </w:style>
  <w:style w:type="paragraph" w:styleId="34">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5">
    <w:name w:val="Body Text First Indent"/>
    <w:basedOn w:val="15"/>
    <w:next w:val="2"/>
    <w:qFormat/>
    <w:uiPriority w:val="0"/>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uiPriority w:val="0"/>
  </w:style>
  <w:style w:type="character" w:styleId="40">
    <w:name w:val="FollowedHyperlink"/>
    <w:uiPriority w:val="0"/>
    <w:rPr>
      <w:rFonts w:ascii="宋体" w:hAnsi="宋体" w:eastAsia="宋体"/>
      <w:color w:val="333333"/>
      <w:kern w:val="2"/>
      <w:sz w:val="18"/>
      <w:szCs w:val="18"/>
      <w:u w:val="none"/>
      <w:lang w:val="en-US" w:eastAsia="zh-CN" w:bidi="ar-SA"/>
    </w:rPr>
  </w:style>
  <w:style w:type="character" w:styleId="41">
    <w:name w:val="HTML Definition"/>
    <w:basedOn w:val="38"/>
    <w:uiPriority w:val="0"/>
  </w:style>
  <w:style w:type="character" w:styleId="42">
    <w:name w:val="HTML Typewriter"/>
    <w:basedOn w:val="38"/>
    <w:qFormat/>
    <w:uiPriority w:val="0"/>
    <w:rPr>
      <w:rFonts w:hint="default" w:ascii="monospace" w:hAnsi="monospace" w:eastAsia="monospace" w:cs="monospace"/>
      <w:sz w:val="20"/>
    </w:rPr>
  </w:style>
  <w:style w:type="character" w:styleId="43">
    <w:name w:val="HTML Acronym"/>
    <w:basedOn w:val="38"/>
    <w:uiPriority w:val="0"/>
  </w:style>
  <w:style w:type="character" w:styleId="44">
    <w:name w:val="HTML Variable"/>
    <w:basedOn w:val="38"/>
    <w:uiPriority w:val="0"/>
  </w:style>
  <w:style w:type="character" w:styleId="45">
    <w:name w:val="Hyperlink"/>
    <w:basedOn w:val="38"/>
    <w:qFormat/>
    <w:uiPriority w:val="0"/>
    <w:rPr>
      <w:rFonts w:ascii="宋体" w:hAnsi="宋体" w:eastAsia="宋体"/>
      <w:color w:val="0000FF"/>
      <w:kern w:val="2"/>
      <w:sz w:val="28"/>
      <w:szCs w:val="24"/>
      <w:u w:val="single"/>
      <w:lang w:val="en-US" w:eastAsia="zh-CN" w:bidi="ar-SA"/>
    </w:rPr>
  </w:style>
  <w:style w:type="character" w:styleId="46">
    <w:name w:val="HTML Code"/>
    <w:basedOn w:val="38"/>
    <w:uiPriority w:val="0"/>
    <w:rPr>
      <w:rFonts w:ascii="monospace" w:hAnsi="monospace" w:eastAsia="monospace" w:cs="monospace"/>
      <w:sz w:val="20"/>
    </w:rPr>
  </w:style>
  <w:style w:type="character" w:styleId="47">
    <w:name w:val="HTML Cite"/>
    <w:basedOn w:val="38"/>
    <w:uiPriority w:val="0"/>
  </w:style>
  <w:style w:type="character" w:styleId="48">
    <w:name w:val="HTML Keyboard"/>
    <w:basedOn w:val="38"/>
    <w:qFormat/>
    <w:uiPriority w:val="0"/>
    <w:rPr>
      <w:rFonts w:hint="default" w:ascii="monospace" w:hAnsi="monospace" w:eastAsia="monospace" w:cs="monospace"/>
      <w:sz w:val="20"/>
    </w:rPr>
  </w:style>
  <w:style w:type="character" w:styleId="49">
    <w:name w:val="HTML Sample"/>
    <w:basedOn w:val="38"/>
    <w:qFormat/>
    <w:uiPriority w:val="0"/>
    <w:rPr>
      <w:rFonts w:hint="default" w:ascii="monospace" w:hAnsi="monospace" w:eastAsia="monospace" w:cs="monospace"/>
    </w:rPr>
  </w:style>
  <w:style w:type="character" w:customStyle="1" w:styleId="50">
    <w:name w:val="正文文本缩进 Char Char"/>
    <w:basedOn w:val="38"/>
    <w:link w:val="3"/>
    <w:uiPriority w:val="0"/>
    <w:rPr>
      <w:sz w:val="21"/>
    </w:rPr>
  </w:style>
  <w:style w:type="character" w:customStyle="1" w:styleId="51">
    <w:name w:val="标题 2 Char Char"/>
    <w:link w:val="6"/>
    <w:qFormat/>
    <w:uiPriority w:val="0"/>
    <w:rPr>
      <w:rFonts w:ascii="Arial" w:hAnsi="Arial" w:eastAsia="黑体"/>
      <w:b/>
      <w:bCs/>
      <w:kern w:val="2"/>
      <w:sz w:val="32"/>
      <w:szCs w:val="32"/>
      <w:lang w:val="en-US" w:eastAsia="zh-CN" w:bidi="ar-SA"/>
    </w:rPr>
  </w:style>
  <w:style w:type="character" w:customStyle="1" w:styleId="52">
    <w:name w:val="标题 3 Char Char"/>
    <w:link w:val="7"/>
    <w:uiPriority w:val="0"/>
    <w:rPr>
      <w:rFonts w:ascii="宋体" w:hAnsi="宋体" w:eastAsia="幼圆"/>
      <w:b/>
      <w:bCs/>
      <w:kern w:val="2"/>
      <w:sz w:val="32"/>
      <w:szCs w:val="32"/>
      <w:lang w:val="en-US" w:eastAsia="zh-CN" w:bidi="ar-SA"/>
    </w:rPr>
  </w:style>
  <w:style w:type="character" w:customStyle="1" w:styleId="53">
    <w:name w:val="正文缩进 Char Char"/>
    <w:link w:val="10"/>
    <w:uiPriority w:val="0"/>
    <w:rPr>
      <w:rFonts w:ascii="宋体"/>
      <w:sz w:val="24"/>
    </w:rPr>
  </w:style>
  <w:style w:type="character" w:customStyle="1" w:styleId="54">
    <w:name w:val="纯文本 Char Char"/>
    <w:basedOn w:val="38"/>
    <w:link w:val="16"/>
    <w:qFormat/>
    <w:uiPriority w:val="0"/>
    <w:rPr>
      <w:rFonts w:hAnsi="Courier New" w:eastAsia="幼圆"/>
      <w:sz w:val="21"/>
    </w:rPr>
  </w:style>
  <w:style w:type="character" w:customStyle="1" w:styleId="55">
    <w:name w:val="批注框文本 Char Char"/>
    <w:link w:val="22"/>
    <w:uiPriority w:val="0"/>
    <w:rPr>
      <w:rFonts w:ascii="宋体" w:hAnsi="宋体" w:eastAsia="宋体"/>
      <w:kern w:val="2"/>
      <w:sz w:val="18"/>
      <w:szCs w:val="18"/>
      <w:lang w:val="en-US" w:eastAsia="zh-CN" w:bidi="ar-SA"/>
    </w:rPr>
  </w:style>
  <w:style w:type="paragraph" w:customStyle="1" w:styleId="56">
    <w:name w:val="No Spacing1"/>
    <w:basedOn w:val="1"/>
    <w:uiPriority w:val="0"/>
    <w:pPr>
      <w:spacing w:after="0" w:afterLines="0" w:line="400" w:lineRule="exact"/>
    </w:pPr>
    <w:rPr>
      <w:rFonts w:ascii="Calibri" w:hAnsi="Calibri" w:eastAsia="宋体" w:cs="黑体"/>
      <w:sz w:val="24"/>
      <w:lang w:val="en-US" w:eastAsia="zh-CN" w:bidi="ar-SA"/>
    </w:rPr>
  </w:style>
  <w:style w:type="paragraph" w:customStyle="1" w:styleId="5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8">
    <w:name w:val="Char Char10 Char Char Char Char"/>
    <w:basedOn w:val="1"/>
    <w:next w:val="59"/>
    <w:qFormat/>
    <w:uiPriority w:val="0"/>
  </w:style>
  <w:style w:type="paragraph" w:customStyle="1" w:styleId="59">
    <w:name w:val="xl87"/>
    <w:basedOn w:val="1"/>
    <w:next w:val="60"/>
    <w:qFormat/>
    <w:uiPriority w:val="0"/>
    <w:pPr>
      <w:widowControl/>
      <w:shd w:val="clear" w:color="FFFFFF" w:fill="FFFFFF"/>
      <w:spacing w:before="280" w:after="280"/>
      <w:jc w:val="right"/>
    </w:pPr>
    <w:rPr>
      <w:rFonts w:ascii="宋体"/>
      <w:sz w:val="24"/>
    </w:rPr>
  </w:style>
  <w:style w:type="paragraph" w:customStyle="1" w:styleId="60">
    <w:name w:val="xl72"/>
    <w:basedOn w:val="1"/>
    <w:next w:val="20"/>
    <w:qFormat/>
    <w:uiPriority w:val="0"/>
    <w:pPr>
      <w:widowControl/>
      <w:shd w:val="clear" w:color="FFFFFF" w:fill="FFFFFF"/>
      <w:spacing w:before="280" w:after="280"/>
      <w:jc w:val="right"/>
    </w:pPr>
    <w:rPr>
      <w:rFonts w:ascii="宋体"/>
      <w:sz w:val="24"/>
    </w:rPr>
  </w:style>
  <w:style w:type="character" w:customStyle="1" w:styleId="61">
    <w:name w:val="Char Char Char"/>
    <w:uiPriority w:val="0"/>
    <w:rPr>
      <w:rFonts w:ascii="Arial" w:hAnsi="Arial" w:eastAsia="黑体"/>
      <w:b/>
      <w:bCs/>
      <w:kern w:val="2"/>
      <w:sz w:val="32"/>
      <w:szCs w:val="32"/>
      <w:lang w:val="en-US" w:eastAsia="zh-CN" w:bidi="ar-SA"/>
    </w:rPr>
  </w:style>
  <w:style w:type="character" w:customStyle="1" w:styleId="62">
    <w:name w:val="ca-121"/>
    <w:uiPriority w:val="0"/>
    <w:rPr>
      <w:rFonts w:hint="eastAsia" w:ascii="仿宋_GB2312" w:eastAsia="仿宋_GB2312"/>
      <w:color w:val="000000"/>
      <w:sz w:val="21"/>
      <w:szCs w:val="21"/>
    </w:rPr>
  </w:style>
  <w:style w:type="character" w:customStyle="1" w:styleId="63">
    <w:name w:val="ca-11"/>
    <w:qFormat/>
    <w:uiPriority w:val="0"/>
    <w:rPr>
      <w:rFonts w:hint="default" w:ascii="Times New Roman" w:hAnsi="Times New Roman" w:cs="Times New Roman"/>
      <w:sz w:val="32"/>
      <w:szCs w:val="32"/>
    </w:rPr>
  </w:style>
  <w:style w:type="character" w:customStyle="1" w:styleId="64">
    <w:name w:val="font11"/>
    <w:uiPriority w:val="0"/>
    <w:rPr>
      <w:rFonts w:hint="eastAsia" w:ascii="宋体" w:hAnsi="宋体" w:eastAsia="宋体" w:cs="宋体"/>
      <w:color w:val="000000"/>
      <w:sz w:val="20"/>
      <w:szCs w:val="20"/>
      <w:u w:val="none"/>
    </w:rPr>
  </w:style>
  <w:style w:type="character" w:customStyle="1" w:styleId="65">
    <w:name w:val="ca-31"/>
    <w:uiPriority w:val="0"/>
    <w:rPr>
      <w:rFonts w:hint="eastAsia" w:ascii="仿宋_GB2312" w:eastAsia="仿宋_GB2312"/>
      <w:b/>
      <w:bCs/>
      <w:spacing w:val="-20"/>
      <w:sz w:val="32"/>
      <w:szCs w:val="32"/>
    </w:rPr>
  </w:style>
  <w:style w:type="character" w:customStyle="1" w:styleId="66">
    <w:name w:val="页眉 Char Char"/>
    <w:qFormat/>
    <w:uiPriority w:val="0"/>
    <w:rPr>
      <w:rFonts w:ascii="宋体" w:hAnsi="宋体" w:eastAsia="宋体"/>
      <w:kern w:val="2"/>
      <w:sz w:val="18"/>
      <w:szCs w:val="18"/>
      <w:lang w:val="en-US" w:eastAsia="zh-CN" w:bidi="ar-SA"/>
    </w:rPr>
  </w:style>
  <w:style w:type="character" w:customStyle="1" w:styleId="67">
    <w:name w:val="ca-21"/>
    <w:uiPriority w:val="0"/>
    <w:rPr>
      <w:rFonts w:hint="eastAsia" w:ascii="仿宋_GB2312" w:eastAsia="仿宋_GB2312"/>
      <w:sz w:val="32"/>
      <w:szCs w:val="32"/>
    </w:rPr>
  </w:style>
  <w:style w:type="character" w:customStyle="1" w:styleId="68">
    <w:name w:val="页脚 Char Char"/>
    <w:uiPriority w:val="0"/>
    <w:rPr>
      <w:rFonts w:ascii="宋体" w:hAnsi="宋体" w:eastAsia="宋体"/>
      <w:kern w:val="2"/>
      <w:sz w:val="18"/>
      <w:szCs w:val="18"/>
      <w:lang w:val="en-US" w:eastAsia="zh-CN" w:bidi="ar-SA"/>
    </w:rPr>
  </w:style>
  <w:style w:type="paragraph" w:customStyle="1" w:styleId="69">
    <w:name w:val="pa-53"/>
    <w:basedOn w:val="1"/>
    <w:qFormat/>
    <w:uiPriority w:val="0"/>
    <w:pPr>
      <w:widowControl/>
      <w:spacing w:line="240" w:lineRule="atLeast"/>
    </w:pPr>
    <w:rPr>
      <w:rFonts w:ascii="宋体" w:hAnsi="宋体" w:cs="宋体"/>
      <w:kern w:val="0"/>
      <w:sz w:val="24"/>
    </w:rPr>
  </w:style>
  <w:style w:type="paragraph" w:customStyle="1" w:styleId="70">
    <w:name w:val="彩色底纹 - 强调文字颜色 61"/>
    <w:basedOn w:val="5"/>
    <w:next w:val="1"/>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styleId="71">
    <w:name w:val="No Spacing"/>
    <w:uiPriority w:val="0"/>
    <w:pPr>
      <w:widowControl w:val="0"/>
      <w:jc w:val="both"/>
    </w:pPr>
    <w:rPr>
      <w:rFonts w:ascii="Times New Roman" w:hAnsi="Times New Roman" w:eastAsia="宋体" w:cs="Times New Roman"/>
      <w:kern w:val="2"/>
      <w:sz w:val="21"/>
      <w:lang w:val="en-US" w:eastAsia="zh-CN" w:bidi="ar-SA"/>
    </w:rPr>
  </w:style>
  <w:style w:type="paragraph" w:customStyle="1" w:styleId="72">
    <w:name w:val="pa-62"/>
    <w:basedOn w:val="1"/>
    <w:qFormat/>
    <w:uiPriority w:val="0"/>
    <w:pPr>
      <w:widowControl/>
      <w:spacing w:line="240" w:lineRule="atLeast"/>
    </w:pPr>
    <w:rPr>
      <w:rFonts w:ascii="宋体" w:hAnsi="宋体" w:cs="宋体"/>
      <w:kern w:val="0"/>
      <w:sz w:val="24"/>
    </w:rPr>
  </w:style>
  <w:style w:type="paragraph" w:customStyle="1" w:styleId="73">
    <w:name w:val="目录 21"/>
    <w:basedOn w:val="1"/>
    <w:uiPriority w:val="0"/>
    <w:pPr>
      <w:spacing w:before="35" w:beforeLines="0"/>
      <w:ind w:left="126"/>
      <w:jc w:val="left"/>
    </w:pPr>
    <w:rPr>
      <w:rFonts w:ascii="宋体" w:hAnsi="宋体" w:cs="Times New Roman"/>
      <w:b/>
      <w:bCs/>
      <w:kern w:val="0"/>
      <w:sz w:val="20"/>
      <w:lang w:eastAsia="en-US"/>
    </w:rPr>
  </w:style>
  <w:style w:type="paragraph" w:customStyle="1" w:styleId="74">
    <w:name w:val="正文_0"/>
    <w:uiPriority w:val="0"/>
    <w:rPr>
      <w:rFonts w:ascii="Times New Roman" w:hAnsi="Times New Roman" w:eastAsia="宋体" w:cs="Times New Roman"/>
      <w:sz w:val="21"/>
      <w:lang w:val="en-US" w:eastAsia="zh-CN" w:bidi="ar-SA"/>
    </w:rPr>
  </w:style>
  <w:style w:type="paragraph" w:customStyle="1" w:styleId="75">
    <w:name w:val="xl26"/>
    <w:basedOn w:val="1"/>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6">
    <w:name w:val="p0"/>
    <w:basedOn w:val="1"/>
    <w:uiPriority w:val="0"/>
    <w:pPr>
      <w:widowControl/>
    </w:pPr>
    <w:rPr>
      <w:kern w:val="0"/>
      <w:szCs w:val="21"/>
    </w:rPr>
  </w:style>
  <w:style w:type="paragraph" w:customStyle="1" w:styleId="77">
    <w:name w:val="目录 41"/>
    <w:basedOn w:val="1"/>
    <w:uiPriority w:val="0"/>
    <w:pPr>
      <w:spacing w:before="23" w:beforeLines="0"/>
      <w:ind w:left="540"/>
      <w:jc w:val="left"/>
    </w:pPr>
    <w:rPr>
      <w:rFonts w:ascii="黑体" w:hAnsi="黑体" w:eastAsia="黑体" w:cs="Times New Roman"/>
      <w:i/>
      <w:kern w:val="0"/>
      <w:szCs w:val="21"/>
      <w:lang w:eastAsia="en-US"/>
    </w:rPr>
  </w:style>
  <w:style w:type="paragraph" w:customStyle="1" w:styleId="78">
    <w:name w:val="标题 21"/>
    <w:basedOn w:val="1"/>
    <w:uiPriority w:val="0"/>
    <w:pPr>
      <w:ind w:left="117"/>
      <w:jc w:val="left"/>
      <w:outlineLvl w:val="2"/>
    </w:pPr>
    <w:rPr>
      <w:rFonts w:ascii="黑体" w:hAnsi="黑体" w:eastAsia="黑体" w:cs="Times New Roman"/>
      <w:b/>
      <w:bCs/>
      <w:kern w:val="0"/>
      <w:sz w:val="32"/>
      <w:szCs w:val="32"/>
      <w:lang w:eastAsia="en-US"/>
    </w:rPr>
  </w:style>
  <w:style w:type="paragraph" w:customStyle="1" w:styleId="79">
    <w:name w:val=" Char Char Char"/>
    <w:basedOn w:val="1"/>
    <w:uiPriority w:val="0"/>
    <w:rPr>
      <w:rFonts w:ascii="Tahoma" w:hAnsi="Tahoma"/>
      <w:sz w:val="24"/>
      <w:szCs w:val="20"/>
    </w:rPr>
  </w:style>
  <w:style w:type="paragraph" w:customStyle="1" w:styleId="80">
    <w:name w:val="Heading 2"/>
    <w:basedOn w:val="1"/>
    <w:uiPriority w:val="0"/>
    <w:pPr>
      <w:ind w:left="117"/>
      <w:outlineLvl w:val="2"/>
    </w:pPr>
    <w:rPr>
      <w:rFonts w:ascii="黑体" w:hAnsi="黑体" w:eastAsia="黑体"/>
      <w:b/>
      <w:bCs/>
      <w:sz w:val="32"/>
      <w:szCs w:val="32"/>
    </w:rPr>
  </w:style>
  <w:style w:type="paragraph" w:customStyle="1" w:styleId="81">
    <w:name w:val="无间隔1"/>
    <w:basedOn w:val="1"/>
    <w:uiPriority w:val="0"/>
    <w:pPr>
      <w:spacing w:line="400" w:lineRule="exact"/>
    </w:pPr>
    <w:rPr>
      <w:rFonts w:eastAsia="宋体"/>
      <w:sz w:val="24"/>
    </w:rPr>
  </w:style>
  <w:style w:type="paragraph" w:customStyle="1" w:styleId="82">
    <w:name w:val="样式 正文文字 + 小四 段后: 0 磅 行距: 1.5 倍行距"/>
    <w:basedOn w:val="15"/>
    <w:uiPriority w:val="0"/>
    <w:pPr>
      <w:spacing w:after="0" w:afterLines="0" w:line="360" w:lineRule="auto"/>
      <w:ind w:firstLine="480" w:firstLineChars="200"/>
    </w:pPr>
    <w:rPr>
      <w:rFonts w:cs="宋体"/>
      <w:sz w:val="24"/>
      <w:szCs w:val="20"/>
    </w:rPr>
  </w:style>
  <w:style w:type="paragraph" w:customStyle="1" w:styleId="83">
    <w:name w:val=" Char"/>
    <w:basedOn w:val="1"/>
    <w:uiPriority w:val="0"/>
    <w:pPr>
      <w:ind w:left="567" w:hanging="283"/>
    </w:pPr>
    <w:rPr>
      <w:rFonts w:ascii="宋体" w:hAnsi="宋体" w:eastAsia="宋体"/>
      <w:kern w:val="2"/>
      <w:sz w:val="28"/>
      <w:szCs w:val="24"/>
      <w:lang w:val="en-US" w:eastAsia="zh-CN" w:bidi="ar-SA"/>
    </w:rPr>
  </w:style>
  <w:style w:type="paragraph" w:customStyle="1" w:styleId="84">
    <w:name w:val="Heading 3"/>
    <w:basedOn w:val="1"/>
    <w:uiPriority w:val="0"/>
    <w:pPr>
      <w:spacing w:before="35" w:beforeLines="0"/>
      <w:ind w:left="828"/>
      <w:outlineLvl w:val="3"/>
    </w:pPr>
    <w:rPr>
      <w:rFonts w:ascii="宋体" w:hAnsi="宋体" w:eastAsia="宋体"/>
      <w:b/>
      <w:bCs/>
      <w:sz w:val="24"/>
      <w:szCs w:val="24"/>
    </w:rPr>
  </w:style>
  <w:style w:type="paragraph" w:customStyle="1" w:styleId="85">
    <w:name w:val="样式1"/>
    <w:basedOn w:val="1"/>
    <w:uiPriority w:val="0"/>
    <w:pPr>
      <w:tabs>
        <w:tab w:val="left" w:pos="709"/>
      </w:tabs>
      <w:adjustRightInd w:val="0"/>
      <w:ind w:left="709" w:hanging="709"/>
      <w:textAlignment w:val="baseline"/>
    </w:pPr>
    <w:rPr>
      <w:rFonts w:ascii="宋体" w:hAnsi="宋体"/>
      <w:kern w:val="0"/>
      <w:szCs w:val="24"/>
    </w:rPr>
  </w:style>
  <w:style w:type="paragraph" w:customStyle="1" w:styleId="86">
    <w:name w:val="_Style 2"/>
    <w:basedOn w:val="1"/>
    <w:uiPriority w:val="0"/>
    <w:pPr>
      <w:ind w:firstLine="420" w:firstLineChars="200"/>
    </w:pPr>
    <w:rPr>
      <w:kern w:val="0"/>
      <w:sz w:val="20"/>
      <w:szCs w:val="24"/>
    </w:rPr>
  </w:style>
  <w:style w:type="paragraph" w:customStyle="1" w:styleId="87">
    <w:name w:val="彩色列表1"/>
    <w:basedOn w:val="1"/>
    <w:uiPriority w:val="0"/>
    <w:pPr>
      <w:jc w:val="left"/>
    </w:pPr>
    <w:rPr>
      <w:rFonts w:ascii="Calibri" w:hAnsi="Calibri" w:eastAsia="宋体" w:cs="Times New Roman"/>
      <w:kern w:val="0"/>
      <w:sz w:val="22"/>
      <w:szCs w:val="22"/>
      <w:lang w:eastAsia="en-US"/>
    </w:rPr>
  </w:style>
  <w:style w:type="paragraph" w:customStyle="1" w:styleId="88">
    <w:name w:val="目录 31"/>
    <w:basedOn w:val="1"/>
    <w:uiPriority w:val="0"/>
    <w:pPr>
      <w:spacing w:before="35" w:beforeLines="0"/>
      <w:ind w:left="330"/>
      <w:jc w:val="left"/>
    </w:pPr>
    <w:rPr>
      <w:rFonts w:ascii="宋体" w:hAnsi="宋体" w:cs="Times New Roman"/>
      <w:b/>
      <w:bCs/>
      <w:kern w:val="0"/>
      <w:sz w:val="20"/>
      <w:lang w:eastAsia="en-US"/>
    </w:rPr>
  </w:style>
  <w:style w:type="paragraph" w:customStyle="1" w:styleId="89">
    <w:name w:val="Heading 1"/>
    <w:basedOn w:val="1"/>
    <w:uiPriority w:val="0"/>
    <w:pPr>
      <w:outlineLvl w:val="1"/>
    </w:pPr>
    <w:rPr>
      <w:rFonts w:ascii="黑体" w:hAnsi="黑体" w:eastAsia="黑体"/>
      <w:b/>
      <w:bCs/>
      <w:sz w:val="44"/>
      <w:szCs w:val="44"/>
    </w:rPr>
  </w:style>
  <w:style w:type="paragraph" w:customStyle="1" w:styleId="90">
    <w:name w:val="Char"/>
    <w:basedOn w:val="1"/>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91">
    <w:name w:val="目录 11"/>
    <w:basedOn w:val="1"/>
    <w:uiPriority w:val="0"/>
    <w:pPr>
      <w:spacing w:before="155" w:beforeLines="0"/>
      <w:jc w:val="left"/>
    </w:pPr>
    <w:rPr>
      <w:rFonts w:ascii="黑体" w:hAnsi="黑体" w:eastAsia="黑体" w:cs="Times New Roman"/>
      <w:b/>
      <w:bCs/>
      <w:kern w:val="0"/>
      <w:sz w:val="20"/>
      <w:lang w:eastAsia="en-US"/>
    </w:rPr>
  </w:style>
  <w:style w:type="paragraph" w:customStyle="1" w:styleId="92">
    <w:name w:val="Char Char Char Char"/>
    <w:basedOn w:val="1"/>
    <w:uiPriority w:val="0"/>
    <w:rPr>
      <w:rFonts w:ascii="Tahoma" w:hAnsi="Tahoma"/>
      <w:sz w:val="24"/>
      <w:szCs w:val="20"/>
    </w:rPr>
  </w:style>
  <w:style w:type="paragraph" w:customStyle="1" w:styleId="93">
    <w:name w:val="pa-1"/>
    <w:basedOn w:val="1"/>
    <w:uiPriority w:val="0"/>
    <w:pPr>
      <w:widowControl/>
      <w:spacing w:line="360" w:lineRule="atLeast"/>
      <w:ind w:firstLine="640"/>
    </w:pPr>
    <w:rPr>
      <w:rFonts w:ascii="宋体" w:hAnsi="宋体" w:cs="宋体"/>
      <w:kern w:val="0"/>
      <w:sz w:val="24"/>
    </w:rPr>
  </w:style>
  <w:style w:type="paragraph" w:customStyle="1" w:styleId="94">
    <w:name w:val="目录 51"/>
    <w:basedOn w:val="1"/>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5">
    <w:name w:val="pa-7"/>
    <w:basedOn w:val="1"/>
    <w:uiPriority w:val="0"/>
    <w:pPr>
      <w:widowControl/>
      <w:spacing w:line="360" w:lineRule="atLeast"/>
      <w:ind w:firstLine="800"/>
    </w:pPr>
    <w:rPr>
      <w:rFonts w:ascii="宋体" w:hAnsi="宋体" w:cs="宋体"/>
      <w:kern w:val="0"/>
      <w:sz w:val="24"/>
    </w:rPr>
  </w:style>
  <w:style w:type="paragraph" w:customStyle="1" w:styleId="96">
    <w:name w:val="正文（首行缩进一字）"/>
    <w:basedOn w:val="1"/>
    <w:uiPriority w:val="0"/>
  </w:style>
  <w:style w:type="paragraph" w:customStyle="1" w:styleId="97">
    <w:name w:val="普通(网站)1"/>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98">
    <w:name w:val="pa-6"/>
    <w:basedOn w:val="1"/>
    <w:uiPriority w:val="0"/>
    <w:pPr>
      <w:widowControl/>
      <w:spacing w:line="360" w:lineRule="atLeast"/>
    </w:pPr>
    <w:rPr>
      <w:rFonts w:ascii="宋体" w:hAnsi="宋体" w:cs="宋体"/>
      <w:kern w:val="0"/>
      <w:sz w:val="24"/>
    </w:rPr>
  </w:style>
  <w:style w:type="paragraph" w:customStyle="1" w:styleId="99">
    <w:name w:val="pa-4"/>
    <w:basedOn w:val="1"/>
    <w:uiPriority w:val="0"/>
    <w:pPr>
      <w:widowControl/>
      <w:spacing w:line="360" w:lineRule="atLeast"/>
      <w:ind w:firstLine="960"/>
    </w:pPr>
    <w:rPr>
      <w:rFonts w:ascii="宋体" w:hAnsi="宋体" w:cs="宋体"/>
      <w:kern w:val="0"/>
      <w:sz w:val="24"/>
    </w:rPr>
  </w:style>
  <w:style w:type="paragraph" w:customStyle="1" w:styleId="100">
    <w:name w:val="List Paragraph"/>
    <w:basedOn w:val="1"/>
    <w:uiPriority w:val="0"/>
  </w:style>
  <w:style w:type="paragraph" w:customStyle="1" w:styleId="101">
    <w:name w:val="_Style 100"/>
    <w:uiPriority w:val="0"/>
    <w:rPr>
      <w:rFonts w:ascii="Times New Roman" w:hAnsi="Times New Roman" w:eastAsia="宋体" w:cs="Times New Roman"/>
      <w:kern w:val="2"/>
      <w:sz w:val="21"/>
      <w:lang w:val="en-US" w:eastAsia="zh-CN" w:bidi="ar-SA"/>
    </w:rPr>
  </w:style>
  <w:style w:type="paragraph" w:customStyle="1" w:styleId="102">
    <w:name w:val="pa-2"/>
    <w:basedOn w:val="1"/>
    <w:uiPriority w:val="0"/>
    <w:pPr>
      <w:widowControl/>
      <w:spacing w:line="360" w:lineRule="atLeast"/>
    </w:pPr>
    <w:rPr>
      <w:rFonts w:ascii="宋体" w:hAnsi="宋体" w:cs="宋体"/>
      <w:kern w:val="0"/>
      <w:sz w:val="24"/>
    </w:rPr>
  </w:style>
  <w:style w:type="paragraph" w:customStyle="1" w:styleId="103">
    <w:name w:val="pa-59"/>
    <w:basedOn w:val="1"/>
    <w:uiPriority w:val="0"/>
    <w:pPr>
      <w:widowControl/>
      <w:spacing w:line="240" w:lineRule="atLeast"/>
      <w:ind w:firstLine="640"/>
    </w:pPr>
    <w:rPr>
      <w:rFonts w:ascii="宋体" w:hAnsi="宋体" w:cs="宋体"/>
      <w:kern w:val="0"/>
      <w:sz w:val="24"/>
    </w:rPr>
  </w:style>
  <w:style w:type="paragraph" w:customStyle="1" w:styleId="104">
    <w:name w:val="样式2"/>
    <w:basedOn w:val="6"/>
    <w:uiPriority w:val="0"/>
    <w:pPr>
      <w:spacing w:line="413" w:lineRule="auto"/>
      <w:jc w:val="left"/>
    </w:pPr>
    <w:rPr>
      <w:rFonts w:ascii="华文中宋" w:hAnsi="华文中宋" w:eastAsia="宋体"/>
      <w:bCs w:val="0"/>
      <w:color w:val="000000"/>
      <w:szCs w:val="20"/>
    </w:rPr>
  </w:style>
  <w:style w:type="paragraph" w:customStyle="1" w:styleId="105">
    <w:name w:val="pa-58"/>
    <w:basedOn w:val="1"/>
    <w:uiPriority w:val="0"/>
    <w:pPr>
      <w:widowControl/>
      <w:spacing w:line="240" w:lineRule="atLeast"/>
      <w:ind w:firstLine="460"/>
    </w:pPr>
    <w:rPr>
      <w:rFonts w:ascii="宋体" w:hAnsi="宋体" w:cs="宋体"/>
      <w:kern w:val="0"/>
      <w:sz w:val="24"/>
    </w:rPr>
  </w:style>
  <w:style w:type="paragraph" w:customStyle="1" w:styleId="106">
    <w:name w:val="0"/>
    <w:basedOn w:val="1"/>
    <w:uiPriority w:val="0"/>
    <w:pPr>
      <w:widowControl/>
      <w:snapToGrid w:val="0"/>
      <w:spacing w:line="408" w:lineRule="auto"/>
      <w:ind w:left="1"/>
      <w:textAlignment w:val="bottom"/>
    </w:pPr>
    <w:rPr>
      <w:color w:val="000000"/>
      <w:kern w:val="0"/>
      <w:szCs w:val="21"/>
    </w:rPr>
  </w:style>
  <w:style w:type="paragraph" w:customStyle="1" w:styleId="107">
    <w:name w:val="Table Paragraph"/>
    <w:basedOn w:val="1"/>
    <w:uiPriority w:val="0"/>
    <w:pPr>
      <w:jc w:val="left"/>
    </w:pPr>
    <w:rPr>
      <w:rFonts w:ascii="Calibri" w:hAnsi="Calibri" w:eastAsia="宋体" w:cs="Times New Roman"/>
      <w:kern w:val="0"/>
      <w:sz w:val="22"/>
      <w:szCs w:val="22"/>
      <w:lang w:eastAsia="en-US"/>
    </w:rPr>
  </w:style>
  <w:style w:type="paragraph" w:customStyle="1" w:styleId="108">
    <w:name w:val="表格文字"/>
    <w:basedOn w:val="1"/>
    <w:next w:val="15"/>
    <w:uiPriority w:val="0"/>
    <w:pPr>
      <w:adjustRightInd w:val="0"/>
      <w:spacing w:line="420" w:lineRule="atLeast"/>
      <w:jc w:val="left"/>
      <w:textAlignment w:val="baseline"/>
    </w:pPr>
    <w:rPr>
      <w:kern w:val="0"/>
      <w:szCs w:val="20"/>
    </w:rPr>
  </w:style>
  <w:style w:type="paragraph" w:customStyle="1" w:styleId="109">
    <w:name w:val="标题 11"/>
    <w:basedOn w:val="1"/>
    <w:uiPriority w:val="0"/>
    <w:pPr>
      <w:jc w:val="left"/>
      <w:outlineLvl w:val="1"/>
    </w:pPr>
    <w:rPr>
      <w:rFonts w:ascii="黑体" w:hAnsi="黑体" w:eastAsia="黑体" w:cs="Times New Roman"/>
      <w:b/>
      <w:bCs/>
      <w:kern w:val="0"/>
      <w:sz w:val="44"/>
      <w:szCs w:val="44"/>
      <w:lang w:eastAsia="en-US"/>
    </w:rPr>
  </w:style>
  <w:style w:type="paragraph" w:customStyle="1" w:styleId="110">
    <w:name w:val="pa-55"/>
    <w:basedOn w:val="1"/>
    <w:uiPriority w:val="0"/>
    <w:pPr>
      <w:widowControl/>
      <w:spacing w:line="240" w:lineRule="atLeast"/>
      <w:ind w:firstLine="420"/>
    </w:pPr>
    <w:rPr>
      <w:rFonts w:ascii="宋体" w:hAnsi="宋体" w:cs="宋体"/>
      <w:kern w:val="0"/>
      <w:sz w:val="24"/>
    </w:rPr>
  </w:style>
  <w:style w:type="paragraph" w:customStyle="1" w:styleId="111">
    <w:name w:val="标题 31"/>
    <w:basedOn w:val="1"/>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2">
    <w:name w:val="pa-57"/>
    <w:basedOn w:val="1"/>
    <w:uiPriority w:val="0"/>
    <w:pPr>
      <w:widowControl/>
      <w:spacing w:line="240" w:lineRule="atLeast"/>
      <w:ind w:firstLine="480"/>
    </w:pPr>
    <w:rPr>
      <w:rFonts w:ascii="宋体" w:hAnsi="宋体" w:cs="宋体"/>
      <w:kern w:val="0"/>
      <w:sz w:val="24"/>
    </w:rPr>
  </w:style>
  <w:style w:type="paragraph" w:customStyle="1" w:styleId="113">
    <w:name w:val="pa-56"/>
    <w:basedOn w:val="1"/>
    <w:uiPriority w:val="0"/>
    <w:pPr>
      <w:widowControl/>
      <w:spacing w:line="240" w:lineRule="atLeast"/>
    </w:pPr>
    <w:rPr>
      <w:rFonts w:ascii="宋体" w:hAnsi="宋体" w:cs="宋体"/>
      <w:kern w:val="0"/>
      <w:sz w:val="24"/>
    </w:rPr>
  </w:style>
  <w:style w:type="paragraph" w:customStyle="1" w:styleId="1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5">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16">
    <w:name w:val="WPSOffice手动目录 1"/>
    <w:uiPriority w:val="0"/>
    <w:pPr>
      <w:ind w:leftChars="0"/>
    </w:pPr>
    <w:rPr>
      <w:rFonts w:ascii="Times New Roman" w:hAnsi="Times New Roman" w:eastAsia="宋体" w:cs="Times New Roman"/>
      <w:sz w:val="20"/>
      <w:szCs w:val="20"/>
    </w:rPr>
  </w:style>
  <w:style w:type="character" w:customStyle="1" w:styleId="117">
    <w:name w:val="UserStyle_17"/>
    <w:qFormat/>
    <w:uiPriority w:val="0"/>
    <w:rPr>
      <w:rFonts w:ascii="Times New Roman" w:hAnsi="Times New Roman" w:eastAsia="宋体" w:cs="Times New Roman"/>
      <w:kern w:val="2"/>
      <w:sz w:val="21"/>
      <w:szCs w:val="24"/>
      <w:lang w:val="en-US" w:eastAsia="zh-CN" w:bidi="ar-SA"/>
    </w:rPr>
  </w:style>
  <w:style w:type="paragraph" w:customStyle="1" w:styleId="118">
    <w:name w:val="UserStyle_0"/>
    <w:qFormat/>
    <w:uiPriority w:val="0"/>
    <w:pPr>
      <w:textAlignment w:val="baseline"/>
    </w:pPr>
    <w:rPr>
      <w:rFonts w:ascii="宋体" w:hAnsi="Times New Roman" w:eastAsia="宋体" w:cs="Times New Roman"/>
      <w:color w:val="000000"/>
      <w:sz w:val="24"/>
      <w:szCs w:val="24"/>
      <w:lang w:val="en-US" w:eastAsia="zh-CN" w:bidi="ar-SA"/>
    </w:rPr>
  </w:style>
  <w:style w:type="character" w:customStyle="1" w:styleId="119">
    <w:name w:val="hover18"/>
    <w:basedOn w:val="38"/>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23259</Words>
  <Characters>24023</Characters>
  <Lines>186</Lines>
  <Paragraphs>52</Paragraphs>
  <TotalTime>0</TotalTime>
  <ScaleCrop>false</ScaleCrop>
  <LinksUpToDate>false</LinksUpToDate>
  <CharactersWithSpaces>26713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哈哈</cp:lastModifiedBy>
  <cp:lastPrinted>2023-07-17T08:45:00Z</cp:lastPrinted>
  <dcterms:modified xsi:type="dcterms:W3CDTF">2023-07-26T01:00:02Z</dcterms:modified>
  <dc:title>工程施工招标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53BC4FFAABD64546AD420BF58333267D_13</vt:lpwstr>
  </property>
</Properties>
</file>