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bCs/>
          <w:sz w:val="48"/>
          <w:szCs w:val="48"/>
          <w:lang w:eastAsia="zh-CN"/>
        </w:rPr>
      </w:pPr>
    </w:p>
    <w:p>
      <w:pPr>
        <w:jc w:val="center"/>
        <w:rPr>
          <w:rFonts w:hint="eastAsia" w:ascii="宋体" w:hAnsi="宋体" w:eastAsia="宋体" w:cs="宋体"/>
          <w:b/>
          <w:sz w:val="48"/>
          <w:szCs w:val="48"/>
        </w:rPr>
      </w:pPr>
      <w:r>
        <w:rPr>
          <w:rFonts w:hint="eastAsia" w:ascii="宋体" w:hAnsi="宋体"/>
          <w:b/>
          <w:bCs/>
          <w:sz w:val="48"/>
          <w:szCs w:val="48"/>
          <w:lang w:eastAsia="zh-CN"/>
        </w:rPr>
        <w:t>武陟县市场监督管理局食品安全抽样检测工作</w:t>
      </w:r>
      <w:r>
        <w:rPr>
          <w:rFonts w:hint="eastAsia" w:ascii="宋体" w:hAnsi="宋体"/>
          <w:b/>
          <w:bCs/>
          <w:sz w:val="48"/>
          <w:szCs w:val="48"/>
          <w:lang w:val="en-US" w:eastAsia="zh-CN"/>
        </w:rPr>
        <w:t>二</w:t>
      </w:r>
      <w:r>
        <w:rPr>
          <w:rFonts w:hint="eastAsia" w:ascii="宋体" w:hAnsi="宋体"/>
          <w:b/>
          <w:bCs/>
          <w:sz w:val="48"/>
          <w:szCs w:val="48"/>
          <w:lang w:eastAsia="zh-CN"/>
        </w:rPr>
        <w:t>包</w:t>
      </w:r>
    </w:p>
    <w:p>
      <w:pPr>
        <w:jc w:val="center"/>
        <w:rPr>
          <w:rFonts w:hint="eastAsia" w:ascii="宋体" w:hAnsi="宋体" w:eastAsia="宋体" w:cs="宋体"/>
          <w:b/>
          <w:sz w:val="44"/>
          <w:szCs w:val="44"/>
        </w:rPr>
      </w:pPr>
    </w:p>
    <w:p>
      <w:pPr>
        <w:jc w:val="center"/>
        <w:rPr>
          <w:rFonts w:hint="eastAsia" w:ascii="宋体" w:hAnsi="宋体" w:eastAsia="宋体" w:cs="宋体"/>
          <w:b/>
          <w:sz w:val="44"/>
          <w:szCs w:val="44"/>
        </w:rPr>
      </w:pPr>
    </w:p>
    <w:p>
      <w:pPr>
        <w:pStyle w:val="15"/>
        <w:rPr>
          <w:rFonts w:hint="eastAsia" w:ascii="宋体" w:hAnsi="宋体" w:eastAsia="宋体" w:cs="宋体"/>
          <w:b/>
          <w:sz w:val="44"/>
          <w:szCs w:val="44"/>
        </w:rPr>
      </w:pPr>
    </w:p>
    <w:p>
      <w:pPr>
        <w:jc w:val="center"/>
        <w:outlineLvl w:val="9"/>
        <w:rPr>
          <w:rFonts w:hint="eastAsia" w:ascii="宋体" w:hAnsi="宋体" w:eastAsia="宋体" w:cs="宋体"/>
          <w:b/>
          <w:sz w:val="40"/>
          <w:szCs w:val="40"/>
        </w:rPr>
      </w:pPr>
      <w:bookmarkStart w:id="0" w:name="_Toc20729"/>
      <w:bookmarkStart w:id="1" w:name="_Toc1554"/>
      <w:bookmarkStart w:id="2" w:name="_Toc26136"/>
      <w:bookmarkStart w:id="3" w:name="_Toc7435"/>
      <w:bookmarkStart w:id="4" w:name="_Toc29289"/>
      <w:r>
        <w:rPr>
          <w:rFonts w:hint="eastAsia" w:ascii="宋体" w:hAnsi="宋体" w:eastAsia="宋体" w:cs="宋体"/>
          <w:b/>
          <w:sz w:val="72"/>
          <w:szCs w:val="72"/>
        </w:rPr>
        <w:t>竞争性磋商文件</w:t>
      </w:r>
      <w:bookmarkEnd w:id="0"/>
      <w:bookmarkEnd w:id="1"/>
      <w:bookmarkEnd w:id="2"/>
      <w:bookmarkEnd w:id="3"/>
      <w:bookmarkEnd w:id="4"/>
    </w:p>
    <w:p>
      <w:pPr>
        <w:widowControl/>
        <w:spacing w:line="360" w:lineRule="auto"/>
        <w:ind w:firstLine="2548" w:firstLineChars="846"/>
        <w:jc w:val="left"/>
        <w:rPr>
          <w:rFonts w:hint="eastAsia" w:ascii="宋体" w:hAnsi="宋体"/>
          <w:b/>
          <w:sz w:val="30"/>
          <w:szCs w:val="30"/>
        </w:rPr>
      </w:pPr>
      <w:r>
        <w:rPr>
          <w:rFonts w:hint="eastAsia" w:ascii="宋体" w:hAnsi="宋体"/>
          <w:b/>
          <w:sz w:val="30"/>
          <w:szCs w:val="30"/>
          <w:lang w:eastAsia="zh-CN"/>
        </w:rPr>
        <w:t>项目编号</w:t>
      </w:r>
      <w:r>
        <w:rPr>
          <w:rFonts w:hint="eastAsia" w:ascii="宋体" w:hAnsi="宋体"/>
          <w:b/>
          <w:sz w:val="30"/>
          <w:szCs w:val="30"/>
        </w:rPr>
        <w:t>：</w:t>
      </w:r>
      <w:r>
        <w:rPr>
          <w:rFonts w:hint="eastAsia" w:ascii="宋体" w:hAnsi="宋体"/>
          <w:b/>
          <w:sz w:val="30"/>
          <w:szCs w:val="30"/>
          <w:lang w:val="en-US" w:eastAsia="zh-CN"/>
        </w:rPr>
        <w:t>2023-CS-037</w:t>
      </w:r>
    </w:p>
    <w:p>
      <w:pPr>
        <w:jc w:val="center"/>
        <w:rPr>
          <w:rFonts w:hint="eastAsia" w:ascii="宋体" w:hAnsi="宋体" w:eastAsia="宋体" w:cs="宋体"/>
        </w:rPr>
      </w:pPr>
    </w:p>
    <w:p>
      <w:pPr>
        <w:jc w:val="center"/>
        <w:rPr>
          <w:rFonts w:hint="eastAsia" w:ascii="宋体" w:hAnsi="宋体" w:eastAsia="宋体" w:cs="宋体"/>
        </w:rPr>
      </w:pPr>
    </w:p>
    <w:p>
      <w:pPr>
        <w:rPr>
          <w:rFonts w:hint="eastAsia" w:ascii="宋体" w:hAnsi="宋体" w:eastAsia="宋体" w:cs="宋体"/>
        </w:rPr>
      </w:pPr>
    </w:p>
    <w:p>
      <w:pPr>
        <w:pStyle w:val="15"/>
        <w:rPr>
          <w:rFonts w:hint="eastAsia" w:ascii="宋体" w:hAnsi="宋体" w:eastAsia="宋体" w:cs="宋体"/>
        </w:rPr>
      </w:pPr>
    </w:p>
    <w:p>
      <w:pPr>
        <w:pStyle w:val="11"/>
        <w:rPr>
          <w:rFonts w:hint="eastAsia" w:ascii="宋体" w:hAnsi="宋体" w:eastAsia="宋体" w:cs="宋体"/>
        </w:rPr>
      </w:pPr>
    </w:p>
    <w:p>
      <w:pPr>
        <w:rPr>
          <w:rFonts w:hint="eastAsia"/>
        </w:rPr>
      </w:pPr>
    </w:p>
    <w:p>
      <w:pPr>
        <w:jc w:val="both"/>
        <w:rPr>
          <w:rFonts w:hint="eastAsia" w:ascii="宋体" w:hAnsi="宋体" w:eastAsia="宋体" w:cs="宋体"/>
        </w:rPr>
      </w:pPr>
    </w:p>
    <w:p>
      <w:pPr>
        <w:jc w:val="center"/>
        <w:rPr>
          <w:rFonts w:hint="eastAsia" w:ascii="宋体" w:hAnsi="宋体" w:eastAsia="宋体" w:cs="宋体"/>
        </w:rPr>
      </w:pPr>
    </w:p>
    <w:p>
      <w:pPr>
        <w:jc w:val="center"/>
        <w:rPr>
          <w:rFonts w:hint="eastAsia" w:ascii="宋体" w:hAnsi="宋体" w:eastAsia="宋体" w:cs="宋体"/>
        </w:rPr>
      </w:pPr>
    </w:p>
    <w:p>
      <w:pPr>
        <w:jc w:val="center"/>
        <w:rPr>
          <w:rFonts w:hint="eastAsia" w:ascii="宋体" w:hAnsi="宋体" w:eastAsia="宋体" w:cs="宋体"/>
        </w:rPr>
      </w:pPr>
    </w:p>
    <w:p>
      <w:pPr>
        <w:jc w:val="center"/>
        <w:rPr>
          <w:rFonts w:hint="eastAsia" w:ascii="宋体" w:hAnsi="宋体" w:eastAsia="宋体" w:cs="宋体"/>
        </w:rPr>
      </w:pPr>
    </w:p>
    <w:p>
      <w:pPr>
        <w:ind w:firstLine="840" w:firstLineChars="400"/>
        <w:jc w:val="left"/>
        <w:rPr>
          <w:rFonts w:hint="eastAsia" w:ascii="宋体" w:hAnsi="宋体" w:eastAsia="宋体" w:cs="宋体"/>
        </w:rPr>
      </w:pPr>
    </w:p>
    <w:p>
      <w:pPr>
        <w:rPr>
          <w:rFonts w:hint="eastAsia" w:ascii="宋体" w:hAnsi="宋体" w:cs="宋体"/>
          <w:sz w:val="32"/>
          <w:u w:val="single"/>
        </w:rPr>
      </w:pPr>
      <w:r>
        <w:rPr>
          <w:rFonts w:hint="eastAsia" w:ascii="宋体" w:hAnsi="宋体" w:eastAsia="宋体" w:cs="宋体"/>
          <w:sz w:val="32"/>
        </w:rPr>
        <w:t xml:space="preserve">         </w:t>
      </w:r>
      <w:r>
        <w:rPr>
          <w:rFonts w:hint="eastAsia" w:ascii="宋体" w:hAnsi="宋体" w:cs="宋体"/>
          <w:sz w:val="32"/>
        </w:rPr>
        <w:t>采 购 人：</w:t>
      </w:r>
      <w:r>
        <w:rPr>
          <w:rFonts w:hint="eastAsia" w:ascii="宋体" w:hAnsi="宋体" w:cs="宋体"/>
          <w:sz w:val="32"/>
          <w:lang w:eastAsia="zh-CN"/>
        </w:rPr>
        <w:t>武陟县市场监督管理局</w:t>
      </w:r>
    </w:p>
    <w:p>
      <w:pPr>
        <w:rPr>
          <w:rFonts w:hint="eastAsia" w:ascii="宋体" w:hAnsi="宋体" w:eastAsia="宋体" w:cs="宋体"/>
          <w:sz w:val="32"/>
          <w:u w:val="single"/>
          <w:lang w:val="en-US" w:eastAsia="zh-CN"/>
        </w:rPr>
      </w:pPr>
      <w:r>
        <w:rPr>
          <w:rFonts w:hint="eastAsia" w:ascii="宋体" w:hAnsi="宋体" w:cs="宋体"/>
          <w:sz w:val="32"/>
        </w:rPr>
        <w:t xml:space="preserve">         采购代理机构：</w:t>
      </w:r>
      <w:r>
        <w:rPr>
          <w:rFonts w:hint="eastAsia" w:ascii="宋体" w:hAnsi="宋体" w:cs="宋体"/>
          <w:sz w:val="32"/>
          <w:lang w:eastAsia="zh-CN"/>
        </w:rPr>
        <w:t>达信建设发展有限公司</w:t>
      </w:r>
    </w:p>
    <w:p>
      <w:pPr>
        <w:rPr>
          <w:rFonts w:hint="eastAsia" w:ascii="宋体" w:hAnsi="宋体" w:eastAsia="宋体" w:cs="宋体"/>
          <w:sz w:val="32"/>
          <w:u w:val="single"/>
        </w:rPr>
      </w:pPr>
    </w:p>
    <w:p>
      <w:pPr>
        <w:jc w:val="center"/>
        <w:rPr>
          <w:rFonts w:hint="eastAsia" w:ascii="宋体" w:hAnsi="宋体" w:eastAsia="宋体" w:cs="宋体"/>
          <w:sz w:val="28"/>
          <w:szCs w:val="28"/>
        </w:rPr>
        <w:sectPr>
          <w:footerReference r:id="rId6" w:type="first"/>
          <w:headerReference r:id="rId3" w:type="default"/>
          <w:footerReference r:id="rId5" w:type="default"/>
          <w:headerReference r:id="rId4" w:type="even"/>
          <w:pgSz w:w="11906" w:h="16838"/>
          <w:pgMar w:top="1440" w:right="1286" w:bottom="1440" w:left="1800" w:header="851" w:footer="992" w:gutter="0"/>
          <w:pgNumType w:fmt="decimal" w:start="1"/>
          <w:cols w:space="720" w:num="1"/>
          <w:docGrid w:type="lines" w:linePitch="312" w:charSpace="0"/>
        </w:sectPr>
      </w:pPr>
    </w:p>
    <w:p>
      <w:pPr>
        <w:pStyle w:val="81"/>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FF0000"/>
          <w:kern w:val="2"/>
          <w:sz w:val="28"/>
          <w:szCs w:val="28"/>
          <w:lang w:val="en-US" w:eastAsia="zh-CN" w:bidi="ar-SA"/>
        </w:rPr>
      </w:pPr>
      <w:r>
        <w:rPr>
          <w:rFonts w:hint="eastAsia" w:ascii="宋体" w:hAnsi="宋体" w:eastAsia="宋体" w:cs="宋体"/>
          <w:sz w:val="28"/>
          <w:szCs w:val="28"/>
        </w:rPr>
        <w:t>目录</w:t>
      </w:r>
      <w:r>
        <w:rPr>
          <w:rFonts w:hint="eastAsia" w:ascii="宋体" w:hAnsi="宋体" w:eastAsia="宋体" w:cs="宋体"/>
          <w:b/>
          <w:color w:val="FF0000"/>
          <w:sz w:val="28"/>
          <w:szCs w:val="28"/>
        </w:rPr>
        <w:fldChar w:fldCharType="begin"/>
      </w:r>
      <w:r>
        <w:rPr>
          <w:rFonts w:hint="eastAsia" w:ascii="宋体" w:hAnsi="宋体" w:eastAsia="宋体" w:cs="宋体"/>
          <w:b/>
          <w:color w:val="FF0000"/>
          <w:sz w:val="28"/>
          <w:szCs w:val="28"/>
        </w:rPr>
        <w:instrText xml:space="preserve">TOC \o "1-1" \h \u </w:instrText>
      </w:r>
      <w:r>
        <w:rPr>
          <w:rFonts w:hint="eastAsia" w:ascii="宋体" w:hAnsi="宋体" w:eastAsia="宋体" w:cs="宋体"/>
          <w:b/>
          <w:color w:val="FF0000"/>
          <w:sz w:val="28"/>
          <w:szCs w:val="28"/>
        </w:rPr>
        <w:fldChar w:fldCharType="separate"/>
      </w:r>
    </w:p>
    <w:p>
      <w:pPr>
        <w:pStyle w:val="25"/>
        <w:tabs>
          <w:tab w:val="right" w:leader="dot" w:pos="8820"/>
        </w:tabs>
        <w:rPr>
          <w:sz w:val="28"/>
          <w:szCs w:val="28"/>
        </w:rPr>
      </w:pPr>
      <w:r>
        <w:rPr>
          <w:rFonts w:hint="eastAsia" w:ascii="宋体" w:hAnsi="宋体" w:eastAsia="宋体" w:cs="宋体"/>
          <w:color w:val="FF0000"/>
          <w:sz w:val="28"/>
          <w:szCs w:val="28"/>
        </w:rPr>
        <w:fldChar w:fldCharType="begin"/>
      </w:r>
      <w:r>
        <w:rPr>
          <w:rFonts w:hint="eastAsia" w:ascii="宋体" w:hAnsi="宋体" w:eastAsia="宋体" w:cs="宋体"/>
          <w:sz w:val="28"/>
          <w:szCs w:val="28"/>
        </w:rPr>
        <w:instrText xml:space="preserve"> HYPERLINK \l _Toc30299 </w:instrText>
      </w:r>
      <w:r>
        <w:rPr>
          <w:rFonts w:hint="eastAsia" w:ascii="宋体" w:hAnsi="宋体" w:eastAsia="宋体" w:cs="宋体"/>
          <w:sz w:val="28"/>
          <w:szCs w:val="28"/>
        </w:rPr>
        <w:fldChar w:fldCharType="separate"/>
      </w:r>
      <w:r>
        <w:rPr>
          <w:rFonts w:hint="eastAsia"/>
          <w:bCs/>
          <w:sz w:val="28"/>
          <w:szCs w:val="28"/>
        </w:rPr>
        <w:t xml:space="preserve">第一章 </w:t>
      </w:r>
      <w:r>
        <w:rPr>
          <w:rFonts w:hint="eastAsia"/>
          <w:sz w:val="28"/>
          <w:szCs w:val="28"/>
        </w:rPr>
        <w:t>竞争性磋商公告</w:t>
      </w:r>
      <w:r>
        <w:rPr>
          <w:sz w:val="28"/>
          <w:szCs w:val="28"/>
        </w:rPr>
        <w:tab/>
      </w:r>
      <w:r>
        <w:rPr>
          <w:sz w:val="28"/>
          <w:szCs w:val="28"/>
        </w:rPr>
        <w:fldChar w:fldCharType="begin"/>
      </w:r>
      <w:r>
        <w:rPr>
          <w:sz w:val="28"/>
          <w:szCs w:val="28"/>
        </w:rPr>
        <w:instrText xml:space="preserve"> PAGEREF _Toc30299 \h </w:instrText>
      </w:r>
      <w:r>
        <w:rPr>
          <w:sz w:val="28"/>
          <w:szCs w:val="28"/>
        </w:rPr>
        <w:fldChar w:fldCharType="separate"/>
      </w:r>
      <w:r>
        <w:rPr>
          <w:sz w:val="28"/>
          <w:szCs w:val="28"/>
        </w:rPr>
        <w:t>2</w:t>
      </w:r>
      <w:r>
        <w:rPr>
          <w:sz w:val="28"/>
          <w:szCs w:val="28"/>
        </w:rPr>
        <w:fldChar w:fldCharType="end"/>
      </w:r>
      <w:r>
        <w:rPr>
          <w:rFonts w:hint="eastAsia" w:ascii="宋体" w:hAnsi="宋体" w:eastAsia="宋体" w:cs="宋体"/>
          <w:color w:val="FF0000"/>
          <w:sz w:val="28"/>
          <w:szCs w:val="28"/>
        </w:rPr>
        <w:fldChar w:fldCharType="end"/>
      </w:r>
    </w:p>
    <w:p>
      <w:pPr>
        <w:pStyle w:val="25"/>
        <w:tabs>
          <w:tab w:val="right" w:leader="dot" w:pos="8820"/>
        </w:tabs>
        <w:rPr>
          <w:sz w:val="28"/>
          <w:szCs w:val="28"/>
        </w:rPr>
      </w:pPr>
      <w:r>
        <w:rPr>
          <w:rFonts w:hint="eastAsia" w:ascii="宋体" w:hAnsi="宋体" w:eastAsia="宋体" w:cs="宋体"/>
          <w:color w:val="FF0000"/>
          <w:sz w:val="28"/>
          <w:szCs w:val="28"/>
        </w:rPr>
        <w:fldChar w:fldCharType="begin"/>
      </w:r>
      <w:r>
        <w:rPr>
          <w:rFonts w:hint="eastAsia" w:ascii="宋体" w:hAnsi="宋体" w:eastAsia="宋体" w:cs="宋体"/>
          <w:sz w:val="28"/>
          <w:szCs w:val="28"/>
        </w:rPr>
        <w:instrText xml:space="preserve"> HYPERLINK \l _Toc7876 </w:instrText>
      </w:r>
      <w:r>
        <w:rPr>
          <w:rFonts w:hint="eastAsia" w:ascii="宋体" w:hAnsi="宋体" w:eastAsia="宋体" w:cs="宋体"/>
          <w:sz w:val="28"/>
          <w:szCs w:val="28"/>
        </w:rPr>
        <w:fldChar w:fldCharType="separate"/>
      </w:r>
      <w:r>
        <w:rPr>
          <w:rFonts w:hint="eastAsia"/>
          <w:bCs/>
          <w:sz w:val="28"/>
          <w:szCs w:val="28"/>
        </w:rPr>
        <w:t xml:space="preserve">第二章 </w:t>
      </w:r>
      <w:r>
        <w:rPr>
          <w:rFonts w:hint="eastAsia"/>
          <w:sz w:val="28"/>
          <w:szCs w:val="28"/>
        </w:rPr>
        <w:t>供应商须知</w:t>
      </w:r>
      <w:r>
        <w:rPr>
          <w:sz w:val="28"/>
          <w:szCs w:val="28"/>
        </w:rPr>
        <w:tab/>
      </w:r>
      <w:r>
        <w:rPr>
          <w:sz w:val="28"/>
          <w:szCs w:val="28"/>
        </w:rPr>
        <w:fldChar w:fldCharType="begin"/>
      </w:r>
      <w:r>
        <w:rPr>
          <w:sz w:val="28"/>
          <w:szCs w:val="28"/>
        </w:rPr>
        <w:instrText xml:space="preserve"> PAGEREF _Toc7876 \h </w:instrText>
      </w:r>
      <w:r>
        <w:rPr>
          <w:sz w:val="28"/>
          <w:szCs w:val="28"/>
        </w:rPr>
        <w:fldChar w:fldCharType="separate"/>
      </w:r>
      <w:r>
        <w:rPr>
          <w:sz w:val="28"/>
          <w:szCs w:val="28"/>
        </w:rPr>
        <w:t>6</w:t>
      </w:r>
      <w:r>
        <w:rPr>
          <w:sz w:val="28"/>
          <w:szCs w:val="28"/>
        </w:rPr>
        <w:fldChar w:fldCharType="end"/>
      </w:r>
      <w:r>
        <w:rPr>
          <w:rFonts w:hint="eastAsia" w:ascii="宋体" w:hAnsi="宋体" w:eastAsia="宋体" w:cs="宋体"/>
          <w:color w:val="FF0000"/>
          <w:sz w:val="28"/>
          <w:szCs w:val="28"/>
        </w:rPr>
        <w:fldChar w:fldCharType="end"/>
      </w:r>
    </w:p>
    <w:p>
      <w:pPr>
        <w:pStyle w:val="25"/>
        <w:tabs>
          <w:tab w:val="right" w:leader="dot" w:pos="8820"/>
        </w:tabs>
        <w:rPr>
          <w:sz w:val="28"/>
          <w:szCs w:val="28"/>
        </w:rPr>
      </w:pPr>
      <w:r>
        <w:rPr>
          <w:rFonts w:hint="eastAsia" w:ascii="宋体" w:hAnsi="宋体" w:eastAsia="宋体" w:cs="宋体"/>
          <w:color w:val="FF0000"/>
          <w:sz w:val="28"/>
          <w:szCs w:val="28"/>
        </w:rPr>
        <w:fldChar w:fldCharType="begin"/>
      </w:r>
      <w:r>
        <w:rPr>
          <w:rFonts w:hint="eastAsia" w:ascii="宋体" w:hAnsi="宋体" w:eastAsia="宋体" w:cs="宋体"/>
          <w:sz w:val="28"/>
          <w:szCs w:val="28"/>
        </w:rPr>
        <w:instrText xml:space="preserve"> HYPERLINK \l _Toc637 </w:instrText>
      </w:r>
      <w:r>
        <w:rPr>
          <w:rFonts w:hint="eastAsia" w:ascii="宋体" w:hAnsi="宋体" w:eastAsia="宋体" w:cs="宋体"/>
          <w:sz w:val="28"/>
          <w:szCs w:val="28"/>
        </w:rPr>
        <w:fldChar w:fldCharType="separate"/>
      </w:r>
      <w:r>
        <w:rPr>
          <w:rFonts w:hint="eastAsia" w:ascii="宋体" w:hAnsi="宋体" w:eastAsia="宋体" w:cs="宋体"/>
          <w:bCs/>
          <w:sz w:val="28"/>
          <w:szCs w:val="28"/>
        </w:rPr>
        <w:t xml:space="preserve">第三章 </w:t>
      </w:r>
      <w:r>
        <w:rPr>
          <w:rFonts w:hint="eastAsia" w:ascii="宋体" w:hAnsi="宋体" w:eastAsia="宋体" w:cs="宋体"/>
          <w:sz w:val="28"/>
          <w:szCs w:val="28"/>
        </w:rPr>
        <w:t>评审方法和评审标准</w:t>
      </w:r>
      <w:r>
        <w:rPr>
          <w:sz w:val="28"/>
          <w:szCs w:val="28"/>
        </w:rPr>
        <w:tab/>
      </w:r>
      <w:r>
        <w:rPr>
          <w:sz w:val="28"/>
          <w:szCs w:val="28"/>
        </w:rPr>
        <w:fldChar w:fldCharType="begin"/>
      </w:r>
      <w:r>
        <w:rPr>
          <w:sz w:val="28"/>
          <w:szCs w:val="28"/>
        </w:rPr>
        <w:instrText xml:space="preserve"> PAGEREF _Toc637 \h </w:instrText>
      </w:r>
      <w:r>
        <w:rPr>
          <w:sz w:val="28"/>
          <w:szCs w:val="28"/>
        </w:rPr>
        <w:fldChar w:fldCharType="separate"/>
      </w:r>
      <w:r>
        <w:rPr>
          <w:sz w:val="28"/>
          <w:szCs w:val="28"/>
        </w:rPr>
        <w:t>24</w:t>
      </w:r>
      <w:r>
        <w:rPr>
          <w:sz w:val="28"/>
          <w:szCs w:val="28"/>
        </w:rPr>
        <w:fldChar w:fldCharType="end"/>
      </w:r>
      <w:r>
        <w:rPr>
          <w:rFonts w:hint="eastAsia" w:ascii="宋体" w:hAnsi="宋体" w:eastAsia="宋体" w:cs="宋体"/>
          <w:color w:val="FF0000"/>
          <w:sz w:val="28"/>
          <w:szCs w:val="28"/>
        </w:rPr>
        <w:fldChar w:fldCharType="end"/>
      </w:r>
    </w:p>
    <w:p>
      <w:pPr>
        <w:pStyle w:val="25"/>
        <w:tabs>
          <w:tab w:val="right" w:leader="dot" w:pos="8820"/>
        </w:tabs>
        <w:rPr>
          <w:sz w:val="28"/>
          <w:szCs w:val="28"/>
        </w:rPr>
      </w:pPr>
      <w:r>
        <w:rPr>
          <w:rFonts w:hint="eastAsia" w:ascii="宋体" w:hAnsi="宋体" w:eastAsia="宋体" w:cs="宋体"/>
          <w:color w:val="FF0000"/>
          <w:sz w:val="28"/>
          <w:szCs w:val="28"/>
        </w:rPr>
        <w:fldChar w:fldCharType="begin"/>
      </w:r>
      <w:r>
        <w:rPr>
          <w:rFonts w:hint="eastAsia" w:ascii="宋体" w:hAnsi="宋体" w:eastAsia="宋体" w:cs="宋体"/>
          <w:sz w:val="28"/>
          <w:szCs w:val="28"/>
        </w:rPr>
        <w:instrText xml:space="preserve"> HYPERLINK \l _Toc5542 </w:instrText>
      </w:r>
      <w:r>
        <w:rPr>
          <w:rFonts w:hint="eastAsia" w:ascii="宋体" w:hAnsi="宋体" w:eastAsia="宋体" w:cs="宋体"/>
          <w:sz w:val="28"/>
          <w:szCs w:val="28"/>
        </w:rPr>
        <w:fldChar w:fldCharType="separate"/>
      </w:r>
      <w:r>
        <w:rPr>
          <w:rFonts w:hint="eastAsia" w:ascii="宋体" w:hAnsi="宋体" w:eastAsia="宋体" w:cs="宋体"/>
          <w:bCs/>
          <w:sz w:val="28"/>
          <w:szCs w:val="28"/>
        </w:rPr>
        <w:t xml:space="preserve">第四章 </w:t>
      </w:r>
      <w:r>
        <w:rPr>
          <w:rFonts w:hint="eastAsia" w:ascii="宋体" w:hAnsi="宋体" w:eastAsia="宋体" w:cs="宋体"/>
          <w:sz w:val="28"/>
          <w:szCs w:val="28"/>
        </w:rPr>
        <w:t>拟签订</w:t>
      </w:r>
      <w:r>
        <w:rPr>
          <w:rFonts w:hint="eastAsia" w:ascii="宋体" w:hAnsi="宋体" w:cs="宋体"/>
          <w:sz w:val="28"/>
          <w:szCs w:val="28"/>
          <w:lang w:eastAsia="zh-CN"/>
        </w:rPr>
        <w:t>的</w:t>
      </w:r>
      <w:r>
        <w:rPr>
          <w:rFonts w:hint="eastAsia" w:ascii="宋体" w:hAnsi="宋体" w:eastAsia="宋体" w:cs="宋体"/>
          <w:sz w:val="28"/>
          <w:szCs w:val="28"/>
        </w:rPr>
        <w:t>合同</w:t>
      </w:r>
      <w:r>
        <w:rPr>
          <w:rFonts w:hint="eastAsia" w:ascii="宋体" w:hAnsi="宋体" w:cs="宋体"/>
          <w:sz w:val="28"/>
          <w:szCs w:val="28"/>
          <w:lang w:eastAsia="zh-CN"/>
        </w:rPr>
        <w:t>文本</w:t>
      </w:r>
      <w:r>
        <w:rPr>
          <w:sz w:val="28"/>
          <w:szCs w:val="28"/>
        </w:rPr>
        <w:tab/>
      </w:r>
      <w:r>
        <w:rPr>
          <w:sz w:val="28"/>
          <w:szCs w:val="28"/>
        </w:rPr>
        <w:fldChar w:fldCharType="begin"/>
      </w:r>
      <w:r>
        <w:rPr>
          <w:sz w:val="28"/>
          <w:szCs w:val="28"/>
        </w:rPr>
        <w:instrText xml:space="preserve"> PAGEREF _Toc5542 \h </w:instrText>
      </w:r>
      <w:r>
        <w:rPr>
          <w:sz w:val="28"/>
          <w:szCs w:val="28"/>
        </w:rPr>
        <w:fldChar w:fldCharType="separate"/>
      </w:r>
      <w:r>
        <w:rPr>
          <w:sz w:val="28"/>
          <w:szCs w:val="28"/>
        </w:rPr>
        <w:t>28</w:t>
      </w:r>
      <w:r>
        <w:rPr>
          <w:sz w:val="28"/>
          <w:szCs w:val="28"/>
        </w:rPr>
        <w:fldChar w:fldCharType="end"/>
      </w:r>
      <w:r>
        <w:rPr>
          <w:rFonts w:hint="eastAsia" w:ascii="宋体" w:hAnsi="宋体" w:eastAsia="宋体" w:cs="宋体"/>
          <w:color w:val="FF0000"/>
          <w:sz w:val="28"/>
          <w:szCs w:val="28"/>
        </w:rPr>
        <w:fldChar w:fldCharType="end"/>
      </w:r>
    </w:p>
    <w:p>
      <w:pPr>
        <w:pStyle w:val="25"/>
        <w:tabs>
          <w:tab w:val="right" w:leader="dot" w:pos="8820"/>
        </w:tabs>
        <w:rPr>
          <w:sz w:val="28"/>
          <w:szCs w:val="28"/>
        </w:rPr>
      </w:pPr>
      <w:r>
        <w:rPr>
          <w:rFonts w:hint="eastAsia" w:ascii="宋体" w:hAnsi="宋体" w:eastAsia="宋体" w:cs="宋体"/>
          <w:color w:val="FF0000"/>
          <w:sz w:val="28"/>
          <w:szCs w:val="28"/>
        </w:rPr>
        <w:fldChar w:fldCharType="begin"/>
      </w:r>
      <w:r>
        <w:rPr>
          <w:rFonts w:hint="eastAsia" w:ascii="宋体" w:hAnsi="宋体" w:eastAsia="宋体" w:cs="宋体"/>
          <w:sz w:val="28"/>
          <w:szCs w:val="28"/>
        </w:rPr>
        <w:instrText xml:space="preserve"> HYPERLINK \l _Toc24987 </w:instrText>
      </w:r>
      <w:r>
        <w:rPr>
          <w:rFonts w:hint="eastAsia" w:ascii="宋体" w:hAnsi="宋体" w:eastAsia="宋体" w:cs="宋体"/>
          <w:sz w:val="28"/>
          <w:szCs w:val="28"/>
        </w:rPr>
        <w:fldChar w:fldCharType="separate"/>
      </w:r>
      <w:r>
        <w:rPr>
          <w:rFonts w:hint="eastAsia" w:ascii="宋体" w:hAnsi="宋体" w:eastAsia="宋体" w:cs="宋体"/>
          <w:bCs/>
          <w:sz w:val="28"/>
          <w:szCs w:val="28"/>
        </w:rPr>
        <w:t xml:space="preserve">第五章 </w:t>
      </w:r>
      <w:r>
        <w:rPr>
          <w:rFonts w:hint="eastAsia" w:ascii="宋体" w:hAnsi="宋体" w:eastAsia="宋体" w:cs="宋体"/>
          <w:sz w:val="28"/>
          <w:szCs w:val="28"/>
        </w:rPr>
        <w:t>采购需求</w:t>
      </w:r>
      <w:r>
        <w:rPr>
          <w:sz w:val="28"/>
          <w:szCs w:val="28"/>
        </w:rPr>
        <w:tab/>
      </w:r>
      <w:r>
        <w:rPr>
          <w:sz w:val="28"/>
          <w:szCs w:val="28"/>
        </w:rPr>
        <w:fldChar w:fldCharType="begin"/>
      </w:r>
      <w:r>
        <w:rPr>
          <w:sz w:val="28"/>
          <w:szCs w:val="28"/>
        </w:rPr>
        <w:instrText xml:space="preserve"> PAGEREF _Toc24987 \h </w:instrText>
      </w:r>
      <w:r>
        <w:rPr>
          <w:sz w:val="28"/>
          <w:szCs w:val="28"/>
        </w:rPr>
        <w:fldChar w:fldCharType="separate"/>
      </w:r>
      <w:r>
        <w:rPr>
          <w:sz w:val="28"/>
          <w:szCs w:val="28"/>
        </w:rPr>
        <w:t>30</w:t>
      </w:r>
      <w:r>
        <w:rPr>
          <w:sz w:val="28"/>
          <w:szCs w:val="28"/>
        </w:rPr>
        <w:fldChar w:fldCharType="end"/>
      </w:r>
      <w:r>
        <w:rPr>
          <w:rFonts w:hint="eastAsia" w:ascii="宋体" w:hAnsi="宋体" w:eastAsia="宋体" w:cs="宋体"/>
          <w:color w:val="FF0000"/>
          <w:sz w:val="28"/>
          <w:szCs w:val="28"/>
        </w:rPr>
        <w:fldChar w:fldCharType="end"/>
      </w:r>
    </w:p>
    <w:p>
      <w:pPr>
        <w:pStyle w:val="25"/>
        <w:tabs>
          <w:tab w:val="right" w:leader="dot" w:pos="8820"/>
        </w:tabs>
        <w:rPr>
          <w:sz w:val="28"/>
          <w:szCs w:val="28"/>
        </w:rPr>
      </w:pPr>
      <w:r>
        <w:rPr>
          <w:rFonts w:hint="eastAsia" w:ascii="宋体" w:hAnsi="宋体" w:eastAsia="宋体" w:cs="宋体"/>
          <w:color w:val="FF0000"/>
          <w:sz w:val="28"/>
          <w:szCs w:val="28"/>
        </w:rPr>
        <w:fldChar w:fldCharType="begin"/>
      </w:r>
      <w:r>
        <w:rPr>
          <w:rFonts w:hint="eastAsia" w:ascii="宋体" w:hAnsi="宋体" w:eastAsia="宋体" w:cs="宋体"/>
          <w:sz w:val="28"/>
          <w:szCs w:val="28"/>
        </w:rPr>
        <w:instrText xml:space="preserve"> HYPERLINK \l _Toc17770 </w:instrText>
      </w:r>
      <w:r>
        <w:rPr>
          <w:rFonts w:hint="eastAsia" w:ascii="宋体" w:hAnsi="宋体" w:eastAsia="宋体" w:cs="宋体"/>
          <w:sz w:val="28"/>
          <w:szCs w:val="28"/>
        </w:rPr>
        <w:fldChar w:fldCharType="separate"/>
      </w:r>
      <w:r>
        <w:rPr>
          <w:rFonts w:hint="eastAsia" w:ascii="宋体" w:hAnsi="宋体" w:eastAsia="宋体" w:cs="宋体"/>
          <w:bCs/>
          <w:sz w:val="28"/>
          <w:szCs w:val="28"/>
        </w:rPr>
        <w:t xml:space="preserve">第六章 </w:t>
      </w:r>
      <w:r>
        <w:rPr>
          <w:rFonts w:hint="eastAsia" w:ascii="宋体" w:hAnsi="宋体" w:eastAsia="宋体" w:cs="宋体"/>
          <w:sz w:val="28"/>
          <w:szCs w:val="28"/>
        </w:rPr>
        <w:t>响应文件格式</w:t>
      </w:r>
      <w:r>
        <w:rPr>
          <w:sz w:val="28"/>
          <w:szCs w:val="28"/>
        </w:rPr>
        <w:tab/>
      </w:r>
      <w:r>
        <w:rPr>
          <w:sz w:val="28"/>
          <w:szCs w:val="28"/>
        </w:rPr>
        <w:fldChar w:fldCharType="begin"/>
      </w:r>
      <w:r>
        <w:rPr>
          <w:sz w:val="28"/>
          <w:szCs w:val="28"/>
        </w:rPr>
        <w:instrText xml:space="preserve"> PAGEREF _Toc17770 \h </w:instrText>
      </w:r>
      <w:r>
        <w:rPr>
          <w:sz w:val="28"/>
          <w:szCs w:val="28"/>
        </w:rPr>
        <w:fldChar w:fldCharType="separate"/>
      </w:r>
      <w:r>
        <w:rPr>
          <w:sz w:val="28"/>
          <w:szCs w:val="28"/>
        </w:rPr>
        <w:t>45</w:t>
      </w:r>
      <w:r>
        <w:rPr>
          <w:sz w:val="28"/>
          <w:szCs w:val="28"/>
        </w:rPr>
        <w:fldChar w:fldCharType="end"/>
      </w:r>
      <w:r>
        <w:rPr>
          <w:rFonts w:hint="eastAsia" w:ascii="宋体" w:hAnsi="宋体" w:eastAsia="宋体" w:cs="宋体"/>
          <w:color w:val="FF0000"/>
          <w:sz w:val="28"/>
          <w:szCs w:val="28"/>
        </w:rPr>
        <w:fldChar w:fldCharType="end"/>
      </w:r>
    </w:p>
    <w:p>
      <w:pPr>
        <w:pStyle w:val="25"/>
        <w:tabs>
          <w:tab w:val="right" w:leader="dot" w:pos="8820"/>
        </w:tabs>
        <w:ind w:firstLine="280" w:firstLineChars="100"/>
        <w:rPr>
          <w:sz w:val="28"/>
          <w:szCs w:val="28"/>
        </w:rPr>
      </w:pPr>
      <w:r>
        <w:rPr>
          <w:rFonts w:hint="eastAsia" w:ascii="宋体" w:hAnsi="宋体" w:eastAsia="宋体" w:cs="宋体"/>
          <w:color w:val="FF0000"/>
          <w:sz w:val="28"/>
          <w:szCs w:val="28"/>
        </w:rPr>
        <w:fldChar w:fldCharType="begin"/>
      </w:r>
      <w:r>
        <w:rPr>
          <w:rFonts w:hint="eastAsia" w:ascii="宋体" w:hAnsi="宋体" w:eastAsia="宋体" w:cs="宋体"/>
          <w:sz w:val="28"/>
          <w:szCs w:val="28"/>
        </w:rPr>
        <w:instrText xml:space="preserve"> HYPERLINK \l _Toc17218 </w:instrText>
      </w:r>
      <w:r>
        <w:rPr>
          <w:rFonts w:hint="eastAsia" w:ascii="宋体" w:hAnsi="宋体" w:eastAsia="宋体" w:cs="宋体"/>
          <w:sz w:val="28"/>
          <w:szCs w:val="28"/>
        </w:rPr>
        <w:fldChar w:fldCharType="separate"/>
      </w:r>
      <w:r>
        <w:rPr>
          <w:rFonts w:hint="eastAsia" w:ascii="宋体" w:hAnsi="宋体" w:eastAsia="宋体" w:cs="宋体"/>
          <w:sz w:val="28"/>
          <w:szCs w:val="28"/>
        </w:rPr>
        <w:t xml:space="preserve">1. </w:t>
      </w:r>
      <w:r>
        <w:rPr>
          <w:rFonts w:hint="eastAsia" w:ascii="宋体" w:hAnsi="宋体" w:eastAsia="宋体" w:cs="宋体"/>
          <w:sz w:val="28"/>
          <w:szCs w:val="28"/>
          <w:lang w:eastAsia="zh-CN"/>
        </w:rPr>
        <w:t>磋商</w:t>
      </w:r>
      <w:r>
        <w:rPr>
          <w:rFonts w:hint="eastAsia" w:ascii="宋体" w:hAnsi="宋体" w:eastAsia="宋体" w:cs="宋体"/>
          <w:sz w:val="28"/>
          <w:szCs w:val="28"/>
        </w:rPr>
        <w:t>承诺函</w:t>
      </w:r>
      <w:r>
        <w:rPr>
          <w:sz w:val="28"/>
          <w:szCs w:val="28"/>
        </w:rPr>
        <w:tab/>
      </w:r>
      <w:r>
        <w:rPr>
          <w:sz w:val="28"/>
          <w:szCs w:val="28"/>
        </w:rPr>
        <w:fldChar w:fldCharType="begin"/>
      </w:r>
      <w:r>
        <w:rPr>
          <w:sz w:val="28"/>
          <w:szCs w:val="28"/>
        </w:rPr>
        <w:instrText xml:space="preserve"> PAGEREF _Toc17218 \h </w:instrText>
      </w:r>
      <w:r>
        <w:rPr>
          <w:sz w:val="28"/>
          <w:szCs w:val="28"/>
        </w:rPr>
        <w:fldChar w:fldCharType="separate"/>
      </w:r>
      <w:r>
        <w:rPr>
          <w:sz w:val="28"/>
          <w:szCs w:val="28"/>
        </w:rPr>
        <w:t>48</w:t>
      </w:r>
      <w:r>
        <w:rPr>
          <w:sz w:val="28"/>
          <w:szCs w:val="28"/>
        </w:rPr>
        <w:fldChar w:fldCharType="end"/>
      </w:r>
      <w:r>
        <w:rPr>
          <w:rFonts w:hint="eastAsia" w:ascii="宋体" w:hAnsi="宋体" w:eastAsia="宋体" w:cs="宋体"/>
          <w:color w:val="FF0000"/>
          <w:sz w:val="28"/>
          <w:szCs w:val="28"/>
        </w:rPr>
        <w:fldChar w:fldCharType="end"/>
      </w:r>
    </w:p>
    <w:p>
      <w:pPr>
        <w:pStyle w:val="25"/>
        <w:tabs>
          <w:tab w:val="right" w:leader="dot" w:pos="8820"/>
        </w:tabs>
        <w:ind w:firstLine="280" w:firstLineChars="100"/>
        <w:rPr>
          <w:sz w:val="28"/>
          <w:szCs w:val="28"/>
        </w:rPr>
      </w:pPr>
      <w:r>
        <w:rPr>
          <w:rFonts w:hint="eastAsia" w:ascii="宋体" w:hAnsi="宋体" w:eastAsia="宋体" w:cs="宋体"/>
          <w:color w:val="FF0000"/>
          <w:sz w:val="28"/>
          <w:szCs w:val="28"/>
        </w:rPr>
        <w:fldChar w:fldCharType="begin"/>
      </w:r>
      <w:r>
        <w:rPr>
          <w:rFonts w:hint="eastAsia" w:ascii="宋体" w:hAnsi="宋体" w:eastAsia="宋体" w:cs="宋体"/>
          <w:sz w:val="28"/>
          <w:szCs w:val="28"/>
        </w:rPr>
        <w:instrText xml:space="preserve"> HYPERLINK \l _Toc4067 </w:instrText>
      </w:r>
      <w:r>
        <w:rPr>
          <w:rFonts w:hint="eastAsia" w:ascii="宋体" w:hAnsi="宋体" w:eastAsia="宋体" w:cs="宋体"/>
          <w:sz w:val="28"/>
          <w:szCs w:val="28"/>
        </w:rPr>
        <w:fldChar w:fldCharType="separate"/>
      </w:r>
      <w:r>
        <w:rPr>
          <w:rFonts w:hint="eastAsia" w:ascii="宋体" w:hAnsi="宋体" w:eastAsia="宋体" w:cs="宋体"/>
          <w:sz w:val="28"/>
          <w:szCs w:val="28"/>
          <w:lang w:eastAsia="zh-CN"/>
        </w:rPr>
        <w:t>2. 承诺书</w:t>
      </w:r>
      <w:r>
        <w:rPr>
          <w:sz w:val="28"/>
          <w:szCs w:val="28"/>
        </w:rPr>
        <w:tab/>
      </w:r>
      <w:r>
        <w:rPr>
          <w:sz w:val="28"/>
          <w:szCs w:val="28"/>
        </w:rPr>
        <w:fldChar w:fldCharType="begin"/>
      </w:r>
      <w:r>
        <w:rPr>
          <w:sz w:val="28"/>
          <w:szCs w:val="28"/>
        </w:rPr>
        <w:instrText xml:space="preserve"> PAGEREF _Toc4067 \h </w:instrText>
      </w:r>
      <w:r>
        <w:rPr>
          <w:sz w:val="28"/>
          <w:szCs w:val="28"/>
        </w:rPr>
        <w:fldChar w:fldCharType="separate"/>
      </w:r>
      <w:r>
        <w:rPr>
          <w:sz w:val="28"/>
          <w:szCs w:val="28"/>
        </w:rPr>
        <w:t>49</w:t>
      </w:r>
      <w:r>
        <w:rPr>
          <w:sz w:val="28"/>
          <w:szCs w:val="28"/>
        </w:rPr>
        <w:fldChar w:fldCharType="end"/>
      </w:r>
      <w:r>
        <w:rPr>
          <w:rFonts w:hint="eastAsia" w:ascii="宋体" w:hAnsi="宋体" w:eastAsia="宋体" w:cs="宋体"/>
          <w:color w:val="FF0000"/>
          <w:sz w:val="28"/>
          <w:szCs w:val="28"/>
        </w:rPr>
        <w:fldChar w:fldCharType="end"/>
      </w:r>
    </w:p>
    <w:p>
      <w:pPr>
        <w:pStyle w:val="25"/>
        <w:tabs>
          <w:tab w:val="right" w:leader="dot" w:pos="8820"/>
        </w:tabs>
        <w:ind w:firstLine="280" w:firstLineChars="100"/>
        <w:rPr>
          <w:sz w:val="28"/>
          <w:szCs w:val="28"/>
        </w:rPr>
      </w:pPr>
      <w:r>
        <w:rPr>
          <w:rFonts w:hint="eastAsia" w:ascii="宋体" w:hAnsi="宋体" w:eastAsia="宋体" w:cs="宋体"/>
          <w:color w:val="FF0000"/>
          <w:sz w:val="28"/>
          <w:szCs w:val="28"/>
        </w:rPr>
        <w:fldChar w:fldCharType="begin"/>
      </w:r>
      <w:r>
        <w:rPr>
          <w:rFonts w:hint="eastAsia" w:ascii="宋体" w:hAnsi="宋体" w:eastAsia="宋体" w:cs="宋体"/>
          <w:sz w:val="28"/>
          <w:szCs w:val="28"/>
        </w:rPr>
        <w:instrText xml:space="preserve"> HYPERLINK \l _Toc27955 </w:instrText>
      </w:r>
      <w:r>
        <w:rPr>
          <w:rFonts w:hint="eastAsia" w:ascii="宋体" w:hAnsi="宋体" w:eastAsia="宋体" w:cs="宋体"/>
          <w:sz w:val="28"/>
          <w:szCs w:val="28"/>
        </w:rPr>
        <w:fldChar w:fldCharType="separate"/>
      </w:r>
      <w:r>
        <w:rPr>
          <w:rFonts w:hint="eastAsia" w:ascii="宋体" w:hAnsi="宋体" w:eastAsia="宋体" w:cs="宋体"/>
          <w:sz w:val="28"/>
          <w:szCs w:val="28"/>
        </w:rPr>
        <w:t>3. 供应商基本情况表</w:t>
      </w:r>
      <w:r>
        <w:rPr>
          <w:sz w:val="28"/>
          <w:szCs w:val="28"/>
        </w:rPr>
        <w:tab/>
      </w:r>
      <w:r>
        <w:rPr>
          <w:sz w:val="28"/>
          <w:szCs w:val="28"/>
        </w:rPr>
        <w:fldChar w:fldCharType="begin"/>
      </w:r>
      <w:r>
        <w:rPr>
          <w:sz w:val="28"/>
          <w:szCs w:val="28"/>
        </w:rPr>
        <w:instrText xml:space="preserve"> PAGEREF _Toc27955 \h </w:instrText>
      </w:r>
      <w:r>
        <w:rPr>
          <w:sz w:val="28"/>
          <w:szCs w:val="28"/>
        </w:rPr>
        <w:fldChar w:fldCharType="separate"/>
      </w:r>
      <w:r>
        <w:rPr>
          <w:sz w:val="28"/>
          <w:szCs w:val="28"/>
        </w:rPr>
        <w:t>50</w:t>
      </w:r>
      <w:r>
        <w:rPr>
          <w:sz w:val="28"/>
          <w:szCs w:val="28"/>
        </w:rPr>
        <w:fldChar w:fldCharType="end"/>
      </w:r>
      <w:r>
        <w:rPr>
          <w:rFonts w:hint="eastAsia" w:ascii="宋体" w:hAnsi="宋体" w:eastAsia="宋体" w:cs="宋体"/>
          <w:color w:val="FF0000"/>
          <w:sz w:val="28"/>
          <w:szCs w:val="28"/>
        </w:rPr>
        <w:fldChar w:fldCharType="end"/>
      </w:r>
    </w:p>
    <w:p>
      <w:pPr>
        <w:pStyle w:val="25"/>
        <w:tabs>
          <w:tab w:val="right" w:leader="dot" w:pos="8820"/>
        </w:tabs>
        <w:ind w:firstLine="280" w:firstLineChars="100"/>
        <w:rPr>
          <w:sz w:val="28"/>
          <w:szCs w:val="28"/>
        </w:rPr>
      </w:pPr>
      <w:r>
        <w:rPr>
          <w:rFonts w:hint="eastAsia" w:ascii="宋体" w:hAnsi="宋体" w:eastAsia="宋体" w:cs="宋体"/>
          <w:color w:val="FF0000"/>
          <w:sz w:val="28"/>
          <w:szCs w:val="28"/>
        </w:rPr>
        <w:fldChar w:fldCharType="begin"/>
      </w:r>
      <w:r>
        <w:rPr>
          <w:rFonts w:hint="eastAsia" w:ascii="宋体" w:hAnsi="宋体" w:eastAsia="宋体" w:cs="宋体"/>
          <w:sz w:val="28"/>
          <w:szCs w:val="28"/>
        </w:rPr>
        <w:instrText xml:space="preserve"> HYPERLINK \l _Toc2713 </w:instrText>
      </w:r>
      <w:r>
        <w:rPr>
          <w:rFonts w:hint="eastAsia" w:ascii="宋体" w:hAnsi="宋体" w:eastAsia="宋体" w:cs="宋体"/>
          <w:sz w:val="28"/>
          <w:szCs w:val="28"/>
        </w:rPr>
        <w:fldChar w:fldCharType="separate"/>
      </w:r>
      <w:r>
        <w:rPr>
          <w:rFonts w:hint="eastAsia" w:ascii="宋体" w:hAnsi="宋体" w:eastAsia="宋体" w:cs="宋体"/>
          <w:sz w:val="28"/>
          <w:szCs w:val="28"/>
        </w:rPr>
        <w:t>4. 第一轮报价表</w:t>
      </w:r>
      <w:r>
        <w:rPr>
          <w:sz w:val="28"/>
          <w:szCs w:val="28"/>
        </w:rPr>
        <w:tab/>
      </w:r>
      <w:r>
        <w:rPr>
          <w:sz w:val="28"/>
          <w:szCs w:val="28"/>
        </w:rPr>
        <w:fldChar w:fldCharType="begin"/>
      </w:r>
      <w:r>
        <w:rPr>
          <w:sz w:val="28"/>
          <w:szCs w:val="28"/>
        </w:rPr>
        <w:instrText xml:space="preserve"> PAGEREF _Toc2713 \h </w:instrText>
      </w:r>
      <w:r>
        <w:rPr>
          <w:sz w:val="28"/>
          <w:szCs w:val="28"/>
        </w:rPr>
        <w:fldChar w:fldCharType="separate"/>
      </w:r>
      <w:r>
        <w:rPr>
          <w:sz w:val="28"/>
          <w:szCs w:val="28"/>
        </w:rPr>
        <w:t>51</w:t>
      </w:r>
      <w:r>
        <w:rPr>
          <w:sz w:val="28"/>
          <w:szCs w:val="28"/>
        </w:rPr>
        <w:fldChar w:fldCharType="end"/>
      </w:r>
      <w:r>
        <w:rPr>
          <w:rFonts w:hint="eastAsia" w:ascii="宋体" w:hAnsi="宋体" w:eastAsia="宋体" w:cs="宋体"/>
          <w:color w:val="FF0000"/>
          <w:sz w:val="28"/>
          <w:szCs w:val="28"/>
        </w:rPr>
        <w:fldChar w:fldCharType="end"/>
      </w:r>
    </w:p>
    <w:p>
      <w:pPr>
        <w:pStyle w:val="25"/>
        <w:tabs>
          <w:tab w:val="right" w:leader="dot" w:pos="8820"/>
        </w:tabs>
        <w:ind w:firstLine="280" w:firstLineChars="100"/>
        <w:rPr>
          <w:sz w:val="28"/>
          <w:szCs w:val="28"/>
        </w:rPr>
      </w:pPr>
      <w:r>
        <w:rPr>
          <w:rFonts w:hint="eastAsia" w:ascii="宋体" w:hAnsi="宋体" w:eastAsia="宋体" w:cs="宋体"/>
          <w:color w:val="FF0000"/>
          <w:sz w:val="28"/>
          <w:szCs w:val="28"/>
        </w:rPr>
        <w:fldChar w:fldCharType="begin"/>
      </w:r>
      <w:r>
        <w:rPr>
          <w:rFonts w:hint="eastAsia" w:ascii="宋体" w:hAnsi="宋体" w:eastAsia="宋体" w:cs="宋体"/>
          <w:sz w:val="28"/>
          <w:szCs w:val="28"/>
        </w:rPr>
        <w:instrText xml:space="preserve"> HYPERLINK \l _Toc21907 </w:instrText>
      </w:r>
      <w:r>
        <w:rPr>
          <w:rFonts w:hint="eastAsia" w:ascii="宋体" w:hAnsi="宋体" w:eastAsia="宋体" w:cs="宋体"/>
          <w:sz w:val="28"/>
          <w:szCs w:val="28"/>
        </w:rPr>
        <w:fldChar w:fldCharType="separate"/>
      </w:r>
      <w:r>
        <w:rPr>
          <w:rFonts w:hint="eastAsia" w:ascii="宋体" w:hAnsi="宋体" w:eastAsia="宋体" w:cs="宋体"/>
          <w:sz w:val="28"/>
          <w:szCs w:val="28"/>
        </w:rPr>
        <w:t xml:space="preserve">5. </w:t>
      </w:r>
      <w:r>
        <w:rPr>
          <w:rFonts w:hint="eastAsia" w:ascii="宋体" w:hAnsi="宋体" w:eastAsia="宋体" w:cs="宋体"/>
          <w:sz w:val="28"/>
          <w:szCs w:val="28"/>
          <w:lang w:eastAsia="zh-CN"/>
        </w:rPr>
        <w:t>技术响应表</w:t>
      </w:r>
      <w:r>
        <w:rPr>
          <w:sz w:val="28"/>
          <w:szCs w:val="28"/>
        </w:rPr>
        <w:tab/>
      </w:r>
      <w:r>
        <w:rPr>
          <w:sz w:val="28"/>
          <w:szCs w:val="28"/>
        </w:rPr>
        <w:fldChar w:fldCharType="begin"/>
      </w:r>
      <w:r>
        <w:rPr>
          <w:sz w:val="28"/>
          <w:szCs w:val="28"/>
        </w:rPr>
        <w:instrText xml:space="preserve"> PAGEREF _Toc21907 \h </w:instrText>
      </w:r>
      <w:r>
        <w:rPr>
          <w:sz w:val="28"/>
          <w:szCs w:val="28"/>
        </w:rPr>
        <w:fldChar w:fldCharType="separate"/>
      </w:r>
      <w:r>
        <w:rPr>
          <w:sz w:val="28"/>
          <w:szCs w:val="28"/>
        </w:rPr>
        <w:t>52</w:t>
      </w:r>
      <w:r>
        <w:rPr>
          <w:sz w:val="28"/>
          <w:szCs w:val="28"/>
        </w:rPr>
        <w:fldChar w:fldCharType="end"/>
      </w:r>
      <w:r>
        <w:rPr>
          <w:rFonts w:hint="eastAsia" w:ascii="宋体" w:hAnsi="宋体" w:eastAsia="宋体" w:cs="宋体"/>
          <w:color w:val="FF0000"/>
          <w:sz w:val="28"/>
          <w:szCs w:val="28"/>
        </w:rPr>
        <w:fldChar w:fldCharType="end"/>
      </w:r>
    </w:p>
    <w:p>
      <w:pPr>
        <w:pStyle w:val="25"/>
        <w:tabs>
          <w:tab w:val="right" w:leader="dot" w:pos="8820"/>
        </w:tabs>
        <w:ind w:firstLine="280" w:firstLineChars="100"/>
        <w:rPr>
          <w:sz w:val="28"/>
          <w:szCs w:val="28"/>
        </w:rPr>
      </w:pPr>
      <w:r>
        <w:rPr>
          <w:rFonts w:hint="eastAsia" w:ascii="宋体" w:hAnsi="宋体" w:eastAsia="宋体" w:cs="宋体"/>
          <w:color w:val="FF0000"/>
          <w:sz w:val="28"/>
          <w:szCs w:val="28"/>
        </w:rPr>
        <w:fldChar w:fldCharType="begin"/>
      </w:r>
      <w:r>
        <w:rPr>
          <w:rFonts w:hint="eastAsia" w:ascii="宋体" w:hAnsi="宋体" w:eastAsia="宋体" w:cs="宋体"/>
          <w:sz w:val="28"/>
          <w:szCs w:val="28"/>
        </w:rPr>
        <w:instrText xml:space="preserve"> HYPERLINK \l _Toc405 </w:instrText>
      </w:r>
      <w:r>
        <w:rPr>
          <w:rFonts w:hint="eastAsia" w:ascii="宋体" w:hAnsi="宋体" w:eastAsia="宋体" w:cs="宋体"/>
          <w:sz w:val="28"/>
          <w:szCs w:val="28"/>
        </w:rPr>
        <w:fldChar w:fldCharType="separate"/>
      </w:r>
      <w:r>
        <w:rPr>
          <w:rFonts w:hint="eastAsia" w:ascii="宋体" w:hAnsi="宋体" w:eastAsia="宋体" w:cs="宋体"/>
          <w:sz w:val="28"/>
          <w:szCs w:val="28"/>
        </w:rPr>
        <w:t>6. 商务响应表</w:t>
      </w:r>
      <w:r>
        <w:rPr>
          <w:sz w:val="28"/>
          <w:szCs w:val="28"/>
        </w:rPr>
        <w:tab/>
      </w:r>
      <w:r>
        <w:rPr>
          <w:sz w:val="28"/>
          <w:szCs w:val="28"/>
        </w:rPr>
        <w:fldChar w:fldCharType="begin"/>
      </w:r>
      <w:r>
        <w:rPr>
          <w:sz w:val="28"/>
          <w:szCs w:val="28"/>
        </w:rPr>
        <w:instrText xml:space="preserve"> PAGEREF _Toc405 \h </w:instrText>
      </w:r>
      <w:r>
        <w:rPr>
          <w:sz w:val="28"/>
          <w:szCs w:val="28"/>
        </w:rPr>
        <w:fldChar w:fldCharType="separate"/>
      </w:r>
      <w:r>
        <w:rPr>
          <w:sz w:val="28"/>
          <w:szCs w:val="28"/>
        </w:rPr>
        <w:t>53</w:t>
      </w:r>
      <w:r>
        <w:rPr>
          <w:sz w:val="28"/>
          <w:szCs w:val="28"/>
        </w:rPr>
        <w:fldChar w:fldCharType="end"/>
      </w:r>
      <w:r>
        <w:rPr>
          <w:rFonts w:hint="eastAsia" w:ascii="宋体" w:hAnsi="宋体" w:eastAsia="宋体" w:cs="宋体"/>
          <w:color w:val="FF0000"/>
          <w:sz w:val="28"/>
          <w:szCs w:val="28"/>
        </w:rPr>
        <w:fldChar w:fldCharType="end"/>
      </w:r>
    </w:p>
    <w:p>
      <w:pPr>
        <w:pStyle w:val="25"/>
        <w:tabs>
          <w:tab w:val="right" w:leader="dot" w:pos="8820"/>
        </w:tabs>
        <w:ind w:firstLine="280" w:firstLineChars="100"/>
        <w:rPr>
          <w:sz w:val="28"/>
          <w:szCs w:val="28"/>
        </w:rPr>
      </w:pPr>
      <w:r>
        <w:rPr>
          <w:rFonts w:hint="eastAsia" w:ascii="宋体" w:hAnsi="宋体" w:eastAsia="宋体" w:cs="宋体"/>
          <w:color w:val="FF0000"/>
          <w:sz w:val="28"/>
          <w:szCs w:val="28"/>
        </w:rPr>
        <w:fldChar w:fldCharType="begin"/>
      </w:r>
      <w:r>
        <w:rPr>
          <w:rFonts w:hint="eastAsia" w:ascii="宋体" w:hAnsi="宋体" w:eastAsia="宋体" w:cs="宋体"/>
          <w:sz w:val="28"/>
          <w:szCs w:val="28"/>
        </w:rPr>
        <w:instrText xml:space="preserve"> HYPERLINK \l _Toc13168 </w:instrText>
      </w:r>
      <w:r>
        <w:rPr>
          <w:rFonts w:hint="eastAsia" w:ascii="宋体" w:hAnsi="宋体" w:eastAsia="宋体" w:cs="宋体"/>
          <w:sz w:val="28"/>
          <w:szCs w:val="28"/>
        </w:rPr>
        <w:fldChar w:fldCharType="separate"/>
      </w:r>
      <w:r>
        <w:rPr>
          <w:rFonts w:hint="eastAsia" w:ascii="宋体" w:hAnsi="宋体" w:eastAsia="宋体" w:cs="宋体"/>
          <w:sz w:val="28"/>
          <w:szCs w:val="28"/>
        </w:rPr>
        <w:t>7. 资格证明材料</w:t>
      </w:r>
      <w:r>
        <w:rPr>
          <w:sz w:val="28"/>
          <w:szCs w:val="28"/>
        </w:rPr>
        <w:tab/>
      </w:r>
      <w:r>
        <w:rPr>
          <w:sz w:val="28"/>
          <w:szCs w:val="28"/>
        </w:rPr>
        <w:fldChar w:fldCharType="begin"/>
      </w:r>
      <w:r>
        <w:rPr>
          <w:sz w:val="28"/>
          <w:szCs w:val="28"/>
        </w:rPr>
        <w:instrText xml:space="preserve"> PAGEREF _Toc13168 \h </w:instrText>
      </w:r>
      <w:r>
        <w:rPr>
          <w:sz w:val="28"/>
          <w:szCs w:val="28"/>
        </w:rPr>
        <w:fldChar w:fldCharType="separate"/>
      </w:r>
      <w:r>
        <w:rPr>
          <w:sz w:val="28"/>
          <w:szCs w:val="28"/>
        </w:rPr>
        <w:t>54</w:t>
      </w:r>
      <w:r>
        <w:rPr>
          <w:sz w:val="28"/>
          <w:szCs w:val="28"/>
        </w:rPr>
        <w:fldChar w:fldCharType="end"/>
      </w:r>
      <w:r>
        <w:rPr>
          <w:rFonts w:hint="eastAsia" w:ascii="宋体" w:hAnsi="宋体" w:eastAsia="宋体" w:cs="宋体"/>
          <w:color w:val="FF0000"/>
          <w:sz w:val="28"/>
          <w:szCs w:val="28"/>
        </w:rPr>
        <w:fldChar w:fldCharType="end"/>
      </w:r>
    </w:p>
    <w:p>
      <w:pPr>
        <w:pStyle w:val="25"/>
        <w:tabs>
          <w:tab w:val="right" w:leader="dot" w:pos="8820"/>
        </w:tabs>
        <w:ind w:firstLine="280" w:firstLineChars="100"/>
        <w:rPr>
          <w:sz w:val="28"/>
          <w:szCs w:val="28"/>
        </w:rPr>
      </w:pPr>
      <w:r>
        <w:rPr>
          <w:rFonts w:hint="eastAsia" w:ascii="宋体" w:hAnsi="宋体" w:eastAsia="宋体" w:cs="宋体"/>
          <w:color w:val="FF0000"/>
          <w:sz w:val="28"/>
          <w:szCs w:val="28"/>
        </w:rPr>
        <w:fldChar w:fldCharType="begin"/>
      </w:r>
      <w:r>
        <w:rPr>
          <w:rFonts w:hint="eastAsia" w:ascii="宋体" w:hAnsi="宋体" w:eastAsia="宋体" w:cs="宋体"/>
          <w:sz w:val="28"/>
          <w:szCs w:val="28"/>
        </w:rPr>
        <w:instrText xml:space="preserve"> HYPERLINK \l _Toc7113 </w:instrText>
      </w:r>
      <w:r>
        <w:rPr>
          <w:rFonts w:hint="eastAsia" w:ascii="宋体" w:hAnsi="宋体" w:eastAsia="宋体" w:cs="宋体"/>
          <w:sz w:val="28"/>
          <w:szCs w:val="28"/>
        </w:rPr>
        <w:fldChar w:fldCharType="separate"/>
      </w:r>
      <w:r>
        <w:rPr>
          <w:rFonts w:hint="eastAsia" w:ascii="宋体" w:hAnsi="宋体" w:eastAsia="宋体" w:cs="宋体"/>
          <w:sz w:val="28"/>
          <w:szCs w:val="28"/>
        </w:rPr>
        <w:t>8. 法定代表人身份证明或授权委托书</w:t>
      </w:r>
      <w:r>
        <w:rPr>
          <w:sz w:val="28"/>
          <w:szCs w:val="28"/>
        </w:rPr>
        <w:tab/>
      </w:r>
      <w:r>
        <w:rPr>
          <w:sz w:val="28"/>
          <w:szCs w:val="28"/>
        </w:rPr>
        <w:fldChar w:fldCharType="begin"/>
      </w:r>
      <w:r>
        <w:rPr>
          <w:sz w:val="28"/>
          <w:szCs w:val="28"/>
        </w:rPr>
        <w:instrText xml:space="preserve"> PAGEREF _Toc7113 \h </w:instrText>
      </w:r>
      <w:r>
        <w:rPr>
          <w:sz w:val="28"/>
          <w:szCs w:val="28"/>
        </w:rPr>
        <w:fldChar w:fldCharType="separate"/>
      </w:r>
      <w:r>
        <w:rPr>
          <w:sz w:val="28"/>
          <w:szCs w:val="28"/>
        </w:rPr>
        <w:t>60</w:t>
      </w:r>
      <w:r>
        <w:rPr>
          <w:sz w:val="28"/>
          <w:szCs w:val="28"/>
        </w:rPr>
        <w:fldChar w:fldCharType="end"/>
      </w:r>
      <w:r>
        <w:rPr>
          <w:rFonts w:hint="eastAsia" w:ascii="宋体" w:hAnsi="宋体" w:eastAsia="宋体" w:cs="宋体"/>
          <w:color w:val="FF0000"/>
          <w:sz w:val="28"/>
          <w:szCs w:val="28"/>
        </w:rPr>
        <w:fldChar w:fldCharType="end"/>
      </w:r>
    </w:p>
    <w:p>
      <w:pPr>
        <w:pStyle w:val="25"/>
        <w:tabs>
          <w:tab w:val="right" w:leader="dot" w:pos="8820"/>
        </w:tabs>
        <w:ind w:firstLine="280" w:firstLineChars="100"/>
        <w:rPr>
          <w:sz w:val="28"/>
          <w:szCs w:val="28"/>
        </w:rPr>
      </w:pPr>
      <w:r>
        <w:rPr>
          <w:rFonts w:hint="eastAsia" w:ascii="宋体" w:hAnsi="宋体" w:eastAsia="宋体" w:cs="宋体"/>
          <w:color w:val="FF0000"/>
          <w:sz w:val="28"/>
          <w:szCs w:val="28"/>
        </w:rPr>
        <w:fldChar w:fldCharType="begin"/>
      </w:r>
      <w:r>
        <w:rPr>
          <w:rFonts w:hint="eastAsia" w:ascii="宋体" w:hAnsi="宋体" w:eastAsia="宋体" w:cs="宋体"/>
          <w:sz w:val="28"/>
          <w:szCs w:val="28"/>
        </w:rPr>
        <w:instrText xml:space="preserve"> HYPERLINK \l _Toc24855 </w:instrText>
      </w:r>
      <w:r>
        <w:rPr>
          <w:rFonts w:hint="eastAsia" w:ascii="宋体" w:hAnsi="宋体" w:eastAsia="宋体" w:cs="宋体"/>
          <w:sz w:val="28"/>
          <w:szCs w:val="28"/>
        </w:rPr>
        <w:fldChar w:fldCharType="separate"/>
      </w:r>
      <w:r>
        <w:rPr>
          <w:rFonts w:hint="eastAsia" w:ascii="宋体" w:hAnsi="宋体" w:eastAsia="宋体" w:cs="宋体"/>
          <w:sz w:val="28"/>
          <w:szCs w:val="28"/>
          <w:lang w:val="en-US" w:eastAsia="zh-CN"/>
        </w:rPr>
        <w:t>9.</w:t>
      </w:r>
      <w:r>
        <w:rPr>
          <w:rFonts w:hint="eastAsia" w:ascii="宋体" w:hAnsi="宋体" w:eastAsia="宋体" w:cs="宋体"/>
          <w:sz w:val="28"/>
          <w:szCs w:val="28"/>
        </w:rPr>
        <w:t>竞争性磋商文件要求的以及供应商认为应该提供的其他材料</w:t>
      </w:r>
      <w:r>
        <w:rPr>
          <w:sz w:val="28"/>
          <w:szCs w:val="28"/>
        </w:rPr>
        <w:tab/>
      </w:r>
      <w:r>
        <w:rPr>
          <w:sz w:val="28"/>
          <w:szCs w:val="28"/>
        </w:rPr>
        <w:fldChar w:fldCharType="begin"/>
      </w:r>
      <w:r>
        <w:rPr>
          <w:sz w:val="28"/>
          <w:szCs w:val="28"/>
        </w:rPr>
        <w:instrText xml:space="preserve"> PAGEREF _Toc24855 \h </w:instrText>
      </w:r>
      <w:r>
        <w:rPr>
          <w:sz w:val="28"/>
          <w:szCs w:val="28"/>
        </w:rPr>
        <w:fldChar w:fldCharType="separate"/>
      </w:r>
      <w:r>
        <w:rPr>
          <w:sz w:val="28"/>
          <w:szCs w:val="28"/>
        </w:rPr>
        <w:t>62</w:t>
      </w:r>
      <w:r>
        <w:rPr>
          <w:sz w:val="28"/>
          <w:szCs w:val="28"/>
        </w:rPr>
        <w:fldChar w:fldCharType="end"/>
      </w:r>
      <w:r>
        <w:rPr>
          <w:rFonts w:hint="eastAsia" w:ascii="宋体" w:hAnsi="宋体" w:eastAsia="宋体" w:cs="宋体"/>
          <w:color w:val="FF0000"/>
          <w:sz w:val="28"/>
          <w:szCs w:val="28"/>
        </w:rPr>
        <w:fldChar w:fldCharType="end"/>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color w:val="FF0000"/>
          <w:sz w:val="28"/>
          <w:szCs w:val="28"/>
        </w:rPr>
      </w:pPr>
      <w:r>
        <w:rPr>
          <w:rFonts w:hint="eastAsia" w:ascii="宋体" w:hAnsi="宋体" w:eastAsia="宋体" w:cs="宋体"/>
          <w:color w:val="FF0000"/>
          <w:sz w:val="28"/>
          <w:szCs w:val="28"/>
        </w:rPr>
        <w:fldChar w:fldCharType="end"/>
      </w:r>
    </w:p>
    <w:p>
      <w:pPr>
        <w:pStyle w:val="81"/>
        <w:ind w:firstLine="480" w:firstLineChars="200"/>
        <w:rPr>
          <w:rFonts w:hint="eastAsia" w:ascii="宋体" w:hAnsi="宋体" w:eastAsia="宋体" w:cs="宋体"/>
          <w:color w:val="FF0000"/>
          <w:lang w:eastAsia="zh-CN"/>
        </w:rPr>
      </w:pPr>
    </w:p>
    <w:p>
      <w:pPr>
        <w:rPr>
          <w:rFonts w:hint="eastAsia" w:ascii="宋体" w:hAnsi="宋体" w:eastAsia="宋体" w:cs="宋体"/>
          <w:color w:val="FF0000"/>
        </w:rPr>
        <w:sectPr>
          <w:footerReference r:id="rId7" w:type="default"/>
          <w:pgSz w:w="11906" w:h="16838"/>
          <w:pgMar w:top="1440" w:right="1286" w:bottom="1440" w:left="1800" w:header="851" w:footer="992" w:gutter="0"/>
          <w:pgNumType w:fmt="decimal" w:start="1"/>
          <w:cols w:space="720" w:num="1"/>
          <w:docGrid w:type="lines" w:linePitch="312" w:charSpace="0"/>
        </w:sectPr>
      </w:pPr>
    </w:p>
    <w:p>
      <w:pPr>
        <w:pStyle w:val="34"/>
        <w:keepNext w:val="0"/>
        <w:keepLines w:val="0"/>
        <w:pageBreakBefore w:val="0"/>
        <w:widowControl w:val="0"/>
        <w:numPr>
          <w:ilvl w:val="0"/>
          <w:numId w:val="1"/>
        </w:numPr>
        <w:kinsoku/>
        <w:wordWrap/>
        <w:overflowPunct/>
        <w:topLinePunct w:val="0"/>
        <w:autoSpaceDE/>
        <w:autoSpaceDN/>
        <w:bidi w:val="0"/>
        <w:adjustRightInd/>
        <w:snapToGrid/>
        <w:spacing w:before="0" w:after="0" w:line="360" w:lineRule="auto"/>
        <w:ind w:firstLine="403"/>
        <w:textAlignment w:val="auto"/>
        <w:outlineLvl w:val="0"/>
        <w:rPr>
          <w:rFonts w:hint="eastAsia"/>
        </w:rPr>
      </w:pPr>
      <w:bookmarkStart w:id="5" w:name="_Toc30299"/>
      <w:bookmarkStart w:id="6" w:name="_Toc14393"/>
      <w:bookmarkStart w:id="7" w:name="_Toc30568"/>
      <w:r>
        <w:rPr>
          <w:rFonts w:hint="eastAsia"/>
        </w:rPr>
        <w:t>竞争性磋商公告</w:t>
      </w:r>
      <w:bookmarkEnd w:id="5"/>
      <w:bookmarkEnd w:id="6"/>
      <w:bookmarkEnd w:id="7"/>
    </w:p>
    <w:p>
      <w:pPr>
        <w:spacing w:line="380" w:lineRule="exact"/>
        <w:jc w:val="center"/>
        <w:rPr>
          <w:rFonts w:hint="eastAsia" w:ascii="宋体" w:hAnsi="宋体" w:cs="宋体"/>
          <w:b/>
          <w:bCs/>
          <w:sz w:val="24"/>
          <w:szCs w:val="24"/>
        </w:rPr>
      </w:pPr>
      <w:r>
        <w:rPr>
          <w:rFonts w:hint="eastAsia" w:ascii="宋体" w:hAnsi="宋体" w:cs="宋体"/>
          <w:b/>
          <w:bCs/>
          <w:sz w:val="28"/>
          <w:szCs w:val="28"/>
          <w:lang w:val="en-US" w:eastAsia="zh-CN"/>
        </w:rPr>
        <w:t>武陟县市场监督管理局食品安全抽样检测工作</w:t>
      </w:r>
      <w:r>
        <w:rPr>
          <w:rFonts w:hint="eastAsia" w:ascii="宋体" w:hAnsi="宋体" w:cs="宋体"/>
          <w:b/>
          <w:bCs/>
          <w:sz w:val="28"/>
          <w:szCs w:val="28"/>
        </w:rPr>
        <w:t>竞争性磋商公告(不见面磋商)</w:t>
      </w:r>
    </w:p>
    <w:p>
      <w:pPr>
        <w:spacing w:line="400" w:lineRule="exact"/>
        <w:rPr>
          <w:rFonts w:hint="eastAsia" w:ascii="宋体" w:hAnsi="宋体" w:cs="宋体"/>
          <w:sz w:val="24"/>
          <w:szCs w:val="24"/>
        </w:rPr>
      </w:pPr>
      <w:r>
        <w:rPr>
          <w:rFonts w:hint="eastAsia" w:ascii="宋体" w:hAnsi="宋体" w:cs="宋体"/>
          <w:sz w:val="24"/>
          <w:szCs w:val="24"/>
        </w:rPr>
        <w:t>项目概况</w:t>
      </w:r>
    </w:p>
    <w:p>
      <w:pPr>
        <w:spacing w:line="400" w:lineRule="exact"/>
        <w:ind w:firstLine="480" w:firstLineChars="200"/>
        <w:rPr>
          <w:rFonts w:hint="eastAsia" w:ascii="宋体" w:hAnsi="宋体" w:cs="宋体"/>
          <w:sz w:val="24"/>
          <w:szCs w:val="24"/>
        </w:rPr>
      </w:pPr>
      <w:r>
        <w:rPr>
          <w:rFonts w:hint="eastAsia" w:ascii="宋体" w:hAnsi="宋体" w:cs="宋体"/>
          <w:sz w:val="24"/>
          <w:szCs w:val="24"/>
          <w:lang w:val="en-US" w:eastAsia="zh-CN"/>
        </w:rPr>
        <w:t>武陟县市场监督管理局食品安全抽样检测工作采购项目</w:t>
      </w:r>
      <w:r>
        <w:rPr>
          <w:rFonts w:hint="eastAsia" w:ascii="宋体" w:hAnsi="宋体" w:cs="宋体"/>
          <w:sz w:val="24"/>
          <w:szCs w:val="24"/>
        </w:rPr>
        <w:t>的潜在供应商应登陆焦作市公共资源交易中心网站获取磋商文件，并于</w:t>
      </w:r>
      <w:r>
        <w:rPr>
          <w:rFonts w:hint="eastAsia" w:ascii="宋体" w:hAnsi="宋体" w:cs="宋体"/>
          <w:sz w:val="24"/>
          <w:szCs w:val="24"/>
          <w:u w:val="single"/>
          <w:lang w:val="en-US" w:eastAsia="zh-CN"/>
        </w:rPr>
        <w:t xml:space="preserve"> 2023  </w:t>
      </w:r>
      <w:r>
        <w:rPr>
          <w:rFonts w:hint="eastAsia" w:ascii="宋体" w:hAnsi="宋体" w:cs="宋体"/>
          <w:sz w:val="24"/>
          <w:szCs w:val="24"/>
        </w:rPr>
        <w:t>年</w:t>
      </w:r>
      <w:r>
        <w:rPr>
          <w:rFonts w:hint="eastAsia" w:ascii="宋体" w:hAnsi="宋体" w:cs="宋体"/>
          <w:sz w:val="24"/>
          <w:szCs w:val="24"/>
          <w:u w:val="single"/>
          <w:lang w:val="en-US" w:eastAsia="zh-CN"/>
        </w:rPr>
        <w:t xml:space="preserve">    </w:t>
      </w:r>
      <w:r>
        <w:rPr>
          <w:rFonts w:hint="eastAsia" w:ascii="宋体" w:hAnsi="宋体" w:cs="宋体"/>
          <w:sz w:val="24"/>
          <w:szCs w:val="24"/>
        </w:rPr>
        <w:t>月</w:t>
      </w:r>
      <w:r>
        <w:rPr>
          <w:rFonts w:hint="eastAsia" w:ascii="宋体" w:hAnsi="宋体" w:cs="宋体"/>
          <w:sz w:val="24"/>
          <w:szCs w:val="24"/>
          <w:u w:val="single"/>
          <w:lang w:val="en-US" w:eastAsia="zh-CN"/>
        </w:rPr>
        <w:t xml:space="preserve">    </w:t>
      </w:r>
      <w:r>
        <w:rPr>
          <w:rFonts w:hint="eastAsia" w:ascii="宋体" w:hAnsi="宋体" w:cs="宋体"/>
          <w:sz w:val="24"/>
          <w:szCs w:val="24"/>
        </w:rPr>
        <w:t>日09点00分00秒（北京时间）前提交响应文件。</w:t>
      </w:r>
    </w:p>
    <w:p>
      <w:pPr>
        <w:numPr>
          <w:ilvl w:val="0"/>
          <w:numId w:val="2"/>
        </w:numPr>
        <w:spacing w:line="400" w:lineRule="exact"/>
        <w:jc w:val="left"/>
        <w:rPr>
          <w:rFonts w:hint="eastAsia" w:ascii="宋体" w:hAnsi="宋体" w:cs="宋体"/>
          <w:b/>
          <w:bCs/>
          <w:sz w:val="24"/>
          <w:szCs w:val="24"/>
        </w:rPr>
      </w:pPr>
      <w:r>
        <w:rPr>
          <w:rFonts w:hint="eastAsia" w:ascii="宋体" w:hAnsi="宋体" w:cs="宋体"/>
          <w:b/>
          <w:bCs/>
          <w:sz w:val="24"/>
          <w:szCs w:val="24"/>
        </w:rPr>
        <w:t>项目基本情况</w:t>
      </w:r>
    </w:p>
    <w:p>
      <w:pPr>
        <w:spacing w:line="400" w:lineRule="exact"/>
        <w:ind w:firstLine="480" w:firstLineChars="200"/>
        <w:rPr>
          <w:rFonts w:hint="eastAsia" w:ascii="宋体" w:hAnsi="宋体" w:eastAsia="宋体" w:cs="宋体"/>
          <w:sz w:val="24"/>
          <w:szCs w:val="24"/>
          <w:highlight w:val="yellow"/>
          <w:lang w:eastAsia="zh-CN"/>
        </w:rPr>
      </w:pPr>
      <w:r>
        <w:rPr>
          <w:rFonts w:hint="eastAsia" w:ascii="宋体" w:hAnsi="宋体" w:cs="宋体"/>
          <w:sz w:val="24"/>
          <w:szCs w:val="24"/>
          <w:lang w:val="en-US" w:eastAsia="zh-CN"/>
        </w:rPr>
        <w:t>1、</w:t>
      </w:r>
      <w:r>
        <w:rPr>
          <w:rFonts w:hint="eastAsia" w:ascii="宋体" w:hAnsi="宋体" w:cs="宋体"/>
          <w:sz w:val="24"/>
          <w:szCs w:val="24"/>
        </w:rPr>
        <w:t>项目编号：</w:t>
      </w:r>
      <w:r>
        <w:rPr>
          <w:rFonts w:hint="eastAsia" w:ascii="宋体" w:hAnsi="宋体" w:cs="宋体"/>
          <w:sz w:val="24"/>
          <w:szCs w:val="24"/>
          <w:lang w:val="en-US" w:eastAsia="zh-CN"/>
        </w:rPr>
        <w:t>2023-CS-037</w:t>
      </w:r>
    </w:p>
    <w:p>
      <w:pPr>
        <w:spacing w:line="400" w:lineRule="exact"/>
        <w:ind w:firstLine="480" w:firstLineChars="200"/>
        <w:rPr>
          <w:rFonts w:hint="eastAsia" w:ascii="宋体" w:hAnsi="宋体" w:eastAsia="宋体" w:cs="宋体"/>
          <w:sz w:val="24"/>
          <w:szCs w:val="24"/>
          <w:lang w:eastAsia="zh-CN"/>
        </w:rPr>
      </w:pPr>
      <w:r>
        <w:rPr>
          <w:rFonts w:hint="eastAsia" w:ascii="宋体" w:hAnsi="宋体" w:cs="宋体"/>
          <w:sz w:val="24"/>
          <w:szCs w:val="24"/>
          <w:lang w:val="en-US" w:eastAsia="zh-CN"/>
        </w:rPr>
        <w:t>2、</w:t>
      </w:r>
      <w:r>
        <w:rPr>
          <w:rFonts w:hint="eastAsia" w:ascii="宋体" w:hAnsi="宋体" w:cs="宋体"/>
          <w:sz w:val="24"/>
          <w:szCs w:val="24"/>
        </w:rPr>
        <w:t>项目名称：</w:t>
      </w:r>
      <w:r>
        <w:rPr>
          <w:rFonts w:hint="eastAsia" w:ascii="宋体" w:hAnsi="宋体" w:cs="宋体"/>
          <w:sz w:val="24"/>
          <w:szCs w:val="24"/>
          <w:lang w:val="en-US" w:eastAsia="zh-CN"/>
        </w:rPr>
        <w:t>武陟县市场监督管理局食品安全抽样检测工作</w:t>
      </w:r>
    </w:p>
    <w:p>
      <w:pPr>
        <w:spacing w:line="400" w:lineRule="exact"/>
        <w:ind w:firstLine="480" w:firstLineChars="200"/>
        <w:rPr>
          <w:rFonts w:hint="eastAsia" w:ascii="宋体" w:hAnsi="宋体" w:cs="宋体"/>
          <w:sz w:val="24"/>
          <w:szCs w:val="24"/>
        </w:rPr>
      </w:pPr>
      <w:r>
        <w:rPr>
          <w:rFonts w:hint="eastAsia" w:ascii="宋体" w:hAnsi="宋体" w:cs="宋体"/>
          <w:sz w:val="24"/>
          <w:szCs w:val="24"/>
          <w:lang w:val="en-US" w:eastAsia="zh-CN"/>
        </w:rPr>
        <w:t>3、</w:t>
      </w:r>
      <w:r>
        <w:rPr>
          <w:rFonts w:hint="eastAsia" w:ascii="宋体" w:hAnsi="宋体" w:cs="宋体"/>
          <w:sz w:val="24"/>
          <w:szCs w:val="24"/>
        </w:rPr>
        <w:t>采购方式：竞争性磋商</w:t>
      </w:r>
    </w:p>
    <w:p>
      <w:pPr>
        <w:spacing w:line="400" w:lineRule="exact"/>
        <w:ind w:firstLine="480" w:firstLineChars="200"/>
        <w:rPr>
          <w:rFonts w:hint="eastAsia" w:ascii="宋体" w:hAnsi="宋体" w:cs="宋体"/>
          <w:sz w:val="24"/>
          <w:szCs w:val="24"/>
          <w:lang w:eastAsia="zh-CN"/>
        </w:rPr>
      </w:pPr>
      <w:r>
        <w:rPr>
          <w:rFonts w:hint="eastAsia" w:ascii="宋体" w:hAnsi="宋体" w:cs="宋体"/>
          <w:sz w:val="24"/>
          <w:szCs w:val="24"/>
          <w:lang w:val="en-US" w:eastAsia="zh-CN"/>
        </w:rPr>
        <w:t>4、</w:t>
      </w:r>
      <w:r>
        <w:rPr>
          <w:rFonts w:hint="eastAsia" w:ascii="宋体" w:hAnsi="宋体" w:cs="宋体"/>
          <w:sz w:val="24"/>
          <w:szCs w:val="24"/>
        </w:rPr>
        <w:t>预算金额：</w:t>
      </w:r>
      <w:r>
        <w:rPr>
          <w:rFonts w:hint="eastAsia" w:ascii="宋体" w:hAnsi="宋体" w:cs="宋体"/>
          <w:sz w:val="24"/>
          <w:szCs w:val="24"/>
          <w:lang w:val="en-US" w:eastAsia="zh-CN"/>
        </w:rPr>
        <w:t>90</w:t>
      </w:r>
      <w:r>
        <w:rPr>
          <w:rFonts w:hint="eastAsia" w:ascii="宋体" w:hAnsi="宋体" w:cs="宋体"/>
          <w:sz w:val="24"/>
          <w:szCs w:val="24"/>
          <w:lang w:eastAsia="zh-CN"/>
        </w:rPr>
        <w:t>0000</w:t>
      </w:r>
      <w:r>
        <w:rPr>
          <w:rFonts w:hint="eastAsia" w:ascii="宋体" w:hAnsi="宋体" w:cs="宋体"/>
          <w:sz w:val="24"/>
          <w:szCs w:val="24"/>
          <w:lang w:val="en-US" w:eastAsia="zh-CN"/>
        </w:rPr>
        <w:t>.00</w:t>
      </w:r>
      <w:r>
        <w:rPr>
          <w:rFonts w:hint="eastAsia" w:ascii="宋体" w:hAnsi="宋体" w:cs="宋体"/>
          <w:sz w:val="24"/>
          <w:szCs w:val="24"/>
          <w:lang w:eastAsia="zh-CN"/>
        </w:rPr>
        <w:t>元</w:t>
      </w:r>
    </w:p>
    <w:p>
      <w:pPr>
        <w:pStyle w:val="15"/>
        <w:rPr>
          <w:rFonts w:hint="eastAsia" w:ascii="宋体" w:hAnsi="宋体" w:cs="宋体"/>
          <w:sz w:val="24"/>
          <w:szCs w:val="24"/>
          <w:lang w:val="en-US" w:eastAsia="zh-CN"/>
        </w:rPr>
      </w:pPr>
      <w:r>
        <w:rPr>
          <w:rFonts w:hint="eastAsia" w:ascii="宋体" w:hAnsi="宋体" w:cs="宋体"/>
          <w:sz w:val="24"/>
          <w:szCs w:val="24"/>
          <w:lang w:val="en-US" w:eastAsia="zh-CN"/>
        </w:rPr>
        <w:t xml:space="preserve">       最高限价：900000.00元</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7"/>
        <w:gridCol w:w="800"/>
        <w:gridCol w:w="2496"/>
        <w:gridCol w:w="1318"/>
        <w:gridCol w:w="1318"/>
        <w:gridCol w:w="1272"/>
        <w:gridCol w:w="1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4" w:hRule="atLeast"/>
        </w:trPr>
        <w:tc>
          <w:tcPr>
            <w:tcW w:w="549" w:type="dxa"/>
            <w:noWrap w:val="0"/>
            <w:vAlign w:val="center"/>
          </w:tcPr>
          <w:p>
            <w:pPr>
              <w:jc w:val="center"/>
              <w:rPr>
                <w:rFonts w:hint="default"/>
                <w:vertAlign w:val="baseline"/>
                <w:lang w:val="en-US" w:eastAsia="zh-CN"/>
              </w:rPr>
            </w:pPr>
            <w:r>
              <w:rPr>
                <w:rFonts w:hint="eastAsia"/>
                <w:vertAlign w:val="baseline"/>
                <w:lang w:val="en-US" w:eastAsia="zh-CN"/>
              </w:rPr>
              <w:t>序号</w:t>
            </w:r>
          </w:p>
        </w:tc>
        <w:tc>
          <w:tcPr>
            <w:tcW w:w="840" w:type="dxa"/>
            <w:noWrap w:val="0"/>
            <w:vAlign w:val="center"/>
          </w:tcPr>
          <w:p>
            <w:pPr>
              <w:jc w:val="center"/>
              <w:rPr>
                <w:rFonts w:hint="default"/>
                <w:vertAlign w:val="baseline"/>
                <w:lang w:val="en-US" w:eastAsia="zh-CN"/>
              </w:rPr>
            </w:pPr>
            <w:r>
              <w:rPr>
                <w:rFonts w:hint="eastAsia"/>
                <w:color w:val="auto"/>
                <w:vertAlign w:val="baseline"/>
                <w:lang w:val="en-US" w:eastAsia="zh-CN"/>
              </w:rPr>
              <w:t>包号</w:t>
            </w:r>
          </w:p>
        </w:tc>
        <w:tc>
          <w:tcPr>
            <w:tcW w:w="2688" w:type="dxa"/>
            <w:noWrap w:val="0"/>
            <w:vAlign w:val="center"/>
          </w:tcPr>
          <w:p>
            <w:pPr>
              <w:jc w:val="center"/>
              <w:rPr>
                <w:rFonts w:hint="default"/>
                <w:vertAlign w:val="baseline"/>
                <w:lang w:val="en-US" w:eastAsia="zh-CN"/>
              </w:rPr>
            </w:pPr>
            <w:r>
              <w:rPr>
                <w:rFonts w:hint="eastAsia"/>
                <w:vertAlign w:val="baseline"/>
                <w:lang w:val="en-US" w:eastAsia="zh-CN"/>
              </w:rPr>
              <w:t>包名称</w:t>
            </w:r>
          </w:p>
        </w:tc>
        <w:tc>
          <w:tcPr>
            <w:tcW w:w="1359" w:type="dxa"/>
            <w:noWrap w:val="0"/>
            <w:vAlign w:val="center"/>
          </w:tcPr>
          <w:p>
            <w:pPr>
              <w:jc w:val="center"/>
              <w:rPr>
                <w:rFonts w:hint="default"/>
                <w:vertAlign w:val="baseline"/>
                <w:lang w:val="en-US" w:eastAsia="zh-CN"/>
              </w:rPr>
            </w:pPr>
            <w:r>
              <w:rPr>
                <w:rFonts w:hint="eastAsia"/>
                <w:vertAlign w:val="baseline"/>
                <w:lang w:val="en-US" w:eastAsia="zh-CN"/>
              </w:rPr>
              <w:t>包预算（元）</w:t>
            </w:r>
          </w:p>
        </w:tc>
        <w:tc>
          <w:tcPr>
            <w:tcW w:w="1359" w:type="dxa"/>
            <w:noWrap w:val="0"/>
            <w:vAlign w:val="center"/>
          </w:tcPr>
          <w:p>
            <w:pPr>
              <w:jc w:val="center"/>
              <w:rPr>
                <w:rFonts w:hint="default"/>
                <w:vertAlign w:val="baseline"/>
                <w:lang w:val="en-US" w:eastAsia="zh-CN"/>
              </w:rPr>
            </w:pPr>
            <w:r>
              <w:rPr>
                <w:rFonts w:hint="default"/>
                <w:vertAlign w:val="baseline"/>
                <w:lang w:val="en-US" w:eastAsia="zh-CN"/>
              </w:rPr>
              <w:t>包最高限价（元</w:t>
            </w:r>
            <w:r>
              <w:rPr>
                <w:rFonts w:hint="eastAsia"/>
                <w:vertAlign w:val="baseline"/>
                <w:lang w:val="en-US" w:eastAsia="zh-CN"/>
              </w:rPr>
              <w:t>）</w:t>
            </w:r>
          </w:p>
        </w:tc>
        <w:tc>
          <w:tcPr>
            <w:tcW w:w="1359" w:type="dxa"/>
            <w:noWrap w:val="0"/>
            <w:vAlign w:val="center"/>
          </w:tcPr>
          <w:p>
            <w:pPr>
              <w:jc w:val="center"/>
              <w:rPr>
                <w:rFonts w:hint="default"/>
                <w:vertAlign w:val="baseline"/>
                <w:lang w:val="en-US" w:eastAsia="zh-CN"/>
              </w:rPr>
            </w:pPr>
            <w:r>
              <w:rPr>
                <w:rFonts w:hint="default"/>
                <w:vertAlign w:val="baseline"/>
                <w:lang w:val="en-US" w:eastAsia="zh-CN"/>
              </w:rPr>
              <w:t>是否专门面向中小企业</w:t>
            </w:r>
          </w:p>
        </w:tc>
        <w:tc>
          <w:tcPr>
            <w:tcW w:w="1360" w:type="dxa"/>
            <w:noWrap w:val="0"/>
            <w:vAlign w:val="center"/>
          </w:tcPr>
          <w:p>
            <w:pPr>
              <w:jc w:val="center"/>
              <w:rPr>
                <w:rFonts w:hint="default"/>
                <w:vertAlign w:val="baseline"/>
                <w:lang w:val="en-US" w:eastAsia="zh-CN"/>
              </w:rPr>
            </w:pPr>
            <w:r>
              <w:rPr>
                <w:rFonts w:hint="eastAsia"/>
                <w:vertAlign w:val="baseline"/>
                <w:lang w:val="en-US" w:eastAsia="zh-CN"/>
              </w:rPr>
              <w:t>采购预留金额（元）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549" w:type="dxa"/>
            <w:noWrap w:val="0"/>
            <w:vAlign w:val="center"/>
          </w:tcPr>
          <w:p>
            <w:pPr>
              <w:jc w:val="center"/>
              <w:rPr>
                <w:rFonts w:hint="default"/>
                <w:vertAlign w:val="baseline"/>
                <w:lang w:val="en-US" w:eastAsia="zh-CN"/>
              </w:rPr>
            </w:pPr>
            <w:r>
              <w:rPr>
                <w:rFonts w:hint="eastAsia"/>
                <w:vertAlign w:val="baseline"/>
                <w:lang w:val="en-US" w:eastAsia="zh-CN"/>
              </w:rPr>
              <w:t>1</w:t>
            </w:r>
          </w:p>
        </w:tc>
        <w:tc>
          <w:tcPr>
            <w:tcW w:w="840" w:type="dxa"/>
            <w:noWrap w:val="0"/>
            <w:vAlign w:val="center"/>
          </w:tcPr>
          <w:p>
            <w:pPr>
              <w:jc w:val="center"/>
              <w:rPr>
                <w:rFonts w:hint="default"/>
                <w:vertAlign w:val="baseline"/>
                <w:lang w:val="en-US" w:eastAsia="zh-CN"/>
              </w:rPr>
            </w:pPr>
            <w:r>
              <w:rPr>
                <w:rFonts w:hint="eastAsia" w:ascii="宋体" w:hAnsi="宋体" w:eastAsia="宋体" w:cs="宋体"/>
                <w:sz w:val="21"/>
                <w:szCs w:val="21"/>
                <w:vertAlign w:val="baseline"/>
                <w:lang w:val="en-US" w:eastAsia="zh-CN"/>
              </w:rPr>
              <w:t>1包</w:t>
            </w:r>
          </w:p>
        </w:tc>
        <w:tc>
          <w:tcPr>
            <w:tcW w:w="2688" w:type="dxa"/>
            <w:noWrap w:val="0"/>
            <w:vAlign w:val="center"/>
          </w:tcPr>
          <w:p>
            <w:pPr>
              <w:jc w:val="center"/>
              <w:rPr>
                <w:rFonts w:hint="default"/>
                <w:vertAlign w:val="baseline"/>
                <w:lang w:val="en-US" w:eastAsia="zh-CN"/>
              </w:rPr>
            </w:pPr>
            <w:r>
              <w:rPr>
                <w:rFonts w:hint="eastAsia" w:ascii="宋体" w:hAnsi="宋体" w:eastAsia="宋体" w:cs="宋体"/>
                <w:i w:val="0"/>
                <w:iCs w:val="0"/>
                <w:color w:val="000000"/>
                <w:kern w:val="2"/>
                <w:sz w:val="24"/>
                <w:szCs w:val="24"/>
                <w:highlight w:val="none"/>
                <w:u w:val="none"/>
                <w:lang w:val="en-US" w:eastAsia="zh-CN"/>
              </w:rPr>
              <w:t>食用农产品抽检</w:t>
            </w:r>
          </w:p>
        </w:tc>
        <w:tc>
          <w:tcPr>
            <w:tcW w:w="1359" w:type="dxa"/>
            <w:noWrap w:val="0"/>
            <w:vAlign w:val="center"/>
          </w:tcPr>
          <w:p>
            <w:pPr>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300000</w:t>
            </w:r>
          </w:p>
        </w:tc>
        <w:tc>
          <w:tcPr>
            <w:tcW w:w="1359" w:type="dxa"/>
            <w:noWrap w:val="0"/>
            <w:vAlign w:val="center"/>
          </w:tcPr>
          <w:p>
            <w:pPr>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300000</w:t>
            </w:r>
          </w:p>
        </w:tc>
        <w:tc>
          <w:tcPr>
            <w:tcW w:w="1359" w:type="dxa"/>
            <w:noWrap w:val="0"/>
            <w:vAlign w:val="center"/>
          </w:tcPr>
          <w:p>
            <w:pPr>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是</w:t>
            </w:r>
          </w:p>
        </w:tc>
        <w:tc>
          <w:tcPr>
            <w:tcW w:w="1360" w:type="dxa"/>
            <w:noWrap w:val="0"/>
            <w:vAlign w:val="center"/>
          </w:tcPr>
          <w:p>
            <w:pPr>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549" w:type="dxa"/>
            <w:noWrap w:val="0"/>
            <w:vAlign w:val="center"/>
          </w:tcPr>
          <w:p>
            <w:pPr>
              <w:jc w:val="center"/>
              <w:rPr>
                <w:rFonts w:hint="default"/>
                <w:vertAlign w:val="baseline"/>
                <w:lang w:val="en-US" w:eastAsia="zh-CN"/>
              </w:rPr>
            </w:pPr>
            <w:r>
              <w:rPr>
                <w:rFonts w:hint="eastAsia"/>
                <w:vertAlign w:val="baseline"/>
                <w:lang w:val="en-US" w:eastAsia="zh-CN"/>
              </w:rPr>
              <w:t>2</w:t>
            </w:r>
          </w:p>
        </w:tc>
        <w:tc>
          <w:tcPr>
            <w:tcW w:w="840" w:type="dxa"/>
            <w:noWrap w:val="0"/>
            <w:vAlign w:val="center"/>
          </w:tcPr>
          <w:p>
            <w:pPr>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2包</w:t>
            </w:r>
          </w:p>
        </w:tc>
        <w:tc>
          <w:tcPr>
            <w:tcW w:w="2688" w:type="dxa"/>
            <w:noWrap w:val="0"/>
            <w:vAlign w:val="center"/>
          </w:tcPr>
          <w:p>
            <w:pPr>
              <w:jc w:val="center"/>
              <w:rPr>
                <w:rFonts w:hint="eastAsia" w:ascii="宋体" w:hAnsi="宋体" w:cs="宋体"/>
                <w:sz w:val="24"/>
                <w:szCs w:val="24"/>
                <w:lang w:eastAsia="zh-CN"/>
              </w:rPr>
            </w:pPr>
            <w:r>
              <w:rPr>
                <w:rFonts w:hint="eastAsia" w:ascii="宋体" w:hAnsi="宋体" w:cs="宋体"/>
                <w:sz w:val="24"/>
                <w:szCs w:val="24"/>
                <w:lang w:val="en-US" w:eastAsia="zh-CN"/>
              </w:rPr>
              <w:t>食品、餐饮、流通食品、商超食品抽检</w:t>
            </w:r>
          </w:p>
        </w:tc>
        <w:tc>
          <w:tcPr>
            <w:tcW w:w="1359" w:type="dxa"/>
            <w:noWrap w:val="0"/>
            <w:vAlign w:val="center"/>
          </w:tcPr>
          <w:p>
            <w:pPr>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600000</w:t>
            </w:r>
          </w:p>
        </w:tc>
        <w:tc>
          <w:tcPr>
            <w:tcW w:w="1359" w:type="dxa"/>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600000</w:t>
            </w:r>
          </w:p>
        </w:tc>
        <w:tc>
          <w:tcPr>
            <w:tcW w:w="1359" w:type="dxa"/>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是</w:t>
            </w:r>
          </w:p>
        </w:tc>
        <w:tc>
          <w:tcPr>
            <w:tcW w:w="1360" w:type="dxa"/>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600000</w:t>
            </w:r>
          </w:p>
        </w:tc>
      </w:tr>
    </w:tbl>
    <w:p>
      <w:pPr>
        <w:numPr>
          <w:ilvl w:val="0"/>
          <w:numId w:val="3"/>
        </w:numPr>
        <w:spacing w:line="360" w:lineRule="auto"/>
        <w:ind w:firstLine="480" w:firstLineChars="200"/>
        <w:jc w:val="both"/>
        <w:rPr>
          <w:rFonts w:hint="eastAsia" w:ascii="宋体" w:hAnsi="宋体"/>
          <w:sz w:val="24"/>
          <w:lang w:val="en-US" w:eastAsia="zh-CN"/>
        </w:rPr>
      </w:pPr>
      <w:r>
        <w:rPr>
          <w:rFonts w:hint="eastAsia" w:ascii="宋体" w:hAnsi="宋体" w:cs="宋体"/>
          <w:sz w:val="24"/>
          <w:szCs w:val="24"/>
        </w:rPr>
        <w:t>采购需求：</w:t>
      </w:r>
      <w:r>
        <w:rPr>
          <w:rFonts w:hint="eastAsia" w:ascii="宋体" w:hAnsi="宋体" w:cs="宋体"/>
          <w:sz w:val="24"/>
          <w:szCs w:val="24"/>
          <w:lang w:eastAsia="zh-CN"/>
        </w:rPr>
        <w:t>（</w:t>
      </w:r>
      <w:r>
        <w:rPr>
          <w:rFonts w:hint="eastAsia" w:ascii="宋体" w:hAnsi="宋体" w:cs="宋体"/>
          <w:sz w:val="24"/>
          <w:szCs w:val="24"/>
          <w:lang w:val="en-US" w:eastAsia="zh-CN"/>
        </w:rPr>
        <w:t>1</w:t>
      </w:r>
      <w:r>
        <w:rPr>
          <w:rFonts w:hint="eastAsia" w:ascii="宋体" w:hAnsi="宋体" w:cs="宋体"/>
          <w:sz w:val="24"/>
          <w:szCs w:val="24"/>
          <w:lang w:eastAsia="zh-CN"/>
        </w:rPr>
        <w:t>）</w:t>
      </w:r>
      <w:r>
        <w:rPr>
          <w:rFonts w:hint="eastAsia" w:ascii="宋体" w:hAnsi="宋体"/>
          <w:sz w:val="24"/>
          <w:lang w:val="en-US" w:eastAsia="zh-CN"/>
        </w:rPr>
        <w:t>根据采购需求计划要求，县市场监管局2023年需在本辖区内开展食品安全监督抽检任务。共分为2个包，其中一包为对武陟县农产品进行900批次抽样检测，二包为对武陟县小作坊食品、餐饮、流通食品、商超食品进行1700批次抽样检测（内容详见磋商文件）</w:t>
      </w:r>
    </w:p>
    <w:p>
      <w:pPr>
        <w:autoSpaceDE w:val="0"/>
        <w:spacing w:line="500" w:lineRule="exact"/>
        <w:ind w:firstLine="720" w:firstLineChars="300"/>
        <w:rPr>
          <w:rFonts w:hint="eastAsia" w:ascii="宋体" w:hAnsi="宋体"/>
          <w:sz w:val="24"/>
        </w:rPr>
      </w:pPr>
      <w:r>
        <w:rPr>
          <w:rFonts w:hint="eastAsia" w:ascii="宋体" w:hAnsi="宋体"/>
          <w:sz w:val="24"/>
          <w:lang w:eastAsia="zh-CN"/>
        </w:rPr>
        <w:t>（</w:t>
      </w:r>
      <w:r>
        <w:rPr>
          <w:rFonts w:hint="eastAsia" w:ascii="宋体" w:hAnsi="宋体"/>
          <w:sz w:val="24"/>
          <w:lang w:val="en-US" w:eastAsia="zh-CN"/>
        </w:rPr>
        <w:t>2</w:t>
      </w:r>
      <w:r>
        <w:rPr>
          <w:rFonts w:hint="eastAsia" w:ascii="宋体" w:hAnsi="宋体"/>
          <w:sz w:val="24"/>
          <w:lang w:eastAsia="zh-CN"/>
        </w:rPr>
        <w:t>）</w:t>
      </w:r>
      <w:r>
        <w:rPr>
          <w:rFonts w:hint="eastAsia" w:ascii="宋体" w:hAnsi="宋体"/>
          <w:sz w:val="24"/>
        </w:rPr>
        <w:t>项目地点：</w:t>
      </w:r>
      <w:r>
        <w:rPr>
          <w:rFonts w:hint="eastAsia" w:ascii="宋体" w:hAnsi="宋体"/>
          <w:sz w:val="24"/>
          <w:lang w:val="en-US" w:eastAsia="zh-CN"/>
        </w:rPr>
        <w:t>武陟县辖区内</w:t>
      </w:r>
      <w:r>
        <w:rPr>
          <w:rFonts w:hint="eastAsia" w:ascii="宋体" w:hAnsi="宋体"/>
          <w:sz w:val="24"/>
        </w:rPr>
        <w:t>。</w:t>
      </w:r>
    </w:p>
    <w:p>
      <w:pPr>
        <w:autoSpaceDE w:val="0"/>
        <w:spacing w:line="500" w:lineRule="exact"/>
        <w:ind w:firstLine="720" w:firstLineChars="300"/>
        <w:rPr>
          <w:rFonts w:hint="eastAsia" w:ascii="宋体" w:hAnsi="宋体"/>
          <w:color w:val="auto"/>
          <w:sz w:val="24"/>
        </w:rPr>
      </w:pPr>
      <w:r>
        <w:rPr>
          <w:rFonts w:hint="eastAsia" w:ascii="宋体" w:hAnsi="宋体"/>
          <w:sz w:val="24"/>
          <w:lang w:eastAsia="zh-CN"/>
        </w:rPr>
        <w:t>（</w:t>
      </w:r>
      <w:r>
        <w:rPr>
          <w:rFonts w:hint="eastAsia" w:ascii="宋体" w:hAnsi="宋体"/>
          <w:sz w:val="24"/>
          <w:lang w:val="en-US" w:eastAsia="zh-CN"/>
        </w:rPr>
        <w:t>3</w:t>
      </w:r>
      <w:r>
        <w:rPr>
          <w:rFonts w:hint="eastAsia" w:ascii="宋体" w:hAnsi="宋体"/>
          <w:sz w:val="24"/>
          <w:lang w:eastAsia="zh-CN"/>
        </w:rPr>
        <w:t>）</w:t>
      </w:r>
      <w:r>
        <w:rPr>
          <w:rFonts w:hint="eastAsia" w:ascii="宋体" w:hAnsi="宋体" w:eastAsia="宋体" w:cs="宋体"/>
          <w:color w:val="auto"/>
          <w:sz w:val="24"/>
          <w:szCs w:val="24"/>
          <w:lang w:val="en-US" w:eastAsia="zh-CN"/>
        </w:rPr>
        <w:t>合同履行期限</w:t>
      </w:r>
      <w:r>
        <w:rPr>
          <w:rFonts w:hint="eastAsia" w:ascii="宋体" w:hAnsi="宋体"/>
          <w:color w:val="auto"/>
          <w:sz w:val="24"/>
        </w:rPr>
        <w:t>：</w:t>
      </w:r>
      <w:r>
        <w:rPr>
          <w:rFonts w:hint="eastAsia" w:ascii="宋体" w:hAnsi="宋体"/>
          <w:color w:val="auto"/>
          <w:sz w:val="24"/>
          <w:lang w:val="en-US" w:eastAsia="zh-CN"/>
        </w:rPr>
        <w:t>180日历天</w:t>
      </w:r>
      <w:r>
        <w:rPr>
          <w:rFonts w:hint="eastAsia" w:ascii="宋体" w:hAnsi="宋体"/>
          <w:color w:val="auto"/>
          <w:sz w:val="24"/>
        </w:rPr>
        <w:t>。</w:t>
      </w:r>
    </w:p>
    <w:p>
      <w:pPr>
        <w:autoSpaceDE w:val="0"/>
        <w:spacing w:line="500" w:lineRule="exact"/>
        <w:ind w:firstLine="720" w:firstLineChars="300"/>
        <w:rPr>
          <w:rFonts w:hint="eastAsia" w:ascii="宋体" w:hAnsi="宋体"/>
          <w:color w:val="auto"/>
          <w:sz w:val="24"/>
        </w:rPr>
      </w:pPr>
      <w:r>
        <w:rPr>
          <w:rFonts w:hint="eastAsia" w:ascii="宋体" w:hAnsi="宋体"/>
          <w:color w:val="auto"/>
          <w:sz w:val="24"/>
          <w:lang w:eastAsia="zh-CN"/>
        </w:rPr>
        <w:t>（</w:t>
      </w:r>
      <w:r>
        <w:rPr>
          <w:rFonts w:hint="eastAsia" w:ascii="宋体" w:hAnsi="宋体"/>
          <w:color w:val="auto"/>
          <w:sz w:val="24"/>
          <w:lang w:val="en-US" w:eastAsia="zh-CN"/>
        </w:rPr>
        <w:t>4</w:t>
      </w:r>
      <w:r>
        <w:rPr>
          <w:rFonts w:hint="eastAsia" w:ascii="宋体" w:hAnsi="宋体"/>
          <w:color w:val="auto"/>
          <w:sz w:val="24"/>
          <w:lang w:eastAsia="zh-CN"/>
        </w:rPr>
        <w:t>）</w:t>
      </w:r>
      <w:r>
        <w:rPr>
          <w:rFonts w:hint="eastAsia" w:ascii="宋体" w:hAnsi="宋体"/>
          <w:color w:val="auto"/>
          <w:sz w:val="24"/>
        </w:rPr>
        <w:t>质量要求：</w:t>
      </w:r>
      <w:r>
        <w:rPr>
          <w:rFonts w:hint="eastAsia" w:ascii="宋体" w:hAnsi="宋体"/>
          <w:color w:val="auto"/>
          <w:sz w:val="24"/>
          <w:lang w:val="en-US" w:eastAsia="zh-CN"/>
        </w:rPr>
        <w:t>样品抽样、运输及贮存、检测方法、检测依据的法律法规和国家规定标准、判定原则与结论须符合最新国家食品安全监督抽检实施细则相关规定</w:t>
      </w:r>
      <w:r>
        <w:rPr>
          <w:rFonts w:hint="eastAsia" w:ascii="宋体" w:hAnsi="宋体"/>
          <w:color w:val="auto"/>
          <w:sz w:val="24"/>
        </w:rPr>
        <w:t>。</w:t>
      </w:r>
    </w:p>
    <w:p>
      <w:pPr>
        <w:spacing w:line="360" w:lineRule="auto"/>
        <w:ind w:firstLine="480" w:firstLineChars="200"/>
        <w:jc w:val="both"/>
        <w:rPr>
          <w:rFonts w:hint="eastAsia" w:ascii="宋体" w:hAnsi="宋体"/>
          <w:color w:val="auto"/>
          <w:sz w:val="24"/>
        </w:rPr>
      </w:pPr>
      <w:r>
        <w:rPr>
          <w:rFonts w:hint="eastAsia" w:ascii="宋体" w:hAnsi="宋体"/>
          <w:color w:val="auto"/>
          <w:sz w:val="24"/>
          <w:lang w:eastAsia="zh-CN"/>
        </w:rPr>
        <w:t>（</w:t>
      </w:r>
      <w:r>
        <w:rPr>
          <w:rFonts w:hint="eastAsia" w:ascii="宋体" w:hAnsi="宋体"/>
          <w:color w:val="auto"/>
          <w:sz w:val="24"/>
          <w:lang w:val="en-US" w:eastAsia="zh-CN"/>
        </w:rPr>
        <w:t>5</w:t>
      </w:r>
      <w:r>
        <w:rPr>
          <w:rFonts w:hint="eastAsia" w:ascii="宋体" w:hAnsi="宋体"/>
          <w:color w:val="auto"/>
          <w:sz w:val="24"/>
          <w:lang w:eastAsia="zh-CN"/>
        </w:rPr>
        <w:t>）</w:t>
      </w:r>
      <w:r>
        <w:rPr>
          <w:rFonts w:hint="eastAsia" w:ascii="宋体" w:hAnsi="宋体"/>
          <w:color w:val="auto"/>
          <w:sz w:val="24"/>
        </w:rPr>
        <w:t>服务要求：</w:t>
      </w:r>
      <w:r>
        <w:rPr>
          <w:rFonts w:hint="eastAsia" w:ascii="宋体" w:hAnsi="宋体"/>
          <w:color w:val="auto"/>
          <w:sz w:val="24"/>
          <w:lang w:val="en-US" w:eastAsia="zh-CN"/>
        </w:rPr>
        <w:t>满足国家相关规范合格标准及采购人要求。</w:t>
      </w:r>
    </w:p>
    <w:p>
      <w:pPr>
        <w:spacing w:line="360" w:lineRule="auto"/>
        <w:ind w:firstLine="480" w:firstLineChars="200"/>
        <w:jc w:val="both"/>
        <w:rPr>
          <w:rFonts w:hint="eastAsia" w:ascii="宋体" w:hAnsi="宋体" w:eastAsia="宋体" w:cs="宋体"/>
          <w:sz w:val="24"/>
          <w:szCs w:val="24"/>
          <w:lang w:val="en-US" w:eastAsia="zh-CN"/>
        </w:rPr>
      </w:pPr>
      <w:r>
        <w:rPr>
          <w:rFonts w:hint="eastAsia" w:ascii="宋体" w:hAnsi="宋体"/>
          <w:color w:val="auto"/>
          <w:sz w:val="24"/>
          <w:lang w:eastAsia="zh-CN"/>
        </w:rPr>
        <w:t>（</w:t>
      </w:r>
      <w:r>
        <w:rPr>
          <w:rFonts w:hint="eastAsia" w:ascii="宋体" w:hAnsi="宋体"/>
          <w:color w:val="auto"/>
          <w:sz w:val="24"/>
          <w:lang w:val="en-US" w:eastAsia="zh-CN"/>
        </w:rPr>
        <w:t>6</w:t>
      </w:r>
      <w:r>
        <w:rPr>
          <w:rFonts w:hint="eastAsia" w:ascii="宋体" w:hAnsi="宋体"/>
          <w:color w:val="auto"/>
          <w:sz w:val="24"/>
          <w:lang w:eastAsia="zh-CN"/>
        </w:rPr>
        <w:t>）</w:t>
      </w:r>
      <w:r>
        <w:rPr>
          <w:rFonts w:hint="eastAsia" w:ascii="宋体" w:hAnsi="宋体" w:eastAsia="宋体" w:cs="宋体"/>
          <w:sz w:val="24"/>
          <w:szCs w:val="24"/>
          <w:lang w:val="en-US" w:eastAsia="zh-CN"/>
        </w:rPr>
        <w:t>本项目是否接受联合体投标：否</w:t>
      </w:r>
    </w:p>
    <w:p>
      <w:pPr>
        <w:spacing w:line="360" w:lineRule="auto"/>
        <w:ind w:firstLine="480" w:firstLineChars="200"/>
        <w:jc w:val="both"/>
        <w:rPr>
          <w:rFonts w:hint="eastAsia" w:ascii="宋体" w:hAnsi="宋体" w:eastAsia="宋体" w:cs="宋体"/>
          <w:sz w:val="24"/>
          <w:szCs w:val="24"/>
          <w:lang w:val="en-US" w:eastAsia="zh-CN"/>
        </w:rPr>
      </w:pPr>
      <w:r>
        <w:rPr>
          <w:rFonts w:hint="eastAsia" w:ascii="宋体" w:hAnsi="宋体"/>
          <w:color w:val="auto"/>
          <w:sz w:val="24"/>
          <w:lang w:eastAsia="zh-CN"/>
        </w:rPr>
        <w:t>（</w:t>
      </w:r>
      <w:r>
        <w:rPr>
          <w:rFonts w:hint="eastAsia" w:ascii="宋体" w:hAnsi="宋体"/>
          <w:color w:val="auto"/>
          <w:sz w:val="24"/>
          <w:lang w:val="en-US" w:eastAsia="zh-CN"/>
        </w:rPr>
        <w:t>7</w:t>
      </w:r>
      <w:r>
        <w:rPr>
          <w:rFonts w:hint="eastAsia" w:ascii="宋体" w:hAnsi="宋体"/>
          <w:color w:val="auto"/>
          <w:sz w:val="24"/>
          <w:lang w:eastAsia="zh-CN"/>
        </w:rPr>
        <w:t>）</w:t>
      </w:r>
      <w:r>
        <w:rPr>
          <w:rFonts w:hint="eastAsia" w:ascii="宋体" w:hAnsi="宋体" w:eastAsia="宋体" w:cs="宋体"/>
          <w:sz w:val="24"/>
          <w:szCs w:val="24"/>
          <w:lang w:val="en-US" w:eastAsia="zh-CN"/>
        </w:rPr>
        <w:t>是否接受进口产品：否</w:t>
      </w:r>
    </w:p>
    <w:p>
      <w:pPr>
        <w:spacing w:line="360" w:lineRule="auto"/>
        <w:ind w:firstLine="480" w:firstLineChars="200"/>
        <w:jc w:val="both"/>
        <w:rPr>
          <w:rFonts w:hint="default" w:ascii="宋体" w:hAnsi="宋体" w:eastAsia="宋体" w:cs="宋体"/>
          <w:sz w:val="24"/>
          <w:szCs w:val="24"/>
          <w:lang w:val="en-US" w:eastAsia="zh-CN"/>
        </w:rPr>
      </w:pPr>
      <w:r>
        <w:rPr>
          <w:rFonts w:hint="eastAsia" w:ascii="宋体" w:hAnsi="宋体"/>
          <w:color w:val="auto"/>
          <w:sz w:val="24"/>
          <w:lang w:eastAsia="zh-CN"/>
        </w:rPr>
        <w:t>（</w:t>
      </w:r>
      <w:r>
        <w:rPr>
          <w:rFonts w:hint="eastAsia" w:ascii="宋体" w:hAnsi="宋体"/>
          <w:color w:val="auto"/>
          <w:sz w:val="24"/>
          <w:lang w:val="en-US" w:eastAsia="zh-CN"/>
        </w:rPr>
        <w:t>8</w:t>
      </w:r>
      <w:r>
        <w:rPr>
          <w:rFonts w:hint="eastAsia" w:ascii="宋体" w:hAnsi="宋体"/>
          <w:color w:val="auto"/>
          <w:sz w:val="24"/>
          <w:lang w:eastAsia="zh-CN"/>
        </w:rPr>
        <w:t>）</w:t>
      </w:r>
      <w:r>
        <w:rPr>
          <w:rFonts w:hint="eastAsia" w:ascii="宋体" w:hAnsi="宋体" w:eastAsia="宋体" w:cs="宋体"/>
          <w:sz w:val="24"/>
          <w:szCs w:val="24"/>
          <w:lang w:val="en-US" w:eastAsia="zh-CN"/>
        </w:rPr>
        <w:t>是否专门面向中小企业：是</w:t>
      </w:r>
    </w:p>
    <w:p>
      <w:pPr>
        <w:numPr>
          <w:ilvl w:val="0"/>
          <w:numId w:val="2"/>
        </w:numPr>
        <w:spacing w:line="400" w:lineRule="exact"/>
        <w:jc w:val="left"/>
        <w:rPr>
          <w:rFonts w:hint="eastAsia" w:ascii="宋体" w:hAnsi="宋体" w:cs="宋体"/>
          <w:b/>
          <w:bCs/>
          <w:sz w:val="24"/>
          <w:szCs w:val="24"/>
        </w:rPr>
      </w:pPr>
      <w:r>
        <w:rPr>
          <w:rFonts w:hint="eastAsia" w:ascii="宋体" w:hAnsi="宋体" w:cs="宋体"/>
          <w:b/>
          <w:bCs/>
          <w:sz w:val="24"/>
          <w:szCs w:val="24"/>
        </w:rPr>
        <w:t>申请人的资格要求：</w:t>
      </w:r>
    </w:p>
    <w:p>
      <w:pPr>
        <w:numPr>
          <w:ilvl w:val="0"/>
          <w:numId w:val="4"/>
        </w:numPr>
        <w:tabs>
          <w:tab w:val="left" w:pos="492"/>
          <w:tab w:val="left" w:pos="839"/>
        </w:tabs>
        <w:spacing w:line="360" w:lineRule="auto"/>
        <w:rPr>
          <w:rFonts w:hint="eastAsia" w:ascii="宋体" w:hAnsi="宋体" w:cs="宋体"/>
          <w:sz w:val="24"/>
          <w:szCs w:val="24"/>
        </w:rPr>
      </w:pPr>
      <w:r>
        <w:rPr>
          <w:rFonts w:hint="eastAsia" w:ascii="宋体" w:hAnsi="宋体" w:cs="宋体"/>
          <w:sz w:val="24"/>
          <w:szCs w:val="24"/>
        </w:rPr>
        <w:t>满足《中华人民共和国政府采购法》第二十二条规定；</w:t>
      </w:r>
    </w:p>
    <w:p>
      <w:pPr>
        <w:numPr>
          <w:ilvl w:val="0"/>
          <w:numId w:val="4"/>
        </w:numPr>
        <w:spacing w:line="360" w:lineRule="auto"/>
        <w:ind w:left="0" w:leftChars="0" w:firstLine="400" w:firstLineChars="0"/>
        <w:rPr>
          <w:rFonts w:hint="eastAsia" w:ascii="宋体" w:hAnsi="宋体" w:eastAsia="宋体" w:cs="宋体"/>
          <w:sz w:val="24"/>
          <w:szCs w:val="24"/>
        </w:rPr>
      </w:pPr>
      <w:r>
        <w:rPr>
          <w:rFonts w:hint="eastAsia" w:ascii="宋体" w:hAnsi="宋体" w:eastAsia="宋体" w:cs="宋体"/>
          <w:sz w:val="24"/>
          <w:szCs w:val="24"/>
        </w:rPr>
        <w:t>落实政府采购政策需满足的资格要求：</w:t>
      </w:r>
      <w:r>
        <w:rPr>
          <w:rFonts w:hint="eastAsia" w:ascii="宋体" w:hAnsi="宋体" w:eastAsia="宋体" w:cs="宋体"/>
          <w:sz w:val="24"/>
          <w:szCs w:val="24"/>
          <w:lang w:val="en-US" w:eastAsia="zh-CN"/>
        </w:rPr>
        <w:t>供应商应为中小企业、监狱企业或残疾人福利性单位；</w:t>
      </w:r>
    </w:p>
    <w:p>
      <w:pPr>
        <w:pStyle w:val="56"/>
        <w:spacing w:line="360" w:lineRule="auto"/>
        <w:rPr>
          <w:rFonts w:hint="default"/>
          <w:sz w:val="24"/>
          <w:szCs w:val="24"/>
          <w:lang w:val="en-US"/>
        </w:rPr>
      </w:pPr>
      <w:r>
        <w:rPr>
          <w:rFonts w:hint="eastAsia" w:ascii="宋体" w:hAnsi="宋体" w:eastAsia="宋体" w:cs="宋体"/>
          <w:sz w:val="24"/>
          <w:szCs w:val="24"/>
          <w:lang w:val="en-US" w:eastAsia="zh-CN"/>
        </w:rPr>
        <w:t xml:space="preserve">   3.</w:t>
      </w:r>
      <w:r>
        <w:rPr>
          <w:rFonts w:hint="eastAsia" w:ascii="宋体" w:hAnsi="宋体" w:eastAsia="宋体" w:cs="宋体"/>
          <w:b w:val="0"/>
          <w:bCs w:val="0"/>
          <w:sz w:val="24"/>
          <w:szCs w:val="24"/>
          <w:lang w:val="en-US" w:eastAsia="zh-CN"/>
        </w:rPr>
        <w:t>本项目的特定资格要求：</w:t>
      </w:r>
    </w:p>
    <w:p>
      <w:pPr>
        <w:autoSpaceDE w:val="0"/>
        <w:spacing w:line="360" w:lineRule="auto"/>
        <w:ind w:firstLine="720" w:firstLineChars="300"/>
        <w:rPr>
          <w:rFonts w:hint="eastAsia" w:ascii="宋体" w:hAnsi="宋体" w:eastAsia="宋体" w:cs="Times New Roman"/>
          <w:color w:val="auto"/>
          <w:sz w:val="24"/>
        </w:rPr>
      </w:pPr>
      <w:r>
        <w:rPr>
          <w:rFonts w:hint="eastAsia" w:ascii="宋体" w:hAnsi="宋体"/>
          <w:color w:val="auto"/>
          <w:sz w:val="24"/>
        </w:rPr>
        <w:t>3.</w:t>
      </w:r>
      <w:r>
        <w:rPr>
          <w:rFonts w:hint="eastAsia" w:ascii="宋体" w:hAnsi="宋体"/>
          <w:color w:val="auto"/>
          <w:sz w:val="24"/>
          <w:lang w:val="en-US" w:eastAsia="zh-CN"/>
        </w:rPr>
        <w:t>1</w:t>
      </w:r>
      <w:r>
        <w:rPr>
          <w:rFonts w:hint="eastAsia" w:ascii="宋体" w:hAnsi="宋体"/>
          <w:color w:val="auto"/>
          <w:sz w:val="24"/>
        </w:rPr>
        <w:t xml:space="preserve"> 供应</w:t>
      </w:r>
      <w:r>
        <w:rPr>
          <w:rFonts w:hint="eastAsia" w:ascii="宋体" w:hAnsi="宋体" w:eastAsia="宋体" w:cs="Times New Roman"/>
          <w:color w:val="auto"/>
          <w:sz w:val="24"/>
        </w:rPr>
        <w:t>商须具有检验检测机构资质认定食品检验机构资质认定证书（CMAF）或标识含食品的资质认定计量认证证书（CMA）；</w:t>
      </w:r>
    </w:p>
    <w:p>
      <w:pPr>
        <w:spacing w:line="360" w:lineRule="auto"/>
        <w:ind w:left="420" w:leftChars="200" w:firstLine="240" w:firstLineChars="100"/>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2</w:t>
      </w:r>
      <w:r>
        <w:rPr>
          <w:rFonts w:hint="eastAsia" w:ascii="宋体" w:hAnsi="宋体" w:eastAsia="宋体" w:cs="宋体"/>
          <w:sz w:val="24"/>
          <w:szCs w:val="24"/>
        </w:rPr>
        <w:t>供应商及其法定代表人、委托代理人均无行贿犯罪记录；</w:t>
      </w:r>
    </w:p>
    <w:p>
      <w:pPr>
        <w:spacing w:line="360" w:lineRule="auto"/>
        <w:ind w:firstLine="660" w:firstLineChars="275"/>
        <w:rPr>
          <w:rFonts w:hint="eastAsia" w:ascii="宋体" w:hAnsi="宋体" w:cs="宋体"/>
          <w:sz w:val="24"/>
          <w:szCs w:val="24"/>
        </w:rPr>
      </w:pPr>
      <w:r>
        <w:rPr>
          <w:rFonts w:hint="eastAsia" w:ascii="宋体" w:hAnsi="宋体" w:cs="宋体"/>
          <w:sz w:val="24"/>
          <w:szCs w:val="24"/>
        </w:rPr>
        <w:t>3.</w:t>
      </w:r>
      <w:r>
        <w:rPr>
          <w:rFonts w:hint="eastAsia" w:ascii="宋体" w:hAnsi="宋体" w:cs="宋体"/>
          <w:sz w:val="24"/>
          <w:szCs w:val="24"/>
          <w:lang w:val="en-US" w:eastAsia="zh-CN"/>
        </w:rPr>
        <w:t>3</w:t>
      </w:r>
      <w:r>
        <w:rPr>
          <w:rFonts w:hint="eastAsia" w:ascii="宋体" w:hAnsi="宋体" w:cs="宋体"/>
          <w:sz w:val="24"/>
          <w:szCs w:val="24"/>
        </w:rPr>
        <w:t>经中国人民银行备案的第三方征信机构出具的有效期内的信用报告，信用等级达到A级及以上，并提供出具该信用报告的第三方征信机构在中国人民银行备案的证明材料；</w:t>
      </w:r>
    </w:p>
    <w:p>
      <w:pPr>
        <w:spacing w:line="360" w:lineRule="auto"/>
        <w:ind w:firstLine="660" w:firstLineChars="275"/>
        <w:rPr>
          <w:rFonts w:hint="eastAsia"/>
          <w:sz w:val="24"/>
          <w:szCs w:val="24"/>
        </w:rPr>
      </w:pPr>
      <w:r>
        <w:rPr>
          <w:rFonts w:hint="eastAsia" w:ascii="宋体" w:hAnsi="宋体" w:cs="宋体"/>
          <w:sz w:val="24"/>
          <w:szCs w:val="24"/>
        </w:rPr>
        <w:t>3.</w:t>
      </w:r>
      <w:r>
        <w:rPr>
          <w:rFonts w:hint="eastAsia" w:ascii="宋体" w:hAnsi="宋体" w:cs="宋体"/>
          <w:sz w:val="24"/>
          <w:szCs w:val="24"/>
          <w:lang w:val="en-US" w:eastAsia="zh-CN"/>
        </w:rPr>
        <w:t>4</w:t>
      </w:r>
      <w:r>
        <w:rPr>
          <w:rFonts w:hint="eastAsia" w:ascii="宋体" w:hAnsi="宋体" w:cs="宋体"/>
          <w:sz w:val="24"/>
          <w:szCs w:val="24"/>
        </w:rPr>
        <w:t>不得被列入失信被执行人、重大税收违法失信主体、政府采购严重违法失信行为记录名单。</w:t>
      </w:r>
    </w:p>
    <w:p>
      <w:pPr>
        <w:numPr>
          <w:ilvl w:val="0"/>
          <w:numId w:val="2"/>
        </w:numPr>
        <w:spacing w:line="400" w:lineRule="exact"/>
        <w:jc w:val="left"/>
        <w:rPr>
          <w:rFonts w:hint="eastAsia" w:ascii="宋体" w:hAnsi="宋体" w:cs="宋体"/>
          <w:b/>
          <w:bCs/>
          <w:sz w:val="24"/>
          <w:szCs w:val="24"/>
        </w:rPr>
      </w:pPr>
      <w:r>
        <w:rPr>
          <w:rFonts w:hint="eastAsia" w:ascii="宋体" w:hAnsi="宋体" w:cs="宋体"/>
          <w:b/>
          <w:bCs/>
          <w:sz w:val="24"/>
          <w:szCs w:val="24"/>
        </w:rPr>
        <w:t>获取</w:t>
      </w:r>
      <w:r>
        <w:rPr>
          <w:rFonts w:hint="eastAsia" w:ascii="宋体" w:hAnsi="宋体" w:cs="宋体"/>
          <w:b/>
          <w:bCs/>
          <w:sz w:val="24"/>
          <w:szCs w:val="24"/>
          <w:lang w:eastAsia="zh-CN"/>
        </w:rPr>
        <w:t>采购</w:t>
      </w:r>
      <w:r>
        <w:rPr>
          <w:rFonts w:hint="eastAsia" w:ascii="宋体" w:hAnsi="宋体" w:cs="宋体"/>
          <w:b/>
          <w:bCs/>
          <w:sz w:val="24"/>
          <w:szCs w:val="24"/>
        </w:rPr>
        <w:t>文件</w:t>
      </w:r>
    </w:p>
    <w:p>
      <w:pPr>
        <w:numPr>
          <w:ilvl w:val="0"/>
          <w:numId w:val="5"/>
        </w:num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时间：</w:t>
      </w:r>
      <w:r>
        <w:rPr>
          <w:rFonts w:hint="eastAsia" w:ascii="宋体" w:hAnsi="宋体" w:cs="宋体"/>
          <w:sz w:val="24"/>
          <w:szCs w:val="24"/>
          <w:u w:val="single"/>
          <w:lang w:val="en-US" w:eastAsia="zh-CN"/>
        </w:rPr>
        <w:t>2023</w:t>
      </w:r>
      <w:r>
        <w:rPr>
          <w:rFonts w:hint="eastAsia" w:ascii="宋体" w:hAnsi="宋体" w:cs="宋体"/>
          <w:sz w:val="24"/>
          <w:szCs w:val="24"/>
        </w:rPr>
        <w:t>年</w:t>
      </w:r>
      <w:r>
        <w:rPr>
          <w:rFonts w:hint="eastAsia" w:ascii="宋体" w:hAnsi="宋体" w:cs="宋体"/>
          <w:sz w:val="24"/>
          <w:szCs w:val="24"/>
          <w:u w:val="single"/>
          <w:lang w:val="en-US" w:eastAsia="zh-CN"/>
        </w:rPr>
        <w:t xml:space="preserve">    </w:t>
      </w:r>
      <w:r>
        <w:rPr>
          <w:rFonts w:hint="eastAsia" w:ascii="宋体" w:hAnsi="宋体" w:cs="宋体"/>
          <w:sz w:val="24"/>
          <w:szCs w:val="24"/>
        </w:rPr>
        <w:t>月</w:t>
      </w:r>
      <w:r>
        <w:rPr>
          <w:rFonts w:hint="eastAsia" w:ascii="宋体" w:hAnsi="宋体" w:cs="宋体"/>
          <w:sz w:val="24"/>
          <w:szCs w:val="24"/>
          <w:u w:val="single"/>
          <w:lang w:val="en-US" w:eastAsia="zh-CN"/>
        </w:rPr>
        <w:t xml:space="preserve">    </w:t>
      </w:r>
      <w:r>
        <w:rPr>
          <w:rFonts w:hint="eastAsia" w:ascii="宋体" w:hAnsi="宋体" w:cs="宋体"/>
          <w:sz w:val="24"/>
          <w:szCs w:val="24"/>
        </w:rPr>
        <w:t>日至</w:t>
      </w:r>
      <w:r>
        <w:rPr>
          <w:rFonts w:hint="eastAsia" w:ascii="宋体" w:hAnsi="宋体" w:cs="宋体"/>
          <w:sz w:val="24"/>
          <w:szCs w:val="24"/>
          <w:u w:val="single"/>
          <w:lang w:val="en-US" w:eastAsia="zh-CN"/>
        </w:rPr>
        <w:t>2023</w:t>
      </w:r>
      <w:r>
        <w:rPr>
          <w:rFonts w:hint="eastAsia" w:ascii="宋体" w:hAnsi="宋体" w:cs="宋体"/>
          <w:sz w:val="24"/>
          <w:szCs w:val="24"/>
        </w:rPr>
        <w:t>年</w:t>
      </w:r>
      <w:r>
        <w:rPr>
          <w:rFonts w:hint="eastAsia" w:ascii="宋体" w:hAnsi="宋体" w:cs="宋体"/>
          <w:sz w:val="24"/>
          <w:szCs w:val="24"/>
          <w:u w:val="single"/>
          <w:lang w:val="en-US" w:eastAsia="zh-CN"/>
        </w:rPr>
        <w:t xml:space="preserve">    </w:t>
      </w:r>
      <w:r>
        <w:rPr>
          <w:rFonts w:hint="eastAsia" w:ascii="宋体" w:hAnsi="宋体" w:cs="宋体"/>
          <w:sz w:val="24"/>
          <w:szCs w:val="24"/>
        </w:rPr>
        <w:t>月</w:t>
      </w:r>
      <w:r>
        <w:rPr>
          <w:rFonts w:hint="eastAsia" w:ascii="宋体" w:hAnsi="宋体" w:cs="宋体"/>
          <w:sz w:val="24"/>
          <w:szCs w:val="24"/>
          <w:u w:val="single"/>
          <w:lang w:val="en-US" w:eastAsia="zh-CN"/>
        </w:rPr>
        <w:t xml:space="preserve">    </w:t>
      </w:r>
      <w:r>
        <w:rPr>
          <w:rFonts w:hint="eastAsia" w:ascii="宋体" w:hAnsi="宋体" w:cs="宋体"/>
          <w:sz w:val="24"/>
          <w:szCs w:val="24"/>
        </w:rPr>
        <w:t>日</w:t>
      </w:r>
      <w:r>
        <w:rPr>
          <w:rFonts w:hint="eastAsia" w:ascii="宋体" w:hAnsi="宋体" w:cs="宋体"/>
          <w:sz w:val="24"/>
          <w:szCs w:val="24"/>
          <w:lang w:eastAsia="zh-CN"/>
        </w:rPr>
        <w:t>，每天上午00:00至12:00，下午12:00至23:59</w:t>
      </w:r>
      <w:r>
        <w:rPr>
          <w:rFonts w:hint="eastAsia" w:ascii="宋体" w:hAnsi="宋体" w:cs="宋体"/>
          <w:sz w:val="24"/>
          <w:szCs w:val="24"/>
        </w:rPr>
        <w:t>（北京时间）；</w:t>
      </w:r>
    </w:p>
    <w:p>
      <w:pPr>
        <w:numPr>
          <w:ilvl w:val="0"/>
          <w:numId w:val="5"/>
        </w:numPr>
        <w:spacing w:line="360" w:lineRule="auto"/>
        <w:ind w:firstLine="480" w:firstLineChars="200"/>
        <w:jc w:val="left"/>
        <w:rPr>
          <w:rFonts w:hint="eastAsia" w:ascii="宋体" w:hAnsi="宋体" w:cs="宋体"/>
          <w:sz w:val="24"/>
          <w:szCs w:val="24"/>
          <w:shd w:val="clear" w:color="auto" w:fill="FFFF00"/>
        </w:rPr>
      </w:pPr>
      <w:r>
        <w:rPr>
          <w:rFonts w:hint="eastAsia" w:ascii="宋体" w:hAnsi="宋体" w:cs="宋体"/>
          <w:sz w:val="24"/>
          <w:szCs w:val="24"/>
        </w:rPr>
        <w:t>地点：焦作市公共资源交易中心网站；</w:t>
      </w:r>
    </w:p>
    <w:p>
      <w:pPr>
        <w:pStyle w:val="15"/>
        <w:numPr>
          <w:ilvl w:val="0"/>
          <w:numId w:val="0"/>
        </w:numPr>
        <w:spacing w:line="360" w:lineRule="auto"/>
        <w:ind w:firstLine="480" w:firstLineChars="200"/>
        <w:jc w:val="left"/>
        <w:rPr>
          <w:rFonts w:hint="eastAsia" w:ascii="宋体" w:hAnsi="宋体" w:cs="宋体"/>
          <w:sz w:val="24"/>
          <w:szCs w:val="24"/>
        </w:rPr>
      </w:pPr>
      <w:r>
        <w:rPr>
          <w:rFonts w:hint="eastAsia" w:ascii="宋体" w:hAnsi="宋体" w:cs="宋体"/>
          <w:sz w:val="24"/>
          <w:szCs w:val="24"/>
          <w:lang w:val="en-US" w:eastAsia="zh-CN"/>
        </w:rPr>
        <w:t>3.</w:t>
      </w:r>
      <w:r>
        <w:rPr>
          <w:rFonts w:hint="eastAsia" w:ascii="宋体" w:hAnsi="宋体" w:cs="宋体"/>
          <w:sz w:val="24"/>
          <w:szCs w:val="24"/>
        </w:rPr>
        <w:t>方式：本项目采用网上获取磋商文件，凡有意参加本项目磋商活动者，请登陆焦作市公共资源交易中心网站进行网上下载磋商文件；</w:t>
      </w:r>
    </w:p>
    <w:p>
      <w:pPr>
        <w:spacing w:line="360" w:lineRule="auto"/>
        <w:ind w:firstLine="600" w:firstLineChars="250"/>
        <w:rPr>
          <w:rFonts w:hint="eastAsia" w:ascii="宋体" w:hAnsi="宋体" w:cs="宋体"/>
          <w:b/>
          <w:bCs/>
          <w:sz w:val="24"/>
          <w:szCs w:val="24"/>
        </w:rPr>
      </w:pPr>
      <w:r>
        <w:rPr>
          <w:rFonts w:hint="eastAsia" w:ascii="宋体" w:hAnsi="宋体" w:cs="宋体"/>
          <w:b/>
          <w:bCs/>
          <w:sz w:val="24"/>
          <w:szCs w:val="24"/>
        </w:rPr>
        <w:t>特别提醒：请到焦作市公共资源交易中心官网首页—公共服务—下载专区-下载相关操作手册及视频等，按要求进行磋商文件获取，未在规定时间内获取磋商文件的将拒绝参加本项目磋商活动。平台统一技术服务电话为：400-998-0000，服务QQ:4008503300，服务时间：周一至周日8:00-17:30。</w:t>
      </w:r>
    </w:p>
    <w:p>
      <w:pPr>
        <w:pStyle w:val="15"/>
        <w:spacing w:line="360" w:lineRule="auto"/>
        <w:rPr>
          <w:rFonts w:hint="default" w:eastAsia="宋体"/>
          <w:lang w:val="en-US" w:eastAsia="zh-CN"/>
        </w:rPr>
      </w:pPr>
      <w:r>
        <w:rPr>
          <w:rFonts w:hint="eastAsia" w:ascii="宋体" w:hAnsi="宋体" w:cs="宋体"/>
          <w:b/>
          <w:bCs/>
          <w:sz w:val="24"/>
          <w:szCs w:val="24"/>
          <w:lang w:val="en-US" w:eastAsia="zh-CN"/>
        </w:rPr>
        <w:t xml:space="preserve">     </w:t>
      </w:r>
      <w:r>
        <w:rPr>
          <w:rFonts w:hint="eastAsia" w:ascii="宋体" w:hAnsi="宋体" w:eastAsia="宋体" w:cs="宋体"/>
          <w:sz w:val="24"/>
          <w:szCs w:val="24"/>
          <w:lang w:val="en-US" w:eastAsia="zh-CN"/>
        </w:rPr>
        <w:t>4.售价：0元</w:t>
      </w:r>
    </w:p>
    <w:p>
      <w:pPr>
        <w:numPr>
          <w:ilvl w:val="0"/>
          <w:numId w:val="2"/>
        </w:numPr>
        <w:spacing w:line="360" w:lineRule="auto"/>
        <w:jc w:val="left"/>
        <w:rPr>
          <w:rFonts w:hint="eastAsia" w:ascii="宋体" w:hAnsi="宋体" w:cs="宋体"/>
          <w:b/>
          <w:bCs/>
          <w:sz w:val="24"/>
          <w:szCs w:val="24"/>
        </w:rPr>
      </w:pPr>
      <w:r>
        <w:rPr>
          <w:rFonts w:hint="eastAsia" w:ascii="宋体" w:hAnsi="宋体" w:cs="宋体"/>
          <w:b/>
          <w:bCs/>
          <w:sz w:val="24"/>
          <w:szCs w:val="24"/>
        </w:rPr>
        <w:t>提交响应文件截止时间及地点</w:t>
      </w:r>
    </w:p>
    <w:p>
      <w:pPr>
        <w:spacing w:line="400" w:lineRule="exact"/>
        <w:ind w:firstLine="480" w:firstLineChars="200"/>
        <w:rPr>
          <w:rFonts w:hint="eastAsia" w:ascii="宋体" w:hAnsi="宋体" w:cs="宋体"/>
          <w:sz w:val="24"/>
          <w:szCs w:val="24"/>
          <w:highlight w:val="yellow"/>
        </w:rPr>
      </w:pPr>
      <w:r>
        <w:rPr>
          <w:rFonts w:hint="eastAsia" w:ascii="宋体" w:hAnsi="宋体" w:cs="宋体"/>
          <w:sz w:val="24"/>
          <w:szCs w:val="24"/>
        </w:rPr>
        <w:t>1.提交响应文件截止时间：</w:t>
      </w:r>
      <w:r>
        <w:rPr>
          <w:rFonts w:hint="eastAsia" w:ascii="宋体" w:hAnsi="宋体" w:cs="宋体"/>
          <w:sz w:val="24"/>
          <w:szCs w:val="24"/>
          <w:u w:val="single"/>
          <w:lang w:val="en-US" w:eastAsia="zh-CN"/>
        </w:rPr>
        <w:t xml:space="preserve">      </w:t>
      </w:r>
      <w:r>
        <w:rPr>
          <w:rFonts w:hint="eastAsia" w:ascii="宋体" w:hAnsi="宋体" w:cs="宋体"/>
          <w:sz w:val="24"/>
          <w:szCs w:val="24"/>
        </w:rPr>
        <w:t>年</w:t>
      </w:r>
      <w:r>
        <w:rPr>
          <w:rFonts w:hint="eastAsia" w:ascii="宋体" w:hAnsi="宋体" w:cs="宋体"/>
          <w:sz w:val="24"/>
          <w:szCs w:val="24"/>
          <w:u w:val="single"/>
          <w:lang w:val="en-US" w:eastAsia="zh-CN"/>
        </w:rPr>
        <w:t xml:space="preserve">    </w:t>
      </w:r>
      <w:r>
        <w:rPr>
          <w:rFonts w:hint="eastAsia" w:ascii="宋体" w:hAnsi="宋体" w:cs="宋体"/>
          <w:sz w:val="24"/>
          <w:szCs w:val="24"/>
        </w:rPr>
        <w:t>月</w:t>
      </w:r>
      <w:r>
        <w:rPr>
          <w:rFonts w:hint="eastAsia" w:ascii="宋体" w:hAnsi="宋体" w:cs="宋体"/>
          <w:sz w:val="24"/>
          <w:szCs w:val="24"/>
          <w:u w:val="single"/>
          <w:lang w:val="en-US" w:eastAsia="zh-CN"/>
        </w:rPr>
        <w:t xml:space="preserve">    </w:t>
      </w:r>
      <w:r>
        <w:rPr>
          <w:rFonts w:hint="eastAsia" w:ascii="宋体" w:hAnsi="宋体" w:cs="宋体"/>
          <w:sz w:val="24"/>
          <w:szCs w:val="24"/>
        </w:rPr>
        <w:t>日</w:t>
      </w:r>
      <w:r>
        <w:rPr>
          <w:rFonts w:hint="eastAsia" w:ascii="宋体" w:hAnsi="宋体" w:cs="宋体"/>
          <w:sz w:val="24"/>
          <w:szCs w:val="24"/>
          <w:u w:val="single"/>
        </w:rPr>
        <w:t>09</w:t>
      </w:r>
      <w:r>
        <w:rPr>
          <w:rFonts w:hint="eastAsia" w:ascii="宋体" w:hAnsi="宋体" w:cs="宋体"/>
          <w:sz w:val="24"/>
          <w:szCs w:val="24"/>
        </w:rPr>
        <w:t>点</w:t>
      </w:r>
      <w:r>
        <w:rPr>
          <w:rFonts w:hint="eastAsia" w:ascii="宋体" w:hAnsi="宋体" w:cs="宋体"/>
          <w:sz w:val="24"/>
          <w:szCs w:val="24"/>
          <w:u w:val="single"/>
        </w:rPr>
        <w:t>00</w:t>
      </w:r>
      <w:r>
        <w:rPr>
          <w:rFonts w:hint="eastAsia" w:ascii="宋体" w:hAnsi="宋体" w:cs="宋体"/>
          <w:sz w:val="24"/>
          <w:szCs w:val="24"/>
        </w:rPr>
        <w:t>分</w:t>
      </w:r>
      <w:r>
        <w:rPr>
          <w:rFonts w:hint="eastAsia" w:ascii="宋体" w:hAnsi="宋体" w:cs="宋体"/>
          <w:sz w:val="24"/>
          <w:szCs w:val="24"/>
          <w:u w:val="single"/>
        </w:rPr>
        <w:t>00</w:t>
      </w:r>
      <w:r>
        <w:rPr>
          <w:rFonts w:hint="eastAsia" w:ascii="宋体" w:hAnsi="宋体" w:cs="宋体"/>
          <w:sz w:val="24"/>
          <w:szCs w:val="24"/>
        </w:rPr>
        <w:t>秒（北京时间）</w:t>
      </w:r>
    </w:p>
    <w:p>
      <w:pPr>
        <w:spacing w:line="400" w:lineRule="exact"/>
        <w:ind w:firstLine="480" w:firstLineChars="200"/>
        <w:jc w:val="left"/>
        <w:rPr>
          <w:rFonts w:hint="eastAsia" w:ascii="宋体" w:hAnsi="宋体" w:cs="宋体"/>
          <w:sz w:val="24"/>
          <w:szCs w:val="24"/>
        </w:rPr>
      </w:pPr>
      <w:r>
        <w:rPr>
          <w:rFonts w:hint="eastAsia" w:ascii="宋体" w:hAnsi="宋体" w:cs="宋体"/>
          <w:sz w:val="24"/>
          <w:szCs w:val="24"/>
        </w:rPr>
        <w:t>2.地点：焦作市公共资源交易中心网站。为防止网络拥堵等不可控因素，影响响应文件的上传，请各供应商尽量提前上传响应文件，因响应文件未能及时上传导致不能参加磋商活动的，后果由供应商自行承担。</w:t>
      </w:r>
    </w:p>
    <w:p>
      <w:pPr>
        <w:numPr>
          <w:ilvl w:val="0"/>
          <w:numId w:val="2"/>
        </w:numPr>
        <w:spacing w:line="400" w:lineRule="exact"/>
        <w:jc w:val="left"/>
        <w:rPr>
          <w:rFonts w:hint="eastAsia" w:ascii="宋体" w:hAnsi="宋体" w:cs="宋体"/>
          <w:b/>
          <w:bCs/>
          <w:sz w:val="24"/>
          <w:szCs w:val="24"/>
        </w:rPr>
      </w:pPr>
      <w:r>
        <w:rPr>
          <w:rFonts w:hint="eastAsia" w:ascii="宋体" w:hAnsi="宋体" w:cs="宋体"/>
          <w:b/>
          <w:bCs/>
          <w:sz w:val="24"/>
          <w:szCs w:val="24"/>
        </w:rPr>
        <w:t>开启时间及地点</w:t>
      </w:r>
    </w:p>
    <w:p>
      <w:pPr>
        <w:spacing w:line="400" w:lineRule="exact"/>
        <w:ind w:firstLine="480" w:firstLineChars="200"/>
        <w:jc w:val="left"/>
        <w:rPr>
          <w:rFonts w:hint="eastAsia" w:ascii="宋体" w:hAnsi="宋体" w:cs="宋体"/>
          <w:sz w:val="24"/>
          <w:szCs w:val="24"/>
        </w:rPr>
      </w:pPr>
      <w:r>
        <w:rPr>
          <w:rFonts w:hint="eastAsia" w:ascii="宋体" w:hAnsi="宋体" w:cs="宋体"/>
          <w:sz w:val="24"/>
          <w:szCs w:val="24"/>
        </w:rPr>
        <w:t>1.开启时间：</w:t>
      </w:r>
      <w:r>
        <w:rPr>
          <w:rFonts w:hint="eastAsia" w:ascii="宋体" w:hAnsi="宋体" w:cs="宋体"/>
          <w:sz w:val="24"/>
          <w:szCs w:val="24"/>
          <w:u w:val="single"/>
          <w:lang w:val="en-US" w:eastAsia="zh-CN"/>
        </w:rPr>
        <w:t xml:space="preserve">      </w:t>
      </w:r>
      <w:r>
        <w:rPr>
          <w:rFonts w:hint="eastAsia" w:ascii="宋体" w:hAnsi="宋体" w:cs="宋体"/>
          <w:sz w:val="24"/>
          <w:szCs w:val="24"/>
        </w:rPr>
        <w:t>年</w:t>
      </w:r>
      <w:r>
        <w:rPr>
          <w:rFonts w:hint="eastAsia" w:ascii="宋体" w:hAnsi="宋体" w:cs="宋体"/>
          <w:sz w:val="24"/>
          <w:szCs w:val="24"/>
          <w:u w:val="single"/>
          <w:lang w:val="en-US" w:eastAsia="zh-CN"/>
        </w:rPr>
        <w:t xml:space="preserve">    </w:t>
      </w:r>
      <w:r>
        <w:rPr>
          <w:rFonts w:hint="eastAsia" w:ascii="宋体" w:hAnsi="宋体" w:cs="宋体"/>
          <w:sz w:val="24"/>
          <w:szCs w:val="24"/>
        </w:rPr>
        <w:t>月</w:t>
      </w:r>
      <w:r>
        <w:rPr>
          <w:rFonts w:hint="eastAsia" w:ascii="宋体" w:hAnsi="宋体" w:cs="宋体"/>
          <w:sz w:val="24"/>
          <w:szCs w:val="24"/>
          <w:u w:val="single"/>
          <w:lang w:val="en-US" w:eastAsia="zh-CN"/>
        </w:rPr>
        <w:t xml:space="preserve">    </w:t>
      </w:r>
      <w:r>
        <w:rPr>
          <w:rFonts w:hint="eastAsia" w:ascii="宋体" w:hAnsi="宋体" w:cs="宋体"/>
          <w:sz w:val="24"/>
          <w:szCs w:val="24"/>
        </w:rPr>
        <w:t>日09时00分后（北京时间）；</w:t>
      </w:r>
    </w:p>
    <w:p>
      <w:pPr>
        <w:spacing w:line="400" w:lineRule="exact"/>
        <w:ind w:firstLine="480" w:firstLineChars="200"/>
        <w:jc w:val="left"/>
        <w:rPr>
          <w:rFonts w:hint="eastAsia" w:ascii="宋体" w:hAnsi="宋体" w:cs="宋体"/>
          <w:sz w:val="24"/>
          <w:szCs w:val="24"/>
        </w:rPr>
      </w:pPr>
      <w:r>
        <w:rPr>
          <w:rFonts w:hint="eastAsia" w:ascii="宋体" w:hAnsi="宋体" w:cs="宋体"/>
          <w:sz w:val="24"/>
          <w:szCs w:val="24"/>
        </w:rPr>
        <w:t>2.开启地点：武陟县公共资源交易中心二楼</w:t>
      </w:r>
      <w:r>
        <w:rPr>
          <w:rFonts w:hint="eastAsia" w:ascii="宋体" w:hAnsi="宋体" w:cs="宋体"/>
          <w:color w:val="auto"/>
          <w:sz w:val="24"/>
          <w:szCs w:val="24"/>
        </w:rPr>
        <w:t>开标</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rPr>
        <w:t>厅。</w:t>
      </w:r>
    </w:p>
    <w:p>
      <w:pPr>
        <w:numPr>
          <w:ilvl w:val="0"/>
          <w:numId w:val="2"/>
        </w:numPr>
        <w:spacing w:line="400" w:lineRule="exact"/>
        <w:jc w:val="left"/>
        <w:rPr>
          <w:rFonts w:hint="eastAsia" w:ascii="宋体" w:hAnsi="宋体" w:cs="宋体"/>
          <w:b/>
          <w:bCs/>
          <w:sz w:val="24"/>
          <w:szCs w:val="24"/>
        </w:rPr>
      </w:pPr>
      <w:r>
        <w:rPr>
          <w:rFonts w:hint="eastAsia" w:ascii="宋体" w:hAnsi="宋体" w:eastAsia="宋体" w:cs="宋体"/>
          <w:b/>
          <w:bCs/>
          <w:sz w:val="24"/>
          <w:szCs w:val="24"/>
        </w:rPr>
        <w:t>公告发布</w:t>
      </w:r>
      <w:r>
        <w:rPr>
          <w:rFonts w:hint="eastAsia" w:ascii="宋体" w:hAnsi="宋体" w:eastAsia="宋体" w:cs="宋体"/>
          <w:b/>
          <w:bCs/>
          <w:sz w:val="24"/>
          <w:szCs w:val="24"/>
          <w:lang w:eastAsia="zh-CN"/>
        </w:rPr>
        <w:t>的</w:t>
      </w:r>
      <w:r>
        <w:rPr>
          <w:rFonts w:hint="eastAsia" w:ascii="宋体" w:hAnsi="宋体" w:eastAsia="宋体" w:cs="宋体"/>
          <w:b/>
          <w:bCs/>
          <w:sz w:val="24"/>
          <w:szCs w:val="24"/>
        </w:rPr>
        <w:t>媒体</w:t>
      </w:r>
      <w:r>
        <w:rPr>
          <w:rFonts w:hint="eastAsia" w:ascii="宋体" w:hAnsi="宋体" w:eastAsia="宋体" w:cs="宋体"/>
          <w:b/>
          <w:bCs/>
          <w:sz w:val="24"/>
          <w:szCs w:val="24"/>
          <w:lang w:eastAsia="zh-CN"/>
        </w:rPr>
        <w:t>及竞争性磋商</w:t>
      </w:r>
      <w:r>
        <w:rPr>
          <w:rFonts w:hint="eastAsia" w:ascii="宋体" w:hAnsi="宋体" w:eastAsia="宋体" w:cs="宋体"/>
          <w:b/>
          <w:bCs/>
          <w:sz w:val="24"/>
          <w:szCs w:val="24"/>
        </w:rPr>
        <w:t>公</w:t>
      </w:r>
      <w:r>
        <w:rPr>
          <w:rFonts w:hint="eastAsia" w:ascii="宋体" w:hAnsi="宋体" w:cs="宋体"/>
          <w:b/>
          <w:bCs/>
          <w:sz w:val="24"/>
          <w:szCs w:val="24"/>
        </w:rPr>
        <w:t>告期限</w:t>
      </w:r>
    </w:p>
    <w:p>
      <w:pPr>
        <w:spacing w:line="400" w:lineRule="exact"/>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本次招标公告在</w:t>
      </w:r>
      <w:r>
        <w:rPr>
          <w:rFonts w:hint="eastAsia" w:ascii="宋体" w:hAnsi="宋体" w:eastAsia="宋体" w:cs="宋体"/>
          <w:sz w:val="24"/>
          <w:szCs w:val="24"/>
        </w:rPr>
        <w:t>《河南省政府采购网》、《焦作市公共资源交易中心网》、《武陟县公共资源交易中心网》</w:t>
      </w:r>
      <w:r>
        <w:rPr>
          <w:rFonts w:hint="eastAsia" w:ascii="宋体" w:hAnsi="宋体" w:eastAsia="宋体" w:cs="宋体"/>
          <w:sz w:val="24"/>
          <w:szCs w:val="24"/>
          <w:lang w:eastAsia="zh-CN"/>
        </w:rPr>
        <w:t>上发布，竞争性磋商</w:t>
      </w:r>
      <w:r>
        <w:rPr>
          <w:rFonts w:hint="eastAsia" w:ascii="宋体" w:hAnsi="宋体" w:eastAsia="宋体" w:cs="宋体"/>
          <w:sz w:val="24"/>
          <w:szCs w:val="24"/>
        </w:rPr>
        <w:t>公告期限</w:t>
      </w:r>
      <w:r>
        <w:rPr>
          <w:rFonts w:hint="eastAsia" w:ascii="宋体" w:hAnsi="宋体" w:eastAsia="宋体" w:cs="宋体"/>
          <w:sz w:val="24"/>
          <w:szCs w:val="24"/>
          <w:lang w:eastAsia="zh-CN"/>
        </w:rPr>
        <w:t>为五个工作日。</w:t>
      </w:r>
    </w:p>
    <w:p>
      <w:pPr>
        <w:numPr>
          <w:ilvl w:val="0"/>
          <w:numId w:val="2"/>
        </w:numPr>
        <w:spacing w:line="400" w:lineRule="exact"/>
        <w:jc w:val="left"/>
        <w:rPr>
          <w:rFonts w:hint="eastAsia" w:ascii="宋体" w:hAnsi="宋体" w:cs="宋体"/>
          <w:b/>
          <w:bCs/>
          <w:sz w:val="24"/>
          <w:szCs w:val="24"/>
        </w:rPr>
      </w:pPr>
      <w:r>
        <w:rPr>
          <w:rFonts w:hint="eastAsia" w:ascii="宋体" w:hAnsi="宋体" w:cs="宋体"/>
          <w:b/>
          <w:bCs/>
          <w:sz w:val="24"/>
          <w:szCs w:val="24"/>
        </w:rPr>
        <w:t>其他补充事宜</w:t>
      </w:r>
    </w:p>
    <w:p>
      <w:pPr>
        <w:spacing w:line="400" w:lineRule="exact"/>
        <w:ind w:firstLine="480" w:firstLineChars="200"/>
        <w:jc w:val="left"/>
        <w:rPr>
          <w:rFonts w:hint="eastAsia"/>
        </w:rPr>
      </w:pPr>
      <w:r>
        <w:rPr>
          <w:rFonts w:hint="eastAsia" w:ascii="宋体" w:hAnsi="宋体" w:cs="宋体"/>
          <w:sz w:val="24"/>
          <w:szCs w:val="24"/>
        </w:rPr>
        <w:t>本项目采用“不见面开标”方式，供应商无需到武陟县公共资源交易中心现场参加磋商会议，无需到达现场提交原件资料。供应商应当在响应文件截止时间前，登陆“焦作市不见面开标大厅系统”，解密文件等，系统解密时长默认为30分钟，错过解密时长者视为自动放弃本次磋商。具体事宜请查阅焦作市公共资源交易中心官网首页—公共服务—下载专区-下载相关操作手册及视频等，查看操作说明，按要求进行响应文件制作及上传等。</w:t>
      </w:r>
    </w:p>
    <w:p>
      <w:pPr>
        <w:numPr>
          <w:ilvl w:val="0"/>
          <w:numId w:val="2"/>
        </w:numPr>
        <w:spacing w:line="400" w:lineRule="exact"/>
        <w:jc w:val="left"/>
        <w:rPr>
          <w:rFonts w:hint="eastAsia" w:ascii="宋体" w:hAnsi="宋体" w:cs="宋体"/>
          <w:b/>
          <w:bCs/>
          <w:sz w:val="24"/>
          <w:szCs w:val="24"/>
        </w:rPr>
      </w:pPr>
      <w:r>
        <w:rPr>
          <w:rFonts w:hint="eastAsia" w:ascii="宋体" w:hAnsi="宋体" w:cs="宋体"/>
          <w:b/>
          <w:bCs/>
          <w:sz w:val="24"/>
          <w:szCs w:val="24"/>
        </w:rPr>
        <w:t>凡对本次采购提出询问，请按以下方式联系：</w:t>
      </w:r>
    </w:p>
    <w:p>
      <w:pPr>
        <w:widowControl/>
        <w:spacing w:line="400" w:lineRule="exact"/>
        <w:ind w:firstLine="480" w:firstLineChars="200"/>
        <w:jc w:val="left"/>
        <w:rPr>
          <w:rFonts w:hint="eastAsia" w:ascii="宋体" w:hAnsi="宋体" w:cs="宋体"/>
          <w:sz w:val="24"/>
          <w:szCs w:val="24"/>
        </w:rPr>
      </w:pPr>
      <w:r>
        <w:rPr>
          <w:rFonts w:hint="eastAsia" w:ascii="宋体" w:hAnsi="宋体" w:cs="宋体"/>
          <w:sz w:val="24"/>
          <w:szCs w:val="24"/>
        </w:rPr>
        <w:t>1.采购人信息</w:t>
      </w:r>
    </w:p>
    <w:p>
      <w:pPr>
        <w:spacing w:line="400" w:lineRule="exact"/>
        <w:ind w:firstLine="480" w:firstLineChars="200"/>
        <w:jc w:val="left"/>
        <w:rPr>
          <w:rFonts w:hint="eastAsia" w:ascii="宋体" w:hAnsi="宋体" w:cs="宋体"/>
          <w:sz w:val="24"/>
          <w:szCs w:val="24"/>
        </w:rPr>
      </w:pPr>
      <w:r>
        <w:rPr>
          <w:rFonts w:hint="eastAsia" w:ascii="宋体" w:hAnsi="宋体" w:cs="宋体"/>
          <w:sz w:val="24"/>
          <w:szCs w:val="24"/>
        </w:rPr>
        <w:t>名 称：武陟县市场监督管理局</w:t>
      </w:r>
    </w:p>
    <w:p>
      <w:pPr>
        <w:spacing w:line="400" w:lineRule="exact"/>
        <w:ind w:firstLine="480" w:firstLineChars="200"/>
        <w:jc w:val="left"/>
        <w:rPr>
          <w:rFonts w:hint="eastAsia" w:ascii="宋体" w:hAnsi="宋体" w:cs="宋体"/>
          <w:color w:val="000000"/>
          <w:sz w:val="24"/>
          <w:szCs w:val="24"/>
        </w:rPr>
      </w:pPr>
      <w:r>
        <w:rPr>
          <w:rFonts w:hint="eastAsia" w:ascii="宋体" w:hAnsi="宋体" w:cs="宋体"/>
          <w:color w:val="000000"/>
          <w:sz w:val="24"/>
          <w:szCs w:val="24"/>
        </w:rPr>
        <w:t>地址：武陟县兴华路269号</w:t>
      </w:r>
    </w:p>
    <w:p>
      <w:pPr>
        <w:spacing w:line="400" w:lineRule="exact"/>
        <w:ind w:firstLine="480" w:firstLineChars="200"/>
        <w:jc w:val="left"/>
        <w:rPr>
          <w:rFonts w:hint="eastAsia" w:ascii="宋体" w:hAnsi="宋体" w:eastAsia="宋体" w:cs="宋体"/>
          <w:color w:val="000000"/>
          <w:sz w:val="24"/>
          <w:szCs w:val="24"/>
          <w:lang w:eastAsia="zh-CN"/>
        </w:rPr>
      </w:pPr>
      <w:r>
        <w:rPr>
          <w:rFonts w:hint="eastAsia" w:ascii="宋体" w:hAnsi="宋体" w:cs="宋体"/>
          <w:color w:val="000000"/>
          <w:sz w:val="24"/>
          <w:szCs w:val="24"/>
        </w:rPr>
        <w:t>联系人：</w:t>
      </w:r>
      <w:r>
        <w:rPr>
          <w:rFonts w:hint="eastAsia" w:ascii="宋体" w:hAnsi="宋体" w:cs="宋体"/>
          <w:color w:val="000000"/>
          <w:sz w:val="24"/>
          <w:szCs w:val="24"/>
          <w:lang w:val="en-US" w:eastAsia="zh-CN"/>
        </w:rPr>
        <w:t>常红娟</w:t>
      </w:r>
    </w:p>
    <w:p>
      <w:pPr>
        <w:spacing w:line="400" w:lineRule="exact"/>
        <w:ind w:firstLine="480" w:firstLineChars="200"/>
        <w:jc w:val="left"/>
        <w:rPr>
          <w:rFonts w:hint="eastAsia" w:ascii="宋体" w:hAnsi="宋体" w:cs="宋体"/>
          <w:color w:val="000000"/>
          <w:sz w:val="24"/>
          <w:szCs w:val="24"/>
        </w:rPr>
      </w:pPr>
      <w:r>
        <w:rPr>
          <w:rFonts w:hint="eastAsia" w:ascii="宋体" w:hAnsi="宋体" w:cs="宋体"/>
          <w:color w:val="000000"/>
          <w:sz w:val="24"/>
          <w:szCs w:val="24"/>
        </w:rPr>
        <w:t>联系方式：</w:t>
      </w:r>
      <w:r>
        <w:rPr>
          <w:rFonts w:hint="eastAsia" w:ascii="宋体" w:hAnsi="宋体" w:cs="宋体"/>
          <w:color w:val="000000"/>
          <w:sz w:val="24"/>
          <w:szCs w:val="24"/>
          <w:lang w:eastAsia="zh-CN"/>
        </w:rPr>
        <w:t>15839119151</w:t>
      </w:r>
    </w:p>
    <w:p>
      <w:pPr>
        <w:spacing w:line="400" w:lineRule="exact"/>
        <w:ind w:firstLine="480" w:firstLineChars="200"/>
        <w:jc w:val="left"/>
        <w:rPr>
          <w:rFonts w:hint="eastAsia" w:ascii="宋体" w:hAnsi="宋体" w:eastAsia="宋体" w:cs="宋体"/>
          <w:sz w:val="24"/>
          <w:szCs w:val="24"/>
          <w:lang w:eastAsia="zh-CN"/>
        </w:rPr>
      </w:pPr>
      <w:r>
        <w:rPr>
          <w:rFonts w:hint="eastAsia" w:ascii="宋体" w:hAnsi="宋体" w:cs="宋体"/>
          <w:sz w:val="24"/>
          <w:szCs w:val="24"/>
        </w:rPr>
        <w:t>2.采购代理机构信息</w:t>
      </w:r>
    </w:p>
    <w:p>
      <w:pPr>
        <w:spacing w:line="400" w:lineRule="exact"/>
        <w:ind w:firstLine="480" w:firstLineChars="200"/>
        <w:rPr>
          <w:rFonts w:hint="eastAsia" w:ascii="宋体" w:hAnsi="宋体" w:cs="宋体"/>
          <w:sz w:val="24"/>
          <w:szCs w:val="24"/>
        </w:rPr>
      </w:pPr>
      <w:r>
        <w:rPr>
          <w:rFonts w:hint="eastAsia" w:ascii="宋体" w:hAnsi="宋体" w:cs="宋体"/>
          <w:sz w:val="24"/>
          <w:szCs w:val="24"/>
        </w:rPr>
        <w:t>名 称：</w:t>
      </w:r>
      <w:r>
        <w:rPr>
          <w:rFonts w:hint="eastAsia" w:ascii="宋体" w:hAnsi="宋体" w:cs="宋体"/>
          <w:sz w:val="24"/>
          <w:szCs w:val="24"/>
          <w:lang w:eastAsia="zh-CN"/>
        </w:rPr>
        <w:t>达信建设发展有限公司</w:t>
      </w:r>
      <w:r>
        <w:rPr>
          <w:rFonts w:hint="eastAsia" w:ascii="宋体" w:hAnsi="宋体" w:cs="宋体"/>
          <w:sz w:val="24"/>
          <w:szCs w:val="24"/>
        </w:rPr>
        <w:t xml:space="preserve">                    　</w:t>
      </w:r>
    </w:p>
    <w:p>
      <w:pPr>
        <w:spacing w:line="400" w:lineRule="exact"/>
        <w:ind w:firstLine="480" w:firstLineChars="200"/>
        <w:jc w:val="left"/>
        <w:rPr>
          <w:rFonts w:hint="default" w:ascii="宋体" w:hAnsi="宋体" w:eastAsia="宋体" w:cs="宋体"/>
          <w:sz w:val="24"/>
          <w:szCs w:val="24"/>
          <w:lang w:val="en-US" w:eastAsia="zh-CN"/>
        </w:rPr>
      </w:pPr>
      <w:r>
        <w:rPr>
          <w:rFonts w:hint="eastAsia" w:ascii="宋体" w:hAnsi="宋体" w:eastAsia="宋体" w:cs="宋体"/>
          <w:sz w:val="24"/>
          <w:szCs w:val="24"/>
        </w:rPr>
        <w:t>地 址：</w:t>
      </w:r>
      <w:r>
        <w:rPr>
          <w:rFonts w:hint="eastAsia" w:ascii="宋体" w:hAnsi="宋体" w:eastAsia="宋体" w:cs="宋体"/>
          <w:sz w:val="24"/>
          <w:szCs w:val="24"/>
          <w:lang w:val="en-US" w:eastAsia="zh-CN"/>
        </w:rPr>
        <w:t xml:space="preserve"> 新乡市新二街356号国贸大厦A座9楼</w:t>
      </w:r>
    </w:p>
    <w:p>
      <w:pPr>
        <w:spacing w:line="400" w:lineRule="exact"/>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联系人：王一帆</w:t>
      </w:r>
    </w:p>
    <w:p>
      <w:pPr>
        <w:spacing w:line="400" w:lineRule="exact"/>
        <w:ind w:firstLine="480" w:firstLineChars="200"/>
        <w:jc w:val="left"/>
        <w:rPr>
          <w:rFonts w:hint="eastAsia" w:ascii="宋体" w:hAnsi="宋体" w:cs="宋体"/>
          <w:color w:val="000000"/>
          <w:sz w:val="24"/>
          <w:szCs w:val="24"/>
        </w:rPr>
      </w:pPr>
      <w:r>
        <w:rPr>
          <w:rFonts w:hint="eastAsia" w:ascii="宋体" w:hAnsi="宋体" w:eastAsia="宋体" w:cs="宋体"/>
          <w:color w:val="000000"/>
          <w:sz w:val="24"/>
          <w:szCs w:val="24"/>
        </w:rPr>
        <w:t>联系方式：</w:t>
      </w:r>
      <w:r>
        <w:rPr>
          <w:rFonts w:hint="eastAsia" w:ascii="宋体" w:hAnsi="宋体" w:eastAsia="宋体" w:cs="宋体"/>
          <w:color w:val="000000"/>
          <w:sz w:val="24"/>
          <w:szCs w:val="24"/>
          <w:lang w:val="en-US" w:eastAsia="zh-CN"/>
        </w:rPr>
        <w:t xml:space="preserve">0391-7289803 </w:t>
      </w:r>
      <w:r>
        <w:rPr>
          <w:rFonts w:hint="eastAsia" w:ascii="宋体" w:hAnsi="宋体" w:eastAsia="宋体" w:cs="宋体"/>
          <w:color w:val="000000"/>
          <w:sz w:val="24"/>
          <w:szCs w:val="24"/>
        </w:rPr>
        <w:t xml:space="preserve">  </w:t>
      </w:r>
      <w:r>
        <w:rPr>
          <w:rFonts w:hint="eastAsia" w:ascii="宋体" w:hAnsi="宋体" w:cs="宋体"/>
          <w:color w:val="000000"/>
          <w:sz w:val="24"/>
          <w:szCs w:val="24"/>
        </w:rPr>
        <w:t xml:space="preserve">                      　                                             </w:t>
      </w:r>
    </w:p>
    <w:p>
      <w:pPr>
        <w:spacing w:line="40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3.项目联系方式</w:t>
      </w:r>
    </w:p>
    <w:p>
      <w:pPr>
        <w:pStyle w:val="16"/>
        <w:spacing w:line="400" w:lineRule="exact"/>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项目联系人：</w:t>
      </w:r>
      <w:r>
        <w:rPr>
          <w:rFonts w:hint="eastAsia" w:ascii="宋体" w:hAnsi="宋体" w:cs="宋体"/>
          <w:color w:val="000000"/>
          <w:sz w:val="24"/>
          <w:szCs w:val="24"/>
          <w:lang w:val="en-US" w:eastAsia="zh-CN"/>
        </w:rPr>
        <w:t>常红娟</w:t>
      </w:r>
    </w:p>
    <w:p>
      <w:pPr>
        <w:spacing w:line="400" w:lineRule="exact"/>
        <w:ind w:firstLine="480" w:firstLineChars="200"/>
        <w:rPr>
          <w:rFonts w:hint="default" w:ascii="宋体" w:hAnsi="宋体" w:eastAsia="宋体" w:cs="宋体"/>
          <w:color w:val="000000"/>
          <w:sz w:val="24"/>
          <w:szCs w:val="24"/>
          <w:u w:val="single"/>
          <w:lang w:val="en-US" w:eastAsia="zh-CN"/>
        </w:rPr>
      </w:pPr>
      <w:r>
        <w:rPr>
          <w:rFonts w:hint="eastAsia" w:ascii="宋体" w:hAnsi="宋体" w:cs="宋体"/>
          <w:color w:val="000000"/>
          <w:sz w:val="24"/>
          <w:szCs w:val="24"/>
        </w:rPr>
        <w:t>电　话：</w:t>
      </w:r>
      <w:r>
        <w:rPr>
          <w:rFonts w:hint="eastAsia" w:ascii="宋体" w:hAnsi="宋体" w:cs="宋体"/>
          <w:color w:val="000000"/>
          <w:sz w:val="24"/>
          <w:szCs w:val="24"/>
          <w:shd w:val="clear" w:color="auto" w:fill="FFFFFF"/>
          <w:lang w:val="en-US" w:eastAsia="zh-CN"/>
        </w:rPr>
        <w:t xml:space="preserve"> </w:t>
      </w:r>
      <w:r>
        <w:rPr>
          <w:rFonts w:hint="eastAsia" w:ascii="宋体" w:hAnsi="宋体" w:cs="宋体"/>
          <w:color w:val="000000"/>
          <w:sz w:val="24"/>
          <w:szCs w:val="24"/>
          <w:lang w:eastAsia="zh-CN"/>
        </w:rPr>
        <w:t>15839119151</w:t>
      </w:r>
    </w:p>
    <w:p>
      <w:pPr>
        <w:spacing w:line="380" w:lineRule="exact"/>
        <w:ind w:firstLine="6000" w:firstLineChars="2500"/>
        <w:rPr>
          <w:rFonts w:hint="eastAsia" w:ascii="宋体" w:hAnsi="宋体" w:cs="宋体"/>
          <w:sz w:val="24"/>
          <w:szCs w:val="24"/>
        </w:rPr>
      </w:pPr>
    </w:p>
    <w:p>
      <w:pPr>
        <w:keepNext w:val="0"/>
        <w:keepLines w:val="0"/>
        <w:pageBreakBefore w:val="0"/>
        <w:kinsoku/>
        <w:wordWrap/>
        <w:overflowPunct/>
        <w:topLinePunct w:val="0"/>
        <w:autoSpaceDE/>
        <w:autoSpaceDN/>
        <w:bidi w:val="0"/>
        <w:adjustRightInd/>
        <w:snapToGrid/>
        <w:spacing w:line="380" w:lineRule="exact"/>
        <w:ind w:firstLine="6000" w:firstLineChars="2500"/>
        <w:jc w:val="both"/>
        <w:textAlignment w:val="auto"/>
        <w:rPr>
          <w:rFonts w:hint="eastAsia" w:ascii="宋体" w:hAnsi="宋体" w:eastAsia="宋体" w:cs="宋体"/>
          <w:color w:val="auto"/>
          <w:sz w:val="24"/>
          <w:szCs w:val="24"/>
          <w:u w:val="none"/>
          <w:lang w:eastAsia="zh-CN"/>
        </w:rPr>
      </w:pPr>
      <w:r>
        <w:rPr>
          <w:rFonts w:hint="eastAsia" w:ascii="宋体" w:hAnsi="宋体" w:cs="宋体"/>
          <w:sz w:val="24"/>
          <w:szCs w:val="24"/>
        </w:rPr>
        <w:t>时间：</w:t>
      </w:r>
      <w:r>
        <w:rPr>
          <w:rFonts w:hint="eastAsia" w:ascii="宋体" w:hAnsi="宋体" w:cs="宋体"/>
          <w:sz w:val="24"/>
          <w:szCs w:val="24"/>
          <w:lang w:val="en-US" w:eastAsia="zh-CN"/>
        </w:rPr>
        <w:t xml:space="preserve"> 2023</w:t>
      </w:r>
      <w:r>
        <w:rPr>
          <w:rFonts w:hint="eastAsia" w:ascii="宋体" w:hAnsi="宋体" w:cs="宋体"/>
          <w:sz w:val="24"/>
          <w:szCs w:val="24"/>
        </w:rPr>
        <w:t>年</w:t>
      </w:r>
      <w:r>
        <w:rPr>
          <w:rFonts w:hint="eastAsia" w:ascii="宋体" w:hAnsi="宋体" w:cs="宋体"/>
          <w:sz w:val="24"/>
          <w:szCs w:val="24"/>
          <w:lang w:val="en-US" w:eastAsia="zh-CN"/>
        </w:rPr>
        <w:t xml:space="preserve">  </w:t>
      </w:r>
      <w:r>
        <w:rPr>
          <w:rFonts w:hint="eastAsia" w:ascii="宋体" w:hAnsi="宋体" w:cs="宋体"/>
          <w:sz w:val="24"/>
          <w:szCs w:val="24"/>
        </w:rPr>
        <w:t>月</w:t>
      </w:r>
      <w:r>
        <w:rPr>
          <w:rFonts w:hint="eastAsia" w:ascii="宋体" w:hAnsi="宋体" w:cs="宋体"/>
          <w:sz w:val="24"/>
          <w:szCs w:val="24"/>
          <w:lang w:val="en-US" w:eastAsia="zh-CN"/>
        </w:rPr>
        <w:t xml:space="preserve">    </w:t>
      </w:r>
      <w:r>
        <w:rPr>
          <w:rFonts w:hint="eastAsia" w:ascii="宋体" w:hAnsi="宋体" w:cs="宋体"/>
          <w:sz w:val="24"/>
          <w:szCs w:val="24"/>
        </w:rPr>
        <w:t>日</w:t>
      </w:r>
    </w:p>
    <w:p>
      <w:pPr>
        <w:pStyle w:val="15"/>
        <w:rPr>
          <w:rFonts w:hint="eastAsia" w:ascii="宋体" w:hAnsi="宋体" w:eastAsia="宋体" w:cs="宋体"/>
          <w:color w:val="auto"/>
          <w:sz w:val="24"/>
          <w:szCs w:val="24"/>
          <w:u w:val="none"/>
          <w:lang w:eastAsia="zh-CN"/>
        </w:rPr>
      </w:pPr>
    </w:p>
    <w:p>
      <w:pPr>
        <w:rPr>
          <w:rFonts w:hint="eastAsia" w:ascii="宋体" w:hAnsi="宋体" w:eastAsia="宋体" w:cs="宋体"/>
          <w:color w:val="auto"/>
          <w:sz w:val="24"/>
          <w:szCs w:val="24"/>
          <w:u w:val="none"/>
          <w:lang w:eastAsia="zh-CN"/>
        </w:rPr>
      </w:pPr>
    </w:p>
    <w:p>
      <w:pPr>
        <w:pStyle w:val="15"/>
        <w:rPr>
          <w:rFonts w:hint="eastAsia" w:ascii="宋体" w:hAnsi="宋体" w:eastAsia="宋体" w:cs="宋体"/>
          <w:color w:val="auto"/>
          <w:sz w:val="24"/>
          <w:szCs w:val="24"/>
          <w:u w:val="none"/>
          <w:lang w:eastAsia="zh-CN"/>
        </w:rPr>
      </w:pPr>
    </w:p>
    <w:p>
      <w:pPr>
        <w:rPr>
          <w:rFonts w:hint="eastAsia" w:ascii="宋体" w:hAnsi="宋体" w:eastAsia="宋体" w:cs="宋体"/>
          <w:color w:val="auto"/>
          <w:sz w:val="24"/>
          <w:szCs w:val="24"/>
          <w:u w:val="none"/>
          <w:lang w:eastAsia="zh-CN"/>
        </w:rPr>
      </w:pPr>
    </w:p>
    <w:p>
      <w:pPr>
        <w:pStyle w:val="15"/>
        <w:rPr>
          <w:rFonts w:hint="eastAsia" w:ascii="宋体" w:hAnsi="宋体" w:eastAsia="宋体" w:cs="宋体"/>
          <w:color w:val="auto"/>
          <w:sz w:val="24"/>
          <w:szCs w:val="24"/>
          <w:u w:val="none"/>
          <w:lang w:eastAsia="zh-CN"/>
        </w:rPr>
      </w:pPr>
    </w:p>
    <w:p>
      <w:pPr>
        <w:rPr>
          <w:rFonts w:hint="eastAsia" w:ascii="宋体" w:hAnsi="宋体" w:eastAsia="宋体" w:cs="宋体"/>
          <w:color w:val="auto"/>
          <w:sz w:val="24"/>
          <w:szCs w:val="24"/>
          <w:u w:val="none"/>
          <w:lang w:eastAsia="zh-CN"/>
        </w:rPr>
      </w:pPr>
    </w:p>
    <w:p>
      <w:pPr>
        <w:rPr>
          <w:rFonts w:hint="eastAsia" w:ascii="宋体" w:hAnsi="宋体" w:eastAsia="宋体" w:cs="宋体"/>
          <w:color w:val="auto"/>
          <w:sz w:val="24"/>
          <w:szCs w:val="24"/>
          <w:u w:val="none"/>
          <w:lang w:eastAsia="zh-CN"/>
        </w:rPr>
      </w:pPr>
    </w:p>
    <w:p>
      <w:pPr>
        <w:rPr>
          <w:rFonts w:hint="eastAsia"/>
        </w:rPr>
      </w:pPr>
    </w:p>
    <w:p>
      <w:pPr>
        <w:pStyle w:val="34"/>
        <w:keepNext w:val="0"/>
        <w:keepLines w:val="0"/>
        <w:pageBreakBefore w:val="0"/>
        <w:widowControl w:val="0"/>
        <w:numPr>
          <w:ilvl w:val="0"/>
          <w:numId w:val="1"/>
        </w:numPr>
        <w:kinsoku/>
        <w:wordWrap/>
        <w:overflowPunct/>
        <w:topLinePunct w:val="0"/>
        <w:autoSpaceDE/>
        <w:autoSpaceDN/>
        <w:bidi w:val="0"/>
        <w:adjustRightInd/>
        <w:snapToGrid/>
        <w:spacing w:before="0" w:after="0" w:line="360" w:lineRule="auto"/>
        <w:ind w:firstLine="403"/>
        <w:textAlignment w:val="auto"/>
        <w:outlineLvl w:val="0"/>
        <w:rPr>
          <w:rFonts w:hint="eastAsia"/>
        </w:rPr>
      </w:pPr>
      <w:bookmarkStart w:id="8" w:name="_Toc15614"/>
      <w:bookmarkStart w:id="9" w:name="_Toc477423242"/>
      <w:bookmarkStart w:id="10" w:name="_Toc408816341"/>
      <w:bookmarkStart w:id="11" w:name="_Toc22562"/>
      <w:bookmarkStart w:id="12" w:name="_Toc373230021"/>
      <w:bookmarkStart w:id="13" w:name="_Toc374512408"/>
      <w:r>
        <w:rPr>
          <w:rFonts w:hint="eastAsia"/>
        </w:rPr>
        <w:br w:type="page"/>
      </w:r>
      <w:r>
        <w:rPr>
          <w:rFonts w:hint="eastAsia"/>
        </w:rPr>
        <w:t xml:space="preserve"> </w:t>
      </w:r>
      <w:bookmarkStart w:id="14" w:name="_Toc7876"/>
      <w:bookmarkStart w:id="15" w:name="_Toc16725"/>
      <w:bookmarkStart w:id="16" w:name="_Toc29694"/>
      <w:r>
        <w:rPr>
          <w:rFonts w:hint="eastAsia"/>
        </w:rPr>
        <w:t>供应商须知</w:t>
      </w:r>
      <w:bookmarkEnd w:id="8"/>
      <w:bookmarkEnd w:id="14"/>
      <w:bookmarkEnd w:id="15"/>
      <w:bookmarkEnd w:id="16"/>
    </w:p>
    <w:p>
      <w:pPr>
        <w:jc w:val="center"/>
        <w:rPr>
          <w:rFonts w:hint="eastAsia" w:ascii="宋体" w:hAnsi="宋体" w:eastAsia="宋体" w:cs="宋体"/>
          <w:sz w:val="28"/>
          <w:szCs w:val="28"/>
        </w:rPr>
      </w:pPr>
      <w:r>
        <w:rPr>
          <w:rFonts w:hint="eastAsia" w:ascii="宋体" w:hAnsi="宋体" w:eastAsia="宋体" w:cs="宋体"/>
          <w:sz w:val="28"/>
          <w:szCs w:val="28"/>
        </w:rPr>
        <w:t>供应商须知前附表</w:t>
      </w:r>
    </w:p>
    <w:p>
      <w:pPr>
        <w:spacing w:line="480" w:lineRule="exact"/>
        <w:ind w:right="-420" w:rightChars="-200" w:firstLine="420" w:firstLineChars="200"/>
        <w:jc w:val="left"/>
        <w:rPr>
          <w:rFonts w:hint="eastAsia" w:ascii="宋体" w:hAnsi="宋体" w:eastAsia="宋体" w:cs="宋体"/>
          <w:szCs w:val="21"/>
        </w:rPr>
      </w:pPr>
      <w:r>
        <w:rPr>
          <w:rFonts w:hint="eastAsia" w:ascii="宋体" w:hAnsi="宋体" w:eastAsia="宋体" w:cs="宋体"/>
          <w:kern w:val="0"/>
          <w:szCs w:val="21"/>
        </w:rPr>
        <w:t>本表是对竞争性磋商文件的具体补充和修改，如与竞争性磋商文件其他部分内容有差异，应以本表为准。</w:t>
      </w:r>
    </w:p>
    <w:tbl>
      <w:tblPr>
        <w:tblStyle w:val="36"/>
        <w:tblW w:w="95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2131"/>
        <w:gridCol w:w="6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Cs w:val="21"/>
              </w:rPr>
            </w:pPr>
            <w:r>
              <w:rPr>
                <w:rFonts w:hint="eastAsia" w:ascii="宋体" w:hAnsi="宋体" w:eastAsia="宋体" w:cs="宋体"/>
                <w:kern w:val="0"/>
                <w:szCs w:val="21"/>
              </w:rPr>
              <w:t>项号</w:t>
            </w:r>
          </w:p>
        </w:tc>
        <w:tc>
          <w:tcPr>
            <w:tcW w:w="2131" w:type="dxa"/>
            <w:noWrap w:val="0"/>
            <w:vAlign w:val="center"/>
          </w:tcPr>
          <w:p>
            <w:pPr>
              <w:spacing w:line="460" w:lineRule="exact"/>
              <w:jc w:val="center"/>
              <w:rPr>
                <w:rFonts w:hint="eastAsia" w:ascii="宋体" w:hAnsi="宋体" w:eastAsia="宋体" w:cs="宋体"/>
                <w:kern w:val="0"/>
                <w:szCs w:val="21"/>
              </w:rPr>
            </w:pPr>
            <w:r>
              <w:rPr>
                <w:rFonts w:hint="eastAsia" w:ascii="宋体" w:hAnsi="宋体" w:eastAsia="宋体" w:cs="宋体"/>
                <w:kern w:val="0"/>
                <w:szCs w:val="21"/>
              </w:rPr>
              <w:t>内  容</w:t>
            </w:r>
          </w:p>
        </w:tc>
        <w:tc>
          <w:tcPr>
            <w:tcW w:w="6563" w:type="dxa"/>
            <w:noWrap w:val="0"/>
            <w:vAlign w:val="center"/>
          </w:tcPr>
          <w:p>
            <w:pPr>
              <w:spacing w:line="460" w:lineRule="exact"/>
              <w:jc w:val="center"/>
              <w:rPr>
                <w:rFonts w:hint="eastAsia" w:ascii="宋体" w:hAnsi="宋体" w:eastAsia="宋体" w:cs="宋体"/>
                <w:kern w:val="0"/>
                <w:szCs w:val="21"/>
              </w:rPr>
            </w:pPr>
            <w:r>
              <w:rPr>
                <w:rFonts w:hint="eastAsia" w:ascii="宋体" w:hAnsi="宋体" w:eastAsia="宋体" w:cs="宋体"/>
                <w:kern w:val="0"/>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1</w:t>
            </w:r>
          </w:p>
        </w:tc>
        <w:tc>
          <w:tcPr>
            <w:tcW w:w="2131" w:type="dxa"/>
            <w:noWrap w:val="0"/>
            <w:vAlign w:val="center"/>
          </w:tcPr>
          <w:p>
            <w:pPr>
              <w:spacing w:line="4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采购人</w:t>
            </w:r>
          </w:p>
        </w:tc>
        <w:tc>
          <w:tcPr>
            <w:tcW w:w="6563" w:type="dxa"/>
            <w:noWrap w:val="0"/>
            <w:vAlign w:val="center"/>
          </w:tcPr>
          <w:p>
            <w:pPr>
              <w:spacing w:line="460" w:lineRule="exact"/>
              <w:rPr>
                <w:rFonts w:hint="eastAsia" w:ascii="宋体" w:hAnsi="宋体" w:eastAsia="宋体" w:cs="宋体"/>
                <w:kern w:val="0"/>
                <w:sz w:val="21"/>
                <w:szCs w:val="21"/>
              </w:rPr>
            </w:pPr>
            <w:r>
              <w:rPr>
                <w:rFonts w:hint="eastAsia" w:ascii="宋体" w:hAnsi="宋体" w:cs="仿宋_GB2312"/>
                <w:kern w:val="0"/>
                <w:sz w:val="21"/>
                <w:szCs w:val="21"/>
                <w:lang w:eastAsia="zh-CN"/>
              </w:rPr>
              <w:t>武陟县市场监督管理局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2</w:t>
            </w:r>
          </w:p>
        </w:tc>
        <w:tc>
          <w:tcPr>
            <w:tcW w:w="2131" w:type="dxa"/>
            <w:noWrap w:val="0"/>
            <w:vAlign w:val="center"/>
          </w:tcPr>
          <w:p>
            <w:pPr>
              <w:spacing w:line="4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采购代理机构</w:t>
            </w:r>
          </w:p>
        </w:tc>
        <w:tc>
          <w:tcPr>
            <w:tcW w:w="6563" w:type="dxa"/>
            <w:noWrap w:val="0"/>
            <w:vAlign w:val="center"/>
          </w:tcPr>
          <w:p>
            <w:pPr>
              <w:spacing w:line="460" w:lineRule="exact"/>
              <w:rPr>
                <w:rFonts w:hint="eastAsia" w:ascii="宋体" w:hAnsi="宋体" w:eastAsia="宋体" w:cs="宋体"/>
                <w:kern w:val="0"/>
                <w:sz w:val="21"/>
                <w:szCs w:val="21"/>
              </w:rPr>
            </w:pPr>
            <w:r>
              <w:rPr>
                <w:rFonts w:hint="eastAsia" w:ascii="宋体" w:hAnsi="宋体"/>
                <w:sz w:val="21"/>
                <w:szCs w:val="21"/>
                <w:lang w:eastAsia="zh-CN"/>
              </w:rPr>
              <w:t>达信建设发展有限公司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3</w:t>
            </w:r>
          </w:p>
        </w:tc>
        <w:tc>
          <w:tcPr>
            <w:tcW w:w="2131" w:type="dxa"/>
            <w:noWrap w:val="0"/>
            <w:vAlign w:val="center"/>
          </w:tcPr>
          <w:p>
            <w:pPr>
              <w:spacing w:line="4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项目名称</w:t>
            </w:r>
          </w:p>
        </w:tc>
        <w:tc>
          <w:tcPr>
            <w:tcW w:w="6563" w:type="dxa"/>
            <w:noWrap w:val="0"/>
            <w:vAlign w:val="center"/>
          </w:tcPr>
          <w:p>
            <w:pPr>
              <w:spacing w:line="460" w:lineRule="exact"/>
              <w:rPr>
                <w:rFonts w:hint="default" w:ascii="宋体" w:hAnsi="宋体" w:eastAsia="宋体" w:cs="宋体"/>
                <w:kern w:val="0"/>
                <w:sz w:val="21"/>
                <w:szCs w:val="21"/>
                <w:highlight w:val="yellow"/>
                <w:lang w:val="en-US"/>
              </w:rPr>
            </w:pPr>
            <w:r>
              <w:rPr>
                <w:rFonts w:hint="eastAsia" w:ascii="宋体" w:hAnsi="宋体" w:cs="仿宋_GB2312"/>
                <w:color w:val="auto"/>
                <w:kern w:val="0"/>
                <w:sz w:val="21"/>
                <w:szCs w:val="21"/>
                <w:highlight w:val="none"/>
                <w:lang w:eastAsia="zh-CN"/>
              </w:rPr>
              <w:t>武陟县市场监督管理局食品安全抽样检测工作</w:t>
            </w:r>
            <w:r>
              <w:rPr>
                <w:rFonts w:hint="eastAsia" w:ascii="宋体" w:hAnsi="宋体" w:cs="仿宋_GB2312"/>
                <w:color w:val="auto"/>
                <w:kern w:val="0"/>
                <w:sz w:val="21"/>
                <w:szCs w:val="21"/>
                <w:highlight w:val="none"/>
                <w:lang w:val="en-US" w:eastAsia="zh-CN"/>
              </w:rPr>
              <w:t>二包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4</w:t>
            </w:r>
          </w:p>
        </w:tc>
        <w:tc>
          <w:tcPr>
            <w:tcW w:w="2131" w:type="dxa"/>
            <w:noWrap w:val="0"/>
            <w:vAlign w:val="center"/>
          </w:tcPr>
          <w:p>
            <w:pPr>
              <w:spacing w:line="4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资金来源</w:t>
            </w:r>
          </w:p>
        </w:tc>
        <w:tc>
          <w:tcPr>
            <w:tcW w:w="6563" w:type="dxa"/>
            <w:noWrap w:val="0"/>
            <w:vAlign w:val="center"/>
          </w:tcPr>
          <w:p>
            <w:pPr>
              <w:spacing w:line="460" w:lineRule="exact"/>
              <w:rPr>
                <w:rFonts w:hint="eastAsia" w:ascii="宋体" w:hAnsi="宋体" w:eastAsia="宋体" w:cs="宋体"/>
                <w:kern w:val="0"/>
                <w:sz w:val="21"/>
                <w:szCs w:val="21"/>
                <w:lang w:eastAsia="zh-CN"/>
              </w:rPr>
            </w:pPr>
            <w:r>
              <w:rPr>
                <w:rFonts w:hint="eastAsia" w:ascii="宋体" w:hAnsi="宋体" w:eastAsia="宋体" w:cs="宋体"/>
                <w:kern w:val="0"/>
                <w:sz w:val="21"/>
                <w:szCs w:val="21"/>
                <w:highlight w:val="none"/>
                <w:lang w:eastAsia="zh-CN"/>
              </w:rPr>
              <w:t>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5</w:t>
            </w:r>
          </w:p>
        </w:tc>
        <w:tc>
          <w:tcPr>
            <w:tcW w:w="2131" w:type="dxa"/>
            <w:noWrap w:val="0"/>
            <w:vAlign w:val="center"/>
          </w:tcPr>
          <w:p>
            <w:pPr>
              <w:spacing w:line="4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资金落实情况</w:t>
            </w:r>
          </w:p>
        </w:tc>
        <w:tc>
          <w:tcPr>
            <w:tcW w:w="6563" w:type="dxa"/>
            <w:noWrap w:val="0"/>
            <w:vAlign w:val="center"/>
          </w:tcPr>
          <w:p>
            <w:pPr>
              <w:spacing w:line="460" w:lineRule="exact"/>
              <w:rPr>
                <w:rFonts w:hint="eastAsia" w:ascii="宋体" w:hAnsi="宋体" w:eastAsia="宋体" w:cs="宋体"/>
                <w:kern w:val="0"/>
                <w:sz w:val="21"/>
                <w:szCs w:val="21"/>
                <w:highlight w:val="yellow"/>
              </w:rPr>
            </w:pPr>
            <w:r>
              <w:rPr>
                <w:rFonts w:hint="eastAsia" w:ascii="宋体" w:hAnsi="宋体" w:eastAsia="宋体" w:cs="宋体"/>
                <w:kern w:val="0"/>
                <w:sz w:val="21"/>
                <w:szCs w:val="21"/>
              </w:rPr>
              <w:t xml:space="preserve">已落实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6</w:t>
            </w:r>
          </w:p>
        </w:tc>
        <w:tc>
          <w:tcPr>
            <w:tcW w:w="2131" w:type="dxa"/>
            <w:noWrap w:val="0"/>
            <w:vAlign w:val="center"/>
          </w:tcPr>
          <w:p>
            <w:pPr>
              <w:spacing w:line="460" w:lineRule="exact"/>
              <w:jc w:val="center"/>
              <w:rPr>
                <w:rFonts w:hint="eastAsia" w:ascii="宋体" w:hAnsi="宋体" w:eastAsia="宋体" w:cs="宋体"/>
                <w:kern w:val="0"/>
                <w:sz w:val="21"/>
                <w:szCs w:val="21"/>
              </w:rPr>
            </w:pPr>
            <w:r>
              <w:rPr>
                <w:rFonts w:hint="eastAsia" w:ascii="宋体" w:hAnsi="宋体"/>
                <w:sz w:val="21"/>
                <w:szCs w:val="21"/>
                <w:lang w:eastAsia="zh-CN"/>
              </w:rPr>
              <w:t>项目属性</w:t>
            </w:r>
          </w:p>
        </w:tc>
        <w:tc>
          <w:tcPr>
            <w:tcW w:w="6563" w:type="dxa"/>
            <w:noWrap w:val="0"/>
            <w:vAlign w:val="center"/>
          </w:tcPr>
          <w:p>
            <w:pPr>
              <w:spacing w:line="460" w:lineRule="exact"/>
              <w:rPr>
                <w:rFonts w:hint="eastAsia" w:ascii="宋体" w:hAnsi="宋体" w:eastAsia="宋体" w:cs="宋体"/>
                <w:kern w:val="0"/>
                <w:sz w:val="21"/>
                <w:szCs w:val="21"/>
              </w:rPr>
            </w:pPr>
            <w:r>
              <w:rPr>
                <w:rFonts w:hint="eastAsia" w:ascii="宋体" w:hAnsi="宋体"/>
                <w:color w:val="auto"/>
                <w:sz w:val="21"/>
                <w:szCs w:val="21"/>
                <w:lang w:eastAsia="zh-CN"/>
              </w:rPr>
              <w:t>货物</w:t>
            </w:r>
            <w:r>
              <w:rPr>
                <w:rFonts w:hint="eastAsia" w:hAnsi="宋体"/>
                <w:color w:val="auto"/>
                <w:sz w:val="21"/>
                <w:szCs w:val="21"/>
              </w:rPr>
              <w:sym w:font="Wingdings" w:char="00A8"/>
            </w:r>
            <w:r>
              <w:rPr>
                <w:rFonts w:hint="eastAsia" w:hAnsi="宋体"/>
                <w:color w:val="auto"/>
                <w:sz w:val="21"/>
                <w:szCs w:val="21"/>
                <w:lang w:val="en-US" w:eastAsia="zh-CN"/>
              </w:rPr>
              <w:t xml:space="preserve">      </w:t>
            </w:r>
            <w:r>
              <w:rPr>
                <w:rFonts w:hint="eastAsia" w:ascii="宋体" w:hAnsi="宋体"/>
                <w:color w:val="auto"/>
                <w:sz w:val="21"/>
                <w:szCs w:val="21"/>
                <w:lang w:eastAsia="zh-CN"/>
              </w:rPr>
              <w:t>服务</w:t>
            </w:r>
            <w:r>
              <w:rPr>
                <w:rFonts w:hint="eastAsia" w:hAnsi="宋体"/>
                <w:color w:val="auto"/>
                <w:sz w:val="21"/>
                <w:szCs w:val="21"/>
              </w:rPr>
              <w:sym w:font="Wingdings" w:char="00FE"/>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 w:val="21"/>
                <w:szCs w:val="21"/>
                <w:lang w:eastAsia="zh-CN"/>
              </w:rPr>
            </w:pPr>
            <w:r>
              <w:rPr>
                <w:rFonts w:hint="eastAsia" w:ascii="宋体" w:hAnsi="宋体" w:eastAsia="宋体" w:cs="宋体"/>
                <w:kern w:val="0"/>
                <w:sz w:val="21"/>
                <w:szCs w:val="21"/>
                <w:lang w:val="en-US" w:eastAsia="zh-CN"/>
              </w:rPr>
              <w:t>7</w:t>
            </w:r>
          </w:p>
        </w:tc>
        <w:tc>
          <w:tcPr>
            <w:tcW w:w="2131" w:type="dxa"/>
            <w:noWrap w:val="0"/>
            <w:vAlign w:val="center"/>
          </w:tcPr>
          <w:p>
            <w:pPr>
              <w:spacing w:line="4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磋商有效期</w:t>
            </w:r>
          </w:p>
        </w:tc>
        <w:tc>
          <w:tcPr>
            <w:tcW w:w="6563" w:type="dxa"/>
            <w:noWrap w:val="0"/>
            <w:vAlign w:val="center"/>
          </w:tcPr>
          <w:p>
            <w:pPr>
              <w:spacing w:line="460" w:lineRule="exact"/>
              <w:rPr>
                <w:rFonts w:hint="eastAsia" w:ascii="宋体" w:hAnsi="宋体" w:eastAsia="宋体" w:cs="宋体"/>
                <w:kern w:val="0"/>
                <w:sz w:val="21"/>
                <w:szCs w:val="21"/>
              </w:rPr>
            </w:pPr>
            <w:r>
              <w:rPr>
                <w:rFonts w:hint="eastAsia" w:ascii="宋体" w:hAnsi="宋体" w:eastAsia="宋体" w:cs="宋体"/>
                <w:kern w:val="0"/>
                <w:sz w:val="21"/>
                <w:szCs w:val="21"/>
              </w:rPr>
              <w:t>自响应文件提交之日起</w:t>
            </w:r>
            <w:r>
              <w:rPr>
                <w:rFonts w:hint="eastAsia" w:ascii="宋体" w:hAnsi="宋体" w:eastAsia="宋体" w:cs="宋体"/>
                <w:kern w:val="0"/>
                <w:sz w:val="21"/>
                <w:szCs w:val="21"/>
                <w:u w:val="single"/>
              </w:rPr>
              <w:t>60</w:t>
            </w:r>
            <w:r>
              <w:rPr>
                <w:rFonts w:hint="eastAsia" w:ascii="宋体" w:hAnsi="宋体" w:eastAsia="宋体" w:cs="宋体"/>
                <w:kern w:val="0"/>
                <w:sz w:val="21"/>
                <w:szCs w:val="21"/>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 w:val="21"/>
                <w:szCs w:val="21"/>
                <w:lang w:eastAsia="zh-CN"/>
              </w:rPr>
            </w:pPr>
            <w:r>
              <w:rPr>
                <w:rFonts w:hint="eastAsia" w:ascii="宋体" w:hAnsi="宋体" w:eastAsia="宋体" w:cs="宋体"/>
                <w:kern w:val="0"/>
                <w:sz w:val="21"/>
                <w:szCs w:val="21"/>
                <w:lang w:val="en-US" w:eastAsia="zh-CN"/>
              </w:rPr>
              <w:t>8</w:t>
            </w:r>
          </w:p>
        </w:tc>
        <w:tc>
          <w:tcPr>
            <w:tcW w:w="2131" w:type="dxa"/>
            <w:noWrap w:val="0"/>
            <w:vAlign w:val="center"/>
          </w:tcPr>
          <w:p>
            <w:pPr>
              <w:spacing w:line="4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采购需求</w:t>
            </w:r>
          </w:p>
        </w:tc>
        <w:tc>
          <w:tcPr>
            <w:tcW w:w="6563" w:type="dxa"/>
            <w:noWrap w:val="0"/>
            <w:vAlign w:val="center"/>
          </w:tcPr>
          <w:p>
            <w:pPr>
              <w:spacing w:line="460" w:lineRule="exact"/>
              <w:rPr>
                <w:rFonts w:hint="eastAsia" w:ascii="宋体" w:hAnsi="宋体" w:eastAsia="宋体" w:cs="宋体"/>
                <w:kern w:val="0"/>
                <w:sz w:val="21"/>
                <w:szCs w:val="21"/>
              </w:rPr>
            </w:pPr>
            <w:r>
              <w:rPr>
                <w:rFonts w:hint="eastAsia" w:ascii="宋体" w:hAnsi="宋体" w:eastAsia="宋体" w:cs="宋体"/>
                <w:kern w:val="0"/>
                <w:sz w:val="21"/>
                <w:szCs w:val="21"/>
              </w:rPr>
              <w:t>详见第五章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 w:val="21"/>
                <w:szCs w:val="21"/>
                <w:lang w:eastAsia="zh-CN"/>
              </w:rPr>
            </w:pPr>
            <w:r>
              <w:rPr>
                <w:rFonts w:hint="eastAsia" w:ascii="宋体" w:hAnsi="宋体" w:eastAsia="宋体" w:cs="宋体"/>
                <w:kern w:val="0"/>
                <w:sz w:val="21"/>
                <w:szCs w:val="21"/>
                <w:lang w:val="en-US" w:eastAsia="zh-CN"/>
              </w:rPr>
              <w:t>9</w:t>
            </w:r>
          </w:p>
        </w:tc>
        <w:tc>
          <w:tcPr>
            <w:tcW w:w="2131" w:type="dxa"/>
            <w:noWrap w:val="0"/>
            <w:vAlign w:val="center"/>
          </w:tcPr>
          <w:p>
            <w:pPr>
              <w:spacing w:line="4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磋商保证金</w:t>
            </w:r>
          </w:p>
        </w:tc>
        <w:tc>
          <w:tcPr>
            <w:tcW w:w="6563" w:type="dxa"/>
            <w:noWrap w:val="0"/>
            <w:vAlign w:val="center"/>
          </w:tcPr>
          <w:p>
            <w:pPr>
              <w:spacing w:line="400" w:lineRule="exact"/>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kern w:val="0"/>
                <w:sz w:val="21"/>
                <w:szCs w:val="21"/>
              </w:rPr>
              <w:t>磋商</w:t>
            </w:r>
            <w:r>
              <w:rPr>
                <w:rFonts w:hint="eastAsia" w:ascii="宋体" w:hAnsi="宋体" w:eastAsia="宋体" w:cs="宋体"/>
                <w:sz w:val="21"/>
                <w:szCs w:val="21"/>
              </w:rPr>
              <w:t>保证金：</w:t>
            </w:r>
            <w:r>
              <w:rPr>
                <w:rFonts w:hint="eastAsia" w:ascii="宋体" w:hAnsi="宋体" w:eastAsia="宋体" w:cs="宋体"/>
                <w:sz w:val="21"/>
                <w:szCs w:val="21"/>
                <w:u w:val="single"/>
                <w:lang w:val="en-US" w:eastAsia="zh-CN"/>
              </w:rPr>
              <w:t>1.2</w:t>
            </w:r>
            <w:r>
              <w:rPr>
                <w:rFonts w:hint="eastAsia" w:ascii="宋体" w:hAnsi="宋体" w:eastAsia="宋体" w:cs="宋体"/>
                <w:sz w:val="21"/>
                <w:szCs w:val="21"/>
                <w:u w:val="single"/>
              </w:rPr>
              <w:t xml:space="preserve"> </w:t>
            </w:r>
            <w:r>
              <w:rPr>
                <w:rFonts w:hint="eastAsia" w:ascii="宋体" w:hAnsi="宋体" w:eastAsia="宋体" w:cs="宋体"/>
                <w:sz w:val="21"/>
                <w:szCs w:val="21"/>
              </w:rPr>
              <w:t>万元（暂不缴纳）</w:t>
            </w:r>
          </w:p>
          <w:p>
            <w:pPr>
              <w:spacing w:line="400" w:lineRule="exact"/>
              <w:rPr>
                <w:rFonts w:hint="eastAsia" w:ascii="宋体" w:hAnsi="宋体" w:eastAsia="宋体" w:cs="宋体"/>
                <w:sz w:val="21"/>
                <w:szCs w:val="21"/>
              </w:rPr>
            </w:pPr>
            <w:r>
              <w:rPr>
                <w:rFonts w:hint="eastAsia" w:ascii="宋体" w:hAnsi="宋体" w:eastAsia="宋体" w:cs="宋体"/>
                <w:sz w:val="21"/>
                <w:szCs w:val="21"/>
              </w:rPr>
              <w:t xml:space="preserve"> 2.供应商有下列情形之一的，采购人将追索</w:t>
            </w:r>
            <w:r>
              <w:rPr>
                <w:rFonts w:hint="eastAsia" w:ascii="宋体" w:hAnsi="宋体" w:eastAsia="宋体" w:cs="宋体"/>
                <w:kern w:val="0"/>
                <w:sz w:val="21"/>
                <w:szCs w:val="21"/>
              </w:rPr>
              <w:t>磋商</w:t>
            </w:r>
            <w:r>
              <w:rPr>
                <w:rFonts w:hint="eastAsia" w:ascii="宋体" w:hAnsi="宋体" w:eastAsia="宋体" w:cs="宋体"/>
                <w:sz w:val="21"/>
                <w:szCs w:val="21"/>
              </w:rPr>
              <w:t>保证金人民币</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1.2</w:t>
            </w:r>
            <w:r>
              <w:rPr>
                <w:rFonts w:hint="eastAsia" w:ascii="宋体" w:hAnsi="宋体" w:eastAsia="宋体" w:cs="宋体"/>
                <w:sz w:val="21"/>
                <w:szCs w:val="21"/>
                <w:u w:val="single"/>
              </w:rPr>
              <w:t xml:space="preserve"> </w:t>
            </w:r>
            <w:r>
              <w:rPr>
                <w:rFonts w:hint="eastAsia" w:ascii="宋体" w:hAnsi="宋体" w:eastAsia="宋体" w:cs="宋体"/>
                <w:sz w:val="21"/>
                <w:szCs w:val="21"/>
              </w:rPr>
              <w:t>万元，并予以没收，供应商应作出相应承诺（承诺书格式见第</w:t>
            </w:r>
            <w:r>
              <w:rPr>
                <w:rFonts w:hint="eastAsia" w:ascii="宋体" w:hAnsi="宋体" w:eastAsia="宋体" w:cs="宋体"/>
                <w:sz w:val="21"/>
                <w:szCs w:val="21"/>
                <w:lang w:eastAsia="zh-CN"/>
              </w:rPr>
              <w:t>六</w:t>
            </w:r>
            <w:r>
              <w:rPr>
                <w:rFonts w:hint="eastAsia" w:ascii="宋体" w:hAnsi="宋体" w:eastAsia="宋体" w:cs="宋体"/>
                <w:sz w:val="21"/>
                <w:szCs w:val="21"/>
              </w:rPr>
              <w:t>章响应文件格式中）：</w:t>
            </w:r>
          </w:p>
          <w:p>
            <w:pPr>
              <w:spacing w:line="400" w:lineRule="exact"/>
              <w:rPr>
                <w:rFonts w:hint="eastAsia" w:ascii="宋体" w:hAnsi="宋体" w:eastAsia="宋体" w:cs="宋体"/>
                <w:sz w:val="21"/>
                <w:szCs w:val="21"/>
              </w:rPr>
            </w:pPr>
            <w:r>
              <w:rPr>
                <w:rFonts w:hint="eastAsia" w:ascii="宋体" w:hAnsi="宋体" w:eastAsia="宋体" w:cs="宋体"/>
                <w:sz w:val="21"/>
                <w:szCs w:val="21"/>
              </w:rPr>
              <w:t>（1）供应商在提交响应文件截止时间后或</w:t>
            </w:r>
            <w:r>
              <w:rPr>
                <w:rFonts w:hint="eastAsia" w:ascii="宋体" w:hAnsi="宋体" w:eastAsia="宋体" w:cs="宋体"/>
                <w:sz w:val="21"/>
                <w:szCs w:val="21"/>
                <w:lang w:eastAsia="zh-CN"/>
              </w:rPr>
              <w:t>磋商</w:t>
            </w:r>
            <w:r>
              <w:rPr>
                <w:rFonts w:hint="eastAsia" w:ascii="宋体" w:hAnsi="宋体" w:eastAsia="宋体" w:cs="宋体"/>
                <w:sz w:val="21"/>
                <w:szCs w:val="21"/>
              </w:rPr>
              <w:t>有效期内撤回响应文件的；</w:t>
            </w:r>
          </w:p>
          <w:p>
            <w:pPr>
              <w:spacing w:line="400" w:lineRule="exact"/>
              <w:rPr>
                <w:rFonts w:hint="eastAsia" w:ascii="宋体" w:hAnsi="宋体" w:eastAsia="宋体" w:cs="宋体"/>
                <w:sz w:val="21"/>
                <w:szCs w:val="21"/>
              </w:rPr>
            </w:pPr>
            <w:r>
              <w:rPr>
                <w:rFonts w:hint="eastAsia" w:ascii="宋体" w:hAnsi="宋体" w:eastAsia="宋体" w:cs="宋体"/>
                <w:sz w:val="21"/>
                <w:szCs w:val="21"/>
              </w:rPr>
              <w:t>（2）供应商在响应文件中提供虚假材料的；</w:t>
            </w:r>
          </w:p>
          <w:p>
            <w:pPr>
              <w:spacing w:line="400" w:lineRule="exact"/>
              <w:rPr>
                <w:rFonts w:hint="eastAsia" w:ascii="宋体" w:hAnsi="宋体" w:eastAsia="宋体" w:cs="宋体"/>
                <w:sz w:val="21"/>
                <w:szCs w:val="21"/>
              </w:rPr>
            </w:pPr>
            <w:r>
              <w:rPr>
                <w:rFonts w:hint="eastAsia" w:ascii="宋体" w:hAnsi="宋体" w:eastAsia="宋体" w:cs="宋体"/>
                <w:sz w:val="21"/>
                <w:szCs w:val="21"/>
              </w:rPr>
              <w:t>（3）除因不可抗力或</w:t>
            </w:r>
            <w:r>
              <w:rPr>
                <w:rFonts w:hint="eastAsia" w:ascii="宋体" w:hAnsi="宋体" w:eastAsia="宋体" w:cs="宋体"/>
                <w:sz w:val="21"/>
                <w:szCs w:val="21"/>
                <w:lang w:eastAsia="zh-CN"/>
              </w:rPr>
              <w:t>竞争性磋商文件</w:t>
            </w:r>
            <w:r>
              <w:rPr>
                <w:rFonts w:hint="eastAsia" w:ascii="宋体" w:hAnsi="宋体" w:eastAsia="宋体" w:cs="宋体"/>
                <w:sz w:val="21"/>
                <w:szCs w:val="21"/>
              </w:rPr>
              <w:t>认可的情形以外，成交供应商不与采购人签订合同的；</w:t>
            </w:r>
          </w:p>
          <w:p>
            <w:pPr>
              <w:spacing w:line="400" w:lineRule="exact"/>
              <w:rPr>
                <w:rFonts w:hint="eastAsia" w:ascii="宋体" w:hAnsi="宋体" w:eastAsia="宋体" w:cs="宋体"/>
                <w:sz w:val="21"/>
                <w:szCs w:val="21"/>
              </w:rPr>
            </w:pPr>
            <w:r>
              <w:rPr>
                <w:rFonts w:hint="eastAsia" w:ascii="宋体" w:hAnsi="宋体" w:eastAsia="宋体" w:cs="宋体"/>
                <w:sz w:val="21"/>
                <w:szCs w:val="21"/>
              </w:rPr>
              <w:t>（4）供应商与采购人、其他供应商或者采购代理机构恶意串通的。</w:t>
            </w:r>
          </w:p>
          <w:p>
            <w:pPr>
              <w:spacing w:line="460" w:lineRule="exact"/>
              <w:rPr>
                <w:rFonts w:hint="eastAsia" w:ascii="宋体" w:hAnsi="宋体" w:eastAsia="宋体" w:cs="宋体"/>
                <w:kern w:val="0"/>
                <w:sz w:val="21"/>
                <w:szCs w:val="21"/>
              </w:rPr>
            </w:pPr>
            <w:r>
              <w:rPr>
                <w:rFonts w:hint="eastAsia" w:ascii="宋体" w:hAnsi="宋体" w:eastAsia="宋体" w:cs="宋体"/>
                <w:sz w:val="21"/>
                <w:szCs w:val="21"/>
              </w:rPr>
              <w:t>3.供应商违反上述规定且拒不支付</w:t>
            </w:r>
            <w:r>
              <w:rPr>
                <w:rFonts w:hint="eastAsia" w:ascii="宋体" w:hAnsi="宋体" w:eastAsia="宋体" w:cs="宋体"/>
                <w:sz w:val="21"/>
                <w:szCs w:val="21"/>
                <w:lang w:eastAsia="zh-CN"/>
              </w:rPr>
              <w:t>磋商保证金</w:t>
            </w:r>
            <w:r>
              <w:rPr>
                <w:rFonts w:hint="eastAsia" w:ascii="宋体" w:hAnsi="宋体" w:eastAsia="宋体" w:cs="宋体"/>
                <w:sz w:val="21"/>
                <w:szCs w:val="21"/>
              </w:rPr>
              <w:t>的，采购人可向武陟县人民法院起诉追索</w:t>
            </w:r>
            <w:r>
              <w:rPr>
                <w:rFonts w:hint="eastAsia" w:ascii="宋体" w:hAnsi="宋体" w:eastAsia="宋体" w:cs="宋体"/>
                <w:sz w:val="21"/>
                <w:szCs w:val="21"/>
                <w:lang w:eastAsia="zh-CN"/>
              </w:rPr>
              <w:t>磋商保证金</w:t>
            </w:r>
            <w:r>
              <w:rPr>
                <w:rFonts w:hint="eastAsia" w:ascii="宋体" w:hAnsi="宋体" w:eastAsia="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10</w:t>
            </w:r>
          </w:p>
        </w:tc>
        <w:tc>
          <w:tcPr>
            <w:tcW w:w="2131" w:type="dxa"/>
            <w:noWrap w:val="0"/>
            <w:vAlign w:val="center"/>
          </w:tcPr>
          <w:p>
            <w:pPr>
              <w:spacing w:line="4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磋商文件的澄清或修改</w:t>
            </w:r>
          </w:p>
        </w:tc>
        <w:tc>
          <w:tcPr>
            <w:tcW w:w="6563" w:type="dxa"/>
            <w:noWrap w:val="0"/>
            <w:vAlign w:val="center"/>
          </w:tcPr>
          <w:p>
            <w:pPr>
              <w:spacing w:line="500" w:lineRule="exact"/>
              <w:ind w:firstLine="105" w:firstLineChars="50"/>
              <w:rPr>
                <w:rFonts w:hint="eastAsia" w:ascii="宋体" w:hAnsi="宋体" w:eastAsia="宋体" w:cs="宋体"/>
                <w:sz w:val="21"/>
                <w:szCs w:val="21"/>
              </w:rPr>
            </w:pPr>
            <w:r>
              <w:rPr>
                <w:rFonts w:hint="eastAsia" w:ascii="宋体" w:hAnsi="宋体" w:eastAsia="宋体" w:cs="宋体"/>
                <w:sz w:val="21"/>
                <w:szCs w:val="21"/>
              </w:rPr>
              <w:t xml:space="preserve">   提交首次响应文件截止之日前，采购人、采购代理机构可以对已发出的磋商文件进行必要的澄清或者修改，澄清或者修改的内容作为磋商文件的组成部分。澄清或者修改的内容可能影响响应文件编制的，采购人、采购代理机构应当在提交首次响应文件截止时间至少5日前，通知所有获取磋商文件的供应商；不足5日的，采购人、采购代理机构应当顺延提交首次响应文件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11</w:t>
            </w:r>
          </w:p>
        </w:tc>
        <w:tc>
          <w:tcPr>
            <w:tcW w:w="2131" w:type="dxa"/>
            <w:noWrap w:val="0"/>
            <w:vAlign w:val="center"/>
          </w:tcPr>
          <w:p>
            <w:pPr>
              <w:pStyle w:val="107"/>
              <w:spacing w:before="1" w:line="440" w:lineRule="exact"/>
              <w:ind w:left="108"/>
              <w:jc w:val="center"/>
              <w:rPr>
                <w:rFonts w:hint="eastAsia" w:ascii="宋体" w:hAnsi="宋体" w:eastAsia="宋体" w:cs="宋体"/>
                <w:szCs w:val="21"/>
              </w:rPr>
            </w:pPr>
            <w:r>
              <w:rPr>
                <w:rFonts w:hint="eastAsia" w:ascii="宋体" w:hAnsi="宋体" w:eastAsia="宋体" w:cs="宋体"/>
                <w:szCs w:val="21"/>
              </w:rPr>
              <w:t>响应文件的递交</w:t>
            </w:r>
          </w:p>
          <w:p>
            <w:pPr>
              <w:spacing w:line="440" w:lineRule="exact"/>
              <w:jc w:val="center"/>
              <w:rPr>
                <w:rFonts w:hint="eastAsia" w:ascii="宋体" w:hAnsi="宋体" w:eastAsia="宋体" w:cs="宋体"/>
                <w:kern w:val="0"/>
                <w:sz w:val="21"/>
                <w:szCs w:val="21"/>
              </w:rPr>
            </w:pPr>
          </w:p>
        </w:tc>
        <w:tc>
          <w:tcPr>
            <w:tcW w:w="6563" w:type="dxa"/>
            <w:noWrap w:val="0"/>
            <w:vAlign w:val="center"/>
          </w:tcPr>
          <w:p>
            <w:pPr>
              <w:spacing w:line="440" w:lineRule="exact"/>
              <w:rPr>
                <w:rFonts w:hint="eastAsia" w:ascii="宋体" w:hAnsi="宋体" w:eastAsia="宋体" w:cs="宋体"/>
                <w:szCs w:val="21"/>
              </w:rPr>
            </w:pPr>
            <w:r>
              <w:rPr>
                <w:rFonts w:hint="eastAsia" w:ascii="宋体" w:hAnsi="宋体" w:eastAsia="宋体" w:cs="宋体"/>
                <w:szCs w:val="21"/>
              </w:rPr>
              <w:t>1.在提交响应文件截止时间前递交，具体事宜请查阅焦作市公共资源交易中心官网首页—公共服务—下载专区-下载</w:t>
            </w:r>
            <w:r>
              <w:rPr>
                <w:rFonts w:hint="eastAsia" w:ascii="宋体" w:hAnsi="宋体" w:eastAsia="宋体" w:cs="宋体"/>
                <w:szCs w:val="21"/>
                <w:lang w:eastAsia="zh-CN"/>
              </w:rPr>
              <w:t>相关操作手册及视频</w:t>
            </w:r>
            <w:r>
              <w:rPr>
                <w:rFonts w:hint="eastAsia" w:ascii="宋体" w:hAnsi="宋体" w:eastAsia="宋体" w:cs="宋体"/>
                <w:szCs w:val="21"/>
              </w:rPr>
              <w:t>等，查看操作说明，按要求进行响应文件的递交。</w:t>
            </w:r>
          </w:p>
          <w:p>
            <w:pPr>
              <w:spacing w:line="440" w:lineRule="exact"/>
              <w:rPr>
                <w:rFonts w:hint="eastAsia" w:ascii="宋体" w:hAnsi="宋体" w:eastAsia="宋体" w:cs="宋体"/>
                <w:szCs w:val="21"/>
              </w:rPr>
            </w:pPr>
            <w:r>
              <w:rPr>
                <w:rFonts w:hint="eastAsia" w:ascii="宋体" w:hAnsi="宋体" w:eastAsia="宋体" w:cs="宋体"/>
                <w:szCs w:val="21"/>
              </w:rPr>
              <w:t>2.如因系统故障需上传非加密文件时，供应商应按照采购人指示将非加密文件递交给采购人。</w:t>
            </w:r>
          </w:p>
          <w:p>
            <w:pPr>
              <w:spacing w:line="440" w:lineRule="exact"/>
              <w:rPr>
                <w:rFonts w:hint="eastAsia" w:ascii="宋体" w:hAnsi="宋体" w:eastAsia="宋体" w:cs="宋体"/>
                <w:kern w:val="0"/>
                <w:sz w:val="21"/>
                <w:szCs w:val="21"/>
              </w:rPr>
            </w:pPr>
            <w:r>
              <w:rPr>
                <w:rFonts w:hint="eastAsia" w:ascii="宋体" w:hAnsi="宋体" w:eastAsia="宋体" w:cs="宋体"/>
                <w:szCs w:val="21"/>
              </w:rPr>
              <w:t>3.采购人拒绝接收在响应文件递交截止时间后上传的响应文件。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12</w:t>
            </w:r>
          </w:p>
        </w:tc>
        <w:tc>
          <w:tcPr>
            <w:tcW w:w="2131" w:type="dxa"/>
            <w:noWrap w:val="0"/>
            <w:vAlign w:val="center"/>
          </w:tcPr>
          <w:p>
            <w:pPr>
              <w:jc w:val="center"/>
              <w:rPr>
                <w:rFonts w:hint="eastAsia" w:ascii="宋体" w:hAnsi="宋体" w:eastAsia="宋体" w:cs="宋体"/>
                <w:kern w:val="0"/>
                <w:sz w:val="21"/>
                <w:szCs w:val="21"/>
              </w:rPr>
            </w:pPr>
            <w:r>
              <w:rPr>
                <w:rFonts w:hint="eastAsia" w:ascii="宋体" w:hAnsi="宋体" w:eastAsia="宋体" w:cs="宋体"/>
                <w:kern w:val="0"/>
                <w:szCs w:val="21"/>
              </w:rPr>
              <w:t>签字或盖章要求</w:t>
            </w:r>
          </w:p>
        </w:tc>
        <w:tc>
          <w:tcPr>
            <w:tcW w:w="6563" w:type="dxa"/>
            <w:noWrap w:val="0"/>
            <w:vAlign w:val="center"/>
          </w:tcPr>
          <w:p>
            <w:pPr>
              <w:rPr>
                <w:rFonts w:hint="eastAsia" w:ascii="宋体" w:hAnsi="宋体" w:eastAsia="宋体" w:cs="宋体"/>
              </w:rPr>
            </w:pPr>
            <w:r>
              <w:rPr>
                <w:rFonts w:hint="eastAsia" w:ascii="宋体" w:hAnsi="宋体" w:eastAsia="宋体" w:cs="宋体"/>
              </w:rPr>
              <w:t>1.所有要求供应商加盖单位公章的地方都应加盖供应商单位的CA印章。</w:t>
            </w:r>
          </w:p>
          <w:p>
            <w:pPr>
              <w:rPr>
                <w:rFonts w:hint="eastAsia" w:ascii="宋体" w:hAnsi="宋体" w:eastAsia="宋体" w:cs="宋体"/>
                <w:color w:val="000000"/>
              </w:rPr>
            </w:pPr>
            <w:r>
              <w:rPr>
                <w:rFonts w:hint="eastAsia" w:ascii="宋体" w:hAnsi="宋体" w:eastAsia="宋体" w:cs="宋体"/>
              </w:rPr>
              <w:t>2</w:t>
            </w:r>
            <w:r>
              <w:rPr>
                <w:rFonts w:hint="eastAsia" w:ascii="宋体" w:hAnsi="宋体" w:eastAsia="宋体" w:cs="宋体"/>
                <w:color w:val="000000"/>
              </w:rPr>
              <w:t>.所有要求法定代表人签字或盖章的，要求法定代表人在签字或盖章的地方上传有手写签名的扫描件或加盖法定代表人CA印章。</w:t>
            </w:r>
          </w:p>
          <w:p>
            <w:pPr>
              <w:rPr>
                <w:rFonts w:hint="eastAsia" w:ascii="宋体" w:hAnsi="宋体" w:eastAsia="宋体" w:cs="宋体"/>
                <w:kern w:val="0"/>
                <w:sz w:val="21"/>
                <w:szCs w:val="21"/>
              </w:rPr>
            </w:pPr>
            <w:r>
              <w:rPr>
                <w:rFonts w:hint="eastAsia" w:ascii="宋体" w:hAnsi="宋体" w:eastAsia="宋体" w:cs="宋体"/>
              </w:rPr>
              <w:t>3.所有要求委托代理人签字或盖章的，要求委托代理人在签字或盖章的地方上传有手写签名的扫描件或加盖委托代理人CA印章。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rPr>
              <w:t>13</w:t>
            </w:r>
          </w:p>
        </w:tc>
        <w:tc>
          <w:tcPr>
            <w:tcW w:w="2131" w:type="dxa"/>
            <w:noWrap w:val="0"/>
            <w:vAlign w:val="center"/>
          </w:tcPr>
          <w:p>
            <w:pPr>
              <w:spacing w:line="440" w:lineRule="exact"/>
              <w:jc w:val="center"/>
              <w:rPr>
                <w:rFonts w:hint="eastAsia" w:ascii="宋体" w:hAnsi="宋体" w:eastAsia="宋体" w:cs="宋体"/>
                <w:kern w:val="0"/>
                <w:szCs w:val="21"/>
              </w:rPr>
            </w:pPr>
            <w:r>
              <w:rPr>
                <w:rFonts w:hint="eastAsia" w:ascii="宋体" w:hAnsi="宋体"/>
                <w:kern w:val="0"/>
                <w:szCs w:val="21"/>
                <w:lang w:eastAsia="zh-CN"/>
              </w:rPr>
              <w:t>磋商</w:t>
            </w:r>
            <w:r>
              <w:rPr>
                <w:rFonts w:hint="eastAsia" w:ascii="宋体" w:hAnsi="宋体"/>
                <w:kern w:val="0"/>
                <w:szCs w:val="21"/>
              </w:rPr>
              <w:t>程序</w:t>
            </w:r>
          </w:p>
        </w:tc>
        <w:tc>
          <w:tcPr>
            <w:tcW w:w="6563" w:type="dxa"/>
            <w:noWrap w:val="0"/>
            <w:vAlign w:val="center"/>
          </w:tcPr>
          <w:p>
            <w:pPr>
              <w:spacing w:line="440" w:lineRule="exact"/>
              <w:rPr>
                <w:rFonts w:hint="eastAsia"/>
              </w:rPr>
            </w:pPr>
            <w:r>
              <w:rPr>
                <w:rFonts w:hint="eastAsia"/>
              </w:rPr>
              <w:t>（l）公布</w:t>
            </w:r>
            <w:r>
              <w:rPr>
                <w:rFonts w:hint="eastAsia"/>
                <w:lang w:eastAsia="zh-CN"/>
              </w:rPr>
              <w:t>供应商</w:t>
            </w:r>
            <w:r>
              <w:rPr>
                <w:rFonts w:hint="eastAsia"/>
              </w:rPr>
              <w:t>；</w:t>
            </w:r>
          </w:p>
          <w:p>
            <w:pPr>
              <w:spacing w:line="440" w:lineRule="exact"/>
              <w:rPr>
                <w:rFonts w:hint="eastAsia"/>
              </w:rPr>
            </w:pPr>
            <w:r>
              <w:rPr>
                <w:rFonts w:hint="eastAsia"/>
              </w:rPr>
              <w:t>（2）</w:t>
            </w:r>
            <w:r>
              <w:rPr>
                <w:rFonts w:hint="eastAsia"/>
                <w:lang w:eastAsia="zh-CN"/>
              </w:rPr>
              <w:t>由供应商对</w:t>
            </w:r>
            <w:r>
              <w:rPr>
                <w:rFonts w:hint="eastAsia"/>
              </w:rPr>
              <w:t>响应文件</w:t>
            </w:r>
            <w:r>
              <w:rPr>
                <w:rFonts w:hint="eastAsia"/>
                <w:lang w:eastAsia="zh-CN"/>
              </w:rPr>
              <w:t>进行解密</w:t>
            </w:r>
            <w:r>
              <w:rPr>
                <w:rFonts w:hint="eastAsia"/>
              </w:rPr>
              <w:t>；</w:t>
            </w:r>
          </w:p>
          <w:p>
            <w:pPr>
              <w:spacing w:line="440" w:lineRule="exact"/>
              <w:rPr>
                <w:rFonts w:hint="eastAsia"/>
              </w:rPr>
            </w:pPr>
            <w:r>
              <w:rPr>
                <w:rFonts w:hint="eastAsia"/>
                <w:lang w:eastAsia="zh-CN"/>
              </w:rPr>
              <w:t>（</w:t>
            </w:r>
            <w:r>
              <w:rPr>
                <w:rFonts w:hint="eastAsia"/>
                <w:lang w:val="en-US" w:eastAsia="zh-CN"/>
              </w:rPr>
              <w:t>3</w:t>
            </w:r>
            <w:r>
              <w:rPr>
                <w:rFonts w:hint="eastAsia"/>
                <w:lang w:eastAsia="zh-CN"/>
              </w:rPr>
              <w:t>）</w:t>
            </w:r>
            <w:r>
              <w:rPr>
                <w:rFonts w:hint="eastAsia"/>
              </w:rPr>
              <w:t>开标结束；</w:t>
            </w:r>
          </w:p>
          <w:p>
            <w:pPr>
              <w:spacing w:line="440" w:lineRule="exact"/>
              <w:rPr>
                <w:rFonts w:hint="eastAsia"/>
              </w:rPr>
            </w:pPr>
            <w:r>
              <w:rPr>
                <w:rFonts w:hint="eastAsia"/>
              </w:rPr>
              <w:t>（</w:t>
            </w:r>
            <w:r>
              <w:rPr>
                <w:rFonts w:hint="eastAsia"/>
                <w:lang w:val="en-US" w:eastAsia="zh-CN"/>
              </w:rPr>
              <w:t>4</w:t>
            </w:r>
            <w:r>
              <w:rPr>
                <w:rFonts w:hint="eastAsia"/>
              </w:rPr>
              <w:t>）</w:t>
            </w:r>
            <w:r>
              <w:rPr>
                <w:rFonts w:hint="eastAsia" w:ascii="宋体" w:hAnsi="宋体"/>
                <w:kern w:val="0"/>
                <w:szCs w:val="21"/>
                <w:lang w:eastAsia="zh-CN"/>
              </w:rPr>
              <w:t>磋商</w:t>
            </w:r>
            <w:r>
              <w:rPr>
                <w:rFonts w:hint="eastAsia"/>
              </w:rPr>
              <w:t>小组对已通过资格性、符合性审查的供应商发起二轮(最</w:t>
            </w:r>
            <w:r>
              <w:rPr>
                <w:rFonts w:hint="eastAsia"/>
                <w:lang w:eastAsia="zh-CN"/>
              </w:rPr>
              <w:t>后</w:t>
            </w:r>
            <w:r>
              <w:rPr>
                <w:rFonts w:hint="eastAsia"/>
              </w:rPr>
              <w:t>报价)邀请。</w:t>
            </w:r>
          </w:p>
          <w:p>
            <w:pPr>
              <w:spacing w:line="440" w:lineRule="exact"/>
              <w:rPr>
                <w:rFonts w:hint="eastAsia"/>
              </w:rPr>
            </w:pPr>
            <w:r>
              <w:rPr>
                <w:rFonts w:hint="eastAsia"/>
              </w:rPr>
              <w:t>（</w:t>
            </w:r>
            <w:r>
              <w:rPr>
                <w:rFonts w:hint="eastAsia"/>
                <w:lang w:val="en-US" w:eastAsia="zh-CN"/>
              </w:rPr>
              <w:t>5</w:t>
            </w:r>
            <w:r>
              <w:rPr>
                <w:rFonts w:hint="eastAsia"/>
              </w:rPr>
              <w:t>）</w:t>
            </w:r>
            <w:r>
              <w:rPr>
                <w:rFonts w:hint="eastAsia"/>
                <w:color w:val="auto"/>
                <w:lang w:eastAsia="zh-CN"/>
              </w:rPr>
              <w:t>由磋商小组采用综合评分法对提交最后报价的供应商的响应文件和最后报价进行综合评分并出具评审报告。</w:t>
            </w:r>
          </w:p>
          <w:p>
            <w:pPr>
              <w:pStyle w:val="3"/>
              <w:spacing w:line="360" w:lineRule="auto"/>
              <w:ind w:firstLine="210" w:firstLineChars="100"/>
              <w:rPr>
                <w:rFonts w:hint="eastAsia"/>
                <w:b/>
                <w:bCs/>
                <w:lang w:eastAsia="zh-CN"/>
              </w:rPr>
            </w:pPr>
            <w:r>
              <w:rPr>
                <w:rFonts w:hint="eastAsia"/>
                <w:b/>
                <w:bCs/>
              </w:rPr>
              <w:t>备注：</w:t>
            </w:r>
            <w:r>
              <w:rPr>
                <w:rFonts w:hint="eastAsia"/>
                <w:b/>
                <w:bCs/>
                <w:lang w:val="en-US" w:eastAsia="zh-CN"/>
              </w:rPr>
              <w:t>1.</w:t>
            </w:r>
            <w:r>
              <w:rPr>
                <w:rFonts w:hint="eastAsia"/>
                <w:b/>
                <w:bCs/>
              </w:rPr>
              <w:t>供应商在规定时间内需通过焦作市公共资源交易平台进行二轮报价（最后报价）</w:t>
            </w:r>
            <w:r>
              <w:rPr>
                <w:rFonts w:hint="eastAsia"/>
                <w:b/>
                <w:bCs/>
                <w:lang w:eastAsia="zh-CN"/>
              </w:rPr>
              <w:t>，未在规定时间内提交二轮报价（最后报价）的视为放弃本次磋商。</w:t>
            </w:r>
          </w:p>
          <w:p>
            <w:pPr>
              <w:pStyle w:val="3"/>
              <w:spacing w:line="360" w:lineRule="auto"/>
              <w:ind w:firstLine="420" w:firstLineChars="200"/>
              <w:rPr>
                <w:rFonts w:hint="eastAsia" w:ascii="宋体" w:hAnsi="宋体" w:eastAsia="宋体" w:cs="宋体"/>
                <w:b/>
                <w:bCs/>
                <w:color w:val="auto"/>
                <w:szCs w:val="21"/>
              </w:rPr>
            </w:pPr>
            <w:r>
              <w:rPr>
                <w:rFonts w:hint="eastAsia"/>
                <w:b/>
                <w:bCs/>
                <w:color w:val="auto"/>
                <w:lang w:val="en-US" w:eastAsia="zh-CN"/>
              </w:rPr>
              <w:t>2.</w:t>
            </w:r>
            <w:r>
              <w:rPr>
                <w:rFonts w:hint="eastAsia"/>
                <w:b/>
                <w:bCs/>
                <w:color w:val="auto"/>
                <w:lang w:eastAsia="zh-CN"/>
              </w:rPr>
              <w:t>二轮报价（最后报价）操作步骤</w:t>
            </w:r>
            <w:r>
              <w:rPr>
                <w:rFonts w:hint="eastAsia" w:ascii="宋体" w:hAnsi="宋体" w:cs="宋体"/>
                <w:b/>
                <w:bCs/>
                <w:color w:val="auto"/>
                <w:szCs w:val="21"/>
              </w:rPr>
              <w:t>请到焦作市公共资源交易中心官网首页—公共服务—下载专区-下载《投标单位操作手册及视频》</w:t>
            </w:r>
            <w:r>
              <w:rPr>
                <w:rFonts w:hint="eastAsia" w:ascii="宋体" w:hAnsi="宋体" w:cs="宋体"/>
                <w:b/>
                <w:bCs/>
                <w:color w:val="auto"/>
                <w:szCs w:val="21"/>
                <w:lang w:eastAsia="zh-CN"/>
              </w:rPr>
              <w:t>中</w:t>
            </w:r>
            <w:r>
              <w:rPr>
                <w:rFonts w:hint="eastAsia" w:ascii="宋体" w:hAnsi="宋体" w:cs="宋体"/>
                <w:b/>
                <w:bCs/>
                <w:color w:val="auto"/>
                <w:szCs w:val="21"/>
              </w:rPr>
              <w:t>《</w:t>
            </w:r>
            <w:r>
              <w:rPr>
                <w:rFonts w:hint="eastAsia" w:ascii="宋体" w:hAnsi="宋体" w:cs="宋体"/>
                <w:b/>
                <w:bCs/>
                <w:color w:val="auto"/>
                <w:szCs w:val="21"/>
                <w:lang w:val="en-US" w:eastAsia="zh-CN"/>
              </w:rPr>
              <w:fldChar w:fldCharType="begin"/>
            </w:r>
            <w:r>
              <w:rPr>
                <w:rFonts w:hint="eastAsia" w:ascii="宋体" w:hAnsi="宋体" w:cs="宋体"/>
                <w:b/>
                <w:bCs/>
                <w:color w:val="auto"/>
                <w:szCs w:val="21"/>
                <w:lang w:val="en-US" w:eastAsia="zh-CN"/>
              </w:rPr>
              <w:instrText xml:space="preserve"> HYPERLINK "http://www.jzggzy.cn/jzggzy/88951794-3a73-4903-8a3a-a3156df953c4/59a811ad-be10-452c-92be-8b7a2948cf3a/焦作市公共资源交易平台升级项目-投标人手册.docx" \o "焦作市公共资源交易平台升级项目-投标人手册.docx" </w:instrText>
            </w:r>
            <w:r>
              <w:rPr>
                <w:rFonts w:hint="eastAsia" w:ascii="宋体" w:hAnsi="宋体" w:cs="宋体"/>
                <w:b/>
                <w:bCs/>
                <w:color w:val="auto"/>
                <w:szCs w:val="21"/>
                <w:lang w:val="en-US" w:eastAsia="zh-CN"/>
              </w:rPr>
              <w:fldChar w:fldCharType="separate"/>
            </w:r>
            <w:r>
              <w:rPr>
                <w:rFonts w:hint="eastAsia" w:ascii="宋体" w:hAnsi="宋体" w:cs="宋体"/>
                <w:b/>
                <w:bCs/>
                <w:color w:val="auto"/>
                <w:szCs w:val="21"/>
                <w:lang w:eastAsia="zh-CN"/>
              </w:rPr>
              <w:t>焦作市公共资源交易平台升级项目-供应商手册.docx</w:t>
            </w:r>
            <w:r>
              <w:rPr>
                <w:rFonts w:hint="eastAsia" w:ascii="宋体" w:hAnsi="宋体" w:cs="宋体"/>
                <w:b/>
                <w:bCs/>
                <w:color w:val="auto"/>
                <w:szCs w:val="21"/>
                <w:lang w:val="en-US" w:eastAsia="zh-CN"/>
              </w:rPr>
              <w:fldChar w:fldCharType="end"/>
            </w:r>
            <w:r>
              <w:rPr>
                <w:rFonts w:hint="eastAsia" w:ascii="宋体" w:hAnsi="宋体" w:cs="宋体"/>
                <w:b/>
                <w:bCs/>
                <w:color w:val="auto"/>
                <w:szCs w:val="21"/>
              </w:rPr>
              <w:t>》</w:t>
            </w:r>
            <w:r>
              <w:rPr>
                <w:rFonts w:hint="eastAsia" w:ascii="宋体" w:hAnsi="宋体" w:cs="宋体"/>
                <w:b/>
                <w:bCs/>
                <w:color w:val="auto"/>
                <w:szCs w:val="21"/>
                <w:lang w:eastAsia="zh-CN"/>
              </w:rPr>
              <w:t>文件查阅。</w:t>
            </w:r>
          </w:p>
          <w:p>
            <w:pPr>
              <w:pStyle w:val="3"/>
              <w:spacing w:line="460" w:lineRule="exact"/>
              <w:ind w:firstLine="420" w:firstLineChars="200"/>
              <w:rPr>
                <w:rFonts w:hint="eastAsia" w:ascii="宋体" w:hAnsi="宋体" w:eastAsia="宋体" w:cs="宋体"/>
              </w:rPr>
            </w:pPr>
            <w:r>
              <w:rPr>
                <w:rFonts w:hint="eastAsia" w:ascii="宋体" w:hAnsi="宋体" w:eastAsia="宋体" w:cs="宋体"/>
                <w:b/>
                <w:bCs/>
                <w:color w:val="auto"/>
                <w:szCs w:val="21"/>
                <w:lang w:val="en-US" w:eastAsia="zh-CN"/>
              </w:rPr>
              <w:t>3</w:t>
            </w:r>
            <w:r>
              <w:rPr>
                <w:rFonts w:hint="eastAsia" w:ascii="宋体" w:hAnsi="宋体" w:eastAsia="宋体" w:cs="宋体"/>
                <w:b/>
                <w:bCs/>
                <w:color w:val="auto"/>
                <w:szCs w:val="21"/>
              </w:rPr>
              <w:t>.最后单价明细计算公式：最后单价明细=报价明细表中的单价×（最后总报价/第一轮总报价）。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rPr>
              <w:t>14</w:t>
            </w:r>
          </w:p>
        </w:tc>
        <w:tc>
          <w:tcPr>
            <w:tcW w:w="2131" w:type="dxa"/>
            <w:noWrap w:val="0"/>
            <w:vAlign w:val="center"/>
          </w:tcPr>
          <w:p>
            <w:pPr>
              <w:spacing w:line="4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踏勘现场</w:t>
            </w:r>
          </w:p>
        </w:tc>
        <w:tc>
          <w:tcPr>
            <w:tcW w:w="6563" w:type="dxa"/>
            <w:noWrap w:val="0"/>
            <w:vAlign w:val="center"/>
          </w:tcPr>
          <w:p>
            <w:pPr>
              <w:spacing w:line="460" w:lineRule="exact"/>
              <w:rPr>
                <w:rFonts w:hint="eastAsia" w:ascii="宋体" w:hAnsi="宋体" w:eastAsia="宋体" w:cs="宋体"/>
                <w:kern w:val="0"/>
                <w:sz w:val="21"/>
                <w:szCs w:val="21"/>
              </w:rPr>
            </w:pPr>
            <w:r>
              <w:rPr>
                <w:rFonts w:hint="eastAsia" w:ascii="宋体" w:hAnsi="宋体" w:eastAsia="宋体" w:cs="宋体"/>
                <w:kern w:val="0"/>
                <w:sz w:val="21"/>
                <w:szCs w:val="21"/>
              </w:rPr>
              <w:sym w:font="Wingdings" w:char="F0FE"/>
            </w:r>
            <w:r>
              <w:rPr>
                <w:rFonts w:hint="eastAsia" w:ascii="宋体" w:hAnsi="宋体" w:eastAsia="宋体" w:cs="宋体"/>
                <w:kern w:val="0"/>
                <w:sz w:val="21"/>
                <w:szCs w:val="21"/>
              </w:rPr>
              <w:t>不组织，各供应商自行考察</w:t>
            </w:r>
          </w:p>
          <w:p>
            <w:pPr>
              <w:spacing w:line="460" w:lineRule="exact"/>
              <w:rPr>
                <w:rFonts w:hint="eastAsia" w:ascii="宋体" w:hAnsi="宋体" w:eastAsia="宋体" w:cs="宋体"/>
                <w:kern w:val="0"/>
                <w:sz w:val="21"/>
                <w:szCs w:val="21"/>
              </w:rPr>
            </w:pPr>
            <w:r>
              <w:rPr>
                <w:rFonts w:hint="eastAsia" w:ascii="宋体" w:hAnsi="宋体" w:eastAsia="宋体" w:cs="宋体"/>
                <w:kern w:val="0"/>
                <w:sz w:val="21"/>
                <w:szCs w:val="21"/>
              </w:rPr>
              <w:t>□组织，考察时间：　　　考察集中地点：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881" w:type="dxa"/>
            <w:noWrap w:val="0"/>
            <w:vAlign w:val="center"/>
          </w:tcPr>
          <w:p>
            <w:pPr>
              <w:spacing w:line="460" w:lineRule="exact"/>
              <w:jc w:val="center"/>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15</w:t>
            </w:r>
          </w:p>
        </w:tc>
        <w:tc>
          <w:tcPr>
            <w:tcW w:w="8694" w:type="dxa"/>
            <w:gridSpan w:val="2"/>
            <w:noWrap w:val="0"/>
            <w:vAlign w:val="center"/>
          </w:tcPr>
          <w:p>
            <w:pPr>
              <w:tabs>
                <w:tab w:val="left" w:pos="1381"/>
              </w:tabs>
              <w:spacing w:line="460" w:lineRule="exact"/>
              <w:jc w:val="left"/>
              <w:rPr>
                <w:rFonts w:hint="eastAsia" w:ascii="宋体" w:hAnsi="宋体" w:eastAsia="宋体" w:cs="宋体"/>
                <w:kern w:val="0"/>
                <w:sz w:val="21"/>
                <w:szCs w:val="21"/>
                <w:highlight w:val="cyan"/>
              </w:rPr>
            </w:pPr>
            <w:r>
              <w:rPr>
                <w:rFonts w:hint="eastAsia" w:ascii="宋体" w:hAnsi="宋体" w:eastAsia="宋体" w:cs="宋体"/>
                <w:kern w:val="0"/>
                <w:sz w:val="21"/>
                <w:szCs w:val="21"/>
              </w:rPr>
              <w:t>本项目采购的所有产品是否允许进口产品</w:t>
            </w:r>
            <w:r>
              <w:rPr>
                <w:rFonts w:hint="eastAsia" w:ascii="宋体" w:hAnsi="宋体" w:eastAsia="宋体" w:cs="宋体"/>
                <w:kern w:val="0"/>
                <w:sz w:val="21"/>
                <w:szCs w:val="21"/>
                <w:lang w:eastAsia="zh-CN"/>
              </w:rPr>
              <w:t>参加磋商</w:t>
            </w:r>
            <w:r>
              <w:rPr>
                <w:rFonts w:hint="eastAsia" w:ascii="宋体" w:hAnsi="宋体" w:eastAsia="宋体" w:cs="宋体"/>
                <w:kern w:val="0"/>
                <w:sz w:val="21"/>
                <w:szCs w:val="21"/>
              </w:rPr>
              <w:t>：否（进口产品是指通过中国海关报关验放进入中国境内且产自关境外的产品。）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16</w:t>
            </w:r>
          </w:p>
        </w:tc>
        <w:tc>
          <w:tcPr>
            <w:tcW w:w="2131" w:type="dxa"/>
            <w:noWrap w:val="0"/>
            <w:vAlign w:val="center"/>
          </w:tcPr>
          <w:p>
            <w:pPr>
              <w:spacing w:line="4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需要落实的政府采购政策</w:t>
            </w:r>
          </w:p>
        </w:tc>
        <w:tc>
          <w:tcPr>
            <w:tcW w:w="6563" w:type="dxa"/>
            <w:noWrap w:val="0"/>
            <w:vAlign w:val="center"/>
          </w:tcPr>
          <w:p>
            <w:pPr>
              <w:spacing w:line="440" w:lineRule="exact"/>
              <w:ind w:left="425"/>
              <w:rPr>
                <w:rFonts w:hint="eastAsia"/>
              </w:rPr>
            </w:pPr>
            <w:r>
              <w:rPr>
                <w:rFonts w:hint="eastAsia"/>
              </w:rPr>
              <w:t>一</w:t>
            </w:r>
            <w:r>
              <w:rPr>
                <w:rFonts w:hint="eastAsia"/>
                <w:lang w:eastAsia="zh-CN"/>
              </w:rPr>
              <w:t>、</w:t>
            </w:r>
            <w:r>
              <w:rPr>
                <w:rFonts w:hint="eastAsia"/>
              </w:rPr>
              <w:t>促进中小企业、监狱企业和残疾人福利性单位发展扶持政策</w:t>
            </w:r>
          </w:p>
          <w:p>
            <w:pPr>
              <w:numPr>
                <w:ilvl w:val="0"/>
                <w:numId w:val="6"/>
              </w:numPr>
              <w:spacing w:line="440" w:lineRule="exact"/>
              <w:ind w:firstLine="424" w:firstLineChars="202"/>
              <w:rPr>
                <w:rFonts w:hint="eastAsia"/>
              </w:rPr>
            </w:pPr>
            <w:r>
              <w:rPr>
                <w:rFonts w:hint="eastAsia"/>
              </w:rPr>
              <w:t>中小企业</w:t>
            </w:r>
            <w:r>
              <w:rPr>
                <w:rFonts w:hint="eastAsia"/>
                <w:lang w:eastAsia="zh-CN"/>
              </w:rPr>
              <w:t>认定</w:t>
            </w:r>
            <w:r>
              <w:rPr>
                <w:rFonts w:hint="eastAsia"/>
              </w:rPr>
              <w:t>：</w:t>
            </w:r>
          </w:p>
          <w:p>
            <w:pPr>
              <w:numPr>
                <w:ilvl w:val="0"/>
                <w:numId w:val="0"/>
              </w:numPr>
              <w:spacing w:line="440" w:lineRule="exact"/>
              <w:ind w:firstLine="420" w:firstLineChars="200"/>
              <w:rPr>
                <w:rFonts w:hint="eastAsia"/>
                <w:lang w:val="en-US" w:eastAsia="zh-CN"/>
              </w:rPr>
            </w:pPr>
            <w:r>
              <w:rPr>
                <w:rFonts w:hint="eastAsia"/>
                <w:lang w:val="en-US" w:eastAsia="zh-CN"/>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numPr>
                <w:ilvl w:val="0"/>
                <w:numId w:val="0"/>
              </w:numPr>
              <w:spacing w:line="440" w:lineRule="exact"/>
              <w:ind w:firstLine="420" w:firstLineChars="200"/>
              <w:rPr>
                <w:rFonts w:hint="eastAsia"/>
                <w:lang w:val="en-US" w:eastAsia="zh-CN"/>
              </w:rPr>
            </w:pPr>
            <w:r>
              <w:rPr>
                <w:rFonts w:hint="eastAsia"/>
                <w:lang w:val="en-US" w:eastAsia="zh-CN"/>
              </w:rPr>
              <w:t>符合中小企业划分标准的个体工商户，在政府采购活动中视同中小企业。</w:t>
            </w:r>
          </w:p>
          <w:p>
            <w:pPr>
              <w:numPr>
                <w:ilvl w:val="0"/>
                <w:numId w:val="0"/>
              </w:numPr>
              <w:spacing w:line="440" w:lineRule="exact"/>
              <w:ind w:firstLine="420" w:firstLineChars="200"/>
              <w:rPr>
                <w:rFonts w:hint="eastAsia"/>
                <w:lang w:val="en-US" w:eastAsia="zh-CN"/>
              </w:rPr>
            </w:pPr>
            <w:r>
              <w:rPr>
                <w:rFonts w:hint="eastAsia"/>
                <w:lang w:val="en-US" w:eastAsia="zh-CN"/>
              </w:rPr>
              <w:t>中小企业划分标准见《关于印发中小企业划型标准规定的通知》（工信部联企业〔2011〕300号）。</w:t>
            </w:r>
          </w:p>
          <w:p>
            <w:pPr>
              <w:spacing w:line="440" w:lineRule="exact"/>
              <w:ind w:firstLine="424" w:firstLineChars="202"/>
              <w:rPr>
                <w:rFonts w:hint="eastAsia"/>
              </w:rPr>
            </w:pPr>
            <w:r>
              <w:rPr>
                <w:rFonts w:hint="eastAsia"/>
                <w:lang w:val="en-US" w:eastAsia="zh-CN"/>
              </w:rPr>
              <w:t>2.</w:t>
            </w:r>
            <w:r>
              <w:rPr>
                <w:rFonts w:hint="eastAsia"/>
              </w:rPr>
              <w:t>在服务采购项目中，服务由中小企业承接，即提供服务的人员为中小企业依照《中华人民共和国劳动合同法</w:t>
            </w:r>
            <w:r>
              <w:rPr>
                <w:rFonts w:hint="eastAsia"/>
                <w:lang w:eastAsia="zh-CN"/>
              </w:rPr>
              <w:t>》</w:t>
            </w:r>
            <w:r>
              <w:rPr>
                <w:rFonts w:hint="eastAsia"/>
              </w:rPr>
              <w:t>订立劳动合同的从业人员。</w:t>
            </w:r>
          </w:p>
          <w:p>
            <w:pPr>
              <w:spacing w:line="440" w:lineRule="exact"/>
              <w:ind w:firstLine="424" w:firstLineChars="202"/>
              <w:rPr>
                <w:rFonts w:hint="eastAsia"/>
              </w:rPr>
            </w:pPr>
            <w:r>
              <w:rPr>
                <w:rFonts w:hint="eastAsia"/>
                <w:lang w:eastAsia="zh-CN"/>
              </w:rPr>
              <w:t>供应商应当出具竞争性磋商文件规定的《</w:t>
            </w:r>
            <w:r>
              <w:rPr>
                <w:rFonts w:hint="eastAsia"/>
              </w:rPr>
              <w:t>中小企业声明函</w:t>
            </w:r>
            <w:r>
              <w:rPr>
                <w:rFonts w:hint="eastAsia"/>
                <w:lang w:eastAsia="zh-CN"/>
              </w:rPr>
              <w:t>》，否则不享受相关扶持政策</w:t>
            </w:r>
            <w:r>
              <w:rPr>
                <w:rFonts w:hint="eastAsia"/>
              </w:rPr>
              <w:t>；</w:t>
            </w:r>
          </w:p>
          <w:p>
            <w:pPr>
              <w:spacing w:line="440" w:lineRule="exact"/>
              <w:ind w:firstLine="424" w:firstLineChars="202"/>
              <w:rPr>
                <w:rFonts w:hint="eastAsia"/>
              </w:rPr>
            </w:pPr>
            <w:r>
              <w:rPr>
                <w:rFonts w:hint="eastAsia"/>
                <w:lang w:val="en-US" w:eastAsia="zh-CN"/>
              </w:rPr>
              <w:t>3</w:t>
            </w:r>
            <w:r>
              <w:rPr>
                <w:rFonts w:hint="eastAsia"/>
              </w:rPr>
              <w:t>.根据财库〔2014〕68号《财政部 司法部关于政府采购支持监狱企业发展有关问题的通知》，监狱企业视同小微企业。提供由省级以上监狱管理局、戒毒管理局(含新疆生产建设兵团)出具的属于监狱企业的证明文件（响应文件中附扫描件</w:t>
            </w:r>
            <w:r>
              <w:rPr>
                <w:rFonts w:hint="eastAsia"/>
                <w:lang w:eastAsia="zh-CN"/>
              </w:rPr>
              <w:t>或复印件</w:t>
            </w:r>
            <w:r>
              <w:rPr>
                <w:rFonts w:hint="eastAsia"/>
              </w:rPr>
              <w:t>），不再提供《中小企业声明函》,供应商出具的监狱企业证明文件如有虚假，其成交资格将被取消，并根据相关规定进行处罚。</w:t>
            </w:r>
          </w:p>
          <w:p>
            <w:pPr>
              <w:spacing w:line="440" w:lineRule="exact"/>
              <w:ind w:firstLine="424" w:firstLineChars="202"/>
              <w:rPr>
                <w:rFonts w:hint="eastAsia"/>
              </w:rPr>
            </w:pPr>
            <w:r>
              <w:rPr>
                <w:rFonts w:hint="eastAsia"/>
                <w:lang w:val="en-US" w:eastAsia="zh-CN"/>
              </w:rPr>
              <w:t>4</w:t>
            </w:r>
            <w:r>
              <w:rPr>
                <w:rFonts w:hint="eastAsia"/>
              </w:rPr>
              <w:t>.根据财库〔2017〕141号《三部门联合发布关于促进残疾人就业政府采购政策的通知》残疾人福利性单位视同小型、微型企业，残疾人福利性单位在参加政府采购活动时提供《残疾人福利性单位声明函》（响应文件中附扫描件</w:t>
            </w:r>
            <w:r>
              <w:rPr>
                <w:rFonts w:hint="eastAsia"/>
                <w:lang w:eastAsia="zh-CN"/>
              </w:rPr>
              <w:t>或复印件</w:t>
            </w:r>
            <w:r>
              <w:rPr>
                <w:rFonts w:hint="eastAsia"/>
              </w:rPr>
              <w:t>），不再提供《中小企业声明函》，供应商在《残疾人福利性单位声明函》中的承诺如有虚假，其成交资格将被取消，并根据相关规定进行处罚。</w:t>
            </w:r>
          </w:p>
          <w:p>
            <w:pPr>
              <w:spacing w:line="440" w:lineRule="exact"/>
              <w:ind w:firstLine="424" w:firstLineChars="202"/>
              <w:rPr>
                <w:rFonts w:hint="eastAsia"/>
              </w:rPr>
            </w:pPr>
            <w:r>
              <w:rPr>
                <w:rFonts w:hint="eastAsia" w:ascii="宋体" w:hAnsi="宋体" w:cs="宋体"/>
                <w:bCs/>
                <w:szCs w:val="21"/>
                <w:lang w:eastAsia="zh-CN"/>
              </w:rPr>
              <w:t>磋商小组根据供应商提供的《中小企业声明函》认定该供应商是否属于中小企业；监狱企业和残疾人福利性单位视同小型、微型企业。</w:t>
            </w:r>
            <w:r>
              <w:rPr>
                <w:rFonts w:hint="eastAsia" w:ascii="宋体" w:hAnsi="宋体" w:cs="宋体"/>
                <w:b/>
                <w:bCs w:val="0"/>
                <w:szCs w:val="21"/>
                <w:lang w:eastAsia="zh-CN"/>
              </w:rPr>
              <w:t>不属于中小企业、监狱企业或残疾人福利性单位的不得参与本项目磋商。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17</w:t>
            </w:r>
          </w:p>
        </w:tc>
        <w:tc>
          <w:tcPr>
            <w:tcW w:w="2131" w:type="dxa"/>
            <w:noWrap w:val="0"/>
            <w:vAlign w:val="center"/>
          </w:tcPr>
          <w:p>
            <w:pPr>
              <w:spacing w:line="460" w:lineRule="exact"/>
              <w:jc w:val="center"/>
              <w:rPr>
                <w:rFonts w:hint="eastAsia" w:ascii="宋体" w:hAnsi="宋体" w:eastAsia="宋体" w:cs="宋体"/>
                <w:kern w:val="0"/>
                <w:sz w:val="21"/>
                <w:szCs w:val="21"/>
                <w:lang w:eastAsia="zh-CN"/>
              </w:rPr>
            </w:pPr>
            <w:r>
              <w:rPr>
                <w:rFonts w:hint="eastAsia" w:ascii="宋体" w:hAnsi="宋体" w:eastAsia="宋体" w:cs="宋体"/>
                <w:kern w:val="0"/>
                <w:sz w:val="21"/>
                <w:szCs w:val="21"/>
                <w:lang w:eastAsia="zh-CN"/>
              </w:rPr>
              <w:t>履约担保</w:t>
            </w:r>
          </w:p>
        </w:tc>
        <w:tc>
          <w:tcPr>
            <w:tcW w:w="6563" w:type="dxa"/>
            <w:noWrap w:val="0"/>
            <w:vAlign w:val="center"/>
          </w:tcPr>
          <w:p>
            <w:pPr>
              <w:spacing w:line="460" w:lineRule="exact"/>
              <w:rPr>
                <w:rFonts w:hint="eastAsia" w:ascii="宋体" w:hAnsi="宋体" w:eastAsia="宋体" w:cs="宋体"/>
                <w:kern w:val="0"/>
                <w:sz w:val="21"/>
                <w:szCs w:val="21"/>
                <w:lang w:eastAsia="zh-CN"/>
              </w:rPr>
            </w:pPr>
            <w:r>
              <w:rPr>
                <w:rFonts w:hint="eastAsia" w:ascii="宋体" w:hAnsi="宋体" w:eastAsia="宋体" w:cs="宋体"/>
                <w:kern w:val="0"/>
                <w:sz w:val="21"/>
                <w:szCs w:val="21"/>
                <w:lang w:eastAsia="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18</w:t>
            </w:r>
          </w:p>
        </w:tc>
        <w:tc>
          <w:tcPr>
            <w:tcW w:w="2131" w:type="dxa"/>
            <w:noWrap w:val="0"/>
            <w:vAlign w:val="center"/>
          </w:tcPr>
          <w:p>
            <w:pPr>
              <w:spacing w:line="4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签订合同</w:t>
            </w:r>
          </w:p>
        </w:tc>
        <w:tc>
          <w:tcPr>
            <w:tcW w:w="6563" w:type="dxa"/>
            <w:noWrap w:val="0"/>
            <w:vAlign w:val="center"/>
          </w:tcPr>
          <w:p>
            <w:pPr>
              <w:spacing w:line="460" w:lineRule="exact"/>
              <w:rPr>
                <w:rFonts w:hint="eastAsia" w:ascii="宋体" w:hAnsi="宋体" w:eastAsia="宋体" w:cs="宋体"/>
                <w:kern w:val="0"/>
                <w:sz w:val="21"/>
                <w:szCs w:val="21"/>
              </w:rPr>
            </w:pPr>
            <w:r>
              <w:rPr>
                <w:rFonts w:hint="eastAsia" w:ascii="宋体" w:hAnsi="宋体" w:eastAsia="宋体" w:cs="宋体"/>
                <w:kern w:val="0"/>
                <w:sz w:val="21"/>
                <w:szCs w:val="21"/>
              </w:rPr>
              <w:t>成交供应商在《成交通知</w:t>
            </w:r>
            <w:r>
              <w:rPr>
                <w:rFonts w:hint="eastAsia" w:ascii="宋体" w:hAnsi="宋体" w:eastAsia="宋体" w:cs="宋体"/>
                <w:color w:val="auto"/>
                <w:kern w:val="0"/>
                <w:sz w:val="21"/>
                <w:szCs w:val="21"/>
              </w:rPr>
              <w:t>书》发出后</w:t>
            </w:r>
            <w:r>
              <w:rPr>
                <w:rFonts w:hint="eastAsia" w:ascii="宋体" w:hAnsi="宋体" w:eastAsia="宋体" w:cs="宋体"/>
                <w:color w:val="auto"/>
                <w:kern w:val="0"/>
                <w:sz w:val="21"/>
                <w:szCs w:val="21"/>
                <w:u w:val="single"/>
                <w:lang w:val="en-US" w:eastAsia="zh-CN"/>
              </w:rPr>
              <w:t>30</w:t>
            </w:r>
            <w:r>
              <w:rPr>
                <w:rFonts w:hint="eastAsia" w:ascii="宋体" w:hAnsi="宋体" w:eastAsia="宋体" w:cs="宋体"/>
                <w:color w:val="auto"/>
                <w:kern w:val="0"/>
                <w:sz w:val="21"/>
                <w:szCs w:val="21"/>
              </w:rPr>
              <w:t>日内，</w:t>
            </w:r>
            <w:r>
              <w:rPr>
                <w:rFonts w:hint="eastAsia" w:ascii="宋体" w:hAnsi="宋体" w:eastAsia="宋体" w:cs="宋体"/>
                <w:kern w:val="0"/>
                <w:sz w:val="21"/>
                <w:szCs w:val="21"/>
              </w:rPr>
              <w:t>根据磋商文件和成交供应商的响应文件与采购人签订合同。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19</w:t>
            </w:r>
          </w:p>
        </w:tc>
        <w:tc>
          <w:tcPr>
            <w:tcW w:w="2131" w:type="dxa"/>
            <w:noWrap w:val="0"/>
            <w:vAlign w:val="center"/>
          </w:tcPr>
          <w:p>
            <w:pPr>
              <w:spacing w:line="460" w:lineRule="exact"/>
              <w:jc w:val="center"/>
              <w:rPr>
                <w:rFonts w:hint="eastAsia" w:ascii="宋体" w:hAnsi="宋体" w:eastAsia="宋体" w:cs="宋体"/>
                <w:kern w:val="0"/>
                <w:sz w:val="21"/>
                <w:szCs w:val="21"/>
              </w:rPr>
            </w:pPr>
            <w:r>
              <w:rPr>
                <w:rFonts w:hint="eastAsia" w:ascii="宋体" w:hAnsi="宋体"/>
                <w:color w:val="000000"/>
                <w:sz w:val="21"/>
                <w:szCs w:val="21"/>
                <w:lang w:eastAsia="zh-CN"/>
              </w:rPr>
              <w:t>预付款</w:t>
            </w:r>
          </w:p>
        </w:tc>
        <w:tc>
          <w:tcPr>
            <w:tcW w:w="6563" w:type="dxa"/>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sz w:val="21"/>
                <w:szCs w:val="21"/>
                <w:lang w:eastAsia="zh-CN"/>
              </w:rPr>
            </w:pPr>
            <w:r>
              <w:rPr>
                <w:rFonts w:hint="eastAsia" w:ascii="宋体" w:hAnsi="宋体"/>
                <w:color w:val="000000"/>
                <w:sz w:val="21"/>
                <w:szCs w:val="21"/>
                <w:lang w:eastAsia="zh-CN"/>
              </w:rPr>
              <w:t>项目执行预付款的，采购人在向成交供应商支付预付款前，成交供应商需向采购人提供预付款保函；</w:t>
            </w:r>
          </w:p>
          <w:p>
            <w:pPr>
              <w:spacing w:line="460" w:lineRule="exact"/>
              <w:rPr>
                <w:rFonts w:hint="eastAsia" w:ascii="宋体" w:hAnsi="宋体" w:eastAsia="宋体" w:cs="宋体"/>
                <w:kern w:val="0"/>
                <w:sz w:val="21"/>
                <w:szCs w:val="21"/>
              </w:rPr>
            </w:pPr>
            <w:r>
              <w:rPr>
                <w:rFonts w:hint="eastAsia" w:ascii="宋体" w:hAnsi="宋体"/>
                <w:color w:val="000000"/>
                <w:sz w:val="21"/>
                <w:szCs w:val="21"/>
                <w:lang w:eastAsia="zh-CN"/>
              </w:rPr>
              <w:t>预付款保函的形式：</w:t>
            </w:r>
            <w:r>
              <w:rPr>
                <w:rFonts w:hint="eastAsia" w:hAnsi="宋体"/>
                <w:color w:val="auto"/>
                <w:sz w:val="21"/>
                <w:szCs w:val="21"/>
              </w:rPr>
              <w:t>应当以支票、汇票、本票或者金融机构、担保机构出具的保函，非现金形式提交。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20</w:t>
            </w:r>
          </w:p>
        </w:tc>
        <w:tc>
          <w:tcPr>
            <w:tcW w:w="2131" w:type="dxa"/>
            <w:noWrap w:val="0"/>
            <w:vAlign w:val="center"/>
          </w:tcPr>
          <w:p>
            <w:pPr>
              <w:spacing w:line="4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其他</w:t>
            </w:r>
          </w:p>
        </w:tc>
        <w:tc>
          <w:tcPr>
            <w:tcW w:w="6563" w:type="dxa"/>
            <w:noWrap w:val="0"/>
            <w:vAlign w:val="center"/>
          </w:tcPr>
          <w:p>
            <w:pPr>
              <w:rPr>
                <w:rFonts w:hint="eastAsia" w:ascii="宋体" w:hAnsi="宋体" w:eastAsia="宋体" w:cs="宋体"/>
                <w:kern w:val="0"/>
                <w:sz w:val="21"/>
                <w:szCs w:val="21"/>
              </w:rPr>
            </w:pPr>
            <w:r>
              <w:rPr>
                <w:rFonts w:hint="eastAsia" w:ascii="宋体" w:hAnsi="宋体" w:eastAsia="宋体" w:cs="宋体"/>
                <w:kern w:val="0"/>
                <w:sz w:val="21"/>
                <w:szCs w:val="21"/>
              </w:rPr>
              <w:t xml:space="preserve">   </w:t>
            </w:r>
            <w:r>
              <w:rPr>
                <w:rFonts w:hint="eastAsia" w:ascii="宋体" w:hAnsi="宋体" w:eastAsia="宋体" w:cs="宋体"/>
                <w:color w:val="FF0000"/>
                <w:kern w:val="0"/>
                <w:sz w:val="21"/>
                <w:szCs w:val="21"/>
              </w:rPr>
              <w:t xml:space="preserve"> </w:t>
            </w:r>
            <w:r>
              <w:rPr>
                <w:rFonts w:hint="eastAsia" w:ascii="宋体" w:hAnsi="宋体" w:eastAsia="宋体" w:cs="宋体"/>
                <w:kern w:val="0"/>
                <w:sz w:val="21"/>
                <w:szCs w:val="21"/>
              </w:rPr>
              <w:t>本竞争性磋商文件解释权归采购人或其委托的采购代理机构。未尽事宜按国家相关法律法规执行。</w:t>
            </w:r>
          </w:p>
          <w:p>
            <w:pPr>
              <w:rPr>
                <w:rFonts w:hint="eastAsia" w:ascii="宋体" w:hAnsi="宋体" w:eastAsia="宋体" w:cs="宋体"/>
                <w:sz w:val="21"/>
                <w:szCs w:val="21"/>
              </w:rPr>
            </w:pPr>
            <w:r>
              <w:rPr>
                <w:rFonts w:hint="eastAsia" w:ascii="宋体" w:hAnsi="宋体" w:eastAsia="宋体" w:cs="宋体"/>
                <w:sz w:val="21"/>
                <w:szCs w:val="21"/>
              </w:rPr>
              <w:t xml:space="preserve">    （1）在评审过程中，</w:t>
            </w:r>
            <w:r>
              <w:rPr>
                <w:rFonts w:hint="eastAsia" w:ascii="宋体" w:hAnsi="宋体" w:eastAsia="宋体" w:cs="宋体"/>
                <w:kern w:val="0"/>
                <w:sz w:val="21"/>
                <w:szCs w:val="21"/>
              </w:rPr>
              <w:t>磋商</w:t>
            </w:r>
            <w:r>
              <w:rPr>
                <w:rFonts w:hint="eastAsia" w:ascii="宋体" w:hAnsi="宋体" w:eastAsia="宋体" w:cs="宋体"/>
                <w:sz w:val="21"/>
                <w:szCs w:val="21"/>
              </w:rPr>
              <w:t>小组成员存在争议时，可以以少数服从多数的原则解决争议；</w:t>
            </w:r>
          </w:p>
          <w:p>
            <w:pPr>
              <w:spacing w:line="460" w:lineRule="exact"/>
              <w:rPr>
                <w:rFonts w:hint="eastAsia" w:ascii="宋体" w:hAnsi="宋体" w:eastAsia="宋体" w:cs="宋体"/>
                <w:kern w:val="0"/>
                <w:sz w:val="21"/>
                <w:szCs w:val="21"/>
              </w:rPr>
            </w:pPr>
            <w:r>
              <w:rPr>
                <w:rFonts w:hint="eastAsia" w:ascii="宋体" w:hAnsi="宋体" w:eastAsia="宋体" w:cs="宋体"/>
                <w:sz w:val="21"/>
                <w:szCs w:val="21"/>
              </w:rPr>
              <w:t xml:space="preserve">    （2）在评审过程中，采购人或其委托的代理机构认为</w:t>
            </w:r>
            <w:r>
              <w:rPr>
                <w:rFonts w:hint="eastAsia" w:ascii="宋体" w:hAnsi="宋体" w:eastAsia="宋体" w:cs="宋体"/>
                <w:kern w:val="0"/>
                <w:sz w:val="21"/>
                <w:szCs w:val="21"/>
              </w:rPr>
              <w:t>磋商</w:t>
            </w:r>
            <w:r>
              <w:rPr>
                <w:rFonts w:hint="eastAsia" w:ascii="宋体" w:hAnsi="宋体" w:eastAsia="宋体" w:cs="宋体"/>
                <w:sz w:val="21"/>
                <w:szCs w:val="21"/>
              </w:rPr>
              <w:t>小组对</w:t>
            </w:r>
            <w:r>
              <w:rPr>
                <w:rFonts w:hint="eastAsia" w:ascii="宋体" w:hAnsi="宋体" w:eastAsia="宋体" w:cs="宋体"/>
                <w:kern w:val="0"/>
                <w:sz w:val="21"/>
                <w:szCs w:val="21"/>
              </w:rPr>
              <w:t>磋商</w:t>
            </w:r>
            <w:r>
              <w:rPr>
                <w:rFonts w:hint="eastAsia" w:ascii="宋体" w:hAnsi="宋体" w:eastAsia="宋体" w:cs="宋体"/>
                <w:sz w:val="21"/>
                <w:szCs w:val="21"/>
              </w:rPr>
              <w:t>文件存在误解时，可对</w:t>
            </w:r>
            <w:r>
              <w:rPr>
                <w:rFonts w:hint="eastAsia" w:ascii="宋体" w:hAnsi="宋体" w:eastAsia="宋体" w:cs="宋体"/>
                <w:kern w:val="0"/>
                <w:sz w:val="21"/>
                <w:szCs w:val="21"/>
              </w:rPr>
              <w:t>磋商</w:t>
            </w:r>
            <w:r>
              <w:rPr>
                <w:rFonts w:hint="eastAsia" w:ascii="宋体" w:hAnsi="宋体" w:eastAsia="宋体" w:cs="宋体"/>
                <w:sz w:val="21"/>
                <w:szCs w:val="21"/>
              </w:rPr>
              <w:t>文件做出解释，并承担相应责任，</w:t>
            </w:r>
            <w:r>
              <w:rPr>
                <w:rFonts w:hint="eastAsia" w:ascii="宋体" w:hAnsi="宋体" w:eastAsia="宋体" w:cs="宋体"/>
                <w:kern w:val="0"/>
                <w:sz w:val="21"/>
                <w:szCs w:val="21"/>
              </w:rPr>
              <w:t>磋商</w:t>
            </w:r>
            <w:r>
              <w:rPr>
                <w:rFonts w:hint="eastAsia" w:ascii="宋体" w:hAnsi="宋体" w:eastAsia="宋体" w:cs="宋体"/>
                <w:sz w:val="21"/>
                <w:szCs w:val="21"/>
              </w:rPr>
              <w:t>小组应当依据该解释评审；</w:t>
            </w:r>
            <w:r>
              <w:rPr>
                <w:rFonts w:hint="eastAsia" w:ascii="宋体" w:hAnsi="宋体" w:eastAsia="宋体" w:cs="宋体"/>
                <w:kern w:val="0"/>
                <w:sz w:val="21"/>
                <w:szCs w:val="21"/>
              </w:rPr>
              <w:t>磋商</w:t>
            </w:r>
            <w:r>
              <w:rPr>
                <w:rFonts w:hint="eastAsia" w:ascii="宋体" w:hAnsi="宋体" w:eastAsia="宋体" w:cs="宋体"/>
                <w:sz w:val="21"/>
                <w:szCs w:val="21"/>
              </w:rPr>
              <w:t>小组对采购人或其委托的代理机构的解释不承担责任，认为有必要的，可将该解释情况写入评审报告。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21</w:t>
            </w:r>
          </w:p>
        </w:tc>
        <w:tc>
          <w:tcPr>
            <w:tcW w:w="2131" w:type="dxa"/>
            <w:noWrap w:val="0"/>
            <w:vAlign w:val="center"/>
          </w:tcPr>
          <w:p>
            <w:pPr>
              <w:spacing w:line="460" w:lineRule="exact"/>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采购代理机构代理服务费</w:t>
            </w:r>
          </w:p>
        </w:tc>
        <w:tc>
          <w:tcPr>
            <w:tcW w:w="6563" w:type="dxa"/>
            <w:noWrap w:val="0"/>
            <w:vAlign w:val="center"/>
          </w:tcPr>
          <w:p>
            <w:pPr>
              <w:spacing w:line="460" w:lineRule="exact"/>
              <w:rPr>
                <w:rFonts w:hint="eastAsia"/>
              </w:rPr>
            </w:pPr>
            <w:r>
              <w:rPr>
                <w:rFonts w:hint="eastAsia"/>
              </w:rPr>
              <w:t>本项目收取代理服务费：</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textAlignment w:val="auto"/>
              <w:rPr>
                <w:rFonts w:hint="eastAsia" w:ascii="宋体" w:hAnsi="宋体" w:eastAsia="宋体" w:cs="宋体"/>
                <w:kern w:val="0"/>
                <w:sz w:val="21"/>
                <w:szCs w:val="21"/>
              </w:rPr>
            </w:pPr>
            <w:r>
              <w:rPr>
                <w:rFonts w:hint="eastAsia" w:ascii="宋体" w:hAnsi="宋体" w:eastAsia="宋体" w:cs="宋体"/>
                <w:kern w:val="0"/>
                <w:sz w:val="21"/>
                <w:szCs w:val="21"/>
              </w:rPr>
              <w:t>采购代理机构代理服务费用收取标准：见《采购代理机构代理费用的收取标准》。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textAlignment w:val="auto"/>
              <w:rPr>
                <w:rFonts w:hint="eastAsia" w:ascii="宋体" w:hAnsi="宋体" w:eastAsia="宋体" w:cs="宋体"/>
                <w:kern w:val="0"/>
                <w:sz w:val="21"/>
                <w:szCs w:val="21"/>
              </w:rPr>
            </w:pPr>
            <w:r>
              <w:rPr>
                <w:rFonts w:hint="eastAsia" w:ascii="宋体" w:hAnsi="宋体" w:eastAsia="宋体" w:cs="宋体"/>
                <w:kern w:val="0"/>
                <w:sz w:val="21"/>
                <w:szCs w:val="21"/>
              </w:rPr>
              <w:t>支付方式：现金</w:t>
            </w:r>
            <w:r>
              <w:rPr>
                <w:rFonts w:hint="eastAsia" w:ascii="宋体" w:hAnsi="宋体" w:eastAsia="宋体" w:cs="宋体"/>
                <w:kern w:val="0"/>
                <w:sz w:val="21"/>
                <w:szCs w:val="21"/>
                <w:lang w:eastAsia="zh-CN"/>
              </w:rPr>
              <w:t>或转账</w:t>
            </w:r>
            <w:r>
              <w:rPr>
                <w:rFonts w:hint="eastAsia" w:ascii="宋体" w:hAnsi="宋体" w:eastAsia="宋体" w:cs="宋体"/>
                <w:kern w:val="0"/>
                <w:sz w:val="21"/>
                <w:szCs w:val="21"/>
              </w:rPr>
              <w:t>。</w:t>
            </w:r>
          </w:p>
          <w:p>
            <w:pPr>
              <w:pStyle w:val="15"/>
              <w:rPr>
                <w:rFonts w:hint="eastAsia"/>
              </w:rPr>
            </w:pPr>
            <w:r>
              <w:rPr>
                <w:rFonts w:hint="eastAsia" w:ascii="宋体" w:hAnsi="宋体" w:eastAsia="宋体" w:cs="宋体"/>
                <w:kern w:val="0"/>
                <w:sz w:val="21"/>
                <w:szCs w:val="21"/>
                <w:lang w:val="en-US" w:eastAsia="zh-CN"/>
              </w:rPr>
              <w:t>3.</w:t>
            </w:r>
            <w:r>
              <w:rPr>
                <w:rFonts w:hint="eastAsia" w:ascii="宋体" w:hAnsi="宋体" w:eastAsia="宋体" w:cs="宋体"/>
                <w:kern w:val="0"/>
                <w:sz w:val="21"/>
                <w:szCs w:val="21"/>
              </w:rPr>
              <w:t>采购代理机构代理服务费由</w:t>
            </w:r>
            <w:r>
              <w:rPr>
                <w:rFonts w:hint="eastAsia" w:ascii="宋体" w:hAnsi="宋体" w:eastAsia="宋体" w:cs="宋体"/>
                <w:kern w:val="0"/>
                <w:sz w:val="21"/>
                <w:szCs w:val="21"/>
                <w:lang w:eastAsia="zh-CN"/>
              </w:rPr>
              <w:t>成交供应商</w:t>
            </w:r>
            <w:r>
              <w:rPr>
                <w:rFonts w:hint="eastAsia" w:ascii="宋体" w:hAnsi="宋体" w:eastAsia="宋体" w:cs="宋体"/>
                <w:kern w:val="0"/>
                <w:sz w:val="21"/>
                <w:szCs w:val="21"/>
              </w:rPr>
              <w:t>支付。</w:t>
            </w:r>
          </w:p>
        </w:tc>
      </w:tr>
      <w:bookmarkEnd w:id="9"/>
      <w:bookmarkEnd w:id="10"/>
      <w:bookmarkEnd w:id="11"/>
      <w:bookmarkEnd w:id="12"/>
      <w:bookmarkEnd w:id="13"/>
    </w:tbl>
    <w:p>
      <w:pPr>
        <w:autoSpaceDN w:val="0"/>
        <w:spacing w:before="75" w:beforeLines="0" w:after="75" w:afterLines="0"/>
        <w:jc w:val="center"/>
        <w:rPr>
          <w:rFonts w:hint="eastAsia" w:ascii="宋体" w:hAnsi="宋体" w:eastAsia="宋体" w:cs="宋体"/>
          <w:b/>
          <w:sz w:val="21"/>
          <w:szCs w:val="21"/>
        </w:rPr>
      </w:pPr>
      <w:bookmarkStart w:id="17" w:name="_Toc461962050"/>
    </w:p>
    <w:p>
      <w:pPr>
        <w:autoSpaceDN w:val="0"/>
        <w:spacing w:before="75" w:beforeLines="0" w:after="75" w:afterLines="0"/>
        <w:jc w:val="center"/>
        <w:rPr>
          <w:rFonts w:hint="eastAsia" w:ascii="宋体" w:hAnsi="宋体" w:eastAsia="宋体" w:cs="宋体"/>
          <w:b/>
          <w:sz w:val="24"/>
          <w:szCs w:val="24"/>
        </w:rPr>
      </w:pPr>
    </w:p>
    <w:p>
      <w:pPr>
        <w:pStyle w:val="15"/>
        <w:rPr>
          <w:rFonts w:hint="eastAsia" w:ascii="宋体" w:hAnsi="宋体" w:eastAsia="宋体" w:cs="宋体"/>
          <w:b/>
          <w:sz w:val="24"/>
          <w:szCs w:val="24"/>
        </w:rPr>
      </w:pPr>
    </w:p>
    <w:p>
      <w:pPr>
        <w:pStyle w:val="57"/>
        <w:rPr>
          <w:rFonts w:hint="eastAsia" w:ascii="宋体" w:hAnsi="宋体" w:eastAsia="宋体" w:cs="宋体"/>
          <w:b/>
          <w:sz w:val="24"/>
          <w:szCs w:val="24"/>
        </w:rPr>
      </w:pPr>
    </w:p>
    <w:p>
      <w:pPr>
        <w:pStyle w:val="23"/>
        <w:rPr>
          <w:rFonts w:hint="eastAsia" w:ascii="宋体" w:hAnsi="宋体" w:eastAsia="宋体" w:cs="宋体"/>
          <w:b/>
          <w:sz w:val="24"/>
          <w:szCs w:val="24"/>
        </w:rPr>
      </w:pPr>
    </w:p>
    <w:p>
      <w:pPr>
        <w:pStyle w:val="23"/>
        <w:rPr>
          <w:rFonts w:hint="eastAsia" w:ascii="宋体" w:hAnsi="宋体" w:eastAsia="宋体" w:cs="宋体"/>
          <w:b/>
          <w:sz w:val="24"/>
          <w:szCs w:val="24"/>
        </w:rPr>
      </w:pPr>
    </w:p>
    <w:p>
      <w:pPr>
        <w:pStyle w:val="23"/>
        <w:rPr>
          <w:rFonts w:hint="eastAsia" w:ascii="宋体" w:hAnsi="宋体" w:eastAsia="宋体" w:cs="宋体"/>
          <w:b/>
          <w:sz w:val="24"/>
          <w:szCs w:val="24"/>
        </w:rPr>
      </w:pPr>
    </w:p>
    <w:p>
      <w:pPr>
        <w:pStyle w:val="23"/>
        <w:rPr>
          <w:rFonts w:hint="eastAsia" w:ascii="宋体" w:hAnsi="宋体" w:eastAsia="宋体" w:cs="宋体"/>
          <w:b/>
          <w:sz w:val="24"/>
          <w:szCs w:val="24"/>
        </w:rPr>
      </w:pPr>
    </w:p>
    <w:p>
      <w:pPr>
        <w:pStyle w:val="23"/>
        <w:rPr>
          <w:rFonts w:hint="eastAsia" w:ascii="宋体" w:hAnsi="宋体" w:eastAsia="宋体" w:cs="宋体"/>
          <w:b/>
          <w:sz w:val="24"/>
          <w:szCs w:val="24"/>
        </w:rPr>
      </w:pPr>
    </w:p>
    <w:p>
      <w:pPr>
        <w:pStyle w:val="23"/>
        <w:rPr>
          <w:rFonts w:hint="eastAsia" w:ascii="宋体" w:hAnsi="宋体" w:eastAsia="宋体" w:cs="宋体"/>
          <w:b/>
          <w:sz w:val="24"/>
          <w:szCs w:val="24"/>
        </w:rPr>
      </w:pPr>
    </w:p>
    <w:p>
      <w:pPr>
        <w:autoSpaceDN w:val="0"/>
        <w:spacing w:before="75" w:after="75" w:line="360" w:lineRule="auto"/>
        <w:jc w:val="center"/>
        <w:rPr>
          <w:rFonts w:hint="eastAsia" w:ascii="宋体" w:hAnsi="宋体" w:cs="宋体"/>
          <w:b/>
          <w:sz w:val="32"/>
        </w:rPr>
      </w:pPr>
      <w:r>
        <w:rPr>
          <w:rFonts w:hint="eastAsia" w:ascii="宋体" w:hAnsi="宋体" w:cs="宋体"/>
          <w:b/>
          <w:sz w:val="32"/>
        </w:rPr>
        <w:t>采购代理机构代理费用的收取标准</w:t>
      </w:r>
    </w:p>
    <w:p>
      <w:pPr>
        <w:autoSpaceDN w:val="0"/>
        <w:spacing w:before="75" w:after="75" w:line="360" w:lineRule="auto"/>
        <w:jc w:val="center"/>
        <w:rPr>
          <w:rFonts w:hint="eastAsia" w:ascii="宋体" w:hAnsi="宋体" w:cs="宋体"/>
          <w:b/>
          <w:sz w:val="32"/>
        </w:rPr>
      </w:pPr>
      <w:r>
        <w:rPr>
          <w:rFonts w:hint="eastAsia" w:ascii="宋体" w:hAnsi="宋体" w:cs="宋体"/>
          <w:b/>
          <w:sz w:val="32"/>
        </w:rPr>
        <w:drawing>
          <wp:inline distT="0" distB="0" distL="114300" distR="114300">
            <wp:extent cx="4968240" cy="2764155"/>
            <wp:effectExtent l="0" t="0" r="3810" b="17145"/>
            <wp:docPr id="1" name="图片 2" descr="C:\Users\Administrator\Desktop\河南省招标代理服务收费计算标准.png河南省招标代理服务收费计算标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C:\Users\Administrator\Desktop\河南省招标代理服务收费计算标准.png河南省招标代理服务收费计算标准"/>
                    <pic:cNvPicPr>
                      <a:picLocks noChangeAspect="1"/>
                    </pic:cNvPicPr>
                  </pic:nvPicPr>
                  <pic:blipFill>
                    <a:blip r:embed="rId14"/>
                    <a:stretch>
                      <a:fillRect/>
                    </a:stretch>
                  </pic:blipFill>
                  <pic:spPr>
                    <a:xfrm>
                      <a:off x="0" y="0"/>
                      <a:ext cx="4968240" cy="2764155"/>
                    </a:xfrm>
                    <a:prstGeom prst="rect">
                      <a:avLst/>
                    </a:prstGeom>
                    <a:noFill/>
                    <a:ln>
                      <a:noFill/>
                    </a:ln>
                  </pic:spPr>
                </pic:pic>
              </a:graphicData>
            </a:graphic>
          </wp:inline>
        </w:drawing>
      </w:r>
    </w:p>
    <w:p>
      <w:pPr>
        <w:autoSpaceDN w:val="0"/>
        <w:spacing w:before="75" w:after="75" w:line="360" w:lineRule="auto"/>
        <w:rPr>
          <w:rFonts w:hint="eastAsia" w:ascii="宋体" w:hAnsi="宋体" w:cs="宋体"/>
          <w:szCs w:val="21"/>
        </w:rPr>
      </w:pPr>
      <w:r>
        <w:rPr>
          <w:rFonts w:hint="eastAsia" w:ascii="宋体" w:hAnsi="宋体" w:cs="宋体"/>
          <w:szCs w:val="21"/>
        </w:rPr>
        <w:t>注：1.按本表费率计算的收费为招标代理服务全过程的收费基准价格。</w:t>
      </w:r>
    </w:p>
    <w:p>
      <w:pPr>
        <w:autoSpaceDN w:val="0"/>
        <w:spacing w:before="75" w:after="75" w:line="360" w:lineRule="auto"/>
        <w:rPr>
          <w:rFonts w:hint="eastAsia" w:ascii="宋体" w:hAnsi="宋体" w:cs="宋体"/>
          <w:szCs w:val="21"/>
        </w:rPr>
      </w:pPr>
      <w:r>
        <w:rPr>
          <w:rFonts w:hint="eastAsia" w:ascii="宋体" w:hAnsi="宋体" w:cs="宋体"/>
          <w:szCs w:val="21"/>
        </w:rPr>
        <w:t>2.招标代理服务收费按差额定率累进法计算。例如：某货物招标中标金额为500万元，计算招标代理服务收费额如下：</w:t>
      </w:r>
    </w:p>
    <w:p>
      <w:pPr>
        <w:autoSpaceDN w:val="0"/>
        <w:spacing w:before="75" w:after="75" w:line="360" w:lineRule="auto"/>
        <w:rPr>
          <w:rFonts w:hint="eastAsia" w:ascii="宋体" w:hAnsi="宋体" w:cs="宋体"/>
          <w:szCs w:val="21"/>
        </w:rPr>
      </w:pPr>
      <w:r>
        <w:rPr>
          <w:rFonts w:hint="eastAsia" w:ascii="宋体" w:hAnsi="宋体" w:cs="宋体"/>
          <w:szCs w:val="21"/>
        </w:rPr>
        <w:t>100万元×1.</w:t>
      </w:r>
      <w:r>
        <w:rPr>
          <w:rFonts w:hint="eastAsia" w:ascii="宋体" w:hAnsi="宋体" w:cs="宋体"/>
          <w:szCs w:val="21"/>
          <w:lang w:val="en-US" w:eastAsia="zh-CN"/>
        </w:rPr>
        <w:t>7</w:t>
      </w:r>
      <w:r>
        <w:rPr>
          <w:rFonts w:hint="eastAsia" w:ascii="宋体" w:hAnsi="宋体" w:cs="宋体"/>
          <w:szCs w:val="21"/>
        </w:rPr>
        <w:t>%=1.</w:t>
      </w:r>
      <w:r>
        <w:rPr>
          <w:rFonts w:hint="eastAsia" w:ascii="宋体" w:hAnsi="宋体" w:cs="宋体"/>
          <w:szCs w:val="21"/>
          <w:lang w:val="en-US" w:eastAsia="zh-CN"/>
        </w:rPr>
        <w:t>7</w:t>
      </w:r>
      <w:r>
        <w:rPr>
          <w:rFonts w:hint="eastAsia" w:ascii="宋体" w:hAnsi="宋体" w:cs="宋体"/>
          <w:szCs w:val="21"/>
        </w:rPr>
        <w:t>万元</w:t>
      </w:r>
    </w:p>
    <w:p>
      <w:pPr>
        <w:autoSpaceDN w:val="0"/>
        <w:spacing w:before="75" w:after="75" w:line="360" w:lineRule="auto"/>
        <w:rPr>
          <w:rFonts w:hint="eastAsia" w:ascii="宋体" w:hAnsi="宋体" w:cs="宋体"/>
          <w:szCs w:val="21"/>
        </w:rPr>
      </w:pPr>
      <w:r>
        <w:rPr>
          <w:rFonts w:hint="eastAsia" w:ascii="宋体" w:hAnsi="宋体" w:cs="宋体"/>
          <w:szCs w:val="21"/>
        </w:rPr>
        <w:t>（500-100）万元×1.</w:t>
      </w:r>
      <w:r>
        <w:rPr>
          <w:rFonts w:hint="eastAsia" w:ascii="宋体" w:hAnsi="宋体" w:cs="宋体"/>
          <w:szCs w:val="21"/>
          <w:lang w:val="en-US" w:eastAsia="zh-CN"/>
        </w:rPr>
        <w:t>2</w:t>
      </w:r>
      <w:r>
        <w:rPr>
          <w:rFonts w:hint="eastAsia" w:ascii="宋体" w:hAnsi="宋体" w:cs="宋体"/>
          <w:szCs w:val="21"/>
        </w:rPr>
        <w:t>%=4.</w:t>
      </w:r>
      <w:r>
        <w:rPr>
          <w:rFonts w:hint="eastAsia" w:ascii="宋体" w:hAnsi="宋体" w:cs="宋体"/>
          <w:szCs w:val="21"/>
          <w:lang w:val="en-US" w:eastAsia="zh-CN"/>
        </w:rPr>
        <w:t>8</w:t>
      </w:r>
      <w:r>
        <w:rPr>
          <w:rFonts w:hint="eastAsia" w:ascii="宋体" w:hAnsi="宋体" w:cs="宋体"/>
          <w:szCs w:val="21"/>
        </w:rPr>
        <w:t>万元</w:t>
      </w:r>
    </w:p>
    <w:p>
      <w:pPr>
        <w:autoSpaceDN w:val="0"/>
        <w:spacing w:before="75" w:after="75" w:line="360" w:lineRule="auto"/>
        <w:rPr>
          <w:rFonts w:hint="eastAsia" w:ascii="宋体" w:hAnsi="宋体" w:cs="宋体"/>
          <w:szCs w:val="21"/>
        </w:rPr>
      </w:pPr>
      <w:r>
        <w:rPr>
          <w:rFonts w:hint="eastAsia" w:ascii="宋体" w:hAnsi="宋体" w:cs="宋体"/>
          <w:szCs w:val="21"/>
        </w:rPr>
        <w:t xml:space="preserve"> 合计收费=1.</w:t>
      </w:r>
      <w:r>
        <w:rPr>
          <w:rFonts w:hint="eastAsia" w:ascii="宋体" w:hAnsi="宋体" w:cs="宋体"/>
          <w:szCs w:val="21"/>
          <w:lang w:val="en-US" w:eastAsia="zh-CN"/>
        </w:rPr>
        <w:t>7</w:t>
      </w:r>
      <w:r>
        <w:rPr>
          <w:rFonts w:hint="eastAsia" w:ascii="宋体" w:hAnsi="宋体" w:cs="宋体"/>
          <w:szCs w:val="21"/>
        </w:rPr>
        <w:t>+4.</w:t>
      </w:r>
      <w:r>
        <w:rPr>
          <w:rFonts w:hint="eastAsia" w:ascii="宋体" w:hAnsi="宋体" w:cs="宋体"/>
          <w:szCs w:val="21"/>
          <w:lang w:val="en-US" w:eastAsia="zh-CN"/>
        </w:rPr>
        <w:t>8</w:t>
      </w:r>
      <w:r>
        <w:rPr>
          <w:rFonts w:hint="eastAsia" w:ascii="宋体" w:hAnsi="宋体" w:cs="宋体"/>
          <w:szCs w:val="21"/>
        </w:rPr>
        <w:t>=</w:t>
      </w:r>
      <w:r>
        <w:rPr>
          <w:rFonts w:hint="eastAsia" w:ascii="宋体" w:hAnsi="宋体" w:cs="宋体"/>
          <w:szCs w:val="21"/>
          <w:lang w:val="en-US" w:eastAsia="zh-CN"/>
        </w:rPr>
        <w:t>6.5</w:t>
      </w:r>
      <w:r>
        <w:rPr>
          <w:rFonts w:hint="eastAsia" w:ascii="宋体" w:hAnsi="宋体" w:cs="宋体"/>
          <w:szCs w:val="21"/>
        </w:rPr>
        <w:t>万元</w:t>
      </w:r>
    </w:p>
    <w:p>
      <w:pPr>
        <w:pStyle w:val="23"/>
        <w:rPr>
          <w:rFonts w:hint="eastAsia" w:ascii="宋体" w:hAnsi="宋体" w:eastAsia="宋体" w:cs="宋体"/>
          <w:b/>
          <w:sz w:val="24"/>
          <w:szCs w:val="24"/>
        </w:rPr>
      </w:pPr>
    </w:p>
    <w:p>
      <w:pPr>
        <w:pStyle w:val="23"/>
        <w:rPr>
          <w:rFonts w:hint="eastAsia" w:ascii="宋体" w:hAnsi="宋体" w:eastAsia="宋体" w:cs="宋体"/>
          <w:b/>
          <w:sz w:val="24"/>
          <w:szCs w:val="24"/>
        </w:rPr>
      </w:pPr>
    </w:p>
    <w:p>
      <w:pPr>
        <w:pStyle w:val="23"/>
        <w:rPr>
          <w:rFonts w:hint="eastAsia" w:ascii="宋体" w:hAnsi="宋体" w:eastAsia="宋体" w:cs="宋体"/>
          <w:b/>
          <w:sz w:val="24"/>
          <w:szCs w:val="24"/>
        </w:rPr>
      </w:pPr>
    </w:p>
    <w:p>
      <w:pPr>
        <w:pStyle w:val="23"/>
        <w:rPr>
          <w:rFonts w:hint="eastAsia" w:ascii="宋体" w:hAnsi="宋体" w:eastAsia="宋体" w:cs="宋体"/>
          <w:b/>
          <w:sz w:val="24"/>
          <w:szCs w:val="24"/>
        </w:rPr>
      </w:pPr>
    </w:p>
    <w:p>
      <w:pPr>
        <w:pStyle w:val="23"/>
        <w:rPr>
          <w:rFonts w:hint="eastAsia" w:ascii="宋体" w:hAnsi="宋体" w:eastAsia="宋体" w:cs="宋体"/>
          <w:b/>
          <w:sz w:val="24"/>
          <w:szCs w:val="24"/>
        </w:rPr>
      </w:pPr>
    </w:p>
    <w:p>
      <w:pPr>
        <w:pStyle w:val="23"/>
        <w:rPr>
          <w:rFonts w:hint="eastAsia" w:ascii="宋体" w:hAnsi="宋体" w:eastAsia="宋体" w:cs="宋体"/>
          <w:b/>
          <w:sz w:val="24"/>
          <w:szCs w:val="24"/>
        </w:rPr>
      </w:pPr>
    </w:p>
    <w:p>
      <w:pPr>
        <w:pStyle w:val="23"/>
        <w:rPr>
          <w:rFonts w:hint="eastAsia" w:ascii="宋体" w:hAnsi="宋体" w:eastAsia="宋体" w:cs="宋体"/>
          <w:b/>
          <w:sz w:val="24"/>
          <w:szCs w:val="24"/>
        </w:rPr>
      </w:pPr>
    </w:p>
    <w:p>
      <w:pPr>
        <w:pStyle w:val="23"/>
        <w:rPr>
          <w:rFonts w:hint="eastAsia" w:ascii="宋体" w:hAnsi="宋体" w:eastAsia="宋体" w:cs="宋体"/>
          <w:b/>
          <w:sz w:val="24"/>
          <w:szCs w:val="24"/>
        </w:rPr>
      </w:pPr>
    </w:p>
    <w:p>
      <w:pPr>
        <w:pStyle w:val="23"/>
        <w:rPr>
          <w:rFonts w:hint="eastAsia" w:ascii="宋体" w:hAnsi="宋体" w:eastAsia="宋体" w:cs="宋体"/>
          <w:b/>
          <w:sz w:val="24"/>
          <w:szCs w:val="24"/>
        </w:rPr>
      </w:pPr>
    </w:p>
    <w:p>
      <w:pPr>
        <w:pStyle w:val="23"/>
        <w:rPr>
          <w:rFonts w:hint="eastAsia" w:ascii="宋体" w:hAnsi="宋体" w:eastAsia="宋体" w:cs="宋体"/>
          <w:b/>
          <w:sz w:val="24"/>
          <w:szCs w:val="24"/>
        </w:rPr>
      </w:pPr>
    </w:p>
    <w:p>
      <w:pPr>
        <w:autoSpaceDN w:val="0"/>
        <w:spacing w:before="75" w:beforeLines="0" w:after="75" w:afterLines="0"/>
        <w:jc w:val="center"/>
        <w:rPr>
          <w:rFonts w:hint="eastAsia" w:ascii="宋体" w:hAnsi="宋体" w:eastAsia="宋体" w:cs="宋体"/>
          <w:b/>
          <w:sz w:val="24"/>
          <w:szCs w:val="24"/>
        </w:rPr>
      </w:pPr>
    </w:p>
    <w:bookmarkEnd w:id="17"/>
    <w:p>
      <w:pPr>
        <w:pStyle w:val="6"/>
        <w:spacing w:line="440" w:lineRule="exact"/>
        <w:jc w:val="center"/>
        <w:rPr>
          <w:rFonts w:hint="eastAsia" w:ascii="宋体" w:hAnsi="宋体" w:eastAsia="宋体" w:cs="宋体"/>
        </w:rPr>
      </w:pPr>
      <w:bookmarkStart w:id="18" w:name="_Toc373230023"/>
      <w:bookmarkStart w:id="19" w:name="_Toc2200"/>
      <w:bookmarkStart w:id="20" w:name="_Toc461962051"/>
      <w:bookmarkStart w:id="21" w:name="_Toc26492"/>
      <w:bookmarkStart w:id="22" w:name="_Toc477423243"/>
      <w:bookmarkStart w:id="23" w:name="_Toc374512410"/>
      <w:bookmarkStart w:id="24" w:name="_Toc490161260"/>
      <w:bookmarkStart w:id="25" w:name="_Toc487805903"/>
      <w:r>
        <w:rPr>
          <w:rFonts w:hint="eastAsia" w:ascii="宋体" w:hAnsi="宋体" w:eastAsia="宋体" w:cs="宋体"/>
        </w:rPr>
        <w:t>一、总则</w:t>
      </w:r>
      <w:bookmarkEnd w:id="18"/>
      <w:bookmarkEnd w:id="19"/>
      <w:bookmarkEnd w:id="20"/>
      <w:bookmarkEnd w:id="21"/>
      <w:bookmarkEnd w:id="22"/>
      <w:bookmarkEnd w:id="23"/>
      <w:bookmarkEnd w:id="24"/>
      <w:bookmarkEnd w:id="25"/>
    </w:p>
    <w:p>
      <w:pPr>
        <w:numPr>
          <w:ilvl w:val="0"/>
          <w:numId w:val="8"/>
        </w:numPr>
        <w:tabs>
          <w:tab w:val="left" w:pos="424"/>
        </w:tabs>
        <w:spacing w:line="440" w:lineRule="exact"/>
        <w:ind w:left="425" w:hanging="425"/>
        <w:rPr>
          <w:rFonts w:hint="eastAsia" w:ascii="宋体" w:hAnsi="宋体" w:cs="宋体"/>
          <w:b/>
          <w:sz w:val="24"/>
          <w:szCs w:val="24"/>
        </w:rPr>
      </w:pPr>
      <w:r>
        <w:rPr>
          <w:rFonts w:hint="eastAsia" w:ascii="宋体" w:hAnsi="宋体" w:cs="宋体"/>
          <w:b/>
          <w:sz w:val="24"/>
          <w:szCs w:val="24"/>
        </w:rPr>
        <w:t>适用范围</w:t>
      </w:r>
    </w:p>
    <w:p>
      <w:pPr>
        <w:spacing w:line="440" w:lineRule="exact"/>
        <w:ind w:firstLine="429" w:firstLineChars="179"/>
        <w:rPr>
          <w:rFonts w:hint="eastAsia" w:ascii="宋体" w:hAnsi="宋体" w:cs="宋体"/>
          <w:sz w:val="24"/>
          <w:szCs w:val="24"/>
        </w:rPr>
      </w:pPr>
      <w:r>
        <w:rPr>
          <w:rFonts w:hint="eastAsia" w:ascii="宋体" w:hAnsi="宋体" w:cs="宋体"/>
          <w:sz w:val="24"/>
          <w:szCs w:val="24"/>
        </w:rPr>
        <w:t>本磋商文件仅适用于本次竞争性磋商所述的项目。</w:t>
      </w:r>
    </w:p>
    <w:p>
      <w:pPr>
        <w:numPr>
          <w:ilvl w:val="0"/>
          <w:numId w:val="8"/>
        </w:numPr>
        <w:tabs>
          <w:tab w:val="left" w:pos="424"/>
        </w:tabs>
        <w:spacing w:line="440" w:lineRule="exact"/>
        <w:ind w:left="425" w:hanging="425"/>
        <w:rPr>
          <w:rFonts w:hint="eastAsia" w:ascii="宋体" w:hAnsi="宋体" w:cs="宋体"/>
          <w:b/>
          <w:bCs/>
          <w:sz w:val="24"/>
          <w:szCs w:val="24"/>
        </w:rPr>
      </w:pPr>
      <w:r>
        <w:rPr>
          <w:rFonts w:hint="eastAsia" w:ascii="宋体" w:hAnsi="宋体" w:cs="宋体"/>
          <w:b/>
          <w:sz w:val="24"/>
          <w:szCs w:val="24"/>
        </w:rPr>
        <w:t>定义</w:t>
      </w:r>
    </w:p>
    <w:p>
      <w:pPr>
        <w:numPr>
          <w:ilvl w:val="0"/>
          <w:numId w:val="9"/>
        </w:numPr>
        <w:spacing w:line="440" w:lineRule="exact"/>
        <w:rPr>
          <w:rFonts w:hint="eastAsia" w:ascii="宋体" w:hAnsi="宋体" w:cs="宋体"/>
          <w:sz w:val="24"/>
          <w:szCs w:val="24"/>
        </w:rPr>
      </w:pPr>
      <w:r>
        <w:rPr>
          <w:rFonts w:hint="eastAsia" w:ascii="宋体" w:hAnsi="宋体" w:cs="宋体"/>
          <w:sz w:val="24"/>
          <w:szCs w:val="24"/>
        </w:rPr>
        <w:t>“采购人” 见供应商须知前附表；</w:t>
      </w:r>
    </w:p>
    <w:p>
      <w:pPr>
        <w:numPr>
          <w:ilvl w:val="0"/>
          <w:numId w:val="9"/>
        </w:numPr>
        <w:spacing w:line="440" w:lineRule="exact"/>
        <w:rPr>
          <w:rFonts w:hint="eastAsia" w:ascii="宋体" w:hAnsi="宋体" w:cs="宋体"/>
          <w:sz w:val="24"/>
          <w:szCs w:val="24"/>
        </w:rPr>
      </w:pPr>
      <w:r>
        <w:rPr>
          <w:rFonts w:hint="eastAsia" w:ascii="宋体" w:hAnsi="宋体" w:cs="宋体"/>
          <w:sz w:val="24"/>
          <w:szCs w:val="24"/>
        </w:rPr>
        <w:t xml:space="preserve"> “采购代理机构”见供应商须知前附表；</w:t>
      </w:r>
    </w:p>
    <w:p>
      <w:pPr>
        <w:numPr>
          <w:ilvl w:val="0"/>
          <w:numId w:val="9"/>
        </w:numPr>
        <w:spacing w:line="440" w:lineRule="exact"/>
        <w:rPr>
          <w:rFonts w:hint="eastAsia" w:ascii="宋体" w:hAnsi="宋体" w:cs="宋体"/>
          <w:sz w:val="24"/>
          <w:szCs w:val="24"/>
        </w:rPr>
      </w:pPr>
      <w:r>
        <w:rPr>
          <w:rFonts w:hint="eastAsia" w:ascii="宋体" w:hAnsi="宋体" w:cs="宋体"/>
          <w:sz w:val="24"/>
          <w:szCs w:val="24"/>
        </w:rPr>
        <w:t>“供应商”是指响应磋商、参加磋商竞争的法人、其他组织或者自然人。</w:t>
      </w:r>
    </w:p>
    <w:p>
      <w:pPr>
        <w:numPr>
          <w:ilvl w:val="0"/>
          <w:numId w:val="9"/>
        </w:numPr>
        <w:tabs>
          <w:tab w:val="left" w:pos="0"/>
          <w:tab w:val="clear" w:pos="839"/>
        </w:tabs>
        <w:spacing w:line="440" w:lineRule="exact"/>
        <w:rPr>
          <w:rFonts w:hint="eastAsia" w:ascii="宋体" w:hAnsi="宋体" w:cs="宋体"/>
          <w:sz w:val="24"/>
          <w:szCs w:val="24"/>
        </w:rPr>
      </w:pPr>
      <w:r>
        <w:rPr>
          <w:rFonts w:hint="eastAsia" w:ascii="宋体" w:hAnsi="宋体" w:cs="宋体"/>
          <w:sz w:val="24"/>
          <w:szCs w:val="24"/>
        </w:rPr>
        <w:t xml:space="preserve"> “成交供应商”是指依据本竞争性磋商文件规定经评审被最终授予合同的供应商。</w:t>
      </w:r>
    </w:p>
    <w:p>
      <w:pPr>
        <w:numPr>
          <w:ilvl w:val="0"/>
          <w:numId w:val="9"/>
        </w:numPr>
        <w:spacing w:line="440" w:lineRule="exact"/>
        <w:rPr>
          <w:rFonts w:hint="eastAsia" w:ascii="宋体" w:hAnsi="宋体" w:cs="宋体"/>
          <w:sz w:val="24"/>
          <w:szCs w:val="24"/>
        </w:rPr>
      </w:pPr>
      <w:r>
        <w:rPr>
          <w:rFonts w:hint="eastAsia" w:ascii="宋体" w:hAnsi="宋体" w:cs="宋体"/>
          <w:sz w:val="24"/>
          <w:szCs w:val="24"/>
        </w:rPr>
        <w:t>“质量保证期”在此期限内因设备质量问题均由供应商免费维修或更换，采购人不因此承担任何费用。</w:t>
      </w:r>
    </w:p>
    <w:p>
      <w:pPr>
        <w:numPr>
          <w:ilvl w:val="0"/>
          <w:numId w:val="9"/>
        </w:numPr>
        <w:spacing w:line="440" w:lineRule="exact"/>
        <w:rPr>
          <w:rFonts w:hint="eastAsia" w:ascii="宋体" w:hAnsi="宋体" w:cs="宋体"/>
          <w:sz w:val="24"/>
          <w:szCs w:val="24"/>
        </w:rPr>
      </w:pPr>
      <w:r>
        <w:rPr>
          <w:rFonts w:hint="eastAsia" w:ascii="宋体" w:hAnsi="宋体" w:cs="宋体"/>
          <w:sz w:val="24"/>
          <w:szCs w:val="24"/>
        </w:rPr>
        <w:t>“设立登记证书”是指</w:t>
      </w:r>
      <w:r>
        <w:rPr>
          <w:rFonts w:hint="eastAsia" w:ascii="宋体" w:hAnsi="宋体" w:cs="宋体"/>
          <w:sz w:val="24"/>
          <w:szCs w:val="24"/>
        </w:rPr>
        <w:fldChar w:fldCharType="begin"/>
      </w:r>
      <w:r>
        <w:rPr>
          <w:rFonts w:hint="eastAsia" w:ascii="宋体" w:hAnsi="宋体" w:cs="宋体"/>
          <w:sz w:val="24"/>
          <w:szCs w:val="24"/>
        </w:rPr>
        <w:instrText xml:space="preserve"> HYPERLINK "https://baike.baidu.com/item/%E5%B7%A5%E5%95%86%E8%A1%8C%E6%94%BF%E7%AE%A1%E7%90%86%E6%9C%BA%E5%85%B3/2954967" \t "https://baike.baidu.com/item/%E8%90%A5%E4%B8%9A%E6%89%A7%E7%85%A7/_blank" </w:instrText>
      </w:r>
      <w:r>
        <w:rPr>
          <w:rFonts w:hint="eastAsia" w:ascii="宋体" w:hAnsi="宋体" w:cs="宋体"/>
          <w:sz w:val="24"/>
          <w:szCs w:val="24"/>
        </w:rPr>
        <w:fldChar w:fldCharType="separate"/>
      </w:r>
      <w:r>
        <w:rPr>
          <w:rFonts w:hint="eastAsia" w:ascii="宋体" w:hAnsi="宋体" w:cs="宋体"/>
          <w:sz w:val="24"/>
          <w:szCs w:val="24"/>
        </w:rPr>
        <w:t>工商行政管理机关</w:t>
      </w:r>
      <w:r>
        <w:rPr>
          <w:rFonts w:hint="eastAsia" w:ascii="宋体" w:hAnsi="宋体" w:cs="宋体"/>
          <w:sz w:val="24"/>
          <w:szCs w:val="24"/>
        </w:rPr>
        <w:fldChar w:fldCharType="end"/>
      </w:r>
      <w:r>
        <w:rPr>
          <w:rFonts w:hint="eastAsia" w:ascii="宋体" w:hAnsi="宋体" w:cs="宋体"/>
          <w:sz w:val="24"/>
          <w:szCs w:val="24"/>
        </w:rPr>
        <w:t>或市场监督管理部门颁发的营业执照，或民政部门颁发的民办非企业单位登记证书，或司法行政机关颁发的律师事务所执业许可证等凭证；</w:t>
      </w:r>
    </w:p>
    <w:p>
      <w:pPr>
        <w:numPr>
          <w:ilvl w:val="0"/>
          <w:numId w:val="9"/>
        </w:numPr>
        <w:spacing w:line="440" w:lineRule="exact"/>
        <w:rPr>
          <w:rFonts w:hint="eastAsia" w:ascii="宋体" w:hAnsi="宋体" w:cs="宋体"/>
          <w:sz w:val="24"/>
          <w:szCs w:val="24"/>
        </w:rPr>
      </w:pPr>
      <w:r>
        <w:rPr>
          <w:rFonts w:hint="eastAsia" w:ascii="宋体" w:hAnsi="宋体" w:cs="宋体"/>
          <w:sz w:val="24"/>
          <w:szCs w:val="24"/>
        </w:rPr>
        <w:t xml:space="preserve"> “法定代表人”系指“设立登记证书”上注明的法定代表人、负责人或经营者等。</w:t>
      </w:r>
    </w:p>
    <w:p>
      <w:pPr>
        <w:numPr>
          <w:ilvl w:val="0"/>
          <w:numId w:val="9"/>
        </w:numPr>
        <w:spacing w:line="440" w:lineRule="exact"/>
        <w:rPr>
          <w:rFonts w:hint="eastAsia" w:ascii="宋体" w:hAnsi="宋体" w:cs="宋体"/>
          <w:sz w:val="24"/>
          <w:szCs w:val="24"/>
        </w:rPr>
      </w:pPr>
      <w:r>
        <w:rPr>
          <w:rFonts w:hint="eastAsia" w:ascii="宋体" w:hAnsi="宋体" w:cs="宋体"/>
          <w:sz w:val="24"/>
          <w:szCs w:val="24"/>
        </w:rPr>
        <w:t xml:space="preserve"> “重大违法行为”系指供应商因违法经营受到刑事处罚或者责令停业停产、吊销许可证或者执照、较大数额罚款等行政处罚；</w:t>
      </w:r>
    </w:p>
    <w:p>
      <w:pPr>
        <w:numPr>
          <w:ilvl w:val="0"/>
          <w:numId w:val="9"/>
        </w:numPr>
        <w:spacing w:line="440" w:lineRule="exact"/>
        <w:rPr>
          <w:rFonts w:hint="eastAsia" w:ascii="宋体" w:hAnsi="宋体" w:cs="宋体"/>
          <w:sz w:val="24"/>
          <w:szCs w:val="24"/>
        </w:rPr>
      </w:pPr>
      <w:r>
        <w:rPr>
          <w:rFonts w:hint="eastAsia" w:ascii="宋体" w:hAnsi="宋体" w:cs="宋体"/>
          <w:sz w:val="24"/>
          <w:szCs w:val="24"/>
        </w:rPr>
        <w:t>“原公告发布媒体”是指《河南省政府采购网》、《焦作市公共资源交易中心网》、《武陟县公共资源交易中心网》。</w:t>
      </w:r>
    </w:p>
    <w:p>
      <w:pPr>
        <w:numPr>
          <w:ilvl w:val="0"/>
          <w:numId w:val="9"/>
        </w:numPr>
        <w:spacing w:line="440" w:lineRule="exact"/>
        <w:ind w:left="0" w:firstLine="480" w:firstLineChars="200"/>
        <w:rPr>
          <w:rFonts w:hint="eastAsia" w:ascii="宋体" w:hAnsi="宋体" w:cs="宋体"/>
          <w:sz w:val="24"/>
          <w:szCs w:val="24"/>
        </w:rPr>
      </w:pPr>
      <w:r>
        <w:rPr>
          <w:rFonts w:hint="eastAsia" w:ascii="宋体" w:hAnsi="宋体" w:cs="宋体"/>
          <w:b/>
          <w:sz w:val="24"/>
          <w:szCs w:val="24"/>
        </w:rPr>
        <w:t>通知：因焦作市公共资源交易中心会员系统在磋商开始前具有保密性，供应商在响应文件提交截止时间前须自行查看项目进展、更正通知、澄清等，因供应商未及时查看而造成的后果自负，采购人、采购代理机构不因此承担任何责任。</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对与本项目有关的通知（包括澄清、修改、补充等），采购代理机构将在原公告发布媒体上以书面形式向供应商发出，各供应商应当时刻关注原公告发布媒体上所发出关于本项目的相关通知。</w:t>
      </w:r>
    </w:p>
    <w:p>
      <w:pPr>
        <w:numPr>
          <w:ilvl w:val="0"/>
          <w:numId w:val="9"/>
        </w:numPr>
        <w:spacing w:line="440" w:lineRule="exact"/>
        <w:ind w:left="0" w:firstLine="480" w:firstLineChars="200"/>
        <w:rPr>
          <w:rFonts w:hint="eastAsia" w:ascii="宋体" w:hAnsi="宋体" w:cs="宋体"/>
          <w:bCs/>
          <w:sz w:val="24"/>
          <w:szCs w:val="24"/>
        </w:rPr>
      </w:pPr>
      <w:r>
        <w:rPr>
          <w:rFonts w:hint="eastAsia" w:ascii="宋体" w:hAnsi="宋体" w:cs="宋体"/>
          <w:bCs/>
          <w:sz w:val="24"/>
          <w:szCs w:val="24"/>
        </w:rPr>
        <w:t>本项目磋商文件中要求“加盖生产厂家公章”是指不同供应商参加同一合同项下磋商的，提供同一生产厂家同一资料的，如其中有一家供应商提供加盖生产厂家公章资料，其余供应商提供资料未加盖生产厂家公章，均予以认可，如出现内容不一致的以加盖生产厂家公章的为准；不同供应商提供同一生产厂家同一资料均未加盖生产厂家公章的，均不予认可。</w:t>
      </w:r>
    </w:p>
    <w:p>
      <w:pPr>
        <w:numPr>
          <w:ilvl w:val="0"/>
          <w:numId w:val="8"/>
        </w:numPr>
        <w:spacing w:line="440" w:lineRule="exact"/>
        <w:rPr>
          <w:rFonts w:hint="eastAsia" w:ascii="宋体" w:hAnsi="宋体" w:cs="宋体"/>
          <w:sz w:val="24"/>
          <w:szCs w:val="24"/>
        </w:rPr>
      </w:pPr>
      <w:r>
        <w:rPr>
          <w:rFonts w:hint="eastAsia" w:ascii="宋体" w:hAnsi="宋体" w:cs="宋体"/>
          <w:b/>
          <w:sz w:val="24"/>
          <w:szCs w:val="24"/>
        </w:rPr>
        <w:t>合格的供应商</w:t>
      </w:r>
    </w:p>
    <w:p>
      <w:pPr>
        <w:numPr>
          <w:ilvl w:val="0"/>
          <w:numId w:val="10"/>
        </w:numPr>
        <w:spacing w:line="440" w:lineRule="exact"/>
        <w:ind w:left="0" w:firstLine="420"/>
        <w:rPr>
          <w:rFonts w:hint="eastAsia" w:ascii="宋体" w:hAnsi="宋体" w:cs="宋体"/>
          <w:bCs/>
          <w:sz w:val="24"/>
          <w:szCs w:val="24"/>
        </w:rPr>
      </w:pPr>
      <w:r>
        <w:rPr>
          <w:rFonts w:hint="eastAsia" w:ascii="宋体" w:hAnsi="宋体" w:cs="宋体"/>
          <w:bCs/>
          <w:sz w:val="24"/>
          <w:szCs w:val="24"/>
        </w:rPr>
        <w:t>符合《中华人民共和国政府采购法》第二十二条规定的条件。</w:t>
      </w:r>
    </w:p>
    <w:p>
      <w:pPr>
        <w:pStyle w:val="118"/>
        <w:spacing w:line="440" w:lineRule="exact"/>
        <w:ind w:firstLine="480" w:firstLineChars="200"/>
        <w:rPr>
          <w:rFonts w:hint="eastAsia"/>
          <w:sz w:val="24"/>
          <w:szCs w:val="24"/>
        </w:rPr>
      </w:pPr>
      <w:r>
        <w:rPr>
          <w:rFonts w:hint="eastAsia"/>
          <w:sz w:val="24"/>
          <w:szCs w:val="24"/>
        </w:rPr>
        <w:t>3.1.1.具有有效的“设立登记证书”；</w:t>
      </w:r>
    </w:p>
    <w:p>
      <w:pPr>
        <w:pStyle w:val="118"/>
        <w:spacing w:line="440" w:lineRule="exact"/>
        <w:ind w:firstLine="480" w:firstLineChars="200"/>
        <w:rPr>
          <w:rFonts w:hint="eastAsia" w:hAnsi="宋体" w:cs="宋体"/>
          <w:bCs/>
          <w:color w:val="auto"/>
          <w:kern w:val="2"/>
          <w:sz w:val="24"/>
          <w:szCs w:val="24"/>
        </w:rPr>
      </w:pPr>
      <w:r>
        <w:rPr>
          <w:rFonts w:hint="eastAsia" w:hAnsi="宋体" w:cs="宋体"/>
          <w:bCs/>
          <w:color w:val="auto"/>
          <w:kern w:val="2"/>
          <w:sz w:val="24"/>
          <w:szCs w:val="24"/>
        </w:rPr>
        <w:t>3.1.2.具有依法缴纳税收的相关证明材料：</w:t>
      </w:r>
    </w:p>
    <w:p>
      <w:pPr>
        <w:pStyle w:val="118"/>
        <w:spacing w:line="440" w:lineRule="exact"/>
        <w:ind w:firstLine="480" w:firstLineChars="200"/>
        <w:rPr>
          <w:rFonts w:hint="eastAsia" w:hAnsi="宋体" w:cs="宋体"/>
          <w:bCs/>
          <w:color w:val="auto"/>
          <w:kern w:val="2"/>
          <w:sz w:val="24"/>
          <w:szCs w:val="24"/>
        </w:rPr>
      </w:pPr>
      <w:r>
        <w:rPr>
          <w:rFonts w:hint="eastAsia" w:hAnsi="宋体" w:cs="宋体"/>
          <w:bCs/>
          <w:color w:val="auto"/>
          <w:kern w:val="2"/>
          <w:sz w:val="24"/>
          <w:szCs w:val="24"/>
        </w:rPr>
        <w:t xml:space="preserve">“依法缴纳税收的相关证明材料”是指提交响应文件截止时间前近六个月任意一个月依法缴纳税收的证明材料。依法免税的供应商，能提供相应文件证明其依法免税。 </w:t>
      </w:r>
    </w:p>
    <w:p>
      <w:pPr>
        <w:pStyle w:val="118"/>
        <w:spacing w:line="440" w:lineRule="exact"/>
        <w:ind w:firstLine="480" w:firstLineChars="200"/>
        <w:rPr>
          <w:rFonts w:hint="eastAsia" w:hAnsi="宋体" w:cs="宋体"/>
          <w:bCs/>
          <w:color w:val="auto"/>
          <w:kern w:val="2"/>
          <w:sz w:val="24"/>
          <w:szCs w:val="24"/>
        </w:rPr>
      </w:pPr>
      <w:r>
        <w:rPr>
          <w:rFonts w:hint="eastAsia" w:hAnsi="宋体" w:cs="宋体"/>
          <w:bCs/>
          <w:color w:val="auto"/>
          <w:kern w:val="2"/>
          <w:sz w:val="24"/>
          <w:szCs w:val="24"/>
        </w:rPr>
        <w:t>3.1.3.具有依法缴纳社会保障资金的相关证明材料：</w:t>
      </w:r>
    </w:p>
    <w:p>
      <w:pPr>
        <w:pStyle w:val="118"/>
        <w:spacing w:line="440" w:lineRule="exact"/>
        <w:ind w:firstLine="480" w:firstLineChars="200"/>
        <w:rPr>
          <w:rFonts w:hint="eastAsia" w:hAnsi="宋体" w:cs="宋体"/>
          <w:bCs/>
          <w:color w:val="auto"/>
          <w:kern w:val="2"/>
          <w:sz w:val="24"/>
          <w:szCs w:val="24"/>
        </w:rPr>
      </w:pPr>
      <w:r>
        <w:rPr>
          <w:rFonts w:hint="eastAsia" w:hAnsi="宋体" w:cs="宋体"/>
          <w:bCs/>
          <w:color w:val="auto"/>
          <w:kern w:val="2"/>
          <w:sz w:val="24"/>
          <w:szCs w:val="24"/>
        </w:rPr>
        <w:t>“依法缴纳社会保障资金的相关证明材料”是指提交响应文件截止时间前近六个月任意一个月单位依法缴纳社会保险的证明材料；依法不需要缴纳社会保险的供应商，能提供相应文件证明其依法不需要缴纳社会保险。</w:t>
      </w:r>
    </w:p>
    <w:p>
      <w:pPr>
        <w:pStyle w:val="118"/>
        <w:spacing w:line="440" w:lineRule="exact"/>
        <w:ind w:firstLine="480" w:firstLineChars="200"/>
        <w:rPr>
          <w:rFonts w:hint="eastAsia" w:hAnsi="宋体" w:cs="宋体"/>
          <w:bCs/>
          <w:color w:val="auto"/>
          <w:kern w:val="2"/>
          <w:sz w:val="24"/>
          <w:szCs w:val="24"/>
        </w:rPr>
      </w:pPr>
      <w:r>
        <w:rPr>
          <w:rFonts w:hint="eastAsia" w:hAnsi="宋体" w:cs="宋体"/>
          <w:bCs/>
          <w:color w:val="auto"/>
          <w:kern w:val="2"/>
          <w:sz w:val="24"/>
          <w:szCs w:val="24"/>
        </w:rPr>
        <w:t>3.1.4.具有经政府审计部门或会计事务所审计的2021年度财务审计报告（新成立企业不足一年的，提供最近一个月的财务报表。）或其基本开户银行出具的资信证明。</w:t>
      </w:r>
    </w:p>
    <w:p>
      <w:pPr>
        <w:pStyle w:val="118"/>
        <w:spacing w:line="440" w:lineRule="exact"/>
        <w:ind w:firstLine="480" w:firstLineChars="200"/>
        <w:rPr>
          <w:rFonts w:hint="eastAsia" w:hAnsi="宋体" w:cs="宋体"/>
          <w:bCs/>
          <w:color w:val="auto"/>
          <w:kern w:val="2"/>
          <w:sz w:val="24"/>
          <w:szCs w:val="24"/>
        </w:rPr>
      </w:pPr>
      <w:r>
        <w:rPr>
          <w:rFonts w:hint="eastAsia" w:hAnsi="宋体" w:cs="宋体"/>
          <w:bCs/>
          <w:color w:val="auto"/>
          <w:kern w:val="2"/>
          <w:sz w:val="24"/>
          <w:szCs w:val="24"/>
        </w:rPr>
        <w:t>3.1.5.具备履行合同所必需的设备和专业技术能力的证明材料；</w:t>
      </w:r>
    </w:p>
    <w:p>
      <w:pPr>
        <w:pStyle w:val="118"/>
        <w:spacing w:line="440" w:lineRule="exact"/>
        <w:ind w:firstLine="480" w:firstLineChars="200"/>
        <w:rPr>
          <w:rFonts w:hint="eastAsia" w:hAnsi="宋体" w:cs="宋体"/>
          <w:bCs/>
          <w:color w:val="auto"/>
          <w:kern w:val="2"/>
          <w:sz w:val="24"/>
          <w:szCs w:val="24"/>
        </w:rPr>
      </w:pPr>
      <w:r>
        <w:rPr>
          <w:rFonts w:hint="eastAsia" w:hAnsi="宋体" w:cs="宋体"/>
          <w:bCs/>
          <w:color w:val="auto"/>
          <w:kern w:val="2"/>
          <w:sz w:val="24"/>
          <w:szCs w:val="24"/>
        </w:rPr>
        <w:t>3.1.6.参加政府采购活动前3年内在经营活动中没有重大违法记录的书面声明；</w:t>
      </w:r>
    </w:p>
    <w:p>
      <w:pPr>
        <w:pStyle w:val="118"/>
        <w:spacing w:line="440" w:lineRule="exact"/>
        <w:ind w:firstLine="480" w:firstLineChars="200"/>
        <w:rPr>
          <w:rFonts w:hint="eastAsia"/>
          <w:b/>
          <w:bCs/>
          <w:sz w:val="24"/>
          <w:szCs w:val="24"/>
        </w:rPr>
      </w:pPr>
      <w:r>
        <w:rPr>
          <w:rFonts w:hint="eastAsia"/>
          <w:b/>
          <w:bCs/>
          <w:sz w:val="24"/>
          <w:szCs w:val="24"/>
        </w:rPr>
        <w:t>注：1.供应商在响应时，按照竞争性磋商文件规定提供《武陟县政府采购供应商资格信用承诺函》，无需再提交上述证明材料。</w:t>
      </w:r>
    </w:p>
    <w:p>
      <w:pPr>
        <w:pStyle w:val="118"/>
        <w:spacing w:line="440" w:lineRule="exact"/>
        <w:ind w:firstLine="480" w:firstLineChars="200"/>
        <w:rPr>
          <w:rFonts w:hint="eastAsia"/>
          <w:sz w:val="24"/>
          <w:szCs w:val="24"/>
        </w:rPr>
      </w:pPr>
      <w:r>
        <w:rPr>
          <w:rFonts w:hint="eastAsia"/>
          <w:sz w:val="24"/>
          <w:szCs w:val="24"/>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numPr>
          <w:ilvl w:val="0"/>
          <w:numId w:val="10"/>
        </w:numPr>
        <w:spacing w:line="440" w:lineRule="exact"/>
        <w:ind w:left="0" w:firstLine="420"/>
        <w:rPr>
          <w:rFonts w:hint="eastAsia" w:ascii="宋体" w:hAnsi="宋体" w:cs="宋体"/>
          <w:bCs/>
          <w:sz w:val="24"/>
          <w:szCs w:val="24"/>
        </w:rPr>
      </w:pPr>
      <w:r>
        <w:rPr>
          <w:rFonts w:hint="eastAsia" w:ascii="宋体" w:hAnsi="宋体" w:cs="宋体"/>
          <w:bCs/>
          <w:sz w:val="24"/>
          <w:szCs w:val="24"/>
        </w:rPr>
        <w:t>符合本磋商文件规定的资格要求及项目要求的其它条件，并按照要求提供相关证明材料。</w:t>
      </w:r>
    </w:p>
    <w:p>
      <w:pPr>
        <w:numPr>
          <w:ilvl w:val="0"/>
          <w:numId w:val="10"/>
        </w:numPr>
        <w:spacing w:line="440" w:lineRule="exact"/>
        <w:ind w:left="0" w:firstLine="420"/>
        <w:rPr>
          <w:rFonts w:hint="eastAsia" w:ascii="宋体" w:hAnsi="宋体" w:cs="宋体"/>
          <w:bCs/>
          <w:sz w:val="24"/>
          <w:szCs w:val="24"/>
        </w:rPr>
      </w:pPr>
      <w:r>
        <w:rPr>
          <w:rFonts w:hint="eastAsia" w:ascii="宋体" w:hAnsi="宋体" w:cs="宋体"/>
          <w:bCs/>
          <w:sz w:val="24"/>
          <w:szCs w:val="24"/>
        </w:rPr>
        <w:t>供应商应遵守国家法律、法规和有关政府采购的规定。</w:t>
      </w:r>
    </w:p>
    <w:p>
      <w:pPr>
        <w:numPr>
          <w:ilvl w:val="0"/>
          <w:numId w:val="10"/>
        </w:numPr>
        <w:spacing w:line="440" w:lineRule="exact"/>
        <w:ind w:left="0" w:firstLine="420"/>
        <w:rPr>
          <w:rFonts w:hint="eastAsia" w:ascii="宋体" w:hAnsi="宋体" w:cs="宋体"/>
          <w:b/>
          <w:sz w:val="24"/>
          <w:szCs w:val="24"/>
        </w:rPr>
      </w:pPr>
      <w:r>
        <w:rPr>
          <w:rFonts w:hint="eastAsia" w:ascii="宋体" w:hAnsi="宋体" w:cs="宋体"/>
          <w:bCs/>
          <w:sz w:val="24"/>
          <w:szCs w:val="24"/>
        </w:rPr>
        <w:t>已按竞争性磋商公告要求获取竞争性磋商文件的。</w:t>
      </w:r>
    </w:p>
    <w:p>
      <w:pPr>
        <w:tabs>
          <w:tab w:val="left" w:pos="720"/>
          <w:tab w:val="left" w:pos="1134"/>
        </w:tabs>
        <w:spacing w:line="440" w:lineRule="exact"/>
        <w:ind w:firstLine="480" w:firstLineChars="200"/>
        <w:rPr>
          <w:rFonts w:hint="eastAsia" w:ascii="宋体" w:hAnsi="宋体" w:cs="宋体"/>
          <w:bCs/>
          <w:sz w:val="24"/>
          <w:szCs w:val="24"/>
        </w:rPr>
      </w:pPr>
      <w:r>
        <w:rPr>
          <w:rFonts w:hint="eastAsia" w:ascii="宋体" w:hAnsi="宋体" w:cs="宋体"/>
          <w:b/>
          <w:sz w:val="24"/>
          <w:szCs w:val="24"/>
        </w:rPr>
        <w:t>3.5按照《财政部关于在政府采购活动中查询及使用信用记录有关问题的通知》（财库〔2016〕125号）和《河南省财政厅关于转发财政部关于在政府采购活动中查询及使用信用记录有关问题的通知的通知》（豫财购〔2016〕15号）的要求，根据响应文件提交截止时间当日查询“信用中国”、“中国政府采购网”网站的信息，采购人或者代理机构应当对供应商信用记录进行甄别，对列入失信被执行人（以“信用中国”网站为准）、重大税收违法失信主体（以“信用中国”网站为准）、政府采购严重违法失信行为记录名单（以“中国政府采购网”为准）的供应商，拒绝参与政府采购活动，同时对信用信息查询记录和证据进行打印存档；查询渠道：“信用中国”网站和“中国政府采购网”网站。</w:t>
      </w:r>
    </w:p>
    <w:p>
      <w:pPr>
        <w:tabs>
          <w:tab w:val="left" w:pos="720"/>
          <w:tab w:val="left" w:pos="1134"/>
        </w:tabs>
        <w:spacing w:line="440" w:lineRule="exact"/>
        <w:ind w:firstLine="480" w:firstLineChars="200"/>
        <w:rPr>
          <w:rFonts w:hint="eastAsia" w:ascii="宋体" w:hAnsi="宋体" w:cs="宋体"/>
          <w:b/>
          <w:sz w:val="24"/>
          <w:szCs w:val="24"/>
        </w:rPr>
      </w:pPr>
      <w:r>
        <w:rPr>
          <w:rFonts w:hint="eastAsia" w:ascii="宋体" w:hAnsi="宋体" w:cs="宋体"/>
          <w:b/>
          <w:sz w:val="24"/>
          <w:szCs w:val="24"/>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pPr>
        <w:tabs>
          <w:tab w:val="left" w:pos="720"/>
          <w:tab w:val="left" w:pos="1134"/>
        </w:tabs>
        <w:spacing w:line="440" w:lineRule="exact"/>
        <w:ind w:firstLine="480" w:firstLineChars="200"/>
        <w:rPr>
          <w:rFonts w:hint="eastAsia" w:ascii="宋体" w:hAnsi="宋体" w:cs="宋体"/>
          <w:b/>
          <w:sz w:val="24"/>
          <w:szCs w:val="24"/>
        </w:rPr>
      </w:pPr>
      <w:r>
        <w:rPr>
          <w:rFonts w:hint="eastAsia" w:ascii="宋体" w:hAnsi="宋体" w:cs="宋体"/>
          <w:b/>
          <w:sz w:val="24"/>
          <w:szCs w:val="24"/>
        </w:rPr>
        <w:t>查询截止时间：响应文件提交截止时间当日。采购人、采购代理机构同时对信用信息查询记录和证据进行打印存档备查；供应商不良信用记录以采购人查询结果为准，采购人查询之后，网站信息发生的任何变更均不再作为评审依据，供应商自行提供的与网站信息不一致的其他证明材料亦不作为评审依据。</w:t>
      </w:r>
    </w:p>
    <w:p>
      <w:pPr>
        <w:spacing w:line="440" w:lineRule="exact"/>
        <w:ind w:firstLine="480" w:firstLineChars="200"/>
        <w:rPr>
          <w:rFonts w:hint="eastAsia" w:ascii="宋体" w:hAnsi="宋体" w:cs="宋体"/>
          <w:bCs/>
          <w:sz w:val="24"/>
          <w:szCs w:val="24"/>
        </w:rPr>
      </w:pPr>
      <w:r>
        <w:rPr>
          <w:rFonts w:hint="eastAsia" w:ascii="宋体" w:hAnsi="宋体" w:cs="宋体"/>
          <w:bCs/>
          <w:sz w:val="24"/>
          <w:szCs w:val="24"/>
        </w:rPr>
        <w:t>3.6 单位负责人为同一人或者存在直接控股、管理关系的不同供应商，不得参加同一合同项下的政府采购活动。</w:t>
      </w:r>
    </w:p>
    <w:p>
      <w:pPr>
        <w:numPr>
          <w:ilvl w:val="0"/>
          <w:numId w:val="8"/>
        </w:numPr>
        <w:spacing w:line="440" w:lineRule="exact"/>
        <w:rPr>
          <w:rFonts w:hint="eastAsia" w:ascii="宋体" w:hAnsi="宋体" w:cs="宋体"/>
          <w:sz w:val="24"/>
          <w:szCs w:val="24"/>
        </w:rPr>
      </w:pPr>
      <w:r>
        <w:rPr>
          <w:rFonts w:hint="eastAsia" w:ascii="宋体" w:hAnsi="宋体" w:cs="宋体"/>
          <w:b/>
          <w:sz w:val="24"/>
          <w:szCs w:val="24"/>
        </w:rPr>
        <w:t>磋商费用</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供应商应承担所有与准备和参加磋商有关的费用。不论磋商结果如何，采购代理机构、采购人均无义务和责任承担这些费用。</w:t>
      </w:r>
    </w:p>
    <w:p>
      <w:pPr>
        <w:numPr>
          <w:ilvl w:val="0"/>
          <w:numId w:val="8"/>
        </w:numPr>
        <w:spacing w:line="440" w:lineRule="exact"/>
        <w:rPr>
          <w:rFonts w:hint="eastAsia" w:ascii="宋体" w:hAnsi="宋体" w:cs="宋体"/>
          <w:b/>
          <w:sz w:val="24"/>
          <w:szCs w:val="24"/>
        </w:rPr>
      </w:pPr>
      <w:r>
        <w:rPr>
          <w:rFonts w:hint="eastAsia" w:ascii="宋体" w:hAnsi="宋体" w:cs="宋体"/>
          <w:b/>
          <w:sz w:val="24"/>
          <w:szCs w:val="24"/>
        </w:rPr>
        <w:t>需要落实的政府采购政策：见供应商须知前附表</w:t>
      </w:r>
    </w:p>
    <w:p>
      <w:pPr>
        <w:pStyle w:val="6"/>
        <w:spacing w:line="440" w:lineRule="exact"/>
        <w:jc w:val="center"/>
        <w:rPr>
          <w:rFonts w:hint="eastAsia" w:ascii="宋体" w:hAnsi="宋体" w:eastAsia="宋体" w:cs="宋体"/>
          <w:sz w:val="32"/>
          <w:szCs w:val="32"/>
        </w:rPr>
      </w:pPr>
      <w:bookmarkStart w:id="26" w:name="_Toc477423244"/>
      <w:bookmarkStart w:id="27" w:name="_Toc487805904"/>
      <w:bookmarkStart w:id="28" w:name="_Toc490161261"/>
      <w:bookmarkStart w:id="29" w:name="_Toc373230024"/>
      <w:bookmarkStart w:id="30" w:name="_Toc374512411"/>
      <w:bookmarkStart w:id="31" w:name="_Toc23018"/>
      <w:bookmarkStart w:id="32" w:name="_Toc461962052"/>
      <w:bookmarkStart w:id="33" w:name="_Toc12084"/>
      <w:r>
        <w:rPr>
          <w:rFonts w:hint="eastAsia" w:ascii="宋体" w:hAnsi="宋体" w:eastAsia="宋体" w:cs="宋体"/>
          <w:sz w:val="32"/>
          <w:szCs w:val="32"/>
        </w:rPr>
        <w:t>二、磋商文件</w:t>
      </w:r>
      <w:bookmarkEnd w:id="26"/>
      <w:bookmarkEnd w:id="27"/>
      <w:bookmarkEnd w:id="28"/>
      <w:bookmarkEnd w:id="29"/>
      <w:bookmarkEnd w:id="30"/>
      <w:bookmarkEnd w:id="31"/>
      <w:bookmarkEnd w:id="32"/>
      <w:bookmarkEnd w:id="33"/>
    </w:p>
    <w:p>
      <w:pPr>
        <w:numPr>
          <w:ilvl w:val="0"/>
          <w:numId w:val="8"/>
        </w:numPr>
        <w:spacing w:line="440" w:lineRule="exact"/>
        <w:rPr>
          <w:rFonts w:hint="eastAsia" w:ascii="宋体" w:hAnsi="宋体" w:cs="宋体"/>
          <w:b/>
          <w:sz w:val="24"/>
          <w:szCs w:val="24"/>
        </w:rPr>
      </w:pPr>
      <w:r>
        <w:rPr>
          <w:rFonts w:hint="eastAsia" w:ascii="宋体" w:hAnsi="宋体" w:cs="宋体"/>
          <w:b/>
          <w:sz w:val="24"/>
          <w:szCs w:val="24"/>
        </w:rPr>
        <w:t>磋商文件的组成</w:t>
      </w:r>
    </w:p>
    <w:p>
      <w:pPr>
        <w:numPr>
          <w:ilvl w:val="0"/>
          <w:numId w:val="11"/>
        </w:numPr>
        <w:tabs>
          <w:tab w:val="left" w:pos="720"/>
          <w:tab w:val="left" w:pos="839"/>
          <w:tab w:val="left" w:pos="1134"/>
        </w:tabs>
        <w:spacing w:line="440" w:lineRule="exact"/>
        <w:ind w:left="840" w:hanging="420"/>
        <w:rPr>
          <w:rFonts w:hint="eastAsia" w:ascii="宋体" w:hAnsi="宋体" w:cs="宋体"/>
          <w:bCs/>
          <w:sz w:val="24"/>
          <w:szCs w:val="24"/>
        </w:rPr>
      </w:pPr>
      <w:r>
        <w:rPr>
          <w:rFonts w:hint="eastAsia" w:ascii="宋体" w:hAnsi="宋体" w:cs="宋体"/>
          <w:bCs/>
          <w:sz w:val="24"/>
          <w:szCs w:val="24"/>
        </w:rPr>
        <w:t>磋商文件包括下列内容：</w:t>
      </w:r>
    </w:p>
    <w:p>
      <w:pPr>
        <w:tabs>
          <w:tab w:val="left" w:pos="0"/>
          <w:tab w:val="left" w:pos="720"/>
          <w:tab w:val="left" w:pos="839"/>
          <w:tab w:val="left" w:pos="1134"/>
        </w:tabs>
        <w:spacing w:line="440" w:lineRule="exact"/>
        <w:ind w:firstLine="480" w:firstLineChars="200"/>
        <w:rPr>
          <w:rFonts w:hint="eastAsia" w:ascii="宋体" w:hAnsi="宋体" w:cs="宋体"/>
          <w:bCs/>
          <w:sz w:val="24"/>
          <w:szCs w:val="24"/>
        </w:rPr>
      </w:pPr>
      <w:r>
        <w:rPr>
          <w:rFonts w:hint="eastAsia" w:ascii="宋体" w:hAnsi="宋体" w:cs="宋体"/>
          <w:bCs/>
          <w:sz w:val="24"/>
          <w:szCs w:val="24"/>
        </w:rPr>
        <w:t>第一章  竞争性磋商公告</w:t>
      </w:r>
    </w:p>
    <w:p>
      <w:pPr>
        <w:tabs>
          <w:tab w:val="left" w:pos="0"/>
          <w:tab w:val="left" w:pos="720"/>
          <w:tab w:val="left" w:pos="839"/>
          <w:tab w:val="left" w:pos="1134"/>
        </w:tabs>
        <w:spacing w:line="440" w:lineRule="exact"/>
        <w:ind w:firstLine="480" w:firstLineChars="200"/>
        <w:rPr>
          <w:rFonts w:hint="eastAsia" w:ascii="宋体" w:hAnsi="宋体" w:cs="宋体"/>
          <w:bCs/>
          <w:sz w:val="24"/>
          <w:szCs w:val="24"/>
        </w:rPr>
      </w:pPr>
      <w:r>
        <w:rPr>
          <w:rFonts w:hint="eastAsia" w:ascii="宋体" w:hAnsi="宋体" w:cs="宋体"/>
          <w:bCs/>
          <w:sz w:val="24"/>
          <w:szCs w:val="24"/>
        </w:rPr>
        <w:t>第二章  供应商须知</w:t>
      </w:r>
    </w:p>
    <w:p>
      <w:pPr>
        <w:tabs>
          <w:tab w:val="left" w:pos="0"/>
          <w:tab w:val="left" w:pos="720"/>
          <w:tab w:val="left" w:pos="839"/>
          <w:tab w:val="left" w:pos="1134"/>
        </w:tabs>
        <w:spacing w:line="440" w:lineRule="exact"/>
        <w:ind w:firstLine="480" w:firstLineChars="200"/>
        <w:rPr>
          <w:rFonts w:hint="eastAsia" w:ascii="宋体" w:hAnsi="宋体" w:cs="宋体"/>
          <w:bCs/>
          <w:sz w:val="24"/>
          <w:szCs w:val="24"/>
        </w:rPr>
      </w:pPr>
      <w:r>
        <w:rPr>
          <w:rFonts w:hint="eastAsia" w:ascii="宋体" w:hAnsi="宋体" w:cs="宋体"/>
          <w:bCs/>
          <w:sz w:val="24"/>
          <w:szCs w:val="24"/>
        </w:rPr>
        <w:t>第三章  评审方法和评审标准</w:t>
      </w:r>
    </w:p>
    <w:p>
      <w:pPr>
        <w:tabs>
          <w:tab w:val="left" w:pos="0"/>
          <w:tab w:val="left" w:pos="720"/>
          <w:tab w:val="left" w:pos="839"/>
          <w:tab w:val="left" w:pos="1134"/>
        </w:tabs>
        <w:spacing w:line="440" w:lineRule="exact"/>
        <w:ind w:firstLine="480" w:firstLineChars="200"/>
        <w:rPr>
          <w:rFonts w:hint="eastAsia" w:ascii="宋体" w:hAnsi="宋体" w:cs="宋体"/>
          <w:bCs/>
          <w:sz w:val="24"/>
          <w:szCs w:val="24"/>
        </w:rPr>
      </w:pPr>
      <w:r>
        <w:rPr>
          <w:rFonts w:hint="eastAsia" w:ascii="宋体" w:hAnsi="宋体" w:cs="宋体"/>
          <w:bCs/>
          <w:sz w:val="24"/>
          <w:szCs w:val="24"/>
        </w:rPr>
        <w:t>第四章  拟签订的合同文本</w:t>
      </w:r>
    </w:p>
    <w:p>
      <w:pPr>
        <w:tabs>
          <w:tab w:val="left" w:pos="0"/>
          <w:tab w:val="left" w:pos="720"/>
          <w:tab w:val="left" w:pos="839"/>
          <w:tab w:val="left" w:pos="1134"/>
        </w:tabs>
        <w:spacing w:line="440" w:lineRule="exact"/>
        <w:ind w:firstLine="480" w:firstLineChars="200"/>
        <w:rPr>
          <w:rFonts w:hint="eastAsia" w:ascii="宋体" w:hAnsi="宋体" w:cs="宋体"/>
          <w:bCs/>
          <w:sz w:val="24"/>
          <w:szCs w:val="24"/>
        </w:rPr>
      </w:pPr>
      <w:r>
        <w:rPr>
          <w:rFonts w:hint="eastAsia" w:ascii="宋体" w:hAnsi="宋体" w:cs="宋体"/>
          <w:bCs/>
          <w:sz w:val="24"/>
          <w:szCs w:val="24"/>
        </w:rPr>
        <w:t>第五章  采购需求</w:t>
      </w:r>
    </w:p>
    <w:p>
      <w:pPr>
        <w:tabs>
          <w:tab w:val="left" w:pos="0"/>
          <w:tab w:val="left" w:pos="720"/>
          <w:tab w:val="left" w:pos="839"/>
          <w:tab w:val="left" w:pos="1134"/>
        </w:tabs>
        <w:spacing w:line="440" w:lineRule="exact"/>
        <w:ind w:firstLine="480" w:firstLineChars="200"/>
        <w:rPr>
          <w:rFonts w:hint="eastAsia" w:ascii="宋体" w:hAnsi="宋体" w:cs="宋体"/>
          <w:bCs/>
          <w:sz w:val="24"/>
          <w:szCs w:val="24"/>
        </w:rPr>
      </w:pPr>
      <w:r>
        <w:rPr>
          <w:rFonts w:hint="eastAsia" w:ascii="宋体" w:hAnsi="宋体" w:cs="宋体"/>
          <w:bCs/>
          <w:sz w:val="24"/>
          <w:szCs w:val="24"/>
        </w:rPr>
        <w:t>第六章  响应文件格式</w:t>
      </w:r>
    </w:p>
    <w:p>
      <w:pPr>
        <w:numPr>
          <w:ilvl w:val="0"/>
          <w:numId w:val="11"/>
        </w:numPr>
        <w:tabs>
          <w:tab w:val="left" w:pos="720"/>
          <w:tab w:val="left" w:pos="839"/>
          <w:tab w:val="left" w:pos="1134"/>
        </w:tabs>
        <w:spacing w:line="440" w:lineRule="exact"/>
        <w:ind w:left="0" w:firstLine="284"/>
        <w:rPr>
          <w:rFonts w:hint="eastAsia" w:ascii="宋体" w:hAnsi="宋体" w:cs="宋体"/>
          <w:bCs/>
          <w:sz w:val="24"/>
          <w:szCs w:val="24"/>
        </w:rPr>
      </w:pPr>
      <w:r>
        <w:rPr>
          <w:rFonts w:hint="eastAsia" w:ascii="宋体" w:hAnsi="宋体" w:cs="宋体"/>
          <w:bCs/>
          <w:sz w:val="24"/>
          <w:szCs w:val="24"/>
        </w:rPr>
        <w:t>除以上内容外，采购代理机构在提交响应文件截止时间前，在原公告发布媒体上发出的对磋商文件的更正、澄清或修改内容，均为磋商文件的组成部分，对采购人和供应商均起约束作用。</w:t>
      </w:r>
    </w:p>
    <w:p>
      <w:pPr>
        <w:numPr>
          <w:ilvl w:val="0"/>
          <w:numId w:val="11"/>
        </w:numPr>
        <w:tabs>
          <w:tab w:val="left" w:pos="720"/>
          <w:tab w:val="left" w:pos="839"/>
          <w:tab w:val="left" w:pos="1134"/>
        </w:tabs>
        <w:spacing w:line="440" w:lineRule="exact"/>
        <w:ind w:left="0" w:firstLine="284"/>
        <w:rPr>
          <w:rFonts w:hint="eastAsia" w:ascii="宋体" w:hAnsi="宋体" w:cs="宋体"/>
          <w:bCs/>
          <w:sz w:val="24"/>
          <w:szCs w:val="24"/>
        </w:rPr>
      </w:pPr>
      <w:r>
        <w:rPr>
          <w:rFonts w:hint="eastAsia" w:ascii="宋体" w:hAnsi="宋体" w:cs="宋体"/>
          <w:bCs/>
          <w:sz w:val="24"/>
          <w:szCs w:val="24"/>
        </w:rPr>
        <w:t>供应商获取磋商文件后，应仔细检查磋商文件是否齐全、是否有表述不明确或缺（错、重）字等问题。应登陆《焦作市公共资源交易中心网》进入交易平台提出并及时联系采购代理机构解决。如果因供应商未按上述要求提出而造成不良后果的，采购代理机构不承担任何责任。供应商同时应认真审阅磋商文件中所有的事项、格式、条款和规范要求等，若供应商的响应文件没有按磋商文件要求提交全部资料或响应文件没有对磋商文件做出实质性响应，其风险由供应商自行承担，并根据有关条款规定，将拒绝其参与磋商。</w:t>
      </w:r>
    </w:p>
    <w:p>
      <w:pPr>
        <w:numPr>
          <w:ilvl w:val="0"/>
          <w:numId w:val="8"/>
        </w:numPr>
        <w:spacing w:line="440" w:lineRule="exact"/>
        <w:rPr>
          <w:rFonts w:hint="eastAsia" w:ascii="宋体" w:hAnsi="宋体" w:cs="宋体"/>
          <w:b/>
          <w:sz w:val="24"/>
          <w:szCs w:val="24"/>
        </w:rPr>
      </w:pPr>
      <w:r>
        <w:rPr>
          <w:rFonts w:hint="eastAsia" w:ascii="宋体" w:hAnsi="宋体" w:cs="宋体"/>
          <w:b/>
          <w:sz w:val="24"/>
          <w:szCs w:val="24"/>
        </w:rPr>
        <w:t>磋商文件的澄清或修改</w:t>
      </w:r>
    </w:p>
    <w:p>
      <w:pPr>
        <w:numPr>
          <w:ilvl w:val="0"/>
          <w:numId w:val="12"/>
        </w:numPr>
        <w:spacing w:line="360" w:lineRule="auto"/>
        <w:ind w:left="0" w:firstLine="425"/>
        <w:jc w:val="left"/>
        <w:rPr>
          <w:rFonts w:hint="eastAsia" w:ascii="宋体" w:hAnsi="宋体" w:cs="宋体"/>
          <w:sz w:val="24"/>
          <w:szCs w:val="24"/>
        </w:rPr>
      </w:pPr>
      <w:r>
        <w:rPr>
          <w:rFonts w:hint="eastAsia" w:ascii="宋体" w:hAnsi="宋体" w:cs="宋体"/>
          <w:sz w:val="24"/>
          <w:szCs w:val="24"/>
        </w:rPr>
        <w:t>磋商文件的澄清或修改将在原公告发布媒体上发布，磋商文件的澄清或修改内容作为磋商文件的组成部分，对采购人和供应商均具有约束作用；</w:t>
      </w:r>
    </w:p>
    <w:p>
      <w:pPr>
        <w:numPr>
          <w:ilvl w:val="0"/>
          <w:numId w:val="12"/>
        </w:numPr>
        <w:spacing w:line="360" w:lineRule="auto"/>
        <w:ind w:left="0" w:firstLine="425"/>
        <w:jc w:val="left"/>
        <w:rPr>
          <w:rFonts w:hint="eastAsia" w:ascii="宋体" w:hAnsi="宋体" w:cs="宋体"/>
          <w:sz w:val="24"/>
          <w:szCs w:val="24"/>
        </w:rPr>
      </w:pPr>
      <w:r>
        <w:rPr>
          <w:rFonts w:hint="eastAsia" w:ascii="宋体" w:hAnsi="宋体" w:cs="宋体"/>
          <w:sz w:val="24"/>
          <w:szCs w:val="24"/>
        </w:rPr>
        <w:t>磋商文件的澄清、修改、补充等在同一内容的表述不一致时，以最后发出的通知为准；</w:t>
      </w:r>
    </w:p>
    <w:p>
      <w:pPr>
        <w:numPr>
          <w:ilvl w:val="0"/>
          <w:numId w:val="12"/>
        </w:numPr>
        <w:spacing w:line="360" w:lineRule="auto"/>
        <w:ind w:left="0" w:firstLine="425"/>
        <w:jc w:val="left"/>
        <w:rPr>
          <w:rFonts w:hint="eastAsia" w:ascii="宋体" w:hAnsi="宋体" w:cs="宋体"/>
          <w:sz w:val="24"/>
          <w:szCs w:val="24"/>
        </w:rPr>
      </w:pPr>
      <w:r>
        <w:rPr>
          <w:rFonts w:hint="eastAsia" w:ascii="宋体" w:hAnsi="宋体" w:cs="宋体"/>
          <w:sz w:val="24"/>
          <w:szCs w:val="24"/>
        </w:rPr>
        <w:t>为使供应商在编制响应文件时有充分的时间对磋商文件的澄清、修改、补充等内容进行研究，采购人将酌情延长提交响应文件的截止时间，具体时间将在磋商文件的修改、补充通知中予以明确。</w:t>
      </w:r>
    </w:p>
    <w:p>
      <w:pPr>
        <w:numPr>
          <w:ilvl w:val="0"/>
          <w:numId w:val="8"/>
        </w:numPr>
        <w:spacing w:line="360" w:lineRule="auto"/>
        <w:rPr>
          <w:rFonts w:ascii="宋体" w:hAnsi="宋体" w:cs="宋体"/>
          <w:b/>
          <w:sz w:val="24"/>
          <w:szCs w:val="24"/>
        </w:rPr>
      </w:pPr>
      <w:r>
        <w:rPr>
          <w:rFonts w:hint="eastAsia" w:ascii="宋体" w:hAnsi="宋体" w:cs="宋体"/>
          <w:b/>
          <w:sz w:val="24"/>
          <w:szCs w:val="24"/>
        </w:rPr>
        <w:t>磋商文件的约束力</w:t>
      </w:r>
    </w:p>
    <w:p>
      <w:pPr>
        <w:pStyle w:val="57"/>
        <w:spacing w:line="360" w:lineRule="auto"/>
        <w:ind w:firstLine="480" w:firstLineChars="200"/>
        <w:rPr>
          <w:rFonts w:hAnsi="宋体"/>
          <w:color w:val="auto"/>
          <w:kern w:val="2"/>
          <w:sz w:val="24"/>
          <w:szCs w:val="24"/>
        </w:rPr>
      </w:pPr>
      <w:r>
        <w:rPr>
          <w:rFonts w:hAnsi="宋体"/>
          <w:color w:val="auto"/>
          <w:kern w:val="2"/>
          <w:sz w:val="24"/>
          <w:szCs w:val="24"/>
        </w:rPr>
        <w:t>供应商一旦获取了本</w:t>
      </w:r>
      <w:r>
        <w:rPr>
          <w:rFonts w:hint="eastAsia" w:hAnsi="宋体"/>
          <w:color w:val="auto"/>
          <w:kern w:val="2"/>
          <w:sz w:val="24"/>
          <w:szCs w:val="24"/>
        </w:rPr>
        <w:t>磋商</w:t>
      </w:r>
      <w:r>
        <w:rPr>
          <w:rFonts w:hAnsi="宋体"/>
          <w:color w:val="auto"/>
          <w:kern w:val="2"/>
          <w:sz w:val="24"/>
          <w:szCs w:val="24"/>
        </w:rPr>
        <w:t>文件并参加</w:t>
      </w:r>
      <w:r>
        <w:rPr>
          <w:rFonts w:hint="eastAsia" w:hAnsi="宋体"/>
          <w:color w:val="auto"/>
          <w:kern w:val="2"/>
          <w:sz w:val="24"/>
          <w:szCs w:val="24"/>
        </w:rPr>
        <w:t>磋商</w:t>
      </w:r>
      <w:r>
        <w:rPr>
          <w:rFonts w:hAnsi="宋体"/>
          <w:color w:val="auto"/>
          <w:kern w:val="2"/>
          <w:sz w:val="24"/>
          <w:szCs w:val="24"/>
        </w:rPr>
        <w:t>，即被认为对本</w:t>
      </w:r>
      <w:r>
        <w:rPr>
          <w:rFonts w:hint="eastAsia" w:hAnsi="宋体"/>
          <w:color w:val="auto"/>
          <w:kern w:val="2"/>
          <w:sz w:val="24"/>
          <w:szCs w:val="24"/>
        </w:rPr>
        <w:t>磋商</w:t>
      </w:r>
      <w:r>
        <w:rPr>
          <w:rFonts w:hAnsi="宋体"/>
          <w:color w:val="auto"/>
          <w:kern w:val="2"/>
          <w:sz w:val="24"/>
          <w:szCs w:val="24"/>
        </w:rPr>
        <w:t>文件中的所有条件和规定均无异议。</w:t>
      </w:r>
    </w:p>
    <w:p>
      <w:pPr>
        <w:pStyle w:val="57"/>
        <w:rPr>
          <w:sz w:val="24"/>
          <w:szCs w:val="24"/>
        </w:rPr>
      </w:pPr>
    </w:p>
    <w:p>
      <w:pPr>
        <w:pStyle w:val="6"/>
        <w:numPr>
          <w:ilvl w:val="0"/>
          <w:numId w:val="0"/>
        </w:numPr>
        <w:tabs>
          <w:tab w:val="left" w:pos="0"/>
        </w:tabs>
        <w:spacing w:line="440" w:lineRule="exact"/>
        <w:ind w:left="284" w:leftChars="0"/>
        <w:jc w:val="center"/>
        <w:rPr>
          <w:rFonts w:hint="eastAsia" w:ascii="宋体" w:hAnsi="宋体" w:eastAsia="宋体" w:cs="宋体"/>
          <w:sz w:val="32"/>
          <w:szCs w:val="32"/>
        </w:rPr>
      </w:pPr>
      <w:bookmarkStart w:id="34" w:name="_Toc477423245"/>
      <w:bookmarkStart w:id="35" w:name="_Toc487805905"/>
      <w:bookmarkStart w:id="36" w:name="_Toc373230025"/>
      <w:bookmarkStart w:id="37" w:name="_Toc374512412"/>
      <w:bookmarkStart w:id="38" w:name="_Toc26181"/>
      <w:bookmarkStart w:id="39" w:name="_Toc6048"/>
      <w:bookmarkStart w:id="40" w:name="_Toc461962053"/>
      <w:bookmarkStart w:id="41" w:name="_Toc490161262"/>
      <w:r>
        <w:rPr>
          <w:rFonts w:hint="eastAsia" w:ascii="宋体" w:hAnsi="宋体" w:eastAsia="宋体" w:cs="宋体"/>
          <w:sz w:val="32"/>
          <w:szCs w:val="32"/>
          <w:lang w:val="en-US" w:eastAsia="zh-CN"/>
        </w:rPr>
        <w:t>三、</w:t>
      </w:r>
      <w:r>
        <w:rPr>
          <w:rFonts w:hint="eastAsia" w:ascii="宋体" w:hAnsi="宋体" w:eastAsia="宋体" w:cs="宋体"/>
          <w:sz w:val="32"/>
          <w:szCs w:val="32"/>
        </w:rPr>
        <w:t>响应文件的编制</w:t>
      </w:r>
      <w:bookmarkEnd w:id="34"/>
      <w:bookmarkEnd w:id="35"/>
      <w:bookmarkEnd w:id="36"/>
      <w:bookmarkEnd w:id="37"/>
      <w:bookmarkEnd w:id="38"/>
      <w:bookmarkEnd w:id="39"/>
      <w:bookmarkEnd w:id="40"/>
      <w:bookmarkEnd w:id="41"/>
    </w:p>
    <w:p>
      <w:pPr>
        <w:numPr>
          <w:ilvl w:val="0"/>
          <w:numId w:val="8"/>
        </w:numPr>
        <w:spacing w:line="440" w:lineRule="exact"/>
        <w:rPr>
          <w:rFonts w:hint="eastAsia" w:ascii="宋体" w:hAnsi="宋体" w:cs="宋体"/>
          <w:b/>
          <w:sz w:val="24"/>
          <w:szCs w:val="24"/>
        </w:rPr>
      </w:pPr>
      <w:r>
        <w:rPr>
          <w:rFonts w:hint="eastAsia" w:ascii="宋体" w:hAnsi="宋体" w:cs="宋体"/>
          <w:b/>
          <w:sz w:val="24"/>
          <w:szCs w:val="24"/>
        </w:rPr>
        <w:t>要求</w:t>
      </w:r>
    </w:p>
    <w:p>
      <w:pPr>
        <w:spacing w:line="500" w:lineRule="exact"/>
        <w:ind w:left="420"/>
        <w:rPr>
          <w:rFonts w:hint="eastAsia" w:ascii="宋体" w:hAnsi="宋体" w:cs="宋体"/>
          <w:sz w:val="24"/>
          <w:szCs w:val="24"/>
        </w:rPr>
      </w:pPr>
      <w:r>
        <w:rPr>
          <w:rFonts w:hint="eastAsia" w:ascii="宋体" w:hAnsi="宋体" w:cs="宋体"/>
          <w:sz w:val="24"/>
          <w:szCs w:val="24"/>
        </w:rPr>
        <w:t>9.1供应商应仔细阅读、并充分理解磋商文件的所有内容，按照磋商文件的要求编制、提交响应文</w:t>
      </w:r>
    </w:p>
    <w:p>
      <w:pPr>
        <w:spacing w:line="500" w:lineRule="exact"/>
        <w:rPr>
          <w:rFonts w:hint="eastAsia" w:ascii="宋体" w:hAnsi="宋体" w:cs="宋体"/>
          <w:sz w:val="24"/>
          <w:szCs w:val="24"/>
        </w:rPr>
      </w:pPr>
      <w:r>
        <w:rPr>
          <w:rFonts w:hint="eastAsia" w:ascii="宋体" w:hAnsi="宋体" w:cs="宋体"/>
          <w:sz w:val="24"/>
          <w:szCs w:val="24"/>
        </w:rPr>
        <w:t>件。</w:t>
      </w:r>
    </w:p>
    <w:p>
      <w:pPr>
        <w:spacing w:line="500" w:lineRule="exact"/>
        <w:ind w:left="420"/>
        <w:rPr>
          <w:rFonts w:hint="eastAsia" w:ascii="宋体" w:hAnsi="宋体" w:cs="宋体"/>
          <w:sz w:val="24"/>
          <w:szCs w:val="24"/>
        </w:rPr>
      </w:pPr>
      <w:r>
        <w:rPr>
          <w:rFonts w:hint="eastAsia" w:ascii="宋体" w:hAnsi="宋体" w:cs="宋体"/>
          <w:sz w:val="24"/>
          <w:szCs w:val="24"/>
        </w:rPr>
        <w:t>9.2响应文件应对磋商文件的要求作出实质性响应（包括供应商资格要求、商务要求和响应文件格</w:t>
      </w:r>
    </w:p>
    <w:p>
      <w:pPr>
        <w:spacing w:line="500" w:lineRule="exact"/>
        <w:rPr>
          <w:rFonts w:hint="eastAsia" w:ascii="宋体" w:hAnsi="宋体" w:cs="宋体"/>
          <w:sz w:val="24"/>
          <w:szCs w:val="24"/>
        </w:rPr>
      </w:pPr>
      <w:r>
        <w:rPr>
          <w:rFonts w:hint="eastAsia" w:ascii="宋体" w:hAnsi="宋体" w:cs="宋体"/>
          <w:sz w:val="24"/>
          <w:szCs w:val="24"/>
        </w:rPr>
        <w:t>式要求），并保证所提供的全部资料的真实性，否则其响应文件将作为无效文件处理。</w:t>
      </w:r>
    </w:p>
    <w:p>
      <w:pPr>
        <w:spacing w:line="500" w:lineRule="exact"/>
        <w:ind w:left="420"/>
        <w:rPr>
          <w:rFonts w:hint="eastAsia" w:ascii="宋体" w:hAnsi="宋体" w:cs="宋体"/>
          <w:sz w:val="24"/>
          <w:szCs w:val="24"/>
        </w:rPr>
      </w:pPr>
      <w:r>
        <w:rPr>
          <w:rFonts w:hint="eastAsia" w:ascii="宋体" w:hAnsi="宋体" w:cs="宋体"/>
          <w:sz w:val="24"/>
          <w:szCs w:val="24"/>
        </w:rPr>
        <w:t>9.3供应商没有按照磋商文件要求提供全部资料，或者供应商没有对磋商文件在各方面都作出实质</w:t>
      </w:r>
    </w:p>
    <w:p>
      <w:pPr>
        <w:spacing w:line="500" w:lineRule="exact"/>
        <w:rPr>
          <w:rFonts w:hint="eastAsia" w:ascii="宋体" w:hAnsi="宋体" w:cs="宋体"/>
          <w:sz w:val="24"/>
          <w:szCs w:val="24"/>
        </w:rPr>
      </w:pPr>
      <w:r>
        <w:rPr>
          <w:rFonts w:hint="eastAsia" w:ascii="宋体" w:hAnsi="宋体" w:cs="宋体"/>
          <w:sz w:val="24"/>
          <w:szCs w:val="24"/>
        </w:rPr>
        <w:t>性响应的是供应商的风险，并可能导致其响应文件被拒绝。</w:t>
      </w:r>
    </w:p>
    <w:p>
      <w:pPr>
        <w:spacing w:line="500" w:lineRule="exact"/>
        <w:ind w:left="420"/>
        <w:rPr>
          <w:rFonts w:hint="eastAsia" w:ascii="宋体" w:hAnsi="宋体" w:cs="宋体"/>
          <w:sz w:val="24"/>
          <w:szCs w:val="24"/>
        </w:rPr>
      </w:pPr>
      <w:r>
        <w:rPr>
          <w:rFonts w:hint="eastAsia" w:ascii="宋体" w:hAnsi="宋体" w:cs="宋体"/>
          <w:sz w:val="24"/>
          <w:szCs w:val="24"/>
        </w:rPr>
        <w:t>9.4供应商与采购人、采购代理机构的任何口头协议均不影响磋商文件、响应文件的任何条款和内</w:t>
      </w:r>
    </w:p>
    <w:p>
      <w:pPr>
        <w:spacing w:line="500" w:lineRule="exact"/>
        <w:rPr>
          <w:rFonts w:hint="eastAsia"/>
          <w:sz w:val="24"/>
          <w:szCs w:val="24"/>
        </w:rPr>
      </w:pPr>
      <w:r>
        <w:rPr>
          <w:rFonts w:hint="eastAsia" w:ascii="宋体" w:hAnsi="宋体" w:cs="宋体"/>
          <w:sz w:val="24"/>
          <w:szCs w:val="24"/>
        </w:rPr>
        <w:t>容。</w:t>
      </w:r>
    </w:p>
    <w:p>
      <w:pPr>
        <w:numPr>
          <w:ilvl w:val="0"/>
          <w:numId w:val="8"/>
        </w:numPr>
        <w:spacing w:line="440" w:lineRule="exact"/>
        <w:rPr>
          <w:rFonts w:hint="eastAsia" w:ascii="宋体" w:hAnsi="宋体" w:cs="宋体"/>
          <w:b/>
          <w:sz w:val="24"/>
          <w:szCs w:val="24"/>
        </w:rPr>
      </w:pPr>
      <w:r>
        <w:rPr>
          <w:rFonts w:hint="eastAsia" w:ascii="宋体" w:hAnsi="宋体" w:cs="宋体"/>
          <w:b/>
          <w:sz w:val="24"/>
          <w:szCs w:val="24"/>
        </w:rPr>
        <w:t>响应文件的语言及度量衡单位</w:t>
      </w:r>
    </w:p>
    <w:p>
      <w:pPr>
        <w:numPr>
          <w:ilvl w:val="1"/>
          <w:numId w:val="8"/>
        </w:numPr>
        <w:spacing w:line="440" w:lineRule="exact"/>
        <w:ind w:left="0" w:firstLine="284"/>
        <w:rPr>
          <w:rFonts w:hint="eastAsia" w:ascii="宋体" w:hAnsi="宋体" w:cs="宋体"/>
          <w:sz w:val="24"/>
          <w:szCs w:val="24"/>
        </w:rPr>
      </w:pPr>
      <w:r>
        <w:rPr>
          <w:rFonts w:hint="eastAsia" w:ascii="宋体" w:hAnsi="宋体" w:cs="宋体"/>
          <w:sz w:val="24"/>
          <w:szCs w:val="24"/>
        </w:rPr>
        <w:t>响应文件和与磋商有关的所有文件均应使用简体中文，供应商提交的支持资料和已印制的文献可以用另一种语言，但相应内容应附有中文翻译本，并提供附有公证书的中文翻译文件或者与原版文件签章相一致的中文翻译文件，在解释响应文件时以中文翻译本为准；</w:t>
      </w:r>
    </w:p>
    <w:p>
      <w:pPr>
        <w:numPr>
          <w:ilvl w:val="1"/>
          <w:numId w:val="8"/>
        </w:numPr>
        <w:spacing w:line="440" w:lineRule="exact"/>
        <w:ind w:left="0" w:firstLine="284"/>
        <w:rPr>
          <w:rFonts w:hint="eastAsia" w:ascii="宋体" w:hAnsi="宋体" w:cs="宋体"/>
          <w:sz w:val="24"/>
          <w:szCs w:val="24"/>
        </w:rPr>
      </w:pPr>
      <w:r>
        <w:rPr>
          <w:rFonts w:hint="eastAsia" w:ascii="宋体" w:hAnsi="宋体" w:cs="宋体"/>
          <w:sz w:val="24"/>
          <w:szCs w:val="24"/>
        </w:rPr>
        <w:t>除相关技术规范另有规定外，响应文件使用的度量衡单位，均采用中华人民共和国法定计量单位；</w:t>
      </w:r>
    </w:p>
    <w:p>
      <w:pPr>
        <w:numPr>
          <w:ilvl w:val="1"/>
          <w:numId w:val="8"/>
        </w:numPr>
        <w:spacing w:line="440" w:lineRule="exact"/>
        <w:ind w:left="0" w:firstLine="284"/>
        <w:rPr>
          <w:rFonts w:hint="eastAsia" w:ascii="宋体" w:hAnsi="宋体" w:cs="宋体"/>
          <w:sz w:val="24"/>
          <w:szCs w:val="24"/>
        </w:rPr>
      </w:pPr>
      <w:r>
        <w:rPr>
          <w:rFonts w:hint="eastAsia" w:ascii="宋体" w:hAnsi="宋体" w:cs="宋体"/>
          <w:sz w:val="24"/>
          <w:szCs w:val="24"/>
        </w:rPr>
        <w:t>本竞争性磋商文件所表述的时间均为北京时间。</w:t>
      </w:r>
    </w:p>
    <w:p>
      <w:pPr>
        <w:numPr>
          <w:ilvl w:val="0"/>
          <w:numId w:val="8"/>
        </w:numPr>
        <w:spacing w:line="440" w:lineRule="exact"/>
        <w:rPr>
          <w:rFonts w:hint="eastAsia" w:ascii="宋体" w:hAnsi="宋体" w:cs="宋体"/>
          <w:b/>
          <w:sz w:val="24"/>
          <w:szCs w:val="24"/>
        </w:rPr>
      </w:pPr>
      <w:r>
        <w:rPr>
          <w:rFonts w:hint="eastAsia" w:ascii="宋体" w:hAnsi="宋体" w:cs="宋体"/>
          <w:b/>
          <w:sz w:val="24"/>
          <w:szCs w:val="24"/>
        </w:rPr>
        <w:t>响应文件的组成</w:t>
      </w:r>
    </w:p>
    <w:p>
      <w:pPr>
        <w:spacing w:line="440" w:lineRule="exact"/>
        <w:ind w:firstLine="360" w:firstLineChars="150"/>
        <w:rPr>
          <w:rFonts w:hint="eastAsia" w:ascii="宋体" w:hAnsi="宋体" w:cs="宋体"/>
          <w:sz w:val="24"/>
          <w:szCs w:val="24"/>
        </w:rPr>
      </w:pPr>
      <w:r>
        <w:rPr>
          <w:rFonts w:hint="eastAsia" w:ascii="宋体" w:hAnsi="宋体" w:cs="宋体"/>
          <w:sz w:val="24"/>
          <w:szCs w:val="24"/>
        </w:rPr>
        <w:t>供应商提交的响应文件应当使用磋商文件所提供的响应文件格式，未提供格式的供应商自拟。</w:t>
      </w:r>
    </w:p>
    <w:p>
      <w:pPr>
        <w:numPr>
          <w:ilvl w:val="0"/>
          <w:numId w:val="8"/>
        </w:numPr>
        <w:spacing w:line="440" w:lineRule="exact"/>
        <w:rPr>
          <w:rFonts w:hint="eastAsia" w:ascii="宋体" w:hAnsi="宋体" w:cs="宋体"/>
          <w:b/>
          <w:sz w:val="24"/>
          <w:szCs w:val="24"/>
        </w:rPr>
      </w:pPr>
      <w:r>
        <w:rPr>
          <w:rFonts w:hint="eastAsia" w:ascii="宋体" w:hAnsi="宋体" w:cs="宋体"/>
          <w:b/>
          <w:sz w:val="24"/>
          <w:szCs w:val="24"/>
        </w:rPr>
        <w:t>报价</w:t>
      </w:r>
    </w:p>
    <w:p>
      <w:pPr>
        <w:tabs>
          <w:tab w:val="left" w:pos="839"/>
        </w:tabs>
        <w:spacing w:line="440" w:lineRule="exact"/>
        <w:ind w:firstLine="480" w:firstLineChars="200"/>
        <w:jc w:val="left"/>
        <w:rPr>
          <w:rFonts w:hint="eastAsia" w:ascii="宋体" w:hAnsi="宋体" w:cs="宋体"/>
          <w:sz w:val="24"/>
          <w:szCs w:val="24"/>
        </w:rPr>
      </w:pPr>
      <w:r>
        <w:rPr>
          <w:rFonts w:hint="eastAsia" w:ascii="宋体" w:hAnsi="宋体" w:cs="宋体"/>
          <w:sz w:val="24"/>
          <w:szCs w:val="24"/>
        </w:rPr>
        <w:t>12.</w:t>
      </w:r>
      <w:r>
        <w:rPr>
          <w:rFonts w:hint="eastAsia" w:ascii="宋体" w:hAnsi="宋体" w:cs="宋体"/>
          <w:sz w:val="24"/>
          <w:szCs w:val="24"/>
          <w:lang w:val="en-US" w:eastAsia="zh-CN"/>
        </w:rPr>
        <w:t>1</w:t>
      </w:r>
      <w:r>
        <w:rPr>
          <w:rFonts w:hint="eastAsia" w:ascii="宋体" w:hAnsi="宋体" w:cs="宋体"/>
          <w:sz w:val="24"/>
          <w:szCs w:val="24"/>
        </w:rPr>
        <w:t>供应商的报价均包括完成该项目的成本、利润、税金、风险等所有伴随的其他费用。</w:t>
      </w:r>
    </w:p>
    <w:p>
      <w:pPr>
        <w:pStyle w:val="56"/>
        <w:tabs>
          <w:tab w:val="left" w:pos="839"/>
        </w:tabs>
        <w:spacing w:line="440" w:lineRule="exact"/>
        <w:ind w:firstLine="480" w:firstLineChars="200"/>
        <w:rPr>
          <w:rFonts w:hint="eastAsia" w:ascii="宋体" w:hAnsi="宋体" w:cs="宋体"/>
          <w:sz w:val="24"/>
          <w:szCs w:val="24"/>
        </w:rPr>
      </w:pPr>
      <w:r>
        <w:rPr>
          <w:rFonts w:hint="eastAsia" w:ascii="宋体" w:hAnsi="宋体" w:cs="宋体"/>
          <w:sz w:val="24"/>
          <w:szCs w:val="24"/>
        </w:rPr>
        <w:t>12.</w:t>
      </w:r>
      <w:r>
        <w:rPr>
          <w:rFonts w:hint="eastAsia" w:ascii="宋体" w:hAnsi="宋体" w:cs="宋体"/>
          <w:sz w:val="24"/>
          <w:szCs w:val="24"/>
          <w:lang w:val="en-US" w:eastAsia="zh-CN"/>
        </w:rPr>
        <w:t>2</w:t>
      </w:r>
      <w:r>
        <w:rPr>
          <w:rFonts w:hint="eastAsia" w:ascii="宋体" w:hAnsi="宋体" w:cs="宋体"/>
          <w:sz w:val="24"/>
          <w:szCs w:val="24"/>
        </w:rPr>
        <w:t>响应性文件中的报价并非最后报价，在磋商结束后由供应商在规定时间内提交最后报价，磋商小组根据供应商的综合得分确定成交供应商，成交供应商其最后的报价为成交价。</w:t>
      </w:r>
    </w:p>
    <w:p>
      <w:pPr>
        <w:numPr>
          <w:ilvl w:val="0"/>
          <w:numId w:val="8"/>
        </w:numPr>
        <w:spacing w:line="440" w:lineRule="exact"/>
        <w:rPr>
          <w:rFonts w:hint="eastAsia" w:ascii="宋体" w:hAnsi="宋体" w:cs="宋体"/>
          <w:b/>
          <w:sz w:val="24"/>
          <w:szCs w:val="24"/>
        </w:rPr>
      </w:pPr>
      <w:r>
        <w:rPr>
          <w:rFonts w:hint="eastAsia" w:ascii="宋体" w:hAnsi="宋体" w:cs="宋体"/>
          <w:b/>
          <w:sz w:val="24"/>
          <w:szCs w:val="24"/>
        </w:rPr>
        <w:t>磋商货币</w:t>
      </w:r>
    </w:p>
    <w:p>
      <w:pPr>
        <w:spacing w:line="440" w:lineRule="exact"/>
        <w:ind w:firstLine="720" w:firstLineChars="300"/>
        <w:rPr>
          <w:rFonts w:hint="eastAsia" w:ascii="宋体" w:hAnsi="宋体" w:cs="宋体"/>
          <w:sz w:val="24"/>
          <w:szCs w:val="24"/>
        </w:rPr>
      </w:pPr>
      <w:r>
        <w:rPr>
          <w:rFonts w:hint="eastAsia" w:ascii="宋体" w:hAnsi="宋体" w:cs="宋体"/>
          <w:sz w:val="24"/>
          <w:szCs w:val="24"/>
        </w:rPr>
        <w:t>供应商以人民币填报所有单价或价格，合同实施时亦以人民币支付。</w:t>
      </w:r>
    </w:p>
    <w:p>
      <w:pPr>
        <w:numPr>
          <w:ilvl w:val="0"/>
          <w:numId w:val="8"/>
        </w:numPr>
        <w:spacing w:line="440" w:lineRule="exact"/>
        <w:rPr>
          <w:rFonts w:hint="eastAsia" w:ascii="宋体" w:hAnsi="宋体" w:cs="宋体"/>
          <w:b/>
          <w:sz w:val="24"/>
          <w:szCs w:val="24"/>
        </w:rPr>
      </w:pPr>
      <w:r>
        <w:rPr>
          <w:rFonts w:hint="eastAsia" w:ascii="宋体" w:hAnsi="宋体" w:cs="宋体"/>
          <w:b/>
          <w:sz w:val="24"/>
          <w:szCs w:val="24"/>
        </w:rPr>
        <w:t>磋商有效期</w:t>
      </w:r>
    </w:p>
    <w:p>
      <w:pPr>
        <w:spacing w:line="440" w:lineRule="exact"/>
        <w:ind w:left="4" w:firstLine="278" w:firstLineChars="116"/>
        <w:rPr>
          <w:rFonts w:hint="eastAsia" w:ascii="宋体" w:hAnsi="宋体" w:cs="宋体"/>
          <w:sz w:val="24"/>
          <w:szCs w:val="24"/>
        </w:rPr>
      </w:pPr>
      <w:r>
        <w:rPr>
          <w:rFonts w:hint="eastAsia" w:ascii="宋体" w:hAnsi="宋体" w:cs="宋体"/>
          <w:sz w:val="24"/>
          <w:szCs w:val="24"/>
        </w:rPr>
        <w:t xml:space="preserve">  磋商有效期见本须知前附表所规定的期限，在此期限内，凡符合本磋商文件要求的响应文件均保持有效；</w:t>
      </w:r>
    </w:p>
    <w:p>
      <w:pPr>
        <w:numPr>
          <w:ilvl w:val="0"/>
          <w:numId w:val="8"/>
        </w:numPr>
        <w:spacing w:line="440" w:lineRule="exact"/>
        <w:rPr>
          <w:rFonts w:hint="eastAsia" w:ascii="宋体" w:hAnsi="宋体" w:cs="宋体"/>
          <w:b/>
          <w:sz w:val="24"/>
          <w:szCs w:val="24"/>
        </w:rPr>
      </w:pPr>
      <w:r>
        <w:rPr>
          <w:rFonts w:hint="eastAsia" w:ascii="宋体" w:hAnsi="宋体" w:cs="宋体"/>
          <w:b/>
          <w:sz w:val="24"/>
          <w:szCs w:val="24"/>
        </w:rPr>
        <w:t>磋商保证金:见供应商须知前附表。</w:t>
      </w:r>
    </w:p>
    <w:p>
      <w:pPr>
        <w:numPr>
          <w:ilvl w:val="0"/>
          <w:numId w:val="8"/>
        </w:numPr>
        <w:spacing w:line="440" w:lineRule="exact"/>
        <w:rPr>
          <w:rFonts w:hint="eastAsia" w:ascii="宋体" w:hAnsi="宋体" w:cs="宋体"/>
          <w:b/>
          <w:sz w:val="24"/>
          <w:szCs w:val="24"/>
        </w:rPr>
      </w:pPr>
      <w:r>
        <w:rPr>
          <w:rFonts w:hint="eastAsia" w:ascii="宋体" w:hAnsi="宋体" w:cs="宋体"/>
          <w:b/>
          <w:bCs/>
          <w:sz w:val="24"/>
          <w:szCs w:val="24"/>
        </w:rPr>
        <w:t>响应文件的编制、签署、盖章</w:t>
      </w:r>
    </w:p>
    <w:p>
      <w:pPr>
        <w:spacing w:line="500" w:lineRule="exact"/>
        <w:ind w:firstLine="480" w:firstLineChars="200"/>
        <w:rPr>
          <w:rFonts w:hint="eastAsia" w:ascii="宋体" w:hAnsi="宋体" w:cs="宋体"/>
          <w:sz w:val="24"/>
          <w:szCs w:val="24"/>
        </w:rPr>
      </w:pPr>
      <w:r>
        <w:rPr>
          <w:rFonts w:hint="eastAsia" w:ascii="宋体" w:hAnsi="宋体" w:cs="宋体"/>
          <w:sz w:val="24"/>
          <w:szCs w:val="24"/>
        </w:rPr>
        <w:t>16.1加密电子响应文件的编制</w:t>
      </w:r>
    </w:p>
    <w:p>
      <w:pPr>
        <w:spacing w:line="500" w:lineRule="exact"/>
        <w:ind w:firstLine="480" w:firstLineChars="200"/>
        <w:rPr>
          <w:rFonts w:hint="eastAsia" w:ascii="宋体" w:hAnsi="宋体" w:cs="宋体"/>
          <w:sz w:val="24"/>
          <w:szCs w:val="24"/>
        </w:rPr>
      </w:pPr>
      <w:r>
        <w:rPr>
          <w:rFonts w:hint="eastAsia" w:ascii="宋体" w:hAnsi="宋体" w:cs="宋体"/>
          <w:sz w:val="24"/>
          <w:szCs w:val="24"/>
        </w:rPr>
        <w:t>16.1.1 加密电子响应文件应按照统一的“电子投标文件制作工具”以及竞争性磋商文件要求进行制作编制；</w:t>
      </w:r>
    </w:p>
    <w:p>
      <w:pPr>
        <w:spacing w:line="500" w:lineRule="exact"/>
        <w:ind w:firstLine="480" w:firstLineChars="200"/>
        <w:rPr>
          <w:rFonts w:hint="eastAsia" w:ascii="宋体" w:hAnsi="宋体" w:cs="宋体"/>
          <w:sz w:val="24"/>
          <w:szCs w:val="24"/>
        </w:rPr>
      </w:pPr>
      <w:r>
        <w:rPr>
          <w:rFonts w:hint="eastAsia" w:ascii="宋体" w:hAnsi="宋体" w:cs="宋体"/>
          <w:sz w:val="24"/>
          <w:szCs w:val="24"/>
        </w:rPr>
        <w:t>16.1.2 加密电子响应文件各类证件须与供应商注册登记资料相一致；</w:t>
      </w:r>
    </w:p>
    <w:p>
      <w:pPr>
        <w:spacing w:line="500" w:lineRule="exact"/>
        <w:ind w:firstLine="480" w:firstLineChars="200"/>
        <w:rPr>
          <w:rFonts w:hint="eastAsia" w:ascii="宋体" w:hAnsi="宋体" w:cs="宋体"/>
          <w:sz w:val="24"/>
          <w:szCs w:val="24"/>
        </w:rPr>
      </w:pPr>
      <w:r>
        <w:rPr>
          <w:rFonts w:hint="eastAsia" w:ascii="宋体" w:hAnsi="宋体" w:cs="宋体"/>
          <w:sz w:val="24"/>
          <w:szCs w:val="24"/>
        </w:rPr>
        <w:t xml:space="preserve">16.1.3 </w:t>
      </w:r>
      <w:r>
        <w:rPr>
          <w:rFonts w:hint="eastAsia" w:hAnsi="宋体"/>
          <w:sz w:val="24"/>
          <w:szCs w:val="24"/>
        </w:rPr>
        <w:t>加密电子响应文件未按本竞争性磋商文件中响应文件格式要求加盖电子签章的视为无效文件。</w:t>
      </w:r>
    </w:p>
    <w:p>
      <w:pPr>
        <w:spacing w:line="500" w:lineRule="exact"/>
        <w:ind w:firstLine="480" w:firstLineChars="200"/>
        <w:rPr>
          <w:rFonts w:hint="eastAsia" w:ascii="宋体" w:hAnsi="宋体" w:cs="宋体"/>
          <w:sz w:val="24"/>
          <w:szCs w:val="24"/>
        </w:rPr>
      </w:pPr>
      <w:r>
        <w:rPr>
          <w:rFonts w:hint="eastAsia" w:ascii="宋体" w:hAnsi="宋体" w:cs="宋体"/>
          <w:sz w:val="24"/>
          <w:szCs w:val="24"/>
        </w:rPr>
        <w:t>16.2 供应商应完整地填写竞争性磋商文件中规定的所有内容。</w:t>
      </w:r>
    </w:p>
    <w:p>
      <w:pPr>
        <w:spacing w:line="500" w:lineRule="exact"/>
        <w:ind w:firstLine="480" w:firstLineChars="200"/>
        <w:rPr>
          <w:rFonts w:hint="eastAsia" w:ascii="宋体" w:hAnsi="宋体" w:cs="宋体"/>
          <w:sz w:val="24"/>
          <w:szCs w:val="24"/>
        </w:rPr>
      </w:pPr>
      <w:r>
        <w:rPr>
          <w:rFonts w:hint="eastAsia" w:ascii="宋体" w:hAnsi="宋体" w:cs="宋体"/>
          <w:sz w:val="24"/>
          <w:szCs w:val="24"/>
        </w:rPr>
        <w:t>16.3 供应商必须保证响应文件所提供的全部资料真实可靠。</w:t>
      </w:r>
    </w:p>
    <w:p>
      <w:pPr>
        <w:spacing w:line="500" w:lineRule="exact"/>
        <w:ind w:firstLine="480" w:firstLineChars="200"/>
        <w:rPr>
          <w:rFonts w:hint="eastAsia" w:ascii="宋体" w:hAnsi="宋体" w:cs="宋体"/>
          <w:sz w:val="24"/>
          <w:szCs w:val="24"/>
        </w:rPr>
      </w:pPr>
      <w:r>
        <w:rPr>
          <w:rFonts w:hint="eastAsia" w:ascii="宋体" w:hAnsi="宋体" w:cs="宋体"/>
          <w:sz w:val="24"/>
          <w:szCs w:val="24"/>
        </w:rPr>
        <w:t>16.4 如果因为供应商响应文件填报的内容不详，或没有提供磋商文件中所要求的全部资料及数据，由此造成的后果，其责任由供应商自行承担。</w:t>
      </w:r>
    </w:p>
    <w:p>
      <w:pPr>
        <w:spacing w:line="500" w:lineRule="exact"/>
        <w:ind w:firstLine="480" w:firstLineChars="200"/>
        <w:rPr>
          <w:rFonts w:hint="eastAsia" w:ascii="宋体" w:hAnsi="宋体" w:cs="宋体"/>
          <w:sz w:val="24"/>
          <w:szCs w:val="24"/>
        </w:rPr>
      </w:pPr>
      <w:r>
        <w:rPr>
          <w:rFonts w:hint="eastAsia" w:ascii="宋体" w:hAnsi="宋体" w:cs="宋体"/>
          <w:sz w:val="24"/>
          <w:szCs w:val="24"/>
        </w:rPr>
        <w:t xml:space="preserve">16.5 </w:t>
      </w:r>
      <w:r>
        <w:rPr>
          <w:rFonts w:hint="eastAsia"/>
          <w:sz w:val="24"/>
          <w:szCs w:val="24"/>
        </w:rPr>
        <w:t>本竞争性磋商文件所表述（指定）的公章是指法人（供应商）行政公章，不包括专用章，并应与电子签章保持一致。</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16.6 电报、电话、传真等形式的响应概不接受。</w:t>
      </w:r>
    </w:p>
    <w:p>
      <w:pPr>
        <w:pStyle w:val="6"/>
        <w:spacing w:line="440" w:lineRule="exact"/>
        <w:jc w:val="center"/>
        <w:rPr>
          <w:rFonts w:hint="eastAsia" w:ascii="宋体" w:hAnsi="宋体" w:eastAsia="宋体" w:cs="宋体"/>
          <w:sz w:val="32"/>
          <w:szCs w:val="32"/>
        </w:rPr>
      </w:pPr>
      <w:bookmarkStart w:id="42" w:name="_Toc27919"/>
      <w:bookmarkStart w:id="43" w:name="_Toc461962054"/>
      <w:bookmarkStart w:id="44" w:name="_Toc490161263"/>
      <w:bookmarkStart w:id="45" w:name="_Toc477423246"/>
      <w:bookmarkStart w:id="46" w:name="_Toc487805906"/>
      <w:bookmarkStart w:id="47" w:name="_Toc373230026"/>
      <w:bookmarkStart w:id="48" w:name="_Toc374512413"/>
      <w:bookmarkStart w:id="49" w:name="_Toc10798"/>
      <w:r>
        <w:rPr>
          <w:rFonts w:hint="eastAsia" w:ascii="宋体" w:hAnsi="宋体" w:eastAsia="宋体" w:cs="宋体"/>
          <w:sz w:val="32"/>
          <w:szCs w:val="32"/>
        </w:rPr>
        <w:t>四、响应文件的提交</w:t>
      </w:r>
      <w:bookmarkEnd w:id="42"/>
      <w:bookmarkEnd w:id="43"/>
      <w:bookmarkEnd w:id="44"/>
      <w:bookmarkEnd w:id="45"/>
      <w:bookmarkEnd w:id="46"/>
      <w:bookmarkEnd w:id="47"/>
      <w:bookmarkEnd w:id="48"/>
      <w:bookmarkEnd w:id="49"/>
    </w:p>
    <w:p>
      <w:pPr>
        <w:numPr>
          <w:ilvl w:val="0"/>
          <w:numId w:val="8"/>
        </w:numPr>
        <w:spacing w:line="440" w:lineRule="exact"/>
        <w:rPr>
          <w:rFonts w:hint="eastAsia" w:ascii="宋体" w:hAnsi="宋体" w:cs="宋体"/>
          <w:sz w:val="24"/>
          <w:szCs w:val="24"/>
        </w:rPr>
      </w:pPr>
      <w:r>
        <w:rPr>
          <w:rFonts w:hint="eastAsia" w:ascii="宋体" w:hAnsi="宋体" w:cs="宋体"/>
          <w:b/>
          <w:sz w:val="24"/>
          <w:szCs w:val="24"/>
        </w:rPr>
        <w:t>响应文件的提交：</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s="宋体"/>
          <w:sz w:val="24"/>
          <w:szCs w:val="24"/>
        </w:rPr>
      </w:pPr>
      <w:r>
        <w:rPr>
          <w:rFonts w:hint="eastAsia" w:ascii="宋体" w:hAnsi="宋体" w:cs="宋体"/>
          <w:sz w:val="24"/>
          <w:szCs w:val="24"/>
        </w:rPr>
        <w:t>17.1所有响应文件必须在本磋商文件中规定的响应文件截止时间之前提前上传响应文件，并在响应文件开启截止时间前登录不见面开标大厅，按要求解密响应文件，不能按时上传、解密者视为自动放弃</w:t>
      </w:r>
      <w:r>
        <w:rPr>
          <w:rFonts w:hint="eastAsia" w:ascii="宋体" w:hAnsi="宋体" w:cs="宋体"/>
          <w:bCs/>
          <w:sz w:val="24"/>
          <w:szCs w:val="24"/>
        </w:rPr>
        <w:t>磋商</w:t>
      </w:r>
      <w:r>
        <w:rPr>
          <w:rFonts w:hint="eastAsia" w:ascii="宋体" w:hAnsi="宋体" w:cs="宋体"/>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s="宋体"/>
          <w:sz w:val="24"/>
          <w:szCs w:val="24"/>
        </w:rPr>
      </w:pPr>
      <w:r>
        <w:rPr>
          <w:rFonts w:hint="eastAsia" w:ascii="宋体" w:hAnsi="宋体" w:cs="宋体"/>
          <w:sz w:val="24"/>
          <w:szCs w:val="24"/>
        </w:rPr>
        <w:t>17.2采购人拒绝接收在响应文件递交截止时间后上传的响应文件。</w:t>
      </w:r>
    </w:p>
    <w:p>
      <w:pPr>
        <w:numPr>
          <w:ilvl w:val="0"/>
          <w:numId w:val="8"/>
        </w:numPr>
        <w:spacing w:line="440" w:lineRule="exact"/>
        <w:rPr>
          <w:rFonts w:hint="eastAsia" w:ascii="宋体" w:hAnsi="宋体" w:cs="宋体"/>
          <w:b/>
          <w:sz w:val="24"/>
          <w:szCs w:val="24"/>
        </w:rPr>
      </w:pPr>
      <w:r>
        <w:rPr>
          <w:rFonts w:hint="eastAsia" w:ascii="宋体" w:hAnsi="宋体" w:cs="宋体"/>
          <w:b/>
          <w:sz w:val="24"/>
          <w:szCs w:val="24"/>
        </w:rPr>
        <w:t>响应文件提交的截止时间</w:t>
      </w:r>
    </w:p>
    <w:p>
      <w:pPr>
        <w:numPr>
          <w:ilvl w:val="1"/>
          <w:numId w:val="8"/>
        </w:numPr>
        <w:spacing w:line="440" w:lineRule="exact"/>
        <w:rPr>
          <w:rFonts w:hint="eastAsia" w:ascii="宋体" w:hAnsi="宋体" w:cs="宋体"/>
          <w:sz w:val="24"/>
          <w:szCs w:val="24"/>
        </w:rPr>
      </w:pPr>
      <w:r>
        <w:rPr>
          <w:rFonts w:hint="eastAsia" w:ascii="宋体" w:hAnsi="宋体" w:cs="宋体"/>
          <w:sz w:val="24"/>
          <w:szCs w:val="24"/>
        </w:rPr>
        <w:t>响应文件的递交截止时间及地点见竞争性磋商公告规定；</w:t>
      </w:r>
    </w:p>
    <w:p>
      <w:pPr>
        <w:numPr>
          <w:ilvl w:val="1"/>
          <w:numId w:val="8"/>
        </w:numPr>
        <w:spacing w:line="440" w:lineRule="exact"/>
        <w:ind w:left="7" w:firstLine="277"/>
        <w:rPr>
          <w:rFonts w:hint="eastAsia" w:ascii="宋体" w:hAnsi="宋体" w:cs="宋体"/>
          <w:sz w:val="24"/>
          <w:szCs w:val="24"/>
        </w:rPr>
      </w:pPr>
      <w:r>
        <w:rPr>
          <w:rFonts w:hint="eastAsia" w:ascii="宋体" w:hAnsi="宋体" w:cs="宋体"/>
          <w:sz w:val="24"/>
          <w:szCs w:val="24"/>
        </w:rPr>
        <w:t>采购代理机构可按本须知规定以修改补充通知的方式，酌情延长递交响应文件的截止时间。</w:t>
      </w:r>
    </w:p>
    <w:p>
      <w:pPr>
        <w:numPr>
          <w:ilvl w:val="0"/>
          <w:numId w:val="8"/>
        </w:numPr>
        <w:spacing w:line="440" w:lineRule="exact"/>
        <w:rPr>
          <w:rFonts w:hint="eastAsia" w:ascii="宋体" w:hAnsi="宋体" w:cs="宋体"/>
          <w:b/>
          <w:sz w:val="24"/>
          <w:szCs w:val="24"/>
        </w:rPr>
      </w:pPr>
      <w:r>
        <w:rPr>
          <w:rFonts w:hint="eastAsia" w:ascii="宋体" w:hAnsi="宋体" w:cs="宋体"/>
          <w:b/>
          <w:sz w:val="24"/>
          <w:szCs w:val="24"/>
        </w:rPr>
        <w:t>响应文件的修改与撤回</w:t>
      </w:r>
    </w:p>
    <w:p>
      <w:pPr>
        <w:numPr>
          <w:ilvl w:val="1"/>
          <w:numId w:val="8"/>
        </w:numPr>
        <w:spacing w:line="440" w:lineRule="exact"/>
        <w:ind w:left="7" w:firstLine="413"/>
        <w:rPr>
          <w:rFonts w:hint="eastAsia" w:ascii="宋体" w:hAnsi="宋体" w:cs="宋体"/>
          <w:sz w:val="24"/>
          <w:szCs w:val="24"/>
        </w:rPr>
      </w:pPr>
      <w:r>
        <w:rPr>
          <w:rFonts w:hint="eastAsia" w:ascii="宋体" w:hAnsi="宋体" w:cs="宋体"/>
          <w:sz w:val="24"/>
          <w:szCs w:val="24"/>
        </w:rPr>
        <w:t>参加磋商的供应商在递交响应文件后，可以修改或撤回其响应文件，但这种修改和撤回，必须在规定的响应文件递交截止时间前；</w:t>
      </w:r>
    </w:p>
    <w:p>
      <w:pPr>
        <w:numPr>
          <w:ilvl w:val="1"/>
          <w:numId w:val="8"/>
        </w:numPr>
        <w:spacing w:line="440" w:lineRule="exact"/>
        <w:ind w:left="7" w:firstLine="413"/>
        <w:rPr>
          <w:rFonts w:hint="eastAsia" w:ascii="宋体" w:hAnsi="宋体" w:cs="宋体"/>
          <w:sz w:val="24"/>
          <w:szCs w:val="24"/>
        </w:rPr>
      </w:pPr>
      <w:r>
        <w:rPr>
          <w:rFonts w:hint="eastAsia" w:ascii="宋体" w:hAnsi="宋体" w:cs="宋体"/>
          <w:sz w:val="24"/>
          <w:szCs w:val="24"/>
        </w:rPr>
        <w:t>供应商在响应文件递交截止时间前，可以对所提交的响应文件进行修改或者撤回；</w:t>
      </w:r>
    </w:p>
    <w:p>
      <w:pPr>
        <w:numPr>
          <w:ilvl w:val="1"/>
          <w:numId w:val="8"/>
        </w:numPr>
        <w:spacing w:line="440" w:lineRule="exact"/>
        <w:ind w:left="7" w:firstLine="413"/>
        <w:rPr>
          <w:rFonts w:hint="eastAsia" w:ascii="宋体" w:hAnsi="宋体" w:cs="宋体"/>
          <w:sz w:val="24"/>
          <w:szCs w:val="24"/>
        </w:rPr>
      </w:pPr>
      <w:r>
        <w:rPr>
          <w:rFonts w:hint="eastAsia" w:ascii="宋体" w:hAnsi="宋体" w:cs="宋体"/>
          <w:sz w:val="24"/>
          <w:szCs w:val="24"/>
        </w:rPr>
        <w:t>供应商在响应文件递交截止时间后不得修改、撤回响应文件。</w:t>
      </w:r>
    </w:p>
    <w:p>
      <w:pPr>
        <w:pStyle w:val="6"/>
        <w:spacing w:line="440" w:lineRule="exact"/>
        <w:jc w:val="center"/>
        <w:rPr>
          <w:rFonts w:hint="eastAsia" w:ascii="宋体" w:hAnsi="宋体" w:eastAsia="宋体" w:cs="宋体"/>
          <w:sz w:val="32"/>
          <w:szCs w:val="32"/>
        </w:rPr>
      </w:pPr>
      <w:bookmarkStart w:id="50" w:name="_Toc373230027"/>
      <w:bookmarkStart w:id="51" w:name="_Toc374512414"/>
      <w:bookmarkStart w:id="52" w:name="_Toc217235123"/>
      <w:bookmarkStart w:id="53" w:name="_Toc461962055"/>
      <w:bookmarkStart w:id="54" w:name="_Toc9653"/>
      <w:bookmarkStart w:id="55" w:name="_Toc477423247"/>
      <w:bookmarkStart w:id="56" w:name="_Toc490161264"/>
      <w:bookmarkStart w:id="57" w:name="_Toc6236"/>
      <w:bookmarkStart w:id="58" w:name="_Toc487805907"/>
      <w:r>
        <w:rPr>
          <w:rFonts w:hint="eastAsia" w:ascii="宋体" w:hAnsi="宋体" w:eastAsia="宋体" w:cs="宋体"/>
          <w:sz w:val="32"/>
          <w:szCs w:val="32"/>
        </w:rPr>
        <w:t>五、磋商</w:t>
      </w:r>
      <w:bookmarkEnd w:id="50"/>
      <w:bookmarkEnd w:id="51"/>
      <w:bookmarkEnd w:id="52"/>
      <w:bookmarkEnd w:id="53"/>
      <w:r>
        <w:rPr>
          <w:rFonts w:hint="eastAsia" w:ascii="宋体" w:hAnsi="宋体" w:eastAsia="宋体" w:cs="宋体"/>
          <w:sz w:val="32"/>
          <w:szCs w:val="32"/>
        </w:rPr>
        <w:t>和评审</w:t>
      </w:r>
      <w:bookmarkEnd w:id="54"/>
      <w:bookmarkEnd w:id="55"/>
      <w:bookmarkEnd w:id="56"/>
      <w:bookmarkEnd w:id="57"/>
      <w:bookmarkEnd w:id="58"/>
    </w:p>
    <w:p>
      <w:pPr>
        <w:numPr>
          <w:ilvl w:val="0"/>
          <w:numId w:val="8"/>
        </w:numPr>
        <w:spacing w:line="360" w:lineRule="auto"/>
        <w:rPr>
          <w:rFonts w:hint="eastAsia" w:ascii="宋体" w:hAnsi="宋体" w:cs="宋体"/>
          <w:b/>
          <w:sz w:val="24"/>
          <w:szCs w:val="24"/>
        </w:rPr>
      </w:pPr>
      <w:r>
        <w:rPr>
          <w:rFonts w:hint="eastAsia" w:ascii="宋体" w:hAnsi="宋体" w:cs="宋体"/>
          <w:b/>
          <w:bCs/>
          <w:sz w:val="24"/>
          <w:szCs w:val="24"/>
        </w:rPr>
        <w:t>磋商时出现下列情况的，采购人将拒绝其响应文件</w:t>
      </w:r>
      <w:r>
        <w:rPr>
          <w:rFonts w:hint="eastAsia" w:ascii="宋体" w:hAnsi="宋体" w:cs="宋体"/>
          <w:b/>
          <w:sz w:val="24"/>
          <w:szCs w:val="24"/>
        </w:rPr>
        <w:t>：</w:t>
      </w:r>
    </w:p>
    <w:p>
      <w:pPr>
        <w:numPr>
          <w:ilvl w:val="1"/>
          <w:numId w:val="8"/>
        </w:numPr>
        <w:spacing w:line="360" w:lineRule="auto"/>
        <w:rPr>
          <w:rFonts w:hint="eastAsia" w:ascii="宋体" w:hAnsi="宋体" w:cs="宋体"/>
          <w:b/>
          <w:sz w:val="24"/>
          <w:szCs w:val="24"/>
        </w:rPr>
      </w:pPr>
      <w:r>
        <w:rPr>
          <w:rFonts w:hint="eastAsia" w:ascii="宋体" w:hAnsi="宋体" w:cs="宋体"/>
          <w:sz w:val="24"/>
          <w:szCs w:val="24"/>
        </w:rPr>
        <w:t>供应商逾期上传电子响应文件的；</w:t>
      </w:r>
    </w:p>
    <w:p>
      <w:pPr>
        <w:numPr>
          <w:ilvl w:val="1"/>
          <w:numId w:val="8"/>
        </w:numPr>
        <w:spacing w:line="360" w:lineRule="auto"/>
        <w:rPr>
          <w:rFonts w:hint="eastAsia" w:ascii="宋体" w:hAnsi="宋体" w:cs="宋体"/>
          <w:b/>
          <w:sz w:val="24"/>
          <w:szCs w:val="24"/>
        </w:rPr>
      </w:pPr>
      <w:r>
        <w:rPr>
          <w:rFonts w:hint="eastAsia" w:ascii="宋体" w:hAnsi="宋体" w:cs="宋体"/>
          <w:sz w:val="24"/>
          <w:szCs w:val="24"/>
        </w:rPr>
        <w:t>供应商未按规定的时间内解密响应文件的；</w:t>
      </w:r>
    </w:p>
    <w:p>
      <w:pPr>
        <w:numPr>
          <w:ilvl w:val="0"/>
          <w:numId w:val="8"/>
        </w:numPr>
        <w:spacing w:line="360" w:lineRule="auto"/>
        <w:rPr>
          <w:rFonts w:hint="eastAsia" w:ascii="宋体" w:hAnsi="宋体" w:cs="宋体"/>
          <w:b/>
          <w:sz w:val="24"/>
          <w:szCs w:val="24"/>
        </w:rPr>
      </w:pPr>
      <w:r>
        <w:rPr>
          <w:rFonts w:hint="eastAsia" w:ascii="宋体" w:hAnsi="宋体" w:cs="宋体"/>
          <w:b/>
          <w:sz w:val="24"/>
          <w:szCs w:val="24"/>
        </w:rPr>
        <w:t>磋商小组</w:t>
      </w:r>
    </w:p>
    <w:p>
      <w:pPr>
        <w:numPr>
          <w:ilvl w:val="1"/>
          <w:numId w:val="8"/>
        </w:numPr>
        <w:spacing w:line="360" w:lineRule="auto"/>
        <w:ind w:left="7" w:firstLine="277"/>
        <w:rPr>
          <w:rFonts w:hint="eastAsia" w:ascii="宋体" w:hAnsi="宋体" w:cs="宋体"/>
          <w:sz w:val="24"/>
          <w:szCs w:val="24"/>
        </w:rPr>
      </w:pPr>
      <w:r>
        <w:rPr>
          <w:rFonts w:hint="eastAsia" w:ascii="宋体" w:hAnsi="宋体" w:cs="宋体"/>
          <w:sz w:val="24"/>
          <w:szCs w:val="24"/>
        </w:rPr>
        <w:t>磋商小组由采购人代表和评审专家共3人及以上单数组成，其中评审专家人数不得少于磋商小组成员总数的2/3。</w:t>
      </w:r>
    </w:p>
    <w:p>
      <w:pPr>
        <w:numPr>
          <w:ilvl w:val="1"/>
          <w:numId w:val="8"/>
        </w:numPr>
        <w:spacing w:line="360" w:lineRule="auto"/>
        <w:rPr>
          <w:rFonts w:hint="eastAsia" w:ascii="宋体" w:hAnsi="宋体" w:cs="宋体"/>
          <w:sz w:val="24"/>
          <w:szCs w:val="24"/>
        </w:rPr>
      </w:pPr>
      <w:r>
        <w:rPr>
          <w:rFonts w:hint="eastAsia" w:ascii="宋体" w:hAnsi="宋体" w:cs="宋体"/>
          <w:sz w:val="24"/>
          <w:szCs w:val="24"/>
        </w:rPr>
        <w:t>磋商小组负责评审工作，对响应文件进行审查和评估，并向采购人提交书面评审报告。</w:t>
      </w:r>
    </w:p>
    <w:p>
      <w:pPr>
        <w:numPr>
          <w:ilvl w:val="1"/>
          <w:numId w:val="8"/>
        </w:numPr>
        <w:spacing w:line="360" w:lineRule="auto"/>
        <w:ind w:left="7" w:firstLine="277"/>
        <w:rPr>
          <w:rFonts w:hint="eastAsia" w:ascii="宋体" w:hAnsi="宋体" w:cs="宋体"/>
          <w:sz w:val="24"/>
          <w:szCs w:val="24"/>
        </w:rPr>
      </w:pPr>
      <w:r>
        <w:rPr>
          <w:rFonts w:hint="eastAsia" w:ascii="宋体" w:hAnsi="宋体" w:cs="宋体"/>
          <w:sz w:val="24"/>
          <w:szCs w:val="24"/>
        </w:rPr>
        <w:t>磋商小组所有成员应当集中与单一供应商分别进行磋商，并给予所有参加磋商的供应商平等的磋商机会。</w:t>
      </w:r>
    </w:p>
    <w:p>
      <w:pPr>
        <w:numPr>
          <w:ilvl w:val="0"/>
          <w:numId w:val="8"/>
        </w:numPr>
        <w:spacing w:line="360" w:lineRule="auto"/>
        <w:rPr>
          <w:rFonts w:hint="eastAsia" w:ascii="宋体" w:hAnsi="宋体" w:cs="宋体"/>
          <w:b/>
          <w:sz w:val="24"/>
          <w:szCs w:val="24"/>
        </w:rPr>
      </w:pPr>
      <w:r>
        <w:rPr>
          <w:rFonts w:hint="eastAsia" w:ascii="宋体" w:hAnsi="宋体" w:cs="宋体"/>
          <w:b/>
          <w:sz w:val="24"/>
          <w:szCs w:val="24"/>
        </w:rPr>
        <w:t>响应文件的初步评审</w:t>
      </w:r>
    </w:p>
    <w:p>
      <w:pPr>
        <w:spacing w:line="360" w:lineRule="auto"/>
        <w:rPr>
          <w:rFonts w:hint="eastAsia" w:ascii="宋体" w:hAnsi="宋体" w:cs="宋体"/>
          <w:sz w:val="24"/>
          <w:szCs w:val="24"/>
        </w:rPr>
      </w:pPr>
      <w:r>
        <w:rPr>
          <w:rFonts w:hint="eastAsia" w:ascii="宋体" w:hAnsi="宋体" w:cs="宋体"/>
          <w:sz w:val="24"/>
          <w:szCs w:val="24"/>
        </w:rPr>
        <w:t xml:space="preserve">    初步评审分为资格性审查和符合性审查。资格性审查确定供应商是否满足磋商文件规定的资格条件；符合性审查确定响应文件是否对磋商文件的实质性要求作出响应；</w:t>
      </w:r>
    </w:p>
    <w:p>
      <w:pPr>
        <w:numPr>
          <w:ilvl w:val="1"/>
          <w:numId w:val="8"/>
        </w:numPr>
        <w:spacing w:line="360" w:lineRule="auto"/>
        <w:rPr>
          <w:rFonts w:hint="eastAsia" w:ascii="宋体" w:hAnsi="宋体" w:cs="宋体"/>
          <w:sz w:val="24"/>
          <w:szCs w:val="24"/>
        </w:rPr>
      </w:pPr>
      <w:r>
        <w:rPr>
          <w:rFonts w:hint="eastAsia" w:ascii="宋体" w:hAnsi="宋体" w:cs="宋体"/>
          <w:sz w:val="24"/>
          <w:szCs w:val="24"/>
        </w:rPr>
        <w:t>响应文件有下列情形之一的，其磋商视为没有通过资格性审查：</w:t>
      </w:r>
    </w:p>
    <w:p>
      <w:pPr>
        <w:spacing w:line="360" w:lineRule="auto"/>
        <w:ind w:firstLine="420" w:firstLineChars="175"/>
        <w:rPr>
          <w:rFonts w:hint="eastAsia" w:ascii="宋体" w:hAnsi="宋体" w:cs="宋体"/>
          <w:sz w:val="24"/>
          <w:szCs w:val="24"/>
        </w:rPr>
      </w:pPr>
      <w:r>
        <w:rPr>
          <w:rFonts w:hint="eastAsia" w:ascii="宋体" w:hAnsi="宋体" w:cs="宋体"/>
          <w:sz w:val="24"/>
          <w:szCs w:val="24"/>
        </w:rPr>
        <w:t>第六章响应文件格式中</w:t>
      </w:r>
      <w:r>
        <w:rPr>
          <w:rFonts w:hint="eastAsia" w:ascii="宋体" w:hAnsi="宋体" w:cs="宋体"/>
          <w:b/>
          <w:sz w:val="24"/>
          <w:szCs w:val="24"/>
        </w:rPr>
        <w:t>“资格证明材料”</w:t>
      </w:r>
      <w:r>
        <w:rPr>
          <w:rFonts w:hint="eastAsia" w:ascii="宋体" w:hAnsi="宋体" w:cs="宋体"/>
          <w:sz w:val="24"/>
          <w:szCs w:val="24"/>
        </w:rPr>
        <w:t>要求的资格证明文件不全或不符合要求的；</w:t>
      </w:r>
    </w:p>
    <w:p>
      <w:pPr>
        <w:numPr>
          <w:ilvl w:val="1"/>
          <w:numId w:val="8"/>
        </w:numPr>
        <w:spacing w:line="360" w:lineRule="auto"/>
        <w:rPr>
          <w:rFonts w:hint="eastAsia" w:ascii="宋体" w:hAnsi="宋体" w:cs="宋体"/>
          <w:sz w:val="24"/>
          <w:szCs w:val="24"/>
        </w:rPr>
      </w:pPr>
      <w:r>
        <w:rPr>
          <w:rFonts w:hint="eastAsia" w:ascii="宋体" w:hAnsi="宋体" w:cs="宋体"/>
          <w:sz w:val="24"/>
          <w:szCs w:val="24"/>
        </w:rPr>
        <w:t>响应文件有下列情形之一的，视为其没有通过符合性审查：</w:t>
      </w:r>
    </w:p>
    <w:p>
      <w:pPr>
        <w:numPr>
          <w:ilvl w:val="0"/>
          <w:numId w:val="13"/>
        </w:numPr>
        <w:spacing w:line="360" w:lineRule="auto"/>
        <w:rPr>
          <w:rFonts w:hint="eastAsia" w:ascii="宋体" w:hAnsi="宋体" w:cs="宋体"/>
          <w:sz w:val="24"/>
          <w:szCs w:val="24"/>
        </w:rPr>
      </w:pPr>
      <w:r>
        <w:rPr>
          <w:rFonts w:hint="eastAsia" w:ascii="宋体" w:hAnsi="宋体" w:cs="宋体"/>
          <w:sz w:val="24"/>
          <w:szCs w:val="24"/>
        </w:rPr>
        <w:t>第一轮报价超过磋商文件中规定的项目预算金额的；</w:t>
      </w:r>
    </w:p>
    <w:p>
      <w:pPr>
        <w:numPr>
          <w:ilvl w:val="0"/>
          <w:numId w:val="13"/>
        </w:numPr>
        <w:spacing w:line="360" w:lineRule="auto"/>
        <w:rPr>
          <w:rFonts w:hint="eastAsia" w:ascii="宋体" w:hAnsi="宋体" w:cs="宋体"/>
          <w:sz w:val="24"/>
          <w:szCs w:val="24"/>
        </w:rPr>
      </w:pPr>
      <w:r>
        <w:rPr>
          <w:rFonts w:hint="eastAsia" w:ascii="宋体" w:hAnsi="宋体" w:cs="宋体"/>
          <w:sz w:val="24"/>
          <w:szCs w:val="24"/>
        </w:rPr>
        <w:t>响应文件未按磋商文件要求签字、盖章的；</w:t>
      </w:r>
    </w:p>
    <w:p>
      <w:pPr>
        <w:numPr>
          <w:ilvl w:val="0"/>
          <w:numId w:val="13"/>
        </w:numPr>
        <w:spacing w:line="360" w:lineRule="auto"/>
        <w:rPr>
          <w:rFonts w:hint="eastAsia" w:ascii="宋体" w:hAnsi="宋体" w:cs="宋体"/>
          <w:sz w:val="24"/>
          <w:szCs w:val="24"/>
        </w:rPr>
      </w:pPr>
      <w:r>
        <w:rPr>
          <w:rFonts w:hint="eastAsia" w:ascii="宋体" w:hAnsi="宋体" w:cs="宋体"/>
          <w:sz w:val="24"/>
          <w:szCs w:val="24"/>
        </w:rPr>
        <w:t>响应文件格式不符合磋商文件中响应文件格式要求的；</w:t>
      </w:r>
    </w:p>
    <w:p>
      <w:pPr>
        <w:numPr>
          <w:ilvl w:val="0"/>
          <w:numId w:val="13"/>
        </w:numPr>
        <w:spacing w:line="360" w:lineRule="auto"/>
        <w:rPr>
          <w:rFonts w:hint="default" w:eastAsia="宋体"/>
          <w:sz w:val="24"/>
          <w:szCs w:val="24"/>
          <w:lang w:val="en-US" w:eastAsia="zh-CN"/>
        </w:rPr>
      </w:pPr>
      <w:r>
        <w:rPr>
          <w:rFonts w:hint="eastAsia" w:ascii="宋体" w:hAnsi="宋体" w:cs="宋体"/>
          <w:sz w:val="24"/>
          <w:szCs w:val="24"/>
        </w:rPr>
        <w:t>不响应磋商文件商务要求的；</w:t>
      </w:r>
    </w:p>
    <w:p>
      <w:pPr>
        <w:numPr>
          <w:ilvl w:val="0"/>
          <w:numId w:val="13"/>
        </w:numPr>
        <w:spacing w:line="360" w:lineRule="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不响应磋商文件第五章采购需求中“三、</w:t>
      </w:r>
      <w:r>
        <w:rPr>
          <w:rFonts w:hint="default" w:ascii="宋体" w:hAnsi="宋体" w:eastAsia="宋体" w:cs="宋体"/>
          <w:sz w:val="24"/>
          <w:szCs w:val="24"/>
          <w:lang w:val="en-US" w:eastAsia="zh-CN"/>
        </w:rPr>
        <w:t>服务要求</w:t>
      </w:r>
      <w:r>
        <w:rPr>
          <w:rFonts w:hint="eastAsia" w:ascii="宋体" w:hAnsi="宋体" w:eastAsia="宋体" w:cs="宋体"/>
          <w:sz w:val="24"/>
          <w:szCs w:val="24"/>
          <w:lang w:val="en-US" w:eastAsia="zh-CN"/>
        </w:rPr>
        <w:t>”的；</w:t>
      </w:r>
    </w:p>
    <w:p>
      <w:pPr>
        <w:numPr>
          <w:ilvl w:val="0"/>
          <w:numId w:val="13"/>
        </w:numPr>
        <w:spacing w:line="360" w:lineRule="auto"/>
        <w:rPr>
          <w:rFonts w:hint="eastAsia" w:ascii="宋体" w:hAnsi="宋体" w:cs="宋体"/>
          <w:sz w:val="24"/>
          <w:szCs w:val="24"/>
        </w:rPr>
      </w:pPr>
      <w:r>
        <w:rPr>
          <w:rFonts w:hint="eastAsia" w:ascii="宋体" w:hAnsi="宋体" w:cs="宋体"/>
          <w:sz w:val="24"/>
          <w:szCs w:val="24"/>
        </w:rPr>
        <w:t>响应文件含有采购人不能接受的附加条件的；</w:t>
      </w:r>
    </w:p>
    <w:p>
      <w:pPr>
        <w:numPr>
          <w:ilvl w:val="0"/>
          <w:numId w:val="13"/>
        </w:numPr>
        <w:spacing w:line="360" w:lineRule="auto"/>
        <w:rPr>
          <w:rFonts w:hint="eastAsia" w:ascii="宋体" w:hAnsi="宋体" w:cs="宋体"/>
          <w:sz w:val="24"/>
          <w:szCs w:val="24"/>
        </w:rPr>
      </w:pPr>
      <w:r>
        <w:rPr>
          <w:rFonts w:hint="eastAsia" w:ascii="宋体" w:hAnsi="宋体" w:cs="宋体"/>
          <w:sz w:val="24"/>
          <w:szCs w:val="24"/>
        </w:rPr>
        <w:t>法律、法规和磋商文件规定的其他无效情形。</w:t>
      </w:r>
    </w:p>
    <w:p>
      <w:pPr>
        <w:numPr>
          <w:ilvl w:val="0"/>
          <w:numId w:val="8"/>
        </w:numPr>
        <w:spacing w:line="360" w:lineRule="auto"/>
        <w:rPr>
          <w:rFonts w:hint="eastAsia" w:ascii="宋体" w:hAnsi="宋体" w:cs="宋体"/>
          <w:b/>
          <w:sz w:val="24"/>
          <w:szCs w:val="24"/>
        </w:rPr>
      </w:pPr>
      <w:r>
        <w:rPr>
          <w:rFonts w:hint="eastAsia" w:ascii="宋体" w:hAnsi="宋体" w:cs="宋体"/>
          <w:b/>
          <w:bCs/>
          <w:sz w:val="24"/>
          <w:szCs w:val="24"/>
        </w:rPr>
        <w:t>响应文件有下列情形之一的为无效响应文件，采购代理机构不予受理：</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23.1逾期上传响应文件的；</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23.2在规定的响应文件递交截止时间之前，提交合格的撤回通知的；</w:t>
      </w:r>
    </w:p>
    <w:p>
      <w:pPr>
        <w:spacing w:line="360" w:lineRule="auto"/>
        <w:ind w:firstLine="480" w:firstLineChars="200"/>
        <w:rPr>
          <w:rFonts w:hint="eastAsia" w:ascii="宋体" w:hAnsi="宋体" w:cs="宋体"/>
          <w:b/>
          <w:sz w:val="24"/>
          <w:szCs w:val="24"/>
        </w:rPr>
      </w:pPr>
      <w:r>
        <w:rPr>
          <w:rFonts w:hint="eastAsia" w:ascii="宋体" w:hAnsi="宋体" w:cs="宋体"/>
          <w:sz w:val="24"/>
          <w:szCs w:val="24"/>
        </w:rPr>
        <w:t>23.3一个供应商不止递交一套同一合同项</w:t>
      </w:r>
      <w:r>
        <w:rPr>
          <w:rFonts w:hint="eastAsia" w:ascii="宋体" w:hAnsi="宋体" w:cs="宋体"/>
          <w:sz w:val="24"/>
          <w:szCs w:val="24"/>
          <w:lang w:eastAsia="zh-CN"/>
        </w:rPr>
        <w:t>目</w:t>
      </w:r>
      <w:r>
        <w:rPr>
          <w:rFonts w:hint="eastAsia" w:ascii="宋体" w:hAnsi="宋体" w:cs="宋体"/>
          <w:sz w:val="24"/>
          <w:szCs w:val="24"/>
        </w:rPr>
        <w:t>下响应文件的。</w:t>
      </w:r>
    </w:p>
    <w:p>
      <w:pPr>
        <w:numPr>
          <w:ilvl w:val="0"/>
          <w:numId w:val="8"/>
        </w:numPr>
        <w:spacing w:line="360" w:lineRule="auto"/>
        <w:rPr>
          <w:rFonts w:hint="eastAsia" w:ascii="宋体" w:hAnsi="宋体" w:cs="宋体"/>
          <w:b/>
          <w:sz w:val="24"/>
          <w:szCs w:val="24"/>
        </w:rPr>
      </w:pPr>
      <w:r>
        <w:rPr>
          <w:rFonts w:hint="eastAsia" w:ascii="宋体" w:hAnsi="宋体" w:cs="宋体"/>
          <w:b/>
          <w:sz w:val="24"/>
          <w:szCs w:val="24"/>
        </w:rPr>
        <w:t>响应文件的澄清</w:t>
      </w:r>
    </w:p>
    <w:p>
      <w:pPr>
        <w:numPr>
          <w:ilvl w:val="1"/>
          <w:numId w:val="8"/>
        </w:numPr>
        <w:spacing w:line="360" w:lineRule="auto"/>
        <w:ind w:left="7" w:firstLine="277"/>
        <w:rPr>
          <w:rFonts w:hint="eastAsia" w:ascii="宋体" w:hAnsi="宋体" w:cs="宋体"/>
          <w:sz w:val="24"/>
          <w:szCs w:val="24"/>
        </w:rPr>
      </w:pPr>
      <w:r>
        <w:rPr>
          <w:rFonts w:hint="eastAsia" w:ascii="宋体" w:hAnsi="宋体" w:cs="宋体"/>
          <w:sz w:val="24"/>
          <w:szCs w:val="24"/>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numPr>
          <w:ilvl w:val="1"/>
          <w:numId w:val="8"/>
        </w:numPr>
        <w:spacing w:line="360" w:lineRule="auto"/>
        <w:rPr>
          <w:rFonts w:hint="eastAsia" w:ascii="宋体" w:hAnsi="宋体" w:cs="宋体"/>
          <w:sz w:val="24"/>
          <w:szCs w:val="24"/>
        </w:rPr>
      </w:pPr>
      <w:r>
        <w:rPr>
          <w:rFonts w:hint="eastAsia" w:ascii="宋体" w:hAnsi="宋体" w:cs="宋体"/>
          <w:sz w:val="24"/>
          <w:szCs w:val="24"/>
        </w:rPr>
        <w:t>报价出现不一致的，按照下列规定修正：</w:t>
      </w:r>
    </w:p>
    <w:p>
      <w:pPr>
        <w:numPr>
          <w:ilvl w:val="0"/>
          <w:numId w:val="0"/>
        </w:numPr>
        <w:spacing w:line="360" w:lineRule="auto"/>
        <w:ind w:left="402" w:leftChars="0"/>
        <w:rPr>
          <w:rFonts w:hint="eastAsia"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1</w:t>
      </w:r>
      <w:r>
        <w:rPr>
          <w:rFonts w:hint="eastAsia" w:ascii="宋体" w:hAnsi="宋体" w:cs="宋体"/>
          <w:sz w:val="24"/>
          <w:szCs w:val="24"/>
          <w:lang w:eastAsia="zh-CN"/>
        </w:rPr>
        <w:t>）</w:t>
      </w:r>
      <w:r>
        <w:rPr>
          <w:rFonts w:hint="eastAsia" w:ascii="宋体" w:hAnsi="宋体" w:cs="宋体"/>
          <w:sz w:val="24"/>
          <w:szCs w:val="24"/>
        </w:rPr>
        <w:t>大写金额和小写金额不一致的，以大写金额为准；</w:t>
      </w:r>
    </w:p>
    <w:p>
      <w:pPr>
        <w:numPr>
          <w:ilvl w:val="0"/>
          <w:numId w:val="0"/>
        </w:numPr>
        <w:spacing w:line="360" w:lineRule="auto"/>
        <w:ind w:left="402" w:leftChars="0"/>
        <w:rPr>
          <w:rFonts w:hint="eastAsia"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2</w:t>
      </w:r>
      <w:r>
        <w:rPr>
          <w:rFonts w:hint="eastAsia" w:ascii="宋体" w:hAnsi="宋体" w:cs="宋体"/>
          <w:sz w:val="24"/>
          <w:szCs w:val="24"/>
          <w:lang w:eastAsia="zh-CN"/>
        </w:rPr>
        <w:t>）</w:t>
      </w:r>
      <w:r>
        <w:rPr>
          <w:rFonts w:hint="eastAsia" w:ascii="宋体" w:hAnsi="宋体" w:cs="宋体"/>
          <w:sz w:val="24"/>
          <w:szCs w:val="24"/>
        </w:rPr>
        <w:t>单价金额小数点或者百分比有明显错位的，以总价为准；</w:t>
      </w:r>
    </w:p>
    <w:p>
      <w:pPr>
        <w:numPr>
          <w:ilvl w:val="0"/>
          <w:numId w:val="0"/>
        </w:numPr>
        <w:spacing w:line="360" w:lineRule="auto"/>
        <w:ind w:left="402" w:leftChars="0"/>
        <w:rPr>
          <w:rFonts w:hint="eastAsia"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3</w:t>
      </w:r>
      <w:r>
        <w:rPr>
          <w:rFonts w:hint="eastAsia" w:ascii="宋体" w:hAnsi="宋体" w:cs="宋体"/>
          <w:sz w:val="24"/>
          <w:szCs w:val="24"/>
          <w:lang w:eastAsia="zh-CN"/>
        </w:rPr>
        <w:t>）</w:t>
      </w:r>
      <w:r>
        <w:rPr>
          <w:rFonts w:hint="eastAsia" w:ascii="宋体" w:hAnsi="宋体" w:cs="宋体"/>
          <w:sz w:val="24"/>
          <w:szCs w:val="24"/>
        </w:rPr>
        <w:t>总价金额与按单价汇总金额不一致的，以单价金额计算结果为准。</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同时出现两种以上不一致的，按照前款规定的顺序修正。修正后的报价经供应商确认后产生约束力，供应商不确认的，其响应文件按无效处理。</w:t>
      </w:r>
    </w:p>
    <w:p>
      <w:pPr>
        <w:numPr>
          <w:ilvl w:val="1"/>
          <w:numId w:val="8"/>
        </w:numPr>
        <w:spacing w:line="360" w:lineRule="auto"/>
        <w:ind w:left="7" w:firstLine="277"/>
        <w:rPr>
          <w:rFonts w:hint="eastAsia" w:ascii="宋体" w:hAnsi="宋体" w:cs="宋体"/>
          <w:sz w:val="24"/>
          <w:szCs w:val="24"/>
        </w:rPr>
      </w:pPr>
      <w:r>
        <w:rPr>
          <w:rFonts w:hint="eastAsia" w:ascii="宋体" w:hAnsi="宋体" w:cs="宋体"/>
          <w:sz w:val="24"/>
          <w:szCs w:val="24"/>
        </w:rPr>
        <w:t>供应商的澄清、说明或者更正应当由法定代表人或其授权代表签字或者加盖公章。</w:t>
      </w:r>
    </w:p>
    <w:p>
      <w:pPr>
        <w:numPr>
          <w:ilvl w:val="1"/>
          <w:numId w:val="8"/>
        </w:numPr>
        <w:spacing w:line="360" w:lineRule="auto"/>
        <w:ind w:left="7" w:firstLine="277"/>
        <w:rPr>
          <w:rFonts w:hint="eastAsia" w:ascii="宋体" w:hAnsi="宋体" w:cs="宋体"/>
          <w:sz w:val="24"/>
          <w:szCs w:val="24"/>
        </w:rPr>
      </w:pPr>
      <w:r>
        <w:rPr>
          <w:rFonts w:hint="eastAsia" w:ascii="宋体" w:hAnsi="宋体" w:cs="宋体"/>
          <w:sz w:val="24"/>
          <w:szCs w:val="24"/>
        </w:rPr>
        <w:t>供应商的澄清文件是响应文件的组成部分，取代响应文件中被澄清的部分；供应商不予澄清的，其响应文件按无效处理。</w:t>
      </w:r>
    </w:p>
    <w:p>
      <w:pPr>
        <w:numPr>
          <w:ilvl w:val="0"/>
          <w:numId w:val="8"/>
        </w:numPr>
        <w:spacing w:line="360" w:lineRule="auto"/>
        <w:rPr>
          <w:rFonts w:hint="eastAsia" w:ascii="宋体" w:hAnsi="宋体" w:cs="宋体"/>
          <w:b/>
          <w:sz w:val="24"/>
          <w:szCs w:val="24"/>
        </w:rPr>
      </w:pPr>
      <w:bookmarkStart w:id="59" w:name="_Toc373230028"/>
      <w:bookmarkStart w:id="60" w:name="_Toc374512415"/>
      <w:r>
        <w:rPr>
          <w:rFonts w:hint="eastAsia" w:ascii="宋体" w:hAnsi="宋体" w:cs="宋体"/>
          <w:b/>
          <w:sz w:val="24"/>
          <w:szCs w:val="24"/>
        </w:rPr>
        <w:t>评审方法</w:t>
      </w:r>
    </w:p>
    <w:p>
      <w:pPr>
        <w:numPr>
          <w:ilvl w:val="1"/>
          <w:numId w:val="8"/>
        </w:numPr>
        <w:spacing w:line="360" w:lineRule="auto"/>
        <w:ind w:left="7" w:firstLine="277"/>
        <w:rPr>
          <w:rFonts w:hint="eastAsia" w:ascii="宋体" w:hAnsi="宋体" w:cs="宋体"/>
          <w:sz w:val="24"/>
          <w:szCs w:val="24"/>
        </w:rPr>
      </w:pPr>
      <w:r>
        <w:rPr>
          <w:rFonts w:hint="eastAsia" w:ascii="宋体" w:hAnsi="宋体" w:cs="宋体"/>
          <w:sz w:val="24"/>
          <w:szCs w:val="24"/>
        </w:rPr>
        <w:t>在磋商过程中，磋商小组可以根据磋商文件和磋商情况实质性变动采购需求中的技术、服务要求以及合同草案条款，但不得变动磋商文件中的其他内容。实质性变动的内容，须经采购人代表确认。</w:t>
      </w:r>
    </w:p>
    <w:p>
      <w:pPr>
        <w:numPr>
          <w:ilvl w:val="1"/>
          <w:numId w:val="8"/>
        </w:numPr>
        <w:spacing w:line="360" w:lineRule="auto"/>
        <w:ind w:left="7" w:firstLine="277"/>
        <w:rPr>
          <w:rFonts w:hint="eastAsia" w:ascii="宋体" w:hAnsi="宋体" w:cs="宋体"/>
          <w:sz w:val="24"/>
          <w:szCs w:val="24"/>
        </w:rPr>
      </w:pPr>
      <w:r>
        <w:rPr>
          <w:rFonts w:hint="eastAsia" w:ascii="宋体" w:hAnsi="宋体" w:cs="宋体"/>
          <w:sz w:val="24"/>
          <w:szCs w:val="24"/>
        </w:rPr>
        <w:t>对磋商文件作出的实质性变动是磋商文件的有效组成部分，磋商小组应当及时以书面形式同时通知所有参加磋商的供应商。</w:t>
      </w:r>
    </w:p>
    <w:p>
      <w:pPr>
        <w:numPr>
          <w:ilvl w:val="1"/>
          <w:numId w:val="8"/>
        </w:numPr>
        <w:spacing w:line="360" w:lineRule="auto"/>
        <w:ind w:left="7" w:firstLine="277"/>
        <w:rPr>
          <w:rFonts w:hint="eastAsia" w:ascii="宋体" w:hAnsi="宋体" w:cs="宋体"/>
          <w:sz w:val="24"/>
          <w:szCs w:val="24"/>
        </w:rPr>
      </w:pPr>
      <w:r>
        <w:rPr>
          <w:rFonts w:hint="eastAsia" w:ascii="宋体" w:hAnsi="宋体" w:cs="宋体"/>
          <w:sz w:val="24"/>
          <w:szCs w:val="24"/>
        </w:rPr>
        <w:t>供应商应当按照磋商文件的变动情况和磋商小组的要求重新提交响应文件，并由其法定代表人或授权代表签字或者加盖公章。</w:t>
      </w:r>
    </w:p>
    <w:p>
      <w:pPr>
        <w:numPr>
          <w:ilvl w:val="1"/>
          <w:numId w:val="8"/>
        </w:numPr>
        <w:spacing w:line="360" w:lineRule="auto"/>
        <w:ind w:left="7" w:firstLine="277"/>
        <w:rPr>
          <w:rFonts w:hint="eastAsia" w:ascii="宋体" w:hAnsi="宋体" w:cs="宋体"/>
          <w:sz w:val="24"/>
          <w:szCs w:val="24"/>
        </w:rPr>
      </w:pPr>
      <w:r>
        <w:rPr>
          <w:rFonts w:hint="eastAsia" w:ascii="宋体" w:hAnsi="宋体" w:cs="宋体"/>
          <w:sz w:val="24"/>
          <w:szCs w:val="24"/>
        </w:rPr>
        <w:t>磋商结束后，磋商小组应当要求所有实质性响应的供应商在规定时间内提交最后报价，提交最后报价的供应商不得少于3家。符合</w:t>
      </w:r>
      <w:bookmarkStart w:id="61" w:name="_Toc32423"/>
      <w:r>
        <w:rPr>
          <w:rFonts w:hint="eastAsia" w:ascii="宋体" w:hAnsi="宋体" w:cs="宋体"/>
          <w:sz w:val="24"/>
          <w:szCs w:val="24"/>
        </w:rPr>
        <w:t>《政府采购竞争性磋商采购方式管理暂行办法</w:t>
      </w:r>
      <w:bookmarkEnd w:id="61"/>
      <w:r>
        <w:rPr>
          <w:rFonts w:hint="eastAsia" w:ascii="宋体" w:hAnsi="宋体" w:cs="宋体"/>
          <w:sz w:val="24"/>
          <w:szCs w:val="24"/>
        </w:rPr>
        <w:t>》第三条第四项情形的，提交最后报价的供应商可以为2家</w:t>
      </w:r>
      <w:bookmarkStart w:id="62" w:name="_Toc5652"/>
      <w:r>
        <w:rPr>
          <w:rFonts w:hint="eastAsia" w:ascii="宋体" w:hAnsi="宋体" w:cs="宋体"/>
          <w:sz w:val="24"/>
          <w:szCs w:val="24"/>
        </w:rPr>
        <w:t>或符合《财政部关于政府采购竞争性磋商采购方式管理暂行办法有关问题的补充通知</w:t>
      </w:r>
      <w:bookmarkEnd w:id="62"/>
      <w:r>
        <w:rPr>
          <w:rFonts w:hint="eastAsia" w:ascii="宋体" w:hAnsi="宋体" w:cs="宋体"/>
          <w:sz w:val="24"/>
          <w:szCs w:val="24"/>
        </w:rPr>
        <w:t>》，采用竞争性磋商采购方式采购的政府购买服务项目（含政府和社会资本合作项目），在采购过程中符合要求的供应商（社会资本）只有2家的，竞争性磋商采购活动可以继续进行。 最后报价是供应商响应文件的有效组成部分。</w:t>
      </w:r>
    </w:p>
    <w:p>
      <w:pPr>
        <w:spacing w:line="360" w:lineRule="auto"/>
        <w:ind w:left="4" w:firstLine="475" w:firstLineChars="198"/>
        <w:rPr>
          <w:rFonts w:hint="eastAsia" w:ascii="宋体" w:hAnsi="宋体" w:cs="宋体"/>
          <w:sz w:val="24"/>
          <w:szCs w:val="24"/>
        </w:rPr>
      </w:pPr>
      <w:r>
        <w:rPr>
          <w:rFonts w:hint="eastAsia" w:ascii="宋体" w:hAnsi="宋体" w:cs="宋体"/>
          <w:sz w:val="24"/>
          <w:szCs w:val="24"/>
        </w:rPr>
        <w:t>经磋商确定最终采购需求和提交最后报价的供应商后，由磋商小组采用综合评分法对提交最后报价的供应商的响应文件和最后报价进行综合评分。</w:t>
      </w:r>
    </w:p>
    <w:p>
      <w:pPr>
        <w:numPr>
          <w:ilvl w:val="0"/>
          <w:numId w:val="8"/>
        </w:numPr>
        <w:spacing w:line="360" w:lineRule="auto"/>
        <w:rPr>
          <w:rFonts w:hint="eastAsia" w:ascii="宋体" w:hAnsi="宋体" w:cs="宋体"/>
          <w:b/>
          <w:sz w:val="24"/>
          <w:szCs w:val="24"/>
        </w:rPr>
      </w:pPr>
      <w:r>
        <w:rPr>
          <w:rFonts w:hint="eastAsia" w:ascii="宋体" w:hAnsi="宋体" w:cs="宋体"/>
          <w:b/>
          <w:sz w:val="24"/>
          <w:szCs w:val="24"/>
        </w:rPr>
        <w:t xml:space="preserve"> 比较与评价</w:t>
      </w:r>
    </w:p>
    <w:p>
      <w:pPr>
        <w:numPr>
          <w:ilvl w:val="1"/>
          <w:numId w:val="8"/>
        </w:numPr>
        <w:spacing w:line="360" w:lineRule="auto"/>
        <w:rPr>
          <w:rFonts w:hint="eastAsia" w:ascii="宋体" w:hAnsi="宋体" w:cs="宋体"/>
          <w:sz w:val="24"/>
          <w:szCs w:val="24"/>
        </w:rPr>
      </w:pPr>
      <w:r>
        <w:rPr>
          <w:rFonts w:hint="eastAsia" w:ascii="宋体" w:hAnsi="宋体" w:cs="宋体"/>
          <w:sz w:val="24"/>
          <w:szCs w:val="24"/>
        </w:rPr>
        <w:t>评审标准：见本文件第三章；</w:t>
      </w:r>
    </w:p>
    <w:p>
      <w:pPr>
        <w:numPr>
          <w:ilvl w:val="1"/>
          <w:numId w:val="8"/>
        </w:numPr>
        <w:spacing w:line="360" w:lineRule="auto"/>
        <w:ind w:left="7" w:firstLine="277"/>
        <w:rPr>
          <w:rFonts w:hint="eastAsia" w:ascii="宋体" w:hAnsi="宋体" w:cs="宋体"/>
          <w:sz w:val="24"/>
          <w:szCs w:val="24"/>
        </w:rPr>
      </w:pPr>
      <w:r>
        <w:rPr>
          <w:rFonts w:hint="eastAsia" w:ascii="宋体" w:hAnsi="宋体" w:cs="宋体"/>
          <w:sz w:val="24"/>
          <w:szCs w:val="24"/>
        </w:rPr>
        <w:t>磋商小组应当根据综合评分情况，按照评审得分由高到低顺序推荐3名以上成交候选供应商，并编写评审报告。符合《政府采购竞争性磋商采购方式管理暂行办法》第三条第四项情形的或符合《财政部关于政府采购竞争性磋商采购方式管理暂行办法有关问题的补充通知》的可以推荐2家成交候选供应商。评审得分相同的，按照最后报价由低到高的顺序推荐。评审得分且最后报价相同的，按照技术指标优劣顺序推荐。</w:t>
      </w:r>
    </w:p>
    <w:p>
      <w:pPr>
        <w:numPr>
          <w:ilvl w:val="1"/>
          <w:numId w:val="8"/>
        </w:numPr>
        <w:spacing w:line="360" w:lineRule="auto"/>
        <w:ind w:left="7" w:firstLine="277"/>
        <w:rPr>
          <w:rFonts w:hint="eastAsia" w:ascii="宋体" w:hAnsi="宋体" w:cs="宋体"/>
          <w:sz w:val="24"/>
          <w:szCs w:val="24"/>
        </w:rPr>
      </w:pPr>
      <w:r>
        <w:rPr>
          <w:rFonts w:hint="eastAsia" w:ascii="宋体" w:hAnsi="宋体" w:cs="宋体"/>
          <w:b/>
          <w:bCs/>
          <w:sz w:val="24"/>
          <w:szCs w:val="24"/>
        </w:rPr>
        <w:t>采购人从评审报告提出的成交候选供应商中，按照排序由高到低的原则确定成交供应商，也可以书面授权磋商小组直接确定成交供应商。</w:t>
      </w:r>
      <w:r>
        <w:rPr>
          <w:rFonts w:hint="eastAsia" w:ascii="宋体" w:hAnsi="宋体" w:cs="宋体"/>
          <w:sz w:val="24"/>
          <w:szCs w:val="24"/>
        </w:rPr>
        <w:t xml:space="preserve"> </w:t>
      </w:r>
    </w:p>
    <w:p>
      <w:pPr>
        <w:numPr>
          <w:ilvl w:val="0"/>
          <w:numId w:val="8"/>
        </w:numPr>
        <w:spacing w:line="360" w:lineRule="auto"/>
        <w:rPr>
          <w:rFonts w:hint="eastAsia" w:ascii="宋体" w:hAnsi="宋体" w:cs="宋体"/>
          <w:b/>
          <w:sz w:val="24"/>
          <w:szCs w:val="24"/>
        </w:rPr>
      </w:pPr>
      <w:r>
        <w:rPr>
          <w:rFonts w:hint="eastAsia" w:ascii="宋体" w:hAnsi="宋体" w:cs="宋体"/>
          <w:b/>
          <w:sz w:val="24"/>
          <w:szCs w:val="24"/>
        </w:rPr>
        <w:t xml:space="preserve"> 保密及其他注意事项</w:t>
      </w:r>
    </w:p>
    <w:p>
      <w:pPr>
        <w:keepNext w:val="0"/>
        <w:keepLines w:val="0"/>
        <w:pageBreakBefore w:val="0"/>
        <w:widowControl w:val="0"/>
        <w:numPr>
          <w:ilvl w:val="1"/>
          <w:numId w:val="8"/>
        </w:numPr>
        <w:kinsoku/>
        <w:wordWrap/>
        <w:overflowPunct/>
        <w:topLinePunct w:val="0"/>
        <w:autoSpaceDE/>
        <w:autoSpaceDN/>
        <w:bidi w:val="0"/>
        <w:adjustRightInd/>
        <w:snapToGrid/>
        <w:spacing w:line="360" w:lineRule="auto"/>
        <w:ind w:left="0" w:firstLine="283"/>
        <w:textAlignment w:val="auto"/>
        <w:rPr>
          <w:rFonts w:hint="eastAsia" w:ascii="宋体" w:hAnsi="宋体" w:cs="宋体"/>
          <w:sz w:val="24"/>
          <w:szCs w:val="24"/>
        </w:rPr>
      </w:pPr>
      <w:r>
        <w:rPr>
          <w:rFonts w:hint="eastAsia" w:ascii="宋体" w:hAnsi="宋体" w:cs="宋体"/>
          <w:sz w:val="24"/>
          <w:szCs w:val="24"/>
        </w:rPr>
        <w:t>磋商小组将遵照评审原则，公平、公正地对待所有供应商；</w:t>
      </w:r>
    </w:p>
    <w:p>
      <w:pPr>
        <w:keepNext w:val="0"/>
        <w:keepLines w:val="0"/>
        <w:pageBreakBefore w:val="0"/>
        <w:widowControl w:val="0"/>
        <w:numPr>
          <w:ilvl w:val="1"/>
          <w:numId w:val="8"/>
        </w:numPr>
        <w:kinsoku/>
        <w:wordWrap/>
        <w:overflowPunct/>
        <w:topLinePunct w:val="0"/>
        <w:autoSpaceDE/>
        <w:autoSpaceDN/>
        <w:bidi w:val="0"/>
        <w:adjustRightInd/>
        <w:snapToGrid/>
        <w:spacing w:line="360" w:lineRule="auto"/>
        <w:ind w:left="0" w:firstLine="283"/>
        <w:textAlignment w:val="auto"/>
        <w:rPr>
          <w:rFonts w:hint="eastAsia" w:ascii="宋体" w:hAnsi="宋体" w:cs="宋体"/>
          <w:sz w:val="24"/>
          <w:szCs w:val="24"/>
        </w:rPr>
      </w:pPr>
      <w:r>
        <w:rPr>
          <w:rFonts w:hint="eastAsia" w:ascii="宋体" w:hAnsi="宋体" w:cs="宋体"/>
          <w:sz w:val="24"/>
          <w:szCs w:val="24"/>
        </w:rPr>
        <w:t>在评审期间，供应商不得向磋商小组成员询问评审情况，不得进行旨在影响成交结果的活动.</w:t>
      </w:r>
    </w:p>
    <w:p>
      <w:pPr>
        <w:numPr>
          <w:ilvl w:val="0"/>
          <w:numId w:val="8"/>
        </w:numPr>
        <w:spacing w:line="360" w:lineRule="auto"/>
        <w:rPr>
          <w:rFonts w:hint="eastAsia" w:ascii="宋体" w:hAnsi="宋体" w:cs="宋体"/>
          <w:b/>
          <w:sz w:val="24"/>
          <w:szCs w:val="24"/>
        </w:rPr>
      </w:pPr>
      <w:r>
        <w:rPr>
          <w:rFonts w:hint="eastAsia" w:ascii="宋体" w:hAnsi="宋体" w:cs="宋体"/>
          <w:b/>
          <w:sz w:val="24"/>
          <w:szCs w:val="24"/>
        </w:rPr>
        <w:t xml:space="preserve"> 出现下列情形之一的，采购人或者采购代理机构应当终止竞争性磋商采购活动，发布项目终止公告并说明原因，重新开展采购活动：</w:t>
      </w:r>
    </w:p>
    <w:p>
      <w:pPr>
        <w:numPr>
          <w:ilvl w:val="0"/>
          <w:numId w:val="14"/>
        </w:numPr>
        <w:spacing w:line="360" w:lineRule="auto"/>
        <w:rPr>
          <w:rFonts w:hint="eastAsia" w:ascii="宋体" w:hAnsi="宋体" w:cs="宋体"/>
          <w:sz w:val="24"/>
          <w:szCs w:val="24"/>
        </w:rPr>
      </w:pPr>
      <w:r>
        <w:rPr>
          <w:rFonts w:hint="eastAsia" w:ascii="宋体" w:hAnsi="宋体" w:cs="宋体"/>
          <w:sz w:val="24"/>
          <w:szCs w:val="24"/>
        </w:rPr>
        <w:t>因情况变化，不再符合规定的竞争性磋商采购方式适用情形的；</w:t>
      </w:r>
    </w:p>
    <w:p>
      <w:pPr>
        <w:numPr>
          <w:ilvl w:val="0"/>
          <w:numId w:val="14"/>
        </w:numPr>
        <w:spacing w:line="360" w:lineRule="auto"/>
        <w:rPr>
          <w:rFonts w:hint="eastAsia" w:ascii="宋体" w:hAnsi="宋体" w:cs="宋体"/>
          <w:sz w:val="24"/>
          <w:szCs w:val="24"/>
        </w:rPr>
      </w:pPr>
      <w:r>
        <w:rPr>
          <w:rFonts w:hint="eastAsia" w:ascii="宋体" w:hAnsi="宋体" w:cs="宋体"/>
          <w:sz w:val="24"/>
          <w:szCs w:val="24"/>
        </w:rPr>
        <w:t>出现影响采购公正的违法、违规行为的；</w:t>
      </w:r>
    </w:p>
    <w:p>
      <w:pPr>
        <w:numPr>
          <w:ilvl w:val="0"/>
          <w:numId w:val="14"/>
        </w:numPr>
        <w:spacing w:line="360" w:lineRule="auto"/>
        <w:rPr>
          <w:rFonts w:hint="eastAsia" w:ascii="宋体" w:hAnsi="宋体" w:cs="宋体"/>
          <w:sz w:val="24"/>
          <w:szCs w:val="24"/>
        </w:rPr>
      </w:pPr>
      <w:r>
        <w:rPr>
          <w:rFonts w:hint="eastAsia" w:ascii="宋体" w:hAnsi="宋体" w:cs="宋体"/>
          <w:sz w:val="24"/>
          <w:szCs w:val="24"/>
        </w:rPr>
        <w:t>除《政府采购竞争性磋商采购方式管理暂行办法》第三条第四项和《财政部关于政府采购竞争性磋商采购方式管理暂行办法有关问题的补充通知》中规定的情形外，在采购过程中符合要求的供应商或者报价未超过采购预算的供应商不足3家的。</w:t>
      </w:r>
    </w:p>
    <w:p>
      <w:pPr>
        <w:pStyle w:val="6"/>
        <w:spacing w:line="440" w:lineRule="exact"/>
        <w:jc w:val="center"/>
        <w:rPr>
          <w:rFonts w:hint="eastAsia" w:ascii="宋体" w:hAnsi="宋体" w:eastAsia="宋体" w:cs="宋体"/>
          <w:sz w:val="32"/>
          <w:szCs w:val="32"/>
        </w:rPr>
      </w:pPr>
      <w:r>
        <w:rPr>
          <w:rFonts w:hint="eastAsia" w:ascii="宋体" w:hAnsi="宋体" w:eastAsia="宋体" w:cs="宋体"/>
          <w:sz w:val="32"/>
          <w:szCs w:val="32"/>
        </w:rPr>
        <w:t xml:space="preserve">  </w:t>
      </w:r>
      <w:bookmarkStart w:id="63" w:name="_Toc5841"/>
      <w:bookmarkStart w:id="64" w:name="_Toc19608"/>
      <w:bookmarkStart w:id="65" w:name="_Toc477423248"/>
      <w:bookmarkStart w:id="66" w:name="_Toc487805908"/>
      <w:bookmarkStart w:id="67" w:name="_Toc490161265"/>
      <w:r>
        <w:rPr>
          <w:rFonts w:hint="eastAsia" w:ascii="宋体" w:hAnsi="宋体" w:eastAsia="宋体" w:cs="宋体"/>
          <w:sz w:val="32"/>
          <w:szCs w:val="32"/>
        </w:rPr>
        <w:t>六、成交和合同</w:t>
      </w:r>
      <w:bookmarkEnd w:id="63"/>
      <w:bookmarkEnd w:id="64"/>
      <w:bookmarkEnd w:id="65"/>
      <w:bookmarkEnd w:id="66"/>
      <w:bookmarkEnd w:id="67"/>
    </w:p>
    <w:p>
      <w:pPr>
        <w:numPr>
          <w:ilvl w:val="0"/>
          <w:numId w:val="8"/>
        </w:numPr>
        <w:spacing w:line="360" w:lineRule="auto"/>
        <w:rPr>
          <w:rFonts w:hint="eastAsia" w:ascii="宋体" w:hAnsi="宋体" w:cs="宋体"/>
          <w:b/>
          <w:sz w:val="24"/>
          <w:szCs w:val="24"/>
        </w:rPr>
      </w:pPr>
      <w:r>
        <w:rPr>
          <w:rFonts w:hint="eastAsia" w:ascii="宋体" w:hAnsi="宋体" w:cs="宋体"/>
          <w:b/>
          <w:sz w:val="24"/>
          <w:szCs w:val="24"/>
        </w:rPr>
        <w:t xml:space="preserve"> 成交通知</w:t>
      </w:r>
    </w:p>
    <w:p>
      <w:pPr>
        <w:numPr>
          <w:ilvl w:val="1"/>
          <w:numId w:val="8"/>
        </w:numPr>
        <w:spacing w:line="360" w:lineRule="auto"/>
        <w:rPr>
          <w:rFonts w:hint="eastAsia" w:ascii="宋体" w:hAnsi="宋体" w:cs="宋体"/>
          <w:sz w:val="24"/>
          <w:szCs w:val="24"/>
        </w:rPr>
      </w:pPr>
      <w:r>
        <w:rPr>
          <w:rFonts w:hint="eastAsia" w:ascii="宋体" w:hAnsi="宋体" w:cs="宋体"/>
          <w:sz w:val="24"/>
          <w:szCs w:val="24"/>
        </w:rPr>
        <w:t>成交供应商确定后，成交结果将在“原公告发布媒体”上进行公告。</w:t>
      </w:r>
    </w:p>
    <w:p>
      <w:pPr>
        <w:numPr>
          <w:ilvl w:val="1"/>
          <w:numId w:val="8"/>
        </w:numPr>
        <w:spacing w:line="360" w:lineRule="auto"/>
        <w:rPr>
          <w:rFonts w:hint="eastAsia" w:ascii="宋体" w:hAnsi="宋体" w:cs="宋体"/>
          <w:sz w:val="24"/>
          <w:szCs w:val="24"/>
        </w:rPr>
      </w:pPr>
      <w:r>
        <w:rPr>
          <w:rFonts w:hint="eastAsia" w:ascii="宋体" w:hAnsi="宋体" w:cs="宋体"/>
          <w:sz w:val="24"/>
          <w:szCs w:val="24"/>
        </w:rPr>
        <w:t>在发布成交公告的同时向成交供应商发出成交通知书；</w:t>
      </w:r>
    </w:p>
    <w:p>
      <w:pPr>
        <w:numPr>
          <w:ilvl w:val="1"/>
          <w:numId w:val="8"/>
        </w:numPr>
        <w:spacing w:line="360" w:lineRule="auto"/>
        <w:rPr>
          <w:rFonts w:hint="eastAsia" w:ascii="宋体" w:hAnsi="宋体" w:cs="宋体"/>
          <w:sz w:val="24"/>
          <w:szCs w:val="24"/>
        </w:rPr>
      </w:pPr>
      <w:r>
        <w:rPr>
          <w:rFonts w:hint="eastAsia" w:ascii="宋体" w:hAnsi="宋体" w:cs="宋体"/>
          <w:sz w:val="24"/>
          <w:szCs w:val="24"/>
        </w:rPr>
        <w:t>成交通知书将作为签订合同的依据。</w:t>
      </w:r>
    </w:p>
    <w:p>
      <w:pPr>
        <w:numPr>
          <w:ilvl w:val="1"/>
          <w:numId w:val="8"/>
        </w:numPr>
        <w:spacing w:line="360" w:lineRule="auto"/>
        <w:ind w:left="283" w:firstLine="0"/>
        <w:rPr>
          <w:rFonts w:hint="eastAsia"/>
          <w:sz w:val="24"/>
          <w:szCs w:val="24"/>
        </w:rPr>
      </w:pPr>
      <w:r>
        <w:rPr>
          <w:rFonts w:hint="eastAsia" w:ascii="宋体" w:hAnsi="宋体" w:cs="宋体"/>
          <w:sz w:val="24"/>
          <w:szCs w:val="24"/>
        </w:rPr>
        <w:t>履约担保（如有）：成交供应商应按磋商文件的规定在签订合同前向采购人交纳履约担保。过期不交的将取消其成交资格，另行确定成交供应商。</w:t>
      </w:r>
    </w:p>
    <w:bookmarkEnd w:id="59"/>
    <w:bookmarkEnd w:id="60"/>
    <w:p>
      <w:pPr>
        <w:numPr>
          <w:ilvl w:val="0"/>
          <w:numId w:val="8"/>
        </w:numPr>
        <w:spacing w:line="360" w:lineRule="auto"/>
        <w:rPr>
          <w:rFonts w:hint="eastAsia" w:ascii="宋体" w:hAnsi="宋体" w:cs="宋体"/>
          <w:b/>
          <w:sz w:val="24"/>
          <w:szCs w:val="24"/>
        </w:rPr>
      </w:pPr>
      <w:r>
        <w:rPr>
          <w:rFonts w:hint="eastAsia" w:ascii="宋体" w:hAnsi="宋体" w:cs="宋体"/>
          <w:b/>
          <w:sz w:val="24"/>
          <w:szCs w:val="24"/>
        </w:rPr>
        <w:t xml:space="preserve"> 签订合同及合同的执行</w:t>
      </w:r>
    </w:p>
    <w:p>
      <w:pPr>
        <w:pStyle w:val="15"/>
        <w:keepNext w:val="0"/>
        <w:keepLines w:val="0"/>
        <w:pageBreakBefore w:val="0"/>
        <w:widowControl w:val="0"/>
        <w:tabs>
          <w:tab w:val="left" w:pos="0"/>
        </w:tabs>
        <w:kinsoku/>
        <w:wordWrap/>
        <w:overflowPunct/>
        <w:topLinePunct w:val="0"/>
        <w:autoSpaceDE/>
        <w:autoSpaceDN/>
        <w:bidi w:val="0"/>
        <w:adjustRightInd/>
        <w:snapToGrid/>
        <w:spacing w:after="0" w:line="360" w:lineRule="auto"/>
        <w:ind w:left="0" w:firstLine="480" w:firstLineChars="200"/>
        <w:textAlignment w:val="auto"/>
        <w:rPr>
          <w:rFonts w:hint="eastAsia" w:ascii="宋体" w:hAnsi="宋体" w:cs="宋体"/>
          <w:sz w:val="24"/>
          <w:szCs w:val="24"/>
        </w:rPr>
      </w:pPr>
      <w:r>
        <w:rPr>
          <w:rFonts w:hint="eastAsia" w:ascii="宋体" w:hAnsi="宋体" w:cs="宋体"/>
          <w:sz w:val="24"/>
          <w:szCs w:val="24"/>
        </w:rPr>
        <w:t>30.1采购人与成交供应商应当在成交通知书发出之日起30日内（供应商须知前附表另有规定者从其规定），签订政府采购合同。</w:t>
      </w:r>
    </w:p>
    <w:p>
      <w:pPr>
        <w:pStyle w:val="15"/>
        <w:keepNext w:val="0"/>
        <w:keepLines w:val="0"/>
        <w:pageBreakBefore w:val="0"/>
        <w:widowControl w:val="0"/>
        <w:tabs>
          <w:tab w:val="left" w:pos="0"/>
        </w:tabs>
        <w:kinsoku/>
        <w:wordWrap/>
        <w:overflowPunct/>
        <w:topLinePunct w:val="0"/>
        <w:autoSpaceDE/>
        <w:autoSpaceDN/>
        <w:bidi w:val="0"/>
        <w:adjustRightInd/>
        <w:snapToGrid/>
        <w:spacing w:after="0" w:line="360" w:lineRule="auto"/>
        <w:ind w:left="0" w:firstLine="480" w:firstLineChars="200"/>
        <w:textAlignment w:val="auto"/>
        <w:rPr>
          <w:rFonts w:hint="eastAsia" w:ascii="宋体" w:hAnsi="宋体" w:cs="宋体"/>
          <w:sz w:val="24"/>
          <w:szCs w:val="24"/>
        </w:rPr>
      </w:pPr>
      <w:r>
        <w:rPr>
          <w:rFonts w:hint="eastAsia" w:ascii="宋体" w:hAnsi="宋体" w:cs="宋体"/>
          <w:sz w:val="24"/>
          <w:szCs w:val="24"/>
        </w:rPr>
        <w:t>30.2磋商文件及修改文件、成交供应商的响应文件、补充或修改的文件及澄清或承诺文件等，均为双方签订合同的组成部分，并与合同一并作为本磋商所列采购项目的互补性法律文件，与合同具有同等法律效力；</w:t>
      </w:r>
    </w:p>
    <w:p>
      <w:pPr>
        <w:pStyle w:val="15"/>
        <w:keepNext w:val="0"/>
        <w:keepLines w:val="0"/>
        <w:pageBreakBefore w:val="0"/>
        <w:widowControl w:val="0"/>
        <w:tabs>
          <w:tab w:val="left" w:pos="0"/>
        </w:tabs>
        <w:kinsoku/>
        <w:wordWrap/>
        <w:overflowPunct/>
        <w:topLinePunct w:val="0"/>
        <w:autoSpaceDE/>
        <w:autoSpaceDN/>
        <w:bidi w:val="0"/>
        <w:adjustRightInd/>
        <w:snapToGrid/>
        <w:spacing w:after="0" w:line="360" w:lineRule="auto"/>
        <w:ind w:left="0" w:firstLine="480" w:firstLineChars="200"/>
        <w:textAlignment w:val="auto"/>
        <w:rPr>
          <w:rFonts w:hint="eastAsia" w:ascii="宋体" w:hAnsi="宋体" w:cs="宋体"/>
          <w:sz w:val="24"/>
          <w:szCs w:val="24"/>
        </w:rPr>
      </w:pPr>
      <w:r>
        <w:rPr>
          <w:rFonts w:hint="eastAsia" w:ascii="宋体" w:hAnsi="宋体" w:cs="宋体"/>
          <w:sz w:val="24"/>
          <w:szCs w:val="24"/>
        </w:rPr>
        <w:t>30.3成交供应商应在采购合同签订之日起三个工作日内将合同报武陟县公共资源交易中心、武陟县</w:t>
      </w:r>
      <w:r>
        <w:rPr>
          <w:rFonts w:hint="eastAsia" w:ascii="宋体" w:hAnsi="宋体" w:cs="宋体"/>
          <w:sz w:val="24"/>
          <w:szCs w:val="24"/>
          <w:lang w:eastAsia="zh-CN"/>
        </w:rPr>
        <w:t>财政综合服务中心政府采购股</w:t>
      </w:r>
      <w:r>
        <w:rPr>
          <w:rFonts w:hint="eastAsia" w:ascii="宋体" w:hAnsi="宋体" w:cs="宋体"/>
          <w:sz w:val="24"/>
          <w:szCs w:val="24"/>
        </w:rPr>
        <w:t>备案；</w:t>
      </w:r>
    </w:p>
    <w:p>
      <w:pPr>
        <w:pStyle w:val="15"/>
        <w:keepNext w:val="0"/>
        <w:keepLines w:val="0"/>
        <w:pageBreakBefore w:val="0"/>
        <w:widowControl w:val="0"/>
        <w:tabs>
          <w:tab w:val="left" w:pos="0"/>
        </w:tabs>
        <w:kinsoku/>
        <w:wordWrap/>
        <w:overflowPunct/>
        <w:topLinePunct w:val="0"/>
        <w:autoSpaceDE/>
        <w:autoSpaceDN/>
        <w:bidi w:val="0"/>
        <w:adjustRightInd/>
        <w:snapToGrid/>
        <w:spacing w:after="0" w:line="360" w:lineRule="auto"/>
        <w:ind w:left="0" w:firstLine="480" w:firstLineChars="200"/>
        <w:textAlignment w:val="auto"/>
        <w:rPr>
          <w:rFonts w:hint="eastAsia" w:ascii="宋体" w:hAnsi="宋体" w:cs="宋体"/>
          <w:sz w:val="24"/>
          <w:szCs w:val="24"/>
        </w:rPr>
      </w:pPr>
      <w:r>
        <w:rPr>
          <w:rFonts w:hint="eastAsia" w:ascii="宋体" w:hAnsi="宋体" w:cs="宋体"/>
          <w:sz w:val="24"/>
          <w:szCs w:val="24"/>
        </w:rPr>
        <w:t>30.4合同双方如违约，将按《中华人民共和国民法典》、《中华人民共和国政府采购法》及有关法律法规中的规定执行。</w:t>
      </w:r>
    </w:p>
    <w:p>
      <w:pPr>
        <w:pStyle w:val="15"/>
        <w:keepNext w:val="0"/>
        <w:keepLines w:val="0"/>
        <w:pageBreakBefore w:val="0"/>
        <w:widowControl w:val="0"/>
        <w:tabs>
          <w:tab w:val="left" w:pos="0"/>
        </w:tabs>
        <w:kinsoku/>
        <w:wordWrap/>
        <w:overflowPunct/>
        <w:topLinePunct w:val="0"/>
        <w:autoSpaceDE/>
        <w:autoSpaceDN/>
        <w:bidi w:val="0"/>
        <w:adjustRightInd/>
        <w:snapToGrid/>
        <w:spacing w:after="0" w:line="360" w:lineRule="auto"/>
        <w:ind w:left="0" w:firstLine="480" w:firstLineChars="200"/>
        <w:textAlignment w:val="auto"/>
        <w:rPr>
          <w:rFonts w:hint="eastAsia" w:ascii="宋体" w:hAnsi="宋体" w:cs="宋体"/>
          <w:sz w:val="24"/>
          <w:szCs w:val="24"/>
        </w:rPr>
      </w:pPr>
      <w:r>
        <w:rPr>
          <w:rFonts w:hint="eastAsia" w:ascii="宋体" w:hAnsi="宋体" w:cs="宋体"/>
          <w:sz w:val="24"/>
          <w:szCs w:val="24"/>
        </w:rPr>
        <w:t>30.5根据《政府采购促进中小企业发展管理办法》规定，成交供应商为小微企业的不得将合同分包给大中型企业，成交供应商为中型企业的不得将合同分包给大型企业。</w:t>
      </w:r>
    </w:p>
    <w:p>
      <w:pPr>
        <w:numPr>
          <w:ilvl w:val="0"/>
          <w:numId w:val="8"/>
        </w:numPr>
        <w:spacing w:line="360" w:lineRule="auto"/>
        <w:rPr>
          <w:rFonts w:hint="eastAsia" w:ascii="宋体" w:hAnsi="宋体" w:cs="宋体"/>
          <w:b/>
          <w:sz w:val="24"/>
          <w:szCs w:val="24"/>
        </w:rPr>
      </w:pPr>
      <w:r>
        <w:rPr>
          <w:rFonts w:hint="eastAsia" w:ascii="宋体" w:hAnsi="宋体" w:cs="宋体"/>
          <w:b/>
          <w:sz w:val="24"/>
          <w:szCs w:val="24"/>
        </w:rPr>
        <w:t xml:space="preserve"> 质疑</w:t>
      </w:r>
    </w:p>
    <w:p>
      <w:pPr>
        <w:keepNext w:val="0"/>
        <w:keepLines w:val="0"/>
        <w:pageBreakBefore w:val="0"/>
        <w:widowControl w:val="0"/>
        <w:numPr>
          <w:ilvl w:val="1"/>
          <w:numId w:val="8"/>
        </w:numPr>
        <w:kinsoku/>
        <w:wordWrap/>
        <w:overflowPunct/>
        <w:topLinePunct w:val="0"/>
        <w:autoSpaceDE/>
        <w:autoSpaceDN/>
        <w:bidi w:val="0"/>
        <w:adjustRightInd/>
        <w:snapToGrid/>
        <w:spacing w:line="360" w:lineRule="auto"/>
        <w:ind w:left="0" w:firstLine="480" w:firstLineChars="200"/>
        <w:textAlignment w:val="auto"/>
        <w:rPr>
          <w:rFonts w:hint="eastAsia" w:ascii="宋体" w:hAnsi="宋体" w:cs="宋体"/>
          <w:sz w:val="24"/>
          <w:szCs w:val="24"/>
        </w:rPr>
      </w:pPr>
      <w:r>
        <w:rPr>
          <w:rFonts w:hint="eastAsia" w:ascii="宋体" w:hAnsi="宋体" w:cs="宋体"/>
          <w:sz w:val="24"/>
          <w:szCs w:val="24"/>
        </w:rPr>
        <w:t>供应商认为磋商文件、磋商过程、成交结果使自己的权益受到损害的，可以在知道或者应知其权益受到损害之日起7个工作日内，以书面形式向采购人、采购代理机构提出质疑。</w:t>
      </w:r>
    </w:p>
    <w:p>
      <w:pPr>
        <w:keepNext w:val="0"/>
        <w:keepLines w:val="0"/>
        <w:pageBreakBefore w:val="0"/>
        <w:widowControl w:val="0"/>
        <w:numPr>
          <w:ilvl w:val="1"/>
          <w:numId w:val="8"/>
        </w:numPr>
        <w:kinsoku/>
        <w:wordWrap/>
        <w:overflowPunct/>
        <w:topLinePunct w:val="0"/>
        <w:autoSpaceDE/>
        <w:autoSpaceDN/>
        <w:bidi w:val="0"/>
        <w:adjustRightInd/>
        <w:snapToGrid/>
        <w:spacing w:line="360" w:lineRule="auto"/>
        <w:ind w:left="0" w:firstLine="480" w:firstLineChars="200"/>
        <w:textAlignment w:val="auto"/>
        <w:rPr>
          <w:rFonts w:hint="eastAsia" w:ascii="宋体" w:hAnsi="宋体" w:cs="宋体"/>
          <w:sz w:val="24"/>
          <w:szCs w:val="24"/>
        </w:rPr>
      </w:pPr>
      <w:r>
        <w:rPr>
          <w:rFonts w:hint="eastAsia" w:ascii="宋体" w:hAnsi="宋体" w:cs="宋体"/>
          <w:sz w:val="24"/>
          <w:szCs w:val="24"/>
        </w:rPr>
        <w:t>供应商应在法定质疑期内一次性提出针对同一采购程序环节的质疑。</w:t>
      </w:r>
    </w:p>
    <w:p>
      <w:pPr>
        <w:keepNext w:val="0"/>
        <w:keepLines w:val="0"/>
        <w:pageBreakBefore w:val="0"/>
        <w:widowControl w:val="0"/>
        <w:numPr>
          <w:ilvl w:val="1"/>
          <w:numId w:val="8"/>
        </w:numPr>
        <w:kinsoku/>
        <w:wordWrap/>
        <w:overflowPunct/>
        <w:topLinePunct w:val="0"/>
        <w:autoSpaceDE/>
        <w:autoSpaceDN/>
        <w:bidi w:val="0"/>
        <w:adjustRightInd/>
        <w:snapToGrid/>
        <w:spacing w:line="360" w:lineRule="auto"/>
        <w:ind w:left="0" w:firstLine="480" w:firstLineChars="200"/>
        <w:textAlignment w:val="auto"/>
        <w:rPr>
          <w:rFonts w:hint="eastAsia" w:ascii="宋体" w:hAnsi="宋体" w:cs="宋体"/>
          <w:sz w:val="24"/>
          <w:szCs w:val="24"/>
        </w:rPr>
      </w:pPr>
      <w:r>
        <w:rPr>
          <w:rFonts w:hint="eastAsia" w:ascii="宋体" w:hAnsi="宋体" w:cs="宋体"/>
          <w:sz w:val="24"/>
          <w:szCs w:val="24"/>
        </w:rPr>
        <w:t>提出质疑的供应商应当是参与所质疑项目采购活动的供应商。</w:t>
      </w:r>
    </w:p>
    <w:p>
      <w:pPr>
        <w:keepNext w:val="0"/>
        <w:keepLines w:val="0"/>
        <w:pageBreakBefore w:val="0"/>
        <w:widowControl w:val="0"/>
        <w:numPr>
          <w:ilvl w:val="1"/>
          <w:numId w:val="8"/>
        </w:numPr>
        <w:kinsoku/>
        <w:wordWrap/>
        <w:overflowPunct/>
        <w:topLinePunct w:val="0"/>
        <w:autoSpaceDE/>
        <w:autoSpaceDN/>
        <w:bidi w:val="0"/>
        <w:adjustRightInd/>
        <w:snapToGrid/>
        <w:spacing w:line="360" w:lineRule="auto"/>
        <w:ind w:left="0" w:firstLine="480" w:firstLineChars="200"/>
        <w:textAlignment w:val="auto"/>
        <w:rPr>
          <w:rFonts w:hint="eastAsia" w:ascii="宋体" w:hAnsi="宋体" w:cs="宋体"/>
          <w:sz w:val="24"/>
          <w:szCs w:val="24"/>
        </w:rPr>
      </w:pPr>
      <w:r>
        <w:rPr>
          <w:rFonts w:hint="eastAsia" w:ascii="宋体" w:hAnsi="宋体" w:cs="宋体"/>
          <w:sz w:val="24"/>
          <w:szCs w:val="24"/>
        </w:rPr>
        <w:t>潜在供应商已依法获取其可质疑的磋商文件的，可以对该文件提出质疑。对磋商文件提出质疑的，应当在获取磋商文件之日起7个工作日内提出。</w:t>
      </w:r>
    </w:p>
    <w:p>
      <w:pPr>
        <w:keepNext w:val="0"/>
        <w:keepLines w:val="0"/>
        <w:pageBreakBefore w:val="0"/>
        <w:widowControl w:val="0"/>
        <w:numPr>
          <w:ilvl w:val="1"/>
          <w:numId w:val="8"/>
        </w:numPr>
        <w:kinsoku/>
        <w:wordWrap/>
        <w:overflowPunct/>
        <w:topLinePunct w:val="0"/>
        <w:autoSpaceDE/>
        <w:autoSpaceDN/>
        <w:bidi w:val="0"/>
        <w:adjustRightInd/>
        <w:snapToGrid/>
        <w:spacing w:line="360" w:lineRule="auto"/>
        <w:ind w:left="0" w:firstLine="480" w:firstLineChars="200"/>
        <w:textAlignment w:val="auto"/>
        <w:rPr>
          <w:rFonts w:hint="eastAsia" w:ascii="宋体" w:hAnsi="宋体" w:cs="宋体"/>
          <w:sz w:val="24"/>
          <w:szCs w:val="24"/>
        </w:rPr>
      </w:pPr>
      <w:r>
        <w:rPr>
          <w:rFonts w:hint="eastAsia" w:ascii="宋体" w:hAnsi="宋体" w:cs="宋体"/>
          <w:sz w:val="24"/>
          <w:szCs w:val="24"/>
        </w:rPr>
        <w:t>供应商提出质疑应当提交质疑函和必要的证明材料。</w:t>
      </w:r>
    </w:p>
    <w:p>
      <w:pPr>
        <w:keepNext w:val="0"/>
        <w:keepLines w:val="0"/>
        <w:pageBreakBefore w:val="0"/>
        <w:widowControl w:val="0"/>
        <w:numPr>
          <w:ilvl w:val="1"/>
          <w:numId w:val="8"/>
        </w:numPr>
        <w:kinsoku/>
        <w:wordWrap/>
        <w:overflowPunct/>
        <w:topLinePunct w:val="0"/>
        <w:autoSpaceDE/>
        <w:autoSpaceDN/>
        <w:bidi w:val="0"/>
        <w:adjustRightInd/>
        <w:snapToGrid/>
        <w:spacing w:line="360" w:lineRule="auto"/>
        <w:ind w:left="0" w:firstLine="480" w:firstLineChars="200"/>
        <w:textAlignment w:val="auto"/>
        <w:rPr>
          <w:rFonts w:hint="eastAsia" w:ascii="宋体" w:hAnsi="宋体" w:cs="宋体"/>
          <w:sz w:val="24"/>
          <w:szCs w:val="24"/>
        </w:rPr>
      </w:pPr>
      <w:r>
        <w:rPr>
          <w:rFonts w:hint="eastAsia" w:ascii="宋体" w:hAnsi="宋体" w:cs="宋体"/>
          <w:sz w:val="24"/>
          <w:szCs w:val="24"/>
        </w:rPr>
        <w:t>供应商不得虚假质疑和恶意质疑，并对质疑内容的真实性承担责任。供应商或者其他利害关系人通过捏造事实、伪造证明材料等方式提出异议或投诉，阻碍采购活动正常进行的，属于严重不良行为，采购代理机构将提请政府采购监管部门将其列入不良行为记录名单，依法予以处罚。</w:t>
      </w:r>
    </w:p>
    <w:p>
      <w:pPr>
        <w:keepNext w:val="0"/>
        <w:keepLines w:val="0"/>
        <w:pageBreakBefore w:val="0"/>
        <w:widowControl w:val="0"/>
        <w:numPr>
          <w:ilvl w:val="1"/>
          <w:numId w:val="8"/>
        </w:numPr>
        <w:kinsoku/>
        <w:wordWrap/>
        <w:overflowPunct/>
        <w:topLinePunct w:val="0"/>
        <w:autoSpaceDE/>
        <w:autoSpaceDN/>
        <w:bidi w:val="0"/>
        <w:adjustRightInd/>
        <w:snapToGrid/>
        <w:spacing w:line="360" w:lineRule="auto"/>
        <w:ind w:left="0" w:firstLine="480" w:firstLineChars="200"/>
        <w:textAlignment w:val="auto"/>
        <w:rPr>
          <w:rFonts w:hint="eastAsia" w:ascii="宋体" w:hAnsi="宋体" w:cs="宋体"/>
          <w:sz w:val="24"/>
          <w:szCs w:val="24"/>
        </w:rPr>
      </w:pPr>
      <w:r>
        <w:rPr>
          <w:rFonts w:hint="eastAsia" w:ascii="宋体" w:hAnsi="宋体" w:cs="宋体"/>
          <w:sz w:val="24"/>
          <w:szCs w:val="24"/>
        </w:rPr>
        <w:t>质疑文件格式详见《中国政府采购网》下载专区“</w:t>
      </w:r>
      <w:r>
        <w:rPr>
          <w:rFonts w:hint="eastAsia" w:ascii="宋体" w:hAnsi="宋体" w:cs="宋体"/>
          <w:sz w:val="24"/>
          <w:szCs w:val="24"/>
        </w:rPr>
        <w:fldChar w:fldCharType="begin"/>
      </w:r>
      <w:r>
        <w:rPr>
          <w:rFonts w:hint="eastAsia" w:ascii="宋体" w:hAnsi="宋体" w:cs="宋体"/>
          <w:sz w:val="24"/>
          <w:szCs w:val="24"/>
        </w:rPr>
        <w:instrText xml:space="preserve">HYPERLINK "http://download.ccgp.gov.cn/2018/zhiyihanfanben.zip"</w:instrText>
      </w:r>
      <w:r>
        <w:rPr>
          <w:rFonts w:hint="eastAsia" w:ascii="宋体" w:hAnsi="宋体" w:cs="宋体"/>
          <w:sz w:val="24"/>
          <w:szCs w:val="24"/>
        </w:rPr>
        <w:fldChar w:fldCharType="separate"/>
      </w:r>
      <w:r>
        <w:rPr>
          <w:rFonts w:hint="eastAsia" w:ascii="宋体" w:hAnsi="宋体" w:cs="宋体"/>
          <w:sz w:val="24"/>
          <w:szCs w:val="24"/>
        </w:rPr>
        <w:t>政府采购供应商质疑函范本</w:t>
      </w:r>
      <w:r>
        <w:rPr>
          <w:rFonts w:hint="eastAsia" w:ascii="宋体" w:hAnsi="宋体" w:cs="宋体"/>
          <w:sz w:val="24"/>
          <w:szCs w:val="24"/>
        </w:rPr>
        <w:fldChar w:fldCharType="end"/>
      </w:r>
      <w:r>
        <w:rPr>
          <w:rFonts w:hint="eastAsia" w:ascii="宋体" w:hAnsi="宋体" w:cs="宋体"/>
          <w:sz w:val="24"/>
          <w:szCs w:val="24"/>
        </w:rPr>
        <w:t>”，并按照“谁主张、谁举证”的原则，附上相关证明材料。否则，采购人或采购代理机构不予受理, 质疑文件及相关证明材料一式二份，采购人、采购代理机构各执一份。</w:t>
      </w:r>
    </w:p>
    <w:p>
      <w:pPr>
        <w:keepNext w:val="0"/>
        <w:keepLines w:val="0"/>
        <w:pageBreakBefore w:val="0"/>
        <w:widowControl w:val="0"/>
        <w:numPr>
          <w:ilvl w:val="1"/>
          <w:numId w:val="8"/>
        </w:numPr>
        <w:kinsoku/>
        <w:wordWrap/>
        <w:overflowPunct/>
        <w:topLinePunct w:val="0"/>
        <w:autoSpaceDE/>
        <w:autoSpaceDN/>
        <w:bidi w:val="0"/>
        <w:adjustRightInd/>
        <w:snapToGrid/>
        <w:spacing w:line="360" w:lineRule="auto"/>
        <w:ind w:left="0" w:firstLine="480" w:firstLineChars="200"/>
        <w:textAlignment w:val="auto"/>
        <w:rPr>
          <w:rFonts w:hint="eastAsia" w:ascii="宋体" w:hAnsi="宋体" w:cs="宋体"/>
          <w:sz w:val="24"/>
          <w:szCs w:val="24"/>
        </w:rPr>
      </w:pPr>
      <w:r>
        <w:rPr>
          <w:rFonts w:hint="eastAsia" w:ascii="宋体" w:hAnsi="宋体" w:cs="宋体"/>
          <w:sz w:val="24"/>
          <w:szCs w:val="24"/>
        </w:rPr>
        <w:t>供应商可以委托代理人进行质疑。其授权委托书应当载明代理人的姓名或者名称、代理事项、具体权限、期限和相关事项。供应商为自然人的，应当由本人签字；供应商为法人或者其他组织的，应当由法定代表人、主要负责人签字或者盖章，并加盖公章。代理人提出质疑，应当提交供应商签署的授权委托书。</w:t>
      </w:r>
    </w:p>
    <w:p>
      <w:pPr>
        <w:keepNext w:val="0"/>
        <w:keepLines w:val="0"/>
        <w:pageBreakBefore w:val="0"/>
        <w:widowControl w:val="0"/>
        <w:numPr>
          <w:ilvl w:val="1"/>
          <w:numId w:val="8"/>
        </w:numPr>
        <w:kinsoku/>
        <w:wordWrap/>
        <w:overflowPunct/>
        <w:topLinePunct w:val="0"/>
        <w:autoSpaceDE/>
        <w:autoSpaceDN/>
        <w:bidi w:val="0"/>
        <w:adjustRightInd/>
        <w:snapToGrid/>
        <w:spacing w:line="360" w:lineRule="auto"/>
        <w:ind w:left="0" w:firstLine="480" w:firstLineChars="200"/>
        <w:textAlignment w:val="auto"/>
        <w:rPr>
          <w:rFonts w:hint="eastAsia" w:ascii="宋体" w:hAnsi="宋体" w:cs="宋体"/>
          <w:sz w:val="24"/>
          <w:szCs w:val="24"/>
        </w:rPr>
      </w:pPr>
      <w:r>
        <w:rPr>
          <w:rFonts w:hint="eastAsia" w:ascii="宋体" w:hAnsi="宋体" w:cs="宋体"/>
          <w:sz w:val="24"/>
          <w:szCs w:val="24"/>
        </w:rPr>
        <w:t>采购人或采购代理机构将在收到符合上述条件的书面质疑后7个工作日内审查质疑事项，作出答复或相关处理决定，并以书面形式通知质疑供应商和其他有关供应商，但答复的内容不涉及商业秘密。采购代理机构遵循“谁过错谁负担”的原则，有过错的一方承担调查论证费用。</w:t>
      </w:r>
    </w:p>
    <w:p>
      <w:pPr>
        <w:keepNext w:val="0"/>
        <w:keepLines w:val="0"/>
        <w:pageBreakBefore w:val="0"/>
        <w:widowControl w:val="0"/>
        <w:numPr>
          <w:ilvl w:val="1"/>
          <w:numId w:val="8"/>
        </w:numPr>
        <w:kinsoku/>
        <w:wordWrap/>
        <w:overflowPunct/>
        <w:topLinePunct w:val="0"/>
        <w:autoSpaceDE/>
        <w:autoSpaceDN/>
        <w:bidi w:val="0"/>
        <w:adjustRightInd/>
        <w:snapToGrid/>
        <w:spacing w:line="360" w:lineRule="auto"/>
        <w:ind w:left="0" w:firstLine="480" w:firstLineChars="200"/>
        <w:textAlignment w:val="auto"/>
        <w:rPr>
          <w:rFonts w:hint="eastAsia" w:ascii="宋体" w:hAnsi="宋体" w:cs="宋体"/>
          <w:sz w:val="24"/>
          <w:szCs w:val="24"/>
        </w:rPr>
      </w:pPr>
      <w:r>
        <w:rPr>
          <w:rFonts w:hint="eastAsia" w:ascii="宋体" w:hAnsi="宋体" w:cs="宋体"/>
          <w:sz w:val="24"/>
          <w:szCs w:val="24"/>
        </w:rPr>
        <w:t>质疑供应商对采购人或采购代理机构的答复不满意以及采购人或采购代理机构未在规定的时间内做出答复的，可以在答复期满后15个工作日内向同级财政部门投诉。</w:t>
      </w:r>
    </w:p>
    <w:p>
      <w:pPr>
        <w:keepNext w:val="0"/>
        <w:keepLines w:val="0"/>
        <w:pageBreakBefore w:val="0"/>
        <w:widowControl w:val="0"/>
        <w:numPr>
          <w:ilvl w:val="1"/>
          <w:numId w:val="8"/>
        </w:numPr>
        <w:kinsoku/>
        <w:wordWrap/>
        <w:overflowPunct/>
        <w:topLinePunct w:val="0"/>
        <w:autoSpaceDE/>
        <w:autoSpaceDN/>
        <w:bidi w:val="0"/>
        <w:adjustRightInd/>
        <w:snapToGrid/>
        <w:spacing w:line="360" w:lineRule="auto"/>
        <w:ind w:left="0" w:firstLine="480" w:firstLineChars="200"/>
        <w:textAlignment w:val="auto"/>
        <w:rPr>
          <w:rFonts w:hint="eastAsia" w:ascii="宋体" w:hAnsi="宋体" w:cs="宋体"/>
          <w:sz w:val="24"/>
          <w:szCs w:val="24"/>
        </w:rPr>
      </w:pPr>
      <w:r>
        <w:rPr>
          <w:rFonts w:hint="eastAsia" w:ascii="宋体" w:hAnsi="宋体" w:cs="宋体"/>
          <w:sz w:val="24"/>
          <w:szCs w:val="24"/>
        </w:rPr>
        <w:t xml:space="preserve">质疑联系事项： </w:t>
      </w:r>
    </w:p>
    <w:p>
      <w:pPr>
        <w:spacing w:line="360" w:lineRule="auto"/>
        <w:ind w:left="284"/>
        <w:rPr>
          <w:rFonts w:hint="eastAsia" w:ascii="宋体" w:hAnsi="宋体" w:cs="宋体"/>
          <w:sz w:val="24"/>
          <w:szCs w:val="24"/>
        </w:rPr>
      </w:pPr>
      <w:r>
        <w:rPr>
          <w:rFonts w:hint="eastAsia" w:ascii="宋体" w:hAnsi="宋体" w:cs="宋体"/>
          <w:sz w:val="24"/>
          <w:szCs w:val="24"/>
        </w:rPr>
        <w:t>（1）供应商应以书面方式将质疑函分别送至采购人、采购代理机构；</w:t>
      </w:r>
    </w:p>
    <w:p>
      <w:pPr>
        <w:spacing w:line="360" w:lineRule="auto"/>
        <w:ind w:left="284"/>
        <w:rPr>
          <w:rFonts w:hint="eastAsia" w:ascii="宋体" w:hAnsi="宋体" w:eastAsia="宋体" w:cs="宋体"/>
          <w:sz w:val="24"/>
          <w:szCs w:val="24"/>
          <w:lang w:eastAsia="zh-CN"/>
        </w:rPr>
      </w:pPr>
      <w:r>
        <w:rPr>
          <w:rFonts w:hint="eastAsia" w:ascii="宋体" w:hAnsi="宋体" w:cs="宋体"/>
          <w:sz w:val="24"/>
          <w:szCs w:val="24"/>
        </w:rPr>
        <w:t>（2）采购人名称：</w:t>
      </w:r>
      <w:r>
        <w:rPr>
          <w:rFonts w:hint="eastAsia" w:ascii="宋体" w:hAnsi="宋体" w:cs="宋体"/>
          <w:sz w:val="24"/>
          <w:szCs w:val="24"/>
          <w:lang w:eastAsia="zh-CN"/>
        </w:rPr>
        <w:t>武陟县市场监督管理局</w:t>
      </w:r>
    </w:p>
    <w:p>
      <w:pPr>
        <w:spacing w:line="400" w:lineRule="exact"/>
        <w:ind w:firstLine="480" w:firstLineChars="200"/>
        <w:jc w:val="left"/>
        <w:rPr>
          <w:rFonts w:hint="eastAsia" w:ascii="宋体" w:hAnsi="宋体" w:cs="宋体"/>
          <w:sz w:val="24"/>
          <w:szCs w:val="24"/>
        </w:rPr>
      </w:pPr>
      <w:r>
        <w:rPr>
          <w:rFonts w:hint="eastAsia" w:ascii="宋体" w:hAnsi="宋体" w:cs="宋体"/>
          <w:sz w:val="24"/>
          <w:szCs w:val="24"/>
          <w:lang w:eastAsia="zh-CN"/>
        </w:rPr>
        <w:t>地址：</w:t>
      </w:r>
      <w:r>
        <w:rPr>
          <w:rFonts w:hint="eastAsia" w:ascii="宋体" w:hAnsi="宋体" w:cs="宋体"/>
          <w:sz w:val="24"/>
          <w:szCs w:val="24"/>
        </w:rPr>
        <w:t>武陟县兴华路269号</w:t>
      </w:r>
    </w:p>
    <w:p>
      <w:pPr>
        <w:spacing w:line="360" w:lineRule="auto"/>
        <w:ind w:left="283" w:leftChars="135" w:firstLine="240" w:firstLineChars="100"/>
        <w:rPr>
          <w:rFonts w:hint="default" w:ascii="宋体" w:hAnsi="宋体" w:eastAsia="宋体" w:cs="宋体"/>
          <w:color w:val="000000"/>
          <w:sz w:val="24"/>
          <w:szCs w:val="24"/>
          <w:lang w:val="en-US" w:eastAsia="zh-CN"/>
        </w:rPr>
      </w:pPr>
      <w:r>
        <w:rPr>
          <w:rFonts w:hint="eastAsia" w:ascii="宋体" w:hAnsi="宋体" w:cs="宋体"/>
          <w:color w:val="000000"/>
          <w:sz w:val="24"/>
          <w:szCs w:val="24"/>
        </w:rPr>
        <w:t>联系人 ：</w:t>
      </w:r>
      <w:r>
        <w:rPr>
          <w:rFonts w:hint="eastAsia" w:ascii="宋体" w:hAnsi="宋体" w:cs="宋体"/>
          <w:color w:val="000000"/>
          <w:sz w:val="24"/>
          <w:szCs w:val="24"/>
          <w:lang w:val="en-US" w:eastAsia="zh-CN"/>
        </w:rPr>
        <w:t xml:space="preserve"> 常红娟 </w:t>
      </w:r>
      <w:r>
        <w:rPr>
          <w:rFonts w:hint="eastAsia" w:ascii="宋体" w:hAnsi="宋体" w:cs="宋体"/>
          <w:color w:val="000000"/>
          <w:sz w:val="24"/>
          <w:szCs w:val="24"/>
        </w:rPr>
        <w:t>联系电话：</w:t>
      </w:r>
      <w:r>
        <w:rPr>
          <w:rFonts w:hint="eastAsia" w:ascii="宋体" w:hAnsi="宋体" w:cs="宋体"/>
          <w:color w:val="000000"/>
          <w:sz w:val="24"/>
          <w:szCs w:val="24"/>
          <w:lang w:eastAsia="zh-CN"/>
        </w:rPr>
        <w:t>15839119151</w:t>
      </w:r>
    </w:p>
    <w:p>
      <w:pPr>
        <w:spacing w:line="360" w:lineRule="auto"/>
        <w:ind w:left="284"/>
        <w:rPr>
          <w:rFonts w:hint="eastAsia" w:ascii="宋体" w:hAnsi="宋体" w:eastAsia="宋体" w:cs="宋体"/>
          <w:color w:val="000000"/>
          <w:sz w:val="24"/>
          <w:szCs w:val="24"/>
          <w:lang w:eastAsia="zh-CN"/>
        </w:rPr>
      </w:pPr>
      <w:r>
        <w:rPr>
          <w:rFonts w:hint="eastAsia" w:ascii="宋体" w:hAnsi="宋体" w:cs="宋体"/>
          <w:color w:val="000000"/>
          <w:sz w:val="24"/>
          <w:szCs w:val="24"/>
        </w:rPr>
        <w:t>（3）采购代理机构名称：</w:t>
      </w:r>
      <w:r>
        <w:rPr>
          <w:rFonts w:hint="eastAsia" w:ascii="宋体" w:hAnsi="宋体" w:cs="宋体"/>
          <w:color w:val="000000"/>
          <w:sz w:val="24"/>
          <w:szCs w:val="24"/>
          <w:lang w:eastAsia="zh-CN"/>
        </w:rPr>
        <w:t>达信建设发展有限公司</w:t>
      </w:r>
    </w:p>
    <w:p>
      <w:pPr>
        <w:spacing w:line="360" w:lineRule="auto"/>
        <w:ind w:left="284" w:firstLine="240" w:firstLineChars="100"/>
        <w:rPr>
          <w:rFonts w:hint="eastAsia" w:ascii="宋体" w:hAnsi="宋体" w:cs="宋体"/>
          <w:color w:val="000000"/>
          <w:sz w:val="24"/>
          <w:szCs w:val="24"/>
          <w:lang w:val="en-US" w:eastAsia="zh-CN"/>
        </w:rPr>
      </w:pPr>
      <w:r>
        <w:rPr>
          <w:rFonts w:hint="eastAsia" w:ascii="宋体" w:hAnsi="宋体" w:cs="宋体"/>
          <w:color w:val="000000"/>
          <w:sz w:val="24"/>
          <w:szCs w:val="24"/>
        </w:rPr>
        <w:t>地点：</w:t>
      </w:r>
      <w:r>
        <w:rPr>
          <w:rFonts w:hint="eastAsia" w:ascii="宋体" w:hAnsi="宋体" w:cs="宋体"/>
          <w:color w:val="000000"/>
          <w:sz w:val="24"/>
          <w:szCs w:val="24"/>
          <w:lang w:eastAsia="zh-CN"/>
        </w:rPr>
        <w:t>河南省新乡市新二街</w:t>
      </w:r>
      <w:r>
        <w:rPr>
          <w:rFonts w:hint="eastAsia" w:ascii="宋体" w:hAnsi="宋体" w:cs="宋体"/>
          <w:color w:val="000000"/>
          <w:sz w:val="24"/>
          <w:szCs w:val="24"/>
          <w:lang w:val="en-US" w:eastAsia="zh-CN"/>
        </w:rPr>
        <w:t>356号国贸大厦A座9楼</w:t>
      </w:r>
    </w:p>
    <w:p>
      <w:pPr>
        <w:spacing w:line="360" w:lineRule="auto"/>
        <w:ind w:left="284" w:firstLine="240" w:firstLineChars="100"/>
        <w:rPr>
          <w:rFonts w:ascii="宋体" w:hAnsi="宋体" w:cs="宋体"/>
          <w:color w:val="000000"/>
          <w:sz w:val="24"/>
          <w:szCs w:val="24"/>
        </w:rPr>
      </w:pPr>
      <w:r>
        <w:rPr>
          <w:rFonts w:hint="eastAsia" w:ascii="宋体" w:hAnsi="宋体" w:cs="宋体"/>
          <w:color w:val="000000"/>
          <w:sz w:val="24"/>
          <w:szCs w:val="24"/>
        </w:rPr>
        <w:t>联系人：</w:t>
      </w:r>
      <w:r>
        <w:rPr>
          <w:rFonts w:hint="eastAsia" w:ascii="宋体" w:hAnsi="宋体" w:cs="宋体"/>
          <w:color w:val="000000"/>
          <w:sz w:val="24"/>
          <w:szCs w:val="24"/>
          <w:lang w:eastAsia="zh-CN"/>
        </w:rPr>
        <w:t>王一帆</w:t>
      </w:r>
      <w:r>
        <w:rPr>
          <w:rFonts w:hint="eastAsia" w:ascii="宋体" w:hAnsi="宋体" w:cs="宋体"/>
          <w:color w:val="000000"/>
          <w:sz w:val="24"/>
          <w:szCs w:val="24"/>
        </w:rPr>
        <w:t xml:space="preserve">   联系电话：0391-7289803</w:t>
      </w:r>
    </w:p>
    <w:p>
      <w:pPr>
        <w:numPr>
          <w:ilvl w:val="0"/>
          <w:numId w:val="0"/>
        </w:numPr>
        <w:spacing w:line="360" w:lineRule="auto"/>
        <w:ind w:leftChars="0"/>
        <w:jc w:val="center"/>
        <w:rPr>
          <w:rFonts w:hint="eastAsia" w:ascii="宋体" w:hAnsi="宋体" w:cs="宋体"/>
          <w:b/>
          <w:sz w:val="24"/>
          <w:szCs w:val="24"/>
          <w:lang w:val="en-US" w:eastAsia="zh-CN"/>
        </w:rPr>
      </w:pPr>
      <w:r>
        <w:rPr>
          <w:rFonts w:hint="eastAsia" w:ascii="宋体" w:hAnsi="宋体" w:cs="宋体"/>
          <w:b/>
          <w:sz w:val="24"/>
          <w:szCs w:val="24"/>
          <w:lang w:val="en-US" w:eastAsia="zh-CN"/>
        </w:rPr>
        <w:t>.</w:t>
      </w:r>
    </w:p>
    <w:p>
      <w:pPr>
        <w:numPr>
          <w:ilvl w:val="0"/>
          <w:numId w:val="0"/>
        </w:numPr>
        <w:spacing w:line="360" w:lineRule="auto"/>
        <w:ind w:leftChars="0"/>
        <w:jc w:val="center"/>
        <w:rPr>
          <w:rFonts w:hint="eastAsia" w:ascii="宋体" w:hAnsi="宋体" w:cs="宋体"/>
          <w:b/>
          <w:sz w:val="24"/>
          <w:szCs w:val="24"/>
          <w:lang w:val="en-US" w:eastAsia="zh-CN"/>
        </w:rPr>
      </w:pPr>
    </w:p>
    <w:p>
      <w:pPr>
        <w:numPr>
          <w:ilvl w:val="0"/>
          <w:numId w:val="0"/>
        </w:numPr>
        <w:spacing w:line="360" w:lineRule="auto"/>
        <w:ind w:leftChars="0"/>
        <w:jc w:val="center"/>
        <w:rPr>
          <w:rFonts w:hint="eastAsia" w:ascii="宋体" w:hAnsi="宋体" w:cs="宋体"/>
          <w:b/>
          <w:sz w:val="24"/>
          <w:szCs w:val="24"/>
          <w:lang w:val="en-US" w:eastAsia="zh-CN"/>
        </w:rPr>
      </w:pPr>
    </w:p>
    <w:p>
      <w:pPr>
        <w:numPr>
          <w:ilvl w:val="0"/>
          <w:numId w:val="0"/>
        </w:numPr>
        <w:spacing w:line="360" w:lineRule="auto"/>
        <w:ind w:leftChars="0"/>
        <w:jc w:val="center"/>
        <w:rPr>
          <w:rFonts w:hint="eastAsia" w:ascii="宋体" w:hAnsi="宋体" w:cs="宋体"/>
          <w:b/>
          <w:sz w:val="24"/>
          <w:szCs w:val="24"/>
          <w:lang w:val="en-US" w:eastAsia="zh-CN"/>
        </w:rPr>
      </w:pPr>
    </w:p>
    <w:p>
      <w:pPr>
        <w:numPr>
          <w:ilvl w:val="0"/>
          <w:numId w:val="0"/>
        </w:numPr>
        <w:spacing w:line="360" w:lineRule="auto"/>
        <w:ind w:leftChars="0"/>
        <w:jc w:val="center"/>
        <w:rPr>
          <w:rFonts w:hint="eastAsia" w:ascii="宋体" w:hAnsi="宋体" w:cs="宋体"/>
          <w:b/>
          <w:sz w:val="24"/>
          <w:szCs w:val="24"/>
        </w:rPr>
      </w:pPr>
    </w:p>
    <w:p>
      <w:pPr>
        <w:numPr>
          <w:ilvl w:val="0"/>
          <w:numId w:val="0"/>
        </w:numPr>
        <w:spacing w:line="360" w:lineRule="auto"/>
        <w:ind w:leftChars="0"/>
        <w:jc w:val="center"/>
        <w:rPr>
          <w:rFonts w:hint="eastAsia" w:ascii="宋体" w:hAnsi="宋体" w:cs="宋体"/>
          <w:b/>
          <w:sz w:val="24"/>
          <w:szCs w:val="24"/>
        </w:rPr>
      </w:pPr>
      <w:r>
        <w:rPr>
          <w:rFonts w:hint="eastAsia" w:ascii="宋体" w:hAnsi="宋体" w:cs="宋体"/>
          <w:b/>
          <w:sz w:val="24"/>
          <w:szCs w:val="24"/>
        </w:rPr>
        <w:t>河南省政府采购合同融资政策告知函</w:t>
      </w:r>
    </w:p>
    <w:p>
      <w:pPr>
        <w:spacing w:line="360" w:lineRule="auto"/>
        <w:rPr>
          <w:rFonts w:hint="eastAsia" w:ascii="宋体" w:hAnsi="宋体" w:cs="宋体"/>
          <w:sz w:val="24"/>
          <w:szCs w:val="24"/>
        </w:rPr>
      </w:pPr>
    </w:p>
    <w:p>
      <w:pPr>
        <w:spacing w:line="360" w:lineRule="auto"/>
        <w:rPr>
          <w:rFonts w:hint="eastAsia" w:ascii="宋体" w:hAnsi="宋体" w:cs="宋体"/>
          <w:sz w:val="24"/>
          <w:szCs w:val="24"/>
        </w:rPr>
      </w:pPr>
      <w:r>
        <w:rPr>
          <w:rFonts w:hint="eastAsia" w:ascii="宋体" w:hAnsi="宋体" w:cs="宋体"/>
          <w:sz w:val="24"/>
          <w:szCs w:val="24"/>
        </w:rPr>
        <w:t>各供应商：</w:t>
      </w:r>
    </w:p>
    <w:p>
      <w:pPr>
        <w:spacing w:line="360" w:lineRule="auto"/>
        <w:rPr>
          <w:rFonts w:hint="eastAsia" w:ascii="宋体" w:hAnsi="宋体" w:cs="宋体"/>
          <w:sz w:val="24"/>
          <w:szCs w:val="24"/>
        </w:rPr>
      </w:pPr>
      <w:r>
        <w:rPr>
          <w:rFonts w:hint="eastAsia" w:ascii="宋体" w:hAnsi="宋体" w:cs="宋体"/>
          <w:sz w:val="24"/>
          <w:szCs w:val="24"/>
        </w:rPr>
        <w:t xml:space="preserve">   欢迎贵公司参与河南省政府采购活动！</w:t>
      </w:r>
    </w:p>
    <w:p>
      <w:pPr>
        <w:spacing w:line="360" w:lineRule="auto"/>
        <w:rPr>
          <w:rFonts w:hint="eastAsia" w:ascii="宋体" w:hAnsi="宋体" w:cs="宋体"/>
          <w:sz w:val="24"/>
          <w:szCs w:val="24"/>
        </w:rPr>
      </w:pPr>
      <w:r>
        <w:rPr>
          <w:rFonts w:hint="eastAsia" w:ascii="宋体" w:hAnsi="宋体" w:cs="宋体"/>
          <w:sz w:val="24"/>
          <w:szCs w:val="24"/>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 依据《河南省采购合同融资工作实施方案》（豫财购[2017]10号），按照双方自愿的原则提供便捷、优惠的贷款服务。</w:t>
      </w:r>
    </w:p>
    <w:p>
      <w:pPr>
        <w:spacing w:line="360" w:lineRule="auto"/>
        <w:ind w:firstLine="420"/>
        <w:rPr>
          <w:rFonts w:hint="eastAsia" w:ascii="宋体" w:hAnsi="宋体" w:eastAsia="宋体" w:cs="宋体"/>
          <w:sz w:val="24"/>
          <w:szCs w:val="24"/>
          <w:lang w:val="en-US" w:eastAsia="zh-CN"/>
        </w:rPr>
      </w:pPr>
      <w:r>
        <w:rPr>
          <w:rFonts w:hint="eastAsia" w:ascii="宋体" w:hAnsi="宋体" w:cs="宋体"/>
          <w:sz w:val="24"/>
          <w:szCs w:val="24"/>
        </w:rPr>
        <w:t>贷款渠道和提供贷款的金融机构，可在河南省政府采购网“河南省政府采购合同融资平台”查询联系。</w:t>
      </w:r>
    </w:p>
    <w:p>
      <w:pPr>
        <w:pStyle w:val="2"/>
        <w:spacing w:line="360" w:lineRule="auto"/>
        <w:ind w:firstLine="420"/>
        <w:rPr>
          <w:rFonts w:hint="eastAsia"/>
          <w:sz w:val="24"/>
          <w:szCs w:val="24"/>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rPr>
          <w:rFonts w:hint="eastAsia"/>
          <w:lang w:val="en-US" w:eastAsia="zh-CN"/>
        </w:rPr>
      </w:pPr>
    </w:p>
    <w:p>
      <w:pPr>
        <w:pStyle w:val="34"/>
        <w:keepNext w:val="0"/>
        <w:keepLines w:val="0"/>
        <w:pageBreakBefore w:val="0"/>
        <w:widowControl w:val="0"/>
        <w:numPr>
          <w:ilvl w:val="0"/>
          <w:numId w:val="0"/>
        </w:numPr>
        <w:kinsoku/>
        <w:wordWrap/>
        <w:overflowPunct/>
        <w:topLinePunct w:val="0"/>
        <w:autoSpaceDE/>
        <w:autoSpaceDN/>
        <w:bidi w:val="0"/>
        <w:adjustRightInd/>
        <w:snapToGrid/>
        <w:spacing w:before="0" w:after="0" w:line="360" w:lineRule="auto"/>
        <w:ind w:right="0" w:rightChars="0"/>
        <w:jc w:val="both"/>
        <w:textAlignment w:val="auto"/>
        <w:outlineLvl w:val="0"/>
        <w:rPr>
          <w:rFonts w:hint="eastAsia" w:ascii="宋体" w:hAnsi="宋体" w:eastAsia="宋体" w:cs="宋体"/>
        </w:rPr>
      </w:pPr>
      <w:bookmarkStart w:id="68" w:name="_Toc373230030"/>
      <w:bookmarkStart w:id="69" w:name="_Toc23369"/>
      <w:bookmarkStart w:id="70" w:name="_Toc11289"/>
      <w:bookmarkStart w:id="71" w:name="_Toc477423249"/>
      <w:bookmarkStart w:id="72" w:name="_Toc8874"/>
      <w:bookmarkStart w:id="73" w:name="_Toc374512417"/>
      <w:r>
        <w:rPr>
          <w:rFonts w:hint="eastAsia" w:ascii="宋体" w:hAnsi="宋体" w:eastAsia="宋体" w:cs="宋体"/>
        </w:rPr>
        <w:br w:type="page"/>
      </w:r>
      <w:bookmarkEnd w:id="68"/>
      <w:bookmarkEnd w:id="69"/>
      <w:bookmarkEnd w:id="70"/>
      <w:bookmarkEnd w:id="71"/>
      <w:bookmarkEnd w:id="72"/>
      <w:bookmarkEnd w:id="73"/>
      <w:bookmarkStart w:id="74" w:name="_Toc637"/>
      <w:bookmarkStart w:id="75" w:name="_Toc487805909"/>
      <w:bookmarkStart w:id="76" w:name="_Toc14171"/>
      <w:r>
        <w:rPr>
          <w:rFonts w:hint="eastAsia" w:ascii="宋体" w:hAnsi="宋体" w:cs="宋体"/>
          <w:lang w:val="en-US" w:eastAsia="zh-CN"/>
        </w:rPr>
        <w:t xml:space="preserve">                </w:t>
      </w:r>
      <w:r>
        <w:rPr>
          <w:rFonts w:hint="eastAsia" w:ascii="宋体" w:hAnsi="宋体" w:cs="宋体"/>
          <w:lang w:eastAsia="zh-CN"/>
        </w:rPr>
        <w:t>第三章</w:t>
      </w:r>
      <w:r>
        <w:rPr>
          <w:rFonts w:hint="eastAsia" w:ascii="宋体" w:hAnsi="宋体" w:cs="宋体"/>
          <w:lang w:val="en-US" w:eastAsia="zh-CN"/>
        </w:rPr>
        <w:t xml:space="preserve"> </w:t>
      </w:r>
      <w:r>
        <w:rPr>
          <w:rFonts w:hint="eastAsia" w:ascii="宋体" w:hAnsi="宋体" w:eastAsia="宋体" w:cs="宋体"/>
        </w:rPr>
        <w:t>评审方法和评审标准</w:t>
      </w:r>
      <w:bookmarkEnd w:id="74"/>
    </w:p>
    <w:p>
      <w:pPr>
        <w:numPr>
          <w:ilvl w:val="0"/>
          <w:numId w:val="15"/>
        </w:numPr>
        <w:spacing w:line="588" w:lineRule="exact"/>
        <w:jc w:val="center"/>
        <w:rPr>
          <w:rFonts w:hint="eastAsia" w:ascii="宋体" w:hAnsi="宋体" w:eastAsia="宋体" w:cs="宋体"/>
          <w:spacing w:val="6"/>
          <w:sz w:val="32"/>
          <w:szCs w:val="32"/>
        </w:rPr>
      </w:pPr>
      <w:r>
        <w:rPr>
          <w:rFonts w:hint="eastAsia" w:ascii="宋体" w:hAnsi="宋体" w:eastAsia="宋体" w:cs="宋体"/>
          <w:spacing w:val="6"/>
          <w:sz w:val="32"/>
          <w:szCs w:val="32"/>
        </w:rPr>
        <w:t>评标方法</w:t>
      </w:r>
    </w:p>
    <w:p>
      <w:pPr>
        <w:numPr>
          <w:ilvl w:val="0"/>
          <w:numId w:val="16"/>
        </w:numPr>
        <w:spacing w:line="480" w:lineRule="exact"/>
        <w:rPr>
          <w:rFonts w:hint="eastAsia" w:ascii="宋体" w:hAnsi="宋体" w:eastAsia="宋体" w:cs="宋体"/>
          <w:sz w:val="24"/>
        </w:rPr>
      </w:pPr>
      <w:r>
        <w:rPr>
          <w:rFonts w:hint="eastAsia" w:ascii="宋体" w:hAnsi="宋体" w:eastAsia="宋体" w:cs="宋体"/>
          <w:sz w:val="24"/>
        </w:rPr>
        <w:t>磋商小组将按照磋商文件的规定，只对通过初步评审的响应文件和提交最后报价的供应商，由磋商小组采用综合评分法对提交最后报价的供应商的响应文件和最后报价进行综合评分。</w:t>
      </w:r>
    </w:p>
    <w:p>
      <w:pPr>
        <w:numPr>
          <w:ilvl w:val="0"/>
          <w:numId w:val="16"/>
        </w:numPr>
        <w:spacing w:line="480" w:lineRule="exact"/>
        <w:rPr>
          <w:rFonts w:hint="eastAsia" w:ascii="宋体" w:hAnsi="宋体" w:eastAsia="宋体" w:cs="宋体"/>
          <w:sz w:val="24"/>
          <w:szCs w:val="22"/>
        </w:rPr>
      </w:pPr>
      <w:r>
        <w:rPr>
          <w:rFonts w:hint="eastAsia" w:ascii="宋体" w:hAnsi="宋体" w:eastAsia="宋体" w:cs="宋体"/>
          <w:sz w:val="24"/>
          <w:szCs w:val="22"/>
        </w:rPr>
        <w:t>综合评分法，是指响应文件满足磋商文件全部实质性要求且按评审因素的量化指标评审得分最高的供应商为成交候选供应商的评审方法。</w:t>
      </w:r>
    </w:p>
    <w:p>
      <w:pPr>
        <w:numPr>
          <w:ilvl w:val="0"/>
          <w:numId w:val="16"/>
        </w:numPr>
        <w:spacing w:line="480" w:lineRule="exact"/>
        <w:rPr>
          <w:rFonts w:hint="eastAsia" w:ascii="宋体" w:hAnsi="宋体" w:eastAsia="宋体" w:cs="宋体"/>
          <w:sz w:val="24"/>
          <w:szCs w:val="22"/>
        </w:rPr>
      </w:pPr>
      <w:r>
        <w:rPr>
          <w:rFonts w:hint="eastAsia" w:ascii="宋体" w:hAnsi="宋体" w:eastAsia="宋体" w:cs="宋体"/>
          <w:sz w:val="24"/>
          <w:szCs w:val="22"/>
        </w:rPr>
        <w:t>评审时，磋商小组各成员应当独立对每个有效响应的文件进行评价、打分，然后汇总每个供应商每项评分因素的得分。</w:t>
      </w:r>
    </w:p>
    <w:p>
      <w:pPr>
        <w:numPr>
          <w:ilvl w:val="0"/>
          <w:numId w:val="15"/>
        </w:numPr>
        <w:spacing w:line="588" w:lineRule="exact"/>
        <w:jc w:val="center"/>
        <w:rPr>
          <w:rFonts w:hint="eastAsia" w:ascii="宋体" w:hAnsi="宋体" w:eastAsia="宋体" w:cs="宋体"/>
          <w:spacing w:val="6"/>
          <w:sz w:val="32"/>
          <w:szCs w:val="32"/>
        </w:rPr>
      </w:pPr>
      <w:r>
        <w:rPr>
          <w:rFonts w:hint="eastAsia" w:ascii="宋体" w:hAnsi="宋体" w:eastAsia="宋体" w:cs="宋体"/>
          <w:spacing w:val="6"/>
          <w:sz w:val="32"/>
          <w:szCs w:val="32"/>
        </w:rPr>
        <w:t>评标标准</w:t>
      </w:r>
    </w:p>
    <w:tbl>
      <w:tblPr>
        <w:tblStyle w:val="36"/>
        <w:tblW w:w="9900" w:type="dxa"/>
        <w:tblInd w:w="-25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900"/>
        <w:gridCol w:w="1080"/>
        <w:gridCol w:w="7380"/>
        <w:gridCol w:w="54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926" w:hRule="atLeast"/>
        </w:trPr>
        <w:tc>
          <w:tcPr>
            <w:tcW w:w="900" w:type="dxa"/>
            <w:noWrap w:val="0"/>
            <w:vAlign w:val="top"/>
          </w:tcPr>
          <w:p>
            <w:pPr>
              <w:spacing w:before="68" w:line="184" w:lineRule="auto"/>
              <w:rPr>
                <w:rFonts w:ascii="宋体" w:hAnsi="宋体"/>
                <w:sz w:val="21"/>
                <w:szCs w:val="21"/>
              </w:rPr>
            </w:pPr>
            <w:r>
              <w:rPr>
                <w:rFonts w:hint="eastAsia" w:ascii="宋体" w:hAnsi="宋体"/>
                <w:spacing w:val="-2"/>
                <w:sz w:val="21"/>
                <w:szCs w:val="21"/>
              </w:rPr>
              <w:t>序号</w:t>
            </w:r>
          </w:p>
        </w:tc>
        <w:tc>
          <w:tcPr>
            <w:tcW w:w="1080" w:type="dxa"/>
            <w:noWrap w:val="0"/>
            <w:vAlign w:val="top"/>
          </w:tcPr>
          <w:p>
            <w:pPr>
              <w:spacing w:before="68" w:line="184" w:lineRule="auto"/>
              <w:rPr>
                <w:rFonts w:ascii="宋体" w:hAnsi="宋体"/>
                <w:sz w:val="21"/>
                <w:szCs w:val="21"/>
              </w:rPr>
            </w:pPr>
            <w:r>
              <w:rPr>
                <w:rFonts w:hint="eastAsia" w:ascii="宋体" w:hAnsi="宋体"/>
                <w:spacing w:val="2"/>
                <w:sz w:val="21"/>
                <w:szCs w:val="21"/>
              </w:rPr>
              <w:t>评分因素</w:t>
            </w:r>
          </w:p>
        </w:tc>
        <w:tc>
          <w:tcPr>
            <w:tcW w:w="7380" w:type="dxa"/>
            <w:noWrap w:val="0"/>
            <w:vAlign w:val="top"/>
          </w:tcPr>
          <w:p>
            <w:pPr>
              <w:spacing w:before="68" w:line="184" w:lineRule="auto"/>
              <w:jc w:val="center"/>
              <w:rPr>
                <w:rFonts w:ascii="宋体" w:hAnsi="宋体"/>
                <w:sz w:val="21"/>
                <w:szCs w:val="21"/>
              </w:rPr>
            </w:pPr>
            <w:r>
              <w:rPr>
                <w:rFonts w:hint="eastAsia" w:ascii="宋体" w:hAnsi="宋体"/>
                <w:spacing w:val="2"/>
                <w:sz w:val="21"/>
                <w:szCs w:val="21"/>
              </w:rPr>
              <w:t>评分标准</w:t>
            </w:r>
          </w:p>
        </w:tc>
        <w:tc>
          <w:tcPr>
            <w:tcW w:w="540" w:type="dxa"/>
            <w:noWrap w:val="0"/>
            <w:vAlign w:val="top"/>
          </w:tcPr>
          <w:p>
            <w:pPr>
              <w:spacing w:before="68" w:line="184" w:lineRule="auto"/>
              <w:rPr>
                <w:rFonts w:ascii="宋体" w:hAnsi="宋体"/>
                <w:sz w:val="21"/>
                <w:szCs w:val="21"/>
              </w:rPr>
            </w:pPr>
            <w:r>
              <w:rPr>
                <w:rFonts w:hint="eastAsia" w:ascii="宋体" w:hAnsi="宋体"/>
                <w:spacing w:val="-3"/>
                <w:sz w:val="21"/>
                <w:szCs w:val="21"/>
              </w:rPr>
              <w:t>分值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1931" w:hRule="atLeast"/>
        </w:trPr>
        <w:tc>
          <w:tcPr>
            <w:tcW w:w="900" w:type="dxa"/>
            <w:noWrap w:val="0"/>
            <w:vAlign w:val="top"/>
          </w:tcPr>
          <w:p>
            <w:pPr>
              <w:spacing w:line="252" w:lineRule="auto"/>
              <w:rPr>
                <w:rFonts w:ascii="宋体" w:hAnsi="宋体"/>
                <w:color w:val="0000FF"/>
                <w:sz w:val="21"/>
                <w:szCs w:val="21"/>
              </w:rPr>
            </w:pPr>
          </w:p>
          <w:p>
            <w:pPr>
              <w:spacing w:before="68" w:line="274" w:lineRule="auto"/>
              <w:ind w:right="116"/>
              <w:rPr>
                <w:rFonts w:ascii="宋体" w:hAnsi="宋体"/>
                <w:color w:val="0000FF"/>
                <w:sz w:val="21"/>
                <w:szCs w:val="21"/>
              </w:rPr>
            </w:pPr>
            <w:r>
              <w:rPr>
                <w:rFonts w:hint="eastAsia" w:ascii="宋体" w:hAnsi="宋体" w:eastAsia="宋体" w:cs="宋体"/>
                <w:bCs/>
                <w:sz w:val="21"/>
                <w:szCs w:val="21"/>
                <w:highlight w:val="none"/>
              </w:rPr>
              <w:t>磋商报价</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20分</w:t>
            </w:r>
            <w:r>
              <w:rPr>
                <w:rFonts w:hint="eastAsia" w:ascii="宋体" w:hAnsi="宋体" w:eastAsia="宋体" w:cs="宋体"/>
                <w:color w:val="auto"/>
                <w:kern w:val="0"/>
                <w:sz w:val="21"/>
                <w:szCs w:val="21"/>
                <w:highlight w:val="none"/>
                <w:lang w:eastAsia="zh-CN"/>
              </w:rPr>
              <w:t>）</w:t>
            </w:r>
          </w:p>
        </w:tc>
        <w:tc>
          <w:tcPr>
            <w:tcW w:w="1080" w:type="dxa"/>
            <w:noWrap w:val="0"/>
            <w:vAlign w:val="top"/>
          </w:tcPr>
          <w:p>
            <w:pPr>
              <w:spacing w:before="68" w:line="184" w:lineRule="auto"/>
              <w:rPr>
                <w:rFonts w:ascii="宋体" w:hAnsi="宋体"/>
                <w:color w:val="0000FF"/>
                <w:sz w:val="21"/>
                <w:szCs w:val="21"/>
              </w:rPr>
            </w:pPr>
            <w:r>
              <w:rPr>
                <w:rFonts w:hint="eastAsia" w:ascii="宋体" w:hAnsi="宋体"/>
                <w:color w:val="auto"/>
                <w:spacing w:val="2"/>
                <w:sz w:val="21"/>
                <w:szCs w:val="21"/>
              </w:rPr>
              <w:t>价格得分</w:t>
            </w:r>
          </w:p>
        </w:tc>
        <w:tc>
          <w:tcPr>
            <w:tcW w:w="7380" w:type="dxa"/>
            <w:noWrap w:val="0"/>
            <w:vAlign w:val="bottom"/>
          </w:tcPr>
          <w:p>
            <w:pPr>
              <w:widowControl/>
              <w:spacing w:line="357" w:lineRule="atLeast"/>
              <w:textAlignment w:val="baseline"/>
              <w:rPr>
                <w:rFonts w:hint="default"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价格分统一采用低价优先法计算，即满足磋商文件要求且最后报价最低的供应商的价格为磋商基准价，其价格分为满分。其他供应商的价格分统一按照下列公式计算：磋商报价得分=（磋商基准价/最后磋商报价）×</w:t>
            </w:r>
            <w:r>
              <w:rPr>
                <w:rFonts w:hint="eastAsia" w:ascii="宋体" w:hAnsi="宋体" w:eastAsia="宋体" w:cs="宋体"/>
                <w:color w:val="auto"/>
                <w:kern w:val="0"/>
                <w:sz w:val="21"/>
                <w:szCs w:val="21"/>
                <w:highlight w:val="none"/>
                <w:lang w:eastAsia="zh-CN"/>
              </w:rPr>
              <w:t>价格权值</w:t>
            </w: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100</w:t>
            </w:r>
          </w:p>
          <w:p>
            <w:pPr>
              <w:spacing w:before="208" w:line="360" w:lineRule="auto"/>
              <w:ind w:left="107" w:right="45"/>
              <w:rPr>
                <w:rFonts w:ascii="宋体" w:hAnsi="宋体"/>
                <w:color w:val="0000FF"/>
                <w:sz w:val="21"/>
                <w:szCs w:val="21"/>
              </w:rPr>
            </w:pPr>
          </w:p>
        </w:tc>
        <w:tc>
          <w:tcPr>
            <w:tcW w:w="540" w:type="dxa"/>
            <w:noWrap w:val="0"/>
            <w:vAlign w:val="top"/>
          </w:tcPr>
          <w:p>
            <w:pPr>
              <w:spacing w:before="69" w:line="180" w:lineRule="auto"/>
              <w:rPr>
                <w:rFonts w:ascii="宋体" w:hAnsi="宋体"/>
                <w:color w:val="000000"/>
                <w:sz w:val="21"/>
                <w:szCs w:val="21"/>
              </w:rPr>
            </w:pPr>
            <w:r>
              <w:rPr>
                <w:rFonts w:hint="eastAsia" w:ascii="宋体" w:hAnsi="宋体"/>
                <w:spacing w:val="2"/>
                <w:sz w:val="21"/>
                <w:szCs w:val="21"/>
                <w:lang w:val="en-US" w:eastAsia="zh-CN"/>
              </w:rPr>
              <w:t>2</w:t>
            </w:r>
            <w:r>
              <w:rPr>
                <w:rFonts w:ascii="宋体" w:hAnsi="宋体"/>
                <w:spacing w:val="2"/>
                <w:sz w:val="21"/>
                <w:szCs w:val="21"/>
              </w:rPr>
              <w:t>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1352" w:hRule="atLeast"/>
        </w:trPr>
        <w:tc>
          <w:tcPr>
            <w:tcW w:w="900" w:type="dxa"/>
            <w:vMerge w:val="restart"/>
            <w:noWrap w:val="0"/>
            <w:vAlign w:val="top"/>
          </w:tcPr>
          <w:p>
            <w:pPr>
              <w:spacing w:line="252" w:lineRule="auto"/>
              <w:rPr>
                <w:rFonts w:ascii="宋体" w:hAnsi="宋体"/>
                <w:sz w:val="21"/>
                <w:szCs w:val="21"/>
              </w:rPr>
            </w:pPr>
            <w:r>
              <w:rPr>
                <w:rFonts w:hint="eastAsia" w:ascii="宋体" w:hAnsi="宋体"/>
                <w:sz w:val="21"/>
                <w:szCs w:val="21"/>
              </w:rPr>
              <w:t>技术部分（48分）</w:t>
            </w:r>
          </w:p>
        </w:tc>
        <w:tc>
          <w:tcPr>
            <w:tcW w:w="1080" w:type="dxa"/>
            <w:noWrap w:val="0"/>
            <w:vAlign w:val="top"/>
          </w:tcPr>
          <w:p>
            <w:pPr>
              <w:spacing w:before="68" w:line="184" w:lineRule="auto"/>
              <w:rPr>
                <w:rFonts w:ascii="宋体" w:hAnsi="宋体"/>
                <w:spacing w:val="2"/>
                <w:sz w:val="21"/>
                <w:szCs w:val="21"/>
              </w:rPr>
            </w:pPr>
            <w:r>
              <w:rPr>
                <w:rFonts w:ascii="宋体" w:hAnsi="宋体"/>
                <w:sz w:val="21"/>
                <w:szCs w:val="21"/>
              </w:rPr>
              <w:t>管理制度</w:t>
            </w:r>
          </w:p>
        </w:tc>
        <w:tc>
          <w:tcPr>
            <w:tcW w:w="7380" w:type="dxa"/>
            <w:noWrap w:val="0"/>
            <w:vAlign w:val="bottom"/>
          </w:tcPr>
          <w:p>
            <w:pPr>
              <w:spacing w:line="500" w:lineRule="exact"/>
              <w:rPr>
                <w:rFonts w:hint="eastAsia" w:ascii="宋体" w:hAnsi="宋体" w:eastAsia="宋体"/>
                <w:sz w:val="21"/>
                <w:szCs w:val="21"/>
                <w:lang w:eastAsia="zh-CN"/>
              </w:rPr>
            </w:pPr>
            <w:r>
              <w:rPr>
                <w:rFonts w:ascii="宋体" w:hAnsi="宋体"/>
                <w:sz w:val="21"/>
                <w:szCs w:val="21"/>
              </w:rPr>
              <w:t>有详尽完善的食品安全检测制度、抽样管理制度、责任追究制度、检测档案管理制度等管理制度的得7分:</w:t>
            </w:r>
          </w:p>
          <w:p>
            <w:pPr>
              <w:spacing w:line="500" w:lineRule="exact"/>
              <w:rPr>
                <w:rFonts w:hint="eastAsia" w:ascii="宋体" w:hAnsi="宋体" w:eastAsia="宋体"/>
                <w:sz w:val="21"/>
                <w:szCs w:val="21"/>
                <w:lang w:eastAsia="zh-CN"/>
              </w:rPr>
            </w:pPr>
            <w:r>
              <w:rPr>
                <w:rFonts w:ascii="宋体" w:hAnsi="宋体"/>
                <w:sz w:val="21"/>
                <w:szCs w:val="21"/>
              </w:rPr>
              <w:t>详细一般可行的食品安全检测制度、抽样管理制度、责任追究制度、检测档案管理制度等管理制度的得5分:</w:t>
            </w:r>
          </w:p>
          <w:p>
            <w:pPr>
              <w:spacing w:line="500" w:lineRule="exact"/>
              <w:rPr>
                <w:rFonts w:ascii="宋体" w:hAnsi="宋体"/>
                <w:sz w:val="21"/>
                <w:szCs w:val="21"/>
              </w:rPr>
            </w:pPr>
            <w:r>
              <w:rPr>
                <w:rFonts w:ascii="宋体" w:hAnsi="宋体"/>
                <w:sz w:val="21"/>
                <w:szCs w:val="21"/>
              </w:rPr>
              <w:t>不够详细但有食品安全检测制度、抽样管理制度、责任追究制度、检测档案管理制度等管理制度的得3分;不提供者得0分。</w:t>
            </w:r>
          </w:p>
        </w:tc>
        <w:tc>
          <w:tcPr>
            <w:tcW w:w="540" w:type="dxa"/>
            <w:noWrap w:val="0"/>
            <w:vAlign w:val="top"/>
          </w:tcPr>
          <w:p>
            <w:pPr>
              <w:spacing w:before="69" w:line="180" w:lineRule="auto"/>
              <w:rPr>
                <w:rFonts w:ascii="宋体" w:hAnsi="宋体"/>
                <w:spacing w:val="2"/>
                <w:sz w:val="21"/>
                <w:szCs w:val="21"/>
              </w:rPr>
            </w:pPr>
            <w:r>
              <w:rPr>
                <w:rFonts w:hint="eastAsia" w:ascii="宋体" w:hAnsi="宋体"/>
                <w:spacing w:val="2"/>
                <w:sz w:val="21"/>
                <w:szCs w:val="21"/>
              </w:rPr>
              <w:t>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1352" w:hRule="atLeast"/>
        </w:trPr>
        <w:tc>
          <w:tcPr>
            <w:tcW w:w="900" w:type="dxa"/>
            <w:vMerge w:val="continue"/>
            <w:noWrap w:val="0"/>
            <w:vAlign w:val="top"/>
          </w:tcPr>
          <w:p>
            <w:pPr>
              <w:spacing w:line="252" w:lineRule="auto"/>
              <w:rPr>
                <w:rFonts w:ascii="宋体" w:hAnsi="宋体"/>
                <w:sz w:val="21"/>
                <w:szCs w:val="21"/>
              </w:rPr>
            </w:pPr>
          </w:p>
        </w:tc>
        <w:tc>
          <w:tcPr>
            <w:tcW w:w="1080" w:type="dxa"/>
            <w:noWrap w:val="0"/>
            <w:vAlign w:val="top"/>
          </w:tcPr>
          <w:p>
            <w:pPr>
              <w:spacing w:before="68" w:line="184" w:lineRule="auto"/>
              <w:rPr>
                <w:rFonts w:ascii="宋体" w:hAnsi="宋体"/>
                <w:spacing w:val="2"/>
                <w:sz w:val="21"/>
                <w:szCs w:val="21"/>
              </w:rPr>
            </w:pPr>
            <w:r>
              <w:rPr>
                <w:rFonts w:ascii="宋体" w:hAnsi="宋体"/>
                <w:sz w:val="21"/>
                <w:szCs w:val="21"/>
              </w:rPr>
              <w:t>检测技术实施方案</w:t>
            </w:r>
          </w:p>
        </w:tc>
        <w:tc>
          <w:tcPr>
            <w:tcW w:w="7380" w:type="dxa"/>
            <w:noWrap w:val="0"/>
            <w:vAlign w:val="bottom"/>
          </w:tcPr>
          <w:p>
            <w:pPr>
              <w:spacing w:line="500" w:lineRule="exact"/>
              <w:rPr>
                <w:rFonts w:hint="eastAsia" w:ascii="宋体" w:hAnsi="宋体" w:eastAsia="宋体"/>
                <w:sz w:val="21"/>
                <w:szCs w:val="21"/>
                <w:lang w:eastAsia="zh-CN"/>
              </w:rPr>
            </w:pPr>
            <w:r>
              <w:rPr>
                <w:rFonts w:hint="eastAsia" w:ascii="宋体" w:hAnsi="宋体"/>
                <w:sz w:val="21"/>
                <w:szCs w:val="21"/>
                <w:lang w:eastAsia="zh-CN"/>
              </w:rPr>
              <w:t>供应商</w:t>
            </w:r>
            <w:r>
              <w:rPr>
                <w:rFonts w:ascii="宋体" w:hAnsi="宋体"/>
                <w:sz w:val="21"/>
                <w:szCs w:val="21"/>
              </w:rPr>
              <w:t>针对本项目提供详尽完善合理的检测技术及实施方案明确阐述针对本项目的技术服务工作方法和管理制度，方法中明确成立专门项目组、抽样实施管理细则、检测实施细则、结果专报机制、客户回访、档案管理机制及应急处置机制的得7分;</w:t>
            </w:r>
          </w:p>
          <w:p>
            <w:pPr>
              <w:spacing w:line="500" w:lineRule="exact"/>
              <w:rPr>
                <w:rFonts w:hint="eastAsia" w:ascii="宋体" w:hAnsi="宋体" w:eastAsia="宋体"/>
                <w:sz w:val="21"/>
                <w:szCs w:val="21"/>
                <w:lang w:eastAsia="zh-CN"/>
              </w:rPr>
            </w:pPr>
            <w:r>
              <w:rPr>
                <w:rFonts w:hint="eastAsia" w:ascii="宋体" w:hAnsi="宋体"/>
                <w:sz w:val="21"/>
                <w:szCs w:val="21"/>
                <w:lang w:eastAsia="zh-CN"/>
              </w:rPr>
              <w:t>供应商</w:t>
            </w:r>
            <w:r>
              <w:rPr>
                <w:rFonts w:ascii="宋体" w:hAnsi="宋体"/>
                <w:sz w:val="21"/>
                <w:szCs w:val="21"/>
              </w:rPr>
              <w:t>针对本项目提供的检测技术及实施方案，技术服务工作方法和管理制度，成立专门项目组、抽样实施管理细则、检测实施细则、结果专报机制、客户回访、档案管理机制及应急处置机制一般可行的得5分:</w:t>
            </w:r>
          </w:p>
          <w:p>
            <w:pPr>
              <w:spacing w:line="500" w:lineRule="exact"/>
              <w:rPr>
                <w:rFonts w:ascii="宋体" w:hAnsi="宋体"/>
                <w:sz w:val="21"/>
                <w:szCs w:val="21"/>
              </w:rPr>
            </w:pPr>
            <w:r>
              <w:rPr>
                <w:rFonts w:hint="eastAsia" w:ascii="宋体" w:hAnsi="宋体"/>
                <w:sz w:val="21"/>
                <w:szCs w:val="21"/>
                <w:lang w:eastAsia="zh-CN"/>
              </w:rPr>
              <w:t>供应商</w:t>
            </w:r>
            <w:r>
              <w:rPr>
                <w:rFonts w:ascii="宋体" w:hAnsi="宋体"/>
                <w:sz w:val="21"/>
                <w:szCs w:val="21"/>
              </w:rPr>
              <w:t>针对本项目提供的检测技术及实施方案，技术服务工作方法和管理制度，成立专门项目组、抽样实施管理细则，检测实施细则、结果专报机制、客户回访、档案管理机制及应急处置机制不够详细但有此项的得3分:不提供者得0分。</w:t>
            </w:r>
          </w:p>
        </w:tc>
        <w:tc>
          <w:tcPr>
            <w:tcW w:w="540" w:type="dxa"/>
            <w:noWrap w:val="0"/>
            <w:vAlign w:val="top"/>
          </w:tcPr>
          <w:p>
            <w:pPr>
              <w:spacing w:before="69" w:line="180" w:lineRule="auto"/>
              <w:rPr>
                <w:rFonts w:ascii="宋体" w:hAnsi="宋体"/>
                <w:spacing w:val="2"/>
                <w:sz w:val="21"/>
                <w:szCs w:val="21"/>
              </w:rPr>
            </w:pPr>
            <w:r>
              <w:rPr>
                <w:rFonts w:hint="eastAsia" w:ascii="宋体" w:hAnsi="宋体"/>
                <w:spacing w:val="2"/>
                <w:sz w:val="21"/>
                <w:szCs w:val="21"/>
              </w:rPr>
              <w:t>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1086" w:hRule="atLeast"/>
        </w:trPr>
        <w:tc>
          <w:tcPr>
            <w:tcW w:w="900" w:type="dxa"/>
            <w:vMerge w:val="continue"/>
            <w:noWrap w:val="0"/>
            <w:vAlign w:val="top"/>
          </w:tcPr>
          <w:p>
            <w:pPr>
              <w:spacing w:line="252" w:lineRule="auto"/>
              <w:rPr>
                <w:rFonts w:ascii="宋体" w:hAnsi="宋体"/>
                <w:sz w:val="21"/>
                <w:szCs w:val="21"/>
              </w:rPr>
            </w:pPr>
          </w:p>
        </w:tc>
        <w:tc>
          <w:tcPr>
            <w:tcW w:w="1080" w:type="dxa"/>
            <w:noWrap w:val="0"/>
            <w:vAlign w:val="top"/>
          </w:tcPr>
          <w:p>
            <w:pPr>
              <w:spacing w:before="68" w:line="184" w:lineRule="auto"/>
              <w:rPr>
                <w:rFonts w:ascii="宋体" w:hAnsi="宋体"/>
                <w:spacing w:val="2"/>
                <w:sz w:val="21"/>
                <w:szCs w:val="21"/>
              </w:rPr>
            </w:pPr>
            <w:r>
              <w:rPr>
                <w:rFonts w:ascii="宋体" w:hAnsi="宋体"/>
                <w:sz w:val="21"/>
                <w:szCs w:val="21"/>
              </w:rPr>
              <w:t>技术服务流程(7分)</w:t>
            </w:r>
          </w:p>
        </w:tc>
        <w:tc>
          <w:tcPr>
            <w:tcW w:w="7380" w:type="dxa"/>
            <w:noWrap w:val="0"/>
            <w:vAlign w:val="bottom"/>
          </w:tcPr>
          <w:p>
            <w:pPr>
              <w:spacing w:line="500" w:lineRule="exact"/>
              <w:rPr>
                <w:rFonts w:hint="eastAsia" w:ascii="宋体" w:hAnsi="宋体" w:eastAsia="宋体"/>
                <w:sz w:val="21"/>
                <w:szCs w:val="21"/>
                <w:lang w:eastAsia="zh-CN"/>
              </w:rPr>
            </w:pPr>
            <w:r>
              <w:rPr>
                <w:rFonts w:hint="eastAsia" w:ascii="宋体" w:hAnsi="宋体"/>
                <w:sz w:val="21"/>
                <w:szCs w:val="21"/>
                <w:lang w:eastAsia="zh-CN"/>
              </w:rPr>
              <w:t>供应商</w:t>
            </w:r>
            <w:r>
              <w:rPr>
                <w:rFonts w:ascii="宋体" w:hAnsi="宋体"/>
                <w:sz w:val="21"/>
                <w:szCs w:val="21"/>
              </w:rPr>
              <w:t>明确技术服务工作流程，流程设置合理，分工明确，每个工作流程有细致说明及相关责任人员等;</w:t>
            </w:r>
            <w:r>
              <w:rPr>
                <w:rFonts w:hint="eastAsia" w:ascii="宋体" w:hAnsi="宋体"/>
                <w:sz w:val="21"/>
                <w:szCs w:val="21"/>
              </w:rPr>
              <w:t xml:space="preserve"> </w:t>
            </w:r>
            <w:r>
              <w:rPr>
                <w:rFonts w:hint="eastAsia" w:ascii="宋体" w:hAnsi="宋体"/>
                <w:sz w:val="21"/>
                <w:szCs w:val="21"/>
                <w:lang w:eastAsia="zh-CN"/>
              </w:rPr>
              <w:t>供应商</w:t>
            </w:r>
            <w:r>
              <w:rPr>
                <w:rFonts w:ascii="宋体" w:hAnsi="宋体"/>
                <w:sz w:val="21"/>
                <w:szCs w:val="21"/>
              </w:rPr>
              <w:t>明确技术服务工作要点，包括抽样工作要点、检测工作要点等内容，明确工作难点的得7分:</w:t>
            </w:r>
          </w:p>
          <w:p>
            <w:pPr>
              <w:spacing w:line="500" w:lineRule="exact"/>
              <w:rPr>
                <w:rFonts w:ascii="宋体" w:hAnsi="宋体"/>
                <w:sz w:val="21"/>
                <w:szCs w:val="21"/>
              </w:rPr>
            </w:pPr>
            <w:r>
              <w:rPr>
                <w:rFonts w:hint="eastAsia" w:ascii="宋体" w:hAnsi="宋体"/>
                <w:sz w:val="21"/>
                <w:szCs w:val="21"/>
                <w:lang w:eastAsia="zh-CN"/>
              </w:rPr>
              <w:t>供应商</w:t>
            </w:r>
            <w:r>
              <w:rPr>
                <w:rFonts w:ascii="宋体" w:hAnsi="宋体"/>
                <w:sz w:val="21"/>
                <w:szCs w:val="21"/>
              </w:rPr>
              <w:t>对技术服务工作流程有设置，有分工，每个工作流程有说明及相关责任人员的:</w:t>
            </w:r>
            <w:r>
              <w:rPr>
                <w:rFonts w:hint="eastAsia" w:ascii="宋体" w:hAnsi="宋体"/>
                <w:sz w:val="21"/>
                <w:szCs w:val="21"/>
              </w:rPr>
              <w:t xml:space="preserve"> </w:t>
            </w:r>
            <w:r>
              <w:rPr>
                <w:rFonts w:hint="eastAsia" w:ascii="宋体" w:hAnsi="宋体"/>
                <w:sz w:val="21"/>
                <w:szCs w:val="21"/>
                <w:lang w:eastAsia="zh-CN"/>
              </w:rPr>
              <w:t>供应商</w:t>
            </w:r>
            <w:r>
              <w:rPr>
                <w:rFonts w:ascii="宋体" w:hAnsi="宋体"/>
                <w:sz w:val="21"/>
                <w:szCs w:val="21"/>
              </w:rPr>
              <w:t>对技术服务工作要点，包括抽样工作要点、检测工作要点等内容详细一般可行的得5分:</w:t>
            </w:r>
          </w:p>
          <w:p>
            <w:pPr>
              <w:spacing w:line="500" w:lineRule="exact"/>
              <w:rPr>
                <w:rFonts w:ascii="宋体" w:hAnsi="宋体"/>
                <w:sz w:val="21"/>
                <w:szCs w:val="21"/>
              </w:rPr>
            </w:pPr>
            <w:r>
              <w:rPr>
                <w:rFonts w:hint="eastAsia" w:ascii="宋体" w:hAnsi="宋体"/>
                <w:sz w:val="21"/>
                <w:szCs w:val="21"/>
                <w:lang w:eastAsia="zh-CN"/>
              </w:rPr>
              <w:t>供应商</w:t>
            </w:r>
            <w:r>
              <w:rPr>
                <w:rFonts w:ascii="宋体" w:hAnsi="宋体"/>
                <w:sz w:val="21"/>
                <w:szCs w:val="21"/>
              </w:rPr>
              <w:t>对技术服务工作流程有设置，有分工，对工作流程有说明及相关责任人员的:</w:t>
            </w:r>
            <w:r>
              <w:rPr>
                <w:rFonts w:hint="eastAsia" w:ascii="宋体" w:hAnsi="宋体"/>
                <w:sz w:val="21"/>
                <w:szCs w:val="21"/>
              </w:rPr>
              <w:t xml:space="preserve"> </w:t>
            </w:r>
            <w:r>
              <w:rPr>
                <w:rFonts w:hint="eastAsia" w:ascii="宋体" w:hAnsi="宋体"/>
                <w:sz w:val="21"/>
                <w:szCs w:val="21"/>
                <w:lang w:eastAsia="zh-CN"/>
              </w:rPr>
              <w:t>供应商</w:t>
            </w:r>
            <w:r>
              <w:rPr>
                <w:rFonts w:ascii="宋体" w:hAnsi="宋体"/>
                <w:sz w:val="21"/>
                <w:szCs w:val="21"/>
              </w:rPr>
              <w:t>对技术服务工作要点，包括抽样工作要点、检测工作要点等内容不够详细但有此项的得3分:不提供者得0分。</w:t>
            </w:r>
          </w:p>
        </w:tc>
        <w:tc>
          <w:tcPr>
            <w:tcW w:w="540" w:type="dxa"/>
            <w:noWrap w:val="0"/>
            <w:vAlign w:val="top"/>
          </w:tcPr>
          <w:p>
            <w:pPr>
              <w:spacing w:before="69" w:line="180" w:lineRule="auto"/>
              <w:rPr>
                <w:rFonts w:ascii="宋体" w:hAnsi="宋体"/>
                <w:spacing w:val="2"/>
                <w:sz w:val="21"/>
                <w:szCs w:val="21"/>
              </w:rPr>
            </w:pPr>
            <w:r>
              <w:rPr>
                <w:rFonts w:hint="eastAsia" w:ascii="宋体" w:hAnsi="宋体"/>
                <w:spacing w:val="2"/>
                <w:sz w:val="21"/>
                <w:szCs w:val="21"/>
              </w:rPr>
              <w:t>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053" w:hRule="atLeast"/>
        </w:trPr>
        <w:tc>
          <w:tcPr>
            <w:tcW w:w="900" w:type="dxa"/>
            <w:vMerge w:val="continue"/>
            <w:noWrap w:val="0"/>
            <w:vAlign w:val="top"/>
          </w:tcPr>
          <w:p>
            <w:pPr>
              <w:spacing w:line="252" w:lineRule="auto"/>
              <w:rPr>
                <w:rFonts w:ascii="宋体" w:hAnsi="宋体"/>
                <w:sz w:val="21"/>
                <w:szCs w:val="21"/>
              </w:rPr>
            </w:pPr>
          </w:p>
        </w:tc>
        <w:tc>
          <w:tcPr>
            <w:tcW w:w="1080" w:type="dxa"/>
            <w:noWrap w:val="0"/>
            <w:vAlign w:val="top"/>
          </w:tcPr>
          <w:p>
            <w:pPr>
              <w:spacing w:before="68" w:line="184" w:lineRule="auto"/>
              <w:rPr>
                <w:rFonts w:ascii="宋体" w:hAnsi="宋体"/>
                <w:spacing w:val="2"/>
                <w:sz w:val="21"/>
                <w:szCs w:val="21"/>
              </w:rPr>
            </w:pPr>
            <w:r>
              <w:rPr>
                <w:rFonts w:ascii="宋体" w:hAnsi="宋体"/>
                <w:sz w:val="21"/>
                <w:szCs w:val="21"/>
              </w:rPr>
              <w:t>样品运输及贮存方案</w:t>
            </w:r>
          </w:p>
        </w:tc>
        <w:tc>
          <w:tcPr>
            <w:tcW w:w="7380" w:type="dxa"/>
            <w:noWrap w:val="0"/>
            <w:vAlign w:val="bottom"/>
          </w:tcPr>
          <w:p>
            <w:pPr>
              <w:spacing w:line="500" w:lineRule="exact"/>
              <w:rPr>
                <w:rFonts w:hint="eastAsia" w:ascii="宋体" w:hAnsi="宋体" w:eastAsia="宋体"/>
                <w:sz w:val="21"/>
                <w:szCs w:val="21"/>
                <w:lang w:eastAsia="zh-CN"/>
              </w:rPr>
            </w:pPr>
            <w:r>
              <w:rPr>
                <w:rFonts w:ascii="宋体" w:hAnsi="宋体"/>
                <w:sz w:val="21"/>
                <w:szCs w:val="21"/>
              </w:rPr>
              <w:t>具有符合食用农产品检测样品特性的检测检测样品采集、运输及贮存方案。方案环节清晰完整，措施具体，切实可行的得7分:</w:t>
            </w:r>
          </w:p>
          <w:p>
            <w:pPr>
              <w:spacing w:line="500" w:lineRule="exact"/>
              <w:rPr>
                <w:rFonts w:ascii="宋体" w:hAnsi="宋体"/>
                <w:sz w:val="21"/>
                <w:szCs w:val="21"/>
              </w:rPr>
            </w:pPr>
            <w:r>
              <w:rPr>
                <w:rFonts w:ascii="宋体" w:hAnsi="宋体"/>
                <w:sz w:val="21"/>
                <w:szCs w:val="21"/>
              </w:rPr>
              <w:t>具有食用农产品检测样品特性的检测检测样品采集、运输及贮存方案。方案环节和措施方案一般详细可行的得5分:</w:t>
            </w:r>
          </w:p>
          <w:p>
            <w:pPr>
              <w:pStyle w:val="2"/>
              <w:ind w:left="0" w:leftChars="0" w:firstLine="0" w:firstLineChars="0"/>
              <w:rPr>
                <w:rFonts w:ascii="宋体" w:hAnsi="宋体" w:eastAsia="宋体" w:cs="宋体"/>
                <w:sz w:val="21"/>
                <w:szCs w:val="21"/>
              </w:rPr>
            </w:pPr>
            <w:r>
              <w:rPr>
                <w:rFonts w:ascii="宋体" w:hAnsi="宋体" w:eastAsia="宋体" w:cs="宋体"/>
                <w:sz w:val="21"/>
                <w:szCs w:val="21"/>
              </w:rPr>
              <w:t>有含用农产品检测样品特性的检测检测样品采集、运输及贮存方案。方案环节和措施方案不够详细但此有项的得3分:不提供者得0分。</w:t>
            </w:r>
          </w:p>
        </w:tc>
        <w:tc>
          <w:tcPr>
            <w:tcW w:w="540" w:type="dxa"/>
            <w:noWrap w:val="0"/>
            <w:vAlign w:val="top"/>
          </w:tcPr>
          <w:p>
            <w:pPr>
              <w:spacing w:before="69" w:line="180" w:lineRule="auto"/>
              <w:rPr>
                <w:rFonts w:ascii="宋体" w:hAnsi="宋体"/>
                <w:spacing w:val="2"/>
                <w:sz w:val="21"/>
                <w:szCs w:val="21"/>
              </w:rPr>
            </w:pPr>
            <w:r>
              <w:rPr>
                <w:rFonts w:hint="eastAsia" w:ascii="宋体" w:hAnsi="宋体"/>
                <w:spacing w:val="2"/>
                <w:sz w:val="21"/>
                <w:szCs w:val="21"/>
              </w:rPr>
              <w:t>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1352" w:hRule="atLeast"/>
        </w:trPr>
        <w:tc>
          <w:tcPr>
            <w:tcW w:w="900" w:type="dxa"/>
            <w:vMerge w:val="continue"/>
            <w:noWrap w:val="0"/>
            <w:vAlign w:val="top"/>
          </w:tcPr>
          <w:p>
            <w:pPr>
              <w:spacing w:line="252" w:lineRule="auto"/>
              <w:rPr>
                <w:rFonts w:ascii="宋体" w:hAnsi="宋体"/>
                <w:sz w:val="21"/>
                <w:szCs w:val="21"/>
              </w:rPr>
            </w:pPr>
          </w:p>
        </w:tc>
        <w:tc>
          <w:tcPr>
            <w:tcW w:w="1080" w:type="dxa"/>
            <w:noWrap w:val="0"/>
            <w:vAlign w:val="top"/>
          </w:tcPr>
          <w:p>
            <w:pPr>
              <w:spacing w:before="68" w:line="184" w:lineRule="auto"/>
              <w:rPr>
                <w:rFonts w:ascii="宋体" w:hAnsi="宋体"/>
                <w:spacing w:val="2"/>
                <w:sz w:val="21"/>
                <w:szCs w:val="21"/>
              </w:rPr>
            </w:pPr>
            <w:r>
              <w:rPr>
                <w:rFonts w:ascii="宋体" w:hAnsi="宋体"/>
                <w:sz w:val="21"/>
                <w:szCs w:val="21"/>
              </w:rPr>
              <w:t>质量控制</w:t>
            </w:r>
          </w:p>
        </w:tc>
        <w:tc>
          <w:tcPr>
            <w:tcW w:w="7380" w:type="dxa"/>
            <w:noWrap w:val="0"/>
            <w:vAlign w:val="bottom"/>
          </w:tcPr>
          <w:p>
            <w:pPr>
              <w:spacing w:line="500" w:lineRule="exact"/>
              <w:rPr>
                <w:rFonts w:hint="eastAsia" w:ascii="宋体" w:hAnsi="宋体" w:eastAsia="宋体"/>
                <w:sz w:val="21"/>
                <w:szCs w:val="21"/>
                <w:lang w:eastAsia="zh-CN"/>
              </w:rPr>
            </w:pPr>
            <w:r>
              <w:rPr>
                <w:rFonts w:ascii="宋体" w:hAnsi="宋体"/>
                <w:sz w:val="21"/>
                <w:szCs w:val="21"/>
              </w:rPr>
              <w:t>具有详尽完善的食品抽样检测质量控制方案及措施的得7分;</w:t>
            </w:r>
          </w:p>
          <w:p>
            <w:pPr>
              <w:spacing w:line="500" w:lineRule="exact"/>
              <w:rPr>
                <w:rFonts w:hint="eastAsia" w:ascii="宋体" w:hAnsi="宋体" w:eastAsia="宋体"/>
                <w:sz w:val="21"/>
                <w:szCs w:val="21"/>
                <w:lang w:eastAsia="zh-CN"/>
              </w:rPr>
            </w:pPr>
            <w:r>
              <w:rPr>
                <w:rFonts w:ascii="宋体" w:hAnsi="宋体"/>
                <w:sz w:val="21"/>
                <w:szCs w:val="21"/>
              </w:rPr>
              <w:t>有食品抽样检测质量控制方案及措施的，但详细一般的得5分;</w:t>
            </w:r>
          </w:p>
          <w:p>
            <w:pPr>
              <w:spacing w:line="500" w:lineRule="exact"/>
              <w:rPr>
                <w:rFonts w:ascii="宋体" w:hAnsi="宋体"/>
                <w:sz w:val="21"/>
                <w:szCs w:val="21"/>
              </w:rPr>
            </w:pPr>
            <w:r>
              <w:rPr>
                <w:rFonts w:ascii="宋体" w:hAnsi="宋体"/>
                <w:sz w:val="21"/>
                <w:szCs w:val="21"/>
              </w:rPr>
              <w:t>有食品抽样检测质量控制方案及措施的，不够详细但有此项的得3分:不提供者得0分。</w:t>
            </w:r>
          </w:p>
        </w:tc>
        <w:tc>
          <w:tcPr>
            <w:tcW w:w="540" w:type="dxa"/>
            <w:noWrap w:val="0"/>
            <w:vAlign w:val="top"/>
          </w:tcPr>
          <w:p>
            <w:pPr>
              <w:spacing w:before="69" w:line="180" w:lineRule="auto"/>
              <w:rPr>
                <w:rFonts w:ascii="宋体" w:hAnsi="宋体"/>
                <w:spacing w:val="2"/>
                <w:sz w:val="21"/>
                <w:szCs w:val="21"/>
              </w:rPr>
            </w:pPr>
            <w:r>
              <w:rPr>
                <w:rFonts w:hint="eastAsia" w:ascii="宋体" w:hAnsi="宋体"/>
                <w:spacing w:val="2"/>
                <w:sz w:val="21"/>
                <w:szCs w:val="21"/>
              </w:rPr>
              <w:t>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774" w:hRule="atLeast"/>
        </w:trPr>
        <w:tc>
          <w:tcPr>
            <w:tcW w:w="900" w:type="dxa"/>
            <w:vMerge w:val="continue"/>
            <w:noWrap w:val="0"/>
            <w:vAlign w:val="top"/>
          </w:tcPr>
          <w:p>
            <w:pPr>
              <w:spacing w:line="252" w:lineRule="auto"/>
              <w:rPr>
                <w:rFonts w:ascii="宋体" w:hAnsi="宋体"/>
                <w:sz w:val="21"/>
                <w:szCs w:val="21"/>
              </w:rPr>
            </w:pPr>
          </w:p>
        </w:tc>
        <w:tc>
          <w:tcPr>
            <w:tcW w:w="1080" w:type="dxa"/>
            <w:noWrap w:val="0"/>
            <w:vAlign w:val="top"/>
          </w:tcPr>
          <w:p>
            <w:pPr>
              <w:spacing w:before="68" w:line="184" w:lineRule="auto"/>
              <w:rPr>
                <w:rFonts w:ascii="宋体" w:hAnsi="宋体"/>
                <w:spacing w:val="2"/>
                <w:sz w:val="21"/>
                <w:szCs w:val="21"/>
              </w:rPr>
            </w:pPr>
            <w:r>
              <w:rPr>
                <w:rFonts w:ascii="宋体" w:hAnsi="宋体"/>
                <w:sz w:val="21"/>
                <w:szCs w:val="21"/>
              </w:rPr>
              <w:t>应急管理</w:t>
            </w:r>
          </w:p>
        </w:tc>
        <w:tc>
          <w:tcPr>
            <w:tcW w:w="7380" w:type="dxa"/>
            <w:noWrap w:val="0"/>
            <w:vAlign w:val="bottom"/>
          </w:tcPr>
          <w:p>
            <w:pPr>
              <w:spacing w:line="500" w:lineRule="exact"/>
              <w:rPr>
                <w:rFonts w:hint="eastAsia" w:ascii="宋体" w:hAnsi="宋体" w:eastAsia="宋体"/>
                <w:sz w:val="21"/>
                <w:szCs w:val="21"/>
                <w:lang w:eastAsia="zh-CN"/>
              </w:rPr>
            </w:pPr>
            <w:r>
              <w:rPr>
                <w:rFonts w:hint="eastAsia" w:ascii="宋体" w:hAnsi="宋体"/>
                <w:sz w:val="21"/>
                <w:szCs w:val="21"/>
                <w:lang w:eastAsia="zh-CN"/>
              </w:rPr>
              <w:t>供应商</w:t>
            </w:r>
            <w:r>
              <w:rPr>
                <w:rFonts w:ascii="宋体" w:hAnsi="宋体"/>
                <w:sz w:val="21"/>
                <w:szCs w:val="21"/>
              </w:rPr>
              <w:t>须确保发生食品安全突发事件需应急检测时，采样人员2小时内到达事件发生地，采集样品2小时内送达食品检测实验室。</w:t>
            </w:r>
            <w:r>
              <w:rPr>
                <w:rFonts w:hint="eastAsia" w:ascii="宋体" w:hAnsi="宋体"/>
                <w:sz w:val="21"/>
                <w:szCs w:val="21"/>
              </w:rPr>
              <w:t>投标</w:t>
            </w:r>
            <w:r>
              <w:rPr>
                <w:rFonts w:ascii="宋体" w:hAnsi="宋体"/>
                <w:sz w:val="21"/>
                <w:szCs w:val="21"/>
              </w:rPr>
              <w:t>文件中提供相应的应急预案措施及详细方案的得7分;</w:t>
            </w:r>
          </w:p>
          <w:p>
            <w:pPr>
              <w:spacing w:line="500" w:lineRule="exact"/>
              <w:rPr>
                <w:rFonts w:hint="eastAsia" w:ascii="宋体" w:hAnsi="宋体"/>
                <w:sz w:val="21"/>
                <w:szCs w:val="21"/>
              </w:rPr>
            </w:pPr>
            <w:r>
              <w:rPr>
                <w:rFonts w:hint="eastAsia" w:ascii="宋体" w:hAnsi="宋体"/>
                <w:sz w:val="21"/>
                <w:szCs w:val="21"/>
                <w:lang w:eastAsia="zh-CN"/>
              </w:rPr>
              <w:t>供应商</w:t>
            </w:r>
            <w:r>
              <w:rPr>
                <w:rFonts w:ascii="宋体" w:hAnsi="宋体"/>
                <w:sz w:val="21"/>
                <w:szCs w:val="21"/>
              </w:rPr>
              <w:t>须确保发生食品安全突发事件需应急检测时，采样人员2小时内到达事件发生地，采集样品2小时内送达食品检测实验室。</w:t>
            </w:r>
            <w:r>
              <w:rPr>
                <w:rFonts w:hint="eastAsia" w:ascii="宋体" w:hAnsi="宋体"/>
                <w:sz w:val="21"/>
                <w:szCs w:val="21"/>
              </w:rPr>
              <w:t>投标</w:t>
            </w:r>
            <w:r>
              <w:rPr>
                <w:rFonts w:ascii="宋体" w:hAnsi="宋体"/>
                <w:sz w:val="21"/>
                <w:szCs w:val="21"/>
              </w:rPr>
              <w:t>文件中提供相应的应</w:t>
            </w:r>
          </w:p>
          <w:p>
            <w:pPr>
              <w:spacing w:line="500" w:lineRule="exact"/>
              <w:rPr>
                <w:rFonts w:hint="eastAsia" w:ascii="宋体" w:hAnsi="宋体" w:eastAsia="宋体"/>
                <w:sz w:val="21"/>
                <w:szCs w:val="21"/>
                <w:lang w:eastAsia="zh-CN"/>
              </w:rPr>
            </w:pPr>
            <w:r>
              <w:rPr>
                <w:rFonts w:ascii="宋体" w:hAnsi="宋体"/>
                <w:sz w:val="21"/>
                <w:szCs w:val="21"/>
              </w:rPr>
              <w:t>急预案措施方案详细一般可行的得5分;</w:t>
            </w:r>
          </w:p>
          <w:p>
            <w:pPr>
              <w:spacing w:line="500" w:lineRule="exact"/>
              <w:rPr>
                <w:rFonts w:hint="eastAsia" w:ascii="宋体" w:hAnsi="宋体"/>
                <w:sz w:val="21"/>
                <w:szCs w:val="21"/>
              </w:rPr>
            </w:pPr>
            <w:r>
              <w:rPr>
                <w:rFonts w:hint="eastAsia" w:ascii="宋体" w:hAnsi="宋体"/>
                <w:sz w:val="21"/>
                <w:szCs w:val="21"/>
                <w:lang w:eastAsia="zh-CN"/>
              </w:rPr>
              <w:t>供应商</w:t>
            </w:r>
            <w:r>
              <w:rPr>
                <w:rFonts w:ascii="宋体" w:hAnsi="宋体"/>
                <w:sz w:val="21"/>
                <w:szCs w:val="21"/>
              </w:rPr>
              <w:t>须确保发生食品安全突发事件需应急检测时，采样人员2小时内到达事件发生地，采集样品2小时内送达食品检测实验室。</w:t>
            </w:r>
            <w:r>
              <w:rPr>
                <w:rFonts w:hint="eastAsia" w:ascii="宋体" w:hAnsi="宋体"/>
                <w:sz w:val="21"/>
                <w:szCs w:val="21"/>
              </w:rPr>
              <w:t>投标</w:t>
            </w:r>
            <w:r>
              <w:rPr>
                <w:rFonts w:ascii="宋体" w:hAnsi="宋体"/>
                <w:sz w:val="21"/>
                <w:szCs w:val="21"/>
              </w:rPr>
              <w:t>文件中提供相应的应</w:t>
            </w:r>
          </w:p>
          <w:p>
            <w:pPr>
              <w:spacing w:line="500" w:lineRule="exact"/>
              <w:rPr>
                <w:rFonts w:ascii="宋体" w:hAnsi="宋体"/>
                <w:sz w:val="21"/>
                <w:szCs w:val="21"/>
              </w:rPr>
            </w:pPr>
            <w:r>
              <w:rPr>
                <w:rFonts w:ascii="宋体" w:hAnsi="宋体"/>
                <w:sz w:val="21"/>
                <w:szCs w:val="21"/>
              </w:rPr>
              <w:t>急预案措施方案</w:t>
            </w:r>
            <w:r>
              <w:rPr>
                <w:rFonts w:hint="eastAsia" w:ascii="宋体" w:hAnsi="宋体"/>
                <w:sz w:val="21"/>
                <w:szCs w:val="21"/>
              </w:rPr>
              <w:t>不够详细，</w:t>
            </w:r>
            <w:r>
              <w:rPr>
                <w:rFonts w:ascii="宋体" w:hAnsi="宋体"/>
                <w:sz w:val="21"/>
                <w:szCs w:val="21"/>
              </w:rPr>
              <w:t>一般可行的得的得3分:不提供者得0分。</w:t>
            </w:r>
          </w:p>
        </w:tc>
        <w:tc>
          <w:tcPr>
            <w:tcW w:w="540" w:type="dxa"/>
            <w:noWrap w:val="0"/>
            <w:vAlign w:val="top"/>
          </w:tcPr>
          <w:p>
            <w:pPr>
              <w:spacing w:before="69" w:line="180" w:lineRule="auto"/>
              <w:rPr>
                <w:rFonts w:hint="eastAsia" w:ascii="宋体" w:hAnsi="宋体"/>
                <w:spacing w:val="2"/>
                <w:sz w:val="21"/>
                <w:szCs w:val="21"/>
              </w:rPr>
            </w:pPr>
          </w:p>
          <w:p>
            <w:pPr>
              <w:spacing w:before="69" w:line="180" w:lineRule="auto"/>
              <w:rPr>
                <w:rFonts w:ascii="宋体" w:hAnsi="宋体"/>
                <w:spacing w:val="2"/>
                <w:sz w:val="21"/>
                <w:szCs w:val="21"/>
              </w:rPr>
            </w:pPr>
            <w:r>
              <w:rPr>
                <w:rFonts w:hint="eastAsia" w:ascii="宋体" w:hAnsi="宋体"/>
                <w:spacing w:val="2"/>
                <w:sz w:val="21"/>
                <w:szCs w:val="21"/>
              </w:rPr>
              <w:t>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774" w:hRule="atLeast"/>
        </w:trPr>
        <w:tc>
          <w:tcPr>
            <w:tcW w:w="900" w:type="dxa"/>
            <w:vMerge w:val="restart"/>
            <w:noWrap w:val="0"/>
            <w:vAlign w:val="top"/>
          </w:tcPr>
          <w:p>
            <w:pPr>
              <w:spacing w:line="252" w:lineRule="auto"/>
              <w:rPr>
                <w:rFonts w:ascii="宋体" w:hAnsi="宋体"/>
                <w:sz w:val="21"/>
                <w:szCs w:val="21"/>
              </w:rPr>
            </w:pPr>
          </w:p>
        </w:tc>
        <w:tc>
          <w:tcPr>
            <w:tcW w:w="1080" w:type="dxa"/>
            <w:vMerge w:val="restart"/>
            <w:noWrap w:val="0"/>
            <w:vAlign w:val="top"/>
          </w:tcPr>
          <w:p>
            <w:pPr>
              <w:spacing w:before="68" w:line="184" w:lineRule="auto"/>
              <w:rPr>
                <w:rFonts w:ascii="宋体" w:hAnsi="宋体"/>
                <w:sz w:val="21"/>
                <w:szCs w:val="21"/>
              </w:rPr>
            </w:pPr>
            <w:r>
              <w:rPr>
                <w:rFonts w:hint="eastAsia" w:ascii="宋体" w:hAnsi="宋体"/>
                <w:spacing w:val="2"/>
                <w:sz w:val="21"/>
                <w:szCs w:val="21"/>
              </w:rPr>
              <w:t>服务承诺</w:t>
            </w:r>
          </w:p>
        </w:tc>
        <w:tc>
          <w:tcPr>
            <w:tcW w:w="7380" w:type="dxa"/>
            <w:noWrap w:val="0"/>
            <w:vAlign w:val="top"/>
          </w:tcPr>
          <w:p>
            <w:pPr>
              <w:spacing w:before="285" w:line="200" w:lineRule="exact"/>
              <w:ind w:right="85"/>
              <w:rPr>
                <w:rFonts w:ascii="宋体" w:hAnsi="宋体"/>
                <w:spacing w:val="2"/>
                <w:sz w:val="21"/>
                <w:szCs w:val="21"/>
              </w:rPr>
            </w:pPr>
            <w:r>
              <w:rPr>
                <w:rFonts w:hint="eastAsia" w:ascii="宋体" w:hAnsi="宋体"/>
                <w:spacing w:val="2"/>
                <w:sz w:val="21"/>
                <w:szCs w:val="21"/>
                <w:lang w:eastAsia="zh-CN"/>
              </w:rPr>
              <w:t>供应商</w:t>
            </w:r>
            <w:r>
              <w:rPr>
                <w:rFonts w:hint="eastAsia" w:ascii="宋体" w:hAnsi="宋体"/>
                <w:spacing w:val="2"/>
                <w:sz w:val="21"/>
                <w:szCs w:val="21"/>
              </w:rPr>
              <w:t>承诺为采购单位提供咨询、食品安全风险评估、合理化建议等服务。</w:t>
            </w:r>
          </w:p>
          <w:p>
            <w:pPr>
              <w:spacing w:before="285" w:line="200" w:lineRule="exact"/>
              <w:ind w:right="85"/>
              <w:rPr>
                <w:rFonts w:ascii="宋体" w:hAnsi="宋体"/>
                <w:spacing w:val="2"/>
                <w:sz w:val="21"/>
                <w:szCs w:val="21"/>
              </w:rPr>
            </w:pPr>
            <w:r>
              <w:rPr>
                <w:rFonts w:hint="eastAsia" w:ascii="宋体" w:hAnsi="宋体"/>
                <w:spacing w:val="2"/>
                <w:sz w:val="21"/>
                <w:szCs w:val="21"/>
              </w:rPr>
              <w:t>1.承诺全面，内容完整得3分。</w:t>
            </w:r>
          </w:p>
          <w:p>
            <w:pPr>
              <w:spacing w:before="285" w:line="200" w:lineRule="exact"/>
              <w:ind w:right="85"/>
              <w:rPr>
                <w:rFonts w:ascii="宋体" w:hAnsi="宋体"/>
                <w:spacing w:val="2"/>
                <w:sz w:val="21"/>
                <w:szCs w:val="21"/>
              </w:rPr>
            </w:pPr>
            <w:r>
              <w:rPr>
                <w:rFonts w:hint="eastAsia" w:ascii="宋体" w:hAnsi="宋体"/>
                <w:spacing w:val="2"/>
                <w:sz w:val="21"/>
                <w:szCs w:val="21"/>
              </w:rPr>
              <w:t>2.承诺一般，内容基本完整得2分。</w:t>
            </w:r>
          </w:p>
          <w:p>
            <w:pPr>
              <w:spacing w:before="285" w:line="200" w:lineRule="exact"/>
              <w:ind w:right="85"/>
              <w:rPr>
                <w:rFonts w:ascii="宋体" w:hAnsi="宋体"/>
                <w:spacing w:val="2"/>
                <w:sz w:val="21"/>
                <w:szCs w:val="21"/>
              </w:rPr>
            </w:pPr>
            <w:r>
              <w:rPr>
                <w:rFonts w:hint="eastAsia" w:ascii="宋体" w:hAnsi="宋体"/>
                <w:spacing w:val="2"/>
                <w:sz w:val="21"/>
                <w:szCs w:val="21"/>
              </w:rPr>
              <w:t>3.仅有本项承诺内容得1分。</w:t>
            </w:r>
          </w:p>
          <w:p>
            <w:pPr>
              <w:spacing w:before="285" w:line="200" w:lineRule="exact"/>
              <w:ind w:right="85"/>
              <w:rPr>
                <w:rFonts w:ascii="宋体" w:hAnsi="宋体" w:cs="Times New Roman"/>
              </w:rPr>
            </w:pPr>
            <w:r>
              <w:rPr>
                <w:rFonts w:hint="eastAsia" w:ascii="宋体" w:hAnsi="宋体"/>
                <w:spacing w:val="2"/>
                <w:sz w:val="21"/>
                <w:szCs w:val="21"/>
              </w:rPr>
              <w:t>4.未承诺得0分。</w:t>
            </w:r>
          </w:p>
        </w:tc>
        <w:tc>
          <w:tcPr>
            <w:tcW w:w="540" w:type="dxa"/>
            <w:vMerge w:val="restart"/>
            <w:noWrap w:val="0"/>
            <w:vAlign w:val="top"/>
          </w:tcPr>
          <w:p>
            <w:pPr>
              <w:spacing w:before="69" w:line="180" w:lineRule="auto"/>
              <w:rPr>
                <w:rFonts w:ascii="宋体" w:hAnsi="宋体"/>
                <w:spacing w:val="2"/>
                <w:sz w:val="21"/>
                <w:szCs w:val="21"/>
              </w:rPr>
            </w:pPr>
            <w:r>
              <w:rPr>
                <w:rFonts w:hint="eastAsia" w:ascii="宋体" w:hAnsi="宋体"/>
                <w:spacing w:val="2"/>
                <w:sz w:val="21"/>
                <w:szCs w:val="21"/>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774" w:hRule="atLeast"/>
        </w:trPr>
        <w:tc>
          <w:tcPr>
            <w:tcW w:w="900" w:type="dxa"/>
            <w:vMerge w:val="continue"/>
            <w:noWrap w:val="0"/>
            <w:vAlign w:val="top"/>
          </w:tcPr>
          <w:p>
            <w:pPr>
              <w:spacing w:line="252" w:lineRule="auto"/>
              <w:rPr>
                <w:rFonts w:ascii="宋体" w:hAnsi="宋体"/>
                <w:sz w:val="21"/>
                <w:szCs w:val="21"/>
              </w:rPr>
            </w:pPr>
          </w:p>
        </w:tc>
        <w:tc>
          <w:tcPr>
            <w:tcW w:w="1080" w:type="dxa"/>
            <w:vMerge w:val="continue"/>
            <w:noWrap w:val="0"/>
            <w:vAlign w:val="top"/>
          </w:tcPr>
          <w:p>
            <w:pPr>
              <w:spacing w:before="68" w:line="184" w:lineRule="auto"/>
              <w:rPr>
                <w:rFonts w:ascii="宋体" w:hAnsi="宋体"/>
                <w:spacing w:val="2"/>
                <w:sz w:val="21"/>
                <w:szCs w:val="21"/>
              </w:rPr>
            </w:pPr>
          </w:p>
        </w:tc>
        <w:tc>
          <w:tcPr>
            <w:tcW w:w="7380" w:type="dxa"/>
            <w:noWrap w:val="0"/>
            <w:vAlign w:val="top"/>
          </w:tcPr>
          <w:p>
            <w:pPr>
              <w:spacing w:before="285" w:line="200" w:lineRule="exact"/>
              <w:ind w:right="85"/>
              <w:rPr>
                <w:rFonts w:ascii="宋体" w:hAnsi="宋体"/>
                <w:spacing w:val="2"/>
                <w:sz w:val="21"/>
                <w:szCs w:val="21"/>
              </w:rPr>
            </w:pPr>
            <w:r>
              <w:rPr>
                <w:rFonts w:hint="eastAsia" w:ascii="宋体" w:hAnsi="宋体"/>
                <w:spacing w:val="2"/>
                <w:sz w:val="21"/>
                <w:szCs w:val="21"/>
                <w:lang w:eastAsia="zh-CN"/>
              </w:rPr>
              <w:t>供应商</w:t>
            </w:r>
            <w:r>
              <w:rPr>
                <w:rFonts w:hint="eastAsia" w:ascii="宋体" w:hAnsi="宋体"/>
                <w:spacing w:val="2"/>
                <w:sz w:val="21"/>
                <w:szCs w:val="21"/>
              </w:rPr>
              <w:t>承诺自觉接受监督检查、现场考核、能力比对等考核工作。</w:t>
            </w:r>
          </w:p>
          <w:p>
            <w:pPr>
              <w:spacing w:before="285" w:line="200" w:lineRule="exact"/>
              <w:ind w:right="85"/>
              <w:rPr>
                <w:rFonts w:ascii="宋体" w:hAnsi="宋体"/>
                <w:spacing w:val="2"/>
                <w:sz w:val="21"/>
                <w:szCs w:val="21"/>
              </w:rPr>
            </w:pPr>
            <w:r>
              <w:rPr>
                <w:rFonts w:hint="eastAsia" w:ascii="宋体" w:hAnsi="宋体"/>
                <w:spacing w:val="2"/>
                <w:sz w:val="21"/>
                <w:szCs w:val="21"/>
              </w:rPr>
              <w:t>1.承诺全面，内容完整得3分。</w:t>
            </w:r>
          </w:p>
          <w:p>
            <w:pPr>
              <w:spacing w:before="285" w:line="200" w:lineRule="exact"/>
              <w:ind w:right="85"/>
              <w:rPr>
                <w:rFonts w:ascii="宋体" w:hAnsi="宋体"/>
                <w:spacing w:val="2"/>
                <w:sz w:val="21"/>
                <w:szCs w:val="21"/>
              </w:rPr>
            </w:pPr>
            <w:r>
              <w:rPr>
                <w:rFonts w:hint="eastAsia" w:ascii="宋体" w:hAnsi="宋体"/>
                <w:spacing w:val="2"/>
                <w:sz w:val="21"/>
                <w:szCs w:val="21"/>
              </w:rPr>
              <w:t>2.承诺一般，内容基本完整得2分。</w:t>
            </w:r>
          </w:p>
          <w:p>
            <w:pPr>
              <w:spacing w:before="285" w:line="200" w:lineRule="exact"/>
              <w:ind w:right="85"/>
              <w:rPr>
                <w:rFonts w:ascii="宋体" w:hAnsi="宋体"/>
                <w:spacing w:val="2"/>
                <w:sz w:val="21"/>
                <w:szCs w:val="21"/>
              </w:rPr>
            </w:pPr>
            <w:r>
              <w:rPr>
                <w:rFonts w:hint="eastAsia" w:ascii="宋体" w:hAnsi="宋体"/>
                <w:spacing w:val="2"/>
                <w:sz w:val="21"/>
                <w:szCs w:val="21"/>
              </w:rPr>
              <w:t>3.仅有本项承诺内容得1分。</w:t>
            </w:r>
          </w:p>
          <w:p>
            <w:pPr>
              <w:spacing w:before="285" w:line="200" w:lineRule="exact"/>
              <w:ind w:right="85"/>
              <w:rPr>
                <w:rFonts w:ascii="宋体" w:hAnsi="宋体"/>
                <w:spacing w:val="2"/>
                <w:sz w:val="21"/>
                <w:szCs w:val="21"/>
              </w:rPr>
            </w:pPr>
            <w:r>
              <w:rPr>
                <w:rFonts w:hint="eastAsia" w:ascii="宋体" w:hAnsi="宋体"/>
                <w:spacing w:val="2"/>
                <w:sz w:val="21"/>
                <w:szCs w:val="21"/>
              </w:rPr>
              <w:t>4.未承诺得0分。</w:t>
            </w:r>
          </w:p>
        </w:tc>
        <w:tc>
          <w:tcPr>
            <w:tcW w:w="540" w:type="dxa"/>
            <w:vMerge w:val="continue"/>
            <w:noWrap w:val="0"/>
            <w:vAlign w:val="top"/>
          </w:tcPr>
          <w:p>
            <w:pPr>
              <w:spacing w:before="69" w:line="180" w:lineRule="auto"/>
              <w:rPr>
                <w:rFonts w:ascii="宋体" w:hAnsi="宋体"/>
                <w:spacing w:val="2"/>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615" w:hRule="atLeast"/>
        </w:trPr>
        <w:tc>
          <w:tcPr>
            <w:tcW w:w="900" w:type="dxa"/>
            <w:vMerge w:val="restart"/>
            <w:noWrap w:val="0"/>
            <w:vAlign w:val="center"/>
          </w:tcPr>
          <w:p>
            <w:pPr>
              <w:spacing w:line="243" w:lineRule="auto"/>
              <w:rPr>
                <w:rFonts w:ascii="宋体" w:hAnsi="宋体"/>
                <w:sz w:val="21"/>
                <w:szCs w:val="21"/>
              </w:rPr>
            </w:pPr>
          </w:p>
          <w:p>
            <w:pPr>
              <w:spacing w:line="243" w:lineRule="auto"/>
              <w:rPr>
                <w:rFonts w:ascii="宋体" w:hAnsi="宋体"/>
                <w:sz w:val="21"/>
                <w:szCs w:val="21"/>
              </w:rPr>
            </w:pPr>
          </w:p>
          <w:p>
            <w:pPr>
              <w:spacing w:line="243" w:lineRule="auto"/>
              <w:rPr>
                <w:rFonts w:ascii="宋体" w:hAnsi="宋体"/>
                <w:sz w:val="21"/>
                <w:szCs w:val="21"/>
              </w:rPr>
            </w:pPr>
          </w:p>
          <w:p>
            <w:pPr>
              <w:spacing w:line="243" w:lineRule="auto"/>
              <w:rPr>
                <w:rFonts w:ascii="宋体" w:hAnsi="宋体"/>
                <w:sz w:val="21"/>
                <w:szCs w:val="21"/>
              </w:rPr>
            </w:pPr>
          </w:p>
          <w:p>
            <w:pPr>
              <w:spacing w:line="243" w:lineRule="auto"/>
              <w:rPr>
                <w:rFonts w:ascii="宋体" w:hAnsi="宋体"/>
                <w:sz w:val="21"/>
                <w:szCs w:val="21"/>
              </w:rPr>
            </w:pPr>
          </w:p>
          <w:p>
            <w:pPr>
              <w:spacing w:before="68" w:line="274" w:lineRule="auto"/>
              <w:ind w:right="123"/>
              <w:rPr>
                <w:rFonts w:ascii="宋体" w:hAnsi="宋体"/>
                <w:sz w:val="21"/>
                <w:szCs w:val="21"/>
              </w:rPr>
            </w:pPr>
            <w:r>
              <w:rPr>
                <w:rFonts w:hint="eastAsia" w:ascii="宋体" w:hAnsi="宋体"/>
                <w:sz w:val="21"/>
                <w:szCs w:val="21"/>
              </w:rPr>
              <w:t>商务部分</w:t>
            </w:r>
            <w:r>
              <w:rPr>
                <w:rFonts w:hint="eastAsia" w:ascii="宋体" w:hAnsi="宋体"/>
                <w:spacing w:val="-2"/>
                <w:sz w:val="21"/>
                <w:szCs w:val="21"/>
                <w:lang w:val="en-US" w:eastAsia="zh-CN"/>
              </w:rPr>
              <w:t>8</w:t>
            </w:r>
            <w:r>
              <w:rPr>
                <w:rFonts w:hint="eastAsia" w:ascii="宋体" w:hAnsi="宋体"/>
                <w:spacing w:val="-2"/>
                <w:sz w:val="21"/>
                <w:szCs w:val="21"/>
              </w:rPr>
              <w:t>分</w:t>
            </w:r>
          </w:p>
        </w:tc>
        <w:tc>
          <w:tcPr>
            <w:tcW w:w="1080" w:type="dxa"/>
            <w:noWrap w:val="0"/>
            <w:vAlign w:val="top"/>
          </w:tcPr>
          <w:p>
            <w:pPr>
              <w:spacing w:line="258" w:lineRule="auto"/>
              <w:rPr>
                <w:rFonts w:ascii="宋体" w:hAnsi="宋体"/>
                <w:sz w:val="21"/>
                <w:szCs w:val="21"/>
              </w:rPr>
            </w:pPr>
          </w:p>
          <w:p>
            <w:pPr>
              <w:spacing w:line="258" w:lineRule="auto"/>
              <w:rPr>
                <w:rFonts w:ascii="宋体" w:hAnsi="宋体"/>
                <w:sz w:val="21"/>
                <w:szCs w:val="21"/>
              </w:rPr>
            </w:pPr>
          </w:p>
          <w:p>
            <w:pPr>
              <w:spacing w:line="258" w:lineRule="auto"/>
              <w:rPr>
                <w:rFonts w:ascii="宋体" w:hAnsi="宋体"/>
                <w:sz w:val="21"/>
                <w:szCs w:val="21"/>
              </w:rPr>
            </w:pPr>
          </w:p>
          <w:p>
            <w:pPr>
              <w:spacing w:before="68" w:line="184" w:lineRule="auto"/>
              <w:rPr>
                <w:rFonts w:ascii="宋体" w:hAnsi="宋体"/>
                <w:sz w:val="21"/>
                <w:szCs w:val="21"/>
              </w:rPr>
            </w:pPr>
            <w:r>
              <w:rPr>
                <w:rFonts w:hint="eastAsia" w:ascii="宋体" w:hAnsi="宋体"/>
                <w:spacing w:val="1"/>
                <w:sz w:val="21"/>
                <w:szCs w:val="21"/>
              </w:rPr>
              <w:t>资质荣誉</w:t>
            </w:r>
          </w:p>
        </w:tc>
        <w:tc>
          <w:tcPr>
            <w:tcW w:w="7380" w:type="dxa"/>
            <w:noWrap w:val="0"/>
            <w:vAlign w:val="top"/>
          </w:tcPr>
          <w:p>
            <w:pPr>
              <w:spacing w:before="55" w:line="360" w:lineRule="auto"/>
              <w:ind w:left="113" w:right="88" w:firstLine="15"/>
              <w:rPr>
                <w:rFonts w:ascii="宋体" w:hAnsi="宋体"/>
                <w:color w:val="auto"/>
                <w:sz w:val="21"/>
                <w:szCs w:val="21"/>
              </w:rPr>
            </w:pPr>
            <w:r>
              <w:rPr>
                <w:rFonts w:hint="eastAsia" w:ascii="宋体" w:hAnsi="宋体"/>
                <w:color w:val="auto"/>
                <w:spacing w:val="-2"/>
                <w:sz w:val="21"/>
                <w:szCs w:val="21"/>
                <w:lang w:eastAsia="zh-CN"/>
              </w:rPr>
              <w:t>供应商</w:t>
            </w:r>
            <w:r>
              <w:rPr>
                <w:rFonts w:hint="eastAsia" w:ascii="宋体" w:hAnsi="宋体"/>
                <w:color w:val="auto"/>
                <w:spacing w:val="-2"/>
                <w:sz w:val="21"/>
                <w:szCs w:val="21"/>
              </w:rPr>
              <w:t>提供经中国人民银行备案的第三方征信机构出具的信用报告，并提供出具该信用报告的第三方征信机构在中国人民银行备案的证明材料</w:t>
            </w:r>
            <w:r>
              <w:rPr>
                <w:rFonts w:hint="eastAsia" w:ascii="宋体" w:hAnsi="宋体"/>
                <w:color w:val="auto"/>
                <w:spacing w:val="-2"/>
                <w:sz w:val="21"/>
                <w:szCs w:val="21"/>
                <w:lang w:eastAsia="zh-CN"/>
              </w:rPr>
              <w:t>，</w:t>
            </w:r>
            <w:r>
              <w:rPr>
                <w:rFonts w:hint="eastAsia" w:ascii="宋体" w:hAnsi="宋体"/>
                <w:color w:val="auto"/>
                <w:spacing w:val="-2"/>
                <w:sz w:val="21"/>
                <w:szCs w:val="21"/>
              </w:rPr>
              <w:t>信用等级为</w:t>
            </w:r>
            <w:r>
              <w:rPr>
                <w:rFonts w:ascii="宋体" w:hAnsi="宋体"/>
                <w:color w:val="auto"/>
                <w:spacing w:val="-2"/>
                <w:sz w:val="21"/>
                <w:szCs w:val="21"/>
              </w:rPr>
              <w:t>AAA</w:t>
            </w:r>
            <w:r>
              <w:rPr>
                <w:rFonts w:hint="eastAsia" w:ascii="宋体" w:hAnsi="宋体"/>
                <w:color w:val="auto"/>
                <w:spacing w:val="-2"/>
                <w:sz w:val="21"/>
                <w:szCs w:val="21"/>
              </w:rPr>
              <w:t>级的得</w:t>
            </w:r>
            <w:r>
              <w:rPr>
                <w:rFonts w:ascii="宋体" w:hAnsi="宋体"/>
                <w:color w:val="auto"/>
                <w:spacing w:val="-2"/>
                <w:sz w:val="21"/>
                <w:szCs w:val="21"/>
              </w:rPr>
              <w:t>2</w:t>
            </w:r>
            <w:r>
              <w:rPr>
                <w:rFonts w:hint="eastAsia" w:ascii="宋体" w:hAnsi="宋体"/>
                <w:color w:val="auto"/>
                <w:spacing w:val="-2"/>
                <w:sz w:val="21"/>
                <w:szCs w:val="21"/>
              </w:rPr>
              <w:t>分，信用等级为</w:t>
            </w:r>
            <w:r>
              <w:rPr>
                <w:rFonts w:ascii="宋体" w:hAnsi="宋体"/>
                <w:color w:val="auto"/>
                <w:spacing w:val="-2"/>
                <w:sz w:val="21"/>
                <w:szCs w:val="21"/>
              </w:rPr>
              <w:t>AA</w:t>
            </w:r>
            <w:r>
              <w:rPr>
                <w:rFonts w:hint="eastAsia" w:ascii="宋体" w:hAnsi="宋体"/>
                <w:color w:val="auto"/>
                <w:spacing w:val="-2"/>
                <w:sz w:val="21"/>
                <w:szCs w:val="21"/>
              </w:rPr>
              <w:t>级的得</w:t>
            </w:r>
            <w:r>
              <w:rPr>
                <w:rFonts w:ascii="宋体" w:hAnsi="宋体"/>
                <w:color w:val="auto"/>
                <w:spacing w:val="-2"/>
                <w:sz w:val="21"/>
                <w:szCs w:val="21"/>
              </w:rPr>
              <w:t>1</w:t>
            </w:r>
            <w:r>
              <w:rPr>
                <w:rFonts w:hint="eastAsia" w:ascii="宋体" w:hAnsi="宋体"/>
                <w:color w:val="auto"/>
                <w:spacing w:val="-2"/>
                <w:sz w:val="21"/>
                <w:szCs w:val="21"/>
              </w:rPr>
              <w:t>分，信用等级为</w:t>
            </w:r>
            <w:r>
              <w:rPr>
                <w:rFonts w:ascii="宋体" w:hAnsi="宋体"/>
                <w:color w:val="auto"/>
                <w:spacing w:val="-2"/>
                <w:sz w:val="21"/>
                <w:szCs w:val="21"/>
              </w:rPr>
              <w:t>A</w:t>
            </w:r>
            <w:r>
              <w:rPr>
                <w:rFonts w:hint="eastAsia" w:ascii="宋体" w:hAnsi="宋体"/>
                <w:color w:val="auto"/>
                <w:spacing w:val="-2"/>
                <w:sz w:val="21"/>
                <w:szCs w:val="21"/>
              </w:rPr>
              <w:t>级的得不得分。</w:t>
            </w:r>
          </w:p>
          <w:p>
            <w:pPr>
              <w:spacing w:before="102" w:line="360" w:lineRule="auto"/>
              <w:rPr>
                <w:rFonts w:ascii="宋体" w:hAnsi="宋体"/>
                <w:color w:val="auto"/>
                <w:sz w:val="21"/>
                <w:szCs w:val="21"/>
              </w:rPr>
            </w:pPr>
            <w:r>
              <w:rPr>
                <w:rFonts w:hint="eastAsia" w:ascii="宋体" w:hAnsi="宋体"/>
                <w:color w:val="auto"/>
                <w:spacing w:val="-6"/>
                <w:sz w:val="21"/>
                <w:szCs w:val="21"/>
              </w:rPr>
              <w:t>注：以上证件附证书扫描件。</w:t>
            </w:r>
          </w:p>
        </w:tc>
        <w:tc>
          <w:tcPr>
            <w:tcW w:w="540" w:type="dxa"/>
            <w:noWrap w:val="0"/>
            <w:vAlign w:val="top"/>
          </w:tcPr>
          <w:p>
            <w:pPr>
              <w:spacing w:line="253" w:lineRule="auto"/>
              <w:rPr>
                <w:rFonts w:hint="eastAsia" w:ascii="宋体" w:hAnsi="宋体" w:eastAsia="宋体"/>
                <w:sz w:val="21"/>
                <w:szCs w:val="21"/>
                <w:lang w:val="en-US" w:eastAsia="zh-CN"/>
              </w:rPr>
            </w:pPr>
            <w:r>
              <w:rPr>
                <w:rFonts w:hint="eastAsia" w:ascii="宋体" w:hAnsi="宋体"/>
                <w:sz w:val="21"/>
                <w:szCs w:val="21"/>
                <w:lang w:val="en-US" w:eastAsia="zh-CN"/>
              </w:rPr>
              <w:t>2</w:t>
            </w:r>
          </w:p>
          <w:p>
            <w:pPr>
              <w:spacing w:line="253" w:lineRule="auto"/>
              <w:rPr>
                <w:rFonts w:ascii="宋体" w:hAnsi="宋体"/>
                <w:sz w:val="21"/>
                <w:szCs w:val="21"/>
              </w:rPr>
            </w:pPr>
          </w:p>
          <w:p>
            <w:pPr>
              <w:spacing w:line="253" w:lineRule="auto"/>
              <w:rPr>
                <w:rFonts w:ascii="宋体" w:hAnsi="宋体"/>
                <w:sz w:val="21"/>
                <w:szCs w:val="21"/>
              </w:rPr>
            </w:pPr>
          </w:p>
          <w:p>
            <w:pPr>
              <w:spacing w:line="253" w:lineRule="auto"/>
              <w:rPr>
                <w:rFonts w:ascii="宋体" w:hAnsi="宋体"/>
                <w:sz w:val="21"/>
                <w:szCs w:val="21"/>
              </w:rPr>
            </w:pPr>
          </w:p>
          <w:p>
            <w:pPr>
              <w:spacing w:line="253" w:lineRule="auto"/>
              <w:rPr>
                <w:rFonts w:ascii="宋体" w:hAnsi="宋体"/>
                <w:sz w:val="21"/>
                <w:szCs w:val="21"/>
              </w:rPr>
            </w:pPr>
          </w:p>
          <w:p>
            <w:pPr>
              <w:spacing w:line="253" w:lineRule="auto"/>
              <w:rPr>
                <w:rFonts w:ascii="宋体" w:hAnsi="宋体"/>
                <w:sz w:val="21"/>
                <w:szCs w:val="21"/>
              </w:rPr>
            </w:pPr>
          </w:p>
          <w:p>
            <w:pPr>
              <w:spacing w:before="68" w:line="180" w:lineRule="auto"/>
              <w:rPr>
                <w:rFonts w:ascii="宋体" w:hAnsi="宋体"/>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572" w:hRule="atLeast"/>
        </w:trPr>
        <w:tc>
          <w:tcPr>
            <w:tcW w:w="900" w:type="dxa"/>
            <w:vMerge w:val="continue"/>
            <w:noWrap w:val="0"/>
            <w:vAlign w:val="top"/>
          </w:tcPr>
          <w:p>
            <w:pPr>
              <w:rPr>
                <w:rFonts w:ascii="宋体" w:hAnsi="宋体"/>
                <w:sz w:val="21"/>
                <w:szCs w:val="21"/>
              </w:rPr>
            </w:pPr>
          </w:p>
        </w:tc>
        <w:tc>
          <w:tcPr>
            <w:tcW w:w="1080" w:type="dxa"/>
            <w:noWrap w:val="0"/>
            <w:vAlign w:val="top"/>
          </w:tcPr>
          <w:p>
            <w:pPr>
              <w:spacing w:before="68" w:line="184" w:lineRule="auto"/>
              <w:rPr>
                <w:rFonts w:ascii="宋体" w:hAnsi="宋体"/>
                <w:sz w:val="21"/>
                <w:szCs w:val="21"/>
              </w:rPr>
            </w:pPr>
            <w:r>
              <w:rPr>
                <w:rFonts w:hint="eastAsia" w:ascii="宋体" w:hAnsi="宋体"/>
                <w:spacing w:val="2"/>
                <w:sz w:val="21"/>
                <w:szCs w:val="21"/>
              </w:rPr>
              <w:t>检测业绩</w:t>
            </w:r>
          </w:p>
        </w:tc>
        <w:tc>
          <w:tcPr>
            <w:tcW w:w="7380" w:type="dxa"/>
            <w:noWrap w:val="0"/>
            <w:vAlign w:val="top"/>
          </w:tcPr>
          <w:p>
            <w:pPr>
              <w:spacing w:before="55" w:line="360" w:lineRule="auto"/>
              <w:ind w:left="113" w:right="88"/>
              <w:rPr>
                <w:rFonts w:ascii="宋体" w:hAnsi="宋体"/>
                <w:color w:val="auto"/>
                <w:spacing w:val="-7"/>
                <w:sz w:val="21"/>
                <w:szCs w:val="21"/>
              </w:rPr>
            </w:pPr>
            <w:r>
              <w:rPr>
                <w:rFonts w:ascii="宋体" w:hAnsi="宋体"/>
                <w:color w:val="auto"/>
                <w:spacing w:val="-7"/>
                <w:sz w:val="21"/>
                <w:szCs w:val="21"/>
              </w:rPr>
              <w:t>20</w:t>
            </w:r>
            <w:r>
              <w:rPr>
                <w:rFonts w:hint="eastAsia" w:ascii="宋体" w:hAnsi="宋体"/>
                <w:color w:val="auto"/>
                <w:spacing w:val="-7"/>
                <w:sz w:val="21"/>
                <w:szCs w:val="21"/>
                <w:lang w:val="en-US" w:eastAsia="zh-CN"/>
              </w:rPr>
              <w:t>20</w:t>
            </w:r>
            <w:r>
              <w:rPr>
                <w:rFonts w:hint="eastAsia" w:ascii="宋体" w:hAnsi="宋体"/>
                <w:color w:val="auto"/>
                <w:spacing w:val="-7"/>
                <w:sz w:val="21"/>
                <w:szCs w:val="21"/>
              </w:rPr>
              <w:t>年</w:t>
            </w:r>
            <w:r>
              <w:rPr>
                <w:rFonts w:hint="eastAsia" w:ascii="宋体" w:hAnsi="宋体"/>
                <w:color w:val="auto"/>
                <w:spacing w:val="-7"/>
                <w:sz w:val="21"/>
                <w:szCs w:val="21"/>
                <w:lang w:val="en-US" w:eastAsia="zh-CN"/>
              </w:rPr>
              <w:t>1月1日</w:t>
            </w:r>
            <w:r>
              <w:rPr>
                <w:rFonts w:hint="eastAsia" w:ascii="宋体" w:hAnsi="宋体"/>
                <w:color w:val="auto"/>
                <w:spacing w:val="-7"/>
                <w:sz w:val="21"/>
                <w:szCs w:val="21"/>
              </w:rPr>
              <w:t>以来承担类似服务业绩的，每提供一份合同得2分，最高得</w:t>
            </w:r>
            <w:r>
              <w:rPr>
                <w:rFonts w:hint="eastAsia" w:ascii="宋体" w:hAnsi="宋体"/>
                <w:color w:val="auto"/>
                <w:spacing w:val="-7"/>
                <w:sz w:val="21"/>
                <w:szCs w:val="21"/>
                <w:lang w:val="en-US" w:eastAsia="zh-CN"/>
              </w:rPr>
              <w:t>6</w:t>
            </w:r>
            <w:r>
              <w:rPr>
                <w:rFonts w:hint="eastAsia" w:ascii="宋体" w:hAnsi="宋体"/>
                <w:color w:val="auto"/>
                <w:spacing w:val="-7"/>
                <w:sz w:val="21"/>
                <w:szCs w:val="21"/>
              </w:rPr>
              <w:t>分。（此项满分8分，提供相关合同、中标通知书扫描件以及中标网址截图）</w:t>
            </w:r>
          </w:p>
        </w:tc>
        <w:tc>
          <w:tcPr>
            <w:tcW w:w="540" w:type="dxa"/>
            <w:noWrap w:val="0"/>
            <w:vAlign w:val="top"/>
          </w:tcPr>
          <w:p>
            <w:pPr>
              <w:spacing w:before="69" w:line="180" w:lineRule="auto"/>
              <w:rPr>
                <w:rFonts w:hint="eastAsia" w:ascii="宋体" w:hAnsi="宋体" w:eastAsia="宋体"/>
                <w:sz w:val="21"/>
                <w:szCs w:val="21"/>
                <w:lang w:eastAsia="zh-CN"/>
              </w:rPr>
            </w:pPr>
            <w:r>
              <w:rPr>
                <w:rFonts w:hint="eastAsia" w:ascii="宋体" w:hAnsi="宋体"/>
                <w:sz w:val="21"/>
                <w:szCs w:val="21"/>
                <w:lang w:val="en-US" w:eastAsia="zh-CN"/>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914" w:hRule="atLeast"/>
        </w:trPr>
        <w:tc>
          <w:tcPr>
            <w:tcW w:w="900" w:type="dxa"/>
            <w:vMerge w:val="restart"/>
            <w:noWrap w:val="0"/>
            <w:vAlign w:val="top"/>
          </w:tcPr>
          <w:p>
            <w:pPr>
              <w:spacing w:line="253" w:lineRule="auto"/>
              <w:rPr>
                <w:rFonts w:ascii="宋体" w:hAnsi="宋体"/>
                <w:sz w:val="21"/>
                <w:szCs w:val="21"/>
              </w:rPr>
            </w:pPr>
          </w:p>
          <w:p>
            <w:pPr>
              <w:spacing w:line="254" w:lineRule="auto"/>
              <w:rPr>
                <w:rFonts w:ascii="宋体" w:hAnsi="宋体"/>
                <w:sz w:val="21"/>
                <w:szCs w:val="21"/>
              </w:rPr>
            </w:pPr>
          </w:p>
          <w:p>
            <w:pPr>
              <w:spacing w:line="254" w:lineRule="auto"/>
              <w:rPr>
                <w:rFonts w:ascii="宋体" w:hAnsi="宋体"/>
                <w:sz w:val="21"/>
                <w:szCs w:val="21"/>
              </w:rPr>
            </w:pPr>
          </w:p>
          <w:p>
            <w:pPr>
              <w:spacing w:line="254" w:lineRule="auto"/>
              <w:rPr>
                <w:rFonts w:ascii="宋体" w:hAnsi="宋体"/>
                <w:sz w:val="21"/>
                <w:szCs w:val="21"/>
              </w:rPr>
            </w:pPr>
          </w:p>
          <w:p>
            <w:pPr>
              <w:spacing w:line="254" w:lineRule="auto"/>
              <w:rPr>
                <w:rFonts w:ascii="宋体" w:hAnsi="宋体"/>
                <w:sz w:val="21"/>
                <w:szCs w:val="21"/>
              </w:rPr>
            </w:pPr>
          </w:p>
          <w:p>
            <w:pPr>
              <w:spacing w:line="254" w:lineRule="auto"/>
              <w:rPr>
                <w:rFonts w:ascii="宋体" w:hAnsi="宋体"/>
                <w:sz w:val="21"/>
                <w:szCs w:val="21"/>
              </w:rPr>
            </w:pPr>
          </w:p>
          <w:p>
            <w:pPr>
              <w:spacing w:line="254" w:lineRule="auto"/>
              <w:rPr>
                <w:rFonts w:ascii="宋体" w:hAnsi="宋体"/>
                <w:sz w:val="21"/>
                <w:szCs w:val="21"/>
              </w:rPr>
            </w:pPr>
          </w:p>
          <w:p>
            <w:pPr>
              <w:spacing w:line="254" w:lineRule="auto"/>
              <w:rPr>
                <w:rFonts w:ascii="宋体" w:hAnsi="宋体"/>
                <w:sz w:val="21"/>
                <w:szCs w:val="21"/>
              </w:rPr>
            </w:pPr>
          </w:p>
          <w:p>
            <w:pPr>
              <w:spacing w:line="254" w:lineRule="auto"/>
              <w:rPr>
                <w:rFonts w:ascii="宋体" w:hAnsi="宋体"/>
                <w:sz w:val="21"/>
                <w:szCs w:val="21"/>
              </w:rPr>
            </w:pPr>
          </w:p>
          <w:p>
            <w:pPr>
              <w:spacing w:before="69" w:line="274" w:lineRule="auto"/>
              <w:ind w:right="116"/>
              <w:rPr>
                <w:rFonts w:ascii="宋体" w:hAnsi="宋体"/>
                <w:sz w:val="21"/>
                <w:szCs w:val="21"/>
              </w:rPr>
            </w:pPr>
            <w:r>
              <w:rPr>
                <w:rFonts w:hint="eastAsia" w:ascii="宋体" w:hAnsi="宋体"/>
                <w:spacing w:val="1"/>
                <w:sz w:val="21"/>
                <w:szCs w:val="21"/>
              </w:rPr>
              <w:t>企业综合</w:t>
            </w:r>
            <w:r>
              <w:rPr>
                <w:rFonts w:hint="eastAsia" w:ascii="宋体" w:hAnsi="宋体"/>
                <w:spacing w:val="9"/>
                <w:sz w:val="21"/>
                <w:szCs w:val="21"/>
              </w:rPr>
              <w:t>实力</w:t>
            </w:r>
            <w:r>
              <w:rPr>
                <w:rFonts w:hint="eastAsia" w:ascii="宋体" w:hAnsi="宋体"/>
                <w:spacing w:val="-5"/>
                <w:sz w:val="21"/>
                <w:szCs w:val="21"/>
              </w:rPr>
              <w:t>2</w:t>
            </w:r>
            <w:r>
              <w:rPr>
                <w:rFonts w:hint="eastAsia" w:ascii="宋体" w:hAnsi="宋体"/>
                <w:spacing w:val="-5"/>
                <w:sz w:val="21"/>
                <w:szCs w:val="21"/>
                <w:lang w:val="en-US" w:eastAsia="zh-CN"/>
              </w:rPr>
              <w:t>4</w:t>
            </w:r>
            <w:r>
              <w:rPr>
                <w:rFonts w:hint="eastAsia" w:ascii="宋体" w:hAnsi="宋体"/>
                <w:spacing w:val="-5"/>
                <w:sz w:val="21"/>
                <w:szCs w:val="21"/>
              </w:rPr>
              <w:t>分</w:t>
            </w:r>
          </w:p>
        </w:tc>
        <w:tc>
          <w:tcPr>
            <w:tcW w:w="1080" w:type="dxa"/>
            <w:noWrap w:val="0"/>
            <w:vAlign w:val="top"/>
          </w:tcPr>
          <w:p>
            <w:pPr>
              <w:spacing w:line="272" w:lineRule="auto"/>
              <w:rPr>
                <w:rFonts w:ascii="宋体" w:hAnsi="宋体"/>
                <w:sz w:val="21"/>
                <w:szCs w:val="21"/>
              </w:rPr>
            </w:pPr>
          </w:p>
          <w:p>
            <w:pPr>
              <w:spacing w:line="272" w:lineRule="auto"/>
              <w:rPr>
                <w:rFonts w:ascii="宋体" w:hAnsi="宋体"/>
                <w:sz w:val="21"/>
                <w:szCs w:val="21"/>
              </w:rPr>
            </w:pPr>
          </w:p>
          <w:p>
            <w:pPr>
              <w:spacing w:line="273" w:lineRule="auto"/>
              <w:rPr>
                <w:rFonts w:ascii="宋体" w:hAnsi="宋体"/>
                <w:sz w:val="21"/>
                <w:szCs w:val="21"/>
              </w:rPr>
            </w:pPr>
          </w:p>
          <w:p>
            <w:pPr>
              <w:spacing w:line="273" w:lineRule="auto"/>
              <w:rPr>
                <w:rFonts w:ascii="宋体" w:hAnsi="宋体"/>
                <w:sz w:val="21"/>
                <w:szCs w:val="21"/>
              </w:rPr>
            </w:pPr>
          </w:p>
          <w:p>
            <w:pPr>
              <w:spacing w:line="273" w:lineRule="auto"/>
              <w:rPr>
                <w:rFonts w:ascii="宋体" w:hAnsi="宋体"/>
                <w:sz w:val="21"/>
                <w:szCs w:val="21"/>
              </w:rPr>
            </w:pPr>
          </w:p>
          <w:p>
            <w:pPr>
              <w:spacing w:line="273" w:lineRule="auto"/>
              <w:rPr>
                <w:rFonts w:ascii="宋体" w:hAnsi="宋体"/>
                <w:sz w:val="21"/>
                <w:szCs w:val="21"/>
              </w:rPr>
            </w:pPr>
          </w:p>
          <w:p>
            <w:pPr>
              <w:spacing w:line="273" w:lineRule="auto"/>
              <w:rPr>
                <w:rFonts w:ascii="宋体" w:hAnsi="宋体"/>
                <w:sz w:val="21"/>
                <w:szCs w:val="21"/>
              </w:rPr>
            </w:pPr>
          </w:p>
          <w:p>
            <w:pPr>
              <w:spacing w:before="68" w:line="184" w:lineRule="auto"/>
              <w:rPr>
                <w:rFonts w:ascii="宋体" w:hAnsi="宋体"/>
                <w:sz w:val="21"/>
                <w:szCs w:val="21"/>
              </w:rPr>
            </w:pPr>
            <w:r>
              <w:rPr>
                <w:rFonts w:hint="eastAsia" w:ascii="宋体" w:hAnsi="宋体"/>
                <w:sz w:val="21"/>
                <w:szCs w:val="21"/>
              </w:rPr>
              <w:t>实验仪器</w:t>
            </w:r>
          </w:p>
        </w:tc>
        <w:tc>
          <w:tcPr>
            <w:tcW w:w="7380" w:type="dxa"/>
            <w:noWrap w:val="0"/>
            <w:vAlign w:val="top"/>
          </w:tcPr>
          <w:p>
            <w:pPr>
              <w:spacing w:before="281" w:line="360" w:lineRule="auto"/>
              <w:ind w:right="81"/>
              <w:rPr>
                <w:rFonts w:ascii="宋体" w:hAnsi="宋体"/>
                <w:sz w:val="21"/>
                <w:szCs w:val="21"/>
              </w:rPr>
            </w:pPr>
            <w:r>
              <w:rPr>
                <w:rFonts w:hint="eastAsia" w:ascii="宋体" w:hAnsi="宋体"/>
                <w:spacing w:val="-3"/>
                <w:sz w:val="21"/>
                <w:szCs w:val="21"/>
                <w:lang w:eastAsia="zh-CN"/>
              </w:rPr>
              <w:t>供应商</w:t>
            </w:r>
            <w:r>
              <w:rPr>
                <w:rFonts w:hint="eastAsia" w:ascii="宋体" w:hAnsi="宋体"/>
                <w:spacing w:val="-3"/>
                <w:sz w:val="21"/>
                <w:szCs w:val="21"/>
              </w:rPr>
              <w:t>至少应具备以下检验及相关设备：</w:t>
            </w:r>
            <w:r>
              <w:rPr>
                <w:rFonts w:ascii="宋体" w:hAnsi="宋体"/>
                <w:spacing w:val="-3"/>
                <w:sz w:val="21"/>
                <w:szCs w:val="21"/>
              </w:rPr>
              <w:t>GC</w:t>
            </w:r>
            <w:r>
              <w:rPr>
                <w:rFonts w:hint="eastAsia" w:ascii="宋体" w:hAnsi="宋体"/>
                <w:spacing w:val="-3"/>
                <w:sz w:val="21"/>
                <w:szCs w:val="21"/>
              </w:rPr>
              <w:t>（气相色谱仪）、</w:t>
            </w:r>
            <w:r>
              <w:rPr>
                <w:rFonts w:ascii="宋体" w:hAnsi="宋体"/>
                <w:spacing w:val="-3"/>
                <w:sz w:val="21"/>
                <w:szCs w:val="21"/>
              </w:rPr>
              <w:t>GC/MS</w:t>
            </w:r>
            <w:r>
              <w:rPr>
                <w:rFonts w:hint="eastAsia" w:ascii="宋体" w:hAnsi="宋体"/>
                <w:spacing w:val="-3"/>
                <w:sz w:val="21"/>
                <w:szCs w:val="21"/>
              </w:rPr>
              <w:t>（气</w:t>
            </w:r>
            <w:r>
              <w:rPr>
                <w:rFonts w:hint="eastAsia" w:ascii="宋体" w:hAnsi="宋体"/>
                <w:spacing w:val="-4"/>
                <w:sz w:val="21"/>
                <w:szCs w:val="21"/>
              </w:rPr>
              <w:t>相色谱</w:t>
            </w:r>
            <w:r>
              <w:rPr>
                <w:rFonts w:ascii="宋体" w:hAnsi="宋体"/>
                <w:spacing w:val="-4"/>
                <w:sz w:val="21"/>
                <w:szCs w:val="21"/>
              </w:rPr>
              <w:t>/</w:t>
            </w:r>
            <w:r>
              <w:rPr>
                <w:rFonts w:hint="eastAsia" w:ascii="宋体" w:hAnsi="宋体"/>
                <w:spacing w:val="-4"/>
                <w:sz w:val="21"/>
                <w:szCs w:val="21"/>
              </w:rPr>
              <w:t>质谱联用仪）、</w:t>
            </w:r>
            <w:r>
              <w:rPr>
                <w:rFonts w:ascii="宋体" w:hAnsi="宋体"/>
                <w:spacing w:val="-4"/>
                <w:sz w:val="21"/>
                <w:szCs w:val="21"/>
              </w:rPr>
              <w:t>HPLC</w:t>
            </w:r>
            <w:r>
              <w:rPr>
                <w:rFonts w:hint="eastAsia" w:ascii="宋体" w:hAnsi="宋体"/>
                <w:spacing w:val="-4"/>
                <w:sz w:val="21"/>
                <w:szCs w:val="21"/>
              </w:rPr>
              <w:t>（液相色谱仪）、</w:t>
            </w:r>
            <w:r>
              <w:rPr>
                <w:rFonts w:ascii="宋体" w:hAnsi="宋体"/>
                <w:spacing w:val="-4"/>
                <w:sz w:val="21"/>
                <w:szCs w:val="21"/>
              </w:rPr>
              <w:t>LC/MS/MS(</w:t>
            </w:r>
            <w:r>
              <w:rPr>
                <w:rFonts w:hint="eastAsia" w:ascii="宋体" w:hAnsi="宋体"/>
                <w:spacing w:val="-4"/>
                <w:sz w:val="21"/>
                <w:szCs w:val="21"/>
              </w:rPr>
              <w:t>液相色谱</w:t>
            </w:r>
            <w:r>
              <w:rPr>
                <w:rFonts w:ascii="宋体" w:hAnsi="宋体"/>
                <w:spacing w:val="5"/>
                <w:sz w:val="21"/>
                <w:szCs w:val="21"/>
              </w:rPr>
              <w:t>/</w:t>
            </w:r>
            <w:r>
              <w:rPr>
                <w:rFonts w:hint="eastAsia" w:ascii="宋体" w:hAnsi="宋体"/>
                <w:spacing w:val="5"/>
                <w:sz w:val="21"/>
                <w:szCs w:val="21"/>
              </w:rPr>
              <w:t>串级质谱联用仪</w:t>
            </w:r>
            <w:r>
              <w:rPr>
                <w:rFonts w:ascii="宋体" w:hAnsi="宋体"/>
                <w:spacing w:val="5"/>
                <w:sz w:val="21"/>
                <w:szCs w:val="21"/>
              </w:rPr>
              <w:t>)</w:t>
            </w:r>
            <w:r>
              <w:rPr>
                <w:rFonts w:hint="eastAsia" w:ascii="宋体" w:hAnsi="宋体"/>
                <w:spacing w:val="5"/>
                <w:sz w:val="21"/>
                <w:szCs w:val="21"/>
              </w:rPr>
              <w:t>、</w:t>
            </w:r>
            <w:r>
              <w:rPr>
                <w:rFonts w:ascii="宋体" w:hAnsi="宋体"/>
                <w:spacing w:val="5"/>
                <w:sz w:val="21"/>
                <w:szCs w:val="21"/>
              </w:rPr>
              <w:t>ICP-OES</w:t>
            </w:r>
            <w:r>
              <w:rPr>
                <w:rFonts w:hint="eastAsia" w:ascii="宋体" w:hAnsi="宋体"/>
                <w:spacing w:val="5"/>
                <w:sz w:val="21"/>
                <w:szCs w:val="21"/>
              </w:rPr>
              <w:t>电感耦合等离子体发射光谱仪、</w:t>
            </w:r>
            <w:r>
              <w:rPr>
                <w:rFonts w:ascii="宋体" w:hAnsi="宋体"/>
                <w:spacing w:val="5"/>
                <w:sz w:val="21"/>
                <w:szCs w:val="21"/>
              </w:rPr>
              <w:t>AAS</w:t>
            </w:r>
            <w:r>
              <w:rPr>
                <w:rFonts w:hint="eastAsia" w:ascii="宋体" w:hAnsi="宋体"/>
                <w:spacing w:val="5"/>
                <w:sz w:val="21"/>
                <w:szCs w:val="21"/>
              </w:rPr>
              <w:t>（原子</w:t>
            </w:r>
            <w:r>
              <w:rPr>
                <w:rFonts w:hint="eastAsia" w:ascii="宋体" w:hAnsi="宋体"/>
                <w:spacing w:val="1"/>
                <w:sz w:val="21"/>
                <w:szCs w:val="21"/>
              </w:rPr>
              <w:t>吸收光谱仪）、离子色谱仪、</w:t>
            </w:r>
            <w:r>
              <w:rPr>
                <w:rFonts w:ascii="宋体" w:hAnsi="宋体"/>
                <w:spacing w:val="1"/>
                <w:sz w:val="21"/>
                <w:szCs w:val="21"/>
              </w:rPr>
              <w:t>ICP-MS</w:t>
            </w:r>
            <w:r>
              <w:rPr>
                <w:rFonts w:hint="eastAsia" w:ascii="宋体" w:hAnsi="宋体"/>
                <w:spacing w:val="1"/>
                <w:sz w:val="21"/>
                <w:szCs w:val="21"/>
              </w:rPr>
              <w:t>电感耦合等离子体发射质谱仪、</w:t>
            </w:r>
            <w:r>
              <w:rPr>
                <w:rFonts w:ascii="宋体" w:hAnsi="宋体"/>
                <w:spacing w:val="1"/>
                <w:sz w:val="21"/>
                <w:szCs w:val="21"/>
              </w:rPr>
              <w:t>UV</w:t>
            </w:r>
            <w:r>
              <w:rPr>
                <w:rFonts w:hint="eastAsia" w:ascii="宋体" w:hAnsi="宋体"/>
                <w:spacing w:val="-3"/>
                <w:sz w:val="21"/>
                <w:szCs w:val="21"/>
              </w:rPr>
              <w:t>（紫外分光光度计）、</w:t>
            </w:r>
            <w:r>
              <w:rPr>
                <w:rFonts w:ascii="宋体" w:hAnsi="宋体"/>
                <w:spacing w:val="-3"/>
                <w:sz w:val="21"/>
                <w:szCs w:val="21"/>
              </w:rPr>
              <w:t>AFS</w:t>
            </w:r>
            <w:r>
              <w:rPr>
                <w:rFonts w:hint="eastAsia" w:ascii="宋体" w:hAnsi="宋体"/>
                <w:spacing w:val="-3"/>
                <w:sz w:val="21"/>
                <w:szCs w:val="21"/>
              </w:rPr>
              <w:t>（原子荧光分光光度计）、自动电位滴定仪、</w:t>
            </w:r>
            <w:r>
              <w:rPr>
                <w:rFonts w:hint="eastAsia" w:ascii="宋体" w:hAnsi="宋体"/>
                <w:spacing w:val="5"/>
                <w:sz w:val="21"/>
                <w:szCs w:val="21"/>
              </w:rPr>
              <w:t>酶标仪。</w:t>
            </w:r>
          </w:p>
          <w:p>
            <w:pPr>
              <w:spacing w:before="61" w:line="360" w:lineRule="auto"/>
              <w:ind w:right="22"/>
              <w:rPr>
                <w:rFonts w:ascii="宋体" w:hAnsi="宋体"/>
                <w:sz w:val="21"/>
                <w:szCs w:val="21"/>
              </w:rPr>
            </w:pPr>
            <w:r>
              <w:rPr>
                <w:rFonts w:hint="eastAsia" w:ascii="宋体" w:hAnsi="宋体"/>
                <w:sz w:val="21"/>
                <w:szCs w:val="21"/>
              </w:rPr>
              <w:t>上述设备中，</w:t>
            </w:r>
            <w:r>
              <w:rPr>
                <w:rFonts w:hint="eastAsia" w:ascii="宋体" w:hAnsi="宋体"/>
                <w:sz w:val="21"/>
                <w:szCs w:val="21"/>
                <w:lang w:eastAsia="zh-CN"/>
              </w:rPr>
              <w:t>供应商</w:t>
            </w:r>
            <w:r>
              <w:rPr>
                <w:rFonts w:hint="eastAsia" w:ascii="宋体" w:hAnsi="宋体"/>
                <w:sz w:val="21"/>
                <w:szCs w:val="21"/>
              </w:rPr>
              <w:t>具有以上全部设备得12分，其中每少一种扣1分，扣</w:t>
            </w:r>
            <w:r>
              <w:rPr>
                <w:rFonts w:hint="eastAsia" w:ascii="宋体" w:hAnsi="宋体"/>
                <w:spacing w:val="-2"/>
                <w:sz w:val="21"/>
                <w:szCs w:val="21"/>
              </w:rPr>
              <w:t>完为止。（须提供相关设备名称、实物照片、品牌型号、功能、购进票据，</w:t>
            </w:r>
            <w:r>
              <w:rPr>
                <w:rFonts w:hint="eastAsia" w:ascii="宋体" w:hAnsi="宋体"/>
                <w:spacing w:val="5"/>
                <w:sz w:val="21"/>
                <w:szCs w:val="21"/>
              </w:rPr>
              <w:t>投标文件中附扫描件（发票或采购合同</w:t>
            </w:r>
            <w:r>
              <w:rPr>
                <w:rFonts w:hint="eastAsia" w:ascii="宋体" w:hAnsi="宋体"/>
                <w:spacing w:val="-58"/>
                <w:sz w:val="21"/>
                <w:szCs w:val="21"/>
              </w:rPr>
              <w:t>））</w:t>
            </w:r>
            <w:r>
              <w:rPr>
                <w:rFonts w:hint="eastAsia" w:ascii="宋体" w:hAnsi="宋体"/>
                <w:spacing w:val="5"/>
                <w:sz w:val="21"/>
                <w:szCs w:val="21"/>
              </w:rPr>
              <w:t>。</w:t>
            </w:r>
          </w:p>
        </w:tc>
        <w:tc>
          <w:tcPr>
            <w:tcW w:w="540" w:type="dxa"/>
            <w:noWrap w:val="0"/>
            <w:vAlign w:val="top"/>
          </w:tcPr>
          <w:p>
            <w:pPr>
              <w:spacing w:line="242" w:lineRule="auto"/>
              <w:rPr>
                <w:rFonts w:ascii="宋体" w:hAnsi="宋体"/>
                <w:sz w:val="21"/>
                <w:szCs w:val="21"/>
              </w:rPr>
            </w:pPr>
          </w:p>
          <w:p>
            <w:pPr>
              <w:spacing w:line="242" w:lineRule="auto"/>
              <w:rPr>
                <w:rFonts w:ascii="宋体" w:hAnsi="宋体"/>
                <w:sz w:val="21"/>
                <w:szCs w:val="21"/>
              </w:rPr>
            </w:pPr>
          </w:p>
          <w:p>
            <w:pPr>
              <w:spacing w:line="242" w:lineRule="auto"/>
              <w:rPr>
                <w:rFonts w:ascii="宋体" w:hAnsi="宋体"/>
                <w:sz w:val="21"/>
                <w:szCs w:val="21"/>
              </w:rPr>
            </w:pPr>
          </w:p>
          <w:p>
            <w:pPr>
              <w:spacing w:line="242" w:lineRule="auto"/>
              <w:rPr>
                <w:rFonts w:ascii="宋体" w:hAnsi="宋体"/>
                <w:sz w:val="21"/>
                <w:szCs w:val="21"/>
              </w:rPr>
            </w:pPr>
          </w:p>
          <w:p>
            <w:pPr>
              <w:spacing w:line="242" w:lineRule="auto"/>
              <w:rPr>
                <w:rFonts w:ascii="宋体" w:hAnsi="宋体"/>
                <w:sz w:val="21"/>
                <w:szCs w:val="21"/>
              </w:rPr>
            </w:pPr>
          </w:p>
          <w:p>
            <w:pPr>
              <w:spacing w:line="242" w:lineRule="auto"/>
              <w:rPr>
                <w:rFonts w:ascii="宋体" w:hAnsi="宋体"/>
                <w:sz w:val="21"/>
                <w:szCs w:val="21"/>
              </w:rPr>
            </w:pPr>
          </w:p>
          <w:p>
            <w:pPr>
              <w:spacing w:line="242" w:lineRule="auto"/>
              <w:rPr>
                <w:rFonts w:ascii="宋体" w:hAnsi="宋体"/>
                <w:sz w:val="21"/>
                <w:szCs w:val="21"/>
              </w:rPr>
            </w:pPr>
          </w:p>
          <w:p>
            <w:pPr>
              <w:spacing w:line="243" w:lineRule="auto"/>
              <w:rPr>
                <w:rFonts w:ascii="宋体" w:hAnsi="宋体"/>
                <w:sz w:val="21"/>
                <w:szCs w:val="21"/>
              </w:rPr>
            </w:pPr>
          </w:p>
          <w:p>
            <w:pPr>
              <w:spacing w:before="69" w:line="180" w:lineRule="auto"/>
              <w:rPr>
                <w:rFonts w:ascii="宋体" w:hAnsi="宋体"/>
                <w:sz w:val="21"/>
                <w:szCs w:val="21"/>
              </w:rPr>
            </w:pPr>
            <w:r>
              <w:rPr>
                <w:rFonts w:hint="eastAsia" w:ascii="宋体" w:hAnsi="宋体"/>
                <w:sz w:val="21"/>
                <w:szCs w:val="21"/>
              </w:rPr>
              <w:t>12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1328" w:hRule="atLeast"/>
        </w:trPr>
        <w:tc>
          <w:tcPr>
            <w:tcW w:w="900" w:type="dxa"/>
            <w:vMerge w:val="continue"/>
            <w:noWrap w:val="0"/>
            <w:vAlign w:val="top"/>
          </w:tcPr>
          <w:p>
            <w:pPr>
              <w:rPr>
                <w:rFonts w:ascii="宋体" w:hAnsi="宋体"/>
                <w:sz w:val="21"/>
                <w:szCs w:val="21"/>
              </w:rPr>
            </w:pPr>
          </w:p>
        </w:tc>
        <w:tc>
          <w:tcPr>
            <w:tcW w:w="1080" w:type="dxa"/>
            <w:vMerge w:val="restart"/>
            <w:noWrap w:val="0"/>
            <w:vAlign w:val="top"/>
          </w:tcPr>
          <w:p>
            <w:pPr>
              <w:spacing w:line="252" w:lineRule="auto"/>
              <w:rPr>
                <w:rFonts w:ascii="宋体" w:hAnsi="宋体"/>
                <w:sz w:val="21"/>
                <w:szCs w:val="21"/>
              </w:rPr>
            </w:pPr>
          </w:p>
          <w:p>
            <w:pPr>
              <w:spacing w:line="253" w:lineRule="auto"/>
              <w:rPr>
                <w:rFonts w:ascii="宋体" w:hAnsi="宋体"/>
                <w:sz w:val="21"/>
                <w:szCs w:val="21"/>
              </w:rPr>
            </w:pPr>
            <w:r>
              <w:rPr>
                <w:rFonts w:hint="eastAsia" w:ascii="宋体" w:hAnsi="宋体"/>
                <w:sz w:val="21"/>
                <w:szCs w:val="21"/>
              </w:rPr>
              <w:t>人员设备</w:t>
            </w:r>
          </w:p>
          <w:p>
            <w:pPr>
              <w:spacing w:before="68" w:line="184" w:lineRule="auto"/>
              <w:rPr>
                <w:rFonts w:ascii="宋体" w:hAnsi="宋体"/>
                <w:sz w:val="21"/>
                <w:szCs w:val="21"/>
              </w:rPr>
            </w:pPr>
          </w:p>
        </w:tc>
        <w:tc>
          <w:tcPr>
            <w:tcW w:w="7380" w:type="dxa"/>
            <w:noWrap w:val="0"/>
            <w:vAlign w:val="top"/>
          </w:tcPr>
          <w:p>
            <w:pPr>
              <w:spacing w:before="286" w:line="360" w:lineRule="auto"/>
              <w:ind w:right="16"/>
              <w:rPr>
                <w:rFonts w:ascii="宋体" w:hAnsi="宋体"/>
                <w:sz w:val="21"/>
                <w:szCs w:val="21"/>
              </w:rPr>
            </w:pPr>
            <w:r>
              <w:rPr>
                <w:rFonts w:hint="eastAsia" w:ascii="宋体" w:hAnsi="宋体"/>
                <w:sz w:val="21"/>
                <w:szCs w:val="21"/>
                <w:lang w:eastAsia="zh-CN"/>
              </w:rPr>
              <w:t>供应商</w:t>
            </w:r>
            <w:r>
              <w:rPr>
                <w:rFonts w:hint="eastAsia" w:ascii="宋体" w:hAnsi="宋体"/>
                <w:sz w:val="21"/>
                <w:szCs w:val="21"/>
              </w:rPr>
              <w:t>应具备与承担任务相适应的检验人员、抽样专业人员。提供项目相关人员名单及社保缴纳证明，得</w:t>
            </w:r>
            <w:r>
              <w:rPr>
                <w:rFonts w:hint="eastAsia" w:ascii="宋体" w:hAnsi="宋体"/>
                <w:sz w:val="21"/>
                <w:szCs w:val="21"/>
                <w:lang w:val="en-US" w:eastAsia="zh-CN"/>
              </w:rPr>
              <w:t>6</w:t>
            </w:r>
            <w:r>
              <w:rPr>
                <w:rFonts w:hint="eastAsia" w:ascii="宋体" w:hAnsi="宋体"/>
                <w:sz w:val="21"/>
                <w:szCs w:val="21"/>
              </w:rPr>
              <w:t>分，不提供不得分。</w:t>
            </w:r>
          </w:p>
        </w:tc>
        <w:tc>
          <w:tcPr>
            <w:tcW w:w="540" w:type="dxa"/>
            <w:noWrap w:val="0"/>
            <w:vAlign w:val="top"/>
          </w:tcPr>
          <w:p>
            <w:pPr>
              <w:spacing w:before="68" w:line="180" w:lineRule="auto"/>
              <w:rPr>
                <w:rFonts w:ascii="宋体" w:hAnsi="宋体"/>
                <w:sz w:val="21"/>
                <w:szCs w:val="21"/>
              </w:rPr>
            </w:pPr>
          </w:p>
          <w:p>
            <w:pPr>
              <w:spacing w:before="68" w:line="180" w:lineRule="auto"/>
              <w:rPr>
                <w:rFonts w:hint="eastAsia" w:ascii="宋体" w:hAnsi="宋体" w:eastAsia="宋体"/>
                <w:sz w:val="21"/>
                <w:szCs w:val="21"/>
                <w:lang w:eastAsia="zh-CN"/>
              </w:rPr>
            </w:pPr>
            <w:r>
              <w:rPr>
                <w:rFonts w:hint="eastAsia" w:ascii="宋体" w:hAnsi="宋体"/>
                <w:sz w:val="21"/>
                <w:szCs w:val="21"/>
                <w:lang w:val="en-US" w:eastAsia="zh-CN"/>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1537" w:hRule="atLeast"/>
        </w:trPr>
        <w:tc>
          <w:tcPr>
            <w:tcW w:w="900" w:type="dxa"/>
            <w:vMerge w:val="continue"/>
            <w:noWrap w:val="0"/>
            <w:vAlign w:val="top"/>
          </w:tcPr>
          <w:p>
            <w:pPr>
              <w:rPr>
                <w:rFonts w:ascii="宋体" w:hAnsi="宋体"/>
                <w:sz w:val="21"/>
                <w:szCs w:val="21"/>
              </w:rPr>
            </w:pPr>
          </w:p>
        </w:tc>
        <w:tc>
          <w:tcPr>
            <w:tcW w:w="1080" w:type="dxa"/>
            <w:vMerge w:val="continue"/>
            <w:noWrap w:val="0"/>
            <w:vAlign w:val="top"/>
          </w:tcPr>
          <w:p>
            <w:pPr>
              <w:rPr>
                <w:rFonts w:ascii="宋体" w:hAnsi="宋体"/>
                <w:sz w:val="21"/>
                <w:szCs w:val="21"/>
              </w:rPr>
            </w:pPr>
          </w:p>
        </w:tc>
        <w:tc>
          <w:tcPr>
            <w:tcW w:w="7380" w:type="dxa"/>
            <w:noWrap w:val="0"/>
            <w:vAlign w:val="top"/>
          </w:tcPr>
          <w:p>
            <w:pPr>
              <w:spacing w:before="55" w:line="360" w:lineRule="auto"/>
              <w:ind w:right="88"/>
              <w:rPr>
                <w:rFonts w:ascii="宋体" w:hAnsi="宋体"/>
                <w:spacing w:val="-7"/>
                <w:sz w:val="21"/>
                <w:szCs w:val="21"/>
                <w:highlight w:val="yellow"/>
              </w:rPr>
            </w:pPr>
            <w:r>
              <w:rPr>
                <w:rFonts w:hint="eastAsia" w:ascii="宋体" w:hAnsi="宋体"/>
                <w:spacing w:val="-7"/>
                <w:sz w:val="21"/>
                <w:szCs w:val="21"/>
                <w:lang w:eastAsia="zh-CN"/>
              </w:rPr>
              <w:t>供应商</w:t>
            </w:r>
            <w:r>
              <w:rPr>
                <w:rFonts w:hint="eastAsia" w:ascii="宋体" w:hAnsi="宋体"/>
                <w:spacing w:val="-7"/>
                <w:sz w:val="21"/>
                <w:szCs w:val="21"/>
              </w:rPr>
              <w:t>具备与承担任务相匹配的自有专职抽检用车（轿车除外）得2分，其中含一辆自有专职冷链车，得</w:t>
            </w:r>
            <w:r>
              <w:rPr>
                <w:rFonts w:hint="eastAsia" w:ascii="宋体" w:hAnsi="宋体"/>
                <w:spacing w:val="-7"/>
                <w:sz w:val="21"/>
                <w:szCs w:val="21"/>
                <w:lang w:val="en-US" w:eastAsia="zh-CN"/>
              </w:rPr>
              <w:t>3</w:t>
            </w:r>
            <w:r>
              <w:rPr>
                <w:rFonts w:hint="eastAsia" w:ascii="宋体" w:hAnsi="宋体"/>
                <w:spacing w:val="-7"/>
                <w:sz w:val="21"/>
                <w:szCs w:val="21"/>
              </w:rPr>
              <w:t>分，本项最高得</w:t>
            </w:r>
            <w:r>
              <w:rPr>
                <w:rFonts w:hint="eastAsia" w:ascii="宋体" w:hAnsi="宋体"/>
                <w:spacing w:val="-7"/>
                <w:sz w:val="21"/>
                <w:szCs w:val="21"/>
                <w:lang w:val="en-US" w:eastAsia="zh-CN"/>
              </w:rPr>
              <w:t>6</w:t>
            </w:r>
            <w:r>
              <w:rPr>
                <w:rFonts w:hint="eastAsia" w:ascii="宋体" w:hAnsi="宋体"/>
                <w:spacing w:val="-7"/>
                <w:sz w:val="21"/>
                <w:szCs w:val="21"/>
              </w:rPr>
              <w:t>分。否则此项不得分；</w:t>
            </w:r>
          </w:p>
          <w:p>
            <w:pPr>
              <w:spacing w:before="55" w:line="360" w:lineRule="auto"/>
              <w:ind w:right="88"/>
              <w:rPr>
                <w:rFonts w:ascii="宋体" w:hAnsi="宋体"/>
                <w:spacing w:val="4"/>
                <w:sz w:val="21"/>
                <w:szCs w:val="21"/>
              </w:rPr>
            </w:pPr>
            <w:r>
              <w:rPr>
                <w:rFonts w:hint="eastAsia" w:ascii="宋体" w:hAnsi="宋体"/>
                <w:spacing w:val="-7"/>
                <w:sz w:val="21"/>
                <w:szCs w:val="21"/>
              </w:rPr>
              <w:t>（</w:t>
            </w:r>
            <w:r>
              <w:rPr>
                <w:rFonts w:hint="eastAsia" w:ascii="宋体" w:hAnsi="宋体"/>
                <w:spacing w:val="-7"/>
                <w:sz w:val="21"/>
                <w:szCs w:val="21"/>
                <w:lang w:eastAsia="zh-CN"/>
              </w:rPr>
              <w:t>响应</w:t>
            </w:r>
            <w:r>
              <w:rPr>
                <w:rFonts w:hint="eastAsia" w:ascii="宋体" w:hAnsi="宋体"/>
                <w:spacing w:val="-7"/>
                <w:sz w:val="21"/>
                <w:szCs w:val="21"/>
              </w:rPr>
              <w:t>文件中附发票以及车辆照片，否则不得分。）</w:t>
            </w:r>
          </w:p>
        </w:tc>
        <w:tc>
          <w:tcPr>
            <w:tcW w:w="540" w:type="dxa"/>
            <w:noWrap w:val="0"/>
            <w:vAlign w:val="top"/>
          </w:tcPr>
          <w:p>
            <w:pPr>
              <w:spacing w:line="273" w:lineRule="auto"/>
              <w:rPr>
                <w:rFonts w:ascii="宋体" w:hAnsi="宋体"/>
                <w:sz w:val="21"/>
                <w:szCs w:val="21"/>
              </w:rPr>
            </w:pPr>
          </w:p>
          <w:p>
            <w:pPr>
              <w:spacing w:line="273" w:lineRule="auto"/>
              <w:rPr>
                <w:rFonts w:ascii="宋体" w:hAnsi="宋体"/>
                <w:sz w:val="21"/>
                <w:szCs w:val="21"/>
              </w:rPr>
            </w:pPr>
          </w:p>
          <w:p>
            <w:pPr>
              <w:spacing w:before="68" w:line="180" w:lineRule="auto"/>
              <w:rPr>
                <w:rFonts w:hint="eastAsia" w:ascii="宋体" w:hAnsi="宋体" w:eastAsia="宋体"/>
                <w:sz w:val="21"/>
                <w:szCs w:val="21"/>
                <w:lang w:eastAsia="zh-CN"/>
              </w:rPr>
            </w:pPr>
            <w:r>
              <w:rPr>
                <w:rFonts w:hint="eastAsia" w:ascii="宋体" w:hAnsi="宋体"/>
                <w:sz w:val="21"/>
                <w:szCs w:val="21"/>
                <w:lang w:val="en-US" w:eastAsia="zh-CN"/>
              </w:rPr>
              <w:t>6</w:t>
            </w:r>
          </w:p>
        </w:tc>
      </w:tr>
    </w:tbl>
    <w:p>
      <w:pPr>
        <w:pStyle w:val="2"/>
        <w:rPr>
          <w:rFonts w:hint="eastAsia"/>
        </w:rPr>
      </w:pPr>
    </w:p>
    <w:p>
      <w:pPr>
        <w:spacing w:line="440" w:lineRule="exact"/>
        <w:rPr>
          <w:rFonts w:hint="eastAsia" w:ascii="宋体" w:hAnsi="宋体" w:cs="宋体"/>
          <w:szCs w:val="21"/>
        </w:rPr>
      </w:pPr>
      <w:r>
        <w:rPr>
          <w:rFonts w:hint="eastAsia" w:ascii="宋体" w:hAnsi="宋体" w:cs="宋体"/>
          <w:szCs w:val="21"/>
        </w:rPr>
        <w:t>注：</w:t>
      </w:r>
    </w:p>
    <w:p>
      <w:pPr>
        <w:spacing w:line="440" w:lineRule="exact"/>
        <w:ind w:firstLine="210" w:firstLineChars="100"/>
        <w:rPr>
          <w:rFonts w:hint="eastAsia" w:ascii="宋体" w:hAnsi="宋体" w:cs="宋体"/>
          <w:szCs w:val="21"/>
        </w:rPr>
      </w:pPr>
      <w:r>
        <w:rPr>
          <w:rFonts w:hint="eastAsia" w:ascii="宋体" w:hAnsi="宋体" w:cs="宋体"/>
          <w:szCs w:val="21"/>
        </w:rPr>
        <w:t>1.评分办法中要求的所有证明材料均需按要求附响应文件中，否则不得分。</w:t>
      </w:r>
    </w:p>
    <w:p>
      <w:pPr>
        <w:spacing w:line="440" w:lineRule="exact"/>
        <w:ind w:firstLine="210" w:firstLineChars="100"/>
        <w:rPr>
          <w:rFonts w:hint="eastAsia" w:ascii="宋体" w:hAnsi="宋体" w:cs="宋体"/>
          <w:szCs w:val="21"/>
        </w:rPr>
      </w:pPr>
      <w:r>
        <w:rPr>
          <w:rFonts w:hint="eastAsia" w:ascii="宋体" w:hAnsi="宋体" w:cs="宋体"/>
          <w:szCs w:val="21"/>
        </w:rPr>
        <w:t>2.评审时，磋商小组各成员应当独立对每个有效响应的文件进行评价、打分，然后汇总每个供应商每项评分因素的得分，取各磋商小组各成员评分的算术平均数作为供应商的评审最后得分。</w:t>
      </w:r>
    </w:p>
    <w:p>
      <w:pPr>
        <w:spacing w:line="440" w:lineRule="exact"/>
        <w:ind w:firstLine="210" w:firstLineChars="100"/>
        <w:rPr>
          <w:rFonts w:hint="eastAsia" w:ascii="宋体" w:hAnsi="宋体" w:cs="宋体"/>
          <w:szCs w:val="21"/>
        </w:rPr>
      </w:pPr>
      <w:r>
        <w:rPr>
          <w:rFonts w:hint="eastAsia" w:ascii="宋体" w:hAnsi="宋体" w:cs="宋体"/>
          <w:szCs w:val="21"/>
        </w:rPr>
        <w:t>3.磋商小组应当根据综合评分情况，按照评审得分由高到低顺序推荐3名以上成交候选供应商，并编写评审报告。符合《政府采购竞争性磋商采购方式管理暂行办法》第三条第四项情形的或符合《财政部关于政府采购竞争性磋商采购方式管理暂行办法有关问题的补充通知》的可以推荐2家成交候选供应商。评审得分相同的，按照最后报价由低到高的顺序推荐。评审得分且最后报价相同的，按照技术指标优劣顺序推荐。</w:t>
      </w:r>
    </w:p>
    <w:p>
      <w:pPr>
        <w:pStyle w:val="56"/>
        <w:rPr>
          <w:rFonts w:hint="eastAsia" w:ascii="宋体" w:hAnsi="宋体" w:eastAsia="宋体" w:cs="宋体"/>
          <w:sz w:val="24"/>
          <w:szCs w:val="22"/>
        </w:rPr>
      </w:pPr>
      <w:r>
        <w:rPr>
          <w:rFonts w:hint="eastAsia" w:ascii="宋体" w:hAnsi="宋体" w:cs="宋体"/>
          <w:szCs w:val="21"/>
        </w:rPr>
        <w:t>4.评分分值及计算结果精确到小数点后二位，二位以后四舍五入。</w:t>
      </w:r>
    </w:p>
    <w:p>
      <w:pPr>
        <w:pStyle w:val="34"/>
        <w:keepNext w:val="0"/>
        <w:keepLines w:val="0"/>
        <w:pageBreakBefore w:val="0"/>
        <w:widowControl w:val="0"/>
        <w:numPr>
          <w:ilvl w:val="0"/>
          <w:numId w:val="0"/>
        </w:numPr>
        <w:kinsoku/>
        <w:wordWrap/>
        <w:overflowPunct/>
        <w:topLinePunct w:val="0"/>
        <w:autoSpaceDE/>
        <w:autoSpaceDN/>
        <w:bidi w:val="0"/>
        <w:adjustRightInd/>
        <w:snapToGrid/>
        <w:spacing w:before="0" w:after="0" w:line="360" w:lineRule="auto"/>
        <w:ind w:leftChars="0" w:right="0" w:rightChars="0"/>
        <w:jc w:val="both"/>
        <w:textAlignment w:val="auto"/>
        <w:outlineLvl w:val="0"/>
        <w:rPr>
          <w:rFonts w:hint="eastAsia" w:ascii="宋体" w:hAnsi="宋体" w:eastAsia="宋体" w:cs="宋体"/>
        </w:rPr>
      </w:pPr>
      <w:bookmarkStart w:id="77" w:name="_Toc24254"/>
      <w:bookmarkStart w:id="78" w:name="_Toc18580"/>
      <w:r>
        <w:rPr>
          <w:rFonts w:hint="eastAsia" w:ascii="宋体" w:hAnsi="宋体" w:eastAsia="宋体" w:cs="宋体"/>
        </w:rPr>
        <w:br w:type="page"/>
      </w:r>
      <w:bookmarkStart w:id="79" w:name="_Toc5542"/>
      <w:r>
        <w:rPr>
          <w:rFonts w:hint="eastAsia" w:ascii="宋体" w:hAnsi="宋体" w:cs="宋体"/>
          <w:lang w:val="en-US" w:eastAsia="zh-CN"/>
        </w:rPr>
        <w:t xml:space="preserve">                 第四章  </w:t>
      </w:r>
      <w:r>
        <w:rPr>
          <w:rFonts w:hint="eastAsia" w:ascii="宋体" w:hAnsi="宋体" w:eastAsia="宋体" w:cs="宋体"/>
        </w:rPr>
        <w:t>拟签订</w:t>
      </w:r>
      <w:r>
        <w:rPr>
          <w:rFonts w:hint="eastAsia" w:ascii="宋体" w:hAnsi="宋体" w:cs="宋体"/>
          <w:lang w:eastAsia="zh-CN"/>
        </w:rPr>
        <w:t>的</w:t>
      </w:r>
      <w:r>
        <w:rPr>
          <w:rFonts w:hint="eastAsia" w:ascii="宋体" w:hAnsi="宋体" w:eastAsia="宋体" w:cs="宋体"/>
        </w:rPr>
        <w:t>合同</w:t>
      </w:r>
      <w:bookmarkEnd w:id="75"/>
      <w:bookmarkEnd w:id="76"/>
      <w:bookmarkStart w:id="80" w:name="_Toc153880771"/>
      <w:bookmarkStart w:id="81" w:name="_Toc214329890"/>
      <w:bookmarkStart w:id="82" w:name="_Toc374512418"/>
      <w:bookmarkStart w:id="83" w:name="_Toc373230031"/>
      <w:bookmarkStart w:id="84" w:name="_Toc218418181"/>
      <w:r>
        <w:rPr>
          <w:rFonts w:hint="eastAsia" w:ascii="宋体" w:hAnsi="宋体" w:cs="宋体"/>
          <w:lang w:eastAsia="zh-CN"/>
        </w:rPr>
        <w:t>文本</w:t>
      </w:r>
      <w:bookmarkEnd w:id="77"/>
      <w:bookmarkEnd w:id="78"/>
      <w:bookmarkEnd w:id="79"/>
    </w:p>
    <w:p>
      <w:pPr>
        <w:autoSpaceDE w:val="0"/>
        <w:autoSpaceDN w:val="0"/>
        <w:adjustRightIn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委托方：                            （以下简称甲方）</w:t>
      </w:r>
    </w:p>
    <w:p>
      <w:pPr>
        <w:autoSpaceDE w:val="0"/>
        <w:autoSpaceDN w:val="0"/>
        <w:adjustRightIn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受托方：                            （以下简称乙方）</w:t>
      </w:r>
    </w:p>
    <w:p>
      <w:pPr>
        <w:autoSpaceDE w:val="0"/>
        <w:autoSpaceDN w:val="0"/>
        <w:adjustRightIn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签订地点： </w:t>
      </w:r>
    </w:p>
    <w:p>
      <w:pPr>
        <w:autoSpaceDE w:val="0"/>
        <w:autoSpaceDN w:val="0"/>
        <w:adjustRightIn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合同编号：</w:t>
      </w:r>
    </w:p>
    <w:p>
      <w:pPr>
        <w:autoSpaceDE w:val="0"/>
        <w:autoSpaceDN w:val="0"/>
        <w:adjustRightInd w:val="0"/>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参考《中华人民共和国政府采购法》《中华人民共和国</w:t>
      </w:r>
      <w:r>
        <w:rPr>
          <w:rFonts w:hint="eastAsia" w:ascii="宋体" w:hAnsi="宋体" w:eastAsia="宋体" w:cs="宋体"/>
          <w:color w:val="000000"/>
          <w:sz w:val="21"/>
          <w:szCs w:val="21"/>
          <w:lang w:eastAsia="zh-CN"/>
        </w:rPr>
        <w:t>民法典</w:t>
      </w:r>
      <w:r>
        <w:rPr>
          <w:rFonts w:hint="eastAsia" w:ascii="宋体" w:hAnsi="宋体" w:eastAsia="宋体" w:cs="宋体"/>
          <w:color w:val="000000"/>
          <w:sz w:val="21"/>
          <w:szCs w:val="21"/>
        </w:rPr>
        <w:t>》及有关法律法规，为维护双方的合法权益，甲、乙双方在平等互利、诚实信用的基础上，经友好协商，签订本合同，双方共同遵守执行。</w:t>
      </w:r>
    </w:p>
    <w:p>
      <w:pPr>
        <w:autoSpaceDE w:val="0"/>
        <w:autoSpaceDN w:val="0"/>
        <w:adjustRightIn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甲方为了按时、保质完成</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项目，与乙方达成以下协议：</w:t>
      </w:r>
    </w:p>
    <w:p>
      <w:pPr>
        <w:autoSpaceDE w:val="0"/>
        <w:autoSpaceDN w:val="0"/>
        <w:adjustRightIn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一、甲方委托乙方完成</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项目，该项目内容包括</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w:t>
      </w:r>
    </w:p>
    <w:p>
      <w:pPr>
        <w:autoSpaceDE w:val="0"/>
        <w:autoSpaceDN w:val="0"/>
        <w:adjustRightIn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二、乙方接受委托并按国家相关法规政策要求，在</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年</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日前完成。并保证成果通过委托方组织的技术审查并验收合格。</w:t>
      </w:r>
    </w:p>
    <w:p>
      <w:pPr>
        <w:autoSpaceDE w:val="0"/>
        <w:autoSpaceDN w:val="0"/>
        <w:adjustRightIn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三、合同总金额为人民币</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w:t>
      </w:r>
    </w:p>
    <w:p>
      <w:pPr>
        <w:autoSpaceDE w:val="0"/>
        <w:autoSpaceDN w:val="0"/>
        <w:adjustRightInd w:val="0"/>
        <w:spacing w:line="360" w:lineRule="auto"/>
        <w:rPr>
          <w:rFonts w:hint="default" w:ascii="宋体" w:hAnsi="宋体" w:eastAsia="宋体" w:cs="宋体"/>
          <w:color w:val="auto"/>
          <w:sz w:val="21"/>
          <w:szCs w:val="21"/>
          <w:highlight w:val="none"/>
          <w:u w:val="single"/>
          <w:lang w:val="en-US" w:eastAsia="zh-CN"/>
        </w:rPr>
      </w:pPr>
      <w:r>
        <w:rPr>
          <w:rFonts w:hint="eastAsia" w:ascii="宋体" w:hAnsi="宋体" w:eastAsia="宋体" w:cs="宋体"/>
          <w:color w:val="000000"/>
          <w:sz w:val="21"/>
          <w:szCs w:val="21"/>
        </w:rPr>
        <w:t>四、付款方式：</w:t>
      </w:r>
      <w:r>
        <w:rPr>
          <w:rFonts w:hint="eastAsia" w:ascii="宋体" w:hAnsi="宋体" w:eastAsia="宋体" w:cs="宋体"/>
          <w:color w:val="000000"/>
          <w:sz w:val="21"/>
          <w:szCs w:val="21"/>
          <w:u w:val="single"/>
          <w:lang w:eastAsia="zh-CN"/>
        </w:rPr>
        <w:t>成交人</w:t>
      </w:r>
      <w:r>
        <w:rPr>
          <w:rFonts w:hint="eastAsia" w:ascii="宋体" w:hAnsi="宋体" w:eastAsia="宋体" w:cs="宋体"/>
          <w:color w:val="000000"/>
          <w:sz w:val="21"/>
          <w:szCs w:val="21"/>
          <w:u w:val="single"/>
        </w:rPr>
        <w:t>交出每批次检品的食品检验报告书后支付相应价款，以此类推直至全部工作任务结束后全部付清</w:t>
      </w:r>
      <w:r>
        <w:rPr>
          <w:rFonts w:hint="eastAsia" w:ascii="宋体" w:hAnsi="宋体" w:eastAsia="宋体" w:cs="宋体"/>
          <w:color w:val="auto"/>
          <w:sz w:val="21"/>
          <w:szCs w:val="21"/>
          <w:highlight w:val="none"/>
          <w:u w:val="single"/>
          <w:lang w:eastAsia="zh-CN"/>
        </w:rPr>
        <w:t>。</w:t>
      </w:r>
    </w:p>
    <w:p>
      <w:pPr>
        <w:spacing w:line="360" w:lineRule="auto"/>
        <w:jc w:val="left"/>
        <w:rPr>
          <w:rFonts w:hint="eastAsia" w:ascii="宋体" w:hAnsi="宋体" w:eastAsia="宋体" w:cs="宋体"/>
          <w:kern w:val="2"/>
          <w:sz w:val="21"/>
          <w:szCs w:val="21"/>
          <w:lang w:val="en-US" w:eastAsia="zh-CN" w:bidi="ar-SA"/>
        </w:rPr>
      </w:pPr>
      <w:r>
        <w:rPr>
          <w:rFonts w:hint="eastAsia" w:ascii="宋体" w:hAnsi="宋体" w:eastAsia="宋体" w:cs="宋体"/>
          <w:color w:val="000000"/>
          <w:sz w:val="21"/>
          <w:szCs w:val="21"/>
        </w:rPr>
        <w:t>五、服务期限：</w:t>
      </w:r>
      <w:r>
        <w:rPr>
          <w:rFonts w:hint="eastAsia" w:ascii="宋体" w:hAnsi="宋体" w:eastAsia="宋体" w:cs="宋体"/>
          <w:color w:val="000000"/>
          <w:sz w:val="21"/>
          <w:szCs w:val="21"/>
          <w:lang w:val="en-US" w:eastAsia="zh-CN"/>
        </w:rPr>
        <w:t>180日历天</w:t>
      </w:r>
      <w:r>
        <w:rPr>
          <w:rFonts w:hint="eastAsia" w:ascii="宋体" w:hAnsi="宋体" w:eastAsia="宋体" w:cs="宋体"/>
          <w:sz w:val="21"/>
          <w:szCs w:val="21"/>
        </w:rPr>
        <w:t>；</w:t>
      </w:r>
    </w:p>
    <w:p>
      <w:pPr>
        <w:spacing w:line="360" w:lineRule="auto"/>
        <w:jc w:val="left"/>
        <w:rPr>
          <w:rFonts w:hint="eastAsia" w:ascii="宋体" w:hAnsi="宋体" w:eastAsia="宋体" w:cs="宋体"/>
          <w:sz w:val="21"/>
          <w:szCs w:val="21"/>
        </w:rPr>
      </w:pPr>
      <w:r>
        <w:rPr>
          <w:rFonts w:hint="eastAsia" w:ascii="宋体" w:hAnsi="宋体" w:eastAsia="宋体" w:cs="宋体"/>
          <w:sz w:val="21"/>
          <w:szCs w:val="21"/>
        </w:rPr>
        <w:t>七、服务地点：武陟县；</w:t>
      </w:r>
    </w:p>
    <w:p>
      <w:pPr>
        <w:spacing w:line="360" w:lineRule="auto"/>
        <w:jc w:val="left"/>
        <w:rPr>
          <w:rFonts w:hint="default" w:ascii="宋体" w:hAnsi="宋体" w:eastAsia="宋体" w:cs="宋体"/>
          <w:color w:val="FF0000"/>
          <w:sz w:val="21"/>
          <w:szCs w:val="21"/>
          <w:u w:val="single"/>
          <w:lang w:val="en-US" w:eastAsia="zh-CN"/>
        </w:rPr>
      </w:pPr>
      <w:r>
        <w:rPr>
          <w:rFonts w:hint="eastAsia" w:ascii="宋体" w:hAnsi="宋体" w:eastAsia="宋体" w:cs="宋体"/>
          <w:color w:val="auto"/>
          <w:sz w:val="21"/>
          <w:szCs w:val="21"/>
        </w:rPr>
        <w:t>八、</w:t>
      </w:r>
      <w:r>
        <w:rPr>
          <w:rFonts w:hint="eastAsia" w:ascii="宋体" w:hAnsi="宋体" w:eastAsia="宋体" w:cs="宋体"/>
          <w:color w:val="auto"/>
          <w:sz w:val="21"/>
          <w:szCs w:val="21"/>
          <w:lang w:eastAsia="zh-CN"/>
        </w:rPr>
        <w:t>服务</w:t>
      </w:r>
      <w:r>
        <w:rPr>
          <w:rFonts w:hint="eastAsia" w:ascii="宋体" w:hAnsi="宋体" w:eastAsia="宋体" w:cs="宋体"/>
          <w:color w:val="auto"/>
          <w:sz w:val="21"/>
          <w:szCs w:val="21"/>
        </w:rPr>
        <w:t>内容：</w:t>
      </w:r>
      <w:r>
        <w:rPr>
          <w:rFonts w:hint="eastAsia" w:ascii="宋体" w:hAnsi="宋体"/>
          <w:sz w:val="24"/>
          <w:lang w:val="en-US" w:eastAsia="zh-CN"/>
        </w:rPr>
        <w:t>县市场监管局2023年需在本辖区内开展食品安全监督抽检任务。共分为2个包，其中一包为对武陟县农产品进行900批次抽样检测，二包为对武陟县小作坊食品、餐饮、流通食品、商超食品进行1700批次抽样检测</w:t>
      </w:r>
      <w:r>
        <w:rPr>
          <w:rFonts w:hint="eastAsia" w:ascii="宋体" w:hAnsi="宋体" w:eastAsia="宋体" w:cs="宋体"/>
          <w:color w:val="auto"/>
          <w:sz w:val="21"/>
          <w:szCs w:val="21"/>
          <w:lang w:val="en-US" w:eastAsia="zh-CN"/>
        </w:rPr>
        <w:t xml:space="preserve">。    </w:t>
      </w:r>
    </w:p>
    <w:p>
      <w:pPr>
        <w:spacing w:line="360" w:lineRule="auto"/>
        <w:jc w:val="left"/>
        <w:rPr>
          <w:rFonts w:hint="eastAsia" w:ascii="宋体" w:hAnsi="宋体" w:eastAsia="宋体" w:cs="宋体"/>
          <w:sz w:val="21"/>
          <w:szCs w:val="21"/>
        </w:rPr>
      </w:pPr>
      <w:r>
        <w:rPr>
          <w:rFonts w:hint="eastAsia" w:ascii="宋体" w:hAnsi="宋体" w:eastAsia="宋体" w:cs="宋体"/>
          <w:sz w:val="21"/>
          <w:szCs w:val="21"/>
        </w:rPr>
        <w:t>九、违约责任：在执行合同期限内，任何一方因不可抗力事件造成不能履行合同时，应立即通知对方并确认同意，则合同履行期可延长，其延长期与不可抗力影响期相同。不可抗力事件延续7天及以上，双方应通过友好协商，决定是否继续履行合同事宜。甲方或乙方因单方违约给对方造成损失的，应当根据实际情况赔偿对方的损失。</w:t>
      </w:r>
    </w:p>
    <w:p>
      <w:pPr>
        <w:pStyle w:val="56"/>
        <w:rPr>
          <w:rFonts w:hint="default" w:ascii="宋体" w:hAnsi="宋体" w:eastAsia="宋体" w:cs="宋体"/>
          <w:sz w:val="21"/>
          <w:szCs w:val="21"/>
          <w:u w:val="single"/>
          <w:lang w:val="en-US"/>
        </w:rPr>
      </w:pPr>
      <w:r>
        <w:rPr>
          <w:rFonts w:hint="eastAsia" w:ascii="宋体" w:hAnsi="宋体" w:eastAsia="宋体" w:cs="宋体"/>
          <w:sz w:val="21"/>
          <w:szCs w:val="21"/>
        </w:rPr>
        <w:t>十、</w:t>
      </w:r>
      <w:r>
        <w:rPr>
          <w:rFonts w:hint="eastAsia" w:ascii="宋体" w:hAnsi="宋体" w:eastAsia="宋体" w:cs="宋体"/>
          <w:sz w:val="21"/>
          <w:szCs w:val="21"/>
          <w:lang w:eastAsia="zh-CN"/>
        </w:rPr>
        <w:t>其它要求：</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eastAsia="zh-CN"/>
        </w:rPr>
        <w:t xml:space="preserve">             </w:t>
      </w:r>
    </w:p>
    <w:p>
      <w:pPr>
        <w:autoSpaceDE w:val="0"/>
        <w:autoSpaceDN w:val="0"/>
        <w:adjustRightIn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十一、争议的解决</w:t>
      </w:r>
    </w:p>
    <w:p>
      <w:pPr>
        <w:autoSpaceDE w:val="0"/>
        <w:autoSpaceDN w:val="0"/>
        <w:adjustRightIn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如双方在履行合同时发生纠纷，应协商解决；协商不成，任何一方可向仲裁委员会申请仲裁或向项目所在地人民法院提起诉讼。</w:t>
      </w:r>
    </w:p>
    <w:p>
      <w:pPr>
        <w:autoSpaceDE w:val="0"/>
        <w:autoSpaceDN w:val="0"/>
        <w:adjustRightIn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十二、本合同未尽事宜，可订立补充协议。</w:t>
      </w:r>
    </w:p>
    <w:p>
      <w:pPr>
        <w:autoSpaceDE w:val="0"/>
        <w:autoSpaceDN w:val="0"/>
        <w:adjustRightIn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十三、本合同一经双方法定代表人（或委托代理人）签字，并加盖公章即为生效。合同一式</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份，甲乙双方各执</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份、政府采购办及公共资源交易中心各执</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份，效力相同。</w:t>
      </w:r>
    </w:p>
    <w:p>
      <w:pPr>
        <w:autoSpaceDE w:val="0"/>
        <w:autoSpaceDN w:val="0"/>
        <w:adjustRightIn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甲方：                      </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 xml:space="preserve">  乙方： </w:t>
      </w:r>
    </w:p>
    <w:p>
      <w:pPr>
        <w:autoSpaceDE w:val="0"/>
        <w:autoSpaceDN w:val="0"/>
        <w:adjustRightIn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地址：                       </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 xml:space="preserve"> 地址：</w:t>
      </w:r>
    </w:p>
    <w:p>
      <w:pPr>
        <w:autoSpaceDE w:val="0"/>
        <w:autoSpaceDN w:val="0"/>
        <w:adjustRightIn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法定代表人：                </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 xml:space="preserve">  法定代表人：</w:t>
      </w:r>
    </w:p>
    <w:p>
      <w:pPr>
        <w:autoSpaceDE w:val="0"/>
        <w:autoSpaceDN w:val="0"/>
        <w:adjustRightIn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委托代理人：                 </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 xml:space="preserve"> 委托代理人：</w:t>
      </w:r>
    </w:p>
    <w:p>
      <w:pPr>
        <w:autoSpaceDE w:val="0"/>
        <w:autoSpaceDN w:val="0"/>
        <w:adjustRightIn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电话：                      </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 xml:space="preserve">  电话： </w:t>
      </w:r>
    </w:p>
    <w:p>
      <w:pPr>
        <w:pStyle w:val="22"/>
        <w:rPr>
          <w:rFonts w:hint="eastAsia" w:ascii="宋体" w:hAnsi="宋体" w:eastAsia="宋体" w:cs="宋体"/>
          <w:sz w:val="28"/>
          <w:szCs w:val="24"/>
        </w:rPr>
      </w:pPr>
      <w:r>
        <w:rPr>
          <w:rFonts w:hint="eastAsia" w:ascii="宋体" w:hAnsi="宋体" w:eastAsia="宋体" w:cs="宋体"/>
          <w:color w:val="000000"/>
          <w:sz w:val="21"/>
          <w:szCs w:val="21"/>
        </w:rPr>
        <w:t xml:space="preserve">日期：   年   月    日       </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 xml:space="preserve"> 日期：   年   月    日</w:t>
      </w: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bookmarkEnd w:id="80"/>
    <w:bookmarkEnd w:id="81"/>
    <w:bookmarkEnd w:id="82"/>
    <w:bookmarkEnd w:id="83"/>
    <w:bookmarkEnd w:id="84"/>
    <w:p>
      <w:pPr>
        <w:pStyle w:val="34"/>
        <w:keepNext w:val="0"/>
        <w:keepLines w:val="0"/>
        <w:pageBreakBefore w:val="0"/>
        <w:widowControl w:val="0"/>
        <w:numPr>
          <w:ilvl w:val="0"/>
          <w:numId w:val="0"/>
        </w:numPr>
        <w:kinsoku/>
        <w:wordWrap/>
        <w:overflowPunct/>
        <w:topLinePunct w:val="0"/>
        <w:autoSpaceDE/>
        <w:autoSpaceDN/>
        <w:bidi w:val="0"/>
        <w:adjustRightInd/>
        <w:snapToGrid/>
        <w:spacing w:before="0" w:after="0" w:line="360" w:lineRule="auto"/>
        <w:ind w:leftChars="0" w:right="0" w:rightChars="0"/>
        <w:jc w:val="both"/>
        <w:textAlignment w:val="auto"/>
        <w:outlineLvl w:val="0"/>
        <w:rPr>
          <w:rFonts w:hint="eastAsia" w:ascii="宋体" w:hAnsi="宋体" w:eastAsia="宋体" w:cs="宋体"/>
        </w:rPr>
      </w:pPr>
      <w:bookmarkStart w:id="85" w:name="_Toc7461"/>
      <w:bookmarkStart w:id="86" w:name="_Toc19680"/>
      <w:r>
        <w:rPr>
          <w:rFonts w:hint="eastAsia" w:ascii="宋体" w:hAnsi="宋体" w:eastAsia="宋体" w:cs="宋体"/>
        </w:rPr>
        <w:br w:type="page"/>
      </w:r>
      <w:bookmarkStart w:id="87" w:name="_Toc24987"/>
      <w:r>
        <w:rPr>
          <w:rFonts w:hint="eastAsia" w:ascii="宋体" w:hAnsi="宋体" w:cs="宋体"/>
          <w:lang w:val="en-US" w:eastAsia="zh-CN"/>
        </w:rPr>
        <w:t xml:space="preserve">                   </w:t>
      </w:r>
      <w:r>
        <w:rPr>
          <w:rFonts w:hint="eastAsia" w:ascii="宋体" w:hAnsi="宋体" w:cs="宋体"/>
          <w:lang w:eastAsia="zh-CN"/>
        </w:rPr>
        <w:t>第五章</w:t>
      </w:r>
      <w:r>
        <w:rPr>
          <w:rFonts w:hint="eastAsia" w:ascii="宋体" w:hAnsi="宋体" w:cs="宋体"/>
          <w:lang w:val="en-US" w:eastAsia="zh-CN"/>
        </w:rPr>
        <w:t xml:space="preserve">  </w:t>
      </w:r>
      <w:r>
        <w:rPr>
          <w:rFonts w:hint="eastAsia" w:ascii="宋体" w:hAnsi="宋体" w:eastAsia="宋体" w:cs="宋体"/>
        </w:rPr>
        <w:t>采购需求</w:t>
      </w:r>
      <w:bookmarkEnd w:id="85"/>
      <w:bookmarkEnd w:id="86"/>
      <w:bookmarkEnd w:id="87"/>
    </w:p>
    <w:p>
      <w:pPr>
        <w:spacing w:line="400" w:lineRule="exact"/>
        <w:rPr>
          <w:rFonts w:hint="eastAsia" w:ascii="宋体" w:hAnsi="宋体" w:eastAsia="宋体" w:cs="宋体"/>
          <w:color w:val="auto"/>
        </w:rPr>
      </w:pPr>
      <w:bookmarkStart w:id="88" w:name="_Toc374512420"/>
      <w:bookmarkStart w:id="89" w:name="_Toc373230032"/>
      <w:bookmarkStart w:id="90" w:name="_Toc11229"/>
      <w:bookmarkStart w:id="91" w:name="_Toc487805927"/>
      <w:bookmarkStart w:id="92" w:name="_Toc4426"/>
      <w:bookmarkStart w:id="93" w:name="_Toc477423251"/>
    </w:p>
    <w:p>
      <w:pPr>
        <w:spacing w:line="360" w:lineRule="auto"/>
        <w:rPr>
          <w:rFonts w:ascii="宋体" w:hAnsi="宋体"/>
          <w:b/>
          <w:color w:val="000000"/>
          <w:sz w:val="32"/>
          <w:szCs w:val="32"/>
        </w:rPr>
      </w:pPr>
      <w:r>
        <w:rPr>
          <w:rFonts w:hint="eastAsia" w:ascii="宋体" w:hAnsi="宋体"/>
          <w:b/>
          <w:color w:val="000000"/>
          <w:sz w:val="32"/>
          <w:szCs w:val="32"/>
        </w:rPr>
        <w:t>一、相关说明</w:t>
      </w:r>
    </w:p>
    <w:p>
      <w:pPr>
        <w:spacing w:line="360" w:lineRule="auto"/>
        <w:ind w:firstLine="480" w:firstLineChars="200"/>
        <w:rPr>
          <w:rFonts w:ascii="宋体" w:hAnsi="宋体"/>
          <w:color w:val="000000"/>
          <w:sz w:val="24"/>
          <w:szCs w:val="24"/>
        </w:rPr>
      </w:pPr>
      <w:r>
        <w:rPr>
          <w:rFonts w:ascii="宋体" w:hAnsi="宋体"/>
          <w:color w:val="000000"/>
          <w:sz w:val="24"/>
          <w:szCs w:val="24"/>
        </w:rPr>
        <w:t>1.</w:t>
      </w:r>
      <w:r>
        <w:rPr>
          <w:rFonts w:hint="eastAsia" w:ascii="宋体" w:hAnsi="宋体"/>
          <w:color w:val="000000"/>
          <w:sz w:val="24"/>
          <w:szCs w:val="24"/>
        </w:rPr>
        <w:t>本次采购内容如果要求的某些技术标准低于国家标准，均以最新的国家标准为准。招标技术要求中未明确的技术标准也均不得低于国家标准；</w:t>
      </w:r>
    </w:p>
    <w:p>
      <w:pPr>
        <w:spacing w:line="360" w:lineRule="auto"/>
        <w:rPr>
          <w:rFonts w:ascii="宋体" w:hAnsi="宋体"/>
          <w:bCs/>
          <w:sz w:val="30"/>
          <w:szCs w:val="30"/>
          <w:highlight w:val="yellow"/>
        </w:rPr>
      </w:pPr>
      <w:r>
        <w:rPr>
          <w:rFonts w:hint="eastAsia" w:ascii="宋体" w:hAnsi="宋体"/>
          <w:b/>
          <w:sz w:val="32"/>
          <w:szCs w:val="32"/>
        </w:rPr>
        <w:t>二、商务要求：</w:t>
      </w:r>
    </w:p>
    <w:p>
      <w:pPr>
        <w:autoSpaceDE w:val="0"/>
        <w:spacing w:line="500" w:lineRule="exact"/>
        <w:ind w:firstLine="480" w:firstLineChars="200"/>
        <w:rPr>
          <w:rFonts w:hint="eastAsia" w:ascii="宋体" w:hAnsi="宋体"/>
          <w:sz w:val="24"/>
        </w:rPr>
      </w:pPr>
      <w:r>
        <w:rPr>
          <w:rFonts w:hint="eastAsia" w:ascii="宋体" w:hAnsi="宋体"/>
          <w:sz w:val="24"/>
          <w:lang w:val="en-US" w:eastAsia="zh-CN"/>
        </w:rPr>
        <w:t>1.</w:t>
      </w:r>
      <w:r>
        <w:rPr>
          <w:rFonts w:hint="eastAsia" w:ascii="宋体" w:hAnsi="宋体"/>
          <w:sz w:val="24"/>
          <w:lang w:eastAsia="zh-CN"/>
        </w:rPr>
        <w:t>服务</w:t>
      </w:r>
      <w:r>
        <w:rPr>
          <w:rFonts w:hint="eastAsia" w:ascii="宋体" w:hAnsi="宋体"/>
          <w:sz w:val="24"/>
        </w:rPr>
        <w:t>地点：</w:t>
      </w:r>
      <w:r>
        <w:rPr>
          <w:rFonts w:hint="eastAsia" w:ascii="宋体" w:hAnsi="宋体"/>
          <w:sz w:val="24"/>
          <w:lang w:val="en-US" w:eastAsia="zh-CN"/>
        </w:rPr>
        <w:t>武陟县辖区内</w:t>
      </w:r>
      <w:r>
        <w:rPr>
          <w:rFonts w:hint="eastAsia" w:ascii="宋体" w:hAnsi="宋体"/>
          <w:sz w:val="24"/>
        </w:rPr>
        <w:t>。</w:t>
      </w:r>
    </w:p>
    <w:p>
      <w:pPr>
        <w:autoSpaceDE w:val="0"/>
        <w:spacing w:line="500" w:lineRule="exact"/>
        <w:ind w:firstLine="480" w:firstLineChars="200"/>
        <w:rPr>
          <w:rFonts w:hint="eastAsia" w:ascii="宋体" w:hAnsi="宋体"/>
          <w:color w:val="auto"/>
          <w:sz w:val="24"/>
        </w:rPr>
      </w:pPr>
      <w:r>
        <w:rPr>
          <w:rFonts w:hint="eastAsia" w:ascii="宋体" w:hAnsi="宋体"/>
          <w:sz w:val="24"/>
          <w:lang w:val="en-US" w:eastAsia="zh-CN"/>
        </w:rPr>
        <w:t>2.</w:t>
      </w:r>
      <w:r>
        <w:rPr>
          <w:rFonts w:hint="eastAsia" w:ascii="宋体" w:hAnsi="宋体" w:eastAsia="宋体" w:cs="宋体"/>
          <w:color w:val="auto"/>
          <w:sz w:val="24"/>
          <w:szCs w:val="24"/>
          <w:lang w:val="en-US" w:eastAsia="zh-CN"/>
        </w:rPr>
        <w:t>合同履行期限</w:t>
      </w:r>
      <w:r>
        <w:rPr>
          <w:rFonts w:hint="eastAsia" w:ascii="宋体" w:hAnsi="宋体"/>
          <w:color w:val="auto"/>
          <w:sz w:val="24"/>
        </w:rPr>
        <w:t>：</w:t>
      </w:r>
      <w:r>
        <w:rPr>
          <w:rFonts w:hint="eastAsia" w:ascii="宋体" w:hAnsi="宋体"/>
          <w:color w:val="auto"/>
          <w:sz w:val="24"/>
          <w:lang w:val="en-US" w:eastAsia="zh-CN"/>
        </w:rPr>
        <w:t>180日</w:t>
      </w:r>
      <w:r>
        <w:rPr>
          <w:rFonts w:hint="eastAsia" w:ascii="宋体" w:hAnsi="宋体"/>
          <w:color w:val="auto"/>
          <w:sz w:val="24"/>
          <w:lang w:eastAsia="zh-CN"/>
        </w:rPr>
        <w:t>历天</w:t>
      </w:r>
      <w:r>
        <w:rPr>
          <w:rFonts w:hint="eastAsia" w:ascii="宋体" w:hAnsi="宋体"/>
          <w:color w:val="auto"/>
          <w:sz w:val="24"/>
        </w:rPr>
        <w:t>。</w:t>
      </w:r>
    </w:p>
    <w:p>
      <w:pPr>
        <w:autoSpaceDE w:val="0"/>
        <w:spacing w:line="500" w:lineRule="exact"/>
        <w:ind w:firstLine="480" w:firstLineChars="200"/>
        <w:rPr>
          <w:rFonts w:hint="eastAsia" w:ascii="宋体" w:hAnsi="宋体"/>
          <w:color w:val="auto"/>
          <w:sz w:val="24"/>
        </w:rPr>
      </w:pPr>
      <w:r>
        <w:rPr>
          <w:rFonts w:hint="eastAsia" w:ascii="宋体" w:hAnsi="宋体"/>
          <w:color w:val="auto"/>
          <w:sz w:val="24"/>
          <w:lang w:val="en-US" w:eastAsia="zh-CN"/>
        </w:rPr>
        <w:t>3.</w:t>
      </w:r>
      <w:r>
        <w:rPr>
          <w:rFonts w:hint="eastAsia" w:ascii="宋体" w:hAnsi="宋体"/>
          <w:color w:val="auto"/>
          <w:sz w:val="24"/>
        </w:rPr>
        <w:t>质量要求：</w:t>
      </w:r>
      <w:r>
        <w:rPr>
          <w:rFonts w:hint="eastAsia" w:ascii="宋体" w:hAnsi="宋体"/>
          <w:color w:val="auto"/>
          <w:sz w:val="24"/>
          <w:lang w:val="en-US" w:eastAsia="zh-CN"/>
        </w:rPr>
        <w:t>样品抽样、运输及贮存、检测方法、检测依据的法律法规和国家规定标准、判定原则与结论须符合最新国家食品安全监督抽检实施细则相关规定</w:t>
      </w:r>
      <w:r>
        <w:rPr>
          <w:rFonts w:hint="eastAsia" w:ascii="宋体" w:hAnsi="宋体"/>
          <w:color w:val="auto"/>
          <w:sz w:val="24"/>
        </w:rPr>
        <w:t>。</w:t>
      </w:r>
    </w:p>
    <w:p>
      <w:pPr>
        <w:spacing w:line="360" w:lineRule="auto"/>
        <w:ind w:firstLine="480" w:firstLineChars="200"/>
        <w:jc w:val="both"/>
        <w:rPr>
          <w:rFonts w:hint="eastAsia" w:ascii="宋体" w:hAnsi="宋体"/>
          <w:color w:val="auto"/>
          <w:sz w:val="24"/>
        </w:rPr>
      </w:pPr>
      <w:r>
        <w:rPr>
          <w:rFonts w:hint="eastAsia" w:ascii="宋体" w:hAnsi="宋体"/>
          <w:color w:val="auto"/>
          <w:sz w:val="24"/>
          <w:lang w:val="en-US" w:eastAsia="zh-CN"/>
        </w:rPr>
        <w:t>4.</w:t>
      </w:r>
      <w:r>
        <w:rPr>
          <w:rFonts w:hint="eastAsia" w:ascii="宋体" w:hAnsi="宋体"/>
          <w:color w:val="auto"/>
          <w:sz w:val="24"/>
        </w:rPr>
        <w:t>服务要求：</w:t>
      </w:r>
      <w:r>
        <w:rPr>
          <w:rFonts w:hint="eastAsia" w:ascii="宋体" w:hAnsi="宋体"/>
          <w:color w:val="auto"/>
          <w:sz w:val="24"/>
          <w:lang w:val="en-US" w:eastAsia="zh-CN"/>
        </w:rPr>
        <w:t>满足国家相关规范合格标准及采购人要求。</w:t>
      </w:r>
    </w:p>
    <w:p>
      <w:pPr>
        <w:spacing w:line="360" w:lineRule="auto"/>
        <w:ind w:firstLine="480" w:firstLineChars="200"/>
        <w:rPr>
          <w:rFonts w:ascii="宋体" w:hAnsi="宋体"/>
          <w:color w:val="auto"/>
          <w:sz w:val="24"/>
          <w:szCs w:val="24"/>
        </w:rPr>
      </w:pPr>
      <w:r>
        <w:rPr>
          <w:rFonts w:hint="eastAsia" w:ascii="宋体" w:hAnsi="宋体"/>
          <w:color w:val="auto"/>
          <w:sz w:val="24"/>
          <w:szCs w:val="24"/>
          <w:lang w:val="en-US" w:eastAsia="zh-CN"/>
        </w:rPr>
        <w:t>5</w:t>
      </w:r>
      <w:r>
        <w:rPr>
          <w:rFonts w:ascii="宋体" w:hAnsi="宋体"/>
          <w:color w:val="auto"/>
          <w:sz w:val="24"/>
          <w:szCs w:val="24"/>
        </w:rPr>
        <w:t>.</w:t>
      </w:r>
      <w:r>
        <w:rPr>
          <w:rFonts w:hint="eastAsia" w:ascii="宋体" w:hAnsi="宋体"/>
          <w:color w:val="auto"/>
          <w:sz w:val="24"/>
          <w:szCs w:val="24"/>
        </w:rPr>
        <w:t>付款方式：</w:t>
      </w:r>
      <w:r>
        <w:rPr>
          <w:rFonts w:hint="eastAsia" w:ascii="宋体" w:hAnsi="宋体"/>
          <w:color w:val="auto"/>
          <w:sz w:val="24"/>
          <w:szCs w:val="24"/>
          <w:lang w:eastAsia="zh-CN"/>
        </w:rPr>
        <w:t>成交人</w:t>
      </w:r>
      <w:r>
        <w:rPr>
          <w:rFonts w:hint="eastAsia" w:ascii="宋体" w:hAnsi="宋体"/>
          <w:color w:val="auto"/>
          <w:sz w:val="24"/>
          <w:szCs w:val="24"/>
        </w:rPr>
        <w:t>交出每批次检品的食品检验报告书后支付相应价款，以此类推直至全部工作任务结束后全部付清。</w:t>
      </w:r>
    </w:p>
    <w:p>
      <w:pPr>
        <w:spacing w:line="360" w:lineRule="auto"/>
        <w:rPr>
          <w:rFonts w:ascii="宋体" w:hAnsi="宋体"/>
          <w:b/>
          <w:sz w:val="32"/>
          <w:szCs w:val="32"/>
        </w:rPr>
      </w:pPr>
      <w:r>
        <w:rPr>
          <w:rFonts w:hint="eastAsia" w:ascii="宋体" w:hAnsi="宋体"/>
          <w:b/>
          <w:sz w:val="32"/>
          <w:szCs w:val="32"/>
        </w:rPr>
        <w:t>三、服务要求：</w:t>
      </w:r>
    </w:p>
    <w:p>
      <w:pPr>
        <w:spacing w:line="360" w:lineRule="auto"/>
        <w:ind w:firstLine="480" w:firstLineChars="200"/>
        <w:rPr>
          <w:rFonts w:ascii="宋体" w:hAnsi="宋体" w:cs="仿宋_GB2312"/>
          <w:sz w:val="24"/>
          <w:szCs w:val="24"/>
        </w:rPr>
      </w:pPr>
      <w:r>
        <w:rPr>
          <w:rFonts w:ascii="宋体" w:hAnsi="宋体" w:cs="仿宋_GB2312"/>
          <w:sz w:val="24"/>
          <w:szCs w:val="24"/>
        </w:rPr>
        <w:t>1.</w:t>
      </w:r>
      <w:r>
        <w:rPr>
          <w:rFonts w:hint="eastAsia" w:ascii="宋体" w:hAnsi="宋体" w:cs="仿宋_GB2312"/>
          <w:sz w:val="24"/>
          <w:szCs w:val="24"/>
        </w:rPr>
        <w:t>抽检时间及范围</w:t>
      </w:r>
    </w:p>
    <w:p>
      <w:pPr>
        <w:spacing w:line="360" w:lineRule="auto"/>
        <w:ind w:firstLine="480" w:firstLineChars="200"/>
        <w:rPr>
          <w:rFonts w:ascii="宋体" w:hAnsi="宋体" w:cs="仿宋_GB2312"/>
          <w:sz w:val="24"/>
          <w:szCs w:val="24"/>
        </w:rPr>
      </w:pPr>
      <w:r>
        <w:rPr>
          <w:rFonts w:hint="eastAsia" w:ascii="宋体" w:hAnsi="宋体" w:cs="仿宋_GB2312"/>
          <w:sz w:val="24"/>
          <w:szCs w:val="24"/>
        </w:rPr>
        <w:t>本次监督抽检计划的实施时间：从签订合同之日起到本年度结束之前全部完成。</w:t>
      </w:r>
    </w:p>
    <w:p>
      <w:pPr>
        <w:spacing w:line="360" w:lineRule="auto"/>
        <w:ind w:firstLine="480" w:firstLineChars="200"/>
        <w:rPr>
          <w:rFonts w:ascii="宋体" w:hAnsi="宋体" w:cs="仿宋_GB2312"/>
          <w:sz w:val="24"/>
          <w:szCs w:val="24"/>
        </w:rPr>
      </w:pPr>
      <w:r>
        <w:rPr>
          <w:rFonts w:hint="eastAsia" w:ascii="宋体" w:hAnsi="宋体" w:cs="仿宋_GB2312"/>
          <w:sz w:val="24"/>
          <w:szCs w:val="24"/>
        </w:rPr>
        <w:t>抽检范围为武陟县辖区内生产企业、批发市场、农贸市场、商场、超市、餐饮饭店等环节。抽检样品的品牌、厂家应在市民日常生活中占主导地位。</w:t>
      </w:r>
      <w:r>
        <w:rPr>
          <w:rFonts w:ascii="宋体" w:hAnsi="宋体" w:cs="仿宋_GB2312"/>
          <w:sz w:val="24"/>
          <w:szCs w:val="24"/>
        </w:rPr>
        <w:t xml:space="preserve">                                                                                                                                                </w:t>
      </w:r>
    </w:p>
    <w:p>
      <w:pPr>
        <w:spacing w:line="360" w:lineRule="auto"/>
        <w:ind w:firstLine="480" w:firstLineChars="200"/>
        <w:rPr>
          <w:rFonts w:ascii="宋体" w:hAnsi="宋体" w:cs="仿宋_GB2312"/>
          <w:sz w:val="24"/>
          <w:szCs w:val="24"/>
        </w:rPr>
      </w:pPr>
      <w:r>
        <w:rPr>
          <w:rFonts w:ascii="宋体" w:hAnsi="宋体" w:cs="仿宋_GB2312"/>
          <w:sz w:val="24"/>
          <w:szCs w:val="24"/>
        </w:rPr>
        <w:t>2.</w:t>
      </w:r>
      <w:r>
        <w:rPr>
          <w:rFonts w:hint="eastAsia" w:ascii="宋体" w:hAnsi="宋体" w:cs="仿宋_GB2312"/>
          <w:sz w:val="24"/>
          <w:szCs w:val="24"/>
        </w:rPr>
        <w:t>工作要求</w:t>
      </w:r>
    </w:p>
    <w:p>
      <w:pPr>
        <w:spacing w:line="360" w:lineRule="auto"/>
        <w:ind w:firstLine="480" w:firstLineChars="200"/>
        <w:rPr>
          <w:rFonts w:ascii="宋体" w:hAnsi="宋体"/>
          <w:color w:val="FF0000"/>
          <w:sz w:val="24"/>
          <w:szCs w:val="24"/>
        </w:rPr>
      </w:pPr>
      <w:r>
        <w:rPr>
          <w:rFonts w:hint="eastAsia" w:ascii="宋体" w:hAnsi="宋体" w:cs="仿宋_GB2312"/>
          <w:sz w:val="24"/>
          <w:szCs w:val="24"/>
        </w:rPr>
        <w:t>承接机构负责本次抽检计划的样品抽取、检验等全部工作。必须按照采购人提供的检测目录在</w:t>
      </w:r>
      <w:r>
        <w:rPr>
          <w:rFonts w:ascii="宋体" w:hAnsi="宋体" w:cs="仿宋_GB2312"/>
          <w:sz w:val="24"/>
          <w:szCs w:val="24"/>
        </w:rPr>
        <w:t>10</w:t>
      </w:r>
      <w:r>
        <w:rPr>
          <w:rFonts w:hint="eastAsia" w:ascii="宋体" w:hAnsi="宋体" w:cs="仿宋_GB2312"/>
          <w:sz w:val="24"/>
          <w:szCs w:val="24"/>
        </w:rPr>
        <w:t>日内，完成抽样及检测任务，若有复检须</w:t>
      </w:r>
      <w:r>
        <w:rPr>
          <w:rFonts w:hint="eastAsia" w:ascii="宋体" w:hAnsi="宋体" w:cs="仿宋_GB2312"/>
          <w:sz w:val="24"/>
          <w:szCs w:val="24"/>
          <w:lang w:eastAsia="zh-CN"/>
        </w:rPr>
        <w:t>供应商</w:t>
      </w:r>
      <w:r>
        <w:rPr>
          <w:rFonts w:hint="eastAsia" w:ascii="宋体" w:hAnsi="宋体" w:cs="仿宋_GB2312"/>
          <w:sz w:val="24"/>
          <w:szCs w:val="24"/>
        </w:rPr>
        <w:t>给予配合。具体抽样及检验工作要求，由承检机构严格按照国家食品药品监督管理总局、河南省食品药品监督管理局有关抽检管理规定执行。</w:t>
      </w:r>
    </w:p>
    <w:p>
      <w:pPr>
        <w:spacing w:line="360" w:lineRule="auto"/>
        <w:ind w:firstLine="480" w:firstLineChars="200"/>
        <w:rPr>
          <w:rFonts w:ascii="宋体" w:hAnsi="宋体" w:cs="仿宋_GB2312"/>
          <w:sz w:val="24"/>
          <w:szCs w:val="24"/>
        </w:rPr>
      </w:pPr>
      <w:r>
        <w:rPr>
          <w:rFonts w:ascii="宋体" w:hAnsi="宋体" w:cs="仿宋_GB2312"/>
          <w:sz w:val="24"/>
          <w:szCs w:val="24"/>
        </w:rPr>
        <w:t>3.</w:t>
      </w:r>
      <w:r>
        <w:rPr>
          <w:rFonts w:hint="eastAsia" w:ascii="宋体" w:hAnsi="宋体" w:cs="仿宋_GB2312"/>
          <w:sz w:val="24"/>
          <w:szCs w:val="24"/>
        </w:rPr>
        <w:t>结果报送</w:t>
      </w:r>
    </w:p>
    <w:p>
      <w:pPr>
        <w:spacing w:line="360" w:lineRule="auto"/>
        <w:ind w:firstLine="480" w:firstLineChars="200"/>
        <w:rPr>
          <w:rFonts w:ascii="宋体" w:hAnsi="宋体" w:cs="仿宋_GB2312"/>
          <w:sz w:val="24"/>
          <w:szCs w:val="24"/>
        </w:rPr>
      </w:pPr>
      <w:r>
        <w:rPr>
          <w:rFonts w:hint="eastAsia" w:ascii="宋体" w:hAnsi="宋体" w:cs="仿宋_GB2312"/>
          <w:sz w:val="24"/>
          <w:szCs w:val="24"/>
        </w:rPr>
        <w:t>本次抽查结果，承检机构要严格按照合同约定时间上报。检验报告、监督抽查汇总表、质量分析报告分别以纸质材料和电子文本的形式，也一并上报县食药局抽检办。</w:t>
      </w:r>
    </w:p>
    <w:p>
      <w:pPr>
        <w:spacing w:line="360" w:lineRule="auto"/>
        <w:ind w:firstLine="480" w:firstLineChars="200"/>
        <w:rPr>
          <w:rFonts w:ascii="宋体" w:hAnsi="宋体" w:cs="仿宋_GB2312"/>
          <w:sz w:val="24"/>
          <w:szCs w:val="24"/>
        </w:rPr>
      </w:pPr>
      <w:r>
        <w:rPr>
          <w:rFonts w:ascii="宋体" w:hAnsi="宋体" w:cs="仿宋_GB2312"/>
          <w:sz w:val="24"/>
          <w:szCs w:val="24"/>
        </w:rPr>
        <w:t>4.</w:t>
      </w:r>
      <w:r>
        <w:rPr>
          <w:rFonts w:hint="eastAsia" w:ascii="宋体" w:hAnsi="宋体" w:cs="仿宋_GB2312"/>
          <w:sz w:val="24"/>
          <w:szCs w:val="24"/>
        </w:rPr>
        <w:t>有关工作要求</w:t>
      </w:r>
    </w:p>
    <w:p>
      <w:pPr>
        <w:spacing w:line="360" w:lineRule="auto"/>
        <w:ind w:firstLine="480" w:firstLineChars="200"/>
        <w:rPr>
          <w:rFonts w:ascii="宋体" w:hAnsi="宋体" w:cs="仿宋_GB2312"/>
          <w:sz w:val="24"/>
          <w:szCs w:val="24"/>
        </w:rPr>
      </w:pPr>
      <w:r>
        <w:rPr>
          <w:rFonts w:ascii="宋体" w:hAnsi="宋体" w:cs="仿宋_GB2312"/>
          <w:sz w:val="24"/>
          <w:szCs w:val="24"/>
        </w:rPr>
        <w:t>4.1</w:t>
      </w:r>
      <w:r>
        <w:rPr>
          <w:rFonts w:hint="eastAsia" w:ascii="宋体" w:hAnsi="宋体" w:cs="仿宋_GB2312"/>
          <w:sz w:val="24"/>
          <w:szCs w:val="24"/>
        </w:rPr>
        <w:t>承检机构抽检时要严格工作纪律，依据有关规定抽检，不得由食品经营单位代抽送样，不得将检验结果直接报告给企业，不得出具虚假报告，确保抽检结果的真实性、客观性和准确性。</w:t>
      </w:r>
    </w:p>
    <w:p>
      <w:pPr>
        <w:spacing w:line="360" w:lineRule="auto"/>
        <w:ind w:firstLine="480" w:firstLineChars="200"/>
        <w:rPr>
          <w:rFonts w:ascii="宋体" w:hAnsi="宋体" w:cs="仿宋_GB2312"/>
          <w:sz w:val="24"/>
          <w:szCs w:val="24"/>
        </w:rPr>
      </w:pPr>
      <w:r>
        <w:rPr>
          <w:rFonts w:ascii="宋体" w:hAnsi="宋体" w:cs="仿宋_GB2312"/>
          <w:sz w:val="24"/>
          <w:szCs w:val="24"/>
        </w:rPr>
        <w:t>4.2</w:t>
      </w:r>
      <w:r>
        <w:rPr>
          <w:rFonts w:hint="eastAsia" w:ascii="宋体" w:hAnsi="宋体" w:cs="仿宋_GB2312"/>
          <w:sz w:val="24"/>
          <w:szCs w:val="24"/>
        </w:rPr>
        <w:t>抽检机构要严肃纪律，有关检验结果不得擅自对外公布。</w:t>
      </w:r>
    </w:p>
    <w:p>
      <w:pPr>
        <w:pStyle w:val="34"/>
        <w:numPr>
          <w:ilvl w:val="0"/>
          <w:numId w:val="17"/>
        </w:numPr>
        <w:spacing w:line="360" w:lineRule="auto"/>
        <w:ind w:right="-63" w:rightChars="-30" w:firstLine="480" w:firstLineChars="200"/>
        <w:jc w:val="left"/>
        <w:rPr>
          <w:rFonts w:hint="eastAsia" w:ascii="宋体" w:hAnsi="宋体"/>
          <w:b w:val="0"/>
          <w:bCs w:val="0"/>
          <w:sz w:val="24"/>
          <w:szCs w:val="24"/>
        </w:rPr>
      </w:pPr>
      <w:bookmarkStart w:id="94" w:name="_Toc29875"/>
      <w:bookmarkStart w:id="95" w:name="_Toc27676"/>
      <w:bookmarkStart w:id="96" w:name="_Toc21208"/>
      <w:r>
        <w:rPr>
          <w:rFonts w:hint="eastAsia" w:ascii="宋体" w:hAnsi="宋体"/>
          <w:b w:val="0"/>
          <w:bCs w:val="0"/>
          <w:sz w:val="24"/>
          <w:szCs w:val="24"/>
        </w:rPr>
        <w:t>服务内容</w:t>
      </w:r>
      <w:bookmarkEnd w:id="94"/>
      <w:bookmarkEnd w:id="95"/>
      <w:bookmarkEnd w:id="96"/>
    </w:p>
    <w:p>
      <w:pPr>
        <w:pStyle w:val="34"/>
        <w:numPr>
          <w:ilvl w:val="0"/>
          <w:numId w:val="0"/>
        </w:numPr>
        <w:spacing w:line="360" w:lineRule="auto"/>
        <w:ind w:right="-63" w:rightChars="-30"/>
        <w:jc w:val="left"/>
        <w:rPr>
          <w:rFonts w:hint="eastAsia" w:ascii="宋体" w:hAnsi="宋体"/>
          <w:b w:val="0"/>
          <w:bCs w:val="0"/>
          <w:sz w:val="24"/>
          <w:szCs w:val="24"/>
        </w:rPr>
        <w:sectPr>
          <w:pgSz w:w="11907" w:h="16840"/>
          <w:pgMar w:top="1418" w:right="1531" w:bottom="1418" w:left="1531" w:header="567" w:footer="998" w:gutter="0"/>
          <w:cols w:space="720" w:num="1"/>
          <w:docGrid w:type="linesAndChars" w:linePitch="380" w:charSpace="0"/>
        </w:sectPr>
      </w:pPr>
    </w:p>
    <w:p>
      <w:pPr>
        <w:rPr>
          <w:rFonts w:hint="eastAsia"/>
        </w:rPr>
      </w:pPr>
    </w:p>
    <w:tbl>
      <w:tblPr>
        <w:tblStyle w:val="36"/>
        <w:tblW w:w="15120" w:type="dxa"/>
        <w:tblInd w:w="-252" w:type="dxa"/>
        <w:tblLayout w:type="fixed"/>
        <w:tblCellMar>
          <w:top w:w="0" w:type="dxa"/>
          <w:left w:w="108" w:type="dxa"/>
          <w:bottom w:w="0" w:type="dxa"/>
          <w:right w:w="108" w:type="dxa"/>
        </w:tblCellMar>
      </w:tblPr>
      <w:tblGrid>
        <w:gridCol w:w="540"/>
        <w:gridCol w:w="1558"/>
        <w:gridCol w:w="1687"/>
        <w:gridCol w:w="1687"/>
        <w:gridCol w:w="1728"/>
        <w:gridCol w:w="900"/>
        <w:gridCol w:w="6300"/>
        <w:gridCol w:w="720"/>
      </w:tblGrid>
      <w:tr>
        <w:tblPrEx>
          <w:tblCellMar>
            <w:top w:w="0" w:type="dxa"/>
            <w:left w:w="108" w:type="dxa"/>
            <w:bottom w:w="0" w:type="dxa"/>
            <w:right w:w="108" w:type="dxa"/>
          </w:tblCellMar>
        </w:tblPrEx>
        <w:trPr>
          <w:trHeight w:val="1117" w:hRule="atLeast"/>
        </w:trPr>
        <w:tc>
          <w:tcPr>
            <w:tcW w:w="54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b/>
                <w:bCs/>
                <w:color w:val="000000"/>
                <w:kern w:val="0"/>
                <w:sz w:val="20"/>
                <w:szCs w:val="20"/>
                <w:highlight w:val="none"/>
              </w:rPr>
            </w:pPr>
            <w:r>
              <w:rPr>
                <w:rFonts w:hint="eastAsia" w:ascii="宋体" w:hAnsi="宋体"/>
                <w:b/>
                <w:bCs/>
                <w:color w:val="000000"/>
                <w:kern w:val="0"/>
                <w:sz w:val="20"/>
                <w:szCs w:val="20"/>
                <w:highlight w:val="none"/>
              </w:rPr>
              <w:t>序号</w:t>
            </w:r>
          </w:p>
        </w:tc>
        <w:tc>
          <w:tcPr>
            <w:tcW w:w="1558"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b/>
                <w:bCs/>
                <w:color w:val="000000"/>
                <w:kern w:val="0"/>
                <w:sz w:val="20"/>
                <w:szCs w:val="20"/>
                <w:highlight w:val="none"/>
              </w:rPr>
            </w:pPr>
            <w:r>
              <w:rPr>
                <w:rFonts w:hint="eastAsia" w:ascii="宋体" w:hAnsi="宋体"/>
                <w:b/>
                <w:bCs/>
                <w:color w:val="000000"/>
                <w:kern w:val="0"/>
                <w:sz w:val="20"/>
                <w:szCs w:val="20"/>
                <w:highlight w:val="none"/>
              </w:rPr>
              <w:t>食品大类(一级)</w:t>
            </w:r>
          </w:p>
        </w:tc>
        <w:tc>
          <w:tcPr>
            <w:tcW w:w="1687"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b/>
                <w:bCs/>
                <w:color w:val="000000"/>
                <w:kern w:val="0"/>
                <w:sz w:val="20"/>
                <w:szCs w:val="20"/>
                <w:highlight w:val="none"/>
              </w:rPr>
            </w:pPr>
            <w:r>
              <w:rPr>
                <w:rFonts w:hint="eastAsia" w:ascii="宋体" w:hAnsi="宋体"/>
                <w:b/>
                <w:bCs/>
                <w:color w:val="000000"/>
                <w:kern w:val="0"/>
                <w:sz w:val="20"/>
                <w:szCs w:val="20"/>
                <w:highlight w:val="none"/>
              </w:rPr>
              <w:t>食品亚类(二级)</w:t>
            </w:r>
          </w:p>
        </w:tc>
        <w:tc>
          <w:tcPr>
            <w:tcW w:w="1687"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b/>
                <w:bCs/>
                <w:color w:val="000000"/>
                <w:kern w:val="0"/>
                <w:sz w:val="20"/>
                <w:szCs w:val="20"/>
                <w:highlight w:val="none"/>
              </w:rPr>
            </w:pPr>
            <w:r>
              <w:rPr>
                <w:rFonts w:hint="eastAsia" w:ascii="宋体" w:hAnsi="宋体"/>
                <w:b/>
                <w:bCs/>
                <w:color w:val="000000"/>
                <w:kern w:val="0"/>
                <w:sz w:val="20"/>
                <w:szCs w:val="20"/>
                <w:highlight w:val="none"/>
              </w:rPr>
              <w:t>食品品种(三级)</w:t>
            </w:r>
          </w:p>
        </w:tc>
        <w:tc>
          <w:tcPr>
            <w:tcW w:w="1728"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b/>
                <w:bCs/>
                <w:color w:val="000000"/>
                <w:kern w:val="0"/>
                <w:sz w:val="20"/>
                <w:szCs w:val="20"/>
                <w:highlight w:val="none"/>
              </w:rPr>
            </w:pPr>
            <w:r>
              <w:rPr>
                <w:rFonts w:hint="eastAsia" w:ascii="宋体" w:hAnsi="宋体"/>
                <w:b/>
                <w:bCs/>
                <w:color w:val="000000"/>
                <w:kern w:val="0"/>
                <w:sz w:val="20"/>
                <w:szCs w:val="20"/>
                <w:highlight w:val="none"/>
              </w:rPr>
              <w:t>食品细类(四级)</w:t>
            </w:r>
          </w:p>
        </w:tc>
        <w:tc>
          <w:tcPr>
            <w:tcW w:w="900"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b/>
                <w:bCs/>
                <w:color w:val="000000"/>
                <w:kern w:val="0"/>
                <w:sz w:val="20"/>
                <w:szCs w:val="20"/>
                <w:highlight w:val="none"/>
              </w:rPr>
            </w:pPr>
            <w:r>
              <w:rPr>
                <w:rFonts w:hint="eastAsia" w:ascii="宋体" w:hAnsi="宋体"/>
                <w:b/>
                <w:bCs/>
                <w:color w:val="000000"/>
                <w:kern w:val="0"/>
                <w:sz w:val="20"/>
                <w:szCs w:val="20"/>
                <w:highlight w:val="none"/>
              </w:rPr>
              <w:t>风险等级</w:t>
            </w:r>
          </w:p>
        </w:tc>
        <w:tc>
          <w:tcPr>
            <w:tcW w:w="6300"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b/>
                <w:bCs/>
                <w:color w:val="000000"/>
                <w:kern w:val="0"/>
                <w:sz w:val="20"/>
                <w:szCs w:val="20"/>
                <w:highlight w:val="none"/>
              </w:rPr>
            </w:pPr>
            <w:r>
              <w:rPr>
                <w:rFonts w:hint="eastAsia" w:ascii="宋体" w:hAnsi="宋体"/>
                <w:b/>
                <w:bCs/>
                <w:color w:val="000000"/>
                <w:kern w:val="0"/>
                <w:sz w:val="20"/>
                <w:szCs w:val="20"/>
                <w:highlight w:val="none"/>
              </w:rPr>
              <w:t>抽检项目</w:t>
            </w:r>
          </w:p>
        </w:tc>
        <w:tc>
          <w:tcPr>
            <w:tcW w:w="720"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b/>
                <w:bCs/>
                <w:color w:val="000000"/>
                <w:kern w:val="0"/>
                <w:sz w:val="20"/>
                <w:szCs w:val="20"/>
                <w:highlight w:val="none"/>
              </w:rPr>
            </w:pPr>
            <w:r>
              <w:rPr>
                <w:rFonts w:hint="eastAsia" w:ascii="宋体" w:hAnsi="宋体"/>
                <w:b/>
                <w:bCs/>
                <w:color w:val="000000"/>
                <w:kern w:val="0"/>
                <w:sz w:val="20"/>
                <w:szCs w:val="20"/>
                <w:highlight w:val="none"/>
              </w:rPr>
              <w:t>批次数</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粮食加工品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大米</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大米</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大米</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较高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铅（以Pb计）、镉（以Cd计）、黄曲霉毒素B</w:t>
            </w:r>
            <w:r>
              <w:rPr>
                <w:rFonts w:hint="eastAsia" w:ascii="宋体" w:hAnsi="宋体"/>
                <w:color w:val="000000"/>
                <w:kern w:val="0"/>
                <w:sz w:val="20"/>
                <w:szCs w:val="20"/>
                <w:highlight w:val="none"/>
                <w:vertAlign w:val="subscript"/>
              </w:rPr>
              <w:t>1</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5</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粮食加工品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小麦粉</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小麦粉</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小麦粉</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较高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镉（以Cd计）、苯并[a]芘、玉米赤霉烯酮、脱氧雪腐镰刀菌烯醇、黄曲霉毒素B</w:t>
            </w:r>
            <w:r>
              <w:rPr>
                <w:rFonts w:hint="eastAsia" w:ascii="宋体" w:hAnsi="宋体"/>
                <w:color w:val="000000"/>
                <w:kern w:val="0"/>
                <w:sz w:val="20"/>
                <w:szCs w:val="20"/>
                <w:highlight w:val="none"/>
                <w:vertAlign w:val="subscript"/>
              </w:rPr>
              <w:t>1</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10</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3</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粮食加工品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挂面</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挂面</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挂面</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一般</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铅（以Pb计）、脱氢乙酸及其钠盐（以脱氢乙酸计）</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4</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粮食加工品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其他粮食加工品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谷物加工品</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谷物加工品</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一般</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铅（以Pb计）、镉（以Cd计）、黄曲霉毒素B</w:t>
            </w:r>
            <w:r>
              <w:rPr>
                <w:rFonts w:hint="eastAsia" w:ascii="宋体" w:hAnsi="宋体"/>
                <w:color w:val="000000"/>
                <w:kern w:val="0"/>
                <w:sz w:val="20"/>
                <w:szCs w:val="20"/>
                <w:highlight w:val="none"/>
                <w:vertAlign w:val="subscript"/>
              </w:rPr>
              <w:t>1</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3</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5</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粮食加工品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其他粮食加工品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谷物碾磨加工品</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玉米粉(片、渣)</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较高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黄曲霉毒素B</w:t>
            </w:r>
            <w:r>
              <w:rPr>
                <w:rFonts w:hint="eastAsia" w:ascii="宋体" w:hAnsi="宋体"/>
                <w:color w:val="000000"/>
                <w:kern w:val="0"/>
                <w:sz w:val="20"/>
                <w:szCs w:val="20"/>
                <w:highlight w:val="none"/>
                <w:vertAlign w:val="subscript"/>
              </w:rPr>
              <w:t>1</w:t>
            </w:r>
            <w:r>
              <w:rPr>
                <w:rFonts w:hint="eastAsia" w:ascii="宋体" w:hAnsi="宋体"/>
                <w:color w:val="000000"/>
                <w:kern w:val="0"/>
                <w:sz w:val="20"/>
                <w:szCs w:val="20"/>
                <w:highlight w:val="none"/>
              </w:rPr>
              <w:t>、赭曲霉毒素A、玉米赤霉烯酮</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5</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6</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粮食加工品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其他粮食加工品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谷物碾磨加工品</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其他谷物碾磨加工品</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较高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铅（以Pb计）、铬（以Cr计）、赭曲霉毒素A</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5</w:t>
            </w:r>
          </w:p>
        </w:tc>
      </w:tr>
      <w:tr>
        <w:tblPrEx>
          <w:tblCellMar>
            <w:top w:w="0" w:type="dxa"/>
            <w:left w:w="108" w:type="dxa"/>
            <w:bottom w:w="0" w:type="dxa"/>
            <w:right w:w="108" w:type="dxa"/>
          </w:tblCellMar>
        </w:tblPrEx>
        <w:trPr>
          <w:trHeight w:val="85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7</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粮食加工品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其他粮食加工品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谷物粉类制成品</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生湿面制品</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较高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铅（以Pb计）、苯甲酸及其钠盐（以苯甲酸计）、山梨酸及其钾盐（以山梨酸计）、脱氢乙酸及其钠盐（以脱氢乙酸计）</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10</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8</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粮食加工品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其他粮食加工品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谷物粉类制成品</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发酵面制品</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较高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苯甲酸及其钠盐（以苯甲酸计）、山梨酸及其钾盐（以山梨酸计）、脱氢乙酸及其钠盐（以脱氢乙酸计）、糖精钠（以糖精计）</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10</w:t>
            </w:r>
          </w:p>
        </w:tc>
      </w:tr>
      <w:tr>
        <w:tblPrEx>
          <w:tblCellMar>
            <w:top w:w="0" w:type="dxa"/>
            <w:left w:w="108" w:type="dxa"/>
            <w:bottom w:w="0" w:type="dxa"/>
            <w:right w:w="108" w:type="dxa"/>
          </w:tblCellMar>
        </w:tblPrEx>
        <w:trPr>
          <w:trHeight w:val="1085"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9</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粮食加工品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其他粮食加工品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谷物粉类制成品</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其他谷物粉类制成品</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较高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苯甲酸及其钠盐（以苯甲酸计）、山梨酸及其钾盐（以山梨酸计）、脱氢乙酸及其钠盐（以脱氢乙酸计）</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5</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10</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食用油、油脂及其制品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食用植物油(含煎炸用油)</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食用植物油(半精炼、全精炼)</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花生油</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酸值/酸价、过氧化值、黄曲霉毒素B</w:t>
            </w:r>
            <w:r>
              <w:rPr>
                <w:rFonts w:hint="eastAsia" w:ascii="宋体" w:hAnsi="宋体"/>
                <w:color w:val="000000"/>
                <w:kern w:val="0"/>
                <w:sz w:val="20"/>
                <w:szCs w:val="20"/>
                <w:highlight w:val="none"/>
                <w:vertAlign w:val="subscript"/>
              </w:rPr>
              <w:t>1</w:t>
            </w:r>
            <w:r>
              <w:rPr>
                <w:rFonts w:hint="eastAsia" w:ascii="宋体" w:hAnsi="宋体"/>
                <w:color w:val="000000"/>
                <w:kern w:val="0"/>
                <w:sz w:val="20"/>
                <w:szCs w:val="20"/>
                <w:highlight w:val="none"/>
              </w:rPr>
              <w:t>、铅（以Pb计）、苯并[a]芘、溶剂残留量、特丁基对苯二酚（TBHQ）</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5</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11</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食用油、油脂及其制品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食用植物油(含煎炸用油)</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食用植物油(半精炼、全精炼)</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玉米油</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酸值/酸价、过氧化值、黄曲霉毒素B1、苯并[a]芘、特丁基对苯二酚（TBHQ）</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5</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12</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食用油、油脂及其制品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食用植物油(含煎炸用油)</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食用植物油(半精炼、全精炼)</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芝麻油</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酸值/酸价、过氧化值、苯并[a]芘、溶剂残留量、乙基麦芽酚</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13</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食用油、油脂及其制品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食用植物油(含煎炸用油)</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食用植物油(半精炼、全精炼)</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菜籽油</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酸值/酸价、过氧化值、铅（以Pb计）、苯并[a]芘、溶剂残留量、特丁基对苯二酚（TBHQ）、乙基麦芽酚</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5</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14</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食用油、油脂及其制品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食用植物油(含煎炸用油)</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食用植物油(半精炼、全精炼)</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大豆油</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酸值/酸价、过氧化值、苯并[a]芘、溶剂残留量、特丁基对苯二酚（TBHQ）</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10</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食用油、油脂及其制品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食用植物油(含煎炸用油)</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食用植物油(半精炼、全精炼)</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食用植物调和油</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酸值</w:t>
            </w:r>
            <w:r>
              <w:rPr>
                <w:rFonts w:hint="eastAsia" w:ascii="宋体" w:hAnsi="宋体"/>
                <w:color w:val="FF0000"/>
                <w:kern w:val="0"/>
                <w:sz w:val="20"/>
                <w:szCs w:val="20"/>
                <w:highlight w:val="none"/>
              </w:rPr>
              <w:t>/酸价</w:t>
            </w:r>
            <w:r>
              <w:rPr>
                <w:rFonts w:hint="eastAsia" w:ascii="宋体" w:hAnsi="宋体"/>
                <w:color w:val="000000"/>
                <w:kern w:val="0"/>
                <w:sz w:val="20"/>
                <w:szCs w:val="20"/>
                <w:highlight w:val="none"/>
              </w:rPr>
              <w:t>、过氧化值、苯并[a]芘、溶剂残留量、特丁基对苯二酚（TBHQ）</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10</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16</w:t>
            </w:r>
          </w:p>
        </w:tc>
        <w:tc>
          <w:tcPr>
            <w:tcW w:w="1558"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olor w:val="000000"/>
                <w:kern w:val="0"/>
                <w:sz w:val="20"/>
                <w:szCs w:val="20"/>
                <w:highlight w:val="none"/>
                <w:lang w:eastAsia="zh-CN"/>
              </w:rPr>
            </w:pPr>
            <w:r>
              <w:rPr>
                <w:rFonts w:hint="eastAsia" w:ascii="宋体" w:hAnsi="宋体"/>
                <w:color w:val="000000"/>
                <w:kern w:val="0"/>
                <w:sz w:val="20"/>
                <w:szCs w:val="20"/>
                <w:highlight w:val="none"/>
                <w:lang w:eastAsia="zh-CN"/>
              </w:rPr>
              <w:t>餐饮食品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食用油、油脂及其制品(自制)</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食用油、油脂及其制品(自制)</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煎炸过程用油</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酸价、极性组分</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20</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17</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调味品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酱油</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酱油</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酱油</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一般</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苯甲酸及其钠盐（以苯甲酸计）、山梨酸及其钾盐（以山梨酸计）、脱氢乙酸及其钠盐（以脱氢乙酸计）、防腐剂混合使用时各自用量占其最大使用量的比例之和、菌落总数、大肠菌群</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10</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18</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调味品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食醋</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食醋</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食醋</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一般</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总酸（以乙酸计）、苯甲酸及其钠盐（以苯甲酸计）、山梨酸及其钾盐（以山梨酸计）、脱氢乙酸及其钠盐（以脱氢乙酸计）、对羟基苯甲酸酯类及其钠盐（以对羟基苯甲酸计）、防腐剂混合使用时各自用量占其最大使用量的比例之和</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19</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调味品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酱类</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酿造酱</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黄豆酱、甜面酱等</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一般</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黄曲霉毒素B</w:t>
            </w:r>
            <w:r>
              <w:rPr>
                <w:rFonts w:hint="eastAsia" w:ascii="宋体" w:hAnsi="宋体"/>
                <w:color w:val="000000"/>
                <w:kern w:val="0"/>
                <w:sz w:val="20"/>
                <w:szCs w:val="20"/>
                <w:highlight w:val="none"/>
                <w:vertAlign w:val="subscript"/>
              </w:rPr>
              <w:t>1</w:t>
            </w:r>
            <w:r>
              <w:rPr>
                <w:rFonts w:hint="eastAsia" w:ascii="宋体" w:hAnsi="宋体"/>
                <w:color w:val="000000"/>
                <w:kern w:val="0"/>
                <w:sz w:val="20"/>
                <w:szCs w:val="20"/>
                <w:highlight w:val="none"/>
              </w:rPr>
              <w:t>、苯甲酸及其钠盐（以苯甲酸计）、山梨酸及其钾盐（以山梨酸计）、脱氢乙酸及其钠盐（以脱氢乙酸计）</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20</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调味品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调味料酒</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调味料酒</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料酒</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一般</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苯甲酸及其钠盐（以苯甲酸计）、山梨酸及其钾盐（以山梨酸计）、脱氢乙酸及其钠盐（以脱氢乙酸计）、糖精钠（以糖精计）、甜蜜素（以环己基氨基磺酸计）</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5</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21</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调味品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香辛料类</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香辛料类</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香辛料调味油</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一般</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酸价/酸值、过氧化值、铅（以Pb计）</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5</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22</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调味品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香辛料类</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香辛料类</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辣椒、花椒、辣椒粉、花椒粉</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较高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kern w:val="0"/>
                <w:sz w:val="20"/>
                <w:szCs w:val="20"/>
                <w:highlight w:val="none"/>
              </w:rPr>
            </w:pPr>
            <w:r>
              <w:rPr>
                <w:rFonts w:hint="eastAsia" w:ascii="宋体" w:hAnsi="宋体"/>
                <w:kern w:val="0"/>
                <w:sz w:val="20"/>
                <w:szCs w:val="20"/>
                <w:highlight w:val="none"/>
              </w:rPr>
              <w:t>铅（以Pb计）、苏丹红 I、苏丹红II、苏丹红III、苏丹红IV、脱氢乙酸及其钠盐（以脱氢乙酸计）</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23</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调味品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香辛料类</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香辛料类</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其他香辛料调味品</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较高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铅（以Pb计）、丙溴磷、氯氰菊酯和高效氯氰菊酯、多菌灵</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24</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调味品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调味料</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固体复合调味料</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鸡粉、鸡精调味料</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一般</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谷氨酸钠、呈味核苷酸二钠、糖精钠（以糖精计）、甜蜜素（以环己基氨基磺酸计）</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10</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25</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调味品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调味料</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固体复合调味料</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其他固体调味料</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一般</w:t>
            </w:r>
          </w:p>
        </w:tc>
        <w:tc>
          <w:tcPr>
            <w:tcW w:w="6300" w:type="dxa"/>
            <w:tcBorders>
              <w:top w:val="nil"/>
              <w:left w:val="nil"/>
              <w:bottom w:val="single" w:color="auto" w:sz="4" w:space="0"/>
              <w:right w:val="single" w:color="auto" w:sz="4" w:space="0"/>
            </w:tcBorders>
            <w:noWrap w:val="0"/>
            <w:vAlign w:val="center"/>
          </w:tcPr>
          <w:p>
            <w:pPr>
              <w:widowControl/>
              <w:jc w:val="left"/>
              <w:rPr>
                <w:rFonts w:hint="eastAsia" w:ascii="宋体" w:hAnsi="宋体" w:eastAsia="宋体"/>
                <w:kern w:val="0"/>
                <w:sz w:val="20"/>
                <w:szCs w:val="20"/>
                <w:highlight w:val="none"/>
                <w:lang w:eastAsia="zh-CN"/>
              </w:rPr>
            </w:pPr>
            <w:r>
              <w:rPr>
                <w:rFonts w:hint="eastAsia" w:ascii="宋体" w:hAnsi="宋体"/>
                <w:kern w:val="0"/>
                <w:sz w:val="20"/>
                <w:szCs w:val="20"/>
                <w:highlight w:val="none"/>
              </w:rPr>
              <w:t>苯甲酸及其钠盐（以苯甲酸计）、山梨酸及其钾盐（以山梨酸计）</w:t>
            </w:r>
            <w:r>
              <w:rPr>
                <w:rFonts w:hint="eastAsia" w:ascii="宋体" w:hAnsi="宋体"/>
                <w:kern w:val="0"/>
                <w:sz w:val="20"/>
                <w:szCs w:val="20"/>
                <w:highlight w:val="none"/>
                <w:lang w:eastAsia="zh-CN"/>
              </w:rPr>
              <w:t>、</w:t>
            </w:r>
            <w:r>
              <w:rPr>
                <w:rFonts w:hint="eastAsia" w:ascii="宋体" w:hAnsi="宋体"/>
                <w:color w:val="000000"/>
                <w:kern w:val="0"/>
                <w:sz w:val="20"/>
                <w:szCs w:val="20"/>
                <w:highlight w:val="none"/>
              </w:rPr>
              <w:t>脱氢乙酸及其钠盐（以脱氢乙酸计）</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10</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26</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调味品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调味料</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半固体复合调味料</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蛋黄酱、沙拉酱</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一般</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二氧化钛、金黄色葡萄球菌、沙门氏菌</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5</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27</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调味品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调味料</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半固体复合调味料</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坚果与籽类的泥(酱)</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一般</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酸价/酸值、过氧化值、铅（以Pb计）、黄曲霉毒素B</w:t>
            </w:r>
            <w:r>
              <w:rPr>
                <w:rFonts w:hint="eastAsia" w:ascii="宋体" w:hAnsi="宋体"/>
                <w:color w:val="000000"/>
                <w:kern w:val="0"/>
                <w:sz w:val="20"/>
                <w:szCs w:val="20"/>
                <w:highlight w:val="none"/>
                <w:vertAlign w:val="subscript"/>
              </w:rPr>
              <w:t>1</w:t>
            </w:r>
            <w:r>
              <w:rPr>
                <w:rFonts w:hint="eastAsia" w:ascii="宋体" w:hAnsi="宋体"/>
                <w:color w:val="000000"/>
                <w:kern w:val="0"/>
                <w:sz w:val="20"/>
                <w:szCs w:val="20"/>
                <w:highlight w:val="none"/>
              </w:rPr>
              <w:t>、沙门氏菌</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10</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28</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调味品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调味料</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半固体复合调味料</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辣椒酱</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一般</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苯甲酸及其钠盐（以苯甲酸计）、山梨酸及其钾盐（以山梨酸计）、脱氢乙酸及其钠盐（以脱氢乙酸计）、防腐剂混合使用时各自用量占其最大使用量的比例之和、甜蜜素（以环己基氨基磺酸计）</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29</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调味品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调味料</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半固体复合调味料</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火锅底料、麻辣烫底料</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一般</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铅（以Pb计）、苯甲酸及其钠盐（以苯甲酸计）、山梨酸及其钾盐（以山梨酸计）、脱氢乙酸及其钠盐（以脱氢乙酸计）、防腐剂混合使用时各自用量占其最大使用量的比例之和</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30</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调味品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调味料</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半固体复合调味料</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其他半固体调味料</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一般</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罗丹明B、苯甲酸及其钠盐（以苯甲酸计）、山梨酸及其钾盐（以山梨酸计）、脱氢乙酸及其钠盐（以脱氢乙酸计）、防腐剂混合使用时各自用量占其最大使用量的比例之和</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31</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调味品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调味料</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液体复合调味料</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蚝油、虾油、鱼露</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一般</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苯甲酸及其钠盐（以苯甲酸计）、山梨酸及其钾盐（以山梨酸计）、脱氢乙酸及其钠盐（以脱氢乙酸计）</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5</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32</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调味品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调味料</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液体复合调味料</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其他液体调味料</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一般</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苯甲酸及其钠盐（以苯甲酸计）、山梨酸及其钾盐（以山梨酸计）、脱氢乙酸及其钠盐（以脱氢乙酸计）、防腐剂混合使用时各自用量占其最大使用量的比例之和、糖精钠（以糖精计）</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5</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33</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调味品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味精</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味精</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味精</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一般</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谷氨酸钠、铅（以Pb计）</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5</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34</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调味品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食盐</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食用盐</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普通食用盐</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一般</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氯化钠、碘（以I计）、铅（以Pb计）、总砷（以As计）、总汞（以Hg计）</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10</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35</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调味品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食盐</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食用盐</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低钠食用盐</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一般</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氯化钾、碘（以 I 计）、铅（以 Pb 计）、总砷（以 As 计）、总汞（以 Hg 计）</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10</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36</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肉制品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熟肉制品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酱卤肉制品</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酱卤肉制品</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铅（以Pb计）、亚硝酸盐（以亚硝酸钠计）、苯甲酸及其钠盐（以苯甲酸计）、山梨酸及其钾盐（以山梨酸计）、脱氢乙酸及其钠盐（以脱氢乙酸计）、防腐剂混合使用时各自用量占其最大使用量的比例之和、菌落总数、大肠菌群</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18</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37</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肉制品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熟肉制品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熟肉干制品</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熟肉干制品</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铅（以Pb计）、苯甲酸及其钠盐（以苯甲酸计）、山梨酸及其钾盐（以山梨酸计）、脱氢乙酸及其钠盐（以脱氢乙酸计）、防腐剂混合使用时各自用量占其最大使用量的比例之和、菌落总数、大肠菌群</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16</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38</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肉制品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熟肉制品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熏煮香肠火腿制品</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熏煮香肠火腿制品</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亚硝酸盐（以亚硝酸钠计）、苯甲酸及其钠盐（以苯甲酸计）、山梨酸及其钾盐（以山梨酸计）、脱氢乙酸及其钠盐（以脱氢乙酸计）、防腐剂混合使用时各自用量占其最大使用量的比例之和、菌落总数、大肠菌群</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16</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39</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乳制品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乳制品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液体乳</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巴氏杀菌乳</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蛋白质、酸度、三聚氰胺、菌落总数、大肠菌群</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10</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40</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乳制品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乳制品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液体乳</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灭菌乳</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蛋白质、非脂乳固体、酸度、三聚氰胺、商业无菌</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18</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41</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乳制品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乳制品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液体乳</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发酵乳</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脂肪、蛋白质、酸度、山梨酸及其钾盐（以山梨酸计）、三聚氰胺、大肠菌群</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18</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42</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乳制品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乳制品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液体乳</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调制乳</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高</w:t>
            </w:r>
          </w:p>
        </w:tc>
        <w:tc>
          <w:tcPr>
            <w:tcW w:w="6300" w:type="dxa"/>
            <w:tcBorders>
              <w:top w:val="nil"/>
              <w:left w:val="nil"/>
              <w:bottom w:val="single" w:color="auto" w:sz="4" w:space="0"/>
              <w:right w:val="single" w:color="auto" w:sz="4" w:space="0"/>
            </w:tcBorders>
            <w:noWrap w:val="0"/>
            <w:vAlign w:val="center"/>
          </w:tcPr>
          <w:p>
            <w:pPr>
              <w:widowControl/>
              <w:jc w:val="left"/>
              <w:rPr>
                <w:rFonts w:hint="eastAsia" w:ascii="宋体" w:hAnsi="宋体" w:eastAsia="宋体"/>
                <w:color w:val="000000"/>
                <w:kern w:val="0"/>
                <w:sz w:val="20"/>
                <w:szCs w:val="20"/>
                <w:highlight w:val="none"/>
                <w:lang w:eastAsia="zh-CN"/>
              </w:rPr>
            </w:pPr>
            <w:r>
              <w:rPr>
                <w:rFonts w:hint="eastAsia" w:ascii="宋体" w:hAnsi="宋体"/>
                <w:color w:val="000000"/>
                <w:kern w:val="0"/>
                <w:sz w:val="20"/>
                <w:szCs w:val="20"/>
                <w:highlight w:val="none"/>
              </w:rPr>
              <w:t>蛋白质、三聚氰胺、菌落总数、大肠菌群</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18</w:t>
            </w:r>
          </w:p>
        </w:tc>
      </w:tr>
      <w:tr>
        <w:tblPrEx>
          <w:tblCellMar>
            <w:top w:w="0" w:type="dxa"/>
            <w:left w:w="108" w:type="dxa"/>
            <w:bottom w:w="0" w:type="dxa"/>
            <w:right w:w="108" w:type="dxa"/>
          </w:tblCellMar>
        </w:tblPrEx>
        <w:trPr>
          <w:trHeight w:val="780"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43</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乳制品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乳制品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其他乳制品(炼乳、奶油、干酪、固态成型产品)</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奶片、奶条等</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kern w:val="0"/>
                <w:sz w:val="20"/>
                <w:szCs w:val="20"/>
                <w:highlight w:val="none"/>
              </w:rPr>
            </w:pPr>
            <w:r>
              <w:rPr>
                <w:rFonts w:hint="eastAsia" w:ascii="宋体" w:hAnsi="宋体"/>
                <w:kern w:val="0"/>
                <w:sz w:val="20"/>
                <w:szCs w:val="20"/>
                <w:highlight w:val="none"/>
              </w:rPr>
              <w:t>脱氢乙酸及其钠盐（以脱氢乙酸计）、三聚氰胺、沙门氏菌</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16</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44</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饮料</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饮料</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包装饮用水</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饮用天然矿泉水</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溴酸盐、硝酸盐（以NO</w:t>
            </w:r>
            <w:r>
              <w:rPr>
                <w:rFonts w:hint="eastAsia" w:ascii="宋体" w:hAnsi="宋体"/>
                <w:color w:val="000000"/>
                <w:kern w:val="0"/>
                <w:sz w:val="20"/>
                <w:szCs w:val="20"/>
                <w:highlight w:val="none"/>
                <w:vertAlign w:val="subscript"/>
              </w:rPr>
              <w:t>3</w:t>
            </w:r>
            <w:r>
              <w:rPr>
                <w:rFonts w:hint="eastAsia" w:ascii="宋体" w:hAnsi="宋体"/>
                <w:color w:val="000000"/>
                <w:kern w:val="0"/>
                <w:sz w:val="20"/>
                <w:szCs w:val="20"/>
                <w:highlight w:val="none"/>
              </w:rPr>
              <w:t>-计）、亚硝酸盐（以NO</w:t>
            </w:r>
            <w:r>
              <w:rPr>
                <w:rFonts w:hint="eastAsia" w:ascii="宋体" w:hAnsi="宋体"/>
                <w:color w:val="000000"/>
                <w:kern w:val="0"/>
                <w:sz w:val="20"/>
                <w:szCs w:val="20"/>
                <w:highlight w:val="none"/>
                <w:vertAlign w:val="subscript"/>
              </w:rPr>
              <w:t>2</w:t>
            </w:r>
            <w:r>
              <w:rPr>
                <w:rFonts w:hint="eastAsia" w:ascii="宋体" w:hAnsi="宋体"/>
                <w:color w:val="000000"/>
                <w:kern w:val="0"/>
                <w:sz w:val="20"/>
                <w:szCs w:val="20"/>
                <w:highlight w:val="none"/>
              </w:rPr>
              <w:t>-计）、大肠菌群、铜绿假单胞菌</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10</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45</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饮料</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饮料</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包装饮用水</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饮用纯净水</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耗氧量（以O</w:t>
            </w:r>
            <w:r>
              <w:rPr>
                <w:rFonts w:hint="eastAsia" w:ascii="宋体" w:hAnsi="宋体"/>
                <w:color w:val="000000"/>
                <w:kern w:val="0"/>
                <w:sz w:val="20"/>
                <w:szCs w:val="20"/>
                <w:highlight w:val="none"/>
                <w:vertAlign w:val="subscript"/>
              </w:rPr>
              <w:t>2</w:t>
            </w:r>
            <w:r>
              <w:rPr>
                <w:rFonts w:hint="eastAsia" w:ascii="宋体" w:hAnsi="宋体"/>
                <w:color w:val="000000"/>
                <w:kern w:val="0"/>
                <w:sz w:val="20"/>
                <w:szCs w:val="20"/>
                <w:highlight w:val="none"/>
              </w:rPr>
              <w:t>计）、亚硝酸盐（以NO</w:t>
            </w:r>
            <w:r>
              <w:rPr>
                <w:rFonts w:hint="eastAsia" w:ascii="宋体" w:hAnsi="宋体"/>
                <w:color w:val="000000"/>
                <w:kern w:val="0"/>
                <w:sz w:val="20"/>
                <w:szCs w:val="20"/>
                <w:highlight w:val="none"/>
                <w:vertAlign w:val="subscript"/>
              </w:rPr>
              <w:t>2</w:t>
            </w:r>
            <w:r>
              <w:rPr>
                <w:rFonts w:hint="eastAsia" w:ascii="宋体" w:hAnsi="宋体"/>
                <w:color w:val="000000"/>
                <w:kern w:val="0"/>
                <w:sz w:val="20"/>
                <w:szCs w:val="20"/>
                <w:highlight w:val="none"/>
              </w:rPr>
              <w:t>-计）、余氯（游离氯）、大肠菌群、铜绿假单胞菌</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46</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饮料</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饮料</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包装饮用水</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其他类饮用水</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耗氧量（以O</w:t>
            </w:r>
            <w:r>
              <w:rPr>
                <w:rFonts w:hint="eastAsia" w:ascii="宋体" w:hAnsi="宋体"/>
                <w:color w:val="000000"/>
                <w:kern w:val="0"/>
                <w:sz w:val="20"/>
                <w:szCs w:val="20"/>
                <w:highlight w:val="none"/>
                <w:vertAlign w:val="subscript"/>
              </w:rPr>
              <w:t>2</w:t>
            </w:r>
            <w:r>
              <w:rPr>
                <w:rFonts w:hint="eastAsia" w:ascii="宋体" w:hAnsi="宋体"/>
                <w:color w:val="000000"/>
                <w:kern w:val="0"/>
                <w:sz w:val="20"/>
                <w:szCs w:val="20"/>
                <w:highlight w:val="none"/>
              </w:rPr>
              <w:t>计）、亚硝酸盐（以NO</w:t>
            </w:r>
            <w:r>
              <w:rPr>
                <w:rFonts w:hint="eastAsia" w:ascii="宋体" w:hAnsi="宋体"/>
                <w:color w:val="000000"/>
                <w:kern w:val="0"/>
                <w:sz w:val="20"/>
                <w:szCs w:val="20"/>
                <w:highlight w:val="none"/>
                <w:vertAlign w:val="subscript"/>
              </w:rPr>
              <w:t>2</w:t>
            </w:r>
            <w:r>
              <w:rPr>
                <w:rFonts w:hint="eastAsia" w:ascii="宋体" w:hAnsi="宋体"/>
                <w:color w:val="000000"/>
                <w:kern w:val="0"/>
                <w:sz w:val="20"/>
                <w:szCs w:val="20"/>
                <w:highlight w:val="none"/>
              </w:rPr>
              <w:t>-计）、余氯（游离氯）、溴酸盐、大肠菌群、铜绿假单胞菌</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47</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饮料</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饮料</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果蔬汁类及其饮料</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果蔬汁类及其饮料</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较高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山梨酸及其钾盐（以山梨酸计）、防腐剂混合使用时各自用量占其最大使用量的比例之和、安赛蜜、甜蜜素（以环己基氨基磺酸计）、合成着色剂（苋菜红、胭脂红、柠檬黄、日落黄、亮蓝）、菌落总数、大肠菌群</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20</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48</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饮料</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饮料</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蛋白饮料</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蛋白饮料</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较高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蛋白质、脱氢乙酸及其钠盐（以脱氢乙酸计）、菌落总数、大肠菌群</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49</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饮料</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饮料</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碳酸饮料(汽水)</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碳酸饮料(汽水)</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一般</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二氧化碳气容量、苯甲酸及其钠盐（以苯甲酸计）、山梨酸及其钾盐（以山梨酸计）、防腐剂混合使用时各自用量占其最大使用量的比例之和、菌落总数</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20</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50</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饮料</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饮料</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茶饮料</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茶饮料</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较高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茶多酚、咖啡因、甜蜜素（以环己基氨基磺酸计）、菌落总数</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51</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饮料</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饮料</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固体饮料</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固体饮料</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一般</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蛋白质、苯甲酸及其钠盐（以苯甲酸计）、山梨酸及其钾盐（以山梨酸计）、防腐剂混合使用时各自用量占其最大使用量的比例之和、糖精钠（以糖精计）、合成着色剂（苋菜红、胭脂红、柠檬黄、日落黄、亮蓝）、菌落总数、大肠菌群</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20</w:t>
            </w:r>
          </w:p>
        </w:tc>
      </w:tr>
      <w:tr>
        <w:tblPrEx>
          <w:tblCellMar>
            <w:top w:w="0" w:type="dxa"/>
            <w:left w:w="108" w:type="dxa"/>
            <w:bottom w:w="0" w:type="dxa"/>
            <w:right w:w="108" w:type="dxa"/>
          </w:tblCellMar>
        </w:tblPrEx>
        <w:trPr>
          <w:trHeight w:val="720"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52</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方便食品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方便食品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方便面</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油炸面、非油炸面、方便米粉(米线)、方便粉丝</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较高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水分、酸价（以脂肪计）、过氧化值（以脂肪计）、菌落总数、大肠菌群</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30</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53</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方便食品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方便食品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调味面制品</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调味面制品</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较高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酸价（以脂肪计）、过氧化值（以脂肪计）、苯甲酸及其钠盐（以苯甲酸计）、山梨酸及其钾盐（以山梨酸计）、脱氢乙酸及其钠盐（以脱氢乙酸计）、糖精钠（以糖精计）、菌落总数、大肠菌群</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25</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54</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饼干</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饼干</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饼干</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饼干</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一般</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酸价（以脂肪计）、过氧化值（以脂肪计）、山梨酸及其钾盐（以山梨酸计）、脱氢乙酸及其钠盐（以脱氢乙酸计）、菌落总数、大肠菌群</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30</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55</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罐头</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罐头</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畜禽水产罐头</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畜禽肉类罐头</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一般</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镉（以Cd计）、苯甲酸及其钠盐（以苯甲酸计）、山梨酸及其钾盐（以山梨酸计）、糖精钠（以糖精计）、商业无菌</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56</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罐头</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罐头</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畜禽水产罐头</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水产动物类罐头</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一般</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无机砷（以As计）、脱氢乙酸及其钠盐（以脱氢乙酸计）、苯甲酸及其钠盐（以苯甲酸计）、山梨酸及其钾盐（以山梨酸计）、糖精钠（以糖精计）、商业无菌</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57</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罐头</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罐头</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果蔬罐头</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水果类罐头</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较高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合成着色剂（柠檬黄、日落黄、苋菜红、胭脂红、赤藓红、诱惑红、亮蓝）、脱氢乙酸及其钠盐（以脱氢乙酸计）、苯甲酸及其钠盐（以苯甲酸计）、山梨酸及其钾盐（以山梨酸计）、糖精钠（以糖精计）、甜蜜素（以环己基氨基磺酸计）、商业无菌</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20</w:t>
            </w:r>
          </w:p>
        </w:tc>
      </w:tr>
      <w:tr>
        <w:tblPrEx>
          <w:tblCellMar>
            <w:top w:w="0" w:type="dxa"/>
            <w:left w:w="108" w:type="dxa"/>
            <w:bottom w:w="0" w:type="dxa"/>
            <w:right w:w="108" w:type="dxa"/>
          </w:tblCellMar>
        </w:tblPrEx>
        <w:trPr>
          <w:trHeight w:val="720"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58</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冷冻饮品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冷冻饮品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冷冻饮品</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冰淇淋、雪糕、雪泥、冰棍、食用冰、甜味冰、其他类</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较高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蛋白质、甜蜜素（以环己基氨基磺酸计）、糖精钠（以糖精计）</w:t>
            </w:r>
            <w:r>
              <w:rPr>
                <w:rFonts w:hint="eastAsia" w:ascii="宋体" w:hAnsi="宋体"/>
                <w:color w:val="000000"/>
                <w:kern w:val="0"/>
                <w:sz w:val="20"/>
                <w:szCs w:val="20"/>
                <w:highlight w:val="none"/>
                <w:lang w:eastAsia="zh-CN"/>
              </w:rPr>
              <w:t>、</w:t>
            </w:r>
            <w:r>
              <w:rPr>
                <w:rFonts w:hint="eastAsia" w:ascii="宋体" w:hAnsi="宋体"/>
                <w:color w:val="000000"/>
                <w:kern w:val="0"/>
                <w:sz w:val="20"/>
                <w:szCs w:val="20"/>
                <w:highlight w:val="none"/>
              </w:rPr>
              <w:t>菌落总数、大肠菌群、沙门氏菌、单核细胞增生李斯特氏菌</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25</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59</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速冻食品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速冻面米食品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速冻面米食品</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速冻面米生制品</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较高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过氧化值（以脂肪计）、铅（以Pb计）</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60</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速冻食品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速冻面米食品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速冻面米食品</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速冻面米熟制品</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较高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过氧化值（以脂肪计）、糖精钠（以糖精计）</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61</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速冻食品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速冻调制食品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速冻调理肉制品</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速冻调理肉制品</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一般</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过氧化值（以脂肪计）、氯霉素、胭脂红</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62</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速冻食品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速冻调制食品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速冻调制水产制品</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速冻调制水产制品</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一般</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苯甲酸及其钠盐（以苯甲酸计）、山梨酸及其钾盐（以山梨酸计）</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10</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63</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薯类和膨化食品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薯类和膨化食品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膨化食品</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含油型膨化食品和非含油型膨化食品</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较高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酸价（以脂肪计）、过氧化值（以脂肪计）、糖精钠（以糖精计）、 苯甲酸及其钠盐（以苯甲酸计）、山梨酸及其钾盐（以山梨酸计）、菌落总数、大肠菌群</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30</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64</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糖果制品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糖果制品(含巧克力及制品)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糖果</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糖果</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一般</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铅（以Pb计）、糖精钠（以糖精计）、合成着色剂（柠檬黄、苋菜红、胭脂红、日落黄）、相同色泽着色剂混合使用时各自用量占其最大使用量的比例之和、菌落总数、大肠菌群</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720"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65</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糖果制品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糖果制品(含巧克力及制品)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巧克力及巧克力制品</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巧克力、巧克力制品、代可可脂巧克力及代可可脂巧克力制品</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一般</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铅（以Pb计）、沙门氏菌</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66</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糖果制品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糖果制品(含巧克力及制品)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果冻</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果冻</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一般</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山梨酸及其钾盐（以山梨酸计）、苯甲酸及其钠盐（以苯甲酸计）、糖精钠（以糖精计）、甜蜜素（以环己基氨基磺酸计）、菌落总数、大肠菌群</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20</w:t>
            </w:r>
          </w:p>
        </w:tc>
      </w:tr>
      <w:tr>
        <w:tblPrEx>
          <w:tblCellMar>
            <w:top w:w="0" w:type="dxa"/>
            <w:left w:w="108" w:type="dxa"/>
            <w:bottom w:w="0" w:type="dxa"/>
            <w:right w:w="108" w:type="dxa"/>
          </w:tblCellMar>
        </w:tblPrEx>
        <w:trPr>
          <w:trHeight w:val="960"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67</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茶叶及相关制品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茶叶</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茶叶</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绿茶、红茶、乌龙茶、黄茶、白茶、黑茶、花茶、袋泡茶、紧压茶</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一般</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铅（以Pb计）、克百威、水胺硫磷、氧乐果、毒死蜱、甲拌磷</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68</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酒类</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蒸馏酒</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白酒</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白酒、白酒(液态)、白酒(原酒)</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酒精度、甲醇、氰化物（以HCN计）、糖精钠（以糖精计）、三氯蔗糖</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30</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69</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酒类</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发酵酒</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黄酒</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黄酒</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较高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酒精度、氨基酸态氮、苯甲酸及其钠盐（以苯甲酸计）、山梨酸及其钾盐（以山梨酸计）、糖精钠（以糖精计）、甜蜜素（以环己基氨基磺酸计）</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10</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70</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酒类</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发酵酒</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啤酒</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啤酒</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一般</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酒精度、甲醛</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71</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酒类</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发酵酒</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葡萄酒</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葡萄酒</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较高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酒精度、甲醇、苯甲酸及其钠盐（以苯甲酸计）、山梨酸及其钾盐（以山梨酸计）、二氧化硫残留量</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72</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酒类</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发酵酒</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果酒</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果酒</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较高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酒精度、</w:t>
            </w:r>
            <w:r>
              <w:rPr>
                <w:rFonts w:hint="eastAsia" w:ascii="宋体" w:hAnsi="宋体"/>
                <w:color w:val="000000"/>
                <w:kern w:val="0"/>
                <w:sz w:val="20"/>
                <w:szCs w:val="20"/>
                <w:highlight w:val="none"/>
                <w:lang w:eastAsia="zh-CN"/>
              </w:rPr>
              <w:t>二氧化硫残留量</w:t>
            </w:r>
            <w:r>
              <w:rPr>
                <w:rFonts w:hint="eastAsia" w:ascii="宋体" w:hAnsi="宋体"/>
                <w:color w:val="000000"/>
                <w:kern w:val="0"/>
                <w:sz w:val="20"/>
                <w:szCs w:val="20"/>
                <w:highlight w:val="none"/>
              </w:rPr>
              <w:t>、糖精钠（以糖精计）</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10</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73</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酒类</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其他酒</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配制酒</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以蒸馏酒及食用酒精为酒基的配制酒</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较高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酒精度、甲醇、氰化物（以HCN计）、甜蜜素（以环己基氨基磺酸计）</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74</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酒类</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其他酒</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配制酒</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以发酵酒为酒基的配制酒</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较高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酒精度、苯甲酸及其钠盐（以苯甲酸计）、山梨酸及其钾盐（以山梨酸计）、甜蜜素（以环己基氨基磺酸计）</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900"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75</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蔬菜制品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蔬菜制品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酱腌菜</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酱腌菜</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较高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铅（以Pb计）、亚硝酸盐（以NaNO</w:t>
            </w:r>
            <w:r>
              <w:rPr>
                <w:rFonts w:hint="eastAsia" w:ascii="宋体" w:hAnsi="宋体"/>
                <w:color w:val="000000"/>
                <w:kern w:val="0"/>
                <w:sz w:val="20"/>
                <w:szCs w:val="20"/>
                <w:highlight w:val="none"/>
                <w:vertAlign w:val="subscript"/>
              </w:rPr>
              <w:t>2</w:t>
            </w:r>
            <w:r>
              <w:rPr>
                <w:rFonts w:hint="eastAsia" w:ascii="宋体" w:hAnsi="宋体"/>
                <w:color w:val="000000"/>
                <w:kern w:val="0"/>
                <w:sz w:val="20"/>
                <w:szCs w:val="20"/>
                <w:highlight w:val="none"/>
              </w:rPr>
              <w:t>计）、苯甲酸及其钠盐（以苯甲酸计）、山梨酸及其钾盐（以山梨酸计）、脱氢乙酸及其钠盐（以脱氢乙酸计）、防腐剂混合使用时各自用量占其最大使用量的比例之和</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20</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76</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蔬菜制品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蔬菜制品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食用菌制品</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干制食用菌</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一般</w:t>
            </w:r>
          </w:p>
        </w:tc>
        <w:tc>
          <w:tcPr>
            <w:tcW w:w="6300" w:type="dxa"/>
            <w:tcBorders>
              <w:top w:val="nil"/>
              <w:left w:val="nil"/>
              <w:bottom w:val="single" w:color="auto" w:sz="4" w:space="0"/>
              <w:right w:val="single" w:color="auto" w:sz="4" w:space="0"/>
            </w:tcBorders>
            <w:noWrap w:val="0"/>
            <w:vAlign w:val="center"/>
          </w:tcPr>
          <w:p>
            <w:pPr>
              <w:widowControl/>
              <w:jc w:val="left"/>
              <w:rPr>
                <w:rFonts w:hint="eastAsia" w:ascii="宋体" w:hAnsi="宋体" w:eastAsia="宋体"/>
                <w:color w:val="000000"/>
                <w:kern w:val="0"/>
                <w:sz w:val="20"/>
                <w:szCs w:val="20"/>
                <w:highlight w:val="none"/>
                <w:lang w:eastAsia="zh-CN"/>
              </w:rPr>
            </w:pPr>
            <w:r>
              <w:rPr>
                <w:rFonts w:hint="eastAsia" w:ascii="宋体" w:hAnsi="宋体"/>
                <w:color w:val="000000"/>
                <w:kern w:val="0"/>
                <w:sz w:val="20"/>
                <w:szCs w:val="20"/>
                <w:highlight w:val="none"/>
              </w:rPr>
              <w:t>铅（以Pb计）、总砷（以As计）、镉（以Cd计）、总汞（以Hg计）</w:t>
            </w:r>
            <w:r>
              <w:rPr>
                <w:rFonts w:hint="eastAsia" w:ascii="宋体" w:hAnsi="宋体"/>
                <w:color w:val="000000"/>
                <w:kern w:val="0"/>
                <w:sz w:val="20"/>
                <w:szCs w:val="20"/>
                <w:highlight w:val="none"/>
                <w:lang w:eastAsia="zh-CN"/>
              </w:rPr>
              <w:t>、甲基汞</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1080"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77</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水果制品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水果制品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蜜饯</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蜜饯类、凉果类、果脯类、话化类、果糕类</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较高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苯甲酸及其钠盐（以苯甲酸计）、山梨酸及其钾盐（以山梨酸计）、脱氢乙酸及其钠盐（以脱氢乙酸计）、防腐剂混合使用时各自用量占其最大使用量的比例之和、糖精钠（以糖精计）、甜蜜素（以环己基氨基磺酸计）、菌落总数</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20</w:t>
            </w:r>
          </w:p>
        </w:tc>
      </w:tr>
      <w:tr>
        <w:tblPrEx>
          <w:tblCellMar>
            <w:top w:w="0" w:type="dxa"/>
            <w:left w:w="108" w:type="dxa"/>
            <w:bottom w:w="0" w:type="dxa"/>
            <w:right w:w="108" w:type="dxa"/>
          </w:tblCellMar>
        </w:tblPrEx>
        <w:trPr>
          <w:trHeight w:val="76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78</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炒货食品及坚果制品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炒货食品及坚果制品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炒货食品及坚果制品(烘炒类、油炸类、其他类)</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开心果、杏仁、扁桃仁、松仁、瓜子</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一般</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酸价（以脂肪计）、过氧化值（以脂肪计）、苯甲酸及其钠盐（以苯甲酸计）、山梨酸及其钾盐（以山梨酸计）、大肠菌群、霉菌</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30</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79</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蛋制品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蛋制品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再制蛋</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再制蛋</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较高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铅（以Pb计）、苯甲酸及其钠盐（以苯甲酸计）、山梨酸及其钾盐（以山梨酸计）、菌落总数、大肠菌群</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20</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80</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食糖</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食糖</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食糖</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白砂糖</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一般</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蔗糖分、还原糖分、色值、二氧化硫残留量、螨</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81</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食糖</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食糖</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食糖</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绵白糖</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一般</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总糖分、还原糖分、色值、干燥失重、二氧化硫残留量、螨</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82</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食糖</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食糖</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食糖</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赤砂糖</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一般</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总糖分、不溶于水杂质、干燥失重、二氧化硫残留量、螨</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10</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83</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食糖</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食糖</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食糖</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红糖</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一般</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总糖分、不溶于水杂质、干燥失重、螨</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84</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水产制品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水产制品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干制水产品</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藻类干制品</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较高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铅（以Pb计）、菌落总数、大肠菌群</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10</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85</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水产制品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水产制品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鱼糜制品</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预制鱼糜制品</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较高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苯甲酸及其钠盐（以苯甲酸计）、山梨酸及其钾盐（以山梨酸计）</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86</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水产制品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水产制品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熟制动物性水产制品</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熟制动物性水产制品</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镉（以Cd计）、苯甲酸及其钠盐（以苯甲酸计）、山梨酸及其钾盐（以山梨酸计）、糖精钠（以糖精计）、脱氢乙酸及其钠盐（以脱氢乙酸计）、沙门氏菌</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87</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水产制品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水产制品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其他水产制品</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其他水产制品</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一般</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铅（以Pb计）、苯甲酸及其钠盐（以苯甲酸计）、山梨酸及其钾盐（以山梨酸计）、脱氢乙酸及其钠盐（以脱氢乙酸计）</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10</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88</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淀粉及淀粉制品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淀粉及淀粉制品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淀粉制品</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粉丝粉条</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较高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铅（以Pb计）、苯甲酸及其钠盐（以苯甲酸计）、山梨酸及其钾盐（以山梨酸计）、铝的残留量（干样品，以Al计）、二氧化硫残留量</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35</w:t>
            </w:r>
          </w:p>
        </w:tc>
      </w:tr>
      <w:tr>
        <w:tblPrEx>
          <w:tblCellMar>
            <w:top w:w="0" w:type="dxa"/>
            <w:left w:w="108" w:type="dxa"/>
            <w:bottom w:w="0" w:type="dxa"/>
            <w:right w:w="108" w:type="dxa"/>
          </w:tblCellMar>
        </w:tblPrEx>
        <w:trPr>
          <w:trHeight w:val="1039"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89</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糕点</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糕点</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糕点</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糕点</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较高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酸价（以脂肪计）、过氧化值（以脂肪计）、苯甲酸及其钠盐（以苯甲酸计）、山梨酸及其钾盐（以山梨酸计）、铝的残留量（干样品，以Al计）、脱氢乙酸及其钠盐（以脱氢乙酸计）、防腐剂混合使用时各自用量占其最大使用量的比例之和、菌落总数、大肠菌群</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30</w:t>
            </w:r>
          </w:p>
        </w:tc>
      </w:tr>
      <w:tr>
        <w:tblPrEx>
          <w:tblCellMar>
            <w:top w:w="0" w:type="dxa"/>
            <w:left w:w="108" w:type="dxa"/>
            <w:bottom w:w="0" w:type="dxa"/>
            <w:right w:w="108" w:type="dxa"/>
          </w:tblCellMar>
        </w:tblPrEx>
        <w:trPr>
          <w:trHeight w:val="88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90</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糕点</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糕点</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月饼</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月饼</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较高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酸价（以脂肪计）、过氧化值（以脂肪计）、糖精钠（以糖精计）、苯甲酸及其钠盐（以苯甲酸计）、山梨酸及其钾盐（以山梨酸计）、脱氢乙酸及其钠盐（以脱氢乙酸计）、防腐剂混合使用时各自用量占其最大使用量的比例之和</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20</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91</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糕点</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粽子</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粽子</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粽子</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较高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山梨酸及其钾盐（以山梨酸计）、糖精钠（以糖精计）、安赛蜜</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20</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92</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豆制品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豆制品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发酵性豆制品</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腐乳、豆豉、纳豆等</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较高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黄曲霉毒素B</w:t>
            </w:r>
            <w:r>
              <w:rPr>
                <w:rFonts w:hint="eastAsia" w:ascii="宋体" w:hAnsi="宋体"/>
                <w:color w:val="000000"/>
                <w:kern w:val="0"/>
                <w:sz w:val="20"/>
                <w:szCs w:val="20"/>
                <w:highlight w:val="none"/>
                <w:vertAlign w:val="subscript"/>
              </w:rPr>
              <w:t>1</w:t>
            </w:r>
            <w:r>
              <w:rPr>
                <w:rFonts w:hint="eastAsia" w:ascii="宋体" w:hAnsi="宋体"/>
                <w:color w:val="000000"/>
                <w:kern w:val="0"/>
                <w:sz w:val="20"/>
                <w:szCs w:val="20"/>
                <w:highlight w:val="none"/>
              </w:rPr>
              <w:t>、山梨酸及其钾盐（以山梨酸计）、脱氢乙酸及其钠盐（以脱氢乙酸计）、糖精钠（以糖精计）、铝的残留量（干样品，以Al计）</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88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93</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豆制品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豆制品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非发酵性豆制品</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豆干、豆腐、豆皮等</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较高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铅（以Pb计）、苯甲酸及其钠盐（以苯甲酸计）、山梨酸及其钾盐（以山梨酸计）、脱氢乙酸及其钠盐（以脱氢乙酸计）、防腐剂混合使用时各自用量占其最大使用量的比例之和、铝的残留量（干样品，以Al计）</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20</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94</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豆制品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豆制品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非发酵性豆制品</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腐竹、油皮及其再制品</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较高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蛋白质、铅（以Pb计）、苯甲酸及其钠盐（以苯甲酸计）、山梨酸及其钾盐（以山梨酸计）、脱氢乙酸及其钠盐（以脱氢乙酸计）、铝的残留量（干样品，以Al计）</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95</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豆制品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豆制品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其他豆制品</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大豆蛋白类制品等</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较高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苯甲酸及其钠盐（以苯甲酸计）、山梨酸及其钾盐（以山梨酸计）、脱氢乙酸及其钠盐（以脱氢乙酸计）、糖精钠（以糖精计）、铝的残留量（干样品，以Al计）</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96</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蜂产品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蜂产品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蜂蜜</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蜂蜜</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果糖和葡萄糖、蔗糖、氯霉素、呋喃妥因代谢物、呋喃西林代谢物、呋喃唑酮代谢物、山梨酸及其钾盐（以山梨酸计）、菌落总数</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1560"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97</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保健食品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保健食品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保健食品</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保健食品</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较高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铅（Pb）、总砷（As）、总汞（Hg）、菌落总数、大肠菌群</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5</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98</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餐饮食品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米面及其制品(自制)</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小麦粉制品(自制)</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发酵面制品(自制)</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较高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苯甲酸及其钠盐（以苯甲酸计）、山梨酸及其钾盐（以山梨酸计）、糖精钠（以糖精计）</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30</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99</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餐饮食品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米面及其制品(自制)</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小麦粉制品(自制)</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油炸面制品(自制)</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较高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铝的残留量（干样品，以Al计）</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20</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100</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餐饮食品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肉制品(自制)</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熟肉制品(自制)</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肉冻、皮冻(自制)</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铬（以Cr计）</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10</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101</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餐饮食品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复合调味料(自制)</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半固态调味料(自制)</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火锅调味料(底料、蘸料)(自制)</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较高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罂粟碱、吗啡、可待因、那可丁</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102</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餐饮食品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坚果及籽类食品(自制)</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坚果及籽类食品(自制)</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花生及其制品(自制)</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较高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黄曲霉毒素B</w:t>
            </w:r>
            <w:r>
              <w:rPr>
                <w:rFonts w:hint="eastAsia" w:ascii="宋体" w:hAnsi="宋体"/>
                <w:color w:val="000000"/>
                <w:kern w:val="0"/>
                <w:sz w:val="20"/>
                <w:szCs w:val="20"/>
                <w:highlight w:val="none"/>
                <w:vertAlign w:val="subscript"/>
              </w:rPr>
              <w:t>1</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10</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103</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餐饮食品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餐饮具</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复用餐饮具</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复用餐饮具(餐馆自行消毒)</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较高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阴离子合成洗涤剂（以十二烷基苯磺酸钠计）、大肠菌群</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30</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104</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餐饮食品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餐饮具</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复用餐饮具</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复用餐饮具(集中清洗消毒服务单位消毒)</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较高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阴离子合成洗涤剂（以十二烷基苯磺酸钠计）、大肠菌群</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20</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105</w:t>
            </w:r>
          </w:p>
        </w:tc>
        <w:tc>
          <w:tcPr>
            <w:tcW w:w="155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餐饮食品</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焙烤食品(自制)</w:t>
            </w:r>
          </w:p>
        </w:tc>
        <w:tc>
          <w:tcPr>
            <w:tcW w:w="1687"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焙烤食品(自制)</w:t>
            </w:r>
          </w:p>
        </w:tc>
        <w:tc>
          <w:tcPr>
            <w:tcW w:w="1728"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糕点(自制)</w:t>
            </w:r>
          </w:p>
        </w:tc>
        <w:tc>
          <w:tcPr>
            <w:tcW w:w="9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较高</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酸价（以脂肪计）（KOH）、过氧化值（以脂肪计）、山梨酸及其钾盐（以山梨酸计）、脱氢乙酸及其钠盐（以脱氢乙酸计）</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30</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106</w:t>
            </w:r>
          </w:p>
        </w:tc>
        <w:tc>
          <w:tcPr>
            <w:tcW w:w="1558" w:type="dxa"/>
            <w:tcBorders>
              <w:top w:val="nil"/>
              <w:left w:val="nil"/>
              <w:bottom w:val="nil"/>
              <w:right w:val="nil"/>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餐饮食品</w:t>
            </w:r>
          </w:p>
        </w:tc>
        <w:tc>
          <w:tcPr>
            <w:tcW w:w="1687" w:type="dxa"/>
            <w:tcBorders>
              <w:top w:val="nil"/>
              <w:left w:val="single" w:color="auto" w:sz="4" w:space="0"/>
              <w:bottom w:val="nil"/>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其他餐饮食品</w:t>
            </w:r>
          </w:p>
        </w:tc>
        <w:tc>
          <w:tcPr>
            <w:tcW w:w="1687" w:type="dxa"/>
            <w:tcBorders>
              <w:top w:val="nil"/>
              <w:left w:val="nil"/>
              <w:bottom w:val="nil"/>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饮料(餐饮)</w:t>
            </w:r>
          </w:p>
        </w:tc>
        <w:tc>
          <w:tcPr>
            <w:tcW w:w="1728" w:type="dxa"/>
            <w:tcBorders>
              <w:top w:val="nil"/>
              <w:left w:val="nil"/>
              <w:bottom w:val="nil"/>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现制饮料(餐饮)</w:t>
            </w:r>
          </w:p>
        </w:tc>
        <w:tc>
          <w:tcPr>
            <w:tcW w:w="900" w:type="dxa"/>
            <w:tcBorders>
              <w:top w:val="nil"/>
              <w:left w:val="nil"/>
              <w:bottom w:val="nil"/>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较高</w:t>
            </w:r>
          </w:p>
        </w:tc>
        <w:tc>
          <w:tcPr>
            <w:tcW w:w="6300" w:type="dxa"/>
            <w:tcBorders>
              <w:top w:val="nil"/>
              <w:left w:val="nil"/>
              <w:bottom w:val="nil"/>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苯甲酸及其钠盐（以苯甲酸计）、山梨酸及其钾盐（以山梨酸计）、脱氢乙酸及其钠盐（以脱氢乙酸计）、糖精钠（以糖精计）、甜蜜素（以环己基氨基磺酸计）</w:t>
            </w:r>
          </w:p>
        </w:tc>
        <w:tc>
          <w:tcPr>
            <w:tcW w:w="720" w:type="dxa"/>
            <w:tcBorders>
              <w:top w:val="nil"/>
              <w:left w:val="nil"/>
              <w:bottom w:val="nil"/>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20</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107</w:t>
            </w:r>
          </w:p>
        </w:tc>
        <w:tc>
          <w:tcPr>
            <w:tcW w:w="1558" w:type="dxa"/>
            <w:tcBorders>
              <w:top w:val="single" w:color="auto" w:sz="4" w:space="0"/>
              <w:left w:val="nil"/>
              <w:bottom w:val="nil"/>
              <w:right w:val="nil"/>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餐饮食品</w:t>
            </w:r>
          </w:p>
        </w:tc>
        <w:tc>
          <w:tcPr>
            <w:tcW w:w="1687" w:type="dxa"/>
            <w:tcBorders>
              <w:top w:val="single" w:color="auto" w:sz="4" w:space="0"/>
              <w:left w:val="single" w:color="auto" w:sz="4" w:space="0"/>
              <w:bottom w:val="nil"/>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其他餐饮食品</w:t>
            </w:r>
          </w:p>
        </w:tc>
        <w:tc>
          <w:tcPr>
            <w:tcW w:w="1687" w:type="dxa"/>
            <w:tcBorders>
              <w:top w:val="single" w:color="auto" w:sz="4" w:space="0"/>
              <w:left w:val="nil"/>
              <w:bottom w:val="nil"/>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汤汁类(餐饮)</w:t>
            </w:r>
          </w:p>
        </w:tc>
        <w:tc>
          <w:tcPr>
            <w:tcW w:w="1728" w:type="dxa"/>
            <w:tcBorders>
              <w:top w:val="single" w:color="auto" w:sz="4" w:space="0"/>
              <w:left w:val="nil"/>
              <w:bottom w:val="nil"/>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汤汁类(餐饮)</w:t>
            </w:r>
          </w:p>
        </w:tc>
        <w:tc>
          <w:tcPr>
            <w:tcW w:w="900" w:type="dxa"/>
            <w:tcBorders>
              <w:top w:val="single" w:color="auto" w:sz="4" w:space="0"/>
              <w:left w:val="nil"/>
              <w:bottom w:val="nil"/>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w:t>
            </w:r>
          </w:p>
        </w:tc>
        <w:tc>
          <w:tcPr>
            <w:tcW w:w="6300" w:type="dxa"/>
            <w:tcBorders>
              <w:top w:val="single" w:color="auto" w:sz="4" w:space="0"/>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苯甲酸及其钠盐（以苯甲酸计）、山梨酸及其钾盐（以山梨酸计）、糖精钠（以糖精计）</w:t>
            </w:r>
          </w:p>
        </w:tc>
        <w:tc>
          <w:tcPr>
            <w:tcW w:w="720" w:type="dxa"/>
            <w:tcBorders>
              <w:top w:val="single" w:color="auto" w:sz="4" w:space="0"/>
              <w:left w:val="nil"/>
              <w:bottom w:val="nil"/>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108</w:t>
            </w:r>
          </w:p>
        </w:tc>
        <w:tc>
          <w:tcPr>
            <w:tcW w:w="1558" w:type="dxa"/>
            <w:tcBorders>
              <w:top w:val="single" w:color="auto" w:sz="4" w:space="0"/>
              <w:left w:val="nil"/>
              <w:bottom w:val="nil"/>
              <w:right w:val="nil"/>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餐饮食品</w:t>
            </w:r>
          </w:p>
        </w:tc>
        <w:tc>
          <w:tcPr>
            <w:tcW w:w="1687" w:type="dxa"/>
            <w:tcBorders>
              <w:top w:val="single" w:color="auto" w:sz="4" w:space="0"/>
              <w:left w:val="single" w:color="auto" w:sz="4" w:space="0"/>
              <w:bottom w:val="nil"/>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其他餐饮食品</w:t>
            </w:r>
          </w:p>
        </w:tc>
        <w:tc>
          <w:tcPr>
            <w:tcW w:w="1687" w:type="dxa"/>
            <w:tcBorders>
              <w:top w:val="single" w:color="auto" w:sz="4" w:space="0"/>
              <w:left w:val="nil"/>
              <w:bottom w:val="nil"/>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汤汁类(餐饮)</w:t>
            </w:r>
          </w:p>
        </w:tc>
        <w:tc>
          <w:tcPr>
            <w:tcW w:w="1728" w:type="dxa"/>
            <w:tcBorders>
              <w:top w:val="single" w:color="auto" w:sz="4" w:space="0"/>
              <w:left w:val="nil"/>
              <w:bottom w:val="nil"/>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胡辣汤(餐饮)</w:t>
            </w:r>
          </w:p>
        </w:tc>
        <w:tc>
          <w:tcPr>
            <w:tcW w:w="900" w:type="dxa"/>
            <w:tcBorders>
              <w:top w:val="single" w:color="auto" w:sz="4" w:space="0"/>
              <w:left w:val="nil"/>
              <w:bottom w:val="nil"/>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罂粟碱、吗啡、可待因、那可丁</w:t>
            </w:r>
          </w:p>
        </w:tc>
        <w:tc>
          <w:tcPr>
            <w:tcW w:w="720" w:type="dxa"/>
            <w:tcBorders>
              <w:top w:val="single" w:color="auto" w:sz="4" w:space="0"/>
              <w:left w:val="nil"/>
              <w:bottom w:val="nil"/>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109</w:t>
            </w:r>
          </w:p>
        </w:tc>
        <w:tc>
          <w:tcPr>
            <w:tcW w:w="1558" w:type="dxa"/>
            <w:tcBorders>
              <w:top w:val="single" w:color="auto" w:sz="4" w:space="0"/>
              <w:left w:val="nil"/>
              <w:bottom w:val="nil"/>
              <w:right w:val="nil"/>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餐饮食品</w:t>
            </w:r>
          </w:p>
        </w:tc>
        <w:tc>
          <w:tcPr>
            <w:tcW w:w="1687" w:type="dxa"/>
            <w:tcBorders>
              <w:top w:val="single" w:color="auto" w:sz="4" w:space="0"/>
              <w:left w:val="single" w:color="auto" w:sz="4" w:space="0"/>
              <w:bottom w:val="nil"/>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其他餐饮食品</w:t>
            </w:r>
          </w:p>
        </w:tc>
        <w:tc>
          <w:tcPr>
            <w:tcW w:w="1687" w:type="dxa"/>
            <w:tcBorders>
              <w:top w:val="single" w:color="auto" w:sz="4" w:space="0"/>
              <w:left w:val="nil"/>
              <w:bottom w:val="nil"/>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油炸小吃(餐饮)</w:t>
            </w:r>
          </w:p>
        </w:tc>
        <w:tc>
          <w:tcPr>
            <w:tcW w:w="1728" w:type="dxa"/>
            <w:tcBorders>
              <w:top w:val="single" w:color="auto" w:sz="4" w:space="0"/>
              <w:left w:val="nil"/>
              <w:bottom w:val="nil"/>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油炸小吃(餐饮)</w:t>
            </w:r>
          </w:p>
        </w:tc>
        <w:tc>
          <w:tcPr>
            <w:tcW w:w="900" w:type="dxa"/>
            <w:tcBorders>
              <w:top w:val="single" w:color="auto" w:sz="4" w:space="0"/>
              <w:left w:val="nil"/>
              <w:bottom w:val="nil"/>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苯甲酸及其钠盐（以苯甲酸计）、山梨酸及其钾盐（以山梨酸计）、糖精钠（以糖精计）</w:t>
            </w:r>
          </w:p>
        </w:tc>
        <w:tc>
          <w:tcPr>
            <w:tcW w:w="720" w:type="dxa"/>
            <w:tcBorders>
              <w:top w:val="single" w:color="auto" w:sz="4" w:space="0"/>
              <w:left w:val="nil"/>
              <w:bottom w:val="nil"/>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20</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110</w:t>
            </w:r>
          </w:p>
        </w:tc>
        <w:tc>
          <w:tcPr>
            <w:tcW w:w="1558" w:type="dxa"/>
            <w:tcBorders>
              <w:top w:val="single" w:color="auto" w:sz="4" w:space="0"/>
              <w:left w:val="nil"/>
              <w:bottom w:val="nil"/>
              <w:right w:val="nil"/>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餐饮食品</w:t>
            </w:r>
          </w:p>
        </w:tc>
        <w:tc>
          <w:tcPr>
            <w:tcW w:w="1687" w:type="dxa"/>
            <w:tcBorders>
              <w:top w:val="single" w:color="auto" w:sz="4" w:space="0"/>
              <w:left w:val="single" w:color="auto" w:sz="4" w:space="0"/>
              <w:bottom w:val="nil"/>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其他餐饮食品</w:t>
            </w:r>
          </w:p>
        </w:tc>
        <w:tc>
          <w:tcPr>
            <w:tcW w:w="1687" w:type="dxa"/>
            <w:tcBorders>
              <w:top w:val="single" w:color="auto" w:sz="4" w:space="0"/>
              <w:left w:val="nil"/>
              <w:bottom w:val="nil"/>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热菜类(自制)</w:t>
            </w:r>
          </w:p>
        </w:tc>
        <w:tc>
          <w:tcPr>
            <w:tcW w:w="1728" w:type="dxa"/>
            <w:tcBorders>
              <w:top w:val="single" w:color="auto" w:sz="4" w:space="0"/>
              <w:left w:val="nil"/>
              <w:bottom w:val="nil"/>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热菜类(自制)</w:t>
            </w:r>
          </w:p>
        </w:tc>
        <w:tc>
          <w:tcPr>
            <w:tcW w:w="900" w:type="dxa"/>
            <w:tcBorders>
              <w:top w:val="single" w:color="auto" w:sz="4" w:space="0"/>
              <w:left w:val="nil"/>
              <w:bottom w:val="nil"/>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w:t>
            </w:r>
          </w:p>
        </w:tc>
        <w:tc>
          <w:tcPr>
            <w:tcW w:w="630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苯甲酸及其钠盐（以苯甲酸计）、山梨酸及其钾盐（以山梨酸计）、糖精钠（以糖精计）</w:t>
            </w:r>
          </w:p>
        </w:tc>
        <w:tc>
          <w:tcPr>
            <w:tcW w:w="720" w:type="dxa"/>
            <w:tcBorders>
              <w:top w:val="single" w:color="auto" w:sz="4" w:space="0"/>
              <w:left w:val="nil"/>
              <w:bottom w:val="nil"/>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20</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111</w:t>
            </w:r>
          </w:p>
        </w:tc>
        <w:tc>
          <w:tcPr>
            <w:tcW w:w="1558" w:type="dxa"/>
            <w:tcBorders>
              <w:top w:val="single" w:color="auto" w:sz="4" w:space="0"/>
              <w:left w:val="nil"/>
              <w:bottom w:val="nil"/>
              <w:right w:val="nil"/>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餐饮食品</w:t>
            </w:r>
          </w:p>
        </w:tc>
        <w:tc>
          <w:tcPr>
            <w:tcW w:w="1687" w:type="dxa"/>
            <w:tcBorders>
              <w:top w:val="single" w:color="auto" w:sz="4" w:space="0"/>
              <w:left w:val="single" w:color="auto" w:sz="4" w:space="0"/>
              <w:bottom w:val="nil"/>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其他餐饮食品</w:t>
            </w:r>
          </w:p>
        </w:tc>
        <w:tc>
          <w:tcPr>
            <w:tcW w:w="1687" w:type="dxa"/>
            <w:tcBorders>
              <w:top w:val="single" w:color="auto" w:sz="4" w:space="0"/>
              <w:left w:val="nil"/>
              <w:bottom w:val="nil"/>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凉菜类(自制)</w:t>
            </w:r>
          </w:p>
        </w:tc>
        <w:tc>
          <w:tcPr>
            <w:tcW w:w="1728" w:type="dxa"/>
            <w:tcBorders>
              <w:top w:val="single" w:color="auto" w:sz="4" w:space="0"/>
              <w:left w:val="nil"/>
              <w:bottom w:val="nil"/>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凉菜类(自制)</w:t>
            </w:r>
          </w:p>
        </w:tc>
        <w:tc>
          <w:tcPr>
            <w:tcW w:w="900" w:type="dxa"/>
            <w:tcBorders>
              <w:top w:val="single" w:color="auto" w:sz="4" w:space="0"/>
              <w:left w:val="nil"/>
              <w:bottom w:val="nil"/>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w:t>
            </w:r>
          </w:p>
        </w:tc>
        <w:tc>
          <w:tcPr>
            <w:tcW w:w="6300" w:type="dxa"/>
            <w:tcBorders>
              <w:top w:val="nil"/>
              <w:left w:val="nil"/>
              <w:bottom w:val="nil"/>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苯甲酸及其钠盐（以苯甲酸计）、山梨酸及其钾盐（以山梨酸计）、糖精钠（以糖精计）</w:t>
            </w:r>
          </w:p>
        </w:tc>
        <w:tc>
          <w:tcPr>
            <w:tcW w:w="720" w:type="dxa"/>
            <w:tcBorders>
              <w:top w:val="single" w:color="auto" w:sz="4" w:space="0"/>
              <w:left w:val="nil"/>
              <w:bottom w:val="nil"/>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30</w:t>
            </w:r>
          </w:p>
        </w:tc>
      </w:tr>
      <w:tr>
        <w:tblPrEx>
          <w:tblCellMar>
            <w:top w:w="0" w:type="dxa"/>
            <w:left w:w="108" w:type="dxa"/>
            <w:bottom w:w="0" w:type="dxa"/>
            <w:right w:w="108" w:type="dxa"/>
          </w:tblCellMar>
        </w:tblPrEx>
        <w:trPr>
          <w:trHeight w:val="702" w:hRule="atLeast"/>
        </w:trPr>
        <w:tc>
          <w:tcPr>
            <w:tcW w:w="54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112</w:t>
            </w:r>
          </w:p>
        </w:tc>
        <w:tc>
          <w:tcPr>
            <w:tcW w:w="1558" w:type="dxa"/>
            <w:tcBorders>
              <w:top w:val="single" w:color="auto" w:sz="4" w:space="0"/>
              <w:left w:val="nil"/>
              <w:bottom w:val="nil"/>
              <w:right w:val="nil"/>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餐饮食品</w:t>
            </w:r>
          </w:p>
        </w:tc>
        <w:tc>
          <w:tcPr>
            <w:tcW w:w="1687" w:type="dxa"/>
            <w:tcBorders>
              <w:top w:val="single" w:color="auto" w:sz="4" w:space="0"/>
              <w:left w:val="single" w:color="auto" w:sz="4" w:space="0"/>
              <w:bottom w:val="nil"/>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其他餐饮食品</w:t>
            </w:r>
          </w:p>
        </w:tc>
        <w:tc>
          <w:tcPr>
            <w:tcW w:w="1687" w:type="dxa"/>
            <w:tcBorders>
              <w:top w:val="single" w:color="auto" w:sz="4" w:space="0"/>
              <w:left w:val="nil"/>
              <w:bottom w:val="nil"/>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豆制品(餐饮)</w:t>
            </w:r>
          </w:p>
        </w:tc>
        <w:tc>
          <w:tcPr>
            <w:tcW w:w="1728" w:type="dxa"/>
            <w:tcBorders>
              <w:top w:val="single" w:color="auto" w:sz="4" w:space="0"/>
              <w:left w:val="nil"/>
              <w:bottom w:val="nil"/>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非发酵性豆制品(餐饮)</w:t>
            </w:r>
          </w:p>
        </w:tc>
        <w:tc>
          <w:tcPr>
            <w:tcW w:w="900" w:type="dxa"/>
            <w:tcBorders>
              <w:top w:val="single" w:color="auto" w:sz="4" w:space="0"/>
              <w:left w:val="nil"/>
              <w:bottom w:val="nil"/>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w:t>
            </w:r>
          </w:p>
        </w:tc>
        <w:tc>
          <w:tcPr>
            <w:tcW w:w="6300" w:type="dxa"/>
            <w:tcBorders>
              <w:top w:val="single" w:color="auto" w:sz="4" w:space="0"/>
              <w:left w:val="nil"/>
              <w:bottom w:val="nil"/>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苯甲酸及其钠盐（以苯甲酸计）、山梨酸及其钾盐（以山梨酸计）、糖精钠（以糖精计）、铝的残留量（干样品，以Al计）</w:t>
            </w:r>
          </w:p>
        </w:tc>
        <w:tc>
          <w:tcPr>
            <w:tcW w:w="720" w:type="dxa"/>
            <w:tcBorders>
              <w:top w:val="single" w:color="auto" w:sz="4" w:space="0"/>
              <w:left w:val="nil"/>
              <w:bottom w:val="nil"/>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702" w:hRule="atLeast"/>
        </w:trPr>
        <w:tc>
          <w:tcPr>
            <w:tcW w:w="14400" w:type="dxa"/>
            <w:gridSpan w:val="7"/>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小计</w:t>
            </w:r>
          </w:p>
        </w:tc>
        <w:tc>
          <w:tcPr>
            <w:tcW w:w="720"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1700</w:t>
            </w:r>
          </w:p>
        </w:tc>
      </w:tr>
    </w:tbl>
    <w:p>
      <w:pPr>
        <w:widowControl/>
        <w:adjustRightInd w:val="0"/>
        <w:spacing w:line="500" w:lineRule="exact"/>
        <w:rPr>
          <w:rFonts w:hint="eastAsia" w:ascii="宋体" w:hAnsi="宋体"/>
          <w:b/>
          <w:kern w:val="0"/>
          <w:sz w:val="21"/>
          <w:szCs w:val="21"/>
          <w:highlight w:val="none"/>
        </w:rPr>
        <w:sectPr>
          <w:pgSz w:w="16840" w:h="11907" w:orient="landscape"/>
          <w:pgMar w:top="1531" w:right="1418" w:bottom="1531" w:left="1418" w:header="567" w:footer="998" w:gutter="0"/>
          <w:cols w:space="720" w:num="1"/>
          <w:rtlGutter w:val="0"/>
          <w:docGrid w:type="linesAndChars" w:linePitch="384" w:charSpace="0"/>
        </w:sectPr>
      </w:pPr>
    </w:p>
    <w:p>
      <w:pPr>
        <w:rPr>
          <w:rFonts w:hint="eastAsia"/>
        </w:rPr>
      </w:pPr>
    </w:p>
    <w:p>
      <w:pPr>
        <w:pStyle w:val="34"/>
        <w:keepNext w:val="0"/>
        <w:keepLines w:val="0"/>
        <w:pageBreakBefore w:val="0"/>
        <w:widowControl w:val="0"/>
        <w:numPr>
          <w:ilvl w:val="0"/>
          <w:numId w:val="0"/>
        </w:numPr>
        <w:kinsoku/>
        <w:wordWrap/>
        <w:overflowPunct/>
        <w:topLinePunct w:val="0"/>
        <w:autoSpaceDE/>
        <w:autoSpaceDN/>
        <w:bidi w:val="0"/>
        <w:adjustRightInd/>
        <w:snapToGrid/>
        <w:spacing w:before="0" w:after="0" w:line="360" w:lineRule="auto"/>
        <w:ind w:right="0" w:rightChars="0" w:firstLine="2570" w:firstLineChars="800"/>
        <w:jc w:val="both"/>
        <w:textAlignment w:val="auto"/>
        <w:outlineLvl w:val="0"/>
        <w:rPr>
          <w:rFonts w:hint="eastAsia" w:ascii="宋体" w:hAnsi="宋体" w:eastAsia="宋体" w:cs="宋体"/>
          <w:sz w:val="32"/>
          <w:szCs w:val="32"/>
        </w:rPr>
      </w:pPr>
      <w:bookmarkStart w:id="97" w:name="_Toc5037"/>
      <w:bookmarkStart w:id="98" w:name="_Toc17770"/>
      <w:bookmarkStart w:id="99" w:name="_Toc20594"/>
      <w:r>
        <w:rPr>
          <w:rFonts w:hint="eastAsia" w:ascii="宋体" w:hAnsi="宋体" w:cs="宋体"/>
          <w:sz w:val="32"/>
          <w:szCs w:val="32"/>
          <w:lang w:eastAsia="zh-CN"/>
        </w:rPr>
        <w:t>第六章</w:t>
      </w:r>
      <w:r>
        <w:rPr>
          <w:rFonts w:hint="eastAsia" w:ascii="宋体" w:hAnsi="宋体" w:cs="宋体"/>
          <w:sz w:val="32"/>
          <w:szCs w:val="32"/>
          <w:lang w:val="en-US" w:eastAsia="zh-CN"/>
        </w:rPr>
        <w:t xml:space="preserve">   </w:t>
      </w:r>
      <w:r>
        <w:rPr>
          <w:rFonts w:hint="eastAsia" w:ascii="宋体" w:hAnsi="宋体" w:eastAsia="宋体" w:cs="宋体"/>
          <w:sz w:val="32"/>
          <w:szCs w:val="32"/>
        </w:rPr>
        <w:t>响应文件格式</w:t>
      </w:r>
      <w:bookmarkEnd w:id="88"/>
      <w:bookmarkEnd w:id="89"/>
      <w:bookmarkEnd w:id="90"/>
      <w:bookmarkEnd w:id="91"/>
      <w:bookmarkEnd w:id="92"/>
      <w:bookmarkEnd w:id="93"/>
      <w:bookmarkEnd w:id="97"/>
      <w:bookmarkEnd w:id="98"/>
      <w:bookmarkEnd w:id="99"/>
    </w:p>
    <w:p>
      <w:pPr>
        <w:rPr>
          <w:rFonts w:hint="eastAsia" w:ascii="宋体" w:hAnsi="宋体" w:eastAsia="宋体" w:cs="宋体"/>
          <w:sz w:val="32"/>
          <w:szCs w:val="32"/>
        </w:rPr>
      </w:pPr>
    </w:p>
    <w:p>
      <w:pPr>
        <w:spacing w:line="460" w:lineRule="exact"/>
        <w:jc w:val="left"/>
        <w:rPr>
          <w:rFonts w:hint="eastAsia" w:ascii="宋体" w:hAnsi="宋体" w:eastAsia="宋体" w:cs="宋体"/>
          <w:b/>
          <w:sz w:val="44"/>
          <w:szCs w:val="44"/>
        </w:rPr>
      </w:pPr>
    </w:p>
    <w:p>
      <w:pPr>
        <w:spacing w:line="460" w:lineRule="exact"/>
        <w:jc w:val="left"/>
        <w:rPr>
          <w:rFonts w:hint="eastAsia" w:ascii="宋体" w:hAnsi="宋体" w:eastAsia="宋体" w:cs="宋体"/>
          <w:b/>
          <w:sz w:val="44"/>
          <w:szCs w:val="44"/>
        </w:rPr>
      </w:pPr>
    </w:p>
    <w:p>
      <w:pPr>
        <w:spacing w:line="460" w:lineRule="exact"/>
        <w:jc w:val="left"/>
        <w:rPr>
          <w:rFonts w:hint="eastAsia" w:ascii="宋体" w:hAnsi="宋体" w:eastAsia="宋体" w:cs="宋体"/>
          <w:b/>
          <w:sz w:val="44"/>
          <w:szCs w:val="44"/>
        </w:rPr>
      </w:pPr>
    </w:p>
    <w:p>
      <w:pPr>
        <w:spacing w:line="460" w:lineRule="exact"/>
        <w:jc w:val="left"/>
        <w:rPr>
          <w:rFonts w:hint="eastAsia" w:ascii="宋体" w:hAnsi="宋体" w:eastAsia="宋体" w:cs="宋体"/>
          <w:b/>
          <w:sz w:val="44"/>
          <w:szCs w:val="44"/>
        </w:rPr>
      </w:pPr>
    </w:p>
    <w:p>
      <w:pPr>
        <w:spacing w:line="460" w:lineRule="exact"/>
        <w:jc w:val="left"/>
        <w:rPr>
          <w:rFonts w:hint="eastAsia" w:ascii="宋体" w:hAnsi="宋体" w:eastAsia="宋体" w:cs="宋体"/>
          <w:b/>
          <w:sz w:val="44"/>
          <w:szCs w:val="44"/>
        </w:rPr>
      </w:pPr>
    </w:p>
    <w:p>
      <w:pPr>
        <w:spacing w:line="460" w:lineRule="exact"/>
        <w:jc w:val="left"/>
        <w:rPr>
          <w:rFonts w:hint="eastAsia" w:ascii="宋体" w:hAnsi="宋体" w:eastAsia="宋体" w:cs="宋体"/>
          <w:b/>
          <w:sz w:val="44"/>
          <w:szCs w:val="44"/>
        </w:rPr>
      </w:pPr>
    </w:p>
    <w:p>
      <w:pPr>
        <w:spacing w:line="460" w:lineRule="exact"/>
        <w:jc w:val="left"/>
        <w:rPr>
          <w:rFonts w:hint="eastAsia" w:ascii="宋体" w:hAnsi="宋体" w:eastAsia="宋体" w:cs="宋体"/>
          <w:b/>
          <w:sz w:val="44"/>
          <w:szCs w:val="44"/>
        </w:rPr>
      </w:pPr>
    </w:p>
    <w:p>
      <w:pPr>
        <w:spacing w:line="460" w:lineRule="exact"/>
        <w:jc w:val="left"/>
        <w:rPr>
          <w:rFonts w:hint="eastAsia" w:ascii="宋体" w:hAnsi="宋体" w:eastAsia="宋体" w:cs="宋体"/>
          <w:b/>
          <w:sz w:val="44"/>
          <w:szCs w:val="44"/>
        </w:rPr>
      </w:pPr>
    </w:p>
    <w:p>
      <w:pPr>
        <w:spacing w:line="460" w:lineRule="exact"/>
        <w:jc w:val="left"/>
        <w:rPr>
          <w:rFonts w:hint="eastAsia" w:ascii="宋体" w:hAnsi="宋体" w:eastAsia="宋体" w:cs="宋体"/>
          <w:b/>
          <w:sz w:val="44"/>
          <w:szCs w:val="44"/>
        </w:rPr>
      </w:pPr>
    </w:p>
    <w:p>
      <w:pPr>
        <w:spacing w:line="460" w:lineRule="exact"/>
        <w:jc w:val="left"/>
        <w:rPr>
          <w:rFonts w:hint="eastAsia" w:ascii="宋体" w:hAnsi="宋体" w:eastAsia="宋体" w:cs="宋体"/>
          <w:b/>
          <w:sz w:val="44"/>
          <w:szCs w:val="44"/>
        </w:rPr>
      </w:pPr>
    </w:p>
    <w:p>
      <w:pPr>
        <w:spacing w:line="460" w:lineRule="exact"/>
        <w:jc w:val="left"/>
        <w:rPr>
          <w:rFonts w:hint="eastAsia" w:ascii="宋体" w:hAnsi="宋体" w:eastAsia="宋体" w:cs="宋体"/>
          <w:b/>
          <w:sz w:val="44"/>
          <w:szCs w:val="44"/>
        </w:rPr>
      </w:pPr>
    </w:p>
    <w:p>
      <w:pPr>
        <w:spacing w:line="460" w:lineRule="exact"/>
        <w:jc w:val="left"/>
        <w:rPr>
          <w:rFonts w:hint="eastAsia" w:ascii="宋体" w:hAnsi="宋体" w:eastAsia="宋体" w:cs="宋体"/>
          <w:b/>
          <w:sz w:val="44"/>
          <w:szCs w:val="44"/>
        </w:rPr>
      </w:pPr>
    </w:p>
    <w:p>
      <w:pPr>
        <w:spacing w:line="460" w:lineRule="exact"/>
        <w:jc w:val="left"/>
        <w:rPr>
          <w:rFonts w:hint="eastAsia" w:ascii="宋体" w:hAnsi="宋体" w:eastAsia="宋体" w:cs="宋体"/>
          <w:b/>
          <w:sz w:val="44"/>
          <w:szCs w:val="44"/>
        </w:rPr>
      </w:pPr>
    </w:p>
    <w:p>
      <w:pPr>
        <w:spacing w:line="460" w:lineRule="exact"/>
        <w:jc w:val="left"/>
        <w:rPr>
          <w:rFonts w:hint="eastAsia" w:ascii="宋体" w:hAnsi="宋体" w:eastAsia="宋体" w:cs="宋体"/>
          <w:b/>
          <w:sz w:val="44"/>
          <w:szCs w:val="44"/>
        </w:rPr>
      </w:pPr>
    </w:p>
    <w:p>
      <w:pPr>
        <w:spacing w:line="460" w:lineRule="exact"/>
        <w:jc w:val="left"/>
        <w:rPr>
          <w:rFonts w:hint="eastAsia" w:ascii="宋体" w:hAnsi="宋体" w:eastAsia="宋体" w:cs="宋体"/>
          <w:b/>
          <w:sz w:val="44"/>
          <w:szCs w:val="44"/>
        </w:rPr>
      </w:pPr>
    </w:p>
    <w:p>
      <w:pPr>
        <w:spacing w:line="460" w:lineRule="exact"/>
        <w:jc w:val="left"/>
        <w:rPr>
          <w:rFonts w:hint="eastAsia" w:ascii="宋体" w:hAnsi="宋体" w:eastAsia="宋体" w:cs="宋体"/>
          <w:b/>
          <w:sz w:val="44"/>
          <w:szCs w:val="44"/>
        </w:rPr>
      </w:pPr>
    </w:p>
    <w:p>
      <w:pPr>
        <w:spacing w:line="460" w:lineRule="exact"/>
        <w:jc w:val="left"/>
        <w:rPr>
          <w:rFonts w:hint="eastAsia" w:ascii="宋体" w:hAnsi="宋体" w:eastAsia="宋体" w:cs="宋体"/>
          <w:b/>
          <w:sz w:val="44"/>
          <w:szCs w:val="44"/>
        </w:rPr>
      </w:pPr>
    </w:p>
    <w:p>
      <w:pPr>
        <w:spacing w:line="460" w:lineRule="exact"/>
        <w:jc w:val="left"/>
        <w:rPr>
          <w:rFonts w:hint="eastAsia" w:ascii="宋体" w:hAnsi="宋体" w:eastAsia="宋体" w:cs="宋体"/>
          <w:b/>
          <w:sz w:val="44"/>
          <w:szCs w:val="44"/>
        </w:rPr>
      </w:pPr>
    </w:p>
    <w:p>
      <w:pPr>
        <w:spacing w:line="460" w:lineRule="exact"/>
        <w:jc w:val="left"/>
        <w:rPr>
          <w:rFonts w:hint="eastAsia" w:ascii="宋体" w:hAnsi="宋体" w:eastAsia="宋体" w:cs="宋体"/>
          <w:b/>
          <w:sz w:val="44"/>
          <w:szCs w:val="44"/>
        </w:rPr>
      </w:pPr>
    </w:p>
    <w:p>
      <w:pPr>
        <w:spacing w:line="460" w:lineRule="exact"/>
        <w:jc w:val="left"/>
        <w:rPr>
          <w:rFonts w:hint="eastAsia" w:ascii="宋体" w:hAnsi="宋体" w:eastAsia="宋体" w:cs="宋体"/>
          <w:b/>
          <w:sz w:val="44"/>
          <w:szCs w:val="44"/>
        </w:rPr>
      </w:pPr>
    </w:p>
    <w:p>
      <w:pPr>
        <w:spacing w:line="460" w:lineRule="exact"/>
        <w:jc w:val="left"/>
        <w:rPr>
          <w:rFonts w:hint="eastAsia" w:ascii="宋体" w:hAnsi="宋体" w:eastAsia="宋体" w:cs="宋体"/>
          <w:b/>
          <w:sz w:val="44"/>
          <w:szCs w:val="44"/>
        </w:rPr>
      </w:pPr>
    </w:p>
    <w:p>
      <w:pPr>
        <w:spacing w:line="460" w:lineRule="exact"/>
        <w:jc w:val="left"/>
        <w:rPr>
          <w:rFonts w:hint="eastAsia" w:ascii="宋体" w:hAnsi="宋体" w:eastAsia="宋体" w:cs="宋体"/>
          <w:b/>
          <w:sz w:val="44"/>
          <w:szCs w:val="44"/>
        </w:rPr>
      </w:pPr>
    </w:p>
    <w:p>
      <w:pPr>
        <w:spacing w:line="460" w:lineRule="exact"/>
        <w:jc w:val="left"/>
        <w:rPr>
          <w:rFonts w:hint="eastAsia" w:ascii="宋体" w:hAnsi="宋体" w:eastAsia="宋体" w:cs="宋体"/>
          <w:b/>
          <w:sz w:val="44"/>
          <w:szCs w:val="44"/>
        </w:rPr>
      </w:pPr>
    </w:p>
    <w:p>
      <w:pPr>
        <w:spacing w:line="460" w:lineRule="exact"/>
        <w:jc w:val="left"/>
        <w:rPr>
          <w:rFonts w:hint="eastAsia" w:ascii="宋体" w:hAnsi="宋体" w:eastAsia="宋体" w:cs="宋体"/>
          <w:b/>
          <w:sz w:val="44"/>
          <w:szCs w:val="44"/>
        </w:rPr>
      </w:pPr>
    </w:p>
    <w:p>
      <w:pPr>
        <w:spacing w:line="460" w:lineRule="exact"/>
        <w:jc w:val="left"/>
        <w:rPr>
          <w:rFonts w:hint="eastAsia" w:ascii="宋体" w:hAnsi="宋体" w:eastAsia="宋体" w:cs="宋体"/>
          <w:b/>
          <w:sz w:val="44"/>
          <w:szCs w:val="44"/>
        </w:rPr>
      </w:pPr>
    </w:p>
    <w:p>
      <w:pPr>
        <w:spacing w:line="460" w:lineRule="exact"/>
        <w:jc w:val="left"/>
        <w:rPr>
          <w:rFonts w:hint="eastAsia" w:ascii="宋体" w:hAnsi="宋体" w:eastAsia="宋体" w:cs="宋体"/>
          <w:b/>
          <w:sz w:val="44"/>
          <w:szCs w:val="44"/>
        </w:rPr>
      </w:pPr>
    </w:p>
    <w:p>
      <w:pPr>
        <w:spacing w:line="460" w:lineRule="exact"/>
        <w:jc w:val="left"/>
        <w:rPr>
          <w:rFonts w:hint="default" w:ascii="宋体" w:hAnsi="宋体" w:eastAsia="宋体" w:cs="宋体"/>
          <w:b/>
          <w:sz w:val="44"/>
          <w:szCs w:val="44"/>
          <w:u w:val="single"/>
          <w:lang w:val="en-US" w:eastAsia="zh-CN"/>
        </w:rPr>
      </w:pPr>
      <w:r>
        <w:rPr>
          <w:rFonts w:hint="eastAsia" w:ascii="宋体" w:hAnsi="宋体" w:eastAsia="宋体" w:cs="宋体"/>
          <w:b/>
          <w:sz w:val="44"/>
          <w:szCs w:val="44"/>
        </w:rPr>
        <w:t xml:space="preserve">  </w:t>
      </w:r>
      <w:r>
        <w:rPr>
          <w:rFonts w:hint="eastAsia" w:ascii="宋体" w:hAnsi="宋体" w:eastAsia="宋体" w:cs="宋体"/>
          <w:b/>
          <w:sz w:val="44"/>
          <w:szCs w:val="44"/>
          <w:u w:val="single"/>
        </w:rPr>
        <w:t xml:space="preserve">                  </w:t>
      </w:r>
      <w:r>
        <w:rPr>
          <w:rFonts w:hint="eastAsia" w:ascii="宋体" w:hAnsi="宋体" w:eastAsia="宋体" w:cs="宋体"/>
          <w:b/>
          <w:sz w:val="44"/>
          <w:szCs w:val="44"/>
        </w:rPr>
        <w:t>（项目名称）</w:t>
      </w:r>
      <w:r>
        <w:rPr>
          <w:rFonts w:hint="eastAsia" w:ascii="宋体" w:hAnsi="宋体" w:eastAsia="宋体" w:cs="宋体"/>
          <w:b/>
          <w:sz w:val="44"/>
          <w:szCs w:val="44"/>
          <w:u w:val="single"/>
          <w:lang w:val="en-US" w:eastAsia="zh-CN"/>
        </w:rPr>
        <w:t xml:space="preserve">   </w:t>
      </w:r>
      <w:r>
        <w:rPr>
          <w:rFonts w:hint="eastAsia" w:ascii="宋体" w:hAnsi="宋体" w:eastAsia="宋体" w:cs="宋体"/>
          <w:b/>
          <w:sz w:val="44"/>
          <w:szCs w:val="44"/>
          <w:lang w:val="en-US" w:eastAsia="zh-CN"/>
        </w:rPr>
        <w:t>包</w:t>
      </w:r>
    </w:p>
    <w:p>
      <w:pPr>
        <w:spacing w:line="460" w:lineRule="exact"/>
        <w:jc w:val="center"/>
        <w:rPr>
          <w:rFonts w:hint="eastAsia" w:ascii="宋体" w:hAnsi="宋体" w:eastAsia="宋体" w:cs="宋体"/>
          <w:sz w:val="32"/>
        </w:rPr>
      </w:pPr>
    </w:p>
    <w:p>
      <w:pPr>
        <w:spacing w:line="460" w:lineRule="exact"/>
        <w:jc w:val="center"/>
        <w:rPr>
          <w:rFonts w:hint="eastAsia" w:ascii="宋体" w:hAnsi="宋体" w:eastAsia="宋体" w:cs="宋体"/>
          <w:sz w:val="32"/>
        </w:rPr>
      </w:pPr>
    </w:p>
    <w:p>
      <w:pPr>
        <w:spacing w:line="460" w:lineRule="exact"/>
        <w:jc w:val="center"/>
        <w:rPr>
          <w:rFonts w:hint="eastAsia" w:ascii="宋体" w:hAnsi="宋体" w:eastAsia="宋体" w:cs="宋体"/>
          <w:sz w:val="32"/>
        </w:rPr>
      </w:pPr>
    </w:p>
    <w:p>
      <w:pPr>
        <w:spacing w:line="460" w:lineRule="exact"/>
        <w:jc w:val="center"/>
        <w:rPr>
          <w:rFonts w:hint="eastAsia" w:ascii="宋体" w:hAnsi="宋体" w:eastAsia="宋体" w:cs="宋体"/>
          <w:sz w:val="32"/>
        </w:rPr>
      </w:pPr>
    </w:p>
    <w:p>
      <w:pPr>
        <w:spacing w:line="460" w:lineRule="exact"/>
        <w:jc w:val="center"/>
        <w:rPr>
          <w:rFonts w:hint="eastAsia" w:ascii="宋体" w:hAnsi="宋体" w:eastAsia="宋体" w:cs="宋体"/>
          <w:sz w:val="32"/>
        </w:rPr>
      </w:pPr>
    </w:p>
    <w:p>
      <w:pPr>
        <w:spacing w:line="480" w:lineRule="auto"/>
        <w:ind w:firstLine="2520" w:firstLineChars="300"/>
        <w:jc w:val="both"/>
        <w:rPr>
          <w:rFonts w:hint="eastAsia" w:ascii="宋体" w:hAnsi="宋体" w:eastAsia="宋体" w:cs="宋体"/>
          <w:sz w:val="84"/>
          <w:szCs w:val="84"/>
        </w:rPr>
      </w:pPr>
      <w:r>
        <w:rPr>
          <w:rFonts w:hint="eastAsia" w:ascii="宋体" w:hAnsi="宋体" w:eastAsia="宋体" w:cs="宋体"/>
          <w:sz w:val="84"/>
          <w:szCs w:val="84"/>
        </w:rPr>
        <w:t>响应文件</w:t>
      </w:r>
    </w:p>
    <w:p>
      <w:pPr>
        <w:spacing w:line="480" w:lineRule="auto"/>
        <w:ind w:firstLine="2108" w:firstLineChars="750"/>
        <w:rPr>
          <w:rFonts w:hint="eastAsia" w:ascii="宋体" w:hAnsi="宋体" w:eastAsia="宋体" w:cs="宋体"/>
          <w:b/>
          <w:bCs/>
          <w:sz w:val="28"/>
          <w:szCs w:val="28"/>
          <w:u w:val="single"/>
        </w:rPr>
      </w:pPr>
      <w:r>
        <w:rPr>
          <w:rFonts w:hint="eastAsia" w:ascii="宋体" w:hAnsi="宋体" w:eastAsia="宋体" w:cs="宋体"/>
          <w:b/>
          <w:bCs/>
          <w:sz w:val="28"/>
          <w:szCs w:val="28"/>
        </w:rPr>
        <w:t xml:space="preserve">  </w:t>
      </w:r>
      <w:r>
        <w:rPr>
          <w:rFonts w:hint="eastAsia" w:ascii="宋体" w:hAnsi="宋体" w:eastAsia="宋体" w:cs="宋体"/>
          <w:b/>
          <w:bCs/>
          <w:sz w:val="28"/>
          <w:szCs w:val="28"/>
          <w:lang w:val="en-US" w:eastAsia="zh-CN"/>
        </w:rPr>
        <w:t xml:space="preserve"> </w:t>
      </w:r>
      <w:r>
        <w:rPr>
          <w:rFonts w:hint="eastAsia" w:ascii="宋体" w:hAnsi="宋体" w:eastAsia="宋体" w:cs="宋体"/>
          <w:b/>
          <w:bCs/>
          <w:sz w:val="28"/>
          <w:szCs w:val="28"/>
          <w:lang w:eastAsia="zh-CN"/>
        </w:rPr>
        <w:t>项目</w:t>
      </w:r>
      <w:r>
        <w:rPr>
          <w:rFonts w:hint="eastAsia" w:ascii="宋体" w:hAnsi="宋体" w:eastAsia="宋体" w:cs="宋体"/>
          <w:b/>
          <w:bCs/>
          <w:sz w:val="28"/>
          <w:szCs w:val="28"/>
        </w:rPr>
        <w:t>编号：</w:t>
      </w:r>
    </w:p>
    <w:p>
      <w:pPr>
        <w:spacing w:line="460" w:lineRule="exact"/>
        <w:ind w:firstLine="537" w:firstLineChars="192"/>
        <w:rPr>
          <w:rFonts w:hint="eastAsia" w:ascii="宋体" w:hAnsi="宋体" w:eastAsia="宋体" w:cs="宋体"/>
          <w:sz w:val="28"/>
        </w:rPr>
      </w:pPr>
    </w:p>
    <w:p>
      <w:pPr>
        <w:pStyle w:val="15"/>
        <w:rPr>
          <w:rFonts w:hint="eastAsia"/>
        </w:rPr>
      </w:pPr>
    </w:p>
    <w:p>
      <w:pPr>
        <w:spacing w:line="460" w:lineRule="exact"/>
        <w:ind w:firstLine="537" w:firstLineChars="192"/>
        <w:rPr>
          <w:rFonts w:hint="eastAsia" w:ascii="宋体" w:hAnsi="宋体" w:eastAsia="宋体" w:cs="宋体"/>
          <w:sz w:val="28"/>
        </w:rPr>
      </w:pPr>
    </w:p>
    <w:p>
      <w:pPr>
        <w:spacing w:line="460" w:lineRule="exact"/>
        <w:ind w:firstLine="537" w:firstLineChars="192"/>
        <w:rPr>
          <w:rFonts w:hint="eastAsia" w:ascii="宋体" w:hAnsi="宋体" w:eastAsia="宋体" w:cs="宋体"/>
          <w:sz w:val="28"/>
        </w:rPr>
      </w:pPr>
    </w:p>
    <w:p>
      <w:pPr>
        <w:spacing w:line="460" w:lineRule="exact"/>
        <w:ind w:firstLine="537" w:firstLineChars="192"/>
        <w:rPr>
          <w:rFonts w:hint="eastAsia" w:ascii="宋体" w:hAnsi="宋体" w:eastAsia="宋体" w:cs="宋体"/>
          <w:sz w:val="28"/>
        </w:rPr>
      </w:pPr>
    </w:p>
    <w:p>
      <w:pPr>
        <w:spacing w:line="460" w:lineRule="exact"/>
        <w:ind w:firstLine="537" w:firstLineChars="192"/>
        <w:rPr>
          <w:rFonts w:hint="eastAsia" w:ascii="宋体" w:hAnsi="宋体" w:eastAsia="宋体" w:cs="宋体"/>
          <w:sz w:val="28"/>
        </w:rPr>
      </w:pPr>
    </w:p>
    <w:p>
      <w:pPr>
        <w:spacing w:line="460" w:lineRule="exact"/>
        <w:rPr>
          <w:rFonts w:hint="eastAsia" w:ascii="宋体" w:hAnsi="宋体" w:eastAsia="宋体" w:cs="宋体"/>
          <w:sz w:val="28"/>
        </w:rPr>
      </w:pPr>
    </w:p>
    <w:p>
      <w:pPr>
        <w:spacing w:line="460" w:lineRule="exact"/>
        <w:rPr>
          <w:rFonts w:hint="eastAsia" w:ascii="宋体" w:hAnsi="宋体" w:eastAsia="宋体" w:cs="宋体"/>
          <w:sz w:val="28"/>
        </w:rPr>
      </w:pPr>
    </w:p>
    <w:p>
      <w:pPr>
        <w:spacing w:line="460" w:lineRule="exact"/>
        <w:rPr>
          <w:rFonts w:hint="eastAsia" w:ascii="宋体" w:hAnsi="宋体" w:eastAsia="宋体" w:cs="宋体"/>
          <w:sz w:val="32"/>
        </w:rPr>
      </w:pPr>
    </w:p>
    <w:p>
      <w:pPr>
        <w:spacing w:line="480" w:lineRule="auto"/>
        <w:ind w:left="735" w:leftChars="350" w:firstLine="614" w:firstLineChars="192"/>
        <w:rPr>
          <w:rFonts w:hint="eastAsia" w:ascii="宋体" w:hAnsi="宋体" w:eastAsia="宋体" w:cs="宋体"/>
          <w:sz w:val="32"/>
        </w:rPr>
      </w:pPr>
      <w:r>
        <w:rPr>
          <w:rFonts w:hint="eastAsia" w:ascii="宋体" w:hAnsi="宋体" w:eastAsia="宋体" w:cs="宋体"/>
          <w:sz w:val="32"/>
        </w:rPr>
        <w:t>采购人：</w:t>
      </w:r>
    </w:p>
    <w:p>
      <w:pPr>
        <w:spacing w:line="480" w:lineRule="auto"/>
        <w:ind w:left="735" w:leftChars="350" w:firstLine="614" w:firstLineChars="192"/>
        <w:rPr>
          <w:rFonts w:hint="eastAsia" w:ascii="宋体" w:hAnsi="宋体" w:eastAsia="宋体" w:cs="宋体"/>
          <w:sz w:val="32"/>
        </w:rPr>
      </w:pPr>
      <w:r>
        <w:rPr>
          <w:rFonts w:hint="eastAsia" w:ascii="宋体" w:hAnsi="宋体" w:eastAsia="宋体" w:cs="宋体"/>
          <w:sz w:val="32"/>
        </w:rPr>
        <w:t>供应商</w:t>
      </w:r>
      <w:r>
        <w:rPr>
          <w:rFonts w:hint="eastAsia" w:ascii="宋体" w:hAnsi="宋体" w:eastAsia="宋体" w:cs="宋体"/>
          <w:sz w:val="30"/>
          <w:szCs w:val="30"/>
        </w:rPr>
        <w:t>名称</w:t>
      </w:r>
      <w:r>
        <w:rPr>
          <w:rFonts w:hint="eastAsia" w:ascii="宋体" w:hAnsi="宋体" w:eastAsia="宋体" w:cs="宋体"/>
          <w:sz w:val="32"/>
        </w:rPr>
        <w:t>（全称并加盖公章）：</w:t>
      </w:r>
    </w:p>
    <w:p>
      <w:pPr>
        <w:spacing w:line="480" w:lineRule="auto"/>
        <w:ind w:left="735" w:leftChars="350" w:firstLine="614" w:firstLineChars="192"/>
        <w:rPr>
          <w:rFonts w:hint="eastAsia" w:ascii="宋体" w:hAnsi="宋体" w:eastAsia="宋体" w:cs="宋体"/>
          <w:sz w:val="32"/>
        </w:rPr>
      </w:pPr>
      <w:r>
        <w:rPr>
          <w:rFonts w:hint="eastAsia" w:ascii="宋体" w:hAnsi="宋体" w:eastAsia="宋体" w:cs="宋体"/>
          <w:sz w:val="32"/>
        </w:rPr>
        <w:t>法定代表人或其委托代理人：（签名或盖章）</w:t>
      </w:r>
    </w:p>
    <w:p>
      <w:pPr>
        <w:spacing w:line="460" w:lineRule="exact"/>
        <w:ind w:left="735" w:leftChars="350" w:firstLine="614" w:firstLineChars="192"/>
        <w:rPr>
          <w:rFonts w:hint="eastAsia" w:ascii="宋体" w:hAnsi="宋体" w:eastAsia="宋体" w:cs="宋体"/>
          <w:sz w:val="32"/>
        </w:rPr>
      </w:pPr>
    </w:p>
    <w:p>
      <w:pPr>
        <w:spacing w:line="460" w:lineRule="exact"/>
        <w:rPr>
          <w:rFonts w:hint="eastAsia" w:ascii="宋体" w:hAnsi="宋体" w:eastAsia="宋体" w:cs="宋体"/>
          <w:sz w:val="32"/>
          <w:szCs w:val="32"/>
        </w:rPr>
      </w:pPr>
    </w:p>
    <w:p>
      <w:pPr>
        <w:pStyle w:val="2"/>
        <w:rPr>
          <w:rFonts w:hint="eastAsia"/>
        </w:rPr>
      </w:pPr>
    </w:p>
    <w:p>
      <w:pPr>
        <w:pStyle w:val="2"/>
        <w:rPr>
          <w:rFonts w:hint="eastAsia"/>
        </w:rPr>
      </w:pPr>
    </w:p>
    <w:p>
      <w:pPr>
        <w:spacing w:line="460" w:lineRule="exact"/>
        <w:jc w:val="center"/>
        <w:rPr>
          <w:rFonts w:hint="eastAsia" w:ascii="宋体" w:hAnsi="宋体" w:eastAsia="宋体" w:cs="宋体"/>
          <w:sz w:val="32"/>
          <w:szCs w:val="32"/>
        </w:rPr>
      </w:pPr>
    </w:p>
    <w:p>
      <w:pPr>
        <w:spacing w:line="460" w:lineRule="exact"/>
        <w:jc w:val="center"/>
        <w:rPr>
          <w:rFonts w:hint="eastAsia" w:ascii="宋体" w:hAnsi="宋体" w:eastAsia="宋体" w:cs="宋体"/>
          <w:sz w:val="32"/>
          <w:szCs w:val="32"/>
        </w:rPr>
      </w:pPr>
    </w:p>
    <w:p>
      <w:pPr>
        <w:spacing w:line="460" w:lineRule="exact"/>
        <w:jc w:val="center"/>
        <w:rPr>
          <w:rFonts w:hint="eastAsia" w:ascii="宋体" w:hAnsi="宋体" w:eastAsia="宋体" w:cs="宋体"/>
          <w:sz w:val="32"/>
          <w:szCs w:val="32"/>
        </w:rPr>
      </w:pPr>
    </w:p>
    <w:p>
      <w:pPr>
        <w:spacing w:line="460" w:lineRule="exact"/>
        <w:jc w:val="center"/>
        <w:rPr>
          <w:rFonts w:hint="eastAsia" w:ascii="宋体" w:hAnsi="宋体" w:eastAsia="宋体" w:cs="宋体"/>
          <w:sz w:val="32"/>
          <w:szCs w:val="32"/>
        </w:rPr>
      </w:pPr>
      <w:r>
        <w:rPr>
          <w:rFonts w:hint="eastAsia" w:ascii="宋体" w:hAnsi="宋体" w:eastAsia="宋体" w:cs="宋体"/>
          <w:sz w:val="32"/>
          <w:szCs w:val="32"/>
        </w:rPr>
        <w:t>目录</w:t>
      </w:r>
    </w:p>
    <w:p>
      <w:pPr>
        <w:spacing w:line="460" w:lineRule="exact"/>
        <w:jc w:val="center"/>
        <w:rPr>
          <w:rFonts w:hint="eastAsia" w:ascii="宋体" w:hAnsi="宋体" w:eastAsia="宋体" w:cs="宋体"/>
          <w:sz w:val="32"/>
          <w:szCs w:val="32"/>
        </w:rPr>
      </w:pPr>
    </w:p>
    <w:p>
      <w:pPr>
        <w:spacing w:line="460" w:lineRule="exact"/>
        <w:jc w:val="center"/>
        <w:rPr>
          <w:rFonts w:hint="eastAsia" w:ascii="宋体" w:hAnsi="宋体" w:eastAsia="宋体" w:cs="宋体"/>
          <w:sz w:val="32"/>
          <w:szCs w:val="32"/>
        </w:rPr>
      </w:pPr>
    </w:p>
    <w:p>
      <w:pPr>
        <w:spacing w:line="460" w:lineRule="exact"/>
        <w:jc w:val="center"/>
        <w:rPr>
          <w:rFonts w:hint="eastAsia" w:ascii="宋体" w:hAnsi="宋体" w:eastAsia="宋体" w:cs="宋体"/>
          <w:sz w:val="32"/>
          <w:szCs w:val="32"/>
        </w:rPr>
      </w:pPr>
    </w:p>
    <w:p>
      <w:pPr>
        <w:spacing w:line="460" w:lineRule="exact"/>
        <w:jc w:val="center"/>
        <w:rPr>
          <w:rFonts w:hint="eastAsia" w:ascii="宋体" w:hAnsi="宋体" w:eastAsia="宋体" w:cs="宋体"/>
          <w:sz w:val="32"/>
          <w:szCs w:val="32"/>
        </w:rPr>
      </w:pPr>
    </w:p>
    <w:p>
      <w:pPr>
        <w:spacing w:line="460" w:lineRule="exact"/>
        <w:jc w:val="center"/>
        <w:rPr>
          <w:rFonts w:hint="eastAsia" w:ascii="宋体" w:hAnsi="宋体" w:eastAsia="宋体" w:cs="宋体"/>
          <w:sz w:val="32"/>
          <w:szCs w:val="32"/>
        </w:rPr>
      </w:pPr>
    </w:p>
    <w:p>
      <w:pPr>
        <w:spacing w:line="460" w:lineRule="exact"/>
        <w:jc w:val="center"/>
        <w:rPr>
          <w:rFonts w:hint="eastAsia" w:ascii="宋体" w:hAnsi="宋体" w:eastAsia="宋体" w:cs="宋体"/>
          <w:sz w:val="32"/>
          <w:szCs w:val="32"/>
        </w:rPr>
      </w:pPr>
    </w:p>
    <w:p>
      <w:pPr>
        <w:spacing w:line="460" w:lineRule="exact"/>
        <w:jc w:val="center"/>
        <w:rPr>
          <w:rFonts w:hint="eastAsia" w:ascii="宋体" w:hAnsi="宋体" w:eastAsia="宋体" w:cs="宋体"/>
          <w:sz w:val="32"/>
          <w:szCs w:val="32"/>
        </w:rPr>
      </w:pPr>
    </w:p>
    <w:p>
      <w:pPr>
        <w:spacing w:line="460" w:lineRule="exact"/>
        <w:jc w:val="center"/>
        <w:rPr>
          <w:rFonts w:hint="eastAsia" w:ascii="宋体" w:hAnsi="宋体" w:eastAsia="宋体" w:cs="宋体"/>
          <w:sz w:val="32"/>
          <w:szCs w:val="32"/>
        </w:rPr>
      </w:pPr>
    </w:p>
    <w:p>
      <w:pPr>
        <w:spacing w:line="460" w:lineRule="exact"/>
        <w:jc w:val="center"/>
        <w:rPr>
          <w:rFonts w:hint="eastAsia" w:ascii="宋体" w:hAnsi="宋体" w:eastAsia="宋体" w:cs="宋体"/>
          <w:sz w:val="32"/>
          <w:szCs w:val="32"/>
        </w:rPr>
      </w:pPr>
    </w:p>
    <w:p>
      <w:pPr>
        <w:spacing w:line="460" w:lineRule="exact"/>
        <w:jc w:val="center"/>
        <w:rPr>
          <w:rFonts w:hint="eastAsia" w:ascii="宋体" w:hAnsi="宋体" w:eastAsia="宋体" w:cs="宋体"/>
          <w:sz w:val="32"/>
          <w:szCs w:val="32"/>
        </w:rPr>
      </w:pPr>
    </w:p>
    <w:p>
      <w:pPr>
        <w:spacing w:line="460" w:lineRule="exact"/>
        <w:jc w:val="center"/>
        <w:rPr>
          <w:rFonts w:hint="eastAsia" w:ascii="宋体" w:hAnsi="宋体" w:eastAsia="宋体" w:cs="宋体"/>
          <w:sz w:val="32"/>
          <w:szCs w:val="32"/>
        </w:rPr>
      </w:pPr>
    </w:p>
    <w:p>
      <w:pPr>
        <w:spacing w:line="460" w:lineRule="exact"/>
        <w:jc w:val="center"/>
        <w:rPr>
          <w:rFonts w:hint="eastAsia" w:ascii="宋体" w:hAnsi="宋体" w:eastAsia="宋体" w:cs="宋体"/>
          <w:sz w:val="32"/>
          <w:szCs w:val="32"/>
        </w:rPr>
      </w:pPr>
    </w:p>
    <w:p>
      <w:pPr>
        <w:spacing w:line="460" w:lineRule="exact"/>
        <w:jc w:val="center"/>
        <w:rPr>
          <w:rFonts w:hint="eastAsia" w:ascii="宋体" w:hAnsi="宋体" w:eastAsia="宋体" w:cs="宋体"/>
          <w:sz w:val="32"/>
          <w:szCs w:val="32"/>
        </w:rPr>
      </w:pPr>
    </w:p>
    <w:p>
      <w:pPr>
        <w:spacing w:line="460" w:lineRule="exact"/>
        <w:jc w:val="center"/>
        <w:rPr>
          <w:rFonts w:hint="eastAsia" w:ascii="宋体" w:hAnsi="宋体" w:eastAsia="宋体" w:cs="宋体"/>
          <w:sz w:val="32"/>
          <w:szCs w:val="32"/>
        </w:rPr>
      </w:pPr>
    </w:p>
    <w:p>
      <w:pPr>
        <w:spacing w:line="460" w:lineRule="exact"/>
        <w:jc w:val="center"/>
        <w:rPr>
          <w:rFonts w:hint="eastAsia" w:ascii="宋体" w:hAnsi="宋体" w:eastAsia="宋体" w:cs="宋体"/>
          <w:sz w:val="32"/>
          <w:szCs w:val="32"/>
        </w:rPr>
      </w:pPr>
    </w:p>
    <w:p>
      <w:pPr>
        <w:spacing w:line="460" w:lineRule="exact"/>
        <w:jc w:val="center"/>
        <w:rPr>
          <w:rFonts w:hint="eastAsia" w:ascii="宋体" w:hAnsi="宋体" w:eastAsia="宋体" w:cs="宋体"/>
          <w:sz w:val="32"/>
          <w:szCs w:val="32"/>
        </w:rPr>
      </w:pPr>
    </w:p>
    <w:p>
      <w:pPr>
        <w:spacing w:line="460" w:lineRule="exact"/>
        <w:jc w:val="center"/>
        <w:rPr>
          <w:rFonts w:hint="eastAsia" w:ascii="宋体" w:hAnsi="宋体" w:eastAsia="宋体" w:cs="宋体"/>
          <w:sz w:val="32"/>
          <w:szCs w:val="32"/>
        </w:rPr>
      </w:pPr>
    </w:p>
    <w:p>
      <w:pPr>
        <w:spacing w:line="460" w:lineRule="exact"/>
        <w:jc w:val="center"/>
        <w:rPr>
          <w:rFonts w:hint="eastAsia" w:ascii="宋体" w:hAnsi="宋体" w:eastAsia="宋体" w:cs="宋体"/>
          <w:sz w:val="32"/>
          <w:szCs w:val="32"/>
        </w:rPr>
      </w:pPr>
    </w:p>
    <w:p>
      <w:pPr>
        <w:spacing w:line="460" w:lineRule="exact"/>
        <w:jc w:val="center"/>
        <w:rPr>
          <w:rFonts w:hint="eastAsia" w:ascii="宋体" w:hAnsi="宋体" w:eastAsia="宋体" w:cs="宋体"/>
          <w:sz w:val="32"/>
          <w:szCs w:val="32"/>
        </w:rPr>
      </w:pPr>
    </w:p>
    <w:p>
      <w:pPr>
        <w:spacing w:line="460" w:lineRule="exact"/>
        <w:jc w:val="center"/>
        <w:rPr>
          <w:rFonts w:hint="eastAsia" w:ascii="宋体" w:hAnsi="宋体" w:eastAsia="宋体" w:cs="宋体"/>
          <w:sz w:val="32"/>
          <w:szCs w:val="32"/>
        </w:rPr>
      </w:pPr>
    </w:p>
    <w:p>
      <w:pPr>
        <w:spacing w:line="460" w:lineRule="exact"/>
        <w:jc w:val="center"/>
        <w:rPr>
          <w:rFonts w:hint="eastAsia" w:ascii="宋体" w:hAnsi="宋体" w:eastAsia="宋体" w:cs="宋体"/>
          <w:sz w:val="32"/>
          <w:szCs w:val="32"/>
        </w:rPr>
      </w:pPr>
    </w:p>
    <w:p>
      <w:pPr>
        <w:spacing w:line="460" w:lineRule="exact"/>
        <w:jc w:val="center"/>
        <w:rPr>
          <w:rFonts w:hint="eastAsia" w:ascii="宋体" w:hAnsi="宋体" w:eastAsia="宋体" w:cs="宋体"/>
          <w:sz w:val="32"/>
          <w:szCs w:val="32"/>
        </w:rPr>
      </w:pPr>
    </w:p>
    <w:p>
      <w:pPr>
        <w:spacing w:line="460" w:lineRule="exact"/>
        <w:jc w:val="center"/>
        <w:rPr>
          <w:rFonts w:hint="eastAsia" w:ascii="宋体" w:hAnsi="宋体" w:eastAsia="宋体" w:cs="宋体"/>
          <w:sz w:val="32"/>
          <w:szCs w:val="32"/>
        </w:rPr>
      </w:pPr>
    </w:p>
    <w:p>
      <w:pPr>
        <w:spacing w:line="460" w:lineRule="exact"/>
        <w:jc w:val="center"/>
        <w:rPr>
          <w:rFonts w:hint="eastAsia" w:ascii="宋体" w:hAnsi="宋体" w:eastAsia="宋体" w:cs="宋体"/>
          <w:sz w:val="32"/>
          <w:szCs w:val="32"/>
        </w:rPr>
      </w:pPr>
    </w:p>
    <w:p>
      <w:pPr>
        <w:spacing w:line="460" w:lineRule="exact"/>
        <w:jc w:val="both"/>
        <w:rPr>
          <w:rFonts w:hint="eastAsia" w:ascii="宋体" w:hAnsi="宋体" w:eastAsia="宋体" w:cs="宋体"/>
          <w:sz w:val="32"/>
          <w:szCs w:val="32"/>
        </w:rPr>
      </w:pPr>
    </w:p>
    <w:p>
      <w:pPr>
        <w:spacing w:line="460" w:lineRule="exact"/>
        <w:jc w:val="center"/>
        <w:rPr>
          <w:rFonts w:hint="eastAsia" w:ascii="宋体" w:hAnsi="宋体" w:eastAsia="宋体" w:cs="宋体"/>
          <w:sz w:val="32"/>
          <w:szCs w:val="32"/>
        </w:rPr>
      </w:pPr>
    </w:p>
    <w:p>
      <w:pPr>
        <w:pStyle w:val="2"/>
        <w:rPr>
          <w:rFonts w:hint="eastAsia"/>
        </w:rPr>
      </w:pPr>
    </w:p>
    <w:p>
      <w:pPr>
        <w:spacing w:line="460" w:lineRule="exact"/>
        <w:rPr>
          <w:rFonts w:hint="eastAsia" w:ascii="宋体" w:hAnsi="宋体" w:eastAsia="宋体" w:cs="宋体"/>
          <w:sz w:val="32"/>
          <w:szCs w:val="32"/>
        </w:rPr>
      </w:pPr>
    </w:p>
    <w:p>
      <w:pPr>
        <w:pStyle w:val="5"/>
        <w:keepNext/>
        <w:keepLines/>
        <w:pageBreakBefore w:val="0"/>
        <w:widowControl w:val="0"/>
        <w:numPr>
          <w:ilvl w:val="0"/>
          <w:numId w:val="18"/>
        </w:numPr>
        <w:kinsoku/>
        <w:wordWrap/>
        <w:overflowPunct/>
        <w:topLinePunct w:val="0"/>
        <w:autoSpaceDE/>
        <w:autoSpaceDN/>
        <w:bidi w:val="0"/>
        <w:adjustRightInd/>
        <w:snapToGrid/>
        <w:spacing w:before="0" w:beforeLines="0" w:after="0" w:afterLines="0" w:line="360" w:lineRule="auto"/>
        <w:jc w:val="center"/>
        <w:textAlignment w:val="auto"/>
        <w:outlineLvl w:val="0"/>
        <w:rPr>
          <w:rFonts w:hint="eastAsia" w:ascii="宋体" w:hAnsi="宋体" w:eastAsia="宋体" w:cs="宋体"/>
          <w:sz w:val="32"/>
          <w:szCs w:val="32"/>
        </w:rPr>
      </w:pPr>
      <w:bookmarkStart w:id="100" w:name="_Toc22461"/>
      <w:bookmarkStart w:id="101" w:name="_Toc17218"/>
      <w:bookmarkStart w:id="102" w:name="_Toc530584396"/>
      <w:bookmarkStart w:id="103" w:name="_Toc12304"/>
      <w:bookmarkStart w:id="104" w:name="_Toc23451"/>
      <w:bookmarkStart w:id="105" w:name="_Toc26310"/>
      <w:bookmarkStart w:id="106" w:name="_Toc373230035"/>
      <w:bookmarkStart w:id="107" w:name="_Toc408816353"/>
      <w:bookmarkStart w:id="108" w:name="_Toc374512423"/>
      <w:bookmarkStart w:id="109" w:name="_Toc487805929"/>
      <w:bookmarkStart w:id="110" w:name="_Toc3023"/>
      <w:bookmarkStart w:id="111" w:name="_Toc490161460"/>
      <w:bookmarkStart w:id="112" w:name="_Toc477423253"/>
      <w:r>
        <w:rPr>
          <w:rFonts w:hint="eastAsia" w:ascii="宋体" w:hAnsi="宋体" w:eastAsia="宋体" w:cs="宋体"/>
          <w:sz w:val="32"/>
          <w:szCs w:val="32"/>
          <w:lang w:eastAsia="zh-CN"/>
        </w:rPr>
        <w:t>磋商</w:t>
      </w:r>
      <w:r>
        <w:rPr>
          <w:rFonts w:hint="eastAsia" w:ascii="宋体" w:hAnsi="宋体" w:eastAsia="宋体" w:cs="宋体"/>
          <w:sz w:val="32"/>
          <w:szCs w:val="32"/>
        </w:rPr>
        <w:t>承诺函</w:t>
      </w:r>
      <w:bookmarkEnd w:id="100"/>
      <w:bookmarkEnd w:id="101"/>
      <w:bookmarkEnd w:id="102"/>
      <w:bookmarkEnd w:id="103"/>
      <w:bookmarkEnd w:id="104"/>
    </w:p>
    <w:p>
      <w:pPr>
        <w:adjustRightInd w:val="0"/>
        <w:spacing w:line="360" w:lineRule="auto"/>
        <w:jc w:val="left"/>
        <w:textAlignment w:val="baseline"/>
        <w:rPr>
          <w:rFonts w:hint="eastAsia" w:ascii="宋体" w:hAnsi="宋体" w:eastAsia="宋体" w:cs="宋体"/>
          <w:sz w:val="24"/>
          <w:szCs w:val="24"/>
        </w:rPr>
      </w:pPr>
      <w:r>
        <w:rPr>
          <w:rFonts w:hint="eastAsia" w:ascii="宋体" w:hAnsi="宋体" w:eastAsia="宋体" w:cs="宋体"/>
          <w:sz w:val="24"/>
          <w:szCs w:val="24"/>
        </w:rPr>
        <w:t>致（采购人及采购代理机构）：</w:t>
      </w:r>
    </w:p>
    <w:p>
      <w:pPr>
        <w:adjustRightInd w:val="0"/>
        <w:spacing w:line="360" w:lineRule="auto"/>
        <w:ind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我公司作为</w:t>
      </w:r>
      <w:r>
        <w:rPr>
          <w:rFonts w:hint="eastAsia" w:ascii="宋体" w:hAnsi="宋体" w:eastAsia="宋体" w:cs="宋体"/>
          <w:sz w:val="24"/>
          <w:szCs w:val="24"/>
          <w:u w:val="single"/>
        </w:rPr>
        <w:t xml:space="preserve">         </w:t>
      </w:r>
      <w:r>
        <w:rPr>
          <w:rFonts w:hint="eastAsia" w:ascii="宋体" w:hAnsi="宋体" w:eastAsia="宋体" w:cs="宋体"/>
          <w:sz w:val="24"/>
          <w:szCs w:val="24"/>
        </w:rPr>
        <w:t>项目</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 xml:space="preserve"> 包</w:t>
      </w:r>
      <w:r>
        <w:rPr>
          <w:rFonts w:hint="eastAsia" w:ascii="宋体" w:hAnsi="宋体" w:eastAsia="宋体" w:cs="宋体"/>
          <w:sz w:val="24"/>
          <w:szCs w:val="24"/>
        </w:rPr>
        <w:t>（</w:t>
      </w:r>
      <w:r>
        <w:rPr>
          <w:rFonts w:hint="eastAsia" w:ascii="宋体" w:hAnsi="宋体" w:eastAsia="宋体" w:cs="宋体"/>
          <w:sz w:val="24"/>
          <w:szCs w:val="24"/>
          <w:lang w:eastAsia="zh-CN"/>
        </w:rPr>
        <w:t>项目编号</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）的供应商，根据</w:t>
      </w:r>
      <w:r>
        <w:rPr>
          <w:rFonts w:hint="eastAsia" w:ascii="宋体" w:hAnsi="宋体" w:eastAsia="宋体" w:cs="宋体"/>
          <w:sz w:val="24"/>
          <w:szCs w:val="24"/>
          <w:lang w:eastAsia="zh-CN"/>
        </w:rPr>
        <w:t>竞争性磋商文件</w:t>
      </w:r>
      <w:r>
        <w:rPr>
          <w:rFonts w:hint="eastAsia" w:ascii="宋体" w:hAnsi="宋体" w:eastAsia="宋体" w:cs="宋体"/>
          <w:sz w:val="24"/>
          <w:szCs w:val="24"/>
        </w:rPr>
        <w:t>要求，现郑重承诺如下：</w:t>
      </w:r>
    </w:p>
    <w:p>
      <w:pPr>
        <w:adjustRightInd w:val="0"/>
        <w:spacing w:line="360" w:lineRule="auto"/>
        <w:ind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一、具备《中华人民共和国政府采购法》第二十二条第一款和本项目规定的条件。</w:t>
      </w:r>
    </w:p>
    <w:p>
      <w:pPr>
        <w:adjustRightInd w:val="0"/>
        <w:spacing w:line="360" w:lineRule="auto"/>
        <w:ind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二、我公司同意按</w:t>
      </w:r>
      <w:r>
        <w:rPr>
          <w:rFonts w:hint="eastAsia" w:ascii="宋体" w:hAnsi="宋体" w:eastAsia="宋体" w:cs="宋体"/>
          <w:sz w:val="24"/>
          <w:szCs w:val="24"/>
          <w:lang w:eastAsia="zh-CN"/>
        </w:rPr>
        <w:t>竞争性磋商文件</w:t>
      </w:r>
      <w:r>
        <w:rPr>
          <w:rFonts w:hint="eastAsia" w:ascii="宋体" w:hAnsi="宋体" w:eastAsia="宋体" w:cs="宋体"/>
          <w:sz w:val="24"/>
          <w:szCs w:val="24"/>
        </w:rPr>
        <w:t>中的规定，认定本项目</w:t>
      </w:r>
      <w:r>
        <w:rPr>
          <w:rFonts w:hint="eastAsia" w:ascii="宋体" w:hAnsi="宋体" w:eastAsia="宋体" w:cs="宋体"/>
          <w:sz w:val="24"/>
          <w:szCs w:val="24"/>
          <w:lang w:eastAsia="zh-CN"/>
        </w:rPr>
        <w:t>磋商</w:t>
      </w:r>
      <w:r>
        <w:rPr>
          <w:rFonts w:hint="eastAsia" w:ascii="宋体" w:hAnsi="宋体" w:eastAsia="宋体" w:cs="宋体"/>
          <w:sz w:val="24"/>
          <w:szCs w:val="24"/>
        </w:rPr>
        <w:t>有效期为</w:t>
      </w:r>
      <w:r>
        <w:rPr>
          <w:rFonts w:hint="eastAsia" w:ascii="宋体" w:hAnsi="宋体" w:eastAsia="宋体" w:cs="宋体"/>
          <w:sz w:val="24"/>
          <w:szCs w:val="24"/>
          <w:u w:val="single"/>
        </w:rPr>
        <w:t xml:space="preserve">     </w:t>
      </w:r>
      <w:r>
        <w:rPr>
          <w:rFonts w:hint="eastAsia" w:ascii="宋体" w:hAnsi="宋体" w:eastAsia="宋体" w:cs="宋体"/>
          <w:sz w:val="24"/>
          <w:szCs w:val="24"/>
        </w:rPr>
        <w:t>日历天。</w:t>
      </w:r>
    </w:p>
    <w:p>
      <w:pPr>
        <w:adjustRightInd w:val="0"/>
        <w:spacing w:line="360" w:lineRule="auto"/>
        <w:ind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三、完全接受和满足本项目</w:t>
      </w:r>
      <w:r>
        <w:rPr>
          <w:rFonts w:hint="eastAsia" w:ascii="宋体" w:hAnsi="宋体" w:eastAsia="宋体" w:cs="宋体"/>
          <w:sz w:val="24"/>
          <w:szCs w:val="24"/>
          <w:lang w:eastAsia="zh-CN"/>
        </w:rPr>
        <w:t>竞争性磋商文件</w:t>
      </w:r>
      <w:r>
        <w:rPr>
          <w:rFonts w:hint="eastAsia" w:ascii="宋体" w:hAnsi="宋体" w:eastAsia="宋体" w:cs="宋体"/>
          <w:sz w:val="24"/>
          <w:szCs w:val="24"/>
        </w:rPr>
        <w:t>中的规定，如对</w:t>
      </w:r>
      <w:r>
        <w:rPr>
          <w:rFonts w:hint="eastAsia" w:ascii="宋体" w:hAnsi="宋体" w:eastAsia="宋体" w:cs="宋体"/>
          <w:sz w:val="24"/>
          <w:szCs w:val="24"/>
          <w:lang w:eastAsia="zh-CN"/>
        </w:rPr>
        <w:t>竞争性磋商文件</w:t>
      </w:r>
      <w:r>
        <w:rPr>
          <w:rFonts w:hint="eastAsia" w:ascii="宋体" w:hAnsi="宋体" w:eastAsia="宋体" w:cs="宋体"/>
          <w:sz w:val="24"/>
          <w:szCs w:val="24"/>
        </w:rPr>
        <w:t>有异议，已经在响应文件提交截止时间前依法进行维权救济，不存在对</w:t>
      </w:r>
      <w:r>
        <w:rPr>
          <w:rFonts w:hint="eastAsia" w:ascii="宋体" w:hAnsi="宋体" w:eastAsia="宋体" w:cs="宋体"/>
          <w:sz w:val="24"/>
          <w:szCs w:val="24"/>
          <w:lang w:eastAsia="zh-CN"/>
        </w:rPr>
        <w:t>竞争性磋商文件</w:t>
      </w:r>
      <w:r>
        <w:rPr>
          <w:rFonts w:hint="eastAsia" w:ascii="宋体" w:hAnsi="宋体" w:eastAsia="宋体" w:cs="宋体"/>
          <w:sz w:val="24"/>
          <w:szCs w:val="24"/>
        </w:rPr>
        <w:t>有异议的同时又参加</w:t>
      </w:r>
      <w:r>
        <w:rPr>
          <w:rFonts w:hint="eastAsia" w:ascii="宋体" w:hAnsi="宋体" w:eastAsia="宋体" w:cs="宋体"/>
          <w:bCs/>
          <w:color w:val="auto"/>
          <w:sz w:val="24"/>
          <w:szCs w:val="24"/>
          <w:lang w:eastAsia="zh-CN"/>
        </w:rPr>
        <w:t>磋商</w:t>
      </w:r>
      <w:r>
        <w:rPr>
          <w:rFonts w:hint="eastAsia" w:ascii="宋体" w:hAnsi="宋体" w:eastAsia="宋体" w:cs="宋体"/>
          <w:sz w:val="24"/>
          <w:szCs w:val="24"/>
        </w:rPr>
        <w:t>以求侥幸成交或者为实现其他非法目的的行为。</w:t>
      </w:r>
    </w:p>
    <w:p>
      <w:pPr>
        <w:adjustRightInd w:val="0"/>
        <w:spacing w:line="360" w:lineRule="auto"/>
        <w:ind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四、参加本次采购活动，不存在与单位负责人为同一人或者存在直接控股、管理关系的其他供应商参与同一合同项下的政府采购活动的行为。    </w:t>
      </w:r>
    </w:p>
    <w:p>
      <w:pPr>
        <w:adjustRightInd w:val="0"/>
        <w:spacing w:line="360" w:lineRule="auto"/>
        <w:ind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五、参加本次采购活动，不存在为采购项目提供整体设计、规范编制或者项目管理、监理、检测等服务的行为。</w:t>
      </w:r>
    </w:p>
    <w:p>
      <w:pPr>
        <w:adjustRightInd w:val="0"/>
        <w:spacing w:line="360" w:lineRule="auto"/>
        <w:ind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六、参加本次采购活动，不存在和其他供应商在同一合同项下的采购项目中，同时委托同一个自然人、同一家庭的人员、同一单位的人员作为代理人的行为。</w:t>
      </w:r>
    </w:p>
    <w:p>
      <w:pPr>
        <w:adjustRightInd w:val="0"/>
        <w:spacing w:line="360" w:lineRule="auto"/>
        <w:ind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七、供应商和其法定代表人及其委托代理人没有行贿犯罪行为。</w:t>
      </w:r>
    </w:p>
    <w:p>
      <w:pPr>
        <w:adjustRightInd w:val="0"/>
        <w:spacing w:line="360" w:lineRule="auto"/>
        <w:ind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  </w:t>
      </w:r>
    </w:p>
    <w:p>
      <w:pPr>
        <w:pStyle w:val="32"/>
        <w:shd w:val="clear" w:color="auto" w:fill="FFFFFF"/>
        <w:spacing w:before="0" w:beforeLines="0" w:beforeAutospacing="0" w:after="0" w:afterLines="0" w:afterAutospacing="0" w:line="360" w:lineRule="auto"/>
        <w:rPr>
          <w:rFonts w:hint="eastAsia" w:ascii="宋体" w:hAnsi="宋体" w:eastAsia="宋体" w:cs="宋体"/>
          <w:color w:val="333333"/>
          <w:spacing w:val="8"/>
          <w:sz w:val="24"/>
          <w:szCs w:val="24"/>
        </w:rPr>
      </w:pPr>
      <w:r>
        <w:rPr>
          <w:rFonts w:hint="eastAsia" w:ascii="宋体" w:hAnsi="宋体" w:eastAsia="宋体" w:cs="宋体"/>
          <w:color w:val="333333"/>
          <w:spacing w:val="8"/>
          <w:sz w:val="24"/>
          <w:szCs w:val="24"/>
          <w:shd w:val="clear" w:color="auto" w:fill="FFFFFF"/>
        </w:rPr>
        <w:t>       </w:t>
      </w:r>
    </w:p>
    <w:p>
      <w:pPr>
        <w:adjustRightInd w:val="0"/>
        <w:spacing w:line="360" w:lineRule="auto"/>
        <w:ind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与本</w:t>
      </w:r>
      <w:r>
        <w:rPr>
          <w:rFonts w:hint="eastAsia" w:ascii="宋体" w:hAnsi="宋体" w:eastAsia="宋体" w:cs="宋体"/>
          <w:bCs/>
          <w:color w:val="auto"/>
          <w:sz w:val="24"/>
          <w:szCs w:val="24"/>
          <w:lang w:eastAsia="zh-CN"/>
        </w:rPr>
        <w:t>磋商</w:t>
      </w:r>
      <w:r>
        <w:rPr>
          <w:rFonts w:hint="eastAsia" w:ascii="宋体" w:hAnsi="宋体" w:eastAsia="宋体" w:cs="宋体"/>
          <w:sz w:val="24"/>
          <w:szCs w:val="24"/>
        </w:rPr>
        <w:t>有关的一切往来通讯请寄</w:t>
      </w:r>
    </w:p>
    <w:p>
      <w:pPr>
        <w:adjustRightInd w:val="0"/>
        <w:spacing w:line="360" w:lineRule="auto"/>
        <w:ind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 xml:space="preserve">地址：                     电话： </w:t>
      </w:r>
    </w:p>
    <w:p>
      <w:pPr>
        <w:adjustRightInd w:val="0"/>
        <w:spacing w:line="360" w:lineRule="auto"/>
        <w:ind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电子邮箱：</w:t>
      </w:r>
    </w:p>
    <w:p>
      <w:pPr>
        <w:adjustRightInd w:val="0"/>
        <w:spacing w:line="360" w:lineRule="auto"/>
        <w:ind w:firstLine="2040" w:firstLineChars="850"/>
        <w:jc w:val="left"/>
        <w:textAlignment w:val="baseline"/>
        <w:rPr>
          <w:rFonts w:hint="eastAsia" w:ascii="宋体" w:hAnsi="宋体" w:eastAsia="宋体" w:cs="宋体"/>
          <w:sz w:val="24"/>
          <w:szCs w:val="24"/>
        </w:rPr>
      </w:pPr>
    </w:p>
    <w:p>
      <w:pPr>
        <w:adjustRightInd w:val="0"/>
        <w:spacing w:line="360" w:lineRule="auto"/>
        <w:ind w:firstLine="2040" w:firstLineChars="850"/>
        <w:jc w:val="left"/>
        <w:textAlignment w:val="baseline"/>
        <w:rPr>
          <w:rFonts w:hint="eastAsia" w:ascii="宋体" w:hAnsi="宋体" w:eastAsia="宋体" w:cs="宋体"/>
          <w:sz w:val="24"/>
          <w:szCs w:val="24"/>
        </w:rPr>
      </w:pPr>
      <w:r>
        <w:rPr>
          <w:rFonts w:hint="eastAsia" w:ascii="宋体" w:hAnsi="宋体" w:eastAsia="宋体" w:cs="宋体"/>
          <w:sz w:val="24"/>
          <w:szCs w:val="24"/>
        </w:rPr>
        <w:t xml:space="preserve">                     供应商名称（全称并加盖公章）：</w:t>
      </w:r>
    </w:p>
    <w:p>
      <w:pPr>
        <w:adjustRightInd w:val="0"/>
        <w:spacing w:line="360" w:lineRule="auto"/>
        <w:ind w:firstLine="2040" w:firstLineChars="850"/>
        <w:jc w:val="left"/>
        <w:textAlignment w:val="baseline"/>
        <w:rPr>
          <w:rFonts w:hint="eastAsia" w:ascii="宋体" w:hAnsi="宋体" w:eastAsia="宋体" w:cs="宋体"/>
          <w:sz w:val="24"/>
          <w:szCs w:val="24"/>
        </w:rPr>
      </w:pPr>
      <w:r>
        <w:rPr>
          <w:rFonts w:hint="eastAsia" w:ascii="宋体" w:hAnsi="宋体" w:eastAsia="宋体" w:cs="宋体"/>
          <w:sz w:val="24"/>
          <w:szCs w:val="24"/>
        </w:rPr>
        <w:t xml:space="preserve">                     法定代表人或其委托代理人（签</w:t>
      </w:r>
      <w:r>
        <w:rPr>
          <w:rFonts w:hint="eastAsia" w:ascii="宋体" w:hAnsi="宋体" w:eastAsia="宋体" w:cs="宋体"/>
          <w:sz w:val="24"/>
          <w:szCs w:val="24"/>
          <w:lang w:eastAsia="zh-CN"/>
        </w:rPr>
        <w:t>名或盖章</w:t>
      </w:r>
      <w:r>
        <w:rPr>
          <w:rFonts w:hint="eastAsia" w:ascii="宋体" w:hAnsi="宋体" w:eastAsia="宋体" w:cs="宋体"/>
          <w:sz w:val="24"/>
          <w:szCs w:val="24"/>
        </w:rPr>
        <w:t>）：</w:t>
      </w:r>
    </w:p>
    <w:p>
      <w:pPr>
        <w:adjustRightInd w:val="0"/>
        <w:spacing w:line="360" w:lineRule="auto"/>
        <w:ind w:firstLine="2040" w:firstLineChars="850"/>
        <w:jc w:val="left"/>
        <w:textAlignment w:val="baseline"/>
        <w:rPr>
          <w:rFonts w:hint="eastAsia" w:ascii="宋体" w:hAnsi="宋体" w:eastAsia="宋体" w:cs="宋体"/>
          <w:sz w:val="24"/>
          <w:szCs w:val="24"/>
        </w:rPr>
      </w:pPr>
      <w:r>
        <w:rPr>
          <w:rFonts w:hint="eastAsia" w:ascii="宋体" w:hAnsi="宋体" w:eastAsia="宋体" w:cs="宋体"/>
          <w:sz w:val="24"/>
          <w:szCs w:val="24"/>
        </w:rPr>
        <w:t xml:space="preserve">                     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adjustRightInd w:val="0"/>
        <w:spacing w:line="360" w:lineRule="auto"/>
        <w:ind w:firstLine="2040" w:firstLineChars="850"/>
        <w:jc w:val="left"/>
        <w:textAlignment w:val="baseline"/>
        <w:rPr>
          <w:rFonts w:hint="eastAsia" w:ascii="宋体" w:hAnsi="宋体" w:eastAsia="宋体" w:cs="宋体"/>
          <w:sz w:val="24"/>
          <w:szCs w:val="24"/>
        </w:rPr>
      </w:pPr>
    </w:p>
    <w:p>
      <w:pPr>
        <w:adjustRightInd w:val="0"/>
        <w:spacing w:line="330" w:lineRule="exact"/>
        <w:ind w:firstLine="1785" w:firstLineChars="850"/>
        <w:jc w:val="left"/>
        <w:textAlignment w:val="baseline"/>
        <w:rPr>
          <w:rFonts w:hint="eastAsia" w:ascii="宋体" w:hAnsi="宋体" w:eastAsia="宋体" w:cs="宋体"/>
          <w:szCs w:val="21"/>
        </w:rPr>
      </w:pPr>
    </w:p>
    <w:p>
      <w:pPr>
        <w:adjustRightInd w:val="0"/>
        <w:spacing w:line="330" w:lineRule="exact"/>
        <w:ind w:firstLine="1785" w:firstLineChars="850"/>
        <w:jc w:val="left"/>
        <w:textAlignment w:val="baseline"/>
        <w:rPr>
          <w:rFonts w:hint="eastAsia" w:ascii="宋体" w:hAnsi="宋体" w:eastAsia="宋体" w:cs="宋体"/>
          <w:szCs w:val="21"/>
        </w:rPr>
      </w:pPr>
    </w:p>
    <w:p>
      <w:pPr>
        <w:adjustRightInd w:val="0"/>
        <w:spacing w:line="330" w:lineRule="exact"/>
        <w:ind w:firstLine="1785" w:firstLineChars="850"/>
        <w:jc w:val="left"/>
        <w:textAlignment w:val="baseline"/>
        <w:rPr>
          <w:rFonts w:hint="eastAsia" w:ascii="宋体" w:hAnsi="宋体" w:eastAsia="宋体" w:cs="宋体"/>
          <w:szCs w:val="21"/>
        </w:rPr>
      </w:pPr>
      <w:r>
        <w:rPr>
          <w:rFonts w:hint="eastAsia" w:ascii="宋体" w:hAnsi="宋体" w:eastAsia="宋体" w:cs="宋体"/>
          <w:szCs w:val="21"/>
        </w:rPr>
        <w:t xml:space="preserve">  </w:t>
      </w:r>
    </w:p>
    <w:p>
      <w:pPr>
        <w:adjustRightInd w:val="0"/>
        <w:spacing w:line="330" w:lineRule="exact"/>
        <w:jc w:val="left"/>
        <w:textAlignment w:val="baseline"/>
        <w:rPr>
          <w:rFonts w:hint="eastAsia" w:ascii="宋体" w:hAnsi="宋体" w:eastAsia="宋体" w:cs="宋体"/>
          <w:szCs w:val="21"/>
        </w:rPr>
      </w:pPr>
    </w:p>
    <w:p>
      <w:pPr>
        <w:adjustRightInd w:val="0"/>
        <w:spacing w:line="330" w:lineRule="exact"/>
        <w:ind w:firstLine="1785" w:firstLineChars="850"/>
        <w:jc w:val="left"/>
        <w:textAlignment w:val="baseline"/>
        <w:rPr>
          <w:rFonts w:hint="eastAsia" w:ascii="宋体" w:hAnsi="宋体" w:eastAsia="宋体" w:cs="宋体"/>
          <w:szCs w:val="21"/>
        </w:rPr>
      </w:pPr>
    </w:p>
    <w:p>
      <w:pPr>
        <w:pStyle w:val="5"/>
        <w:keepNext/>
        <w:keepLines/>
        <w:pageBreakBefore w:val="0"/>
        <w:widowControl w:val="0"/>
        <w:numPr>
          <w:ilvl w:val="0"/>
          <w:numId w:val="18"/>
        </w:numPr>
        <w:kinsoku/>
        <w:wordWrap/>
        <w:overflowPunct/>
        <w:topLinePunct w:val="0"/>
        <w:autoSpaceDE/>
        <w:autoSpaceDN/>
        <w:bidi w:val="0"/>
        <w:adjustRightInd/>
        <w:snapToGrid/>
        <w:spacing w:before="0" w:beforeLines="0" w:after="0" w:afterLines="0" w:line="360" w:lineRule="auto"/>
        <w:jc w:val="center"/>
        <w:textAlignment w:val="auto"/>
        <w:outlineLvl w:val="0"/>
        <w:rPr>
          <w:rFonts w:hint="eastAsia" w:ascii="宋体" w:hAnsi="宋体" w:eastAsia="宋体" w:cs="宋体"/>
          <w:sz w:val="32"/>
          <w:szCs w:val="32"/>
          <w:lang w:eastAsia="zh-CN"/>
        </w:rPr>
      </w:pPr>
      <w:bookmarkStart w:id="113" w:name="_Toc4067"/>
      <w:bookmarkStart w:id="114" w:name="_Toc438"/>
      <w:bookmarkStart w:id="115" w:name="_Toc13659"/>
      <w:bookmarkStart w:id="116" w:name="_Toc32512"/>
      <w:r>
        <w:rPr>
          <w:rFonts w:hint="eastAsia" w:ascii="宋体" w:hAnsi="宋体" w:eastAsia="宋体" w:cs="宋体"/>
          <w:sz w:val="32"/>
          <w:szCs w:val="32"/>
          <w:lang w:eastAsia="zh-CN"/>
        </w:rPr>
        <w:t>承诺书</w:t>
      </w:r>
      <w:bookmarkEnd w:id="113"/>
      <w:bookmarkEnd w:id="114"/>
      <w:bookmarkEnd w:id="115"/>
      <w:bookmarkEnd w:id="116"/>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致（采购人及采购代理机构）：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  我公司作为</w:t>
      </w:r>
      <w:r>
        <w:rPr>
          <w:rFonts w:hint="eastAsia" w:ascii="宋体" w:hAnsi="宋体" w:eastAsia="宋体" w:cs="宋体"/>
          <w:sz w:val="24"/>
          <w:szCs w:val="24"/>
          <w:u w:val="single"/>
        </w:rPr>
        <w:t xml:space="preserve">         </w:t>
      </w:r>
      <w:r>
        <w:rPr>
          <w:rFonts w:hint="eastAsia" w:ascii="宋体" w:hAnsi="宋体" w:eastAsia="宋体" w:cs="宋体"/>
          <w:sz w:val="24"/>
          <w:szCs w:val="24"/>
        </w:rPr>
        <w:t>项目</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 xml:space="preserve"> 包</w:t>
      </w:r>
      <w:r>
        <w:rPr>
          <w:rFonts w:hint="eastAsia" w:ascii="宋体" w:hAnsi="宋体" w:eastAsia="宋体" w:cs="宋体"/>
          <w:sz w:val="24"/>
          <w:szCs w:val="24"/>
        </w:rPr>
        <w:t>（</w:t>
      </w:r>
      <w:r>
        <w:rPr>
          <w:rFonts w:hint="eastAsia" w:ascii="宋体" w:hAnsi="宋体" w:eastAsia="宋体" w:cs="宋体"/>
          <w:sz w:val="24"/>
          <w:szCs w:val="24"/>
          <w:lang w:eastAsia="zh-CN"/>
        </w:rPr>
        <w:t>项目编号</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）的供应商，现郑重承诺如下：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rPr>
      </w:pPr>
      <w:r>
        <w:rPr>
          <w:rFonts w:hint="eastAsia" w:ascii="宋体" w:hAnsi="宋体" w:cs="宋体"/>
          <w:sz w:val="24"/>
          <w:szCs w:val="24"/>
        </w:rPr>
        <w:t>在本次采购活动中，我公司存在下列情形之一的，自愿向采购人缴纳</w:t>
      </w:r>
      <w:r>
        <w:rPr>
          <w:rFonts w:hint="eastAsia" w:ascii="宋体" w:hAnsi="宋体" w:cs="宋体"/>
          <w:sz w:val="24"/>
          <w:szCs w:val="24"/>
          <w:lang w:eastAsia="zh-CN"/>
        </w:rPr>
        <w:t>本竞争性磋商文件第二章供应商须知前附表中规定的磋商</w:t>
      </w:r>
      <w:r>
        <w:rPr>
          <w:rFonts w:hint="eastAsia" w:ascii="宋体" w:hAnsi="宋体" w:cs="宋体"/>
          <w:sz w:val="24"/>
          <w:szCs w:val="24"/>
        </w:rPr>
        <w:t>保证金</w:t>
      </w:r>
      <w:r>
        <w:rPr>
          <w:rFonts w:hint="eastAsia" w:ascii="宋体" w:hAnsi="宋体" w:cs="宋体"/>
          <w:sz w:val="24"/>
          <w:szCs w:val="24"/>
          <w:lang w:eastAsia="zh-CN"/>
        </w:rPr>
        <w:t>金额</w:t>
      </w:r>
      <w:r>
        <w:rPr>
          <w:rFonts w:hint="eastAsia" w:ascii="宋体" w:hAnsi="宋体" w:cs="宋体"/>
          <w:sz w:val="24"/>
          <w:szCs w:val="24"/>
        </w:rPr>
        <w:t>，由采购人没收，因此产生的一切后果和责任由我公司承担，我公司放弃对此提出的任何异议和权利：</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（1）在提交响应文件截止时间后或</w:t>
      </w:r>
      <w:r>
        <w:rPr>
          <w:rFonts w:hint="eastAsia" w:ascii="宋体" w:hAnsi="宋体" w:eastAsia="宋体" w:cs="宋体"/>
          <w:bCs/>
          <w:color w:val="auto"/>
          <w:sz w:val="24"/>
          <w:szCs w:val="24"/>
          <w:lang w:eastAsia="zh-CN"/>
        </w:rPr>
        <w:t>磋商</w:t>
      </w:r>
      <w:r>
        <w:rPr>
          <w:rFonts w:hint="eastAsia" w:ascii="宋体" w:hAnsi="宋体" w:eastAsia="宋体" w:cs="宋体"/>
          <w:sz w:val="24"/>
          <w:szCs w:val="24"/>
        </w:rPr>
        <w:t>有效期内撤回响应文件的；</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（2）在响应文件中提供虚假材料的；</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（3）如我公司成交，除因不可抗力或</w:t>
      </w:r>
      <w:r>
        <w:rPr>
          <w:rFonts w:hint="eastAsia" w:ascii="宋体" w:hAnsi="宋体" w:eastAsia="宋体" w:cs="宋体"/>
          <w:sz w:val="24"/>
          <w:szCs w:val="24"/>
          <w:lang w:eastAsia="zh-CN"/>
        </w:rPr>
        <w:t>竞争性磋商文件</w:t>
      </w:r>
      <w:r>
        <w:rPr>
          <w:rFonts w:hint="eastAsia" w:ascii="宋体" w:hAnsi="宋体" w:eastAsia="宋体" w:cs="宋体"/>
          <w:sz w:val="24"/>
          <w:szCs w:val="24"/>
        </w:rPr>
        <w:t>认可的情形以外，我公司不与采购人签订合同的；</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（4）我公司与采购人、其他供应商或者采购代理机构恶意串通的。</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特此承诺</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p>
    <w:p>
      <w:pPr>
        <w:adjustRightInd w:val="0"/>
        <w:spacing w:line="360" w:lineRule="auto"/>
        <w:ind w:firstLine="2040" w:firstLineChars="850"/>
        <w:jc w:val="left"/>
        <w:textAlignment w:val="baseline"/>
        <w:rPr>
          <w:rFonts w:hint="eastAsia" w:ascii="宋体" w:hAnsi="宋体" w:eastAsia="宋体" w:cs="宋体"/>
          <w:sz w:val="24"/>
          <w:szCs w:val="24"/>
        </w:rPr>
      </w:pPr>
      <w:r>
        <w:rPr>
          <w:rFonts w:hint="eastAsia" w:ascii="宋体" w:hAnsi="宋体" w:eastAsia="宋体" w:cs="宋体"/>
          <w:sz w:val="24"/>
          <w:szCs w:val="24"/>
        </w:rPr>
        <w:t xml:space="preserve">                  供应商名称（全称并加盖公章）：</w:t>
      </w:r>
    </w:p>
    <w:p>
      <w:pPr>
        <w:adjustRightInd w:val="0"/>
        <w:spacing w:line="360" w:lineRule="auto"/>
        <w:ind w:firstLine="2040" w:firstLineChars="850"/>
        <w:jc w:val="left"/>
        <w:textAlignment w:val="baseline"/>
        <w:rPr>
          <w:rFonts w:hint="eastAsia" w:ascii="宋体" w:hAnsi="宋体" w:eastAsia="宋体" w:cs="宋体"/>
          <w:sz w:val="24"/>
          <w:szCs w:val="24"/>
        </w:rPr>
      </w:pPr>
    </w:p>
    <w:p>
      <w:pPr>
        <w:adjustRightInd w:val="0"/>
        <w:spacing w:line="360" w:lineRule="auto"/>
        <w:ind w:firstLine="2040" w:firstLineChars="850"/>
        <w:jc w:val="left"/>
        <w:textAlignment w:val="baseline"/>
        <w:rPr>
          <w:rFonts w:hint="eastAsia" w:ascii="宋体" w:hAnsi="宋体" w:eastAsia="宋体" w:cs="宋体"/>
          <w:sz w:val="24"/>
          <w:szCs w:val="24"/>
        </w:rPr>
      </w:pPr>
      <w:r>
        <w:rPr>
          <w:rFonts w:hint="eastAsia" w:ascii="宋体" w:hAnsi="宋体" w:eastAsia="宋体" w:cs="宋体"/>
          <w:sz w:val="24"/>
          <w:szCs w:val="24"/>
        </w:rPr>
        <w:t xml:space="preserve">                  法定代表人或其委托代理人（签</w:t>
      </w:r>
      <w:r>
        <w:rPr>
          <w:rFonts w:hint="eastAsia" w:ascii="宋体" w:hAnsi="宋体" w:eastAsia="宋体" w:cs="宋体"/>
          <w:sz w:val="24"/>
          <w:szCs w:val="24"/>
          <w:lang w:eastAsia="zh-CN"/>
        </w:rPr>
        <w:t>名或盖章</w:t>
      </w:r>
      <w:r>
        <w:rPr>
          <w:rFonts w:hint="eastAsia" w:ascii="宋体" w:hAnsi="宋体" w:eastAsia="宋体" w:cs="宋体"/>
          <w:sz w:val="24"/>
          <w:szCs w:val="24"/>
        </w:rPr>
        <w:t>）：</w:t>
      </w:r>
    </w:p>
    <w:p>
      <w:pPr>
        <w:adjustRightInd w:val="0"/>
        <w:spacing w:line="360" w:lineRule="auto"/>
        <w:ind w:firstLine="2040" w:firstLineChars="850"/>
        <w:jc w:val="left"/>
        <w:textAlignment w:val="baseline"/>
        <w:rPr>
          <w:rFonts w:hint="eastAsia" w:ascii="宋体" w:hAnsi="宋体" w:eastAsia="宋体" w:cs="宋体"/>
          <w:sz w:val="24"/>
          <w:szCs w:val="24"/>
        </w:rPr>
      </w:pPr>
    </w:p>
    <w:p>
      <w:pPr>
        <w:adjustRightInd w:val="0"/>
        <w:spacing w:line="360" w:lineRule="auto"/>
        <w:ind w:firstLine="2040" w:firstLineChars="850"/>
        <w:jc w:val="left"/>
        <w:textAlignment w:val="baseline"/>
        <w:rPr>
          <w:rFonts w:hint="eastAsia" w:ascii="宋体" w:hAnsi="宋体" w:eastAsia="宋体" w:cs="宋体"/>
          <w:sz w:val="24"/>
          <w:szCs w:val="24"/>
        </w:rPr>
      </w:pPr>
      <w:r>
        <w:rPr>
          <w:rFonts w:hint="eastAsia" w:ascii="宋体" w:hAnsi="宋体" w:eastAsia="宋体" w:cs="宋体"/>
          <w:sz w:val="24"/>
          <w:szCs w:val="24"/>
        </w:rPr>
        <w:t xml:space="preserve">                  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adjustRightInd w:val="0"/>
        <w:spacing w:line="360" w:lineRule="auto"/>
        <w:jc w:val="left"/>
        <w:textAlignment w:val="baseline"/>
        <w:rPr>
          <w:rFonts w:hint="eastAsia" w:ascii="宋体" w:hAnsi="宋体" w:eastAsia="宋体" w:cs="宋体"/>
          <w:sz w:val="24"/>
          <w:szCs w:val="24"/>
        </w:rPr>
      </w:pPr>
    </w:p>
    <w:p>
      <w:pPr>
        <w:adjustRightInd w:val="0"/>
        <w:spacing w:line="330" w:lineRule="exact"/>
        <w:jc w:val="left"/>
        <w:textAlignment w:val="baseline"/>
        <w:rPr>
          <w:rFonts w:hint="eastAsia" w:ascii="宋体" w:hAnsi="宋体" w:eastAsia="宋体" w:cs="宋体"/>
          <w:szCs w:val="21"/>
        </w:rPr>
      </w:pPr>
    </w:p>
    <w:p>
      <w:pPr>
        <w:adjustRightInd w:val="0"/>
        <w:spacing w:line="330" w:lineRule="exact"/>
        <w:jc w:val="left"/>
        <w:textAlignment w:val="baseline"/>
        <w:rPr>
          <w:rFonts w:hint="eastAsia" w:ascii="宋体" w:hAnsi="宋体" w:eastAsia="宋体" w:cs="宋体"/>
          <w:szCs w:val="21"/>
        </w:rPr>
      </w:pPr>
    </w:p>
    <w:p>
      <w:pPr>
        <w:adjustRightInd w:val="0"/>
        <w:spacing w:line="330" w:lineRule="exact"/>
        <w:ind w:firstLine="1785" w:firstLineChars="850"/>
        <w:jc w:val="left"/>
        <w:textAlignment w:val="baseline"/>
        <w:rPr>
          <w:rFonts w:hint="eastAsia" w:ascii="宋体" w:hAnsi="宋体" w:eastAsia="宋体" w:cs="宋体"/>
          <w:szCs w:val="21"/>
        </w:rPr>
      </w:pPr>
    </w:p>
    <w:p>
      <w:pPr>
        <w:adjustRightInd w:val="0"/>
        <w:spacing w:line="330" w:lineRule="exact"/>
        <w:ind w:firstLine="1785" w:firstLineChars="850"/>
        <w:jc w:val="left"/>
        <w:textAlignment w:val="baseline"/>
        <w:rPr>
          <w:rFonts w:hint="eastAsia" w:ascii="宋体" w:hAnsi="宋体" w:eastAsia="宋体" w:cs="宋体"/>
          <w:szCs w:val="21"/>
        </w:rPr>
      </w:pPr>
    </w:p>
    <w:p>
      <w:pPr>
        <w:adjustRightInd w:val="0"/>
        <w:spacing w:line="330" w:lineRule="exact"/>
        <w:ind w:firstLine="1785" w:firstLineChars="850"/>
        <w:jc w:val="left"/>
        <w:textAlignment w:val="baseline"/>
        <w:rPr>
          <w:rFonts w:hint="eastAsia" w:ascii="宋体" w:hAnsi="宋体" w:eastAsia="宋体" w:cs="宋体"/>
          <w:szCs w:val="21"/>
        </w:rPr>
      </w:pPr>
    </w:p>
    <w:p>
      <w:pPr>
        <w:adjustRightInd w:val="0"/>
        <w:spacing w:line="330" w:lineRule="exact"/>
        <w:ind w:firstLine="1785" w:firstLineChars="850"/>
        <w:jc w:val="left"/>
        <w:textAlignment w:val="baseline"/>
        <w:rPr>
          <w:rFonts w:hint="eastAsia" w:ascii="宋体" w:hAnsi="宋体" w:eastAsia="宋体" w:cs="宋体"/>
          <w:szCs w:val="21"/>
        </w:rPr>
      </w:pPr>
    </w:p>
    <w:p>
      <w:pPr>
        <w:adjustRightInd w:val="0"/>
        <w:spacing w:line="330" w:lineRule="exact"/>
        <w:ind w:firstLine="1785" w:firstLineChars="850"/>
        <w:jc w:val="left"/>
        <w:textAlignment w:val="baseline"/>
        <w:rPr>
          <w:rFonts w:hint="eastAsia" w:ascii="宋体" w:hAnsi="宋体" w:eastAsia="宋体" w:cs="宋体"/>
          <w:szCs w:val="21"/>
        </w:rPr>
      </w:pPr>
    </w:p>
    <w:p>
      <w:pPr>
        <w:adjustRightInd w:val="0"/>
        <w:spacing w:line="330" w:lineRule="exact"/>
        <w:ind w:firstLine="1785" w:firstLineChars="850"/>
        <w:jc w:val="left"/>
        <w:textAlignment w:val="baseline"/>
        <w:rPr>
          <w:rFonts w:hint="eastAsia" w:ascii="宋体" w:hAnsi="宋体" w:eastAsia="宋体" w:cs="宋体"/>
          <w:szCs w:val="21"/>
        </w:rPr>
      </w:pPr>
    </w:p>
    <w:p>
      <w:pPr>
        <w:adjustRightInd w:val="0"/>
        <w:spacing w:line="330" w:lineRule="exact"/>
        <w:ind w:firstLine="1785" w:firstLineChars="850"/>
        <w:jc w:val="left"/>
        <w:textAlignment w:val="baseline"/>
        <w:rPr>
          <w:rFonts w:hint="eastAsia" w:ascii="宋体" w:hAnsi="宋体" w:eastAsia="宋体" w:cs="宋体"/>
          <w:szCs w:val="21"/>
        </w:rPr>
      </w:pPr>
    </w:p>
    <w:p>
      <w:pPr>
        <w:adjustRightInd w:val="0"/>
        <w:spacing w:line="330" w:lineRule="exact"/>
        <w:ind w:firstLine="1785" w:firstLineChars="850"/>
        <w:jc w:val="left"/>
        <w:textAlignment w:val="baseline"/>
        <w:rPr>
          <w:rFonts w:hint="eastAsia" w:ascii="宋体" w:hAnsi="宋体" w:eastAsia="宋体" w:cs="宋体"/>
          <w:szCs w:val="21"/>
        </w:rPr>
      </w:pPr>
    </w:p>
    <w:bookmarkEnd w:id="105"/>
    <w:bookmarkEnd w:id="106"/>
    <w:bookmarkEnd w:id="107"/>
    <w:bookmarkEnd w:id="108"/>
    <w:bookmarkEnd w:id="109"/>
    <w:bookmarkEnd w:id="110"/>
    <w:bookmarkEnd w:id="111"/>
    <w:bookmarkEnd w:id="112"/>
    <w:p>
      <w:pPr>
        <w:pStyle w:val="5"/>
        <w:keepNext/>
        <w:keepLines/>
        <w:pageBreakBefore w:val="0"/>
        <w:widowControl w:val="0"/>
        <w:numPr>
          <w:ilvl w:val="0"/>
          <w:numId w:val="18"/>
        </w:numPr>
        <w:kinsoku/>
        <w:wordWrap/>
        <w:overflowPunct/>
        <w:topLinePunct w:val="0"/>
        <w:autoSpaceDE/>
        <w:autoSpaceDN/>
        <w:bidi w:val="0"/>
        <w:adjustRightInd/>
        <w:snapToGrid/>
        <w:spacing w:before="0" w:beforeLines="0" w:after="0" w:afterLines="0" w:line="360" w:lineRule="auto"/>
        <w:jc w:val="center"/>
        <w:textAlignment w:val="auto"/>
        <w:outlineLvl w:val="0"/>
        <w:rPr>
          <w:rFonts w:hint="eastAsia" w:ascii="宋体" w:hAnsi="宋体" w:eastAsia="宋体" w:cs="宋体"/>
          <w:sz w:val="32"/>
          <w:szCs w:val="32"/>
        </w:rPr>
      </w:pPr>
      <w:bookmarkStart w:id="117" w:name="_Toc27955"/>
      <w:bookmarkStart w:id="118" w:name="_Toc484"/>
      <w:bookmarkStart w:id="119" w:name="_Toc6638"/>
      <w:bookmarkStart w:id="120" w:name="_Toc29369"/>
      <w:bookmarkStart w:id="121" w:name="_Toc477423254"/>
      <w:bookmarkStart w:id="122" w:name="_Toc476045982"/>
      <w:bookmarkStart w:id="123" w:name="_Toc408816355"/>
      <w:bookmarkStart w:id="124" w:name="_Toc364490445"/>
      <w:bookmarkStart w:id="125" w:name="_Toc453513319"/>
      <w:bookmarkStart w:id="126" w:name="_Toc27591"/>
      <w:bookmarkStart w:id="127" w:name="_Toc475955188"/>
      <w:bookmarkStart w:id="128" w:name="_Toc373230037"/>
      <w:bookmarkStart w:id="129" w:name="_Toc374512425"/>
      <w:r>
        <w:rPr>
          <w:rFonts w:hint="eastAsia" w:ascii="宋体" w:hAnsi="宋体" w:eastAsia="宋体" w:cs="宋体"/>
          <w:sz w:val="32"/>
          <w:szCs w:val="32"/>
        </w:rPr>
        <w:t>供应商基本情况表</w:t>
      </w:r>
      <w:bookmarkEnd w:id="117"/>
      <w:bookmarkEnd w:id="118"/>
      <w:bookmarkEnd w:id="119"/>
      <w:bookmarkEnd w:id="120"/>
    </w:p>
    <w:tbl>
      <w:tblPr>
        <w:tblStyle w:val="36"/>
        <w:tblpPr w:leftFromText="180" w:rightFromText="180" w:vertAnchor="text" w:horzAnchor="margin" w:tblpXSpec="center" w:tblpY="24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9"/>
        <w:gridCol w:w="837"/>
        <w:gridCol w:w="199"/>
        <w:gridCol w:w="831"/>
        <w:gridCol w:w="274"/>
        <w:gridCol w:w="514"/>
        <w:gridCol w:w="677"/>
        <w:gridCol w:w="763"/>
        <w:gridCol w:w="788"/>
        <w:gridCol w:w="1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供应商名称</w:t>
            </w:r>
          </w:p>
        </w:tc>
        <w:tc>
          <w:tcPr>
            <w:tcW w:w="6211" w:type="dxa"/>
            <w:gridSpan w:val="9"/>
            <w:noWrap w:val="0"/>
            <w:vAlign w:val="center"/>
          </w:tcPr>
          <w:p>
            <w:pPr>
              <w:spacing w:line="360" w:lineRule="auto"/>
              <w:jc w:val="cente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注册地址</w:t>
            </w:r>
          </w:p>
        </w:tc>
        <w:tc>
          <w:tcPr>
            <w:tcW w:w="2141" w:type="dxa"/>
            <w:gridSpan w:val="4"/>
            <w:noWrap w:val="0"/>
            <w:vAlign w:val="center"/>
          </w:tcPr>
          <w:p>
            <w:pPr>
              <w:spacing w:line="360" w:lineRule="auto"/>
              <w:jc w:val="center"/>
              <w:rPr>
                <w:rFonts w:hint="eastAsia" w:ascii="宋体" w:hAnsi="宋体" w:eastAsia="宋体" w:cs="宋体"/>
                <w:sz w:val="24"/>
              </w:rPr>
            </w:pPr>
          </w:p>
        </w:tc>
        <w:tc>
          <w:tcPr>
            <w:tcW w:w="1191" w:type="dxa"/>
            <w:gridSpan w:val="2"/>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邮政编码</w:t>
            </w:r>
          </w:p>
        </w:tc>
        <w:tc>
          <w:tcPr>
            <w:tcW w:w="2879" w:type="dxa"/>
            <w:gridSpan w:val="3"/>
            <w:noWrap w:val="0"/>
            <w:vAlign w:val="center"/>
          </w:tcPr>
          <w:p>
            <w:pPr>
              <w:spacing w:line="360" w:lineRule="auto"/>
              <w:jc w:val="cente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exact"/>
          <w:jc w:val="center"/>
        </w:trPr>
        <w:tc>
          <w:tcPr>
            <w:tcW w:w="2189" w:type="dxa"/>
            <w:vMerge w:val="restart"/>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联系方式</w:t>
            </w:r>
          </w:p>
        </w:tc>
        <w:tc>
          <w:tcPr>
            <w:tcW w:w="1036" w:type="dxa"/>
            <w:gridSpan w:val="2"/>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联系人</w:t>
            </w:r>
          </w:p>
        </w:tc>
        <w:tc>
          <w:tcPr>
            <w:tcW w:w="1105" w:type="dxa"/>
            <w:gridSpan w:val="2"/>
            <w:noWrap w:val="0"/>
            <w:vAlign w:val="center"/>
          </w:tcPr>
          <w:p>
            <w:pPr>
              <w:spacing w:line="360" w:lineRule="auto"/>
              <w:jc w:val="center"/>
              <w:rPr>
                <w:rFonts w:hint="eastAsia" w:ascii="宋体" w:hAnsi="宋体" w:eastAsia="宋体" w:cs="宋体"/>
                <w:sz w:val="24"/>
              </w:rPr>
            </w:pPr>
          </w:p>
        </w:tc>
        <w:tc>
          <w:tcPr>
            <w:tcW w:w="1191" w:type="dxa"/>
            <w:gridSpan w:val="2"/>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电话</w:t>
            </w:r>
          </w:p>
        </w:tc>
        <w:tc>
          <w:tcPr>
            <w:tcW w:w="2879" w:type="dxa"/>
            <w:gridSpan w:val="3"/>
            <w:noWrap w:val="0"/>
            <w:vAlign w:val="center"/>
          </w:tcPr>
          <w:p>
            <w:pPr>
              <w:spacing w:line="360" w:lineRule="auto"/>
              <w:jc w:val="cente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vMerge w:val="continue"/>
            <w:noWrap w:val="0"/>
            <w:vAlign w:val="center"/>
          </w:tcPr>
          <w:p>
            <w:pPr>
              <w:spacing w:line="360" w:lineRule="auto"/>
              <w:jc w:val="center"/>
              <w:rPr>
                <w:rFonts w:hint="eastAsia" w:ascii="宋体" w:hAnsi="宋体" w:eastAsia="宋体" w:cs="宋体"/>
                <w:sz w:val="24"/>
              </w:rPr>
            </w:pPr>
          </w:p>
        </w:tc>
        <w:tc>
          <w:tcPr>
            <w:tcW w:w="1036" w:type="dxa"/>
            <w:gridSpan w:val="2"/>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传真</w:t>
            </w:r>
          </w:p>
        </w:tc>
        <w:tc>
          <w:tcPr>
            <w:tcW w:w="1105" w:type="dxa"/>
            <w:gridSpan w:val="2"/>
            <w:noWrap w:val="0"/>
            <w:vAlign w:val="center"/>
          </w:tcPr>
          <w:p>
            <w:pPr>
              <w:spacing w:line="360" w:lineRule="auto"/>
              <w:jc w:val="center"/>
              <w:rPr>
                <w:rFonts w:hint="eastAsia" w:ascii="宋体" w:hAnsi="宋体" w:eastAsia="宋体" w:cs="宋体"/>
                <w:sz w:val="24"/>
              </w:rPr>
            </w:pPr>
          </w:p>
        </w:tc>
        <w:tc>
          <w:tcPr>
            <w:tcW w:w="1191" w:type="dxa"/>
            <w:gridSpan w:val="2"/>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网址</w:t>
            </w:r>
          </w:p>
        </w:tc>
        <w:tc>
          <w:tcPr>
            <w:tcW w:w="2879" w:type="dxa"/>
            <w:gridSpan w:val="3"/>
            <w:noWrap w:val="0"/>
            <w:vAlign w:val="center"/>
          </w:tcPr>
          <w:p>
            <w:pPr>
              <w:spacing w:line="360" w:lineRule="auto"/>
              <w:jc w:val="cente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营业执照号</w:t>
            </w:r>
          </w:p>
        </w:tc>
        <w:tc>
          <w:tcPr>
            <w:tcW w:w="6211" w:type="dxa"/>
            <w:gridSpan w:val="9"/>
            <w:noWrap w:val="0"/>
            <w:vAlign w:val="center"/>
          </w:tcPr>
          <w:p>
            <w:pPr>
              <w:spacing w:line="360" w:lineRule="auto"/>
              <w:jc w:val="cente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法定代表人</w:t>
            </w:r>
          </w:p>
        </w:tc>
        <w:tc>
          <w:tcPr>
            <w:tcW w:w="837" w:type="dxa"/>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姓名</w:t>
            </w:r>
          </w:p>
        </w:tc>
        <w:tc>
          <w:tcPr>
            <w:tcW w:w="1030" w:type="dxa"/>
            <w:gridSpan w:val="2"/>
            <w:noWrap w:val="0"/>
            <w:vAlign w:val="center"/>
          </w:tcPr>
          <w:p>
            <w:pPr>
              <w:spacing w:line="360" w:lineRule="auto"/>
              <w:jc w:val="center"/>
              <w:rPr>
                <w:rFonts w:hint="eastAsia" w:ascii="宋体" w:hAnsi="宋体" w:eastAsia="宋体" w:cs="宋体"/>
                <w:sz w:val="24"/>
              </w:rPr>
            </w:pPr>
          </w:p>
        </w:tc>
        <w:tc>
          <w:tcPr>
            <w:tcW w:w="788" w:type="dxa"/>
            <w:gridSpan w:val="2"/>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职务</w:t>
            </w:r>
          </w:p>
        </w:tc>
        <w:tc>
          <w:tcPr>
            <w:tcW w:w="1440" w:type="dxa"/>
            <w:gridSpan w:val="2"/>
            <w:noWrap w:val="0"/>
            <w:vAlign w:val="center"/>
          </w:tcPr>
          <w:p>
            <w:pPr>
              <w:spacing w:line="360" w:lineRule="auto"/>
              <w:jc w:val="center"/>
              <w:rPr>
                <w:rFonts w:hint="eastAsia" w:ascii="宋体" w:hAnsi="宋体" w:eastAsia="宋体" w:cs="宋体"/>
                <w:sz w:val="24"/>
              </w:rPr>
            </w:pPr>
          </w:p>
        </w:tc>
        <w:tc>
          <w:tcPr>
            <w:tcW w:w="788" w:type="dxa"/>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电话</w:t>
            </w:r>
          </w:p>
        </w:tc>
        <w:tc>
          <w:tcPr>
            <w:tcW w:w="1328" w:type="dxa"/>
            <w:noWrap w:val="0"/>
            <w:vAlign w:val="center"/>
          </w:tcPr>
          <w:p>
            <w:pPr>
              <w:spacing w:line="360" w:lineRule="auto"/>
              <w:jc w:val="cente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注册资金</w:t>
            </w:r>
          </w:p>
        </w:tc>
        <w:tc>
          <w:tcPr>
            <w:tcW w:w="1867" w:type="dxa"/>
            <w:gridSpan w:val="3"/>
            <w:noWrap w:val="0"/>
            <w:vAlign w:val="center"/>
          </w:tcPr>
          <w:p>
            <w:pPr>
              <w:spacing w:line="360" w:lineRule="auto"/>
              <w:jc w:val="center"/>
              <w:rPr>
                <w:rFonts w:hint="eastAsia" w:ascii="宋体" w:hAnsi="宋体" w:eastAsia="宋体" w:cs="宋体"/>
                <w:sz w:val="24"/>
              </w:rPr>
            </w:pPr>
          </w:p>
        </w:tc>
        <w:tc>
          <w:tcPr>
            <w:tcW w:w="2228" w:type="dxa"/>
            <w:gridSpan w:val="4"/>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成立时间</w:t>
            </w:r>
          </w:p>
        </w:tc>
        <w:tc>
          <w:tcPr>
            <w:tcW w:w="2116" w:type="dxa"/>
            <w:gridSpan w:val="2"/>
            <w:noWrap w:val="0"/>
            <w:vAlign w:val="center"/>
          </w:tcPr>
          <w:p>
            <w:pPr>
              <w:spacing w:line="360" w:lineRule="auto"/>
              <w:jc w:val="cente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开户银行</w:t>
            </w:r>
          </w:p>
        </w:tc>
        <w:tc>
          <w:tcPr>
            <w:tcW w:w="1867" w:type="dxa"/>
            <w:gridSpan w:val="3"/>
            <w:noWrap w:val="0"/>
            <w:vAlign w:val="center"/>
          </w:tcPr>
          <w:p>
            <w:pPr>
              <w:spacing w:line="360" w:lineRule="auto"/>
              <w:jc w:val="center"/>
              <w:rPr>
                <w:rFonts w:hint="eastAsia" w:ascii="宋体" w:hAnsi="宋体" w:eastAsia="宋体" w:cs="宋体"/>
                <w:sz w:val="24"/>
              </w:rPr>
            </w:pPr>
          </w:p>
        </w:tc>
        <w:tc>
          <w:tcPr>
            <w:tcW w:w="2228" w:type="dxa"/>
            <w:gridSpan w:val="4"/>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账号</w:t>
            </w:r>
          </w:p>
        </w:tc>
        <w:tc>
          <w:tcPr>
            <w:tcW w:w="2116" w:type="dxa"/>
            <w:gridSpan w:val="2"/>
            <w:noWrap w:val="0"/>
            <w:vAlign w:val="center"/>
          </w:tcPr>
          <w:p>
            <w:pPr>
              <w:spacing w:line="360" w:lineRule="auto"/>
              <w:jc w:val="cente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经营范围</w:t>
            </w:r>
          </w:p>
        </w:tc>
        <w:tc>
          <w:tcPr>
            <w:tcW w:w="6211" w:type="dxa"/>
            <w:gridSpan w:val="9"/>
            <w:noWrap w:val="0"/>
            <w:vAlign w:val="center"/>
          </w:tcPr>
          <w:p>
            <w:pPr>
              <w:spacing w:line="360" w:lineRule="auto"/>
              <w:jc w:val="cente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备注</w:t>
            </w:r>
          </w:p>
        </w:tc>
        <w:tc>
          <w:tcPr>
            <w:tcW w:w="6211" w:type="dxa"/>
            <w:gridSpan w:val="9"/>
            <w:noWrap w:val="0"/>
            <w:vAlign w:val="center"/>
          </w:tcPr>
          <w:p>
            <w:pPr>
              <w:spacing w:line="360" w:lineRule="auto"/>
              <w:jc w:val="center"/>
              <w:rPr>
                <w:rFonts w:hint="eastAsia" w:ascii="宋体" w:hAnsi="宋体" w:eastAsia="宋体" w:cs="宋体"/>
                <w:sz w:val="24"/>
              </w:rPr>
            </w:pPr>
          </w:p>
        </w:tc>
      </w:tr>
    </w:tbl>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r>
        <w:rPr>
          <w:rFonts w:hint="eastAsia" w:ascii="宋体" w:hAnsi="宋体" w:eastAsia="宋体" w:cs="宋体"/>
          <w:sz w:val="24"/>
        </w:rPr>
        <w:t>注：供应商可根据实际情况自行添加表格内容。</w:t>
      </w:r>
    </w:p>
    <w:p>
      <w:pPr>
        <w:spacing w:line="360" w:lineRule="auto"/>
        <w:rPr>
          <w:rFonts w:hint="eastAsia" w:ascii="宋体" w:hAnsi="宋体" w:eastAsia="宋体" w:cs="宋体"/>
          <w:sz w:val="24"/>
        </w:rPr>
      </w:pPr>
      <w:r>
        <w:rPr>
          <w:rFonts w:hint="eastAsia" w:ascii="宋体" w:hAnsi="宋体" w:eastAsia="宋体" w:cs="宋体"/>
          <w:sz w:val="24"/>
        </w:rPr>
        <w:t xml:space="preserve">                                供应商名称（全称并加盖公章）：</w:t>
      </w:r>
    </w:p>
    <w:p>
      <w:pPr>
        <w:spacing w:line="360" w:lineRule="auto"/>
        <w:rPr>
          <w:rFonts w:hint="eastAsia" w:ascii="宋体" w:hAnsi="宋体" w:eastAsia="宋体" w:cs="宋体"/>
          <w:sz w:val="24"/>
        </w:rPr>
      </w:pPr>
      <w:r>
        <w:rPr>
          <w:rFonts w:hint="eastAsia" w:ascii="宋体" w:hAnsi="宋体" w:eastAsia="宋体" w:cs="宋体"/>
          <w:sz w:val="24"/>
        </w:rPr>
        <w:t xml:space="preserve">                                法定代表人或其委托代理人（签</w:t>
      </w:r>
      <w:r>
        <w:rPr>
          <w:rFonts w:hint="eastAsia" w:ascii="宋体" w:hAnsi="宋体" w:eastAsia="宋体" w:cs="宋体"/>
          <w:sz w:val="24"/>
          <w:lang w:eastAsia="zh-CN"/>
        </w:rPr>
        <w:t>名或盖章</w:t>
      </w:r>
      <w:r>
        <w:rPr>
          <w:rFonts w:hint="eastAsia" w:ascii="宋体" w:hAnsi="宋体" w:eastAsia="宋体" w:cs="宋体"/>
          <w:sz w:val="24"/>
        </w:rPr>
        <w:t>）：</w:t>
      </w:r>
    </w:p>
    <w:p>
      <w:pPr>
        <w:spacing w:line="360" w:lineRule="auto"/>
        <w:rPr>
          <w:rFonts w:hint="eastAsia" w:ascii="宋体" w:hAnsi="宋体" w:eastAsia="宋体" w:cs="宋体"/>
          <w:sz w:val="24"/>
        </w:rPr>
      </w:pPr>
      <w:r>
        <w:rPr>
          <w:rFonts w:hint="eastAsia" w:ascii="宋体" w:hAnsi="宋体" w:eastAsia="宋体" w:cs="宋体"/>
          <w:sz w:val="24"/>
        </w:rPr>
        <w:t xml:space="preserve">                                       年  月  日</w:t>
      </w:r>
    </w:p>
    <w:p>
      <w:pPr>
        <w:spacing w:line="360" w:lineRule="auto"/>
        <w:rPr>
          <w:rFonts w:hint="eastAsia" w:ascii="宋体" w:hAnsi="宋体" w:eastAsia="宋体" w:cs="宋体"/>
          <w:sz w:val="24"/>
        </w:rPr>
      </w:pPr>
    </w:p>
    <w:p>
      <w:pPr>
        <w:rPr>
          <w:rFonts w:hint="eastAsia" w:ascii="宋体" w:hAnsi="宋体" w:eastAsia="宋体" w:cs="宋体"/>
          <w:sz w:val="28"/>
          <w:szCs w:val="24"/>
        </w:rPr>
      </w:pPr>
    </w:p>
    <w:p>
      <w:pPr>
        <w:rPr>
          <w:rFonts w:hint="eastAsia" w:ascii="宋体" w:hAnsi="宋体" w:eastAsia="宋体" w:cs="宋体"/>
          <w:sz w:val="28"/>
          <w:szCs w:val="24"/>
        </w:rPr>
      </w:pPr>
    </w:p>
    <w:p>
      <w:pPr>
        <w:rPr>
          <w:rFonts w:hint="eastAsia" w:ascii="宋体" w:hAnsi="宋体" w:eastAsia="宋体" w:cs="宋体"/>
          <w:sz w:val="28"/>
          <w:szCs w:val="24"/>
        </w:rPr>
      </w:pPr>
    </w:p>
    <w:p>
      <w:pPr>
        <w:rPr>
          <w:rFonts w:hint="eastAsia" w:ascii="宋体" w:hAnsi="宋体" w:eastAsia="宋体" w:cs="宋体"/>
          <w:sz w:val="28"/>
          <w:szCs w:val="24"/>
        </w:rPr>
      </w:pPr>
    </w:p>
    <w:p>
      <w:pPr>
        <w:rPr>
          <w:rFonts w:hint="eastAsia" w:ascii="宋体" w:hAnsi="宋体" w:eastAsia="宋体" w:cs="宋体"/>
          <w:sz w:val="28"/>
          <w:szCs w:val="24"/>
        </w:rPr>
        <w:sectPr>
          <w:footerReference r:id="rId8" w:type="default"/>
          <w:pgSz w:w="11906" w:h="16838"/>
          <w:pgMar w:top="1440" w:right="1134" w:bottom="1440" w:left="1474" w:header="851" w:footer="992" w:gutter="0"/>
          <w:pgNumType w:fmt="decimal"/>
          <w:cols w:space="720" w:num="1"/>
          <w:docGrid w:type="lines" w:linePitch="312" w:charSpace="0"/>
        </w:sectPr>
      </w:pPr>
    </w:p>
    <w:p>
      <w:pPr>
        <w:pStyle w:val="5"/>
        <w:keepNext/>
        <w:keepLines/>
        <w:pageBreakBefore w:val="0"/>
        <w:widowControl w:val="0"/>
        <w:numPr>
          <w:ilvl w:val="0"/>
          <w:numId w:val="18"/>
        </w:numPr>
        <w:kinsoku/>
        <w:wordWrap/>
        <w:overflowPunct/>
        <w:topLinePunct w:val="0"/>
        <w:autoSpaceDE/>
        <w:autoSpaceDN/>
        <w:bidi w:val="0"/>
        <w:adjustRightInd/>
        <w:snapToGrid/>
        <w:spacing w:before="0" w:beforeLines="0" w:after="0" w:afterLines="0" w:line="360" w:lineRule="auto"/>
        <w:jc w:val="center"/>
        <w:textAlignment w:val="auto"/>
        <w:outlineLvl w:val="0"/>
        <w:rPr>
          <w:rFonts w:hint="eastAsia" w:ascii="宋体" w:hAnsi="宋体" w:eastAsia="宋体" w:cs="宋体"/>
          <w:sz w:val="32"/>
          <w:szCs w:val="32"/>
        </w:rPr>
      </w:pPr>
      <w:bookmarkStart w:id="130" w:name="_Toc19916"/>
      <w:bookmarkStart w:id="131" w:name="_Toc2713"/>
      <w:bookmarkStart w:id="132" w:name="_Toc20355"/>
      <w:bookmarkStart w:id="133" w:name="_Toc31769"/>
      <w:bookmarkStart w:id="134" w:name="_Toc530584397"/>
      <w:r>
        <w:rPr>
          <w:rFonts w:hint="eastAsia" w:ascii="宋体" w:hAnsi="宋体" w:eastAsia="宋体" w:cs="宋体"/>
          <w:sz w:val="32"/>
          <w:szCs w:val="32"/>
        </w:rPr>
        <w:t>第一轮报价表</w:t>
      </w:r>
      <w:bookmarkEnd w:id="130"/>
      <w:bookmarkEnd w:id="131"/>
      <w:bookmarkEnd w:id="132"/>
      <w:bookmarkEnd w:id="133"/>
      <w:bookmarkEnd w:id="134"/>
    </w:p>
    <w:tbl>
      <w:tblPr>
        <w:tblStyle w:val="36"/>
        <w:tblW w:w="0" w:type="auto"/>
        <w:jc w:val="center"/>
        <w:tblLayout w:type="fixed"/>
        <w:tblCellMar>
          <w:top w:w="0" w:type="dxa"/>
          <w:left w:w="108" w:type="dxa"/>
          <w:bottom w:w="0" w:type="dxa"/>
          <w:right w:w="108" w:type="dxa"/>
        </w:tblCellMar>
      </w:tblPr>
      <w:tblGrid>
        <w:gridCol w:w="2420"/>
        <w:gridCol w:w="6260"/>
      </w:tblGrid>
      <w:tr>
        <w:tblPrEx>
          <w:tblCellMar>
            <w:top w:w="0" w:type="dxa"/>
            <w:left w:w="108" w:type="dxa"/>
            <w:bottom w:w="0" w:type="dxa"/>
            <w:right w:w="108" w:type="dxa"/>
          </w:tblCellMar>
        </w:tblPrEx>
        <w:trPr>
          <w:trHeight w:val="909" w:hRule="atLeast"/>
          <w:jc w:val="center"/>
        </w:trPr>
        <w:tc>
          <w:tcPr>
            <w:tcW w:w="242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Cs w:val="21"/>
              </w:rPr>
            </w:pPr>
            <w:r>
              <w:rPr>
                <w:rFonts w:hint="eastAsia" w:ascii="宋体" w:hAnsi="宋体" w:eastAsia="宋体" w:cs="宋体"/>
                <w:szCs w:val="21"/>
              </w:rPr>
              <w:t>项目名称</w:t>
            </w:r>
          </w:p>
        </w:tc>
        <w:tc>
          <w:tcPr>
            <w:tcW w:w="62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Cs w:val="21"/>
                <w:lang w:eastAsia="zh-CN"/>
              </w:rPr>
            </w:pPr>
            <w:r>
              <w:rPr>
                <w:rFonts w:hint="eastAsia" w:ascii="宋体" w:hAnsi="宋体" w:eastAsia="宋体" w:cs="宋体"/>
                <w:szCs w:val="21"/>
                <w:lang w:val="en-US" w:eastAsia="zh-CN"/>
              </w:rPr>
              <w:t xml:space="preserve">   </w:t>
            </w:r>
          </w:p>
        </w:tc>
      </w:tr>
      <w:tr>
        <w:tblPrEx>
          <w:tblCellMar>
            <w:top w:w="0" w:type="dxa"/>
            <w:left w:w="108" w:type="dxa"/>
            <w:bottom w:w="0" w:type="dxa"/>
            <w:right w:w="108" w:type="dxa"/>
          </w:tblCellMar>
        </w:tblPrEx>
        <w:trPr>
          <w:trHeight w:val="909" w:hRule="atLeast"/>
          <w:jc w:val="center"/>
        </w:trPr>
        <w:tc>
          <w:tcPr>
            <w:tcW w:w="242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Cs w:val="21"/>
                <w:lang w:val="en-US" w:eastAsia="zh-CN"/>
              </w:rPr>
            </w:pPr>
            <w:r>
              <w:rPr>
                <w:rFonts w:hint="eastAsia" w:ascii="宋体" w:hAnsi="宋体" w:eastAsia="宋体" w:cs="宋体"/>
                <w:szCs w:val="21"/>
                <w:lang w:val="en-US" w:eastAsia="zh-CN"/>
              </w:rPr>
              <w:t>包段</w:t>
            </w:r>
          </w:p>
        </w:tc>
        <w:tc>
          <w:tcPr>
            <w:tcW w:w="62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Cs w:val="21"/>
              </w:rPr>
            </w:pPr>
          </w:p>
        </w:tc>
      </w:tr>
      <w:tr>
        <w:tblPrEx>
          <w:tblCellMar>
            <w:top w:w="0" w:type="dxa"/>
            <w:left w:w="108" w:type="dxa"/>
            <w:bottom w:w="0" w:type="dxa"/>
            <w:right w:w="108" w:type="dxa"/>
          </w:tblCellMar>
        </w:tblPrEx>
        <w:trPr>
          <w:cantSplit/>
          <w:trHeight w:val="920" w:hRule="atLeast"/>
          <w:jc w:val="center"/>
        </w:trPr>
        <w:tc>
          <w:tcPr>
            <w:tcW w:w="2420" w:type="dxa"/>
            <w:tcBorders>
              <w:left w:val="single" w:color="auto" w:sz="4" w:space="0"/>
              <w:right w:val="single" w:color="auto" w:sz="4" w:space="0"/>
            </w:tcBorders>
            <w:noWrap w:val="0"/>
            <w:vAlign w:val="center"/>
          </w:tcPr>
          <w:p>
            <w:pPr>
              <w:jc w:val="center"/>
              <w:rPr>
                <w:rFonts w:hint="eastAsia" w:ascii="宋体" w:hAnsi="宋体" w:eastAsia="宋体" w:cs="宋体"/>
                <w:szCs w:val="21"/>
                <w:lang w:eastAsia="zh-CN"/>
              </w:rPr>
            </w:pPr>
            <w:r>
              <w:rPr>
                <w:rFonts w:hint="eastAsia" w:ascii="宋体" w:hAnsi="宋体" w:eastAsia="宋体" w:cs="宋体"/>
                <w:szCs w:val="21"/>
                <w:lang w:eastAsia="zh-CN"/>
              </w:rPr>
              <w:t>项目编号</w:t>
            </w:r>
          </w:p>
        </w:tc>
        <w:tc>
          <w:tcPr>
            <w:tcW w:w="6260" w:type="dxa"/>
            <w:tcBorders>
              <w:left w:val="single" w:color="auto" w:sz="4" w:space="0"/>
              <w:right w:val="single" w:color="auto" w:sz="4" w:space="0"/>
            </w:tcBorders>
            <w:noWrap w:val="0"/>
            <w:vAlign w:val="center"/>
          </w:tcPr>
          <w:p>
            <w:pPr>
              <w:ind w:left="108"/>
              <w:jc w:val="center"/>
              <w:rPr>
                <w:rFonts w:hint="eastAsia" w:ascii="宋体" w:hAnsi="宋体" w:eastAsia="宋体" w:cs="宋体"/>
                <w:szCs w:val="21"/>
              </w:rPr>
            </w:pPr>
          </w:p>
        </w:tc>
      </w:tr>
      <w:tr>
        <w:tblPrEx>
          <w:tblCellMar>
            <w:top w:w="0" w:type="dxa"/>
            <w:left w:w="108" w:type="dxa"/>
            <w:bottom w:w="0" w:type="dxa"/>
            <w:right w:w="108" w:type="dxa"/>
          </w:tblCellMar>
        </w:tblPrEx>
        <w:trPr>
          <w:cantSplit/>
          <w:trHeight w:val="912" w:hRule="atLeast"/>
          <w:jc w:val="center"/>
        </w:trPr>
        <w:tc>
          <w:tcPr>
            <w:tcW w:w="242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Cs w:val="21"/>
              </w:rPr>
            </w:pPr>
            <w:r>
              <w:rPr>
                <w:rFonts w:hint="eastAsia" w:ascii="宋体" w:hAnsi="宋体" w:eastAsia="宋体" w:cs="宋体"/>
                <w:szCs w:val="21"/>
              </w:rPr>
              <w:t>供应商名称</w:t>
            </w:r>
          </w:p>
        </w:tc>
        <w:tc>
          <w:tcPr>
            <w:tcW w:w="62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Cs w:val="21"/>
              </w:rPr>
            </w:pPr>
          </w:p>
        </w:tc>
      </w:tr>
      <w:tr>
        <w:tblPrEx>
          <w:tblCellMar>
            <w:top w:w="0" w:type="dxa"/>
            <w:left w:w="108" w:type="dxa"/>
            <w:bottom w:w="0" w:type="dxa"/>
            <w:right w:w="108" w:type="dxa"/>
          </w:tblCellMar>
        </w:tblPrEx>
        <w:trPr>
          <w:cantSplit/>
          <w:trHeight w:val="934" w:hRule="atLeast"/>
          <w:jc w:val="center"/>
        </w:trPr>
        <w:tc>
          <w:tcPr>
            <w:tcW w:w="242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Cs w:val="21"/>
              </w:rPr>
            </w:pPr>
            <w:r>
              <w:rPr>
                <w:rFonts w:hint="eastAsia" w:ascii="宋体" w:hAnsi="宋体" w:eastAsia="宋体" w:cs="宋体"/>
                <w:szCs w:val="21"/>
              </w:rPr>
              <w:t>总报价</w:t>
            </w:r>
          </w:p>
        </w:tc>
        <w:tc>
          <w:tcPr>
            <w:tcW w:w="6260" w:type="dxa"/>
            <w:tcBorders>
              <w:top w:val="single" w:color="auto" w:sz="4" w:space="0"/>
              <w:left w:val="single" w:color="auto" w:sz="4" w:space="0"/>
              <w:bottom w:val="single" w:color="auto" w:sz="4" w:space="0"/>
              <w:right w:val="single" w:color="auto" w:sz="4" w:space="0"/>
            </w:tcBorders>
            <w:noWrap w:val="0"/>
            <w:vAlign w:val="center"/>
          </w:tcPr>
          <w:p>
            <w:pPr>
              <w:ind w:left="1260" w:hanging="1260" w:hangingChars="600"/>
              <w:rPr>
                <w:rFonts w:hint="eastAsia" w:ascii="宋体" w:hAnsi="宋体" w:eastAsia="宋体" w:cs="宋体"/>
                <w:szCs w:val="21"/>
              </w:rPr>
            </w:pPr>
            <w:r>
              <w:rPr>
                <w:rFonts w:hint="eastAsia" w:ascii="宋体" w:hAnsi="宋体" w:eastAsia="宋体" w:cs="宋体"/>
                <w:szCs w:val="21"/>
              </w:rPr>
              <w:t>大写：                　</w:t>
            </w:r>
            <w:r>
              <w:rPr>
                <w:rFonts w:hint="eastAsia" w:ascii="宋体" w:hAnsi="宋体" w:eastAsia="宋体" w:cs="宋体"/>
                <w:szCs w:val="21"/>
                <w:lang w:eastAsia="zh-CN"/>
              </w:rPr>
              <w:t>小写</w:t>
            </w:r>
            <w:r>
              <w:rPr>
                <w:rFonts w:hint="eastAsia" w:ascii="宋体" w:hAnsi="宋体" w:eastAsia="宋体" w:cs="宋体"/>
                <w:szCs w:val="21"/>
              </w:rPr>
              <w:t>　¥：</w:t>
            </w:r>
          </w:p>
        </w:tc>
      </w:tr>
    </w:tbl>
    <w:p>
      <w:pPr>
        <w:rPr>
          <w:rFonts w:hint="eastAsia" w:ascii="宋体" w:hAnsi="宋体" w:eastAsia="宋体" w:cs="宋体"/>
          <w:sz w:val="28"/>
          <w:szCs w:val="24"/>
        </w:rPr>
      </w:pPr>
    </w:p>
    <w:p>
      <w:pPr>
        <w:rPr>
          <w:rFonts w:hint="eastAsia" w:ascii="宋体" w:hAnsi="宋体" w:eastAsia="宋体" w:cs="宋体"/>
          <w:sz w:val="28"/>
          <w:szCs w:val="24"/>
        </w:rPr>
      </w:pPr>
    </w:p>
    <w:p>
      <w:pPr>
        <w:adjustRightInd w:val="0"/>
        <w:spacing w:line="400" w:lineRule="exact"/>
        <w:ind w:firstLine="420" w:firstLineChars="200"/>
        <w:jc w:val="left"/>
        <w:textAlignment w:val="baseline"/>
        <w:rPr>
          <w:rFonts w:hint="eastAsia" w:ascii="宋体" w:hAnsi="宋体" w:eastAsia="宋体" w:cs="宋体"/>
          <w:szCs w:val="21"/>
        </w:rPr>
      </w:pPr>
    </w:p>
    <w:p>
      <w:pPr>
        <w:spacing w:line="360" w:lineRule="auto"/>
        <w:rPr>
          <w:rFonts w:hint="eastAsia" w:ascii="宋体" w:hAnsi="宋体" w:eastAsia="宋体" w:cs="宋体"/>
          <w:sz w:val="24"/>
        </w:rPr>
      </w:pPr>
      <w:r>
        <w:rPr>
          <w:rFonts w:hint="eastAsia" w:ascii="宋体" w:hAnsi="宋体" w:eastAsia="宋体" w:cs="宋体"/>
          <w:sz w:val="24"/>
        </w:rPr>
        <w:t xml:space="preserve">                                供应商名称（全称并加盖公章）：</w:t>
      </w:r>
    </w:p>
    <w:p>
      <w:pPr>
        <w:spacing w:line="360" w:lineRule="auto"/>
        <w:rPr>
          <w:rFonts w:hint="eastAsia" w:ascii="宋体" w:hAnsi="宋体" w:eastAsia="宋体" w:cs="宋体"/>
          <w:sz w:val="24"/>
        </w:rPr>
      </w:pPr>
      <w:r>
        <w:rPr>
          <w:rFonts w:hint="eastAsia" w:ascii="宋体" w:hAnsi="宋体" w:eastAsia="宋体" w:cs="宋体"/>
          <w:sz w:val="24"/>
        </w:rPr>
        <w:t xml:space="preserve">                                法定代表人或其委托代理人（签</w:t>
      </w:r>
      <w:r>
        <w:rPr>
          <w:rFonts w:hint="eastAsia" w:ascii="宋体" w:hAnsi="宋体" w:eastAsia="宋体" w:cs="宋体"/>
          <w:sz w:val="24"/>
          <w:lang w:eastAsia="zh-CN"/>
        </w:rPr>
        <w:t>名或盖章</w:t>
      </w:r>
      <w:r>
        <w:rPr>
          <w:rFonts w:hint="eastAsia" w:ascii="宋体" w:hAnsi="宋体" w:eastAsia="宋体" w:cs="宋体"/>
          <w:sz w:val="24"/>
        </w:rPr>
        <w:t>）：</w:t>
      </w:r>
    </w:p>
    <w:p>
      <w:pPr>
        <w:adjustRightInd w:val="0"/>
        <w:spacing w:line="400" w:lineRule="exact"/>
        <w:ind w:firstLine="420" w:firstLineChars="200"/>
        <w:jc w:val="left"/>
        <w:textAlignment w:val="baseline"/>
        <w:rPr>
          <w:rFonts w:hint="eastAsia" w:ascii="宋体" w:hAnsi="宋体" w:eastAsia="宋体" w:cs="宋体"/>
          <w:szCs w:val="21"/>
        </w:rPr>
      </w:pPr>
      <w:r>
        <w:rPr>
          <w:rFonts w:hint="eastAsia" w:ascii="宋体" w:hAnsi="宋体" w:eastAsia="宋体" w:cs="宋体"/>
          <w:szCs w:val="21"/>
        </w:rPr>
        <w:t xml:space="preserve">                                                   年    月   日</w:t>
      </w:r>
    </w:p>
    <w:p>
      <w:pPr>
        <w:spacing w:line="360" w:lineRule="exact"/>
        <w:rPr>
          <w:rFonts w:hint="eastAsia" w:ascii="宋体" w:hAnsi="宋体" w:eastAsia="宋体" w:cs="宋体"/>
          <w:sz w:val="28"/>
          <w:szCs w:val="28"/>
        </w:rPr>
      </w:pPr>
    </w:p>
    <w:p>
      <w:pPr>
        <w:spacing w:line="360" w:lineRule="exact"/>
        <w:rPr>
          <w:rFonts w:hint="eastAsia" w:ascii="宋体" w:hAnsi="宋体" w:eastAsia="宋体" w:cs="宋体"/>
          <w:sz w:val="28"/>
          <w:szCs w:val="28"/>
        </w:rPr>
      </w:pPr>
    </w:p>
    <w:p>
      <w:pPr>
        <w:spacing w:line="360" w:lineRule="exact"/>
        <w:rPr>
          <w:rFonts w:hint="eastAsia" w:ascii="宋体" w:hAnsi="宋体" w:eastAsia="宋体" w:cs="宋体"/>
          <w:sz w:val="28"/>
          <w:szCs w:val="28"/>
        </w:rPr>
      </w:pPr>
    </w:p>
    <w:p>
      <w:pPr>
        <w:spacing w:line="360" w:lineRule="exact"/>
        <w:rPr>
          <w:rFonts w:hint="eastAsia" w:ascii="宋体" w:hAnsi="宋体" w:eastAsia="宋体" w:cs="宋体"/>
          <w:sz w:val="28"/>
          <w:szCs w:val="28"/>
        </w:rPr>
      </w:pPr>
    </w:p>
    <w:p>
      <w:pPr>
        <w:spacing w:line="360" w:lineRule="exact"/>
        <w:rPr>
          <w:rFonts w:hint="eastAsia" w:ascii="宋体" w:hAnsi="宋体" w:eastAsia="宋体" w:cs="宋体"/>
          <w:sz w:val="28"/>
          <w:szCs w:val="28"/>
        </w:rPr>
      </w:pPr>
    </w:p>
    <w:p>
      <w:pPr>
        <w:spacing w:line="360" w:lineRule="exact"/>
        <w:rPr>
          <w:rFonts w:hint="eastAsia" w:ascii="宋体" w:hAnsi="宋体" w:eastAsia="宋体" w:cs="宋体"/>
          <w:sz w:val="28"/>
          <w:szCs w:val="28"/>
        </w:rPr>
      </w:pPr>
    </w:p>
    <w:p>
      <w:pPr>
        <w:spacing w:line="360" w:lineRule="exact"/>
        <w:rPr>
          <w:rFonts w:hint="eastAsia" w:ascii="宋体" w:hAnsi="宋体" w:eastAsia="宋体" w:cs="宋体"/>
          <w:sz w:val="28"/>
          <w:szCs w:val="28"/>
        </w:rPr>
      </w:pPr>
    </w:p>
    <w:p>
      <w:pPr>
        <w:spacing w:line="360" w:lineRule="exact"/>
        <w:rPr>
          <w:rFonts w:hint="eastAsia" w:ascii="宋体" w:hAnsi="宋体" w:eastAsia="宋体" w:cs="宋体"/>
          <w:sz w:val="28"/>
          <w:szCs w:val="28"/>
        </w:rPr>
      </w:pPr>
    </w:p>
    <w:p>
      <w:pPr>
        <w:spacing w:line="360" w:lineRule="exact"/>
        <w:rPr>
          <w:rFonts w:hint="eastAsia" w:ascii="宋体" w:hAnsi="宋体" w:eastAsia="宋体" w:cs="宋体"/>
          <w:sz w:val="28"/>
          <w:szCs w:val="28"/>
        </w:rPr>
      </w:pPr>
    </w:p>
    <w:p>
      <w:pPr>
        <w:spacing w:line="360" w:lineRule="exact"/>
        <w:rPr>
          <w:rFonts w:hint="eastAsia" w:ascii="宋体" w:hAnsi="宋体" w:eastAsia="宋体" w:cs="宋体"/>
          <w:sz w:val="28"/>
          <w:szCs w:val="28"/>
        </w:rPr>
      </w:pPr>
    </w:p>
    <w:p>
      <w:pPr>
        <w:spacing w:line="360" w:lineRule="exact"/>
        <w:rPr>
          <w:rFonts w:hint="eastAsia" w:ascii="宋体" w:hAnsi="宋体" w:eastAsia="宋体" w:cs="宋体"/>
          <w:sz w:val="28"/>
          <w:szCs w:val="28"/>
        </w:rPr>
      </w:pPr>
    </w:p>
    <w:p>
      <w:pPr>
        <w:spacing w:line="360" w:lineRule="exact"/>
        <w:rPr>
          <w:rFonts w:hint="eastAsia" w:ascii="宋体" w:hAnsi="宋体" w:eastAsia="宋体" w:cs="宋体"/>
          <w:sz w:val="28"/>
          <w:szCs w:val="28"/>
        </w:rPr>
      </w:pPr>
    </w:p>
    <w:p>
      <w:pPr>
        <w:spacing w:line="360" w:lineRule="exact"/>
        <w:rPr>
          <w:rFonts w:hint="eastAsia" w:ascii="宋体" w:hAnsi="宋体" w:eastAsia="宋体" w:cs="宋体"/>
          <w:sz w:val="28"/>
          <w:szCs w:val="28"/>
        </w:rPr>
      </w:pPr>
    </w:p>
    <w:p>
      <w:pPr>
        <w:spacing w:line="360" w:lineRule="exact"/>
        <w:rPr>
          <w:rFonts w:hint="eastAsia" w:ascii="宋体" w:hAnsi="宋体" w:eastAsia="宋体" w:cs="宋体"/>
          <w:sz w:val="28"/>
          <w:szCs w:val="28"/>
        </w:rPr>
      </w:pPr>
    </w:p>
    <w:p>
      <w:pPr>
        <w:pStyle w:val="6"/>
        <w:keepNext/>
        <w:keepLines/>
        <w:pageBreakBefore w:val="0"/>
        <w:widowControl w:val="0"/>
        <w:numPr>
          <w:ilvl w:val="0"/>
          <w:numId w:val="18"/>
        </w:numPr>
        <w:kinsoku/>
        <w:wordWrap/>
        <w:overflowPunct/>
        <w:topLinePunct w:val="0"/>
        <w:autoSpaceDE/>
        <w:autoSpaceDN/>
        <w:bidi w:val="0"/>
        <w:adjustRightInd/>
        <w:snapToGrid/>
        <w:spacing w:before="0" w:beforeLines="0" w:after="0" w:afterLines="0" w:line="360" w:lineRule="auto"/>
        <w:jc w:val="center"/>
        <w:textAlignment w:val="auto"/>
        <w:outlineLvl w:val="1"/>
        <w:rPr>
          <w:rFonts w:hint="eastAsia" w:ascii="宋体" w:hAnsi="宋体" w:eastAsia="宋体" w:cs="宋体"/>
          <w:sz w:val="32"/>
          <w:szCs w:val="32"/>
          <w:highlight w:val="none"/>
        </w:rPr>
      </w:pPr>
      <w:bookmarkStart w:id="135" w:name="_Toc30567"/>
      <w:bookmarkStart w:id="136" w:name="_Toc11308"/>
      <w:bookmarkStart w:id="137" w:name="_Toc5611"/>
      <w:bookmarkStart w:id="138" w:name="_Toc15225"/>
      <w:r>
        <w:rPr>
          <w:rFonts w:hint="eastAsia" w:ascii="宋体" w:hAnsi="宋体" w:eastAsia="宋体" w:cs="宋体"/>
          <w:sz w:val="32"/>
          <w:szCs w:val="32"/>
          <w:lang w:eastAsia="zh-CN"/>
        </w:rPr>
        <w:br w:type="page"/>
      </w:r>
      <w:bookmarkEnd w:id="135"/>
      <w:bookmarkEnd w:id="136"/>
      <w:bookmarkEnd w:id="137"/>
      <w:bookmarkEnd w:id="138"/>
      <w:bookmarkStart w:id="139" w:name="_Toc2051"/>
      <w:r>
        <w:rPr>
          <w:rFonts w:hint="eastAsia" w:ascii="宋体" w:hAnsi="宋体" w:eastAsia="宋体" w:cs="宋体"/>
          <w:b/>
          <w:bCs/>
          <w:sz w:val="32"/>
          <w:szCs w:val="32"/>
          <w:highlight w:val="none"/>
          <w:lang w:eastAsia="zh-CN"/>
        </w:rPr>
        <w:t>技术（服务）</w:t>
      </w:r>
      <w:r>
        <w:rPr>
          <w:rFonts w:hint="eastAsia" w:ascii="宋体" w:hAnsi="宋体" w:eastAsia="宋体" w:cs="宋体"/>
          <w:sz w:val="32"/>
          <w:szCs w:val="32"/>
          <w:highlight w:val="none"/>
          <w:lang w:eastAsia="zh-CN"/>
        </w:rPr>
        <w:t>响应承诺函</w:t>
      </w:r>
      <w:bookmarkEnd w:id="139"/>
    </w:p>
    <w:p>
      <w:pPr>
        <w:pageBreakBefore w:val="0"/>
        <w:overflowPunct/>
        <w:topLinePunct w:val="0"/>
        <w:bidi w:val="0"/>
        <w:adjustRightInd w:val="0"/>
        <w:snapToGrid w:val="0"/>
        <w:spacing w:line="360" w:lineRule="auto"/>
        <w:ind w:right="210" w:rightChars="100" w:firstLine="210" w:firstLineChars="100"/>
        <w:rPr>
          <w:rFonts w:hint="eastAsia" w:ascii="宋体" w:hAnsi="宋体" w:eastAsia="宋体" w:cs="宋体"/>
          <w:highlight w:val="none"/>
        </w:rPr>
      </w:pPr>
    </w:p>
    <w:p>
      <w:pPr>
        <w:pageBreakBefore w:val="0"/>
        <w:overflowPunct/>
        <w:topLinePunct w:val="0"/>
        <w:bidi w:val="0"/>
        <w:spacing w:line="360" w:lineRule="auto"/>
        <w:rPr>
          <w:rFonts w:hint="eastAsia" w:ascii="宋体" w:hAnsi="宋体" w:eastAsia="宋体" w:cs="宋体"/>
          <w:sz w:val="24"/>
          <w:highlight w:val="none"/>
        </w:rPr>
      </w:pPr>
      <w:r>
        <w:rPr>
          <w:rFonts w:hint="eastAsia" w:ascii="宋体" w:hAnsi="宋体" w:eastAsia="宋体" w:cs="宋体"/>
          <w:sz w:val="24"/>
          <w:highlight w:val="none"/>
        </w:rPr>
        <w:t>致（采购人及采购代理机构）：</w:t>
      </w:r>
    </w:p>
    <w:p>
      <w:pPr>
        <w:pageBreakBefore w:val="0"/>
        <w:overflowPunct/>
        <w:topLinePunct w:val="0"/>
        <w:bidi w:val="0"/>
        <w:spacing w:line="360" w:lineRule="auto"/>
        <w:rPr>
          <w:rFonts w:hint="eastAsia" w:ascii="宋体" w:hAnsi="宋体" w:eastAsia="宋体" w:cs="宋体"/>
          <w:sz w:val="24"/>
          <w:highlight w:val="none"/>
        </w:rPr>
      </w:pPr>
    </w:p>
    <w:p>
      <w:pPr>
        <w:pageBreakBefore w:val="0"/>
        <w:overflowPunct/>
        <w:topLinePunct w:val="0"/>
        <w:bidi w:val="0"/>
        <w:spacing w:line="360" w:lineRule="auto"/>
        <w:rPr>
          <w:rFonts w:hint="eastAsia" w:ascii="宋体" w:hAnsi="宋体" w:eastAsia="宋体" w:cs="宋体"/>
          <w:sz w:val="24"/>
          <w:highlight w:val="none"/>
        </w:rPr>
      </w:pPr>
      <w:r>
        <w:rPr>
          <w:rFonts w:hint="eastAsia" w:ascii="宋体" w:hAnsi="宋体" w:eastAsia="宋体" w:cs="宋体"/>
          <w:sz w:val="24"/>
          <w:highlight w:val="none"/>
        </w:rPr>
        <w:t xml:space="preserve">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我公司作为</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项目</w:t>
      </w:r>
      <w:r>
        <w:rPr>
          <w:rFonts w:hint="eastAsia" w:ascii="宋体" w:hAnsi="宋体" w:eastAsia="宋体" w:cs="宋体"/>
          <w:sz w:val="24"/>
          <w:highlight w:val="none"/>
          <w:lang w:eastAsia="zh-CN"/>
        </w:rPr>
        <w:t>二包</w:t>
      </w:r>
      <w:r>
        <w:rPr>
          <w:rFonts w:hint="eastAsia" w:ascii="宋体" w:hAnsi="宋体" w:eastAsia="宋体" w:cs="宋体"/>
          <w:sz w:val="24"/>
          <w:highlight w:val="none"/>
        </w:rPr>
        <w:t>（</w:t>
      </w:r>
      <w:r>
        <w:rPr>
          <w:rFonts w:hint="eastAsia" w:ascii="宋体" w:hAnsi="宋体" w:eastAsia="宋体" w:cs="宋体"/>
          <w:sz w:val="24"/>
          <w:highlight w:val="none"/>
          <w:lang w:eastAsia="zh-CN"/>
        </w:rPr>
        <w:t>项目编号</w:t>
      </w:r>
      <w:r>
        <w:rPr>
          <w:rFonts w:hint="eastAsia" w:ascii="宋体" w:hAnsi="宋体" w:eastAsia="宋体" w:cs="宋体"/>
          <w:sz w:val="24"/>
          <w:highlight w:val="none"/>
        </w:rPr>
        <w:t>：</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）的供应商，现郑重承诺响应</w:t>
      </w:r>
      <w:r>
        <w:rPr>
          <w:rFonts w:hint="eastAsia" w:ascii="宋体" w:hAnsi="宋体" w:eastAsia="宋体" w:cs="宋体"/>
          <w:sz w:val="24"/>
          <w:szCs w:val="24"/>
          <w:lang w:val="en-US" w:eastAsia="zh-CN"/>
        </w:rPr>
        <w:t>第五章采购需求中“三、</w:t>
      </w:r>
      <w:r>
        <w:rPr>
          <w:rFonts w:hint="default" w:ascii="宋体" w:hAnsi="宋体" w:eastAsia="宋体" w:cs="宋体"/>
          <w:sz w:val="24"/>
          <w:szCs w:val="24"/>
          <w:lang w:val="en-US" w:eastAsia="zh-CN"/>
        </w:rPr>
        <w:t>服务要求</w:t>
      </w:r>
      <w:r>
        <w:rPr>
          <w:rFonts w:hint="eastAsia" w:ascii="宋体" w:hAnsi="宋体" w:eastAsia="宋体" w:cs="宋体"/>
          <w:sz w:val="24"/>
          <w:szCs w:val="24"/>
          <w:lang w:val="en-US" w:eastAsia="zh-CN"/>
        </w:rPr>
        <w:t>”的全部内容</w:t>
      </w:r>
      <w:r>
        <w:rPr>
          <w:rFonts w:hint="eastAsia" w:ascii="宋体" w:hAnsi="宋体" w:eastAsia="宋体" w:cs="宋体"/>
          <w:sz w:val="24"/>
          <w:highlight w:val="none"/>
        </w:rPr>
        <w:t>。</w:t>
      </w:r>
    </w:p>
    <w:p>
      <w:pPr>
        <w:pageBreakBefore w:val="0"/>
        <w:overflowPunct/>
        <w:topLinePunct w:val="0"/>
        <w:bidi w:val="0"/>
        <w:spacing w:line="360" w:lineRule="auto"/>
        <w:rPr>
          <w:rFonts w:hint="eastAsia" w:ascii="宋体" w:hAnsi="宋体" w:eastAsia="宋体" w:cs="宋体"/>
          <w:sz w:val="24"/>
          <w:highlight w:val="none"/>
        </w:rPr>
      </w:pPr>
    </w:p>
    <w:p>
      <w:pPr>
        <w:pStyle w:val="56"/>
        <w:pageBreakBefore w:val="0"/>
        <w:overflowPunct/>
        <w:topLinePunct w:val="0"/>
        <w:bidi w:val="0"/>
        <w:spacing w:after="0" w:afterLines="0" w:line="360" w:lineRule="auto"/>
        <w:rPr>
          <w:rFonts w:hint="eastAsia" w:ascii="宋体" w:hAnsi="宋体" w:eastAsia="宋体" w:cs="宋体"/>
          <w:highlight w:val="none"/>
        </w:rPr>
      </w:pPr>
    </w:p>
    <w:p>
      <w:pPr>
        <w:pStyle w:val="56"/>
        <w:pageBreakBefore w:val="0"/>
        <w:overflowPunct/>
        <w:topLinePunct w:val="0"/>
        <w:bidi w:val="0"/>
        <w:spacing w:after="0" w:afterLines="0" w:line="360" w:lineRule="auto"/>
        <w:rPr>
          <w:rFonts w:hint="eastAsia" w:ascii="宋体" w:hAnsi="宋体" w:eastAsia="宋体" w:cs="宋体"/>
          <w:highlight w:val="none"/>
        </w:rPr>
      </w:pPr>
    </w:p>
    <w:p>
      <w:pPr>
        <w:pStyle w:val="56"/>
        <w:pageBreakBefore w:val="0"/>
        <w:overflowPunct/>
        <w:topLinePunct w:val="0"/>
        <w:bidi w:val="0"/>
        <w:spacing w:after="0" w:afterLines="0" w:line="360" w:lineRule="auto"/>
        <w:rPr>
          <w:rFonts w:hint="eastAsia" w:ascii="宋体" w:hAnsi="宋体" w:eastAsia="宋体" w:cs="宋体"/>
          <w:highlight w:val="none"/>
        </w:rPr>
      </w:pPr>
    </w:p>
    <w:p>
      <w:pPr>
        <w:pStyle w:val="56"/>
        <w:pageBreakBefore w:val="0"/>
        <w:overflowPunct/>
        <w:topLinePunct w:val="0"/>
        <w:bidi w:val="0"/>
        <w:spacing w:after="0" w:afterLines="0" w:line="360" w:lineRule="auto"/>
        <w:rPr>
          <w:rFonts w:hint="eastAsia" w:ascii="宋体" w:hAnsi="宋体" w:eastAsia="宋体" w:cs="宋体"/>
          <w:highlight w:val="none"/>
        </w:rPr>
      </w:pPr>
    </w:p>
    <w:p>
      <w:pPr>
        <w:pStyle w:val="56"/>
        <w:pageBreakBefore w:val="0"/>
        <w:overflowPunct/>
        <w:topLinePunct w:val="0"/>
        <w:bidi w:val="0"/>
        <w:spacing w:after="0" w:afterLines="0" w:line="360" w:lineRule="auto"/>
        <w:rPr>
          <w:rFonts w:hint="eastAsia" w:ascii="宋体" w:hAnsi="宋体" w:eastAsia="宋体" w:cs="宋体"/>
          <w:highlight w:val="none"/>
        </w:rPr>
      </w:pPr>
    </w:p>
    <w:p>
      <w:pPr>
        <w:pageBreakBefore w:val="0"/>
        <w:overflowPunct/>
        <w:topLinePunct w:val="0"/>
        <w:bidi w:val="0"/>
        <w:spacing w:line="360" w:lineRule="auto"/>
        <w:rPr>
          <w:rFonts w:hint="eastAsia" w:ascii="宋体" w:hAnsi="宋体" w:eastAsia="宋体" w:cs="宋体"/>
          <w:sz w:val="24"/>
          <w:highlight w:val="none"/>
        </w:rPr>
      </w:pPr>
      <w:r>
        <w:rPr>
          <w:rFonts w:hint="eastAsia" w:ascii="宋体" w:hAnsi="宋体" w:eastAsia="宋体" w:cs="宋体"/>
          <w:sz w:val="24"/>
          <w:highlight w:val="none"/>
        </w:rPr>
        <w:t xml:space="preserve">                                供应商名称（全称并加盖公章）：</w:t>
      </w:r>
    </w:p>
    <w:p>
      <w:pPr>
        <w:pageBreakBefore w:val="0"/>
        <w:overflowPunct/>
        <w:topLinePunct w:val="0"/>
        <w:bidi w:val="0"/>
        <w:spacing w:line="360" w:lineRule="auto"/>
        <w:rPr>
          <w:rFonts w:hint="eastAsia" w:ascii="宋体" w:hAnsi="宋体" w:eastAsia="宋体" w:cs="宋体"/>
          <w:sz w:val="24"/>
          <w:highlight w:val="none"/>
        </w:rPr>
      </w:pPr>
      <w:r>
        <w:rPr>
          <w:rFonts w:hint="eastAsia" w:ascii="宋体" w:hAnsi="宋体" w:eastAsia="宋体" w:cs="宋体"/>
          <w:sz w:val="24"/>
          <w:highlight w:val="none"/>
        </w:rPr>
        <w:t xml:space="preserve">                                法定代表人或其委托代理人（签字）：</w:t>
      </w:r>
    </w:p>
    <w:p>
      <w:pPr>
        <w:pageBreakBefore w:val="0"/>
        <w:overflowPunct/>
        <w:topLinePunct w:val="0"/>
        <w:bidi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 xml:space="preserve">                </w:t>
      </w:r>
    </w:p>
    <w:p>
      <w:pPr>
        <w:pageBreakBefore w:val="0"/>
        <w:overflowPunct/>
        <w:topLinePunct w:val="0"/>
        <w:bidi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 xml:space="preserve">   </w:t>
      </w:r>
    </w:p>
    <w:p>
      <w:pPr>
        <w:pageBreakBefore w:val="0"/>
        <w:overflowPunct/>
        <w:topLinePunct w:val="0"/>
        <w:bidi w:val="0"/>
        <w:adjustRightInd w:val="0"/>
        <w:snapToGrid w:val="0"/>
        <w:spacing w:line="360" w:lineRule="auto"/>
        <w:ind w:right="210" w:rightChars="100" w:firstLine="6720" w:firstLineChars="3200"/>
        <w:rPr>
          <w:rFonts w:hint="eastAsia" w:ascii="宋体" w:hAnsi="宋体" w:eastAsia="宋体" w:cs="宋体"/>
          <w:highlight w:val="none"/>
        </w:rPr>
      </w:pPr>
      <w:r>
        <w:rPr>
          <w:rFonts w:hint="eastAsia" w:ascii="宋体" w:hAnsi="宋体" w:eastAsia="宋体" w:cs="宋体"/>
          <w:szCs w:val="21"/>
          <w:highlight w:val="none"/>
        </w:rPr>
        <w:t xml:space="preserve"> 年  月  日</w:t>
      </w:r>
    </w:p>
    <w:p>
      <w:pPr>
        <w:pageBreakBefore w:val="0"/>
        <w:overflowPunct/>
        <w:topLinePunct w:val="0"/>
        <w:bidi w:val="0"/>
        <w:spacing w:line="360" w:lineRule="auto"/>
        <w:rPr>
          <w:rFonts w:hint="eastAsia" w:ascii="宋体" w:hAnsi="宋体" w:eastAsia="宋体" w:cs="宋体"/>
          <w:sz w:val="28"/>
          <w:szCs w:val="28"/>
          <w:highlight w:val="none"/>
        </w:rPr>
      </w:pPr>
    </w:p>
    <w:p>
      <w:pPr>
        <w:adjustRightInd w:val="0"/>
        <w:snapToGrid w:val="0"/>
        <w:ind w:right="210" w:rightChars="100" w:firstLine="210" w:firstLineChars="100"/>
        <w:rPr>
          <w:rFonts w:hint="eastAsia" w:ascii="宋体" w:hAnsi="宋体" w:eastAsia="宋体" w:cs="宋体"/>
        </w:rPr>
      </w:pPr>
      <w:r>
        <w:rPr>
          <w:rFonts w:hint="eastAsia" w:ascii="宋体" w:hAnsi="宋体" w:eastAsia="宋体" w:cs="宋体"/>
        </w:rPr>
        <w:t xml:space="preserve">                                        </w:t>
      </w:r>
    </w:p>
    <w:p>
      <w:pPr>
        <w:ind w:firstLine="735" w:firstLineChars="350"/>
        <w:jc w:val="left"/>
        <w:rPr>
          <w:rFonts w:hint="eastAsia" w:ascii="宋体" w:hAnsi="宋体" w:eastAsia="宋体" w:cs="宋体"/>
        </w:rPr>
      </w:pPr>
      <w:r>
        <w:rPr>
          <w:rFonts w:hint="eastAsia" w:ascii="宋体" w:hAnsi="宋体" w:eastAsia="宋体" w:cs="宋体"/>
        </w:rPr>
        <w:t xml:space="preserve">                                       </w:t>
      </w:r>
    </w:p>
    <w:p>
      <w:pPr>
        <w:jc w:val="left"/>
        <w:rPr>
          <w:rFonts w:hint="eastAsia" w:ascii="宋体" w:hAnsi="宋体" w:eastAsia="宋体" w:cs="宋体"/>
        </w:rPr>
      </w:pPr>
    </w:p>
    <w:p>
      <w:pPr>
        <w:jc w:val="center"/>
        <w:rPr>
          <w:rFonts w:hint="eastAsia" w:ascii="宋体" w:hAnsi="宋体" w:eastAsia="宋体" w:cs="宋体"/>
        </w:rPr>
      </w:pPr>
    </w:p>
    <w:p>
      <w:pPr>
        <w:jc w:val="center"/>
        <w:rPr>
          <w:rFonts w:hint="eastAsia" w:ascii="宋体" w:hAnsi="宋体" w:eastAsia="宋体" w:cs="宋体"/>
        </w:rPr>
      </w:pPr>
    </w:p>
    <w:p>
      <w:pPr>
        <w:jc w:val="center"/>
        <w:rPr>
          <w:rFonts w:hint="eastAsia" w:ascii="宋体" w:hAnsi="宋体" w:eastAsia="宋体" w:cs="宋体"/>
        </w:rPr>
      </w:pPr>
    </w:p>
    <w:p>
      <w:pPr>
        <w:pStyle w:val="2"/>
        <w:rPr>
          <w:rFonts w:hint="eastAsia" w:ascii="宋体" w:hAnsi="宋体" w:eastAsia="宋体" w:cs="宋体"/>
        </w:rPr>
      </w:pPr>
    </w:p>
    <w:p>
      <w:pPr>
        <w:rPr>
          <w:rFonts w:hint="eastAsia" w:ascii="宋体" w:hAnsi="宋体" w:eastAsia="宋体" w:cs="宋体"/>
        </w:rPr>
      </w:pPr>
    </w:p>
    <w:p>
      <w:pPr>
        <w:pStyle w:val="2"/>
        <w:rPr>
          <w:rFonts w:hint="eastAsia"/>
        </w:rPr>
      </w:pPr>
    </w:p>
    <w:p>
      <w:pPr>
        <w:jc w:val="center"/>
        <w:rPr>
          <w:rFonts w:hint="eastAsia" w:ascii="宋体" w:hAnsi="宋体" w:eastAsia="宋体" w:cs="宋体"/>
        </w:rPr>
      </w:pPr>
    </w:p>
    <w:p>
      <w:pPr>
        <w:jc w:val="center"/>
        <w:rPr>
          <w:rFonts w:hint="eastAsia" w:ascii="宋体" w:hAnsi="宋体" w:eastAsia="宋体" w:cs="宋体"/>
        </w:rPr>
      </w:pPr>
    </w:p>
    <w:p>
      <w:pPr>
        <w:jc w:val="center"/>
        <w:rPr>
          <w:rFonts w:hint="eastAsia" w:ascii="宋体" w:hAnsi="宋体" w:eastAsia="宋体" w:cs="宋体"/>
        </w:rPr>
      </w:pPr>
    </w:p>
    <w:p>
      <w:pPr>
        <w:jc w:val="center"/>
        <w:rPr>
          <w:rFonts w:hint="eastAsia" w:ascii="宋体" w:hAnsi="宋体" w:eastAsia="宋体" w:cs="宋体"/>
        </w:rPr>
      </w:pPr>
    </w:p>
    <w:p>
      <w:pPr>
        <w:jc w:val="center"/>
        <w:rPr>
          <w:rFonts w:hint="eastAsia" w:ascii="宋体" w:hAnsi="宋体" w:eastAsia="宋体" w:cs="宋体"/>
        </w:rPr>
      </w:pPr>
    </w:p>
    <w:p>
      <w:pPr>
        <w:pStyle w:val="5"/>
        <w:keepNext/>
        <w:keepLines/>
        <w:pageBreakBefore w:val="0"/>
        <w:widowControl w:val="0"/>
        <w:numPr>
          <w:ilvl w:val="0"/>
          <w:numId w:val="18"/>
        </w:numPr>
        <w:kinsoku/>
        <w:wordWrap/>
        <w:overflowPunct/>
        <w:topLinePunct w:val="0"/>
        <w:autoSpaceDE/>
        <w:autoSpaceDN/>
        <w:bidi w:val="0"/>
        <w:adjustRightInd/>
        <w:snapToGrid/>
        <w:spacing w:before="0" w:beforeLines="0" w:after="0" w:afterLines="0" w:line="360" w:lineRule="auto"/>
        <w:jc w:val="center"/>
        <w:textAlignment w:val="auto"/>
        <w:outlineLvl w:val="0"/>
        <w:rPr>
          <w:rFonts w:hint="eastAsia" w:ascii="宋体" w:hAnsi="宋体" w:eastAsia="宋体" w:cs="宋体"/>
          <w:sz w:val="32"/>
          <w:szCs w:val="32"/>
        </w:rPr>
      </w:pPr>
      <w:bookmarkStart w:id="140" w:name="_Toc31901"/>
      <w:bookmarkStart w:id="141" w:name="_Toc24554"/>
      <w:bookmarkStart w:id="142" w:name="_Toc405"/>
      <w:bookmarkStart w:id="143" w:name="_Toc20003"/>
      <w:bookmarkStart w:id="212" w:name="_GoBack"/>
      <w:bookmarkEnd w:id="212"/>
      <w:r>
        <w:rPr>
          <w:rFonts w:hint="eastAsia" w:ascii="宋体" w:hAnsi="宋体" w:eastAsia="宋体" w:cs="宋体"/>
          <w:sz w:val="32"/>
          <w:szCs w:val="32"/>
        </w:rPr>
        <w:t>商务响应表</w:t>
      </w:r>
      <w:bookmarkEnd w:id="140"/>
      <w:bookmarkEnd w:id="141"/>
      <w:bookmarkEnd w:id="142"/>
      <w:bookmarkEnd w:id="143"/>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项目名称</w:t>
      </w:r>
      <w:r>
        <w:rPr>
          <w:rFonts w:hint="eastAsia" w:ascii="宋体" w:hAnsi="宋体" w:eastAsia="宋体" w:cs="宋体"/>
          <w:szCs w:val="21"/>
          <w:lang w:eastAsia="zh-CN"/>
        </w:rPr>
        <w:t>、</w:t>
      </w:r>
      <w:r>
        <w:rPr>
          <w:rFonts w:hint="eastAsia" w:ascii="宋体" w:hAnsi="宋体" w:eastAsia="宋体" w:cs="宋体"/>
          <w:szCs w:val="21"/>
          <w:lang w:val="en-US" w:eastAsia="zh-CN"/>
        </w:rPr>
        <w:t>包号</w:t>
      </w:r>
      <w:r>
        <w:rPr>
          <w:rFonts w:hint="eastAsia" w:ascii="宋体" w:hAnsi="宋体" w:eastAsia="宋体" w:cs="宋体"/>
          <w:szCs w:val="21"/>
        </w:rPr>
        <w:t xml:space="preserve">：                                        </w:t>
      </w:r>
      <w:r>
        <w:rPr>
          <w:rFonts w:hint="eastAsia" w:ascii="宋体" w:hAnsi="宋体" w:eastAsia="宋体" w:cs="宋体"/>
          <w:szCs w:val="21"/>
          <w:lang w:eastAsia="zh-CN"/>
        </w:rPr>
        <w:t>项目编号</w:t>
      </w:r>
      <w:r>
        <w:rPr>
          <w:rFonts w:hint="eastAsia" w:ascii="宋体" w:hAnsi="宋体" w:eastAsia="宋体" w:cs="宋体"/>
          <w:szCs w:val="21"/>
        </w:rPr>
        <w:t>：</w:t>
      </w:r>
    </w:p>
    <w:tbl>
      <w:tblPr>
        <w:tblStyle w:val="36"/>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1548"/>
        <w:gridCol w:w="2700"/>
        <w:gridCol w:w="1260"/>
        <w:gridCol w:w="302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42" w:hRule="atLeast"/>
          <w:jc w:val="center"/>
        </w:trPr>
        <w:tc>
          <w:tcPr>
            <w:tcW w:w="1548"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序号</w:t>
            </w:r>
          </w:p>
        </w:tc>
        <w:tc>
          <w:tcPr>
            <w:tcW w:w="270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磋商文件要求</w:t>
            </w:r>
          </w:p>
        </w:tc>
        <w:tc>
          <w:tcPr>
            <w:tcW w:w="126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是否响应</w:t>
            </w:r>
          </w:p>
        </w:tc>
        <w:tc>
          <w:tcPr>
            <w:tcW w:w="302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供应商的承诺或说明</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beforeLines="0" w:line="240" w:lineRule="exact"/>
              <w:jc w:val="center"/>
              <w:rPr>
                <w:rFonts w:hint="eastAsia" w:ascii="宋体" w:hAnsi="宋体" w:eastAsia="宋体" w:cs="宋体"/>
                <w:szCs w:val="21"/>
              </w:rPr>
            </w:pPr>
          </w:p>
        </w:tc>
        <w:tc>
          <w:tcPr>
            <w:tcW w:w="270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eastAsia="宋体" w:cs="宋体"/>
                <w:szCs w:val="21"/>
              </w:rPr>
            </w:pPr>
          </w:p>
        </w:tc>
        <w:tc>
          <w:tcPr>
            <w:tcW w:w="126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eastAsia="宋体" w:cs="宋体"/>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beforeLines="0" w:line="240" w:lineRule="exact"/>
              <w:jc w:val="center"/>
              <w:rPr>
                <w:rFonts w:hint="eastAsia" w:ascii="宋体" w:hAnsi="宋体" w:eastAsia="宋体" w:cs="宋体"/>
                <w:szCs w:val="21"/>
              </w:rPr>
            </w:pPr>
          </w:p>
        </w:tc>
        <w:tc>
          <w:tcPr>
            <w:tcW w:w="270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eastAsia="宋体" w:cs="宋体"/>
                <w:szCs w:val="21"/>
              </w:rPr>
            </w:pPr>
          </w:p>
        </w:tc>
        <w:tc>
          <w:tcPr>
            <w:tcW w:w="126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eastAsia="宋体" w:cs="宋体"/>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beforeLines="0" w:line="240" w:lineRule="exact"/>
              <w:jc w:val="center"/>
              <w:rPr>
                <w:rFonts w:hint="eastAsia" w:ascii="宋体" w:hAnsi="宋体" w:eastAsia="宋体" w:cs="宋体"/>
                <w:szCs w:val="21"/>
              </w:rPr>
            </w:pPr>
          </w:p>
        </w:tc>
        <w:tc>
          <w:tcPr>
            <w:tcW w:w="270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eastAsia="宋体" w:cs="宋体"/>
                <w:szCs w:val="21"/>
              </w:rPr>
            </w:pPr>
          </w:p>
        </w:tc>
        <w:tc>
          <w:tcPr>
            <w:tcW w:w="126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eastAsia="宋体" w:cs="宋体"/>
                <w:szCs w:val="21"/>
              </w:rPr>
            </w:pPr>
          </w:p>
        </w:tc>
        <w:tc>
          <w:tcPr>
            <w:tcW w:w="302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beforeLines="0" w:line="240" w:lineRule="exact"/>
              <w:jc w:val="center"/>
              <w:rPr>
                <w:rFonts w:hint="eastAsia" w:ascii="宋体" w:hAnsi="宋体" w:eastAsia="宋体" w:cs="宋体"/>
                <w:szCs w:val="21"/>
              </w:rPr>
            </w:pP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eastAsia="宋体" w:cs="宋体"/>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eastAsia="宋体" w:cs="宋体"/>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beforeLines="0" w:line="240" w:lineRule="exact"/>
              <w:jc w:val="center"/>
              <w:rPr>
                <w:rFonts w:hint="eastAsia" w:ascii="宋体" w:hAnsi="宋体" w:eastAsia="宋体" w:cs="宋体"/>
                <w:szCs w:val="21"/>
              </w:rPr>
            </w:pP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eastAsia="宋体" w:cs="宋体"/>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eastAsia="宋体" w:cs="宋体"/>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beforeLines="0" w:line="240" w:lineRule="exact"/>
              <w:jc w:val="center"/>
              <w:rPr>
                <w:rFonts w:hint="eastAsia" w:ascii="宋体" w:hAnsi="宋体" w:eastAsia="宋体" w:cs="宋体"/>
                <w:szCs w:val="21"/>
              </w:rPr>
            </w:pP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eastAsia="宋体" w:cs="宋体"/>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eastAsia="宋体" w:cs="宋体"/>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beforeLines="0" w:line="240" w:lineRule="exact"/>
              <w:jc w:val="center"/>
              <w:rPr>
                <w:rFonts w:hint="eastAsia" w:ascii="宋体" w:hAnsi="宋体" w:eastAsia="宋体" w:cs="宋体"/>
                <w:szCs w:val="21"/>
              </w:rPr>
            </w:pPr>
            <w:r>
              <w:rPr>
                <w:rFonts w:hint="eastAsia" w:ascii="宋体" w:hAnsi="宋体" w:eastAsia="宋体" w:cs="宋体"/>
                <w:szCs w:val="21"/>
              </w:rPr>
              <w:t>…</w:t>
            </w: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eastAsia="宋体" w:cs="宋体"/>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eastAsia="宋体" w:cs="宋体"/>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eastAsia="宋体" w:cs="宋体"/>
                <w:szCs w:val="21"/>
              </w:rPr>
            </w:pPr>
          </w:p>
        </w:tc>
      </w:tr>
    </w:tbl>
    <w:p>
      <w:pPr>
        <w:rPr>
          <w:rFonts w:hint="eastAsia" w:ascii="宋体" w:hAnsi="宋体" w:eastAsia="宋体" w:cs="宋体"/>
          <w:color w:val="000000"/>
          <w:szCs w:val="21"/>
        </w:rPr>
      </w:pPr>
      <w:r>
        <w:rPr>
          <w:rFonts w:hint="eastAsia" w:ascii="宋体" w:hAnsi="宋体" w:eastAsia="宋体" w:cs="宋体"/>
          <w:color w:val="000000"/>
          <w:szCs w:val="21"/>
        </w:rPr>
        <w:t>注：1.</w:t>
      </w:r>
      <w:r>
        <w:rPr>
          <w:rFonts w:hint="eastAsia" w:ascii="宋体" w:hAnsi="宋体" w:eastAsia="宋体" w:cs="宋体"/>
          <w:szCs w:val="21"/>
        </w:rPr>
        <w:t>供应商</w:t>
      </w:r>
      <w:r>
        <w:rPr>
          <w:rFonts w:hint="eastAsia" w:ascii="宋体" w:hAnsi="宋体" w:eastAsia="宋体" w:cs="宋体"/>
          <w:color w:val="000000"/>
          <w:szCs w:val="21"/>
        </w:rPr>
        <w:t>可根据实际情况自行添加表格内容；</w:t>
      </w:r>
    </w:p>
    <w:p>
      <w:pPr>
        <w:ind w:firstLine="420" w:firstLineChars="200"/>
        <w:rPr>
          <w:rFonts w:hint="eastAsia" w:ascii="宋体" w:hAnsi="宋体" w:eastAsia="宋体" w:cs="宋体"/>
          <w:color w:val="000000"/>
          <w:szCs w:val="21"/>
        </w:rPr>
      </w:pPr>
      <w:r>
        <w:rPr>
          <w:rFonts w:hint="eastAsia" w:ascii="宋体" w:hAnsi="宋体" w:eastAsia="宋体" w:cs="宋体"/>
          <w:szCs w:val="21"/>
        </w:rPr>
        <w:t>2.供应商</w:t>
      </w:r>
      <w:r>
        <w:rPr>
          <w:rFonts w:hint="eastAsia" w:ascii="宋体" w:hAnsi="宋体" w:eastAsia="宋体" w:cs="宋体"/>
          <w:color w:val="000000"/>
          <w:szCs w:val="21"/>
        </w:rPr>
        <w:t>必须完全响应并按上表逐条填写竞争性磋商文件商务要求，否则按无效文件处理。</w:t>
      </w:r>
    </w:p>
    <w:p>
      <w:pPr>
        <w:ind w:firstLine="420" w:firstLineChars="200"/>
        <w:rPr>
          <w:rFonts w:hint="eastAsia" w:ascii="宋体" w:hAnsi="宋体" w:eastAsia="宋体" w:cs="宋体"/>
          <w:color w:val="000000"/>
          <w:szCs w:val="21"/>
        </w:rPr>
      </w:pPr>
      <w:r>
        <w:rPr>
          <w:rFonts w:hint="eastAsia" w:ascii="宋体" w:hAnsi="宋体" w:eastAsia="宋体" w:cs="宋体"/>
          <w:color w:val="000000"/>
          <w:szCs w:val="21"/>
        </w:rPr>
        <w:t>3.商务要求包括：磋商文件</w:t>
      </w:r>
      <w:r>
        <w:rPr>
          <w:rFonts w:hint="eastAsia" w:ascii="宋体" w:hAnsi="宋体" w:eastAsia="宋体" w:cs="宋体"/>
          <w:b/>
          <w:bCs/>
          <w:color w:val="auto"/>
          <w:szCs w:val="21"/>
        </w:rPr>
        <w:t>第五章中的“商务要求”</w:t>
      </w:r>
      <w:r>
        <w:rPr>
          <w:rFonts w:hint="eastAsia" w:ascii="宋体" w:hAnsi="宋体" w:eastAsia="宋体" w:cs="宋体"/>
          <w:b w:val="0"/>
          <w:bCs w:val="0"/>
          <w:color w:val="auto"/>
          <w:szCs w:val="21"/>
          <w:lang w:eastAsia="zh-CN"/>
        </w:rPr>
        <w:t>中</w:t>
      </w:r>
      <w:r>
        <w:rPr>
          <w:rFonts w:hint="eastAsia" w:ascii="宋体" w:hAnsi="宋体" w:eastAsia="宋体" w:cs="宋体"/>
          <w:color w:val="000000"/>
          <w:szCs w:val="21"/>
        </w:rPr>
        <w:t>的内容。</w:t>
      </w:r>
    </w:p>
    <w:p>
      <w:pPr>
        <w:ind w:firstLine="420" w:firstLineChars="200"/>
        <w:rPr>
          <w:rFonts w:hint="eastAsia" w:ascii="宋体" w:hAnsi="宋体" w:eastAsia="宋体" w:cs="宋体"/>
          <w:color w:val="000000"/>
          <w:szCs w:val="21"/>
        </w:rPr>
      </w:pPr>
    </w:p>
    <w:p>
      <w:pPr>
        <w:rPr>
          <w:rFonts w:hint="eastAsia" w:ascii="宋体" w:hAnsi="宋体" w:eastAsia="宋体" w:cs="宋体"/>
          <w:color w:val="000000"/>
          <w:szCs w:val="21"/>
        </w:rPr>
      </w:pPr>
    </w:p>
    <w:p>
      <w:pPr>
        <w:spacing w:line="360" w:lineRule="auto"/>
        <w:rPr>
          <w:rFonts w:hint="eastAsia" w:ascii="宋体" w:hAnsi="宋体" w:eastAsia="宋体" w:cs="宋体"/>
          <w:color w:val="000000"/>
          <w:szCs w:val="21"/>
        </w:rPr>
      </w:pPr>
    </w:p>
    <w:p>
      <w:pPr>
        <w:spacing w:line="360" w:lineRule="auto"/>
        <w:rPr>
          <w:rFonts w:hint="eastAsia" w:ascii="宋体" w:hAnsi="宋体" w:eastAsia="宋体" w:cs="宋体"/>
          <w:sz w:val="24"/>
        </w:rPr>
      </w:pPr>
      <w:r>
        <w:rPr>
          <w:rFonts w:hint="eastAsia" w:ascii="宋体" w:hAnsi="宋体" w:eastAsia="宋体" w:cs="宋体"/>
          <w:sz w:val="24"/>
        </w:rPr>
        <w:t xml:space="preserve">                                供应商名称（全称并加盖公章）：</w:t>
      </w:r>
    </w:p>
    <w:p>
      <w:pPr>
        <w:spacing w:line="360" w:lineRule="auto"/>
        <w:rPr>
          <w:rFonts w:hint="eastAsia" w:ascii="宋体" w:hAnsi="宋体" w:eastAsia="宋体" w:cs="宋体"/>
          <w:sz w:val="24"/>
        </w:rPr>
      </w:pPr>
      <w:r>
        <w:rPr>
          <w:rFonts w:hint="eastAsia" w:ascii="宋体" w:hAnsi="宋体" w:eastAsia="宋体" w:cs="宋体"/>
          <w:sz w:val="24"/>
        </w:rPr>
        <w:t xml:space="preserve">                                法定代表人或其委托代理人（签</w:t>
      </w:r>
      <w:r>
        <w:rPr>
          <w:rFonts w:hint="eastAsia" w:ascii="宋体" w:hAnsi="宋体" w:eastAsia="宋体" w:cs="宋体"/>
          <w:sz w:val="24"/>
          <w:lang w:eastAsia="zh-CN"/>
        </w:rPr>
        <w:t>名或盖章</w:t>
      </w:r>
      <w:r>
        <w:rPr>
          <w:rFonts w:hint="eastAsia" w:ascii="宋体" w:hAnsi="宋体" w:eastAsia="宋体" w:cs="宋体"/>
          <w:sz w:val="24"/>
        </w:rPr>
        <w:t>）：</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 xml:space="preserve">                     </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 xml:space="preserve">   </w:t>
      </w:r>
    </w:p>
    <w:p>
      <w:pPr>
        <w:spacing w:line="360" w:lineRule="auto"/>
        <w:ind w:firstLine="420" w:firstLineChars="200"/>
        <w:jc w:val="right"/>
        <w:rPr>
          <w:rFonts w:hint="eastAsia" w:ascii="宋体" w:hAnsi="宋体" w:eastAsia="宋体" w:cs="宋体"/>
          <w:szCs w:val="21"/>
        </w:rPr>
      </w:pPr>
      <w:r>
        <w:rPr>
          <w:rFonts w:hint="eastAsia" w:ascii="宋体" w:hAnsi="宋体" w:eastAsia="宋体" w:cs="宋体"/>
          <w:szCs w:val="21"/>
        </w:rPr>
        <w:t xml:space="preserve"> 年  月  日</w:t>
      </w:r>
    </w:p>
    <w:p>
      <w:pPr>
        <w:spacing w:line="360" w:lineRule="exact"/>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exact"/>
        <w:rPr>
          <w:rFonts w:hint="eastAsia" w:ascii="宋体" w:hAnsi="宋体" w:eastAsia="宋体" w:cs="宋体"/>
          <w:sz w:val="28"/>
          <w:szCs w:val="28"/>
        </w:rPr>
      </w:pPr>
    </w:p>
    <w:bookmarkEnd w:id="121"/>
    <w:bookmarkEnd w:id="122"/>
    <w:bookmarkEnd w:id="123"/>
    <w:bookmarkEnd w:id="124"/>
    <w:bookmarkEnd w:id="125"/>
    <w:bookmarkEnd w:id="126"/>
    <w:bookmarkEnd w:id="127"/>
    <w:p>
      <w:pPr>
        <w:pStyle w:val="5"/>
        <w:keepNext/>
        <w:keepLines/>
        <w:pageBreakBefore w:val="0"/>
        <w:widowControl w:val="0"/>
        <w:numPr>
          <w:ilvl w:val="0"/>
          <w:numId w:val="18"/>
        </w:numPr>
        <w:kinsoku/>
        <w:wordWrap/>
        <w:overflowPunct/>
        <w:topLinePunct w:val="0"/>
        <w:autoSpaceDE/>
        <w:autoSpaceDN/>
        <w:bidi w:val="0"/>
        <w:adjustRightInd/>
        <w:snapToGrid/>
        <w:spacing w:before="0" w:beforeLines="0" w:after="0" w:afterLines="0" w:line="360" w:lineRule="auto"/>
        <w:jc w:val="center"/>
        <w:textAlignment w:val="auto"/>
        <w:outlineLvl w:val="0"/>
        <w:rPr>
          <w:rFonts w:hint="eastAsia" w:ascii="宋体" w:hAnsi="宋体" w:eastAsia="宋体" w:cs="宋体"/>
          <w:sz w:val="32"/>
          <w:szCs w:val="32"/>
        </w:rPr>
      </w:pPr>
      <w:bookmarkStart w:id="144" w:name="_bookmark278"/>
      <w:bookmarkEnd w:id="144"/>
      <w:bookmarkStart w:id="145" w:name="18.4.4_信息采集费用概算明细表"/>
      <w:bookmarkEnd w:id="145"/>
      <w:bookmarkStart w:id="146" w:name="_Toc6508"/>
      <w:bookmarkStart w:id="147" w:name="_Toc8927"/>
      <w:bookmarkStart w:id="148" w:name="_Toc13168"/>
      <w:r>
        <w:rPr>
          <w:rFonts w:hint="eastAsia" w:ascii="宋体" w:hAnsi="宋体" w:eastAsia="宋体" w:cs="宋体"/>
          <w:sz w:val="32"/>
          <w:szCs w:val="32"/>
        </w:rPr>
        <w:t>资格证明材料</w:t>
      </w:r>
      <w:bookmarkEnd w:id="146"/>
      <w:bookmarkEnd w:id="147"/>
      <w:bookmarkEnd w:id="148"/>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FF0000"/>
          <w:sz w:val="24"/>
          <w:szCs w:val="24"/>
          <w:highlight w:val="yellow"/>
          <w:lang w:val="en-US" w:eastAsia="zh-CN"/>
        </w:rPr>
      </w:pPr>
      <w:r>
        <w:rPr>
          <w:rFonts w:hint="eastAsia" w:ascii="宋体" w:hAnsi="宋体" w:eastAsia="宋体" w:cs="宋体"/>
          <w:color w:val="auto"/>
          <w:sz w:val="24"/>
          <w:szCs w:val="24"/>
        </w:rPr>
        <w:t>1.</w:t>
      </w:r>
      <w:r>
        <w:rPr>
          <w:rFonts w:hint="eastAsia" w:ascii="宋体" w:hAnsi="宋体" w:eastAsia="宋体" w:cs="宋体"/>
          <w:color w:val="auto"/>
          <w:sz w:val="24"/>
          <w:szCs w:val="24"/>
          <w:lang w:eastAsia="zh-CN"/>
        </w:rPr>
        <w:t>武陟县政府采购供应商资格信用承诺函（详见格式）；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.供应商及其法定代表人、委托代理人均无行贿犯罪记录（提供无行贿犯罪记录承诺书，详见格式）；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3.供应商须具有检验检测机构资质认定食品检验机构资质认定证书（CMAF）或标识含食品的资质认定计量认证证书（CMA）；</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提供中小企业声明函（详见格式），磋商小组根据供应商提供的《中小企业声明函》认定该供应商是否属于中小企业，监狱企业和残疾人福利性单位视同小型、微型企业。不属于中小企业、监狱企业或残疾人福利性单位的不得参与本项目磋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5.经中国人民银行备案的第三方征信机构出具的有效期内的信用报告，信用等级达到A级及以上，并提供出具该信用报告的第三方征信机构在中国人民银行备案的证明材料；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不得被列入失信被执行人、重大税收违法失信主体、政府采购严重违法失信行为记录名单、经营异常名录或者严重违法失信企业名单（以采购人、采购代理机构在响应文件提交截止时间当日的查询结果为准，该条资料响应文件中无需提供）；</w:t>
      </w:r>
    </w:p>
    <w:p>
      <w:pPr>
        <w:rPr>
          <w:rFonts w:hint="eastAsia"/>
        </w:rPr>
      </w:pPr>
    </w:p>
    <w:p>
      <w:pPr>
        <w:keepNext w:val="0"/>
        <w:keepLines w:val="0"/>
        <w:pageBreakBefore w:val="0"/>
        <w:widowControl w:val="0"/>
        <w:kinsoku/>
        <w:wordWrap/>
        <w:overflowPunct/>
        <w:topLinePunct w:val="0"/>
        <w:autoSpaceDE/>
        <w:autoSpaceDN/>
        <w:bidi w:val="0"/>
        <w:adjustRightInd/>
        <w:snapToGrid/>
        <w:spacing w:line="460" w:lineRule="exact"/>
        <w:ind w:firstLine="482" w:firstLineChars="200"/>
        <w:jc w:val="left"/>
        <w:textAlignment w:val="auto"/>
        <w:rPr>
          <w:rFonts w:hint="eastAsia" w:ascii="宋体" w:hAnsi="宋体" w:eastAsia="宋体" w:cs="宋体"/>
          <w:b/>
          <w:color w:val="auto"/>
          <w:sz w:val="24"/>
          <w:szCs w:val="24"/>
        </w:rPr>
      </w:pPr>
    </w:p>
    <w:p>
      <w:pPr>
        <w:pStyle w:val="15"/>
        <w:rPr>
          <w:rFonts w:hint="eastAsia" w:ascii="宋体" w:hAnsi="宋体" w:eastAsia="宋体" w:cs="宋体"/>
          <w:b/>
          <w:color w:val="auto"/>
          <w:sz w:val="24"/>
          <w:szCs w:val="24"/>
        </w:rPr>
      </w:pPr>
    </w:p>
    <w:p>
      <w:pPr>
        <w:pStyle w:val="57"/>
        <w:rPr>
          <w:rFonts w:hint="eastAsia"/>
        </w:rPr>
      </w:pPr>
    </w:p>
    <w:p>
      <w:pPr>
        <w:keepNext w:val="0"/>
        <w:keepLines w:val="0"/>
        <w:pageBreakBefore w:val="0"/>
        <w:widowControl w:val="0"/>
        <w:kinsoku/>
        <w:wordWrap/>
        <w:overflowPunct/>
        <w:topLinePunct w:val="0"/>
        <w:autoSpaceDE/>
        <w:autoSpaceDN/>
        <w:bidi w:val="0"/>
        <w:adjustRightInd/>
        <w:snapToGrid/>
        <w:spacing w:line="460" w:lineRule="exact"/>
        <w:ind w:firstLine="482" w:firstLineChars="200"/>
        <w:jc w:val="left"/>
        <w:textAlignment w:val="auto"/>
        <w:rPr>
          <w:rFonts w:hint="eastAsia" w:ascii="宋体" w:hAnsi="宋体" w:eastAsia="宋体" w:cs="宋体"/>
          <w:b/>
          <w:color w:val="auto"/>
          <w:sz w:val="24"/>
          <w:szCs w:val="24"/>
        </w:rPr>
      </w:pPr>
    </w:p>
    <w:p>
      <w:pPr>
        <w:keepNext w:val="0"/>
        <w:keepLines w:val="0"/>
        <w:pageBreakBefore w:val="0"/>
        <w:widowControl w:val="0"/>
        <w:kinsoku/>
        <w:wordWrap/>
        <w:overflowPunct/>
        <w:topLinePunct w:val="0"/>
        <w:autoSpaceDE/>
        <w:autoSpaceDN/>
        <w:bidi w:val="0"/>
        <w:adjustRightInd/>
        <w:snapToGrid/>
        <w:spacing w:line="460" w:lineRule="exact"/>
        <w:ind w:firstLine="482" w:firstLineChars="200"/>
        <w:jc w:val="left"/>
        <w:textAlignment w:val="auto"/>
        <w:rPr>
          <w:rFonts w:hint="eastAsia" w:ascii="宋体" w:hAnsi="宋体" w:eastAsia="宋体" w:cs="宋体"/>
          <w:b/>
          <w:color w:val="auto"/>
          <w:sz w:val="24"/>
          <w:szCs w:val="24"/>
        </w:rPr>
      </w:pPr>
    </w:p>
    <w:p>
      <w:pPr>
        <w:keepNext w:val="0"/>
        <w:keepLines w:val="0"/>
        <w:pageBreakBefore w:val="0"/>
        <w:widowControl w:val="0"/>
        <w:kinsoku/>
        <w:wordWrap/>
        <w:overflowPunct/>
        <w:topLinePunct w:val="0"/>
        <w:autoSpaceDE/>
        <w:autoSpaceDN/>
        <w:bidi w:val="0"/>
        <w:adjustRightInd/>
        <w:snapToGrid/>
        <w:spacing w:line="460" w:lineRule="exact"/>
        <w:ind w:firstLine="482" w:firstLineChars="200"/>
        <w:jc w:val="left"/>
        <w:textAlignment w:val="auto"/>
        <w:rPr>
          <w:rFonts w:hint="eastAsia" w:ascii="宋体" w:hAnsi="宋体" w:eastAsia="宋体" w:cs="宋体"/>
          <w:b/>
          <w:color w:val="auto"/>
          <w:sz w:val="24"/>
          <w:szCs w:val="24"/>
        </w:rPr>
      </w:pPr>
    </w:p>
    <w:p>
      <w:pPr>
        <w:keepNext w:val="0"/>
        <w:keepLines w:val="0"/>
        <w:pageBreakBefore w:val="0"/>
        <w:widowControl w:val="0"/>
        <w:kinsoku/>
        <w:wordWrap/>
        <w:overflowPunct/>
        <w:topLinePunct w:val="0"/>
        <w:autoSpaceDE/>
        <w:autoSpaceDN/>
        <w:bidi w:val="0"/>
        <w:adjustRightInd/>
        <w:snapToGrid/>
        <w:spacing w:line="460" w:lineRule="exact"/>
        <w:ind w:firstLine="482" w:firstLineChars="200"/>
        <w:jc w:val="left"/>
        <w:textAlignment w:val="auto"/>
        <w:rPr>
          <w:rFonts w:hint="eastAsia" w:ascii="宋体" w:hAnsi="宋体" w:eastAsia="宋体" w:cs="宋体"/>
          <w:b/>
          <w:color w:val="auto"/>
          <w:sz w:val="24"/>
          <w:szCs w:val="24"/>
        </w:rPr>
      </w:pPr>
    </w:p>
    <w:p>
      <w:pPr>
        <w:keepNext w:val="0"/>
        <w:keepLines w:val="0"/>
        <w:pageBreakBefore w:val="0"/>
        <w:widowControl w:val="0"/>
        <w:kinsoku/>
        <w:wordWrap/>
        <w:overflowPunct/>
        <w:topLinePunct w:val="0"/>
        <w:autoSpaceDE/>
        <w:autoSpaceDN/>
        <w:bidi w:val="0"/>
        <w:adjustRightInd/>
        <w:snapToGrid/>
        <w:spacing w:line="460" w:lineRule="exact"/>
        <w:ind w:firstLine="482" w:firstLineChars="200"/>
        <w:jc w:val="left"/>
        <w:textAlignment w:val="auto"/>
        <w:rPr>
          <w:rFonts w:hint="eastAsia" w:ascii="宋体" w:hAnsi="宋体" w:eastAsia="宋体" w:cs="宋体"/>
          <w:b/>
          <w:color w:val="auto"/>
          <w:sz w:val="24"/>
          <w:szCs w:val="24"/>
        </w:rPr>
      </w:pPr>
    </w:p>
    <w:p>
      <w:pPr>
        <w:keepNext w:val="0"/>
        <w:keepLines w:val="0"/>
        <w:pageBreakBefore w:val="0"/>
        <w:widowControl w:val="0"/>
        <w:kinsoku/>
        <w:wordWrap/>
        <w:overflowPunct/>
        <w:topLinePunct w:val="0"/>
        <w:autoSpaceDE/>
        <w:autoSpaceDN/>
        <w:bidi w:val="0"/>
        <w:adjustRightInd/>
        <w:snapToGrid/>
        <w:spacing w:line="460" w:lineRule="exact"/>
        <w:ind w:firstLine="482" w:firstLineChars="200"/>
        <w:jc w:val="left"/>
        <w:textAlignment w:val="auto"/>
        <w:rPr>
          <w:rFonts w:hint="eastAsia" w:ascii="宋体" w:hAnsi="宋体" w:eastAsia="宋体" w:cs="宋体"/>
          <w:b/>
          <w:color w:val="auto"/>
          <w:sz w:val="24"/>
          <w:szCs w:val="24"/>
        </w:rPr>
      </w:pPr>
    </w:p>
    <w:p>
      <w:pPr>
        <w:keepNext w:val="0"/>
        <w:keepLines w:val="0"/>
        <w:pageBreakBefore w:val="0"/>
        <w:widowControl w:val="0"/>
        <w:kinsoku/>
        <w:wordWrap/>
        <w:overflowPunct/>
        <w:topLinePunct w:val="0"/>
        <w:autoSpaceDE/>
        <w:autoSpaceDN/>
        <w:bidi w:val="0"/>
        <w:adjustRightInd/>
        <w:snapToGrid/>
        <w:spacing w:line="460" w:lineRule="exact"/>
        <w:ind w:firstLine="482" w:firstLineChars="200"/>
        <w:jc w:val="left"/>
        <w:textAlignment w:val="auto"/>
        <w:rPr>
          <w:rFonts w:hint="eastAsia" w:ascii="宋体" w:hAnsi="宋体" w:eastAsia="宋体" w:cs="宋体"/>
          <w:b/>
          <w:color w:val="auto"/>
          <w:sz w:val="24"/>
          <w:szCs w:val="24"/>
        </w:rPr>
      </w:pPr>
    </w:p>
    <w:p>
      <w:pPr>
        <w:pStyle w:val="15"/>
        <w:rPr>
          <w:rFonts w:hint="eastAsia" w:ascii="宋体" w:hAnsi="宋体" w:eastAsia="宋体" w:cs="宋体"/>
          <w:b/>
          <w:color w:val="auto"/>
          <w:sz w:val="24"/>
          <w:szCs w:val="24"/>
        </w:rPr>
      </w:pPr>
    </w:p>
    <w:p>
      <w:pPr>
        <w:pStyle w:val="57"/>
        <w:rPr>
          <w:rFonts w:hint="eastAsia" w:ascii="宋体" w:hAnsi="宋体" w:eastAsia="宋体" w:cs="宋体"/>
          <w:b/>
          <w:color w:val="auto"/>
          <w:sz w:val="24"/>
          <w:szCs w:val="24"/>
        </w:rPr>
      </w:pPr>
    </w:p>
    <w:p>
      <w:pPr>
        <w:pStyle w:val="23"/>
        <w:rPr>
          <w:rFonts w:hint="eastAsia" w:ascii="宋体" w:hAnsi="宋体" w:eastAsia="宋体" w:cs="宋体"/>
          <w:b/>
          <w:color w:val="auto"/>
          <w:sz w:val="24"/>
          <w:szCs w:val="24"/>
        </w:rPr>
      </w:pPr>
    </w:p>
    <w:p>
      <w:pPr>
        <w:pStyle w:val="23"/>
        <w:rPr>
          <w:rFonts w:hint="eastAsia" w:ascii="宋体" w:hAnsi="宋体" w:eastAsia="宋体" w:cs="宋体"/>
          <w:b/>
          <w:color w:val="auto"/>
          <w:sz w:val="24"/>
          <w:szCs w:val="24"/>
        </w:rPr>
      </w:pPr>
    </w:p>
    <w:p>
      <w:pPr>
        <w:pStyle w:val="23"/>
        <w:rPr>
          <w:rFonts w:hint="eastAsia" w:ascii="宋体" w:hAnsi="宋体" w:eastAsia="宋体" w:cs="宋体"/>
          <w:b/>
          <w:color w:val="auto"/>
          <w:sz w:val="24"/>
          <w:szCs w:val="24"/>
        </w:rPr>
      </w:pPr>
    </w:p>
    <w:p>
      <w:pPr>
        <w:widowControl/>
        <w:kinsoku w:val="0"/>
        <w:autoSpaceDE w:val="0"/>
        <w:autoSpaceDN w:val="0"/>
        <w:adjustRightInd w:val="0"/>
        <w:snapToGrid w:val="0"/>
        <w:spacing w:line="560" w:lineRule="exact"/>
        <w:jc w:val="center"/>
        <w:textAlignment w:val="baseline"/>
        <w:outlineLvl w:val="0"/>
        <w:rPr>
          <w:rFonts w:hint="eastAsia" w:ascii="宋体" w:hAnsi="宋体" w:eastAsia="宋体" w:cs="宋体"/>
          <w:sz w:val="32"/>
          <w:szCs w:val="32"/>
        </w:rPr>
      </w:pPr>
      <w:bookmarkStart w:id="149" w:name="_Toc12317"/>
      <w:bookmarkStart w:id="150" w:name="_Toc23955"/>
      <w:bookmarkStart w:id="151" w:name="_Toc8011"/>
      <w:r>
        <w:rPr>
          <w:rFonts w:hint="eastAsia" w:ascii="宋体" w:hAnsi="宋体" w:eastAsia="宋体" w:cs="宋体"/>
          <w:b/>
          <w:bCs/>
          <w:sz w:val="30"/>
          <w:szCs w:val="30"/>
        </w:rPr>
        <w:br w:type="page"/>
      </w:r>
      <w:bookmarkStart w:id="152" w:name="_Toc18560"/>
      <w:bookmarkStart w:id="153" w:name="_Toc31738"/>
      <w:bookmarkStart w:id="154" w:name="_Toc9770"/>
      <w:r>
        <w:rPr>
          <w:rFonts w:hint="eastAsia" w:ascii="宋体" w:hAnsi="宋体" w:eastAsia="宋体" w:cs="宋体"/>
          <w:b/>
          <w:bCs/>
          <w:sz w:val="30"/>
          <w:szCs w:val="30"/>
        </w:rPr>
        <w:t>武陟县政府采购供应商资格信用承诺函</w:t>
      </w:r>
      <w:bookmarkEnd w:id="149"/>
      <w:bookmarkEnd w:id="150"/>
      <w:bookmarkEnd w:id="151"/>
      <w:bookmarkEnd w:id="152"/>
      <w:bookmarkEnd w:id="153"/>
      <w:bookmarkEnd w:id="154"/>
      <w:r>
        <w:rPr>
          <w:rFonts w:hint="eastAsia" w:ascii="宋体" w:hAnsi="宋体" w:eastAsia="宋体" w:cs="宋体"/>
          <w:b/>
          <w:bCs/>
          <w:sz w:val="30"/>
          <w:szCs w:val="30"/>
        </w:rPr>
        <w:t xml:space="preserve"> </w:t>
      </w:r>
      <w:r>
        <w:rPr>
          <w:rFonts w:hint="eastAsia" w:ascii="宋体" w:hAnsi="宋体" w:eastAsia="宋体" w:cs="宋体"/>
          <w:b/>
          <w:bCs/>
          <w:sz w:val="32"/>
          <w:szCs w:val="32"/>
        </w:rPr>
        <w:t xml:space="preserve"> </w:t>
      </w:r>
      <w:r>
        <w:rPr>
          <w:rFonts w:hint="eastAsia" w:ascii="宋体" w:hAnsi="宋体" w:eastAsia="宋体" w:cs="宋体"/>
          <w:sz w:val="32"/>
          <w:szCs w:val="32"/>
        </w:rPr>
        <w:t xml:space="preserve">  </w:t>
      </w:r>
    </w:p>
    <w:p>
      <w:pPr>
        <w:widowControl/>
        <w:kinsoku w:val="0"/>
        <w:autoSpaceDE w:val="0"/>
        <w:autoSpaceDN w:val="0"/>
        <w:adjustRightInd w:val="0"/>
        <w:snapToGrid w:val="0"/>
        <w:spacing w:line="560" w:lineRule="exact"/>
        <w:jc w:val="center"/>
        <w:textAlignment w:val="baseline"/>
        <w:rPr>
          <w:rFonts w:hint="eastAsia" w:ascii="宋体" w:hAnsi="宋体" w:eastAsia="宋体" w:cs="宋体"/>
          <w:sz w:val="32"/>
          <w:szCs w:val="32"/>
        </w:rPr>
      </w:pPr>
      <w:r>
        <w:rPr>
          <w:rFonts w:hint="eastAsia" w:ascii="宋体" w:hAnsi="宋体" w:eastAsia="宋体" w:cs="宋体"/>
          <w:sz w:val="32"/>
          <w:szCs w:val="32"/>
        </w:rPr>
        <w:t xml:space="preserve">                                                                          </w:t>
      </w:r>
    </w:p>
    <w:p>
      <w:pPr>
        <w:widowControl/>
        <w:kinsoku w:val="0"/>
        <w:autoSpaceDE w:val="0"/>
        <w:autoSpaceDN w:val="0"/>
        <w:adjustRightInd w:val="0"/>
        <w:snapToGrid w:val="0"/>
        <w:spacing w:before="143" w:line="500" w:lineRule="exact"/>
        <w:textAlignment w:val="baseline"/>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（采购人或采购代理机构）</w:t>
      </w:r>
      <w:r>
        <w:rPr>
          <w:rFonts w:hint="eastAsia" w:ascii="宋体" w:hAnsi="宋体" w:eastAsia="宋体" w:cs="宋体"/>
          <w:sz w:val="24"/>
          <w:szCs w:val="24"/>
        </w:rPr>
        <w:t>：</w:t>
      </w:r>
    </w:p>
    <w:p>
      <w:pPr>
        <w:widowControl/>
        <w:kinsoku w:val="0"/>
        <w:autoSpaceDE w:val="0"/>
        <w:autoSpaceDN w:val="0"/>
        <w:adjustRightInd w:val="0"/>
        <w:snapToGrid w:val="0"/>
        <w:spacing w:line="500" w:lineRule="exact"/>
        <w:jc w:val="left"/>
        <w:textAlignment w:val="baseline"/>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widowControl/>
        <w:kinsoku w:val="0"/>
        <w:autoSpaceDE w:val="0"/>
        <w:autoSpaceDN w:val="0"/>
        <w:adjustRightInd w:val="0"/>
        <w:snapToGrid w:val="0"/>
        <w:spacing w:line="500" w:lineRule="exact"/>
        <w:jc w:val="left"/>
        <w:textAlignment w:val="baseline"/>
        <w:rPr>
          <w:rFonts w:hint="eastAsia" w:ascii="宋体" w:hAnsi="宋体" w:eastAsia="宋体" w:cs="宋体"/>
          <w:sz w:val="24"/>
          <w:szCs w:val="24"/>
        </w:rPr>
      </w:pPr>
      <w:r>
        <w:rPr>
          <w:rFonts w:hint="eastAsia" w:ascii="宋体" w:hAnsi="宋体" w:eastAsia="宋体" w:cs="宋体"/>
          <w:sz w:val="24"/>
          <w:szCs w:val="24"/>
        </w:rPr>
        <w:t>统一社会信用代码：</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widowControl/>
        <w:kinsoku w:val="0"/>
        <w:autoSpaceDE w:val="0"/>
        <w:autoSpaceDN w:val="0"/>
        <w:adjustRightInd w:val="0"/>
        <w:snapToGrid w:val="0"/>
        <w:spacing w:line="500" w:lineRule="exact"/>
        <w:jc w:val="left"/>
        <w:textAlignment w:val="baseline"/>
        <w:rPr>
          <w:rFonts w:hint="eastAsia" w:ascii="宋体" w:hAnsi="宋体" w:eastAsia="宋体" w:cs="宋体"/>
          <w:sz w:val="24"/>
          <w:szCs w:val="24"/>
        </w:rPr>
      </w:pPr>
      <w:r>
        <w:rPr>
          <w:rFonts w:hint="eastAsia" w:ascii="宋体" w:hAnsi="宋体" w:eastAsia="宋体" w:cs="宋体"/>
          <w:sz w:val="24"/>
          <w:szCs w:val="24"/>
        </w:rPr>
        <w:t>供应商地址：</w:t>
      </w:r>
      <w:r>
        <w:rPr>
          <w:rFonts w:hint="eastAsia" w:ascii="宋体" w:hAnsi="宋体" w:eastAsia="宋体" w:cs="宋体"/>
          <w:sz w:val="24"/>
          <w:szCs w:val="24"/>
          <w:u w:val="single"/>
        </w:rPr>
        <w:t xml:space="preserve">                                          </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1.我单位具有符合</w:t>
      </w:r>
      <w:r>
        <w:rPr>
          <w:rFonts w:hint="eastAsia" w:ascii="宋体" w:hAnsi="宋体" w:eastAsia="宋体" w:cs="宋体"/>
          <w:sz w:val="24"/>
          <w:szCs w:val="24"/>
          <w:lang w:eastAsia="zh-CN"/>
        </w:rPr>
        <w:t>磋商</w:t>
      </w:r>
      <w:r>
        <w:rPr>
          <w:rFonts w:hint="eastAsia" w:ascii="宋体" w:hAnsi="宋体" w:eastAsia="宋体" w:cs="宋体"/>
          <w:sz w:val="24"/>
          <w:szCs w:val="24"/>
        </w:rPr>
        <w:t>文件资格要求独立承担民事责任的能力。</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2.我单位具有符合</w:t>
      </w:r>
      <w:r>
        <w:rPr>
          <w:rFonts w:hint="eastAsia" w:ascii="宋体" w:hAnsi="宋体" w:eastAsia="宋体" w:cs="宋体"/>
          <w:sz w:val="24"/>
          <w:szCs w:val="24"/>
          <w:lang w:eastAsia="zh-CN"/>
        </w:rPr>
        <w:t>磋商</w:t>
      </w:r>
      <w:r>
        <w:rPr>
          <w:rFonts w:hint="eastAsia" w:ascii="宋体" w:hAnsi="宋体" w:eastAsia="宋体" w:cs="宋体"/>
          <w:sz w:val="24"/>
          <w:szCs w:val="24"/>
        </w:rPr>
        <w:t>文件资格要求的财务状况报告。</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3.我单位具有符合</w:t>
      </w:r>
      <w:r>
        <w:rPr>
          <w:rFonts w:hint="eastAsia" w:ascii="宋体" w:hAnsi="宋体" w:eastAsia="宋体" w:cs="宋体"/>
          <w:sz w:val="24"/>
          <w:szCs w:val="24"/>
          <w:lang w:eastAsia="zh-CN"/>
        </w:rPr>
        <w:t>磋商</w:t>
      </w:r>
      <w:r>
        <w:rPr>
          <w:rFonts w:hint="eastAsia" w:ascii="宋体" w:hAnsi="宋体" w:eastAsia="宋体" w:cs="宋体"/>
          <w:sz w:val="24"/>
          <w:szCs w:val="24"/>
        </w:rPr>
        <w:t>文件资格要求的依法缴纳税收和社会保障记录的良好记录。</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4.我单位具有符合</w:t>
      </w:r>
      <w:r>
        <w:rPr>
          <w:rFonts w:hint="eastAsia" w:ascii="宋体" w:hAnsi="宋体" w:eastAsia="宋体" w:cs="宋体"/>
          <w:sz w:val="24"/>
          <w:szCs w:val="24"/>
          <w:lang w:eastAsia="zh-CN"/>
        </w:rPr>
        <w:t>磋商</w:t>
      </w:r>
      <w:r>
        <w:rPr>
          <w:rFonts w:hint="eastAsia" w:ascii="宋体" w:hAnsi="宋体" w:eastAsia="宋体" w:cs="宋体"/>
          <w:sz w:val="24"/>
          <w:szCs w:val="24"/>
        </w:rPr>
        <w:t>文件资格要求履行合同所必需的设备和专业技术能力。</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5.参加政府采购活动前三年内，在经营活动中没有重大违法记录。</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若我单位承诺不实，自愿承担提供虚假材料谋取中标、成交的法律责任。</w:t>
      </w:r>
    </w:p>
    <w:p>
      <w:pPr>
        <w:widowControl/>
        <w:kinsoku w:val="0"/>
        <w:autoSpaceDE w:val="0"/>
        <w:autoSpaceDN w:val="0"/>
        <w:adjustRightInd w:val="0"/>
        <w:snapToGrid w:val="0"/>
        <w:spacing w:line="500" w:lineRule="exact"/>
        <w:jc w:val="left"/>
        <w:textAlignment w:val="baseline"/>
        <w:rPr>
          <w:rFonts w:hint="eastAsia" w:ascii="宋体" w:hAnsi="宋体" w:eastAsia="宋体" w:cs="宋体"/>
          <w:sz w:val="24"/>
          <w:szCs w:val="24"/>
        </w:rPr>
      </w:pPr>
    </w:p>
    <w:p>
      <w:pPr>
        <w:widowControl/>
        <w:kinsoku w:val="0"/>
        <w:autoSpaceDE w:val="0"/>
        <w:autoSpaceDN w:val="0"/>
        <w:adjustRightInd w:val="0"/>
        <w:snapToGrid w:val="0"/>
        <w:spacing w:line="500" w:lineRule="exact"/>
        <w:jc w:val="left"/>
        <w:textAlignment w:val="baseline"/>
        <w:rPr>
          <w:rFonts w:hint="eastAsia" w:ascii="宋体" w:hAnsi="宋体" w:eastAsia="宋体" w:cs="宋体"/>
          <w:sz w:val="24"/>
          <w:szCs w:val="24"/>
        </w:rPr>
      </w:pP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eastAsia="宋体" w:cs="宋体"/>
          <w:sz w:val="24"/>
          <w:szCs w:val="24"/>
        </w:rPr>
      </w:pPr>
      <w:r>
        <w:rPr>
          <w:rFonts w:hint="eastAsia" w:ascii="宋体" w:hAnsi="宋体" w:eastAsia="宋体" w:cs="宋体"/>
          <w:sz w:val="24"/>
          <w:szCs w:val="24"/>
        </w:rPr>
        <w:t>承诺供应商（全称并加盖公章）：</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eastAsia="宋体" w:cs="宋体"/>
          <w:sz w:val="24"/>
          <w:szCs w:val="24"/>
        </w:rPr>
      </w:pPr>
      <w:r>
        <w:rPr>
          <w:rFonts w:hint="eastAsia" w:ascii="宋体" w:hAnsi="宋体" w:eastAsia="宋体" w:cs="宋体"/>
          <w:sz w:val="24"/>
          <w:szCs w:val="24"/>
        </w:rPr>
        <w:t>法定代表人或授权代表(签字或签章)：</w:t>
      </w:r>
      <w:r>
        <w:rPr>
          <w:rFonts w:hint="eastAsia" w:ascii="宋体" w:hAnsi="宋体" w:eastAsia="宋体" w:cs="宋体"/>
          <w:sz w:val="24"/>
          <w:szCs w:val="24"/>
          <w:u w:val="single"/>
        </w:rPr>
        <w:t xml:space="preserve">            </w:t>
      </w: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eastAsia="宋体" w:cs="宋体"/>
          <w:sz w:val="24"/>
          <w:szCs w:val="24"/>
        </w:rPr>
      </w:pPr>
      <w:r>
        <w:rPr>
          <w:rFonts w:hint="eastAsia" w:ascii="宋体" w:hAnsi="宋体" w:eastAsia="宋体" w:cs="宋体"/>
          <w:sz w:val="24"/>
          <w:szCs w:val="24"/>
        </w:rPr>
        <w:t>日期：     年    月    日</w:t>
      </w:r>
    </w:p>
    <w:p>
      <w:pPr>
        <w:widowControl/>
        <w:kinsoku w:val="0"/>
        <w:autoSpaceDE w:val="0"/>
        <w:autoSpaceDN w:val="0"/>
        <w:adjustRightInd w:val="0"/>
        <w:snapToGrid w:val="0"/>
        <w:spacing w:line="440" w:lineRule="exact"/>
        <w:jc w:val="left"/>
        <w:textAlignment w:val="baseline"/>
        <w:rPr>
          <w:rFonts w:hint="eastAsia" w:ascii="宋体" w:hAnsi="宋体" w:eastAsia="宋体" w:cs="宋体"/>
          <w:sz w:val="24"/>
          <w:szCs w:val="24"/>
        </w:rPr>
      </w:pPr>
    </w:p>
    <w:p>
      <w:pPr>
        <w:widowControl/>
        <w:kinsoku w:val="0"/>
        <w:autoSpaceDE w:val="0"/>
        <w:autoSpaceDN w:val="0"/>
        <w:adjustRightInd w:val="0"/>
        <w:snapToGrid w:val="0"/>
        <w:spacing w:line="440" w:lineRule="exact"/>
        <w:jc w:val="left"/>
        <w:textAlignment w:val="baseline"/>
        <w:rPr>
          <w:rFonts w:hint="eastAsia" w:ascii="宋体" w:hAnsi="宋体" w:eastAsia="宋体" w:cs="宋体"/>
          <w:sz w:val="24"/>
          <w:szCs w:val="24"/>
        </w:rPr>
      </w:pPr>
    </w:p>
    <w:p>
      <w:pPr>
        <w:widowControl/>
        <w:kinsoku w:val="0"/>
        <w:autoSpaceDE w:val="0"/>
        <w:autoSpaceDN w:val="0"/>
        <w:adjustRightInd w:val="0"/>
        <w:snapToGrid w:val="0"/>
        <w:spacing w:line="440" w:lineRule="exact"/>
        <w:jc w:val="left"/>
        <w:textAlignment w:val="baseline"/>
        <w:rPr>
          <w:rFonts w:hint="eastAsia" w:ascii="宋体" w:hAnsi="宋体" w:eastAsia="宋体" w:cs="宋体"/>
          <w:b/>
          <w:bCs/>
          <w:szCs w:val="21"/>
        </w:rPr>
      </w:pPr>
      <w:r>
        <w:rPr>
          <w:rFonts w:hint="eastAsia" w:ascii="宋体" w:hAnsi="宋体" w:eastAsia="宋体" w:cs="宋体"/>
          <w:b/>
          <w:bCs/>
          <w:szCs w:val="21"/>
        </w:rPr>
        <w:t>注：1.供应商须在响应文件中按此模板提供承诺函，未提供视为未实质性响应响应文件要求，按无效投标处理。</w:t>
      </w:r>
    </w:p>
    <w:p>
      <w:pPr>
        <w:widowControl/>
        <w:kinsoku w:val="0"/>
        <w:autoSpaceDE w:val="0"/>
        <w:autoSpaceDN w:val="0"/>
        <w:adjustRightInd w:val="0"/>
        <w:snapToGrid w:val="0"/>
        <w:spacing w:line="440" w:lineRule="exact"/>
        <w:jc w:val="left"/>
        <w:textAlignment w:val="baseline"/>
        <w:rPr>
          <w:rFonts w:hint="eastAsia" w:ascii="宋体" w:hAnsi="宋体" w:eastAsia="宋体" w:cs="宋体"/>
          <w:b/>
          <w:bCs/>
          <w:szCs w:val="21"/>
        </w:rPr>
      </w:pPr>
      <w:r>
        <w:rPr>
          <w:rFonts w:hint="eastAsia" w:ascii="宋体" w:hAnsi="宋体" w:eastAsia="宋体" w:cs="宋体"/>
          <w:b/>
          <w:bCs/>
          <w:szCs w:val="21"/>
        </w:rPr>
        <w:t>2.供应商的法定代表人（其他组织的为负责人）或者授权代表的签字或盖章应真实、有效，如由授权代表签字或盖章的，应提供 “法定代表人授权书”。</w:t>
      </w:r>
    </w:p>
    <w:p>
      <w:pPr>
        <w:pStyle w:val="56"/>
        <w:rPr>
          <w:rFonts w:hint="eastAsia" w:ascii="宋体" w:hAnsi="宋体" w:eastAsia="宋体" w:cs="宋体"/>
          <w:b/>
          <w:kern w:val="44"/>
          <w:sz w:val="32"/>
          <w:szCs w:val="32"/>
        </w:rPr>
      </w:pPr>
    </w:p>
    <w:p>
      <w:pPr>
        <w:pStyle w:val="5"/>
        <w:keepNext/>
        <w:keepLines/>
        <w:pageBreakBefore w:val="0"/>
        <w:widowControl w:val="0"/>
        <w:numPr>
          <w:ilvl w:val="0"/>
          <w:numId w:val="0"/>
        </w:numPr>
        <w:kinsoku/>
        <w:wordWrap/>
        <w:overflowPunct/>
        <w:topLinePunct w:val="0"/>
        <w:autoSpaceDE/>
        <w:autoSpaceDN/>
        <w:bidi w:val="0"/>
        <w:adjustRightInd/>
        <w:snapToGrid/>
        <w:spacing w:before="0" w:beforeLines="0" w:after="0" w:afterLines="0" w:line="408" w:lineRule="auto"/>
        <w:ind w:firstLine="321" w:firstLineChars="100"/>
        <w:jc w:val="center"/>
        <w:textAlignment w:val="auto"/>
        <w:outlineLvl w:val="0"/>
        <w:rPr>
          <w:rFonts w:hint="eastAsia"/>
          <w:sz w:val="32"/>
          <w:szCs w:val="32"/>
        </w:rPr>
      </w:pPr>
      <w:bookmarkStart w:id="155" w:name="_Toc30541"/>
      <w:bookmarkStart w:id="156" w:name="_Toc25131"/>
      <w:bookmarkStart w:id="157" w:name="_Toc15709"/>
      <w:bookmarkStart w:id="158" w:name="_Toc11613"/>
      <w:r>
        <w:rPr>
          <w:rFonts w:hint="eastAsia"/>
          <w:sz w:val="32"/>
          <w:szCs w:val="32"/>
        </w:rPr>
        <w:t>中小企业声明函（服务）</w:t>
      </w:r>
      <w:bookmarkEnd w:id="155"/>
      <w:bookmarkEnd w:id="156"/>
      <w:bookmarkEnd w:id="157"/>
      <w:bookmarkEnd w:id="158"/>
    </w:p>
    <w:p>
      <w:pPr>
        <w:pageBreakBefore w:val="0"/>
        <w:widowControl/>
        <w:kinsoku/>
        <w:wordWrap/>
        <w:overflowPunct/>
        <w:topLinePunct w:val="0"/>
        <w:autoSpaceDE/>
        <w:autoSpaceDN/>
        <w:bidi w:val="0"/>
        <w:adjustRightInd/>
        <w:snapToGrid/>
        <w:spacing w:line="408" w:lineRule="auto"/>
        <w:ind w:firstLine="420" w:firstLineChars="200"/>
        <w:textAlignment w:val="auto"/>
        <w:rPr>
          <w:rFonts w:hint="eastAsia" w:ascii="宋体" w:hAnsi="宋体" w:cs="宋体"/>
        </w:rPr>
      </w:pPr>
      <w:r>
        <w:rPr>
          <w:rFonts w:hint="eastAsia" w:ascii="宋体" w:hAnsi="宋体" w:cs="宋体"/>
        </w:rPr>
        <w:t>本公司（联合体）郑重声明，根据《政府采购促进中小企业发展管理办法》 (财库（2020) 46号）的规定，本公司（联合体）参加</w:t>
      </w:r>
      <w:r>
        <w:rPr>
          <w:rFonts w:hint="eastAsia" w:ascii="宋体" w:hAnsi="宋体" w:cs="宋体"/>
          <w:u w:val="single"/>
        </w:rPr>
        <w:t>（单位名称）</w:t>
      </w:r>
      <w:r>
        <w:rPr>
          <w:rFonts w:hint="eastAsia" w:ascii="宋体" w:hAnsi="宋体" w:cs="宋体"/>
        </w:rPr>
        <w:t>的</w:t>
      </w:r>
      <w:r>
        <w:rPr>
          <w:rFonts w:hint="eastAsia" w:ascii="宋体" w:hAnsi="宋体" w:cs="宋体"/>
          <w:u w:val="single"/>
        </w:rPr>
        <w:t>（项目名称</w:t>
      </w:r>
      <w:r>
        <w:rPr>
          <w:rFonts w:hint="eastAsia" w:ascii="宋体" w:hAnsi="宋体" w:cs="宋体"/>
          <w:u w:val="single"/>
          <w:lang w:eastAsia="zh-CN"/>
        </w:rPr>
        <w:t>、</w:t>
      </w:r>
      <w:r>
        <w:rPr>
          <w:rFonts w:hint="eastAsia" w:ascii="宋体" w:hAnsi="宋体" w:cs="宋体"/>
          <w:u w:val="single"/>
          <w:lang w:val="en-US" w:eastAsia="zh-CN"/>
        </w:rPr>
        <w:t>包段</w:t>
      </w:r>
      <w:r>
        <w:rPr>
          <w:rFonts w:hint="eastAsia" w:ascii="宋体" w:hAnsi="宋体" w:cs="宋体"/>
          <w:u w:val="single"/>
        </w:rPr>
        <w:t>）</w:t>
      </w:r>
      <w:r>
        <w:rPr>
          <w:rFonts w:hint="eastAsia" w:ascii="宋体" w:hAnsi="宋体" w:cs="宋体"/>
        </w:rPr>
        <w:t>采购活动，服务全部由符合政策要求的中小企业承接。相关企业（含联合体中的中小企业、签订分包意向协议的中小企业）的具体情况如下：</w:t>
      </w:r>
    </w:p>
    <w:p>
      <w:pPr>
        <w:pageBreakBefore w:val="0"/>
        <w:widowControl/>
        <w:kinsoku/>
        <w:wordWrap/>
        <w:overflowPunct/>
        <w:topLinePunct w:val="0"/>
        <w:autoSpaceDE/>
        <w:autoSpaceDN/>
        <w:bidi w:val="0"/>
        <w:adjustRightInd/>
        <w:snapToGrid/>
        <w:spacing w:line="408" w:lineRule="auto"/>
        <w:ind w:firstLine="420" w:firstLineChars="200"/>
        <w:textAlignment w:val="auto"/>
        <w:rPr>
          <w:rFonts w:hint="eastAsia" w:ascii="宋体" w:hAnsi="宋体" w:cs="宋体"/>
        </w:rPr>
      </w:pPr>
      <w:r>
        <w:rPr>
          <w:rFonts w:hint="eastAsia" w:ascii="宋体" w:hAnsi="宋体" w:cs="宋体"/>
        </w:rPr>
        <w:t>1.</w:t>
      </w:r>
      <w:r>
        <w:rPr>
          <w:rFonts w:hint="eastAsia" w:ascii="宋体" w:hAnsi="宋体" w:cs="宋体"/>
          <w:u w:val="single"/>
          <w:lang w:eastAsia="zh-CN"/>
        </w:rPr>
        <w:t>武陟县市场监督管理局食品安全抽样检测工作</w:t>
      </w:r>
      <w:r>
        <w:rPr>
          <w:rFonts w:hint="eastAsia" w:ascii="宋体" w:hAnsi="宋体" w:cs="宋体"/>
        </w:rPr>
        <w:t>，属于</w:t>
      </w:r>
      <w:r>
        <w:rPr>
          <w:rFonts w:hint="eastAsia" w:ascii="宋体" w:hAnsi="宋体" w:cs="宋体"/>
          <w:u w:val="single"/>
          <w:lang w:val="en-US" w:eastAsia="zh-CN"/>
        </w:rPr>
        <w:t>其他未列明服务业</w:t>
      </w:r>
      <w:r>
        <w:rPr>
          <w:rFonts w:hint="eastAsia" w:ascii="宋体" w:hAnsi="宋体" w:cs="宋体"/>
        </w:rPr>
        <w:t>；承建（承接）企业为</w:t>
      </w:r>
      <w:r>
        <w:rPr>
          <w:rFonts w:hint="eastAsia" w:ascii="宋体" w:hAnsi="宋体" w:cs="宋体"/>
          <w:u w:val="single"/>
        </w:rPr>
        <w:t>（企业名称）</w:t>
      </w:r>
      <w:r>
        <w:rPr>
          <w:rFonts w:hint="eastAsia" w:ascii="宋体" w:hAnsi="宋体" w:cs="宋体"/>
        </w:rPr>
        <w:t>， 从业人员＿人，营业收入为＿万元，资产总额为＿万元， 属于</w:t>
      </w:r>
      <w:r>
        <w:rPr>
          <w:rFonts w:hint="eastAsia" w:ascii="宋体" w:hAnsi="宋体" w:cs="宋体"/>
          <w:u w:val="single"/>
        </w:rPr>
        <w:t>（中型企业、小型企业、微型企业）</w:t>
      </w:r>
      <w:r>
        <w:rPr>
          <w:rFonts w:hint="eastAsia" w:ascii="宋体" w:hAnsi="宋体" w:cs="宋体"/>
        </w:rPr>
        <w:t>；</w:t>
      </w:r>
    </w:p>
    <w:p>
      <w:pPr>
        <w:pageBreakBefore w:val="0"/>
        <w:widowControl/>
        <w:kinsoku/>
        <w:wordWrap/>
        <w:overflowPunct/>
        <w:topLinePunct w:val="0"/>
        <w:autoSpaceDE/>
        <w:autoSpaceDN/>
        <w:bidi w:val="0"/>
        <w:adjustRightInd/>
        <w:snapToGrid/>
        <w:spacing w:line="408" w:lineRule="auto"/>
        <w:ind w:firstLine="420" w:firstLineChars="200"/>
        <w:textAlignment w:val="auto"/>
        <w:rPr>
          <w:rFonts w:hint="eastAsia" w:ascii="宋体" w:hAnsi="宋体" w:cs="宋体"/>
        </w:rPr>
      </w:pPr>
      <w:r>
        <w:rPr>
          <w:rFonts w:hint="eastAsia" w:ascii="宋体" w:hAnsi="宋体" w:cs="宋体"/>
        </w:rPr>
        <w:t>以上企业，不属于大企业的分支机构，不存在控股股东为大企业的情形，也不存在与大企业的负责人为同一人的情形。</w:t>
      </w:r>
    </w:p>
    <w:p>
      <w:pPr>
        <w:pageBreakBefore w:val="0"/>
        <w:widowControl/>
        <w:kinsoku/>
        <w:wordWrap/>
        <w:overflowPunct/>
        <w:topLinePunct w:val="0"/>
        <w:autoSpaceDE/>
        <w:autoSpaceDN/>
        <w:bidi w:val="0"/>
        <w:adjustRightInd/>
        <w:snapToGrid/>
        <w:spacing w:line="408" w:lineRule="auto"/>
        <w:ind w:firstLine="420" w:firstLineChars="200"/>
        <w:textAlignment w:val="auto"/>
        <w:rPr>
          <w:rFonts w:hint="eastAsia" w:ascii="宋体" w:hAnsi="宋体" w:cs="宋体"/>
        </w:rPr>
      </w:pPr>
      <w:r>
        <w:rPr>
          <w:rFonts w:hint="eastAsia" w:ascii="宋体" w:hAnsi="宋体" w:cs="宋体"/>
        </w:rPr>
        <w:t>本企业对上述声明内容的真实性负责。如有虚假，将依法承担相应责任。</w:t>
      </w:r>
    </w:p>
    <w:p>
      <w:pPr>
        <w:pageBreakBefore w:val="0"/>
        <w:widowControl/>
        <w:kinsoku/>
        <w:wordWrap/>
        <w:overflowPunct/>
        <w:topLinePunct w:val="0"/>
        <w:autoSpaceDE/>
        <w:autoSpaceDN/>
        <w:bidi w:val="0"/>
        <w:adjustRightInd/>
        <w:snapToGrid/>
        <w:spacing w:line="408" w:lineRule="auto"/>
        <w:jc w:val="center"/>
        <w:textAlignment w:val="auto"/>
        <w:rPr>
          <w:rFonts w:hint="eastAsia" w:ascii="宋体" w:hAnsi="宋体" w:cs="宋体"/>
        </w:rPr>
      </w:pPr>
      <w:r>
        <w:rPr>
          <w:rFonts w:hint="eastAsia" w:ascii="宋体" w:hAnsi="宋体" w:cs="宋体"/>
          <w:lang w:val="en-US" w:eastAsia="zh-CN"/>
        </w:rPr>
        <w:t xml:space="preserve">              </w:t>
      </w:r>
      <w:r>
        <w:rPr>
          <w:rFonts w:hint="eastAsia" w:ascii="宋体" w:hAnsi="宋体" w:cs="宋体"/>
        </w:rPr>
        <w:t>企业名称（盖章）：</w:t>
      </w:r>
    </w:p>
    <w:p>
      <w:pPr>
        <w:pageBreakBefore w:val="0"/>
        <w:widowControl/>
        <w:kinsoku/>
        <w:wordWrap/>
        <w:overflowPunct/>
        <w:topLinePunct w:val="0"/>
        <w:autoSpaceDE/>
        <w:autoSpaceDN/>
        <w:bidi w:val="0"/>
        <w:adjustRightInd/>
        <w:snapToGrid/>
        <w:spacing w:line="408" w:lineRule="auto"/>
        <w:jc w:val="center"/>
        <w:textAlignment w:val="auto"/>
        <w:rPr>
          <w:rFonts w:hint="eastAsia" w:ascii="宋体" w:hAnsi="宋体" w:cs="宋体"/>
        </w:rPr>
      </w:pPr>
      <w:r>
        <w:rPr>
          <w:rFonts w:hint="eastAsia" w:ascii="宋体" w:hAnsi="宋体" w:cs="宋体"/>
          <w:lang w:val="en-US" w:eastAsia="zh-CN"/>
        </w:rPr>
        <w:t xml:space="preserve">  </w:t>
      </w:r>
      <w:r>
        <w:rPr>
          <w:rFonts w:hint="eastAsia" w:ascii="宋体" w:hAnsi="宋体" w:cs="宋体"/>
        </w:rPr>
        <w:t>日期：</w:t>
      </w:r>
    </w:p>
    <w:p>
      <w:pPr>
        <w:spacing w:line="360" w:lineRule="auto"/>
        <w:ind w:firstLine="422" w:firstLineChars="200"/>
        <w:rPr>
          <w:rFonts w:hint="eastAsia" w:ascii="宋体" w:hAnsi="宋体" w:cs="宋体"/>
          <w:b/>
          <w:szCs w:val="21"/>
          <w:lang w:val="en-US" w:eastAsia="zh-CN"/>
        </w:rPr>
      </w:pPr>
      <w:r>
        <w:rPr>
          <w:rFonts w:hint="eastAsia" w:ascii="宋体" w:hAnsi="宋体" w:cs="宋体"/>
          <w:b/>
          <w:szCs w:val="21"/>
          <w:lang w:eastAsia="zh-CN"/>
        </w:rPr>
        <w:t>注</w:t>
      </w:r>
      <w:r>
        <w:rPr>
          <w:rFonts w:hint="eastAsia" w:ascii="宋体" w:hAnsi="宋体" w:cs="宋体"/>
          <w:b/>
          <w:szCs w:val="21"/>
        </w:rPr>
        <w:t>：</w:t>
      </w:r>
      <w:r>
        <w:rPr>
          <w:rFonts w:hint="eastAsia" w:ascii="宋体" w:hAnsi="宋体" w:cs="宋体"/>
          <w:b/>
          <w:szCs w:val="21"/>
          <w:lang w:val="en-US" w:eastAsia="zh-CN"/>
        </w:rPr>
        <w:t>1.从业人员、营业收入、资产总额填报上一年度数据，无上一年度数据的新成立企业可不填报；</w:t>
      </w:r>
    </w:p>
    <w:p>
      <w:pPr>
        <w:numPr>
          <w:ilvl w:val="0"/>
          <w:numId w:val="0"/>
        </w:numPr>
        <w:spacing w:line="360" w:lineRule="auto"/>
        <w:ind w:leftChars="0"/>
        <w:rPr>
          <w:rFonts w:hint="eastAsia" w:ascii="宋体" w:hAnsi="宋体" w:cs="宋体"/>
          <w:b/>
          <w:szCs w:val="21"/>
          <w:lang w:val="en-US" w:eastAsia="zh-CN"/>
        </w:rPr>
      </w:pPr>
      <w:r>
        <w:rPr>
          <w:rFonts w:hint="eastAsia" w:ascii="宋体" w:hAnsi="宋体" w:cs="宋体"/>
          <w:b/>
          <w:szCs w:val="21"/>
          <w:lang w:val="en-US" w:eastAsia="zh-CN"/>
        </w:rPr>
        <w:t>2.本注的文字，仅作告知，不作格式要求。</w:t>
      </w:r>
    </w:p>
    <w:p>
      <w:pPr>
        <w:pStyle w:val="35"/>
        <w:widowControl w:val="0"/>
        <w:numPr>
          <w:ilvl w:val="0"/>
          <w:numId w:val="0"/>
        </w:numPr>
        <w:spacing w:after="120" w:afterLines="0"/>
        <w:jc w:val="both"/>
        <w:rPr>
          <w:rFonts w:hint="eastAsia"/>
        </w:rPr>
      </w:pPr>
    </w:p>
    <w:p>
      <w:pPr>
        <w:pStyle w:val="2"/>
        <w:rPr>
          <w:rFonts w:hint="eastAsia"/>
        </w:rPr>
      </w:pPr>
    </w:p>
    <w:p>
      <w:pPr>
        <w:rPr>
          <w:rFonts w:hint="eastAsia"/>
        </w:rPr>
      </w:pPr>
    </w:p>
    <w:p>
      <w:pPr>
        <w:pStyle w:val="35"/>
        <w:rPr>
          <w:rFonts w:hint="eastAsia"/>
        </w:rPr>
      </w:pPr>
    </w:p>
    <w:p>
      <w:pPr>
        <w:pStyle w:val="2"/>
        <w:rPr>
          <w:rFonts w:hint="eastAsia"/>
        </w:rPr>
      </w:pPr>
    </w:p>
    <w:p>
      <w:pPr>
        <w:rPr>
          <w:rFonts w:hint="eastAsia"/>
        </w:rPr>
      </w:pPr>
    </w:p>
    <w:p>
      <w:pPr>
        <w:pStyle w:val="35"/>
        <w:rPr>
          <w:rFonts w:hint="eastAsia"/>
        </w:rPr>
      </w:pPr>
    </w:p>
    <w:p>
      <w:pPr>
        <w:pStyle w:val="2"/>
        <w:rPr>
          <w:rFonts w:hint="eastAsia"/>
        </w:rPr>
      </w:pPr>
    </w:p>
    <w:p>
      <w:pPr>
        <w:pStyle w:val="5"/>
        <w:keepNext/>
        <w:keepLines/>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jc w:val="center"/>
        <w:textAlignment w:val="auto"/>
        <w:outlineLvl w:val="0"/>
        <w:rPr>
          <w:rFonts w:hint="eastAsia" w:ascii="宋体" w:hAnsi="宋体" w:eastAsia="宋体" w:cs="宋体"/>
          <w:sz w:val="32"/>
          <w:szCs w:val="32"/>
        </w:rPr>
      </w:pPr>
      <w:bookmarkStart w:id="159" w:name="_Toc16339"/>
      <w:bookmarkStart w:id="160" w:name="_Toc30312"/>
      <w:r>
        <w:rPr>
          <w:rFonts w:hint="eastAsia" w:ascii="宋体" w:hAnsi="宋体" w:eastAsia="宋体" w:cs="宋体"/>
          <w:sz w:val="32"/>
          <w:szCs w:val="32"/>
        </w:rPr>
        <w:br w:type="page"/>
      </w:r>
      <w:bookmarkStart w:id="161" w:name="_Toc356"/>
      <w:r>
        <w:rPr>
          <w:rFonts w:hint="eastAsia" w:ascii="宋体" w:hAnsi="宋体" w:eastAsia="宋体" w:cs="宋体"/>
          <w:sz w:val="32"/>
          <w:szCs w:val="32"/>
        </w:rPr>
        <w:t>反商业贿赂承诺书</w:t>
      </w:r>
      <w:bookmarkEnd w:id="159"/>
      <w:bookmarkEnd w:id="160"/>
      <w:bookmarkEnd w:id="161"/>
    </w:p>
    <w:p>
      <w:pPr>
        <w:spacing w:line="360" w:lineRule="auto"/>
        <w:rPr>
          <w:rFonts w:hint="eastAsia" w:ascii="宋体" w:hAnsi="宋体" w:eastAsia="宋体" w:cs="宋体"/>
          <w:sz w:val="24"/>
          <w:szCs w:val="24"/>
        </w:rPr>
      </w:pPr>
      <w:r>
        <w:rPr>
          <w:rFonts w:hint="eastAsia" w:ascii="宋体" w:hAnsi="宋体" w:eastAsia="宋体" w:cs="宋体"/>
          <w:sz w:val="24"/>
          <w:szCs w:val="24"/>
        </w:rPr>
        <w:t>我公司承诺：</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在本次磋商活动中，我公司保证做到：</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一、公平竞争参加本次采购活动。</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杜绝任何形式的商业贿赂行为。不向国家工作人员、采购代理工作人员、评审专家及其亲属提供礼品礼金、有价证券、购物券、回扣、佣金、咨询费、劳务费、赞助费、宣传费、宴请；不为其报销各种消费凭证，不支付其旅游、娱乐等费用。</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三、若出现上述行为，我公司及参与磋商的工作人员愿意接受按照国家法律法规等有关规定给予的处罚。</w:t>
      </w:r>
    </w:p>
    <w:p>
      <w:pPr>
        <w:spacing w:line="460" w:lineRule="exact"/>
        <w:rPr>
          <w:rFonts w:hint="eastAsia" w:ascii="宋体" w:hAnsi="宋体" w:eastAsia="宋体" w:cs="宋体"/>
          <w:sz w:val="24"/>
          <w:szCs w:val="24"/>
        </w:rPr>
      </w:pPr>
    </w:p>
    <w:p>
      <w:pPr>
        <w:spacing w:line="460" w:lineRule="exact"/>
        <w:rPr>
          <w:rFonts w:hint="eastAsia" w:ascii="宋体" w:hAnsi="宋体" w:eastAsia="宋体" w:cs="宋体"/>
          <w:sz w:val="24"/>
          <w:szCs w:val="24"/>
        </w:rPr>
      </w:pPr>
    </w:p>
    <w:p>
      <w:pPr>
        <w:spacing w:line="460" w:lineRule="exact"/>
        <w:rPr>
          <w:rFonts w:hint="eastAsia" w:ascii="宋体" w:hAnsi="宋体" w:eastAsia="宋体" w:cs="宋体"/>
          <w:sz w:val="24"/>
          <w:szCs w:val="24"/>
        </w:rPr>
      </w:pPr>
    </w:p>
    <w:p>
      <w:pPr>
        <w:spacing w:line="460" w:lineRule="exact"/>
        <w:jc w:val="center"/>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供应商名称（全称并加盖公章）： </w:t>
      </w:r>
    </w:p>
    <w:p>
      <w:pPr>
        <w:spacing w:line="460" w:lineRule="exact"/>
        <w:jc w:val="center"/>
        <w:rPr>
          <w:rFonts w:hint="eastAsia" w:ascii="宋体" w:hAnsi="宋体" w:eastAsia="宋体" w:cs="宋体"/>
          <w:sz w:val="24"/>
          <w:szCs w:val="24"/>
        </w:rPr>
      </w:pPr>
      <w:r>
        <w:rPr>
          <w:rFonts w:hint="eastAsia" w:ascii="宋体" w:hAnsi="宋体" w:eastAsia="宋体" w:cs="宋体"/>
          <w:sz w:val="24"/>
          <w:szCs w:val="24"/>
        </w:rPr>
        <w:t xml:space="preserve">                           供应商法定代表人（签</w:t>
      </w:r>
      <w:r>
        <w:rPr>
          <w:rFonts w:hint="eastAsia" w:ascii="宋体" w:hAnsi="宋体" w:eastAsia="宋体" w:cs="宋体"/>
          <w:sz w:val="24"/>
          <w:szCs w:val="24"/>
          <w:lang w:eastAsia="zh-CN"/>
        </w:rPr>
        <w:t>名或盖章</w:t>
      </w:r>
      <w:r>
        <w:rPr>
          <w:rFonts w:hint="eastAsia" w:ascii="宋体" w:hAnsi="宋体" w:eastAsia="宋体" w:cs="宋体"/>
          <w:sz w:val="24"/>
          <w:szCs w:val="24"/>
        </w:rPr>
        <w:t>）：</w:t>
      </w:r>
    </w:p>
    <w:p>
      <w:pPr>
        <w:spacing w:line="460" w:lineRule="exact"/>
        <w:jc w:val="center"/>
        <w:rPr>
          <w:rFonts w:hint="eastAsia" w:ascii="宋体" w:hAnsi="宋体" w:eastAsia="宋体" w:cs="宋体"/>
          <w:sz w:val="24"/>
          <w:szCs w:val="24"/>
        </w:rPr>
      </w:pPr>
      <w:r>
        <w:rPr>
          <w:rFonts w:hint="eastAsia" w:ascii="宋体" w:hAnsi="宋体" w:eastAsia="宋体" w:cs="宋体"/>
          <w:sz w:val="24"/>
          <w:szCs w:val="24"/>
        </w:rPr>
        <w:t xml:space="preserve">                     委托代理人（签</w:t>
      </w:r>
      <w:r>
        <w:rPr>
          <w:rFonts w:hint="eastAsia" w:ascii="宋体" w:hAnsi="宋体" w:eastAsia="宋体" w:cs="宋体"/>
          <w:sz w:val="24"/>
          <w:szCs w:val="24"/>
          <w:lang w:eastAsia="zh-CN"/>
        </w:rPr>
        <w:t>名或盖章</w:t>
      </w:r>
      <w:r>
        <w:rPr>
          <w:rFonts w:hint="eastAsia" w:ascii="宋体" w:hAnsi="宋体" w:eastAsia="宋体" w:cs="宋体"/>
          <w:sz w:val="24"/>
          <w:szCs w:val="24"/>
        </w:rPr>
        <w:t>）：</w:t>
      </w:r>
    </w:p>
    <w:p>
      <w:pPr>
        <w:pStyle w:val="5"/>
        <w:keepNext/>
        <w:keepLines/>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jc w:val="center"/>
        <w:textAlignment w:val="auto"/>
        <w:outlineLvl w:val="0"/>
        <w:rPr>
          <w:rFonts w:hint="eastAsia" w:ascii="宋体" w:hAnsi="宋体" w:eastAsia="宋体" w:cs="宋体"/>
          <w:sz w:val="32"/>
          <w:szCs w:val="32"/>
        </w:rPr>
      </w:pPr>
    </w:p>
    <w:p>
      <w:pPr>
        <w:pStyle w:val="56"/>
        <w:rPr>
          <w:rFonts w:hint="eastAsia" w:ascii="宋体" w:hAnsi="宋体" w:eastAsia="宋体" w:cs="宋体"/>
          <w:b/>
          <w:kern w:val="44"/>
          <w:sz w:val="32"/>
          <w:szCs w:val="32"/>
        </w:rPr>
      </w:pPr>
    </w:p>
    <w:p>
      <w:pPr>
        <w:spacing w:line="440" w:lineRule="exact"/>
        <w:jc w:val="right"/>
        <w:rPr>
          <w:rFonts w:hint="eastAsia" w:ascii="宋体" w:hAnsi="宋体" w:eastAsia="宋体" w:cs="宋体"/>
          <w:szCs w:val="21"/>
        </w:rPr>
      </w:pPr>
    </w:p>
    <w:p>
      <w:pPr>
        <w:pStyle w:val="6"/>
        <w:jc w:val="center"/>
        <w:outlineLvl w:val="9"/>
        <w:rPr>
          <w:rFonts w:hint="eastAsia" w:ascii="宋体" w:hAnsi="宋体" w:eastAsia="宋体" w:cs="宋体"/>
          <w:sz w:val="28"/>
          <w:szCs w:val="28"/>
        </w:rPr>
      </w:pPr>
    </w:p>
    <w:p>
      <w:pPr>
        <w:rPr>
          <w:rFonts w:hint="eastAsia"/>
        </w:rPr>
      </w:pPr>
    </w:p>
    <w:p>
      <w:pPr>
        <w:pStyle w:val="15"/>
        <w:rPr>
          <w:rFonts w:hint="eastAsia"/>
        </w:rPr>
      </w:pPr>
    </w:p>
    <w:p>
      <w:pPr>
        <w:pStyle w:val="11"/>
        <w:rPr>
          <w:rFonts w:hint="eastAsia"/>
        </w:rPr>
      </w:pPr>
    </w:p>
    <w:p>
      <w:pPr>
        <w:rPr>
          <w:rFonts w:hint="eastAsia"/>
        </w:rPr>
      </w:pPr>
    </w:p>
    <w:p>
      <w:pPr>
        <w:pStyle w:val="2"/>
        <w:rPr>
          <w:rFonts w:hint="eastAsia"/>
        </w:rPr>
      </w:pPr>
    </w:p>
    <w:p>
      <w:pPr>
        <w:pStyle w:val="56"/>
        <w:rPr>
          <w:rFonts w:hint="eastAsia" w:ascii="宋体" w:hAnsi="宋体" w:eastAsia="宋体" w:cs="宋体"/>
          <w:b/>
          <w:kern w:val="44"/>
          <w:sz w:val="32"/>
          <w:szCs w:val="32"/>
        </w:rPr>
      </w:pPr>
    </w:p>
    <w:p>
      <w:pPr>
        <w:pStyle w:val="56"/>
        <w:rPr>
          <w:rFonts w:hint="eastAsia" w:ascii="宋体" w:hAnsi="宋体" w:eastAsia="宋体" w:cs="宋体"/>
          <w:b/>
          <w:kern w:val="44"/>
          <w:sz w:val="32"/>
          <w:szCs w:val="32"/>
        </w:rPr>
      </w:pPr>
    </w:p>
    <w:p>
      <w:pPr>
        <w:pStyle w:val="56"/>
        <w:rPr>
          <w:rFonts w:hint="eastAsia" w:ascii="宋体" w:hAnsi="宋体" w:eastAsia="宋体" w:cs="宋体"/>
          <w:szCs w:val="21"/>
        </w:rPr>
      </w:pPr>
    </w:p>
    <w:p>
      <w:pPr>
        <w:pStyle w:val="56"/>
        <w:rPr>
          <w:rFonts w:hint="eastAsia" w:ascii="宋体" w:hAnsi="宋体" w:eastAsia="宋体" w:cs="宋体"/>
          <w:sz w:val="32"/>
          <w:szCs w:val="32"/>
        </w:rPr>
      </w:pPr>
      <w:bookmarkStart w:id="162" w:name="_Toc12483"/>
      <w:bookmarkStart w:id="163" w:name="_Toc5526"/>
      <w:bookmarkStart w:id="164" w:name="_Toc12027"/>
      <w:bookmarkStart w:id="165" w:name="_Toc529865893"/>
      <w:r>
        <w:rPr>
          <w:rFonts w:hint="eastAsia" w:ascii="宋体" w:hAnsi="宋体" w:eastAsia="宋体" w:cs="宋体"/>
          <w:sz w:val="32"/>
          <w:szCs w:val="32"/>
        </w:rPr>
        <w:br w:type="page"/>
      </w:r>
      <w:bookmarkEnd w:id="162"/>
    </w:p>
    <w:p>
      <w:pPr>
        <w:pStyle w:val="5"/>
        <w:keepNext/>
        <w:keepLines/>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jc w:val="center"/>
        <w:textAlignment w:val="auto"/>
        <w:outlineLvl w:val="0"/>
        <w:rPr>
          <w:rFonts w:hint="eastAsia" w:ascii="宋体" w:hAnsi="宋体" w:eastAsia="宋体" w:cs="宋体"/>
          <w:sz w:val="32"/>
          <w:szCs w:val="32"/>
        </w:rPr>
      </w:pPr>
      <w:bookmarkStart w:id="166" w:name="_Toc16061"/>
      <w:bookmarkStart w:id="167" w:name="_Toc25489"/>
      <w:bookmarkStart w:id="168" w:name="_Toc32421"/>
      <w:bookmarkStart w:id="169" w:name="_Toc15946"/>
      <w:r>
        <w:rPr>
          <w:rFonts w:hint="eastAsia" w:ascii="宋体" w:hAnsi="宋体" w:eastAsia="宋体" w:cs="宋体"/>
          <w:sz w:val="32"/>
          <w:szCs w:val="32"/>
        </w:rPr>
        <w:t>残疾人福利性单位声明函</w:t>
      </w:r>
      <w:bookmarkEnd w:id="163"/>
      <w:bookmarkEnd w:id="164"/>
      <w:bookmarkEnd w:id="165"/>
      <w:bookmarkEnd w:id="166"/>
      <w:bookmarkEnd w:id="167"/>
      <w:bookmarkEnd w:id="168"/>
      <w:bookmarkEnd w:id="169"/>
    </w:p>
    <w:p>
      <w:pPr>
        <w:spacing w:line="588" w:lineRule="exact"/>
        <w:rPr>
          <w:rFonts w:hint="eastAsia" w:ascii="宋体" w:hAnsi="宋体" w:eastAsia="宋体" w:cs="宋体"/>
          <w:b/>
          <w:spacing w:val="6"/>
          <w:sz w:val="30"/>
          <w:szCs w:val="30"/>
        </w:rPr>
      </w:pPr>
    </w:p>
    <w:p>
      <w:pPr>
        <w:spacing w:line="588" w:lineRule="exact"/>
        <w:ind w:firstLine="504" w:firstLineChars="200"/>
        <w:rPr>
          <w:rFonts w:hint="eastAsia" w:ascii="宋体" w:hAnsi="宋体" w:eastAsia="宋体" w:cs="宋体"/>
          <w:spacing w:val="6"/>
          <w:sz w:val="24"/>
          <w:szCs w:val="24"/>
        </w:rPr>
      </w:pPr>
      <w:r>
        <w:rPr>
          <w:rFonts w:hint="eastAsia" w:ascii="宋体" w:hAnsi="宋体" w:eastAsia="宋体" w:cs="宋体"/>
          <w:spacing w:val="6"/>
          <w:sz w:val="24"/>
          <w:szCs w:val="24"/>
        </w:rPr>
        <w:t>本单位郑重声明，根据《财政部 民政部 中国残疾人联合会关于促进残疾人就业政府采购政策的通知》（财库</w:t>
      </w:r>
      <w:r>
        <w:rPr>
          <w:rFonts w:hint="eastAsia" w:ascii="宋体" w:hAnsi="宋体" w:eastAsia="宋体" w:cs="宋体"/>
          <w:sz w:val="24"/>
          <w:szCs w:val="24"/>
        </w:rPr>
        <w:t>〔2017〕 141</w:t>
      </w:r>
      <w:r>
        <w:rPr>
          <w:rFonts w:hint="eastAsia" w:ascii="宋体" w:hAnsi="宋体" w:eastAsia="宋体" w:cs="宋体"/>
          <w:spacing w:val="6"/>
          <w:sz w:val="24"/>
          <w:szCs w:val="24"/>
        </w:rPr>
        <w:t>号）的规定，本单位为符合条件的残疾人福利性单位，且本单位参加______单位的______项目</w:t>
      </w:r>
      <w:r>
        <w:rPr>
          <w:rFonts w:hint="eastAsia" w:ascii="宋体" w:hAnsi="宋体" w:eastAsia="宋体" w:cs="宋体"/>
          <w:spacing w:val="6"/>
          <w:sz w:val="24"/>
          <w:szCs w:val="24"/>
          <w:u w:val="single"/>
          <w:lang w:val="en-US" w:eastAsia="zh-CN"/>
        </w:rPr>
        <w:t xml:space="preserve">    </w:t>
      </w:r>
      <w:r>
        <w:rPr>
          <w:rFonts w:hint="eastAsia" w:ascii="宋体" w:hAnsi="宋体" w:eastAsia="宋体" w:cs="宋体"/>
          <w:spacing w:val="6"/>
          <w:sz w:val="24"/>
          <w:szCs w:val="24"/>
          <w:lang w:val="en-US" w:eastAsia="zh-CN"/>
        </w:rPr>
        <w:t>包</w:t>
      </w:r>
      <w:r>
        <w:rPr>
          <w:rFonts w:hint="eastAsia" w:ascii="宋体" w:hAnsi="宋体" w:eastAsia="宋体" w:cs="宋体"/>
          <w:spacing w:val="6"/>
          <w:sz w:val="24"/>
          <w:szCs w:val="24"/>
        </w:rPr>
        <w:t>采购活动提供本单位制造的货物（由本单位承担工程/提供服务），或者提供其他残疾人福利性单位制造的货物（不包括使用非残疾人福利性单位注册商标的货物）。</w:t>
      </w:r>
    </w:p>
    <w:p>
      <w:pPr>
        <w:spacing w:line="588" w:lineRule="exact"/>
        <w:ind w:firstLine="504" w:firstLineChars="200"/>
        <w:rPr>
          <w:rFonts w:hint="eastAsia" w:ascii="宋体" w:hAnsi="宋体" w:eastAsia="宋体" w:cs="宋体"/>
          <w:spacing w:val="6"/>
          <w:sz w:val="24"/>
          <w:szCs w:val="24"/>
        </w:rPr>
      </w:pPr>
      <w:r>
        <w:rPr>
          <w:rFonts w:hint="eastAsia" w:ascii="宋体" w:hAnsi="宋体" w:eastAsia="宋体" w:cs="宋体"/>
          <w:spacing w:val="6"/>
          <w:sz w:val="24"/>
          <w:szCs w:val="24"/>
        </w:rPr>
        <w:t>本单位对上述声明的真实性负责。如有虚假，将依法承担相应责任。</w:t>
      </w:r>
    </w:p>
    <w:p>
      <w:pPr>
        <w:spacing w:line="588" w:lineRule="exact"/>
        <w:ind w:firstLine="504" w:firstLineChars="200"/>
        <w:rPr>
          <w:rFonts w:hint="eastAsia" w:ascii="宋体" w:hAnsi="宋体" w:eastAsia="宋体" w:cs="宋体"/>
          <w:spacing w:val="6"/>
          <w:sz w:val="24"/>
          <w:szCs w:val="24"/>
        </w:rPr>
      </w:pPr>
    </w:p>
    <w:p>
      <w:pPr>
        <w:spacing w:line="588" w:lineRule="exact"/>
        <w:ind w:firstLine="504" w:firstLineChars="200"/>
        <w:rPr>
          <w:rFonts w:hint="eastAsia" w:ascii="宋体" w:hAnsi="宋体" w:eastAsia="宋体" w:cs="宋体"/>
          <w:spacing w:val="6"/>
          <w:sz w:val="24"/>
          <w:szCs w:val="24"/>
        </w:rPr>
      </w:pPr>
    </w:p>
    <w:p>
      <w:pPr>
        <w:tabs>
          <w:tab w:val="left" w:pos="4860"/>
        </w:tabs>
        <w:spacing w:line="588" w:lineRule="exact"/>
        <w:ind w:right="1560" w:firstLine="504" w:firstLineChars="200"/>
        <w:jc w:val="right"/>
        <w:rPr>
          <w:rFonts w:hint="eastAsia" w:ascii="宋体" w:hAnsi="宋体" w:eastAsia="宋体" w:cs="宋体"/>
          <w:spacing w:val="6"/>
          <w:sz w:val="24"/>
          <w:szCs w:val="24"/>
        </w:rPr>
      </w:pPr>
      <w:r>
        <w:rPr>
          <w:rFonts w:hint="eastAsia" w:ascii="宋体" w:hAnsi="宋体" w:eastAsia="宋体" w:cs="宋体"/>
          <w:spacing w:val="6"/>
          <w:sz w:val="24"/>
          <w:szCs w:val="24"/>
        </w:rPr>
        <w:t xml:space="preserve">               单位名称（盖章）：</w:t>
      </w:r>
    </w:p>
    <w:p>
      <w:pPr>
        <w:tabs>
          <w:tab w:val="left" w:pos="4860"/>
        </w:tabs>
        <w:spacing w:line="588" w:lineRule="exact"/>
        <w:ind w:right="1560" w:firstLine="504" w:firstLineChars="200"/>
        <w:jc w:val="right"/>
        <w:rPr>
          <w:rFonts w:hint="eastAsia" w:ascii="宋体" w:hAnsi="宋体" w:eastAsia="宋体" w:cs="宋体"/>
          <w:spacing w:val="6"/>
          <w:sz w:val="24"/>
          <w:szCs w:val="24"/>
        </w:rPr>
      </w:pPr>
      <w:r>
        <w:rPr>
          <w:rFonts w:hint="eastAsia" w:ascii="宋体" w:hAnsi="宋体" w:eastAsia="宋体" w:cs="宋体"/>
          <w:spacing w:val="6"/>
          <w:sz w:val="24"/>
          <w:szCs w:val="24"/>
        </w:rPr>
        <w:t xml:space="preserve">       日  期：</w:t>
      </w:r>
    </w:p>
    <w:p>
      <w:pPr>
        <w:spacing w:line="360" w:lineRule="auto"/>
        <w:rPr>
          <w:rFonts w:hint="eastAsia" w:ascii="宋体" w:hAnsi="宋体" w:eastAsia="宋体" w:cs="宋体"/>
          <w:b/>
          <w:bCs/>
          <w:sz w:val="24"/>
          <w:szCs w:val="24"/>
        </w:rPr>
      </w:pPr>
      <w:r>
        <w:rPr>
          <w:rFonts w:hint="eastAsia" w:ascii="宋体" w:hAnsi="宋体" w:eastAsia="宋体" w:cs="宋体"/>
          <w:sz w:val="24"/>
          <w:szCs w:val="24"/>
        </w:rPr>
        <w:t>说明：</w:t>
      </w:r>
      <w:r>
        <w:rPr>
          <w:rFonts w:hint="eastAsia" w:ascii="宋体" w:hAnsi="宋体" w:eastAsia="宋体" w:cs="宋体"/>
          <w:b/>
          <w:bCs/>
          <w:sz w:val="24"/>
          <w:szCs w:val="24"/>
        </w:rPr>
        <w:t>非残疾人福利性单位无需填写、递交该声明。</w:t>
      </w:r>
    </w:p>
    <w:p>
      <w:pPr>
        <w:pStyle w:val="56"/>
        <w:rPr>
          <w:rFonts w:hint="eastAsia" w:ascii="宋体" w:hAnsi="宋体" w:eastAsia="宋体" w:cs="宋体"/>
          <w:b/>
          <w:kern w:val="44"/>
          <w:sz w:val="32"/>
          <w:szCs w:val="32"/>
        </w:rPr>
      </w:pPr>
    </w:p>
    <w:p>
      <w:pPr>
        <w:pStyle w:val="56"/>
        <w:rPr>
          <w:rFonts w:hint="eastAsia" w:ascii="宋体" w:hAnsi="宋体" w:eastAsia="宋体" w:cs="宋体"/>
          <w:b/>
          <w:kern w:val="44"/>
          <w:sz w:val="32"/>
          <w:szCs w:val="32"/>
        </w:rPr>
      </w:pPr>
    </w:p>
    <w:p>
      <w:pPr>
        <w:pStyle w:val="56"/>
        <w:rPr>
          <w:rFonts w:hint="eastAsia" w:ascii="宋体" w:hAnsi="宋体" w:eastAsia="宋体" w:cs="宋体"/>
          <w:b/>
          <w:kern w:val="44"/>
          <w:sz w:val="32"/>
          <w:szCs w:val="32"/>
        </w:rPr>
      </w:pPr>
    </w:p>
    <w:p>
      <w:pPr>
        <w:pStyle w:val="56"/>
        <w:rPr>
          <w:rFonts w:hint="eastAsia" w:ascii="宋体" w:hAnsi="宋体" w:eastAsia="宋体" w:cs="宋体"/>
          <w:b/>
          <w:kern w:val="44"/>
          <w:sz w:val="32"/>
          <w:szCs w:val="32"/>
        </w:rPr>
      </w:pPr>
    </w:p>
    <w:p>
      <w:pPr>
        <w:pStyle w:val="56"/>
        <w:rPr>
          <w:rFonts w:hint="eastAsia" w:ascii="宋体" w:hAnsi="宋体" w:eastAsia="宋体" w:cs="宋体"/>
          <w:b/>
          <w:kern w:val="44"/>
          <w:sz w:val="32"/>
          <w:szCs w:val="32"/>
        </w:rPr>
      </w:pPr>
    </w:p>
    <w:p>
      <w:pPr>
        <w:pStyle w:val="56"/>
        <w:rPr>
          <w:rFonts w:hint="eastAsia" w:ascii="宋体" w:hAnsi="宋体" w:eastAsia="宋体" w:cs="宋体"/>
          <w:b/>
          <w:kern w:val="44"/>
          <w:sz w:val="32"/>
          <w:szCs w:val="32"/>
        </w:rPr>
      </w:pPr>
    </w:p>
    <w:p>
      <w:pPr>
        <w:pStyle w:val="56"/>
        <w:rPr>
          <w:rFonts w:hint="eastAsia" w:ascii="宋体" w:hAnsi="宋体" w:eastAsia="宋体" w:cs="宋体"/>
          <w:b/>
          <w:kern w:val="44"/>
          <w:sz w:val="32"/>
          <w:szCs w:val="32"/>
        </w:rPr>
      </w:pPr>
    </w:p>
    <w:p>
      <w:pPr>
        <w:pStyle w:val="56"/>
        <w:rPr>
          <w:rFonts w:hint="eastAsia" w:ascii="宋体" w:hAnsi="宋体" w:eastAsia="宋体" w:cs="宋体"/>
          <w:b/>
          <w:kern w:val="44"/>
          <w:sz w:val="32"/>
          <w:szCs w:val="32"/>
        </w:rPr>
      </w:pPr>
    </w:p>
    <w:p>
      <w:pPr>
        <w:jc w:val="center"/>
        <w:outlineLvl w:val="0"/>
        <w:rPr>
          <w:rFonts w:hint="eastAsia" w:ascii="宋体" w:hAnsi="宋体" w:eastAsia="宋体" w:cs="宋体"/>
          <w:b/>
          <w:sz w:val="32"/>
          <w:szCs w:val="32"/>
        </w:rPr>
      </w:pPr>
      <w:bookmarkStart w:id="170" w:name="_Toc31392"/>
      <w:bookmarkStart w:id="171" w:name="_Toc2217"/>
      <w:bookmarkStart w:id="172" w:name="_Toc31104"/>
      <w:bookmarkStart w:id="173" w:name="_Toc5772"/>
      <w:bookmarkStart w:id="174" w:name="_Toc18644"/>
      <w:r>
        <w:rPr>
          <w:rFonts w:hint="eastAsia" w:ascii="宋体" w:hAnsi="宋体" w:eastAsia="宋体" w:cs="宋体"/>
          <w:b/>
          <w:sz w:val="32"/>
          <w:szCs w:val="32"/>
        </w:rPr>
        <w:br w:type="page"/>
      </w:r>
      <w:bookmarkStart w:id="175" w:name="_Toc15107"/>
      <w:r>
        <w:rPr>
          <w:rFonts w:hint="eastAsia" w:ascii="宋体" w:hAnsi="宋体" w:eastAsia="宋体" w:cs="宋体"/>
          <w:b/>
          <w:sz w:val="32"/>
          <w:szCs w:val="32"/>
        </w:rPr>
        <w:t>无行贿犯罪记录承诺书</w:t>
      </w:r>
      <w:bookmarkEnd w:id="170"/>
      <w:bookmarkEnd w:id="171"/>
      <w:bookmarkEnd w:id="172"/>
      <w:bookmarkEnd w:id="173"/>
      <w:bookmarkEnd w:id="174"/>
      <w:bookmarkEnd w:id="175"/>
    </w:p>
    <w:p>
      <w:pPr>
        <w:spacing w:after="312" w:afterLines="100" w:line="440" w:lineRule="exact"/>
        <w:rPr>
          <w:rFonts w:hint="eastAsia" w:ascii="宋体" w:hAnsi="宋体" w:eastAsia="宋体" w:cs="宋体"/>
          <w:position w:val="-7"/>
          <w:szCs w:val="21"/>
        </w:rPr>
      </w:pPr>
    </w:p>
    <w:p>
      <w:pPr>
        <w:spacing w:before="156" w:beforeLines="50" w:after="156" w:afterLines="50" w:line="360" w:lineRule="auto"/>
        <w:rPr>
          <w:rFonts w:hint="eastAsia" w:ascii="宋体" w:hAnsi="宋体" w:eastAsia="宋体" w:cs="宋体"/>
          <w:sz w:val="24"/>
          <w:szCs w:val="24"/>
        </w:rPr>
      </w:pPr>
      <w:r>
        <w:rPr>
          <w:rFonts w:hint="eastAsia" w:ascii="宋体" w:hAnsi="宋体" w:eastAsia="宋体" w:cs="宋体"/>
          <w:sz w:val="24"/>
          <w:szCs w:val="24"/>
        </w:rPr>
        <w:t>致：（采购人）</w:t>
      </w:r>
    </w:p>
    <w:p>
      <w:pPr>
        <w:spacing w:line="360" w:lineRule="auto"/>
        <w:ind w:firstLine="480" w:firstLineChars="200"/>
        <w:rPr>
          <w:rFonts w:hint="eastAsia" w:ascii="宋体" w:hAnsi="宋体" w:eastAsia="宋体" w:cs="宋体"/>
          <w:color w:val="000000"/>
          <w:sz w:val="24"/>
          <w:szCs w:val="24"/>
          <w:shd w:val="clear" w:color="auto" w:fill="FFFFFF"/>
        </w:rPr>
      </w:pPr>
      <w:r>
        <w:rPr>
          <w:rFonts w:hint="eastAsia" w:ascii="宋体" w:hAnsi="宋体" w:eastAsia="宋体" w:cs="宋体"/>
          <w:sz w:val="24"/>
          <w:szCs w:val="24"/>
        </w:rPr>
        <w:t>我方在此声明，我方在</w:t>
      </w:r>
      <w:r>
        <w:rPr>
          <w:rFonts w:hint="eastAsia" w:ascii="宋体" w:hAnsi="宋体" w:eastAsia="宋体" w:cs="宋体"/>
          <w:sz w:val="24"/>
          <w:szCs w:val="24"/>
          <w:u w:val="single"/>
        </w:rPr>
        <w:t xml:space="preserve">                  </w:t>
      </w:r>
      <w:r>
        <w:rPr>
          <w:rFonts w:hint="eastAsia" w:ascii="宋体" w:hAnsi="宋体" w:eastAsia="宋体" w:cs="宋体"/>
          <w:sz w:val="24"/>
          <w:szCs w:val="24"/>
        </w:rPr>
        <w:t>（项目名称</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包段</w:t>
      </w:r>
      <w:r>
        <w:rPr>
          <w:rFonts w:hint="eastAsia" w:ascii="宋体" w:hAnsi="宋体" w:eastAsia="宋体" w:cs="宋体"/>
          <w:sz w:val="24"/>
          <w:szCs w:val="24"/>
        </w:rPr>
        <w:t>）采购过程中所涉及的</w:t>
      </w:r>
      <w:r>
        <w:rPr>
          <w:rFonts w:hint="eastAsia" w:ascii="宋体" w:hAnsi="宋体" w:eastAsia="宋体" w:cs="宋体"/>
          <w:color w:val="000000"/>
          <w:sz w:val="24"/>
          <w:szCs w:val="24"/>
          <w:shd w:val="clear" w:color="auto" w:fill="FFFFFF"/>
        </w:rPr>
        <w:t>包括法人、法定代表人、委托代理人均无行贿犯罪记录。</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我方保证上述信息的真实和准确，并愿意承担因我方就此弄虚作假所引起的一切法律后果。</w:t>
      </w:r>
    </w:p>
    <w:p>
      <w:pPr>
        <w:spacing w:line="360" w:lineRule="auto"/>
        <w:ind w:firstLine="480" w:firstLineChars="200"/>
        <w:rPr>
          <w:rFonts w:hint="eastAsia" w:ascii="宋体" w:hAnsi="宋体" w:eastAsia="宋体" w:cs="宋体"/>
          <w:sz w:val="24"/>
          <w:szCs w:val="24"/>
        </w:rPr>
      </w:pPr>
    </w:p>
    <w:p>
      <w:pPr>
        <w:spacing w:line="360" w:lineRule="auto"/>
        <w:ind w:firstLine="480" w:firstLineChars="200"/>
        <w:rPr>
          <w:rFonts w:hint="eastAsia" w:ascii="宋体" w:hAnsi="宋体" w:eastAsia="宋体" w:cs="宋体"/>
          <w:sz w:val="24"/>
          <w:szCs w:val="24"/>
        </w:rPr>
      </w:pP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特此承诺</w:t>
      </w:r>
    </w:p>
    <w:p>
      <w:pPr>
        <w:spacing w:line="360" w:lineRule="auto"/>
        <w:ind w:firstLine="480" w:firstLineChars="200"/>
        <w:rPr>
          <w:rFonts w:hint="eastAsia" w:ascii="宋体" w:hAnsi="宋体" w:eastAsia="宋体" w:cs="宋体"/>
          <w:sz w:val="24"/>
          <w:szCs w:val="24"/>
        </w:rPr>
      </w:pPr>
    </w:p>
    <w:p>
      <w:pPr>
        <w:spacing w:line="360" w:lineRule="auto"/>
        <w:jc w:val="left"/>
        <w:rPr>
          <w:rFonts w:hint="eastAsia" w:ascii="宋体" w:hAnsi="宋体" w:eastAsia="宋体" w:cs="宋体"/>
          <w:sz w:val="24"/>
          <w:szCs w:val="24"/>
        </w:rPr>
      </w:pPr>
    </w:p>
    <w:p>
      <w:pPr>
        <w:spacing w:line="360" w:lineRule="auto"/>
        <w:jc w:val="left"/>
        <w:rPr>
          <w:rFonts w:hint="eastAsia" w:ascii="宋体" w:hAnsi="宋体" w:eastAsia="宋体" w:cs="宋体"/>
          <w:sz w:val="24"/>
          <w:szCs w:val="24"/>
        </w:rPr>
      </w:pPr>
    </w:p>
    <w:p>
      <w:pPr>
        <w:spacing w:line="360" w:lineRule="auto"/>
        <w:jc w:val="left"/>
        <w:rPr>
          <w:rFonts w:hint="eastAsia" w:ascii="宋体" w:hAnsi="宋体" w:eastAsia="宋体" w:cs="宋体"/>
          <w:sz w:val="24"/>
          <w:szCs w:val="24"/>
        </w:rPr>
      </w:pPr>
    </w:p>
    <w:p>
      <w:pPr>
        <w:spacing w:line="360" w:lineRule="auto"/>
        <w:jc w:val="left"/>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供应商名称（全称并加盖公章）：</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法定代表人或其委托代理人（签</w:t>
      </w:r>
      <w:r>
        <w:rPr>
          <w:rFonts w:hint="eastAsia" w:ascii="宋体" w:hAnsi="宋体" w:eastAsia="宋体" w:cs="宋体"/>
          <w:sz w:val="24"/>
          <w:szCs w:val="24"/>
          <w:lang w:eastAsia="zh-CN"/>
        </w:rPr>
        <w:t>名或盖章</w:t>
      </w:r>
      <w:r>
        <w:rPr>
          <w:rFonts w:hint="eastAsia" w:ascii="宋体" w:hAnsi="宋体" w:eastAsia="宋体" w:cs="宋体"/>
          <w:sz w:val="24"/>
          <w:szCs w:val="24"/>
        </w:rPr>
        <w:t>）：</w:t>
      </w:r>
    </w:p>
    <w:p>
      <w:pPr>
        <w:spacing w:line="360" w:lineRule="auto"/>
        <w:jc w:val="right"/>
        <w:rPr>
          <w:rFonts w:hint="eastAsia" w:ascii="宋体" w:hAnsi="宋体" w:eastAsia="宋体" w:cs="宋体"/>
          <w:sz w:val="24"/>
          <w:szCs w:val="24"/>
        </w:rPr>
      </w:pPr>
    </w:p>
    <w:p>
      <w:pPr>
        <w:pStyle w:val="56"/>
        <w:spacing w:line="360" w:lineRule="auto"/>
        <w:jc w:val="right"/>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jc w:val="center"/>
        <w:outlineLvl w:val="9"/>
        <w:rPr>
          <w:rFonts w:hint="eastAsia" w:ascii="宋体" w:hAnsi="宋体" w:eastAsia="宋体" w:cs="宋体"/>
          <w:b/>
          <w:bCs/>
          <w:sz w:val="32"/>
          <w:szCs w:val="32"/>
        </w:rPr>
      </w:pPr>
      <w:r>
        <w:rPr>
          <w:rFonts w:hint="eastAsia" w:ascii="宋体" w:hAnsi="宋体" w:eastAsia="宋体" w:cs="宋体"/>
          <w:sz w:val="24"/>
          <w:szCs w:val="24"/>
        </w:rPr>
        <w:br w:type="page"/>
      </w:r>
    </w:p>
    <w:bookmarkEnd w:id="128"/>
    <w:bookmarkEnd w:id="129"/>
    <w:p>
      <w:pPr>
        <w:pStyle w:val="5"/>
        <w:keepNext/>
        <w:keepLines/>
        <w:pageBreakBefore w:val="0"/>
        <w:widowControl w:val="0"/>
        <w:numPr>
          <w:ilvl w:val="0"/>
          <w:numId w:val="18"/>
        </w:numPr>
        <w:kinsoku/>
        <w:wordWrap/>
        <w:overflowPunct/>
        <w:topLinePunct w:val="0"/>
        <w:autoSpaceDE/>
        <w:autoSpaceDN/>
        <w:bidi w:val="0"/>
        <w:adjustRightInd/>
        <w:snapToGrid/>
        <w:spacing w:before="0" w:beforeLines="0" w:after="0" w:afterLines="0" w:line="360" w:lineRule="auto"/>
        <w:jc w:val="center"/>
        <w:textAlignment w:val="auto"/>
        <w:outlineLvl w:val="0"/>
        <w:rPr>
          <w:rFonts w:hint="eastAsia" w:ascii="宋体" w:hAnsi="宋体" w:eastAsia="宋体" w:cs="宋体"/>
          <w:sz w:val="32"/>
          <w:szCs w:val="32"/>
        </w:rPr>
      </w:pPr>
      <w:bookmarkStart w:id="176" w:name="_Toc5506"/>
      <w:bookmarkStart w:id="177" w:name="_Toc23619"/>
      <w:bookmarkStart w:id="178" w:name="_Toc477423256"/>
      <w:bookmarkStart w:id="179" w:name="_Toc487805932"/>
      <w:bookmarkStart w:id="180" w:name="_Toc490161471"/>
      <w:bookmarkStart w:id="181" w:name="_Toc15846"/>
      <w:bookmarkStart w:id="182" w:name="_Toc406663316"/>
      <w:bookmarkStart w:id="183" w:name="_Toc7113"/>
      <w:bookmarkStart w:id="184" w:name="_Toc428525390"/>
      <w:bookmarkStart w:id="185" w:name="_Toc428454062"/>
      <w:bookmarkStart w:id="186" w:name="_Toc364490446"/>
      <w:bookmarkStart w:id="187" w:name="_Toc374512433"/>
      <w:bookmarkStart w:id="188" w:name="_Toc408816356"/>
      <w:bookmarkStart w:id="189" w:name="_Toc25878"/>
      <w:bookmarkStart w:id="190" w:name="_Toc214329904"/>
      <w:bookmarkStart w:id="191" w:name="_Toc373230045"/>
      <w:r>
        <w:rPr>
          <w:rFonts w:hint="eastAsia" w:ascii="宋体" w:hAnsi="宋体" w:eastAsia="宋体" w:cs="宋体"/>
          <w:sz w:val="32"/>
          <w:szCs w:val="32"/>
        </w:rPr>
        <w:t>法定代表人身份证明或授权委托书</w:t>
      </w:r>
      <w:bookmarkEnd w:id="176"/>
      <w:bookmarkEnd w:id="177"/>
      <w:bookmarkEnd w:id="178"/>
      <w:bookmarkEnd w:id="179"/>
      <w:bookmarkEnd w:id="180"/>
      <w:bookmarkEnd w:id="181"/>
      <w:bookmarkEnd w:id="182"/>
      <w:bookmarkEnd w:id="183"/>
      <w:bookmarkEnd w:id="184"/>
      <w:bookmarkEnd w:id="185"/>
    </w:p>
    <w:p>
      <w:pPr>
        <w:spacing w:line="460" w:lineRule="exact"/>
        <w:jc w:val="center"/>
        <w:rPr>
          <w:rFonts w:hint="eastAsia" w:ascii="宋体" w:hAnsi="宋体" w:eastAsia="宋体" w:cs="宋体"/>
          <w:b/>
          <w:sz w:val="24"/>
          <w:szCs w:val="24"/>
        </w:rPr>
      </w:pPr>
      <w:r>
        <w:rPr>
          <w:rFonts w:hint="eastAsia" w:ascii="宋体" w:hAnsi="宋体" w:eastAsia="宋体" w:cs="宋体"/>
          <w:b/>
          <w:sz w:val="24"/>
          <w:szCs w:val="24"/>
        </w:rPr>
        <w:t>法定代表人身份证明</w:t>
      </w:r>
    </w:p>
    <w:p>
      <w:pPr>
        <w:pStyle w:val="56"/>
        <w:rPr>
          <w:rFonts w:hint="eastAsia" w:ascii="宋体" w:hAnsi="宋体" w:eastAsia="宋体" w:cs="宋体"/>
        </w:rPr>
      </w:pPr>
    </w:p>
    <w:p>
      <w:pPr>
        <w:spacing w:line="460" w:lineRule="exact"/>
        <w:rPr>
          <w:rFonts w:hint="eastAsia" w:ascii="宋体" w:hAnsi="宋体" w:eastAsia="宋体" w:cs="宋体"/>
          <w:sz w:val="24"/>
          <w:szCs w:val="24"/>
        </w:rPr>
      </w:pPr>
    </w:p>
    <w:p>
      <w:pPr>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单位性质：</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地    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姓    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pPr>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eastAsia="宋体" w:cs="宋体"/>
          <w:sz w:val="24"/>
          <w:szCs w:val="24"/>
        </w:rPr>
        <w:t>（供应商名称）营业执照注册号：</w:t>
      </w:r>
      <w:r>
        <w:rPr>
          <w:rFonts w:hint="eastAsia" w:ascii="宋体" w:hAnsi="宋体" w:eastAsia="宋体" w:cs="宋体"/>
          <w:sz w:val="24"/>
          <w:szCs w:val="24"/>
          <w:u w:val="single"/>
        </w:rPr>
        <w:t xml:space="preserve">                   </w:t>
      </w:r>
      <w:r>
        <w:rPr>
          <w:rFonts w:hint="eastAsia" w:ascii="宋体" w:hAnsi="宋体" w:eastAsia="宋体" w:cs="宋体"/>
          <w:sz w:val="24"/>
          <w:szCs w:val="24"/>
        </w:rPr>
        <w:t>_______________的法定代表人。</w:t>
      </w:r>
    </w:p>
    <w:p>
      <w:pPr>
        <w:spacing w:line="460" w:lineRule="exact"/>
        <w:ind w:firstLine="960" w:firstLineChars="400"/>
        <w:rPr>
          <w:rFonts w:hint="eastAsia" w:ascii="宋体" w:hAnsi="宋体" w:eastAsia="宋体" w:cs="宋体"/>
          <w:sz w:val="24"/>
          <w:szCs w:val="24"/>
        </w:rPr>
      </w:pPr>
      <w:r>
        <w:rPr>
          <w:rFonts w:hint="eastAsia" w:ascii="宋体" w:hAnsi="宋体" w:eastAsia="宋体" w:cs="宋体"/>
          <w:sz w:val="24"/>
          <w:szCs w:val="24"/>
        </w:rPr>
        <w:t>特此证明。</w:t>
      </w:r>
    </w:p>
    <w:p>
      <w:pPr>
        <w:spacing w:line="460" w:lineRule="exact"/>
        <w:ind w:firstLine="480" w:firstLineChars="200"/>
        <w:rPr>
          <w:rFonts w:hint="eastAsia" w:ascii="宋体" w:hAnsi="宋体" w:eastAsia="宋体" w:cs="宋体"/>
          <w:sz w:val="24"/>
          <w:szCs w:val="24"/>
        </w:rPr>
      </w:pPr>
    </w:p>
    <w:p>
      <w:pPr>
        <w:spacing w:line="460" w:lineRule="exact"/>
        <w:ind w:firstLine="480" w:firstLineChars="200"/>
        <w:rPr>
          <w:rFonts w:hint="eastAsia" w:ascii="宋体" w:hAnsi="宋体" w:eastAsia="宋体" w:cs="宋体"/>
          <w:sz w:val="24"/>
          <w:szCs w:val="24"/>
        </w:rPr>
      </w:pPr>
    </w:p>
    <w:p>
      <w:pPr>
        <w:spacing w:line="360" w:lineRule="auto"/>
        <w:jc w:val="center"/>
        <w:rPr>
          <w:rFonts w:hint="eastAsia" w:ascii="宋体" w:hAnsi="宋体" w:eastAsia="宋体" w:cs="宋体"/>
          <w:sz w:val="24"/>
        </w:rPr>
      </w:pPr>
      <w:r>
        <w:rPr>
          <w:rFonts w:hint="eastAsia" w:ascii="宋体" w:hAnsi="宋体" w:eastAsia="宋体" w:cs="宋体"/>
          <w:sz w:val="24"/>
        </w:rPr>
        <w:t>供应商名称（全称并加盖公章）：</w:t>
      </w:r>
    </w:p>
    <w:p>
      <w:pPr>
        <w:spacing w:line="360" w:lineRule="auto"/>
        <w:ind w:firstLine="4515" w:firstLineChars="2150"/>
        <w:rPr>
          <w:rFonts w:hint="eastAsia" w:ascii="宋体" w:hAnsi="宋体" w:eastAsia="宋体" w:cs="宋体"/>
          <w:szCs w:val="21"/>
          <w:u w:val="single"/>
        </w:rPr>
      </w:pPr>
    </w:p>
    <w:p>
      <w:pPr>
        <w:spacing w:line="360" w:lineRule="auto"/>
        <w:ind w:firstLine="4725" w:firstLineChars="2250"/>
        <w:rPr>
          <w:rFonts w:hint="eastAsia" w:ascii="宋体" w:hAnsi="宋体" w:eastAsia="宋体" w:cs="宋体"/>
          <w:szCs w:val="21"/>
        </w:rPr>
      </w:pP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w:t>
      </w:r>
    </w:p>
    <w:p>
      <w:pPr>
        <w:spacing w:line="360" w:lineRule="auto"/>
        <w:jc w:val="center"/>
        <w:rPr>
          <w:rFonts w:hint="eastAsia" w:ascii="宋体" w:hAnsi="宋体" w:eastAsia="宋体" w:cs="宋体"/>
          <w:b/>
          <w:szCs w:val="21"/>
        </w:rPr>
      </w:pPr>
    </w:p>
    <w:p>
      <w:pPr>
        <w:spacing w:line="360" w:lineRule="auto"/>
        <w:jc w:val="center"/>
        <w:rPr>
          <w:rFonts w:hint="eastAsia" w:ascii="宋体" w:hAnsi="宋体" w:eastAsia="宋体" w:cs="宋体"/>
          <w:b/>
          <w:szCs w:val="21"/>
        </w:rPr>
      </w:pPr>
    </w:p>
    <w:p>
      <w:pPr>
        <w:spacing w:line="360" w:lineRule="auto"/>
        <w:rPr>
          <w:rFonts w:hint="eastAsia" w:ascii="宋体" w:hAnsi="宋体" w:eastAsia="宋体" w:cs="宋体"/>
          <w:b/>
          <w:bCs/>
          <w:szCs w:val="21"/>
        </w:rPr>
      </w:pPr>
      <w:r>
        <w:rPr>
          <w:rFonts w:hint="eastAsia" w:ascii="宋体" w:hAnsi="宋体" w:eastAsia="宋体" w:cs="宋体"/>
          <w:b/>
          <w:bCs/>
          <w:szCs w:val="21"/>
        </w:rPr>
        <w:t>注：附法定代表人身份证（正反两面）复印件。</w:t>
      </w:r>
    </w:p>
    <w:p>
      <w:pPr>
        <w:spacing w:line="360" w:lineRule="auto"/>
        <w:jc w:val="center"/>
        <w:rPr>
          <w:rFonts w:hint="eastAsia" w:ascii="宋体" w:hAnsi="宋体" w:eastAsia="宋体" w:cs="宋体"/>
          <w:b/>
          <w:szCs w:val="21"/>
        </w:rPr>
      </w:pPr>
    </w:p>
    <w:p>
      <w:pPr>
        <w:spacing w:line="460" w:lineRule="exact"/>
        <w:jc w:val="center"/>
        <w:rPr>
          <w:rFonts w:hint="eastAsia" w:ascii="宋体" w:hAnsi="宋体" w:eastAsia="宋体" w:cs="宋体"/>
          <w:b/>
          <w:sz w:val="24"/>
          <w:szCs w:val="24"/>
        </w:rPr>
      </w:pPr>
    </w:p>
    <w:p>
      <w:pPr>
        <w:spacing w:line="460" w:lineRule="exact"/>
        <w:jc w:val="center"/>
        <w:rPr>
          <w:rFonts w:hint="eastAsia" w:ascii="宋体" w:hAnsi="宋体" w:eastAsia="宋体" w:cs="宋体"/>
          <w:b/>
          <w:sz w:val="24"/>
          <w:szCs w:val="24"/>
        </w:rPr>
      </w:pPr>
    </w:p>
    <w:p>
      <w:pPr>
        <w:spacing w:line="460" w:lineRule="exact"/>
        <w:jc w:val="center"/>
        <w:rPr>
          <w:rFonts w:hint="eastAsia" w:ascii="宋体" w:hAnsi="宋体" w:eastAsia="宋体" w:cs="宋体"/>
          <w:b/>
          <w:sz w:val="24"/>
          <w:szCs w:val="24"/>
        </w:rPr>
      </w:pPr>
    </w:p>
    <w:p>
      <w:pPr>
        <w:spacing w:line="460" w:lineRule="exact"/>
        <w:jc w:val="center"/>
        <w:rPr>
          <w:rFonts w:hint="eastAsia" w:ascii="宋体" w:hAnsi="宋体" w:eastAsia="宋体" w:cs="宋体"/>
          <w:b/>
          <w:sz w:val="24"/>
          <w:szCs w:val="24"/>
        </w:rPr>
      </w:pPr>
    </w:p>
    <w:p>
      <w:pPr>
        <w:spacing w:line="460" w:lineRule="exact"/>
        <w:jc w:val="center"/>
        <w:rPr>
          <w:rFonts w:hint="eastAsia" w:ascii="宋体" w:hAnsi="宋体" w:eastAsia="宋体" w:cs="宋体"/>
          <w:b/>
          <w:sz w:val="24"/>
          <w:szCs w:val="24"/>
        </w:rPr>
      </w:pPr>
    </w:p>
    <w:p>
      <w:pPr>
        <w:spacing w:line="460" w:lineRule="exact"/>
        <w:jc w:val="center"/>
        <w:rPr>
          <w:rFonts w:hint="eastAsia" w:ascii="宋体" w:hAnsi="宋体" w:eastAsia="宋体" w:cs="宋体"/>
          <w:b/>
          <w:sz w:val="24"/>
          <w:szCs w:val="24"/>
        </w:rPr>
      </w:pPr>
    </w:p>
    <w:p>
      <w:pPr>
        <w:spacing w:line="460" w:lineRule="exact"/>
        <w:jc w:val="center"/>
        <w:rPr>
          <w:rFonts w:hint="eastAsia" w:ascii="宋体" w:hAnsi="宋体" w:eastAsia="宋体" w:cs="宋体"/>
          <w:b/>
          <w:sz w:val="24"/>
          <w:szCs w:val="24"/>
        </w:rPr>
      </w:pPr>
    </w:p>
    <w:p>
      <w:pPr>
        <w:spacing w:line="460" w:lineRule="exact"/>
        <w:jc w:val="center"/>
        <w:rPr>
          <w:rFonts w:hint="eastAsia" w:ascii="宋体" w:hAnsi="宋体" w:eastAsia="宋体" w:cs="宋体"/>
          <w:b/>
          <w:sz w:val="24"/>
          <w:szCs w:val="24"/>
        </w:rPr>
      </w:pPr>
      <w:r>
        <w:rPr>
          <w:rFonts w:hint="eastAsia" w:ascii="宋体" w:hAnsi="宋体" w:eastAsia="宋体" w:cs="宋体"/>
          <w:b/>
          <w:sz w:val="24"/>
          <w:szCs w:val="24"/>
        </w:rPr>
        <w:t>授权委托书</w:t>
      </w:r>
    </w:p>
    <w:p>
      <w:pPr>
        <w:spacing w:line="460" w:lineRule="exact"/>
        <w:jc w:val="center"/>
        <w:rPr>
          <w:rFonts w:hint="eastAsia" w:ascii="宋体" w:hAnsi="宋体" w:eastAsia="宋体" w:cs="宋体"/>
          <w:sz w:val="24"/>
          <w:szCs w:val="24"/>
        </w:rPr>
      </w:pPr>
    </w:p>
    <w:p>
      <w:pPr>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本授权委托声明：我</w:t>
      </w:r>
      <w:r>
        <w:rPr>
          <w:rFonts w:hint="eastAsia" w:ascii="宋体" w:hAnsi="宋体" w:eastAsia="宋体" w:cs="宋体"/>
          <w:sz w:val="24"/>
          <w:szCs w:val="24"/>
          <w:u w:val="single"/>
        </w:rPr>
        <w:t>　　　　　</w:t>
      </w:r>
      <w:r>
        <w:rPr>
          <w:rFonts w:hint="eastAsia" w:ascii="宋体" w:hAnsi="宋体" w:eastAsia="宋体" w:cs="宋体"/>
          <w:sz w:val="24"/>
          <w:szCs w:val="24"/>
        </w:rPr>
        <w:t>（姓名）系</w:t>
      </w:r>
      <w:r>
        <w:rPr>
          <w:rFonts w:hint="eastAsia" w:ascii="宋体" w:hAnsi="宋体" w:eastAsia="宋体" w:cs="宋体"/>
          <w:sz w:val="24"/>
          <w:szCs w:val="24"/>
          <w:u w:val="single"/>
        </w:rPr>
        <w:t>　　　　</w:t>
      </w:r>
      <w:r>
        <w:rPr>
          <w:rFonts w:hint="eastAsia" w:ascii="宋体" w:hAnsi="宋体" w:eastAsia="宋体" w:cs="宋体"/>
          <w:sz w:val="24"/>
          <w:szCs w:val="24"/>
        </w:rPr>
        <w:t>（供应商名称）的法定代表人，现授权委托</w:t>
      </w:r>
      <w:r>
        <w:rPr>
          <w:rFonts w:hint="eastAsia" w:ascii="宋体" w:hAnsi="宋体" w:eastAsia="宋体" w:cs="宋体"/>
          <w:sz w:val="24"/>
          <w:szCs w:val="24"/>
          <w:u w:val="single"/>
        </w:rPr>
        <w:t>　　　　　</w:t>
      </w:r>
      <w:r>
        <w:rPr>
          <w:rFonts w:hint="eastAsia" w:ascii="宋体" w:hAnsi="宋体" w:eastAsia="宋体" w:cs="宋体"/>
          <w:sz w:val="24"/>
          <w:szCs w:val="24"/>
        </w:rPr>
        <w:t>（单位名称）的</w:t>
      </w:r>
      <w:r>
        <w:rPr>
          <w:rFonts w:hint="eastAsia" w:ascii="宋体" w:hAnsi="宋体" w:eastAsia="宋体" w:cs="宋体"/>
          <w:sz w:val="24"/>
          <w:szCs w:val="24"/>
          <w:u w:val="single"/>
        </w:rPr>
        <w:t>　　　</w:t>
      </w:r>
      <w:r>
        <w:rPr>
          <w:rFonts w:hint="eastAsia" w:ascii="宋体" w:hAnsi="宋体" w:eastAsia="宋体" w:cs="宋体"/>
          <w:sz w:val="24"/>
          <w:szCs w:val="24"/>
        </w:rPr>
        <w:t>（姓名）为我公司（院）代理人，以本公司（院）的名义参加</w:t>
      </w:r>
      <w:r>
        <w:rPr>
          <w:rFonts w:hint="eastAsia" w:ascii="宋体" w:hAnsi="宋体" w:eastAsia="宋体" w:cs="宋体"/>
          <w:sz w:val="24"/>
          <w:szCs w:val="24"/>
          <w:u w:val="single"/>
        </w:rPr>
        <w:t xml:space="preserve">            </w:t>
      </w:r>
      <w:r>
        <w:rPr>
          <w:rFonts w:hint="eastAsia" w:ascii="宋体" w:hAnsi="宋体" w:eastAsia="宋体" w:cs="宋体"/>
          <w:sz w:val="24"/>
          <w:szCs w:val="24"/>
        </w:rPr>
        <w:t>项目</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包</w:t>
      </w:r>
      <w:r>
        <w:rPr>
          <w:rFonts w:hint="eastAsia" w:ascii="宋体" w:hAnsi="宋体" w:eastAsia="宋体" w:cs="宋体"/>
          <w:sz w:val="24"/>
          <w:szCs w:val="24"/>
        </w:rPr>
        <w:t>（</w:t>
      </w:r>
      <w:r>
        <w:rPr>
          <w:rFonts w:hint="eastAsia" w:ascii="宋体" w:hAnsi="宋体" w:eastAsia="宋体" w:cs="宋体"/>
          <w:sz w:val="24"/>
          <w:szCs w:val="24"/>
          <w:lang w:eastAsia="zh-CN"/>
        </w:rPr>
        <w:t>项目编号</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）的磋商活动。代理人在磋商、评审、合同谈判过程中所签署的一切文件和处理与之有关的一切事务，我均予以承认。</w:t>
      </w:r>
    </w:p>
    <w:p>
      <w:pPr>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代理人无转委托权，特此声明。</w:t>
      </w:r>
    </w:p>
    <w:p>
      <w:pPr>
        <w:spacing w:line="460" w:lineRule="exact"/>
        <w:ind w:firstLine="403" w:firstLineChars="168"/>
        <w:rPr>
          <w:rFonts w:hint="eastAsia" w:ascii="宋体" w:hAnsi="宋体" w:eastAsia="宋体" w:cs="宋体"/>
          <w:sz w:val="24"/>
          <w:szCs w:val="24"/>
        </w:rPr>
      </w:pPr>
    </w:p>
    <w:p>
      <w:pPr>
        <w:spacing w:line="460" w:lineRule="exact"/>
        <w:rPr>
          <w:rFonts w:hint="eastAsia" w:ascii="宋体" w:hAnsi="宋体" w:eastAsia="宋体" w:cs="宋体"/>
          <w:sz w:val="24"/>
          <w:szCs w:val="24"/>
        </w:rPr>
      </w:pPr>
    </w:p>
    <w:p>
      <w:pPr>
        <w:spacing w:line="360" w:lineRule="auto"/>
        <w:jc w:val="center"/>
        <w:rPr>
          <w:rFonts w:hint="eastAsia" w:ascii="宋体" w:hAnsi="宋体" w:eastAsia="宋体" w:cs="宋体"/>
          <w:szCs w:val="21"/>
        </w:rPr>
      </w:pPr>
      <w:bookmarkStart w:id="192" w:name="_Toc476045985"/>
      <w:bookmarkStart w:id="193" w:name="_Toc428525391"/>
      <w:bookmarkStart w:id="194" w:name="_Toc487805933"/>
      <w:bookmarkStart w:id="195" w:name="_Toc490161472"/>
      <w:bookmarkStart w:id="196" w:name="_Toc477423257"/>
      <w:bookmarkStart w:id="197" w:name="_Toc428454066"/>
      <w:bookmarkStart w:id="198" w:name="_Toc475955191"/>
      <w:bookmarkStart w:id="199" w:name="_Toc15453"/>
      <w:r>
        <w:rPr>
          <w:rFonts w:hint="eastAsia" w:ascii="宋体" w:hAnsi="宋体" w:eastAsia="宋体" w:cs="宋体"/>
          <w:szCs w:val="21"/>
        </w:rPr>
        <w:t>供应商名称（全称并加盖公章）：</w:t>
      </w:r>
    </w:p>
    <w:p>
      <w:pPr>
        <w:spacing w:line="360" w:lineRule="auto"/>
        <w:rPr>
          <w:rFonts w:hint="eastAsia" w:ascii="宋体" w:hAnsi="宋体" w:eastAsia="宋体" w:cs="宋体"/>
          <w:szCs w:val="21"/>
          <w:u w:val="single"/>
        </w:rPr>
      </w:pPr>
      <w:r>
        <w:rPr>
          <w:rFonts w:hint="eastAsia" w:ascii="宋体" w:hAnsi="宋体" w:eastAsia="宋体" w:cs="宋体"/>
          <w:szCs w:val="21"/>
        </w:rPr>
        <w:t xml:space="preserve">                             法定代表人（签</w:t>
      </w:r>
      <w:r>
        <w:rPr>
          <w:rFonts w:hint="eastAsia" w:ascii="宋体" w:hAnsi="宋体" w:eastAsia="宋体" w:cs="宋体"/>
          <w:szCs w:val="21"/>
          <w:lang w:eastAsia="zh-CN"/>
        </w:rPr>
        <w:t>名或盖章</w:t>
      </w:r>
      <w:r>
        <w:rPr>
          <w:rFonts w:hint="eastAsia" w:ascii="宋体" w:hAnsi="宋体" w:eastAsia="宋体" w:cs="宋体"/>
          <w:szCs w:val="21"/>
        </w:rPr>
        <w:t>）：</w:t>
      </w:r>
    </w:p>
    <w:p>
      <w:pPr>
        <w:spacing w:line="360" w:lineRule="auto"/>
        <w:rPr>
          <w:rFonts w:hint="eastAsia" w:ascii="宋体" w:hAnsi="宋体" w:eastAsia="宋体" w:cs="宋体"/>
          <w:szCs w:val="21"/>
          <w:u w:val="single"/>
        </w:rPr>
      </w:pPr>
      <w:r>
        <w:rPr>
          <w:rFonts w:hint="eastAsia" w:ascii="宋体" w:hAnsi="宋体" w:eastAsia="宋体" w:cs="宋体"/>
          <w:szCs w:val="21"/>
        </w:rPr>
        <w:t xml:space="preserve">                             委托代理人（签</w:t>
      </w:r>
      <w:r>
        <w:rPr>
          <w:rFonts w:hint="eastAsia" w:ascii="宋体" w:hAnsi="宋体" w:eastAsia="宋体" w:cs="宋体"/>
          <w:szCs w:val="21"/>
          <w:lang w:eastAsia="zh-CN"/>
        </w:rPr>
        <w:t>名或盖章</w:t>
      </w:r>
      <w:r>
        <w:rPr>
          <w:rFonts w:hint="eastAsia" w:ascii="宋体" w:hAnsi="宋体" w:eastAsia="宋体" w:cs="宋体"/>
          <w:szCs w:val="21"/>
        </w:rPr>
        <w:t>）：</w:t>
      </w:r>
    </w:p>
    <w:p>
      <w:pPr>
        <w:spacing w:line="360" w:lineRule="auto"/>
        <w:ind w:firstLine="4830" w:firstLineChars="2300"/>
        <w:rPr>
          <w:rFonts w:hint="eastAsia" w:ascii="宋体" w:hAnsi="宋体" w:eastAsia="宋体" w:cs="宋体"/>
          <w:szCs w:val="21"/>
        </w:rPr>
      </w:pPr>
      <w:r>
        <w:rPr>
          <w:rFonts w:hint="eastAsia" w:ascii="宋体" w:hAnsi="宋体" w:eastAsia="宋体" w:cs="宋体"/>
          <w:szCs w:val="21"/>
        </w:rPr>
        <w:t>日      期：</w:t>
      </w:r>
      <w:r>
        <w:rPr>
          <w:rFonts w:hint="eastAsia" w:ascii="宋体" w:hAnsi="宋体" w:eastAsia="宋体" w:cs="宋体"/>
          <w:szCs w:val="21"/>
          <w:u w:val="single"/>
        </w:rPr>
        <w:t>　　</w:t>
      </w:r>
      <w:r>
        <w:rPr>
          <w:rFonts w:hint="eastAsia" w:ascii="宋体" w:hAnsi="宋体" w:eastAsia="宋体" w:cs="宋体"/>
          <w:szCs w:val="21"/>
        </w:rPr>
        <w:t>年</w:t>
      </w:r>
      <w:r>
        <w:rPr>
          <w:rFonts w:hint="eastAsia" w:ascii="宋体" w:hAnsi="宋体" w:eastAsia="宋体" w:cs="宋体"/>
          <w:szCs w:val="21"/>
          <w:u w:val="single"/>
        </w:rPr>
        <w:t>　　</w:t>
      </w:r>
      <w:r>
        <w:rPr>
          <w:rFonts w:hint="eastAsia" w:ascii="宋体" w:hAnsi="宋体" w:eastAsia="宋体" w:cs="宋体"/>
          <w:szCs w:val="21"/>
        </w:rPr>
        <w:t>月</w:t>
      </w:r>
      <w:r>
        <w:rPr>
          <w:rFonts w:hint="eastAsia" w:ascii="宋体" w:hAnsi="宋体" w:eastAsia="宋体" w:cs="宋体"/>
          <w:szCs w:val="21"/>
          <w:u w:val="single"/>
        </w:rPr>
        <w:t>　　</w:t>
      </w:r>
      <w:r>
        <w:rPr>
          <w:rFonts w:hint="eastAsia" w:ascii="宋体" w:hAnsi="宋体" w:eastAsia="宋体" w:cs="宋体"/>
          <w:szCs w:val="21"/>
        </w:rPr>
        <w:t>日</w:t>
      </w:r>
    </w:p>
    <w:p>
      <w:pPr>
        <w:spacing w:line="360" w:lineRule="auto"/>
        <w:ind w:firstLine="562" w:firstLineChars="268"/>
        <w:rPr>
          <w:rFonts w:hint="eastAsia" w:ascii="宋体" w:hAnsi="宋体" w:eastAsia="宋体" w:cs="宋体"/>
          <w:szCs w:val="21"/>
        </w:rPr>
      </w:pPr>
    </w:p>
    <w:p>
      <w:pPr>
        <w:spacing w:line="360" w:lineRule="auto"/>
        <w:ind w:firstLine="422" w:firstLineChars="200"/>
        <w:jc w:val="left"/>
        <w:rPr>
          <w:rFonts w:hint="eastAsia" w:ascii="宋体" w:hAnsi="宋体" w:eastAsia="宋体" w:cs="宋体"/>
          <w:szCs w:val="21"/>
        </w:rPr>
      </w:pPr>
      <w:r>
        <w:rPr>
          <w:rFonts w:hint="eastAsia" w:ascii="宋体" w:hAnsi="宋体" w:eastAsia="宋体" w:cs="宋体"/>
          <w:b/>
          <w:bCs/>
          <w:szCs w:val="21"/>
        </w:rPr>
        <w:t>注： 1.附委托代理人身份证（正反两面）复印件</w:t>
      </w:r>
    </w:p>
    <w:p>
      <w:pPr>
        <w:pStyle w:val="81"/>
        <w:ind w:firstLine="964" w:firstLineChars="400"/>
        <w:rPr>
          <w:rFonts w:hint="eastAsia" w:ascii="宋体" w:hAnsi="宋体" w:eastAsia="宋体" w:cs="宋体"/>
          <w:b/>
        </w:rPr>
      </w:pPr>
      <w:r>
        <w:rPr>
          <w:rFonts w:hint="eastAsia" w:ascii="宋体" w:hAnsi="宋体" w:eastAsia="宋体" w:cs="宋体"/>
          <w:b/>
        </w:rPr>
        <w:t>2.如是法定代表人参加磋商的，可不提供此</w:t>
      </w:r>
    </w:p>
    <w:p>
      <w:pPr>
        <w:pStyle w:val="81"/>
        <w:ind w:firstLine="964" w:firstLineChars="400"/>
        <w:rPr>
          <w:rFonts w:hint="eastAsia" w:ascii="宋体" w:hAnsi="宋体" w:eastAsia="宋体" w:cs="宋体"/>
          <w:b/>
        </w:rPr>
      </w:pPr>
    </w:p>
    <w:p>
      <w:pPr>
        <w:pStyle w:val="81"/>
        <w:ind w:firstLine="964" w:firstLineChars="400"/>
        <w:rPr>
          <w:rFonts w:hint="eastAsia" w:ascii="宋体" w:hAnsi="宋体" w:eastAsia="宋体" w:cs="宋体"/>
          <w:b/>
        </w:rPr>
      </w:pPr>
    </w:p>
    <w:p>
      <w:pPr>
        <w:pStyle w:val="81"/>
        <w:ind w:firstLine="964" w:firstLineChars="400"/>
        <w:rPr>
          <w:rFonts w:hint="eastAsia" w:ascii="宋体" w:hAnsi="宋体" w:eastAsia="宋体" w:cs="宋体"/>
          <w:b/>
        </w:rPr>
      </w:pPr>
    </w:p>
    <w:p>
      <w:pPr>
        <w:pStyle w:val="81"/>
        <w:ind w:firstLine="964" w:firstLineChars="400"/>
        <w:rPr>
          <w:rFonts w:hint="eastAsia" w:ascii="宋体" w:hAnsi="宋体" w:eastAsia="宋体" w:cs="宋体"/>
          <w:b/>
        </w:rPr>
      </w:pPr>
    </w:p>
    <w:p>
      <w:pPr>
        <w:pStyle w:val="81"/>
        <w:ind w:firstLine="964" w:firstLineChars="400"/>
        <w:rPr>
          <w:rFonts w:hint="eastAsia" w:ascii="宋体" w:hAnsi="宋体" w:eastAsia="宋体" w:cs="宋体"/>
          <w:b/>
        </w:rPr>
      </w:pPr>
    </w:p>
    <w:p>
      <w:pPr>
        <w:pStyle w:val="81"/>
        <w:ind w:firstLine="964" w:firstLineChars="400"/>
        <w:rPr>
          <w:rFonts w:hint="eastAsia" w:ascii="宋体" w:hAnsi="宋体" w:eastAsia="宋体" w:cs="宋体"/>
          <w:b/>
        </w:rPr>
      </w:pPr>
    </w:p>
    <w:p>
      <w:pPr>
        <w:pStyle w:val="81"/>
        <w:ind w:firstLine="964" w:firstLineChars="400"/>
        <w:rPr>
          <w:rFonts w:hint="eastAsia" w:ascii="宋体" w:hAnsi="宋体" w:eastAsia="宋体" w:cs="宋体"/>
          <w:b/>
        </w:rPr>
      </w:pPr>
    </w:p>
    <w:p>
      <w:pPr>
        <w:pStyle w:val="81"/>
        <w:ind w:firstLine="964" w:firstLineChars="400"/>
        <w:rPr>
          <w:rFonts w:hint="eastAsia" w:ascii="宋体" w:hAnsi="宋体" w:eastAsia="宋体" w:cs="宋体"/>
          <w:b/>
        </w:rPr>
      </w:pPr>
    </w:p>
    <w:p>
      <w:pPr>
        <w:pStyle w:val="81"/>
        <w:ind w:firstLine="964" w:firstLineChars="400"/>
        <w:rPr>
          <w:rFonts w:hint="eastAsia" w:ascii="宋体" w:hAnsi="宋体" w:eastAsia="宋体" w:cs="宋体"/>
          <w:b/>
        </w:rPr>
      </w:pPr>
    </w:p>
    <w:p>
      <w:pPr>
        <w:pStyle w:val="81"/>
        <w:ind w:firstLine="964" w:firstLineChars="400"/>
        <w:rPr>
          <w:rFonts w:hint="eastAsia" w:ascii="宋体" w:hAnsi="宋体" w:eastAsia="宋体" w:cs="宋体"/>
          <w:b/>
        </w:rPr>
      </w:pPr>
    </w:p>
    <w:p>
      <w:pPr>
        <w:pStyle w:val="81"/>
        <w:ind w:firstLine="964" w:firstLineChars="400"/>
        <w:rPr>
          <w:rFonts w:hint="eastAsia" w:ascii="宋体" w:hAnsi="宋体" w:eastAsia="宋体" w:cs="宋体"/>
          <w:b/>
        </w:rPr>
      </w:pPr>
    </w:p>
    <w:p>
      <w:pPr>
        <w:pStyle w:val="81"/>
        <w:ind w:firstLine="964" w:firstLineChars="400"/>
        <w:rPr>
          <w:rFonts w:hint="eastAsia" w:ascii="宋体" w:hAnsi="宋体" w:eastAsia="宋体" w:cs="宋体"/>
          <w:b/>
        </w:rPr>
      </w:pPr>
    </w:p>
    <w:p>
      <w:pPr>
        <w:pStyle w:val="81"/>
        <w:ind w:firstLine="964" w:firstLineChars="400"/>
        <w:rPr>
          <w:rFonts w:hint="eastAsia" w:ascii="宋体" w:hAnsi="宋体" w:eastAsia="宋体" w:cs="宋体"/>
          <w:b/>
        </w:rPr>
      </w:pPr>
    </w:p>
    <w:p>
      <w:pPr>
        <w:pStyle w:val="81"/>
        <w:rPr>
          <w:rFonts w:hint="eastAsia" w:ascii="宋体" w:hAnsi="宋体" w:eastAsia="宋体" w:cs="宋体"/>
          <w:b/>
        </w:rPr>
        <w:sectPr>
          <w:headerReference r:id="rId10" w:type="first"/>
          <w:footerReference r:id="rId12" w:type="first"/>
          <w:headerReference r:id="rId9" w:type="default"/>
          <w:footerReference r:id="rId11" w:type="default"/>
          <w:type w:val="nextColumn"/>
          <w:pgSz w:w="11906" w:h="16838"/>
          <w:pgMar w:top="1440" w:right="1134" w:bottom="1440" w:left="1474" w:header="851" w:footer="992" w:gutter="0"/>
          <w:pgNumType w:fmt="decimal"/>
          <w:cols w:space="720" w:num="1"/>
          <w:titlePg/>
          <w:docGrid w:type="lines" w:linePitch="312" w:charSpace="0"/>
        </w:sectPr>
      </w:pPr>
    </w:p>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Pr>
        <w:pStyle w:val="5"/>
        <w:keepNext/>
        <w:keepLines/>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jc w:val="center"/>
        <w:textAlignment w:val="auto"/>
        <w:outlineLvl w:val="0"/>
        <w:rPr>
          <w:rFonts w:hint="eastAsia" w:ascii="宋体" w:hAnsi="宋体" w:eastAsia="宋体" w:cs="宋体"/>
          <w:sz w:val="32"/>
          <w:szCs w:val="32"/>
        </w:rPr>
      </w:pPr>
      <w:bookmarkStart w:id="200" w:name="_Toc450037734"/>
      <w:bookmarkStart w:id="201" w:name="_Toc476045994"/>
      <w:bookmarkStart w:id="202" w:name="_Toc19579"/>
      <w:bookmarkStart w:id="203" w:name="_Toc365712853"/>
      <w:bookmarkStart w:id="204" w:name="_Toc475955200"/>
      <w:bookmarkStart w:id="205" w:name="_Toc364962592"/>
      <w:bookmarkStart w:id="206" w:name="_Toc477423265"/>
      <w:bookmarkStart w:id="207" w:name="_Toc24855"/>
      <w:bookmarkStart w:id="208" w:name="_Toc490161482"/>
      <w:bookmarkStart w:id="209" w:name="_Toc18166"/>
      <w:bookmarkStart w:id="210" w:name="_Toc19463"/>
      <w:bookmarkStart w:id="211" w:name="_Toc406663323"/>
      <w:r>
        <w:rPr>
          <w:rFonts w:hint="eastAsia" w:ascii="宋体" w:hAnsi="宋体" w:eastAsia="宋体" w:cs="宋体"/>
          <w:sz w:val="32"/>
          <w:szCs w:val="32"/>
          <w:lang w:val="en-US" w:eastAsia="zh-CN"/>
        </w:rPr>
        <w:t>9.</w:t>
      </w:r>
      <w:r>
        <w:rPr>
          <w:rFonts w:hint="eastAsia" w:ascii="宋体" w:hAnsi="宋体" w:eastAsia="宋体" w:cs="宋体"/>
          <w:sz w:val="32"/>
          <w:szCs w:val="32"/>
        </w:rPr>
        <w:t>竞争性磋商文件要求的以及供应商认为应该提供的其他材料</w:t>
      </w:r>
      <w:bookmarkEnd w:id="200"/>
      <w:bookmarkEnd w:id="201"/>
      <w:bookmarkEnd w:id="202"/>
      <w:bookmarkEnd w:id="203"/>
      <w:bookmarkEnd w:id="204"/>
      <w:bookmarkEnd w:id="205"/>
      <w:bookmarkEnd w:id="206"/>
      <w:bookmarkEnd w:id="207"/>
      <w:bookmarkEnd w:id="208"/>
      <w:bookmarkEnd w:id="209"/>
      <w:bookmarkEnd w:id="210"/>
      <w:bookmarkEnd w:id="211"/>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rPr>
          <w:rFonts w:hint="eastAsia" w:ascii="宋体" w:hAnsi="宋体" w:eastAsia="宋体" w:cs="宋体"/>
          <w:b/>
          <w:bCs/>
          <w:sz w:val="32"/>
          <w:szCs w:val="32"/>
        </w:rPr>
      </w:pPr>
    </w:p>
    <w:sectPr>
      <w:type w:val="nextColumn"/>
      <w:pgSz w:w="11906" w:h="16838"/>
      <w:pgMar w:top="1440" w:right="1230" w:bottom="1440" w:left="1230" w:header="851" w:footer="760" w:gutter="0"/>
      <w:pgNumType w:fmt="decimal"/>
      <w:cols w:space="720"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幼圆">
    <w:altName w:val="宋体"/>
    <w:panose1 w:val="0201050906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monospace">
    <w:altName w:val="Segoe Print"/>
    <w:panose1 w:val="00000000000000000000"/>
    <w:charset w:val="00"/>
    <w:family w:val="auto"/>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p>
  <w:p>
    <w:pPr>
      <w:pStyle w:val="23"/>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4</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48</w:t>
    </w:r>
    <w:r>
      <w:rPr>
        <w:b/>
        <w:sz w:val="24"/>
        <w:szCs w:val="24"/>
      </w:rPr>
      <w:fldChar w:fldCharType="end"/>
    </w:r>
  </w:p>
  <w:p>
    <w:pPr>
      <w:pStyle w:val="2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3"/>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r>
                            <w:rPr>
                              <w:rFonts w:hint="eastAsia" w:eastAsia="宋体"/>
                              <w:lang w:eastAsia="zh-CN"/>
                            </w:rPr>
                            <w:t xml:space="preserve"> 页</w:t>
                          </w:r>
                        </w:p>
                      </w:txbxContent>
                    </wps:txbx>
                    <wps:bodyPr wrap="none" lIns="0" tIns="0" rIns="0" bIns="0" upright="0">
                      <a:spAutoFit/>
                    </wps:bodyPr>
                  </wps:wsp>
                </a:graphicData>
              </a:graphic>
            </wp:anchor>
          </w:drawing>
        </mc:Choice>
        <mc:Fallback>
          <w:pict>
            <v:shape id="文本框 18"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OP+1HHSAQAApAMAAA4AAABkcnMvZTJvRG9jLnhtbK1TzY7TMBC+&#10;I/EOlu80aaVCFDVdLaoWISFAWvYBXMduLPlPHrdJXwDegBMX7jxXn4Oxk3TRctnDXpwZz/ib+b6Z&#10;bG4Go8lJBFDONnS5KCkRlrtW2UNDH77dvakogchsy7SzoqFnAfRm+/rVpve1WLnO6VYEgiAW6t43&#10;tIvR10UBvBOGwcJ5YTEoXTAsohsORRtYj+hGF6uyfFv0LrQ+OC4A8HY3BumEGJ4D6KRUXOwcPxph&#10;44gahGYRKUGnPNBt7lZKweMXKUFEohuKTGM+sQja+3QW2w2rD4H5TvGpBfacFp5wMkxZLHqF2rHI&#10;yDGo/6CM4sGBk3HBnSlGIlkRZLEsn2hz3zEvMheUGvxVdHg5WP759DUQ1TZ0TYllBgd++fnj8uvP&#10;5fd3sqySPr2HGtPuPSbG4b0bcGvme8DLRHuQwaQvEiIYR3XPV3XFEAlPj6pVVZUY4hibHcQvHp/7&#10;APGDcIYko6EBx5dVZadPEMfUOSVVs+5OaZ1HqC3pEXVdvVvnF9cQomuLRRKLsdtkxWE/TNT2rj0j&#10;sx53oKEWV54S/dGixGldZiPMxn42jj6oQ5f3KbUC/vYYsZ3cZaowwk6FcXiZ57RoaTv+9XPW48+1&#10;/Q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4/7UcdIBAACkAwAADgAAAAAAAAABACAAAAAi&#10;AQAAZHJzL2Uyb0RvYy54bWxQSwUGAAAAAAYABgBZAQAAZgUAAAAA&#10;">
              <v:fill on="f" focussize="0,0"/>
              <v:stroke on="f" weight="1.25pt"/>
              <v:imagedata o:title=""/>
              <o:lock v:ext="edit" aspectratio="f"/>
              <v:textbox inset="0mm,0mm,0mm,0mm" style="mso-fit-shape-to-text:t;">
                <w:txbxContent>
                  <w:p>
                    <w:pPr>
                      <w:pStyle w:val="23"/>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r>
                      <w:rPr>
                        <w:rFonts w:hint="eastAsia" w:eastAsia="宋体"/>
                        <w:lang w:eastAsia="zh-CN"/>
                      </w:rPr>
                      <w:t xml:space="preserve"> 页</w:t>
                    </w:r>
                  </w:p>
                </w:txbxContent>
              </v:textbox>
            </v:shape>
          </w:pict>
        </mc:Fallback>
      </mc:AlternateContent>
    </w:r>
  </w:p>
  <w:p>
    <w:pPr>
      <w:pStyle w:val="23"/>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3"/>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2</w:t>
                          </w:r>
                          <w:r>
                            <w:rPr>
                              <w:rFonts w:hint="eastAsia" w:eastAsia="宋体"/>
                              <w:lang w:eastAsia="zh-CN"/>
                            </w:rPr>
                            <w:fldChar w:fldCharType="end"/>
                          </w:r>
                          <w:r>
                            <w:rPr>
                              <w:rFonts w:hint="eastAsia" w:eastAsia="宋体"/>
                              <w:lang w:eastAsia="zh-CN"/>
                            </w:rPr>
                            <w:t xml:space="preserve"> 页</w:t>
                          </w:r>
                        </w:p>
                      </w:txbxContent>
                    </wps:txbx>
                    <wps:bodyPr vert="horz" wrap="none" lIns="0" tIns="0" rIns="0" bIns="0" anchor="t" anchorCtr="0" upright="0">
                      <a:spAutoFit/>
                    </wps:bodyPr>
                  </wps:wsp>
                </a:graphicData>
              </a:graphic>
            </wp:anchor>
          </w:drawing>
        </mc:Choice>
        <mc:Fallback>
          <w:pict>
            <v:shape id="文本框 1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KkFEvnAQAAyQMAAA4AAABkcnMvZTJvRG9jLnhtbK1TwY7TMBC9&#10;I/EPlu80aaVCFDVdAdUiJARICx/gOnZjyfZYttukfAD8AScu3PmufseOnaSLlsseuCRjz8ybeW/G&#10;m5vBaHISPiiwDV0uSkqE5dAqe2jo1y+3LypKQmS2ZRqsaOhZBHqzff5s07tarKAD3QpPEMSGuncN&#10;7WJ0dVEE3gnDwgKcsOiU4A2LePSHovWsR3Sji1VZvix68K3zwEUIeLsbnXRC9E8BBCkVFzvgRyNs&#10;HFG90CwipdApF+g2dyul4PGTlEFEohuKTGP+YhG09+lbbDesPnjmOsWnFthTWnjEyTBlsegVasci&#10;I0ev/oEyinsIIOOCgylGIlkRZLEsH2lz1zEnMheUOrir6OH/wfKPp8+eqLahK0osMzjwy88fl19/&#10;Lr+/k+U66dO7UGPYncPAOLyBAbdmvg94mWgP0pv0R0IE/aju+aquGCLhKalaVVWJLo6++YD4xUO6&#10;8yG+E2BIMhrqcXxZVXb6EOIYOoekahZuldZ5hNqSHlHX1at1zri6EF1bLJJYjN0mKw77YaK2h/aM&#10;zPBFYMUO/DdKetyHhlpcf0r0e4typ9WZDT8b+9lglmNiQyMlo/k2jit2dF4durx0qd/gXh8j9pyp&#10;pDbG2lN3OOEsxrSNaYX+Pueohxe4vQ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oaYJL0wAAAAUB&#10;AAAPAAAAAAAAAAEAIAAAACIAAABkcnMvZG93bnJldi54bWxQSwECFAAUAAAACACHTuJAUqQUS+cB&#10;AADJAwAADgAAAAAAAAABACAAAAAiAQAAZHJzL2Uyb0RvYy54bWxQSwUGAAAAAAYABgBZAQAAewUA&#10;AAAA&#10;">
              <v:fill on="f" focussize="0,0"/>
              <v:stroke on="f" weight="1.25pt"/>
              <v:imagedata o:title=""/>
              <o:lock v:ext="edit" aspectratio="f"/>
              <v:textbox inset="0mm,0mm,0mm,0mm" style="mso-fit-shape-to-text:t;">
                <w:txbxContent>
                  <w:p>
                    <w:pPr>
                      <w:pStyle w:val="23"/>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2</w:t>
                    </w:r>
                    <w:r>
                      <w:rPr>
                        <w:rFonts w:hint="eastAsia" w:eastAsia="宋体"/>
                        <w:lang w:eastAsia="zh-CN"/>
                      </w:rPr>
                      <w:fldChar w:fldCharType="end"/>
                    </w:r>
                    <w:r>
                      <w:rPr>
                        <w:rFonts w:hint="eastAsia" w:eastAsia="宋体"/>
                        <w:lang w:eastAsia="zh-CN"/>
                      </w:rPr>
                      <w:t xml:space="preserve"> 页</w:t>
                    </w:r>
                  </w:p>
                </w:txbxContent>
              </v:textbox>
            </v:shape>
          </w:pict>
        </mc:Fallback>
      </mc:AlternateContent>
    </w:r>
  </w:p>
  <w:p>
    <w:pPr>
      <w:pStyle w:val="23"/>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tabs>
        <w:tab w:val="center" w:pos="4649"/>
        <w:tab w:val="clear" w:pos="4153"/>
      </w:tabs>
      <w:jc w:val="both"/>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3"/>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33</w:t>
                          </w:r>
                          <w:r>
                            <w:rPr>
                              <w:rFonts w:hint="eastAsia" w:eastAsia="宋体"/>
                              <w:lang w:eastAsia="zh-CN"/>
                            </w:rPr>
                            <w:fldChar w:fldCharType="end"/>
                          </w:r>
                          <w:r>
                            <w:rPr>
                              <w:rFonts w:hint="eastAsia" w:eastAsia="宋体"/>
                              <w:lang w:eastAsia="zh-CN"/>
                            </w:rPr>
                            <w:t xml:space="preserve"> 页</w:t>
                          </w:r>
                        </w:p>
                      </w:txbxContent>
                    </wps:txbx>
                    <wps:bodyPr vert="horz" wrap="none" lIns="0" tIns="0" rIns="0" bIns="0" anchor="t" anchorCtr="0" upright="0">
                      <a:spAutoFit/>
                    </wps:bodyPr>
                  </wps:wsp>
                </a:graphicData>
              </a:graphic>
            </wp:anchor>
          </w:drawing>
        </mc:Choice>
        <mc:Fallback>
          <w:pict>
            <v:shape id="文本框 1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K8uIT/nAQAAyQMAAA4AAABkcnMvZTJvRG9jLnhtbK1TzY7TMBC+&#10;I/EOlu80adEuUdR0BVSLkBAgLTyA69iNJf9p7DYpDwBvwIkLd56rz7FjJ+mi5bIHLsnYM/PNfN+M&#10;1zeD0eQoIChnG7pclJQIy12r7L6hX7/cvqgoCZHZlmlnRUNPItCbzfNn697XYuU6p1sBBEFsqHvf&#10;0C5GXxdF4J0wLCycFxad0oFhEY+wL1pgPaIbXazK8rroHbQeHBch4O12dNIJEZ4C6KRUXGwdPxhh&#10;44gKQrOIlEKnfKCb3K2UgsdPUgYRiW4oMo35i0XQ3qVvsVmzeg/Md4pPLbCntPCIk2HKYtEL1JZF&#10;Rg6g/oEyioMLTsYFd6YYiWRFkMWyfKTNXce8yFxQ6uAvoof/B8s/Hj8DUW1DX1JimcGBn3/+OP/6&#10;c/79nSyvkz69DzWG3XkMjMMbN+DWzPcBLxPtQYJJfyRE0I/qni7qiiESnpKqVVWV6OLomw+IXzyk&#10;ewjxnXCGJKOhgOPLqrLjhxDH0DkkVbPuVmmdR6gt6RH1qnp1lTMuLkTXFoskFmO3yYrDbpio7Vx7&#10;Qmb4IrBi5+AbJT3uQ0Mtrj8l+r1FudPqzAbMxm42mOWY2NBIyWi+jeOKHTyofZeXLvUb/OtDxJ4z&#10;ldTGWHvqDiecxZi2Ma3Q3+cc9fACN/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oaYJL0wAAAAUB&#10;AAAPAAAAAAAAAAEAIAAAACIAAABkcnMvZG93bnJldi54bWxQSwECFAAUAAAACACHTuJAry4hP+cB&#10;AADJAwAADgAAAAAAAAABACAAAAAiAQAAZHJzL2Uyb0RvYy54bWxQSwUGAAAAAAYABgBZAQAAewUA&#10;AAAA&#10;">
              <v:fill on="f" focussize="0,0"/>
              <v:stroke on="f" weight="1.25pt"/>
              <v:imagedata o:title=""/>
              <o:lock v:ext="edit" aspectratio="f"/>
              <v:textbox inset="0mm,0mm,0mm,0mm" style="mso-fit-shape-to-text:t;">
                <w:txbxContent>
                  <w:p>
                    <w:pPr>
                      <w:pStyle w:val="23"/>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33</w:t>
                    </w:r>
                    <w:r>
                      <w:rPr>
                        <w:rFonts w:hint="eastAsia" w:eastAsia="宋体"/>
                        <w:lang w:eastAsia="zh-CN"/>
                      </w:rPr>
                      <w:fldChar w:fldCharType="end"/>
                    </w:r>
                    <w:r>
                      <w:rPr>
                        <w:rFonts w:hint="eastAsia" w:eastAsia="宋体"/>
                        <w:lang w:eastAsia="zh-CN"/>
                      </w:rPr>
                      <w:t xml:space="preserve"> 页</w:t>
                    </w:r>
                  </w:p>
                </w:txbxContent>
              </v:textbox>
            </v:shape>
          </w:pict>
        </mc:Fallback>
      </mc:AlternateContent>
    </w:r>
    <w:r>
      <w:rPr>
        <w:rFonts w:hint="eastAsia"/>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3"/>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32</w:t>
                          </w:r>
                          <w:r>
                            <w:rPr>
                              <w:rFonts w:hint="eastAsia" w:eastAsia="宋体"/>
                              <w:lang w:eastAsia="zh-CN"/>
                            </w:rPr>
                            <w:fldChar w:fldCharType="end"/>
                          </w:r>
                          <w:r>
                            <w:rPr>
                              <w:rFonts w:hint="eastAsia" w:eastAsia="宋体"/>
                              <w:lang w:eastAsia="zh-CN"/>
                            </w:rPr>
                            <w:t xml:space="preserve"> 页</w:t>
                          </w:r>
                        </w:p>
                      </w:txbxContent>
                    </wps:txbx>
                    <wps:bodyPr vert="horz" wrap="none" lIns="0" tIns="0" rIns="0" bIns="0" anchor="t" anchorCtr="0" upright="0">
                      <a:spAutoFit/>
                    </wps:bodyPr>
                  </wps:wsp>
                </a:graphicData>
              </a:graphic>
            </wp:anchor>
          </w:drawing>
        </mc:Choice>
        <mc:Fallback>
          <w:pict>
            <v:shape id="文本框 17"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KCbFB3nAQAAyQMAAA4AAABkcnMvZTJvRG9jLnhtbK1TzY7TMBC+&#10;I/EOlu80acWyUVR3BVSLkBAgLTyA6ziNJf9p7DYpDwBvwIkLd56rz7FjJ+mi5bIHLsnYM/PNfN+M&#10;1zeD0eQoIShnGV0uSkqkFa5Rds/o1y+3LypKQuS24dpZyehJBnqzef5s3ftarlzndCOBIIgNde8Z&#10;7WL0dVEE0UnDw8J5adHZOjA84hH2RQO8R3Sji1VZvip6B40HJ2QIeLsdnXRChKcAurZVQm6dOBhp&#10;44gKUvOIlEKnfKCb3G3bShE/tW2QkWhGkWnMXyyC9i59i82a13vgvlNiaoE/pYVHnAxXFoteoLY8&#10;cnIA9Q+UUQJccG1cCGeKkUhWBFksy0fa3HXcy8wFpQ7+Inr4f7Di4/EzENUw+pISyw0O/Pzzx/nX&#10;n/Pv72R5nfTpfagx7M5jYBzeuAG3Zr4PeJloDy2Y9EdCBP2o7umirhwiESmpWlVViS6BvvmA+MVD&#10;uocQ30lnSDIYBRxfVpUfP4Q4hs4hqZp1t0rrPEJtSY+oV9X1Vc64uBBdWyySWIzdJisOu2GitnPN&#10;CZnhi8CKnYNvlPS4D4xaXH9K9HuLcqfVmQ2Yjd1scCswkdFIyWi+jeOKHTyofZeXLvUb/OtDxJ4z&#10;ldTGWHvqDiecxZi2Ma3Q3+cc9fACN/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oaYJL0wAAAAUB&#10;AAAPAAAAAAAAAAEAIAAAACIAAABkcnMvZG93bnJldi54bWxQSwECFAAUAAAACACHTuJAoJsUHecB&#10;AADJAwAADgAAAAAAAAABACAAAAAiAQAAZHJzL2Uyb0RvYy54bWxQSwUGAAAAAAYABgBZAQAAewUA&#10;AAAA&#10;">
              <v:fill on="f" focussize="0,0"/>
              <v:stroke on="f" weight="1.25pt"/>
              <v:imagedata o:title=""/>
              <o:lock v:ext="edit" aspectratio="f"/>
              <v:textbox inset="0mm,0mm,0mm,0mm" style="mso-fit-shape-to-text:t;">
                <w:txbxContent>
                  <w:p>
                    <w:pPr>
                      <w:pStyle w:val="23"/>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32</w:t>
                    </w:r>
                    <w:r>
                      <w:rPr>
                        <w:rFonts w:hint="eastAsia" w:eastAsia="宋体"/>
                        <w:lang w:eastAsia="zh-CN"/>
                      </w:rPr>
                      <w:fldChar w:fldCharType="end"/>
                    </w:r>
                    <w:r>
                      <w:rPr>
                        <w:rFonts w:hint="eastAsia" w:eastAsia="宋体"/>
                        <w:lang w:eastAsia="zh-CN"/>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0BFA1B"/>
    <w:multiLevelType w:val="singleLevel"/>
    <w:tmpl w:val="980BFA1B"/>
    <w:lvl w:ilvl="0" w:tentative="0">
      <w:start w:val="1"/>
      <w:numFmt w:val="chineseCounting"/>
      <w:suff w:val="nothing"/>
      <w:lvlText w:val="（%1）"/>
      <w:lvlJc w:val="left"/>
      <w:rPr>
        <w:rFonts w:hint="eastAsia"/>
      </w:rPr>
    </w:lvl>
  </w:abstractNum>
  <w:abstractNum w:abstractNumId="1">
    <w:nsid w:val="CE1DCFD5"/>
    <w:multiLevelType w:val="singleLevel"/>
    <w:tmpl w:val="CE1DCFD5"/>
    <w:lvl w:ilvl="0" w:tentative="0">
      <w:start w:val="5"/>
      <w:numFmt w:val="decimal"/>
      <w:lvlText w:val="%1."/>
      <w:lvlJc w:val="left"/>
      <w:pPr>
        <w:tabs>
          <w:tab w:val="left" w:pos="312"/>
        </w:tabs>
      </w:pPr>
    </w:lvl>
  </w:abstractNum>
  <w:abstractNum w:abstractNumId="2">
    <w:nsid w:val="E1347700"/>
    <w:multiLevelType w:val="singleLevel"/>
    <w:tmpl w:val="E1347700"/>
    <w:lvl w:ilvl="0" w:tentative="0">
      <w:start w:val="5"/>
      <w:numFmt w:val="decimal"/>
      <w:suff w:val="nothing"/>
      <w:lvlText w:val="%1、"/>
      <w:lvlJc w:val="left"/>
    </w:lvl>
  </w:abstractNum>
  <w:abstractNum w:abstractNumId="3">
    <w:nsid w:val="00000001"/>
    <w:multiLevelType w:val="singleLevel"/>
    <w:tmpl w:val="00000001"/>
    <w:lvl w:ilvl="0" w:tentative="0">
      <w:start w:val="1"/>
      <w:numFmt w:val="chineseCounting"/>
      <w:suff w:val="nothing"/>
      <w:lvlText w:val="%1、"/>
      <w:lvlJc w:val="left"/>
      <w:pPr>
        <w:ind w:left="0" w:firstLine="420"/>
      </w:pPr>
      <w:rPr>
        <w:rFonts w:hint="eastAsia"/>
      </w:rPr>
    </w:lvl>
  </w:abstractNum>
  <w:abstractNum w:abstractNumId="4">
    <w:nsid w:val="00000003"/>
    <w:multiLevelType w:val="singleLevel"/>
    <w:tmpl w:val="00000003"/>
    <w:lvl w:ilvl="0" w:tentative="0">
      <w:start w:val="1"/>
      <w:numFmt w:val="chineseCounting"/>
      <w:suff w:val="nothing"/>
      <w:lvlText w:val="（%1）"/>
      <w:lvlJc w:val="left"/>
      <w:pPr>
        <w:ind w:left="0" w:firstLine="420"/>
      </w:pPr>
      <w:rPr>
        <w:rFonts w:hint="eastAsia"/>
      </w:rPr>
    </w:lvl>
  </w:abstractNum>
  <w:abstractNum w:abstractNumId="5">
    <w:nsid w:val="00000004"/>
    <w:multiLevelType w:val="singleLevel"/>
    <w:tmpl w:val="00000004"/>
    <w:lvl w:ilvl="0" w:tentative="0">
      <w:start w:val="1"/>
      <w:numFmt w:val="chineseCounting"/>
      <w:suff w:val="nothing"/>
      <w:lvlText w:val="（%1）"/>
      <w:lvlJc w:val="left"/>
      <w:pPr>
        <w:ind w:left="0" w:firstLine="420"/>
      </w:pPr>
      <w:rPr>
        <w:rFonts w:hint="eastAsia"/>
      </w:rPr>
    </w:lvl>
  </w:abstractNum>
  <w:abstractNum w:abstractNumId="6">
    <w:nsid w:val="00000006"/>
    <w:multiLevelType w:val="multilevel"/>
    <w:tmpl w:val="00000006"/>
    <w:lvl w:ilvl="0" w:tentative="0">
      <w:start w:val="1"/>
      <w:numFmt w:val="decimal"/>
      <w:lvlText w:val="%1."/>
      <w:lvlJc w:val="left"/>
      <w:pPr>
        <w:ind w:left="284" w:hanging="284"/>
      </w:pPr>
      <w:rPr>
        <w:rFonts w:hint="eastAsia" w:ascii="宋体" w:hAnsi="宋体" w:eastAsia="宋体"/>
        <w:b/>
      </w:rPr>
    </w:lvl>
    <w:lvl w:ilvl="1" w:tentative="0">
      <w:start w:val="1"/>
      <w:numFmt w:val="decimal"/>
      <w:lvlText w:val="%1.%2."/>
      <w:lvlJc w:val="left"/>
      <w:pPr>
        <w:ind w:left="567" w:hanging="283"/>
      </w:pPr>
      <w:rPr>
        <w:rFonts w:hint="eastAsia" w:ascii="宋体" w:hAnsi="宋体" w:eastAsia="宋体"/>
        <w:b w:val="0"/>
        <w:color w:val="auto"/>
      </w:rPr>
    </w:lvl>
    <w:lvl w:ilvl="2" w:tentative="0">
      <w:start w:val="1"/>
      <w:numFmt w:val="decimal"/>
      <w:lvlText w:val="%1.%2.%3"/>
      <w:lvlJc w:val="left"/>
      <w:pPr>
        <w:ind w:left="1560" w:hanging="567"/>
      </w:pPr>
      <w:rPr>
        <w:rFonts w:hint="eastAsia" w:ascii="宋体" w:hAnsi="宋体" w:eastAsia="宋体"/>
      </w:rPr>
    </w:lvl>
    <w:lvl w:ilvl="3" w:tentative="0">
      <w:start w:val="1"/>
      <w:numFmt w:val="decimal"/>
      <w:lvlText w:val="%1.%2.%3.%4"/>
      <w:lvlJc w:val="left"/>
      <w:pPr>
        <w:ind w:left="1418" w:hanging="567"/>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7">
    <w:nsid w:val="00000007"/>
    <w:multiLevelType w:val="multilevel"/>
    <w:tmpl w:val="00000007"/>
    <w:lvl w:ilvl="0" w:tentative="0">
      <w:start w:val="1"/>
      <w:numFmt w:val="decimal"/>
      <w:lvlText w:val="3.%1"/>
      <w:lvlJc w:val="left"/>
      <w:pPr>
        <w:tabs>
          <w:tab w:val="left" w:pos="839"/>
        </w:tabs>
        <w:ind w:left="839" w:hanging="414"/>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00000009"/>
    <w:multiLevelType w:val="multilevel"/>
    <w:tmpl w:val="00000009"/>
    <w:lvl w:ilvl="0" w:tentative="0">
      <w:start w:val="1"/>
      <w:numFmt w:val="chineseCounting"/>
      <w:suff w:val="nothing"/>
      <w:lvlText w:val="（%1）"/>
      <w:lvlJc w:val="left"/>
      <w:pPr>
        <w:ind w:left="0" w:firstLine="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0000000D"/>
    <w:multiLevelType w:val="multilevel"/>
    <w:tmpl w:val="0000000D"/>
    <w:lvl w:ilvl="0" w:tentative="0">
      <w:start w:val="1"/>
      <w:numFmt w:val="decimal"/>
      <w:suff w:val="space"/>
      <w:lvlText w:val="2.%1"/>
      <w:lvlJc w:val="left"/>
      <w:pPr>
        <w:tabs>
          <w:tab w:val="left" w:pos="839"/>
        </w:tabs>
        <w:ind w:left="839" w:hanging="414"/>
      </w:pPr>
      <w:rPr>
        <w:rFonts w:hint="default"/>
      </w:rPr>
    </w:lvl>
    <w:lvl w:ilvl="1" w:tentative="0">
      <w:start w:val="1"/>
      <w:numFmt w:val="lowerLetter"/>
      <w:lvlText w:val="%2)"/>
      <w:lvlJc w:val="left"/>
      <w:pPr>
        <w:ind w:left="528" w:hanging="420"/>
      </w:pPr>
    </w:lvl>
    <w:lvl w:ilvl="2" w:tentative="0">
      <w:start w:val="1"/>
      <w:numFmt w:val="lowerRoman"/>
      <w:lvlText w:val="%3."/>
      <w:lvlJc w:val="right"/>
      <w:pPr>
        <w:ind w:left="948" w:hanging="420"/>
      </w:pPr>
    </w:lvl>
    <w:lvl w:ilvl="3" w:tentative="0">
      <w:start w:val="1"/>
      <w:numFmt w:val="decimal"/>
      <w:lvlText w:val="%4."/>
      <w:lvlJc w:val="left"/>
      <w:pPr>
        <w:ind w:left="1368" w:hanging="420"/>
      </w:pPr>
    </w:lvl>
    <w:lvl w:ilvl="4" w:tentative="0">
      <w:start w:val="1"/>
      <w:numFmt w:val="lowerLetter"/>
      <w:lvlText w:val="%5)"/>
      <w:lvlJc w:val="left"/>
      <w:pPr>
        <w:ind w:left="1788" w:hanging="420"/>
      </w:pPr>
    </w:lvl>
    <w:lvl w:ilvl="5" w:tentative="0">
      <w:start w:val="1"/>
      <w:numFmt w:val="lowerRoman"/>
      <w:lvlText w:val="%6."/>
      <w:lvlJc w:val="right"/>
      <w:pPr>
        <w:ind w:left="2208" w:hanging="420"/>
      </w:pPr>
    </w:lvl>
    <w:lvl w:ilvl="6" w:tentative="0">
      <w:start w:val="1"/>
      <w:numFmt w:val="decimal"/>
      <w:lvlText w:val="%7."/>
      <w:lvlJc w:val="left"/>
      <w:pPr>
        <w:ind w:left="2628" w:hanging="420"/>
      </w:pPr>
    </w:lvl>
    <w:lvl w:ilvl="7" w:tentative="0">
      <w:start w:val="1"/>
      <w:numFmt w:val="lowerLetter"/>
      <w:lvlText w:val="%8)"/>
      <w:lvlJc w:val="left"/>
      <w:pPr>
        <w:ind w:left="3048" w:hanging="420"/>
      </w:pPr>
    </w:lvl>
    <w:lvl w:ilvl="8" w:tentative="0">
      <w:start w:val="1"/>
      <w:numFmt w:val="lowerRoman"/>
      <w:lvlText w:val="%9."/>
      <w:lvlJc w:val="right"/>
      <w:pPr>
        <w:ind w:left="3468" w:hanging="420"/>
      </w:pPr>
    </w:lvl>
  </w:abstractNum>
  <w:abstractNum w:abstractNumId="10">
    <w:nsid w:val="0000000F"/>
    <w:multiLevelType w:val="multilevel"/>
    <w:tmpl w:val="0000000F"/>
    <w:lvl w:ilvl="0" w:tentative="0">
      <w:start w:val="1"/>
      <w:numFmt w:val="chineseCounting"/>
      <w:suff w:val="nothing"/>
      <w:lvlText w:val="第%1章 "/>
      <w:lvlJc w:val="left"/>
      <w:pPr>
        <w:ind w:left="0" w:firstLine="402"/>
      </w:pPr>
      <w:rPr>
        <w:rFonts w:hint="eastAsia"/>
        <w:b/>
        <w:bCs/>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11">
    <w:nsid w:val="00000013"/>
    <w:multiLevelType w:val="multilevel"/>
    <w:tmpl w:val="00000013"/>
    <w:lvl w:ilvl="0" w:tentative="0">
      <w:start w:val="1"/>
      <w:numFmt w:val="decimal"/>
      <w:lvlText w:val="（%1）"/>
      <w:lvlJc w:val="left"/>
      <w:pPr>
        <w:tabs>
          <w:tab w:val="left" w:pos="1080"/>
        </w:tabs>
        <w:ind w:left="1080" w:hanging="720"/>
      </w:pPr>
      <w:rPr>
        <w:rFonts w:hint="eastAsia"/>
      </w:rPr>
    </w:lvl>
    <w:lvl w:ilvl="1" w:tentative="0">
      <w:start w:val="1"/>
      <w:numFmt w:val="decimal"/>
      <w:lvlText w:val="第%2章"/>
      <w:lvlJc w:val="left"/>
      <w:pPr>
        <w:tabs>
          <w:tab w:val="left" w:pos="1140"/>
        </w:tabs>
        <w:ind w:left="1140" w:hanging="720"/>
      </w:pPr>
      <w:rPr>
        <w:rFonts w:hint="default" w:ascii="宋体" w:hAnsi="宋体" w:cs="Times New Roman"/>
        <w:b w:val="0"/>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0000001A"/>
    <w:multiLevelType w:val="multilevel"/>
    <w:tmpl w:val="0000001A"/>
    <w:lvl w:ilvl="0" w:tentative="0">
      <w:start w:val="1"/>
      <w:numFmt w:val="chineseCounting"/>
      <w:suff w:val="nothing"/>
      <w:lvlText w:val="（%1）"/>
      <w:lvlJc w:val="left"/>
      <w:pPr>
        <w:ind w:left="0" w:firstLine="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3">
    <w:nsid w:val="0000001B"/>
    <w:multiLevelType w:val="singleLevel"/>
    <w:tmpl w:val="0000001B"/>
    <w:lvl w:ilvl="0" w:tentative="0">
      <w:start w:val="1"/>
      <w:numFmt w:val="decimal"/>
      <w:suff w:val="nothing"/>
      <w:lvlText w:val="%1."/>
      <w:lvlJc w:val="left"/>
    </w:lvl>
  </w:abstractNum>
  <w:abstractNum w:abstractNumId="14">
    <w:nsid w:val="00000036"/>
    <w:multiLevelType w:val="singleLevel"/>
    <w:tmpl w:val="00000036"/>
    <w:lvl w:ilvl="0" w:tentative="0">
      <w:start w:val="1"/>
      <w:numFmt w:val="decimal"/>
      <w:suff w:val="nothing"/>
      <w:lvlText w:val="%1."/>
      <w:lvlJc w:val="left"/>
    </w:lvl>
  </w:abstractNum>
  <w:abstractNum w:abstractNumId="15">
    <w:nsid w:val="0000003E"/>
    <w:multiLevelType w:val="multilevel"/>
    <w:tmpl w:val="0000003E"/>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6">
    <w:nsid w:val="1C7D1700"/>
    <w:multiLevelType w:val="singleLevel"/>
    <w:tmpl w:val="1C7D1700"/>
    <w:lvl w:ilvl="0" w:tentative="0">
      <w:start w:val="1"/>
      <w:numFmt w:val="chineseCounting"/>
      <w:suff w:val="nothing"/>
      <w:lvlText w:val="%1、"/>
      <w:lvlJc w:val="left"/>
      <w:pPr>
        <w:ind w:left="0" w:firstLine="420"/>
      </w:pPr>
      <w:rPr>
        <w:rFonts w:hint="eastAsia"/>
      </w:rPr>
    </w:lvl>
  </w:abstractNum>
  <w:abstractNum w:abstractNumId="17">
    <w:nsid w:val="73BD885E"/>
    <w:multiLevelType w:val="singleLevel"/>
    <w:tmpl w:val="73BD885E"/>
    <w:lvl w:ilvl="0" w:tentative="0">
      <w:start w:val="1"/>
      <w:numFmt w:val="decimal"/>
      <w:suff w:val="nothing"/>
      <w:lvlText w:val="%1．"/>
      <w:lvlJc w:val="left"/>
      <w:pPr>
        <w:ind w:left="0" w:firstLine="400"/>
      </w:pPr>
      <w:rPr>
        <w:rFonts w:hint="default"/>
      </w:rPr>
    </w:lvl>
  </w:abstractNum>
  <w:num w:numId="1">
    <w:abstractNumId w:val="10"/>
  </w:num>
  <w:num w:numId="2">
    <w:abstractNumId w:val="16"/>
  </w:num>
  <w:num w:numId="3">
    <w:abstractNumId w:val="2"/>
  </w:num>
  <w:num w:numId="4">
    <w:abstractNumId w:val="17"/>
  </w:num>
  <w:num w:numId="5">
    <w:abstractNumId w:val="15"/>
  </w:num>
  <w:num w:numId="6">
    <w:abstractNumId w:val="0"/>
  </w:num>
  <w:num w:numId="7">
    <w:abstractNumId w:val="14"/>
  </w:num>
  <w:num w:numId="8">
    <w:abstractNumId w:val="6"/>
  </w:num>
  <w:num w:numId="9">
    <w:abstractNumId w:val="9"/>
  </w:num>
  <w:num w:numId="10">
    <w:abstractNumId w:val="7"/>
  </w:num>
  <w:num w:numId="11">
    <w:abstractNumId w:val="12"/>
  </w:num>
  <w:num w:numId="12">
    <w:abstractNumId w:val="8"/>
  </w:num>
  <w:num w:numId="13">
    <w:abstractNumId w:val="11"/>
  </w:num>
  <w:num w:numId="14">
    <w:abstractNumId w:val="5"/>
  </w:num>
  <w:num w:numId="15">
    <w:abstractNumId w:val="3"/>
  </w:num>
  <w:num w:numId="16">
    <w:abstractNumId w:val="4"/>
  </w:num>
  <w:num w:numId="17">
    <w:abstractNumId w:val="1"/>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210"/>
  <w:drawingGridVerticalSpacing w:val="192"/>
  <w:displayHorizontalDrawingGridEvery w:val="1"/>
  <w:displayVerticalDrawingGridEvery w:val="2"/>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xMzc1NTVlMTNlYWU3MzUyNDQwYjM3NWYwNDE0MDIifQ=="/>
  </w:docVars>
  <w:rsids>
    <w:rsidRoot w:val="00172A27"/>
    <w:rsid w:val="01125696"/>
    <w:rsid w:val="017460A8"/>
    <w:rsid w:val="01BD7A4F"/>
    <w:rsid w:val="01F62F61"/>
    <w:rsid w:val="0200793B"/>
    <w:rsid w:val="022D22A4"/>
    <w:rsid w:val="02B32C00"/>
    <w:rsid w:val="030F6088"/>
    <w:rsid w:val="03771E7F"/>
    <w:rsid w:val="03EF1DEA"/>
    <w:rsid w:val="04323463"/>
    <w:rsid w:val="044E2BE0"/>
    <w:rsid w:val="04562E58"/>
    <w:rsid w:val="04644C52"/>
    <w:rsid w:val="046E2D62"/>
    <w:rsid w:val="04D701B4"/>
    <w:rsid w:val="04E57AC0"/>
    <w:rsid w:val="04EC22B8"/>
    <w:rsid w:val="05130FB5"/>
    <w:rsid w:val="053C0C8A"/>
    <w:rsid w:val="05846B46"/>
    <w:rsid w:val="05932DEC"/>
    <w:rsid w:val="05B93485"/>
    <w:rsid w:val="05D821BC"/>
    <w:rsid w:val="064365F2"/>
    <w:rsid w:val="06B10C1B"/>
    <w:rsid w:val="075D0CA2"/>
    <w:rsid w:val="078F41C3"/>
    <w:rsid w:val="07AF7E3A"/>
    <w:rsid w:val="07FC3AF7"/>
    <w:rsid w:val="087E3197"/>
    <w:rsid w:val="08C94A81"/>
    <w:rsid w:val="08E753B1"/>
    <w:rsid w:val="09032B5D"/>
    <w:rsid w:val="090D46C9"/>
    <w:rsid w:val="091C32AD"/>
    <w:rsid w:val="097F55EA"/>
    <w:rsid w:val="09831C8A"/>
    <w:rsid w:val="09BB7A3D"/>
    <w:rsid w:val="09D41DD9"/>
    <w:rsid w:val="0A23066B"/>
    <w:rsid w:val="0A7D7D7B"/>
    <w:rsid w:val="0ABA2D7D"/>
    <w:rsid w:val="0AF52007"/>
    <w:rsid w:val="0AFD0EBC"/>
    <w:rsid w:val="0C195E4B"/>
    <w:rsid w:val="0C2506CA"/>
    <w:rsid w:val="0C6A432F"/>
    <w:rsid w:val="0CBD68EC"/>
    <w:rsid w:val="0D32353D"/>
    <w:rsid w:val="0D7D4536"/>
    <w:rsid w:val="0E0620AA"/>
    <w:rsid w:val="0E5C239D"/>
    <w:rsid w:val="0E63197E"/>
    <w:rsid w:val="0E9F5CF7"/>
    <w:rsid w:val="0FF07241"/>
    <w:rsid w:val="103939A5"/>
    <w:rsid w:val="10437371"/>
    <w:rsid w:val="10F845FF"/>
    <w:rsid w:val="113263C3"/>
    <w:rsid w:val="115F08E1"/>
    <w:rsid w:val="117417AC"/>
    <w:rsid w:val="117B4B6D"/>
    <w:rsid w:val="12E36BE9"/>
    <w:rsid w:val="132C05F4"/>
    <w:rsid w:val="134F052D"/>
    <w:rsid w:val="135B70C7"/>
    <w:rsid w:val="13710699"/>
    <w:rsid w:val="13D44784"/>
    <w:rsid w:val="143C2A55"/>
    <w:rsid w:val="147E15D3"/>
    <w:rsid w:val="14902DA1"/>
    <w:rsid w:val="14AB1989"/>
    <w:rsid w:val="14E8498B"/>
    <w:rsid w:val="15030FCE"/>
    <w:rsid w:val="15086DDB"/>
    <w:rsid w:val="151B6B0E"/>
    <w:rsid w:val="15826DAB"/>
    <w:rsid w:val="158703BA"/>
    <w:rsid w:val="15E24D95"/>
    <w:rsid w:val="15F2599B"/>
    <w:rsid w:val="16486627"/>
    <w:rsid w:val="16BA216A"/>
    <w:rsid w:val="16C72E02"/>
    <w:rsid w:val="16E35EAA"/>
    <w:rsid w:val="16E66CA8"/>
    <w:rsid w:val="170B4961"/>
    <w:rsid w:val="179901BE"/>
    <w:rsid w:val="17A93666"/>
    <w:rsid w:val="180C700E"/>
    <w:rsid w:val="18177ED1"/>
    <w:rsid w:val="18C354F3"/>
    <w:rsid w:val="192561AE"/>
    <w:rsid w:val="19355CC5"/>
    <w:rsid w:val="19362169"/>
    <w:rsid w:val="19397563"/>
    <w:rsid w:val="193D01D8"/>
    <w:rsid w:val="19587403"/>
    <w:rsid w:val="195F55F7"/>
    <w:rsid w:val="19693D33"/>
    <w:rsid w:val="199B0BC1"/>
    <w:rsid w:val="19C93D85"/>
    <w:rsid w:val="1A2279A0"/>
    <w:rsid w:val="1A393BF0"/>
    <w:rsid w:val="1A66082C"/>
    <w:rsid w:val="1AE569D6"/>
    <w:rsid w:val="1B0C692E"/>
    <w:rsid w:val="1B66485B"/>
    <w:rsid w:val="1B927E51"/>
    <w:rsid w:val="1BBE6686"/>
    <w:rsid w:val="1BF276EB"/>
    <w:rsid w:val="1C24274C"/>
    <w:rsid w:val="1C395ACC"/>
    <w:rsid w:val="1C5260F7"/>
    <w:rsid w:val="1C654B13"/>
    <w:rsid w:val="1D210BFD"/>
    <w:rsid w:val="1D4B5AB7"/>
    <w:rsid w:val="1D9A07EC"/>
    <w:rsid w:val="1D9F7AD3"/>
    <w:rsid w:val="1DB655BE"/>
    <w:rsid w:val="1DED3012"/>
    <w:rsid w:val="1E206E52"/>
    <w:rsid w:val="1E8E4B6A"/>
    <w:rsid w:val="1EDD2E3F"/>
    <w:rsid w:val="1F0D396C"/>
    <w:rsid w:val="1F1F062E"/>
    <w:rsid w:val="1F312BF1"/>
    <w:rsid w:val="1F925C1F"/>
    <w:rsid w:val="1FEA5EA1"/>
    <w:rsid w:val="200C0AF3"/>
    <w:rsid w:val="201B393C"/>
    <w:rsid w:val="20602C7A"/>
    <w:rsid w:val="20C148C6"/>
    <w:rsid w:val="20D6509C"/>
    <w:rsid w:val="20E26732"/>
    <w:rsid w:val="215C2350"/>
    <w:rsid w:val="21F4496F"/>
    <w:rsid w:val="222D7E81"/>
    <w:rsid w:val="22433DD5"/>
    <w:rsid w:val="22491174"/>
    <w:rsid w:val="22821F7B"/>
    <w:rsid w:val="22A40E2A"/>
    <w:rsid w:val="22E55B06"/>
    <w:rsid w:val="22F52960"/>
    <w:rsid w:val="23616034"/>
    <w:rsid w:val="23647A1C"/>
    <w:rsid w:val="23706277"/>
    <w:rsid w:val="24005385"/>
    <w:rsid w:val="2438647E"/>
    <w:rsid w:val="24855D52"/>
    <w:rsid w:val="248F6BD1"/>
    <w:rsid w:val="24B108F5"/>
    <w:rsid w:val="24E24F53"/>
    <w:rsid w:val="24E94533"/>
    <w:rsid w:val="250F386E"/>
    <w:rsid w:val="25356324"/>
    <w:rsid w:val="25AE3087"/>
    <w:rsid w:val="25B85CB3"/>
    <w:rsid w:val="26011794"/>
    <w:rsid w:val="26094761"/>
    <w:rsid w:val="26A92FFB"/>
    <w:rsid w:val="26AF07A1"/>
    <w:rsid w:val="26C02369"/>
    <w:rsid w:val="26DD1E76"/>
    <w:rsid w:val="26E31456"/>
    <w:rsid w:val="27283ECE"/>
    <w:rsid w:val="27286E69"/>
    <w:rsid w:val="2733425E"/>
    <w:rsid w:val="280E153D"/>
    <w:rsid w:val="285F68BA"/>
    <w:rsid w:val="28831C5A"/>
    <w:rsid w:val="28AB7D51"/>
    <w:rsid w:val="28B01ACD"/>
    <w:rsid w:val="28FE4325"/>
    <w:rsid w:val="291E02EB"/>
    <w:rsid w:val="29C56BF1"/>
    <w:rsid w:val="2A2D4EC2"/>
    <w:rsid w:val="2A3A138D"/>
    <w:rsid w:val="2A5167F2"/>
    <w:rsid w:val="2A573CED"/>
    <w:rsid w:val="2A9E7B6E"/>
    <w:rsid w:val="2AC84BEB"/>
    <w:rsid w:val="2B260516"/>
    <w:rsid w:val="2BF11F1F"/>
    <w:rsid w:val="2C003885"/>
    <w:rsid w:val="2C2E3173"/>
    <w:rsid w:val="2C6E114C"/>
    <w:rsid w:val="2C867239"/>
    <w:rsid w:val="2D524754"/>
    <w:rsid w:val="2D573CA4"/>
    <w:rsid w:val="2D9E61E0"/>
    <w:rsid w:val="2DE53D06"/>
    <w:rsid w:val="2E0C4DEE"/>
    <w:rsid w:val="2E6049C3"/>
    <w:rsid w:val="2E712405"/>
    <w:rsid w:val="2EA709DE"/>
    <w:rsid w:val="2EF02654"/>
    <w:rsid w:val="2EF7784D"/>
    <w:rsid w:val="2F4440CA"/>
    <w:rsid w:val="2F49150D"/>
    <w:rsid w:val="3043740F"/>
    <w:rsid w:val="30660E93"/>
    <w:rsid w:val="307F0457"/>
    <w:rsid w:val="30EB38AE"/>
    <w:rsid w:val="3200110E"/>
    <w:rsid w:val="328518BA"/>
    <w:rsid w:val="32D700C1"/>
    <w:rsid w:val="331570B9"/>
    <w:rsid w:val="332B6F4B"/>
    <w:rsid w:val="334D105C"/>
    <w:rsid w:val="334E24EC"/>
    <w:rsid w:val="337845AE"/>
    <w:rsid w:val="33A36954"/>
    <w:rsid w:val="33B71CA0"/>
    <w:rsid w:val="33C148CD"/>
    <w:rsid w:val="33F85841"/>
    <w:rsid w:val="340257AD"/>
    <w:rsid w:val="34034EE6"/>
    <w:rsid w:val="3417273F"/>
    <w:rsid w:val="342033A2"/>
    <w:rsid w:val="343B467F"/>
    <w:rsid w:val="347600C7"/>
    <w:rsid w:val="35216B3A"/>
    <w:rsid w:val="357240D1"/>
    <w:rsid w:val="365A2ACD"/>
    <w:rsid w:val="36CA1CEB"/>
    <w:rsid w:val="36F34D9D"/>
    <w:rsid w:val="37215DAE"/>
    <w:rsid w:val="37621F23"/>
    <w:rsid w:val="377834F5"/>
    <w:rsid w:val="379B4086"/>
    <w:rsid w:val="384E0062"/>
    <w:rsid w:val="386677F1"/>
    <w:rsid w:val="39404C40"/>
    <w:rsid w:val="395922F3"/>
    <w:rsid w:val="3962445C"/>
    <w:rsid w:val="39893797"/>
    <w:rsid w:val="39A1607B"/>
    <w:rsid w:val="3AB331C1"/>
    <w:rsid w:val="3AD94169"/>
    <w:rsid w:val="3ADF038D"/>
    <w:rsid w:val="3AEB3F28"/>
    <w:rsid w:val="3B223EA3"/>
    <w:rsid w:val="3B5D13B0"/>
    <w:rsid w:val="3B68689B"/>
    <w:rsid w:val="3B9A4D1A"/>
    <w:rsid w:val="3BCC3E0F"/>
    <w:rsid w:val="3BE66A3A"/>
    <w:rsid w:val="3C4B567C"/>
    <w:rsid w:val="3C545E01"/>
    <w:rsid w:val="3C7D2064"/>
    <w:rsid w:val="3C837AE9"/>
    <w:rsid w:val="3C8666B4"/>
    <w:rsid w:val="3CAF5C0A"/>
    <w:rsid w:val="3D056FD5"/>
    <w:rsid w:val="3D073351"/>
    <w:rsid w:val="3D4F4CF8"/>
    <w:rsid w:val="3DE24D6D"/>
    <w:rsid w:val="3DF24001"/>
    <w:rsid w:val="3E241DEE"/>
    <w:rsid w:val="3E895FE7"/>
    <w:rsid w:val="3E8A4C21"/>
    <w:rsid w:val="3EE719AC"/>
    <w:rsid w:val="3EEA2F2A"/>
    <w:rsid w:val="3F5D7028"/>
    <w:rsid w:val="3FF12C3A"/>
    <w:rsid w:val="400A54C8"/>
    <w:rsid w:val="40386761"/>
    <w:rsid w:val="403B23F1"/>
    <w:rsid w:val="409725E8"/>
    <w:rsid w:val="409D1145"/>
    <w:rsid w:val="40A215BE"/>
    <w:rsid w:val="40FA4E7B"/>
    <w:rsid w:val="411521DD"/>
    <w:rsid w:val="414E14B2"/>
    <w:rsid w:val="415A4E0E"/>
    <w:rsid w:val="415D3E87"/>
    <w:rsid w:val="41DF489C"/>
    <w:rsid w:val="42442C17"/>
    <w:rsid w:val="43184112"/>
    <w:rsid w:val="43664B49"/>
    <w:rsid w:val="43D917BF"/>
    <w:rsid w:val="44390EDF"/>
    <w:rsid w:val="443D2C6C"/>
    <w:rsid w:val="44463BE1"/>
    <w:rsid w:val="44623562"/>
    <w:rsid w:val="447514E8"/>
    <w:rsid w:val="447F1515"/>
    <w:rsid w:val="449D27EC"/>
    <w:rsid w:val="44A7556A"/>
    <w:rsid w:val="45291D8C"/>
    <w:rsid w:val="45A8769B"/>
    <w:rsid w:val="45CD5A14"/>
    <w:rsid w:val="45CF2E79"/>
    <w:rsid w:val="46113492"/>
    <w:rsid w:val="46265A4F"/>
    <w:rsid w:val="464C3F11"/>
    <w:rsid w:val="46BA3E8B"/>
    <w:rsid w:val="473A07C7"/>
    <w:rsid w:val="47525B10"/>
    <w:rsid w:val="478F0B12"/>
    <w:rsid w:val="47BC567F"/>
    <w:rsid w:val="47FB61A8"/>
    <w:rsid w:val="480056D8"/>
    <w:rsid w:val="48374480"/>
    <w:rsid w:val="483F277D"/>
    <w:rsid w:val="488E2B78"/>
    <w:rsid w:val="48DA7B6B"/>
    <w:rsid w:val="48DF1625"/>
    <w:rsid w:val="49107A31"/>
    <w:rsid w:val="49372EB2"/>
    <w:rsid w:val="494E5146"/>
    <w:rsid w:val="49B45217"/>
    <w:rsid w:val="4A066713"/>
    <w:rsid w:val="4A091ED0"/>
    <w:rsid w:val="4AF30D7F"/>
    <w:rsid w:val="4B52754A"/>
    <w:rsid w:val="4B6F5345"/>
    <w:rsid w:val="4B8F7BC6"/>
    <w:rsid w:val="4B916240"/>
    <w:rsid w:val="4BBA394F"/>
    <w:rsid w:val="4BF03B4A"/>
    <w:rsid w:val="4BFD6A13"/>
    <w:rsid w:val="4C2757BD"/>
    <w:rsid w:val="4C3C07ED"/>
    <w:rsid w:val="4C7B4A9E"/>
    <w:rsid w:val="4CC24C3B"/>
    <w:rsid w:val="4D03307E"/>
    <w:rsid w:val="4D91713A"/>
    <w:rsid w:val="4DF72F6D"/>
    <w:rsid w:val="4E775E5C"/>
    <w:rsid w:val="4E8E2ED5"/>
    <w:rsid w:val="4ED70257"/>
    <w:rsid w:val="4EE53D61"/>
    <w:rsid w:val="4FE2612B"/>
    <w:rsid w:val="4FEB08B0"/>
    <w:rsid w:val="4FFF25B9"/>
    <w:rsid w:val="500951DA"/>
    <w:rsid w:val="501A1D50"/>
    <w:rsid w:val="503075AA"/>
    <w:rsid w:val="50602A78"/>
    <w:rsid w:val="5062497B"/>
    <w:rsid w:val="5072574D"/>
    <w:rsid w:val="5112712D"/>
    <w:rsid w:val="5119144D"/>
    <w:rsid w:val="513A1AEF"/>
    <w:rsid w:val="51991247"/>
    <w:rsid w:val="51A62266"/>
    <w:rsid w:val="51B750E9"/>
    <w:rsid w:val="52560AF9"/>
    <w:rsid w:val="529E11CC"/>
    <w:rsid w:val="53A24582"/>
    <w:rsid w:val="53A5521A"/>
    <w:rsid w:val="53CE4D78"/>
    <w:rsid w:val="54AE5A8C"/>
    <w:rsid w:val="55805F3E"/>
    <w:rsid w:val="55DA73FC"/>
    <w:rsid w:val="56723C80"/>
    <w:rsid w:val="5685572F"/>
    <w:rsid w:val="568B6949"/>
    <w:rsid w:val="56DB2DD3"/>
    <w:rsid w:val="570010E5"/>
    <w:rsid w:val="57931601"/>
    <w:rsid w:val="579D4B86"/>
    <w:rsid w:val="57ED3822"/>
    <w:rsid w:val="581326DD"/>
    <w:rsid w:val="588071E3"/>
    <w:rsid w:val="58D97369"/>
    <w:rsid w:val="59446509"/>
    <w:rsid w:val="598F6750"/>
    <w:rsid w:val="59A8341F"/>
    <w:rsid w:val="59C503C4"/>
    <w:rsid w:val="5A1F7AD4"/>
    <w:rsid w:val="5A35680A"/>
    <w:rsid w:val="5A3F7093"/>
    <w:rsid w:val="5A920684"/>
    <w:rsid w:val="5AC468CD"/>
    <w:rsid w:val="5B215ACE"/>
    <w:rsid w:val="5B5574BD"/>
    <w:rsid w:val="5B7025B1"/>
    <w:rsid w:val="5BD12501"/>
    <w:rsid w:val="5BD26DC8"/>
    <w:rsid w:val="5BE014E5"/>
    <w:rsid w:val="5C181A9A"/>
    <w:rsid w:val="5C2E5E60"/>
    <w:rsid w:val="5C806824"/>
    <w:rsid w:val="5CA521CF"/>
    <w:rsid w:val="5CB00EB7"/>
    <w:rsid w:val="5CC34005"/>
    <w:rsid w:val="5CFC10D2"/>
    <w:rsid w:val="5D156F6C"/>
    <w:rsid w:val="5DB744C7"/>
    <w:rsid w:val="5DD0153B"/>
    <w:rsid w:val="5EE45C2E"/>
    <w:rsid w:val="5FB3249C"/>
    <w:rsid w:val="5FB62BC7"/>
    <w:rsid w:val="602816AC"/>
    <w:rsid w:val="6079112D"/>
    <w:rsid w:val="60942A5D"/>
    <w:rsid w:val="610064CE"/>
    <w:rsid w:val="615D7134"/>
    <w:rsid w:val="6189617B"/>
    <w:rsid w:val="61E6537B"/>
    <w:rsid w:val="61EF54AA"/>
    <w:rsid w:val="628E1255"/>
    <w:rsid w:val="629D6E17"/>
    <w:rsid w:val="632B74E9"/>
    <w:rsid w:val="634174F0"/>
    <w:rsid w:val="63AE18DC"/>
    <w:rsid w:val="63B76FCF"/>
    <w:rsid w:val="63BF5E84"/>
    <w:rsid w:val="63F5294F"/>
    <w:rsid w:val="64274E39"/>
    <w:rsid w:val="64774C22"/>
    <w:rsid w:val="64E35BA2"/>
    <w:rsid w:val="651D4188"/>
    <w:rsid w:val="6530119C"/>
    <w:rsid w:val="65353E6F"/>
    <w:rsid w:val="65546448"/>
    <w:rsid w:val="65766A16"/>
    <w:rsid w:val="657A3AC6"/>
    <w:rsid w:val="65901886"/>
    <w:rsid w:val="65953E0C"/>
    <w:rsid w:val="65FE65B4"/>
    <w:rsid w:val="665C34CD"/>
    <w:rsid w:val="66A01F9C"/>
    <w:rsid w:val="66B62179"/>
    <w:rsid w:val="670544F5"/>
    <w:rsid w:val="670E33AA"/>
    <w:rsid w:val="673D459B"/>
    <w:rsid w:val="67584625"/>
    <w:rsid w:val="67884E65"/>
    <w:rsid w:val="6796339F"/>
    <w:rsid w:val="679D472E"/>
    <w:rsid w:val="67A63223"/>
    <w:rsid w:val="67C84888"/>
    <w:rsid w:val="67EE4F89"/>
    <w:rsid w:val="680839B6"/>
    <w:rsid w:val="682426B2"/>
    <w:rsid w:val="68602E67"/>
    <w:rsid w:val="68727968"/>
    <w:rsid w:val="69605006"/>
    <w:rsid w:val="69796E11"/>
    <w:rsid w:val="69A73B89"/>
    <w:rsid w:val="6A3B177D"/>
    <w:rsid w:val="6A3B3D8A"/>
    <w:rsid w:val="6A616079"/>
    <w:rsid w:val="6A617C95"/>
    <w:rsid w:val="6A753740"/>
    <w:rsid w:val="6B116D78"/>
    <w:rsid w:val="6B2111D2"/>
    <w:rsid w:val="6B301415"/>
    <w:rsid w:val="6B3428F7"/>
    <w:rsid w:val="6B99375A"/>
    <w:rsid w:val="6BA8544F"/>
    <w:rsid w:val="6BF730D7"/>
    <w:rsid w:val="6C602FC1"/>
    <w:rsid w:val="6CD02EB0"/>
    <w:rsid w:val="6CD24E7A"/>
    <w:rsid w:val="6E263E89"/>
    <w:rsid w:val="6E32760E"/>
    <w:rsid w:val="6E47692C"/>
    <w:rsid w:val="6E601CA3"/>
    <w:rsid w:val="6E6164B5"/>
    <w:rsid w:val="6E7361E8"/>
    <w:rsid w:val="6EB44070"/>
    <w:rsid w:val="6EE005D4"/>
    <w:rsid w:val="6EEB648C"/>
    <w:rsid w:val="6EEC101C"/>
    <w:rsid w:val="6EF1592B"/>
    <w:rsid w:val="6F3112FC"/>
    <w:rsid w:val="6F394D3C"/>
    <w:rsid w:val="6F3D38C2"/>
    <w:rsid w:val="6F4D6A39"/>
    <w:rsid w:val="6F9A0A25"/>
    <w:rsid w:val="6FB36BC5"/>
    <w:rsid w:val="6FD24C25"/>
    <w:rsid w:val="70426C52"/>
    <w:rsid w:val="7145658E"/>
    <w:rsid w:val="71E04ECC"/>
    <w:rsid w:val="726437BB"/>
    <w:rsid w:val="726A127D"/>
    <w:rsid w:val="728E35F1"/>
    <w:rsid w:val="729B7ABC"/>
    <w:rsid w:val="72B8088B"/>
    <w:rsid w:val="734B2FC2"/>
    <w:rsid w:val="73890E04"/>
    <w:rsid w:val="73C91FB4"/>
    <w:rsid w:val="73DE5EB2"/>
    <w:rsid w:val="740F250F"/>
    <w:rsid w:val="74365CEE"/>
    <w:rsid w:val="743E1047"/>
    <w:rsid w:val="744228E5"/>
    <w:rsid w:val="745F21CB"/>
    <w:rsid w:val="74A7099A"/>
    <w:rsid w:val="74D177C5"/>
    <w:rsid w:val="74E9081C"/>
    <w:rsid w:val="753626EF"/>
    <w:rsid w:val="754206C3"/>
    <w:rsid w:val="754B12D3"/>
    <w:rsid w:val="75941572"/>
    <w:rsid w:val="75F220E9"/>
    <w:rsid w:val="76256605"/>
    <w:rsid w:val="76371099"/>
    <w:rsid w:val="7693567A"/>
    <w:rsid w:val="76950A02"/>
    <w:rsid w:val="76EE28B0"/>
    <w:rsid w:val="7718515B"/>
    <w:rsid w:val="77354FDC"/>
    <w:rsid w:val="77553316"/>
    <w:rsid w:val="778036C3"/>
    <w:rsid w:val="77A6276C"/>
    <w:rsid w:val="77C64CDD"/>
    <w:rsid w:val="77DB5C36"/>
    <w:rsid w:val="77F422F2"/>
    <w:rsid w:val="781E1591"/>
    <w:rsid w:val="78647DA9"/>
    <w:rsid w:val="788802C8"/>
    <w:rsid w:val="790F4D60"/>
    <w:rsid w:val="791800B8"/>
    <w:rsid w:val="79534C4C"/>
    <w:rsid w:val="79C8388C"/>
    <w:rsid w:val="79D3028B"/>
    <w:rsid w:val="79EC750C"/>
    <w:rsid w:val="7A0A5C53"/>
    <w:rsid w:val="7A61783D"/>
    <w:rsid w:val="7A7237F8"/>
    <w:rsid w:val="7A740891"/>
    <w:rsid w:val="7AA80846"/>
    <w:rsid w:val="7AB570B4"/>
    <w:rsid w:val="7AB647FE"/>
    <w:rsid w:val="7AF17F97"/>
    <w:rsid w:val="7B4F6802"/>
    <w:rsid w:val="7B707D38"/>
    <w:rsid w:val="7BB265A2"/>
    <w:rsid w:val="7BB65001"/>
    <w:rsid w:val="7C4F5666"/>
    <w:rsid w:val="7C5036C5"/>
    <w:rsid w:val="7C6F4E89"/>
    <w:rsid w:val="7CAB04C7"/>
    <w:rsid w:val="7CC56772"/>
    <w:rsid w:val="7D5D0AAA"/>
    <w:rsid w:val="7D6041D6"/>
    <w:rsid w:val="7D697134"/>
    <w:rsid w:val="7D8D7597"/>
    <w:rsid w:val="7DC4436B"/>
    <w:rsid w:val="7DCC76C3"/>
    <w:rsid w:val="7E0E1A8A"/>
    <w:rsid w:val="7F0562FB"/>
    <w:rsid w:val="7F0A03FD"/>
    <w:rsid w:val="7F464D26"/>
    <w:rsid w:val="7F6A5E04"/>
    <w:rsid w:val="7F855D7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unhideWhenUsed="0" w:uiPriority="0" w:semiHidden="0" w:name="heading 2"/>
    <w:lsdException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5">
    <w:name w:val="heading 1"/>
    <w:basedOn w:val="1"/>
    <w:next w:val="1"/>
    <w:qFormat/>
    <w:uiPriority w:val="0"/>
    <w:pPr>
      <w:keepNext/>
      <w:keepLines/>
      <w:spacing w:before="500" w:beforeLines="0" w:after="500" w:afterLines="0" w:line="578" w:lineRule="auto"/>
      <w:jc w:val="center"/>
      <w:outlineLvl w:val="0"/>
    </w:pPr>
    <w:rPr>
      <w:b/>
      <w:bCs/>
      <w:kern w:val="44"/>
      <w:sz w:val="44"/>
      <w:szCs w:val="44"/>
    </w:rPr>
  </w:style>
  <w:style w:type="paragraph" w:styleId="6">
    <w:name w:val="heading 2"/>
    <w:basedOn w:val="1"/>
    <w:next w:val="1"/>
    <w:link w:val="51"/>
    <w:uiPriority w:val="0"/>
    <w:pPr>
      <w:keepNext/>
      <w:keepLines/>
      <w:spacing w:before="260" w:beforeLines="0" w:after="260" w:afterLines="0" w:line="416" w:lineRule="auto"/>
      <w:outlineLvl w:val="1"/>
    </w:pPr>
    <w:rPr>
      <w:rFonts w:ascii="Arial" w:hAnsi="Arial" w:eastAsia="黑体"/>
      <w:b/>
      <w:bCs/>
      <w:kern w:val="2"/>
      <w:sz w:val="32"/>
      <w:szCs w:val="32"/>
      <w:lang w:val="en-US" w:eastAsia="zh-CN" w:bidi="ar-SA"/>
    </w:rPr>
  </w:style>
  <w:style w:type="paragraph" w:styleId="7">
    <w:name w:val="heading 3"/>
    <w:basedOn w:val="1"/>
    <w:next w:val="1"/>
    <w:link w:val="52"/>
    <w:uiPriority w:val="0"/>
    <w:pPr>
      <w:keepNext/>
      <w:keepLines/>
      <w:spacing w:before="260" w:beforeLines="0" w:after="260" w:afterLines="0" w:line="416" w:lineRule="auto"/>
      <w:outlineLvl w:val="2"/>
    </w:pPr>
    <w:rPr>
      <w:rFonts w:ascii="宋体" w:hAnsi="宋体" w:eastAsia="幼圆"/>
      <w:b/>
      <w:bCs/>
      <w:kern w:val="2"/>
      <w:sz w:val="32"/>
      <w:szCs w:val="32"/>
      <w:lang w:val="en-US" w:eastAsia="zh-CN" w:bidi="ar-SA"/>
    </w:rPr>
  </w:style>
  <w:style w:type="paragraph" w:styleId="8">
    <w:name w:val="heading 4"/>
    <w:basedOn w:val="1"/>
    <w:next w:val="1"/>
    <w:qFormat/>
    <w:uiPriority w:val="0"/>
    <w:pPr>
      <w:keepNext/>
      <w:keepLines/>
      <w:spacing w:before="280" w:beforeLines="0" w:after="290" w:afterLines="0" w:line="376" w:lineRule="auto"/>
      <w:outlineLvl w:val="3"/>
    </w:pPr>
    <w:rPr>
      <w:rFonts w:ascii="Cambria" w:hAnsi="Cambria" w:eastAsia="宋体" w:cs="Times New Roman"/>
      <w:b/>
      <w:bCs/>
      <w:sz w:val="28"/>
      <w:szCs w:val="28"/>
    </w:rPr>
  </w:style>
  <w:style w:type="character" w:default="1" w:styleId="38">
    <w:name w:val="Default Paragraph Font"/>
    <w:uiPriority w:val="0"/>
    <w:rPr>
      <w:rFonts w:ascii="宋体" w:hAnsi="宋体" w:eastAsia="宋体"/>
      <w:kern w:val="2"/>
      <w:sz w:val="28"/>
      <w:szCs w:val="24"/>
      <w:lang w:val="en-US" w:eastAsia="zh-CN" w:bidi="ar-SA"/>
    </w:rPr>
  </w:style>
  <w:style w:type="table" w:default="1" w:styleId="3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uiPriority w:val="0"/>
    <w:pPr>
      <w:numPr>
        <w:ilvl w:val="0"/>
        <w:numId w:val="0"/>
      </w:numPr>
      <w:spacing w:after="120" w:afterLines="0"/>
    </w:pPr>
  </w:style>
  <w:style w:type="paragraph" w:styleId="3">
    <w:name w:val="Body Text Indent"/>
    <w:basedOn w:val="1"/>
    <w:next w:val="4"/>
    <w:link w:val="50"/>
    <w:uiPriority w:val="0"/>
    <w:rPr>
      <w:sz w:val="21"/>
    </w:rPr>
  </w:style>
  <w:style w:type="paragraph" w:styleId="4">
    <w:name w:val="envelope return"/>
    <w:basedOn w:val="1"/>
    <w:qFormat/>
    <w:uiPriority w:val="0"/>
    <w:pPr>
      <w:snapToGrid w:val="0"/>
    </w:pPr>
    <w:rPr>
      <w:rFonts w:ascii="Arial" w:hAnsi="Arial"/>
    </w:rPr>
  </w:style>
  <w:style w:type="paragraph" w:styleId="9">
    <w:name w:val="toc 7"/>
    <w:basedOn w:val="1"/>
    <w:next w:val="1"/>
    <w:uiPriority w:val="0"/>
    <w:pPr>
      <w:ind w:left="2520" w:leftChars="1200"/>
    </w:pPr>
  </w:style>
  <w:style w:type="paragraph" w:styleId="10">
    <w:name w:val="Normal Indent"/>
    <w:basedOn w:val="1"/>
    <w:link w:val="53"/>
    <w:uiPriority w:val="0"/>
    <w:pPr>
      <w:autoSpaceDE w:val="0"/>
      <w:autoSpaceDN w:val="0"/>
      <w:adjustRightInd w:val="0"/>
      <w:ind w:firstLine="420"/>
      <w:jc w:val="left"/>
    </w:pPr>
    <w:rPr>
      <w:rFonts w:ascii="宋体"/>
      <w:sz w:val="24"/>
    </w:rPr>
  </w:style>
  <w:style w:type="paragraph" w:styleId="11">
    <w:name w:val="index 5"/>
    <w:basedOn w:val="1"/>
    <w:next w:val="1"/>
    <w:qFormat/>
    <w:uiPriority w:val="0"/>
    <w:pPr>
      <w:widowControl w:val="0"/>
      <w:spacing w:line="240" w:lineRule="auto"/>
      <w:ind w:left="1050" w:hanging="210" w:firstLineChars="0"/>
    </w:pPr>
    <w:rPr>
      <w:rFonts w:eastAsia="宋体" w:cs="Times New Roman"/>
      <w:sz w:val="20"/>
      <w:szCs w:val="20"/>
    </w:rPr>
  </w:style>
  <w:style w:type="paragraph" w:styleId="12">
    <w:name w:val="Document Map"/>
    <w:basedOn w:val="1"/>
    <w:uiPriority w:val="0"/>
    <w:pPr>
      <w:shd w:val="clear" w:color="auto" w:fill="000080"/>
    </w:pPr>
  </w:style>
  <w:style w:type="paragraph" w:styleId="13">
    <w:name w:val="annotation text"/>
    <w:basedOn w:val="1"/>
    <w:uiPriority w:val="0"/>
    <w:pPr>
      <w:jc w:val="left"/>
    </w:pPr>
  </w:style>
  <w:style w:type="paragraph" w:styleId="14">
    <w:name w:val="Body Text 3"/>
    <w:basedOn w:val="1"/>
    <w:uiPriority w:val="0"/>
    <w:rPr>
      <w:rFonts w:eastAsia="楷体_GB2312"/>
      <w:sz w:val="28"/>
    </w:rPr>
  </w:style>
  <w:style w:type="paragraph" w:styleId="15">
    <w:name w:val="Body Text"/>
    <w:basedOn w:val="1"/>
    <w:next w:val="16"/>
    <w:uiPriority w:val="0"/>
    <w:pPr>
      <w:spacing w:after="120" w:afterLines="0"/>
    </w:pPr>
  </w:style>
  <w:style w:type="paragraph" w:styleId="16">
    <w:name w:val="Plain Text"/>
    <w:basedOn w:val="1"/>
    <w:link w:val="54"/>
    <w:uiPriority w:val="0"/>
    <w:rPr>
      <w:rFonts w:hAnsi="Courier New" w:eastAsia="幼圆"/>
      <w:sz w:val="21"/>
    </w:rPr>
  </w:style>
  <w:style w:type="paragraph" w:styleId="17">
    <w:name w:val="toc 5"/>
    <w:basedOn w:val="1"/>
    <w:next w:val="1"/>
    <w:uiPriority w:val="0"/>
    <w:pPr>
      <w:ind w:left="1680" w:leftChars="800"/>
    </w:pPr>
  </w:style>
  <w:style w:type="paragraph" w:styleId="18">
    <w:name w:val="toc 3"/>
    <w:basedOn w:val="1"/>
    <w:next w:val="1"/>
    <w:uiPriority w:val="0"/>
    <w:pPr>
      <w:ind w:left="840" w:leftChars="400"/>
    </w:pPr>
  </w:style>
  <w:style w:type="paragraph" w:styleId="19">
    <w:name w:val="toc 8"/>
    <w:basedOn w:val="1"/>
    <w:next w:val="1"/>
    <w:uiPriority w:val="0"/>
    <w:pPr>
      <w:ind w:left="2940" w:leftChars="1400"/>
    </w:pPr>
  </w:style>
  <w:style w:type="paragraph" w:styleId="20">
    <w:name w:val="Date"/>
    <w:basedOn w:val="1"/>
    <w:next w:val="1"/>
    <w:uiPriority w:val="0"/>
    <w:pPr>
      <w:ind w:left="100" w:leftChars="2500"/>
    </w:pPr>
    <w:rPr>
      <w:rFonts w:ascii="宋体" w:hAnsi="宋体"/>
      <w:sz w:val="28"/>
    </w:rPr>
  </w:style>
  <w:style w:type="paragraph" w:styleId="21">
    <w:name w:val="Body Text Indent 2"/>
    <w:basedOn w:val="1"/>
    <w:uiPriority w:val="0"/>
    <w:pPr>
      <w:ind w:firstLine="405" w:firstLineChars="193"/>
    </w:pPr>
    <w:rPr>
      <w:rFonts w:ascii="宋体" w:hAnsi="宋体"/>
    </w:rPr>
  </w:style>
  <w:style w:type="paragraph" w:styleId="22">
    <w:name w:val="Balloon Text"/>
    <w:basedOn w:val="1"/>
    <w:link w:val="55"/>
    <w:uiPriority w:val="0"/>
    <w:rPr>
      <w:rFonts w:ascii="宋体" w:hAnsi="宋体" w:eastAsia="宋体"/>
      <w:kern w:val="2"/>
      <w:sz w:val="18"/>
      <w:szCs w:val="18"/>
      <w:lang w:val="en-US" w:eastAsia="zh-CN" w:bidi="ar-SA"/>
    </w:rPr>
  </w:style>
  <w:style w:type="paragraph" w:styleId="23">
    <w:name w:val="footer"/>
    <w:basedOn w:val="1"/>
    <w:uiPriority w:val="0"/>
    <w:pPr>
      <w:tabs>
        <w:tab w:val="center" w:pos="4153"/>
        <w:tab w:val="right" w:pos="8306"/>
      </w:tabs>
      <w:snapToGrid w:val="0"/>
      <w:jc w:val="left"/>
    </w:pPr>
    <w:rPr>
      <w:rFonts w:ascii="宋体" w:hAnsi="宋体" w:eastAsia="宋体"/>
      <w:kern w:val="2"/>
      <w:sz w:val="18"/>
      <w:szCs w:val="18"/>
      <w:lang w:val="en-US" w:eastAsia="zh-CN" w:bidi="ar-SA"/>
    </w:rPr>
  </w:style>
  <w:style w:type="paragraph" w:styleId="24">
    <w:name w:val="header"/>
    <w:basedOn w:val="1"/>
    <w:next w:val="23"/>
    <w:uiPriority w:val="0"/>
    <w:pPr>
      <w:pBdr>
        <w:bottom w:val="single" w:color="auto" w:sz="6" w:space="1"/>
      </w:pBdr>
      <w:tabs>
        <w:tab w:val="center" w:pos="4153"/>
        <w:tab w:val="right" w:pos="8306"/>
      </w:tabs>
      <w:snapToGrid w:val="0"/>
      <w:jc w:val="center"/>
    </w:pPr>
    <w:rPr>
      <w:rFonts w:ascii="宋体" w:hAnsi="宋体" w:eastAsia="宋体"/>
      <w:kern w:val="2"/>
      <w:sz w:val="18"/>
      <w:szCs w:val="18"/>
      <w:lang w:val="en-US" w:eastAsia="zh-CN" w:bidi="ar-SA"/>
    </w:rPr>
  </w:style>
  <w:style w:type="paragraph" w:styleId="25">
    <w:name w:val="toc 1"/>
    <w:basedOn w:val="1"/>
    <w:next w:val="1"/>
    <w:uiPriority w:val="0"/>
  </w:style>
  <w:style w:type="paragraph" w:styleId="26">
    <w:name w:val="toc 4"/>
    <w:basedOn w:val="1"/>
    <w:next w:val="1"/>
    <w:uiPriority w:val="0"/>
    <w:pPr>
      <w:ind w:left="1260" w:leftChars="600"/>
    </w:pPr>
  </w:style>
  <w:style w:type="paragraph" w:styleId="27">
    <w:name w:val="toc 6"/>
    <w:basedOn w:val="1"/>
    <w:next w:val="1"/>
    <w:uiPriority w:val="0"/>
    <w:pPr>
      <w:ind w:left="2100" w:leftChars="1000"/>
    </w:pPr>
  </w:style>
  <w:style w:type="paragraph" w:styleId="28">
    <w:name w:val="Body Text Indent 3"/>
    <w:basedOn w:val="1"/>
    <w:uiPriority w:val="0"/>
    <w:pPr>
      <w:ind w:firstLine="420" w:firstLineChars="200"/>
    </w:pPr>
    <w:rPr>
      <w:rFonts w:ascii="宋体" w:hAnsi="宋体"/>
    </w:rPr>
  </w:style>
  <w:style w:type="paragraph" w:styleId="29">
    <w:name w:val="toc 2"/>
    <w:basedOn w:val="1"/>
    <w:next w:val="1"/>
    <w:qFormat/>
    <w:uiPriority w:val="0"/>
    <w:pPr>
      <w:ind w:left="420" w:leftChars="200"/>
    </w:pPr>
  </w:style>
  <w:style w:type="paragraph" w:styleId="30">
    <w:name w:val="toc 9"/>
    <w:basedOn w:val="1"/>
    <w:next w:val="1"/>
    <w:qFormat/>
    <w:uiPriority w:val="0"/>
    <w:pPr>
      <w:ind w:left="3360" w:leftChars="1600"/>
    </w:pPr>
  </w:style>
  <w:style w:type="paragraph" w:styleId="31">
    <w:name w:val="Body Text 2"/>
    <w:basedOn w:val="1"/>
    <w:next w:val="15"/>
    <w:qFormat/>
    <w:uiPriority w:val="0"/>
    <w:pPr>
      <w:spacing w:after="120" w:afterLines="0" w:line="480" w:lineRule="auto"/>
    </w:pPr>
  </w:style>
  <w:style w:type="paragraph" w:styleId="32">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paragraph" w:styleId="33">
    <w:name w:val="index 1"/>
    <w:basedOn w:val="1"/>
    <w:next w:val="1"/>
    <w:qFormat/>
    <w:uiPriority w:val="0"/>
    <w:rPr>
      <w:szCs w:val="20"/>
    </w:rPr>
  </w:style>
  <w:style w:type="paragraph" w:styleId="34">
    <w:name w:val="Title"/>
    <w:basedOn w:val="1"/>
    <w:next w:val="1"/>
    <w:qFormat/>
    <w:uiPriority w:val="0"/>
    <w:pPr>
      <w:spacing w:before="240" w:beforeLines="0" w:after="60" w:afterLines="0"/>
      <w:jc w:val="center"/>
      <w:outlineLvl w:val="0"/>
    </w:pPr>
    <w:rPr>
      <w:rFonts w:ascii="Arial" w:hAnsi="Arial" w:eastAsia="宋体" w:cs="Arial"/>
      <w:b/>
      <w:bCs/>
      <w:sz w:val="32"/>
      <w:szCs w:val="32"/>
    </w:rPr>
  </w:style>
  <w:style w:type="paragraph" w:styleId="35">
    <w:name w:val="Body Text First Indent"/>
    <w:basedOn w:val="15"/>
    <w:next w:val="2"/>
    <w:qFormat/>
    <w:uiPriority w:val="0"/>
  </w:style>
  <w:style w:type="table" w:styleId="37">
    <w:name w:val="Table Grid"/>
    <w:basedOn w:val="3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9">
    <w:name w:val="page number"/>
    <w:basedOn w:val="38"/>
    <w:uiPriority w:val="0"/>
  </w:style>
  <w:style w:type="character" w:styleId="40">
    <w:name w:val="FollowedHyperlink"/>
    <w:uiPriority w:val="0"/>
    <w:rPr>
      <w:rFonts w:ascii="宋体" w:hAnsi="宋体" w:eastAsia="宋体"/>
      <w:color w:val="333333"/>
      <w:kern w:val="2"/>
      <w:sz w:val="18"/>
      <w:szCs w:val="18"/>
      <w:u w:val="none"/>
      <w:lang w:val="en-US" w:eastAsia="zh-CN" w:bidi="ar-SA"/>
    </w:rPr>
  </w:style>
  <w:style w:type="character" w:styleId="41">
    <w:name w:val="HTML Definition"/>
    <w:basedOn w:val="38"/>
    <w:uiPriority w:val="0"/>
  </w:style>
  <w:style w:type="character" w:styleId="42">
    <w:name w:val="HTML Typewriter"/>
    <w:basedOn w:val="38"/>
    <w:uiPriority w:val="0"/>
    <w:rPr>
      <w:rFonts w:hint="default" w:ascii="monospace" w:hAnsi="monospace" w:eastAsia="monospace" w:cs="monospace"/>
      <w:sz w:val="20"/>
    </w:rPr>
  </w:style>
  <w:style w:type="character" w:styleId="43">
    <w:name w:val="HTML Acronym"/>
    <w:basedOn w:val="38"/>
    <w:uiPriority w:val="0"/>
  </w:style>
  <w:style w:type="character" w:styleId="44">
    <w:name w:val="HTML Variable"/>
    <w:basedOn w:val="38"/>
    <w:uiPriority w:val="0"/>
  </w:style>
  <w:style w:type="character" w:styleId="45">
    <w:name w:val="Hyperlink"/>
    <w:basedOn w:val="38"/>
    <w:uiPriority w:val="0"/>
    <w:rPr>
      <w:rFonts w:ascii="宋体" w:hAnsi="宋体" w:eastAsia="宋体"/>
      <w:color w:val="0000FF"/>
      <w:kern w:val="2"/>
      <w:sz w:val="28"/>
      <w:szCs w:val="24"/>
      <w:u w:val="single"/>
      <w:lang w:val="en-US" w:eastAsia="zh-CN" w:bidi="ar-SA"/>
    </w:rPr>
  </w:style>
  <w:style w:type="character" w:styleId="46">
    <w:name w:val="HTML Code"/>
    <w:basedOn w:val="38"/>
    <w:uiPriority w:val="0"/>
    <w:rPr>
      <w:rFonts w:ascii="monospace" w:hAnsi="monospace" w:eastAsia="monospace" w:cs="monospace"/>
      <w:sz w:val="20"/>
    </w:rPr>
  </w:style>
  <w:style w:type="character" w:styleId="47">
    <w:name w:val="HTML Cite"/>
    <w:basedOn w:val="38"/>
    <w:qFormat/>
    <w:uiPriority w:val="0"/>
  </w:style>
  <w:style w:type="character" w:styleId="48">
    <w:name w:val="HTML Keyboard"/>
    <w:basedOn w:val="38"/>
    <w:uiPriority w:val="0"/>
    <w:rPr>
      <w:rFonts w:hint="default" w:ascii="monospace" w:hAnsi="monospace" w:eastAsia="monospace" w:cs="monospace"/>
      <w:sz w:val="20"/>
    </w:rPr>
  </w:style>
  <w:style w:type="character" w:styleId="49">
    <w:name w:val="HTML Sample"/>
    <w:basedOn w:val="38"/>
    <w:uiPriority w:val="0"/>
    <w:rPr>
      <w:rFonts w:hint="default" w:ascii="monospace" w:hAnsi="monospace" w:eastAsia="monospace" w:cs="monospace"/>
    </w:rPr>
  </w:style>
  <w:style w:type="character" w:customStyle="1" w:styleId="50">
    <w:name w:val="正文文本缩进 Char Char"/>
    <w:basedOn w:val="38"/>
    <w:link w:val="3"/>
    <w:uiPriority w:val="0"/>
    <w:rPr>
      <w:sz w:val="21"/>
    </w:rPr>
  </w:style>
  <w:style w:type="character" w:customStyle="1" w:styleId="51">
    <w:name w:val="标题 2 Char Char"/>
    <w:link w:val="6"/>
    <w:uiPriority w:val="0"/>
    <w:rPr>
      <w:rFonts w:ascii="Arial" w:hAnsi="Arial" w:eastAsia="黑体"/>
      <w:b/>
      <w:bCs/>
      <w:kern w:val="2"/>
      <w:sz w:val="32"/>
      <w:szCs w:val="32"/>
      <w:lang w:val="en-US" w:eastAsia="zh-CN" w:bidi="ar-SA"/>
    </w:rPr>
  </w:style>
  <w:style w:type="character" w:customStyle="1" w:styleId="52">
    <w:name w:val="标题 3 Char Char"/>
    <w:link w:val="7"/>
    <w:qFormat/>
    <w:uiPriority w:val="0"/>
    <w:rPr>
      <w:rFonts w:ascii="宋体" w:hAnsi="宋体" w:eastAsia="幼圆"/>
      <w:b/>
      <w:bCs/>
      <w:kern w:val="2"/>
      <w:sz w:val="32"/>
      <w:szCs w:val="32"/>
      <w:lang w:val="en-US" w:eastAsia="zh-CN" w:bidi="ar-SA"/>
    </w:rPr>
  </w:style>
  <w:style w:type="character" w:customStyle="1" w:styleId="53">
    <w:name w:val="正文缩进 Char Char"/>
    <w:link w:val="10"/>
    <w:uiPriority w:val="0"/>
    <w:rPr>
      <w:rFonts w:ascii="宋体"/>
      <w:sz w:val="24"/>
    </w:rPr>
  </w:style>
  <w:style w:type="character" w:customStyle="1" w:styleId="54">
    <w:name w:val="纯文本 Char Char"/>
    <w:basedOn w:val="38"/>
    <w:link w:val="16"/>
    <w:uiPriority w:val="0"/>
    <w:rPr>
      <w:rFonts w:hAnsi="Courier New" w:eastAsia="幼圆"/>
      <w:sz w:val="21"/>
    </w:rPr>
  </w:style>
  <w:style w:type="character" w:customStyle="1" w:styleId="55">
    <w:name w:val="批注框文本 Char Char"/>
    <w:link w:val="22"/>
    <w:uiPriority w:val="0"/>
    <w:rPr>
      <w:rFonts w:ascii="宋体" w:hAnsi="宋体" w:eastAsia="宋体"/>
      <w:kern w:val="2"/>
      <w:sz w:val="18"/>
      <w:szCs w:val="18"/>
      <w:lang w:val="en-US" w:eastAsia="zh-CN" w:bidi="ar-SA"/>
    </w:rPr>
  </w:style>
  <w:style w:type="paragraph" w:customStyle="1" w:styleId="56">
    <w:name w:val="No Spacing1"/>
    <w:basedOn w:val="1"/>
    <w:qFormat/>
    <w:uiPriority w:val="0"/>
    <w:pPr>
      <w:spacing w:after="0" w:afterLines="0" w:line="400" w:lineRule="exact"/>
    </w:pPr>
    <w:rPr>
      <w:rFonts w:ascii="Calibri" w:hAnsi="Calibri" w:eastAsia="宋体" w:cs="黑体"/>
      <w:sz w:val="24"/>
      <w:lang w:val="en-US" w:eastAsia="zh-CN" w:bidi="ar-SA"/>
    </w:rPr>
  </w:style>
  <w:style w:type="paragraph" w:customStyle="1" w:styleId="57">
    <w:name w:val="Defaul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58">
    <w:name w:val="Char Char10 Char Char Char Char"/>
    <w:basedOn w:val="1"/>
    <w:next w:val="59"/>
    <w:qFormat/>
    <w:uiPriority w:val="0"/>
  </w:style>
  <w:style w:type="paragraph" w:customStyle="1" w:styleId="59">
    <w:name w:val="xl87"/>
    <w:basedOn w:val="1"/>
    <w:next w:val="60"/>
    <w:qFormat/>
    <w:uiPriority w:val="0"/>
    <w:pPr>
      <w:widowControl/>
      <w:shd w:val="clear" w:color="FFFFFF" w:fill="FFFFFF"/>
      <w:spacing w:before="280" w:after="280"/>
      <w:jc w:val="right"/>
    </w:pPr>
    <w:rPr>
      <w:rFonts w:ascii="宋体"/>
      <w:sz w:val="24"/>
    </w:rPr>
  </w:style>
  <w:style w:type="paragraph" w:customStyle="1" w:styleId="60">
    <w:name w:val="xl72"/>
    <w:basedOn w:val="1"/>
    <w:next w:val="20"/>
    <w:qFormat/>
    <w:uiPriority w:val="0"/>
    <w:pPr>
      <w:widowControl/>
      <w:shd w:val="clear" w:color="FFFFFF" w:fill="FFFFFF"/>
      <w:spacing w:before="280" w:after="280"/>
      <w:jc w:val="right"/>
    </w:pPr>
    <w:rPr>
      <w:rFonts w:ascii="宋体"/>
      <w:sz w:val="24"/>
    </w:rPr>
  </w:style>
  <w:style w:type="character" w:customStyle="1" w:styleId="61">
    <w:name w:val="Char Char Char"/>
    <w:uiPriority w:val="0"/>
    <w:rPr>
      <w:rFonts w:ascii="Arial" w:hAnsi="Arial" w:eastAsia="黑体"/>
      <w:b/>
      <w:bCs/>
      <w:kern w:val="2"/>
      <w:sz w:val="32"/>
      <w:szCs w:val="32"/>
      <w:lang w:val="en-US" w:eastAsia="zh-CN" w:bidi="ar-SA"/>
    </w:rPr>
  </w:style>
  <w:style w:type="character" w:customStyle="1" w:styleId="62">
    <w:name w:val="ca-121"/>
    <w:uiPriority w:val="0"/>
    <w:rPr>
      <w:rFonts w:hint="eastAsia" w:ascii="仿宋_GB2312" w:eastAsia="仿宋_GB2312"/>
      <w:color w:val="000000"/>
      <w:sz w:val="21"/>
      <w:szCs w:val="21"/>
    </w:rPr>
  </w:style>
  <w:style w:type="character" w:customStyle="1" w:styleId="63">
    <w:name w:val="ca-11"/>
    <w:uiPriority w:val="0"/>
    <w:rPr>
      <w:rFonts w:hint="default" w:ascii="Times New Roman" w:hAnsi="Times New Roman" w:cs="Times New Roman"/>
      <w:sz w:val="32"/>
      <w:szCs w:val="32"/>
    </w:rPr>
  </w:style>
  <w:style w:type="character" w:customStyle="1" w:styleId="64">
    <w:name w:val="font11"/>
    <w:uiPriority w:val="0"/>
    <w:rPr>
      <w:rFonts w:hint="eastAsia" w:ascii="宋体" w:hAnsi="宋体" w:eastAsia="宋体" w:cs="宋体"/>
      <w:color w:val="000000"/>
      <w:sz w:val="20"/>
      <w:szCs w:val="20"/>
      <w:u w:val="none"/>
    </w:rPr>
  </w:style>
  <w:style w:type="character" w:customStyle="1" w:styleId="65">
    <w:name w:val="ca-31"/>
    <w:qFormat/>
    <w:uiPriority w:val="0"/>
    <w:rPr>
      <w:rFonts w:hint="eastAsia" w:ascii="仿宋_GB2312" w:eastAsia="仿宋_GB2312"/>
      <w:b/>
      <w:bCs/>
      <w:spacing w:val="-20"/>
      <w:sz w:val="32"/>
      <w:szCs w:val="32"/>
    </w:rPr>
  </w:style>
  <w:style w:type="character" w:customStyle="1" w:styleId="66">
    <w:name w:val="页眉 Char Char"/>
    <w:uiPriority w:val="0"/>
    <w:rPr>
      <w:rFonts w:ascii="宋体" w:hAnsi="宋体" w:eastAsia="宋体"/>
      <w:kern w:val="2"/>
      <w:sz w:val="18"/>
      <w:szCs w:val="18"/>
      <w:lang w:val="en-US" w:eastAsia="zh-CN" w:bidi="ar-SA"/>
    </w:rPr>
  </w:style>
  <w:style w:type="character" w:customStyle="1" w:styleId="67">
    <w:name w:val="ca-21"/>
    <w:uiPriority w:val="0"/>
    <w:rPr>
      <w:rFonts w:hint="eastAsia" w:ascii="仿宋_GB2312" w:eastAsia="仿宋_GB2312"/>
      <w:sz w:val="32"/>
      <w:szCs w:val="32"/>
    </w:rPr>
  </w:style>
  <w:style w:type="character" w:customStyle="1" w:styleId="68">
    <w:name w:val="页脚 Char Char"/>
    <w:uiPriority w:val="0"/>
    <w:rPr>
      <w:rFonts w:ascii="宋体" w:hAnsi="宋体" w:eastAsia="宋体"/>
      <w:kern w:val="2"/>
      <w:sz w:val="18"/>
      <w:szCs w:val="18"/>
      <w:lang w:val="en-US" w:eastAsia="zh-CN" w:bidi="ar-SA"/>
    </w:rPr>
  </w:style>
  <w:style w:type="paragraph" w:customStyle="1" w:styleId="69">
    <w:name w:val="pa-53"/>
    <w:basedOn w:val="1"/>
    <w:uiPriority w:val="0"/>
    <w:pPr>
      <w:widowControl/>
      <w:spacing w:line="240" w:lineRule="atLeast"/>
    </w:pPr>
    <w:rPr>
      <w:rFonts w:ascii="宋体" w:hAnsi="宋体" w:cs="宋体"/>
      <w:kern w:val="0"/>
      <w:sz w:val="24"/>
    </w:rPr>
  </w:style>
  <w:style w:type="paragraph" w:customStyle="1" w:styleId="70">
    <w:name w:val="彩色底纹 - 强调文字颜色 61"/>
    <w:basedOn w:val="5"/>
    <w:next w:val="1"/>
    <w:uiPriority w:val="0"/>
    <w:pPr>
      <w:widowControl/>
      <w:spacing w:before="480" w:beforeLines="0" w:after="0" w:afterLines="0" w:line="276" w:lineRule="auto"/>
      <w:jc w:val="left"/>
      <w:outlineLvl w:val="9"/>
    </w:pPr>
    <w:rPr>
      <w:rFonts w:ascii="Cambria" w:hAnsi="Cambria" w:eastAsia="宋体" w:cs="Times New Roman"/>
      <w:color w:val="365F91"/>
      <w:kern w:val="0"/>
      <w:sz w:val="28"/>
      <w:szCs w:val="28"/>
    </w:rPr>
  </w:style>
  <w:style w:type="paragraph" w:styleId="71">
    <w:name w:val="No Spacing"/>
    <w:uiPriority w:val="0"/>
    <w:pPr>
      <w:widowControl w:val="0"/>
      <w:jc w:val="both"/>
    </w:pPr>
    <w:rPr>
      <w:rFonts w:ascii="Times New Roman" w:hAnsi="Times New Roman" w:eastAsia="宋体" w:cs="Times New Roman"/>
      <w:kern w:val="2"/>
      <w:sz w:val="21"/>
      <w:lang w:val="en-US" w:eastAsia="zh-CN" w:bidi="ar-SA"/>
    </w:rPr>
  </w:style>
  <w:style w:type="paragraph" w:customStyle="1" w:styleId="72">
    <w:name w:val="pa-62"/>
    <w:basedOn w:val="1"/>
    <w:uiPriority w:val="0"/>
    <w:pPr>
      <w:widowControl/>
      <w:spacing w:line="240" w:lineRule="atLeast"/>
    </w:pPr>
    <w:rPr>
      <w:rFonts w:ascii="宋体" w:hAnsi="宋体" w:cs="宋体"/>
      <w:kern w:val="0"/>
      <w:sz w:val="24"/>
    </w:rPr>
  </w:style>
  <w:style w:type="paragraph" w:customStyle="1" w:styleId="73">
    <w:name w:val="目录 21"/>
    <w:basedOn w:val="1"/>
    <w:uiPriority w:val="0"/>
    <w:pPr>
      <w:spacing w:before="35" w:beforeLines="0"/>
      <w:ind w:left="126"/>
      <w:jc w:val="left"/>
    </w:pPr>
    <w:rPr>
      <w:rFonts w:ascii="宋体" w:hAnsi="宋体" w:cs="Times New Roman"/>
      <w:b/>
      <w:bCs/>
      <w:kern w:val="0"/>
      <w:sz w:val="20"/>
      <w:lang w:eastAsia="en-US"/>
    </w:rPr>
  </w:style>
  <w:style w:type="paragraph" w:customStyle="1" w:styleId="74">
    <w:name w:val="正文_0"/>
    <w:qFormat/>
    <w:uiPriority w:val="0"/>
    <w:rPr>
      <w:rFonts w:ascii="Times New Roman" w:hAnsi="Times New Roman" w:eastAsia="宋体" w:cs="Times New Roman"/>
      <w:sz w:val="21"/>
      <w:lang w:val="en-US" w:eastAsia="zh-CN" w:bidi="ar-SA"/>
    </w:rPr>
  </w:style>
  <w:style w:type="paragraph" w:customStyle="1" w:styleId="75">
    <w:name w:val="xl26"/>
    <w:basedOn w:val="1"/>
    <w:uiPriority w:val="0"/>
    <w:pPr>
      <w:widowControl/>
      <w:spacing w:before="100" w:beforeLines="0" w:beforeAutospacing="1" w:after="100" w:afterLines="0" w:afterAutospacing="1"/>
      <w:jc w:val="left"/>
    </w:pPr>
    <w:rPr>
      <w:rFonts w:hint="eastAsia" w:ascii="仿宋_GB2312" w:hAnsi="宋体" w:eastAsia="仿宋_GB2312"/>
      <w:kern w:val="0"/>
      <w:sz w:val="32"/>
      <w:szCs w:val="32"/>
    </w:rPr>
  </w:style>
  <w:style w:type="paragraph" w:customStyle="1" w:styleId="76">
    <w:name w:val="p0"/>
    <w:basedOn w:val="1"/>
    <w:uiPriority w:val="0"/>
    <w:pPr>
      <w:widowControl/>
    </w:pPr>
    <w:rPr>
      <w:kern w:val="0"/>
      <w:szCs w:val="21"/>
    </w:rPr>
  </w:style>
  <w:style w:type="paragraph" w:customStyle="1" w:styleId="77">
    <w:name w:val="目录 41"/>
    <w:basedOn w:val="1"/>
    <w:uiPriority w:val="0"/>
    <w:pPr>
      <w:spacing w:before="23" w:beforeLines="0"/>
      <w:ind w:left="540"/>
      <w:jc w:val="left"/>
    </w:pPr>
    <w:rPr>
      <w:rFonts w:ascii="黑体" w:hAnsi="黑体" w:eastAsia="黑体" w:cs="Times New Roman"/>
      <w:i/>
      <w:kern w:val="0"/>
      <w:szCs w:val="21"/>
      <w:lang w:eastAsia="en-US"/>
    </w:rPr>
  </w:style>
  <w:style w:type="paragraph" w:customStyle="1" w:styleId="78">
    <w:name w:val="标题 21"/>
    <w:basedOn w:val="1"/>
    <w:uiPriority w:val="0"/>
    <w:pPr>
      <w:ind w:left="117"/>
      <w:jc w:val="left"/>
      <w:outlineLvl w:val="2"/>
    </w:pPr>
    <w:rPr>
      <w:rFonts w:ascii="黑体" w:hAnsi="黑体" w:eastAsia="黑体" w:cs="Times New Roman"/>
      <w:b/>
      <w:bCs/>
      <w:kern w:val="0"/>
      <w:sz w:val="32"/>
      <w:szCs w:val="32"/>
      <w:lang w:eastAsia="en-US"/>
    </w:rPr>
  </w:style>
  <w:style w:type="paragraph" w:customStyle="1" w:styleId="79">
    <w:name w:val=" Char Char Char"/>
    <w:basedOn w:val="1"/>
    <w:uiPriority w:val="0"/>
    <w:rPr>
      <w:rFonts w:ascii="Tahoma" w:hAnsi="Tahoma"/>
      <w:sz w:val="24"/>
      <w:szCs w:val="20"/>
    </w:rPr>
  </w:style>
  <w:style w:type="paragraph" w:customStyle="1" w:styleId="80">
    <w:name w:val="Heading 2"/>
    <w:basedOn w:val="1"/>
    <w:uiPriority w:val="0"/>
    <w:pPr>
      <w:ind w:left="117"/>
      <w:outlineLvl w:val="2"/>
    </w:pPr>
    <w:rPr>
      <w:rFonts w:ascii="黑体" w:hAnsi="黑体" w:eastAsia="黑体"/>
      <w:b/>
      <w:bCs/>
      <w:sz w:val="32"/>
      <w:szCs w:val="32"/>
    </w:rPr>
  </w:style>
  <w:style w:type="paragraph" w:customStyle="1" w:styleId="81">
    <w:name w:val="无间隔1"/>
    <w:basedOn w:val="1"/>
    <w:uiPriority w:val="0"/>
    <w:pPr>
      <w:spacing w:line="400" w:lineRule="exact"/>
    </w:pPr>
    <w:rPr>
      <w:rFonts w:eastAsia="宋体"/>
      <w:sz w:val="24"/>
    </w:rPr>
  </w:style>
  <w:style w:type="paragraph" w:customStyle="1" w:styleId="82">
    <w:name w:val="样式 正文文字 + 小四 段后: 0 磅 行距: 1.5 倍行距"/>
    <w:basedOn w:val="15"/>
    <w:uiPriority w:val="0"/>
    <w:pPr>
      <w:spacing w:after="0" w:afterLines="0" w:line="360" w:lineRule="auto"/>
      <w:ind w:firstLine="480" w:firstLineChars="200"/>
    </w:pPr>
    <w:rPr>
      <w:rFonts w:cs="宋体"/>
      <w:sz w:val="24"/>
      <w:szCs w:val="20"/>
    </w:rPr>
  </w:style>
  <w:style w:type="paragraph" w:customStyle="1" w:styleId="83">
    <w:name w:val=" Char"/>
    <w:basedOn w:val="1"/>
    <w:qFormat/>
    <w:uiPriority w:val="0"/>
    <w:pPr>
      <w:ind w:left="567" w:hanging="283"/>
    </w:pPr>
    <w:rPr>
      <w:rFonts w:ascii="宋体" w:hAnsi="宋体" w:eastAsia="宋体"/>
      <w:kern w:val="2"/>
      <w:sz w:val="28"/>
      <w:szCs w:val="24"/>
      <w:lang w:val="en-US" w:eastAsia="zh-CN" w:bidi="ar-SA"/>
    </w:rPr>
  </w:style>
  <w:style w:type="paragraph" w:customStyle="1" w:styleId="84">
    <w:name w:val="Heading 3"/>
    <w:basedOn w:val="1"/>
    <w:uiPriority w:val="0"/>
    <w:pPr>
      <w:spacing w:before="35" w:beforeLines="0"/>
      <w:ind w:left="828"/>
      <w:outlineLvl w:val="3"/>
    </w:pPr>
    <w:rPr>
      <w:rFonts w:ascii="宋体" w:hAnsi="宋体" w:eastAsia="宋体"/>
      <w:b/>
      <w:bCs/>
      <w:sz w:val="24"/>
      <w:szCs w:val="24"/>
    </w:rPr>
  </w:style>
  <w:style w:type="paragraph" w:customStyle="1" w:styleId="85">
    <w:name w:val="样式1"/>
    <w:basedOn w:val="1"/>
    <w:uiPriority w:val="0"/>
    <w:pPr>
      <w:tabs>
        <w:tab w:val="left" w:pos="709"/>
      </w:tabs>
      <w:adjustRightInd w:val="0"/>
      <w:ind w:left="709" w:hanging="709"/>
      <w:textAlignment w:val="baseline"/>
    </w:pPr>
    <w:rPr>
      <w:rFonts w:ascii="宋体" w:hAnsi="宋体"/>
      <w:kern w:val="0"/>
      <w:szCs w:val="24"/>
    </w:rPr>
  </w:style>
  <w:style w:type="paragraph" w:customStyle="1" w:styleId="86">
    <w:name w:val="_Style 2"/>
    <w:basedOn w:val="1"/>
    <w:qFormat/>
    <w:uiPriority w:val="0"/>
    <w:pPr>
      <w:ind w:firstLine="420" w:firstLineChars="200"/>
    </w:pPr>
    <w:rPr>
      <w:kern w:val="0"/>
      <w:sz w:val="20"/>
      <w:szCs w:val="24"/>
    </w:rPr>
  </w:style>
  <w:style w:type="paragraph" w:customStyle="1" w:styleId="87">
    <w:name w:val="彩色列表1"/>
    <w:basedOn w:val="1"/>
    <w:uiPriority w:val="0"/>
    <w:pPr>
      <w:jc w:val="left"/>
    </w:pPr>
    <w:rPr>
      <w:rFonts w:ascii="Calibri" w:hAnsi="Calibri" w:eastAsia="宋体" w:cs="Times New Roman"/>
      <w:kern w:val="0"/>
      <w:sz w:val="22"/>
      <w:szCs w:val="22"/>
      <w:lang w:eastAsia="en-US"/>
    </w:rPr>
  </w:style>
  <w:style w:type="paragraph" w:customStyle="1" w:styleId="88">
    <w:name w:val="目录 31"/>
    <w:basedOn w:val="1"/>
    <w:uiPriority w:val="0"/>
    <w:pPr>
      <w:spacing w:before="35" w:beforeLines="0"/>
      <w:ind w:left="330"/>
      <w:jc w:val="left"/>
    </w:pPr>
    <w:rPr>
      <w:rFonts w:ascii="宋体" w:hAnsi="宋体" w:cs="Times New Roman"/>
      <w:b/>
      <w:bCs/>
      <w:kern w:val="0"/>
      <w:sz w:val="20"/>
      <w:lang w:eastAsia="en-US"/>
    </w:rPr>
  </w:style>
  <w:style w:type="paragraph" w:customStyle="1" w:styleId="89">
    <w:name w:val="Heading 1"/>
    <w:basedOn w:val="1"/>
    <w:uiPriority w:val="0"/>
    <w:pPr>
      <w:outlineLvl w:val="1"/>
    </w:pPr>
    <w:rPr>
      <w:rFonts w:ascii="黑体" w:hAnsi="黑体" w:eastAsia="黑体"/>
      <w:b/>
      <w:bCs/>
      <w:sz w:val="44"/>
      <w:szCs w:val="44"/>
    </w:rPr>
  </w:style>
  <w:style w:type="paragraph" w:customStyle="1" w:styleId="90">
    <w:name w:val="Char"/>
    <w:basedOn w:val="1"/>
    <w:uiPriority w:val="0"/>
    <w:pPr>
      <w:widowControl/>
      <w:spacing w:after="160" w:afterLines="0" w:line="240" w:lineRule="exact"/>
      <w:jc w:val="left"/>
    </w:pPr>
    <w:rPr>
      <w:rFonts w:ascii="Verdana" w:hAnsi="Verdana" w:eastAsia="楷体_GB2312"/>
      <w:b/>
      <w:i/>
      <w:iCs/>
      <w:color w:val="000000"/>
      <w:kern w:val="0"/>
      <w:sz w:val="20"/>
      <w:szCs w:val="20"/>
      <w:lang w:eastAsia="en-US"/>
    </w:rPr>
  </w:style>
  <w:style w:type="paragraph" w:customStyle="1" w:styleId="91">
    <w:name w:val="目录 11"/>
    <w:basedOn w:val="1"/>
    <w:uiPriority w:val="0"/>
    <w:pPr>
      <w:spacing w:before="155" w:beforeLines="0"/>
      <w:jc w:val="left"/>
    </w:pPr>
    <w:rPr>
      <w:rFonts w:ascii="黑体" w:hAnsi="黑体" w:eastAsia="黑体" w:cs="Times New Roman"/>
      <w:b/>
      <w:bCs/>
      <w:kern w:val="0"/>
      <w:sz w:val="20"/>
      <w:lang w:eastAsia="en-US"/>
    </w:rPr>
  </w:style>
  <w:style w:type="paragraph" w:customStyle="1" w:styleId="92">
    <w:name w:val="Char Char Char Char"/>
    <w:basedOn w:val="1"/>
    <w:uiPriority w:val="0"/>
    <w:rPr>
      <w:rFonts w:ascii="Tahoma" w:hAnsi="Tahoma"/>
      <w:sz w:val="24"/>
      <w:szCs w:val="20"/>
    </w:rPr>
  </w:style>
  <w:style w:type="paragraph" w:customStyle="1" w:styleId="93">
    <w:name w:val="pa-1"/>
    <w:basedOn w:val="1"/>
    <w:uiPriority w:val="0"/>
    <w:pPr>
      <w:widowControl/>
      <w:spacing w:line="360" w:lineRule="atLeast"/>
      <w:ind w:firstLine="640"/>
    </w:pPr>
    <w:rPr>
      <w:rFonts w:ascii="宋体" w:hAnsi="宋体" w:cs="宋体"/>
      <w:kern w:val="0"/>
      <w:sz w:val="24"/>
    </w:rPr>
  </w:style>
  <w:style w:type="paragraph" w:customStyle="1" w:styleId="94">
    <w:name w:val="目录 51"/>
    <w:basedOn w:val="1"/>
    <w:uiPriority w:val="0"/>
    <w:pPr>
      <w:spacing w:before="23" w:beforeLines="0"/>
      <w:ind w:left="540"/>
      <w:jc w:val="left"/>
    </w:pPr>
    <w:rPr>
      <w:rFonts w:ascii="黑体" w:hAnsi="黑体" w:eastAsia="黑体" w:cs="Times New Roman"/>
      <w:b/>
      <w:bCs/>
      <w:i/>
      <w:kern w:val="0"/>
      <w:sz w:val="22"/>
      <w:szCs w:val="22"/>
      <w:lang w:eastAsia="en-US"/>
    </w:rPr>
  </w:style>
  <w:style w:type="paragraph" w:customStyle="1" w:styleId="95">
    <w:name w:val="pa-7"/>
    <w:basedOn w:val="1"/>
    <w:uiPriority w:val="0"/>
    <w:pPr>
      <w:widowControl/>
      <w:spacing w:line="360" w:lineRule="atLeast"/>
      <w:ind w:firstLine="800"/>
    </w:pPr>
    <w:rPr>
      <w:rFonts w:ascii="宋体" w:hAnsi="宋体" w:cs="宋体"/>
      <w:kern w:val="0"/>
      <w:sz w:val="24"/>
    </w:rPr>
  </w:style>
  <w:style w:type="paragraph" w:customStyle="1" w:styleId="96">
    <w:name w:val="正文（首行缩进一字）"/>
    <w:basedOn w:val="1"/>
    <w:uiPriority w:val="0"/>
  </w:style>
  <w:style w:type="paragraph" w:customStyle="1" w:styleId="97">
    <w:name w:val="普通(网站)1"/>
    <w:basedOn w:val="1"/>
    <w:uiPriority w:val="0"/>
    <w:pPr>
      <w:widowControl/>
      <w:spacing w:before="100" w:beforeLines="0" w:beforeAutospacing="1" w:after="100" w:afterLines="0" w:afterAutospacing="1"/>
      <w:jc w:val="left"/>
    </w:pPr>
    <w:rPr>
      <w:rFonts w:ascii="宋体" w:hAnsi="宋体" w:cs="宋体"/>
      <w:kern w:val="0"/>
      <w:sz w:val="24"/>
      <w:szCs w:val="24"/>
    </w:rPr>
  </w:style>
  <w:style w:type="paragraph" w:customStyle="1" w:styleId="98">
    <w:name w:val="pa-6"/>
    <w:basedOn w:val="1"/>
    <w:uiPriority w:val="0"/>
    <w:pPr>
      <w:widowControl/>
      <w:spacing w:line="360" w:lineRule="atLeast"/>
    </w:pPr>
    <w:rPr>
      <w:rFonts w:ascii="宋体" w:hAnsi="宋体" w:cs="宋体"/>
      <w:kern w:val="0"/>
      <w:sz w:val="24"/>
    </w:rPr>
  </w:style>
  <w:style w:type="paragraph" w:customStyle="1" w:styleId="99">
    <w:name w:val="pa-4"/>
    <w:basedOn w:val="1"/>
    <w:uiPriority w:val="0"/>
    <w:pPr>
      <w:widowControl/>
      <w:spacing w:line="360" w:lineRule="atLeast"/>
      <w:ind w:firstLine="960"/>
    </w:pPr>
    <w:rPr>
      <w:rFonts w:ascii="宋体" w:hAnsi="宋体" w:cs="宋体"/>
      <w:kern w:val="0"/>
      <w:sz w:val="24"/>
    </w:rPr>
  </w:style>
  <w:style w:type="paragraph" w:customStyle="1" w:styleId="100">
    <w:name w:val="List Paragraph"/>
    <w:basedOn w:val="1"/>
    <w:uiPriority w:val="0"/>
  </w:style>
  <w:style w:type="paragraph" w:customStyle="1" w:styleId="101">
    <w:name w:val="_Style 100"/>
    <w:uiPriority w:val="0"/>
    <w:rPr>
      <w:rFonts w:ascii="Times New Roman" w:hAnsi="Times New Roman" w:eastAsia="宋体" w:cs="Times New Roman"/>
      <w:kern w:val="2"/>
      <w:sz w:val="21"/>
      <w:lang w:val="en-US" w:eastAsia="zh-CN" w:bidi="ar-SA"/>
    </w:rPr>
  </w:style>
  <w:style w:type="paragraph" w:customStyle="1" w:styleId="102">
    <w:name w:val="pa-2"/>
    <w:basedOn w:val="1"/>
    <w:uiPriority w:val="0"/>
    <w:pPr>
      <w:widowControl/>
      <w:spacing w:line="360" w:lineRule="atLeast"/>
    </w:pPr>
    <w:rPr>
      <w:rFonts w:ascii="宋体" w:hAnsi="宋体" w:cs="宋体"/>
      <w:kern w:val="0"/>
      <w:sz w:val="24"/>
    </w:rPr>
  </w:style>
  <w:style w:type="paragraph" w:customStyle="1" w:styleId="103">
    <w:name w:val="pa-59"/>
    <w:basedOn w:val="1"/>
    <w:uiPriority w:val="0"/>
    <w:pPr>
      <w:widowControl/>
      <w:spacing w:line="240" w:lineRule="atLeast"/>
      <w:ind w:firstLine="640"/>
    </w:pPr>
    <w:rPr>
      <w:rFonts w:ascii="宋体" w:hAnsi="宋体" w:cs="宋体"/>
      <w:kern w:val="0"/>
      <w:sz w:val="24"/>
    </w:rPr>
  </w:style>
  <w:style w:type="paragraph" w:customStyle="1" w:styleId="104">
    <w:name w:val="样式2"/>
    <w:basedOn w:val="6"/>
    <w:uiPriority w:val="0"/>
    <w:pPr>
      <w:spacing w:line="413" w:lineRule="auto"/>
      <w:jc w:val="left"/>
    </w:pPr>
    <w:rPr>
      <w:rFonts w:ascii="华文中宋" w:hAnsi="华文中宋" w:eastAsia="宋体"/>
      <w:bCs w:val="0"/>
      <w:color w:val="000000"/>
      <w:szCs w:val="20"/>
    </w:rPr>
  </w:style>
  <w:style w:type="paragraph" w:customStyle="1" w:styleId="105">
    <w:name w:val="pa-58"/>
    <w:basedOn w:val="1"/>
    <w:uiPriority w:val="0"/>
    <w:pPr>
      <w:widowControl/>
      <w:spacing w:line="240" w:lineRule="atLeast"/>
      <w:ind w:firstLine="460"/>
    </w:pPr>
    <w:rPr>
      <w:rFonts w:ascii="宋体" w:hAnsi="宋体" w:cs="宋体"/>
      <w:kern w:val="0"/>
      <w:sz w:val="24"/>
    </w:rPr>
  </w:style>
  <w:style w:type="paragraph" w:customStyle="1" w:styleId="106">
    <w:name w:val="0"/>
    <w:basedOn w:val="1"/>
    <w:uiPriority w:val="0"/>
    <w:pPr>
      <w:widowControl/>
      <w:snapToGrid w:val="0"/>
      <w:spacing w:line="408" w:lineRule="auto"/>
      <w:ind w:left="1"/>
      <w:textAlignment w:val="bottom"/>
    </w:pPr>
    <w:rPr>
      <w:color w:val="000000"/>
      <w:kern w:val="0"/>
      <w:szCs w:val="21"/>
    </w:rPr>
  </w:style>
  <w:style w:type="paragraph" w:customStyle="1" w:styleId="107">
    <w:name w:val="Table Paragraph"/>
    <w:basedOn w:val="1"/>
    <w:uiPriority w:val="0"/>
    <w:pPr>
      <w:jc w:val="left"/>
    </w:pPr>
    <w:rPr>
      <w:rFonts w:ascii="Calibri" w:hAnsi="Calibri" w:eastAsia="宋体" w:cs="Times New Roman"/>
      <w:kern w:val="0"/>
      <w:sz w:val="22"/>
      <w:szCs w:val="22"/>
      <w:lang w:eastAsia="en-US"/>
    </w:rPr>
  </w:style>
  <w:style w:type="paragraph" w:customStyle="1" w:styleId="108">
    <w:name w:val="表格文字"/>
    <w:basedOn w:val="1"/>
    <w:next w:val="15"/>
    <w:uiPriority w:val="0"/>
    <w:pPr>
      <w:adjustRightInd w:val="0"/>
      <w:spacing w:line="420" w:lineRule="atLeast"/>
      <w:jc w:val="left"/>
      <w:textAlignment w:val="baseline"/>
    </w:pPr>
    <w:rPr>
      <w:kern w:val="0"/>
      <w:szCs w:val="20"/>
    </w:rPr>
  </w:style>
  <w:style w:type="paragraph" w:customStyle="1" w:styleId="109">
    <w:name w:val="标题 11"/>
    <w:basedOn w:val="1"/>
    <w:uiPriority w:val="0"/>
    <w:pPr>
      <w:jc w:val="left"/>
      <w:outlineLvl w:val="1"/>
    </w:pPr>
    <w:rPr>
      <w:rFonts w:ascii="黑体" w:hAnsi="黑体" w:eastAsia="黑体" w:cs="Times New Roman"/>
      <w:b/>
      <w:bCs/>
      <w:kern w:val="0"/>
      <w:sz w:val="44"/>
      <w:szCs w:val="44"/>
      <w:lang w:eastAsia="en-US"/>
    </w:rPr>
  </w:style>
  <w:style w:type="paragraph" w:customStyle="1" w:styleId="110">
    <w:name w:val="pa-55"/>
    <w:basedOn w:val="1"/>
    <w:uiPriority w:val="0"/>
    <w:pPr>
      <w:widowControl/>
      <w:spacing w:line="240" w:lineRule="atLeast"/>
      <w:ind w:firstLine="420"/>
    </w:pPr>
    <w:rPr>
      <w:rFonts w:ascii="宋体" w:hAnsi="宋体" w:cs="宋体"/>
      <w:kern w:val="0"/>
      <w:sz w:val="24"/>
    </w:rPr>
  </w:style>
  <w:style w:type="paragraph" w:customStyle="1" w:styleId="111">
    <w:name w:val="标题 31"/>
    <w:basedOn w:val="1"/>
    <w:uiPriority w:val="0"/>
    <w:pPr>
      <w:spacing w:before="35" w:beforeLines="0"/>
      <w:ind w:left="828"/>
      <w:jc w:val="left"/>
      <w:outlineLvl w:val="3"/>
    </w:pPr>
    <w:rPr>
      <w:rFonts w:ascii="宋体" w:hAnsi="宋体" w:cs="Times New Roman"/>
      <w:b/>
      <w:bCs/>
      <w:kern w:val="0"/>
      <w:sz w:val="24"/>
      <w:szCs w:val="24"/>
      <w:lang w:eastAsia="en-US"/>
    </w:rPr>
  </w:style>
  <w:style w:type="paragraph" w:customStyle="1" w:styleId="112">
    <w:name w:val="pa-57"/>
    <w:basedOn w:val="1"/>
    <w:uiPriority w:val="0"/>
    <w:pPr>
      <w:widowControl/>
      <w:spacing w:line="240" w:lineRule="atLeast"/>
      <w:ind w:firstLine="480"/>
    </w:pPr>
    <w:rPr>
      <w:rFonts w:ascii="宋体" w:hAnsi="宋体" w:cs="宋体"/>
      <w:kern w:val="0"/>
      <w:sz w:val="24"/>
    </w:rPr>
  </w:style>
  <w:style w:type="paragraph" w:customStyle="1" w:styleId="113">
    <w:name w:val="pa-56"/>
    <w:basedOn w:val="1"/>
    <w:uiPriority w:val="0"/>
    <w:pPr>
      <w:widowControl/>
      <w:spacing w:line="240" w:lineRule="atLeast"/>
    </w:pPr>
    <w:rPr>
      <w:rFonts w:ascii="宋体" w:hAnsi="宋体" w:cs="宋体"/>
      <w:kern w:val="0"/>
      <w:sz w:val="24"/>
    </w:rPr>
  </w:style>
  <w:style w:type="paragraph" w:customStyle="1" w:styleId="11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15">
    <w:name w:val="UserStyle_35"/>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116">
    <w:name w:val="WPSOffice手动目录 1"/>
    <w:uiPriority w:val="0"/>
    <w:pPr>
      <w:ind w:leftChars="0"/>
    </w:pPr>
    <w:rPr>
      <w:rFonts w:ascii="Times New Roman" w:hAnsi="Times New Roman" w:eastAsia="宋体" w:cs="Times New Roman"/>
      <w:sz w:val="20"/>
      <w:szCs w:val="20"/>
    </w:rPr>
  </w:style>
  <w:style w:type="character" w:customStyle="1" w:styleId="117">
    <w:name w:val="UserStyle_17"/>
    <w:qFormat/>
    <w:uiPriority w:val="0"/>
    <w:rPr>
      <w:rFonts w:ascii="Times New Roman" w:hAnsi="Times New Roman" w:eastAsia="宋体" w:cs="Times New Roman"/>
      <w:kern w:val="2"/>
      <w:sz w:val="21"/>
      <w:szCs w:val="24"/>
      <w:lang w:val="en-US" w:eastAsia="zh-CN" w:bidi="ar-SA"/>
    </w:rPr>
  </w:style>
  <w:style w:type="paragraph" w:customStyle="1" w:styleId="118">
    <w:name w:val="UserStyle_0"/>
    <w:qFormat/>
    <w:uiPriority w:val="0"/>
    <w:pPr>
      <w:textAlignment w:val="baseline"/>
    </w:pPr>
    <w:rPr>
      <w:rFonts w:ascii="宋体" w:hAnsi="Times New Roman" w:eastAsia="宋体" w:cs="Times New Roman"/>
      <w:color w:val="000000"/>
      <w:sz w:val="24"/>
      <w:szCs w:val="24"/>
      <w:lang w:val="en-US" w:eastAsia="zh-CN" w:bidi="ar-SA"/>
    </w:rPr>
  </w:style>
  <w:style w:type="character" w:customStyle="1" w:styleId="119">
    <w:name w:val="hover18"/>
    <w:basedOn w:val="38"/>
    <w:uiPriority w:val="0"/>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63</Pages>
  <Words>28287</Words>
  <Characters>29250</Characters>
  <Lines>186</Lines>
  <Paragraphs>52</Paragraphs>
  <TotalTime>1</TotalTime>
  <ScaleCrop>false</ScaleCrop>
  <LinksUpToDate>false</LinksUpToDate>
  <CharactersWithSpaces>31958</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2019-03-11T12:08:00Z</dcterms:created>
  <dc:creator>Agent_1</dc:creator>
  <cp:lastModifiedBy>哈哈</cp:lastModifiedBy>
  <cp:lastPrinted>2023-07-17T08:45:00Z</cp:lastPrinted>
  <dcterms:modified xsi:type="dcterms:W3CDTF">2023-07-26T01:00:35Z</dcterms:modified>
  <dc:title>工程施工招标</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1EAB4700593D4C4480FF7D8456C2352A_13</vt:lpwstr>
  </property>
</Properties>
</file>