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p>
    <w:p>
      <w:pPr>
        <w:pStyle w:val="4"/>
        <w:jc w:val="center"/>
        <w:rPr>
          <w:rFonts w:hint="eastAsia" w:ascii="宋体" w:hAnsi="宋体"/>
          <w:b/>
          <w:bCs/>
          <w:sz w:val="52"/>
          <w:szCs w:val="52"/>
          <w:lang w:val="en-US" w:eastAsia="zh-CN"/>
        </w:rPr>
      </w:pPr>
      <w:bookmarkStart w:id="0" w:name="_Toc29289"/>
      <w:r>
        <w:rPr>
          <w:rFonts w:hint="eastAsia" w:ascii="宋体" w:hAnsi="宋体"/>
          <w:b/>
          <w:bCs/>
          <w:sz w:val="52"/>
          <w:szCs w:val="52"/>
          <w:lang w:val="en-US" w:eastAsia="zh-CN"/>
        </w:rPr>
        <w:t>武陟县农业农村局关于2023年武陟县第三次全国土壤普查表层样采集项目</w:t>
      </w:r>
    </w:p>
    <w:p>
      <w:pPr>
        <w:jc w:val="center"/>
        <w:outlineLvl w:val="9"/>
        <w:rPr>
          <w:rFonts w:hint="eastAsia" w:ascii="黑体" w:hAnsi="黑体" w:eastAsia="黑体" w:cs="黑体"/>
          <w:b/>
          <w:sz w:val="72"/>
          <w:szCs w:val="72"/>
        </w:rPr>
      </w:pPr>
      <w:bookmarkStart w:id="1" w:name="_Toc115021824"/>
    </w:p>
    <w:p>
      <w:pPr>
        <w:jc w:val="center"/>
        <w:outlineLvl w:val="9"/>
        <w:rPr>
          <w:rFonts w:hint="eastAsia" w:ascii="黑体" w:hAnsi="黑体" w:eastAsia="黑体" w:cs="黑体"/>
          <w:b/>
          <w:sz w:val="72"/>
          <w:szCs w:val="72"/>
        </w:rPr>
      </w:pPr>
    </w:p>
    <w:p>
      <w:pPr>
        <w:jc w:val="center"/>
        <w:outlineLvl w:val="9"/>
        <w:rPr>
          <w:rFonts w:hint="eastAsia" w:ascii="黑体" w:hAnsi="黑体" w:eastAsia="黑体" w:cs="黑体"/>
          <w:b/>
          <w:sz w:val="72"/>
          <w:szCs w:val="72"/>
        </w:rPr>
      </w:pPr>
    </w:p>
    <w:p>
      <w:pPr>
        <w:spacing w:line="360" w:lineRule="auto"/>
        <w:jc w:val="center"/>
        <w:rPr>
          <w:rFonts w:hint="eastAsia" w:ascii="宋体" w:hAnsi="宋体" w:cs="宋体"/>
          <w:b/>
          <w:bCs/>
          <w:sz w:val="72"/>
          <w:szCs w:val="72"/>
        </w:rPr>
      </w:pPr>
      <w:r>
        <w:rPr>
          <w:rFonts w:hint="eastAsia" w:ascii="宋体" w:hAnsi="宋体" w:cs="宋体"/>
          <w:b/>
          <w:bCs/>
          <w:sz w:val="72"/>
          <w:szCs w:val="72"/>
        </w:rPr>
        <w:t>竞争性磋商文件</w:t>
      </w:r>
      <w:bookmarkEnd w:id="0"/>
      <w:bookmarkEnd w:id="1"/>
    </w:p>
    <w:p>
      <w:pPr>
        <w:jc w:val="center"/>
        <w:rPr>
          <w:rFonts w:hint="default" w:ascii="宋体" w:hAnsi="宋体" w:eastAsia="宋体"/>
          <w:szCs w:val="21"/>
          <w:lang w:val="en-US" w:eastAsia="zh-CN"/>
        </w:rPr>
      </w:pPr>
      <w:r>
        <w:rPr>
          <w:rFonts w:hint="eastAsia" w:ascii="宋体" w:hAnsi="宋体" w:cs="宋体"/>
          <w:sz w:val="28"/>
          <w:szCs w:val="28"/>
        </w:rPr>
        <w:t>项目编号：</w:t>
      </w:r>
      <w:r>
        <w:rPr>
          <w:rFonts w:hint="eastAsia" w:ascii="宋体" w:hAnsi="宋体" w:cs="宋体"/>
          <w:sz w:val="28"/>
          <w:szCs w:val="28"/>
          <w:lang w:val="en-US" w:eastAsia="zh-CN"/>
        </w:rPr>
        <w:t>2023-CS-046</w:t>
      </w:r>
    </w:p>
    <w:p>
      <w:pPr>
        <w:pStyle w:val="58"/>
        <w:rPr>
          <w:rFonts w:hint="eastAsia"/>
          <w:lang w:eastAsia="zh-CN"/>
        </w:rPr>
      </w:pPr>
    </w:p>
    <w:p>
      <w:pPr>
        <w:pStyle w:val="4"/>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both"/>
        <w:rPr>
          <w:rFonts w:hint="eastAsia" w:ascii="宋体" w:hAnsi="宋体" w:cs="宋体"/>
        </w:rPr>
      </w:pPr>
    </w:p>
    <w:p>
      <w:pPr>
        <w:pStyle w:val="4"/>
        <w:rPr>
          <w:rFonts w:hint="eastAsia"/>
        </w:rPr>
      </w:pPr>
    </w:p>
    <w:p>
      <w:pPr>
        <w:rPr>
          <w:rFonts w:hint="eastAsia" w:ascii="宋体" w:hAnsi="宋体" w:cs="宋体"/>
          <w:b/>
          <w:bCs/>
          <w:sz w:val="32"/>
        </w:rPr>
      </w:pPr>
    </w:p>
    <w:p>
      <w:pPr>
        <w:ind w:firstLine="1606" w:firstLineChars="500"/>
        <w:rPr>
          <w:rFonts w:hint="eastAsia" w:ascii="宋体" w:hAnsi="宋体" w:cs="宋体"/>
          <w:b/>
          <w:bCs/>
          <w:sz w:val="32"/>
          <w:lang w:val="en-US" w:eastAsia="zh-CN"/>
        </w:rPr>
      </w:pPr>
      <w:r>
        <w:rPr>
          <w:rFonts w:hint="eastAsia" w:ascii="宋体" w:hAnsi="宋体" w:cs="宋体"/>
          <w:b/>
          <w:bCs/>
          <w:sz w:val="32"/>
        </w:rPr>
        <w:t>采   购   人：</w:t>
      </w:r>
      <w:r>
        <w:rPr>
          <w:rFonts w:hint="eastAsia" w:ascii="宋体" w:hAnsi="宋体" w:cs="宋体"/>
          <w:b/>
          <w:bCs/>
          <w:sz w:val="32"/>
          <w:lang w:val="en-US" w:eastAsia="zh-CN"/>
        </w:rPr>
        <w:t>武陟县农业农村局</w:t>
      </w:r>
    </w:p>
    <w:p>
      <w:pPr>
        <w:pStyle w:val="2"/>
        <w:rPr>
          <w:rFonts w:hint="eastAsia"/>
          <w:lang w:eastAsia="zh-CN"/>
        </w:rPr>
      </w:pPr>
    </w:p>
    <w:p>
      <w:pPr>
        <w:rPr>
          <w:rFonts w:hint="default" w:ascii="宋体" w:hAnsi="宋体" w:eastAsia="宋体" w:cs="宋体"/>
          <w:b/>
          <w:bCs/>
          <w:sz w:val="44"/>
          <w:szCs w:val="32"/>
          <w:lang w:val="en-US"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w:t>
      </w:r>
      <w:r>
        <w:rPr>
          <w:rFonts w:hint="eastAsia" w:ascii="宋体" w:hAnsi="宋体" w:cs="宋体"/>
          <w:b/>
          <w:bCs/>
          <w:sz w:val="32"/>
        </w:rPr>
        <w:t>采购代理机构：</w:t>
      </w:r>
      <w:r>
        <w:rPr>
          <w:rFonts w:hint="eastAsia" w:ascii="宋体" w:hAnsi="宋体" w:cs="宋体"/>
          <w:b/>
          <w:bCs/>
          <w:sz w:val="32"/>
          <w:lang w:val="en-US" w:eastAsia="zh-CN"/>
        </w:rPr>
        <w:t>达信建设发展有限公司</w:t>
      </w:r>
    </w:p>
    <w:p>
      <w:pPr>
        <w:pStyle w:val="27"/>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目录</w:t>
      </w:r>
    </w:p>
    <w:p>
      <w:pPr>
        <w:pStyle w:val="27"/>
        <w:tabs>
          <w:tab w:val="right" w:leader="dot" w:pos="8820"/>
        </w:tabs>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"1-2" \h \u </w:instrText>
      </w:r>
      <w:r>
        <w:rPr>
          <w:rFonts w:hint="eastAsia" w:ascii="宋体" w:hAnsi="宋体" w:cs="宋体"/>
          <w:b/>
          <w:bCs/>
          <w:caps/>
          <w:sz w:val="24"/>
          <w:szCs w:val="24"/>
          <w:lang w:val="zh-CN"/>
        </w:rPr>
        <w:fldChar w:fldCharType="separate"/>
      </w: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_Toc2939 </w:instrText>
      </w:r>
      <w:r>
        <w:rPr>
          <w:rFonts w:hint="eastAsia" w:ascii="宋体" w:hAnsi="宋体" w:cs="宋体"/>
          <w:bCs/>
          <w:caps/>
          <w:szCs w:val="24"/>
          <w:lang w:val="zh-CN"/>
        </w:rPr>
        <w:fldChar w:fldCharType="separate"/>
      </w:r>
      <w:r>
        <w:rPr>
          <w:rFonts w:hint="eastAsia" w:ascii="宋体" w:hAnsi="宋体" w:cs="宋体"/>
          <w:bCs/>
        </w:rPr>
        <w:t xml:space="preserve">第一章 </w:t>
      </w:r>
      <w:r>
        <w:rPr>
          <w:rFonts w:hint="eastAsia" w:ascii="宋体" w:hAnsi="宋体" w:cs="宋体"/>
          <w:bCs w:val="0"/>
        </w:rPr>
        <w:t>竞争性磋商公告</w:t>
      </w:r>
      <w:r>
        <w:tab/>
      </w:r>
      <w:r>
        <w:fldChar w:fldCharType="begin"/>
      </w:r>
      <w:r>
        <w:instrText xml:space="preserve"> PAGEREF _Toc2939 \h </w:instrText>
      </w:r>
      <w:r>
        <w:fldChar w:fldCharType="separate"/>
      </w:r>
      <w:r>
        <w:t>2</w:t>
      </w:r>
      <w:r>
        <w:fldChar w:fldCharType="end"/>
      </w:r>
      <w:r>
        <w:rPr>
          <w:rFonts w:hint="eastAsia" w:ascii="宋体" w:hAnsi="宋体" w:cs="宋体"/>
          <w:bCs/>
          <w:caps/>
          <w:szCs w:val="24"/>
          <w:lang w:val="zh-CN"/>
        </w:rPr>
        <w:fldChar w:fldCharType="end"/>
      </w:r>
    </w:p>
    <w:p>
      <w:pPr>
        <w:pStyle w:val="27"/>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_Toc8609 </w:instrText>
      </w:r>
      <w:r>
        <w:rPr>
          <w:rFonts w:hint="eastAsia" w:ascii="宋体" w:hAnsi="宋体" w:cs="宋体"/>
          <w:bCs/>
          <w:caps/>
          <w:szCs w:val="24"/>
          <w:lang w:val="zh-CN"/>
        </w:rPr>
        <w:fldChar w:fldCharType="separate"/>
      </w:r>
      <w:r>
        <w:rPr>
          <w:rFonts w:hint="eastAsia" w:ascii="宋体" w:hAnsi="宋体" w:cs="宋体"/>
          <w:bCs/>
        </w:rPr>
        <w:t xml:space="preserve">第二章 </w:t>
      </w:r>
      <w:r>
        <w:rPr>
          <w:rFonts w:hint="eastAsia" w:ascii="宋体" w:hAnsi="宋体" w:cs="宋体"/>
        </w:rPr>
        <w:t>供应商须知</w:t>
      </w:r>
      <w:r>
        <w:tab/>
      </w:r>
      <w:r>
        <w:fldChar w:fldCharType="begin"/>
      </w:r>
      <w:r>
        <w:instrText xml:space="preserve"> PAGEREF _Toc8609 \h </w:instrText>
      </w:r>
      <w:r>
        <w:fldChar w:fldCharType="separate"/>
      </w:r>
      <w:r>
        <w:t>5</w:t>
      </w:r>
      <w:r>
        <w:fldChar w:fldCharType="end"/>
      </w:r>
      <w:r>
        <w:rPr>
          <w:rFonts w:hint="eastAsia" w:ascii="宋体" w:hAnsi="宋体" w:cs="宋体"/>
          <w:bCs/>
          <w:caps/>
          <w:szCs w:val="24"/>
          <w:lang w:val="zh-CN"/>
        </w:rPr>
        <w:fldChar w:fldCharType="end"/>
      </w:r>
    </w:p>
    <w:p>
      <w:pPr>
        <w:pStyle w:val="27"/>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_Toc28448 </w:instrText>
      </w:r>
      <w:r>
        <w:rPr>
          <w:rFonts w:hint="eastAsia" w:ascii="宋体" w:hAnsi="宋体" w:cs="宋体"/>
          <w:bCs/>
          <w:caps/>
          <w:szCs w:val="24"/>
          <w:lang w:val="zh-CN"/>
        </w:rPr>
        <w:fldChar w:fldCharType="separate"/>
      </w:r>
      <w:r>
        <w:rPr>
          <w:rFonts w:hint="eastAsia" w:ascii="宋体" w:hAnsi="宋体" w:cs="宋体"/>
          <w:bCs/>
        </w:rPr>
        <w:t xml:space="preserve">第三章 </w:t>
      </w:r>
      <w:r>
        <w:rPr>
          <w:rFonts w:hint="eastAsia" w:ascii="宋体" w:hAnsi="宋体" w:cs="宋体"/>
        </w:rPr>
        <w:t>评审方法和评审标准</w:t>
      </w:r>
      <w:r>
        <w:tab/>
      </w:r>
      <w:r>
        <w:fldChar w:fldCharType="begin"/>
      </w:r>
      <w:r>
        <w:instrText xml:space="preserve"> PAGEREF _Toc28448 \h </w:instrText>
      </w:r>
      <w:r>
        <w:fldChar w:fldCharType="separate"/>
      </w:r>
      <w:r>
        <w:t>20</w:t>
      </w:r>
      <w:r>
        <w:fldChar w:fldCharType="end"/>
      </w:r>
      <w:r>
        <w:rPr>
          <w:rFonts w:hint="eastAsia" w:ascii="宋体" w:hAnsi="宋体" w:cs="宋体"/>
          <w:bCs/>
          <w:caps/>
          <w:szCs w:val="24"/>
          <w:lang w:val="zh-CN"/>
        </w:rPr>
        <w:fldChar w:fldCharType="end"/>
      </w:r>
    </w:p>
    <w:p>
      <w:pPr>
        <w:pStyle w:val="27"/>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_Toc15266 </w:instrText>
      </w:r>
      <w:r>
        <w:rPr>
          <w:rFonts w:hint="eastAsia" w:ascii="宋体" w:hAnsi="宋体" w:cs="宋体"/>
          <w:bCs/>
          <w:caps/>
          <w:szCs w:val="24"/>
          <w:lang w:val="zh-CN"/>
        </w:rPr>
        <w:fldChar w:fldCharType="separate"/>
      </w:r>
      <w:r>
        <w:rPr>
          <w:rFonts w:hint="eastAsia" w:ascii="宋体" w:hAnsi="宋体" w:cs="宋体"/>
          <w:bCs/>
        </w:rPr>
        <w:t xml:space="preserve">第四章 </w:t>
      </w:r>
      <w:r>
        <w:rPr>
          <w:rFonts w:hint="eastAsia" w:ascii="宋体" w:hAnsi="宋体" w:cs="宋体"/>
        </w:rPr>
        <w:t>拟签订的合同文本</w:t>
      </w:r>
      <w:r>
        <w:tab/>
      </w:r>
      <w:r>
        <w:fldChar w:fldCharType="begin"/>
      </w:r>
      <w:r>
        <w:instrText xml:space="preserve"> PAGEREF _Toc15266 \h </w:instrText>
      </w:r>
      <w:r>
        <w:fldChar w:fldCharType="separate"/>
      </w:r>
      <w:r>
        <w:t>24</w:t>
      </w:r>
      <w:r>
        <w:fldChar w:fldCharType="end"/>
      </w:r>
      <w:r>
        <w:rPr>
          <w:rFonts w:hint="eastAsia" w:ascii="宋体" w:hAnsi="宋体" w:cs="宋体"/>
          <w:bCs/>
          <w:caps/>
          <w:szCs w:val="24"/>
          <w:lang w:val="zh-CN"/>
        </w:rPr>
        <w:fldChar w:fldCharType="end"/>
      </w:r>
    </w:p>
    <w:p>
      <w:pPr>
        <w:pStyle w:val="27"/>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_Toc18713 </w:instrText>
      </w:r>
      <w:r>
        <w:rPr>
          <w:rFonts w:hint="eastAsia" w:ascii="宋体" w:hAnsi="宋体" w:cs="宋体"/>
          <w:bCs/>
          <w:caps/>
          <w:szCs w:val="24"/>
          <w:lang w:val="zh-CN"/>
        </w:rPr>
        <w:fldChar w:fldCharType="separate"/>
      </w:r>
      <w:r>
        <w:rPr>
          <w:rFonts w:hint="eastAsia" w:ascii="宋体" w:hAnsi="宋体" w:cs="宋体"/>
          <w:bCs/>
        </w:rPr>
        <w:t xml:space="preserve">第五章 </w:t>
      </w:r>
      <w:r>
        <w:rPr>
          <w:rFonts w:hint="eastAsia" w:ascii="宋体" w:hAnsi="宋体" w:cs="宋体"/>
        </w:rPr>
        <w:t>采购需求</w:t>
      </w:r>
      <w:r>
        <w:tab/>
      </w:r>
      <w:r>
        <w:fldChar w:fldCharType="begin"/>
      </w:r>
      <w:r>
        <w:instrText xml:space="preserve"> PAGEREF _Toc18713 \h </w:instrText>
      </w:r>
      <w:r>
        <w:fldChar w:fldCharType="separate"/>
      </w:r>
      <w:r>
        <w:t>26</w:t>
      </w:r>
      <w:r>
        <w:fldChar w:fldCharType="end"/>
      </w:r>
      <w:r>
        <w:rPr>
          <w:rFonts w:hint="eastAsia" w:ascii="宋体" w:hAnsi="宋体" w:cs="宋体"/>
          <w:bCs/>
          <w:caps/>
          <w:szCs w:val="24"/>
          <w:lang w:val="zh-CN"/>
        </w:rPr>
        <w:fldChar w:fldCharType="end"/>
      </w:r>
    </w:p>
    <w:p>
      <w:pPr>
        <w:pStyle w:val="27"/>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_Toc20975 </w:instrText>
      </w:r>
      <w:r>
        <w:rPr>
          <w:rFonts w:hint="eastAsia" w:ascii="宋体" w:hAnsi="宋体" w:cs="宋体"/>
          <w:bCs/>
          <w:caps/>
          <w:szCs w:val="24"/>
          <w:lang w:val="zh-CN"/>
        </w:rPr>
        <w:fldChar w:fldCharType="separate"/>
      </w:r>
      <w:r>
        <w:rPr>
          <w:rFonts w:hint="eastAsia" w:ascii="宋体" w:hAnsi="宋体" w:cs="宋体"/>
        </w:rPr>
        <w:t>第六章 响应文件格式</w:t>
      </w:r>
      <w:r>
        <w:tab/>
      </w:r>
      <w:r>
        <w:fldChar w:fldCharType="begin"/>
      </w:r>
      <w:r>
        <w:instrText xml:space="preserve"> PAGEREF _Toc20975 \h </w:instrText>
      </w:r>
      <w:r>
        <w:fldChar w:fldCharType="separate"/>
      </w:r>
      <w:r>
        <w:t>28</w:t>
      </w:r>
      <w:r>
        <w:fldChar w:fldCharType="end"/>
      </w:r>
      <w:r>
        <w:rPr>
          <w:rFonts w:hint="eastAsia" w:ascii="宋体" w:hAnsi="宋体" w:cs="宋体"/>
          <w:bCs/>
          <w:caps/>
          <w:szCs w:val="24"/>
          <w:lang w:val="zh-CN"/>
        </w:rPr>
        <w:fldChar w:fldCharType="end"/>
      </w:r>
    </w:p>
    <w:p>
      <w:pPr>
        <w:pStyle w:val="31"/>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_Toc17711 </w:instrText>
      </w:r>
      <w:r>
        <w:rPr>
          <w:rFonts w:hint="eastAsia" w:ascii="宋体" w:hAnsi="宋体" w:cs="宋体"/>
          <w:bCs/>
          <w:caps/>
          <w:szCs w:val="24"/>
          <w:lang w:val="zh-CN"/>
        </w:rPr>
        <w:fldChar w:fldCharType="separate"/>
      </w:r>
      <w:r>
        <w:rPr>
          <w:rFonts w:hint="eastAsia" w:ascii="宋体" w:hAnsi="宋体" w:cs="宋体"/>
          <w:szCs w:val="32"/>
        </w:rPr>
        <w:t>1. 磋商承诺函</w:t>
      </w:r>
      <w:r>
        <w:tab/>
      </w:r>
      <w:r>
        <w:fldChar w:fldCharType="begin"/>
      </w:r>
      <w:r>
        <w:instrText xml:space="preserve"> PAGEREF _Toc17711 \h </w:instrText>
      </w:r>
      <w:r>
        <w:fldChar w:fldCharType="separate"/>
      </w:r>
      <w:r>
        <w:t>31</w:t>
      </w:r>
      <w:r>
        <w:fldChar w:fldCharType="end"/>
      </w:r>
      <w:r>
        <w:rPr>
          <w:rFonts w:hint="eastAsia" w:ascii="宋体" w:hAnsi="宋体" w:cs="宋体"/>
          <w:bCs/>
          <w:caps/>
          <w:szCs w:val="24"/>
          <w:lang w:val="zh-CN"/>
        </w:rPr>
        <w:fldChar w:fldCharType="end"/>
      </w:r>
    </w:p>
    <w:p>
      <w:pPr>
        <w:pStyle w:val="31"/>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_Toc7637 </w:instrText>
      </w:r>
      <w:r>
        <w:rPr>
          <w:rFonts w:hint="eastAsia" w:ascii="宋体" w:hAnsi="宋体" w:cs="宋体"/>
          <w:bCs/>
          <w:caps/>
          <w:szCs w:val="24"/>
          <w:lang w:val="zh-CN"/>
        </w:rPr>
        <w:fldChar w:fldCharType="separate"/>
      </w:r>
      <w:r>
        <w:rPr>
          <w:rFonts w:hint="eastAsia" w:ascii="宋体" w:hAnsi="宋体" w:cs="宋体"/>
          <w:szCs w:val="32"/>
        </w:rPr>
        <w:t>2. 承诺书</w:t>
      </w:r>
      <w:r>
        <w:tab/>
      </w:r>
      <w:r>
        <w:fldChar w:fldCharType="begin"/>
      </w:r>
      <w:r>
        <w:instrText xml:space="preserve"> PAGEREF _Toc7637 \h </w:instrText>
      </w:r>
      <w:r>
        <w:fldChar w:fldCharType="separate"/>
      </w:r>
      <w:r>
        <w:t>32</w:t>
      </w:r>
      <w:r>
        <w:fldChar w:fldCharType="end"/>
      </w:r>
      <w:r>
        <w:rPr>
          <w:rFonts w:hint="eastAsia" w:ascii="宋体" w:hAnsi="宋体" w:cs="宋体"/>
          <w:bCs/>
          <w:caps/>
          <w:szCs w:val="24"/>
          <w:lang w:val="zh-CN"/>
        </w:rPr>
        <w:fldChar w:fldCharType="end"/>
      </w:r>
    </w:p>
    <w:p>
      <w:pPr>
        <w:pStyle w:val="31"/>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_Toc10655 </w:instrText>
      </w:r>
      <w:r>
        <w:rPr>
          <w:rFonts w:hint="eastAsia" w:ascii="宋体" w:hAnsi="宋体" w:cs="宋体"/>
          <w:bCs/>
          <w:caps/>
          <w:szCs w:val="24"/>
          <w:lang w:val="zh-CN"/>
        </w:rPr>
        <w:fldChar w:fldCharType="separate"/>
      </w:r>
      <w:r>
        <w:rPr>
          <w:rFonts w:hint="eastAsia" w:ascii="宋体" w:hAnsi="宋体" w:cs="宋体"/>
          <w:szCs w:val="32"/>
        </w:rPr>
        <w:t>3. 供应商基本情况表</w:t>
      </w:r>
      <w:r>
        <w:tab/>
      </w:r>
      <w:r>
        <w:fldChar w:fldCharType="begin"/>
      </w:r>
      <w:r>
        <w:instrText xml:space="preserve"> PAGEREF _Toc10655 \h </w:instrText>
      </w:r>
      <w:r>
        <w:fldChar w:fldCharType="separate"/>
      </w:r>
      <w:r>
        <w:t>33</w:t>
      </w:r>
      <w:r>
        <w:fldChar w:fldCharType="end"/>
      </w:r>
      <w:r>
        <w:rPr>
          <w:rFonts w:hint="eastAsia" w:ascii="宋体" w:hAnsi="宋体" w:cs="宋体"/>
          <w:bCs/>
          <w:caps/>
          <w:szCs w:val="24"/>
          <w:lang w:val="zh-CN"/>
        </w:rPr>
        <w:fldChar w:fldCharType="end"/>
      </w:r>
    </w:p>
    <w:p>
      <w:pPr>
        <w:pStyle w:val="31"/>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_Toc32316 </w:instrText>
      </w:r>
      <w:r>
        <w:rPr>
          <w:rFonts w:hint="eastAsia" w:ascii="宋体" w:hAnsi="宋体" w:cs="宋体"/>
          <w:bCs/>
          <w:caps/>
          <w:szCs w:val="24"/>
          <w:lang w:val="zh-CN"/>
        </w:rPr>
        <w:fldChar w:fldCharType="separate"/>
      </w:r>
      <w:r>
        <w:rPr>
          <w:rFonts w:hint="eastAsia" w:ascii="宋体" w:hAnsi="宋体" w:cs="宋体"/>
          <w:szCs w:val="32"/>
        </w:rPr>
        <w:t>4. 第一轮报价表</w:t>
      </w:r>
      <w:r>
        <w:tab/>
      </w:r>
      <w:r>
        <w:fldChar w:fldCharType="begin"/>
      </w:r>
      <w:r>
        <w:instrText xml:space="preserve"> PAGEREF _Toc32316 \h </w:instrText>
      </w:r>
      <w:r>
        <w:fldChar w:fldCharType="separate"/>
      </w:r>
      <w:r>
        <w:t>34</w:t>
      </w:r>
      <w:r>
        <w:fldChar w:fldCharType="end"/>
      </w:r>
      <w:r>
        <w:rPr>
          <w:rFonts w:hint="eastAsia" w:ascii="宋体" w:hAnsi="宋体" w:cs="宋体"/>
          <w:bCs/>
          <w:caps/>
          <w:szCs w:val="24"/>
          <w:lang w:val="zh-CN"/>
        </w:rPr>
        <w:fldChar w:fldCharType="end"/>
      </w:r>
    </w:p>
    <w:p>
      <w:pPr>
        <w:pStyle w:val="31"/>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_Toc11493 </w:instrText>
      </w:r>
      <w:r>
        <w:rPr>
          <w:rFonts w:hint="eastAsia" w:ascii="宋体" w:hAnsi="宋体" w:cs="宋体"/>
          <w:bCs/>
          <w:caps/>
          <w:szCs w:val="24"/>
          <w:lang w:val="zh-CN"/>
        </w:rPr>
        <w:fldChar w:fldCharType="separate"/>
      </w:r>
      <w:r>
        <w:rPr>
          <w:rFonts w:hint="eastAsia" w:ascii="宋体" w:hAnsi="宋体" w:eastAsia="宋体" w:cs="宋体"/>
          <w:szCs w:val="32"/>
        </w:rPr>
        <w:t xml:space="preserve">5. </w:t>
      </w:r>
      <w:r>
        <w:rPr>
          <w:rFonts w:hint="eastAsia" w:ascii="宋体" w:hAnsi="宋体" w:eastAsia="宋体" w:cs="宋体"/>
          <w:bCs/>
          <w:szCs w:val="32"/>
          <w:highlight w:val="none"/>
          <w:lang w:eastAsia="zh-CN"/>
        </w:rPr>
        <w:t>技术（服务）</w:t>
      </w:r>
      <w:r>
        <w:rPr>
          <w:rFonts w:hint="eastAsia" w:ascii="宋体" w:hAnsi="宋体" w:eastAsia="宋体" w:cs="宋体"/>
          <w:szCs w:val="32"/>
          <w:highlight w:val="none"/>
          <w:lang w:eastAsia="zh-CN"/>
        </w:rPr>
        <w:t>响应承诺函</w:t>
      </w:r>
      <w:r>
        <w:tab/>
      </w:r>
      <w:r>
        <w:fldChar w:fldCharType="begin"/>
      </w:r>
      <w:r>
        <w:instrText xml:space="preserve"> PAGEREF _Toc11493 \h </w:instrText>
      </w:r>
      <w:r>
        <w:fldChar w:fldCharType="separate"/>
      </w:r>
      <w:r>
        <w:t>35</w:t>
      </w:r>
      <w:r>
        <w:fldChar w:fldCharType="end"/>
      </w:r>
      <w:r>
        <w:rPr>
          <w:rFonts w:hint="eastAsia" w:ascii="宋体" w:hAnsi="宋体" w:cs="宋体"/>
          <w:bCs/>
          <w:caps/>
          <w:szCs w:val="24"/>
          <w:lang w:val="zh-CN"/>
        </w:rPr>
        <w:fldChar w:fldCharType="end"/>
      </w:r>
    </w:p>
    <w:p>
      <w:pPr>
        <w:pStyle w:val="31"/>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_Toc7705 </w:instrText>
      </w:r>
      <w:r>
        <w:rPr>
          <w:rFonts w:hint="eastAsia" w:ascii="宋体" w:hAnsi="宋体" w:cs="宋体"/>
          <w:bCs/>
          <w:caps/>
          <w:szCs w:val="24"/>
          <w:lang w:val="zh-CN"/>
        </w:rPr>
        <w:fldChar w:fldCharType="separate"/>
      </w:r>
      <w:r>
        <w:rPr>
          <w:rFonts w:hint="eastAsia" w:ascii="宋体" w:hAnsi="宋体" w:cs="宋体"/>
          <w:szCs w:val="32"/>
        </w:rPr>
        <w:t>6. 商务响应表</w:t>
      </w:r>
      <w:r>
        <w:tab/>
      </w:r>
      <w:r>
        <w:fldChar w:fldCharType="begin"/>
      </w:r>
      <w:r>
        <w:instrText xml:space="preserve"> PAGEREF _Toc7705 \h </w:instrText>
      </w:r>
      <w:r>
        <w:fldChar w:fldCharType="separate"/>
      </w:r>
      <w:r>
        <w:t>36</w:t>
      </w:r>
      <w:r>
        <w:fldChar w:fldCharType="end"/>
      </w:r>
      <w:r>
        <w:rPr>
          <w:rFonts w:hint="eastAsia" w:ascii="宋体" w:hAnsi="宋体" w:cs="宋体"/>
          <w:bCs/>
          <w:caps/>
          <w:szCs w:val="24"/>
          <w:lang w:val="zh-CN"/>
        </w:rPr>
        <w:fldChar w:fldCharType="end"/>
      </w:r>
    </w:p>
    <w:p>
      <w:pPr>
        <w:pStyle w:val="31"/>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_Toc2790 </w:instrText>
      </w:r>
      <w:r>
        <w:rPr>
          <w:rFonts w:hint="eastAsia" w:ascii="宋体" w:hAnsi="宋体" w:cs="宋体"/>
          <w:bCs/>
          <w:caps/>
          <w:szCs w:val="24"/>
          <w:lang w:val="zh-CN"/>
        </w:rPr>
        <w:fldChar w:fldCharType="separate"/>
      </w:r>
      <w:r>
        <w:rPr>
          <w:rFonts w:hint="eastAsia" w:ascii="宋体" w:hAnsi="宋体" w:cs="宋体"/>
          <w:szCs w:val="32"/>
        </w:rPr>
        <w:t>7. 资格证明材料</w:t>
      </w:r>
      <w:r>
        <w:tab/>
      </w:r>
      <w:r>
        <w:fldChar w:fldCharType="begin"/>
      </w:r>
      <w:r>
        <w:instrText xml:space="preserve"> PAGEREF _Toc2790 \h </w:instrText>
      </w:r>
      <w:r>
        <w:fldChar w:fldCharType="separate"/>
      </w:r>
      <w:r>
        <w:t>37</w:t>
      </w:r>
      <w:r>
        <w:fldChar w:fldCharType="end"/>
      </w:r>
      <w:r>
        <w:rPr>
          <w:rFonts w:hint="eastAsia" w:ascii="宋体" w:hAnsi="宋体" w:cs="宋体"/>
          <w:bCs/>
          <w:caps/>
          <w:szCs w:val="24"/>
          <w:lang w:val="zh-CN"/>
        </w:rPr>
        <w:fldChar w:fldCharType="end"/>
      </w:r>
    </w:p>
    <w:p>
      <w:pPr>
        <w:pStyle w:val="31"/>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_Toc7028 </w:instrText>
      </w:r>
      <w:r>
        <w:rPr>
          <w:rFonts w:hint="eastAsia" w:ascii="宋体" w:hAnsi="宋体" w:cs="宋体"/>
          <w:bCs/>
          <w:caps/>
          <w:szCs w:val="24"/>
          <w:lang w:val="zh-CN"/>
        </w:rPr>
        <w:fldChar w:fldCharType="separate"/>
      </w:r>
      <w:r>
        <w:rPr>
          <w:rFonts w:hint="eastAsia" w:ascii="宋体" w:hAnsi="宋体" w:cs="宋体"/>
          <w:szCs w:val="32"/>
        </w:rPr>
        <w:t>8. 法定代表人身份证明或授权委托书</w:t>
      </w:r>
      <w:r>
        <w:tab/>
      </w:r>
      <w:r>
        <w:fldChar w:fldCharType="begin"/>
      </w:r>
      <w:r>
        <w:instrText xml:space="preserve"> PAGEREF _Toc7028 \h </w:instrText>
      </w:r>
      <w:r>
        <w:fldChar w:fldCharType="separate"/>
      </w:r>
      <w:r>
        <w:t>41</w:t>
      </w:r>
      <w:r>
        <w:fldChar w:fldCharType="end"/>
      </w:r>
      <w:r>
        <w:rPr>
          <w:rFonts w:hint="eastAsia" w:ascii="宋体" w:hAnsi="宋体" w:cs="宋体"/>
          <w:bCs/>
          <w:caps/>
          <w:szCs w:val="24"/>
          <w:lang w:val="zh-CN"/>
        </w:rPr>
        <w:fldChar w:fldCharType="end"/>
      </w:r>
    </w:p>
    <w:p>
      <w:pPr>
        <w:pStyle w:val="31"/>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_Toc23637 </w:instrText>
      </w:r>
      <w:r>
        <w:rPr>
          <w:rFonts w:hint="eastAsia" w:ascii="宋体" w:hAnsi="宋体" w:cs="宋体"/>
          <w:bCs/>
          <w:caps/>
          <w:szCs w:val="24"/>
          <w:lang w:val="zh-CN"/>
        </w:rPr>
        <w:fldChar w:fldCharType="separate"/>
      </w:r>
      <w:r>
        <w:rPr>
          <w:rFonts w:hint="eastAsia" w:ascii="宋体" w:hAnsi="宋体" w:cs="宋体"/>
          <w:szCs w:val="32"/>
        </w:rPr>
        <w:t>9. 残疾人福利性单位声明函</w:t>
      </w:r>
      <w:r>
        <w:tab/>
      </w:r>
      <w:r>
        <w:fldChar w:fldCharType="begin"/>
      </w:r>
      <w:r>
        <w:instrText xml:space="preserve"> PAGEREF _Toc23637 \h </w:instrText>
      </w:r>
      <w:r>
        <w:fldChar w:fldCharType="separate"/>
      </w:r>
      <w:r>
        <w:t>43</w:t>
      </w:r>
      <w:r>
        <w:fldChar w:fldCharType="end"/>
      </w:r>
      <w:r>
        <w:rPr>
          <w:rFonts w:hint="eastAsia" w:ascii="宋体" w:hAnsi="宋体" w:cs="宋体"/>
          <w:bCs/>
          <w:caps/>
          <w:szCs w:val="24"/>
          <w:lang w:val="zh-CN"/>
        </w:rPr>
        <w:fldChar w:fldCharType="end"/>
      </w:r>
    </w:p>
    <w:p>
      <w:pPr>
        <w:pStyle w:val="31"/>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_Toc7106 </w:instrText>
      </w:r>
      <w:r>
        <w:rPr>
          <w:rFonts w:hint="eastAsia" w:ascii="宋体" w:hAnsi="宋体" w:cs="宋体"/>
          <w:bCs/>
          <w:caps/>
          <w:szCs w:val="24"/>
          <w:lang w:val="zh-CN"/>
        </w:rPr>
        <w:fldChar w:fldCharType="separate"/>
      </w:r>
      <w:r>
        <w:rPr>
          <w:rFonts w:hint="eastAsia" w:ascii="宋体" w:hAnsi="宋体" w:cs="宋体"/>
          <w:szCs w:val="32"/>
        </w:rPr>
        <w:t>10. 反商业贿赂承诺书</w:t>
      </w:r>
      <w:r>
        <w:tab/>
      </w:r>
      <w:r>
        <w:fldChar w:fldCharType="begin"/>
      </w:r>
      <w:r>
        <w:instrText xml:space="preserve"> PAGEREF _Toc7106 \h </w:instrText>
      </w:r>
      <w:r>
        <w:fldChar w:fldCharType="separate"/>
      </w:r>
      <w:r>
        <w:t>44</w:t>
      </w:r>
      <w:r>
        <w:fldChar w:fldCharType="end"/>
      </w:r>
      <w:r>
        <w:rPr>
          <w:rFonts w:hint="eastAsia" w:ascii="宋体" w:hAnsi="宋体" w:cs="宋体"/>
          <w:bCs/>
          <w:caps/>
          <w:szCs w:val="24"/>
          <w:lang w:val="zh-CN"/>
        </w:rPr>
        <w:fldChar w:fldCharType="end"/>
      </w:r>
    </w:p>
    <w:p>
      <w:pPr>
        <w:pStyle w:val="31"/>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_Toc2619 </w:instrText>
      </w:r>
      <w:r>
        <w:rPr>
          <w:rFonts w:hint="eastAsia" w:ascii="宋体" w:hAnsi="宋体" w:cs="宋体"/>
          <w:bCs/>
          <w:caps/>
          <w:szCs w:val="24"/>
          <w:lang w:val="zh-CN"/>
        </w:rPr>
        <w:fldChar w:fldCharType="separate"/>
      </w:r>
      <w:r>
        <w:rPr>
          <w:rFonts w:hint="eastAsia" w:ascii="宋体" w:hAnsi="宋体" w:cs="宋体"/>
          <w:szCs w:val="32"/>
        </w:rPr>
        <w:t>11. 竞争性磋商文件要求的以及供应商认为应该提供的其他材料</w:t>
      </w:r>
      <w:r>
        <w:tab/>
      </w:r>
      <w:r>
        <w:fldChar w:fldCharType="begin"/>
      </w:r>
      <w:r>
        <w:instrText xml:space="preserve"> PAGEREF _Toc2619 \h </w:instrText>
      </w:r>
      <w:r>
        <w:fldChar w:fldCharType="separate"/>
      </w:r>
      <w:r>
        <w:t>45</w:t>
      </w:r>
      <w:r>
        <w:fldChar w:fldCharType="end"/>
      </w:r>
      <w:r>
        <w:rPr>
          <w:rFonts w:hint="eastAsia" w:ascii="宋体" w:hAnsi="宋体" w:cs="宋体"/>
          <w:bCs/>
          <w:caps/>
          <w:szCs w:val="24"/>
          <w:lang w:val="zh-CN"/>
        </w:rPr>
        <w:fldChar w:fldCharType="end"/>
      </w:r>
    </w:p>
    <w:p>
      <w:pPr>
        <w:pStyle w:val="27"/>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Cs w:val="24"/>
          <w:lang w:val="zh-CN"/>
        </w:rPr>
        <w:fldChar w:fldCharType="end"/>
      </w:r>
    </w:p>
    <w:p>
      <w:pPr>
        <w:pStyle w:val="84"/>
        <w:jc w:val="center"/>
        <w:rPr>
          <w:rFonts w:hint="eastAsia" w:ascii="宋体" w:hAnsi="宋体" w:cs="宋体"/>
          <w:b/>
          <w:color w:val="FF0000"/>
          <w:sz w:val="28"/>
          <w:szCs w:val="28"/>
        </w:rPr>
      </w:pPr>
    </w:p>
    <w:p>
      <w:pPr>
        <w:pStyle w:val="84"/>
        <w:rPr>
          <w:rFonts w:hint="eastAsia" w:ascii="宋体" w:hAnsi="宋体" w:cs="宋体"/>
          <w:color w:val="FF0000"/>
        </w:rPr>
      </w:pPr>
      <w:r>
        <w:rPr>
          <w:rFonts w:hint="eastAsia" w:ascii="宋体" w:hAnsi="宋体" w:cs="宋体"/>
          <w:color w:val="FF0000"/>
        </w:rPr>
        <w:t> </w:t>
      </w:r>
    </w:p>
    <w:p>
      <w:pPr>
        <w:pStyle w:val="84"/>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6"/>
        <w:numPr>
          <w:ilvl w:val="0"/>
          <w:numId w:val="1"/>
        </w:numPr>
        <w:spacing w:before="0" w:after="0" w:line="360" w:lineRule="auto"/>
        <w:ind w:firstLine="0"/>
        <w:rPr>
          <w:rFonts w:hint="eastAsia" w:ascii="宋体" w:hAnsi="宋体" w:cs="宋体"/>
          <w:bCs w:val="0"/>
        </w:rPr>
      </w:pPr>
      <w:bookmarkStart w:id="2" w:name="_Toc2939"/>
      <w:bookmarkStart w:id="3" w:name="_Toc30568"/>
      <w:bookmarkStart w:id="4" w:name="_Toc3436"/>
      <w:r>
        <w:rPr>
          <w:rFonts w:hint="eastAsia" w:ascii="宋体" w:hAnsi="宋体" w:cs="宋体"/>
          <w:bCs w:val="0"/>
        </w:rPr>
        <w:t>竞争性磋商公告</w:t>
      </w:r>
      <w:bookmarkEnd w:id="2"/>
      <w:bookmarkEnd w:id="3"/>
      <w:bookmarkEnd w:id="4"/>
    </w:p>
    <w:p>
      <w:pPr>
        <w:spacing w:line="400" w:lineRule="exact"/>
        <w:ind w:firstLine="562" w:firstLineChars="200"/>
        <w:jc w:val="center"/>
        <w:rPr>
          <w:rFonts w:hint="eastAsia" w:ascii="宋体" w:hAnsi="宋体" w:cs="宋体"/>
          <w:b/>
          <w:bCs/>
          <w:sz w:val="28"/>
          <w:szCs w:val="28"/>
          <w:lang w:eastAsia="zh-CN"/>
        </w:rPr>
      </w:pPr>
    </w:p>
    <w:p>
      <w:pPr>
        <w:spacing w:line="400" w:lineRule="exact"/>
        <w:jc w:val="center"/>
        <w:rPr>
          <w:rFonts w:hint="eastAsia" w:ascii="宋体" w:hAnsi="宋体" w:cs="宋体"/>
          <w:b/>
          <w:bCs/>
          <w:sz w:val="28"/>
          <w:szCs w:val="28"/>
        </w:rPr>
      </w:pPr>
      <w:r>
        <w:rPr>
          <w:rFonts w:hint="eastAsia" w:ascii="宋体" w:hAnsi="宋体" w:cs="宋体"/>
          <w:b/>
          <w:bCs/>
          <w:sz w:val="28"/>
          <w:szCs w:val="28"/>
          <w:lang w:val="en-US" w:eastAsia="zh-CN"/>
        </w:rPr>
        <w:t>武陟县农业农村局关于2023年武陟县第三次全国土壤普查表层样采集项目</w:t>
      </w:r>
      <w:r>
        <w:rPr>
          <w:rFonts w:hint="eastAsia" w:ascii="宋体" w:hAnsi="宋体" w:cs="宋体"/>
          <w:b/>
          <w:bCs/>
          <w:sz w:val="28"/>
          <w:szCs w:val="28"/>
        </w:rPr>
        <w:t>竞争性磋商公告</w:t>
      </w:r>
      <w:bookmarkStart w:id="5" w:name="_Toc15614"/>
      <w:bookmarkStart w:id="6" w:name="_Toc373230021"/>
      <w:bookmarkStart w:id="7" w:name="_Toc408816341"/>
      <w:bookmarkStart w:id="8" w:name="_Toc22562"/>
      <w:bookmarkStart w:id="9" w:name="_Toc477423242"/>
      <w:bookmarkStart w:id="10" w:name="_Toc374512408"/>
    </w:p>
    <w:p>
      <w:pPr>
        <w:pStyle w:val="4"/>
        <w:rPr>
          <w:rFonts w:hint="eastAsia"/>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000000" w:themeColor="text1"/>
          <w:sz w:val="24"/>
          <w:szCs w:val="24"/>
          <w:lang w:val="en-US" w:eastAsia="zh-CN"/>
          <w14:textFill>
            <w14:solidFill>
              <w14:schemeClr w14:val="tx1"/>
            </w14:solidFill>
          </w14:textFill>
        </w:rPr>
        <w:t>武陟县农业农村局关于2023年武陟县第三次全国土壤普查表层样采集项目</w:t>
      </w:r>
      <w:r>
        <w:rPr>
          <w:rFonts w:hint="eastAsia" w:ascii="宋体" w:hAnsi="宋体" w:eastAsia="宋体" w:cs="宋体"/>
          <w:sz w:val="24"/>
          <w:szCs w:val="24"/>
          <w:lang w:val="en-US" w:eastAsia="zh-CN"/>
        </w:rPr>
        <w:t>的潜在</w:t>
      </w: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应在焦作市公共资源交易中心网站获取</w:t>
      </w:r>
      <w:r>
        <w:rPr>
          <w:rFonts w:hint="eastAsia" w:ascii="宋体" w:hAnsi="宋体" w:cs="宋体"/>
          <w:sz w:val="24"/>
          <w:szCs w:val="24"/>
          <w:lang w:val="en-US" w:eastAsia="zh-CN"/>
        </w:rPr>
        <w:t>竞争性磋商文件</w:t>
      </w:r>
      <w:r>
        <w:rPr>
          <w:rFonts w:hint="eastAsia" w:ascii="宋体" w:hAnsi="宋体" w:eastAsia="宋体" w:cs="宋体"/>
          <w:color w:val="auto"/>
          <w:sz w:val="24"/>
          <w:szCs w:val="24"/>
          <w:lang w:val="en-US" w:eastAsia="zh-CN"/>
        </w:rPr>
        <w:t>，并于</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日09时00分（北京时间）前递交响应文件。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highlight w:val="yellow"/>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目编号：</w:t>
      </w:r>
      <w:r>
        <w:rPr>
          <w:rFonts w:hint="eastAsia" w:ascii="宋体" w:hAnsi="宋体" w:eastAsia="宋体" w:cs="宋体"/>
          <w:sz w:val="24"/>
          <w:szCs w:val="24"/>
          <w:lang w:val="en-US" w:eastAsia="zh-CN"/>
        </w:rPr>
        <w:t>2023-CS-046</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s="宋体"/>
          <w:sz w:val="24"/>
          <w:szCs w:val="24"/>
          <w:lang w:val="en-US" w:eastAsia="zh-CN"/>
        </w:rPr>
        <w:t>武陟县农业农村局关于2023年武陟县第三次全国土壤普查表层样采集项目</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采购方式：竞争性磋商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预算金额：</w:t>
      </w:r>
      <w:r>
        <w:rPr>
          <w:rFonts w:hint="eastAsia" w:ascii="宋体" w:hAnsi="宋体" w:eastAsia="宋体" w:cs="宋体"/>
          <w:sz w:val="24"/>
          <w:szCs w:val="24"/>
          <w:lang w:val="en-US" w:eastAsia="zh-CN"/>
        </w:rPr>
        <w:t>96.6万元</w:t>
      </w:r>
    </w:p>
    <w:p>
      <w:pPr>
        <w:pStyle w:val="4"/>
        <w:spacing w:line="360" w:lineRule="auto"/>
        <w:rPr>
          <w:rFonts w:hint="default"/>
          <w:lang w:val="en-US"/>
        </w:rPr>
      </w:pPr>
      <w:r>
        <w:rPr>
          <w:rFonts w:hint="eastAsia" w:ascii="宋体" w:hAnsi="宋体" w:cs="宋体"/>
          <w:sz w:val="24"/>
          <w:szCs w:val="24"/>
          <w:lang w:val="en-US" w:eastAsia="zh-CN"/>
        </w:rPr>
        <w:t xml:space="preserve">       最高限价：</w:t>
      </w:r>
      <w:r>
        <w:rPr>
          <w:rFonts w:hint="eastAsia" w:ascii="宋体" w:hAnsi="宋体" w:eastAsia="宋体" w:cs="宋体"/>
          <w:sz w:val="24"/>
          <w:szCs w:val="24"/>
          <w:lang w:val="en-US" w:eastAsia="zh-CN"/>
        </w:rPr>
        <w:t>96.6万元</w:t>
      </w:r>
    </w:p>
    <w:tbl>
      <w:tblPr>
        <w:tblStyle w:val="123"/>
        <w:tblpPr w:leftFromText="180" w:rightFromText="180" w:vertAnchor="text" w:horzAnchor="page" w:tblpX="1454" w:tblpY="14"/>
        <w:tblOverlap w:val="never"/>
        <w:tblW w:w="878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4325"/>
        <w:gridCol w:w="1530"/>
        <w:gridCol w:w="22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4325"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1"/>
                <w:sz w:val="24"/>
                <w:szCs w:val="24"/>
              </w:rPr>
              <w:t>名称</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预算(元)</w:t>
            </w:r>
          </w:p>
        </w:tc>
        <w:tc>
          <w:tcPr>
            <w:tcW w:w="2295"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5"/>
                <w:sz w:val="24"/>
                <w:szCs w:val="24"/>
              </w:rPr>
              <w:t>最高限</w:t>
            </w:r>
            <w:r>
              <w:rPr>
                <w:rFonts w:hint="eastAsia" w:ascii="宋体" w:hAnsi="宋体" w:eastAsia="宋体" w:cs="宋体"/>
                <w:spacing w:val="4"/>
                <w:sz w:val="24"/>
                <w:szCs w:val="24"/>
              </w:rPr>
              <w:t>价</w:t>
            </w:r>
            <w:r>
              <w:rPr>
                <w:rFonts w:hint="eastAsia" w:ascii="宋体" w:hAnsi="宋体" w:eastAsia="宋体" w:cs="宋体"/>
                <w:spacing w:val="-11"/>
                <w:sz w:val="24"/>
                <w:szCs w:val="24"/>
              </w:rPr>
              <w:t>(</w:t>
            </w:r>
            <w:r>
              <w:rPr>
                <w:rFonts w:hint="eastAsia" w:ascii="宋体" w:hAnsi="宋体" w:eastAsia="宋体" w:cs="宋体"/>
                <w:spacing w:val="-10"/>
                <w:sz w:val="24"/>
                <w:szCs w:val="24"/>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4325"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武陟县农业农村局关于2023年武陟县第三次全国土壤普查表层样采集项目</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966000.00</w:t>
            </w:r>
          </w:p>
        </w:tc>
        <w:tc>
          <w:tcPr>
            <w:tcW w:w="2295"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rPr>
            </w:pPr>
            <w:r>
              <w:rPr>
                <w:rFonts w:hint="eastAsia" w:ascii="宋体" w:hAnsi="宋体" w:cs="宋体"/>
                <w:sz w:val="24"/>
                <w:szCs w:val="24"/>
                <w:lang w:val="en-US" w:eastAsia="zh-CN"/>
              </w:rPr>
              <w:t>966000.00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采购需求(包括但不限于标的的名称、数量、简要技术需求或服务要求等)</w:t>
      </w: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cs="宋体"/>
          <w:sz w:val="24"/>
          <w:szCs w:val="24"/>
          <w:lang w:val="en-US" w:eastAsia="zh-CN"/>
        </w:rPr>
        <w:t>对我县第三次全国土壤普查采集表层样点634个，并对样点开展外业调查，调查内容包括：基本信息（地理坐标、海拔高度、天气、地表特征）、土壤利用信息（土地利用、农田建设、耕地利用、园地利用、林草利用）、成土环境信息（地形地貌、母岩母质、植被）等</w:t>
      </w:r>
      <w:r>
        <w:rPr>
          <w:rFonts w:hint="eastAsia" w:ascii="宋体" w:hAnsi="宋体" w:eastAsia="宋体" w:cs="宋体"/>
          <w:sz w:val="24"/>
          <w:szCs w:val="24"/>
          <w:lang w:val="en-US" w:eastAsia="zh-CN"/>
        </w:rPr>
        <w:t>(详见《河南省政府采购网》本公告附件)</w:t>
      </w:r>
      <w:r>
        <w:rPr>
          <w:rFonts w:hint="eastAsia" w:ascii="宋体" w:hAnsi="宋体" w:cs="宋体"/>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（2）合同履行期限：90日历天。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（3）服务地点：武陟县辖区内。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6、本项目是否接受联合体：否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7、是否接受进口产品：否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8、是否专门面向中小企业：否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二、申请人的资格要求：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1、满足《中华人民共和国政府采购法》第二十二条规定；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2、本项目的特定资格要求：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2.1供应商及其法定代表人、委托代理人均无行贿犯罪记录；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color w:val="auto"/>
          <w:sz w:val="24"/>
          <w:szCs w:val="24"/>
          <w:lang w:val="en-US" w:eastAsia="zh-CN"/>
        </w:rPr>
        <w:t>2.2</w:t>
      </w:r>
      <w:r>
        <w:rPr>
          <w:rFonts w:hint="eastAsia" w:ascii="宋体" w:hAnsi="宋体" w:eastAsia="宋体" w:cs="宋体"/>
          <w:color w:val="auto"/>
          <w:sz w:val="24"/>
          <w:szCs w:val="24"/>
        </w:rPr>
        <w:t>不得被列入失信被</w:t>
      </w:r>
      <w:r>
        <w:rPr>
          <w:rFonts w:hint="eastAsia" w:ascii="宋体" w:hAnsi="宋体" w:eastAsia="宋体" w:cs="宋体"/>
          <w:sz w:val="24"/>
          <w:szCs w:val="24"/>
        </w:rPr>
        <w:t>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w:t>
      </w:r>
      <w:r>
        <w:rPr>
          <w:rFonts w:hint="eastAsia" w:ascii="宋体" w:hAnsi="宋体" w:eastAsia="宋体" w:cs="宋体"/>
          <w:b/>
          <w:bCs/>
          <w:color w:val="auto"/>
          <w:sz w:val="24"/>
          <w:szCs w:val="24"/>
        </w:rPr>
        <w:t>获取</w:t>
      </w:r>
      <w:r>
        <w:rPr>
          <w:rFonts w:hint="eastAsia" w:ascii="宋体" w:hAnsi="宋体" w:eastAsia="宋体" w:cs="宋体"/>
          <w:b/>
          <w:bCs/>
          <w:color w:val="auto"/>
          <w:sz w:val="24"/>
          <w:szCs w:val="24"/>
          <w:lang w:eastAsia="zh-CN"/>
        </w:rPr>
        <w:t>采购</w:t>
      </w:r>
      <w:r>
        <w:rPr>
          <w:rFonts w:hint="eastAsia" w:ascii="宋体" w:hAnsi="宋体" w:eastAsia="宋体" w:cs="宋体"/>
          <w:b/>
          <w:bCs/>
          <w:color w:val="auto"/>
          <w:sz w:val="24"/>
          <w:szCs w:val="24"/>
        </w:rPr>
        <w:t>文件</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时间：</w:t>
      </w:r>
      <w:r>
        <w:rPr>
          <w:rFonts w:hint="eastAsia" w:ascii="宋体" w:hAnsi="宋体" w:cs="宋体"/>
          <w:color w:val="auto"/>
          <w:sz w:val="24"/>
          <w:szCs w:val="24"/>
          <w:lang w:val="en-US" w:eastAsia="zh-CN"/>
        </w:rPr>
        <w:t>2023</w:t>
      </w:r>
      <w:r>
        <w:rPr>
          <w:rFonts w:hint="eastAsia" w:ascii="宋体" w:hAnsi="宋体" w:eastAsia="宋体" w:cs="宋体"/>
          <w:color w:val="auto"/>
          <w:sz w:val="24"/>
          <w:szCs w:val="24"/>
        </w:rPr>
        <w:t>年</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日至</w:t>
      </w:r>
      <w:r>
        <w:rPr>
          <w:rFonts w:hint="eastAsia" w:ascii="宋体" w:hAnsi="宋体" w:cs="宋体"/>
          <w:color w:val="auto"/>
          <w:sz w:val="24"/>
          <w:szCs w:val="24"/>
          <w:lang w:val="en-US" w:eastAsia="zh-CN"/>
        </w:rPr>
        <w:t>2023</w:t>
      </w:r>
      <w:r>
        <w:rPr>
          <w:rFonts w:hint="eastAsia" w:ascii="宋体" w:hAnsi="宋体" w:eastAsia="宋体" w:cs="宋体"/>
          <w:color w:val="auto"/>
          <w:sz w:val="24"/>
          <w:szCs w:val="24"/>
        </w:rPr>
        <w:t>年</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日，每天上午 0</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:00 至 12:00， 下午 12:00 至 23:</w:t>
      </w:r>
      <w:r>
        <w:rPr>
          <w:rFonts w:hint="eastAsia" w:ascii="宋体" w:hAnsi="宋体" w:cs="宋体"/>
          <w:color w:val="auto"/>
          <w:sz w:val="24"/>
          <w:szCs w:val="24"/>
          <w:lang w:val="en-US" w:eastAsia="zh-CN"/>
        </w:rPr>
        <w:t>59</w:t>
      </w:r>
      <w:r>
        <w:rPr>
          <w:rFonts w:hint="eastAsia" w:ascii="宋体" w:hAnsi="宋体" w:eastAsia="宋体" w:cs="宋体"/>
          <w:color w:val="auto"/>
          <w:sz w:val="24"/>
          <w:szCs w:val="24"/>
        </w:rPr>
        <w:t xml:space="preserve"> (北京时间，法定节假日除外。)</w:t>
      </w:r>
      <w:r>
        <w:rPr>
          <w:rFonts w:hint="eastAsia" w:ascii="宋体" w:hAnsi="宋体" w:cs="宋体"/>
          <w:color w:val="auto"/>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shd w:val="clear" w:color="auto" w:fill="FFFF00"/>
        </w:rPr>
      </w:pPr>
      <w:r>
        <w:rPr>
          <w:rFonts w:hint="eastAsia" w:ascii="宋体" w:hAnsi="宋体" w:eastAsia="宋体" w:cs="宋体"/>
          <w:color w:val="auto"/>
          <w:sz w:val="24"/>
          <w:szCs w:val="24"/>
        </w:rPr>
        <w:t>地点：焦作市公共资源交易中心网站</w:t>
      </w:r>
      <w:r>
        <w:rPr>
          <w:rFonts w:hint="eastAsia" w:ascii="宋体" w:hAnsi="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rPr>
        <w:t>方式：本项目采用网上获取</w:t>
      </w:r>
      <w:r>
        <w:rPr>
          <w:rFonts w:hint="eastAsia" w:ascii="宋体" w:hAnsi="宋体" w:cs="宋体"/>
          <w:sz w:val="24"/>
          <w:szCs w:val="24"/>
          <w:lang w:eastAsia="zh-CN"/>
        </w:rPr>
        <w:t>竞争性</w:t>
      </w:r>
      <w:r>
        <w:rPr>
          <w:rFonts w:hint="eastAsia" w:ascii="宋体" w:hAnsi="宋体" w:eastAsia="宋体" w:cs="宋体"/>
          <w:sz w:val="24"/>
          <w:szCs w:val="24"/>
        </w:rPr>
        <w:t>磋商文件，凡有意参加本项目磋商活动者，请登陆焦作市公共资源交易中心网站进行网上下载</w:t>
      </w:r>
      <w:r>
        <w:rPr>
          <w:rFonts w:hint="eastAsia" w:ascii="宋体" w:hAnsi="宋体" w:cs="宋体"/>
          <w:sz w:val="24"/>
          <w:szCs w:val="24"/>
          <w:lang w:eastAsia="zh-CN"/>
        </w:rPr>
        <w:t>竞争性磋商</w:t>
      </w:r>
      <w:r>
        <w:rPr>
          <w:rFonts w:hint="eastAsia" w:ascii="宋体" w:hAnsi="宋体" w:eastAsia="宋体" w:cs="宋体"/>
          <w:sz w:val="24"/>
          <w:szCs w:val="24"/>
        </w:rPr>
        <w:t>文件</w:t>
      </w:r>
      <w:r>
        <w:rPr>
          <w:rFonts w:hint="eastAsia" w:ascii="宋体" w:hAnsi="宋体" w:cs="宋体"/>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特别提醒：请到焦作市公共资源交易中心官网首页—公共服务—下载专区-下载相关操作手册及视频等，按要求进行磋商文件获取，未在规定时间内获取磋商文件的将拒绝参加本项目磋商活动。平台统一技术服务电话为：400-998-0000，服务QQ:4008503300，服务时间：周一至周日8:00-17:30。</w:t>
      </w:r>
    </w:p>
    <w:p>
      <w:pPr>
        <w:pStyle w:val="4"/>
        <w:keepNext w:val="0"/>
        <w:keepLines w:val="0"/>
        <w:pageBreakBefore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四、提交</w:t>
      </w:r>
      <w:r>
        <w:rPr>
          <w:rFonts w:hint="eastAsia" w:ascii="宋体" w:hAnsi="宋体" w:cs="宋体"/>
          <w:b/>
          <w:bCs/>
          <w:sz w:val="24"/>
          <w:szCs w:val="24"/>
          <w:lang w:eastAsia="zh-CN"/>
        </w:rPr>
        <w:t>响应</w:t>
      </w:r>
      <w:r>
        <w:rPr>
          <w:rFonts w:hint="eastAsia" w:ascii="宋体" w:hAnsi="宋体" w:eastAsia="宋体" w:cs="宋体"/>
          <w:b/>
          <w:bCs/>
          <w:sz w:val="24"/>
          <w:szCs w:val="24"/>
          <w:lang w:eastAsia="zh-CN"/>
        </w:rPr>
        <w:t>文件截止时间及地点：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1.截止时间：</w:t>
      </w:r>
      <w:r>
        <w:rPr>
          <w:rFonts w:hint="eastAsia" w:ascii="宋体" w:hAnsi="宋体" w:cs="宋体"/>
          <w:color w:val="auto"/>
          <w:sz w:val="24"/>
          <w:szCs w:val="24"/>
          <w:u w:val="none"/>
          <w:lang w:val="en-US" w:eastAsia="zh-CN"/>
        </w:rPr>
        <w:t>2023</w:t>
      </w:r>
      <w:r>
        <w:rPr>
          <w:rFonts w:hint="eastAsia" w:ascii="宋体" w:hAnsi="宋体" w:eastAsia="宋体" w:cs="宋体"/>
          <w:color w:val="auto"/>
          <w:sz w:val="24"/>
          <w:szCs w:val="24"/>
        </w:rPr>
        <w:t>年</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none"/>
        </w:rPr>
        <w:t>09</w:t>
      </w:r>
      <w:r>
        <w:rPr>
          <w:rFonts w:hint="eastAsia" w:ascii="宋体" w:hAnsi="宋体" w:eastAsia="宋体" w:cs="宋体"/>
          <w:color w:val="auto"/>
          <w:sz w:val="24"/>
          <w:szCs w:val="24"/>
        </w:rPr>
        <w:t>点</w:t>
      </w:r>
      <w:r>
        <w:rPr>
          <w:rFonts w:hint="eastAsia" w:ascii="宋体" w:hAnsi="宋体" w:eastAsia="宋体" w:cs="宋体"/>
          <w:color w:val="auto"/>
          <w:sz w:val="24"/>
          <w:szCs w:val="24"/>
          <w:u w:val="none"/>
        </w:rPr>
        <w:t>00</w:t>
      </w:r>
      <w:r>
        <w:rPr>
          <w:rFonts w:hint="eastAsia" w:ascii="宋体" w:hAnsi="宋体" w:eastAsia="宋体" w:cs="宋体"/>
          <w:color w:val="auto"/>
          <w:sz w:val="24"/>
          <w:szCs w:val="24"/>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2.地点：焦作市公共资源交易中心网站。为防止网络拥堵等不可控因素，影响响应文件的上传，请各供应商尽量提前上传响应文件，因响应文件未能及时上传导致不能参加磋商活动的，后果由供应商自行承担。</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五、响应文件</w:t>
      </w:r>
      <w:r>
        <w:rPr>
          <w:rFonts w:hint="eastAsia" w:ascii="宋体" w:hAnsi="宋体" w:eastAsia="宋体" w:cs="宋体"/>
          <w:b/>
          <w:bCs/>
          <w:sz w:val="24"/>
          <w:szCs w:val="24"/>
        </w:rPr>
        <w:t>开启</w:t>
      </w:r>
      <w:r>
        <w:rPr>
          <w:rFonts w:hint="eastAsia" w:ascii="宋体" w:hAnsi="宋体" w:cs="宋体"/>
          <w:b/>
          <w:bCs/>
          <w:sz w:val="24"/>
          <w:szCs w:val="24"/>
          <w:lang w:eastAsia="zh-CN"/>
        </w:rPr>
        <w:t>及地点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sz w:val="24"/>
          <w:szCs w:val="24"/>
        </w:rPr>
        <w:t>1.时间：</w:t>
      </w:r>
      <w:r>
        <w:rPr>
          <w:rFonts w:hint="eastAsia" w:ascii="宋体" w:hAnsi="宋体" w:cs="宋体"/>
          <w:color w:val="auto"/>
          <w:sz w:val="24"/>
          <w:szCs w:val="24"/>
          <w:u w:val="none"/>
          <w:lang w:val="en-US" w:eastAsia="zh-CN"/>
        </w:rPr>
        <w:t>2023</w:t>
      </w:r>
      <w:r>
        <w:rPr>
          <w:rFonts w:hint="eastAsia" w:ascii="宋体" w:hAnsi="宋体" w:eastAsia="宋体" w:cs="宋体"/>
          <w:color w:val="auto"/>
          <w:sz w:val="24"/>
          <w:szCs w:val="24"/>
        </w:rPr>
        <w:t>年</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rPr>
        <w:t>日09时00分（北京时间）；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sz w:val="24"/>
          <w:szCs w:val="24"/>
        </w:rPr>
        <w:t>2.地点</w:t>
      </w:r>
      <w:r>
        <w:rPr>
          <w:rFonts w:hint="eastAsia" w:ascii="宋体" w:hAnsi="宋体" w:eastAsia="宋体" w:cs="宋体"/>
          <w:color w:val="auto"/>
          <w:sz w:val="24"/>
          <w:szCs w:val="24"/>
        </w:rPr>
        <w:t>：武陟县公共资源交易中心二楼开标</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厅。</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项目采用“不见面开标”方式，供应商无需到武陟县公共资源交易中心现场参加磋商会议，无需到达现场提交原件资料。供应商应当在响应文件截止时间前，登陆“焦作市不见面开标大厅系统”，解密文件等，系统解密时长默认为30分钟，错过解密时长者视为自动放弃本次磋商。具体事宜请查阅焦作市公共资源交易中心官网首页—公共服务—下载专区-下载相关操作手册及视频等，查看操作说明，按要求进行响应文件制作及上传等。</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六、发布</w:t>
      </w:r>
      <w:r>
        <w:rPr>
          <w:rFonts w:hint="eastAsia" w:ascii="宋体" w:hAnsi="宋体" w:eastAsia="宋体" w:cs="宋体"/>
          <w:b/>
          <w:bCs/>
          <w:sz w:val="24"/>
          <w:szCs w:val="24"/>
        </w:rPr>
        <w:t>公告</w:t>
      </w:r>
      <w:r>
        <w:rPr>
          <w:rFonts w:hint="eastAsia" w:ascii="宋体" w:hAnsi="宋体" w:eastAsia="宋体" w:cs="宋体"/>
          <w:b/>
          <w:bCs/>
          <w:sz w:val="24"/>
          <w:szCs w:val="24"/>
          <w:lang w:eastAsia="zh-CN"/>
        </w:rPr>
        <w:t>的媒介及</w:t>
      </w:r>
      <w:r>
        <w:rPr>
          <w:rFonts w:hint="eastAsia" w:ascii="宋体" w:hAnsi="宋体" w:cs="宋体"/>
          <w:b/>
          <w:bCs/>
          <w:sz w:val="24"/>
          <w:szCs w:val="24"/>
          <w:lang w:eastAsia="zh-CN"/>
        </w:rPr>
        <w:t>采购</w:t>
      </w:r>
      <w:r>
        <w:rPr>
          <w:rFonts w:hint="eastAsia" w:ascii="宋体" w:hAnsi="宋体" w:eastAsia="宋体" w:cs="宋体"/>
          <w:b/>
          <w:bCs/>
          <w:sz w:val="24"/>
          <w:szCs w:val="24"/>
          <w:lang w:eastAsia="zh-CN"/>
        </w:rPr>
        <w:t>公告</w:t>
      </w:r>
      <w:r>
        <w:rPr>
          <w:rFonts w:hint="eastAsia" w:ascii="宋体" w:hAnsi="宋体" w:eastAsia="宋体" w:cs="宋体"/>
          <w:b/>
          <w:bCs/>
          <w:sz w:val="24"/>
          <w:szCs w:val="24"/>
        </w:rPr>
        <w:t>期限：</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w:t>
      </w:r>
      <w:r>
        <w:rPr>
          <w:rFonts w:hint="eastAsia" w:ascii="宋体" w:hAnsi="宋体" w:cs="宋体"/>
          <w:sz w:val="24"/>
          <w:szCs w:val="24"/>
          <w:lang w:eastAsia="zh-CN"/>
        </w:rPr>
        <w:t>竞争性磋商</w:t>
      </w:r>
      <w:r>
        <w:rPr>
          <w:rFonts w:hint="eastAsia" w:ascii="宋体" w:hAnsi="宋体" w:eastAsia="宋体" w:cs="宋体"/>
          <w:sz w:val="24"/>
          <w:szCs w:val="24"/>
        </w:rPr>
        <w:t>公告</w:t>
      </w:r>
      <w:r>
        <w:rPr>
          <w:rFonts w:hint="eastAsia" w:ascii="宋体" w:hAnsi="宋体" w:eastAsia="宋体" w:cs="宋体"/>
          <w:sz w:val="24"/>
          <w:szCs w:val="24"/>
          <w:lang w:eastAsia="zh-CN"/>
        </w:rPr>
        <w:t>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w:t>
      </w:r>
      <w:r>
        <w:rPr>
          <w:rFonts w:hint="eastAsia" w:ascii="宋体" w:hAnsi="宋体" w:cs="宋体"/>
          <w:sz w:val="24"/>
          <w:szCs w:val="24"/>
          <w:lang w:eastAsia="zh-CN"/>
        </w:rPr>
        <w:t>。竞争性磋商</w:t>
      </w:r>
      <w:r>
        <w:rPr>
          <w:rFonts w:hint="eastAsia" w:ascii="宋体" w:hAnsi="宋体" w:eastAsia="宋体" w:cs="宋体"/>
          <w:sz w:val="24"/>
          <w:szCs w:val="24"/>
          <w:lang w:eastAsia="zh-CN"/>
        </w:rPr>
        <w:t>公告期限为</w:t>
      </w:r>
      <w:r>
        <w:rPr>
          <w:rFonts w:hint="eastAsia" w:ascii="宋体" w:hAnsi="宋体" w:eastAsia="宋体" w:cs="宋体"/>
          <w:sz w:val="24"/>
          <w:szCs w:val="24"/>
        </w:rPr>
        <w:t>五个工作日。</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sz w:val="24"/>
          <w:szCs w:val="24"/>
          <w:lang w:eastAsia="zh-CN"/>
        </w:rPr>
      </w:pPr>
      <w:r>
        <w:rPr>
          <w:rFonts w:hint="eastAsia" w:ascii="宋体" w:hAnsi="宋体" w:eastAsia="宋体" w:cs="宋体"/>
          <w:b/>
          <w:bCs/>
          <w:sz w:val="24"/>
          <w:szCs w:val="24"/>
          <w:lang w:eastAsia="zh-CN"/>
        </w:rPr>
        <w:t>七、</w:t>
      </w:r>
      <w:r>
        <w:rPr>
          <w:rFonts w:hint="eastAsia" w:ascii="宋体" w:hAnsi="宋体" w:eastAsia="宋体" w:cs="宋体"/>
          <w:b/>
          <w:bCs/>
          <w:sz w:val="24"/>
          <w:szCs w:val="24"/>
        </w:rPr>
        <w:t>其他补充事宜</w:t>
      </w:r>
      <w:r>
        <w:rPr>
          <w:rFonts w:hint="eastAsia" w:ascii="宋体" w:hAnsi="宋体" w:cs="宋体"/>
          <w:b/>
          <w:bCs/>
          <w:sz w:val="24"/>
          <w:szCs w:val="24"/>
          <w:lang w:eastAsia="zh-CN"/>
        </w:rPr>
        <w:t>：无</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凡对本次采购提出询问，请按以下方式联系</w:t>
      </w:r>
    </w:p>
    <w:p>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eastAsia="宋体" w:cs="宋体"/>
          <w:sz w:val="24"/>
          <w:szCs w:val="24"/>
          <w:lang w:val="en-US" w:eastAsia="zh-CN"/>
        </w:rPr>
        <w:t>武陟县农业农村局</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"https://ditu.so.com/?pid=5cece77858de9543&amp;src=onebox" \t "https://www.so.com/_blank"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武陟县兴华路160号</w:t>
      </w:r>
      <w:r>
        <w:rPr>
          <w:rFonts w:hint="eastAsia" w:ascii="宋体" w:hAnsi="宋体" w:eastAsia="宋体" w:cs="宋体"/>
          <w:sz w:val="24"/>
          <w:szCs w:val="24"/>
          <w:highlight w:val="none"/>
        </w:rPr>
        <w:fldChar w:fldCharType="end"/>
      </w:r>
    </w:p>
    <w:p>
      <w:pPr>
        <w:pStyle w:val="4"/>
        <w:keepNext w:val="0"/>
        <w:keepLines w:val="0"/>
        <w:pageBreakBefore w:val="0"/>
        <w:widowControl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w:t>
      </w:r>
      <w:r>
        <w:rPr>
          <w:rFonts w:hint="eastAsia" w:ascii="宋体" w:hAnsi="宋体" w:cs="宋体"/>
          <w:color w:val="000000" w:themeColor="text1"/>
          <w:sz w:val="24"/>
          <w:szCs w:val="24"/>
          <w:highlight w:val="none"/>
          <w:lang w:eastAsia="zh-CN"/>
          <w14:textFill>
            <w14:solidFill>
              <w14:schemeClr w14:val="tx1"/>
            </w14:solidFill>
          </w14:textFill>
        </w:rPr>
        <w:t>宋庆乾</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shd w:val="clear" w:color="auto" w:fill="FFFFFF"/>
          <w:lang w:eastAsia="zh-CN"/>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联系方式：</w:t>
      </w:r>
      <w:r>
        <w:rPr>
          <w:rFonts w:hint="eastAsia" w:ascii="宋体" w:hAnsi="宋体" w:eastAsia="宋体" w:cs="宋体"/>
          <w:color w:val="000000" w:themeColor="text1"/>
          <w:sz w:val="24"/>
          <w:szCs w:val="24"/>
          <w:shd w:val="clear" w:color="auto" w:fill="FFFFFF"/>
          <w:lang w:eastAsia="zh-CN"/>
          <w14:textFill>
            <w14:solidFill>
              <w14:schemeClr w14:val="tx1"/>
            </w14:solidFill>
          </w14:textFill>
        </w:rPr>
        <w:t>1</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3839151113</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2.采购代理机构信息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名 称：</w:t>
      </w:r>
      <w:r>
        <w:rPr>
          <w:rFonts w:hint="eastAsia" w:ascii="宋体" w:hAnsi="宋体" w:cs="宋体"/>
          <w:color w:val="000000" w:themeColor="text1"/>
          <w:sz w:val="24"/>
          <w:szCs w:val="24"/>
          <w:lang w:eastAsia="zh-CN"/>
          <w14:textFill>
            <w14:solidFill>
              <w14:schemeClr w14:val="tx1"/>
            </w14:solidFill>
          </w14:textFill>
        </w:rPr>
        <w:t>达信建设发展有限公司</w:t>
      </w:r>
      <w:r>
        <w:rPr>
          <w:rFonts w:hint="eastAsia" w:ascii="宋体" w:hAnsi="宋体" w:eastAsia="宋体" w:cs="宋体"/>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 址：</w:t>
      </w:r>
      <w:r>
        <w:rPr>
          <w:rFonts w:hint="eastAsia" w:ascii="宋体" w:hAnsi="宋体" w:eastAsia="宋体" w:cs="宋体"/>
          <w:color w:val="000000" w:themeColor="text1"/>
          <w:sz w:val="24"/>
          <w:szCs w:val="24"/>
          <w:lang w:val="en-US" w:eastAsia="zh-CN"/>
          <w14:textFill>
            <w14:solidFill>
              <w14:schemeClr w14:val="tx1"/>
            </w14:solidFill>
          </w14:textFill>
        </w:rPr>
        <w:t>新乡市新二街356号国贸大厦A座9楼</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w:t>
      </w:r>
      <w:r>
        <w:rPr>
          <w:rFonts w:hint="eastAsia" w:ascii="宋体" w:hAnsi="宋体" w:eastAsia="宋体" w:cs="宋体"/>
          <w:color w:val="000000" w:themeColor="text1"/>
          <w:sz w:val="24"/>
          <w:szCs w:val="24"/>
          <w:lang w:val="en-US" w:eastAsia="zh-CN"/>
          <w14:textFill>
            <w14:solidFill>
              <w14:schemeClr w14:val="tx1"/>
            </w14:solidFill>
          </w14:textFill>
        </w:rPr>
        <w:t>王一帆</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联系方式：0391-7289803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3.项目联系方式</w:t>
      </w:r>
    </w:p>
    <w:p>
      <w:pPr>
        <w:pStyle w:val="4"/>
        <w:keepNext w:val="0"/>
        <w:keepLines w:val="0"/>
        <w:pageBreakBefore w:val="0"/>
        <w:widowControl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w:t>
      </w:r>
      <w:r>
        <w:rPr>
          <w:rFonts w:hint="eastAsia" w:ascii="宋体" w:hAnsi="宋体" w:cs="宋体"/>
          <w:color w:val="000000" w:themeColor="text1"/>
          <w:sz w:val="24"/>
          <w:szCs w:val="24"/>
          <w:highlight w:val="none"/>
          <w:lang w:eastAsia="zh-CN"/>
          <w14:textFill>
            <w14:solidFill>
              <w14:schemeClr w14:val="tx1"/>
            </w14:solidFill>
          </w14:textFill>
        </w:rPr>
        <w:t>宋庆乾</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shd w:val="clear" w:color="auto" w:fill="FFFFFF"/>
          <w:lang w:eastAsia="zh-CN"/>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联系方式：</w:t>
      </w:r>
      <w:r>
        <w:rPr>
          <w:rFonts w:hint="eastAsia" w:ascii="宋体" w:hAnsi="宋体" w:eastAsia="宋体" w:cs="宋体"/>
          <w:color w:val="000000" w:themeColor="text1"/>
          <w:sz w:val="24"/>
          <w:szCs w:val="24"/>
          <w:shd w:val="clear" w:color="auto" w:fill="FFFFFF"/>
          <w:lang w:eastAsia="zh-CN"/>
          <w14:textFill>
            <w14:solidFill>
              <w14:schemeClr w14:val="tx1"/>
            </w14:solidFill>
          </w14:textFill>
        </w:rPr>
        <w:t>1</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3839151113</w:t>
      </w:r>
    </w:p>
    <w:p>
      <w:pPr>
        <w:spacing w:line="380" w:lineRule="exact"/>
        <w:ind w:firstLine="6000" w:firstLineChars="2500"/>
        <w:rPr>
          <w:rFonts w:hint="eastAsia" w:ascii="宋体" w:hAnsi="宋体" w:cs="宋体"/>
          <w:sz w:val="24"/>
          <w:szCs w:val="24"/>
          <w:u w:val="none"/>
        </w:rPr>
        <w:sectPr>
          <w:footerReference r:id="rId10" w:type="default"/>
          <w:pgSz w:w="11906" w:h="16838"/>
          <w:pgMar w:top="1134" w:right="1134" w:bottom="1134" w:left="1474" w:header="851" w:footer="510" w:gutter="0"/>
          <w:cols w:space="720" w:num="1"/>
          <w:docGrid w:type="lines" w:linePitch="312" w:charSpace="0"/>
        </w:sectPr>
      </w:pPr>
      <w:r>
        <w:rPr>
          <w:rFonts w:hint="eastAsia" w:ascii="宋体" w:hAnsi="宋体" w:cs="宋体"/>
          <w:sz w:val="24"/>
          <w:szCs w:val="24"/>
          <w:u w:val="none"/>
        </w:rPr>
        <w:t>时间：</w:t>
      </w:r>
      <w:r>
        <w:rPr>
          <w:rFonts w:hint="eastAsia" w:ascii="宋体" w:hAnsi="宋体" w:cs="宋体"/>
          <w:sz w:val="24"/>
          <w:szCs w:val="24"/>
          <w:u w:val="none"/>
          <w:lang w:val="en-US" w:eastAsia="zh-CN"/>
        </w:rPr>
        <w:t xml:space="preserve"> 2023</w:t>
      </w:r>
      <w:r>
        <w:rPr>
          <w:rFonts w:hint="eastAsia" w:ascii="宋体" w:hAnsi="宋体" w:cs="宋体"/>
          <w:sz w:val="24"/>
          <w:szCs w:val="24"/>
          <w:u w:val="none"/>
        </w:rPr>
        <w:t>年</w:t>
      </w:r>
      <w:r>
        <w:rPr>
          <w:rFonts w:hint="eastAsia" w:ascii="宋体" w:hAnsi="宋体" w:cs="宋体"/>
          <w:sz w:val="24"/>
          <w:szCs w:val="24"/>
          <w:u w:val="none"/>
          <w:lang w:val="en-US" w:eastAsia="zh-CN"/>
        </w:rPr>
        <w:t xml:space="preserve">  </w:t>
      </w:r>
      <w:r>
        <w:rPr>
          <w:rFonts w:hint="eastAsia" w:ascii="宋体" w:hAnsi="宋体" w:cs="宋体"/>
          <w:sz w:val="24"/>
          <w:szCs w:val="24"/>
          <w:u w:val="none"/>
        </w:rPr>
        <w:t>月</w:t>
      </w:r>
      <w:r>
        <w:rPr>
          <w:rFonts w:hint="eastAsia" w:ascii="宋体" w:hAnsi="宋体" w:cs="宋体"/>
          <w:sz w:val="24"/>
          <w:szCs w:val="24"/>
          <w:u w:val="none"/>
          <w:lang w:val="en-US" w:eastAsia="zh-CN"/>
        </w:rPr>
        <w:t xml:space="preserve">  </w:t>
      </w:r>
      <w:r>
        <w:rPr>
          <w:rFonts w:hint="eastAsia" w:ascii="宋体" w:hAnsi="宋体" w:cs="宋体"/>
          <w:sz w:val="24"/>
          <w:szCs w:val="24"/>
          <w:u w:val="none"/>
        </w:rPr>
        <w:t>日</w:t>
      </w:r>
    </w:p>
    <w:p>
      <w:pPr>
        <w:pStyle w:val="36"/>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1" w:name="_Toc8609"/>
      <w:bookmarkStart w:id="12" w:name="_Toc29266"/>
      <w:bookmarkStart w:id="13" w:name="_Toc29694"/>
      <w:r>
        <w:rPr>
          <w:rFonts w:hint="eastAsia" w:ascii="宋体" w:hAnsi="宋体" w:cs="宋体"/>
        </w:rPr>
        <w:t>供应商须知</w:t>
      </w:r>
      <w:bookmarkEnd w:id="5"/>
      <w:bookmarkEnd w:id="11"/>
      <w:bookmarkEnd w:id="12"/>
      <w:bookmarkEnd w:id="13"/>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firstLine="420" w:firstLine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7"/>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kern w:val="0"/>
                <w:sz w:val="21"/>
                <w:szCs w:val="21"/>
              </w:rPr>
            </w:pPr>
            <w:r>
              <w:rPr>
                <w:rFonts w:hint="eastAsia" w:ascii="宋体" w:hAnsi="宋体" w:cs="宋体"/>
                <w:kern w:val="0"/>
                <w:sz w:val="21"/>
                <w:szCs w:val="21"/>
              </w:rPr>
              <w:t>采购人</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eastAsia="宋体" w:cs="宋体"/>
                <w:kern w:val="0"/>
                <w:szCs w:val="21"/>
                <w:lang w:val="en-US" w:eastAsia="zh-CN"/>
              </w:rPr>
              <w:t>武陟县农业农村局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 w:val="21"/>
                <w:szCs w:val="21"/>
              </w:rPr>
            </w:pPr>
            <w:r>
              <w:rPr>
                <w:rFonts w:hint="eastAsia" w:ascii="宋体" w:hAnsi="宋体" w:cs="宋体"/>
                <w:kern w:val="0"/>
                <w:sz w:val="21"/>
                <w:szCs w:val="21"/>
              </w:rPr>
              <w:t>采购代理机构</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lang w:eastAsia="zh-CN"/>
              </w:rPr>
              <w:t>达信建设发展有限公司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2131" w:type="dxa"/>
            <w:noWrap w:val="0"/>
            <w:vAlign w:val="center"/>
          </w:tcPr>
          <w:p>
            <w:pPr>
              <w:spacing w:line="460" w:lineRule="exact"/>
              <w:jc w:val="center"/>
              <w:rPr>
                <w:rFonts w:hint="eastAsia" w:ascii="宋体" w:hAnsi="宋体" w:eastAsia="宋体" w:cs="宋体"/>
                <w:kern w:val="0"/>
                <w:sz w:val="21"/>
                <w:szCs w:val="21"/>
                <w:lang w:eastAsia="zh-CN"/>
              </w:rPr>
            </w:pPr>
            <w:r>
              <w:rPr>
                <w:rFonts w:hint="eastAsia" w:ascii="宋体" w:hAnsi="宋体" w:cs="宋体"/>
                <w:kern w:val="0"/>
                <w:sz w:val="21"/>
                <w:szCs w:val="21"/>
                <w:lang w:eastAsia="zh-CN"/>
              </w:rPr>
              <w:t>项目名称</w:t>
            </w:r>
          </w:p>
        </w:tc>
        <w:tc>
          <w:tcPr>
            <w:tcW w:w="6563" w:type="dxa"/>
            <w:noWrap w:val="0"/>
            <w:vAlign w:val="center"/>
          </w:tcPr>
          <w:p>
            <w:pPr>
              <w:rPr>
                <w:rFonts w:hint="default"/>
                <w:lang w:val="en-US" w:eastAsia="zh-CN"/>
              </w:rPr>
            </w:pPr>
            <w:r>
              <w:rPr>
                <w:rFonts w:hint="eastAsia"/>
                <w:lang w:val="en-US" w:eastAsia="zh-CN"/>
              </w:rPr>
              <w:t>武陟县农业农村局关于2023年武陟县第三次全国土壤普查表层样采集项目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 w:val="21"/>
                <w:szCs w:val="21"/>
              </w:rPr>
            </w:pPr>
            <w:r>
              <w:rPr>
                <w:rFonts w:hint="eastAsia" w:ascii="宋体" w:hAnsi="宋体" w:cs="宋体"/>
                <w:kern w:val="0"/>
                <w:sz w:val="21"/>
                <w:szCs w:val="21"/>
              </w:rPr>
              <w:t>资金来源</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lang w:val="en-US"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 w:val="21"/>
                <w:szCs w:val="21"/>
              </w:rPr>
            </w:pPr>
            <w:r>
              <w:rPr>
                <w:rFonts w:hint="eastAsia" w:ascii="宋体" w:hAnsi="宋体" w:cs="宋体"/>
                <w:kern w:val="0"/>
                <w:sz w:val="21"/>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6</w:t>
            </w:r>
          </w:p>
        </w:tc>
        <w:tc>
          <w:tcPr>
            <w:tcW w:w="2131" w:type="dxa"/>
            <w:noWrap w:val="0"/>
            <w:vAlign w:val="center"/>
          </w:tcPr>
          <w:p>
            <w:pPr>
              <w:spacing w:line="460" w:lineRule="exact"/>
              <w:jc w:val="center"/>
              <w:rPr>
                <w:rFonts w:hint="eastAsia" w:ascii="宋体" w:hAnsi="宋体" w:cs="宋体"/>
                <w:kern w:val="0"/>
                <w:sz w:val="21"/>
                <w:szCs w:val="21"/>
              </w:rPr>
            </w:pPr>
            <w:r>
              <w:rPr>
                <w:rFonts w:hint="eastAsia" w:ascii="宋体" w:hAnsi="宋体"/>
                <w:sz w:val="21"/>
                <w:szCs w:val="21"/>
              </w:rPr>
              <w:t>项目属性</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olor w:val="000000" w:themeColor="text1"/>
                <w:szCs w:val="21"/>
                <w14:textFill>
                  <w14:solidFill>
                    <w14:schemeClr w14:val="tx1"/>
                  </w14:solidFill>
                </w14:textFill>
              </w:rPr>
              <w:t>货物</w:t>
            </w:r>
            <w:r>
              <w:rPr>
                <w:rFonts w:hint="eastAsia" w:hAnsi="宋体"/>
                <w:color w:val="000000" w:themeColor="text1"/>
                <w:szCs w:val="21"/>
                <w14:textFill>
                  <w14:solidFill>
                    <w14:schemeClr w14:val="tx1"/>
                  </w14:solidFill>
                </w14:textFill>
              </w:rPr>
              <w:sym w:font="Wingdings" w:char="00A8"/>
            </w:r>
            <w:r>
              <w:rPr>
                <w:rFonts w:hint="eastAsia"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服务</w:t>
            </w:r>
            <w:r>
              <w:rPr>
                <w:rFonts w:hint="eastAsia" w:hAnsi="宋体"/>
                <w:color w:val="000000" w:themeColor="text1"/>
                <w:szCs w:val="21"/>
                <w14:textFill>
                  <w14:solidFill>
                    <w14:schemeClr w14:val="tx1"/>
                  </w14:solidFill>
                </w14:textFill>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7</w:t>
            </w:r>
          </w:p>
        </w:tc>
        <w:tc>
          <w:tcPr>
            <w:tcW w:w="2131" w:type="dxa"/>
            <w:noWrap w:val="0"/>
            <w:vAlign w:val="center"/>
          </w:tcPr>
          <w:p>
            <w:pPr>
              <w:spacing w:line="460" w:lineRule="exact"/>
              <w:jc w:val="center"/>
              <w:rPr>
                <w:rFonts w:hint="eastAsia" w:ascii="宋体" w:hAnsi="宋体" w:cs="宋体"/>
                <w:kern w:val="0"/>
                <w:sz w:val="21"/>
                <w:szCs w:val="21"/>
              </w:rPr>
            </w:pPr>
            <w:r>
              <w:rPr>
                <w:rFonts w:hint="eastAsia" w:ascii="宋体" w:hAnsi="宋体" w:cs="宋体"/>
                <w:kern w:val="0"/>
                <w:sz w:val="21"/>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8</w:t>
            </w:r>
          </w:p>
        </w:tc>
        <w:tc>
          <w:tcPr>
            <w:tcW w:w="2131" w:type="dxa"/>
            <w:noWrap w:val="0"/>
            <w:vAlign w:val="center"/>
          </w:tcPr>
          <w:p>
            <w:pPr>
              <w:spacing w:line="460" w:lineRule="exact"/>
              <w:jc w:val="center"/>
              <w:rPr>
                <w:rFonts w:hint="eastAsia" w:ascii="宋体" w:hAnsi="宋体" w:cs="宋体"/>
                <w:kern w:val="0"/>
                <w:sz w:val="21"/>
                <w:szCs w:val="21"/>
              </w:rPr>
            </w:pPr>
            <w:r>
              <w:rPr>
                <w:rFonts w:hint="eastAsia" w:ascii="宋体" w:hAnsi="宋体" w:cs="宋体"/>
                <w:kern w:val="0"/>
                <w:sz w:val="21"/>
                <w:szCs w:val="21"/>
              </w:rPr>
              <w:t>采购需求</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详见第五章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szCs w:val="21"/>
              </w:rPr>
            </w:pPr>
            <w:r>
              <w:rPr>
                <w:rFonts w:hint="eastAsia" w:ascii="宋体" w:hAnsi="宋体" w:cs="宋体"/>
                <w:color w:val="000000" w:themeColor="text1"/>
                <w:szCs w:val="21"/>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磋商</w:t>
            </w:r>
            <w:r>
              <w:rPr>
                <w:rFonts w:hint="eastAsia" w:ascii="宋体" w:hAnsi="宋体" w:cs="宋体"/>
                <w:color w:val="000000" w:themeColor="text1"/>
                <w:szCs w:val="21"/>
                <w14:textFill>
                  <w14:solidFill>
                    <w14:schemeClr w14:val="tx1"/>
                  </w14:solidFill>
                </w14:textFill>
              </w:rPr>
              <w:t>保证金：</w:t>
            </w:r>
            <w:r>
              <w:rPr>
                <w:rFonts w:hint="eastAsia" w:ascii="宋体" w:hAnsi="宋体" w:cs="宋体"/>
                <w:color w:val="000000" w:themeColor="text1"/>
                <w:szCs w:val="21"/>
                <w:lang w:val="en-US" w:eastAsia="zh-CN"/>
                <w14:textFill>
                  <w14:solidFill>
                    <w14:schemeClr w14:val="tx1"/>
                  </w14:solidFill>
                </w14:textFill>
              </w:rPr>
              <w:t>1.8</w:t>
            </w:r>
            <w:r>
              <w:rPr>
                <w:rFonts w:hint="eastAsia" w:ascii="宋体" w:hAnsi="宋体" w:cs="宋体"/>
                <w:color w:val="000000" w:themeColor="text1"/>
                <w:szCs w:val="21"/>
                <w:lang w:eastAsia="zh-CN"/>
                <w14:textFill>
                  <w14:solidFill>
                    <w14:schemeClr w14:val="tx1"/>
                  </w14:solidFill>
                </w14:textFill>
              </w:rPr>
              <w:t>万</w:t>
            </w:r>
            <w:r>
              <w:rPr>
                <w:rFonts w:hint="eastAsia" w:ascii="宋体" w:hAnsi="宋体" w:cs="宋体"/>
                <w:color w:val="000000" w:themeColor="text1"/>
                <w:szCs w:val="21"/>
                <w14:textFill>
                  <w14:solidFill>
                    <w14:schemeClr w14:val="tx1"/>
                  </w14:solidFill>
                </w14:textFill>
              </w:rPr>
              <w:t>元</w:t>
            </w:r>
            <w:r>
              <w:rPr>
                <w:rFonts w:hint="eastAsia" w:ascii="宋体" w:hAnsi="宋体" w:cs="宋体"/>
                <w:b/>
                <w:bCs/>
                <w:szCs w:val="21"/>
              </w:rPr>
              <w:t>（暂不缴纳）</w:t>
            </w:r>
          </w:p>
          <w:p>
            <w:pPr>
              <w:spacing w:line="400" w:lineRule="exact"/>
              <w:rPr>
                <w:rFonts w:hint="eastAsia" w:ascii="宋体" w:hAnsi="宋体" w:cs="宋体"/>
                <w:szCs w:val="21"/>
              </w:rPr>
            </w:pPr>
            <w:r>
              <w:rPr>
                <w:rFonts w:hint="eastAsia" w:ascii="宋体" w:hAnsi="宋体" w:cs="宋体"/>
                <w:szCs w:val="21"/>
              </w:rPr>
              <w:t>2.供应商有下列情形之一的，采购人将追索</w:t>
            </w:r>
            <w:r>
              <w:rPr>
                <w:rFonts w:hint="eastAsia" w:ascii="宋体" w:hAnsi="宋体" w:cs="宋体"/>
                <w:kern w:val="0"/>
                <w:szCs w:val="21"/>
              </w:rPr>
              <w:t>磋商</w:t>
            </w:r>
            <w:r>
              <w:rPr>
                <w:rFonts w:hint="eastAsia" w:ascii="宋体" w:hAnsi="宋体" w:cs="宋体"/>
                <w:szCs w:val="21"/>
              </w:rPr>
              <w:t>保证金人民币</w:t>
            </w:r>
            <w:r>
              <w:rPr>
                <w:rFonts w:hint="eastAsia" w:ascii="宋体" w:hAnsi="宋体" w:cs="宋体"/>
                <w:b/>
                <w:bCs/>
                <w:color w:val="000000" w:themeColor="text1"/>
                <w:kern w:val="0"/>
                <w:szCs w:val="21"/>
                <w:lang w:val="en-US" w:eastAsia="zh-CN"/>
                <w14:textFill>
                  <w14:solidFill>
                    <w14:schemeClr w14:val="tx1"/>
                  </w14:solidFill>
                </w14:textFill>
              </w:rPr>
              <w:t>1.8</w:t>
            </w:r>
            <w:r>
              <w:rPr>
                <w:rFonts w:hint="eastAsia" w:ascii="宋体" w:hAnsi="宋体" w:cs="宋体"/>
                <w:b/>
                <w:bCs/>
                <w:color w:val="000000" w:themeColor="text1"/>
                <w:kern w:val="0"/>
                <w:szCs w:val="21"/>
                <w:lang w:eastAsia="zh-CN"/>
                <w14:textFill>
                  <w14:solidFill>
                    <w14:schemeClr w14:val="tx1"/>
                  </w14:solidFill>
                </w14:textFill>
              </w:rPr>
              <w:t>万元</w:t>
            </w:r>
            <w:r>
              <w:rPr>
                <w:rFonts w:hint="eastAsia" w:ascii="宋体" w:hAnsi="宋体" w:cs="宋体"/>
                <w:color w:val="000000" w:themeColor="text1"/>
                <w:szCs w:val="21"/>
                <w14:textFill>
                  <w14:solidFill>
                    <w14:schemeClr w14:val="tx1"/>
                  </w14:solidFill>
                </w14:textFill>
              </w:rPr>
              <w:t>，</w:t>
            </w:r>
            <w:r>
              <w:rPr>
                <w:rFonts w:hint="eastAsia" w:ascii="宋体" w:hAnsi="宋体" w:cs="宋体"/>
                <w:b/>
                <w:bCs/>
                <w:szCs w:val="21"/>
              </w:rPr>
              <w:t>并予以没收</w:t>
            </w:r>
            <w:r>
              <w:rPr>
                <w:rFonts w:hint="eastAsia" w:ascii="宋体" w:hAnsi="宋体" w:cs="宋体"/>
                <w:szCs w:val="21"/>
              </w:rPr>
              <w:t>，供应商应作出相应承诺（承诺书格式见第六章响应文件格式中）：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7"/>
              <w:spacing w:before="1" w:line="440" w:lineRule="exact"/>
              <w:ind w:left="108"/>
              <w:jc w:val="center"/>
              <w:rPr>
                <w:rFonts w:hint="eastAsia" w:ascii="宋体" w:hAnsi="宋体" w:cs="宋体"/>
                <w:kern w:val="0"/>
                <w:szCs w:val="21"/>
              </w:rPr>
            </w:pPr>
            <w:r>
              <w:rPr>
                <w:rFonts w:hint="eastAsia" w:ascii="宋体" w:hAnsi="宋体" w:cs="宋体"/>
                <w:sz w:val="21"/>
                <w:szCs w:val="21"/>
              </w:rPr>
              <w:t>响应文件的递交</w:t>
            </w:r>
          </w:p>
        </w:tc>
        <w:tc>
          <w:tcPr>
            <w:tcW w:w="6563" w:type="dxa"/>
            <w:noWrap w:val="0"/>
            <w:vAlign w:val="center"/>
          </w:tcPr>
          <w:p>
            <w:pPr>
              <w:spacing w:line="440" w:lineRule="exact"/>
              <w:rPr>
                <w:rFonts w:hint="eastAsia" w:ascii="宋体" w:hAnsi="宋体" w:cs="宋体"/>
                <w:szCs w:val="21"/>
              </w:rPr>
            </w:pPr>
            <w:r>
              <w:rPr>
                <w:rFonts w:hint="eastAsia" w:ascii="宋体" w:hAnsi="宋体" w:cs="宋体"/>
                <w:szCs w:val="21"/>
              </w:rPr>
              <w:t>1.在提交响应文件截止时间前递交，具体事宜请查阅焦作市公共资源交易中心官网首页—公共服务—下载专区-下载相关操作手册及视频等，查看操作说明，按要求进行响应文件的递交。</w:t>
            </w:r>
          </w:p>
          <w:p>
            <w:pPr>
              <w:spacing w:line="440" w:lineRule="exact"/>
              <w:rPr>
                <w:rFonts w:hint="eastAsia" w:ascii="宋体" w:hAnsi="宋体" w:cs="宋体"/>
                <w:szCs w:val="21"/>
              </w:rPr>
            </w:pPr>
            <w:r>
              <w:rPr>
                <w:rFonts w:hint="eastAsia" w:ascii="宋体" w:hAnsi="宋体" w:cs="宋体"/>
                <w:szCs w:val="21"/>
              </w:rPr>
              <w:t>2.如因系统故障需上传非加密文件时，供应商应按照采购人指示将非加密文件递交给采购人。</w:t>
            </w:r>
          </w:p>
          <w:p>
            <w:pPr>
              <w:spacing w:line="440" w:lineRule="exact"/>
              <w:rPr>
                <w:rFonts w:hint="eastAsia" w:ascii="宋体" w:hAnsi="宋体" w:cs="宋体"/>
                <w:kern w:val="0"/>
                <w:szCs w:val="21"/>
              </w:rPr>
            </w:pPr>
            <w:r>
              <w:rPr>
                <w:rFonts w:hint="eastAsia" w:ascii="宋体" w:hAnsi="宋体" w:cs="宋体"/>
                <w:szCs w:val="21"/>
              </w:rPr>
              <w:t>3.采购人拒绝接收在响应文件递交截止时间后上传的响应文件。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w:t>
            </w:r>
            <w:r>
              <w:rPr>
                <w:rFonts w:hint="eastAsia"/>
                <w:szCs w:val="21"/>
                <w:lang w:val="en-US" w:eastAsia="zh-CN"/>
              </w:rPr>
              <w:t>4</w:t>
            </w:r>
            <w:r>
              <w:rPr>
                <w:rFonts w:hint="eastAsia"/>
                <w:szCs w:val="21"/>
              </w:rPr>
              <w:t>）</w:t>
            </w:r>
            <w:r>
              <w:rPr>
                <w:rFonts w:hint="eastAsia" w:ascii="宋体" w:hAnsi="宋体"/>
                <w:kern w:val="0"/>
                <w:szCs w:val="21"/>
              </w:rPr>
              <w:t>磋商</w:t>
            </w:r>
            <w:r>
              <w:rPr>
                <w:rFonts w:hint="eastAsia"/>
                <w:szCs w:val="21"/>
              </w:rPr>
              <w:t>小组对已通过资格性、符合性审查的供应商发起二轮(最后报价)邀请。</w:t>
            </w:r>
          </w:p>
          <w:p>
            <w:pPr>
              <w:pStyle w:val="4"/>
              <w:spacing w:line="400" w:lineRule="exact"/>
              <w:rPr>
                <w:rFonts w:hint="eastAsia"/>
                <w:kern w:val="2"/>
                <w:szCs w:val="21"/>
              </w:rPr>
            </w:pPr>
            <w:r>
              <w:rPr>
                <w:rFonts w:hint="eastAsia"/>
                <w:kern w:val="2"/>
                <w:szCs w:val="21"/>
              </w:rPr>
              <w:t>（</w:t>
            </w:r>
            <w:r>
              <w:rPr>
                <w:rFonts w:hint="eastAsia"/>
                <w:kern w:val="2"/>
                <w:szCs w:val="21"/>
                <w:lang w:val="en-US" w:eastAsia="zh-CN"/>
              </w:rPr>
              <w:t>5</w:t>
            </w:r>
            <w:r>
              <w:rPr>
                <w:rFonts w:hint="eastAsia"/>
                <w:kern w:val="2"/>
                <w:szCs w:val="21"/>
              </w:rPr>
              <w:t>）由磋商小组采用综合评分法对提交最后报价的供应商的响应文件和最后报价进行综合评分并出具评审报告。</w:t>
            </w:r>
          </w:p>
          <w:p>
            <w:pPr>
              <w:pStyle w:val="5"/>
              <w:spacing w:line="400" w:lineRule="exact"/>
              <w:ind w:firstLine="211" w:firstLineChars="100"/>
              <w:rPr>
                <w:rFonts w:hint="eastAsia"/>
                <w:b/>
                <w:bCs/>
                <w:kern w:val="2"/>
                <w:szCs w:val="21"/>
              </w:rPr>
            </w:pPr>
            <w:r>
              <w:rPr>
                <w:rFonts w:hint="eastAsia"/>
                <w:b/>
                <w:bCs/>
                <w:kern w:val="2"/>
                <w:szCs w:val="21"/>
              </w:rPr>
              <w:t>备注：1.供应商在规定时间内需通过焦作市公共资源交易平台进行二轮报价（最后报价），未在规定时间内提交二轮报价（最后报价）的视为放弃本次磋商。</w:t>
            </w:r>
          </w:p>
          <w:p>
            <w:pPr>
              <w:pStyle w:val="5"/>
              <w:spacing w:line="400" w:lineRule="exact"/>
              <w:ind w:firstLine="422" w:firstLineChars="200"/>
              <w:rPr>
                <w:rFonts w:hint="eastAsia" w:ascii="宋体" w:hAnsi="宋体" w:cs="宋体"/>
                <w:kern w:val="2"/>
                <w:szCs w:val="21"/>
              </w:rPr>
            </w:pPr>
            <w:r>
              <w:rPr>
                <w:rFonts w:hint="eastAsia"/>
                <w:b/>
                <w:bCs/>
                <w:kern w:val="2"/>
                <w:szCs w:val="21"/>
              </w:rPr>
              <w:t>2.二轮报价（最后报价）操作步骤</w:t>
            </w:r>
            <w:r>
              <w:rPr>
                <w:rFonts w:hint="eastAsia" w:ascii="宋体" w:hAnsi="宋体" w:cs="宋体"/>
                <w:b/>
                <w:bCs/>
                <w:kern w:val="2"/>
                <w:szCs w:val="21"/>
              </w:rPr>
              <w:t>请到焦作市公共资源交易中心官网首页—公共服务—下载专区-下载《投标单位操作手册及视频》中《</w:t>
            </w:r>
            <w:r>
              <w:rPr>
                <w:rFonts w:hint="eastAsia" w:ascii="宋体" w:hAnsi="宋体" w:cs="宋体"/>
                <w:b/>
                <w:bCs/>
                <w:kern w:val="2"/>
                <w:szCs w:val="21"/>
              </w:rPr>
              <w:fldChar w:fldCharType="begin"/>
            </w:r>
            <w:r>
              <w:rPr>
                <w:rFonts w:hint="eastAsia" w:ascii="宋体" w:hAnsi="宋体" w:cs="宋体"/>
                <w:b/>
                <w:bCs/>
                <w:kern w:val="2"/>
                <w:szCs w:val="21"/>
              </w:rPr>
              <w:instrText xml:space="preserve"> HYPERLINK "http://www.jzggzy.cn/jzggzy/88951794-3a73-4903-8a3a-a3156df953c4/59a811ad-be10-452c-92be-8b7a2948cf3a/焦作市公共资源交易平台升级项目-投标人手册.docx" \o "焦作市公共资源交易平台升级项目-投标人手册.docx" </w:instrText>
            </w:r>
            <w:r>
              <w:rPr>
                <w:rFonts w:hint="eastAsia" w:ascii="宋体" w:hAnsi="宋体" w:cs="宋体"/>
                <w:b/>
                <w:bCs/>
                <w:kern w:val="2"/>
                <w:szCs w:val="21"/>
              </w:rPr>
              <w:fldChar w:fldCharType="separate"/>
            </w:r>
            <w:r>
              <w:rPr>
                <w:rFonts w:hint="eastAsia" w:ascii="宋体" w:hAnsi="宋体" w:cs="宋体"/>
                <w:b/>
                <w:bCs/>
                <w:kern w:val="2"/>
                <w:szCs w:val="21"/>
              </w:rPr>
              <w:t>焦作市公共资源交易平台升级项目-</w:t>
            </w:r>
            <w:r>
              <w:rPr>
                <w:rFonts w:hint="eastAsia" w:ascii="宋体" w:hAnsi="宋体" w:cs="宋体"/>
                <w:b/>
                <w:bCs/>
                <w:kern w:val="2"/>
                <w:szCs w:val="21"/>
                <w:lang w:eastAsia="zh-CN"/>
              </w:rPr>
              <w:t>供应商</w:t>
            </w:r>
            <w:r>
              <w:rPr>
                <w:rFonts w:hint="eastAsia" w:ascii="宋体" w:hAnsi="宋体" w:cs="宋体"/>
                <w:b/>
                <w:bCs/>
                <w:kern w:val="2"/>
                <w:szCs w:val="21"/>
              </w:rPr>
              <w:t>手册.docx</w:t>
            </w:r>
            <w:r>
              <w:rPr>
                <w:rFonts w:hint="eastAsia" w:ascii="宋体" w:hAnsi="宋体" w:cs="宋体"/>
                <w:b/>
                <w:bCs/>
                <w:kern w:val="2"/>
                <w:szCs w:val="21"/>
              </w:rPr>
              <w:fldChar w:fldCharType="end"/>
            </w:r>
            <w:r>
              <w:rPr>
                <w:rFonts w:hint="eastAsia" w:ascii="宋体" w:hAnsi="宋体" w:cs="宋体"/>
                <w:b/>
                <w:bCs/>
                <w:kern w:val="2"/>
                <w:szCs w:val="21"/>
              </w:rPr>
              <w:t>》文件查阅。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15</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16</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需要落实的政府采购政策</w:t>
            </w:r>
          </w:p>
        </w:tc>
        <w:tc>
          <w:tcPr>
            <w:tcW w:w="6563" w:type="dxa"/>
            <w:noWrap w:val="0"/>
            <w:vAlign w:val="center"/>
          </w:tcPr>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（3）</w:t>
            </w:r>
            <w:r>
              <w:rPr>
                <w:rFonts w:hint="eastAsia" w:ascii="宋体" w:hAnsi="宋体"/>
                <w:bCs/>
                <w:color w:val="auto"/>
                <w:sz w:val="21"/>
                <w:szCs w:val="21"/>
              </w:rPr>
              <w:t>在工程采购项目中，工程由中小企业承建，即工程施工单位为中小企业；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（4）</w:t>
            </w: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供应商应当按照竞争性磋商文件规定出具《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w:t>
            </w:r>
            <w:r>
              <w:rPr>
                <w:rFonts w:hint="eastAsia" w:ascii="宋体" w:hAnsi="宋体"/>
                <w:bCs/>
                <w:sz w:val="21"/>
                <w:szCs w:val="21"/>
                <w:lang w:eastAsia="zh-CN"/>
              </w:rPr>
              <w:t>供应商</w:t>
            </w:r>
            <w:r>
              <w:rPr>
                <w:rFonts w:hint="eastAsia" w:ascii="宋体" w:hAnsi="宋体"/>
                <w:bCs/>
                <w:sz w:val="21"/>
                <w:szCs w:val="21"/>
              </w:rPr>
              <w:t>出具的监狱企业证明文件如有虚假，其成交资格将被取消，并根据相关规定进行处罚。</w:t>
            </w:r>
          </w:p>
          <w:p>
            <w:pPr>
              <w:spacing w:line="500" w:lineRule="exact"/>
              <w:ind w:firstLine="420" w:firstLineChars="200"/>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bCs/>
                <w:sz w:val="21"/>
                <w:szCs w:val="21"/>
                <w:lang w:eastAsia="zh-CN"/>
              </w:rPr>
              <w:t>供应商</w:t>
            </w:r>
            <w:r>
              <w:rPr>
                <w:rFonts w:hint="eastAsia" w:ascii="宋体" w:hAnsi="宋体"/>
                <w:bCs/>
                <w:sz w:val="21"/>
                <w:szCs w:val="21"/>
              </w:rPr>
              <w:t>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shd w:val="clear" w:color="auto" w:fill="FFFF00"/>
                <w:lang w:eastAsia="zh-CN"/>
              </w:rPr>
            </w:pPr>
            <w:r>
              <w:rPr>
                <w:rFonts w:hint="eastAsia" w:ascii="宋体" w:hAnsi="宋体"/>
                <w:b/>
                <w:bCs w:val="0"/>
                <w:sz w:val="21"/>
                <w:szCs w:val="21"/>
                <w:lang w:eastAsia="zh-CN"/>
              </w:rPr>
              <w:t>供应商</w:t>
            </w:r>
            <w:r>
              <w:rPr>
                <w:rFonts w:hint="eastAsia" w:ascii="宋体" w:hAnsi="宋体" w:eastAsia="宋体"/>
                <w:b/>
                <w:bCs w:val="0"/>
                <w:sz w:val="21"/>
                <w:szCs w:val="21"/>
              </w:rPr>
              <w:t>同时为小型、微型企业、监狱企业、残疾人福利性单位任两种或以上情况的，评审中只享受一次价格扣除，不重复进行价格扣除。</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eastAsia="宋体"/>
                <w:color w:val="auto"/>
                <w:lang w:eastAsia="zh-CN"/>
              </w:rPr>
            </w:pPr>
            <w:r>
              <w:rPr>
                <w:rFonts w:hint="eastAsia" w:ascii="宋体" w:hAnsi="宋体"/>
                <w:b/>
                <w:bCs w:val="0"/>
                <w:sz w:val="21"/>
                <w:szCs w:val="21"/>
                <w:lang w:eastAsia="zh-CN"/>
              </w:rPr>
              <w:t>磋商小组</w:t>
            </w:r>
            <w:r>
              <w:rPr>
                <w:rFonts w:hint="eastAsia" w:ascii="宋体" w:hAnsi="宋体" w:eastAsia="宋体"/>
                <w:b/>
                <w:bCs w:val="0"/>
                <w:sz w:val="21"/>
                <w:szCs w:val="21"/>
                <w:lang w:eastAsia="zh-CN"/>
              </w:rPr>
              <w:t>根据</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是否属于</w:t>
            </w:r>
            <w:r>
              <w:rPr>
                <w:rFonts w:hint="eastAsia" w:ascii="宋体" w:hAnsi="宋体" w:eastAsia="宋体"/>
                <w:b/>
                <w:bCs w:val="0"/>
                <w:sz w:val="21"/>
                <w:szCs w:val="21"/>
              </w:rPr>
              <w:t>小型或微型企业</w:t>
            </w:r>
            <w:r>
              <w:rPr>
                <w:rFonts w:hint="eastAsia" w:ascii="宋体" w:hAnsi="宋体" w:eastAsia="宋体"/>
                <w:b/>
                <w:bCs w:val="0"/>
                <w:sz w:val="21"/>
                <w:szCs w:val="21"/>
                <w:lang w:eastAsia="zh-CN"/>
              </w:rPr>
              <w:t>，被认定为</w:t>
            </w:r>
            <w:r>
              <w:rPr>
                <w:rFonts w:hint="eastAsia" w:ascii="宋体" w:hAnsi="宋体" w:eastAsia="宋体"/>
                <w:b/>
                <w:bCs w:val="0"/>
                <w:sz w:val="21"/>
                <w:szCs w:val="21"/>
              </w:rPr>
              <w:t>小型或微型企业</w:t>
            </w:r>
            <w:r>
              <w:rPr>
                <w:rFonts w:hint="eastAsia" w:ascii="宋体" w:hAnsi="宋体" w:eastAsia="宋体"/>
                <w:b/>
                <w:bCs w:val="0"/>
                <w:sz w:val="21"/>
                <w:szCs w:val="21"/>
                <w:lang w:eastAsia="zh-CN"/>
              </w:rPr>
              <w:t>的方可</w:t>
            </w:r>
            <w:r>
              <w:rPr>
                <w:rFonts w:hint="eastAsia" w:ascii="宋体" w:hAnsi="宋体" w:eastAsia="宋体"/>
                <w:b/>
                <w:bCs w:val="0"/>
                <w:sz w:val="21"/>
                <w:szCs w:val="21"/>
              </w:rPr>
              <w:t>享受价格优惠。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17</w:t>
            </w:r>
          </w:p>
        </w:tc>
        <w:tc>
          <w:tcPr>
            <w:tcW w:w="2131" w:type="dxa"/>
            <w:noWrap w:val="0"/>
            <w:vAlign w:val="center"/>
          </w:tcPr>
          <w:p>
            <w:pPr>
              <w:spacing w:line="4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履约担保</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cs="宋体"/>
                <w:kern w:val="0"/>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olor w:val="000000"/>
                <w:sz w:val="21"/>
                <w:szCs w:val="21"/>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项目执行预付款的，采购人在向中标人支付预付款前，中标人需向采购人提供预付款保函；</w:t>
            </w:r>
          </w:p>
          <w:p>
            <w:pPr>
              <w:spacing w:line="460" w:lineRule="exact"/>
              <w:ind w:firstLine="420" w:firstLineChars="200"/>
              <w:rPr>
                <w:rFonts w:hint="eastAsia" w:ascii="宋体" w:hAnsi="宋体" w:cs="宋体"/>
                <w:kern w:val="0"/>
                <w:szCs w:val="21"/>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spacing w:line="360" w:lineRule="auto"/>
              <w:ind w:firstLine="420" w:firstLineChars="200"/>
              <w:rPr>
                <w:rFonts w:hint="eastAsia" w:ascii="宋体" w:hAnsi="宋体" w:cs="宋体"/>
                <w:kern w:val="0"/>
                <w:szCs w:val="21"/>
              </w:rPr>
            </w:pPr>
            <w:r>
              <w:rPr>
                <w:rFonts w:hint="eastAsia" w:ascii="宋体" w:hAnsi="宋体" w:cs="宋体"/>
                <w:kern w:val="0"/>
                <w:szCs w:val="21"/>
              </w:rPr>
              <w:t>本竞争性磋商文件解释权归采购人或其委托的采购代理机构。未尽事宜按国家相关法律法规执行。</w:t>
            </w:r>
          </w:p>
          <w:p>
            <w:pPr>
              <w:spacing w:line="360" w:lineRule="auto"/>
              <w:ind w:firstLine="420" w:firstLineChars="200"/>
              <w:rPr>
                <w:rFonts w:hint="eastAsia" w:ascii="宋体" w:hAnsi="宋体" w:cs="宋体"/>
                <w:szCs w:val="21"/>
              </w:rPr>
            </w:pPr>
            <w:r>
              <w:rPr>
                <w:rFonts w:hint="eastAsia" w:ascii="宋体" w:hAnsi="宋体" w:cs="宋体"/>
                <w:szCs w:val="21"/>
              </w:rPr>
              <w:t>（1）在评审过程中，</w:t>
            </w:r>
            <w:r>
              <w:rPr>
                <w:rFonts w:hint="eastAsia" w:ascii="宋体" w:hAnsi="宋体" w:cs="宋体"/>
                <w:kern w:val="0"/>
                <w:szCs w:val="21"/>
              </w:rPr>
              <w:t>磋商</w:t>
            </w:r>
            <w:r>
              <w:rPr>
                <w:rFonts w:hint="eastAsia" w:ascii="宋体" w:hAnsi="宋体" w:cs="宋体"/>
                <w:szCs w:val="21"/>
              </w:rPr>
              <w:t>小组成员存在争议时，可以以少数服从多数的原则解决争议；</w:t>
            </w:r>
          </w:p>
          <w:p>
            <w:pPr>
              <w:spacing w:line="360" w:lineRule="auto"/>
              <w:ind w:firstLine="420" w:firstLineChars="200"/>
              <w:rPr>
                <w:rFonts w:hint="eastAsia" w:ascii="宋体" w:hAnsi="宋体" w:cs="宋体"/>
                <w:kern w:val="0"/>
                <w:szCs w:val="21"/>
              </w:rPr>
            </w:pPr>
            <w:r>
              <w:rPr>
                <w:rFonts w:hint="eastAsia" w:ascii="宋体" w:hAnsi="宋体" w:cs="宋体"/>
                <w:szCs w:val="21"/>
              </w:rPr>
              <w:t>（2）在评审过程中，采购人或其委托的代理机构认为</w:t>
            </w:r>
            <w:r>
              <w:rPr>
                <w:rFonts w:hint="eastAsia" w:ascii="宋体" w:hAnsi="宋体" w:cs="宋体"/>
                <w:kern w:val="0"/>
                <w:szCs w:val="21"/>
              </w:rPr>
              <w:t>磋商</w:t>
            </w:r>
            <w:r>
              <w:rPr>
                <w:rFonts w:hint="eastAsia" w:ascii="宋体" w:hAnsi="宋体" w:cs="宋体"/>
                <w:szCs w:val="21"/>
              </w:rPr>
              <w:t>小组对</w:t>
            </w:r>
            <w:r>
              <w:rPr>
                <w:rFonts w:hint="eastAsia" w:ascii="宋体" w:hAnsi="宋体" w:cs="宋体"/>
                <w:kern w:val="0"/>
                <w:szCs w:val="21"/>
              </w:rPr>
              <w:t>磋商</w:t>
            </w:r>
            <w:r>
              <w:rPr>
                <w:rFonts w:hint="eastAsia" w:ascii="宋体" w:hAnsi="宋体" w:cs="宋体"/>
                <w:szCs w:val="21"/>
              </w:rPr>
              <w:t>文件存在误解时，可对</w:t>
            </w:r>
            <w:r>
              <w:rPr>
                <w:rFonts w:hint="eastAsia" w:ascii="宋体" w:hAnsi="宋体" w:cs="宋体"/>
                <w:kern w:val="0"/>
                <w:szCs w:val="21"/>
              </w:rPr>
              <w:t>磋商</w:t>
            </w:r>
            <w:r>
              <w:rPr>
                <w:rFonts w:hint="eastAsia" w:ascii="宋体" w:hAnsi="宋体" w:cs="宋体"/>
                <w:szCs w:val="21"/>
              </w:rPr>
              <w:t>文件做出解释，并承担相应责任，</w:t>
            </w:r>
            <w:r>
              <w:rPr>
                <w:rFonts w:hint="eastAsia" w:ascii="宋体" w:hAnsi="宋体" w:cs="宋体"/>
                <w:kern w:val="0"/>
                <w:szCs w:val="21"/>
              </w:rPr>
              <w:t>磋商</w:t>
            </w:r>
            <w:r>
              <w:rPr>
                <w:rFonts w:hint="eastAsia" w:ascii="宋体" w:hAnsi="宋体" w:cs="宋体"/>
                <w:szCs w:val="21"/>
              </w:rPr>
              <w:t>小组应当依据该解释评审；</w:t>
            </w:r>
            <w:r>
              <w:rPr>
                <w:rFonts w:hint="eastAsia" w:ascii="宋体" w:hAnsi="宋体" w:cs="宋体"/>
                <w:kern w:val="0"/>
                <w:szCs w:val="21"/>
              </w:rPr>
              <w:t>磋商</w:t>
            </w:r>
            <w:r>
              <w:rPr>
                <w:rFonts w:hint="eastAsia" w:ascii="宋体" w:hAnsi="宋体" w:cs="宋体"/>
                <w:szCs w:val="21"/>
              </w:rPr>
              <w:t>小组对采购人或其委托的代理机构的解释不承担责任，认为有必要的，可将该解释情况写入评审报告。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w:t>
            </w:r>
          </w:p>
          <w:p>
            <w:pPr>
              <w:spacing w:line="460" w:lineRule="exact"/>
              <w:jc w:val="center"/>
              <w:rPr>
                <w:rFonts w:hint="eastAsia" w:ascii="宋体" w:hAnsi="宋体" w:cs="宋体"/>
                <w:kern w:val="0"/>
                <w:szCs w:val="21"/>
              </w:rPr>
            </w:pPr>
            <w:r>
              <w:rPr>
                <w:rFonts w:hint="eastAsia" w:ascii="宋体" w:hAnsi="宋体" w:cs="宋体"/>
                <w:kern w:val="0"/>
                <w:szCs w:val="21"/>
              </w:rPr>
              <w:t>服务费</w:t>
            </w:r>
          </w:p>
        </w:tc>
        <w:tc>
          <w:tcPr>
            <w:tcW w:w="6563" w:type="dxa"/>
            <w:noWrap w:val="0"/>
            <w:vAlign w:val="center"/>
          </w:tcPr>
          <w:p>
            <w:pPr>
              <w:spacing w:line="360" w:lineRule="auto"/>
              <w:rPr>
                <w:rFonts w:hint="eastAsia" w:ascii="宋体" w:hAnsi="宋体" w:cs="宋体"/>
                <w:szCs w:val="21"/>
              </w:rPr>
            </w:pPr>
            <w:r>
              <w:rPr>
                <w:rFonts w:hint="eastAsia" w:ascii="宋体" w:hAnsi="宋体" w:cs="宋体"/>
                <w:szCs w:val="21"/>
              </w:rPr>
              <w:t>本项目收取代理服务费：</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采购代理机构代理服务费用收取标准：见《采购代理机构代理费用的收取标准》。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支付方式：现金</w:t>
            </w:r>
            <w:r>
              <w:rPr>
                <w:rFonts w:hint="eastAsia" w:ascii="宋体" w:hAnsi="宋体" w:eastAsia="宋体" w:cs="宋体"/>
                <w:kern w:val="0"/>
                <w:sz w:val="21"/>
                <w:szCs w:val="21"/>
                <w:lang w:eastAsia="zh-CN"/>
              </w:rPr>
              <w:t>或转账</w:t>
            </w:r>
            <w:r>
              <w:rPr>
                <w:rFonts w:hint="eastAsia" w:ascii="宋体" w:hAnsi="宋体" w:eastAsia="宋体" w:cs="宋体"/>
                <w:kern w:val="0"/>
                <w:sz w:val="21"/>
                <w:szCs w:val="21"/>
              </w:rPr>
              <w:t>。</w:t>
            </w:r>
          </w:p>
          <w:p>
            <w:pPr>
              <w:spacing w:line="360" w:lineRule="auto"/>
              <w:rPr>
                <w:rFonts w:hint="eastAsia"/>
                <w:szCs w:val="21"/>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采购代理机构代理服务费由</w:t>
            </w:r>
            <w:r>
              <w:rPr>
                <w:rFonts w:hint="eastAsia" w:ascii="宋体" w:hAnsi="宋体" w:eastAsia="宋体" w:cs="宋体"/>
                <w:kern w:val="0"/>
                <w:sz w:val="21"/>
                <w:szCs w:val="21"/>
                <w:lang w:eastAsia="zh-CN"/>
              </w:rPr>
              <w:t>成交供应商</w:t>
            </w:r>
            <w:r>
              <w:rPr>
                <w:rFonts w:hint="eastAsia" w:ascii="宋体" w:hAnsi="宋体" w:eastAsia="宋体" w:cs="宋体"/>
                <w:kern w:val="0"/>
                <w:sz w:val="21"/>
                <w:szCs w:val="21"/>
              </w:rPr>
              <w:t>支付。</w:t>
            </w:r>
          </w:p>
        </w:tc>
      </w:tr>
      <w:bookmarkEnd w:id="6"/>
      <w:bookmarkEnd w:id="7"/>
      <w:bookmarkEnd w:id="8"/>
      <w:bookmarkEnd w:id="9"/>
      <w:bookmarkEnd w:id="10"/>
    </w:tbl>
    <w:p>
      <w:pPr>
        <w:rPr>
          <w:rFonts w:hint="eastAsia" w:ascii="宋体" w:hAnsi="宋体" w:cs="宋体"/>
          <w:b/>
          <w:sz w:val="32"/>
        </w:rPr>
      </w:pPr>
      <w:bookmarkStart w:id="14" w:name="_Toc461962050"/>
    </w:p>
    <w:p>
      <w:pPr>
        <w:rPr>
          <w:rFonts w:hint="eastAsia" w:ascii="宋体" w:hAnsi="宋体" w:cs="宋体"/>
          <w:b/>
          <w:sz w:val="32"/>
        </w:rPr>
      </w:pPr>
    </w:p>
    <w:bookmarkEnd w:id="14"/>
    <w:p>
      <w:pPr>
        <w:autoSpaceDN w:val="0"/>
        <w:spacing w:before="75" w:after="75" w:line="360" w:lineRule="auto"/>
        <w:jc w:val="center"/>
        <w:rPr>
          <w:rFonts w:hint="eastAsia" w:ascii="宋体" w:hAnsi="宋体" w:cs="宋体"/>
          <w:b/>
          <w:sz w:val="32"/>
        </w:rPr>
      </w:pPr>
      <w:bookmarkStart w:id="15" w:name="_Toc477423243"/>
      <w:bookmarkStart w:id="16" w:name="_Toc26492"/>
      <w:bookmarkStart w:id="17" w:name="_Toc490161260"/>
      <w:bookmarkStart w:id="18" w:name="_Toc373230023"/>
      <w:bookmarkStart w:id="19" w:name="_Toc2200"/>
      <w:bookmarkStart w:id="20" w:name="_Toc487805903"/>
      <w:bookmarkStart w:id="21" w:name="_Toc461962051"/>
      <w:bookmarkStart w:id="22" w:name="_Toc374512410"/>
      <w:r>
        <w:rPr>
          <w:rFonts w:hint="eastAsia" w:ascii="宋体" w:hAnsi="宋体" w:eastAsia="宋体" w:cs="宋体"/>
        </w:rPr>
        <w:br w:type="page"/>
      </w:r>
      <w:r>
        <w:rPr>
          <w:rFonts w:hint="eastAsia" w:ascii="宋体" w:hAnsi="宋体" w:cs="宋体"/>
          <w:b/>
          <w:sz w:val="32"/>
        </w:rPr>
        <w:t>采购代理机构代理费用的收取标准</w:t>
      </w:r>
    </w:p>
    <w:p>
      <w:pPr>
        <w:autoSpaceDN w:val="0"/>
        <w:spacing w:before="75" w:after="75" w:line="360" w:lineRule="auto"/>
        <w:jc w:val="center"/>
        <w:rPr>
          <w:rFonts w:hint="eastAsia" w:ascii="宋体" w:hAnsi="宋体" w:cs="宋体"/>
          <w:b/>
          <w:sz w:val="32"/>
        </w:rPr>
      </w:pPr>
      <w:r>
        <w:rPr>
          <w:rFonts w:hint="eastAsia" w:ascii="宋体" w:hAnsi="宋体" w:cs="宋体"/>
          <w:b/>
          <w:sz w:val="32"/>
        </w:rPr>
        <w:drawing>
          <wp:inline distT="0" distB="0" distL="114300" distR="114300">
            <wp:extent cx="4968240" cy="2764155"/>
            <wp:effectExtent l="0" t="0" r="3810" b="17145"/>
            <wp:docPr id="1" name="图片 2" descr="C:\Users\Administrator\Desktop\河南省招标代理服务收费计算标准.png河南省招标代理服务收费计算标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strator\Desktop\河南省招标代理服务收费计算标准.png河南省招标代理服务收费计算标准"/>
                    <pic:cNvPicPr>
                      <a:picLocks noChangeAspect="1"/>
                    </pic:cNvPicPr>
                  </pic:nvPicPr>
                  <pic:blipFill>
                    <a:blip r:embed="rId22"/>
                    <a:stretch>
                      <a:fillRect/>
                    </a:stretch>
                  </pic:blipFill>
                  <pic:spPr>
                    <a:xfrm>
                      <a:off x="0" y="0"/>
                      <a:ext cx="4968240" cy="2764155"/>
                    </a:xfrm>
                    <a:prstGeom prst="rect">
                      <a:avLst/>
                    </a:prstGeom>
                    <a:noFill/>
                    <a:ln>
                      <a:noFill/>
                    </a:ln>
                  </pic:spPr>
                </pic:pic>
              </a:graphicData>
            </a:graphic>
          </wp:inline>
        </w:drawing>
      </w:r>
    </w:p>
    <w:p>
      <w:pPr>
        <w:autoSpaceDN w:val="0"/>
        <w:spacing w:before="75" w:after="75" w:line="360" w:lineRule="auto"/>
        <w:rPr>
          <w:rFonts w:hint="eastAsia" w:ascii="宋体" w:hAnsi="宋体" w:cs="宋体"/>
          <w:szCs w:val="21"/>
        </w:rPr>
      </w:pPr>
      <w:r>
        <w:rPr>
          <w:rFonts w:hint="eastAsia" w:ascii="宋体" w:hAnsi="宋体" w:cs="宋体"/>
          <w:szCs w:val="21"/>
        </w:rPr>
        <w:t>注：1.按本表费率计算的收费为招标代理服务全过程的收费基准价格。</w:t>
      </w:r>
    </w:p>
    <w:p>
      <w:pPr>
        <w:autoSpaceDN w:val="0"/>
        <w:spacing w:before="75" w:after="75" w:line="360" w:lineRule="auto"/>
        <w:rPr>
          <w:rFonts w:hint="eastAsia" w:ascii="宋体" w:hAnsi="宋体" w:cs="宋体"/>
          <w:szCs w:val="21"/>
        </w:rPr>
      </w:pPr>
      <w:r>
        <w:rPr>
          <w:rFonts w:hint="eastAsia" w:ascii="宋体" w:hAnsi="宋体" w:cs="宋体"/>
          <w:szCs w:val="21"/>
        </w:rPr>
        <w:t>2.招标代理服务收费按差额定率累进法计算。例如：某货物招标中标金额为500万元，计算招标代理服务收费额如下：</w:t>
      </w:r>
    </w:p>
    <w:p>
      <w:pPr>
        <w:autoSpaceDN w:val="0"/>
        <w:spacing w:before="75" w:after="75" w:line="360" w:lineRule="auto"/>
        <w:rPr>
          <w:rFonts w:hint="eastAsia" w:ascii="宋体" w:hAnsi="宋体" w:cs="宋体"/>
          <w:szCs w:val="21"/>
        </w:rPr>
      </w:pPr>
      <w:r>
        <w:rPr>
          <w:rFonts w:hint="eastAsia" w:ascii="宋体" w:hAnsi="宋体" w:cs="宋体"/>
          <w:szCs w:val="21"/>
        </w:rPr>
        <w:t>100万元×1.</w:t>
      </w:r>
      <w:r>
        <w:rPr>
          <w:rFonts w:hint="eastAsia" w:ascii="宋体" w:hAnsi="宋体" w:cs="宋体"/>
          <w:szCs w:val="21"/>
          <w:lang w:val="en-US" w:eastAsia="zh-CN"/>
        </w:rPr>
        <w:t>7</w:t>
      </w:r>
      <w:r>
        <w:rPr>
          <w:rFonts w:hint="eastAsia" w:ascii="宋体" w:hAnsi="宋体" w:cs="宋体"/>
          <w:szCs w:val="21"/>
        </w:rPr>
        <w:t>%=1.</w:t>
      </w:r>
      <w:r>
        <w:rPr>
          <w:rFonts w:hint="eastAsia" w:ascii="宋体" w:hAnsi="宋体" w:cs="宋体"/>
          <w:szCs w:val="21"/>
          <w:lang w:val="en-US" w:eastAsia="zh-CN"/>
        </w:rPr>
        <w:t>7</w:t>
      </w:r>
      <w:r>
        <w:rPr>
          <w:rFonts w:hint="eastAsia" w:ascii="宋体" w:hAnsi="宋体" w:cs="宋体"/>
          <w:szCs w:val="21"/>
        </w:rPr>
        <w:t>万元</w:t>
      </w:r>
    </w:p>
    <w:p>
      <w:pPr>
        <w:autoSpaceDN w:val="0"/>
        <w:spacing w:before="75" w:after="75" w:line="360" w:lineRule="auto"/>
        <w:rPr>
          <w:rFonts w:hint="eastAsia" w:ascii="宋体" w:hAnsi="宋体" w:cs="宋体"/>
          <w:szCs w:val="21"/>
        </w:rPr>
      </w:pPr>
      <w:r>
        <w:rPr>
          <w:rFonts w:hint="eastAsia" w:ascii="宋体" w:hAnsi="宋体" w:cs="宋体"/>
          <w:szCs w:val="21"/>
        </w:rPr>
        <w:t>（500-100）万元×1.</w:t>
      </w:r>
      <w:r>
        <w:rPr>
          <w:rFonts w:hint="eastAsia" w:ascii="宋体" w:hAnsi="宋体" w:cs="宋体"/>
          <w:szCs w:val="21"/>
          <w:lang w:val="en-US" w:eastAsia="zh-CN"/>
        </w:rPr>
        <w:t>2</w:t>
      </w:r>
      <w:r>
        <w:rPr>
          <w:rFonts w:hint="eastAsia" w:ascii="宋体" w:hAnsi="宋体" w:cs="宋体"/>
          <w:szCs w:val="21"/>
        </w:rPr>
        <w:t>%=4.</w:t>
      </w:r>
      <w:r>
        <w:rPr>
          <w:rFonts w:hint="eastAsia" w:ascii="宋体" w:hAnsi="宋体" w:cs="宋体"/>
          <w:szCs w:val="21"/>
          <w:lang w:val="en-US" w:eastAsia="zh-CN"/>
        </w:rPr>
        <w:t>8</w:t>
      </w:r>
      <w:r>
        <w:rPr>
          <w:rFonts w:hint="eastAsia" w:ascii="宋体" w:hAnsi="宋体" w:cs="宋体"/>
          <w:szCs w:val="21"/>
        </w:rPr>
        <w:t>万元</w:t>
      </w:r>
    </w:p>
    <w:p>
      <w:pPr>
        <w:autoSpaceDN w:val="0"/>
        <w:spacing w:before="75" w:after="75" w:line="360" w:lineRule="auto"/>
        <w:rPr>
          <w:rFonts w:hint="eastAsia" w:ascii="宋体" w:hAnsi="宋体" w:cs="宋体"/>
          <w:szCs w:val="21"/>
        </w:rPr>
      </w:pPr>
      <w:r>
        <w:rPr>
          <w:rFonts w:hint="eastAsia" w:ascii="宋体" w:hAnsi="宋体" w:cs="宋体"/>
          <w:szCs w:val="21"/>
        </w:rPr>
        <w:t xml:space="preserve"> 合计收费=1.</w:t>
      </w:r>
      <w:r>
        <w:rPr>
          <w:rFonts w:hint="eastAsia" w:ascii="宋体" w:hAnsi="宋体" w:cs="宋体"/>
          <w:szCs w:val="21"/>
          <w:lang w:val="en-US" w:eastAsia="zh-CN"/>
        </w:rPr>
        <w:t>7</w:t>
      </w:r>
      <w:r>
        <w:rPr>
          <w:rFonts w:hint="eastAsia" w:ascii="宋体" w:hAnsi="宋体" w:cs="宋体"/>
          <w:szCs w:val="21"/>
        </w:rPr>
        <w:t>+4.</w:t>
      </w:r>
      <w:r>
        <w:rPr>
          <w:rFonts w:hint="eastAsia" w:ascii="宋体" w:hAnsi="宋体" w:cs="宋体"/>
          <w:szCs w:val="21"/>
          <w:lang w:val="en-US" w:eastAsia="zh-CN"/>
        </w:rPr>
        <w:t>8</w:t>
      </w:r>
      <w:r>
        <w:rPr>
          <w:rFonts w:hint="eastAsia" w:ascii="宋体" w:hAnsi="宋体" w:cs="宋体"/>
          <w:szCs w:val="21"/>
        </w:rPr>
        <w:t>=</w:t>
      </w:r>
      <w:r>
        <w:rPr>
          <w:rFonts w:hint="eastAsia" w:ascii="宋体" w:hAnsi="宋体" w:cs="宋体"/>
          <w:szCs w:val="21"/>
          <w:lang w:val="en-US" w:eastAsia="zh-CN"/>
        </w:rPr>
        <w:t>6.5</w:t>
      </w:r>
      <w:r>
        <w:rPr>
          <w:rFonts w:hint="eastAsia" w:ascii="宋体" w:hAnsi="宋体" w:cs="宋体"/>
          <w:szCs w:val="21"/>
        </w:rPr>
        <w:t>万元</w:t>
      </w:r>
    </w:p>
    <w:p>
      <w:pPr>
        <w:rPr>
          <w:rFonts w:hint="eastAsia" w:ascii="宋体" w:hAnsi="宋体" w:eastAsia="宋体" w:cs="宋体"/>
        </w:rPr>
      </w:pPr>
    </w:p>
    <w:p>
      <w:pPr>
        <w:spacing w:line="440" w:lineRule="exact"/>
        <w:jc w:val="center"/>
        <w:outlineLvl w:val="9"/>
        <w:rPr>
          <w:rFonts w:hint="eastAsia" w:ascii="宋体" w:hAnsi="宋体" w:eastAsia="宋体" w:cs="宋体"/>
        </w:rPr>
      </w:pPr>
    </w:p>
    <w:p>
      <w:pPr>
        <w:spacing w:line="440" w:lineRule="exact"/>
        <w:jc w:val="center"/>
        <w:outlineLvl w:val="9"/>
        <w:rPr>
          <w:rFonts w:hint="eastAsia" w:ascii="宋体" w:hAnsi="宋体" w:eastAsia="宋体" w:cs="宋体"/>
        </w:rPr>
      </w:pPr>
    </w:p>
    <w:p>
      <w:pPr>
        <w:spacing w:line="440" w:lineRule="exact"/>
        <w:jc w:val="center"/>
        <w:outlineLvl w:val="9"/>
        <w:rPr>
          <w:rFonts w:hint="eastAsia" w:ascii="宋体" w:hAnsi="宋体" w:eastAsia="宋体" w:cs="宋体"/>
        </w:rPr>
      </w:pPr>
    </w:p>
    <w:p>
      <w:pPr>
        <w:spacing w:line="440" w:lineRule="exact"/>
        <w:jc w:val="both"/>
        <w:outlineLvl w:val="9"/>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pStyle w:val="4"/>
        <w:rPr>
          <w:rFonts w:hint="eastAsia" w:ascii="宋体" w:hAnsi="宋体" w:eastAsia="宋体" w:cs="宋体"/>
        </w:rPr>
      </w:pPr>
    </w:p>
    <w:p>
      <w:pPr>
        <w:rPr>
          <w:rFonts w:hint="eastAsia"/>
        </w:rPr>
      </w:pPr>
    </w:p>
    <w:p>
      <w:pPr>
        <w:rPr>
          <w:rFonts w:hint="eastAsia" w:ascii="宋体" w:hAnsi="宋体" w:eastAsia="宋体" w:cs="宋体"/>
        </w:rPr>
      </w:pPr>
      <w:r>
        <w:rPr>
          <w:rFonts w:hint="eastAsia" w:ascii="宋体" w:hAnsi="宋体" w:eastAsia="宋体" w:cs="宋体"/>
        </w:rPr>
        <w:br w:type="page"/>
      </w:r>
    </w:p>
    <w:p>
      <w:pPr>
        <w:pStyle w:val="8"/>
        <w:spacing w:line="440" w:lineRule="exact"/>
        <w:ind w:firstLine="3855" w:firstLineChars="1200"/>
        <w:jc w:val="both"/>
        <w:rPr>
          <w:rFonts w:hint="eastAsia" w:ascii="宋体" w:hAnsi="宋体" w:eastAsia="宋体" w:cs="宋体"/>
        </w:rPr>
      </w:pPr>
      <w:bookmarkStart w:id="23" w:name="_Toc31088"/>
      <w:r>
        <w:rPr>
          <w:rFonts w:hint="eastAsia" w:ascii="宋体" w:hAnsi="宋体" w:eastAsia="宋体" w:cs="宋体"/>
        </w:rPr>
        <w:t>一、总则</w:t>
      </w:r>
      <w:bookmarkEnd w:id="15"/>
      <w:bookmarkEnd w:id="16"/>
      <w:bookmarkEnd w:id="17"/>
      <w:bookmarkEnd w:id="18"/>
      <w:bookmarkEnd w:id="19"/>
      <w:bookmarkEnd w:id="20"/>
      <w:bookmarkEnd w:id="21"/>
      <w:bookmarkEnd w:id="22"/>
      <w:bookmarkEnd w:id="23"/>
    </w:p>
    <w:p>
      <w:pPr>
        <w:numPr>
          <w:ilvl w:val="0"/>
          <w:numId w:val="4"/>
        </w:numPr>
        <w:tabs>
          <w:tab w:val="left" w:pos="424"/>
        </w:tabs>
        <w:spacing w:line="440" w:lineRule="exact"/>
        <w:ind w:left="425" w:hanging="425"/>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本磋商文件仅适用于本次竞争性磋商所述的项目。</w:t>
      </w:r>
    </w:p>
    <w:p>
      <w:pPr>
        <w:numPr>
          <w:ilvl w:val="0"/>
          <w:numId w:val="4"/>
        </w:numPr>
        <w:tabs>
          <w:tab w:val="left" w:pos="424"/>
        </w:tabs>
        <w:spacing w:line="440" w:lineRule="exact"/>
        <w:ind w:left="425" w:hanging="425"/>
        <w:rPr>
          <w:rFonts w:hint="eastAsia" w:ascii="宋体" w:hAnsi="宋体" w:cs="宋体"/>
          <w:b/>
          <w:bCs/>
          <w:szCs w:val="21"/>
        </w:rPr>
      </w:pPr>
      <w:r>
        <w:rPr>
          <w:rFonts w:hint="eastAsia" w:ascii="宋体" w:hAnsi="宋体" w:cs="宋体"/>
          <w:b/>
          <w:szCs w:val="21"/>
        </w:rPr>
        <w:t>定义</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“采购人” 见供应商须知前附表；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“采购代理机构”见供应商须知前附表；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“供应商”是指响应磋商、参加磋商竞争的法人、其他组织或者自然人。</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0"/>
          <w:numId w:val="5"/>
        </w:numPr>
        <w:spacing w:line="440" w:lineRule="exact"/>
        <w:ind w:left="0" w:firstLine="422" w:firstLineChars="200"/>
        <w:rPr>
          <w:rFonts w:hint="eastAsia" w:ascii="宋体" w:hAnsi="宋体" w:cs="宋体"/>
          <w:szCs w:val="21"/>
        </w:rPr>
      </w:pPr>
      <w:r>
        <w:rPr>
          <w:rFonts w:hint="eastAsia" w:ascii="宋体" w:hAnsi="宋体" w:cs="宋体"/>
          <w:b/>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5"/>
        </w:numPr>
        <w:spacing w:line="440" w:lineRule="exact"/>
        <w:ind w:left="0" w:firstLine="420" w:firstLineChars="200"/>
        <w:rPr>
          <w:rFonts w:hint="eastAsia" w:ascii="宋体" w:hAnsi="宋体" w:cs="宋体"/>
          <w:bCs/>
          <w:szCs w:val="21"/>
        </w:rPr>
      </w:pPr>
      <w:r>
        <w:rPr>
          <w:rFonts w:hint="eastAsia" w:ascii="宋体" w:hAnsi="宋体" w:cs="宋体"/>
          <w:bCs/>
          <w:szCs w:val="21"/>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4"/>
        </w:numPr>
        <w:spacing w:line="440" w:lineRule="exact"/>
        <w:rPr>
          <w:rFonts w:hint="eastAsia" w:ascii="宋体" w:hAnsi="宋体" w:cs="宋体"/>
          <w:szCs w:val="21"/>
        </w:rPr>
      </w:pPr>
      <w:r>
        <w:rPr>
          <w:rFonts w:hint="eastAsia" w:ascii="宋体" w:hAnsi="宋体" w:cs="宋体"/>
          <w:b/>
          <w:szCs w:val="21"/>
        </w:rPr>
        <w:t>合格的供应商</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符合《中华人民共和国政府采购法》第二十二条规定的条件。</w:t>
      </w:r>
    </w:p>
    <w:p>
      <w:pPr>
        <w:pStyle w:val="79"/>
        <w:spacing w:line="440" w:lineRule="exact"/>
        <w:ind w:firstLine="420" w:firstLineChars="200"/>
        <w:rPr>
          <w:rFonts w:hint="eastAsia"/>
          <w:sz w:val="21"/>
          <w:szCs w:val="21"/>
        </w:rPr>
      </w:pPr>
      <w:r>
        <w:rPr>
          <w:rFonts w:hint="eastAsia"/>
          <w:sz w:val="21"/>
          <w:szCs w:val="21"/>
        </w:rPr>
        <w:t>3.1.1.具有有效的“设立登记证书”；</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w:t>
      </w:r>
      <w:r>
        <w:rPr>
          <w:rFonts w:hint="eastAsia" w:hAnsi="宋体" w:cs="宋体"/>
          <w:bCs/>
          <w:color w:val="auto"/>
          <w:kern w:val="2"/>
          <w:sz w:val="21"/>
          <w:szCs w:val="21"/>
          <w:lang w:val="en-US" w:eastAsia="zh-CN"/>
        </w:rPr>
        <w:t>2</w:t>
      </w:r>
      <w:bookmarkStart w:id="202" w:name="_GoBack"/>
      <w:bookmarkEnd w:id="202"/>
      <w:r>
        <w:rPr>
          <w:rFonts w:hint="eastAsia" w:hAnsi="宋体" w:cs="宋体"/>
          <w:bCs/>
          <w:color w:val="auto"/>
          <w:kern w:val="2"/>
          <w:sz w:val="21"/>
          <w:szCs w:val="21"/>
        </w:rPr>
        <w:t>年度财务审计报告（新成立企业不足一年的，提供最近一个月的财务报表。）或其基本开户银行出具的资信证明。</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79"/>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79"/>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符合本磋商文件规定的资格要求及项目要求的其它条件，并按照要求提供相关证明材料。</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供应商应遵守国家法律、法规和有关政府采购的规定。</w:t>
      </w:r>
    </w:p>
    <w:p>
      <w:pPr>
        <w:numPr>
          <w:ilvl w:val="0"/>
          <w:numId w:val="6"/>
        </w:numPr>
        <w:spacing w:line="440" w:lineRule="exact"/>
        <w:ind w:left="0" w:firstLine="420"/>
        <w:rPr>
          <w:rFonts w:hint="eastAsia" w:ascii="宋体" w:hAnsi="宋体" w:cs="宋体"/>
          <w:b/>
          <w:szCs w:val="21"/>
        </w:rPr>
      </w:pPr>
      <w:r>
        <w:rPr>
          <w:rFonts w:hint="eastAsia" w:ascii="宋体" w:hAnsi="宋体" w:cs="宋体"/>
          <w:bCs/>
          <w:szCs w:val="21"/>
        </w:rPr>
        <w:t>已按竞争性磋商公告要求获取竞争性磋商文件的。</w:t>
      </w:r>
    </w:p>
    <w:p>
      <w:pPr>
        <w:tabs>
          <w:tab w:val="left" w:pos="720"/>
          <w:tab w:val="left" w:pos="1134"/>
        </w:tabs>
        <w:spacing w:line="440" w:lineRule="exact"/>
        <w:ind w:firstLine="422" w:firstLineChars="200"/>
        <w:rPr>
          <w:rFonts w:hint="eastAsia" w:ascii="宋体" w:hAnsi="宋体" w:cs="宋体"/>
          <w:bCs/>
          <w:szCs w:val="21"/>
        </w:rPr>
      </w:pPr>
      <w:r>
        <w:rPr>
          <w:rFonts w:hint="eastAsia" w:ascii="宋体" w:hAnsi="宋体" w:cs="宋体"/>
          <w:b/>
          <w:szCs w:val="21"/>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hint="eastAsia" w:ascii="宋体" w:hAnsi="宋体" w:cs="宋体"/>
          <w:bCs/>
          <w:szCs w:val="21"/>
        </w:rPr>
      </w:pPr>
      <w:r>
        <w:rPr>
          <w:rFonts w:hint="eastAsia" w:ascii="宋体" w:hAnsi="宋体" w:cs="宋体"/>
          <w:bCs/>
          <w:szCs w:val="21"/>
        </w:rPr>
        <w:t>3.6 单位负责人为同一人或者存在直接控股、管理关系的不同供应商，不得参加同一合同项下的政府采购活动。</w:t>
      </w:r>
    </w:p>
    <w:p>
      <w:pPr>
        <w:numPr>
          <w:ilvl w:val="0"/>
          <w:numId w:val="4"/>
        </w:numPr>
        <w:spacing w:line="440" w:lineRule="exact"/>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4"/>
        </w:numPr>
        <w:spacing w:line="440" w:lineRule="exact"/>
        <w:rPr>
          <w:rFonts w:hint="eastAsia" w:ascii="宋体" w:hAnsi="宋体" w:cs="宋体"/>
          <w:b/>
          <w:szCs w:val="21"/>
        </w:rPr>
      </w:pPr>
      <w:r>
        <w:rPr>
          <w:rFonts w:hint="eastAsia" w:ascii="宋体" w:hAnsi="宋体" w:cs="宋体"/>
          <w:b/>
          <w:szCs w:val="21"/>
        </w:rPr>
        <w:t>需要落实的政府采购政策：见供应商须知前附表</w:t>
      </w:r>
    </w:p>
    <w:p>
      <w:pPr>
        <w:pStyle w:val="8"/>
        <w:spacing w:line="440" w:lineRule="exact"/>
        <w:jc w:val="center"/>
        <w:rPr>
          <w:rFonts w:hint="eastAsia" w:ascii="宋体" w:hAnsi="宋体" w:eastAsia="宋体" w:cs="宋体"/>
          <w:sz w:val="21"/>
          <w:szCs w:val="21"/>
        </w:rPr>
      </w:pPr>
      <w:bookmarkStart w:id="24" w:name="_Toc23018"/>
      <w:bookmarkStart w:id="25" w:name="_Toc24431"/>
      <w:bookmarkStart w:id="26" w:name="_Toc487805904"/>
      <w:bookmarkStart w:id="27" w:name="_Toc373230024"/>
      <w:bookmarkStart w:id="28" w:name="_Toc477423244"/>
      <w:bookmarkStart w:id="29" w:name="_Toc461962052"/>
      <w:bookmarkStart w:id="30" w:name="_Toc12084"/>
      <w:bookmarkStart w:id="31" w:name="_Toc374512411"/>
      <w:bookmarkStart w:id="32" w:name="_Toc490161261"/>
      <w:r>
        <w:rPr>
          <w:rFonts w:hint="eastAsia" w:ascii="宋体" w:hAnsi="宋体" w:eastAsia="宋体" w:cs="宋体"/>
          <w:sz w:val="21"/>
          <w:szCs w:val="21"/>
        </w:rPr>
        <w:t>二、磋商文件</w:t>
      </w:r>
      <w:bookmarkEnd w:id="24"/>
      <w:bookmarkEnd w:id="25"/>
      <w:bookmarkEnd w:id="26"/>
      <w:bookmarkEnd w:id="27"/>
      <w:bookmarkEnd w:id="28"/>
      <w:bookmarkEnd w:id="29"/>
      <w:bookmarkEnd w:id="30"/>
      <w:bookmarkEnd w:id="31"/>
      <w:bookmarkEnd w:id="32"/>
    </w:p>
    <w:p>
      <w:pPr>
        <w:numPr>
          <w:ilvl w:val="0"/>
          <w:numId w:val="4"/>
        </w:numPr>
        <w:spacing w:line="440" w:lineRule="exact"/>
        <w:rPr>
          <w:rFonts w:hint="eastAsia" w:ascii="宋体" w:hAnsi="宋体" w:cs="宋体"/>
          <w:b/>
          <w:szCs w:val="21"/>
        </w:rPr>
      </w:pPr>
      <w:r>
        <w:rPr>
          <w:rFonts w:hint="eastAsia" w:ascii="宋体" w:hAnsi="宋体" w:cs="宋体"/>
          <w:b/>
          <w:szCs w:val="21"/>
        </w:rPr>
        <w:t>磋商文件的组成</w:t>
      </w:r>
    </w:p>
    <w:p>
      <w:pPr>
        <w:numPr>
          <w:ilvl w:val="0"/>
          <w:numId w:val="7"/>
        </w:numPr>
        <w:tabs>
          <w:tab w:val="left" w:pos="720"/>
          <w:tab w:val="left" w:pos="839"/>
          <w:tab w:val="left" w:pos="1134"/>
        </w:tabs>
        <w:spacing w:line="440" w:lineRule="exact"/>
        <w:ind w:left="840" w:hanging="420"/>
        <w:rPr>
          <w:rFonts w:hint="eastAsia" w:ascii="宋体" w:hAnsi="宋体" w:cs="宋体"/>
          <w:bCs/>
          <w:szCs w:val="21"/>
        </w:rPr>
      </w:pPr>
      <w:r>
        <w:rPr>
          <w:rFonts w:hint="eastAsia" w:ascii="宋体" w:hAnsi="宋体" w:cs="宋体"/>
          <w:bCs/>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4"/>
        </w:numPr>
        <w:spacing w:line="440" w:lineRule="exact"/>
        <w:rPr>
          <w:rFonts w:hint="eastAsia" w:ascii="宋体" w:hAnsi="宋体" w:cs="宋体"/>
          <w:b/>
          <w:szCs w:val="21"/>
        </w:rPr>
      </w:pPr>
      <w:r>
        <w:rPr>
          <w:rFonts w:hint="eastAsia" w:ascii="宋体" w:hAnsi="宋体" w:cs="宋体"/>
          <w:b/>
          <w:szCs w:val="21"/>
        </w:rPr>
        <w:t>磋商文件的澄清或修改</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4"/>
        </w:numPr>
        <w:spacing w:line="440" w:lineRule="exact"/>
        <w:rPr>
          <w:rFonts w:ascii="宋体" w:hAnsi="宋体" w:cs="宋体"/>
          <w:b/>
          <w:szCs w:val="21"/>
        </w:rPr>
      </w:pPr>
      <w:r>
        <w:rPr>
          <w:rFonts w:hint="eastAsia" w:ascii="宋体" w:hAnsi="宋体" w:cs="宋体"/>
          <w:b/>
          <w:szCs w:val="21"/>
        </w:rPr>
        <w:t>磋商文件的约束力</w:t>
      </w:r>
    </w:p>
    <w:p>
      <w:pPr>
        <w:pStyle w:val="53"/>
        <w:ind w:firstLine="420" w:firstLineChars="200"/>
        <w:rPr>
          <w:rFonts w:hAnsi="宋体"/>
          <w:color w:val="auto"/>
          <w:kern w:val="2"/>
          <w:sz w:val="21"/>
          <w:szCs w:val="21"/>
        </w:rPr>
      </w:pPr>
      <w:r>
        <w:rPr>
          <w:rFonts w:hAnsi="宋体"/>
          <w:color w:val="auto"/>
          <w:kern w:val="2"/>
          <w:sz w:val="21"/>
          <w:szCs w:val="21"/>
        </w:rPr>
        <w:t>供应商一旦获取了本</w:t>
      </w:r>
      <w:r>
        <w:rPr>
          <w:rFonts w:hint="eastAsia" w:hAnsi="宋体"/>
          <w:color w:val="auto"/>
          <w:kern w:val="2"/>
          <w:sz w:val="21"/>
          <w:szCs w:val="21"/>
        </w:rPr>
        <w:t>磋商</w:t>
      </w:r>
      <w:r>
        <w:rPr>
          <w:rFonts w:hAnsi="宋体"/>
          <w:color w:val="auto"/>
          <w:kern w:val="2"/>
          <w:sz w:val="21"/>
          <w:szCs w:val="21"/>
        </w:rPr>
        <w:t>文件并参加</w:t>
      </w:r>
      <w:r>
        <w:rPr>
          <w:rFonts w:hint="eastAsia" w:hAnsi="宋体"/>
          <w:color w:val="auto"/>
          <w:kern w:val="2"/>
          <w:sz w:val="21"/>
          <w:szCs w:val="21"/>
        </w:rPr>
        <w:t>磋商</w:t>
      </w:r>
      <w:r>
        <w:rPr>
          <w:rFonts w:hAnsi="宋体"/>
          <w:color w:val="auto"/>
          <w:kern w:val="2"/>
          <w:sz w:val="21"/>
          <w:szCs w:val="21"/>
        </w:rPr>
        <w:t>，即被认为对本</w:t>
      </w:r>
      <w:r>
        <w:rPr>
          <w:rFonts w:hint="eastAsia" w:hAnsi="宋体"/>
          <w:color w:val="auto"/>
          <w:kern w:val="2"/>
          <w:sz w:val="21"/>
          <w:szCs w:val="21"/>
        </w:rPr>
        <w:t>磋商</w:t>
      </w:r>
      <w:r>
        <w:rPr>
          <w:rFonts w:hAnsi="宋体"/>
          <w:color w:val="auto"/>
          <w:kern w:val="2"/>
          <w:sz w:val="21"/>
          <w:szCs w:val="21"/>
        </w:rPr>
        <w:t>文件中的所有条件和规定均无异议。</w:t>
      </w:r>
    </w:p>
    <w:p>
      <w:pPr>
        <w:pStyle w:val="53"/>
      </w:pPr>
    </w:p>
    <w:p>
      <w:pPr>
        <w:pStyle w:val="8"/>
        <w:numPr>
          <w:ilvl w:val="0"/>
          <w:numId w:val="9"/>
        </w:numPr>
        <w:spacing w:line="440" w:lineRule="exact"/>
        <w:jc w:val="center"/>
        <w:rPr>
          <w:rFonts w:hint="eastAsia" w:ascii="宋体" w:hAnsi="宋体" w:eastAsia="宋体" w:cs="宋体"/>
          <w:sz w:val="21"/>
          <w:szCs w:val="21"/>
        </w:rPr>
      </w:pPr>
      <w:bookmarkStart w:id="33" w:name="_Toc28828"/>
      <w:bookmarkStart w:id="34" w:name="_Toc490161262"/>
      <w:bookmarkStart w:id="35" w:name="_Toc374512412"/>
      <w:bookmarkStart w:id="36" w:name="_Toc461962053"/>
      <w:bookmarkStart w:id="37" w:name="_Toc26181"/>
      <w:bookmarkStart w:id="38" w:name="_Toc477423245"/>
      <w:bookmarkStart w:id="39" w:name="_Toc487805905"/>
      <w:bookmarkStart w:id="40" w:name="_Toc373230025"/>
      <w:bookmarkStart w:id="41" w:name="_Toc6048"/>
      <w:r>
        <w:rPr>
          <w:rFonts w:hint="eastAsia" w:ascii="宋体" w:hAnsi="宋体" w:eastAsia="宋体" w:cs="宋体"/>
          <w:sz w:val="21"/>
          <w:szCs w:val="21"/>
        </w:rPr>
        <w:t>响应文件的编制</w:t>
      </w:r>
      <w:bookmarkEnd w:id="33"/>
      <w:bookmarkEnd w:id="34"/>
      <w:bookmarkEnd w:id="35"/>
      <w:bookmarkEnd w:id="36"/>
      <w:bookmarkEnd w:id="37"/>
      <w:bookmarkEnd w:id="38"/>
      <w:bookmarkEnd w:id="39"/>
      <w:bookmarkEnd w:id="40"/>
      <w:bookmarkEnd w:id="41"/>
    </w:p>
    <w:p>
      <w:pPr>
        <w:numPr>
          <w:ilvl w:val="0"/>
          <w:numId w:val="4"/>
        </w:numPr>
        <w:spacing w:line="440" w:lineRule="exact"/>
        <w:rPr>
          <w:rFonts w:hint="eastAsia" w:ascii="宋体" w:hAnsi="宋体" w:cs="宋体"/>
          <w:b/>
          <w:szCs w:val="21"/>
        </w:rPr>
      </w:pPr>
      <w:r>
        <w:rPr>
          <w:rFonts w:hint="eastAsia" w:ascii="宋体" w:hAnsi="宋体" w:cs="宋体"/>
          <w:b/>
          <w:szCs w:val="21"/>
        </w:rPr>
        <w:t>要求</w:t>
      </w:r>
    </w:p>
    <w:p>
      <w:pPr>
        <w:spacing w:line="500" w:lineRule="exact"/>
        <w:ind w:left="0" w:leftChars="0" w:firstLine="420" w:firstLineChars="200"/>
        <w:rPr>
          <w:rFonts w:hint="eastAsia" w:ascii="宋体" w:hAnsi="宋体" w:eastAsia="宋体" w:cs="宋体"/>
          <w:szCs w:val="21"/>
          <w:lang w:eastAsia="zh-CN"/>
        </w:rPr>
      </w:pPr>
      <w:r>
        <w:rPr>
          <w:rFonts w:hint="eastAsia" w:ascii="宋体" w:hAnsi="宋体" w:cs="宋体"/>
          <w:szCs w:val="21"/>
        </w:rPr>
        <w:t>9.1供应商应仔细阅读、并充分理解磋商文件的所有内容，按照磋商文件的要求编制、提交响应文件。</w:t>
      </w:r>
      <w:r>
        <w:rPr>
          <w:rFonts w:hint="eastAsia" w:ascii="宋体" w:hAnsi="宋体" w:cs="宋体"/>
          <w:szCs w:val="21"/>
          <w:lang w:eastAsia="zh-CN"/>
        </w:rPr>
        <w:tab/>
      </w:r>
    </w:p>
    <w:p>
      <w:pPr>
        <w:spacing w:line="500" w:lineRule="exact"/>
        <w:ind w:left="0" w:leftChars="0" w:firstLine="420" w:firstLineChars="200"/>
        <w:rPr>
          <w:rFonts w:hint="eastAsia" w:ascii="宋体" w:hAnsi="宋体" w:cs="宋体"/>
          <w:szCs w:val="21"/>
        </w:rPr>
      </w:pPr>
      <w:r>
        <w:rPr>
          <w:rFonts w:hint="eastAsia" w:ascii="宋体" w:hAnsi="宋体" w:cs="宋体"/>
          <w:szCs w:val="21"/>
        </w:rPr>
        <w:t>9.2响应文件应对磋商文件的要求作出实质性响应（包括供应商资格要求、商务要求和响应文件格式要求），并保证所提供的全部资料的真实性，否则其响应文件将作为无效文件处理。</w:t>
      </w:r>
    </w:p>
    <w:p>
      <w:pPr>
        <w:spacing w:line="500" w:lineRule="exact"/>
        <w:ind w:left="0" w:leftChars="0" w:firstLine="420" w:firstLineChars="200"/>
        <w:rPr>
          <w:rFonts w:hint="eastAsia" w:ascii="宋体" w:hAnsi="宋体" w:cs="宋体"/>
          <w:szCs w:val="21"/>
        </w:rPr>
      </w:pPr>
      <w:r>
        <w:rPr>
          <w:rFonts w:hint="eastAsia" w:ascii="宋体" w:hAnsi="宋体" w:cs="宋体"/>
          <w:szCs w:val="21"/>
        </w:rPr>
        <w:t>9.3供应商没有按照磋商文件要求提供全部资料，或者供应商没有对磋商文件在各方面都作出实质性响应的是供应商的风险，并可能导致其响应文件被拒绝。</w:t>
      </w:r>
    </w:p>
    <w:p>
      <w:pPr>
        <w:spacing w:line="500" w:lineRule="exact"/>
        <w:ind w:left="0" w:leftChars="0" w:firstLine="420" w:firstLineChars="200"/>
        <w:rPr>
          <w:rFonts w:hint="eastAsia"/>
        </w:rPr>
      </w:pPr>
      <w:r>
        <w:rPr>
          <w:rFonts w:hint="eastAsia" w:ascii="宋体" w:hAnsi="宋体" w:cs="宋体"/>
          <w:szCs w:val="21"/>
        </w:rPr>
        <w:t>9.4供应商与采购人、采购代理机构的任何口头协议均不影响磋商文件、响应文件的任何条款和内容。</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响应文件的语言及度量衡单位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响应文件的组成</w:t>
      </w:r>
    </w:p>
    <w:p>
      <w:pPr>
        <w:spacing w:line="440" w:lineRule="exact"/>
        <w:ind w:firstLine="315" w:firstLineChars="150"/>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4"/>
        </w:numPr>
        <w:spacing w:line="440" w:lineRule="exact"/>
        <w:rPr>
          <w:rFonts w:hint="eastAsia" w:ascii="宋体" w:hAnsi="宋体" w:cs="宋体"/>
          <w:b/>
          <w:szCs w:val="21"/>
        </w:rPr>
      </w:pPr>
      <w:r>
        <w:rPr>
          <w:rFonts w:hint="eastAsia" w:ascii="宋体" w:hAnsi="宋体" w:cs="宋体"/>
          <w:b/>
          <w:szCs w:val="21"/>
        </w:rPr>
        <w:t>报价</w:t>
      </w:r>
    </w:p>
    <w:p>
      <w:pPr>
        <w:tabs>
          <w:tab w:val="left" w:pos="839"/>
        </w:tabs>
        <w:spacing w:line="440" w:lineRule="exact"/>
        <w:ind w:firstLine="420" w:firstLineChars="200"/>
        <w:rPr>
          <w:rFonts w:hint="eastAsia" w:ascii="宋体" w:hAnsi="宋体" w:cs="宋体"/>
          <w:szCs w:val="21"/>
        </w:rPr>
      </w:pPr>
      <w:r>
        <w:rPr>
          <w:rFonts w:hint="eastAsia" w:ascii="宋体" w:hAnsi="宋体" w:cs="宋体"/>
          <w:szCs w:val="21"/>
        </w:rPr>
        <w:t>12.1报价以全过程服务成果及设备为标准；</w:t>
      </w:r>
    </w:p>
    <w:p>
      <w:pPr>
        <w:tabs>
          <w:tab w:val="left" w:pos="839"/>
        </w:tabs>
        <w:spacing w:line="440" w:lineRule="exact"/>
        <w:ind w:firstLine="420" w:firstLineChars="200"/>
        <w:jc w:val="left"/>
        <w:rPr>
          <w:rFonts w:hint="eastAsia" w:ascii="宋体" w:hAnsi="宋体" w:cs="宋体"/>
          <w:szCs w:val="21"/>
        </w:rPr>
      </w:pPr>
      <w:r>
        <w:rPr>
          <w:rFonts w:hint="eastAsia" w:ascii="宋体" w:hAnsi="宋体" w:cs="宋体"/>
          <w:szCs w:val="21"/>
        </w:rPr>
        <w:t>12.2供应商的报价均包括完成该项目的成本、利润、税金、风险等所有伴随的其他费用。</w:t>
      </w:r>
    </w:p>
    <w:p>
      <w:pPr>
        <w:pStyle w:val="58"/>
        <w:tabs>
          <w:tab w:val="left" w:pos="839"/>
        </w:tabs>
        <w:spacing w:line="440" w:lineRule="exact"/>
        <w:ind w:firstLine="420" w:firstLineChars="200"/>
        <w:rPr>
          <w:rFonts w:hint="eastAsia" w:ascii="宋体" w:hAnsi="宋体" w:cs="宋体"/>
          <w:sz w:val="21"/>
          <w:szCs w:val="21"/>
        </w:rPr>
      </w:pPr>
      <w:r>
        <w:rPr>
          <w:rFonts w:hint="eastAsia" w:ascii="宋体" w:hAnsi="宋体" w:cs="宋体"/>
          <w:sz w:val="21"/>
          <w:szCs w:val="21"/>
        </w:rPr>
        <w:t>12.3响应性文件中的报价并非最后报价，在磋商结束后由供应商在规定时间内提交最后报价，磋商小组根据供应商的综合得分确定成交供应商，成交供应商其最后的报价为成交价。</w:t>
      </w:r>
    </w:p>
    <w:p>
      <w:pPr>
        <w:numPr>
          <w:ilvl w:val="0"/>
          <w:numId w:val="4"/>
        </w:numPr>
        <w:spacing w:line="440" w:lineRule="exact"/>
        <w:rPr>
          <w:rFonts w:hint="eastAsia" w:ascii="宋体" w:hAnsi="宋体" w:cs="宋体"/>
          <w:b/>
          <w:szCs w:val="21"/>
        </w:rPr>
      </w:pPr>
      <w:r>
        <w:rPr>
          <w:rFonts w:hint="eastAsia" w:ascii="宋体" w:hAnsi="宋体" w:cs="宋体"/>
          <w:b/>
          <w:szCs w:val="21"/>
        </w:rPr>
        <w:t>磋商货币</w:t>
      </w:r>
    </w:p>
    <w:p>
      <w:pPr>
        <w:spacing w:line="440" w:lineRule="exact"/>
        <w:ind w:firstLine="630" w:firstLineChars="300"/>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4"/>
        </w:numPr>
        <w:spacing w:line="440" w:lineRule="exact"/>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4"/>
        </w:numPr>
        <w:spacing w:line="440" w:lineRule="exact"/>
        <w:rPr>
          <w:rFonts w:hint="eastAsia" w:ascii="宋体" w:hAnsi="宋体" w:cs="宋体"/>
          <w:b/>
          <w:szCs w:val="21"/>
        </w:rPr>
      </w:pPr>
      <w:r>
        <w:rPr>
          <w:rFonts w:hint="eastAsia" w:ascii="宋体" w:hAnsi="宋体" w:cs="宋体"/>
          <w:b/>
          <w:szCs w:val="21"/>
        </w:rPr>
        <w:t>磋商保证金:见供应商须知前附表。</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响应文件的编制、签署、盖章</w:t>
      </w:r>
    </w:p>
    <w:p>
      <w:pPr>
        <w:spacing w:line="500" w:lineRule="exact"/>
        <w:ind w:firstLine="420" w:firstLineChars="200"/>
        <w:rPr>
          <w:rFonts w:hint="eastAsia" w:ascii="宋体" w:hAnsi="宋体" w:cs="宋体"/>
          <w:szCs w:val="21"/>
        </w:rPr>
      </w:pPr>
      <w:r>
        <w:rPr>
          <w:rFonts w:hint="eastAsia" w:ascii="宋体" w:hAnsi="宋体" w:cs="宋体"/>
          <w:szCs w:val="21"/>
        </w:rPr>
        <w:t>16.1加密电子响应文件的编制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 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 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 xml:space="preserve">16.1.3 </w:t>
      </w:r>
      <w:r>
        <w:rPr>
          <w:rFonts w:hint="eastAsia" w:hAnsi="宋体"/>
          <w:szCs w:val="21"/>
        </w:rPr>
        <w:t>加密电子响应文件未按本竞争性磋商文件中响应文件格式要求加盖电子签章的视为无效文件。</w:t>
      </w:r>
    </w:p>
    <w:p>
      <w:pPr>
        <w:spacing w:line="500" w:lineRule="exact"/>
        <w:ind w:firstLine="420" w:firstLineChars="200"/>
        <w:rPr>
          <w:rFonts w:hint="eastAsia" w:ascii="宋体" w:hAnsi="宋体" w:cs="宋体"/>
          <w:szCs w:val="21"/>
        </w:rPr>
      </w:pPr>
      <w:r>
        <w:rPr>
          <w:rFonts w:hint="eastAsia" w:ascii="宋体" w:hAnsi="宋体" w:cs="宋体"/>
          <w:szCs w:val="21"/>
        </w:rPr>
        <w:t>16.2 供应商应完整地填写竞争性磋商文件中规定的所有内容。</w:t>
      </w:r>
    </w:p>
    <w:p>
      <w:pPr>
        <w:spacing w:line="500" w:lineRule="exact"/>
        <w:ind w:firstLine="420" w:firstLineChars="200"/>
        <w:rPr>
          <w:rFonts w:hint="eastAsia" w:ascii="宋体" w:hAnsi="宋体" w:cs="宋体"/>
          <w:szCs w:val="21"/>
        </w:rPr>
      </w:pPr>
      <w:r>
        <w:rPr>
          <w:rFonts w:hint="eastAsia" w:ascii="宋体" w:hAnsi="宋体" w:cs="宋体"/>
          <w:szCs w:val="21"/>
        </w:rPr>
        <w:t>16.3 供应商必须保证响应文件所提供的全部资料真实可靠。</w:t>
      </w:r>
    </w:p>
    <w:p>
      <w:pPr>
        <w:spacing w:line="500" w:lineRule="exact"/>
        <w:ind w:firstLine="420" w:firstLineChars="200"/>
        <w:rPr>
          <w:rFonts w:hint="eastAsia" w:ascii="宋体" w:hAnsi="宋体" w:cs="宋体"/>
          <w:szCs w:val="21"/>
        </w:rPr>
      </w:pPr>
      <w:r>
        <w:rPr>
          <w:rFonts w:hint="eastAsia" w:ascii="宋体" w:hAnsi="宋体" w:cs="宋体"/>
          <w:szCs w:val="21"/>
        </w:rPr>
        <w:t>16.4 如果因为供应商响应文件填报的内容不详，或没有提供磋商文件中所要求的全部资料及数据，由此造成的后果，其责任由供应商自行承担。</w:t>
      </w:r>
    </w:p>
    <w:p>
      <w:pPr>
        <w:spacing w:line="500" w:lineRule="exact"/>
        <w:ind w:firstLine="420" w:firstLineChars="200"/>
        <w:rPr>
          <w:rFonts w:hint="eastAsia" w:ascii="宋体" w:hAnsi="宋体" w:cs="宋体"/>
          <w:szCs w:val="21"/>
        </w:rPr>
      </w:pPr>
      <w:r>
        <w:rPr>
          <w:rFonts w:hint="eastAsia" w:ascii="宋体" w:hAnsi="宋体" w:cs="宋体"/>
          <w:szCs w:val="21"/>
        </w:rPr>
        <w:t xml:space="preserve">16.5 </w:t>
      </w:r>
      <w:r>
        <w:rPr>
          <w:rFonts w:hint="eastAsia"/>
        </w:rPr>
        <w:t>本竞争性磋商文件所表述（指定）的公章是指法人（供应商）行政公章，不包括专用章，并应与电子签章保持一致。</w:t>
      </w:r>
    </w:p>
    <w:p>
      <w:pPr>
        <w:spacing w:line="440" w:lineRule="exact"/>
        <w:ind w:firstLine="420" w:firstLineChars="200"/>
        <w:rPr>
          <w:rFonts w:hint="eastAsia" w:ascii="宋体" w:hAnsi="宋体" w:cs="宋体"/>
          <w:szCs w:val="21"/>
        </w:rPr>
      </w:pPr>
      <w:r>
        <w:rPr>
          <w:rFonts w:hint="eastAsia" w:ascii="宋体" w:hAnsi="宋体" w:cs="宋体"/>
          <w:szCs w:val="21"/>
        </w:rPr>
        <w:t>16.6 电报、电话、传真等形式的响应概不接受。</w:t>
      </w:r>
    </w:p>
    <w:p>
      <w:pPr>
        <w:pStyle w:val="8"/>
        <w:spacing w:line="440" w:lineRule="exact"/>
        <w:jc w:val="center"/>
        <w:rPr>
          <w:rFonts w:hint="eastAsia" w:ascii="宋体" w:hAnsi="宋体" w:eastAsia="宋体" w:cs="宋体"/>
          <w:sz w:val="21"/>
          <w:szCs w:val="21"/>
        </w:rPr>
      </w:pPr>
      <w:bookmarkStart w:id="42" w:name="_Toc374512413"/>
      <w:bookmarkStart w:id="43" w:name="_Toc4419"/>
      <w:bookmarkStart w:id="44" w:name="_Toc27919"/>
      <w:bookmarkStart w:id="45" w:name="_Toc461962054"/>
      <w:bookmarkStart w:id="46" w:name="_Toc490161263"/>
      <w:bookmarkStart w:id="47" w:name="_Toc487805906"/>
      <w:bookmarkStart w:id="48" w:name="_Toc477423246"/>
      <w:bookmarkStart w:id="49" w:name="_Toc373230026"/>
      <w:bookmarkStart w:id="50" w:name="_Toc10798"/>
      <w:r>
        <w:rPr>
          <w:rFonts w:hint="eastAsia" w:ascii="宋体" w:hAnsi="宋体" w:eastAsia="宋体" w:cs="宋体"/>
          <w:sz w:val="21"/>
          <w:szCs w:val="21"/>
        </w:rPr>
        <w:t>四、响应文件的提交</w:t>
      </w:r>
      <w:bookmarkEnd w:id="42"/>
      <w:bookmarkEnd w:id="43"/>
      <w:bookmarkEnd w:id="44"/>
      <w:bookmarkEnd w:id="45"/>
      <w:bookmarkEnd w:id="46"/>
      <w:bookmarkEnd w:id="47"/>
      <w:bookmarkEnd w:id="48"/>
      <w:bookmarkEnd w:id="49"/>
      <w:bookmarkEnd w:id="50"/>
    </w:p>
    <w:p>
      <w:pPr>
        <w:numPr>
          <w:ilvl w:val="0"/>
          <w:numId w:val="4"/>
        </w:numPr>
        <w:spacing w:line="440" w:lineRule="exact"/>
        <w:rPr>
          <w:rFonts w:hint="eastAsia" w:ascii="宋体" w:hAnsi="宋体" w:cs="宋体"/>
          <w:szCs w:val="21"/>
        </w:rPr>
      </w:pPr>
      <w:r>
        <w:rPr>
          <w:rFonts w:hint="eastAsia" w:ascii="宋体" w:hAnsi="宋体" w:cs="宋体"/>
          <w:b/>
          <w:szCs w:val="21"/>
        </w:rPr>
        <w:t>响应文件的提交：</w:t>
      </w:r>
    </w:p>
    <w:p>
      <w:pPr>
        <w:spacing w:line="500" w:lineRule="exact"/>
        <w:ind w:firstLine="420" w:firstLineChars="200"/>
        <w:rPr>
          <w:rFonts w:hint="eastAsia" w:ascii="宋体" w:hAnsi="宋体" w:cs="宋体"/>
          <w:szCs w:val="21"/>
        </w:rPr>
      </w:pPr>
      <w:r>
        <w:rPr>
          <w:rFonts w:hint="eastAsia" w:ascii="宋体" w:hAnsi="宋体" w:cs="宋体"/>
          <w:szCs w:val="21"/>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rPr>
        <w:t>磋商</w:t>
      </w:r>
      <w:r>
        <w:rPr>
          <w:rFonts w:hint="eastAsia" w:ascii="宋体" w:hAnsi="宋体" w:cs="宋体"/>
          <w:szCs w:val="21"/>
        </w:rPr>
        <w:t>；</w:t>
      </w:r>
    </w:p>
    <w:p>
      <w:pPr>
        <w:spacing w:line="440" w:lineRule="exact"/>
        <w:ind w:firstLine="420" w:firstLineChars="200"/>
        <w:rPr>
          <w:rFonts w:hint="eastAsia" w:ascii="宋体" w:hAnsi="宋体" w:cs="宋体"/>
          <w:szCs w:val="21"/>
        </w:rPr>
      </w:pPr>
      <w:r>
        <w:rPr>
          <w:rFonts w:hint="eastAsia" w:ascii="宋体" w:hAnsi="宋体" w:cs="宋体"/>
          <w:szCs w:val="21"/>
        </w:rPr>
        <w:t>17.2采购人拒绝接收在响应文件递交截止时间后上传的响应文件。</w:t>
      </w:r>
    </w:p>
    <w:p>
      <w:pPr>
        <w:numPr>
          <w:ilvl w:val="0"/>
          <w:numId w:val="4"/>
        </w:numPr>
        <w:spacing w:line="440" w:lineRule="exact"/>
        <w:rPr>
          <w:rFonts w:hint="eastAsia" w:ascii="宋体" w:hAnsi="宋体" w:cs="宋体"/>
          <w:b/>
          <w:szCs w:val="21"/>
        </w:rPr>
      </w:pPr>
      <w:r>
        <w:rPr>
          <w:rFonts w:hint="eastAsia" w:ascii="宋体" w:hAnsi="宋体" w:cs="宋体"/>
          <w:b/>
          <w:szCs w:val="21"/>
        </w:rPr>
        <w:t>响应文件提交的截止时间</w:t>
      </w:r>
    </w:p>
    <w:p>
      <w:pPr>
        <w:numPr>
          <w:ilvl w:val="1"/>
          <w:numId w:val="4"/>
        </w:numPr>
        <w:spacing w:line="440" w:lineRule="exact"/>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响应文件的修改与撤回</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供应商在响应文件递交截止时间后不得修改、撤回响应文件。</w:t>
      </w:r>
    </w:p>
    <w:p>
      <w:pPr>
        <w:pStyle w:val="8"/>
        <w:spacing w:line="440" w:lineRule="exact"/>
        <w:jc w:val="center"/>
        <w:rPr>
          <w:rFonts w:hint="eastAsia" w:ascii="宋体" w:hAnsi="宋体" w:eastAsia="宋体" w:cs="宋体"/>
          <w:sz w:val="21"/>
          <w:szCs w:val="21"/>
        </w:rPr>
      </w:pPr>
      <w:bookmarkStart w:id="51" w:name="_Toc374512414"/>
      <w:bookmarkStart w:id="52" w:name="_Toc217235123"/>
      <w:bookmarkStart w:id="53" w:name="_Toc373230027"/>
      <w:bookmarkStart w:id="54" w:name="_Toc461962055"/>
      <w:bookmarkStart w:id="55" w:name="_Toc490161264"/>
      <w:bookmarkStart w:id="56" w:name="_Toc9653"/>
      <w:bookmarkStart w:id="57" w:name="_Toc477423247"/>
      <w:bookmarkStart w:id="58" w:name="_Toc6236"/>
      <w:bookmarkStart w:id="59" w:name="_Toc6584"/>
      <w:bookmarkStart w:id="60" w:name="_Toc487805907"/>
      <w:r>
        <w:rPr>
          <w:rFonts w:hint="eastAsia" w:ascii="宋体" w:hAnsi="宋体" w:eastAsia="宋体" w:cs="宋体"/>
          <w:sz w:val="21"/>
          <w:szCs w:val="21"/>
        </w:rPr>
        <w:t>五、磋商</w:t>
      </w:r>
      <w:bookmarkEnd w:id="51"/>
      <w:bookmarkEnd w:id="52"/>
      <w:bookmarkEnd w:id="53"/>
      <w:bookmarkEnd w:id="54"/>
      <w:r>
        <w:rPr>
          <w:rFonts w:hint="eastAsia" w:ascii="宋体" w:hAnsi="宋体" w:eastAsia="宋体" w:cs="宋体"/>
          <w:sz w:val="21"/>
          <w:szCs w:val="21"/>
        </w:rPr>
        <w:t>和评审</w:t>
      </w:r>
      <w:bookmarkEnd w:id="55"/>
      <w:bookmarkEnd w:id="56"/>
      <w:bookmarkEnd w:id="57"/>
      <w:bookmarkEnd w:id="58"/>
      <w:bookmarkEnd w:id="59"/>
      <w:bookmarkEnd w:id="60"/>
    </w:p>
    <w:p>
      <w:pPr>
        <w:numPr>
          <w:ilvl w:val="0"/>
          <w:numId w:val="4"/>
        </w:numPr>
        <w:spacing w:line="440" w:lineRule="exact"/>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4"/>
        </w:numPr>
        <w:spacing w:line="440" w:lineRule="exact"/>
        <w:rPr>
          <w:rFonts w:hint="eastAsia" w:ascii="宋体" w:hAnsi="宋体" w:cs="宋体"/>
          <w:b/>
          <w:szCs w:val="21"/>
        </w:rPr>
      </w:pPr>
      <w:r>
        <w:rPr>
          <w:rFonts w:hint="eastAsia" w:ascii="宋体" w:hAnsi="宋体" w:cs="宋体"/>
          <w:szCs w:val="21"/>
        </w:rPr>
        <w:t>供应商逾期上传电子响应文件的；</w:t>
      </w:r>
    </w:p>
    <w:p>
      <w:pPr>
        <w:numPr>
          <w:ilvl w:val="1"/>
          <w:numId w:val="4"/>
        </w:numPr>
        <w:spacing w:line="440" w:lineRule="exact"/>
        <w:rPr>
          <w:rFonts w:hint="eastAsia" w:ascii="宋体" w:hAnsi="宋体" w:cs="宋体"/>
          <w:b/>
          <w:szCs w:val="21"/>
        </w:rPr>
      </w:pPr>
      <w:r>
        <w:rPr>
          <w:rFonts w:hint="eastAsia" w:ascii="宋体" w:hAnsi="宋体" w:cs="宋体"/>
          <w:szCs w:val="21"/>
        </w:rPr>
        <w:t>供应商未按规定的时间内解密响应文件的；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磋商小组</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磋商小组由采购人代表和评审专家共3人及以上单数组成，其中评审专家人数不得少于磋商小组成员总数的2/3。</w:t>
      </w:r>
    </w:p>
    <w:p>
      <w:pPr>
        <w:numPr>
          <w:ilvl w:val="1"/>
          <w:numId w:val="4"/>
        </w:numPr>
        <w:spacing w:line="440" w:lineRule="exact"/>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szCs w:val="21"/>
          <w:lang w:eastAsia="zh-CN"/>
        </w:rPr>
        <w:t>（</w:t>
      </w:r>
      <w:r>
        <w:rPr>
          <w:rFonts w:hint="eastAsia" w:ascii="宋体" w:hAnsi="宋体" w:eastAsia="宋体" w:cs="宋体"/>
          <w:szCs w:val="21"/>
          <w:lang w:val="en-US" w:eastAsia="zh-CN"/>
        </w:rPr>
        <w:t>1</w:t>
      </w:r>
      <w:r>
        <w:rPr>
          <w:rFonts w:hint="eastAsia" w:ascii="宋体" w:hAnsi="宋体" w:eastAsia="宋体" w:cs="宋体"/>
          <w:szCs w:val="21"/>
          <w:lang w:eastAsia="zh-CN"/>
        </w:rPr>
        <w:t>）</w:t>
      </w:r>
      <w:r>
        <w:rPr>
          <w:rFonts w:hint="eastAsia" w:ascii="宋体" w:hAnsi="宋体" w:eastAsia="宋体" w:cs="宋体"/>
          <w:szCs w:val="21"/>
        </w:rPr>
        <w:t>第一轮报价超过磋商文件中规定的项目</w:t>
      </w:r>
      <w:r>
        <w:rPr>
          <w:rFonts w:hint="eastAsia" w:ascii="宋体" w:hAnsi="宋体" w:eastAsia="宋体" w:cs="宋体"/>
          <w:color w:val="000000" w:themeColor="text1"/>
          <w:szCs w:val="21"/>
          <w14:textFill>
            <w14:solidFill>
              <w14:schemeClr w14:val="tx1"/>
            </w14:solidFill>
          </w14:textFill>
        </w:rPr>
        <w:t>预算金额</w:t>
      </w:r>
      <w:r>
        <w:rPr>
          <w:rFonts w:hint="eastAsia" w:ascii="宋体" w:hAnsi="宋体" w:eastAsia="宋体" w:cs="宋体"/>
          <w:color w:val="000000" w:themeColor="text1"/>
          <w:szCs w:val="21"/>
          <w:lang w:eastAsia="zh-CN"/>
          <w14:textFill>
            <w14:solidFill>
              <w14:schemeClr w14:val="tx1"/>
            </w14:solidFill>
          </w14:textFill>
        </w:rPr>
        <w:t>或最高限价</w:t>
      </w:r>
      <w:r>
        <w:rPr>
          <w:rFonts w:hint="eastAsia" w:ascii="宋体" w:hAnsi="宋体" w:eastAsia="宋体" w:cs="宋体"/>
          <w:color w:val="000000" w:themeColor="text1"/>
          <w:szCs w:val="21"/>
          <w14:textFill>
            <w14:solidFill>
              <w14:schemeClr w14:val="tx1"/>
            </w14:solidFill>
          </w14:textFill>
        </w:rPr>
        <w:t>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2</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3</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4</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5</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不响应磋商文件第五章采购需求中“三、服务要求”的；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6</w:t>
      </w:r>
      <w:r>
        <w:rPr>
          <w:rFonts w:hint="eastAsia" w:ascii="宋体" w:hAnsi="宋体" w:eastAsia="宋体" w:cs="宋体"/>
          <w:szCs w:val="21"/>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8</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spacing w:line="500" w:lineRule="exact"/>
        <w:ind w:firstLine="420" w:firstLineChars="200"/>
        <w:rPr>
          <w:rFonts w:hint="eastAsia" w:ascii="宋体" w:hAnsi="宋体" w:cs="宋体"/>
          <w:szCs w:val="21"/>
        </w:rPr>
      </w:pPr>
      <w:r>
        <w:rPr>
          <w:rFonts w:hint="eastAsia" w:ascii="宋体" w:hAnsi="宋体" w:cs="宋体"/>
          <w:szCs w:val="21"/>
        </w:rPr>
        <w:t>23.1逾期上传响应文件的；</w:t>
      </w:r>
    </w:p>
    <w:p>
      <w:pPr>
        <w:spacing w:line="500" w:lineRule="exact"/>
        <w:ind w:firstLine="420" w:firstLineChars="200"/>
        <w:rPr>
          <w:rFonts w:hint="eastAsia" w:ascii="宋体" w:hAnsi="宋体" w:cs="宋体"/>
          <w:szCs w:val="21"/>
        </w:rPr>
      </w:pPr>
      <w:r>
        <w:rPr>
          <w:rFonts w:hint="eastAsia" w:ascii="宋体" w:hAnsi="宋体" w:cs="宋体"/>
          <w:szCs w:val="21"/>
        </w:rPr>
        <w:t>23.2在规定的响应文件递交截止时间之前，提交合格的撤回通知的；</w:t>
      </w:r>
    </w:p>
    <w:p>
      <w:pPr>
        <w:spacing w:line="440" w:lineRule="exact"/>
        <w:ind w:firstLine="420" w:firstLineChars="200"/>
        <w:rPr>
          <w:rFonts w:hint="eastAsia" w:ascii="宋体" w:hAnsi="宋体" w:cs="宋体"/>
          <w:b/>
          <w:szCs w:val="21"/>
        </w:rPr>
      </w:pPr>
      <w:r>
        <w:rPr>
          <w:rFonts w:hint="eastAsia" w:ascii="宋体" w:hAnsi="宋体" w:cs="宋体"/>
          <w:szCs w:val="21"/>
        </w:rPr>
        <w:t>23.3一个供应商不止递交一套同一合同项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响应文件的澄清</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4"/>
        </w:numPr>
        <w:spacing w:line="440" w:lineRule="exact"/>
        <w:rPr>
          <w:rFonts w:hint="eastAsia" w:ascii="宋体" w:hAnsi="宋体" w:cs="宋体"/>
          <w:szCs w:val="21"/>
        </w:rPr>
      </w:pPr>
      <w:r>
        <w:rPr>
          <w:rFonts w:hint="eastAsia" w:ascii="宋体" w:hAnsi="宋体" w:cs="宋体"/>
          <w:szCs w:val="21"/>
        </w:rPr>
        <w:t>报价出现不一致的，按照下列规定修正：</w:t>
      </w:r>
    </w:p>
    <w:p>
      <w:pPr>
        <w:numPr>
          <w:ilvl w:val="0"/>
          <w:numId w:val="10"/>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10"/>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10"/>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4"/>
        </w:numPr>
        <w:spacing w:line="440" w:lineRule="exact"/>
        <w:rPr>
          <w:rFonts w:hint="eastAsia" w:ascii="宋体" w:hAnsi="宋体" w:cs="宋体"/>
          <w:b/>
          <w:szCs w:val="21"/>
        </w:rPr>
      </w:pPr>
      <w:bookmarkStart w:id="61" w:name="_Toc374512415"/>
      <w:bookmarkStart w:id="62" w:name="_Toc373230028"/>
      <w:r>
        <w:rPr>
          <w:rFonts w:hint="eastAsia" w:ascii="宋体" w:hAnsi="宋体" w:cs="宋体"/>
          <w:b/>
          <w:szCs w:val="21"/>
        </w:rPr>
        <w:t>评审方法</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63" w:name="_Toc32423"/>
      <w:r>
        <w:rPr>
          <w:rFonts w:hint="eastAsia" w:ascii="宋体" w:hAnsi="宋体" w:cs="宋体"/>
          <w:szCs w:val="21"/>
        </w:rPr>
        <w:t>《政府采购竞争性磋商采购方式管理暂行办法</w:t>
      </w:r>
      <w:bookmarkEnd w:id="63"/>
      <w:r>
        <w:rPr>
          <w:rFonts w:hint="eastAsia" w:ascii="宋体" w:hAnsi="宋体" w:cs="宋体"/>
          <w:szCs w:val="21"/>
        </w:rPr>
        <w:t>》第三条第四项情形的，提交最后报价的供应商可以为2家</w:t>
      </w:r>
      <w:bookmarkStart w:id="64" w:name="_Toc5652"/>
      <w:r>
        <w:rPr>
          <w:rFonts w:hint="eastAsia" w:ascii="宋体" w:hAnsi="宋体" w:cs="宋体"/>
          <w:szCs w:val="21"/>
        </w:rPr>
        <w:t>或符合《财政部关于政府采购竞争性磋商采购方式管理暂行办法有关问题的补充通知</w:t>
      </w:r>
      <w:bookmarkEnd w:id="64"/>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比较与评价</w:t>
      </w:r>
    </w:p>
    <w:p>
      <w:pPr>
        <w:numPr>
          <w:ilvl w:val="1"/>
          <w:numId w:val="4"/>
        </w:numPr>
        <w:spacing w:line="440" w:lineRule="exact"/>
        <w:rPr>
          <w:rFonts w:hint="eastAsia" w:ascii="宋体" w:hAnsi="宋体" w:cs="宋体"/>
          <w:szCs w:val="21"/>
        </w:rPr>
      </w:pPr>
      <w:r>
        <w:rPr>
          <w:rFonts w:hint="eastAsia" w:ascii="宋体" w:hAnsi="宋体" w:cs="宋体"/>
          <w:szCs w:val="21"/>
        </w:rPr>
        <w:t>评审标准：见本文件第三章；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4"/>
        </w:numPr>
        <w:spacing w:line="440" w:lineRule="exact"/>
        <w:ind w:left="7" w:firstLine="277"/>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保密及其他注意事项</w:t>
      </w:r>
    </w:p>
    <w:p>
      <w:pPr>
        <w:numPr>
          <w:ilvl w:val="1"/>
          <w:numId w:val="4"/>
        </w:numPr>
        <w:spacing w:line="440" w:lineRule="exact"/>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4"/>
        </w:numPr>
        <w:spacing w:line="440" w:lineRule="exact"/>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11"/>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11"/>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11"/>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8"/>
        <w:spacing w:line="440" w:lineRule="exact"/>
        <w:jc w:val="center"/>
        <w:outlineLvl w:val="1"/>
        <w:rPr>
          <w:rFonts w:hint="eastAsia" w:ascii="宋体" w:hAnsi="宋体" w:eastAsia="宋体" w:cs="宋体"/>
          <w:sz w:val="21"/>
          <w:szCs w:val="21"/>
        </w:rPr>
      </w:pPr>
      <w:bookmarkStart w:id="65" w:name="_Toc477423248"/>
      <w:bookmarkStart w:id="66" w:name="_Toc5841"/>
      <w:bookmarkStart w:id="67" w:name="_Toc487805908"/>
      <w:bookmarkStart w:id="68" w:name="_Toc19608"/>
      <w:bookmarkStart w:id="69" w:name="_Toc490161265"/>
      <w:bookmarkStart w:id="70" w:name="_Toc19533"/>
      <w:r>
        <w:rPr>
          <w:rFonts w:hint="eastAsia" w:ascii="宋体" w:hAnsi="宋体" w:eastAsia="宋体" w:cs="宋体"/>
          <w:sz w:val="21"/>
          <w:szCs w:val="21"/>
        </w:rPr>
        <w:t>六、成交和合同</w:t>
      </w:r>
      <w:bookmarkEnd w:id="65"/>
      <w:bookmarkEnd w:id="66"/>
      <w:bookmarkEnd w:id="67"/>
      <w:bookmarkEnd w:id="68"/>
      <w:bookmarkEnd w:id="69"/>
      <w:bookmarkEnd w:id="70"/>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成交通知</w:t>
      </w:r>
    </w:p>
    <w:p>
      <w:pPr>
        <w:numPr>
          <w:ilvl w:val="1"/>
          <w:numId w:val="4"/>
        </w:numPr>
        <w:spacing w:line="440" w:lineRule="exact"/>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4"/>
        </w:numPr>
        <w:spacing w:line="440" w:lineRule="exact"/>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4"/>
        </w:numPr>
        <w:spacing w:line="440" w:lineRule="exact"/>
        <w:rPr>
          <w:rFonts w:hint="eastAsia" w:ascii="宋体" w:hAnsi="宋体" w:cs="宋体"/>
          <w:szCs w:val="21"/>
        </w:rPr>
      </w:pPr>
      <w:r>
        <w:rPr>
          <w:rFonts w:hint="eastAsia" w:ascii="宋体" w:hAnsi="宋体" w:cs="宋体"/>
          <w:szCs w:val="21"/>
        </w:rPr>
        <w:t>成交通知书将作为签订合同的依据。</w:t>
      </w:r>
    </w:p>
    <w:p>
      <w:pPr>
        <w:numPr>
          <w:ilvl w:val="1"/>
          <w:numId w:val="4"/>
        </w:numPr>
        <w:spacing w:line="440" w:lineRule="exact"/>
        <w:ind w:left="0" w:leftChars="0" w:firstLine="218" w:firstLineChars="104"/>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61"/>
    <w:bookmarkEnd w:id="62"/>
    <w:p>
      <w:pPr>
        <w:numPr>
          <w:ilvl w:val="0"/>
          <w:numId w:val="4"/>
        </w:numPr>
        <w:spacing w:line="440" w:lineRule="exact"/>
        <w:rPr>
          <w:rFonts w:hint="eastAsia" w:ascii="宋体" w:hAnsi="宋体" w:cs="宋体"/>
          <w:b/>
          <w:szCs w:val="21"/>
        </w:rPr>
      </w:pPr>
      <w:r>
        <w:rPr>
          <w:rFonts w:hint="eastAsia" w:ascii="宋体" w:hAnsi="宋体" w:cs="宋体"/>
          <w:b/>
          <w:szCs w:val="21"/>
        </w:rPr>
        <w:t xml:space="preserve"> 签订合同及合同的执行</w:t>
      </w:r>
    </w:p>
    <w:p>
      <w:pPr>
        <w:pStyle w:val="3"/>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30.1采购人与成交供应商应当在成交通知书发出之日起30日内（供应商须知前附表另有规定者从其规定），签订政府采购合同。</w:t>
      </w:r>
    </w:p>
    <w:p>
      <w:pPr>
        <w:pStyle w:val="3"/>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30.2磋商文件及修改文件、成交供应商的响应文件、补充或修改的文件及澄清或承诺文件等，均为双方签订合同的组成部分，并与合同一并作为本磋商所列采购项目的互补性法律文件，与合同具有同等法律效力；</w:t>
      </w:r>
    </w:p>
    <w:p>
      <w:pPr>
        <w:pStyle w:val="3"/>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30.3成交供应商应在采购合同签订之日起三个工作日内将合同报武陟县公共资源交易中心、武陟县政府采购管理办公室备案；</w:t>
      </w:r>
    </w:p>
    <w:p>
      <w:pPr>
        <w:pStyle w:val="3"/>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30.4合同双方如违约，将按《中华人民共和国民法典》、《中华人民共和国政府采购法》及有关法律法规中的规定执行。</w:t>
      </w:r>
    </w:p>
    <w:p>
      <w:pPr>
        <w:pStyle w:val="3"/>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30.5根据《政府采购促进中小企业发展管理办法》规定，成交供应商为小微企业的不得将合同分包给大中型企业，成交供应商为中型企业的不得将合同分包给大型企业。</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质疑</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4"/>
        </w:numPr>
        <w:spacing w:line="440" w:lineRule="exact"/>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4"/>
        </w:numPr>
        <w:spacing w:line="440" w:lineRule="exact"/>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4"/>
        </w:numPr>
        <w:spacing w:line="440" w:lineRule="exact"/>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szCs w:val="21"/>
        </w:rPr>
        <w:fldChar w:fldCharType="begin"/>
      </w:r>
      <w:r>
        <w:rPr>
          <w:rFonts w:hint="eastAsia" w:ascii="宋体" w:hAnsi="宋体" w:cs="宋体"/>
          <w:szCs w:val="21"/>
        </w:rPr>
        <w:instrText xml:space="preserve">HYPERLINK "http://download.ccgp.gov.cn/2018/zhiyihanfanben.zip"</w:instrText>
      </w:r>
      <w:r>
        <w:rPr>
          <w:rFonts w:hint="eastAsia" w:ascii="宋体" w:hAnsi="宋体" w:cs="宋体"/>
          <w:szCs w:val="21"/>
        </w:rP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31.10</w:t>
      </w:r>
      <w:r>
        <w:rPr>
          <w:rFonts w:hint="eastAsia" w:ascii="宋体" w:hAnsi="宋体" w:cs="宋体"/>
          <w:color w:val="auto"/>
          <w:szCs w:val="21"/>
        </w:rPr>
        <w:t>质疑供应商对采购人或采购代理机构的答复不满意以及采购人或采购代理机构未在规定的时间内做出答复的，可以在答复期满后15个工作日内向同级财政部门投诉。</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31.11</w:t>
      </w:r>
      <w:r>
        <w:rPr>
          <w:rFonts w:hint="eastAsia" w:ascii="宋体" w:hAnsi="宋体" w:cs="宋体"/>
          <w:color w:val="auto"/>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（1）供应商应以书面方式将质疑函分别送至采购人、采购代理机构；</w:t>
      </w:r>
    </w:p>
    <w:p>
      <w:pPr>
        <w:spacing w:line="440" w:lineRule="exact"/>
        <w:ind w:left="284"/>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（2）采购人名称：</w:t>
      </w:r>
      <w:r>
        <w:rPr>
          <w:rFonts w:hint="eastAsia" w:ascii="宋体" w:hAnsi="宋体" w:cs="宋体"/>
          <w:color w:val="000000" w:themeColor="text1"/>
          <w:szCs w:val="21"/>
          <w:lang w:val="en-US" w:eastAsia="zh-CN"/>
          <w14:textFill>
            <w14:solidFill>
              <w14:schemeClr w14:val="tx1"/>
            </w14:solidFill>
          </w14:textFill>
        </w:rPr>
        <w:t>武陟县农业农村局</w:t>
      </w:r>
    </w:p>
    <w:p>
      <w:pPr>
        <w:spacing w:line="440" w:lineRule="exact"/>
        <w:ind w:left="284" w:firstLine="210" w:firstLineChars="1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地点：</w:t>
      </w:r>
      <w:r>
        <w:rPr>
          <w:rFonts w:hint="eastAsia" w:ascii="宋体" w:hAnsi="宋体" w:cs="宋体"/>
          <w:color w:val="000000" w:themeColor="text1"/>
          <w:szCs w:val="21"/>
          <w14:textFill>
            <w14:solidFill>
              <w14:schemeClr w14:val="tx1"/>
            </w14:solidFill>
          </w14:textFill>
        </w:rPr>
        <w:fldChar w:fldCharType="begin"/>
      </w:r>
      <w:r>
        <w:rPr>
          <w:rFonts w:hint="eastAsia" w:ascii="宋体" w:hAnsi="宋体" w:cs="宋体"/>
          <w:color w:val="000000" w:themeColor="text1"/>
          <w:szCs w:val="21"/>
          <w14:textFill>
            <w14:solidFill>
              <w14:schemeClr w14:val="tx1"/>
            </w14:solidFill>
          </w14:textFill>
        </w:rPr>
        <w:instrText xml:space="preserve"> HYPERLINK "https://ditu.so.com/?pid=5cece77858de9543&amp;src=onebox" \t "https://www.so.com/_blank" </w:instrText>
      </w:r>
      <w:r>
        <w:rPr>
          <w:rFonts w:hint="eastAsia" w:ascii="宋体" w:hAnsi="宋体" w:cs="宋体"/>
          <w:color w:val="000000" w:themeColor="text1"/>
          <w:szCs w:val="21"/>
          <w14:textFill>
            <w14:solidFill>
              <w14:schemeClr w14:val="tx1"/>
            </w14:solidFill>
          </w14:textFill>
        </w:rPr>
        <w:fldChar w:fldCharType="separate"/>
      </w:r>
      <w:r>
        <w:rPr>
          <w:rFonts w:hint="eastAsia" w:ascii="宋体" w:hAnsi="宋体" w:cs="宋体"/>
          <w:color w:val="000000" w:themeColor="text1"/>
          <w:szCs w:val="21"/>
          <w14:textFill>
            <w14:solidFill>
              <w14:schemeClr w14:val="tx1"/>
            </w14:solidFill>
          </w14:textFill>
        </w:rPr>
        <w:t>武陟县兴华路160号</w:t>
      </w:r>
      <w:r>
        <w:rPr>
          <w:rFonts w:hint="eastAsia" w:ascii="宋体" w:hAnsi="宋体" w:cs="宋体"/>
          <w:color w:val="000000" w:themeColor="text1"/>
          <w:szCs w:val="21"/>
          <w14:textFill>
            <w14:solidFill>
              <w14:schemeClr w14:val="tx1"/>
            </w14:solidFill>
          </w14:textFill>
        </w:rPr>
        <w:fldChar w:fldCharType="end"/>
      </w:r>
    </w:p>
    <w:p>
      <w:pPr>
        <w:spacing w:line="440" w:lineRule="exact"/>
        <w:ind w:left="283" w:leftChars="135" w:firstLine="210" w:firstLineChars="100"/>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w:t>
      </w:r>
      <w:r>
        <w:rPr>
          <w:rFonts w:hint="eastAsia" w:ascii="宋体" w:hAnsi="宋体" w:cs="宋体"/>
          <w:color w:val="000000" w:themeColor="text1"/>
          <w:szCs w:val="21"/>
          <w:lang w:eastAsia="zh-CN"/>
          <w14:textFill>
            <w14:solidFill>
              <w14:schemeClr w14:val="tx1"/>
            </w14:solidFill>
          </w14:textFill>
        </w:rPr>
        <w:t>宋庆乾</w:t>
      </w:r>
    </w:p>
    <w:p>
      <w:pPr>
        <w:spacing w:line="440" w:lineRule="exact"/>
        <w:ind w:left="283" w:leftChars="135" w:firstLine="210" w:firstLineChars="1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联系电话：</w:t>
      </w:r>
      <w:r>
        <w:rPr>
          <w:rFonts w:hint="eastAsia" w:ascii="宋体" w:hAnsi="宋体" w:cs="宋体"/>
          <w:color w:val="000000" w:themeColor="text1"/>
          <w:szCs w:val="21"/>
          <w:lang w:eastAsia="zh-CN"/>
          <w14:textFill>
            <w14:solidFill>
              <w14:schemeClr w14:val="tx1"/>
            </w14:solidFill>
          </w14:textFill>
        </w:rPr>
        <w:t>1</w:t>
      </w:r>
      <w:r>
        <w:rPr>
          <w:rFonts w:hint="eastAsia" w:ascii="宋体" w:hAnsi="宋体" w:cs="宋体"/>
          <w:color w:val="000000" w:themeColor="text1"/>
          <w:szCs w:val="21"/>
          <w:lang w:val="en-US" w:eastAsia="zh-CN"/>
          <w14:textFill>
            <w14:solidFill>
              <w14:schemeClr w14:val="tx1"/>
            </w14:solidFill>
          </w14:textFill>
        </w:rPr>
        <w:t>3839151113</w:t>
      </w:r>
    </w:p>
    <w:p>
      <w:pPr>
        <w:spacing w:line="440" w:lineRule="exact"/>
        <w:ind w:left="284"/>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（3）采购代理机构名称：</w:t>
      </w:r>
      <w:r>
        <w:rPr>
          <w:rFonts w:hint="eastAsia" w:ascii="宋体" w:hAnsi="宋体" w:cs="宋体"/>
          <w:color w:val="000000" w:themeColor="text1"/>
          <w:szCs w:val="21"/>
          <w:lang w:val="en-US" w:eastAsia="zh-CN"/>
          <w14:textFill>
            <w14:solidFill>
              <w14:schemeClr w14:val="tx1"/>
            </w14:solidFill>
          </w14:textFill>
        </w:rPr>
        <w:t>达信建设发展有限公司</w:t>
      </w:r>
    </w:p>
    <w:p>
      <w:pPr>
        <w:spacing w:line="440" w:lineRule="exact"/>
        <w:ind w:left="284" w:firstLine="210" w:firstLineChars="1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地点：</w:t>
      </w:r>
      <w:r>
        <w:rPr>
          <w:rFonts w:hint="eastAsia" w:ascii="宋体" w:hAnsi="宋体" w:cs="宋体"/>
          <w:color w:val="000000" w:themeColor="text1"/>
          <w:szCs w:val="21"/>
          <w:lang w:val="en-US" w:eastAsia="zh-CN"/>
          <w14:textFill>
            <w14:solidFill>
              <w14:schemeClr w14:val="tx1"/>
            </w14:solidFill>
          </w14:textFill>
        </w:rPr>
        <w:t>新乡市新二街356号国贸大厦A座9楼</w:t>
      </w:r>
    </w:p>
    <w:p>
      <w:pPr>
        <w:spacing w:line="440" w:lineRule="exact"/>
        <w:ind w:left="284" w:firstLine="210" w:firstLineChars="1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w:t>
      </w:r>
      <w:r>
        <w:rPr>
          <w:rFonts w:hint="eastAsia" w:ascii="宋体" w:hAnsi="宋体" w:cs="宋体"/>
          <w:color w:val="000000" w:themeColor="text1"/>
          <w:szCs w:val="21"/>
          <w:lang w:val="en-US" w:eastAsia="zh-CN"/>
          <w14:textFill>
            <w14:solidFill>
              <w14:schemeClr w14:val="tx1"/>
            </w14:solidFill>
          </w14:textFill>
        </w:rPr>
        <w:t>王一帆</w:t>
      </w:r>
    </w:p>
    <w:p>
      <w:pPr>
        <w:spacing w:line="440" w:lineRule="exact"/>
        <w:ind w:left="284" w:firstLine="210" w:firstLineChars="100"/>
        <w:rPr>
          <w:rFonts w:ascii="宋体" w:hAnsi="宋体" w:cs="宋体"/>
          <w:color w:val="auto"/>
          <w:szCs w:val="21"/>
        </w:rPr>
      </w:pPr>
      <w:r>
        <w:rPr>
          <w:rFonts w:hint="eastAsia" w:ascii="宋体" w:hAnsi="宋体" w:cs="宋体"/>
          <w:color w:val="auto"/>
          <w:szCs w:val="21"/>
        </w:rPr>
        <w:t>联系电话：0391-7289803</w:t>
      </w:r>
    </w:p>
    <w:p>
      <w:pPr>
        <w:pStyle w:val="4"/>
        <w:rPr>
          <w:rFonts w:hint="eastAsia" w:ascii="宋体" w:hAnsi="宋体" w:cs="宋体"/>
          <w:szCs w:val="21"/>
        </w:rPr>
      </w:pPr>
    </w:p>
    <w:p>
      <w:pPr>
        <w:rPr>
          <w:rFonts w:hint="eastAsia"/>
        </w:rPr>
      </w:pPr>
    </w:p>
    <w:p>
      <w:pPr>
        <w:rPr>
          <w:rFonts w:hint="eastAsia" w:ascii="宋体" w:hAnsi="宋体" w:cs="宋体"/>
          <w:szCs w:val="21"/>
        </w:rPr>
      </w:pPr>
    </w:p>
    <w:p>
      <w:pPr>
        <w:pStyle w:val="4"/>
        <w:rPr>
          <w:rFonts w:hint="eastAsia" w:ascii="宋体" w:hAnsi="宋体" w:cs="宋体"/>
          <w:szCs w:val="21"/>
        </w:rPr>
      </w:pPr>
    </w:p>
    <w:p>
      <w:pPr>
        <w:numPr>
          <w:ilvl w:val="0"/>
          <w:numId w:val="4"/>
        </w:numPr>
        <w:spacing w:line="440" w:lineRule="exact"/>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pStyle w:val="4"/>
        <w:spacing w:line="440" w:lineRule="exact"/>
        <w:ind w:firstLine="420"/>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sectPr>
          <w:footerReference r:id="rId11" w:type="default"/>
          <w:pgSz w:w="11906" w:h="16838"/>
          <w:pgMar w:top="1134" w:right="1134" w:bottom="1134" w:left="1474" w:header="851" w:footer="510" w:gutter="0"/>
          <w:cols w:space="720" w:num="1"/>
          <w:docGrid w:type="lines" w:linePitch="312" w:charSpace="0"/>
        </w:sectPr>
      </w:pPr>
      <w:bookmarkStart w:id="71" w:name="_Toc11289"/>
      <w:bookmarkStart w:id="72" w:name="_Toc8874"/>
      <w:bookmarkStart w:id="73" w:name="_Toc373230030"/>
      <w:bookmarkStart w:id="74" w:name="_Toc374512417"/>
      <w:bookmarkStart w:id="75" w:name="_Toc477423249"/>
    </w:p>
    <w:p>
      <w:pPr>
        <w:pStyle w:val="36"/>
        <w:numPr>
          <w:ilvl w:val="0"/>
          <w:numId w:val="1"/>
        </w:numPr>
        <w:spacing w:before="0" w:after="0" w:line="360" w:lineRule="auto"/>
        <w:ind w:firstLine="0"/>
        <w:rPr>
          <w:rFonts w:hint="eastAsia" w:ascii="宋体" w:hAnsi="宋体" w:cs="宋体"/>
        </w:rPr>
      </w:pPr>
      <w:bookmarkStart w:id="76" w:name="_Toc28448"/>
      <w:bookmarkStart w:id="77" w:name="_Toc29138"/>
      <w:r>
        <w:rPr>
          <w:rFonts w:hint="eastAsia" w:ascii="宋体" w:hAnsi="宋体" w:cs="宋体"/>
        </w:rPr>
        <w:t>评审方法</w:t>
      </w:r>
      <w:bookmarkEnd w:id="71"/>
      <w:r>
        <w:rPr>
          <w:rFonts w:hint="eastAsia" w:ascii="宋体" w:hAnsi="宋体" w:cs="宋体"/>
        </w:rPr>
        <w:t>和评审标准</w:t>
      </w:r>
      <w:bookmarkEnd w:id="72"/>
      <w:bookmarkEnd w:id="76"/>
      <w:bookmarkEnd w:id="77"/>
    </w:p>
    <w:p>
      <w:pPr>
        <w:spacing w:line="440" w:lineRule="exact"/>
        <w:ind w:left="284"/>
        <w:rPr>
          <w:rFonts w:hint="eastAsia" w:ascii="宋体" w:hAnsi="宋体" w:cs="宋体"/>
          <w:b/>
          <w:bCs/>
          <w:szCs w:val="21"/>
        </w:rPr>
      </w:pPr>
      <w:r>
        <w:rPr>
          <w:rFonts w:hint="eastAsia" w:ascii="宋体" w:hAnsi="宋体" w:cs="宋体"/>
          <w:b/>
          <w:bCs/>
          <w:szCs w:val="21"/>
          <w:lang w:eastAsia="zh-CN"/>
        </w:rPr>
        <w:t>一、评审</w:t>
      </w:r>
      <w:r>
        <w:rPr>
          <w:rFonts w:hint="eastAsia" w:ascii="宋体" w:hAnsi="宋体" w:cs="宋体"/>
          <w:b/>
          <w:bCs/>
          <w:szCs w:val="21"/>
        </w:rPr>
        <w:t>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、磋商小组将按照磋商文件的规定，只对通过初步评审的响应文件和提交最后报价的供应商，由磋商小组采用综合评分法对提交最后报价的供应商的响应文件和最后报价进行综合评分。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color w:val="auto"/>
          <w:szCs w:val="21"/>
        </w:rPr>
      </w:pPr>
      <w:r>
        <w:rPr>
          <w:rFonts w:hint="eastAsia" w:ascii="宋体" w:hAnsi="宋体" w:cs="宋体"/>
          <w:szCs w:val="21"/>
          <w:lang w:eastAsia="zh-CN"/>
        </w:rPr>
        <w:t>（</w:t>
      </w: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、评审时，磋商小组各成员应当独立对每个有效响应的文件进行评价、打分，然后汇总每个供应商每项评分因素的得分。</w:t>
      </w:r>
    </w:p>
    <w:p>
      <w:pPr>
        <w:spacing w:line="500" w:lineRule="exact"/>
        <w:ind w:firstLine="420" w:firstLineChars="200"/>
        <w:rPr>
          <w:rFonts w:hint="eastAsia" w:ascii="宋体" w:hAnsi="宋体"/>
          <w:bCs/>
          <w:color w:val="auto"/>
          <w:sz w:val="21"/>
          <w:szCs w:val="21"/>
          <w:lang w:val="en-US" w:eastAsia="zh-CN"/>
        </w:rPr>
      </w:pPr>
      <w:r>
        <w:rPr>
          <w:rFonts w:hint="eastAsia" w:ascii="宋体" w:hAnsi="宋体"/>
          <w:bCs/>
          <w:color w:val="auto"/>
          <w:sz w:val="21"/>
          <w:szCs w:val="21"/>
          <w:lang w:val="en-US" w:eastAsia="zh-CN"/>
        </w:rPr>
        <w:t>（4）、本项目将对小型和微型企业、监狱企业和残疾人福利性单位的最后报价给予</w:t>
      </w:r>
      <w:r>
        <w:rPr>
          <w:rFonts w:hint="eastAsia" w:ascii="宋体" w:hAnsi="宋体"/>
          <w:bCs/>
          <w:color w:val="auto"/>
          <w:sz w:val="21"/>
          <w:szCs w:val="21"/>
          <w:u w:val="single"/>
          <w:lang w:val="en-US" w:eastAsia="zh-CN"/>
        </w:rPr>
        <w:t xml:space="preserve"> 20 </w:t>
      </w:r>
      <w:r>
        <w:rPr>
          <w:rFonts w:hint="eastAsia" w:ascii="宋体" w:hAnsi="宋体"/>
          <w:bCs/>
          <w:color w:val="auto"/>
          <w:sz w:val="21"/>
          <w:szCs w:val="21"/>
          <w:lang w:val="en-US" w:eastAsia="zh-CN"/>
        </w:rPr>
        <w:t>%的扣除，用扣除后的价格参与评审。成交价和合同签约价仍以其最后报价为准。计算公式如下：评审价=最后报价×（100%-</w:t>
      </w:r>
      <w:r>
        <w:rPr>
          <w:rFonts w:hint="eastAsia" w:ascii="宋体" w:hAnsi="宋体"/>
          <w:bCs/>
          <w:color w:val="auto"/>
          <w:sz w:val="21"/>
          <w:szCs w:val="21"/>
          <w:u w:val="single"/>
          <w:lang w:val="en-US" w:eastAsia="zh-CN"/>
        </w:rPr>
        <w:t xml:space="preserve"> 20 </w:t>
      </w:r>
      <w:r>
        <w:rPr>
          <w:rFonts w:hint="eastAsia" w:ascii="宋体" w:hAnsi="宋体"/>
          <w:bCs/>
          <w:color w:val="auto"/>
          <w:sz w:val="21"/>
          <w:szCs w:val="21"/>
          <w:lang w:val="en-US" w:eastAsia="zh-CN"/>
        </w:rPr>
        <w:t>%）。</w:t>
      </w:r>
    </w:p>
    <w:p>
      <w:pPr>
        <w:pStyle w:val="84"/>
        <w:spacing w:line="500" w:lineRule="exact"/>
        <w:ind w:firstLine="444" w:firstLineChars="200"/>
        <w:rPr>
          <w:rFonts w:hint="eastAsia" w:ascii="宋体" w:hAnsi="宋体"/>
          <w:bCs/>
          <w:spacing w:val="6"/>
          <w:sz w:val="21"/>
          <w:szCs w:val="21"/>
          <w:lang w:val="en-US" w:eastAsia="zh-CN"/>
        </w:rPr>
      </w:pPr>
      <w:r>
        <w:rPr>
          <w:rFonts w:hint="eastAsia" w:ascii="宋体" w:hAnsi="宋体"/>
          <w:bCs/>
          <w:color w:val="auto"/>
          <w:spacing w:val="6"/>
          <w:sz w:val="21"/>
          <w:szCs w:val="21"/>
        </w:rPr>
        <w:t>注：</w:t>
      </w:r>
      <w:r>
        <w:rPr>
          <w:rFonts w:hint="eastAsia" w:ascii="宋体" w:hAnsi="宋体"/>
          <w:bCs/>
          <w:color w:val="auto"/>
          <w:spacing w:val="6"/>
          <w:sz w:val="21"/>
          <w:szCs w:val="21"/>
          <w:lang w:val="en-US" w:eastAsia="zh-CN"/>
        </w:rPr>
        <w:t>1.</w:t>
      </w:r>
      <w:r>
        <w:rPr>
          <w:rFonts w:hint="eastAsia" w:ascii="宋体" w:hAnsi="宋体"/>
          <w:bCs/>
          <w:color w:val="auto"/>
          <w:spacing w:val="6"/>
          <w:sz w:val="21"/>
          <w:szCs w:val="21"/>
        </w:rPr>
        <w:t>小型和微型企业、监狱企业和残疾人福利性单位产品的认定见第</w:t>
      </w:r>
      <w:r>
        <w:rPr>
          <w:rFonts w:hint="eastAsia" w:ascii="宋体" w:hAnsi="宋体"/>
          <w:bCs/>
          <w:color w:val="auto"/>
          <w:spacing w:val="6"/>
          <w:sz w:val="21"/>
          <w:szCs w:val="21"/>
          <w:lang w:eastAsia="zh-CN"/>
        </w:rPr>
        <w:t>二</w:t>
      </w:r>
      <w:r>
        <w:rPr>
          <w:rFonts w:hint="eastAsia" w:ascii="宋体" w:hAnsi="宋体"/>
          <w:bCs/>
          <w:color w:val="auto"/>
          <w:spacing w:val="6"/>
          <w:sz w:val="21"/>
          <w:szCs w:val="21"/>
        </w:rPr>
        <w:t>章供应商须知前附</w:t>
      </w:r>
      <w:r>
        <w:rPr>
          <w:rFonts w:hint="eastAsia" w:ascii="宋体" w:hAnsi="宋体"/>
          <w:bCs/>
          <w:spacing w:val="6"/>
          <w:sz w:val="21"/>
          <w:szCs w:val="21"/>
        </w:rPr>
        <w:t>表</w:t>
      </w:r>
      <w:r>
        <w:rPr>
          <w:rFonts w:hint="eastAsia" w:ascii="宋体" w:hAnsi="宋体"/>
          <w:bCs/>
          <w:spacing w:val="6"/>
          <w:sz w:val="21"/>
          <w:szCs w:val="21"/>
          <w:lang w:val="en-US" w:eastAsia="zh-CN"/>
        </w:rPr>
        <w:t>;</w:t>
      </w:r>
    </w:p>
    <w:p>
      <w:pPr>
        <w:pStyle w:val="84"/>
        <w:spacing w:line="500" w:lineRule="exact"/>
        <w:ind w:firstLine="446" w:firstLineChars="200"/>
        <w:rPr>
          <w:rFonts w:hint="eastAsia" w:ascii="宋体" w:hAnsi="宋体"/>
          <w:b/>
          <w:bCs w:val="0"/>
          <w:spacing w:val="6"/>
          <w:sz w:val="21"/>
          <w:szCs w:val="21"/>
        </w:rPr>
      </w:pPr>
      <w:r>
        <w:rPr>
          <w:rFonts w:hint="eastAsia" w:ascii="宋体" w:hAnsi="宋体"/>
          <w:b/>
          <w:bCs w:val="0"/>
          <w:spacing w:val="6"/>
          <w:sz w:val="21"/>
          <w:szCs w:val="21"/>
          <w:lang w:val="en-US" w:eastAsia="zh-CN"/>
        </w:rPr>
        <w:t>2.</w:t>
      </w:r>
      <w:r>
        <w:rPr>
          <w:rFonts w:hint="eastAsia" w:ascii="宋体" w:hAnsi="宋体"/>
          <w:b/>
          <w:bCs w:val="0"/>
          <w:spacing w:val="6"/>
          <w:sz w:val="21"/>
          <w:szCs w:val="21"/>
          <w:lang w:eastAsia="zh-CN"/>
        </w:rPr>
        <w:t>供应商</w:t>
      </w:r>
      <w:r>
        <w:rPr>
          <w:rFonts w:hint="eastAsia" w:ascii="宋体" w:hAnsi="宋体"/>
          <w:b/>
          <w:bCs w:val="0"/>
          <w:spacing w:val="6"/>
          <w:sz w:val="21"/>
          <w:szCs w:val="21"/>
        </w:rPr>
        <w:t>同时为小型、微型企业、监狱企业、残疾人福利性单位任两种或以上情况的，评审中只享受一次价格扣除，不重复进行价格扣除。</w:t>
      </w:r>
    </w:p>
    <w:p>
      <w:pPr>
        <w:spacing w:line="440" w:lineRule="exact"/>
        <w:ind w:left="284"/>
        <w:rPr>
          <w:rFonts w:hint="eastAsia" w:ascii="宋体" w:hAnsi="宋体" w:cs="宋体"/>
          <w:b/>
          <w:bCs/>
          <w:szCs w:val="21"/>
          <w:lang w:eastAsia="zh-CN"/>
        </w:rPr>
      </w:pPr>
      <w:r>
        <w:rPr>
          <w:rFonts w:hint="eastAsia" w:ascii="宋体" w:hAnsi="宋体" w:cs="宋体"/>
          <w:b/>
          <w:bCs/>
          <w:szCs w:val="21"/>
          <w:lang w:eastAsia="zh-CN"/>
        </w:rPr>
        <w:t>二、评审标准</w:t>
      </w:r>
    </w:p>
    <w:bookmarkEnd w:id="73"/>
    <w:bookmarkEnd w:id="74"/>
    <w:bookmarkEnd w:id="75"/>
    <w:tbl>
      <w:tblPr>
        <w:tblStyle w:val="37"/>
        <w:tblW w:w="9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113"/>
        <w:gridCol w:w="7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03" w:type="dxa"/>
            <w:noWrap w:val="0"/>
            <w:vAlign w:val="top"/>
          </w:tcPr>
          <w:p>
            <w:pPr>
              <w:pStyle w:val="84"/>
              <w:spacing w:line="360" w:lineRule="auto"/>
              <w:jc w:val="center"/>
              <w:rPr>
                <w:rFonts w:hint="eastAsia" w:ascii="宋体" w:hAnsi="宋体" w:cs="宋体"/>
                <w:bCs/>
                <w:color w:val="auto"/>
                <w:spacing w:val="6"/>
                <w:sz w:val="21"/>
                <w:szCs w:val="21"/>
              </w:rPr>
            </w:pPr>
            <w:bookmarkStart w:id="78" w:name="_Toc14171"/>
            <w:bookmarkStart w:id="79" w:name="_Toc487805909"/>
            <w:bookmarkStart w:id="80" w:name="_Toc113459850"/>
            <w:bookmarkStart w:id="81" w:name="_Toc7461"/>
            <w:r>
              <w:rPr>
                <w:rFonts w:hint="eastAsia" w:ascii="宋体" w:hAnsi="宋体" w:cs="宋体"/>
                <w:b/>
                <w:bCs/>
                <w:color w:val="auto"/>
                <w:sz w:val="21"/>
                <w:szCs w:val="21"/>
              </w:rPr>
              <w:t>条款号</w:t>
            </w:r>
          </w:p>
        </w:tc>
        <w:tc>
          <w:tcPr>
            <w:tcW w:w="1113" w:type="dxa"/>
            <w:noWrap w:val="0"/>
            <w:vAlign w:val="top"/>
          </w:tcPr>
          <w:p>
            <w:pPr>
              <w:pStyle w:val="84"/>
              <w:spacing w:line="360" w:lineRule="auto"/>
              <w:jc w:val="center"/>
              <w:rPr>
                <w:rFonts w:hint="eastAsia" w:ascii="宋体" w:hAnsi="宋体" w:cs="宋体"/>
                <w:bCs/>
                <w:color w:val="auto"/>
                <w:spacing w:val="6"/>
                <w:sz w:val="21"/>
                <w:szCs w:val="21"/>
              </w:rPr>
            </w:pPr>
            <w:r>
              <w:rPr>
                <w:rFonts w:hint="eastAsia" w:ascii="宋体" w:hAnsi="宋体" w:cs="宋体"/>
                <w:b/>
                <w:bCs/>
                <w:color w:val="auto"/>
                <w:spacing w:val="1"/>
                <w:sz w:val="21"/>
                <w:szCs w:val="21"/>
              </w:rPr>
              <w:t>评分因素</w:t>
            </w:r>
          </w:p>
        </w:tc>
        <w:tc>
          <w:tcPr>
            <w:tcW w:w="7423" w:type="dxa"/>
            <w:noWrap w:val="0"/>
            <w:vAlign w:val="top"/>
          </w:tcPr>
          <w:p>
            <w:pPr>
              <w:pStyle w:val="84"/>
              <w:spacing w:line="360" w:lineRule="auto"/>
              <w:jc w:val="center"/>
              <w:rPr>
                <w:rFonts w:hint="eastAsia" w:ascii="宋体" w:hAnsi="宋体" w:cs="宋体"/>
                <w:bCs/>
                <w:color w:val="auto"/>
                <w:spacing w:val="6"/>
                <w:sz w:val="21"/>
                <w:szCs w:val="21"/>
              </w:rPr>
            </w:pPr>
            <w:r>
              <w:rPr>
                <w:rFonts w:hint="eastAsia" w:ascii="宋体" w:hAnsi="宋体" w:cs="宋体"/>
                <w:b/>
                <w:bCs/>
                <w:color w:val="auto"/>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noWrap w:val="0"/>
            <w:vAlign w:val="center"/>
          </w:tcPr>
          <w:p>
            <w:pPr>
              <w:pStyle w:val="84"/>
              <w:spacing w:line="360" w:lineRule="auto"/>
              <w:jc w:val="center"/>
              <w:rPr>
                <w:rFonts w:hint="eastAsia" w:ascii="宋体" w:hAnsi="宋体" w:cs="宋体"/>
                <w:bCs/>
                <w:color w:val="auto"/>
                <w:spacing w:val="6"/>
                <w:sz w:val="21"/>
                <w:szCs w:val="21"/>
              </w:rPr>
            </w:pPr>
            <w:r>
              <w:rPr>
                <w:rFonts w:hint="eastAsia" w:ascii="宋体" w:hAnsi="宋体" w:cs="宋体"/>
                <w:color w:val="auto"/>
                <w:sz w:val="21"/>
                <w:szCs w:val="21"/>
              </w:rPr>
              <w:t>1</w:t>
            </w:r>
          </w:p>
        </w:tc>
        <w:tc>
          <w:tcPr>
            <w:tcW w:w="1113" w:type="dxa"/>
            <w:noWrap w:val="0"/>
            <w:vAlign w:val="center"/>
          </w:tcPr>
          <w:p>
            <w:pPr>
              <w:pStyle w:val="84"/>
              <w:spacing w:line="360" w:lineRule="auto"/>
              <w:jc w:val="center"/>
              <w:rPr>
                <w:rFonts w:hint="eastAsia" w:ascii="宋体" w:hAnsi="宋体" w:cs="宋体"/>
                <w:bCs/>
                <w:color w:val="auto"/>
                <w:spacing w:val="6"/>
                <w:sz w:val="21"/>
                <w:szCs w:val="21"/>
              </w:rPr>
            </w:pPr>
            <w:r>
              <w:rPr>
                <w:rFonts w:hint="eastAsia" w:ascii="宋体" w:hAnsi="宋体" w:cs="宋体"/>
                <w:color w:val="auto"/>
                <w:sz w:val="21"/>
                <w:szCs w:val="21"/>
              </w:rPr>
              <w:t>报价</w:t>
            </w:r>
            <w:r>
              <w:rPr>
                <w:rFonts w:hint="eastAsia" w:ascii="宋体" w:hAnsi="宋体" w:cs="宋体"/>
                <w:color w:val="auto"/>
                <w:sz w:val="21"/>
                <w:szCs w:val="21"/>
                <w:lang w:eastAsia="zh-CN"/>
              </w:rPr>
              <w:t>部分</w:t>
            </w:r>
            <w:r>
              <w:rPr>
                <w:rFonts w:hint="eastAsia" w:ascii="宋体" w:hAnsi="宋体" w:cs="宋体"/>
                <w:color w:val="auto"/>
                <w:sz w:val="21"/>
                <w:szCs w:val="21"/>
              </w:rPr>
              <w:t>（</w:t>
            </w:r>
            <w:r>
              <w:rPr>
                <w:rFonts w:hint="eastAsia" w:ascii="宋体" w:hAnsi="宋体" w:cs="宋体"/>
                <w:color w:val="auto"/>
                <w:sz w:val="21"/>
                <w:szCs w:val="21"/>
                <w:lang w:val="en-US" w:eastAsia="zh-CN"/>
              </w:rPr>
              <w:t>15</w:t>
            </w:r>
            <w:r>
              <w:rPr>
                <w:rFonts w:hint="eastAsia" w:ascii="宋体" w:hAnsi="宋体" w:cs="宋体"/>
                <w:color w:val="auto"/>
                <w:sz w:val="21"/>
                <w:szCs w:val="21"/>
              </w:rPr>
              <w:t>分）</w:t>
            </w:r>
          </w:p>
        </w:tc>
        <w:tc>
          <w:tcPr>
            <w:tcW w:w="7423" w:type="dxa"/>
            <w:noWrap w:val="0"/>
            <w:vAlign w:val="top"/>
          </w:tcPr>
          <w:p>
            <w:pPr>
              <w:spacing w:line="500" w:lineRule="exact"/>
              <w:ind w:firstLine="420" w:firstLineChars="200"/>
              <w:rPr>
                <w:rFonts w:hint="eastAsia" w:ascii="宋体" w:hAnsi="宋体"/>
                <w:color w:val="auto"/>
                <w:sz w:val="21"/>
                <w:szCs w:val="21"/>
              </w:rPr>
            </w:pPr>
            <w:r>
              <w:rPr>
                <w:rFonts w:hint="eastAsia" w:ascii="宋体" w:hAnsi="宋体"/>
                <w:color w:val="auto"/>
                <w:sz w:val="21"/>
                <w:szCs w:val="21"/>
              </w:rPr>
              <w:t>满足</w:t>
            </w:r>
            <w:r>
              <w:rPr>
                <w:rFonts w:hint="eastAsia" w:ascii="宋体" w:hAnsi="宋体"/>
                <w:color w:val="auto"/>
                <w:sz w:val="21"/>
                <w:szCs w:val="21"/>
                <w:lang w:eastAsia="zh-CN"/>
              </w:rPr>
              <w:t>竞争性磋商</w:t>
            </w:r>
            <w:r>
              <w:rPr>
                <w:rFonts w:hint="eastAsia" w:ascii="宋体" w:hAnsi="宋体"/>
                <w:color w:val="auto"/>
                <w:sz w:val="21"/>
                <w:szCs w:val="21"/>
              </w:rPr>
              <w:t>文件要求且价格最低的报价（含小型和微型企业、监狱企业和残疾人福利性单位评</w:t>
            </w:r>
            <w:r>
              <w:rPr>
                <w:rFonts w:hint="eastAsia" w:ascii="宋体" w:hAnsi="宋体"/>
                <w:color w:val="auto"/>
                <w:sz w:val="21"/>
                <w:szCs w:val="21"/>
                <w:lang w:eastAsia="zh-CN"/>
              </w:rPr>
              <w:t>审</w:t>
            </w:r>
            <w:r>
              <w:rPr>
                <w:rFonts w:hint="eastAsia" w:ascii="宋体" w:hAnsi="宋体"/>
                <w:color w:val="auto"/>
                <w:sz w:val="21"/>
                <w:szCs w:val="21"/>
              </w:rPr>
              <w:t>价</w:t>
            </w:r>
            <w:r>
              <w:rPr>
                <w:rFonts w:hint="eastAsia" w:ascii="宋体" w:hAnsi="宋体"/>
                <w:color w:val="auto"/>
                <w:sz w:val="21"/>
                <w:szCs w:val="21"/>
                <w:lang w:eastAsia="zh-CN"/>
              </w:rPr>
              <w:t>）</w:t>
            </w:r>
            <w:r>
              <w:rPr>
                <w:rFonts w:hint="eastAsia" w:ascii="宋体" w:hAnsi="宋体"/>
                <w:color w:val="auto"/>
                <w:sz w:val="21"/>
                <w:szCs w:val="21"/>
              </w:rPr>
              <w:t>为评标基准价，其价格分为满分（即</w:t>
            </w:r>
            <w:r>
              <w:rPr>
                <w:rFonts w:hint="eastAsia" w:ascii="宋体" w:hAnsi="宋体"/>
                <w:color w:val="auto"/>
                <w:sz w:val="21"/>
                <w:szCs w:val="21"/>
                <w:lang w:val="en-US" w:eastAsia="zh-CN"/>
              </w:rPr>
              <w:t>15</w:t>
            </w:r>
            <w:r>
              <w:rPr>
                <w:rFonts w:hint="eastAsia" w:ascii="宋体" w:hAnsi="宋体"/>
                <w:color w:val="auto"/>
                <w:sz w:val="21"/>
                <w:szCs w:val="21"/>
              </w:rPr>
              <w:t>分）。其他</w:t>
            </w:r>
            <w:r>
              <w:rPr>
                <w:rFonts w:hint="eastAsia" w:ascii="宋体" w:hAnsi="宋体"/>
                <w:color w:val="auto"/>
                <w:sz w:val="21"/>
                <w:szCs w:val="21"/>
                <w:lang w:eastAsia="zh-CN"/>
              </w:rPr>
              <w:t>供应商</w:t>
            </w:r>
            <w:r>
              <w:rPr>
                <w:rFonts w:hint="eastAsia" w:ascii="宋体" w:hAnsi="宋体"/>
                <w:color w:val="auto"/>
                <w:sz w:val="21"/>
                <w:szCs w:val="21"/>
              </w:rPr>
              <w:t>的价格分统一按照下列公式计算：</w:t>
            </w:r>
          </w:p>
          <w:p>
            <w:pPr>
              <w:pStyle w:val="84"/>
              <w:spacing w:line="360" w:lineRule="auto"/>
              <w:rPr>
                <w:rFonts w:hint="eastAsia" w:ascii="宋体" w:hAnsi="宋体" w:cs="宋体"/>
                <w:bCs/>
                <w:color w:val="auto"/>
                <w:spacing w:val="6"/>
                <w:sz w:val="21"/>
                <w:szCs w:val="21"/>
              </w:rPr>
            </w:pPr>
            <w:r>
              <w:rPr>
                <w:rFonts w:hint="eastAsia" w:ascii="宋体" w:hAnsi="宋体"/>
                <w:color w:val="auto"/>
                <w:sz w:val="21"/>
                <w:szCs w:val="21"/>
              </w:rPr>
              <w:t>报价得分=(评标基准价／报价) ×价格权值（</w:t>
            </w:r>
            <w:r>
              <w:rPr>
                <w:rFonts w:hint="eastAsia" w:ascii="宋体" w:hAnsi="宋体"/>
                <w:color w:val="auto"/>
                <w:sz w:val="21"/>
                <w:szCs w:val="21"/>
                <w:lang w:val="en-US" w:eastAsia="zh-CN"/>
              </w:rPr>
              <w:t>15</w:t>
            </w:r>
            <w:r>
              <w:rPr>
                <w:rFonts w:hint="eastAsia" w:ascii="宋体" w:hAnsi="宋体"/>
                <w:color w:val="auto"/>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restart"/>
            <w:noWrap w:val="0"/>
            <w:vAlign w:val="center"/>
          </w:tcPr>
          <w:p>
            <w:pPr>
              <w:pStyle w:val="84"/>
              <w:spacing w:line="360" w:lineRule="auto"/>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2</w:t>
            </w:r>
          </w:p>
        </w:tc>
        <w:tc>
          <w:tcPr>
            <w:tcW w:w="1113" w:type="dxa"/>
            <w:vMerge w:val="restart"/>
            <w:noWrap w:val="0"/>
            <w:vAlign w:val="center"/>
          </w:tcPr>
          <w:p>
            <w:pPr>
              <w:pStyle w:val="84"/>
              <w:spacing w:line="360" w:lineRule="auto"/>
              <w:jc w:val="center"/>
              <w:rPr>
                <w:rFonts w:hint="eastAsia" w:ascii="宋体" w:hAnsi="宋体" w:cs="宋体"/>
                <w:color w:val="auto"/>
                <w:sz w:val="21"/>
                <w:szCs w:val="21"/>
              </w:rPr>
            </w:pPr>
            <w:r>
              <w:rPr>
                <w:rFonts w:hint="eastAsia" w:ascii="宋体" w:hAnsi="宋体" w:cs="宋体"/>
                <w:color w:val="auto"/>
                <w:sz w:val="21"/>
                <w:szCs w:val="21"/>
                <w:lang w:val="en-US" w:eastAsia="zh-CN"/>
              </w:rPr>
              <w:t>技术部分</w:t>
            </w:r>
            <w:r>
              <w:rPr>
                <w:rFonts w:hint="eastAsia" w:ascii="宋体" w:hAnsi="宋体" w:cs="宋体"/>
                <w:color w:val="auto"/>
                <w:sz w:val="21"/>
                <w:szCs w:val="21"/>
              </w:rPr>
              <w:t>(</w:t>
            </w:r>
            <w:r>
              <w:rPr>
                <w:rFonts w:hint="eastAsia" w:ascii="宋体" w:hAnsi="宋体" w:cs="宋体"/>
                <w:color w:val="auto"/>
                <w:sz w:val="21"/>
                <w:szCs w:val="21"/>
                <w:lang w:val="en-US" w:eastAsia="zh-CN"/>
              </w:rPr>
              <w:t>50</w:t>
            </w:r>
            <w:r>
              <w:rPr>
                <w:rFonts w:hint="eastAsia" w:ascii="宋体" w:hAnsi="宋体" w:cs="宋体"/>
                <w:color w:val="auto"/>
                <w:sz w:val="21"/>
                <w:szCs w:val="21"/>
              </w:rPr>
              <w:t>分)</w:t>
            </w:r>
          </w:p>
        </w:tc>
        <w:tc>
          <w:tcPr>
            <w:tcW w:w="7423" w:type="dxa"/>
            <w:noWrap w:val="0"/>
            <w:vAlign w:val="top"/>
          </w:tcPr>
          <w:p>
            <w:pPr>
              <w:spacing w:line="500" w:lineRule="exact"/>
              <w:ind w:firstLine="420" w:firstLineChars="200"/>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表层土调查与采样实施方案（15分）</w:t>
            </w:r>
          </w:p>
          <w:p>
            <w:pPr>
              <w:spacing w:line="500" w:lineRule="exact"/>
              <w:ind w:firstLine="420" w:firstLineChars="200"/>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（1）实施方案详尽、考虑全面，设计符合本地实际，采用技术方法先进、可行性和科学性强，资料收集齐全，得</w:t>
            </w:r>
            <w:r>
              <w:rPr>
                <w:rFonts w:hint="eastAsia" w:ascii="宋体" w:hAnsi="宋体" w:cs="Times New Roman"/>
                <w:color w:val="auto"/>
                <w:sz w:val="21"/>
                <w:szCs w:val="21"/>
                <w:lang w:val="en-US" w:eastAsia="zh-CN"/>
              </w:rPr>
              <w:t>15</w:t>
            </w:r>
            <w:r>
              <w:rPr>
                <w:rFonts w:hint="eastAsia" w:ascii="宋体" w:hAnsi="宋体" w:eastAsia="宋体" w:cs="Times New Roman"/>
                <w:color w:val="auto"/>
                <w:sz w:val="21"/>
                <w:szCs w:val="21"/>
                <w:lang w:val="en-US" w:eastAsia="zh-CN"/>
              </w:rPr>
              <w:t>分；</w:t>
            </w:r>
          </w:p>
          <w:p>
            <w:pPr>
              <w:spacing w:line="500" w:lineRule="exact"/>
              <w:ind w:firstLine="420" w:firstLineChars="200"/>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（2）实施方案较详尽、考虑较全面，设计较符合本地实际，采用技术方法较先进、可行性和科学性较强，资料收集较齐全，得</w:t>
            </w:r>
            <w:r>
              <w:rPr>
                <w:rFonts w:hint="eastAsia" w:ascii="宋体" w:hAnsi="宋体" w:cs="Times New Roman"/>
                <w:color w:val="auto"/>
                <w:sz w:val="21"/>
                <w:szCs w:val="21"/>
                <w:lang w:val="en-US" w:eastAsia="zh-CN"/>
              </w:rPr>
              <w:t>13</w:t>
            </w:r>
            <w:r>
              <w:rPr>
                <w:rFonts w:hint="eastAsia" w:ascii="宋体" w:hAnsi="宋体" w:eastAsia="宋体" w:cs="Times New Roman"/>
                <w:color w:val="auto"/>
                <w:sz w:val="21"/>
                <w:szCs w:val="21"/>
                <w:lang w:val="en-US" w:eastAsia="zh-CN"/>
              </w:rPr>
              <w:t>分；</w:t>
            </w:r>
          </w:p>
          <w:p>
            <w:pPr>
              <w:spacing w:line="500" w:lineRule="exact"/>
              <w:ind w:firstLine="420" w:firstLineChars="200"/>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（3）实施方案较详尽程度一般、考虑一般，设计符合本地实际性一般，采用技术方法一般、可行性和科学性一般，资料收集基本齐全，得</w:t>
            </w:r>
            <w:r>
              <w:rPr>
                <w:rFonts w:hint="eastAsia" w:ascii="宋体" w:hAnsi="宋体" w:cs="Times New Roman"/>
                <w:color w:val="auto"/>
                <w:sz w:val="21"/>
                <w:szCs w:val="21"/>
                <w:lang w:val="en-US" w:eastAsia="zh-CN"/>
              </w:rPr>
              <w:t>11</w:t>
            </w:r>
            <w:r>
              <w:rPr>
                <w:rFonts w:hint="eastAsia" w:ascii="宋体" w:hAnsi="宋体" w:eastAsia="宋体" w:cs="Times New Roman"/>
                <w:color w:val="auto"/>
                <w:sz w:val="21"/>
                <w:szCs w:val="21"/>
                <w:lang w:val="en-US" w:eastAsia="zh-CN"/>
              </w:rPr>
              <w:t>分；</w:t>
            </w:r>
          </w:p>
          <w:p>
            <w:pPr>
              <w:spacing w:line="500" w:lineRule="exact"/>
              <w:ind w:firstLine="420" w:firstLineChars="200"/>
              <w:rPr>
                <w:rFonts w:hint="eastAsia" w:ascii="宋体" w:hAnsi="宋体" w:eastAsia="宋体" w:cs="Times New Roman"/>
                <w:color w:val="auto"/>
                <w:sz w:val="21"/>
                <w:szCs w:val="21"/>
              </w:rPr>
            </w:pPr>
            <w:r>
              <w:rPr>
                <w:rFonts w:hint="eastAsia" w:ascii="宋体" w:hAnsi="宋体" w:eastAsia="宋体" w:cs="Times New Roman"/>
                <w:color w:val="auto"/>
                <w:sz w:val="21"/>
                <w:szCs w:val="21"/>
                <w:lang w:val="en-US" w:eastAsia="zh-CN"/>
              </w:rPr>
              <w:t>如若缺项则不得分</w:t>
            </w:r>
            <w:r>
              <w:rPr>
                <w:rFonts w:hint="eastAsia" w:ascii="宋体" w:hAnsi="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111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7423" w:type="dxa"/>
            <w:noWrap w:val="0"/>
            <w:vAlign w:val="top"/>
          </w:tcPr>
          <w:p>
            <w:pPr>
              <w:spacing w:line="500" w:lineRule="exact"/>
              <w:ind w:firstLine="420" w:firstLineChars="200"/>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组织架构（</w:t>
            </w:r>
            <w:r>
              <w:rPr>
                <w:rFonts w:hint="eastAsia" w:ascii="宋体" w:hAnsi="宋体" w:cs="Times New Roman"/>
                <w:color w:val="auto"/>
                <w:sz w:val="21"/>
                <w:szCs w:val="21"/>
                <w:lang w:val="en-US" w:eastAsia="zh-CN"/>
              </w:rPr>
              <w:t>6</w:t>
            </w:r>
            <w:r>
              <w:rPr>
                <w:rFonts w:hint="eastAsia" w:ascii="宋体" w:hAnsi="宋体" w:eastAsia="宋体" w:cs="Times New Roman"/>
                <w:color w:val="auto"/>
                <w:sz w:val="21"/>
                <w:szCs w:val="21"/>
                <w:lang w:val="en-US" w:eastAsia="zh-CN"/>
              </w:rPr>
              <w:t>分）</w:t>
            </w:r>
          </w:p>
          <w:p>
            <w:pPr>
              <w:spacing w:line="500" w:lineRule="exact"/>
              <w:ind w:firstLine="420" w:firstLineChars="200"/>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（1）具有合理、完整的项目管理组织架构，完整的项目管理，内容编制完整合理得</w:t>
            </w:r>
            <w:r>
              <w:rPr>
                <w:rFonts w:hint="eastAsia" w:ascii="宋体" w:hAnsi="宋体" w:cs="Times New Roman"/>
                <w:color w:val="auto"/>
                <w:sz w:val="21"/>
                <w:szCs w:val="21"/>
                <w:lang w:val="en-US" w:eastAsia="zh-CN"/>
              </w:rPr>
              <w:t>6</w:t>
            </w:r>
            <w:r>
              <w:rPr>
                <w:rFonts w:hint="eastAsia" w:ascii="宋体" w:hAnsi="宋体" w:eastAsia="宋体" w:cs="Times New Roman"/>
                <w:color w:val="auto"/>
                <w:sz w:val="21"/>
                <w:szCs w:val="21"/>
                <w:lang w:val="en-US" w:eastAsia="zh-CN"/>
              </w:rPr>
              <w:t>分；</w:t>
            </w:r>
          </w:p>
          <w:p>
            <w:pPr>
              <w:spacing w:line="500" w:lineRule="exact"/>
              <w:ind w:firstLine="420" w:firstLineChars="200"/>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（2）具有较合理、完整的项目管理组织架构，完整的项目管理，内容编制完整合理得</w:t>
            </w:r>
            <w:r>
              <w:rPr>
                <w:rFonts w:hint="eastAsia" w:ascii="宋体" w:hAnsi="宋体" w:cs="Times New Roman"/>
                <w:color w:val="auto"/>
                <w:sz w:val="21"/>
                <w:szCs w:val="21"/>
                <w:lang w:val="en-US" w:eastAsia="zh-CN"/>
              </w:rPr>
              <w:t>4</w:t>
            </w:r>
            <w:r>
              <w:rPr>
                <w:rFonts w:hint="eastAsia" w:ascii="宋体" w:hAnsi="宋体" w:eastAsia="宋体" w:cs="Times New Roman"/>
                <w:color w:val="auto"/>
                <w:sz w:val="21"/>
                <w:szCs w:val="21"/>
                <w:lang w:val="en-US" w:eastAsia="zh-CN"/>
              </w:rPr>
              <w:t>分；</w:t>
            </w:r>
          </w:p>
          <w:p>
            <w:pPr>
              <w:spacing w:line="500" w:lineRule="exact"/>
              <w:ind w:firstLine="420" w:firstLineChars="200"/>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（3）项目管理组织架构不完整，内容编制不完整不合理得</w:t>
            </w:r>
            <w:r>
              <w:rPr>
                <w:rFonts w:hint="eastAsia" w:ascii="宋体" w:hAnsi="宋体" w:cs="Times New Roman"/>
                <w:color w:val="auto"/>
                <w:sz w:val="21"/>
                <w:szCs w:val="21"/>
                <w:lang w:val="en-US" w:eastAsia="zh-CN"/>
              </w:rPr>
              <w:t>2</w:t>
            </w:r>
            <w:r>
              <w:rPr>
                <w:rFonts w:hint="eastAsia" w:ascii="宋体" w:hAnsi="宋体" w:eastAsia="宋体" w:cs="Times New Roman"/>
                <w:color w:val="auto"/>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如若缺项则不得分</w:t>
            </w:r>
            <w:r>
              <w:rPr>
                <w:rFonts w:hint="eastAsia" w:ascii="宋体" w:hAnsi="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111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7423" w:type="dxa"/>
            <w:noWrap w:val="0"/>
            <w:vAlign w:val="top"/>
          </w:tcPr>
          <w:p>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质量管理方案、安全措施（10分）</w:t>
            </w:r>
          </w:p>
          <w:p>
            <w:pPr>
              <w:numPr>
                <w:ilvl w:val="0"/>
                <w:numId w:val="0"/>
              </w:numPr>
              <w:spacing w:line="240" w:lineRule="auto"/>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（1）供应商的项目质量管理方案全面、完善，安全措施合理、可行性高。得</w:t>
            </w:r>
            <w:r>
              <w:rPr>
                <w:rFonts w:hint="eastAsia" w:ascii="宋体" w:hAnsi="宋体" w:cs="Times New Roman"/>
                <w:color w:val="auto"/>
                <w:kern w:val="2"/>
                <w:sz w:val="21"/>
                <w:szCs w:val="21"/>
                <w:lang w:val="en-US" w:eastAsia="zh-CN" w:bidi="ar-SA"/>
              </w:rPr>
              <w:t>10</w:t>
            </w:r>
            <w:r>
              <w:rPr>
                <w:rFonts w:hint="eastAsia" w:ascii="宋体" w:hAnsi="宋体" w:eastAsia="宋体" w:cs="Times New Roman"/>
                <w:color w:val="auto"/>
                <w:kern w:val="2"/>
                <w:sz w:val="21"/>
                <w:szCs w:val="21"/>
                <w:lang w:val="en-US" w:eastAsia="zh-CN" w:bidi="ar-SA"/>
              </w:rPr>
              <w:t>分；</w:t>
            </w:r>
          </w:p>
          <w:p>
            <w:pPr>
              <w:numPr>
                <w:ilvl w:val="0"/>
                <w:numId w:val="0"/>
              </w:numPr>
              <w:spacing w:line="240" w:lineRule="auto"/>
              <w:ind w:leftChars="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（2）供应商的项目质量管理方案较全面、较完善，安全措施较合理、可行性较高。得</w:t>
            </w:r>
            <w:r>
              <w:rPr>
                <w:rFonts w:hint="eastAsia" w:ascii="宋体" w:hAnsi="宋体" w:cs="Times New Roman"/>
                <w:color w:val="auto"/>
                <w:kern w:val="2"/>
                <w:sz w:val="21"/>
                <w:szCs w:val="21"/>
                <w:lang w:val="en-US" w:eastAsia="zh-CN" w:bidi="ar-SA"/>
              </w:rPr>
              <w:t>8</w:t>
            </w:r>
            <w:r>
              <w:rPr>
                <w:rFonts w:hint="eastAsia" w:ascii="宋体" w:hAnsi="宋体" w:eastAsia="宋体" w:cs="Times New Roman"/>
                <w:color w:val="auto"/>
                <w:kern w:val="2"/>
                <w:sz w:val="21"/>
                <w:szCs w:val="21"/>
                <w:lang w:val="en-US" w:eastAsia="zh-CN" w:bidi="ar-SA"/>
              </w:rPr>
              <w:t>分；</w:t>
            </w:r>
          </w:p>
          <w:p>
            <w:pPr>
              <w:pStyle w:val="4"/>
              <w:spacing w:line="240" w:lineRule="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（3）供应商的项目质量管理方案、安全措施一般。得</w:t>
            </w:r>
            <w:r>
              <w:rPr>
                <w:rFonts w:hint="eastAsia" w:ascii="宋体" w:hAnsi="宋体" w:cs="Times New Roman"/>
                <w:color w:val="auto"/>
                <w:kern w:val="2"/>
                <w:sz w:val="21"/>
                <w:szCs w:val="21"/>
                <w:lang w:val="en-US" w:eastAsia="zh-CN" w:bidi="ar-SA"/>
              </w:rPr>
              <w:t>6</w:t>
            </w:r>
            <w:r>
              <w:rPr>
                <w:rFonts w:hint="eastAsia" w:ascii="宋体" w:hAnsi="宋体" w:eastAsia="宋体" w:cs="Times New Roman"/>
                <w:color w:val="auto"/>
                <w:kern w:val="2"/>
                <w:sz w:val="21"/>
                <w:szCs w:val="21"/>
                <w:lang w:val="en-US" w:eastAsia="zh-CN" w:bidi="ar-SA"/>
              </w:rPr>
              <w:t>分；</w:t>
            </w:r>
          </w:p>
          <w:p>
            <w:pPr>
              <w:pStyle w:val="4"/>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如若缺项则不得分</w:t>
            </w:r>
            <w:r>
              <w:rPr>
                <w:rFonts w:hint="eastAsia" w:ascii="宋体" w:hAnsi="宋体" w:cs="Times New Roman"/>
                <w:color w:val="auto"/>
                <w:kern w:val="2"/>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111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7423" w:type="dxa"/>
            <w:noWrap w:val="0"/>
            <w:vAlign w:val="top"/>
          </w:tcPr>
          <w:p>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color w:val="auto"/>
              </w:rPr>
            </w:pPr>
            <w:r>
              <w:rPr>
                <w:color w:val="auto"/>
              </w:rPr>
              <w:t>进度管理方案（</w:t>
            </w:r>
            <w:r>
              <w:rPr>
                <w:rFonts w:hint="eastAsia"/>
                <w:color w:val="auto"/>
                <w:lang w:val="en-US" w:eastAsia="zh-CN"/>
              </w:rPr>
              <w:t xml:space="preserve"> 7</w:t>
            </w:r>
            <w:r>
              <w:rPr>
                <w:rFonts w:hint="eastAsia"/>
                <w:color w:val="auto"/>
              </w:rPr>
              <w:t>分</w:t>
            </w:r>
            <w:r>
              <w:rPr>
                <w:color w:val="auto"/>
              </w:rPr>
              <w:t>）</w:t>
            </w:r>
          </w:p>
          <w:p>
            <w:pPr>
              <w:keepNext w:val="0"/>
              <w:keepLines w:val="0"/>
              <w:pageBreakBefore w:val="0"/>
              <w:widowControl w:val="0"/>
              <w:kinsoku/>
              <w:wordWrap/>
              <w:overflowPunct/>
              <w:topLinePunct w:val="0"/>
              <w:autoSpaceDE/>
              <w:autoSpaceDN/>
              <w:bidi w:val="0"/>
              <w:adjustRightInd/>
              <w:snapToGrid/>
              <w:spacing w:line="500" w:lineRule="exact"/>
              <w:textAlignment w:val="auto"/>
              <w:rPr>
                <w:color w:val="auto"/>
              </w:rPr>
            </w:pPr>
            <w:r>
              <w:rPr>
                <w:rFonts w:hint="eastAsia"/>
                <w:color w:val="auto"/>
              </w:rPr>
              <w:t>1.供应商针对本项目制定的工作进度、进度计划、保障措施严谨、合理、可行性高，符合本项目对时间的要求，得</w:t>
            </w:r>
            <w:r>
              <w:rPr>
                <w:rFonts w:hint="eastAsia"/>
                <w:color w:val="auto"/>
                <w:lang w:val="en-US" w:eastAsia="zh-CN"/>
              </w:rPr>
              <w:t>7</w:t>
            </w:r>
            <w:r>
              <w:rPr>
                <w:rFonts w:hint="eastAsia"/>
                <w:color w:val="auto"/>
              </w:rPr>
              <w:t xml:space="preserve">分； </w:t>
            </w:r>
          </w:p>
          <w:p>
            <w:pPr>
              <w:keepNext w:val="0"/>
              <w:keepLines w:val="0"/>
              <w:pageBreakBefore w:val="0"/>
              <w:widowControl w:val="0"/>
              <w:kinsoku/>
              <w:wordWrap/>
              <w:overflowPunct/>
              <w:topLinePunct w:val="0"/>
              <w:autoSpaceDE/>
              <w:autoSpaceDN/>
              <w:bidi w:val="0"/>
              <w:adjustRightInd/>
              <w:snapToGrid/>
              <w:spacing w:line="500" w:lineRule="exact"/>
              <w:textAlignment w:val="auto"/>
              <w:rPr>
                <w:color w:val="auto"/>
              </w:rPr>
            </w:pPr>
            <w:r>
              <w:rPr>
                <w:rFonts w:hint="eastAsia"/>
                <w:color w:val="auto"/>
              </w:rPr>
              <w:t>2.供应商针对本项目制定的工作进度、进度计划、保障措施较严谨、较合理、可行性较高，符合本项目对时间的要求，得</w:t>
            </w:r>
            <w:r>
              <w:rPr>
                <w:rFonts w:hint="eastAsia"/>
                <w:color w:val="auto"/>
                <w:lang w:val="en-US" w:eastAsia="zh-CN"/>
              </w:rPr>
              <w:t>5</w:t>
            </w:r>
            <w:r>
              <w:rPr>
                <w:rFonts w:hint="eastAsia"/>
                <w:color w:val="auto"/>
              </w:rPr>
              <w:t xml:space="preserve">分； </w:t>
            </w:r>
          </w:p>
          <w:p>
            <w:pPr>
              <w:keepNext w:val="0"/>
              <w:keepLines w:val="0"/>
              <w:pageBreakBefore w:val="0"/>
              <w:widowControl w:val="0"/>
              <w:kinsoku/>
              <w:wordWrap/>
              <w:overflowPunct/>
              <w:topLinePunct w:val="0"/>
              <w:autoSpaceDE/>
              <w:autoSpaceDN/>
              <w:bidi w:val="0"/>
              <w:adjustRightInd/>
              <w:snapToGrid/>
              <w:spacing w:line="500" w:lineRule="exact"/>
              <w:textAlignment w:val="auto"/>
              <w:rPr>
                <w:color w:val="auto"/>
              </w:rPr>
            </w:pPr>
            <w:r>
              <w:rPr>
                <w:rFonts w:hint="eastAsia"/>
                <w:color w:val="auto"/>
              </w:rPr>
              <w:t>3.供应商针对本项目制定的工作进度、进度计划、保障措施合理性、可行性一般，符合本项目对时间的要求，得</w:t>
            </w:r>
            <w:r>
              <w:rPr>
                <w:rFonts w:hint="eastAsia"/>
                <w:color w:val="auto"/>
                <w:lang w:val="en-US" w:eastAsia="zh-CN"/>
              </w:rPr>
              <w:t>3</w:t>
            </w:r>
            <w:r>
              <w:rPr>
                <w:rFonts w:hint="eastAsia"/>
                <w:color w:val="auto"/>
              </w:rPr>
              <w:t>分。</w:t>
            </w:r>
          </w:p>
          <w:p>
            <w:pPr>
              <w:pStyle w:val="4"/>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color w:val="auto"/>
              </w:rPr>
            </w:pPr>
            <w:r>
              <w:rPr>
                <w:rFonts w:hint="eastAsia"/>
                <w:color w:val="auto"/>
              </w:rPr>
              <w:t>如若缺项则不得分。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111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7423" w:type="dxa"/>
            <w:noWrap w:val="0"/>
            <w:vAlign w:val="top"/>
          </w:tcPr>
          <w:p>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档案管理与数据保密措施（</w:t>
            </w:r>
            <w:r>
              <w:rPr>
                <w:rFonts w:hint="eastAsia" w:ascii="宋体" w:hAnsi="宋体" w:cs="Times New Roman"/>
                <w:color w:val="auto"/>
                <w:kern w:val="2"/>
                <w:sz w:val="21"/>
                <w:szCs w:val="21"/>
                <w:lang w:val="en-US" w:eastAsia="zh-CN" w:bidi="ar-SA"/>
              </w:rPr>
              <w:t>6</w:t>
            </w:r>
            <w:r>
              <w:rPr>
                <w:rFonts w:hint="eastAsia" w:ascii="宋体" w:hAnsi="宋体" w:eastAsia="宋体" w:cs="Times New Roman"/>
                <w:color w:val="auto"/>
                <w:kern w:val="2"/>
                <w:sz w:val="21"/>
                <w:szCs w:val="21"/>
                <w:lang w:val="en-US"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color w:val="auto"/>
                <w:lang w:val="en-US" w:eastAsia="zh-CN"/>
              </w:rPr>
            </w:pPr>
            <w:r>
              <w:rPr>
                <w:rFonts w:hint="eastAsia"/>
                <w:color w:val="auto"/>
                <w:lang w:val="en-US" w:eastAsia="zh-CN"/>
              </w:rPr>
              <w:t>供应商提供本项目的档案管理与数据保密措施，根据措施的科学性、可行性及满足招标文件要求的程度分别进行评分。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color w:val="auto"/>
                <w:lang w:val="en-US" w:eastAsia="zh-CN"/>
              </w:rPr>
            </w:pPr>
            <w:r>
              <w:rPr>
                <w:rFonts w:hint="eastAsia"/>
                <w:color w:val="auto"/>
                <w:lang w:val="en-US" w:eastAsia="zh-CN"/>
              </w:rPr>
              <w:t>（1）措施科学、严密、合理，描述详细且具有针对性的得6分；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color w:val="auto"/>
                <w:lang w:val="en-US" w:eastAsia="zh-CN"/>
              </w:rPr>
            </w:pPr>
            <w:r>
              <w:rPr>
                <w:rFonts w:hint="eastAsia"/>
                <w:color w:val="auto"/>
                <w:lang w:val="en-US" w:eastAsia="zh-CN"/>
              </w:rPr>
              <w:t>（2）措施较科学、严密、合理，描述较为详细的得4分；</w:t>
            </w:r>
          </w:p>
          <w:p>
            <w:pPr>
              <w:pStyle w:val="4"/>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color w:val="auto"/>
                <w:lang w:val="en-US" w:eastAsia="zh-CN"/>
              </w:rPr>
            </w:pPr>
            <w:r>
              <w:rPr>
                <w:rFonts w:hint="eastAsia"/>
                <w:color w:val="auto"/>
                <w:lang w:val="en-US" w:eastAsia="zh-CN"/>
              </w:rPr>
              <w:t>（3）措施基本合理，描述一般的得2分；</w:t>
            </w:r>
          </w:p>
          <w:p>
            <w:pPr>
              <w:rPr>
                <w:rFonts w:hint="eastAsia"/>
                <w:color w:val="auto"/>
                <w:lang w:val="en-US" w:eastAsia="zh-CN"/>
              </w:rPr>
            </w:pPr>
            <w:r>
              <w:rPr>
                <w:rFonts w:hint="eastAsia" w:ascii="宋体" w:hAnsi="宋体"/>
                <w:color w:val="auto"/>
                <w:szCs w:val="21"/>
              </w:rPr>
              <w:t>如若缺项则不得分。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111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7423" w:type="dxa"/>
            <w:noWrap w:val="0"/>
            <w:vAlign w:val="top"/>
          </w:tcPr>
          <w:p>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后续服务方案（</w:t>
            </w:r>
            <w:r>
              <w:rPr>
                <w:rFonts w:hint="eastAsia" w:ascii="宋体" w:hAnsi="宋体" w:cs="Times New Roman"/>
                <w:color w:val="auto"/>
                <w:kern w:val="2"/>
                <w:sz w:val="21"/>
                <w:szCs w:val="21"/>
                <w:highlight w:val="none"/>
                <w:lang w:val="en-US" w:eastAsia="zh-CN" w:bidi="ar-SA"/>
              </w:rPr>
              <w:t>6</w:t>
            </w:r>
            <w:r>
              <w:rPr>
                <w:rFonts w:hint="eastAsia" w:ascii="宋体" w:hAnsi="宋体" w:eastAsia="宋体" w:cs="Times New Roman"/>
                <w:color w:val="auto"/>
                <w:kern w:val="2"/>
                <w:sz w:val="21"/>
                <w:szCs w:val="21"/>
                <w:lang w:val="en-US"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（1）后续服务计划详尽、合理，响应速度快，承诺针对本项目提供及时、专业化的后续服务的，得</w:t>
            </w:r>
            <w:r>
              <w:rPr>
                <w:rFonts w:hint="eastAsia" w:ascii="宋体" w:hAnsi="宋体" w:cs="Times New Roman"/>
                <w:color w:val="auto"/>
                <w:kern w:val="2"/>
                <w:sz w:val="21"/>
                <w:szCs w:val="21"/>
                <w:lang w:val="en-US" w:eastAsia="zh-CN" w:bidi="ar-SA"/>
              </w:rPr>
              <w:t>6</w:t>
            </w:r>
            <w:r>
              <w:rPr>
                <w:rFonts w:hint="eastAsia" w:ascii="宋体" w:hAnsi="宋体" w:eastAsia="宋体" w:cs="Times New Roman"/>
                <w:color w:val="auto"/>
                <w:kern w:val="2"/>
                <w:sz w:val="21"/>
                <w:szCs w:val="21"/>
                <w:lang w:val="en-US"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（2）后续服务计划比较详尽、合理，响应速度较快，承诺针对本项目提供较为及时、专业化的后续服务的，得</w:t>
            </w:r>
            <w:r>
              <w:rPr>
                <w:rFonts w:hint="eastAsia" w:ascii="宋体" w:hAnsi="宋体" w:cs="Times New Roman"/>
                <w:color w:val="auto"/>
                <w:kern w:val="2"/>
                <w:sz w:val="21"/>
                <w:szCs w:val="21"/>
                <w:lang w:val="en-US" w:eastAsia="zh-CN" w:bidi="ar-SA"/>
              </w:rPr>
              <w:t>4</w:t>
            </w:r>
            <w:r>
              <w:rPr>
                <w:rFonts w:hint="eastAsia" w:ascii="宋体" w:hAnsi="宋体" w:eastAsia="宋体" w:cs="Times New Roman"/>
                <w:color w:val="auto"/>
                <w:kern w:val="2"/>
                <w:sz w:val="21"/>
                <w:szCs w:val="21"/>
                <w:lang w:val="en-US" w:eastAsia="zh-CN" w:bidi="ar-SA"/>
              </w:rPr>
              <w:t>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（3）后续服务计划详尽度、合理性一般，响应速度一般，承诺针对本项目提供及时、专业化的后续服务能力一般的，得</w:t>
            </w:r>
            <w:r>
              <w:rPr>
                <w:rFonts w:hint="eastAsia" w:ascii="宋体" w:hAnsi="宋体" w:cs="Times New Roman"/>
                <w:color w:val="auto"/>
                <w:kern w:val="2"/>
                <w:sz w:val="21"/>
                <w:szCs w:val="21"/>
                <w:lang w:val="en-US" w:eastAsia="zh-CN" w:bidi="ar-SA"/>
              </w:rPr>
              <w:t>2</w:t>
            </w:r>
            <w:r>
              <w:rPr>
                <w:rFonts w:hint="eastAsia" w:ascii="宋体" w:hAnsi="宋体" w:eastAsia="宋体" w:cs="Times New Roman"/>
                <w:color w:val="auto"/>
                <w:kern w:val="2"/>
                <w:sz w:val="21"/>
                <w:szCs w:val="21"/>
                <w:lang w:val="en-US" w:eastAsia="zh-CN" w:bidi="ar-SA"/>
              </w:rPr>
              <w:t>分；</w:t>
            </w:r>
          </w:p>
          <w:p>
            <w:pPr>
              <w:pStyle w:val="4"/>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如若缺项则不得分</w:t>
            </w:r>
            <w:r>
              <w:rPr>
                <w:rFonts w:hint="eastAsia" w:ascii="宋体" w:hAnsi="宋体" w:cs="Times New Roman"/>
                <w:color w:val="auto"/>
                <w:kern w:val="2"/>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restart"/>
            <w:noWrap w:val="0"/>
            <w:vAlign w:val="center"/>
          </w:tcPr>
          <w:p>
            <w:pPr>
              <w:pStyle w:val="84"/>
              <w:spacing w:line="360" w:lineRule="auto"/>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3</w:t>
            </w:r>
          </w:p>
        </w:tc>
        <w:tc>
          <w:tcPr>
            <w:tcW w:w="1113" w:type="dxa"/>
            <w:vMerge w:val="restart"/>
            <w:noWrap w:val="0"/>
            <w:vAlign w:val="center"/>
          </w:tcPr>
          <w:p>
            <w:pPr>
              <w:pStyle w:val="84"/>
              <w:spacing w:line="360" w:lineRule="auto"/>
              <w:jc w:val="center"/>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商务部分</w:t>
            </w:r>
          </w:p>
          <w:p>
            <w:pPr>
              <w:pStyle w:val="84"/>
              <w:spacing w:line="360" w:lineRule="auto"/>
              <w:jc w:val="center"/>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（35分）</w:t>
            </w:r>
          </w:p>
        </w:tc>
        <w:tc>
          <w:tcPr>
            <w:tcW w:w="7423" w:type="dxa"/>
            <w:noWrap w:val="0"/>
            <w:vAlign w:val="top"/>
          </w:tcPr>
          <w:p>
            <w:pPr>
              <w:spacing w:line="500" w:lineRule="exact"/>
              <w:ind w:firstLine="420" w:firstLineChars="200"/>
              <w:rPr>
                <w:rFonts w:ascii="宋体" w:hAnsi="宋体"/>
                <w:color w:val="auto"/>
                <w:szCs w:val="21"/>
              </w:rPr>
            </w:pPr>
            <w:r>
              <w:rPr>
                <w:rFonts w:hint="eastAsia" w:ascii="宋体" w:hAnsi="宋体"/>
                <w:color w:val="auto"/>
                <w:szCs w:val="21"/>
              </w:rPr>
              <w:t>供应商实力（</w:t>
            </w:r>
            <w:r>
              <w:rPr>
                <w:rFonts w:hint="eastAsia" w:ascii="宋体" w:hAnsi="宋体"/>
                <w:color w:val="auto"/>
                <w:szCs w:val="21"/>
                <w:lang w:val="en-US" w:eastAsia="zh-CN"/>
              </w:rPr>
              <w:t>12</w:t>
            </w:r>
            <w:r>
              <w:rPr>
                <w:rFonts w:hint="eastAsia" w:ascii="宋体" w:hAnsi="宋体"/>
                <w:color w:val="auto"/>
                <w:szCs w:val="21"/>
              </w:rPr>
              <w:t>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olor w:val="auto"/>
                <w:szCs w:val="21"/>
                <w:lang w:eastAsia="zh-CN"/>
              </w:rPr>
            </w:pPr>
            <w:r>
              <w:rPr>
                <w:rFonts w:hint="eastAsia" w:ascii="宋体" w:hAnsi="宋体"/>
                <w:color w:val="auto"/>
                <w:szCs w:val="21"/>
              </w:rPr>
              <w:t>（1）供应商具有ISO9001质量管理体系认证、ISO45001职业健康安全管理体系认证、ISO/IEC20000服务管理体系认证、ISO27001信息安全管理体系认证、GB/T27922-2011商品售后服务评价体系认证，每一个得2分，最高得10分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auto"/>
                <w:szCs w:val="21"/>
                <w:lang w:eastAsia="zh-CN"/>
              </w:rPr>
            </w:pPr>
            <w:r>
              <w:rPr>
                <w:rFonts w:hint="eastAsia" w:ascii="宋体" w:hAnsi="宋体"/>
                <w:color w:val="auto"/>
                <w:szCs w:val="21"/>
              </w:rPr>
              <w:t>（2）供应商具有信用等级AAA的得</w:t>
            </w:r>
            <w:r>
              <w:rPr>
                <w:rFonts w:hint="eastAsia" w:ascii="宋体" w:hAnsi="宋体"/>
                <w:color w:val="auto"/>
                <w:szCs w:val="21"/>
                <w:lang w:val="en-US" w:eastAsia="zh-CN"/>
              </w:rPr>
              <w:t>2</w:t>
            </w:r>
            <w:r>
              <w:rPr>
                <w:rFonts w:hint="eastAsia" w:ascii="宋体" w:hAnsi="宋体"/>
                <w:color w:val="auto"/>
                <w:szCs w:val="21"/>
              </w:rPr>
              <w:t>分</w:t>
            </w:r>
            <w:r>
              <w:rPr>
                <w:rFonts w:hint="eastAsia" w:ascii="宋体" w:hAnsi="宋体"/>
                <w:color w:val="auto"/>
                <w:szCs w:val="21"/>
                <w:lang w:eastAsia="zh-CN"/>
              </w:rPr>
              <w:t>；</w:t>
            </w:r>
            <w:r>
              <w:rPr>
                <w:rFonts w:hint="eastAsia" w:ascii="宋体" w:hAnsi="宋体"/>
                <w:color w:val="auto"/>
                <w:szCs w:val="21"/>
              </w:rPr>
              <w:t>信用等级AA</w:t>
            </w:r>
            <w:r>
              <w:rPr>
                <w:rFonts w:hint="eastAsia" w:ascii="宋体" w:hAnsi="宋体"/>
                <w:color w:val="auto"/>
                <w:szCs w:val="21"/>
                <w:lang w:eastAsia="zh-CN"/>
              </w:rPr>
              <w:t>及以下</w:t>
            </w:r>
            <w:r>
              <w:rPr>
                <w:rFonts w:hint="eastAsia" w:ascii="宋体" w:hAnsi="宋体"/>
                <w:color w:val="auto"/>
                <w:szCs w:val="21"/>
              </w:rPr>
              <w:t>的得</w:t>
            </w:r>
            <w:r>
              <w:rPr>
                <w:rFonts w:hint="eastAsia" w:ascii="宋体" w:hAnsi="宋体"/>
                <w:color w:val="auto"/>
                <w:szCs w:val="21"/>
                <w:lang w:val="en-US" w:eastAsia="zh-CN"/>
              </w:rPr>
              <w:t>1</w:t>
            </w:r>
            <w:r>
              <w:rPr>
                <w:rFonts w:hint="eastAsia" w:ascii="宋体" w:hAnsi="宋体"/>
                <w:color w:val="auto"/>
                <w:szCs w:val="21"/>
              </w:rPr>
              <w:t>分</w:t>
            </w:r>
            <w:r>
              <w:rPr>
                <w:rFonts w:hint="eastAsia" w:ascii="宋体" w:hAnsi="宋体"/>
                <w:color w:val="auto"/>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宋体" w:hAnsi="宋体" w:eastAsia="宋体" w:cs="Times New Roman"/>
                <w:color w:val="auto"/>
                <w:sz w:val="21"/>
                <w:szCs w:val="21"/>
                <w:lang w:val="en-US" w:eastAsia="zh-CN"/>
              </w:rPr>
            </w:pPr>
            <w:r>
              <w:rPr>
                <w:rFonts w:hint="eastAsia" w:ascii="宋体" w:hAnsi="宋体" w:eastAsia="宋体" w:cs="Times New Roman"/>
                <w:color w:val="auto"/>
                <w:sz w:val="21"/>
                <w:szCs w:val="21"/>
                <w:lang w:eastAsia="zh-CN"/>
              </w:rPr>
              <w:t>注：</w:t>
            </w:r>
            <w:r>
              <w:rPr>
                <w:rFonts w:hint="eastAsia" w:ascii="宋体" w:hAnsi="宋体" w:eastAsia="宋体" w:cs="Times New Roman"/>
                <w:color w:val="auto"/>
                <w:sz w:val="21"/>
                <w:szCs w:val="21"/>
                <w:lang w:val="en-US" w:eastAsia="zh-CN"/>
              </w:rPr>
              <w:t>以上（1）、（2）项</w:t>
            </w:r>
            <w:r>
              <w:rPr>
                <w:rFonts w:hint="eastAsia" w:ascii="宋体" w:hAnsi="宋体" w:eastAsia="宋体" w:cs="Times New Roman"/>
                <w:color w:val="auto"/>
                <w:sz w:val="21"/>
                <w:szCs w:val="21"/>
                <w:lang w:eastAsia="zh-CN"/>
              </w:rPr>
              <w:t>需提供证书原件扫描件，并加盖</w:t>
            </w:r>
            <w:r>
              <w:rPr>
                <w:rFonts w:hint="eastAsia" w:ascii="宋体" w:hAnsi="宋体" w:cs="Times New Roman"/>
                <w:color w:val="auto"/>
                <w:sz w:val="21"/>
                <w:szCs w:val="21"/>
                <w:lang w:eastAsia="zh-CN"/>
              </w:rPr>
              <w:t>供应商</w:t>
            </w:r>
            <w:r>
              <w:rPr>
                <w:rFonts w:hint="eastAsia" w:ascii="宋体" w:hAnsi="宋体" w:eastAsia="宋体" w:cs="Times New Roman"/>
                <w:color w:val="auto"/>
                <w:sz w:val="21"/>
                <w:szCs w:val="21"/>
                <w:lang w:eastAsia="zh-CN"/>
              </w:rPr>
              <w:t>公章。不提供不得分。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111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7423" w:type="dxa"/>
            <w:noWrap w:val="0"/>
            <w:vAlign w:val="top"/>
          </w:tcPr>
          <w:p>
            <w:pPr>
              <w:pStyle w:val="8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类似业绩（</w:t>
            </w:r>
            <w:r>
              <w:rPr>
                <w:rFonts w:hint="eastAsia" w:ascii="宋体" w:hAnsi="宋体" w:cs="Times New Roman"/>
                <w:color w:val="auto"/>
                <w:kern w:val="2"/>
                <w:sz w:val="21"/>
                <w:szCs w:val="21"/>
                <w:lang w:val="en-US" w:eastAsia="zh-CN" w:bidi="ar-SA"/>
              </w:rPr>
              <w:t>9</w:t>
            </w:r>
            <w:r>
              <w:rPr>
                <w:rFonts w:hint="eastAsia" w:ascii="宋体" w:hAnsi="宋体" w:eastAsia="宋体" w:cs="Times New Roman"/>
                <w:color w:val="auto"/>
                <w:kern w:val="2"/>
                <w:sz w:val="21"/>
                <w:szCs w:val="21"/>
                <w:lang w:val="en-US" w:eastAsia="zh-CN" w:bidi="ar-SA"/>
              </w:rPr>
              <w:t>分）</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color w:val="auto"/>
                <w:szCs w:val="21"/>
                <w:lang w:eastAsia="zh-CN"/>
              </w:rPr>
            </w:pPr>
            <w:r>
              <w:rPr>
                <w:rFonts w:hint="eastAsia" w:ascii="宋体" w:hAnsi="宋体"/>
                <w:color w:val="auto"/>
                <w:szCs w:val="21"/>
              </w:rPr>
              <w:t>（</w:t>
            </w:r>
            <w:r>
              <w:rPr>
                <w:rFonts w:ascii="宋体" w:hAnsi="宋体"/>
                <w:color w:val="auto"/>
                <w:szCs w:val="21"/>
              </w:rPr>
              <w:t>1</w:t>
            </w:r>
            <w:r>
              <w:rPr>
                <w:rFonts w:hint="eastAsia" w:ascii="宋体" w:hAnsi="宋体"/>
                <w:color w:val="auto"/>
                <w:szCs w:val="21"/>
              </w:rPr>
              <w:t>）</w:t>
            </w:r>
            <w:r>
              <w:rPr>
                <w:rFonts w:hint="eastAsia" w:ascii="宋体" w:hAnsi="宋体"/>
                <w:color w:val="auto"/>
                <w:szCs w:val="21"/>
                <w:lang w:val="en-US" w:eastAsia="zh-CN"/>
              </w:rPr>
              <w:t>2020年1月1日起供应商具有与本项目内容相近或相类似服务业绩的，供应商每提供一份相近或相类似业绩得1.5分</w:t>
            </w:r>
            <w:r>
              <w:rPr>
                <w:rFonts w:hint="eastAsia" w:ascii="宋体" w:hAnsi="宋体"/>
                <w:color w:val="auto"/>
                <w:szCs w:val="21"/>
              </w:rPr>
              <w:t>，最多得</w:t>
            </w:r>
            <w:r>
              <w:rPr>
                <w:rFonts w:hint="eastAsia" w:ascii="宋体" w:hAnsi="宋体"/>
                <w:color w:val="auto"/>
                <w:szCs w:val="21"/>
                <w:lang w:val="en-US" w:eastAsia="zh-CN"/>
              </w:rPr>
              <w:t>9</w:t>
            </w:r>
            <w:r>
              <w:rPr>
                <w:rFonts w:hint="eastAsia" w:ascii="宋体" w:hAnsi="宋体"/>
                <w:color w:val="auto"/>
                <w:szCs w:val="21"/>
              </w:rPr>
              <w:t>分</w:t>
            </w:r>
            <w:r>
              <w:rPr>
                <w:rFonts w:hint="eastAsia" w:ascii="宋体" w:hAnsi="宋体"/>
                <w:color w:val="auto"/>
                <w:szCs w:val="21"/>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Times New Roman"/>
                <w:color w:val="auto"/>
                <w:kern w:val="2"/>
                <w:sz w:val="21"/>
                <w:szCs w:val="21"/>
                <w:lang w:val="en-US" w:eastAsia="zh-CN" w:bidi="ar-SA"/>
              </w:rPr>
            </w:pPr>
            <w:r>
              <w:rPr>
                <w:rFonts w:hint="eastAsia" w:ascii="宋体" w:hAnsi="宋体"/>
                <w:color w:val="auto"/>
                <w:sz w:val="21"/>
                <w:szCs w:val="21"/>
              </w:rPr>
              <w:t>注：响应性文件中提供中标通知书和合同原件扫描件并加供应商公章。如若缺项或不提供则不得分</w:t>
            </w:r>
            <w:r>
              <w:rPr>
                <w:rFonts w:hint="eastAsia" w:ascii="宋体" w:hAnsi="宋体" w:eastAsia="宋体" w:cs="Times New Roman"/>
                <w:color w:val="auto"/>
                <w:kern w:val="2"/>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111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7423" w:type="dxa"/>
            <w:noWrap w:val="0"/>
            <w:vAlign w:val="top"/>
          </w:tcPr>
          <w:p>
            <w:pPr>
              <w:pStyle w:val="8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 w:val="21"/>
                <w:szCs w:val="21"/>
              </w:rPr>
            </w:pPr>
            <w:r>
              <w:rPr>
                <w:rFonts w:hint="eastAsia" w:ascii="宋体" w:hAnsi="宋体"/>
                <w:color w:val="auto"/>
                <w:sz w:val="21"/>
                <w:szCs w:val="21"/>
              </w:rPr>
              <w:t>人员配置（</w:t>
            </w:r>
            <w:r>
              <w:rPr>
                <w:rFonts w:ascii="宋体" w:hAnsi="宋体"/>
                <w:color w:val="auto"/>
                <w:sz w:val="21"/>
                <w:szCs w:val="21"/>
              </w:rPr>
              <w:t>12</w:t>
            </w:r>
            <w:r>
              <w:rPr>
                <w:rFonts w:hint="eastAsia" w:ascii="宋体" w:hAnsi="宋体"/>
                <w:color w:val="auto"/>
                <w:sz w:val="21"/>
                <w:szCs w:val="21"/>
              </w:rPr>
              <w:t>分）</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olor w:val="auto"/>
                <w:szCs w:val="21"/>
                <w:lang w:eastAsia="zh-CN"/>
              </w:rPr>
            </w:pPr>
            <w:r>
              <w:rPr>
                <w:rFonts w:hint="eastAsia" w:ascii="宋体" w:hAnsi="宋体"/>
                <w:color w:val="auto"/>
                <w:szCs w:val="21"/>
              </w:rPr>
              <w:t>（1）项目经理：供应商拟派项目经理需具有高级职称、高级信息系统项目管理师；条件全部具备得 3分，缺项不得分；（提供供应商为其缴纳社会保险的证明材料及相关证书扫描件）</w:t>
            </w:r>
            <w:r>
              <w:rPr>
                <w:rFonts w:hint="eastAsia" w:ascii="宋体" w:hAnsi="宋体"/>
                <w:color w:val="auto"/>
                <w:szCs w:val="21"/>
                <w:lang w:eastAsia="zh-CN"/>
              </w:rPr>
              <w:t>；</w:t>
            </w:r>
          </w:p>
          <w:p>
            <w:pPr>
              <w:pStyle w:val="3"/>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olor w:val="auto"/>
                <w:szCs w:val="21"/>
                <w:lang w:eastAsia="zh-CN"/>
              </w:rPr>
            </w:pPr>
            <w:r>
              <w:rPr>
                <w:rFonts w:hint="eastAsia" w:ascii="宋体" w:hAnsi="宋体"/>
                <w:color w:val="auto"/>
                <w:szCs w:val="21"/>
              </w:rPr>
              <w:t>（2）项目技术负责人：供应商拟派项目技术负责人需具有农业类高级职称</w:t>
            </w:r>
            <w:r>
              <w:rPr>
                <w:rFonts w:hint="eastAsia" w:ascii="宋体" w:hAnsi="宋体"/>
                <w:color w:val="auto"/>
                <w:szCs w:val="21"/>
                <w:lang w:eastAsia="zh-CN"/>
              </w:rPr>
              <w:t>的</w:t>
            </w:r>
            <w:r>
              <w:rPr>
                <w:rFonts w:hint="eastAsia" w:ascii="宋体" w:hAnsi="宋体"/>
                <w:color w:val="auto"/>
                <w:szCs w:val="21"/>
              </w:rPr>
              <w:t>得3分</w:t>
            </w:r>
            <w:r>
              <w:rPr>
                <w:rFonts w:hint="eastAsia" w:ascii="宋体" w:hAnsi="宋体"/>
                <w:color w:val="auto"/>
                <w:szCs w:val="21"/>
                <w:lang w:eastAsia="zh-CN"/>
              </w:rPr>
              <w:t>；</w:t>
            </w:r>
            <w:r>
              <w:rPr>
                <w:rFonts w:hint="eastAsia" w:ascii="宋体" w:hAnsi="宋体"/>
                <w:color w:val="auto"/>
                <w:szCs w:val="21"/>
              </w:rPr>
              <w:t xml:space="preserve"> (提供供应商为其缴纳社会保险的证明材料及相关证书扫描件）</w:t>
            </w:r>
            <w:r>
              <w:rPr>
                <w:rFonts w:hint="eastAsia" w:ascii="宋体" w:hAnsi="宋体"/>
                <w:color w:val="auto"/>
                <w:szCs w:val="21"/>
                <w:lang w:eastAsia="zh-CN"/>
              </w:rPr>
              <w:t>；</w:t>
            </w:r>
          </w:p>
          <w:p>
            <w:pPr>
              <w:pStyle w:val="84"/>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olor w:val="auto"/>
                <w:sz w:val="21"/>
                <w:szCs w:val="21"/>
                <w:lang w:eastAsia="zh-CN"/>
              </w:rPr>
            </w:pPr>
            <w:r>
              <w:rPr>
                <w:rFonts w:hint="eastAsia" w:ascii="宋体" w:hAnsi="宋体"/>
                <w:color w:val="auto"/>
                <w:sz w:val="21"/>
                <w:szCs w:val="21"/>
              </w:rPr>
              <w:t>（3）项目团队其他成员：工作团队除项目经理及项目技术负责人外，其他专业技术人员每具有1名土壤类、地质类、农业类</w:t>
            </w:r>
            <w:r>
              <w:rPr>
                <w:rFonts w:hint="eastAsia" w:ascii="宋体" w:hAnsi="宋体"/>
                <w:color w:val="auto"/>
                <w:sz w:val="21"/>
                <w:szCs w:val="21"/>
                <w:lang w:eastAsia="zh-CN"/>
              </w:rPr>
              <w:t>或</w:t>
            </w:r>
            <w:r>
              <w:rPr>
                <w:rFonts w:hint="eastAsia" w:ascii="宋体" w:hAnsi="宋体"/>
                <w:color w:val="auto"/>
                <w:sz w:val="21"/>
                <w:szCs w:val="21"/>
              </w:rPr>
              <w:t>土地资源类等</w:t>
            </w:r>
            <w:r>
              <w:rPr>
                <w:rFonts w:hint="eastAsia" w:ascii="宋体" w:hAnsi="宋体"/>
                <w:color w:val="auto"/>
                <w:sz w:val="21"/>
                <w:szCs w:val="21"/>
                <w:lang w:eastAsia="zh-CN"/>
              </w:rPr>
              <w:t>与本项目</w:t>
            </w:r>
            <w:r>
              <w:rPr>
                <w:rFonts w:hint="eastAsia" w:ascii="宋体" w:hAnsi="宋体"/>
                <w:color w:val="auto"/>
                <w:sz w:val="21"/>
                <w:szCs w:val="21"/>
              </w:rPr>
              <w:t>相关的专业学位证书得1分，最高得6分，不提供不得分</w:t>
            </w:r>
            <w:r>
              <w:rPr>
                <w:rFonts w:hint="eastAsia" w:ascii="宋体" w:hAnsi="宋体"/>
                <w:color w:val="auto"/>
                <w:sz w:val="21"/>
                <w:szCs w:val="21"/>
                <w:lang w:eastAsia="zh-CN"/>
              </w:rPr>
              <w:t>。</w:t>
            </w:r>
          </w:p>
          <w:p>
            <w:pPr>
              <w:pStyle w:val="84"/>
              <w:spacing w:line="360" w:lineRule="auto"/>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（需提供相关毕业证书或职称证书原件扫描件）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1113" w:type="dxa"/>
            <w:vMerge w:val="continue"/>
            <w:noWrap w:val="0"/>
            <w:vAlign w:val="center"/>
          </w:tcPr>
          <w:p>
            <w:pPr>
              <w:pStyle w:val="84"/>
              <w:spacing w:line="360" w:lineRule="auto"/>
              <w:jc w:val="center"/>
              <w:rPr>
                <w:rFonts w:hint="eastAsia" w:ascii="宋体" w:hAnsi="宋体" w:cs="宋体"/>
                <w:color w:val="auto"/>
                <w:sz w:val="21"/>
                <w:szCs w:val="21"/>
                <w:lang w:val="en-US" w:eastAsia="zh-CN"/>
              </w:rPr>
            </w:pPr>
          </w:p>
        </w:tc>
        <w:tc>
          <w:tcPr>
            <w:tcW w:w="7423" w:type="dxa"/>
            <w:noWrap w:val="0"/>
            <w:vAlign w:val="top"/>
          </w:tcPr>
          <w:p>
            <w:pPr>
              <w:spacing w:line="500" w:lineRule="exact"/>
              <w:ind w:firstLine="420" w:firstLineChars="200"/>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物资装备（</w:t>
            </w:r>
            <w:r>
              <w:rPr>
                <w:rFonts w:hint="eastAsia" w:ascii="宋体" w:hAnsi="宋体" w:cs="Times New Roman"/>
                <w:color w:val="auto"/>
                <w:kern w:val="2"/>
                <w:sz w:val="21"/>
                <w:szCs w:val="21"/>
                <w:lang w:val="en-US" w:eastAsia="zh-CN" w:bidi="ar-SA"/>
              </w:rPr>
              <w:t>2</w:t>
            </w:r>
            <w:r>
              <w:rPr>
                <w:rFonts w:hint="eastAsia" w:ascii="宋体" w:hAnsi="宋体" w:eastAsia="宋体" w:cs="Times New Roman"/>
                <w:color w:val="auto"/>
                <w:kern w:val="2"/>
                <w:sz w:val="21"/>
                <w:szCs w:val="21"/>
                <w:lang w:val="en-US" w:eastAsia="zh-CN" w:bidi="ar-SA"/>
              </w:rPr>
              <w:t>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ascii="宋体" w:hAnsi="宋体"/>
                <w:color w:val="auto"/>
                <w:szCs w:val="21"/>
              </w:rPr>
            </w:pPr>
            <w:r>
              <w:rPr>
                <w:rFonts w:hint="eastAsia" w:ascii="宋体" w:hAnsi="宋体"/>
                <w:color w:val="auto"/>
                <w:szCs w:val="21"/>
              </w:rPr>
              <w:t>供应商承诺在</w:t>
            </w:r>
            <w:r>
              <w:rPr>
                <w:rFonts w:hint="eastAsia" w:ascii="宋体" w:hAnsi="宋体"/>
                <w:color w:val="auto"/>
                <w:szCs w:val="21"/>
                <w:lang w:eastAsia="zh-CN"/>
              </w:rPr>
              <w:t>本项目</w:t>
            </w:r>
            <w:r>
              <w:rPr>
                <w:rFonts w:hint="eastAsia" w:ascii="宋体" w:hAnsi="宋体"/>
                <w:color w:val="auto"/>
                <w:szCs w:val="21"/>
              </w:rPr>
              <w:t>外业调查工作投入需要的设备物资，主要包括外业调查采样移动终端、摄录装备类、采集工具类、辅助材料类等，承诺每提供2套得1分，最高得2分。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（注:包括移动终端、摄录装备、采集工具、辅助材料所有提供为一套；需提供承诺函，不提供不得分）</w:t>
            </w:r>
            <w:r>
              <w:rPr>
                <w:rFonts w:hint="eastAsia" w:ascii="宋体" w:hAnsi="宋体" w:cs="Times New Roman"/>
                <w:color w:val="auto"/>
                <w:kern w:val="2"/>
                <w:sz w:val="21"/>
                <w:szCs w:val="21"/>
                <w:lang w:val="en-US" w:eastAsia="zh-CN" w:bidi="ar-SA"/>
              </w:rPr>
              <w:t>。</w:t>
            </w: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注：</w:t>
      </w:r>
      <w:r>
        <w:rPr>
          <w:rFonts w:hint="eastAsia" w:ascii="宋体" w:hAnsi="宋体" w:cs="宋体"/>
          <w:color w:val="auto"/>
          <w:szCs w:val="21"/>
          <w:lang w:val="en-US" w:eastAsia="zh-CN"/>
        </w:rPr>
        <w:t>1.</w:t>
      </w:r>
      <w:r>
        <w:rPr>
          <w:rFonts w:hint="eastAsia" w:ascii="宋体" w:hAnsi="宋体" w:cs="宋体"/>
          <w:color w:val="auto"/>
          <w:szCs w:val="21"/>
        </w:rPr>
        <w:t>评分办法中要求的所有证明材料均需按要求附响应文件中，否则不得分。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color w:val="auto"/>
          <w:szCs w:val="21"/>
        </w:rPr>
      </w:pPr>
      <w:r>
        <w:rPr>
          <w:rFonts w:hint="eastAsia" w:ascii="宋体" w:hAnsi="宋体" w:cs="宋体"/>
          <w:color w:val="auto"/>
          <w:szCs w:val="21"/>
          <w:lang w:val="en-US" w:eastAsia="zh-CN"/>
        </w:rPr>
        <w:t>2.</w:t>
      </w:r>
      <w:r>
        <w:rPr>
          <w:rFonts w:hint="eastAsia" w:ascii="宋体" w:hAnsi="宋体" w:cs="宋体"/>
          <w:color w:val="auto"/>
          <w:szCs w:val="21"/>
        </w:rPr>
        <w:t>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color w:val="auto"/>
          <w:szCs w:val="21"/>
        </w:rPr>
      </w:pPr>
      <w:r>
        <w:rPr>
          <w:rFonts w:hint="eastAsia" w:ascii="宋体" w:hAnsi="宋体" w:cs="宋体"/>
          <w:color w:val="auto"/>
          <w:szCs w:val="21"/>
          <w:lang w:val="en-US" w:eastAsia="zh-CN"/>
        </w:rPr>
        <w:t>3.</w:t>
      </w:r>
      <w:r>
        <w:rPr>
          <w:rFonts w:hint="eastAsia" w:ascii="宋体" w:hAnsi="宋体" w:cs="宋体"/>
          <w:color w:val="auto"/>
          <w:szCs w:val="21"/>
        </w:rPr>
        <w:t>评审时，磋商小组各成员应当独立对每个有效响应的文件进行评价、打分，然后汇总每个供应商每项评分因素的得分，取各磋商小组各成员评分的算术平均数作为供应商的评审最后得分。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color w:val="auto"/>
          <w:szCs w:val="21"/>
          <w:lang w:val="en-US" w:eastAsia="zh-CN"/>
        </w:rPr>
        <w:t>4.</w:t>
      </w:r>
      <w:r>
        <w:rPr>
          <w:rFonts w:hint="eastAsia" w:ascii="宋体" w:hAnsi="宋体" w:cs="宋体"/>
          <w:color w:val="auto"/>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w:t>
      </w:r>
      <w:r>
        <w:rPr>
          <w:rFonts w:hint="eastAsia" w:ascii="宋体" w:hAnsi="宋体" w:cs="宋体"/>
          <w:szCs w:val="21"/>
        </w:rPr>
        <w:t>按照技术指标优劣顺序推荐。</w:t>
      </w:r>
    </w:p>
    <w:p>
      <w:pPr>
        <w:pStyle w:val="4"/>
        <w:rPr>
          <w:rFonts w:hint="eastAsia" w:ascii="宋体" w:hAnsi="宋体" w:cs="宋体"/>
          <w:szCs w:val="21"/>
        </w:rPr>
      </w:pPr>
    </w:p>
    <w:bookmarkEnd w:id="78"/>
    <w:bookmarkEnd w:id="79"/>
    <w:p>
      <w:pPr>
        <w:rPr>
          <w:rFonts w:hint="eastAsia"/>
        </w:rPr>
        <w:sectPr>
          <w:pgSz w:w="11906" w:h="16838"/>
          <w:pgMar w:top="1134" w:right="1134" w:bottom="1134" w:left="1474" w:header="851" w:footer="510" w:gutter="0"/>
          <w:cols w:space="720" w:num="1"/>
          <w:docGrid w:type="lines" w:linePitch="312" w:charSpace="0"/>
        </w:sectPr>
      </w:pPr>
    </w:p>
    <w:p>
      <w:pPr>
        <w:pStyle w:val="36"/>
        <w:numPr>
          <w:ilvl w:val="0"/>
          <w:numId w:val="1"/>
        </w:numPr>
        <w:spacing w:before="0" w:after="0" w:line="360" w:lineRule="auto"/>
        <w:ind w:firstLine="0"/>
        <w:rPr>
          <w:rFonts w:hint="eastAsia" w:ascii="宋体" w:hAnsi="宋体" w:cs="宋体"/>
        </w:rPr>
      </w:pPr>
      <w:bookmarkStart w:id="82" w:name="_Toc15266"/>
      <w:bookmarkStart w:id="83" w:name="_Toc27881"/>
      <w:r>
        <w:rPr>
          <w:rFonts w:hint="eastAsia" w:ascii="宋体" w:hAnsi="宋体" w:cs="宋体"/>
        </w:rPr>
        <w:t>拟签订的合同</w:t>
      </w:r>
      <w:bookmarkStart w:id="84" w:name="_Toc374512418"/>
      <w:bookmarkStart w:id="85" w:name="_Toc153880771"/>
      <w:bookmarkStart w:id="86" w:name="_Toc373230031"/>
      <w:bookmarkStart w:id="87" w:name="_Toc218418181"/>
      <w:bookmarkStart w:id="88" w:name="_Toc214329890"/>
      <w:r>
        <w:rPr>
          <w:rFonts w:hint="eastAsia" w:ascii="宋体" w:hAnsi="宋体" w:cs="宋体"/>
        </w:rPr>
        <w:t>文本</w:t>
      </w:r>
      <w:bookmarkEnd w:id="80"/>
      <w:bookmarkEnd w:id="82"/>
      <w:bookmarkEnd w:id="83"/>
    </w:p>
    <w:p>
      <w:pPr>
        <w:pStyle w:val="24"/>
        <w:spacing w:line="440" w:lineRule="exact"/>
        <w:rPr>
          <w:rFonts w:hint="eastAsia" w:cs="宋体"/>
          <w:sz w:val="21"/>
          <w:szCs w:val="21"/>
        </w:rPr>
      </w:pPr>
    </w:p>
    <w:p>
      <w:pPr>
        <w:pStyle w:val="24"/>
        <w:spacing w:line="440" w:lineRule="exact"/>
        <w:rPr>
          <w:rFonts w:hint="eastAsia" w:cs="宋体"/>
          <w:sz w:val="21"/>
          <w:szCs w:val="21"/>
        </w:rPr>
      </w:pPr>
    </w:p>
    <w:p>
      <w:pPr>
        <w:spacing w:before="120"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注释：本《政府采购合同》格式条款仅作为双方签订合同的参考，为阐明各方的权利和义务，经协商可增加新的条款。但不得与采购文件、投标文件的实质性内容相背离。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甲方（需方）：_________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乙方（供方）：_________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经过双方友好协商，依据《中华人民共和国民法典》，双方同意签订以下合同条款，以便双方共同遵守、履行合同。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一、合同金额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合同金额为（大写）：__________元（￥_________人民币）。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二、服务范围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乙方提供以下服务：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1.__________________________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2.__________________________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三、甲方乙方的权利和义务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1.甲方的权利和义务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2.乙方的权利和义务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四、服务期限（项目完成期限）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委托服务期限自____年____月至____年____月止。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五、付款方式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六、 知识产权归属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七、 保密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八、 违约责任与赔偿损失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乙方提供的服务不符合本合同规定的，甲方有权拒收，并且乙方须向甲方方支付本合同总价__%的违约金。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2.乙方未能按本合同规定的交货时间提供服务，从逾期之日起每日按本合同总价__%的数额向甲方支付违约金；逾期半个月以上的，甲方有权终止合同，由此造成的甲方经济损失由乙方承担。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 甲方无正当理由拒收接受服务，到期拒付服务款项的，甲方向乙方偿付 本合同总的__%的违约金。甲方人逾期付款，则每日按本合同总价的__%向乙方偿付违约金。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 其它违约责任按《中华人民共和国民法典》处理。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九、 争议的解决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合同执行过程中发生的任何争议，如双方不能通过友好协商解决，按相关法律法规处理。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 不可抗力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任何一方由于不可抗力原因不能履行合同时，应在不可抗力事件结束后 __日内向对方通报，以减轻可能给对方造成的损失，在取得有关机构的不可抗力 证明或双方谅解确认后，允许延期履行或修订合同，并根据情况可部分或全部免于承担违约责任。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十一、 税费</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1.在中国境内、外发生的与本合同执行有关的一切税费均由乙方负担。</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十二、其它</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本合同所有附件、磋商文件、响应性文件、成交通知书均为合同的有效 组成部分，与本合同具有同等法律效力。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 在执行本合同的过程中，所有经双方签署确认的文件（包括会议纪要、补充协议、往来信函）即成为本合同的有效组成部分。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3.如一方地址、电话、传真号码有变更，应在变更当日内书面通知对方，否则，应承担相应责任。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4. 除甲方事先书面同意外，乙方不得部分或全部转让其应履行的合同项下的义务。</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十三、合同生效：</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1.本合同在甲乙双方法人代表或其授权代表签字盖章后生效。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2.合同一式</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份。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甲方（盖章）：                乙方（盖章）：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代表：                        代表：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签定日期： 年 月 日           签定日期： 年 月 日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签定地点：                    开户名称： </w:t>
      </w:r>
    </w:p>
    <w:p>
      <w:pPr>
        <w:pageBreakBefore w:val="0"/>
        <w:numPr>
          <w:ilvl w:val="0"/>
          <w:numId w:val="0"/>
        </w:numPr>
        <w:kinsoku/>
        <w:wordWrap/>
        <w:overflowPunct/>
        <w:topLinePunct w:val="0"/>
        <w:autoSpaceDE/>
        <w:autoSpaceDN/>
        <w:bidi w:val="0"/>
        <w:adjustRightInd/>
        <w:snapToGrid/>
        <w:spacing w:line="440" w:lineRule="exact"/>
        <w:ind w:firstLine="4080" w:firstLineChars="1700"/>
        <w:textAlignment w:val="auto"/>
        <w:outlineLvl w:val="9"/>
        <w:rPr>
          <w:rFonts w:hint="eastAsia" w:ascii="宋体" w:hAnsi="宋体" w:eastAsia="宋体" w:cs="宋体"/>
          <w:b w:val="0"/>
          <w:bCs w:val="0"/>
          <w:color w:val="auto"/>
          <w:kern w:val="0"/>
          <w:sz w:val="24"/>
          <w:szCs w:val="24"/>
          <w:lang w:val="en-US" w:eastAsia="zh-CN" w:bidi="ar-SA"/>
        </w:rPr>
      </w:pPr>
      <w:r>
        <w:rPr>
          <w:rFonts w:hint="eastAsia" w:ascii="宋体" w:hAnsi="宋体" w:eastAsia="宋体" w:cs="宋体"/>
          <w:b w:val="0"/>
          <w:bCs w:val="0"/>
          <w:color w:val="000000"/>
          <w:kern w:val="0"/>
          <w:sz w:val="24"/>
          <w:szCs w:val="24"/>
          <w:lang w:val="en-US" w:eastAsia="zh-CN" w:bidi="ar"/>
        </w:rPr>
        <w:t>银行帐号：</w:t>
      </w: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bookmarkEnd w:id="84"/>
    <w:bookmarkEnd w:id="85"/>
    <w:bookmarkEnd w:id="86"/>
    <w:bookmarkEnd w:id="87"/>
    <w:bookmarkEnd w:id="88"/>
    <w:p>
      <w:pPr>
        <w:pStyle w:val="36"/>
        <w:numPr>
          <w:ilvl w:val="0"/>
          <w:numId w:val="1"/>
        </w:numPr>
        <w:spacing w:before="0" w:after="0" w:line="360" w:lineRule="auto"/>
        <w:ind w:firstLine="0"/>
        <w:rPr>
          <w:rFonts w:hint="eastAsia" w:ascii="宋体" w:hAnsi="宋体" w:cs="宋体"/>
        </w:rPr>
      </w:pPr>
      <w:bookmarkStart w:id="89" w:name="_Toc18713"/>
      <w:bookmarkStart w:id="90" w:name="_Toc16978"/>
      <w:r>
        <w:rPr>
          <w:rFonts w:hint="eastAsia" w:ascii="宋体" w:hAnsi="宋体" w:cs="宋体"/>
        </w:rPr>
        <w:t>采购需求</w:t>
      </w:r>
      <w:bookmarkEnd w:id="81"/>
      <w:bookmarkEnd w:id="89"/>
      <w:bookmarkEnd w:id="90"/>
    </w:p>
    <w:p>
      <w:pPr>
        <w:widowControl/>
        <w:adjustRightInd w:val="0"/>
        <w:spacing w:line="360" w:lineRule="auto"/>
        <w:rPr>
          <w:rFonts w:ascii="宋体" w:hAnsi="宋体"/>
          <w:b/>
          <w:kern w:val="0"/>
          <w:sz w:val="21"/>
          <w:szCs w:val="21"/>
        </w:rPr>
      </w:pPr>
      <w:bookmarkStart w:id="91" w:name="_Toc4426"/>
      <w:bookmarkStart w:id="92" w:name="_Toc20594"/>
      <w:bookmarkStart w:id="93" w:name="_Toc374512420"/>
      <w:bookmarkStart w:id="94" w:name="_Toc487805927"/>
      <w:bookmarkStart w:id="95" w:name="_Toc373230032"/>
      <w:bookmarkStart w:id="96" w:name="_Toc477423251"/>
      <w:bookmarkStart w:id="97" w:name="_Toc11229"/>
      <w:r>
        <w:rPr>
          <w:rFonts w:hint="eastAsia" w:ascii="宋体" w:hAnsi="宋体"/>
          <w:b/>
          <w:kern w:val="0"/>
          <w:sz w:val="21"/>
          <w:szCs w:val="21"/>
        </w:rPr>
        <w:t>一、</w:t>
      </w:r>
      <w:r>
        <w:rPr>
          <w:rFonts w:ascii="宋体" w:hAnsi="宋体"/>
          <w:b/>
          <w:kern w:val="0"/>
          <w:sz w:val="21"/>
          <w:szCs w:val="21"/>
        </w:rPr>
        <w:t>相关说明</w:t>
      </w:r>
    </w:p>
    <w:p>
      <w:pPr>
        <w:widowControl/>
        <w:numPr>
          <w:ilvl w:val="2"/>
          <w:numId w:val="12"/>
        </w:numPr>
        <w:adjustRightInd w:val="0"/>
        <w:spacing w:line="360" w:lineRule="auto"/>
        <w:ind w:firstLine="480" w:firstLineChars="200"/>
        <w:jc w:val="left"/>
        <w:rPr>
          <w:rFonts w:hint="eastAsia" w:ascii="宋体" w:hAnsi="宋体"/>
          <w:kern w:val="0"/>
          <w:sz w:val="24"/>
          <w:szCs w:val="24"/>
        </w:rPr>
      </w:pPr>
      <w:r>
        <w:rPr>
          <w:rFonts w:hint="eastAsia" w:ascii="宋体" w:hAnsi="宋体"/>
          <w:kern w:val="0"/>
          <w:sz w:val="24"/>
          <w:szCs w:val="24"/>
        </w:rPr>
        <w:t>本次采购内容如果要求的某些技术标准低于国家标准，均以最新的国家标准为准。</w:t>
      </w:r>
      <w:r>
        <w:rPr>
          <w:rFonts w:hint="eastAsia" w:ascii="宋体" w:hAnsi="宋体"/>
          <w:kern w:val="0"/>
          <w:sz w:val="24"/>
          <w:szCs w:val="24"/>
          <w:lang w:eastAsia="zh-CN"/>
        </w:rPr>
        <w:t>采购</w:t>
      </w:r>
      <w:r>
        <w:rPr>
          <w:rFonts w:hint="eastAsia" w:ascii="宋体" w:hAnsi="宋体"/>
          <w:kern w:val="0"/>
          <w:sz w:val="24"/>
          <w:szCs w:val="24"/>
        </w:rPr>
        <w:t>技术要求中未明确的技术标准也均不得低于国家标准；</w:t>
      </w:r>
    </w:p>
    <w:p>
      <w:pPr>
        <w:widowControl/>
        <w:numPr>
          <w:ilvl w:val="2"/>
          <w:numId w:val="12"/>
        </w:numPr>
        <w:adjustRightInd w:val="0"/>
        <w:spacing w:line="360" w:lineRule="auto"/>
        <w:ind w:firstLine="480" w:firstLineChars="200"/>
        <w:jc w:val="left"/>
        <w:rPr>
          <w:rFonts w:hint="eastAsia" w:ascii="宋体" w:hAnsi="宋体"/>
          <w:kern w:val="0"/>
          <w:sz w:val="24"/>
          <w:szCs w:val="24"/>
        </w:rPr>
      </w:pPr>
      <w:r>
        <w:rPr>
          <w:rFonts w:ascii="宋体" w:hAnsi="宋体"/>
          <w:kern w:val="0"/>
          <w:sz w:val="24"/>
          <w:szCs w:val="24"/>
        </w:rPr>
        <w:t>本采购项目为交钥匙项目，</w:t>
      </w:r>
      <w:r>
        <w:rPr>
          <w:rFonts w:hint="eastAsia" w:ascii="宋体" w:hAnsi="宋体"/>
          <w:kern w:val="0"/>
          <w:sz w:val="24"/>
          <w:szCs w:val="24"/>
        </w:rPr>
        <w:t>验收合格前</w:t>
      </w:r>
      <w:r>
        <w:rPr>
          <w:rFonts w:ascii="宋体" w:hAnsi="宋体"/>
          <w:kern w:val="0"/>
          <w:sz w:val="24"/>
          <w:szCs w:val="24"/>
        </w:rPr>
        <w:t>所需的一切费用</w:t>
      </w:r>
      <w:r>
        <w:rPr>
          <w:rFonts w:hint="eastAsia" w:ascii="宋体" w:hAnsi="宋体"/>
          <w:kern w:val="0"/>
          <w:sz w:val="24"/>
          <w:szCs w:val="24"/>
        </w:rPr>
        <w:t>均</w:t>
      </w:r>
      <w:r>
        <w:rPr>
          <w:rFonts w:ascii="宋体" w:hAnsi="宋体"/>
          <w:kern w:val="0"/>
          <w:sz w:val="24"/>
          <w:szCs w:val="24"/>
        </w:rPr>
        <w:t>包含在报价之中，采购人不</w:t>
      </w:r>
      <w:r>
        <w:rPr>
          <w:rFonts w:hint="eastAsia" w:ascii="宋体" w:hAnsi="宋体"/>
          <w:kern w:val="0"/>
          <w:sz w:val="24"/>
          <w:szCs w:val="24"/>
        </w:rPr>
        <w:t>承担成交价格以外的</w:t>
      </w:r>
      <w:r>
        <w:rPr>
          <w:rFonts w:ascii="宋体" w:hAnsi="宋体"/>
          <w:kern w:val="0"/>
          <w:sz w:val="24"/>
          <w:szCs w:val="24"/>
        </w:rPr>
        <w:t>任何费用。</w:t>
      </w:r>
    </w:p>
    <w:p>
      <w:pPr>
        <w:widowControl/>
        <w:adjustRightInd w:val="0"/>
        <w:spacing w:line="360" w:lineRule="auto"/>
        <w:rPr>
          <w:rFonts w:hint="eastAsia" w:ascii="宋体" w:hAnsi="宋体"/>
          <w:b/>
          <w:kern w:val="0"/>
          <w:sz w:val="24"/>
          <w:szCs w:val="24"/>
        </w:rPr>
      </w:pPr>
      <w:r>
        <w:rPr>
          <w:rFonts w:hint="eastAsia" w:ascii="宋体" w:hAnsi="宋体"/>
          <w:b/>
          <w:kern w:val="0"/>
          <w:sz w:val="24"/>
          <w:szCs w:val="24"/>
        </w:rPr>
        <w:t xml:space="preserve">二、商务要求： </w:t>
      </w:r>
    </w:p>
    <w:p>
      <w:pPr>
        <w:pStyle w:val="2"/>
        <w:numPr>
          <w:ilvl w:val="2"/>
          <w:numId w:val="13"/>
        </w:numPr>
        <w:spacing w:line="360" w:lineRule="auto"/>
        <w:ind w:left="0" w:leftChars="0"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合同履行期限：</w:t>
      </w:r>
      <w:r>
        <w:rPr>
          <w:rFonts w:hint="eastAsia" w:ascii="Times New Roman" w:hAnsi="Times New Roman" w:cs="Times New Roman"/>
          <w:sz w:val="24"/>
          <w:szCs w:val="24"/>
          <w:lang w:val="en-US" w:eastAsia="zh-CN"/>
        </w:rPr>
        <w:t>90日历天。</w:t>
      </w:r>
    </w:p>
    <w:p>
      <w:pPr>
        <w:pStyle w:val="2"/>
        <w:numPr>
          <w:ilvl w:val="2"/>
          <w:numId w:val="13"/>
        </w:numPr>
        <w:spacing w:line="360" w:lineRule="auto"/>
        <w:ind w:left="0" w:leftChars="0"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eastAsia="zh-CN"/>
        </w:rPr>
        <w:t>服务</w:t>
      </w:r>
      <w:r>
        <w:rPr>
          <w:rFonts w:hint="eastAsia" w:ascii="Times New Roman" w:hAnsi="Times New Roman" w:cs="Times New Roman"/>
          <w:sz w:val="24"/>
          <w:szCs w:val="24"/>
        </w:rPr>
        <w:t>地点：</w:t>
      </w:r>
      <w:r>
        <w:rPr>
          <w:rFonts w:hint="eastAsia" w:ascii="Times New Roman" w:hAnsi="Times New Roman" w:cs="Times New Roman"/>
          <w:sz w:val="24"/>
          <w:szCs w:val="24"/>
          <w:lang w:val="en-US" w:eastAsia="zh-CN"/>
        </w:rPr>
        <w:t>武陟县辖区内。</w:t>
      </w:r>
    </w:p>
    <w:p>
      <w:pPr>
        <w:pStyle w:val="2"/>
        <w:numPr>
          <w:ilvl w:val="2"/>
          <w:numId w:val="13"/>
        </w:numPr>
        <w:spacing w:line="360" w:lineRule="auto"/>
        <w:ind w:left="0" w:leftChars="0"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质量标准：</w:t>
      </w:r>
      <w:r>
        <w:rPr>
          <w:rFonts w:hint="eastAsia" w:ascii="Times New Roman" w:hAnsi="Times New Roman" w:cs="Times New Roman"/>
          <w:sz w:val="24"/>
          <w:szCs w:val="24"/>
          <w:lang w:val="en-US" w:eastAsia="zh-CN"/>
        </w:rPr>
        <w:t>达到国家相关规范规定的合格标准。</w:t>
      </w:r>
    </w:p>
    <w:p>
      <w:pPr>
        <w:pStyle w:val="2"/>
        <w:numPr>
          <w:ilvl w:val="2"/>
          <w:numId w:val="13"/>
        </w:numPr>
        <w:spacing w:line="360" w:lineRule="auto"/>
        <w:ind w:left="0" w:leftChars="0"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付款方式：</w:t>
      </w:r>
      <w:r>
        <w:rPr>
          <w:rFonts w:hint="eastAsia" w:ascii="Times New Roman" w:hAnsi="Times New Roman" w:cs="Times New Roman"/>
          <w:sz w:val="24"/>
          <w:szCs w:val="24"/>
          <w:lang w:val="en-US" w:eastAsia="zh-CN"/>
        </w:rPr>
        <w:t>项目采样完成后付合同价款的百分之九十，待一年后达到国家相关规范规定的合格标准，支付剩余合同款项的百分之十。</w:t>
      </w:r>
    </w:p>
    <w:p>
      <w:pPr>
        <w:keepNext w:val="0"/>
        <w:keepLines w:val="0"/>
        <w:pageBreakBefore w:val="0"/>
        <w:widowControl w:val="0"/>
        <w:numPr>
          <w:ilvl w:val="2"/>
          <w:numId w:val="13"/>
        </w:numPr>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lang w:eastAsia="zh-CN"/>
        </w:rPr>
      </w:pPr>
      <w:r>
        <w:rPr>
          <w:rFonts w:hint="eastAsia"/>
          <w:sz w:val="24"/>
          <w:szCs w:val="24"/>
          <w:lang w:val="en-US" w:eastAsia="zh-CN"/>
        </w:rPr>
        <w:t>.验收标准</w:t>
      </w:r>
      <w:r>
        <w:rPr>
          <w:rFonts w:hint="eastAsia"/>
          <w:sz w:val="24"/>
          <w:szCs w:val="24"/>
        </w:rPr>
        <w:t>：满足国家</w:t>
      </w:r>
      <w:r>
        <w:rPr>
          <w:rFonts w:hint="eastAsia"/>
          <w:sz w:val="24"/>
          <w:szCs w:val="24"/>
          <w:lang w:eastAsia="zh-CN"/>
        </w:rPr>
        <w:t>、</w:t>
      </w:r>
      <w:r>
        <w:rPr>
          <w:rFonts w:hint="eastAsia"/>
          <w:sz w:val="24"/>
          <w:szCs w:val="24"/>
        </w:rPr>
        <w:t>省</w:t>
      </w:r>
      <w:r>
        <w:rPr>
          <w:rFonts w:hint="eastAsia"/>
          <w:sz w:val="24"/>
          <w:szCs w:val="24"/>
          <w:lang w:eastAsia="zh-CN"/>
        </w:rPr>
        <w:t>、</w:t>
      </w:r>
      <w:r>
        <w:rPr>
          <w:rFonts w:hint="eastAsia"/>
          <w:sz w:val="24"/>
          <w:szCs w:val="24"/>
        </w:rPr>
        <w:t>市相关规范及其他相关专业现行规范要求</w:t>
      </w:r>
      <w:r>
        <w:rPr>
          <w:rFonts w:hint="eastAsia"/>
          <w:sz w:val="24"/>
          <w:szCs w:val="24"/>
          <w:lang w:eastAsia="zh-CN"/>
        </w:rPr>
        <w:t>，</w:t>
      </w:r>
      <w:r>
        <w:rPr>
          <w:rFonts w:hint="eastAsia"/>
          <w:sz w:val="24"/>
          <w:szCs w:val="24"/>
        </w:rPr>
        <w:t>符合采购人验收的有关要求</w:t>
      </w:r>
      <w:r>
        <w:rPr>
          <w:rFonts w:hint="eastAsia"/>
          <w:sz w:val="24"/>
          <w:szCs w:val="24"/>
          <w:lang w:eastAsia="zh-CN"/>
        </w:rPr>
        <w:t>。</w:t>
      </w:r>
    </w:p>
    <w:p>
      <w:pPr>
        <w:pStyle w:val="2"/>
        <w:numPr>
          <w:ilvl w:val="2"/>
          <w:numId w:val="13"/>
        </w:numPr>
        <w:spacing w:line="360" w:lineRule="auto"/>
        <w:ind w:left="0" w:leftChars="0" w:firstLine="480" w:firstLineChars="200"/>
        <w:rPr>
          <w:rFonts w:hint="eastAsia"/>
          <w:sz w:val="24"/>
          <w:szCs w:val="24"/>
          <w:lang w:val="en-US" w:eastAsia="zh-CN"/>
        </w:rPr>
      </w:pPr>
      <w:r>
        <w:rPr>
          <w:rFonts w:hint="eastAsia"/>
          <w:sz w:val="24"/>
          <w:szCs w:val="24"/>
          <w:lang w:val="en-US" w:eastAsia="zh-CN"/>
        </w:rPr>
        <w:t>保密要求</w:t>
      </w:r>
      <w:r>
        <w:rPr>
          <w:rFonts w:hint="eastAsia"/>
          <w:sz w:val="24"/>
          <w:szCs w:val="24"/>
        </w:rPr>
        <w:t>：本项目实施中涉及到的相关保密数据</w:t>
      </w:r>
      <w:r>
        <w:rPr>
          <w:rFonts w:hint="eastAsia"/>
          <w:sz w:val="24"/>
          <w:szCs w:val="24"/>
          <w:lang w:eastAsia="zh-CN"/>
        </w:rPr>
        <w:t>、</w:t>
      </w:r>
      <w:r>
        <w:rPr>
          <w:rFonts w:hint="eastAsia"/>
          <w:sz w:val="24"/>
          <w:szCs w:val="24"/>
        </w:rPr>
        <w:t>资料</w:t>
      </w:r>
      <w:r>
        <w:rPr>
          <w:rFonts w:hint="eastAsia"/>
          <w:sz w:val="24"/>
          <w:szCs w:val="24"/>
          <w:lang w:eastAsia="zh-CN"/>
        </w:rPr>
        <w:t>、</w:t>
      </w:r>
      <w:r>
        <w:rPr>
          <w:rFonts w:hint="eastAsia"/>
          <w:sz w:val="24"/>
          <w:szCs w:val="24"/>
        </w:rPr>
        <w:t>文档等均按相应保密规定执行，服务单位有对资料保密的义务</w:t>
      </w:r>
      <w:r>
        <w:rPr>
          <w:rFonts w:hint="eastAsia"/>
          <w:sz w:val="24"/>
          <w:szCs w:val="24"/>
          <w:lang w:eastAsia="zh-CN"/>
        </w:rPr>
        <w:t>。</w:t>
      </w:r>
      <w:r>
        <w:rPr>
          <w:rFonts w:hint="eastAsia"/>
          <w:sz w:val="24"/>
          <w:szCs w:val="24"/>
        </w:rPr>
        <w:t>不得以商业目的使用该资料或者开发和生产其他产品</w:t>
      </w:r>
      <w:r>
        <w:rPr>
          <w:rFonts w:hint="eastAsia"/>
          <w:sz w:val="24"/>
          <w:szCs w:val="24"/>
          <w:lang w:eastAsia="zh-CN"/>
        </w:rPr>
        <w:t>；</w:t>
      </w:r>
      <w:r>
        <w:rPr>
          <w:rFonts w:hint="eastAsia"/>
          <w:sz w:val="24"/>
          <w:szCs w:val="24"/>
        </w:rPr>
        <w:t>服务单位可根据需要对资料内容进行必要的修改和对数据格式进行转换</w:t>
      </w:r>
      <w:r>
        <w:rPr>
          <w:rFonts w:hint="eastAsia"/>
          <w:sz w:val="24"/>
          <w:szCs w:val="24"/>
          <w:lang w:eastAsia="zh-CN"/>
        </w:rPr>
        <w:t>，</w:t>
      </w:r>
      <w:r>
        <w:rPr>
          <w:rFonts w:hint="eastAsia"/>
          <w:sz w:val="24"/>
          <w:szCs w:val="24"/>
        </w:rPr>
        <w:t>但未经许可，不得将修改转换后的数据对外发布和提供</w:t>
      </w:r>
      <w:r>
        <w:rPr>
          <w:rFonts w:hint="eastAsia"/>
          <w:sz w:val="24"/>
          <w:szCs w:val="24"/>
          <w:lang w:eastAsia="zh-CN"/>
        </w:rPr>
        <w:t>。</w:t>
      </w:r>
    </w:p>
    <w:bookmarkEnd w:id="91"/>
    <w:bookmarkEnd w:id="92"/>
    <w:bookmarkEnd w:id="93"/>
    <w:bookmarkEnd w:id="94"/>
    <w:bookmarkEnd w:id="95"/>
    <w:bookmarkEnd w:id="96"/>
    <w:bookmarkEnd w:id="97"/>
    <w:p>
      <w:pPr>
        <w:widowControl/>
        <w:adjustRightInd w:val="0"/>
        <w:spacing w:line="360" w:lineRule="auto"/>
        <w:rPr>
          <w:rFonts w:hint="eastAsia" w:ascii="宋体" w:hAnsi="宋体" w:eastAsia="宋体" w:cs="Times New Roman"/>
          <w:b/>
          <w:kern w:val="0"/>
          <w:sz w:val="24"/>
          <w:szCs w:val="24"/>
          <w:lang w:eastAsia="zh-CN"/>
        </w:rPr>
      </w:pPr>
      <w:r>
        <w:rPr>
          <w:rFonts w:hint="eastAsia" w:ascii="宋体" w:hAnsi="宋体" w:cs="Times New Roman"/>
          <w:b/>
          <w:kern w:val="0"/>
          <w:sz w:val="24"/>
          <w:szCs w:val="24"/>
          <w:lang w:val="en-US" w:eastAsia="zh-CN"/>
        </w:rPr>
        <w:t>三、服务</w:t>
      </w:r>
      <w:r>
        <w:rPr>
          <w:rFonts w:hint="eastAsia" w:ascii="宋体" w:hAnsi="宋体" w:cs="Times New Roman"/>
          <w:b/>
          <w:kern w:val="0"/>
          <w:sz w:val="24"/>
          <w:szCs w:val="24"/>
        </w:rPr>
        <w:t>要求</w:t>
      </w:r>
      <w:r>
        <w:rPr>
          <w:rFonts w:hint="eastAsia" w:ascii="宋体" w:hAnsi="宋体" w:cs="Times New Roman"/>
          <w:b/>
          <w:kern w:val="0"/>
          <w:sz w:val="24"/>
          <w:szCs w:val="24"/>
          <w:lang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sz w:val="24"/>
          <w:szCs w:val="24"/>
          <w:lang w:val="en-US" w:eastAsia="zh-CN"/>
        </w:rPr>
      </w:pPr>
      <w:r>
        <w:rPr>
          <w:rFonts w:hint="eastAsia" w:ascii="宋体" w:hAnsi="宋体" w:eastAsia="宋体" w:cs="宋体"/>
          <w:b/>
          <w:bCs/>
          <w:sz w:val="24"/>
          <w:szCs w:val="24"/>
          <w:lang w:val="en-US" w:eastAsia="zh-CN"/>
        </w:rPr>
        <w:t>1、项目概况：</w:t>
      </w:r>
      <w:r>
        <w:rPr>
          <w:rFonts w:hint="eastAsia" w:ascii="宋体" w:hAnsi="宋体" w:eastAsia="宋体" w:cs="宋体"/>
          <w:b w:val="0"/>
          <w:bCs w:val="0"/>
          <w:sz w:val="24"/>
          <w:szCs w:val="24"/>
          <w:lang w:val="en-US" w:eastAsia="zh-CN"/>
        </w:rPr>
        <w:t>根据《国务院关于开展第三次全国土壤普查的通知》，(国发【2022】4号)、《河南省人民政府办公室关于开展第三次全国土壤普查的通知》(豫政办明电【2022】9号)和全省第三次全国土壤普查动员部署暨高标准农田建设推进视频会议精神，深入落实党中央，国务院关于耕地保护建设和生态文明建设的决策部署，全面实现对全国耕地、园地、林地、草地等土壤的“全面体检”，摸清土壤质量家底。按照《河南省第三次全国土壤普查领导小组关于印发&lt;2023年河南省第三次全国土壤普查工作方案&gt;的通知》和第三次全国土壤普查工作平台下发任务数要求，我县第三次全国土壤普查采集表层样点634个，并对样点开展外业调查，调查内容包括：基本信息（地理坐标、海拔高度、天气、地表特征）、土壤利用信息（土地利用、农田建设、耕地利用、园地利用、林草利用）、成土环境信息（地形地貌、母岩母质、植被）等。</w:t>
      </w:r>
    </w:p>
    <w:p>
      <w:pPr>
        <w:pStyle w:val="3"/>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2、普查任务：</w:t>
      </w:r>
      <w:r>
        <w:rPr>
          <w:rFonts w:hint="eastAsia" w:ascii="宋体" w:hAnsi="宋体" w:eastAsia="宋体" w:cs="宋体"/>
          <w:b w:val="0"/>
          <w:bCs w:val="0"/>
          <w:sz w:val="24"/>
          <w:szCs w:val="24"/>
          <w:lang w:val="en-US" w:eastAsia="zh-CN"/>
        </w:rPr>
        <w:t>对国家下发武陟县的634个表层样点开展调查和采样</w:t>
      </w:r>
      <w:r>
        <w:rPr>
          <w:rFonts w:hint="eastAsia" w:ascii="宋体" w:hAnsi="宋体" w:eastAsia="宋体" w:cs="宋体"/>
          <w:sz w:val="24"/>
          <w:szCs w:val="24"/>
          <w:lang w:val="en-US" w:eastAsia="zh-CN"/>
        </w:rPr>
        <w:t>。</w:t>
      </w:r>
    </w:p>
    <w:p>
      <w:pPr>
        <w:pStyle w:val="3"/>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3、普查范围：</w:t>
      </w:r>
      <w:r>
        <w:rPr>
          <w:rFonts w:hint="eastAsia" w:ascii="宋体" w:hAnsi="宋体" w:eastAsia="宋体" w:cs="宋体"/>
          <w:b w:val="0"/>
          <w:bCs w:val="0"/>
          <w:sz w:val="24"/>
          <w:szCs w:val="24"/>
          <w:lang w:val="en-US" w:eastAsia="zh-CN"/>
        </w:rPr>
        <w:t>覆盖武陟县境内耕地、园地、林地、草地等农业用地和部分未利用地</w:t>
      </w:r>
      <w:r>
        <w:rPr>
          <w:rFonts w:hint="eastAsia" w:ascii="宋体" w:hAnsi="宋体" w:eastAsia="宋体" w:cs="宋体"/>
          <w:sz w:val="24"/>
          <w:szCs w:val="24"/>
          <w:lang w:val="en-US" w:eastAsia="zh-CN"/>
        </w:rPr>
        <w:t>。</w:t>
      </w:r>
    </w:p>
    <w:p>
      <w:pPr>
        <w:pStyle w:val="3"/>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4、普查内容：</w:t>
      </w:r>
      <w:r>
        <w:rPr>
          <w:rFonts w:hint="eastAsia" w:ascii="宋体" w:hAnsi="宋体" w:eastAsia="宋体" w:cs="宋体"/>
          <w:b w:val="0"/>
          <w:bCs w:val="0"/>
          <w:sz w:val="24"/>
          <w:szCs w:val="24"/>
          <w:lang w:val="en-US" w:eastAsia="zh-CN"/>
        </w:rPr>
        <w:t>开展634个表层土壤样点立地条件、成土环境和土壤利用调查和景观照片采集等工作。采集表层样、容重样、土壤水稳性大团聚体等各类样品。包括完成外业调查采样、包装与运送、数据保存和上传等工作；编制实施方案、编制工作报告等工作。</w:t>
      </w:r>
    </w:p>
    <w:p>
      <w:pPr>
        <w:rPr>
          <w:rFonts w:hint="default"/>
          <w:lang w:val="en-US" w:eastAsia="zh-CN"/>
        </w:rPr>
      </w:pPr>
    </w:p>
    <w:p>
      <w:pPr>
        <w:pStyle w:val="3"/>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5、工作依据：</w:t>
      </w:r>
    </w:p>
    <w:p>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《第三次全国土壤普查技术规程(修订版)》</w:t>
      </w:r>
    </w:p>
    <w:p>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《第三次全国土壤普查土壤类型名称校准技术规范(修订版)》</w:t>
      </w:r>
    </w:p>
    <w:p>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《第三次全国土壤普查土壤生物调查技术规范(修订版)》</w:t>
      </w:r>
    </w:p>
    <w:p>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《第三次全国土壤普查土壤样品制备与检测技术规范(修订版)》</w:t>
      </w:r>
    </w:p>
    <w:p>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《第三次全国土壤普查全程质量控制技术规范(修订版)》</w:t>
      </w:r>
    </w:p>
    <w:p>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《河南省第三次全国土壤普查外业调查与采样作业规程》</w:t>
      </w:r>
    </w:p>
    <w:p>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《河南省第三次全国土壤普查耕层判测与采样技术》</w:t>
      </w:r>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36"/>
        <w:spacing w:before="0" w:after="0" w:line="360" w:lineRule="auto"/>
        <w:ind w:firstLine="2891" w:firstLineChars="900"/>
        <w:jc w:val="both"/>
        <w:outlineLvl w:val="9"/>
        <w:rPr>
          <w:rFonts w:hint="eastAsia" w:ascii="宋体" w:hAnsi="宋体" w:cs="宋体"/>
        </w:rPr>
      </w:pPr>
    </w:p>
    <w:p>
      <w:pPr>
        <w:pStyle w:val="36"/>
        <w:spacing w:before="0" w:after="0" w:line="360" w:lineRule="auto"/>
        <w:ind w:firstLine="2891" w:firstLineChars="900"/>
        <w:jc w:val="both"/>
        <w:outlineLvl w:val="9"/>
        <w:rPr>
          <w:rFonts w:hint="eastAsia" w:ascii="宋体" w:hAnsi="宋体" w:cs="宋体"/>
        </w:rPr>
      </w:pPr>
    </w:p>
    <w:p>
      <w:pPr>
        <w:pStyle w:val="36"/>
        <w:spacing w:before="0" w:after="0" w:line="360" w:lineRule="auto"/>
        <w:ind w:firstLine="2891" w:firstLineChars="900"/>
        <w:jc w:val="both"/>
        <w:outlineLvl w:val="9"/>
        <w:rPr>
          <w:rFonts w:hint="eastAsia" w:ascii="宋体" w:hAnsi="宋体" w:cs="宋体"/>
        </w:rPr>
      </w:pPr>
    </w:p>
    <w:p>
      <w:pPr>
        <w:pStyle w:val="36"/>
        <w:spacing w:before="0" w:after="0" w:line="360" w:lineRule="auto"/>
        <w:ind w:firstLine="2891" w:firstLineChars="900"/>
        <w:jc w:val="both"/>
        <w:outlineLvl w:val="9"/>
        <w:rPr>
          <w:rFonts w:hint="eastAsia" w:ascii="宋体" w:hAnsi="宋体" w:cs="宋体"/>
        </w:rPr>
      </w:pPr>
    </w:p>
    <w:p>
      <w:pPr>
        <w:outlineLvl w:val="9"/>
        <w:rPr>
          <w:rFonts w:hint="eastAsia" w:ascii="宋体" w:hAnsi="宋体" w:cs="宋体"/>
        </w:rPr>
      </w:pPr>
    </w:p>
    <w:p>
      <w:pPr>
        <w:pStyle w:val="4"/>
        <w:outlineLvl w:val="9"/>
        <w:rPr>
          <w:rFonts w:hint="eastAsia" w:ascii="宋体" w:hAnsi="宋体" w:cs="宋体"/>
        </w:rPr>
      </w:pPr>
    </w:p>
    <w:p>
      <w:pPr>
        <w:outlineLvl w:val="9"/>
        <w:rPr>
          <w:rFonts w:hint="eastAsia"/>
        </w:rPr>
      </w:pPr>
    </w:p>
    <w:p>
      <w:pPr>
        <w:pStyle w:val="36"/>
        <w:spacing w:before="0" w:after="0" w:line="360" w:lineRule="auto"/>
        <w:ind w:firstLine="2891" w:firstLineChars="900"/>
        <w:jc w:val="both"/>
        <w:outlineLvl w:val="9"/>
        <w:rPr>
          <w:rFonts w:hint="eastAsia" w:ascii="宋体" w:hAnsi="宋体" w:cs="宋体"/>
        </w:rPr>
      </w:pPr>
    </w:p>
    <w:p>
      <w:pPr>
        <w:rPr>
          <w:rFonts w:hint="eastAsia" w:ascii="宋体" w:hAnsi="宋体" w:cs="宋体"/>
        </w:rPr>
      </w:pPr>
      <w:r>
        <w:rPr>
          <w:rFonts w:hint="eastAsia" w:ascii="宋体" w:hAnsi="宋体" w:cs="宋体"/>
        </w:rPr>
        <w:br w:type="page"/>
      </w:r>
    </w:p>
    <w:p>
      <w:pPr>
        <w:pStyle w:val="36"/>
        <w:spacing w:before="0" w:after="0" w:line="360" w:lineRule="auto"/>
        <w:ind w:firstLine="2891" w:firstLineChars="900"/>
        <w:jc w:val="both"/>
        <w:rPr>
          <w:rFonts w:hint="eastAsia" w:ascii="宋体" w:hAnsi="宋体" w:cs="宋体"/>
        </w:rPr>
      </w:pPr>
      <w:bookmarkStart w:id="98" w:name="_Toc20975"/>
      <w:bookmarkStart w:id="99" w:name="_Toc5052"/>
      <w:r>
        <w:rPr>
          <w:rFonts w:hint="eastAsia" w:ascii="宋体" w:hAnsi="宋体" w:cs="宋体"/>
        </w:rPr>
        <w:t>第六章 响应文件格式</w:t>
      </w:r>
      <w:bookmarkEnd w:id="98"/>
      <w:bookmarkEnd w:id="99"/>
    </w:p>
    <w:p>
      <w:pPr>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rPr>
          <w:rFonts w:hint="eastAsia"/>
        </w:rPr>
        <w:sectPr>
          <w:pgSz w:w="11906" w:h="16838"/>
          <w:pgMar w:top="1134" w:right="1134" w:bottom="1134" w:left="1474" w:header="851" w:footer="510" w:gutter="0"/>
          <w:cols w:space="720" w:num="1"/>
          <w:docGrid w:type="lines" w:linePitch="312" w:charSpace="0"/>
        </w:sectPr>
      </w:pPr>
    </w:p>
    <w:p>
      <w:pPr>
        <w:pStyle w:val="4"/>
        <w:rPr>
          <w:rFonts w:hint="eastAsia"/>
        </w:rPr>
      </w:pPr>
    </w:p>
    <w:p>
      <w:pPr>
        <w:spacing w:line="460" w:lineRule="exact"/>
        <w:jc w:val="left"/>
        <w:rPr>
          <w:rFonts w:hint="eastAsia" w:ascii="宋体" w:hAnsi="宋体" w:cs="宋体"/>
          <w:b/>
          <w:sz w:val="44"/>
          <w:szCs w:val="44"/>
        </w:rPr>
      </w:pPr>
    </w:p>
    <w:p>
      <w:pPr>
        <w:spacing w:line="460" w:lineRule="exact"/>
        <w:jc w:val="left"/>
        <w:rPr>
          <w:rFonts w:hint="eastAsia" w:ascii="宋体" w:hAnsi="宋体" w:cs="宋体"/>
          <w:b/>
          <w:sz w:val="44"/>
          <w:szCs w:val="44"/>
          <w:u w:val="single"/>
        </w:rPr>
      </w:pPr>
      <w:r>
        <w:rPr>
          <w:rFonts w:hint="eastAsia" w:ascii="宋体" w:hAnsi="宋体" w:cs="宋体"/>
          <w:b/>
          <w:sz w:val="44"/>
          <w:szCs w:val="44"/>
        </w:rPr>
        <w:t xml:space="preserve">     </w:t>
      </w:r>
      <w:r>
        <w:rPr>
          <w:rFonts w:hint="eastAsia" w:ascii="宋体" w:hAnsi="宋体" w:cs="宋体"/>
          <w:b/>
          <w:sz w:val="44"/>
          <w:szCs w:val="44"/>
          <w:u w:val="single"/>
        </w:rPr>
        <w:t xml:space="preserve">                     </w:t>
      </w: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4"/>
        <w:rPr>
          <w:rFonts w:hint="eastAsia"/>
        </w:rPr>
      </w:pPr>
    </w:p>
    <w:p>
      <w:pPr>
        <w:pStyle w:val="4"/>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4"/>
        <w:rPr>
          <w:rFonts w:hint="eastAsia"/>
        </w:rPr>
      </w:pPr>
    </w:p>
    <w:p>
      <w:pPr>
        <w:spacing w:line="460" w:lineRule="exact"/>
        <w:rPr>
          <w:rFonts w:hint="eastAsia" w:ascii="宋体" w:hAnsi="宋体" w:cs="宋体"/>
          <w:sz w:val="32"/>
          <w:szCs w:val="32"/>
        </w:rPr>
      </w:pPr>
    </w:p>
    <w:p>
      <w:pPr>
        <w:pStyle w:val="4"/>
        <w:rPr>
          <w:rFonts w:hint="eastAsia"/>
        </w:rPr>
      </w:pPr>
      <w:bookmarkStart w:id="100" w:name="_Toc22461"/>
      <w:bookmarkStart w:id="101" w:name="_Toc530584396"/>
      <w:bookmarkStart w:id="102" w:name="_Toc23451"/>
      <w:bookmarkStart w:id="103" w:name="_Toc12304"/>
      <w:bookmarkStart w:id="104" w:name="_Toc374512423"/>
      <w:bookmarkStart w:id="105" w:name="_Toc487805929"/>
      <w:bookmarkStart w:id="106" w:name="_Toc26310"/>
      <w:bookmarkStart w:id="107" w:name="_Toc408816353"/>
      <w:bookmarkStart w:id="108" w:name="_Toc477423253"/>
      <w:bookmarkStart w:id="109" w:name="_Toc3023"/>
      <w:bookmarkStart w:id="110" w:name="_Toc373230035"/>
      <w:bookmarkStart w:id="111" w:name="_Toc490161460"/>
    </w:p>
    <w:p>
      <w:pPr>
        <w:pStyle w:val="8"/>
        <w:numPr>
          <w:ilvl w:val="0"/>
          <w:numId w:val="14"/>
        </w:numPr>
        <w:spacing w:before="0" w:after="0" w:line="360" w:lineRule="auto"/>
        <w:jc w:val="center"/>
        <w:outlineLvl w:val="1"/>
        <w:rPr>
          <w:rFonts w:hint="eastAsia" w:ascii="宋体" w:hAnsi="宋体" w:cs="宋体"/>
          <w:sz w:val="32"/>
          <w:szCs w:val="32"/>
        </w:rPr>
      </w:pPr>
      <w:bookmarkStart w:id="112" w:name="_Toc17711"/>
      <w:r>
        <w:rPr>
          <w:rFonts w:hint="eastAsia" w:ascii="宋体" w:hAnsi="宋体" w:cs="宋体"/>
          <w:sz w:val="32"/>
          <w:szCs w:val="32"/>
        </w:rPr>
        <w:t>磋商承诺函</w:t>
      </w:r>
      <w:bookmarkEnd w:id="100"/>
      <w:bookmarkEnd w:id="101"/>
      <w:bookmarkEnd w:id="102"/>
      <w:bookmarkEnd w:id="103"/>
      <w:bookmarkEnd w:id="112"/>
    </w:p>
    <w:p>
      <w:pPr>
        <w:adjustRightInd w:val="0"/>
        <w:spacing w:line="400" w:lineRule="exact"/>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）的供应商，根据竞争性磋商文件要求，现郑重承诺如下：</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一、具备《中华人民共和国政府采购法》第二十二条第一款和本项目规定的条件。</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二、我公司同意按竞争性磋商文件中的规定，认定本项目磋商有效期为</w:t>
      </w:r>
      <w:r>
        <w:rPr>
          <w:rFonts w:hint="eastAsia" w:ascii="宋体" w:hAnsi="宋体" w:cs="宋体"/>
          <w:sz w:val="24"/>
          <w:szCs w:val="24"/>
          <w:u w:val="single"/>
        </w:rPr>
        <w:t xml:space="preserve">     </w:t>
      </w:r>
      <w:r>
        <w:rPr>
          <w:rFonts w:hint="eastAsia" w:ascii="宋体" w:hAnsi="宋体" w:cs="宋体"/>
          <w:sz w:val="24"/>
          <w:szCs w:val="24"/>
        </w:rPr>
        <w:t>日历天。</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三、完全接受和满足本项目竞争性磋商文件中的规定，如对竞争性磋商文件有异议，已经在响应文件提交截止时间前依法进行维权救济，不存在对竞争性磋商文件有异议的同时又参加</w:t>
      </w:r>
      <w:r>
        <w:rPr>
          <w:rFonts w:hint="eastAsia" w:ascii="宋体" w:hAnsi="宋体" w:cs="宋体"/>
          <w:bCs/>
          <w:sz w:val="24"/>
          <w:szCs w:val="24"/>
        </w:rPr>
        <w:t>磋商</w:t>
      </w:r>
      <w:r>
        <w:rPr>
          <w:rFonts w:hint="eastAsia" w:ascii="宋体" w:hAnsi="宋体" w:cs="宋体"/>
          <w:sz w:val="24"/>
          <w:szCs w:val="24"/>
        </w:rPr>
        <w:t>以求侥幸成交或者为实现其他非法目的的行为。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四、参加本次采购活动，不存在与单位负责人为同一人或者存在直接控股、管理关系的其他供应商参与同一合同项下的政府采购活动的行为。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五、参加本次采购活动，不存在为采购项目提供整体设计、规范编制或者项目管理、监理、检测等服务的行为。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七、供应商和其法定代表人及其委托代理人没有行贿犯罪行为。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w:t>
      </w:r>
    </w:p>
    <w:p>
      <w:pPr>
        <w:pStyle w:val="34"/>
        <w:shd w:val="clear" w:color="auto" w:fill="FFFFFF"/>
        <w:spacing w:before="0" w:beforeAutospacing="0" w:after="0" w:afterAutospacing="0" w:line="400" w:lineRule="exact"/>
        <w:rPr>
          <w:rFonts w:hint="eastAsia"/>
          <w:color w:val="333333"/>
          <w:spacing w:val="8"/>
          <w:szCs w:val="24"/>
        </w:rPr>
      </w:pPr>
      <w:r>
        <w:rPr>
          <w:rFonts w:hint="eastAsia"/>
          <w:color w:val="333333"/>
          <w:spacing w:val="8"/>
          <w:szCs w:val="24"/>
          <w:shd w:val="clear" w:color="auto" w:fill="FFFFFF"/>
        </w:rPr>
        <w:t>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与本</w:t>
      </w:r>
      <w:r>
        <w:rPr>
          <w:rFonts w:hint="eastAsia" w:ascii="宋体" w:hAnsi="宋体" w:cs="宋体"/>
          <w:bCs/>
          <w:sz w:val="24"/>
          <w:szCs w:val="24"/>
        </w:rPr>
        <w:t>磋商</w:t>
      </w:r>
      <w:r>
        <w:rPr>
          <w:rFonts w:hint="eastAsia" w:ascii="宋体" w:hAnsi="宋体" w:cs="宋体"/>
          <w:sz w:val="24"/>
          <w:szCs w:val="24"/>
        </w:rPr>
        <w:t>有关的一切往来通讯请寄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地址：                     电话：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电子邮箱：</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pStyle w:val="4"/>
        <w:rPr>
          <w:rFonts w:hint="eastAsia" w:ascii="宋体" w:hAnsi="宋体" w:cs="宋体"/>
          <w:szCs w:val="21"/>
        </w:rPr>
      </w:pPr>
    </w:p>
    <w:p>
      <w:pPr>
        <w:rPr>
          <w:rFonts w:hint="eastAsia" w:ascii="宋体" w:hAnsi="宋体" w:cs="宋体"/>
          <w:szCs w:val="21"/>
        </w:rPr>
      </w:pPr>
    </w:p>
    <w:p>
      <w:pPr>
        <w:pStyle w:val="4"/>
        <w:rPr>
          <w:rFonts w:hint="eastAsia" w:ascii="宋体" w:hAnsi="宋体" w:cs="宋体"/>
          <w:szCs w:val="21"/>
        </w:rPr>
      </w:pPr>
    </w:p>
    <w:p>
      <w:pPr>
        <w:rPr>
          <w:rFonts w:hint="eastAsia"/>
        </w:rPr>
      </w:pPr>
    </w:p>
    <w:p>
      <w:pPr>
        <w:pStyle w:val="8"/>
        <w:numPr>
          <w:ilvl w:val="0"/>
          <w:numId w:val="14"/>
        </w:numPr>
        <w:spacing w:before="0" w:after="0" w:line="360" w:lineRule="auto"/>
        <w:jc w:val="center"/>
        <w:outlineLvl w:val="1"/>
        <w:rPr>
          <w:rFonts w:hint="eastAsia" w:ascii="宋体" w:hAnsi="宋体" w:cs="宋体"/>
          <w:sz w:val="32"/>
          <w:szCs w:val="32"/>
        </w:rPr>
      </w:pPr>
      <w:bookmarkStart w:id="113" w:name="_Toc13659"/>
      <w:bookmarkStart w:id="114" w:name="_Toc32512"/>
      <w:bookmarkStart w:id="115" w:name="_Toc7637"/>
      <w:bookmarkStart w:id="116" w:name="_Toc438"/>
      <w:r>
        <w:rPr>
          <w:rFonts w:hint="eastAsia" w:ascii="宋体" w:hAnsi="宋体" w:cs="宋体"/>
          <w:sz w:val="32"/>
          <w:szCs w:val="32"/>
        </w:rPr>
        <w:t>承诺书</w:t>
      </w:r>
      <w:bookmarkEnd w:id="113"/>
      <w:bookmarkEnd w:id="114"/>
      <w:bookmarkEnd w:id="115"/>
      <w:bookmarkEnd w:id="116"/>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8"/>
        <w:rPr>
          <w:rFonts w:hint="eastAsia"/>
        </w:rPr>
      </w:pPr>
    </w:p>
    <w:p>
      <w:pPr>
        <w:pStyle w:val="58"/>
        <w:rPr>
          <w:rFonts w:hint="eastAsia"/>
        </w:rPr>
      </w:pPr>
    </w:p>
    <w:p>
      <w:pPr>
        <w:pStyle w:val="58"/>
        <w:rPr>
          <w:rFonts w:hint="eastAsia"/>
        </w:rPr>
      </w:pPr>
    </w:p>
    <w:p>
      <w:pPr>
        <w:pStyle w:val="58"/>
        <w:rPr>
          <w:rFonts w:hint="eastAsia"/>
        </w:rPr>
      </w:pPr>
    </w:p>
    <w:p>
      <w:pPr>
        <w:pStyle w:val="58"/>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104"/>
    <w:bookmarkEnd w:id="105"/>
    <w:bookmarkEnd w:id="106"/>
    <w:bookmarkEnd w:id="107"/>
    <w:bookmarkEnd w:id="108"/>
    <w:bookmarkEnd w:id="109"/>
    <w:bookmarkEnd w:id="110"/>
    <w:bookmarkEnd w:id="111"/>
    <w:p>
      <w:pPr>
        <w:pStyle w:val="8"/>
        <w:numPr>
          <w:ilvl w:val="0"/>
          <w:numId w:val="14"/>
        </w:numPr>
        <w:spacing w:before="0" w:after="0" w:line="360" w:lineRule="auto"/>
        <w:jc w:val="center"/>
        <w:outlineLvl w:val="1"/>
        <w:rPr>
          <w:rFonts w:hint="eastAsia" w:ascii="宋体" w:hAnsi="宋体" w:cs="宋体"/>
          <w:sz w:val="32"/>
          <w:szCs w:val="32"/>
        </w:rPr>
      </w:pPr>
      <w:bookmarkStart w:id="117" w:name="_Toc6638"/>
      <w:bookmarkStart w:id="118" w:name="_Toc10655"/>
      <w:bookmarkStart w:id="119" w:name="_Toc29369"/>
      <w:bookmarkStart w:id="120" w:name="_Toc484"/>
      <w:bookmarkStart w:id="121" w:name="_Toc364490445"/>
      <w:bookmarkStart w:id="122" w:name="_Toc453513319"/>
      <w:bookmarkStart w:id="123" w:name="_Toc408816355"/>
      <w:bookmarkStart w:id="124" w:name="_Toc475955188"/>
      <w:bookmarkStart w:id="125" w:name="_Toc476045982"/>
      <w:bookmarkStart w:id="126" w:name="_Toc27591"/>
      <w:bookmarkStart w:id="127" w:name="_Toc477423254"/>
      <w:bookmarkStart w:id="128" w:name="_Toc373230037"/>
      <w:bookmarkStart w:id="129" w:name="_Toc374512425"/>
      <w:r>
        <w:rPr>
          <w:rFonts w:hint="eastAsia" w:ascii="宋体" w:hAnsi="宋体" w:cs="宋体"/>
          <w:sz w:val="32"/>
          <w:szCs w:val="32"/>
        </w:rPr>
        <w:t>供应商基本情况表</w:t>
      </w:r>
      <w:bookmarkEnd w:id="117"/>
      <w:bookmarkEnd w:id="118"/>
      <w:bookmarkEnd w:id="119"/>
      <w:bookmarkEnd w:id="120"/>
    </w:p>
    <w:tbl>
      <w:tblPr>
        <w:tblStyle w:val="37"/>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cs="宋体"/>
                <w:sz w:val="24"/>
              </w:rPr>
            </w:pP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传真</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网址</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营业执照号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2" w:type="default"/>
          <w:pgSz w:w="11906" w:h="16838"/>
          <w:pgMar w:top="1134" w:right="1134" w:bottom="1134" w:left="1474" w:header="851" w:footer="510" w:gutter="0"/>
          <w:cols w:space="720" w:num="1"/>
          <w:docGrid w:type="lines" w:linePitch="312" w:charSpace="0"/>
        </w:sectPr>
      </w:pPr>
    </w:p>
    <w:p>
      <w:pPr>
        <w:pStyle w:val="8"/>
        <w:numPr>
          <w:ilvl w:val="0"/>
          <w:numId w:val="14"/>
        </w:numPr>
        <w:spacing w:before="0" w:after="0" w:line="360" w:lineRule="auto"/>
        <w:jc w:val="center"/>
        <w:outlineLvl w:val="1"/>
        <w:rPr>
          <w:rFonts w:hint="eastAsia" w:ascii="宋体" w:hAnsi="宋体" w:cs="宋体"/>
          <w:sz w:val="32"/>
          <w:szCs w:val="32"/>
        </w:rPr>
      </w:pPr>
      <w:bookmarkStart w:id="130" w:name="_Toc32316"/>
      <w:bookmarkStart w:id="131" w:name="_Toc19916"/>
      <w:bookmarkStart w:id="132" w:name="_Toc530584397"/>
      <w:bookmarkStart w:id="133" w:name="_Toc31769"/>
      <w:bookmarkStart w:id="134" w:name="_Toc20355"/>
      <w:r>
        <w:rPr>
          <w:rFonts w:hint="eastAsia" w:ascii="宋体" w:hAnsi="宋体" w:cs="宋体"/>
          <w:sz w:val="32"/>
          <w:szCs w:val="32"/>
        </w:rPr>
        <w:t>第一轮报价表</w:t>
      </w:r>
      <w:bookmarkEnd w:id="130"/>
      <w:bookmarkEnd w:id="131"/>
      <w:bookmarkEnd w:id="132"/>
      <w:bookmarkEnd w:id="133"/>
      <w:bookmarkEnd w:id="134"/>
    </w:p>
    <w:tbl>
      <w:tblPr>
        <w:tblStyle w:val="37"/>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8"/>
        <w:keepNext/>
        <w:keepLines/>
        <w:pageBreakBefore w:val="0"/>
        <w:widowControl w:val="0"/>
        <w:numPr>
          <w:ilvl w:val="0"/>
          <w:numId w:val="14"/>
        </w:numPr>
        <w:kinsoku/>
        <w:wordWrap/>
        <w:overflowPunct/>
        <w:topLinePunct w:val="0"/>
        <w:autoSpaceDE/>
        <w:autoSpaceDN/>
        <w:bidi w:val="0"/>
        <w:adjustRightInd/>
        <w:snapToGrid/>
        <w:spacing w:before="0" w:beforeLines="0" w:after="0" w:afterLines="0" w:line="360" w:lineRule="auto"/>
        <w:jc w:val="center"/>
        <w:textAlignment w:val="auto"/>
        <w:outlineLvl w:val="1"/>
        <w:rPr>
          <w:rFonts w:hint="eastAsia" w:ascii="宋体" w:hAnsi="宋体" w:eastAsia="宋体" w:cs="宋体"/>
          <w:sz w:val="32"/>
          <w:szCs w:val="32"/>
          <w:highlight w:val="none"/>
        </w:rPr>
      </w:pPr>
      <w:bookmarkStart w:id="135" w:name="_Toc2051"/>
      <w:bookmarkStart w:id="136" w:name="_Toc11493"/>
      <w:r>
        <w:rPr>
          <w:rFonts w:hint="eastAsia" w:ascii="宋体" w:hAnsi="宋体" w:eastAsia="宋体" w:cs="宋体"/>
          <w:b/>
          <w:bCs/>
          <w:sz w:val="32"/>
          <w:szCs w:val="32"/>
          <w:highlight w:val="none"/>
          <w:lang w:eastAsia="zh-CN"/>
        </w:rPr>
        <w:t>技术（服务）</w:t>
      </w:r>
      <w:r>
        <w:rPr>
          <w:rFonts w:hint="eastAsia" w:ascii="宋体" w:hAnsi="宋体" w:eastAsia="宋体" w:cs="宋体"/>
          <w:sz w:val="32"/>
          <w:szCs w:val="32"/>
          <w:highlight w:val="none"/>
          <w:lang w:eastAsia="zh-CN"/>
        </w:rPr>
        <w:t>响应承诺函</w:t>
      </w:r>
      <w:bookmarkEnd w:id="135"/>
      <w:bookmarkEnd w:id="136"/>
    </w:p>
    <w:p>
      <w:pPr>
        <w:pageBreakBefore w:val="0"/>
        <w:overflowPunct/>
        <w:topLinePunct w:val="0"/>
        <w:bidi w:val="0"/>
        <w:adjustRightInd w:val="0"/>
        <w:snapToGrid w:val="0"/>
        <w:spacing w:line="360" w:lineRule="auto"/>
        <w:ind w:right="210" w:rightChars="100" w:firstLine="210" w:firstLineChars="100"/>
        <w:rPr>
          <w:rFonts w:hint="eastAsia" w:ascii="宋体" w:hAnsi="宋体" w:eastAsia="宋体" w:cs="宋体"/>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致（采购人及采购代理机构）：</w:t>
      </w:r>
    </w:p>
    <w:p>
      <w:pPr>
        <w:pageBreakBefore w:val="0"/>
        <w:overflowPunct/>
        <w:topLinePunct w:val="0"/>
        <w:bidi w:val="0"/>
        <w:spacing w:line="360" w:lineRule="auto"/>
        <w:rPr>
          <w:rFonts w:hint="eastAsia" w:ascii="宋体" w:hAnsi="宋体" w:eastAsia="宋体" w:cs="宋体"/>
          <w:sz w:val="24"/>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我公司作为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w:t>
      </w:r>
      <w:r>
        <w:rPr>
          <w:rFonts w:hint="eastAsia" w:ascii="宋体" w:hAnsi="宋体" w:eastAsia="宋体" w:cs="宋体"/>
          <w:sz w:val="24"/>
          <w:highlight w:val="none"/>
          <w:lang w:eastAsia="zh-CN"/>
        </w:rPr>
        <w:t>项目编号</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）的供应商，现郑重承诺响应</w:t>
      </w:r>
      <w:r>
        <w:rPr>
          <w:rFonts w:hint="eastAsia" w:ascii="宋体" w:hAnsi="宋体" w:eastAsia="宋体" w:cs="宋体"/>
          <w:sz w:val="24"/>
          <w:szCs w:val="24"/>
          <w:lang w:val="en-US" w:eastAsia="zh-CN"/>
        </w:rPr>
        <w:t>第五章采购需求</w:t>
      </w:r>
      <w:r>
        <w:rPr>
          <w:rFonts w:hint="eastAsia" w:ascii="宋体" w:hAnsi="宋体" w:cs="宋体"/>
          <w:sz w:val="24"/>
          <w:szCs w:val="24"/>
          <w:lang w:val="en-US" w:eastAsia="zh-CN"/>
        </w:rPr>
        <w:t>中服务要求</w:t>
      </w:r>
      <w:r>
        <w:rPr>
          <w:rFonts w:hint="eastAsia" w:ascii="宋体" w:hAnsi="宋体" w:eastAsia="宋体" w:cs="宋体"/>
          <w:sz w:val="24"/>
          <w:szCs w:val="24"/>
          <w:lang w:val="en-US" w:eastAsia="zh-CN"/>
        </w:rPr>
        <w:t>的全部内容</w:t>
      </w:r>
      <w:r>
        <w:rPr>
          <w:rFonts w:hint="eastAsia" w:ascii="宋体" w:hAnsi="宋体" w:eastAsia="宋体" w:cs="宋体"/>
          <w:sz w:val="24"/>
          <w:highlight w:val="none"/>
        </w:rPr>
        <w:t>。</w:t>
      </w:r>
    </w:p>
    <w:p>
      <w:pPr>
        <w:pageBreakBefore w:val="0"/>
        <w:overflowPunct/>
        <w:topLinePunct w:val="0"/>
        <w:bidi w:val="0"/>
        <w:spacing w:line="360" w:lineRule="auto"/>
        <w:rPr>
          <w:rFonts w:hint="eastAsia" w:ascii="宋体" w:hAnsi="宋体" w:eastAsia="宋体" w:cs="宋体"/>
          <w:sz w:val="24"/>
          <w:highlight w:val="none"/>
        </w:rPr>
      </w:pPr>
    </w:p>
    <w:p>
      <w:pPr>
        <w:pStyle w:val="58"/>
        <w:pageBreakBefore w:val="0"/>
        <w:overflowPunct/>
        <w:topLinePunct w:val="0"/>
        <w:bidi w:val="0"/>
        <w:spacing w:after="0" w:afterLines="0" w:line="360" w:lineRule="auto"/>
        <w:rPr>
          <w:rFonts w:hint="eastAsia" w:ascii="宋体" w:hAnsi="宋体" w:eastAsia="宋体" w:cs="宋体"/>
          <w:highlight w:val="none"/>
        </w:rPr>
      </w:pPr>
    </w:p>
    <w:p>
      <w:pPr>
        <w:pStyle w:val="58"/>
        <w:pageBreakBefore w:val="0"/>
        <w:overflowPunct/>
        <w:topLinePunct w:val="0"/>
        <w:bidi w:val="0"/>
        <w:spacing w:after="0" w:afterLines="0" w:line="360" w:lineRule="auto"/>
        <w:rPr>
          <w:rFonts w:hint="eastAsia" w:ascii="宋体" w:hAnsi="宋体" w:eastAsia="宋体" w:cs="宋体"/>
          <w:highlight w:val="none"/>
        </w:rPr>
      </w:pPr>
    </w:p>
    <w:p>
      <w:pPr>
        <w:pStyle w:val="58"/>
        <w:pageBreakBefore w:val="0"/>
        <w:overflowPunct/>
        <w:topLinePunct w:val="0"/>
        <w:bidi w:val="0"/>
        <w:spacing w:after="0" w:afterLines="0" w:line="360" w:lineRule="auto"/>
        <w:rPr>
          <w:rFonts w:hint="eastAsia" w:ascii="宋体" w:hAnsi="宋体" w:eastAsia="宋体" w:cs="宋体"/>
          <w:highlight w:val="none"/>
        </w:rPr>
      </w:pPr>
    </w:p>
    <w:p>
      <w:pPr>
        <w:pStyle w:val="58"/>
        <w:pageBreakBefore w:val="0"/>
        <w:overflowPunct/>
        <w:topLinePunct w:val="0"/>
        <w:bidi w:val="0"/>
        <w:spacing w:after="0" w:afterLines="0" w:line="360" w:lineRule="auto"/>
        <w:rPr>
          <w:rFonts w:hint="eastAsia" w:ascii="宋体" w:hAnsi="宋体" w:eastAsia="宋体" w:cs="宋体"/>
          <w:highlight w:val="none"/>
        </w:rPr>
      </w:pPr>
    </w:p>
    <w:p>
      <w:pPr>
        <w:pStyle w:val="58"/>
        <w:pageBreakBefore w:val="0"/>
        <w:overflowPunct/>
        <w:topLinePunct w:val="0"/>
        <w:bidi w:val="0"/>
        <w:spacing w:after="0" w:afterLines="0" w:line="360" w:lineRule="auto"/>
        <w:rPr>
          <w:rFonts w:hint="eastAsia" w:ascii="宋体" w:hAnsi="宋体" w:eastAsia="宋体" w:cs="宋体"/>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供应商名称（全称并加盖公章）：</w:t>
      </w: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法定代表人或其委托代理人（签字）：</w:t>
      </w:r>
    </w:p>
    <w:p>
      <w:pPr>
        <w:pageBreakBefore w:val="0"/>
        <w:overflowPunct/>
        <w:topLinePunct w:val="0"/>
        <w:bidi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pageBreakBefore w:val="0"/>
        <w:overflowPunct/>
        <w:topLinePunct w:val="0"/>
        <w:bidi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pageBreakBefore w:val="0"/>
        <w:overflowPunct/>
        <w:topLinePunct w:val="0"/>
        <w:bidi w:val="0"/>
        <w:adjustRightInd w:val="0"/>
        <w:snapToGrid w:val="0"/>
        <w:spacing w:line="360" w:lineRule="auto"/>
        <w:ind w:right="210" w:rightChars="100" w:firstLine="6720" w:firstLineChars="3200"/>
        <w:rPr>
          <w:rFonts w:hint="eastAsia" w:ascii="宋体" w:hAnsi="宋体" w:eastAsia="宋体" w:cs="宋体"/>
          <w:highlight w:val="none"/>
        </w:rPr>
      </w:pPr>
      <w:r>
        <w:rPr>
          <w:rFonts w:hint="eastAsia" w:ascii="宋体" w:hAnsi="宋体" w:eastAsia="宋体" w:cs="宋体"/>
          <w:szCs w:val="21"/>
          <w:highlight w:val="none"/>
        </w:rPr>
        <w:t xml:space="preserve"> 年  月  日</w:t>
      </w:r>
    </w:p>
    <w:p>
      <w:pPr>
        <w:adjustRightInd w:val="0"/>
        <w:snapToGrid w:val="0"/>
        <w:ind w:right="210" w:rightChars="100" w:firstLine="210" w:firstLineChars="100"/>
        <w:rPr>
          <w:rFonts w:hint="eastAsia" w:ascii="宋体" w:hAnsi="宋体" w:eastAsia="宋体" w:cs="宋体"/>
        </w:rPr>
      </w:pPr>
      <w:r>
        <w:rPr>
          <w:rFonts w:hint="eastAsia" w:ascii="宋体" w:hAnsi="宋体" w:eastAsia="宋体" w:cs="宋体"/>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rPr>
          <w:rFonts w:hint="eastAsia" w:ascii="宋体" w:hAnsi="宋体" w:cs="宋体"/>
          <w:b/>
        </w:rPr>
      </w:pPr>
    </w:p>
    <w:p>
      <w:pPr>
        <w:pStyle w:val="3"/>
        <w:rPr>
          <w:rFonts w:hint="eastAsia" w:ascii="宋体" w:hAnsi="宋体" w:cs="宋体"/>
          <w:b/>
        </w:rPr>
      </w:pPr>
    </w:p>
    <w:p>
      <w:pPr>
        <w:pStyle w:val="53"/>
        <w:rPr>
          <w:rFonts w:hint="eastAsia" w:hAnsi="宋体"/>
          <w:b/>
        </w:rPr>
      </w:pPr>
    </w:p>
    <w:p>
      <w:pPr>
        <w:spacing w:line="360" w:lineRule="auto"/>
        <w:rPr>
          <w:rFonts w:hint="eastAsia" w:ascii="宋体" w:hAnsi="宋体" w:cs="宋体"/>
        </w:rPr>
      </w:pPr>
      <w:bookmarkStart w:id="137" w:name="_Toc15225"/>
      <w:bookmarkStart w:id="138" w:name="_Toc30567"/>
      <w:bookmarkStart w:id="139" w:name="_Toc11308"/>
    </w:p>
    <w:p>
      <w:pPr>
        <w:pStyle w:val="57"/>
        <w:rPr>
          <w:rFonts w:hint="eastAsia" w:ascii="宋体" w:hAnsi="宋体" w:cs="宋体"/>
        </w:rPr>
      </w:pPr>
    </w:p>
    <w:bookmarkEnd w:id="137"/>
    <w:bookmarkEnd w:id="138"/>
    <w:bookmarkEnd w:id="139"/>
    <w:p>
      <w:pPr>
        <w:rPr>
          <w:rFonts w:hint="eastAsia" w:ascii="宋体" w:hAnsi="宋体" w:cs="宋体"/>
        </w:rPr>
      </w:pPr>
    </w:p>
    <w:p>
      <w:pPr>
        <w:jc w:val="center"/>
        <w:rPr>
          <w:rFonts w:hint="eastAsia" w:ascii="宋体" w:hAnsi="宋体" w:cs="宋体"/>
        </w:rPr>
      </w:pPr>
    </w:p>
    <w:p>
      <w:pPr>
        <w:rPr>
          <w:rFonts w:hint="eastAsia"/>
        </w:rPr>
      </w:pPr>
      <w:r>
        <w:rPr>
          <w:rFonts w:hint="eastAsia"/>
        </w:rPr>
        <w:br w:type="page"/>
      </w:r>
    </w:p>
    <w:p>
      <w:pPr>
        <w:pStyle w:val="8"/>
        <w:numPr>
          <w:ilvl w:val="0"/>
          <w:numId w:val="14"/>
        </w:numPr>
        <w:spacing w:before="0" w:after="0" w:line="360" w:lineRule="auto"/>
        <w:jc w:val="center"/>
        <w:outlineLvl w:val="1"/>
        <w:rPr>
          <w:rFonts w:hint="eastAsia" w:ascii="宋体" w:hAnsi="宋体" w:cs="宋体"/>
          <w:sz w:val="32"/>
          <w:szCs w:val="32"/>
        </w:rPr>
      </w:pPr>
      <w:bookmarkStart w:id="140" w:name="_Toc24554"/>
      <w:bookmarkStart w:id="141" w:name="_Toc31901"/>
      <w:bookmarkStart w:id="142" w:name="_Toc7705"/>
      <w:r>
        <w:rPr>
          <w:rFonts w:hint="eastAsia" w:ascii="宋体" w:hAnsi="宋体" w:cs="宋体"/>
          <w:sz w:val="32"/>
          <w:szCs w:val="32"/>
        </w:rPr>
        <w:t>商务响应表</w:t>
      </w:r>
      <w:bookmarkEnd w:id="140"/>
      <w:bookmarkEnd w:id="141"/>
      <w:bookmarkEnd w:id="142"/>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7"/>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w:t>
      </w:r>
      <w:r>
        <w:rPr>
          <w:rFonts w:hint="eastAsia" w:ascii="宋体" w:hAnsi="宋体" w:cs="宋体"/>
          <w:b/>
          <w:bCs/>
          <w:szCs w:val="21"/>
          <w:lang w:val="en-US" w:eastAsia="zh-CN"/>
        </w:rPr>
        <w:t>采购需求</w:t>
      </w:r>
      <w:r>
        <w:rPr>
          <w:rFonts w:hint="eastAsia" w:ascii="宋体" w:hAnsi="宋体" w:cs="宋体"/>
          <w:b/>
          <w:bCs/>
          <w:szCs w:val="21"/>
        </w:rPr>
        <w:t>”中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4"/>
        <w:rPr>
          <w:rFonts w:hint="eastAsia" w:ascii="宋体" w:hAnsi="宋体" w:cs="宋体"/>
          <w:szCs w:val="21"/>
        </w:rPr>
      </w:pPr>
    </w:p>
    <w:p>
      <w:pPr>
        <w:rPr>
          <w:rFonts w:hint="eastAsia" w:ascii="宋体" w:hAnsi="宋体" w:cs="宋体"/>
          <w:szCs w:val="21"/>
        </w:rPr>
      </w:pPr>
    </w:p>
    <w:p>
      <w:pPr>
        <w:pStyle w:val="4"/>
        <w:rPr>
          <w:rFonts w:hint="eastAsia" w:ascii="宋体" w:hAnsi="宋体" w:cs="宋体"/>
          <w:szCs w:val="21"/>
        </w:rPr>
      </w:pPr>
    </w:p>
    <w:p>
      <w:pPr>
        <w:rPr>
          <w:rFonts w:hint="eastAsia"/>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bookmarkEnd w:id="121"/>
    <w:bookmarkEnd w:id="122"/>
    <w:bookmarkEnd w:id="123"/>
    <w:bookmarkEnd w:id="124"/>
    <w:bookmarkEnd w:id="125"/>
    <w:bookmarkEnd w:id="126"/>
    <w:bookmarkEnd w:id="127"/>
    <w:p>
      <w:pPr>
        <w:pStyle w:val="8"/>
        <w:numPr>
          <w:ilvl w:val="0"/>
          <w:numId w:val="14"/>
        </w:numPr>
        <w:spacing w:before="0" w:after="0" w:line="360" w:lineRule="auto"/>
        <w:jc w:val="center"/>
        <w:outlineLvl w:val="1"/>
        <w:rPr>
          <w:rFonts w:hint="eastAsia" w:ascii="宋体" w:hAnsi="宋体" w:cs="宋体"/>
          <w:sz w:val="32"/>
          <w:szCs w:val="32"/>
        </w:rPr>
      </w:pPr>
      <w:bookmarkStart w:id="143" w:name="_bookmark278"/>
      <w:bookmarkEnd w:id="143"/>
      <w:bookmarkStart w:id="144" w:name="18.4.4_信息采集费用概算明细表"/>
      <w:bookmarkEnd w:id="144"/>
      <w:bookmarkStart w:id="145" w:name="_Toc6508"/>
      <w:bookmarkStart w:id="146" w:name="_Toc8927"/>
      <w:bookmarkStart w:id="147" w:name="_Toc2790"/>
      <w:r>
        <w:rPr>
          <w:rFonts w:hint="eastAsia" w:ascii="宋体" w:hAnsi="宋体" w:cs="宋体"/>
          <w:sz w:val="32"/>
          <w:szCs w:val="32"/>
        </w:rPr>
        <w:t>资格证明材料</w:t>
      </w:r>
      <w:bookmarkEnd w:id="145"/>
      <w:bookmarkEnd w:id="146"/>
      <w:bookmarkEnd w:id="147"/>
    </w:p>
    <w:p>
      <w:pPr>
        <w:numPr>
          <w:ilvl w:val="0"/>
          <w:numId w:val="15"/>
        </w:num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武陟县政府采购供应商资格信用承诺函（详见格式）；</w:t>
      </w:r>
    </w:p>
    <w:p>
      <w:pPr>
        <w:numPr>
          <w:ilvl w:val="0"/>
          <w:numId w:val="15"/>
        </w:numPr>
        <w:shd w:val="clear"/>
        <w:spacing w:line="360" w:lineRule="auto"/>
        <w:ind w:firstLine="480" w:firstLineChars="200"/>
        <w:jc w:val="left"/>
        <w:rPr>
          <w:rFonts w:hint="eastAsia"/>
        </w:rPr>
      </w:pPr>
      <w:r>
        <w:rPr>
          <w:rFonts w:hint="eastAsia" w:ascii="宋体" w:hAnsi="宋体" w:cs="宋体"/>
          <w:sz w:val="24"/>
          <w:szCs w:val="24"/>
        </w:rPr>
        <w:t>供应商及其法定代表人、委托代理人均无行贿犯罪记录（提供无行贿犯罪记录承诺书，详见格式）；</w:t>
      </w:r>
    </w:p>
    <w:p>
      <w:pPr>
        <w:keepNext w:val="0"/>
        <w:keepLines w:val="0"/>
        <w:pageBreakBefore w:val="0"/>
        <w:widowControl w:val="0"/>
        <w:numPr>
          <w:ilvl w:val="0"/>
          <w:numId w:val="15"/>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rPr>
      </w:pPr>
      <w:r>
        <w:rPr>
          <w:rFonts w:hint="eastAsia" w:ascii="宋体" w:hAnsi="宋体" w:cs="宋体"/>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spacing w:line="360" w:lineRule="auto"/>
        <w:ind w:firstLine="480" w:firstLineChars="200"/>
        <w:rPr>
          <w:rFonts w:hint="eastAsia" w:ascii="宋体" w:hAnsi="宋体" w:cs="宋体"/>
          <w:sz w:val="24"/>
          <w:szCs w:val="24"/>
        </w:rPr>
      </w:pPr>
    </w:p>
    <w:p>
      <w:pPr>
        <w:pStyle w:val="53"/>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pStyle w:val="4"/>
        <w:rPr>
          <w:rFonts w:hint="eastAsia"/>
        </w:rPr>
      </w:pPr>
    </w:p>
    <w:p>
      <w:pPr>
        <w:pStyle w:val="3"/>
        <w:rPr>
          <w:rFonts w:hint="eastAsia" w:ascii="宋体" w:hAnsi="宋体" w:cs="宋体"/>
          <w:b/>
          <w:sz w:val="24"/>
          <w:szCs w:val="24"/>
        </w:rPr>
      </w:pPr>
    </w:p>
    <w:p>
      <w:pPr>
        <w:rPr>
          <w:rFonts w:hint="eastAsia"/>
          <w:b/>
          <w:sz w:val="28"/>
        </w:rPr>
      </w:pPr>
      <w:bookmarkStart w:id="148" w:name="_Toc8011"/>
      <w:bookmarkStart w:id="149" w:name="_Toc114940421"/>
      <w:bookmarkStart w:id="150" w:name="_Toc31392"/>
      <w:r>
        <w:rPr>
          <w:rFonts w:hint="eastAsia"/>
          <w:b/>
          <w:sz w:val="28"/>
        </w:rPr>
        <w:br w:type="page"/>
      </w:r>
    </w:p>
    <w:p>
      <w:pPr>
        <w:tabs>
          <w:tab w:val="center" w:pos="4649"/>
        </w:tabs>
        <w:jc w:val="center"/>
        <w:rPr>
          <w:rFonts w:hint="eastAsia"/>
          <w:b/>
          <w:sz w:val="28"/>
        </w:rPr>
      </w:pPr>
      <w:r>
        <w:rPr>
          <w:rFonts w:hint="eastAsia"/>
          <w:b/>
          <w:sz w:val="28"/>
        </w:rPr>
        <w:t>武陟县政府采购供应商资格信用承诺函</w:t>
      </w:r>
      <w:bookmarkEnd w:id="148"/>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49"/>
      <w:bookmarkEnd w:id="150"/>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jc w:val="center"/>
        <w:outlineLvl w:val="9"/>
        <w:rPr>
          <w:rFonts w:hint="eastAsia" w:ascii="宋体" w:hAnsi="宋体" w:eastAsia="宋体" w:cs="宋体"/>
          <w:sz w:val="28"/>
          <w:szCs w:val="28"/>
        </w:rPr>
      </w:pPr>
    </w:p>
    <w:p>
      <w:pPr>
        <w:jc w:val="center"/>
        <w:outlineLvl w:val="9"/>
        <w:rPr>
          <w:rFonts w:hint="eastAsia" w:ascii="宋体" w:hAnsi="宋体" w:eastAsia="宋体" w:cs="宋体"/>
          <w:sz w:val="28"/>
          <w:szCs w:val="28"/>
        </w:rPr>
      </w:pPr>
    </w:p>
    <w:p>
      <w:pPr>
        <w:pStyle w:val="34"/>
        <w:spacing w:before="0" w:beforeAutospacing="0" w:after="0" w:afterAutospacing="0"/>
        <w:ind w:right="560"/>
        <w:jc w:val="center"/>
        <w:rPr>
          <w:rFonts w:hint="eastAsia"/>
          <w:b/>
          <w:bCs/>
          <w:sz w:val="32"/>
          <w:szCs w:val="32"/>
        </w:rPr>
      </w:pPr>
    </w:p>
    <w:p>
      <w:pPr>
        <w:pStyle w:val="34"/>
        <w:spacing w:before="0" w:beforeAutospacing="0" w:after="0" w:afterAutospacing="0"/>
        <w:ind w:right="560"/>
        <w:jc w:val="center"/>
        <w:rPr>
          <w:rFonts w:hint="eastAsia"/>
          <w:b/>
          <w:bCs/>
          <w:sz w:val="32"/>
          <w:szCs w:val="32"/>
        </w:rPr>
      </w:pPr>
    </w:p>
    <w:p>
      <w:pPr>
        <w:pStyle w:val="34"/>
        <w:spacing w:before="0" w:beforeAutospacing="0" w:after="0" w:afterAutospacing="0"/>
        <w:ind w:right="560"/>
        <w:jc w:val="center"/>
        <w:rPr>
          <w:rFonts w:hint="eastAsia"/>
          <w:b/>
          <w:bCs/>
          <w:sz w:val="32"/>
          <w:szCs w:val="32"/>
        </w:rPr>
      </w:pPr>
    </w:p>
    <w:p>
      <w:pPr>
        <w:pStyle w:val="34"/>
        <w:spacing w:before="0" w:beforeAutospacing="0" w:after="0" w:afterAutospacing="0"/>
        <w:ind w:right="560"/>
        <w:jc w:val="both"/>
        <w:rPr>
          <w:b/>
          <w:bCs/>
          <w:sz w:val="32"/>
          <w:szCs w:val="32"/>
        </w:rPr>
      </w:pPr>
    </w:p>
    <w:p>
      <w:pPr>
        <w:pStyle w:val="34"/>
        <w:spacing w:before="0" w:beforeAutospacing="0" w:after="0" w:afterAutospacing="0"/>
        <w:ind w:right="560"/>
        <w:jc w:val="center"/>
        <w:rPr>
          <w:b/>
          <w:bCs/>
          <w:sz w:val="32"/>
          <w:szCs w:val="32"/>
        </w:rPr>
      </w:pPr>
    </w:p>
    <w:p>
      <w:pPr>
        <w:rPr>
          <w:rFonts w:hint="eastAsia" w:ascii="宋体" w:hAnsi="宋体" w:cs="宋体"/>
          <w:b/>
          <w:bCs/>
          <w:sz w:val="32"/>
          <w:szCs w:val="32"/>
        </w:rPr>
      </w:pPr>
      <w:r>
        <w:rPr>
          <w:rFonts w:hint="eastAsia" w:ascii="宋体" w:hAnsi="宋体" w:cs="宋体"/>
          <w:b/>
          <w:bCs/>
          <w:sz w:val="32"/>
          <w:szCs w:val="32"/>
        </w:rPr>
        <w:br w:type="page"/>
      </w:r>
    </w:p>
    <w:p>
      <w:pPr>
        <w:widowControl/>
        <w:spacing w:line="580" w:lineRule="atLeast"/>
        <w:jc w:val="center"/>
        <w:rPr>
          <w:rFonts w:hint="eastAsia" w:ascii="宋体" w:hAnsi="宋体" w:cs="宋体"/>
          <w:b/>
          <w:bCs/>
          <w:sz w:val="32"/>
          <w:szCs w:val="32"/>
        </w:rPr>
      </w:pPr>
      <w:r>
        <w:rPr>
          <w:rFonts w:hint="eastAsia" w:ascii="宋体" w:hAnsi="宋体" w:cs="宋体"/>
          <w:b/>
          <w:bCs/>
          <w:sz w:val="32"/>
          <w:szCs w:val="32"/>
        </w:rPr>
        <w:t>中小企业声明函（工程、服务）</w:t>
      </w:r>
    </w:p>
    <w:p>
      <w:pPr>
        <w:widowControl/>
        <w:spacing w:line="580" w:lineRule="atLeast"/>
        <w:ind w:firstLine="42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580" w:lineRule="atLeast"/>
        <w:ind w:firstLine="420" w:firstLineChars="200"/>
        <w:rPr>
          <w:rFonts w:hint="eastAsia" w:ascii="宋体" w:hAnsi="宋体" w:cs="宋体"/>
        </w:rPr>
      </w:pPr>
      <w:r>
        <w:rPr>
          <w:rFonts w:hint="eastAsia" w:ascii="宋体" w:hAnsi="宋体" w:cs="宋体"/>
        </w:rPr>
        <w:t>1.</w:t>
      </w:r>
      <w:r>
        <w:rPr>
          <w:rFonts w:hint="eastAsia" w:ascii="宋体" w:hAnsi="宋体" w:cs="宋体"/>
          <w:u w:val="single"/>
        </w:rPr>
        <w:t xml:space="preserve"> </w:t>
      </w:r>
      <w:r>
        <w:rPr>
          <w:rFonts w:hint="eastAsia" w:ascii="宋体" w:hAnsi="宋体" w:eastAsia="宋体" w:cs="宋体"/>
          <w:sz w:val="24"/>
          <w:szCs w:val="24"/>
          <w:u w:val="single"/>
          <w:lang w:val="en-US" w:eastAsia="zh-CN"/>
        </w:rPr>
        <w:t>2023年武陟县第三次全国土壤普查表层样采集</w:t>
      </w:r>
      <w:r>
        <w:rPr>
          <w:rFonts w:hint="eastAsia" w:ascii="宋体" w:hAnsi="宋体" w:cs="宋体"/>
          <w:color w:val="auto"/>
        </w:rPr>
        <w:t>，属于</w:t>
      </w:r>
      <w:r>
        <w:rPr>
          <w:rFonts w:hint="eastAsia" w:ascii="宋体" w:hAnsi="宋体" w:cs="宋体"/>
          <w:color w:val="auto"/>
          <w:u w:val="single"/>
          <w:lang w:val="en-US" w:eastAsia="zh-CN"/>
        </w:rPr>
        <w:t>其他未列明行业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widowControl/>
        <w:spacing w:line="580" w:lineRule="atLeast"/>
        <w:ind w:firstLine="42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widowControl/>
        <w:spacing w:line="580" w:lineRule="atLeast"/>
        <w:ind w:firstLine="420" w:firstLineChars="200"/>
        <w:rPr>
          <w:rFonts w:hint="eastAsia" w:ascii="宋体" w:hAnsi="宋体" w:cs="宋体"/>
        </w:rPr>
      </w:pPr>
      <w:r>
        <w:rPr>
          <w:rFonts w:hint="eastAsia" w:ascii="宋体" w:hAnsi="宋体" w:cs="宋体"/>
        </w:rPr>
        <w:t>本企业对上述声明内容的真实性负责。如有虚假，将依法承担相应责任。</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pStyle w:val="4"/>
        <w:ind w:firstLine="4410" w:firstLineChars="2100"/>
        <w:rPr>
          <w:rFonts w:hint="eastAsia" w:eastAsia="宋体"/>
          <w:lang w:eastAsia="zh-CN"/>
        </w:rPr>
      </w:pPr>
      <w:r>
        <w:rPr>
          <w:rFonts w:hint="eastAsia" w:ascii="宋体" w:hAnsi="宋体" w:cs="宋体"/>
          <w:lang w:eastAsia="zh-CN"/>
        </w:rPr>
        <w:t>日期：</w:t>
      </w:r>
    </w:p>
    <w:p>
      <w:pPr>
        <w:pStyle w:val="4"/>
        <w:rPr>
          <w:rFonts w:hint="eastAsia" w:ascii="宋体" w:hAnsi="宋体" w:cs="宋体"/>
        </w:rPr>
      </w:pPr>
    </w:p>
    <w:p>
      <w:pPr>
        <w:rPr>
          <w:rFonts w:hint="eastAsia" w:ascii="宋体" w:hAnsi="宋体" w:cs="宋体"/>
        </w:rPr>
      </w:pPr>
    </w:p>
    <w:p>
      <w:pPr>
        <w:pStyle w:val="4"/>
        <w:rPr>
          <w:rFonts w:hint="eastAsia" w:ascii="宋体" w:hAnsi="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pStyle w:val="4"/>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2.不符合《政府采购促进中小企业发展管理办法》规定的可不填写、不递交该声明；</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3.本“注”的文字，仅为告知，不作为文件格式要求。</w:t>
      </w:r>
    </w:p>
    <w:p>
      <w:pPr>
        <w:rPr>
          <w:rFonts w:hint="eastAsia"/>
        </w:rPr>
      </w:pPr>
    </w:p>
    <w:p>
      <w:pPr>
        <w:pStyle w:val="34"/>
        <w:spacing w:before="0" w:beforeAutospacing="0" w:after="0" w:afterAutospacing="0"/>
        <w:ind w:right="560"/>
        <w:jc w:val="both"/>
        <w:rPr>
          <w:b/>
          <w:bCs/>
          <w:sz w:val="32"/>
          <w:szCs w:val="32"/>
        </w:rPr>
      </w:pPr>
    </w:p>
    <w:bookmarkEnd w:id="128"/>
    <w:bookmarkEnd w:id="129"/>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51" w:name="_Toc406663316"/>
      <w:bookmarkStart w:id="152" w:name="_Toc15846"/>
      <w:bookmarkStart w:id="153" w:name="_Toc428525390"/>
      <w:bookmarkStart w:id="154" w:name="_Toc490161471"/>
      <w:bookmarkStart w:id="155" w:name="_Toc23619"/>
      <w:bookmarkStart w:id="156" w:name="_Toc428454062"/>
      <w:bookmarkStart w:id="157" w:name="_Toc477423256"/>
      <w:bookmarkStart w:id="158" w:name="_Toc487805932"/>
      <w:bookmarkStart w:id="159" w:name="_Toc5506"/>
      <w:bookmarkStart w:id="160" w:name="_Toc373230045"/>
      <w:bookmarkStart w:id="161" w:name="_Toc25878"/>
      <w:bookmarkStart w:id="162" w:name="_Toc214329904"/>
      <w:bookmarkStart w:id="163" w:name="_Toc364490446"/>
      <w:bookmarkStart w:id="164" w:name="_Toc374512433"/>
      <w:bookmarkStart w:id="165" w:name="_Toc408816356"/>
      <w:r>
        <w:rPr>
          <w:rFonts w:hint="eastAsia"/>
          <w:b/>
          <w:sz w:val="28"/>
        </w:rPr>
        <w:t xml:space="preserve"> </w:t>
      </w:r>
    </w:p>
    <w:p>
      <w:pPr>
        <w:pStyle w:val="8"/>
        <w:numPr>
          <w:ilvl w:val="0"/>
          <w:numId w:val="14"/>
        </w:numPr>
        <w:spacing w:before="0" w:after="0" w:line="360" w:lineRule="auto"/>
        <w:jc w:val="center"/>
        <w:outlineLvl w:val="1"/>
        <w:rPr>
          <w:rFonts w:hint="eastAsia" w:ascii="宋体" w:hAnsi="宋体" w:cs="宋体"/>
          <w:sz w:val="32"/>
          <w:szCs w:val="32"/>
        </w:rPr>
      </w:pPr>
      <w:bookmarkStart w:id="166" w:name="_Toc7028"/>
      <w:r>
        <w:rPr>
          <w:rFonts w:hint="eastAsia" w:ascii="宋体" w:hAnsi="宋体" w:cs="宋体"/>
          <w:sz w:val="32"/>
          <w:szCs w:val="32"/>
        </w:rPr>
        <w:t>法定代表人身份证明或授权委托书</w:t>
      </w:r>
      <w:bookmarkEnd w:id="151"/>
      <w:bookmarkEnd w:id="152"/>
      <w:bookmarkEnd w:id="153"/>
      <w:bookmarkEnd w:id="154"/>
      <w:bookmarkEnd w:id="155"/>
      <w:bookmarkEnd w:id="156"/>
      <w:bookmarkEnd w:id="157"/>
      <w:bookmarkEnd w:id="158"/>
      <w:bookmarkEnd w:id="159"/>
      <w:bookmarkEnd w:id="166"/>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8"/>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（供应商名称）营业执照注册号：</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rPr>
        <w:t>（供应商名称）的法定代表人，现授权委托</w:t>
      </w:r>
      <w:r>
        <w:rPr>
          <w:rFonts w:hint="eastAsia" w:ascii="宋体" w:hAnsi="宋体" w:cs="宋体"/>
          <w:sz w:val="24"/>
          <w:szCs w:val="24"/>
          <w:u w:val="single"/>
        </w:rPr>
        <w:t>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rPr>
        <w:t>（姓名）为我公司（院）代理人，以本公司（院）的名义参加</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代理人无转委托权，特此声明。</w:t>
      </w:r>
    </w:p>
    <w:p>
      <w:pPr>
        <w:spacing w:line="460" w:lineRule="exact"/>
        <w:ind w:firstLine="403" w:firstLineChars="168"/>
        <w:rPr>
          <w:rFonts w:hint="eastAsia" w:ascii="宋体" w:hAnsi="宋体" w:cs="宋体"/>
          <w:sz w:val="24"/>
          <w:szCs w:val="24"/>
        </w:rPr>
      </w:pPr>
    </w:p>
    <w:p>
      <w:pPr>
        <w:spacing w:line="460" w:lineRule="exact"/>
        <w:rPr>
          <w:rFonts w:hint="eastAsia" w:ascii="宋体" w:hAnsi="宋体" w:cs="宋体"/>
          <w:sz w:val="24"/>
          <w:szCs w:val="24"/>
        </w:rPr>
      </w:pPr>
    </w:p>
    <w:p>
      <w:pPr>
        <w:spacing w:line="360" w:lineRule="auto"/>
        <w:jc w:val="center"/>
        <w:rPr>
          <w:rFonts w:hint="eastAsia" w:ascii="宋体" w:hAnsi="宋体" w:cs="宋体"/>
          <w:sz w:val="24"/>
          <w:szCs w:val="24"/>
        </w:rPr>
      </w:pPr>
      <w:bookmarkStart w:id="167" w:name="_Toc476045985"/>
      <w:bookmarkStart w:id="168" w:name="_Toc477423257"/>
      <w:bookmarkStart w:id="169" w:name="_Toc475955191"/>
      <w:bookmarkStart w:id="170" w:name="_Toc15453"/>
      <w:bookmarkStart w:id="171" w:name="_Toc487805933"/>
      <w:bookmarkStart w:id="172" w:name="_Toc490161472"/>
      <w:bookmarkStart w:id="173" w:name="_Toc428525391"/>
      <w:bookmarkStart w:id="174" w:name="_Toc428454066"/>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4"/>
        <w:ind w:firstLine="964" w:firstLineChars="400"/>
        <w:rPr>
          <w:rFonts w:hint="eastAsia" w:ascii="宋体" w:hAnsi="宋体" w:cs="宋体"/>
        </w:rPr>
        <w:sectPr>
          <w:headerReference r:id="rId14" w:type="first"/>
          <w:footerReference r:id="rId16" w:type="first"/>
          <w:headerReference r:id="rId13" w:type="default"/>
          <w:footerReference r:id="rId15"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67"/>
      <w:bookmarkEnd w:id="168"/>
      <w:bookmarkEnd w:id="169"/>
      <w:bookmarkEnd w:id="170"/>
      <w:bookmarkEnd w:id="171"/>
      <w:bookmarkEnd w:id="172"/>
      <w:bookmarkStart w:id="175" w:name="_Toc487805935"/>
      <w:bookmarkStart w:id="176" w:name="_Toc490161474"/>
      <w:bookmarkStart w:id="177" w:name="_Toc17258"/>
      <w:bookmarkStart w:id="178" w:name="_Toc477423259"/>
      <w:r>
        <w:rPr>
          <w:rFonts w:hint="eastAsia" w:ascii="宋体" w:hAnsi="宋体" w:cs="宋体"/>
          <w:b/>
        </w:rPr>
        <w:t>此项。</w:t>
      </w:r>
    </w:p>
    <w:p>
      <w:pPr>
        <w:pStyle w:val="8"/>
        <w:numPr>
          <w:ilvl w:val="0"/>
          <w:numId w:val="14"/>
        </w:numPr>
        <w:spacing w:before="0" w:after="0" w:line="360" w:lineRule="auto"/>
        <w:jc w:val="center"/>
        <w:outlineLvl w:val="1"/>
        <w:rPr>
          <w:rFonts w:hint="eastAsia" w:ascii="宋体" w:hAnsi="宋体" w:cs="宋体"/>
          <w:sz w:val="32"/>
          <w:szCs w:val="32"/>
        </w:rPr>
      </w:pPr>
      <w:bookmarkStart w:id="179" w:name="_Toc529865893"/>
      <w:bookmarkStart w:id="180" w:name="_Toc5526"/>
      <w:bookmarkStart w:id="181" w:name="_Toc12027"/>
      <w:bookmarkStart w:id="182" w:name="_Toc23637"/>
      <w:r>
        <w:rPr>
          <w:rFonts w:hint="eastAsia" w:ascii="宋体" w:hAnsi="宋体" w:cs="宋体"/>
          <w:sz w:val="32"/>
          <w:szCs w:val="32"/>
        </w:rPr>
        <w:t>残疾人福利性单位声明函</w:t>
      </w:r>
      <w:bookmarkEnd w:id="179"/>
      <w:bookmarkEnd w:id="180"/>
      <w:bookmarkEnd w:id="181"/>
      <w:bookmarkEnd w:id="182"/>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4"/>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24"/>
        <w:rPr>
          <w:rFonts w:hint="eastAsia" w:cs="宋体"/>
        </w:rPr>
      </w:pPr>
    </w:p>
    <w:bookmarkEnd w:id="175"/>
    <w:bookmarkEnd w:id="176"/>
    <w:bookmarkEnd w:id="177"/>
    <w:bookmarkEnd w:id="178"/>
    <w:p>
      <w:pPr>
        <w:pStyle w:val="8"/>
        <w:numPr>
          <w:ilvl w:val="0"/>
          <w:numId w:val="14"/>
        </w:numPr>
        <w:spacing w:before="0" w:after="0" w:line="360" w:lineRule="auto"/>
        <w:jc w:val="center"/>
        <w:outlineLvl w:val="1"/>
        <w:rPr>
          <w:rFonts w:hint="eastAsia" w:ascii="宋体" w:hAnsi="宋体" w:cs="宋体"/>
          <w:sz w:val="32"/>
          <w:szCs w:val="32"/>
        </w:rPr>
      </w:pPr>
      <w:bookmarkStart w:id="183" w:name="_Toc19062"/>
      <w:bookmarkStart w:id="184" w:name="_Toc1654"/>
      <w:bookmarkStart w:id="185" w:name="_Toc487805936"/>
      <w:bookmarkStart w:id="186" w:name="_Toc490161475"/>
      <w:bookmarkStart w:id="187" w:name="_Toc477423260"/>
      <w:bookmarkStart w:id="188" w:name="_Toc7106"/>
      <w:bookmarkStart w:id="189" w:name="_Toc7213"/>
      <w:r>
        <w:rPr>
          <w:rFonts w:hint="eastAsia" w:ascii="宋体" w:hAnsi="宋体" w:cs="宋体"/>
          <w:sz w:val="32"/>
          <w:szCs w:val="32"/>
        </w:rPr>
        <w:t>反商业贿赂承诺书</w:t>
      </w:r>
      <w:bookmarkEnd w:id="183"/>
      <w:bookmarkEnd w:id="184"/>
      <w:bookmarkEnd w:id="185"/>
      <w:bookmarkEnd w:id="186"/>
      <w:bookmarkEnd w:id="187"/>
      <w:bookmarkEnd w:id="188"/>
      <w:bookmarkEnd w:id="189"/>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60"/>
    <w:bookmarkEnd w:id="161"/>
    <w:bookmarkEnd w:id="162"/>
    <w:bookmarkEnd w:id="163"/>
    <w:bookmarkEnd w:id="164"/>
    <w:bookmarkEnd w:id="165"/>
    <w:bookmarkEnd w:id="173"/>
    <w:bookmarkEnd w:id="174"/>
    <w:p>
      <w:pPr>
        <w:spacing w:line="460" w:lineRule="exact"/>
        <w:rPr>
          <w:rFonts w:hint="eastAsia" w:ascii="宋体" w:hAnsi="宋体" w:cs="宋体"/>
          <w:sz w:val="24"/>
          <w:szCs w:val="24"/>
        </w:rPr>
      </w:pPr>
      <w:bookmarkStart w:id="190" w:name="_Toc406663323"/>
      <w:bookmarkStart w:id="191" w:name="_Toc19579"/>
      <w:bookmarkStart w:id="192" w:name="_Toc476045994"/>
      <w:bookmarkStart w:id="193" w:name="_Toc18166"/>
      <w:bookmarkStart w:id="194" w:name="_Toc364962592"/>
      <w:bookmarkStart w:id="195" w:name="_Toc365712853"/>
      <w:bookmarkStart w:id="196" w:name="_Toc19463"/>
      <w:bookmarkStart w:id="197" w:name="_Toc490161482"/>
      <w:bookmarkStart w:id="198" w:name="_Toc477423265"/>
      <w:bookmarkStart w:id="199" w:name="_Toc475955200"/>
      <w:bookmarkStart w:id="200" w:name="_Toc450037734"/>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8"/>
        <w:numPr>
          <w:ilvl w:val="0"/>
          <w:numId w:val="14"/>
        </w:numPr>
        <w:spacing w:before="0" w:after="0" w:line="360" w:lineRule="auto"/>
        <w:outlineLvl w:val="1"/>
        <w:rPr>
          <w:rFonts w:hint="eastAsia" w:ascii="宋体" w:hAnsi="宋体" w:cs="宋体"/>
          <w:sz w:val="32"/>
          <w:szCs w:val="32"/>
        </w:rPr>
      </w:pPr>
      <w:bookmarkStart w:id="201" w:name="_Toc2619"/>
      <w:r>
        <w:rPr>
          <w:rFonts w:hint="eastAsia" w:ascii="宋体" w:hAnsi="宋体" w:cs="宋体"/>
          <w:sz w:val="32"/>
          <w:szCs w:val="32"/>
        </w:rPr>
        <w:t>竞争性磋商文件要求的以及供应商认为应该提供的其他材料</w:t>
      </w:r>
      <w:bookmarkEnd w:id="190"/>
      <w:bookmarkEnd w:id="191"/>
      <w:bookmarkEnd w:id="192"/>
      <w:bookmarkEnd w:id="193"/>
      <w:bookmarkEnd w:id="194"/>
      <w:bookmarkEnd w:id="195"/>
      <w:bookmarkEnd w:id="196"/>
      <w:bookmarkEnd w:id="197"/>
      <w:bookmarkEnd w:id="198"/>
      <w:bookmarkEnd w:id="199"/>
      <w:bookmarkEnd w:id="200"/>
      <w:bookmarkEnd w:id="201"/>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rPr>
          <w:rFonts w:hint="eastAsia" w:ascii="宋体" w:hAnsi="宋体" w:cs="宋体"/>
          <w:b/>
          <w:bCs/>
          <w:sz w:val="32"/>
          <w:szCs w:val="32"/>
        </w:rPr>
      </w:pPr>
    </w:p>
    <w:sectPr>
      <w:headerReference r:id="rId18" w:type="first"/>
      <w:footerReference r:id="rId20" w:type="first"/>
      <w:headerReference r:id="rId17" w:type="default"/>
      <w:footerReference r:id="rId19"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center" w:pos="4649"/>
        <w:tab w:val="clear" w:pos="4153"/>
      </w:tabs>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5"/>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5"/>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j97HnUAQAApgMAAA4AAABkcnMvZTJvRG9jLnhtbK1TzY7TMBC+&#10;I/EOlu80aWEhipquFlWLkBAgLTyA69iNJf/J4zbpC8AbcOLCnefqc+zYSbpouexhL86MZ/zNfN9M&#10;1teD0eQoAihnG7pclJQIy12r7L6h37/dvqoogchsy7SzoqEnAfR68/LFuve1WLnO6VYEgiAW6t43&#10;tIvR10UBvBOGwcJ5YTEoXTAsohv2RRtYj+hGF6uyfFv0LrQ+OC4A8HY7BumEGJ4C6KRUXGwdPxhh&#10;44gahGYRKUGnPNBN7lZKweMXKUFEohuKTGM+sQjau3QWmzWr94H5TvGpBfaUFh5xMkxZLHqB2rLI&#10;yCGo/6CM4sGBk3HBnSlGIlkRZLEsH2lz1zEvMheUGvxFdHg+WP75+DUQ1TZ0RYllBgd+/vXz/Pvv&#10;+c8Psixfv0kK9R5qTLzzmBqH927AvZnvAS8T8UEGk75IiWAc9T1d9BVDJDw9qlZVVWKIY2x2EL94&#10;eO4DxA/CGZKMhgYcYNaVHT9BHFPnlFTNululdR6itqRH1Kvq3VV+cQkhurZYJLEYu01WHHbDRG3n&#10;2hMy63ELGmpx6SnRHy2KnBZmNsJs7Gbj4IPad3mjUivgbw4R28ldpgoj7FQYx5d5TquW9uNfP2c9&#10;/F6b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ex5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5"/>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5"/>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5"/>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center" w:pos="4649"/>
        <w:tab w:val="clear" w:pos="4153"/>
      </w:tabs>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A1469"/>
    <w:multiLevelType w:val="singleLevel"/>
    <w:tmpl w:val="938A1469"/>
    <w:lvl w:ilvl="0" w:tentative="0">
      <w:start w:val="1"/>
      <w:numFmt w:val="decimal"/>
      <w:lvlText w:val="%1."/>
      <w:lvlJc w:val="left"/>
      <w:pPr>
        <w:tabs>
          <w:tab w:val="left" w:pos="312"/>
        </w:tabs>
      </w:pPr>
    </w:lvl>
  </w:abstractNum>
  <w:abstractNum w:abstractNumId="1">
    <w:nsid w:val="9EDF6615"/>
    <w:multiLevelType w:val="singleLevel"/>
    <w:tmpl w:val="9EDF6615"/>
    <w:lvl w:ilvl="0" w:tentative="0">
      <w:start w:val="3"/>
      <w:numFmt w:val="chineseCounting"/>
      <w:suff w:val="nothing"/>
      <w:lvlText w:val="%1、"/>
      <w:lvlJc w:val="left"/>
      <w:rPr>
        <w:rFonts w:hint="eastAsia"/>
      </w:rPr>
    </w:lvl>
  </w:abstractNum>
  <w:abstractNum w:abstractNumId="2">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3">
    <w:nsid w:val="00000002"/>
    <w:multiLevelType w:val="multilevel"/>
    <w:tmpl w:val="00000002"/>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5">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6">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1B"/>
    <w:multiLevelType w:val="singleLevel"/>
    <w:tmpl w:val="0000001B"/>
    <w:lvl w:ilvl="0" w:tentative="0">
      <w:start w:val="1"/>
      <w:numFmt w:val="decimal"/>
      <w:suff w:val="nothing"/>
      <w:lvlText w:val="%1."/>
      <w:lvlJc w:val="left"/>
    </w:lvl>
  </w:abstractNum>
  <w:abstractNum w:abstractNumId="9">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4"/>
    <w:multiLevelType w:val="multilevel"/>
    <w:tmpl w:val="00000024"/>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default" w:ascii="宋体" w:hAnsi="宋体" w:eastAsia="宋体" w:cs="宋体"/>
        <w:color w:val="auto"/>
        <w:sz w:val="21"/>
        <w:szCs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6"/>
    <w:multiLevelType w:val="singleLevel"/>
    <w:tmpl w:val="00000036"/>
    <w:lvl w:ilvl="0" w:tentative="0">
      <w:start w:val="1"/>
      <w:numFmt w:val="decimal"/>
      <w:suff w:val="nothing"/>
      <w:lvlText w:val="%1."/>
      <w:lvlJc w:val="left"/>
    </w:lvl>
  </w:abstractNum>
  <w:abstractNum w:abstractNumId="14">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5"/>
  </w:num>
  <w:num w:numId="2">
    <w:abstractNumId w:val="14"/>
  </w:num>
  <w:num w:numId="3">
    <w:abstractNumId w:val="13"/>
  </w:num>
  <w:num w:numId="4">
    <w:abstractNumId w:val="10"/>
  </w:num>
  <w:num w:numId="5">
    <w:abstractNumId w:val="2"/>
  </w:num>
  <w:num w:numId="6">
    <w:abstractNumId w:val="3"/>
  </w:num>
  <w:num w:numId="7">
    <w:abstractNumId w:val="6"/>
  </w:num>
  <w:num w:numId="8">
    <w:abstractNumId w:val="9"/>
  </w:num>
  <w:num w:numId="9">
    <w:abstractNumId w:val="1"/>
  </w:num>
  <w:num w:numId="10">
    <w:abstractNumId w:val="7"/>
  </w:num>
  <w:num w:numId="11">
    <w:abstractNumId w:val="4"/>
  </w:num>
  <w:num w:numId="12">
    <w:abstractNumId w:val="12"/>
  </w:num>
  <w:num w:numId="13">
    <w:abstractNumId w:val="11"/>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xMzc1NTVlMTNlYWU3MzUyNDQwYjM3NWYwNDE0MDI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A736F"/>
    <w:rsid w:val="00BB14EA"/>
    <w:rsid w:val="00BD6724"/>
    <w:rsid w:val="00BE6306"/>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B250DA"/>
    <w:rsid w:val="02B32C00"/>
    <w:rsid w:val="02EB23E7"/>
    <w:rsid w:val="030F6088"/>
    <w:rsid w:val="034D4E02"/>
    <w:rsid w:val="03555A65"/>
    <w:rsid w:val="036566EB"/>
    <w:rsid w:val="03830824"/>
    <w:rsid w:val="03EF1DEA"/>
    <w:rsid w:val="04323463"/>
    <w:rsid w:val="04562E58"/>
    <w:rsid w:val="04644C52"/>
    <w:rsid w:val="046E2D62"/>
    <w:rsid w:val="04E57AC0"/>
    <w:rsid w:val="04EC22B8"/>
    <w:rsid w:val="051017B6"/>
    <w:rsid w:val="05130FB5"/>
    <w:rsid w:val="0536281A"/>
    <w:rsid w:val="053C0C8A"/>
    <w:rsid w:val="05465E75"/>
    <w:rsid w:val="0559183C"/>
    <w:rsid w:val="05932DEC"/>
    <w:rsid w:val="05B93485"/>
    <w:rsid w:val="05C71142"/>
    <w:rsid w:val="05D821BC"/>
    <w:rsid w:val="064365F2"/>
    <w:rsid w:val="064E27D6"/>
    <w:rsid w:val="066514D0"/>
    <w:rsid w:val="067726AC"/>
    <w:rsid w:val="06C8536A"/>
    <w:rsid w:val="07414C7E"/>
    <w:rsid w:val="074D3623"/>
    <w:rsid w:val="07AF7E3A"/>
    <w:rsid w:val="07E560A1"/>
    <w:rsid w:val="07EB6D02"/>
    <w:rsid w:val="07FC3AF7"/>
    <w:rsid w:val="086C7AD9"/>
    <w:rsid w:val="087E3197"/>
    <w:rsid w:val="08C94A81"/>
    <w:rsid w:val="08E753B1"/>
    <w:rsid w:val="09032B5D"/>
    <w:rsid w:val="091B1C08"/>
    <w:rsid w:val="091C32AD"/>
    <w:rsid w:val="095876F5"/>
    <w:rsid w:val="09753FAD"/>
    <w:rsid w:val="097B48D7"/>
    <w:rsid w:val="097F55EA"/>
    <w:rsid w:val="09831C8A"/>
    <w:rsid w:val="099C7A81"/>
    <w:rsid w:val="09B3321A"/>
    <w:rsid w:val="09B94F9F"/>
    <w:rsid w:val="09BB7A3D"/>
    <w:rsid w:val="09D41DD9"/>
    <w:rsid w:val="09EB0ED1"/>
    <w:rsid w:val="0A0E27AD"/>
    <w:rsid w:val="0A23066B"/>
    <w:rsid w:val="0A455AAA"/>
    <w:rsid w:val="0A496AA6"/>
    <w:rsid w:val="0A7D7D7B"/>
    <w:rsid w:val="0AB55D93"/>
    <w:rsid w:val="0ABA2D7D"/>
    <w:rsid w:val="0AF52007"/>
    <w:rsid w:val="0AFD0EBC"/>
    <w:rsid w:val="0B0C55A3"/>
    <w:rsid w:val="0B4A5E65"/>
    <w:rsid w:val="0B6A792F"/>
    <w:rsid w:val="0B6B051B"/>
    <w:rsid w:val="0BB26A70"/>
    <w:rsid w:val="0BB27EF8"/>
    <w:rsid w:val="0BC67500"/>
    <w:rsid w:val="0C195E4B"/>
    <w:rsid w:val="0C2506CA"/>
    <w:rsid w:val="0C6A432F"/>
    <w:rsid w:val="0CD2224F"/>
    <w:rsid w:val="0CE55CFE"/>
    <w:rsid w:val="0CEA6115"/>
    <w:rsid w:val="0D32353D"/>
    <w:rsid w:val="0D7D4536"/>
    <w:rsid w:val="0DAF0B93"/>
    <w:rsid w:val="0DF612D3"/>
    <w:rsid w:val="0E031C4F"/>
    <w:rsid w:val="0E0620AA"/>
    <w:rsid w:val="0E552513"/>
    <w:rsid w:val="0E5C239D"/>
    <w:rsid w:val="0E63197E"/>
    <w:rsid w:val="0F044A03"/>
    <w:rsid w:val="0F1B6A2C"/>
    <w:rsid w:val="0F223D21"/>
    <w:rsid w:val="0F2E09A0"/>
    <w:rsid w:val="0F2F360E"/>
    <w:rsid w:val="0F3A297B"/>
    <w:rsid w:val="0F5372FC"/>
    <w:rsid w:val="0F6C35CE"/>
    <w:rsid w:val="0FBD0C1A"/>
    <w:rsid w:val="0FC30926"/>
    <w:rsid w:val="0FC659F3"/>
    <w:rsid w:val="0FF07241"/>
    <w:rsid w:val="1022110A"/>
    <w:rsid w:val="103939A5"/>
    <w:rsid w:val="104135F9"/>
    <w:rsid w:val="10437371"/>
    <w:rsid w:val="10D95F27"/>
    <w:rsid w:val="10F23B58"/>
    <w:rsid w:val="10F845FF"/>
    <w:rsid w:val="112706F4"/>
    <w:rsid w:val="113263C3"/>
    <w:rsid w:val="115D4462"/>
    <w:rsid w:val="115F08E1"/>
    <w:rsid w:val="117417AC"/>
    <w:rsid w:val="117B4B6D"/>
    <w:rsid w:val="118F65E6"/>
    <w:rsid w:val="11BC14CB"/>
    <w:rsid w:val="11F3777D"/>
    <w:rsid w:val="128D141F"/>
    <w:rsid w:val="12920EF5"/>
    <w:rsid w:val="12A871D7"/>
    <w:rsid w:val="135B70C7"/>
    <w:rsid w:val="13710699"/>
    <w:rsid w:val="13D44784"/>
    <w:rsid w:val="141F1494"/>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CC605B"/>
    <w:rsid w:val="15EA37B8"/>
    <w:rsid w:val="15F2599B"/>
    <w:rsid w:val="15F80BFE"/>
    <w:rsid w:val="161F0EEC"/>
    <w:rsid w:val="16420C4F"/>
    <w:rsid w:val="16486627"/>
    <w:rsid w:val="16502CDA"/>
    <w:rsid w:val="16557669"/>
    <w:rsid w:val="16BA216A"/>
    <w:rsid w:val="16C72E02"/>
    <w:rsid w:val="16E66CA8"/>
    <w:rsid w:val="17033CFE"/>
    <w:rsid w:val="170B4961"/>
    <w:rsid w:val="17714319"/>
    <w:rsid w:val="179901BE"/>
    <w:rsid w:val="17A96653"/>
    <w:rsid w:val="17B46264"/>
    <w:rsid w:val="17F51340"/>
    <w:rsid w:val="18177ED1"/>
    <w:rsid w:val="18673E19"/>
    <w:rsid w:val="18837C5C"/>
    <w:rsid w:val="18C354F3"/>
    <w:rsid w:val="19267830"/>
    <w:rsid w:val="19355CC5"/>
    <w:rsid w:val="19362169"/>
    <w:rsid w:val="19375EE1"/>
    <w:rsid w:val="19397563"/>
    <w:rsid w:val="193D01D8"/>
    <w:rsid w:val="19587403"/>
    <w:rsid w:val="199B0BC1"/>
    <w:rsid w:val="19C93D85"/>
    <w:rsid w:val="19E55103"/>
    <w:rsid w:val="1A0A0E60"/>
    <w:rsid w:val="1A0B7134"/>
    <w:rsid w:val="1A2279A0"/>
    <w:rsid w:val="1A241393"/>
    <w:rsid w:val="1A393BF0"/>
    <w:rsid w:val="1A66082C"/>
    <w:rsid w:val="1AA67A69"/>
    <w:rsid w:val="1AE55376"/>
    <w:rsid w:val="1B0C692E"/>
    <w:rsid w:val="1BBE6686"/>
    <w:rsid w:val="1BC33A5C"/>
    <w:rsid w:val="1C24274C"/>
    <w:rsid w:val="1C395ACC"/>
    <w:rsid w:val="1C5260F7"/>
    <w:rsid w:val="1C626DD1"/>
    <w:rsid w:val="1C654B13"/>
    <w:rsid w:val="1D210BFD"/>
    <w:rsid w:val="1D2B3667"/>
    <w:rsid w:val="1D4B5AB7"/>
    <w:rsid w:val="1D540C49"/>
    <w:rsid w:val="1D617689"/>
    <w:rsid w:val="1D8D377B"/>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EA5EA1"/>
    <w:rsid w:val="203C7A5B"/>
    <w:rsid w:val="20602C7A"/>
    <w:rsid w:val="209E535D"/>
    <w:rsid w:val="20C148C6"/>
    <w:rsid w:val="20E26732"/>
    <w:rsid w:val="215C2350"/>
    <w:rsid w:val="21C1450A"/>
    <w:rsid w:val="21C34257"/>
    <w:rsid w:val="21CB5418"/>
    <w:rsid w:val="21F4496F"/>
    <w:rsid w:val="221950B9"/>
    <w:rsid w:val="222D7E81"/>
    <w:rsid w:val="22433DD5"/>
    <w:rsid w:val="22821F7B"/>
    <w:rsid w:val="22A40E2A"/>
    <w:rsid w:val="22CB4C39"/>
    <w:rsid w:val="22D34D24"/>
    <w:rsid w:val="22DA1DB7"/>
    <w:rsid w:val="22E55B06"/>
    <w:rsid w:val="22F52960"/>
    <w:rsid w:val="22FA2B18"/>
    <w:rsid w:val="23211167"/>
    <w:rsid w:val="23250B58"/>
    <w:rsid w:val="23616034"/>
    <w:rsid w:val="23647A1C"/>
    <w:rsid w:val="23706277"/>
    <w:rsid w:val="2382348F"/>
    <w:rsid w:val="239C6276"/>
    <w:rsid w:val="23B73C18"/>
    <w:rsid w:val="246360C3"/>
    <w:rsid w:val="24765B0F"/>
    <w:rsid w:val="247B58A0"/>
    <w:rsid w:val="24855D52"/>
    <w:rsid w:val="248F6BD1"/>
    <w:rsid w:val="24B108F5"/>
    <w:rsid w:val="24D81875"/>
    <w:rsid w:val="24E24F53"/>
    <w:rsid w:val="24E94533"/>
    <w:rsid w:val="250F386E"/>
    <w:rsid w:val="25356324"/>
    <w:rsid w:val="253B22C4"/>
    <w:rsid w:val="25706CBA"/>
    <w:rsid w:val="25AE3087"/>
    <w:rsid w:val="25B85CB3"/>
    <w:rsid w:val="26011794"/>
    <w:rsid w:val="26094761"/>
    <w:rsid w:val="26751DF6"/>
    <w:rsid w:val="26A92FFB"/>
    <w:rsid w:val="26C02369"/>
    <w:rsid w:val="26CB02AF"/>
    <w:rsid w:val="26DD1E76"/>
    <w:rsid w:val="27145658"/>
    <w:rsid w:val="27283ECE"/>
    <w:rsid w:val="27286E69"/>
    <w:rsid w:val="2733425E"/>
    <w:rsid w:val="27441EF5"/>
    <w:rsid w:val="275C6691"/>
    <w:rsid w:val="27E6053F"/>
    <w:rsid w:val="28016BEB"/>
    <w:rsid w:val="280264C3"/>
    <w:rsid w:val="280E153D"/>
    <w:rsid w:val="285F68BA"/>
    <w:rsid w:val="2863671A"/>
    <w:rsid w:val="288B136F"/>
    <w:rsid w:val="28AA2846"/>
    <w:rsid w:val="28AB7D51"/>
    <w:rsid w:val="28B01ACD"/>
    <w:rsid w:val="28DE4AA3"/>
    <w:rsid w:val="28E15521"/>
    <w:rsid w:val="28FE4325"/>
    <w:rsid w:val="29026462"/>
    <w:rsid w:val="291E02EB"/>
    <w:rsid w:val="29731ED1"/>
    <w:rsid w:val="29C56BF1"/>
    <w:rsid w:val="29DC499B"/>
    <w:rsid w:val="29DD4F4B"/>
    <w:rsid w:val="29FF0355"/>
    <w:rsid w:val="2A2D4EC2"/>
    <w:rsid w:val="2A3A138D"/>
    <w:rsid w:val="2A573CED"/>
    <w:rsid w:val="2A7523C5"/>
    <w:rsid w:val="2A8D770F"/>
    <w:rsid w:val="2A9E7B6E"/>
    <w:rsid w:val="2AA84549"/>
    <w:rsid w:val="2AC84BEB"/>
    <w:rsid w:val="2ADF3CE2"/>
    <w:rsid w:val="2AF2558A"/>
    <w:rsid w:val="2B193346"/>
    <w:rsid w:val="2B260516"/>
    <w:rsid w:val="2B2B560D"/>
    <w:rsid w:val="2B6B095B"/>
    <w:rsid w:val="2BC57C52"/>
    <w:rsid w:val="2BEE242F"/>
    <w:rsid w:val="2BF11F1F"/>
    <w:rsid w:val="2C003885"/>
    <w:rsid w:val="2C2E3173"/>
    <w:rsid w:val="2C526E91"/>
    <w:rsid w:val="2C867239"/>
    <w:rsid w:val="2CD930DF"/>
    <w:rsid w:val="2D524754"/>
    <w:rsid w:val="2D573CA4"/>
    <w:rsid w:val="2D9E61E0"/>
    <w:rsid w:val="2DE53D06"/>
    <w:rsid w:val="2E0C4DEE"/>
    <w:rsid w:val="2E291D46"/>
    <w:rsid w:val="2E7A5112"/>
    <w:rsid w:val="2EBF00B3"/>
    <w:rsid w:val="2EF35FAE"/>
    <w:rsid w:val="2EF7784D"/>
    <w:rsid w:val="2F227824"/>
    <w:rsid w:val="2F4440CA"/>
    <w:rsid w:val="2F49150D"/>
    <w:rsid w:val="2F542EF1"/>
    <w:rsid w:val="2F5C1DA5"/>
    <w:rsid w:val="2F653786"/>
    <w:rsid w:val="302B7E84"/>
    <w:rsid w:val="3043740F"/>
    <w:rsid w:val="30660E93"/>
    <w:rsid w:val="30BE6470"/>
    <w:rsid w:val="30C73495"/>
    <w:rsid w:val="30D70F8A"/>
    <w:rsid w:val="30DF11B1"/>
    <w:rsid w:val="30EB38AE"/>
    <w:rsid w:val="319F3B14"/>
    <w:rsid w:val="3200110E"/>
    <w:rsid w:val="32450C5C"/>
    <w:rsid w:val="328518BA"/>
    <w:rsid w:val="32B855C8"/>
    <w:rsid w:val="32D700C1"/>
    <w:rsid w:val="32FC18D5"/>
    <w:rsid w:val="331570B9"/>
    <w:rsid w:val="332B6F4B"/>
    <w:rsid w:val="33A36954"/>
    <w:rsid w:val="33B71CA0"/>
    <w:rsid w:val="33C148CD"/>
    <w:rsid w:val="33E84297"/>
    <w:rsid w:val="33E84639"/>
    <w:rsid w:val="33F85841"/>
    <w:rsid w:val="3402116D"/>
    <w:rsid w:val="340257AD"/>
    <w:rsid w:val="34034EE6"/>
    <w:rsid w:val="3417273F"/>
    <w:rsid w:val="342033A2"/>
    <w:rsid w:val="343B467F"/>
    <w:rsid w:val="347600C7"/>
    <w:rsid w:val="34FF3EF1"/>
    <w:rsid w:val="35216B3A"/>
    <w:rsid w:val="3542559A"/>
    <w:rsid w:val="357240D1"/>
    <w:rsid w:val="35E46F67"/>
    <w:rsid w:val="36172D69"/>
    <w:rsid w:val="36252EF1"/>
    <w:rsid w:val="36392432"/>
    <w:rsid w:val="365A2ACD"/>
    <w:rsid w:val="36CA1CEB"/>
    <w:rsid w:val="36F34D9D"/>
    <w:rsid w:val="37215DAE"/>
    <w:rsid w:val="37385662"/>
    <w:rsid w:val="37621F23"/>
    <w:rsid w:val="3768578B"/>
    <w:rsid w:val="376F6900"/>
    <w:rsid w:val="377834F5"/>
    <w:rsid w:val="37865C12"/>
    <w:rsid w:val="379B4086"/>
    <w:rsid w:val="37AA6032"/>
    <w:rsid w:val="37EE08D8"/>
    <w:rsid w:val="384E0062"/>
    <w:rsid w:val="386677F1"/>
    <w:rsid w:val="38706B58"/>
    <w:rsid w:val="387A22ED"/>
    <w:rsid w:val="38E11F92"/>
    <w:rsid w:val="390E705C"/>
    <w:rsid w:val="391508C7"/>
    <w:rsid w:val="39404C40"/>
    <w:rsid w:val="395922F3"/>
    <w:rsid w:val="395A7356"/>
    <w:rsid w:val="3962445C"/>
    <w:rsid w:val="39893797"/>
    <w:rsid w:val="39A1607B"/>
    <w:rsid w:val="3A6B4003"/>
    <w:rsid w:val="3A924EA9"/>
    <w:rsid w:val="3AB331C1"/>
    <w:rsid w:val="3AD06540"/>
    <w:rsid w:val="3ADF038D"/>
    <w:rsid w:val="3AE37655"/>
    <w:rsid w:val="3B223EA3"/>
    <w:rsid w:val="3B68689B"/>
    <w:rsid w:val="3B845814"/>
    <w:rsid w:val="3B9D79CE"/>
    <w:rsid w:val="3BCC3E0F"/>
    <w:rsid w:val="3C2A559E"/>
    <w:rsid w:val="3C4B567C"/>
    <w:rsid w:val="3C545E01"/>
    <w:rsid w:val="3C7626F9"/>
    <w:rsid w:val="3C7D2064"/>
    <w:rsid w:val="3C8666B4"/>
    <w:rsid w:val="3CAF5C0A"/>
    <w:rsid w:val="3D0221DE"/>
    <w:rsid w:val="3D51730D"/>
    <w:rsid w:val="3D8250CD"/>
    <w:rsid w:val="3D83546E"/>
    <w:rsid w:val="3E114C4C"/>
    <w:rsid w:val="3E2D328B"/>
    <w:rsid w:val="3E655A64"/>
    <w:rsid w:val="3E895FE7"/>
    <w:rsid w:val="3E8A4C21"/>
    <w:rsid w:val="3E9958B1"/>
    <w:rsid w:val="3EC82FB3"/>
    <w:rsid w:val="3ED50CA5"/>
    <w:rsid w:val="3EE719AC"/>
    <w:rsid w:val="3EEA2F2A"/>
    <w:rsid w:val="3F406FEE"/>
    <w:rsid w:val="3F6833D1"/>
    <w:rsid w:val="3F941354"/>
    <w:rsid w:val="3FAE708C"/>
    <w:rsid w:val="3FDA1030"/>
    <w:rsid w:val="3FF12C3A"/>
    <w:rsid w:val="400A54C8"/>
    <w:rsid w:val="40386761"/>
    <w:rsid w:val="409725E8"/>
    <w:rsid w:val="40A215BE"/>
    <w:rsid w:val="40DB376D"/>
    <w:rsid w:val="40FA4E7B"/>
    <w:rsid w:val="40FE6FBD"/>
    <w:rsid w:val="411424C6"/>
    <w:rsid w:val="41201CCA"/>
    <w:rsid w:val="41271358"/>
    <w:rsid w:val="412F10C8"/>
    <w:rsid w:val="415D3E87"/>
    <w:rsid w:val="417B430D"/>
    <w:rsid w:val="41D028AB"/>
    <w:rsid w:val="41DF489C"/>
    <w:rsid w:val="41E41EB2"/>
    <w:rsid w:val="42106AA5"/>
    <w:rsid w:val="42442C17"/>
    <w:rsid w:val="424A6232"/>
    <w:rsid w:val="425816DC"/>
    <w:rsid w:val="426E40F0"/>
    <w:rsid w:val="42762427"/>
    <w:rsid w:val="43184112"/>
    <w:rsid w:val="431B2987"/>
    <w:rsid w:val="433E1A96"/>
    <w:rsid w:val="43514E8F"/>
    <w:rsid w:val="43664B49"/>
    <w:rsid w:val="43D917BF"/>
    <w:rsid w:val="4412230A"/>
    <w:rsid w:val="44390EDF"/>
    <w:rsid w:val="44623562"/>
    <w:rsid w:val="447514E8"/>
    <w:rsid w:val="447F1515"/>
    <w:rsid w:val="44971580"/>
    <w:rsid w:val="449D27EC"/>
    <w:rsid w:val="44A07CD1"/>
    <w:rsid w:val="44CB403A"/>
    <w:rsid w:val="4519546F"/>
    <w:rsid w:val="45291D8C"/>
    <w:rsid w:val="4589726A"/>
    <w:rsid w:val="45A8769B"/>
    <w:rsid w:val="45CD5A14"/>
    <w:rsid w:val="45CF2E79"/>
    <w:rsid w:val="45DB1070"/>
    <w:rsid w:val="46113492"/>
    <w:rsid w:val="4622484A"/>
    <w:rsid w:val="46265A4F"/>
    <w:rsid w:val="46317B68"/>
    <w:rsid w:val="463C0496"/>
    <w:rsid w:val="464C3F11"/>
    <w:rsid w:val="46BA3E8B"/>
    <w:rsid w:val="47525B10"/>
    <w:rsid w:val="478F0B12"/>
    <w:rsid w:val="47BC567F"/>
    <w:rsid w:val="47E46F5C"/>
    <w:rsid w:val="47FB61A8"/>
    <w:rsid w:val="480056D8"/>
    <w:rsid w:val="48374480"/>
    <w:rsid w:val="483F277D"/>
    <w:rsid w:val="488E2B78"/>
    <w:rsid w:val="48B40105"/>
    <w:rsid w:val="48BD345D"/>
    <w:rsid w:val="48DF1625"/>
    <w:rsid w:val="48FB2CF7"/>
    <w:rsid w:val="49107A31"/>
    <w:rsid w:val="49372EB2"/>
    <w:rsid w:val="493C25D4"/>
    <w:rsid w:val="494D658F"/>
    <w:rsid w:val="494E5146"/>
    <w:rsid w:val="49BE748D"/>
    <w:rsid w:val="49FB621D"/>
    <w:rsid w:val="4A011398"/>
    <w:rsid w:val="4A05080D"/>
    <w:rsid w:val="4A091ED0"/>
    <w:rsid w:val="4A410FE7"/>
    <w:rsid w:val="4A7D10F6"/>
    <w:rsid w:val="4A927650"/>
    <w:rsid w:val="4ABF170F"/>
    <w:rsid w:val="4B52754A"/>
    <w:rsid w:val="4B6F5345"/>
    <w:rsid w:val="4B8F7BC6"/>
    <w:rsid w:val="4BBA394F"/>
    <w:rsid w:val="4BFD6A13"/>
    <w:rsid w:val="4C2757BD"/>
    <w:rsid w:val="4C3C07ED"/>
    <w:rsid w:val="4C7B4A9E"/>
    <w:rsid w:val="4CC7434F"/>
    <w:rsid w:val="4CD945DE"/>
    <w:rsid w:val="4D03307E"/>
    <w:rsid w:val="4D91713A"/>
    <w:rsid w:val="4DD21759"/>
    <w:rsid w:val="4DF72F6D"/>
    <w:rsid w:val="4E0A47AA"/>
    <w:rsid w:val="4E2F0959"/>
    <w:rsid w:val="4E847CBD"/>
    <w:rsid w:val="4E8E2ED5"/>
    <w:rsid w:val="4ED70257"/>
    <w:rsid w:val="4EF243B2"/>
    <w:rsid w:val="4EFF005C"/>
    <w:rsid w:val="4F732AC8"/>
    <w:rsid w:val="4F873249"/>
    <w:rsid w:val="4FCA2695"/>
    <w:rsid w:val="4FEB08B0"/>
    <w:rsid w:val="4FFC6AF7"/>
    <w:rsid w:val="500951DA"/>
    <w:rsid w:val="501A1D50"/>
    <w:rsid w:val="503075AA"/>
    <w:rsid w:val="50410780"/>
    <w:rsid w:val="504D156B"/>
    <w:rsid w:val="50524154"/>
    <w:rsid w:val="50BE7306"/>
    <w:rsid w:val="50FD109C"/>
    <w:rsid w:val="5112712D"/>
    <w:rsid w:val="5119144D"/>
    <w:rsid w:val="513A1AEF"/>
    <w:rsid w:val="51885E41"/>
    <w:rsid w:val="51932FAD"/>
    <w:rsid w:val="51B750E9"/>
    <w:rsid w:val="51BB2E7F"/>
    <w:rsid w:val="5217598C"/>
    <w:rsid w:val="521D69F0"/>
    <w:rsid w:val="522C218B"/>
    <w:rsid w:val="523429E2"/>
    <w:rsid w:val="524C5D58"/>
    <w:rsid w:val="529E11CC"/>
    <w:rsid w:val="52DD3440"/>
    <w:rsid w:val="530C3041"/>
    <w:rsid w:val="531E71EE"/>
    <w:rsid w:val="5360493A"/>
    <w:rsid w:val="53652785"/>
    <w:rsid w:val="538F24EB"/>
    <w:rsid w:val="5394300C"/>
    <w:rsid w:val="53981F52"/>
    <w:rsid w:val="53A24582"/>
    <w:rsid w:val="53A5521A"/>
    <w:rsid w:val="53BA6155"/>
    <w:rsid w:val="541D3002"/>
    <w:rsid w:val="5454544A"/>
    <w:rsid w:val="549737CD"/>
    <w:rsid w:val="54974F18"/>
    <w:rsid w:val="54A26E92"/>
    <w:rsid w:val="54A34AFF"/>
    <w:rsid w:val="55055AD7"/>
    <w:rsid w:val="55180399"/>
    <w:rsid w:val="55805F3E"/>
    <w:rsid w:val="559A2BCB"/>
    <w:rsid w:val="55A97243"/>
    <w:rsid w:val="55AB30F3"/>
    <w:rsid w:val="55DA73FC"/>
    <w:rsid w:val="55DD516C"/>
    <w:rsid w:val="562A20EE"/>
    <w:rsid w:val="5685572F"/>
    <w:rsid w:val="568764C8"/>
    <w:rsid w:val="568B6949"/>
    <w:rsid w:val="56EF512A"/>
    <w:rsid w:val="56F633DE"/>
    <w:rsid w:val="570010E5"/>
    <w:rsid w:val="570109B9"/>
    <w:rsid w:val="5726041F"/>
    <w:rsid w:val="57460AC2"/>
    <w:rsid w:val="579D4B86"/>
    <w:rsid w:val="57ED3822"/>
    <w:rsid w:val="581326DD"/>
    <w:rsid w:val="583E0FCC"/>
    <w:rsid w:val="588071E3"/>
    <w:rsid w:val="58D97369"/>
    <w:rsid w:val="59446509"/>
    <w:rsid w:val="594C53EE"/>
    <w:rsid w:val="59834C5E"/>
    <w:rsid w:val="598F6750"/>
    <w:rsid w:val="59A8341F"/>
    <w:rsid w:val="59B537F0"/>
    <w:rsid w:val="59C503C4"/>
    <w:rsid w:val="5A1F7AD4"/>
    <w:rsid w:val="5A3F7093"/>
    <w:rsid w:val="5AC468CD"/>
    <w:rsid w:val="5AE71154"/>
    <w:rsid w:val="5B0942E0"/>
    <w:rsid w:val="5B1447C7"/>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B00EB7"/>
    <w:rsid w:val="5CB25453"/>
    <w:rsid w:val="5CC34005"/>
    <w:rsid w:val="5CD21182"/>
    <w:rsid w:val="5CFB2799"/>
    <w:rsid w:val="5CFC10D2"/>
    <w:rsid w:val="5D156F6C"/>
    <w:rsid w:val="5D384925"/>
    <w:rsid w:val="5D7B1E4D"/>
    <w:rsid w:val="5DB744C7"/>
    <w:rsid w:val="5DCF35BF"/>
    <w:rsid w:val="5DD0153B"/>
    <w:rsid w:val="5E0A4982"/>
    <w:rsid w:val="5E3C1BCE"/>
    <w:rsid w:val="5E3F564C"/>
    <w:rsid w:val="5E4E07C9"/>
    <w:rsid w:val="5E682CE6"/>
    <w:rsid w:val="5EE45C2E"/>
    <w:rsid w:val="5FB3249C"/>
    <w:rsid w:val="5FE11ED3"/>
    <w:rsid w:val="602816AC"/>
    <w:rsid w:val="60543CEE"/>
    <w:rsid w:val="6079112D"/>
    <w:rsid w:val="608E20E7"/>
    <w:rsid w:val="60942A5D"/>
    <w:rsid w:val="609B1E7E"/>
    <w:rsid w:val="60B46A9C"/>
    <w:rsid w:val="615D7134"/>
    <w:rsid w:val="6189617B"/>
    <w:rsid w:val="619244A7"/>
    <w:rsid w:val="61E6537B"/>
    <w:rsid w:val="62507BBD"/>
    <w:rsid w:val="62632F8F"/>
    <w:rsid w:val="629D6E17"/>
    <w:rsid w:val="62D96C8E"/>
    <w:rsid w:val="634174F0"/>
    <w:rsid w:val="6371143E"/>
    <w:rsid w:val="6396158E"/>
    <w:rsid w:val="6397045F"/>
    <w:rsid w:val="639C3516"/>
    <w:rsid w:val="63B76FCF"/>
    <w:rsid w:val="63BF5E84"/>
    <w:rsid w:val="63C870C0"/>
    <w:rsid w:val="63CB2219"/>
    <w:rsid w:val="63F5294F"/>
    <w:rsid w:val="641F5ED0"/>
    <w:rsid w:val="64774C22"/>
    <w:rsid w:val="64E35BA2"/>
    <w:rsid w:val="64E42046"/>
    <w:rsid w:val="64EA1700"/>
    <w:rsid w:val="651D4188"/>
    <w:rsid w:val="652F4185"/>
    <w:rsid w:val="6530119C"/>
    <w:rsid w:val="65353E6F"/>
    <w:rsid w:val="65546448"/>
    <w:rsid w:val="65766A16"/>
    <w:rsid w:val="658729D1"/>
    <w:rsid w:val="65901886"/>
    <w:rsid w:val="65953E0C"/>
    <w:rsid w:val="665C34CD"/>
    <w:rsid w:val="666D296A"/>
    <w:rsid w:val="66A17AC3"/>
    <w:rsid w:val="66B62179"/>
    <w:rsid w:val="66DB3E09"/>
    <w:rsid w:val="670E33AA"/>
    <w:rsid w:val="67584625"/>
    <w:rsid w:val="675B5B1B"/>
    <w:rsid w:val="67884E65"/>
    <w:rsid w:val="6796339F"/>
    <w:rsid w:val="679A5B4D"/>
    <w:rsid w:val="679D472E"/>
    <w:rsid w:val="67A63223"/>
    <w:rsid w:val="67C84888"/>
    <w:rsid w:val="67CD72E8"/>
    <w:rsid w:val="681B5FA2"/>
    <w:rsid w:val="683C3F47"/>
    <w:rsid w:val="685A68BE"/>
    <w:rsid w:val="68727968"/>
    <w:rsid w:val="68AF6EDF"/>
    <w:rsid w:val="690802CD"/>
    <w:rsid w:val="69605006"/>
    <w:rsid w:val="69796E11"/>
    <w:rsid w:val="69832C36"/>
    <w:rsid w:val="69A73B89"/>
    <w:rsid w:val="6A181E8D"/>
    <w:rsid w:val="6A325601"/>
    <w:rsid w:val="6A3B177D"/>
    <w:rsid w:val="6A3B3D8A"/>
    <w:rsid w:val="6A5657ED"/>
    <w:rsid w:val="6A616079"/>
    <w:rsid w:val="6A617C95"/>
    <w:rsid w:val="6A753740"/>
    <w:rsid w:val="6AB37DC4"/>
    <w:rsid w:val="6B116D78"/>
    <w:rsid w:val="6B20545A"/>
    <w:rsid w:val="6B2111D2"/>
    <w:rsid w:val="6B301415"/>
    <w:rsid w:val="6B3428F7"/>
    <w:rsid w:val="6B620166"/>
    <w:rsid w:val="6B65611A"/>
    <w:rsid w:val="6B6F40C4"/>
    <w:rsid w:val="6B7415B6"/>
    <w:rsid w:val="6B99375A"/>
    <w:rsid w:val="6BA8544F"/>
    <w:rsid w:val="6BF730D7"/>
    <w:rsid w:val="6C1D07EE"/>
    <w:rsid w:val="6C565104"/>
    <w:rsid w:val="6C602FC1"/>
    <w:rsid w:val="6C8C2A60"/>
    <w:rsid w:val="6CD02EB0"/>
    <w:rsid w:val="6CD24E7A"/>
    <w:rsid w:val="6D3C22F3"/>
    <w:rsid w:val="6D765805"/>
    <w:rsid w:val="6D8B27CF"/>
    <w:rsid w:val="6E263E89"/>
    <w:rsid w:val="6E47692C"/>
    <w:rsid w:val="6E6164B5"/>
    <w:rsid w:val="6E62222D"/>
    <w:rsid w:val="6E7361E8"/>
    <w:rsid w:val="6EB44070"/>
    <w:rsid w:val="6EE8439B"/>
    <w:rsid w:val="6EEB648C"/>
    <w:rsid w:val="6EF1592B"/>
    <w:rsid w:val="6F3112FC"/>
    <w:rsid w:val="6F394D3C"/>
    <w:rsid w:val="6F3D38C2"/>
    <w:rsid w:val="6F4D6A39"/>
    <w:rsid w:val="6F6B7429"/>
    <w:rsid w:val="6F7E4E45"/>
    <w:rsid w:val="6FB36BC5"/>
    <w:rsid w:val="6FD24C25"/>
    <w:rsid w:val="6FF6546C"/>
    <w:rsid w:val="7000682B"/>
    <w:rsid w:val="70010C88"/>
    <w:rsid w:val="700F0B54"/>
    <w:rsid w:val="70426C52"/>
    <w:rsid w:val="70983CE4"/>
    <w:rsid w:val="70DC62C7"/>
    <w:rsid w:val="712263AB"/>
    <w:rsid w:val="71376F72"/>
    <w:rsid w:val="7145658E"/>
    <w:rsid w:val="715220E5"/>
    <w:rsid w:val="71E04ECC"/>
    <w:rsid w:val="72313A8F"/>
    <w:rsid w:val="726437BB"/>
    <w:rsid w:val="726A127D"/>
    <w:rsid w:val="728E35F1"/>
    <w:rsid w:val="729B7ABC"/>
    <w:rsid w:val="72B8088B"/>
    <w:rsid w:val="734A4D94"/>
    <w:rsid w:val="734B2FC2"/>
    <w:rsid w:val="737722D7"/>
    <w:rsid w:val="7378018E"/>
    <w:rsid w:val="73890E04"/>
    <w:rsid w:val="7395275D"/>
    <w:rsid w:val="73AD6CEC"/>
    <w:rsid w:val="73C03C7E"/>
    <w:rsid w:val="73C91FB4"/>
    <w:rsid w:val="73DE5EB2"/>
    <w:rsid w:val="73ED63CB"/>
    <w:rsid w:val="740F250F"/>
    <w:rsid w:val="74365CEE"/>
    <w:rsid w:val="743E1047"/>
    <w:rsid w:val="744228E5"/>
    <w:rsid w:val="746601C4"/>
    <w:rsid w:val="749F723D"/>
    <w:rsid w:val="74A7099A"/>
    <w:rsid w:val="74D177C5"/>
    <w:rsid w:val="74E9081C"/>
    <w:rsid w:val="7501454E"/>
    <w:rsid w:val="751C3136"/>
    <w:rsid w:val="75257396"/>
    <w:rsid w:val="754206C3"/>
    <w:rsid w:val="754B12D3"/>
    <w:rsid w:val="75941572"/>
    <w:rsid w:val="75F220E9"/>
    <w:rsid w:val="76256605"/>
    <w:rsid w:val="76371099"/>
    <w:rsid w:val="765E4228"/>
    <w:rsid w:val="7693567A"/>
    <w:rsid w:val="76EE28B0"/>
    <w:rsid w:val="7718515B"/>
    <w:rsid w:val="775B7B9D"/>
    <w:rsid w:val="778036C3"/>
    <w:rsid w:val="77A6276C"/>
    <w:rsid w:val="77DD178E"/>
    <w:rsid w:val="781E1591"/>
    <w:rsid w:val="784E0C98"/>
    <w:rsid w:val="78647DA9"/>
    <w:rsid w:val="7889049B"/>
    <w:rsid w:val="788A4695"/>
    <w:rsid w:val="78B44DDC"/>
    <w:rsid w:val="78ED57C7"/>
    <w:rsid w:val="790F4D60"/>
    <w:rsid w:val="791800B8"/>
    <w:rsid w:val="7941364C"/>
    <w:rsid w:val="794B2AAD"/>
    <w:rsid w:val="79534C4C"/>
    <w:rsid w:val="7984574E"/>
    <w:rsid w:val="79960CEB"/>
    <w:rsid w:val="79C8388C"/>
    <w:rsid w:val="79D3028B"/>
    <w:rsid w:val="79E104AA"/>
    <w:rsid w:val="79EC750C"/>
    <w:rsid w:val="7A0A5C53"/>
    <w:rsid w:val="7A0E0CCB"/>
    <w:rsid w:val="7A61783D"/>
    <w:rsid w:val="7A7237F8"/>
    <w:rsid w:val="7A740891"/>
    <w:rsid w:val="7A760218"/>
    <w:rsid w:val="7A9609AA"/>
    <w:rsid w:val="7A990D85"/>
    <w:rsid w:val="7A9F1809"/>
    <w:rsid w:val="7AA80846"/>
    <w:rsid w:val="7AB570B4"/>
    <w:rsid w:val="7AEA15E0"/>
    <w:rsid w:val="7AF17F97"/>
    <w:rsid w:val="7AF55786"/>
    <w:rsid w:val="7B084A14"/>
    <w:rsid w:val="7B0F1047"/>
    <w:rsid w:val="7B4C6D88"/>
    <w:rsid w:val="7B707D38"/>
    <w:rsid w:val="7BB265A2"/>
    <w:rsid w:val="7BB65001"/>
    <w:rsid w:val="7BDC361F"/>
    <w:rsid w:val="7C083123"/>
    <w:rsid w:val="7C4F5666"/>
    <w:rsid w:val="7C5036C5"/>
    <w:rsid w:val="7C5F74F0"/>
    <w:rsid w:val="7C6F4E89"/>
    <w:rsid w:val="7C7B2BB1"/>
    <w:rsid w:val="7CAB04C7"/>
    <w:rsid w:val="7CDE5E54"/>
    <w:rsid w:val="7CDF5EAD"/>
    <w:rsid w:val="7D252DA4"/>
    <w:rsid w:val="7D3F67F0"/>
    <w:rsid w:val="7D6041D6"/>
    <w:rsid w:val="7D697134"/>
    <w:rsid w:val="7DCC76C3"/>
    <w:rsid w:val="7DFB04BA"/>
    <w:rsid w:val="7E0E1A8A"/>
    <w:rsid w:val="7E300756"/>
    <w:rsid w:val="7E682F48"/>
    <w:rsid w:val="7E6A6EBA"/>
    <w:rsid w:val="7E7A45CB"/>
    <w:rsid w:val="7EA02FAD"/>
    <w:rsid w:val="7F0562FB"/>
    <w:rsid w:val="7F0A03FD"/>
    <w:rsid w:val="7F855D7C"/>
    <w:rsid w:val="7FA97CBC"/>
    <w:rsid w:val="7FD67122"/>
    <w:rsid w:val="7FF072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7">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8">
    <w:name w:val="heading 2"/>
    <w:basedOn w:val="1"/>
    <w:next w:val="1"/>
    <w:link w:val="52"/>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9">
    <w:name w:val="heading 3"/>
    <w:basedOn w:val="1"/>
    <w:next w:val="1"/>
    <w:link w:val="51"/>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10">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39">
    <w:name w:val="Default Paragraph Font"/>
    <w:qFormat/>
    <w:uiPriority w:val="0"/>
    <w:rPr>
      <w:rFonts w:ascii="宋体" w:hAnsi="宋体" w:eastAsia="宋体"/>
      <w:kern w:val="2"/>
      <w:sz w:val="28"/>
      <w:szCs w:val="24"/>
      <w:lang w:val="en-US" w:eastAsia="zh-CN" w:bidi="ar-SA"/>
    </w:rPr>
  </w:style>
  <w:style w:type="table" w:default="1" w:styleId="3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style>
  <w:style w:type="paragraph" w:styleId="3">
    <w:name w:val="Body Text"/>
    <w:basedOn w:val="1"/>
    <w:next w:val="2"/>
    <w:qFormat/>
    <w:uiPriority w:val="0"/>
    <w:pPr>
      <w:spacing w:after="120" w:afterLines="0"/>
    </w:pPr>
  </w:style>
  <w:style w:type="paragraph" w:styleId="4">
    <w:name w:val="Body Text First Indent 2"/>
    <w:basedOn w:val="5"/>
    <w:next w:val="1"/>
    <w:qFormat/>
    <w:uiPriority w:val="0"/>
    <w:pPr>
      <w:numPr>
        <w:ilvl w:val="0"/>
        <w:numId w:val="0"/>
      </w:numPr>
      <w:spacing w:after="120" w:afterLines="0"/>
    </w:pPr>
  </w:style>
  <w:style w:type="paragraph" w:styleId="5">
    <w:name w:val="Body Text Indent"/>
    <w:basedOn w:val="1"/>
    <w:next w:val="6"/>
    <w:link w:val="59"/>
    <w:qFormat/>
    <w:uiPriority w:val="0"/>
    <w:rPr>
      <w:kern w:val="0"/>
    </w:rPr>
  </w:style>
  <w:style w:type="paragraph" w:styleId="6">
    <w:name w:val="envelope return"/>
    <w:basedOn w:val="1"/>
    <w:qFormat/>
    <w:uiPriority w:val="0"/>
    <w:pPr>
      <w:snapToGrid w:val="0"/>
    </w:pPr>
    <w:rPr>
      <w:rFonts w:ascii="Arial" w:hAnsi="Arial"/>
    </w:rPr>
  </w:style>
  <w:style w:type="paragraph" w:styleId="11">
    <w:name w:val="toc 7"/>
    <w:basedOn w:val="1"/>
    <w:next w:val="1"/>
    <w:qFormat/>
    <w:uiPriority w:val="0"/>
    <w:pPr>
      <w:ind w:left="2520" w:leftChars="1200"/>
    </w:pPr>
  </w:style>
  <w:style w:type="paragraph" w:styleId="12">
    <w:name w:val="Normal Indent"/>
    <w:basedOn w:val="1"/>
    <w:link w:val="60"/>
    <w:qFormat/>
    <w:uiPriority w:val="0"/>
    <w:pPr>
      <w:autoSpaceDE w:val="0"/>
      <w:autoSpaceDN w:val="0"/>
      <w:adjustRightInd w:val="0"/>
      <w:ind w:firstLine="420"/>
      <w:jc w:val="left"/>
    </w:pPr>
    <w:rPr>
      <w:rFonts w:ascii="宋体"/>
      <w:kern w:val="0"/>
      <w:sz w:val="24"/>
    </w:rPr>
  </w:style>
  <w:style w:type="paragraph" w:styleId="13">
    <w:name w:val="index 5"/>
    <w:basedOn w:val="1"/>
    <w:next w:val="1"/>
    <w:qFormat/>
    <w:uiPriority w:val="0"/>
    <w:pPr>
      <w:widowControl w:val="0"/>
      <w:spacing w:line="240" w:lineRule="auto"/>
      <w:ind w:left="1050" w:hanging="210" w:firstLineChars="0"/>
    </w:pPr>
    <w:rPr>
      <w:rFonts w:eastAsia="宋体" w:cs="Times New Roman"/>
      <w:sz w:val="20"/>
      <w:szCs w:val="20"/>
    </w:rPr>
  </w:style>
  <w:style w:type="paragraph" w:styleId="14">
    <w:name w:val="Document Map"/>
    <w:basedOn w:val="1"/>
    <w:qFormat/>
    <w:uiPriority w:val="0"/>
    <w:pPr>
      <w:shd w:val="clear" w:color="auto" w:fill="000080"/>
    </w:pPr>
  </w:style>
  <w:style w:type="paragraph" w:styleId="15">
    <w:name w:val="annotation text"/>
    <w:basedOn w:val="1"/>
    <w:qFormat/>
    <w:uiPriority w:val="0"/>
    <w:pPr>
      <w:jc w:val="left"/>
    </w:pPr>
  </w:style>
  <w:style w:type="paragraph" w:styleId="16">
    <w:name w:val="Body Text 3"/>
    <w:basedOn w:val="1"/>
    <w:qFormat/>
    <w:uiPriority w:val="0"/>
    <w:rPr>
      <w:rFonts w:eastAsia="楷体_GB2312"/>
      <w:sz w:val="28"/>
    </w:rPr>
  </w:style>
  <w:style w:type="paragraph" w:styleId="17">
    <w:name w:val="Block Text"/>
    <w:basedOn w:val="1"/>
    <w:unhideWhenUsed/>
    <w:qFormat/>
    <w:uiPriority w:val="99"/>
    <w:pPr>
      <w:spacing w:after="120"/>
      <w:ind w:left="1440" w:leftChars="700" w:right="1440" w:rightChars="700"/>
    </w:pPr>
  </w:style>
  <w:style w:type="paragraph" w:styleId="18">
    <w:name w:val="toc 5"/>
    <w:basedOn w:val="1"/>
    <w:next w:val="1"/>
    <w:qFormat/>
    <w:uiPriority w:val="0"/>
    <w:pPr>
      <w:ind w:left="1680" w:leftChars="800"/>
    </w:pPr>
  </w:style>
  <w:style w:type="paragraph" w:styleId="19">
    <w:name w:val="toc 3"/>
    <w:basedOn w:val="1"/>
    <w:next w:val="1"/>
    <w:qFormat/>
    <w:uiPriority w:val="0"/>
    <w:pPr>
      <w:ind w:left="840" w:leftChars="400"/>
    </w:pPr>
  </w:style>
  <w:style w:type="paragraph" w:styleId="20">
    <w:name w:val="Plain Text"/>
    <w:basedOn w:val="1"/>
    <w:next w:val="3"/>
    <w:link w:val="61"/>
    <w:qFormat/>
    <w:uiPriority w:val="0"/>
    <w:rPr>
      <w:rFonts w:hAnsi="Courier New" w:eastAsia="幼圆"/>
      <w:kern w:val="0"/>
    </w:rPr>
  </w:style>
  <w:style w:type="paragraph" w:styleId="21">
    <w:name w:val="toc 8"/>
    <w:basedOn w:val="1"/>
    <w:next w:val="1"/>
    <w:qFormat/>
    <w:uiPriority w:val="0"/>
    <w:pPr>
      <w:ind w:left="2940" w:leftChars="1400"/>
    </w:pPr>
  </w:style>
  <w:style w:type="paragraph" w:styleId="22">
    <w:name w:val="Date"/>
    <w:basedOn w:val="1"/>
    <w:next w:val="1"/>
    <w:qFormat/>
    <w:uiPriority w:val="0"/>
    <w:pPr>
      <w:ind w:left="100" w:leftChars="2500"/>
    </w:pPr>
    <w:rPr>
      <w:rFonts w:ascii="宋体" w:hAnsi="宋体"/>
      <w:sz w:val="28"/>
    </w:rPr>
  </w:style>
  <w:style w:type="paragraph" w:styleId="23">
    <w:name w:val="Body Text Indent 2"/>
    <w:basedOn w:val="1"/>
    <w:qFormat/>
    <w:uiPriority w:val="0"/>
    <w:pPr>
      <w:ind w:firstLine="405" w:firstLineChars="193"/>
    </w:pPr>
    <w:rPr>
      <w:rFonts w:ascii="宋体" w:hAnsi="宋体"/>
    </w:rPr>
  </w:style>
  <w:style w:type="paragraph" w:styleId="24">
    <w:name w:val="Balloon Text"/>
    <w:basedOn w:val="1"/>
    <w:link w:val="62"/>
    <w:qFormat/>
    <w:uiPriority w:val="0"/>
    <w:rPr>
      <w:rFonts w:ascii="宋体" w:hAnsi="宋体"/>
      <w:sz w:val="18"/>
      <w:szCs w:val="18"/>
    </w:rPr>
  </w:style>
  <w:style w:type="paragraph" w:styleId="25">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6">
    <w:name w:val="header"/>
    <w:basedOn w:val="1"/>
    <w:next w:val="25"/>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7">
    <w:name w:val="toc 1"/>
    <w:basedOn w:val="1"/>
    <w:next w:val="1"/>
    <w:qFormat/>
    <w:uiPriority w:val="39"/>
  </w:style>
  <w:style w:type="paragraph" w:styleId="28">
    <w:name w:val="toc 4"/>
    <w:basedOn w:val="1"/>
    <w:next w:val="1"/>
    <w:qFormat/>
    <w:uiPriority w:val="0"/>
    <w:pPr>
      <w:ind w:left="1260" w:leftChars="600"/>
    </w:pPr>
  </w:style>
  <w:style w:type="paragraph" w:styleId="29">
    <w:name w:val="toc 6"/>
    <w:basedOn w:val="1"/>
    <w:next w:val="1"/>
    <w:qFormat/>
    <w:uiPriority w:val="0"/>
    <w:pPr>
      <w:ind w:left="2100" w:leftChars="1000"/>
    </w:pPr>
  </w:style>
  <w:style w:type="paragraph" w:styleId="30">
    <w:name w:val="Body Text Indent 3"/>
    <w:basedOn w:val="1"/>
    <w:qFormat/>
    <w:uiPriority w:val="0"/>
    <w:pPr>
      <w:ind w:firstLine="420" w:firstLineChars="200"/>
    </w:pPr>
    <w:rPr>
      <w:rFonts w:ascii="宋体" w:hAnsi="宋体"/>
    </w:rPr>
  </w:style>
  <w:style w:type="paragraph" w:styleId="31">
    <w:name w:val="toc 2"/>
    <w:basedOn w:val="1"/>
    <w:next w:val="1"/>
    <w:qFormat/>
    <w:uiPriority w:val="0"/>
    <w:pPr>
      <w:ind w:left="420" w:leftChars="200"/>
    </w:pPr>
  </w:style>
  <w:style w:type="paragraph" w:styleId="32">
    <w:name w:val="toc 9"/>
    <w:basedOn w:val="1"/>
    <w:next w:val="1"/>
    <w:qFormat/>
    <w:uiPriority w:val="0"/>
    <w:pPr>
      <w:ind w:left="3360" w:leftChars="1600"/>
    </w:pPr>
  </w:style>
  <w:style w:type="paragraph" w:styleId="33">
    <w:name w:val="Body Text 2"/>
    <w:basedOn w:val="1"/>
    <w:qFormat/>
    <w:uiPriority w:val="0"/>
    <w:pPr>
      <w:spacing w:after="120" w:afterLines="0" w:line="480" w:lineRule="auto"/>
    </w:pPr>
  </w:style>
  <w:style w:type="paragraph" w:styleId="34">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5">
    <w:name w:val="index 1"/>
    <w:basedOn w:val="1"/>
    <w:next w:val="1"/>
    <w:qFormat/>
    <w:uiPriority w:val="0"/>
    <w:rPr>
      <w:szCs w:val="20"/>
    </w:rPr>
  </w:style>
  <w:style w:type="paragraph" w:styleId="36">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qFormat/>
    <w:uiPriority w:val="0"/>
    <w:rPr>
      <w:lang w:val="en-US" w:eastAsia="zh-CN" w:bidi="ar-SA"/>
    </w:rPr>
  </w:style>
  <w:style w:type="character" w:styleId="41">
    <w:name w:val="FollowedHyperlink"/>
    <w:qFormat/>
    <w:uiPriority w:val="0"/>
    <w:rPr>
      <w:rFonts w:ascii="宋体" w:hAnsi="宋体" w:eastAsia="宋体"/>
      <w:color w:val="333333"/>
      <w:kern w:val="2"/>
      <w:sz w:val="18"/>
      <w:szCs w:val="18"/>
      <w:u w:val="none"/>
      <w:lang w:val="en-US" w:eastAsia="zh-CN" w:bidi="ar-SA"/>
    </w:rPr>
  </w:style>
  <w:style w:type="character" w:styleId="42">
    <w:name w:val="HTML Definition"/>
    <w:qFormat/>
    <w:uiPriority w:val="0"/>
    <w:rPr>
      <w:lang w:val="en-US" w:eastAsia="zh-CN" w:bidi="ar-SA"/>
    </w:rPr>
  </w:style>
  <w:style w:type="character" w:styleId="43">
    <w:name w:val="HTML Typewriter"/>
    <w:qFormat/>
    <w:uiPriority w:val="0"/>
    <w:rPr>
      <w:rFonts w:hint="default" w:ascii="monospace" w:hAnsi="monospace" w:eastAsia="monospace" w:cs="monospace"/>
      <w:sz w:val="20"/>
      <w:lang w:val="en-US" w:eastAsia="zh-CN" w:bidi="ar-SA"/>
    </w:rPr>
  </w:style>
  <w:style w:type="character" w:styleId="44">
    <w:name w:val="HTML Acronym"/>
    <w:qFormat/>
    <w:uiPriority w:val="0"/>
    <w:rPr>
      <w:lang w:val="en-US" w:eastAsia="zh-CN" w:bidi="ar-SA"/>
    </w:rPr>
  </w:style>
  <w:style w:type="character" w:styleId="45">
    <w:name w:val="HTML Variable"/>
    <w:qFormat/>
    <w:uiPriority w:val="0"/>
    <w:rPr>
      <w:lang w:val="en-US" w:eastAsia="zh-CN" w:bidi="ar-SA"/>
    </w:rPr>
  </w:style>
  <w:style w:type="character" w:styleId="46">
    <w:name w:val="Hyperlink"/>
    <w:qFormat/>
    <w:uiPriority w:val="99"/>
    <w:rPr>
      <w:rFonts w:ascii="宋体" w:hAnsi="宋体" w:eastAsia="宋体"/>
      <w:color w:val="0000FF"/>
      <w:kern w:val="2"/>
      <w:sz w:val="28"/>
      <w:szCs w:val="24"/>
      <w:u w:val="single"/>
      <w:lang w:val="en-US" w:eastAsia="zh-CN" w:bidi="ar-SA"/>
    </w:rPr>
  </w:style>
  <w:style w:type="character" w:styleId="47">
    <w:name w:val="HTML Code"/>
    <w:qFormat/>
    <w:uiPriority w:val="0"/>
    <w:rPr>
      <w:rFonts w:ascii="monospace" w:hAnsi="monospace" w:eastAsia="monospace" w:cs="monospace"/>
      <w:sz w:val="20"/>
      <w:lang w:val="en-US" w:eastAsia="zh-CN" w:bidi="ar-SA"/>
    </w:rPr>
  </w:style>
  <w:style w:type="character" w:styleId="48">
    <w:name w:val="HTML Cite"/>
    <w:qFormat/>
    <w:uiPriority w:val="0"/>
    <w:rPr>
      <w:lang w:val="en-US" w:eastAsia="zh-CN" w:bidi="ar-SA"/>
    </w:rPr>
  </w:style>
  <w:style w:type="character" w:styleId="49">
    <w:name w:val="HTML Keyboard"/>
    <w:qFormat/>
    <w:uiPriority w:val="0"/>
    <w:rPr>
      <w:rFonts w:hint="default" w:ascii="monospace" w:hAnsi="monospace" w:eastAsia="monospace" w:cs="monospace"/>
      <w:sz w:val="20"/>
      <w:lang w:val="en-US" w:eastAsia="zh-CN" w:bidi="ar-SA"/>
    </w:rPr>
  </w:style>
  <w:style w:type="character" w:styleId="50">
    <w:name w:val="HTML Sample"/>
    <w:qFormat/>
    <w:uiPriority w:val="0"/>
    <w:rPr>
      <w:rFonts w:hint="default" w:ascii="monospace" w:hAnsi="monospace" w:eastAsia="monospace" w:cs="monospace"/>
      <w:lang w:val="en-US" w:eastAsia="zh-CN" w:bidi="ar-SA"/>
    </w:rPr>
  </w:style>
  <w:style w:type="character" w:customStyle="1" w:styleId="51">
    <w:name w:val="标题 3 Char"/>
    <w:link w:val="9"/>
    <w:qFormat/>
    <w:uiPriority w:val="0"/>
    <w:rPr>
      <w:rFonts w:ascii="宋体" w:hAnsi="宋体" w:eastAsia="幼圆"/>
      <w:b/>
      <w:bCs/>
      <w:kern w:val="2"/>
      <w:sz w:val="32"/>
      <w:szCs w:val="32"/>
      <w:lang w:val="en-US" w:eastAsia="zh-CN" w:bidi="ar-SA"/>
    </w:rPr>
  </w:style>
  <w:style w:type="character" w:customStyle="1" w:styleId="52">
    <w:name w:val="标题 2 Char"/>
    <w:link w:val="8"/>
    <w:qFormat/>
    <w:uiPriority w:val="0"/>
    <w:rPr>
      <w:rFonts w:ascii="Arial" w:hAnsi="Arial" w:eastAsia="黑体"/>
      <w:b/>
      <w:bCs/>
      <w:kern w:val="2"/>
      <w:sz w:val="32"/>
      <w:szCs w:val="32"/>
      <w:lang w:val="en-US" w:eastAsia="zh-CN" w:bidi="ar-SA"/>
    </w:rPr>
  </w:style>
  <w:style w:type="paragraph" w:customStyle="1" w:styleId="5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4">
    <w:name w:val="Char Char10 Char Char Char Char"/>
    <w:basedOn w:val="1"/>
    <w:next w:val="55"/>
    <w:qFormat/>
    <w:uiPriority w:val="0"/>
  </w:style>
  <w:style w:type="paragraph" w:customStyle="1" w:styleId="55">
    <w:name w:val="xl87"/>
    <w:basedOn w:val="1"/>
    <w:next w:val="56"/>
    <w:qFormat/>
    <w:uiPriority w:val="0"/>
    <w:pPr>
      <w:widowControl/>
      <w:shd w:val="clear" w:color="FFFFFF" w:fill="FFFFFF"/>
      <w:spacing w:before="280" w:beforeLines="0" w:after="280" w:afterLines="0"/>
      <w:jc w:val="right"/>
    </w:pPr>
    <w:rPr>
      <w:rFonts w:ascii="宋体"/>
      <w:sz w:val="24"/>
    </w:rPr>
  </w:style>
  <w:style w:type="paragraph" w:customStyle="1" w:styleId="56">
    <w:name w:val="xl72"/>
    <w:basedOn w:val="1"/>
    <w:next w:val="22"/>
    <w:qFormat/>
    <w:uiPriority w:val="0"/>
    <w:pPr>
      <w:widowControl/>
      <w:shd w:val="clear" w:color="FFFFFF" w:fill="FFFFFF"/>
      <w:spacing w:before="280" w:beforeLines="0" w:after="280" w:afterLines="0"/>
      <w:jc w:val="right"/>
    </w:pPr>
    <w:rPr>
      <w:rFonts w:ascii="宋体"/>
      <w:sz w:val="24"/>
    </w:rPr>
  </w:style>
  <w:style w:type="paragraph" w:customStyle="1" w:styleId="57">
    <w:name w:val="表格文字"/>
    <w:basedOn w:val="1"/>
    <w:next w:val="3"/>
    <w:qFormat/>
    <w:uiPriority w:val="0"/>
    <w:pPr>
      <w:adjustRightInd w:val="0"/>
      <w:spacing w:line="420" w:lineRule="atLeast"/>
      <w:jc w:val="left"/>
      <w:textAlignment w:val="baseline"/>
    </w:pPr>
    <w:rPr>
      <w:kern w:val="0"/>
      <w:szCs w:val="20"/>
    </w:rPr>
  </w:style>
  <w:style w:type="paragraph" w:customStyle="1" w:styleId="58">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59">
    <w:name w:val="正文文本缩进 Char"/>
    <w:link w:val="5"/>
    <w:qFormat/>
    <w:uiPriority w:val="0"/>
    <w:rPr>
      <w:sz w:val="21"/>
      <w:lang w:val="en-US" w:eastAsia="zh-CN" w:bidi="ar-SA"/>
    </w:rPr>
  </w:style>
  <w:style w:type="character" w:customStyle="1" w:styleId="60">
    <w:name w:val="正文缩进 Char"/>
    <w:link w:val="12"/>
    <w:qFormat/>
    <w:uiPriority w:val="0"/>
    <w:rPr>
      <w:rFonts w:ascii="宋体"/>
      <w:sz w:val="24"/>
    </w:rPr>
  </w:style>
  <w:style w:type="character" w:customStyle="1" w:styleId="61">
    <w:name w:val="纯文本 Char"/>
    <w:link w:val="20"/>
    <w:qFormat/>
    <w:uiPriority w:val="0"/>
    <w:rPr>
      <w:rFonts w:hAnsi="Courier New" w:eastAsia="幼圆"/>
      <w:sz w:val="21"/>
      <w:lang w:val="en-US" w:eastAsia="zh-CN" w:bidi="ar-SA"/>
    </w:rPr>
  </w:style>
  <w:style w:type="character" w:customStyle="1" w:styleId="62">
    <w:name w:val="批注框文本 Char"/>
    <w:link w:val="24"/>
    <w:qFormat/>
    <w:uiPriority w:val="0"/>
    <w:rPr>
      <w:rFonts w:ascii="宋体" w:hAnsi="宋体" w:eastAsia="宋体"/>
      <w:kern w:val="2"/>
      <w:sz w:val="18"/>
      <w:szCs w:val="18"/>
      <w:lang w:val="en-US" w:eastAsia="zh-CN" w:bidi="ar-SA"/>
    </w:rPr>
  </w:style>
  <w:style w:type="character" w:customStyle="1" w:styleId="63">
    <w:name w:val="页眉 Char Char"/>
    <w:qFormat/>
    <w:uiPriority w:val="0"/>
    <w:rPr>
      <w:rFonts w:ascii="宋体" w:hAnsi="宋体" w:eastAsia="宋体"/>
      <w:kern w:val="2"/>
      <w:sz w:val="18"/>
      <w:szCs w:val="18"/>
      <w:lang w:val="en-US" w:eastAsia="zh-CN" w:bidi="ar-SA"/>
    </w:rPr>
  </w:style>
  <w:style w:type="character" w:customStyle="1" w:styleId="64">
    <w:name w:val="页脚 Char Char"/>
    <w:qFormat/>
    <w:uiPriority w:val="0"/>
    <w:rPr>
      <w:rFonts w:ascii="宋体" w:hAnsi="宋体" w:eastAsia="宋体"/>
      <w:kern w:val="2"/>
      <w:sz w:val="18"/>
      <w:szCs w:val="18"/>
      <w:lang w:val="en-US" w:eastAsia="zh-CN" w:bidi="ar-SA"/>
    </w:rPr>
  </w:style>
  <w:style w:type="character" w:customStyle="1" w:styleId="65">
    <w:name w:val="ca-21"/>
    <w:qFormat/>
    <w:uiPriority w:val="0"/>
    <w:rPr>
      <w:rFonts w:hint="eastAsia" w:ascii="仿宋_GB2312" w:eastAsia="仿宋_GB2312"/>
      <w:sz w:val="32"/>
      <w:szCs w:val="32"/>
    </w:rPr>
  </w:style>
  <w:style w:type="character" w:customStyle="1" w:styleId="66">
    <w:name w:val="ca-31"/>
    <w:qFormat/>
    <w:uiPriority w:val="0"/>
    <w:rPr>
      <w:rFonts w:hint="eastAsia" w:ascii="仿宋_GB2312" w:eastAsia="仿宋_GB2312"/>
      <w:b/>
      <w:bCs/>
      <w:spacing w:val="-20"/>
      <w:sz w:val="32"/>
      <w:szCs w:val="32"/>
    </w:rPr>
  </w:style>
  <w:style w:type="character" w:customStyle="1" w:styleId="67">
    <w:name w:val="UserStyle_17"/>
    <w:qFormat/>
    <w:uiPriority w:val="0"/>
    <w:rPr>
      <w:rFonts w:ascii="Times New Roman" w:hAnsi="Times New Roman" w:eastAsia="宋体" w:cs="Times New Roman"/>
      <w:kern w:val="2"/>
      <w:sz w:val="21"/>
      <w:szCs w:val="24"/>
      <w:lang w:val="en-US" w:eastAsia="zh-CN" w:bidi="ar-SA"/>
    </w:rPr>
  </w:style>
  <w:style w:type="character" w:customStyle="1" w:styleId="68">
    <w:name w:val="ca-11"/>
    <w:qFormat/>
    <w:uiPriority w:val="0"/>
    <w:rPr>
      <w:rFonts w:hint="default" w:ascii="Times New Roman" w:hAnsi="Times New Roman" w:cs="Times New Roman"/>
      <w:sz w:val="32"/>
      <w:szCs w:val="32"/>
    </w:rPr>
  </w:style>
  <w:style w:type="character" w:customStyle="1" w:styleId="69">
    <w:name w:val="font11"/>
    <w:qFormat/>
    <w:uiPriority w:val="0"/>
    <w:rPr>
      <w:rFonts w:hint="eastAsia" w:ascii="宋体" w:hAnsi="宋体" w:eastAsia="宋体" w:cs="宋体"/>
      <w:color w:val="000000"/>
      <w:sz w:val="20"/>
      <w:szCs w:val="20"/>
      <w:u w:val="none"/>
    </w:rPr>
  </w:style>
  <w:style w:type="character" w:customStyle="1" w:styleId="70">
    <w:name w:val="Char Char Char"/>
    <w:qFormat/>
    <w:uiPriority w:val="0"/>
    <w:rPr>
      <w:rFonts w:ascii="Arial" w:hAnsi="Arial" w:eastAsia="黑体"/>
      <w:b/>
      <w:bCs/>
      <w:kern w:val="2"/>
      <w:sz w:val="32"/>
      <w:szCs w:val="32"/>
      <w:lang w:val="en-US" w:eastAsia="zh-CN" w:bidi="ar-SA"/>
    </w:rPr>
  </w:style>
  <w:style w:type="character" w:customStyle="1" w:styleId="71">
    <w:name w:val="ca-121"/>
    <w:qFormat/>
    <w:uiPriority w:val="0"/>
    <w:rPr>
      <w:rFonts w:hint="eastAsia" w:ascii="仿宋_GB2312" w:eastAsia="仿宋_GB2312"/>
      <w:color w:val="000000"/>
      <w:sz w:val="21"/>
      <w:szCs w:val="21"/>
    </w:rPr>
  </w:style>
  <w:style w:type="paragraph" w:customStyle="1" w:styleId="72">
    <w:name w:val="样式 正文文字 + 小四 段后: 0 磅 行距: 1.5 倍行距"/>
    <w:basedOn w:val="3"/>
    <w:qFormat/>
    <w:uiPriority w:val="0"/>
    <w:pPr>
      <w:spacing w:after="0" w:afterLines="0" w:line="360" w:lineRule="auto"/>
      <w:ind w:firstLine="480" w:firstLineChars="200"/>
    </w:pPr>
    <w:rPr>
      <w:rFonts w:cs="宋体"/>
      <w:sz w:val="24"/>
      <w:szCs w:val="20"/>
    </w:rPr>
  </w:style>
  <w:style w:type="paragraph" w:customStyle="1" w:styleId="73">
    <w:name w:val="pa-58"/>
    <w:basedOn w:val="1"/>
    <w:qFormat/>
    <w:uiPriority w:val="0"/>
    <w:pPr>
      <w:widowControl/>
      <w:spacing w:line="240" w:lineRule="atLeast"/>
      <w:ind w:firstLine="460"/>
    </w:pPr>
    <w:rPr>
      <w:rFonts w:ascii="宋体" w:hAnsi="宋体" w:cs="宋体"/>
      <w:kern w:val="0"/>
      <w:sz w:val="24"/>
    </w:rPr>
  </w:style>
  <w:style w:type="paragraph" w:customStyle="1" w:styleId="74">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5">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6">
    <w:name w:val="pa-6"/>
    <w:basedOn w:val="1"/>
    <w:qFormat/>
    <w:uiPriority w:val="0"/>
    <w:pPr>
      <w:widowControl/>
      <w:spacing w:line="360" w:lineRule="atLeast"/>
    </w:pPr>
    <w:rPr>
      <w:rFonts w:ascii="宋体" w:hAnsi="宋体" w:cs="宋体"/>
      <w:kern w:val="0"/>
      <w:sz w:val="24"/>
    </w:rPr>
  </w:style>
  <w:style w:type="paragraph" w:customStyle="1" w:styleId="77">
    <w:name w:val="pa-2"/>
    <w:basedOn w:val="1"/>
    <w:qFormat/>
    <w:uiPriority w:val="0"/>
    <w:pPr>
      <w:widowControl/>
      <w:spacing w:line="360" w:lineRule="atLeast"/>
    </w:pPr>
    <w:rPr>
      <w:rFonts w:ascii="宋体" w:hAnsi="宋体" w:cs="宋体"/>
      <w:kern w:val="0"/>
      <w:sz w:val="24"/>
    </w:rPr>
  </w:style>
  <w:style w:type="paragraph" w:customStyle="1" w:styleId="78">
    <w:name w:val="Heading 1"/>
    <w:basedOn w:val="1"/>
    <w:qFormat/>
    <w:uiPriority w:val="0"/>
    <w:pPr>
      <w:outlineLvl w:val="1"/>
    </w:pPr>
    <w:rPr>
      <w:rFonts w:ascii="黑体" w:hAnsi="黑体" w:eastAsia="黑体"/>
      <w:b/>
      <w:bCs/>
      <w:sz w:val="44"/>
      <w:szCs w:val="44"/>
    </w:rPr>
  </w:style>
  <w:style w:type="paragraph" w:customStyle="1" w:styleId="79">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0">
    <w:name w:val="正文（首行缩进一字）"/>
    <w:basedOn w:val="1"/>
    <w:qFormat/>
    <w:uiPriority w:val="0"/>
  </w:style>
  <w:style w:type="paragraph" w:customStyle="1" w:styleId="81">
    <w:name w:val="pa-53"/>
    <w:basedOn w:val="1"/>
    <w:qFormat/>
    <w:uiPriority w:val="0"/>
    <w:pPr>
      <w:widowControl/>
      <w:spacing w:line="240" w:lineRule="atLeast"/>
    </w:pPr>
    <w:rPr>
      <w:rFonts w:ascii="宋体" w:hAnsi="宋体" w:cs="宋体"/>
      <w:kern w:val="0"/>
      <w:sz w:val="24"/>
    </w:rPr>
  </w:style>
  <w:style w:type="paragraph" w:customStyle="1" w:styleId="82">
    <w:name w:val="列出段落1"/>
    <w:basedOn w:val="1"/>
    <w:qFormat/>
    <w:uiPriority w:val="0"/>
    <w:pPr>
      <w:ind w:firstLine="420" w:firstLineChars="200"/>
    </w:pPr>
    <w:rPr>
      <w:rFonts w:ascii="Times New Roman" w:hAnsi="Times New Roman" w:eastAsia="宋体" w:cs="Times New Roman"/>
    </w:rPr>
  </w:style>
  <w:style w:type="paragraph" w:customStyle="1" w:styleId="83">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84">
    <w:name w:val="无间隔1"/>
    <w:basedOn w:val="1"/>
    <w:qFormat/>
    <w:uiPriority w:val="0"/>
    <w:pPr>
      <w:spacing w:line="400" w:lineRule="exact"/>
    </w:pPr>
    <w:rPr>
      <w:rFonts w:eastAsia="宋体"/>
      <w:sz w:val="24"/>
    </w:rPr>
  </w:style>
  <w:style w:type="paragraph" w:customStyle="1" w:styleId="85">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86">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7">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8">
    <w:name w:val="pa-62"/>
    <w:basedOn w:val="1"/>
    <w:qFormat/>
    <w:uiPriority w:val="0"/>
    <w:pPr>
      <w:widowControl/>
      <w:spacing w:line="240" w:lineRule="atLeast"/>
    </w:pPr>
    <w:rPr>
      <w:rFonts w:ascii="宋体" w:hAnsi="宋体" w:cs="宋体"/>
      <w:kern w:val="0"/>
      <w:sz w:val="24"/>
    </w:rPr>
  </w:style>
  <w:style w:type="paragraph" w:customStyle="1" w:styleId="89">
    <w:name w:val="_Style 80"/>
    <w:qFormat/>
    <w:uiPriority w:val="0"/>
    <w:rPr>
      <w:rFonts w:ascii="Times New Roman" w:hAnsi="Times New Roman" w:eastAsia="宋体" w:cs="Times New Roman"/>
      <w:kern w:val="2"/>
      <w:sz w:val="21"/>
      <w:lang w:val="en-US" w:eastAsia="zh-CN" w:bidi="ar-SA"/>
    </w:rPr>
  </w:style>
  <w:style w:type="paragraph" w:customStyle="1" w:styleId="90">
    <w:name w:val="p0"/>
    <w:basedOn w:val="1"/>
    <w:qFormat/>
    <w:uiPriority w:val="0"/>
    <w:pPr>
      <w:widowControl/>
    </w:pPr>
    <w:rPr>
      <w:kern w:val="0"/>
      <w:szCs w:val="21"/>
    </w:rPr>
  </w:style>
  <w:style w:type="paragraph" w:customStyle="1" w:styleId="91">
    <w:name w:val="彩色列表1"/>
    <w:basedOn w:val="1"/>
    <w:qFormat/>
    <w:uiPriority w:val="0"/>
    <w:pPr>
      <w:jc w:val="left"/>
    </w:pPr>
    <w:rPr>
      <w:rFonts w:ascii="Calibri" w:hAnsi="Calibri" w:eastAsia="宋体" w:cs="Times New Roman"/>
      <w:kern w:val="0"/>
      <w:sz w:val="22"/>
      <w:szCs w:val="22"/>
      <w:lang w:eastAsia="en-US"/>
    </w:rPr>
  </w:style>
  <w:style w:type="paragraph" w:customStyle="1" w:styleId="92">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3">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4">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5">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6">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8">
    <w:name w:val="pa-56"/>
    <w:basedOn w:val="1"/>
    <w:qFormat/>
    <w:uiPriority w:val="0"/>
    <w:pPr>
      <w:widowControl/>
      <w:spacing w:line="240" w:lineRule="atLeast"/>
    </w:pPr>
    <w:rPr>
      <w:rFonts w:ascii="宋体" w:hAnsi="宋体" w:cs="宋体"/>
      <w:kern w:val="0"/>
      <w:sz w:val="24"/>
    </w:rPr>
  </w:style>
  <w:style w:type="paragraph" w:customStyle="1" w:styleId="99">
    <w:name w:val=" Char Char Char"/>
    <w:basedOn w:val="1"/>
    <w:qFormat/>
    <w:uiPriority w:val="0"/>
    <w:rPr>
      <w:rFonts w:ascii="Tahoma" w:hAnsi="Tahoma"/>
      <w:sz w:val="24"/>
      <w:szCs w:val="20"/>
    </w:rPr>
  </w:style>
  <w:style w:type="paragraph" w:customStyle="1" w:styleId="100">
    <w:name w:val="pa-4"/>
    <w:basedOn w:val="1"/>
    <w:qFormat/>
    <w:uiPriority w:val="0"/>
    <w:pPr>
      <w:widowControl/>
      <w:spacing w:line="360" w:lineRule="atLeast"/>
      <w:ind w:firstLine="960"/>
    </w:pPr>
    <w:rPr>
      <w:rFonts w:ascii="宋体" w:hAnsi="宋体" w:cs="宋体"/>
      <w:kern w:val="0"/>
      <w:sz w:val="24"/>
    </w:rPr>
  </w:style>
  <w:style w:type="paragraph" w:customStyle="1" w:styleId="101">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2">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3">
    <w:name w:val="_Style 2"/>
    <w:basedOn w:val="1"/>
    <w:qFormat/>
    <w:uiPriority w:val="0"/>
    <w:pPr>
      <w:ind w:firstLine="420" w:firstLineChars="200"/>
    </w:pPr>
    <w:rPr>
      <w:kern w:val="0"/>
      <w:sz w:val="20"/>
      <w:szCs w:val="24"/>
    </w:rPr>
  </w:style>
  <w:style w:type="paragraph" w:customStyle="1" w:styleId="104">
    <w:name w:val="彩色底纹 - 强调文字颜色 61"/>
    <w:basedOn w:val="7"/>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5">
    <w:name w:val="样式2"/>
    <w:basedOn w:val="8"/>
    <w:qFormat/>
    <w:uiPriority w:val="0"/>
    <w:pPr>
      <w:spacing w:line="413" w:lineRule="auto"/>
      <w:jc w:val="left"/>
    </w:pPr>
    <w:rPr>
      <w:rFonts w:ascii="华文中宋" w:hAnsi="华文中宋" w:eastAsia="宋体"/>
      <w:bCs w:val="0"/>
      <w:color w:val="000000"/>
      <w:szCs w:val="20"/>
    </w:rPr>
  </w:style>
  <w:style w:type="paragraph" w:customStyle="1" w:styleId="106">
    <w:name w:val="pa-57"/>
    <w:basedOn w:val="1"/>
    <w:qFormat/>
    <w:uiPriority w:val="0"/>
    <w:pPr>
      <w:widowControl/>
      <w:spacing w:line="240" w:lineRule="atLeast"/>
      <w:ind w:firstLine="480"/>
    </w:pPr>
    <w:rPr>
      <w:rFonts w:ascii="宋体" w:hAnsi="宋体" w:cs="宋体"/>
      <w:kern w:val="0"/>
      <w:sz w:val="24"/>
    </w:rPr>
  </w:style>
  <w:style w:type="paragraph" w:customStyle="1" w:styleId="107">
    <w:name w:val="Table Paragraph"/>
    <w:basedOn w:val="1"/>
    <w:qFormat/>
    <w:uiPriority w:val="0"/>
    <w:pPr>
      <w:jc w:val="left"/>
    </w:pPr>
    <w:rPr>
      <w:rFonts w:ascii="Calibri" w:hAnsi="Calibri" w:eastAsia="宋体" w:cs="Times New Roman"/>
      <w:kern w:val="0"/>
      <w:sz w:val="22"/>
      <w:szCs w:val="22"/>
      <w:lang w:eastAsia="en-US"/>
    </w:rPr>
  </w:style>
  <w:style w:type="paragraph" w:styleId="108">
    <w:name w:val="List Paragraph"/>
    <w:basedOn w:val="1"/>
    <w:qFormat/>
    <w:uiPriority w:val="34"/>
    <w:pPr>
      <w:ind w:firstLine="420" w:firstLineChars="200"/>
    </w:pPr>
    <w:rPr>
      <w:rFonts w:ascii="Calibri" w:hAnsi="Calibri"/>
      <w:szCs w:val="22"/>
    </w:rPr>
  </w:style>
  <w:style w:type="paragraph" w:customStyle="1" w:styleId="109">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0">
    <w:name w:val="pa-59"/>
    <w:basedOn w:val="1"/>
    <w:qFormat/>
    <w:uiPriority w:val="0"/>
    <w:pPr>
      <w:widowControl/>
      <w:spacing w:line="240" w:lineRule="atLeast"/>
      <w:ind w:firstLine="640"/>
    </w:pPr>
    <w:rPr>
      <w:rFonts w:ascii="宋体" w:hAnsi="宋体" w:cs="宋体"/>
      <w:kern w:val="0"/>
      <w:sz w:val="24"/>
    </w:rPr>
  </w:style>
  <w:style w:type="paragraph" w:customStyle="1" w:styleId="111">
    <w:name w:val="WPSOffice手动目录 1"/>
    <w:qFormat/>
    <w:uiPriority w:val="0"/>
    <w:rPr>
      <w:rFonts w:ascii="Times New Roman" w:hAnsi="Times New Roman" w:eastAsia="宋体" w:cs="Times New Roman"/>
      <w:lang w:val="en-US" w:eastAsia="zh-CN" w:bidi="ar-SA"/>
    </w:rPr>
  </w:style>
  <w:style w:type="paragraph" w:customStyle="1" w:styleId="112">
    <w:name w:val="Heading 2"/>
    <w:basedOn w:val="1"/>
    <w:qFormat/>
    <w:uiPriority w:val="0"/>
    <w:pPr>
      <w:ind w:left="117"/>
      <w:outlineLvl w:val="2"/>
    </w:pPr>
    <w:rPr>
      <w:rFonts w:ascii="黑体" w:hAnsi="黑体" w:eastAsia="黑体"/>
      <w:b/>
      <w:bCs/>
      <w:sz w:val="32"/>
      <w:szCs w:val="32"/>
    </w:rPr>
  </w:style>
  <w:style w:type="paragraph" w:customStyle="1" w:styleId="113">
    <w:name w:val="List Paragraph1"/>
    <w:basedOn w:val="1"/>
    <w:qFormat/>
    <w:uiPriority w:val="0"/>
  </w:style>
  <w:style w:type="paragraph" w:customStyle="1" w:styleId="114">
    <w:name w:val="Char Char Char Char"/>
    <w:basedOn w:val="1"/>
    <w:qFormat/>
    <w:uiPriority w:val="0"/>
    <w:rPr>
      <w:rFonts w:ascii="Tahoma" w:hAnsi="Tahoma"/>
      <w:sz w:val="24"/>
      <w:szCs w:val="20"/>
    </w:rPr>
  </w:style>
  <w:style w:type="paragraph" w:customStyle="1" w:styleId="115">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6">
    <w:name w:val="pa-7"/>
    <w:basedOn w:val="1"/>
    <w:qFormat/>
    <w:uiPriority w:val="0"/>
    <w:pPr>
      <w:widowControl/>
      <w:spacing w:line="360" w:lineRule="atLeast"/>
      <w:ind w:firstLine="800"/>
    </w:pPr>
    <w:rPr>
      <w:rFonts w:ascii="宋体" w:hAnsi="宋体" w:cs="宋体"/>
      <w:kern w:val="0"/>
      <w:sz w:val="24"/>
    </w:rPr>
  </w:style>
  <w:style w:type="paragraph" w:customStyle="1" w:styleId="117">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8">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19">
    <w:name w:val="正文_0"/>
    <w:qFormat/>
    <w:uiPriority w:val="0"/>
    <w:rPr>
      <w:rFonts w:ascii="Times New Roman" w:hAnsi="Times New Roman" w:eastAsia="宋体" w:cs="Times New Roman"/>
      <w:sz w:val="21"/>
      <w:lang w:val="en-US" w:eastAsia="zh-CN" w:bidi="ar-SA"/>
    </w:rPr>
  </w:style>
  <w:style w:type="paragraph" w:customStyle="1" w:styleId="120">
    <w:name w:val="0"/>
    <w:basedOn w:val="1"/>
    <w:qFormat/>
    <w:uiPriority w:val="0"/>
    <w:pPr>
      <w:widowControl/>
      <w:snapToGrid w:val="0"/>
      <w:spacing w:line="408" w:lineRule="auto"/>
      <w:ind w:left="1"/>
      <w:textAlignment w:val="bottom"/>
    </w:pPr>
    <w:rPr>
      <w:color w:val="000000"/>
      <w:kern w:val="0"/>
      <w:szCs w:val="21"/>
    </w:rPr>
  </w:style>
  <w:style w:type="paragraph" w:customStyle="1" w:styleId="121">
    <w:name w:val="pa-55"/>
    <w:basedOn w:val="1"/>
    <w:qFormat/>
    <w:uiPriority w:val="0"/>
    <w:pPr>
      <w:widowControl/>
      <w:spacing w:line="240" w:lineRule="atLeast"/>
      <w:ind w:firstLine="420"/>
    </w:pPr>
    <w:rPr>
      <w:rFonts w:ascii="宋体" w:hAnsi="宋体" w:cs="宋体"/>
      <w:kern w:val="0"/>
      <w:sz w:val="24"/>
    </w:rPr>
  </w:style>
  <w:style w:type="paragraph" w:customStyle="1" w:styleId="122">
    <w:name w:val="pa-1"/>
    <w:basedOn w:val="1"/>
    <w:qFormat/>
    <w:uiPriority w:val="0"/>
    <w:pPr>
      <w:widowControl/>
      <w:spacing w:line="360" w:lineRule="atLeast"/>
      <w:ind w:firstLine="640"/>
    </w:pPr>
    <w:rPr>
      <w:rFonts w:ascii="宋体" w:hAnsi="宋体" w:cs="宋体"/>
      <w:kern w:val="0"/>
      <w:sz w:val="24"/>
    </w:rPr>
  </w:style>
  <w:style w:type="table" w:customStyle="1" w:styleId="123">
    <w:name w:val="Table Normal"/>
    <w:semiHidden/>
    <w:unhideWhenUsed/>
    <w:qFormat/>
    <w:uiPriority w:val="0"/>
    <w:tblPr>
      <w:tblCellMar>
        <w:top w:w="0" w:type="dxa"/>
        <w:left w:w="0" w:type="dxa"/>
        <w:bottom w:w="0" w:type="dxa"/>
        <w:right w:w="0" w:type="dxa"/>
      </w:tblCellMar>
    </w:tblPr>
  </w:style>
  <w:style w:type="paragraph" w:customStyle="1" w:styleId="124">
    <w:name w:val="Basistekst Batenburg"/>
    <w:basedOn w:val="125"/>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5">
    <w:name w:val="Zsysbasis Batenburg"/>
    <w:next w:val="124"/>
    <w:qFormat/>
    <w:uiPriority w:val="0"/>
    <w:pPr>
      <w:spacing w:line="300" w:lineRule="atLeast"/>
    </w:pPr>
    <w:rPr>
      <w:rFonts w:ascii="Calibri" w:hAnsi="Calibri" w:eastAsia="宋体" w:cs="Times New Roman"/>
      <w:sz w:val="22"/>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20662</Words>
  <Characters>21417</Characters>
  <Lines>235</Lines>
  <Paragraphs>66</Paragraphs>
  <TotalTime>1</TotalTime>
  <ScaleCrop>false</ScaleCrop>
  <LinksUpToDate>false</LinksUpToDate>
  <CharactersWithSpaces>23606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哈哈</cp:lastModifiedBy>
  <cp:lastPrinted>2023-08-01T02:45:00Z</cp:lastPrinted>
  <dcterms:modified xsi:type="dcterms:W3CDTF">2023-08-09T09:13:49Z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FE9767A698414BA0B0DA59A6436A7C67</vt:lpwstr>
  </property>
</Properties>
</file>