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pacing w:line="360" w:lineRule="auto"/>
        <w:rPr>
          <w:rFonts w:ascii="宋体" w:hAnsi="宋体"/>
          <w:b/>
          <w:kern w:val="0"/>
          <w:sz w:val="21"/>
          <w:szCs w:val="21"/>
        </w:rPr>
      </w:pPr>
      <w:bookmarkStart w:id="0" w:name="_Toc477423251"/>
      <w:bookmarkStart w:id="1" w:name="_Toc11229"/>
      <w:bookmarkStart w:id="2" w:name="_Toc374512420"/>
      <w:bookmarkStart w:id="3" w:name="_Toc487805927"/>
      <w:bookmarkStart w:id="4" w:name="_Toc20594"/>
      <w:bookmarkStart w:id="5" w:name="_Toc4426"/>
      <w:bookmarkStart w:id="6" w:name="_Toc373230032"/>
      <w:r>
        <w:rPr>
          <w:rFonts w:hint="eastAsia" w:ascii="宋体" w:hAnsi="宋体"/>
          <w:b/>
          <w:kern w:val="0"/>
          <w:sz w:val="21"/>
          <w:szCs w:val="21"/>
        </w:rPr>
        <w:t>一、</w:t>
      </w:r>
      <w:r>
        <w:rPr>
          <w:rFonts w:ascii="宋体" w:hAnsi="宋体"/>
          <w:b/>
          <w:kern w:val="0"/>
          <w:sz w:val="21"/>
          <w:szCs w:val="21"/>
        </w:rPr>
        <w:t>相关说明</w:t>
      </w:r>
    </w:p>
    <w:p>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hint="eastAsia" w:ascii="宋体" w:hAnsi="宋体"/>
          <w:bCs/>
          <w:kern w:val="0"/>
          <w:sz w:val="21"/>
          <w:szCs w:val="21"/>
          <w:lang w:eastAsia="zh-CN"/>
        </w:rPr>
        <w:t>竞争性磋商</w:t>
      </w:r>
      <w:r>
        <w:rPr>
          <w:rFonts w:ascii="宋体" w:hAnsi="宋体"/>
          <w:bCs/>
          <w:kern w:val="0"/>
          <w:sz w:val="21"/>
          <w:szCs w:val="21"/>
        </w:rPr>
        <w:t>文件中</w:t>
      </w:r>
      <w:r>
        <w:rPr>
          <w:rFonts w:hint="eastAsia" w:ascii="宋体" w:hAnsi="宋体"/>
          <w:bCs/>
          <w:kern w:val="0"/>
          <w:sz w:val="21"/>
          <w:szCs w:val="21"/>
        </w:rPr>
        <w:t>列出</w:t>
      </w:r>
      <w:r>
        <w:rPr>
          <w:rFonts w:ascii="宋体" w:hAnsi="宋体"/>
          <w:bCs/>
          <w:kern w:val="0"/>
          <w:sz w:val="21"/>
          <w:szCs w:val="21"/>
        </w:rPr>
        <w:t>的质</w:t>
      </w:r>
      <w:r>
        <w:rPr>
          <w:rFonts w:hint="eastAsia" w:ascii="宋体" w:hAnsi="宋体"/>
          <w:bCs/>
          <w:kern w:val="0"/>
          <w:sz w:val="21"/>
          <w:szCs w:val="21"/>
        </w:rPr>
        <w:t>量技术参数</w:t>
      </w:r>
      <w:r>
        <w:rPr>
          <w:rFonts w:ascii="宋体" w:hAnsi="宋体"/>
          <w:bCs/>
          <w:kern w:val="0"/>
          <w:sz w:val="21"/>
          <w:szCs w:val="21"/>
        </w:rPr>
        <w:t>或</w:t>
      </w:r>
      <w:r>
        <w:rPr>
          <w:rFonts w:hint="eastAsia" w:ascii="宋体" w:hAnsi="宋体"/>
          <w:bCs/>
          <w:kern w:val="0"/>
          <w:sz w:val="21"/>
          <w:szCs w:val="21"/>
        </w:rPr>
        <w:t>型号</w:t>
      </w:r>
      <w:r>
        <w:rPr>
          <w:rFonts w:ascii="宋体" w:hAnsi="宋体"/>
          <w:bCs/>
          <w:kern w:val="0"/>
          <w:sz w:val="21"/>
          <w:szCs w:val="21"/>
        </w:rPr>
        <w:t>与某产品相同</w:t>
      </w:r>
      <w:r>
        <w:rPr>
          <w:rFonts w:hint="eastAsia" w:ascii="宋体" w:hAnsi="宋体"/>
          <w:bCs/>
          <w:kern w:val="0"/>
          <w:sz w:val="21"/>
          <w:szCs w:val="21"/>
        </w:rPr>
        <w:t>时</w:t>
      </w:r>
      <w:r>
        <w:rPr>
          <w:rFonts w:ascii="宋体" w:hAnsi="宋体"/>
          <w:bCs/>
          <w:kern w:val="0"/>
          <w:sz w:val="21"/>
          <w:szCs w:val="21"/>
        </w:rPr>
        <w:t>仅</w:t>
      </w:r>
      <w:r>
        <w:rPr>
          <w:rFonts w:hint="eastAsia" w:ascii="宋体" w:hAnsi="宋体"/>
          <w:bCs/>
          <w:kern w:val="0"/>
          <w:sz w:val="21"/>
          <w:szCs w:val="21"/>
        </w:rPr>
        <w:t>作为</w:t>
      </w:r>
      <w:r>
        <w:rPr>
          <w:rFonts w:hint="eastAsia" w:ascii="宋体" w:hAnsi="宋体"/>
          <w:bCs/>
          <w:kern w:val="0"/>
          <w:sz w:val="21"/>
          <w:szCs w:val="21"/>
          <w:lang w:eastAsia="zh-CN"/>
        </w:rPr>
        <w:t>供应商</w:t>
      </w:r>
      <w:r>
        <w:rPr>
          <w:rFonts w:ascii="宋体" w:hAnsi="宋体"/>
          <w:bCs/>
          <w:kern w:val="0"/>
          <w:sz w:val="21"/>
          <w:szCs w:val="21"/>
        </w:rPr>
        <w:t>选择</w:t>
      </w:r>
      <w:r>
        <w:rPr>
          <w:rFonts w:hint="eastAsia" w:ascii="宋体" w:hAnsi="宋体"/>
          <w:bCs/>
          <w:kern w:val="0"/>
          <w:sz w:val="21"/>
          <w:szCs w:val="21"/>
        </w:rPr>
        <w:t>投标产品</w:t>
      </w:r>
      <w:r>
        <w:rPr>
          <w:rFonts w:ascii="宋体" w:hAnsi="宋体"/>
          <w:bCs/>
          <w:kern w:val="0"/>
          <w:sz w:val="21"/>
          <w:szCs w:val="21"/>
        </w:rPr>
        <w:t>时在质量水平上</w:t>
      </w:r>
      <w:r>
        <w:rPr>
          <w:rFonts w:hint="eastAsia" w:ascii="宋体" w:hAnsi="宋体"/>
          <w:bCs/>
          <w:kern w:val="0"/>
          <w:sz w:val="21"/>
          <w:szCs w:val="21"/>
        </w:rPr>
        <w:t>的</w:t>
      </w:r>
      <w:r>
        <w:rPr>
          <w:rFonts w:ascii="宋体" w:hAnsi="宋体"/>
          <w:bCs/>
          <w:kern w:val="0"/>
          <w:sz w:val="21"/>
          <w:szCs w:val="21"/>
        </w:rPr>
        <w:t>参考，不</w:t>
      </w:r>
      <w:r>
        <w:rPr>
          <w:rFonts w:hint="eastAsia" w:ascii="宋体" w:hAnsi="宋体"/>
          <w:bCs/>
          <w:kern w:val="0"/>
          <w:sz w:val="21"/>
          <w:szCs w:val="21"/>
        </w:rPr>
        <w:t>强</w:t>
      </w:r>
      <w:r>
        <w:rPr>
          <w:rFonts w:ascii="宋体" w:hAnsi="宋体"/>
          <w:bCs/>
          <w:kern w:val="0"/>
          <w:sz w:val="21"/>
          <w:szCs w:val="21"/>
        </w:rPr>
        <w:t>制</w:t>
      </w:r>
      <w:r>
        <w:rPr>
          <w:rFonts w:hint="eastAsia" w:ascii="宋体" w:hAnsi="宋体"/>
          <w:bCs/>
          <w:kern w:val="0"/>
          <w:sz w:val="21"/>
          <w:szCs w:val="21"/>
        </w:rPr>
        <w:t>采购某一特定产品</w:t>
      </w:r>
      <w:r>
        <w:rPr>
          <w:rFonts w:ascii="宋体" w:hAnsi="宋体"/>
          <w:bCs/>
          <w:kern w:val="0"/>
          <w:sz w:val="21"/>
          <w:szCs w:val="21"/>
        </w:rPr>
        <w:t>，</w:t>
      </w:r>
      <w:r>
        <w:rPr>
          <w:rFonts w:hint="eastAsia" w:ascii="宋体" w:hAnsi="宋体"/>
          <w:bCs/>
          <w:kern w:val="0"/>
          <w:sz w:val="21"/>
          <w:szCs w:val="21"/>
          <w:lang w:eastAsia="zh-CN"/>
        </w:rPr>
        <w:t>供应商</w:t>
      </w:r>
      <w:r>
        <w:rPr>
          <w:rFonts w:ascii="宋体" w:hAnsi="宋体"/>
          <w:bCs/>
          <w:kern w:val="0"/>
          <w:sz w:val="21"/>
          <w:szCs w:val="21"/>
        </w:rPr>
        <w:t>可提供</w:t>
      </w:r>
      <w:r>
        <w:rPr>
          <w:rFonts w:hint="eastAsia" w:ascii="宋体" w:hAnsi="宋体"/>
          <w:bCs/>
          <w:kern w:val="0"/>
          <w:sz w:val="21"/>
          <w:szCs w:val="21"/>
        </w:rPr>
        <w:t>符合采购需求</w:t>
      </w:r>
      <w:r>
        <w:rPr>
          <w:rFonts w:ascii="宋体" w:hAnsi="宋体"/>
          <w:bCs/>
          <w:kern w:val="0"/>
          <w:sz w:val="21"/>
          <w:szCs w:val="21"/>
        </w:rPr>
        <w:t>或</w:t>
      </w:r>
      <w:r>
        <w:rPr>
          <w:rFonts w:hint="eastAsia" w:ascii="宋体" w:hAnsi="宋体"/>
          <w:bCs/>
          <w:kern w:val="0"/>
          <w:sz w:val="21"/>
          <w:szCs w:val="21"/>
        </w:rPr>
        <w:t>更</w:t>
      </w:r>
      <w:r>
        <w:rPr>
          <w:rFonts w:ascii="宋体" w:hAnsi="宋体"/>
          <w:bCs/>
          <w:kern w:val="0"/>
          <w:sz w:val="21"/>
          <w:szCs w:val="21"/>
        </w:rPr>
        <w:t>优</w:t>
      </w:r>
      <w:r>
        <w:rPr>
          <w:rFonts w:hint="eastAsia" w:ascii="宋体" w:hAnsi="宋体"/>
          <w:bCs/>
          <w:kern w:val="0"/>
          <w:sz w:val="21"/>
          <w:szCs w:val="21"/>
        </w:rPr>
        <w:t>的产品及</w:t>
      </w:r>
      <w:r>
        <w:rPr>
          <w:rFonts w:ascii="宋体" w:hAnsi="宋体"/>
          <w:bCs/>
          <w:kern w:val="0"/>
          <w:sz w:val="21"/>
          <w:szCs w:val="21"/>
        </w:rPr>
        <w:t>方案</w:t>
      </w:r>
      <w:r>
        <w:rPr>
          <w:rFonts w:ascii="宋体" w:hAnsi="宋体"/>
          <w:kern w:val="0"/>
          <w:sz w:val="21"/>
          <w:szCs w:val="21"/>
        </w:rPr>
        <w:t>。</w:t>
      </w:r>
    </w:p>
    <w:p>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w:t>
      </w:r>
      <w:r>
        <w:rPr>
          <w:rFonts w:hint="eastAsia" w:ascii="宋体" w:hAnsi="宋体"/>
          <w:kern w:val="0"/>
          <w:sz w:val="21"/>
          <w:szCs w:val="21"/>
          <w:lang w:eastAsia="zh-CN"/>
        </w:rPr>
        <w:t>采购</w:t>
      </w:r>
      <w:r>
        <w:rPr>
          <w:rFonts w:hint="eastAsia" w:ascii="宋体" w:hAnsi="宋体"/>
          <w:kern w:val="0"/>
          <w:sz w:val="21"/>
          <w:szCs w:val="21"/>
        </w:rPr>
        <w:t>技术要求中未明确的技术标准也均不得低于国家标准；</w:t>
      </w:r>
    </w:p>
    <w:p>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adjustRightInd w:val="0"/>
        <w:spacing w:line="360" w:lineRule="auto"/>
        <w:rPr>
          <w:rFonts w:hint="eastAsia" w:ascii="宋体" w:hAnsi="宋体"/>
          <w:b/>
          <w:kern w:val="0"/>
          <w:sz w:val="21"/>
          <w:szCs w:val="21"/>
        </w:rPr>
      </w:pPr>
      <w:r>
        <w:rPr>
          <w:rFonts w:hint="eastAsia" w:ascii="宋体" w:hAnsi="宋体"/>
          <w:b/>
          <w:kern w:val="0"/>
          <w:sz w:val="21"/>
          <w:szCs w:val="21"/>
        </w:rPr>
        <w:t xml:space="preserve">二、商务要求： </w:t>
      </w:r>
    </w:p>
    <w:p>
      <w:pPr>
        <w:numPr>
          <w:ilvl w:val="2"/>
          <w:numId w:val="2"/>
        </w:numPr>
        <w:spacing w:line="360" w:lineRule="auto"/>
        <w:ind w:firstLine="420" w:firstLineChars="200"/>
        <w:rPr>
          <w:rFonts w:hint="eastAsia" w:ascii="宋体" w:hAnsi="宋体"/>
          <w:color w:val="auto"/>
          <w:sz w:val="21"/>
          <w:szCs w:val="21"/>
        </w:rPr>
      </w:pPr>
      <w:r>
        <w:rPr>
          <w:rFonts w:hint="eastAsia" w:ascii="宋体" w:hAnsi="宋体"/>
          <w:color w:val="auto"/>
          <w:sz w:val="21"/>
          <w:szCs w:val="21"/>
        </w:rPr>
        <w:t>合同履行期限：</w:t>
      </w:r>
      <w:r>
        <w:rPr>
          <w:rFonts w:hint="eastAsia" w:ascii="宋体" w:hAnsi="宋体"/>
          <w:color w:val="auto"/>
          <w:sz w:val="21"/>
          <w:szCs w:val="21"/>
          <w:lang w:val="en-US" w:eastAsia="zh-CN"/>
        </w:rPr>
        <w:t>一年</w:t>
      </w:r>
    </w:p>
    <w:p>
      <w:pPr>
        <w:numPr>
          <w:ilvl w:val="2"/>
          <w:numId w:val="2"/>
        </w:numPr>
        <w:spacing w:line="360" w:lineRule="auto"/>
        <w:ind w:firstLine="420" w:firstLineChars="200"/>
        <w:rPr>
          <w:rFonts w:hint="eastAsia" w:ascii="宋体" w:hAnsi="宋体"/>
          <w:color w:val="auto"/>
          <w:sz w:val="21"/>
          <w:szCs w:val="21"/>
        </w:rPr>
      </w:pPr>
      <w:r>
        <w:rPr>
          <w:rFonts w:hint="eastAsia" w:ascii="宋体" w:hAnsi="宋体"/>
          <w:color w:val="auto"/>
          <w:sz w:val="21"/>
          <w:szCs w:val="21"/>
        </w:rPr>
        <w:t>供货</w:t>
      </w:r>
      <w:r>
        <w:rPr>
          <w:rFonts w:hint="eastAsia" w:ascii="宋体" w:hAnsi="宋体"/>
          <w:color w:val="auto"/>
          <w:sz w:val="21"/>
          <w:szCs w:val="21"/>
          <w:lang w:eastAsia="zh-CN"/>
        </w:rPr>
        <w:t>（服务）</w:t>
      </w:r>
      <w:r>
        <w:rPr>
          <w:rFonts w:hint="eastAsia" w:ascii="宋体" w:hAnsi="宋体"/>
          <w:color w:val="auto"/>
          <w:sz w:val="21"/>
          <w:szCs w:val="21"/>
        </w:rPr>
        <w:t>地点：</w:t>
      </w:r>
      <w:r>
        <w:rPr>
          <w:rFonts w:hint="eastAsia" w:ascii="宋体" w:hAnsi="宋体"/>
          <w:color w:val="auto"/>
          <w:sz w:val="21"/>
          <w:szCs w:val="21"/>
          <w:lang w:val="en-US" w:eastAsia="zh-CN"/>
        </w:rPr>
        <w:t>武陟县县域内</w:t>
      </w:r>
    </w:p>
    <w:p>
      <w:pPr>
        <w:numPr>
          <w:ilvl w:val="2"/>
          <w:numId w:val="2"/>
        </w:numPr>
        <w:spacing w:line="360" w:lineRule="auto"/>
        <w:ind w:firstLine="420" w:firstLineChars="200"/>
        <w:rPr>
          <w:rFonts w:hint="eastAsia" w:ascii="宋体" w:hAnsi="宋体"/>
          <w:color w:val="auto"/>
          <w:sz w:val="21"/>
          <w:szCs w:val="21"/>
        </w:rPr>
      </w:pPr>
      <w:r>
        <w:rPr>
          <w:rFonts w:hint="eastAsia" w:ascii="宋体" w:hAnsi="宋体"/>
          <w:color w:val="auto"/>
          <w:sz w:val="21"/>
          <w:szCs w:val="21"/>
        </w:rPr>
        <w:t>质量标准：</w:t>
      </w:r>
      <w:r>
        <w:rPr>
          <w:rFonts w:hint="eastAsia" w:ascii="宋体" w:hAnsi="宋体"/>
          <w:color w:val="auto"/>
          <w:sz w:val="21"/>
          <w:szCs w:val="21"/>
          <w:lang w:val="en-US" w:eastAsia="zh-CN"/>
        </w:rPr>
        <w:t>合格，满足采购人要求。</w:t>
      </w:r>
    </w:p>
    <w:p>
      <w:pPr>
        <w:numPr>
          <w:ilvl w:val="2"/>
          <w:numId w:val="2"/>
        </w:numPr>
        <w:spacing w:line="360" w:lineRule="auto"/>
        <w:ind w:firstLine="420" w:firstLineChars="200"/>
        <w:rPr>
          <w:rFonts w:hint="eastAsia" w:ascii="宋体" w:hAnsi="宋体"/>
          <w:color w:val="auto"/>
          <w:sz w:val="21"/>
          <w:szCs w:val="21"/>
        </w:rPr>
      </w:pPr>
      <w:r>
        <w:rPr>
          <w:rFonts w:hint="eastAsia" w:ascii="宋体" w:hAnsi="宋体"/>
          <w:color w:val="auto"/>
          <w:sz w:val="21"/>
          <w:szCs w:val="21"/>
        </w:rPr>
        <w:t>付款方式：签订合同后预付50%，技术服务完成后结清剩余50%（如果全省试点县评比被淘汰，剩余50%款项不予结算）。</w:t>
      </w:r>
    </w:p>
    <w:p>
      <w:pPr>
        <w:widowControl/>
        <w:adjustRightInd w:val="0"/>
        <w:spacing w:line="360" w:lineRule="auto"/>
        <w:rPr>
          <w:rFonts w:hint="eastAsia" w:ascii="宋体" w:hAnsi="宋体" w:eastAsia="宋体" w:cs="Times New Roman"/>
          <w:b/>
          <w:kern w:val="0"/>
          <w:sz w:val="21"/>
          <w:szCs w:val="21"/>
          <w:lang w:val="en-US" w:eastAsia="zh-CN"/>
        </w:rPr>
      </w:pPr>
      <w:r>
        <w:rPr>
          <w:rFonts w:hint="eastAsia" w:ascii="宋体" w:hAnsi="宋体" w:eastAsia="宋体" w:cs="Times New Roman"/>
          <w:b/>
          <w:kern w:val="0"/>
          <w:sz w:val="21"/>
          <w:szCs w:val="21"/>
          <w:lang w:val="en-US" w:eastAsia="zh-CN"/>
        </w:rPr>
        <w:t>三、其它要求：</w:t>
      </w:r>
    </w:p>
    <w:p>
      <w:pPr>
        <w:widowControl/>
        <w:numPr>
          <w:ilvl w:val="2"/>
          <w:numId w:val="3"/>
        </w:numPr>
        <w:adjustRightInd w:val="0"/>
        <w:spacing w:line="360" w:lineRule="auto"/>
        <w:ind w:firstLine="420" w:firstLineChars="200"/>
        <w:jc w:val="left"/>
        <w:rPr>
          <w:rFonts w:hint="eastAsia" w:ascii="宋体" w:hAnsi="宋体" w:eastAsia="宋体" w:cs="Times New Roman"/>
          <w:kern w:val="0"/>
          <w:sz w:val="21"/>
          <w:szCs w:val="21"/>
          <w:lang w:val="en-US" w:eastAsia="zh-CN"/>
        </w:rPr>
      </w:pPr>
      <w:r>
        <w:rPr>
          <w:rFonts w:hint="eastAsia" w:ascii="宋体" w:hAnsi="宋体" w:eastAsia="宋体" w:cs="Times New Roman"/>
          <w:kern w:val="0"/>
          <w:sz w:val="21"/>
          <w:szCs w:val="21"/>
          <w:lang w:val="en-US" w:eastAsia="zh-CN"/>
        </w:rPr>
        <w:t>创建一个创新做法并实施；</w:t>
      </w:r>
    </w:p>
    <w:p>
      <w:pPr>
        <w:widowControl/>
        <w:numPr>
          <w:ilvl w:val="2"/>
          <w:numId w:val="3"/>
        </w:numPr>
        <w:adjustRightInd w:val="0"/>
        <w:spacing w:line="360" w:lineRule="auto"/>
        <w:ind w:firstLine="420" w:firstLineChars="200"/>
        <w:jc w:val="left"/>
        <w:rPr>
          <w:rFonts w:hint="eastAsia" w:ascii="宋体" w:hAnsi="宋体" w:eastAsia="宋体" w:cs="Times New Roman"/>
          <w:kern w:val="0"/>
          <w:sz w:val="21"/>
          <w:szCs w:val="21"/>
          <w:lang w:val="en-US" w:eastAsia="zh-CN"/>
        </w:rPr>
      </w:pPr>
      <w:r>
        <w:rPr>
          <w:rFonts w:hint="eastAsia" w:ascii="宋体" w:hAnsi="宋体" w:eastAsia="宋体" w:cs="Times New Roman"/>
          <w:kern w:val="0"/>
          <w:sz w:val="21"/>
          <w:szCs w:val="21"/>
          <w:lang w:val="en-US" w:eastAsia="zh-CN"/>
        </w:rPr>
        <w:t>负责该《2023年度武陟县绿色种养循环农业试点县项目》的验收工作。</w:t>
      </w:r>
    </w:p>
    <w:p>
      <w:pPr>
        <w:widowControl/>
        <w:numPr>
          <w:ilvl w:val="2"/>
          <w:numId w:val="3"/>
        </w:numPr>
        <w:adjustRightInd w:val="0"/>
        <w:spacing w:line="360" w:lineRule="auto"/>
        <w:ind w:firstLine="420" w:firstLineChars="200"/>
        <w:jc w:val="left"/>
        <w:rPr>
          <w:rFonts w:hint="default" w:ascii="宋体" w:hAnsi="宋体" w:eastAsia="宋体" w:cs="Times New Roman"/>
          <w:kern w:val="0"/>
          <w:sz w:val="21"/>
          <w:szCs w:val="21"/>
          <w:lang w:val="en-US" w:eastAsia="zh-CN"/>
        </w:rPr>
      </w:pPr>
      <w:r>
        <w:rPr>
          <w:rFonts w:hint="eastAsia" w:ascii="宋体" w:hAnsi="宋体" w:eastAsia="宋体" w:cs="Times New Roman"/>
          <w:kern w:val="0"/>
          <w:sz w:val="21"/>
          <w:szCs w:val="21"/>
          <w:lang w:val="en-US" w:eastAsia="zh-CN"/>
        </w:rPr>
        <w:t>该项目中的所有检验检测项，供应商具备相关检验检测资质的自行检验检测，不具备检验检测资质的需委托具有相关验检测资质的第三方机构进行检验检测。（供应商需在响应文件中作出承诺，格式详见响应文件）</w:t>
      </w:r>
    </w:p>
    <w:p>
      <w:pPr>
        <w:widowControl/>
        <w:numPr>
          <w:ilvl w:val="0"/>
          <w:numId w:val="4"/>
        </w:numPr>
        <w:adjustRightInd w:val="0"/>
        <w:spacing w:line="360" w:lineRule="auto"/>
        <w:ind w:left="0" w:leftChars="0" w:firstLine="0" w:firstLineChars="0"/>
        <w:rPr>
          <w:rFonts w:hint="eastAsia" w:ascii="宋体" w:hAnsi="宋体"/>
          <w:b/>
          <w:kern w:val="0"/>
          <w:sz w:val="21"/>
          <w:szCs w:val="21"/>
        </w:rPr>
      </w:pPr>
      <w:r>
        <w:rPr>
          <w:rFonts w:hint="eastAsia" w:ascii="宋体" w:hAnsi="宋体"/>
          <w:b/>
          <w:kern w:val="0"/>
          <w:sz w:val="21"/>
          <w:szCs w:val="21"/>
        </w:rPr>
        <w:t>采购内容及技术要求</w:t>
      </w:r>
    </w:p>
    <w:p>
      <w:pPr>
        <w:pStyle w:val="2"/>
        <w:numPr>
          <w:ilvl w:val="0"/>
          <w:numId w:val="0"/>
        </w:numPr>
        <w:ind w:leftChars="0"/>
        <w:rPr>
          <w:rFonts w:hint="eastAsia" w:eastAsia="宋体"/>
          <w:lang w:eastAsia="zh-CN"/>
        </w:rPr>
      </w:pPr>
      <w:r>
        <w:rPr>
          <w:rFonts w:hint="eastAsia"/>
          <w:lang w:eastAsia="zh-CN"/>
        </w:rPr>
        <w:t>所属行业：其他未列明行业</w:t>
      </w:r>
    </w:p>
    <w:bookmarkEnd w:id="0"/>
    <w:bookmarkEnd w:id="1"/>
    <w:bookmarkEnd w:id="2"/>
    <w:bookmarkEnd w:id="3"/>
    <w:bookmarkEnd w:id="4"/>
    <w:bookmarkEnd w:id="5"/>
    <w:bookmarkEnd w:id="6"/>
    <w:tbl>
      <w:tblPr>
        <w:tblStyle w:val="3"/>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5"/>
        <w:gridCol w:w="1579"/>
        <w:gridCol w:w="3578"/>
        <w:gridCol w:w="26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tcBorders>
              <w:top w:val="single" w:color="000000" w:sz="8"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927" w:type="pc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auto"/>
                <w:kern w:val="0"/>
                <w:sz w:val="21"/>
                <w:szCs w:val="21"/>
                <w:u w:val="none"/>
                <w:lang w:val="en-US" w:eastAsia="zh-CN" w:bidi="ar"/>
              </w:rPr>
              <w:t>标的名称</w:t>
            </w:r>
          </w:p>
        </w:tc>
        <w:tc>
          <w:tcPr>
            <w:tcW w:w="2100" w:type="pc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服务内容</w:t>
            </w:r>
          </w:p>
        </w:tc>
        <w:tc>
          <w:tcPr>
            <w:tcW w:w="1575" w:type="pc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实施方案</w:t>
            </w: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2023年项目实施方案编制</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专家指导组</w:t>
            </w: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成立绿色种养循环农业试点省级专家指导组</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根据项目进展组织巡回指导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宣传报道</w:t>
            </w: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省级主要媒体报道</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组织培训</w:t>
            </w: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召开项目启动会</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组织项目技术培训会</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巡回技术培训和现场技术指导</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覆盖所有项目村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项目实施过程中现场会</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组织项目验收</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宣传资料印发</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项目区示范牌</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96个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效果监测</w:t>
            </w: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试验方案编制</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监测点检测管理</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监测点试验示范报告</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土壤样品采集与检测</w:t>
            </w:r>
          </w:p>
        </w:tc>
        <w:tc>
          <w:tcPr>
            <w:tcW w:w="21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检测：土壤有机质含量、全氮、碱解氮、全磷、有效磷、全钾、速效钾、pH、土壤阳离子交换量、土壤容重、土壤镉、铅、铬、砷、汞</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基础土样：32个样品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成熟期土样：103个样品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试验示范</w:t>
            </w: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试验方案编制</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试验田建设与田间管理</w:t>
            </w: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试验田和监测点试验材料的购置（含种子和化肥）</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80" w:hRule="atLeast"/>
        </w:trPr>
        <w:tc>
          <w:tcPr>
            <w:tcW w:w="396"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试验示范报告</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样品采集与农产品检测</w:t>
            </w: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单株产重</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103个地块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平均株高</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103个地块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单株籽粒数</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103个地块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产量测算</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103个地块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植株检测</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103个样品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396"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籽粒检测</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103个样品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粪肥质量监督检测</w:t>
            </w:r>
          </w:p>
        </w:tc>
        <w:tc>
          <w:tcPr>
            <w:tcW w:w="21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粪肥收集登记核查，根据粪肥实施主体情况及粪肥还田计划，按主体批量 进行粪肥样品的抽测（粪肥采样、粪肥检测）</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基础检测：48个样品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实施过程中监督抽检：10个样品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粪肥还田记录跟踪</w:t>
            </w: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实施过程中进行还田记录跟踪填写，确保粪肥还田面积</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6" w:type="pc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r>
              <w:rPr>
                <w:rFonts w:hint="eastAsia" w:cs="Times New Roman"/>
                <w:i w:val="0"/>
                <w:iCs w:val="0"/>
                <w:color w:val="000000"/>
                <w:kern w:val="0"/>
                <w:sz w:val="21"/>
                <w:szCs w:val="21"/>
                <w:u w:val="none"/>
                <w:lang w:val="en-US" w:eastAsia="zh-CN" w:bidi="ar"/>
              </w:rPr>
              <w:t>1</w:t>
            </w:r>
          </w:p>
        </w:tc>
        <w:tc>
          <w:tcPr>
            <w:tcW w:w="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土地使用费</w:t>
            </w: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试验田和监测点土地使用费</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396" w:type="pc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r>
              <w:rPr>
                <w:rFonts w:hint="eastAsia" w:cs="Times New Roman"/>
                <w:i w:val="0"/>
                <w:iCs w:val="0"/>
                <w:color w:val="000000"/>
                <w:kern w:val="0"/>
                <w:sz w:val="21"/>
                <w:szCs w:val="21"/>
                <w:u w:val="none"/>
                <w:lang w:val="en-US" w:eastAsia="zh-CN" w:bidi="ar"/>
              </w:rPr>
              <w:t>2</w:t>
            </w:r>
          </w:p>
        </w:tc>
        <w:tc>
          <w:tcPr>
            <w:tcW w:w="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项目总结报告</w:t>
            </w:r>
          </w:p>
        </w:tc>
        <w:tc>
          <w:tcPr>
            <w:tcW w:w="21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项目年度总结报告</w:t>
            </w:r>
          </w:p>
        </w:tc>
        <w:tc>
          <w:tcPr>
            <w:tcW w:w="15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4"/>
            <w:tcBorders>
              <w:top w:val="single" w:color="000000"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备注说明：包括但不限于以上内容，整个技术服务需满足河南省农业农村厅豫农文（2021）265号、豫农文〔2022〕275号和豫农文〔2023〕292号文件要求。</w:t>
            </w:r>
          </w:p>
        </w:tc>
      </w:tr>
    </w:tbl>
    <w:p>
      <w:pPr>
        <w:rPr>
          <w:rFonts w:hint="eastAsia"/>
        </w:rPr>
      </w:pPr>
    </w:p>
    <w:p>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DF6615"/>
    <w:multiLevelType w:val="singleLevel"/>
    <w:tmpl w:val="9EDF6615"/>
    <w:lvl w:ilvl="0" w:tentative="0">
      <w:start w:val="3"/>
      <w:numFmt w:val="chineseCounting"/>
      <w:suff w:val="nothing"/>
      <w:lvlText w:val="%1、"/>
      <w:lvlJc w:val="left"/>
      <w:rPr>
        <w:rFonts w:hint="eastAsia"/>
      </w:rPr>
    </w:lvl>
  </w:abstractNum>
  <w:abstractNum w:abstractNumId="1">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default" w:ascii="宋体" w:hAnsi="宋体" w:eastAsia="宋体" w:cs="宋体"/>
        <w:color w:val="auto"/>
        <w:sz w:val="21"/>
        <w:szCs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28DC0BC6"/>
    <w:multiLevelType w:val="multilevel"/>
    <w:tmpl w:val="28DC0BC6"/>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3MGM5Y2ZhZjZmOWRlYzBlZmQyOGYwNDBlNjVhYzUifQ=="/>
  </w:docVars>
  <w:rsids>
    <w:rsidRoot w:val="00000000"/>
    <w:rsid w:val="15275F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 Spacing"/>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2023-08-22T02:28:38Z</dcterms:created>
  <dc:creator>Administrator</dc:creator>
  <cp:lastModifiedBy>七儿</cp:lastModifiedBy>
  <dcterms:modified xsi:type="dcterms:W3CDTF">2023-08-22T02:29:03Z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10F2D829C3E8481ABB3ABF4139C5DB2A_12</vt:lpwstr>
  </property>
</Properties>
</file>