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numPr>
          <w:numId w:val="0"/>
        </w:numPr>
        <w:spacing w:before="0" w:after="0" w:line="360" w:lineRule="auto"/>
        <w:ind w:leftChars="0"/>
        <w:jc w:val="center"/>
        <w:rPr>
          <w:rFonts w:hint="eastAsia" w:ascii="宋体" w:hAnsi="宋体" w:cs="宋体"/>
          <w:color w:val="auto"/>
        </w:rPr>
      </w:pPr>
      <w:bookmarkStart w:id="0" w:name="_Toc7461"/>
      <w:bookmarkStart w:id="1" w:name="_Toc4279"/>
      <w:r>
        <w:rPr>
          <w:rFonts w:hint="eastAsia" w:ascii="宋体" w:hAnsi="宋体" w:cs="宋体"/>
          <w:color w:val="auto"/>
        </w:rPr>
        <w:t>采购需求</w:t>
      </w:r>
      <w:bookmarkEnd w:id="0"/>
      <w:bookmarkEnd w:id="1"/>
    </w:p>
    <w:p>
      <w:pPr>
        <w:widowControl/>
        <w:adjustRightInd w:val="0"/>
        <w:spacing w:line="360" w:lineRule="auto"/>
        <w:rPr>
          <w:rFonts w:ascii="宋体" w:hAnsi="宋体"/>
          <w:b/>
          <w:color w:val="auto"/>
          <w:kern w:val="0"/>
          <w:sz w:val="21"/>
          <w:szCs w:val="21"/>
        </w:rPr>
      </w:pPr>
      <w:bookmarkStart w:id="2" w:name="_Toc11229"/>
      <w:bookmarkStart w:id="3" w:name="_Toc477423251"/>
      <w:bookmarkStart w:id="4" w:name="_Toc374512420"/>
      <w:bookmarkStart w:id="5" w:name="_Toc4426"/>
      <w:bookmarkStart w:id="6" w:name="_Toc20594"/>
      <w:bookmarkStart w:id="7" w:name="_Toc487805927"/>
      <w:bookmarkStart w:id="8" w:name="_Toc373230032"/>
      <w:r>
        <w:rPr>
          <w:rFonts w:hint="eastAsia" w:ascii="宋体" w:hAnsi="宋体"/>
          <w:b/>
          <w:color w:val="auto"/>
          <w:kern w:val="0"/>
          <w:sz w:val="21"/>
          <w:szCs w:val="21"/>
        </w:rPr>
        <w:t>一、</w:t>
      </w:r>
      <w:r>
        <w:rPr>
          <w:rFonts w:ascii="宋体" w:hAnsi="宋体"/>
          <w:b/>
          <w:color w:val="auto"/>
          <w:kern w:val="0"/>
          <w:sz w:val="21"/>
          <w:szCs w:val="21"/>
        </w:rPr>
        <w:t>相关说明</w:t>
      </w:r>
    </w:p>
    <w:p>
      <w:pPr>
        <w:widowControl/>
        <w:numPr>
          <w:ilvl w:val="2"/>
          <w:numId w:val="1"/>
        </w:numPr>
        <w:adjustRightInd w:val="0"/>
        <w:spacing w:line="360" w:lineRule="auto"/>
        <w:ind w:firstLine="420" w:firstLineChars="200"/>
        <w:jc w:val="left"/>
        <w:rPr>
          <w:rFonts w:hint="eastAsia" w:ascii="宋体" w:hAnsi="宋体"/>
          <w:color w:val="auto"/>
          <w:kern w:val="0"/>
          <w:sz w:val="21"/>
          <w:szCs w:val="21"/>
        </w:rPr>
      </w:pPr>
      <w:r>
        <w:rPr>
          <w:rFonts w:hint="eastAsia" w:ascii="宋体" w:hAnsi="宋体"/>
          <w:bCs/>
          <w:color w:val="auto"/>
          <w:kern w:val="0"/>
          <w:sz w:val="21"/>
          <w:szCs w:val="21"/>
          <w:lang w:eastAsia="zh-CN"/>
        </w:rPr>
        <w:t>竞争性磋商</w:t>
      </w:r>
      <w:r>
        <w:rPr>
          <w:rFonts w:ascii="宋体" w:hAnsi="宋体"/>
          <w:bCs/>
          <w:color w:val="auto"/>
          <w:kern w:val="0"/>
          <w:sz w:val="21"/>
          <w:szCs w:val="21"/>
        </w:rPr>
        <w:t>文件中</w:t>
      </w:r>
      <w:r>
        <w:rPr>
          <w:rFonts w:hint="eastAsia" w:ascii="宋体" w:hAnsi="宋体"/>
          <w:bCs/>
          <w:color w:val="auto"/>
          <w:kern w:val="0"/>
          <w:sz w:val="21"/>
          <w:szCs w:val="21"/>
        </w:rPr>
        <w:t>列出</w:t>
      </w:r>
      <w:r>
        <w:rPr>
          <w:rFonts w:ascii="宋体" w:hAnsi="宋体"/>
          <w:bCs/>
          <w:color w:val="auto"/>
          <w:kern w:val="0"/>
          <w:sz w:val="21"/>
          <w:szCs w:val="21"/>
        </w:rPr>
        <w:t>的质</w:t>
      </w:r>
      <w:r>
        <w:rPr>
          <w:rFonts w:hint="eastAsia" w:ascii="宋体" w:hAnsi="宋体"/>
          <w:bCs/>
          <w:color w:val="auto"/>
          <w:kern w:val="0"/>
          <w:sz w:val="21"/>
          <w:szCs w:val="21"/>
        </w:rPr>
        <w:t>量技术参数</w:t>
      </w:r>
      <w:r>
        <w:rPr>
          <w:rFonts w:ascii="宋体" w:hAnsi="宋体"/>
          <w:bCs/>
          <w:color w:val="auto"/>
          <w:kern w:val="0"/>
          <w:sz w:val="21"/>
          <w:szCs w:val="21"/>
        </w:rPr>
        <w:t>或</w:t>
      </w:r>
      <w:r>
        <w:rPr>
          <w:rFonts w:hint="eastAsia" w:ascii="宋体" w:hAnsi="宋体"/>
          <w:bCs/>
          <w:color w:val="auto"/>
          <w:kern w:val="0"/>
          <w:sz w:val="21"/>
          <w:szCs w:val="21"/>
        </w:rPr>
        <w:t>型号</w:t>
      </w:r>
      <w:r>
        <w:rPr>
          <w:rFonts w:ascii="宋体" w:hAnsi="宋体"/>
          <w:bCs/>
          <w:color w:val="auto"/>
          <w:kern w:val="0"/>
          <w:sz w:val="21"/>
          <w:szCs w:val="21"/>
        </w:rPr>
        <w:t>与某产品相同</w:t>
      </w:r>
      <w:r>
        <w:rPr>
          <w:rFonts w:hint="eastAsia" w:ascii="宋体" w:hAnsi="宋体"/>
          <w:bCs/>
          <w:color w:val="auto"/>
          <w:kern w:val="0"/>
          <w:sz w:val="21"/>
          <w:szCs w:val="21"/>
        </w:rPr>
        <w:t>时</w:t>
      </w:r>
      <w:r>
        <w:rPr>
          <w:rFonts w:ascii="宋体" w:hAnsi="宋体"/>
          <w:bCs/>
          <w:color w:val="auto"/>
          <w:kern w:val="0"/>
          <w:sz w:val="21"/>
          <w:szCs w:val="21"/>
        </w:rPr>
        <w:t>仅</w:t>
      </w:r>
      <w:r>
        <w:rPr>
          <w:rFonts w:hint="eastAsia" w:ascii="宋体" w:hAnsi="宋体"/>
          <w:bCs/>
          <w:color w:val="auto"/>
          <w:kern w:val="0"/>
          <w:sz w:val="21"/>
          <w:szCs w:val="21"/>
        </w:rPr>
        <w:t>作为</w:t>
      </w:r>
      <w:r>
        <w:rPr>
          <w:rFonts w:hint="eastAsia" w:ascii="宋体" w:hAnsi="宋体"/>
          <w:bCs/>
          <w:color w:val="auto"/>
          <w:kern w:val="0"/>
          <w:sz w:val="21"/>
          <w:szCs w:val="21"/>
          <w:lang w:eastAsia="zh-CN"/>
        </w:rPr>
        <w:t>供应商</w:t>
      </w:r>
      <w:r>
        <w:rPr>
          <w:rFonts w:ascii="宋体" w:hAnsi="宋体"/>
          <w:bCs/>
          <w:color w:val="auto"/>
          <w:kern w:val="0"/>
          <w:sz w:val="21"/>
          <w:szCs w:val="21"/>
        </w:rPr>
        <w:t>选择</w:t>
      </w:r>
      <w:r>
        <w:rPr>
          <w:rFonts w:hint="eastAsia" w:ascii="宋体" w:hAnsi="宋体"/>
          <w:bCs/>
          <w:color w:val="auto"/>
          <w:kern w:val="0"/>
          <w:sz w:val="21"/>
          <w:szCs w:val="21"/>
        </w:rPr>
        <w:t>投标产品</w:t>
      </w:r>
      <w:r>
        <w:rPr>
          <w:rFonts w:ascii="宋体" w:hAnsi="宋体"/>
          <w:bCs/>
          <w:color w:val="auto"/>
          <w:kern w:val="0"/>
          <w:sz w:val="21"/>
          <w:szCs w:val="21"/>
        </w:rPr>
        <w:t>时在质量水平上</w:t>
      </w:r>
      <w:r>
        <w:rPr>
          <w:rFonts w:hint="eastAsia" w:ascii="宋体" w:hAnsi="宋体"/>
          <w:bCs/>
          <w:color w:val="auto"/>
          <w:kern w:val="0"/>
          <w:sz w:val="21"/>
          <w:szCs w:val="21"/>
        </w:rPr>
        <w:t>的</w:t>
      </w:r>
      <w:r>
        <w:rPr>
          <w:rFonts w:ascii="宋体" w:hAnsi="宋体"/>
          <w:bCs/>
          <w:color w:val="auto"/>
          <w:kern w:val="0"/>
          <w:sz w:val="21"/>
          <w:szCs w:val="21"/>
        </w:rPr>
        <w:t>参考，不</w:t>
      </w:r>
      <w:r>
        <w:rPr>
          <w:rFonts w:hint="eastAsia" w:ascii="宋体" w:hAnsi="宋体"/>
          <w:bCs/>
          <w:color w:val="auto"/>
          <w:kern w:val="0"/>
          <w:sz w:val="21"/>
          <w:szCs w:val="21"/>
        </w:rPr>
        <w:t>强</w:t>
      </w:r>
      <w:r>
        <w:rPr>
          <w:rFonts w:ascii="宋体" w:hAnsi="宋体"/>
          <w:bCs/>
          <w:color w:val="auto"/>
          <w:kern w:val="0"/>
          <w:sz w:val="21"/>
          <w:szCs w:val="21"/>
        </w:rPr>
        <w:t>制</w:t>
      </w:r>
      <w:r>
        <w:rPr>
          <w:rFonts w:hint="eastAsia" w:ascii="宋体" w:hAnsi="宋体"/>
          <w:bCs/>
          <w:color w:val="auto"/>
          <w:kern w:val="0"/>
          <w:sz w:val="21"/>
          <w:szCs w:val="21"/>
        </w:rPr>
        <w:t>采购某一特定产品</w:t>
      </w:r>
      <w:r>
        <w:rPr>
          <w:rFonts w:ascii="宋体" w:hAnsi="宋体"/>
          <w:bCs/>
          <w:color w:val="auto"/>
          <w:kern w:val="0"/>
          <w:sz w:val="21"/>
          <w:szCs w:val="21"/>
        </w:rPr>
        <w:t>，</w:t>
      </w:r>
      <w:r>
        <w:rPr>
          <w:rFonts w:hint="eastAsia" w:ascii="宋体" w:hAnsi="宋体"/>
          <w:bCs/>
          <w:color w:val="auto"/>
          <w:kern w:val="0"/>
          <w:sz w:val="21"/>
          <w:szCs w:val="21"/>
          <w:lang w:eastAsia="zh-CN"/>
        </w:rPr>
        <w:t>供应商</w:t>
      </w:r>
      <w:r>
        <w:rPr>
          <w:rFonts w:ascii="宋体" w:hAnsi="宋体"/>
          <w:bCs/>
          <w:color w:val="auto"/>
          <w:kern w:val="0"/>
          <w:sz w:val="21"/>
          <w:szCs w:val="21"/>
        </w:rPr>
        <w:t>可提供</w:t>
      </w:r>
      <w:r>
        <w:rPr>
          <w:rFonts w:hint="eastAsia" w:ascii="宋体" w:hAnsi="宋体"/>
          <w:bCs/>
          <w:color w:val="auto"/>
          <w:kern w:val="0"/>
          <w:sz w:val="21"/>
          <w:szCs w:val="21"/>
        </w:rPr>
        <w:t>符合采购需求</w:t>
      </w:r>
      <w:r>
        <w:rPr>
          <w:rFonts w:ascii="宋体" w:hAnsi="宋体"/>
          <w:bCs/>
          <w:color w:val="auto"/>
          <w:kern w:val="0"/>
          <w:sz w:val="21"/>
          <w:szCs w:val="21"/>
        </w:rPr>
        <w:t>或</w:t>
      </w:r>
      <w:r>
        <w:rPr>
          <w:rFonts w:hint="eastAsia" w:ascii="宋体" w:hAnsi="宋体"/>
          <w:bCs/>
          <w:color w:val="auto"/>
          <w:kern w:val="0"/>
          <w:sz w:val="21"/>
          <w:szCs w:val="21"/>
        </w:rPr>
        <w:t>更</w:t>
      </w:r>
      <w:r>
        <w:rPr>
          <w:rFonts w:ascii="宋体" w:hAnsi="宋体"/>
          <w:bCs/>
          <w:color w:val="auto"/>
          <w:kern w:val="0"/>
          <w:sz w:val="21"/>
          <w:szCs w:val="21"/>
        </w:rPr>
        <w:t>优</w:t>
      </w:r>
      <w:r>
        <w:rPr>
          <w:rFonts w:hint="eastAsia" w:ascii="宋体" w:hAnsi="宋体"/>
          <w:bCs/>
          <w:color w:val="auto"/>
          <w:kern w:val="0"/>
          <w:sz w:val="21"/>
          <w:szCs w:val="21"/>
        </w:rPr>
        <w:t>的产品及</w:t>
      </w:r>
      <w:r>
        <w:rPr>
          <w:rFonts w:ascii="宋体" w:hAnsi="宋体"/>
          <w:bCs/>
          <w:color w:val="auto"/>
          <w:kern w:val="0"/>
          <w:sz w:val="21"/>
          <w:szCs w:val="21"/>
        </w:rPr>
        <w:t>方案</w:t>
      </w:r>
      <w:r>
        <w:rPr>
          <w:rFonts w:ascii="宋体" w:hAnsi="宋体"/>
          <w:color w:val="auto"/>
          <w:kern w:val="0"/>
          <w:sz w:val="21"/>
          <w:szCs w:val="21"/>
        </w:rPr>
        <w:t>。</w:t>
      </w:r>
    </w:p>
    <w:p>
      <w:pPr>
        <w:widowControl/>
        <w:numPr>
          <w:ilvl w:val="2"/>
          <w:numId w:val="1"/>
        </w:numPr>
        <w:adjustRightInd w:val="0"/>
        <w:spacing w:line="360" w:lineRule="auto"/>
        <w:ind w:firstLine="420" w:firstLineChars="200"/>
        <w:jc w:val="left"/>
        <w:rPr>
          <w:rFonts w:hint="eastAsia" w:ascii="宋体" w:hAnsi="宋体"/>
          <w:color w:val="auto"/>
          <w:kern w:val="0"/>
          <w:sz w:val="21"/>
          <w:szCs w:val="21"/>
        </w:rPr>
      </w:pPr>
      <w:r>
        <w:rPr>
          <w:rFonts w:hint="eastAsia" w:ascii="宋体" w:hAnsi="宋体"/>
          <w:color w:val="auto"/>
          <w:kern w:val="0"/>
          <w:sz w:val="21"/>
          <w:szCs w:val="21"/>
        </w:rPr>
        <w:t>本次采购内容如果要求的某些技术标准低于国家标准，均以最新的国家标准为准。</w:t>
      </w:r>
      <w:r>
        <w:rPr>
          <w:rFonts w:hint="eastAsia" w:ascii="宋体" w:hAnsi="宋体"/>
          <w:color w:val="auto"/>
          <w:kern w:val="0"/>
          <w:sz w:val="21"/>
          <w:szCs w:val="21"/>
          <w:lang w:eastAsia="zh-CN"/>
        </w:rPr>
        <w:t>采购</w:t>
      </w:r>
      <w:r>
        <w:rPr>
          <w:rFonts w:hint="eastAsia" w:ascii="宋体" w:hAnsi="宋体"/>
          <w:color w:val="auto"/>
          <w:kern w:val="0"/>
          <w:sz w:val="21"/>
          <w:szCs w:val="21"/>
        </w:rPr>
        <w:t>技术要求中未明确的技术标准也均不得低于国家标准；</w:t>
      </w:r>
    </w:p>
    <w:p>
      <w:pPr>
        <w:widowControl/>
        <w:numPr>
          <w:ilvl w:val="2"/>
          <w:numId w:val="1"/>
        </w:numPr>
        <w:adjustRightInd w:val="0"/>
        <w:spacing w:line="360" w:lineRule="auto"/>
        <w:ind w:firstLine="420" w:firstLineChars="200"/>
        <w:jc w:val="left"/>
        <w:rPr>
          <w:rFonts w:hint="eastAsia" w:ascii="宋体" w:hAnsi="宋体"/>
          <w:color w:val="auto"/>
          <w:kern w:val="0"/>
          <w:sz w:val="21"/>
          <w:szCs w:val="21"/>
        </w:rPr>
      </w:pPr>
      <w:r>
        <w:rPr>
          <w:rFonts w:ascii="宋体" w:hAnsi="宋体"/>
          <w:color w:val="auto"/>
          <w:kern w:val="0"/>
          <w:sz w:val="21"/>
          <w:szCs w:val="21"/>
        </w:rPr>
        <w:t>本采购项目为交钥匙项目，</w:t>
      </w:r>
      <w:r>
        <w:rPr>
          <w:rFonts w:hint="eastAsia" w:ascii="宋体" w:hAnsi="宋体"/>
          <w:color w:val="auto"/>
          <w:kern w:val="0"/>
          <w:sz w:val="21"/>
          <w:szCs w:val="21"/>
        </w:rPr>
        <w:t>验收合格前</w:t>
      </w:r>
      <w:r>
        <w:rPr>
          <w:rFonts w:ascii="宋体" w:hAnsi="宋体"/>
          <w:color w:val="auto"/>
          <w:kern w:val="0"/>
          <w:sz w:val="21"/>
          <w:szCs w:val="21"/>
        </w:rPr>
        <w:t>所需的一切费用</w:t>
      </w:r>
      <w:r>
        <w:rPr>
          <w:rFonts w:hint="eastAsia" w:ascii="宋体" w:hAnsi="宋体"/>
          <w:color w:val="auto"/>
          <w:kern w:val="0"/>
          <w:sz w:val="21"/>
          <w:szCs w:val="21"/>
        </w:rPr>
        <w:t>均</w:t>
      </w:r>
      <w:r>
        <w:rPr>
          <w:rFonts w:ascii="宋体" w:hAnsi="宋体"/>
          <w:color w:val="auto"/>
          <w:kern w:val="0"/>
          <w:sz w:val="21"/>
          <w:szCs w:val="21"/>
        </w:rPr>
        <w:t>包含在报价之中，采购人不</w:t>
      </w:r>
      <w:r>
        <w:rPr>
          <w:rFonts w:hint="eastAsia" w:ascii="宋体" w:hAnsi="宋体"/>
          <w:color w:val="auto"/>
          <w:kern w:val="0"/>
          <w:sz w:val="21"/>
          <w:szCs w:val="21"/>
        </w:rPr>
        <w:t>承担成交价格以外的</w:t>
      </w:r>
      <w:r>
        <w:rPr>
          <w:rFonts w:ascii="宋体" w:hAnsi="宋体"/>
          <w:color w:val="auto"/>
          <w:kern w:val="0"/>
          <w:sz w:val="21"/>
          <w:szCs w:val="21"/>
        </w:rPr>
        <w:t>任何费用。</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 xml:space="preserve">二、商务要求： </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合同履行期限：</w:t>
      </w:r>
      <w:r>
        <w:rPr>
          <w:rFonts w:hint="eastAsia" w:ascii="宋体" w:hAnsi="宋体" w:eastAsia="宋体" w:cs="宋体"/>
          <w:color w:val="auto"/>
          <w:szCs w:val="21"/>
          <w:lang w:val="en-US" w:eastAsia="zh-CN"/>
        </w:rPr>
        <w:t>80日历天</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供货</w:t>
      </w:r>
      <w:r>
        <w:rPr>
          <w:rFonts w:hint="eastAsia" w:ascii="宋体" w:hAnsi="宋体"/>
          <w:color w:val="auto"/>
          <w:sz w:val="21"/>
          <w:szCs w:val="21"/>
          <w:lang w:eastAsia="zh-CN"/>
        </w:rPr>
        <w:t>（服务）</w:t>
      </w:r>
      <w:r>
        <w:rPr>
          <w:rFonts w:hint="eastAsia" w:ascii="宋体" w:hAnsi="宋体"/>
          <w:color w:val="auto"/>
          <w:sz w:val="21"/>
          <w:szCs w:val="21"/>
        </w:rPr>
        <w:t>地点：</w:t>
      </w:r>
      <w:r>
        <w:rPr>
          <w:rFonts w:hint="eastAsia" w:ascii="宋体" w:hAnsi="宋体" w:eastAsia="宋体" w:cs="宋体"/>
          <w:color w:val="auto"/>
          <w:szCs w:val="21"/>
          <w:lang w:eastAsia="zh-CN"/>
        </w:rPr>
        <w:t>武陟县嘉应观景区</w:t>
      </w:r>
      <w:r>
        <w:rPr>
          <w:rFonts w:hint="eastAsia" w:ascii="宋体" w:hAnsi="宋体" w:eastAsia="宋体" w:cs="宋体"/>
          <w:color w:val="auto"/>
          <w:szCs w:val="21"/>
          <w:lang w:val="en-US" w:eastAsia="zh-CN"/>
        </w:rPr>
        <w:t>内</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质量标准：</w:t>
      </w:r>
      <w:r>
        <w:rPr>
          <w:rFonts w:hint="eastAsia" w:ascii="宋体" w:hAnsi="宋体" w:eastAsia="宋体" w:cs="宋体"/>
          <w:color w:val="auto"/>
          <w:szCs w:val="21"/>
          <w:lang w:val="en-US"/>
        </w:rPr>
        <w:t>符合国家、行业规范及采购文件的要求，达到</w:t>
      </w:r>
      <w:r>
        <w:rPr>
          <w:rFonts w:hint="eastAsia" w:ascii="宋体" w:hAnsi="宋体" w:eastAsia="宋体" w:cs="宋体"/>
          <w:color w:val="auto"/>
          <w:szCs w:val="21"/>
          <w:lang w:val="en-US" w:eastAsia="zh-CN"/>
        </w:rPr>
        <w:t>服务</w:t>
      </w:r>
      <w:r>
        <w:rPr>
          <w:rFonts w:hint="eastAsia" w:ascii="宋体" w:hAnsi="宋体" w:eastAsia="宋体" w:cs="宋体"/>
          <w:color w:val="auto"/>
          <w:szCs w:val="21"/>
          <w:lang w:val="en-US"/>
        </w:rPr>
        <w:t>要求</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质量保证期：</w:t>
      </w:r>
      <w:r>
        <w:rPr>
          <w:rFonts w:hint="eastAsia" w:ascii="宋体" w:hAnsi="宋体" w:eastAsia="宋体" w:cs="宋体"/>
          <w:color w:val="auto"/>
          <w:szCs w:val="21"/>
          <w:lang w:val="en-US" w:eastAsia="zh-CN"/>
        </w:rPr>
        <w:t>1年</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付款方式：</w:t>
      </w:r>
      <w:r>
        <w:rPr>
          <w:rFonts w:hint="eastAsia" w:ascii="宋体" w:hAnsi="宋体" w:eastAsia="宋体" w:cs="宋体"/>
          <w:color w:val="auto"/>
          <w:szCs w:val="21"/>
          <w:lang w:val="en-US" w:eastAsia="zh-CN"/>
        </w:rPr>
        <w:t>签订合同后</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Hans"/>
        </w:rPr>
        <w:t>按进度付款</w:t>
      </w:r>
      <w:r>
        <w:rPr>
          <w:rFonts w:hint="eastAsia" w:ascii="宋体" w:hAnsi="宋体" w:eastAsia="宋体" w:cs="宋体"/>
          <w:color w:val="auto"/>
          <w:szCs w:val="21"/>
          <w:lang w:eastAsia="zh-Hans"/>
        </w:rPr>
        <w:t>，</w:t>
      </w:r>
      <w:r>
        <w:rPr>
          <w:rFonts w:hint="eastAsia" w:ascii="宋体" w:hAnsi="宋体" w:eastAsia="宋体" w:cs="宋体"/>
          <w:color w:val="auto"/>
          <w:szCs w:val="21"/>
          <w:lang w:val="en-US" w:eastAsia="zh-CN"/>
        </w:rPr>
        <w:t>设备安装完成后付成交价的70 %，内容安装调试完毕验收合格后付至成交价的97%，质保期后付成交价的3%。</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商品包装要求：</w:t>
      </w:r>
    </w:p>
    <w:p>
      <w:pPr>
        <w:numPr>
          <w:ilvl w:val="0"/>
          <w:numId w:val="0"/>
        </w:numPr>
        <w:spacing w:line="360" w:lineRule="auto"/>
        <w:ind w:leftChars="200" w:firstLine="210" w:firstLineChars="100"/>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 xml:space="preserve">.1适用范围 </w:t>
      </w:r>
    </w:p>
    <w:p>
      <w:pPr>
        <w:numPr>
          <w:ilvl w:val="0"/>
          <w:numId w:val="0"/>
        </w:numPr>
        <w:spacing w:line="360" w:lineRule="auto"/>
        <w:ind w:leftChars="200" w:firstLine="210" w:firstLineChars="100"/>
        <w:rPr>
          <w:rFonts w:hint="eastAsia" w:ascii="宋体" w:hAnsi="宋体"/>
          <w:color w:val="auto"/>
          <w:sz w:val="21"/>
          <w:szCs w:val="21"/>
        </w:rPr>
      </w:pPr>
      <w:r>
        <w:rPr>
          <w:rFonts w:hint="eastAsia" w:ascii="宋体" w:hAnsi="宋体"/>
          <w:color w:val="auto"/>
          <w:sz w:val="21"/>
          <w:szCs w:val="21"/>
        </w:rPr>
        <w:t xml:space="preserve">本标准规定了商品使用的塑料、纸质、木质等包装材料的环保要求。 </w:t>
      </w:r>
    </w:p>
    <w:p>
      <w:pPr>
        <w:numPr>
          <w:ilvl w:val="0"/>
          <w:numId w:val="0"/>
        </w:numPr>
        <w:spacing w:line="360" w:lineRule="auto"/>
        <w:ind w:leftChars="200" w:firstLine="210" w:firstLineChars="100"/>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color w:val="auto"/>
          <w:kern w:val="0"/>
          <w:sz w:val="21"/>
          <w:szCs w:val="21"/>
          <w:lang w:bidi="ar"/>
        </w:rPr>
        <w:t xml:space="preserve">（7）木质商品包装的原料应来源于可持续性森林。 </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lang w:val="en-US" w:eastAsia="zh-CN"/>
        </w:rPr>
        <w:t>三</w:t>
      </w:r>
      <w:r>
        <w:rPr>
          <w:rFonts w:hint="eastAsia" w:ascii="宋体" w:hAnsi="宋体"/>
          <w:b/>
          <w:color w:val="auto"/>
          <w:kern w:val="0"/>
          <w:sz w:val="21"/>
          <w:szCs w:val="21"/>
        </w:rPr>
        <w:t>、采购内容及技术要求</w:t>
      </w:r>
    </w:p>
    <w:p>
      <w:p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w:t>
      </w:r>
      <w:r>
        <w:rPr>
          <w:rFonts w:hint="eastAsia" w:ascii="宋体" w:hAnsi="宋体" w:eastAsia="宋体" w:cs="宋体"/>
          <w:color w:val="auto"/>
          <w:sz w:val="21"/>
          <w:szCs w:val="21"/>
          <w:lang w:val="en-US" w:eastAsia="zh-CN"/>
        </w:rPr>
        <w:t>、</w:t>
      </w:r>
      <w:r>
        <w:rPr>
          <w:rFonts w:hint="eastAsia" w:ascii="宋体" w:hAnsi="宋体" w:eastAsia="宋体" w:cs="宋体"/>
          <w:b/>
          <w:bCs/>
          <w:color w:val="auto"/>
          <w:sz w:val="21"/>
          <w:szCs w:val="21"/>
          <w:lang w:val="en-US" w:eastAsia="zh-CN"/>
        </w:rPr>
        <w:t>设计要求</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1.设计理念：</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（1）彰显文化气质。（2）体现特色元素。（3）凸显精神力量。</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2.具体要求：</w:t>
      </w:r>
    </w:p>
    <w:p>
      <w:pPr>
        <w:pageBreakBefore w:val="0"/>
        <w:widowControl w:val="0"/>
        <w:kinsoku/>
        <w:wordWrap/>
        <w:overflowPunct/>
        <w:topLinePunct w:val="0"/>
        <w:autoSpaceDE/>
        <w:autoSpaceDN/>
        <w:bidi w:val="0"/>
        <w:adjustRightInd/>
        <w:snapToGrid/>
        <w:spacing w:line="140" w:lineRule="atLeas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中大殿AR 望远镜；更衣殿虚拟穿衣；运河金波纱幕投影；抛砖筑坝互动游戏；瓠子堵口互动游戏；对话治河人物互动体验；黄河号子互动学唱；治黄电子互动沙盘；</w:t>
      </w:r>
      <w:r>
        <w:rPr>
          <w:rFonts w:hint="eastAsia" w:ascii="宋体" w:hAnsi="宋体" w:cs="宋体"/>
          <w:color w:val="auto"/>
          <w:sz w:val="21"/>
          <w:szCs w:val="21"/>
          <w:lang w:val="en-US" w:eastAsia="zh-CN"/>
        </w:rPr>
        <w:t>黄河</w:t>
      </w:r>
      <w:r>
        <w:rPr>
          <w:rFonts w:hint="eastAsia" w:ascii="宋体" w:hAnsi="宋体" w:eastAsia="宋体" w:cs="宋体"/>
          <w:color w:val="auto"/>
          <w:sz w:val="21"/>
          <w:szCs w:val="21"/>
          <w:lang w:val="en-US" w:eastAsia="zh-CN"/>
        </w:rPr>
        <w:t>六次改道互动大屏、黄患厅沉浸式空间。</w:t>
      </w:r>
    </w:p>
    <w:p>
      <w:pPr>
        <w:pStyle w:val="8"/>
        <w:pageBreakBefore w:val="0"/>
        <w:widowControl w:val="0"/>
        <w:kinsoku/>
        <w:wordWrap/>
        <w:overflowPunct/>
        <w:topLinePunct w:val="0"/>
        <w:autoSpaceDE/>
        <w:autoSpaceDN/>
        <w:bidi w:val="0"/>
        <w:adjustRightInd/>
        <w:snapToGrid/>
        <w:spacing w:line="140" w:lineRule="atLeas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2"/>
          <w:sz w:val="21"/>
          <w:szCs w:val="21"/>
          <w:lang w:val="en-US" w:eastAsia="zh-CN" w:bidi="ar-SA"/>
        </w:rPr>
        <w:t>上述为本次数字化提升的具体位置及提升方向，结合目前展馆实际情况和方向要求进行具体方案的实施。</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（1）充分挖掘主题内涵，将形式表现与展览内容和谐统一。</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（2）展览风格多元呈现，体现不同展区的个性特色、各展区模块的流畅性和逻辑性。</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（3）展厅空间布局、功能设置科学合理，应充分考虑观众参观需求与安全要求。</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（4）展墙高度、展线长度、参观秩序等科学合理，最大限度方便参观者。</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（5）灯光设计施工必须达到国家相关技术标准，要在强化展览形式与内容感染力的同时，保证舒适度，同时兼顾安全性与环保性。</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（6）艺术创作及场景复原要做到主题性与数字艺术性的统一。</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（7）在保证质量的前提下，应选用新材料、新技术、新工艺、新媒体等科技绿色环保的产品。</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（8）展馆管理符合智能化管理系统和安保系统要求。</w:t>
      </w:r>
    </w:p>
    <w:p>
      <w:p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w:t>
      </w:r>
      <w:r>
        <w:rPr>
          <w:rFonts w:hint="eastAsia" w:ascii="宋体" w:hAnsi="宋体" w:eastAsia="宋体" w:cs="宋体"/>
          <w:color w:val="auto"/>
          <w:sz w:val="21"/>
          <w:szCs w:val="21"/>
          <w:lang w:val="en-US" w:eastAsia="zh-CN"/>
        </w:rPr>
        <w:t>、</w:t>
      </w:r>
      <w:r>
        <w:rPr>
          <w:rFonts w:hint="eastAsia" w:ascii="宋体" w:hAnsi="宋体" w:eastAsia="宋体" w:cs="宋体"/>
          <w:b/>
          <w:bCs/>
          <w:color w:val="auto"/>
          <w:sz w:val="21"/>
          <w:szCs w:val="21"/>
          <w:lang w:val="en-US" w:eastAsia="zh-CN"/>
        </w:rPr>
        <w:t>布展要求</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1.展板展具技术要求</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（1）展板应采用符合国家环保标准的材料，须具备优良的稳定性，不翘边、不变形、不脱落、不锈蚀、不霉腐，方便拆装更换。</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（2）展具应符合国家环保标准，形式设计应充分考虑展陈设计和实物展示的要求。</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2.展陈照明技术要求</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展陈照明应选用博物馆专业照明产品，要求以节能环保、低维护率的LED光源为主，照射角度、显色指数、色温等参数根据不同主体灵活配置，能营造出良好的展览氛围。</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3.投影技术要求</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为满足不同应用场景要求，本项目拟选用激光投影仪。</w:t>
      </w:r>
    </w:p>
    <w:p>
      <w:pPr>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4.LED显示屏技术要求</w:t>
      </w:r>
    </w:p>
    <w:p>
      <w:pPr>
        <w:pStyle w:val="2"/>
        <w:spacing w:line="24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为满足特种视频播放场景要求，本项目拟选用高清显示屏。</w:t>
      </w:r>
    </w:p>
    <w:p>
      <w:pPr>
        <w:spacing w:line="240" w:lineRule="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3、</w:t>
      </w:r>
      <w:r>
        <w:rPr>
          <w:rFonts w:hint="eastAsia" w:ascii="宋体" w:hAnsi="宋体" w:eastAsia="宋体" w:cs="宋体"/>
          <w:b/>
          <w:bCs/>
          <w:color w:val="auto"/>
          <w:sz w:val="21"/>
          <w:szCs w:val="21"/>
          <w:lang w:val="en-US" w:eastAsia="zh-CN"/>
        </w:rPr>
        <w:t>投标设计方案成果要求</w:t>
      </w:r>
    </w:p>
    <w:p>
      <w:pPr>
        <w:spacing w:line="240" w:lineRule="auto"/>
        <w:ind w:firstLine="456" w:firstLineChars="200"/>
        <w:rPr>
          <w:rFonts w:hint="eastAsia" w:ascii="宋体" w:hAnsi="宋体" w:eastAsia="宋体" w:cs="宋体"/>
          <w:color w:val="auto"/>
          <w:sz w:val="21"/>
          <w:szCs w:val="21"/>
          <w:highlight w:val="none"/>
          <w:lang w:val="en-US" w:eastAsia="zh-CN"/>
        </w:rPr>
      </w:pPr>
      <w:r>
        <w:rPr>
          <w:rFonts w:ascii="宋体" w:hAnsi="宋体" w:eastAsia="宋体" w:cs="宋体"/>
          <w:color w:val="auto"/>
          <w:spacing w:val="-6"/>
          <w:sz w:val="24"/>
          <w:szCs w:val="24"/>
          <w:highlight w:val="none"/>
        </w:rPr>
        <w:t>1</w:t>
      </w:r>
      <w:r>
        <w:rPr>
          <w:rFonts w:hint="eastAsia" w:ascii="宋体" w:hAnsi="宋体" w:eastAsia="宋体" w:cs="宋体"/>
          <w:color w:val="auto"/>
          <w:sz w:val="21"/>
          <w:szCs w:val="21"/>
          <w:highlight w:val="none"/>
          <w:lang w:val="en-US" w:eastAsia="zh-CN"/>
        </w:rPr>
        <w:t>.设计成果所有权：招标人享有成交</w:t>
      </w:r>
      <w:r>
        <w:rPr>
          <w:rFonts w:hint="eastAsia" w:ascii="宋体" w:hAnsi="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eastAsia="zh-CN"/>
        </w:rPr>
        <w:t>设计成果的所有权、使用权、修改权等。</w:t>
      </w:r>
    </w:p>
    <w:p>
      <w:pPr>
        <w:ind w:firstLine="420" w:firstLineChars="200"/>
        <w:rPr>
          <w:rFonts w:hint="eastAsia"/>
          <w:color w:val="auto"/>
          <w:highlight w:val="none"/>
        </w:rPr>
      </w:pPr>
      <w:r>
        <w:rPr>
          <w:rFonts w:hint="eastAsia" w:ascii="宋体" w:hAnsi="宋体" w:eastAsia="宋体" w:cs="宋体"/>
          <w:color w:val="auto"/>
          <w:sz w:val="21"/>
          <w:szCs w:val="21"/>
          <w:highlight w:val="none"/>
          <w:lang w:val="en-US" w:eastAsia="zh-CN"/>
        </w:rPr>
        <w:t>2.投标设计方案成果要求：设计方案包括但不限于设计主题、设计定位、动线设计、展区效果图、重点亮点分析等内容。</w:t>
      </w:r>
    </w:p>
    <w:bookmarkEnd w:id="2"/>
    <w:bookmarkEnd w:id="3"/>
    <w:bookmarkEnd w:id="4"/>
    <w:bookmarkEnd w:id="5"/>
    <w:bookmarkEnd w:id="6"/>
    <w:bookmarkEnd w:id="7"/>
    <w:bookmarkEnd w:id="8"/>
    <w:tbl>
      <w:tblPr>
        <w:tblStyle w:val="39"/>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296"/>
        <w:gridCol w:w="4224"/>
        <w:gridCol w:w="882"/>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序号</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kern w:val="0"/>
                <w:sz w:val="21"/>
                <w:szCs w:val="21"/>
                <w:lang w:eastAsia="zh-CN"/>
              </w:rPr>
              <w:t>标的</w:t>
            </w:r>
            <w:r>
              <w:rPr>
                <w:rFonts w:hint="eastAsia" w:asciiTheme="minorEastAsia" w:hAnsiTheme="minorEastAsia" w:eastAsiaTheme="minorEastAsia" w:cstheme="minorEastAsia"/>
                <w:b/>
                <w:color w:val="auto"/>
                <w:kern w:val="0"/>
                <w:sz w:val="21"/>
                <w:szCs w:val="21"/>
              </w:rPr>
              <w:t>名称</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主要技术参数、性能、配置等要求</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
                <w:bCs/>
                <w:color w:val="auto"/>
                <w:kern w:val="0"/>
                <w:sz w:val="21"/>
                <w:szCs w:val="21"/>
                <w:lang w:val="en-US" w:eastAsia="zh-CN"/>
              </w:rPr>
            </w:pPr>
            <w:r>
              <w:rPr>
                <w:rFonts w:hint="eastAsia" w:asciiTheme="minorEastAsia" w:hAnsiTheme="minorEastAsia" w:eastAsiaTheme="minorEastAsia" w:cstheme="minorEastAsia"/>
                <w:b/>
                <w:bCs/>
                <w:color w:val="auto"/>
                <w:kern w:val="0"/>
                <w:sz w:val="21"/>
                <w:szCs w:val="21"/>
                <w:lang w:val="en-US" w:eastAsia="zh-CN"/>
              </w:rPr>
              <w:t>数量/单位</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一、</w:t>
            </w: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A</w:t>
            </w:r>
            <w:r>
              <w:rPr>
                <w:rFonts w:hint="eastAsia" w:asciiTheme="minorEastAsia" w:hAnsiTheme="minorEastAsia" w:eastAsiaTheme="minorEastAsia" w:cstheme="minorEastAsia"/>
                <w:bCs/>
                <w:color w:val="auto"/>
                <w:kern w:val="0"/>
                <w:sz w:val="21"/>
                <w:szCs w:val="21"/>
                <w:highlight w:val="none"/>
              </w:rPr>
              <w:t>R望远镜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A</w:t>
            </w:r>
            <w:r>
              <w:rPr>
                <w:rFonts w:hint="eastAsia" w:asciiTheme="minorEastAsia" w:hAnsiTheme="minorEastAsia" w:eastAsiaTheme="minorEastAsia" w:cstheme="minorEastAsia"/>
                <w:bCs/>
                <w:color w:val="auto"/>
                <w:kern w:val="0"/>
                <w:sz w:val="21"/>
                <w:szCs w:val="21"/>
                <w:highlight w:val="none"/>
              </w:rPr>
              <w:t>R</w:t>
            </w:r>
            <w:r>
              <w:rPr>
                <w:rFonts w:hint="eastAsia" w:asciiTheme="minorEastAsia" w:hAnsiTheme="minorEastAsia" w:eastAsiaTheme="minorEastAsia" w:cstheme="minorEastAsia"/>
                <w:i w:val="0"/>
                <w:iCs w:val="0"/>
                <w:color w:val="auto"/>
                <w:kern w:val="0"/>
                <w:sz w:val="20"/>
                <w:szCs w:val="20"/>
                <w:u w:val="none"/>
                <w:lang w:val="en-US" w:eastAsia="zh-CN" w:bidi="ar"/>
              </w:rPr>
              <w:t>望远镜</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采用类景区望远镜造型，内置</w:t>
            </w: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A</w:t>
            </w:r>
            <w:r>
              <w:rPr>
                <w:rFonts w:hint="eastAsia" w:asciiTheme="minorEastAsia" w:hAnsiTheme="minorEastAsia" w:eastAsiaTheme="minorEastAsia" w:cstheme="minorEastAsia"/>
                <w:bCs/>
                <w:color w:val="auto"/>
                <w:kern w:val="0"/>
                <w:sz w:val="21"/>
                <w:szCs w:val="21"/>
                <w:highlight w:val="none"/>
              </w:rPr>
              <w:t>R</w:t>
            </w:r>
            <w:r>
              <w:rPr>
                <w:rFonts w:hint="eastAsia" w:asciiTheme="minorEastAsia" w:hAnsiTheme="minorEastAsia" w:eastAsiaTheme="minorEastAsia" w:cstheme="minorEastAsia"/>
                <w:i w:val="0"/>
                <w:iCs w:val="0"/>
                <w:color w:val="auto"/>
                <w:kern w:val="0"/>
                <w:sz w:val="20"/>
                <w:szCs w:val="20"/>
                <w:u w:val="none"/>
                <w:lang w:val="en-US" w:eastAsia="zh-CN" w:bidi="ar"/>
              </w:rPr>
              <w:t>头显具有很好的防丢防盗性，</w:t>
            </w: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A</w:t>
            </w:r>
            <w:r>
              <w:rPr>
                <w:rFonts w:hint="eastAsia" w:asciiTheme="minorEastAsia" w:hAnsiTheme="minorEastAsia" w:eastAsiaTheme="minorEastAsia" w:cstheme="minorEastAsia"/>
                <w:bCs/>
                <w:color w:val="auto"/>
                <w:kern w:val="0"/>
                <w:sz w:val="21"/>
                <w:szCs w:val="21"/>
                <w:highlight w:val="none"/>
              </w:rPr>
              <w:t>R</w:t>
            </w:r>
            <w:r>
              <w:rPr>
                <w:rFonts w:hint="eastAsia" w:asciiTheme="minorEastAsia" w:hAnsiTheme="minorEastAsia" w:eastAsiaTheme="minorEastAsia" w:cstheme="minorEastAsia"/>
                <w:i w:val="0"/>
                <w:iCs w:val="0"/>
                <w:color w:val="auto"/>
                <w:kern w:val="0"/>
                <w:sz w:val="20"/>
                <w:szCs w:val="20"/>
                <w:u w:val="none"/>
                <w:lang w:val="en-US" w:eastAsia="zh-CN" w:bidi="ar"/>
              </w:rPr>
              <w:t>头显手持把手，方便操作调节视角，可无限角度旋转</w:t>
            </w: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A</w:t>
            </w:r>
            <w:r>
              <w:rPr>
                <w:rFonts w:hint="eastAsia" w:asciiTheme="minorEastAsia" w:hAnsiTheme="minorEastAsia" w:eastAsiaTheme="minorEastAsia" w:cstheme="minorEastAsia"/>
                <w:bCs/>
                <w:color w:val="auto"/>
                <w:kern w:val="0"/>
                <w:sz w:val="21"/>
                <w:szCs w:val="21"/>
                <w:highlight w:val="none"/>
              </w:rPr>
              <w:t>R</w:t>
            </w:r>
            <w:r>
              <w:rPr>
                <w:rFonts w:hint="eastAsia" w:asciiTheme="minorEastAsia" w:hAnsiTheme="minorEastAsia" w:eastAsiaTheme="minorEastAsia" w:cstheme="minorEastAsia"/>
                <w:i w:val="0"/>
                <w:iCs w:val="0"/>
                <w:color w:val="auto"/>
                <w:kern w:val="0"/>
                <w:sz w:val="20"/>
                <w:szCs w:val="20"/>
                <w:u w:val="none"/>
                <w:lang w:val="en-US" w:eastAsia="zh-CN" w:bidi="ar"/>
              </w:rPr>
              <w:t>头显（沿同一方向沿同一方向旋转超过360度以上），俯仰角90度以上，为用户提供更广阔的视野和更自由的全景体验；左右把手各带一个按键，分别是确认键和返回键功能，可控制</w:t>
            </w: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A</w:t>
            </w:r>
            <w:r>
              <w:rPr>
                <w:rFonts w:hint="eastAsia" w:asciiTheme="minorEastAsia" w:hAnsiTheme="minorEastAsia" w:eastAsiaTheme="minorEastAsia" w:cstheme="minorEastAsia"/>
                <w:bCs/>
                <w:color w:val="auto"/>
                <w:kern w:val="0"/>
                <w:sz w:val="21"/>
                <w:szCs w:val="21"/>
                <w:highlight w:val="none"/>
              </w:rPr>
              <w:t>R</w:t>
            </w:r>
            <w:r>
              <w:rPr>
                <w:rFonts w:hint="eastAsia" w:asciiTheme="minorEastAsia" w:hAnsiTheme="minorEastAsia" w:eastAsiaTheme="minorEastAsia" w:cstheme="minorEastAsia"/>
                <w:i w:val="0"/>
                <w:iCs w:val="0"/>
                <w:color w:val="auto"/>
                <w:kern w:val="0"/>
                <w:sz w:val="20"/>
                <w:szCs w:val="20"/>
                <w:u w:val="none"/>
                <w:lang w:val="en-US" w:eastAsia="zh-CN" w:bidi="ar"/>
              </w:rPr>
              <w:t>操作系统，采用插电即开机的启动模式，操作便利，维护简单，体验感好，具备电动升降功能，支持投币观景。</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3台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lang w:val="en-US" w:eastAsia="zh-CN"/>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程序开发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AR全景程序开发，实现720度影像呈现；通过虚拟激光束触发热点事件。（三套不同的内容，根据展项所需深化方案）</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3套</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内容制作</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三维动画演绎，虚实结合，配合AR互动装置，达到增强现实的效果</w:t>
            </w:r>
          </w:p>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（三套不同的内容，根据展项所需深化方案）</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3套</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二、虚拟穿衣系统提升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补光灯</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可调节色温、专用补光灯</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2个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继电器</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4路继电器（用于控制拍照时灯光亮启）</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程序开发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程序内容：人物服装DIY涂鸦，将自己拍摄的脸部图像，融合到自己DIY的衣服上，再选择背景，</w:t>
            </w:r>
            <w:r>
              <w:rPr>
                <w:rStyle w:val="128"/>
                <w:rFonts w:hint="eastAsia" w:asciiTheme="minorEastAsia" w:hAnsiTheme="minorEastAsia" w:eastAsiaTheme="minorEastAsia" w:cstheme="minorEastAsia"/>
                <w:color w:val="auto"/>
                <w:kern w:val="0"/>
                <w:lang w:bidi="ar"/>
              </w:rPr>
              <w:t>合成为一张有纪念意义的照片，并扫码带走。（该功能要求设备能连接互联网）</w:t>
            </w:r>
            <w:r>
              <w:rPr>
                <w:rStyle w:val="128"/>
                <w:rFonts w:hint="eastAsia" w:asciiTheme="minorEastAsia" w:hAnsiTheme="minorEastAsia" w:eastAsiaTheme="minorEastAsia" w:cstheme="minorEastAsia"/>
                <w:color w:val="auto"/>
                <w:kern w:val="0"/>
                <w:lang w:bidi="ar"/>
              </w:rPr>
              <w:br w:type="textWrapping"/>
            </w:r>
            <w:r>
              <w:rPr>
                <w:rStyle w:val="128"/>
                <w:rFonts w:hint="eastAsia" w:asciiTheme="minorEastAsia" w:hAnsiTheme="minorEastAsia" w:eastAsiaTheme="minorEastAsia" w:cstheme="minorEastAsia"/>
                <w:color w:val="auto"/>
                <w:kern w:val="0"/>
                <w:lang w:bidi="ar"/>
              </w:rPr>
              <w:t>功能开发：人物服务涂鸦功能开发；拍照功能开发；人脸扣像功能开发；合成功能开发；扫码功能开发；</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1项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rPr>
              <w:t>三、互动投影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激光工程投影机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1、DLP显示技术</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2、分辨率:1920×1080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3、光源：采用ALPD纯激光光源，光源寿命≥20000小时</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4、亮度:7400ANSI流明</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短焦镜头</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根据现场安装需求，合理选择镜头：0.7、0.8、0.85-1.25可选</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1副</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i w:val="0"/>
                <w:iCs w:val="0"/>
                <w:color w:val="auto"/>
                <w:kern w:val="0"/>
                <w:sz w:val="20"/>
                <w:szCs w:val="20"/>
                <w:u w:val="none"/>
                <w:lang w:val="en-US" w:eastAsia="zh-CN" w:bidi="ar"/>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投影机吊架</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类型：工程投影机侧投型吊装吊架；长充：根据现场需求，可选85CM-200CM伸缩；材质：冷轧钢；承重：45KG；颜色：黑色/白色 可选</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1副</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智能播放器</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CPU：4core64bitARMcortexA55；GPU：Mail-G31；闪存：4G；闪存：32G；千兆网口；支持8K视频播放；Android9.0系统；内置展厅专用播放软件，支持中控平板控制，支持局域网更换内容。支持多视频一键点播</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吸顶音箱</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结构组成：1x8" 同轴；</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频率范围 150Hz-20KHz；</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灵敏度  88±dB；</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功率选择：40W/8欧、20W/8欧、10W/8欧、5W/8欧；定压输入 70V-100V；</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外壳材质：面板ABS+后盖金属；</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定阻定压转换开关 有；</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定压输入：70V-100V；</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产品尺寸：Φ270*185mm；</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安装尺寸：Φ240mm；</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净重：≤3.0KG</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注：含功率放大器</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lang w:val="en-US"/>
              </w:rPr>
            </w:pPr>
            <w:r>
              <w:rPr>
                <w:rFonts w:hint="eastAsia" w:asciiTheme="minorEastAsia" w:hAnsiTheme="minorEastAsia" w:eastAsiaTheme="minorEastAsia" w:cstheme="minorEastAsia"/>
                <w:i w:val="0"/>
                <w:iCs w:val="0"/>
                <w:color w:val="auto"/>
                <w:kern w:val="0"/>
                <w:sz w:val="20"/>
                <w:szCs w:val="20"/>
                <w:u w:val="none"/>
                <w:lang w:val="en-US" w:eastAsia="zh-CN" w:bidi="ar"/>
              </w:rPr>
              <w:t>2只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视频制作</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1、策划：资料收集整理，脚本撰写</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2、制作：AE合成特效包装，PR剪辑，调色等方式。</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3、内容体现：投影结合实体沙盘，画的创作形式清新脱俗，引人入胜，让游客可以了解一个充满情感色彩的传奇故事。</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i w:val="0"/>
                <w:iCs w:val="0"/>
                <w:color w:val="auto"/>
                <w:kern w:val="0"/>
                <w:sz w:val="20"/>
                <w:szCs w:val="20"/>
                <w:u w:val="none"/>
                <w:lang w:val="en-US" w:eastAsia="zh-CN" w:bidi="ar"/>
              </w:rPr>
              <w:t>1项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四、互动游戏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43吋触摸屏</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规格：43吋；</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分辨率：1920*1080；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触摸方式：红外触摸；</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硬件配置：RK3399芯片，4G内存，32G存储；</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系统：安卓；</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尺寸：996.2mm*584.4mm*62.5mm ；</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外观：上下左右等边设计，前方无任何接口，整体为黑色；</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特点：支持直接断电，支持上电自启，支持第三方APP自启；</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触摸屏底座</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定制底座</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互动游戏开发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互动游戏，三维场景建模、三维动画根据史实演绎互动动画场景，设置时间限制，通过互动的形式，了解历史</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（两项不同的内容，根据展项所需深化方案）</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五、互动体验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程序开发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设计对话治河人物的互动系统，融入每个治水人物的互动台设备。穿越时空，参观者可以选择不同的治河人物进行对话，提出问题，治河人物进行回应，增强互动趣味性；同时也可以互动了解治河人物的生平故事，强化展项的科普性。</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（十八位治河功臣，分别制作相应程序和内容项，根据展项需深化方案）</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18项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六、互动学唱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圆球吊顶</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枝型吊灯、灯罩主材质: PMMA高透光率灯罩</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32个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灯光控制器</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16路继电器；通讯接口：RJ45；支持TCP客户端或服务端；支持UDP客户端或服务端；具备常开或常闭两种状态</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融合主机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I5 十代 8G内存 128G固态硬盘</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麦克风</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定制</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程序开发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设置黄河号子声光体验中心，营造抗洪抢险的紧张氛围，游客在这种环境下参与喊出黄河号子（骑马号、绵羊号、小官号和花号四种），系统根据游客声音的变化，改变周围灯光颜色组合，可以演绎出缤纷绚烂的氛围灯光效果，代表着黄河号子文化的缤纷多彩。</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七、互动沙盘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55吋显示屏</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规格：55吋；</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分辨率：1920*1080；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尺寸：1277.9mm*752mm*96.2mm</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外观：上下左右等边设计，前方无任何接口，整体为黑色；</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特点：支持直接断电，支持上电自启</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55吋触摸屏</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规格：55吋；</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分辨率：1920*1080；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触摸方式：红外触摸；</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硬件配置：i5 10代、16G内存、128G固态硬盘；</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系统：WINDOWS系统；</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尺寸：1277.9mm*752mm*96.2mm</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外观：上下左右等边设计，前方无任何接口，整体为黑色；</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特点：支持直接断电，支持上电自启，支持第三方APP自启；</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液压前维护支架</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液压前维护支架，按压时屏幕弹出，再次按压，屏幕收合，便于维护；</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定制底座</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定制</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桌面物体识别（指令牌）</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桌面物体识别这款装置采用的是多点互动技术，体验者只需用手指轻轻触摸桌面上的投影区域，系统就能够获取并识别到你手指的位置并将这些物理坐标转换为计算机屏幕的逻辑坐标，从而实现多点触摸的操作。</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软件开发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1、策划：设计软件逻辑结构；</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2、UI设计：根据策划方案，定制触摸屏端及大屏端UI界面，定制UI风格及各按钮元素，以及动态特效。</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4、程序编写：基于WINDOWS系统开发：</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5、参观者可通过多媒体互动桌的模块选择治水场景，体验治水的全局策略。</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八、黄河六次改道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98吋触摸屏</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规格：98吋；</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分辨率：3840*2160；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触摸技术：红外触摸；</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操作系统：安卓系统；</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配置：RK3568芯片，8G内存，64G存储；</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尺寸：2214mm*1274.5mm*104.8mm</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外观：上下左右等边设计，前方无任何接口，整体为黑色；</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特性：支持直接断电，通电自动开机，APP自动启动</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液压前维护支架</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液压前维护支架，按压时屏幕弹出，再次按压，屏幕收合，便于维护；尺寸：1900*1100*135-145mm</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程序开发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1、策划：设计软件逻辑结构；</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2、UI设计：根据策划方案，定制触摸屏端及大屏端UI界面，定制UI风格及各按钮元素，以及动态特效。</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4、程序编写：基于安卓系统开发：</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5、参观者可以查询每一条线路的详细信息，屏幕内容为动态特效，对应线路高光凸显，辅以解说和文字介绍</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九、沉浸式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激光投影机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1.芯片：DLP显示技术，芯片尺寸0.67英寸</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2.分辨率：≥1920×1200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3.光源：ALPD激光光源，光源寿命≥20000小时</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4.亮度：≥8300ANSI流明</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5.对比度：≥100,000:1</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6.亮度均匀性：≥90%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7.镜头：标准镜头'1.23~1.97:1，支持0.55:1、0.62:1、0.8:1镜头可选</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8.镜头位移：支持垂直水平方向手动镜头位移，垂直方向：±100%，水平方向：±40%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 xml:space="preserve">9.信号接口：输入：RGB*1；HDMI*1；DVI*1; </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10.控制接口：RS232 in*1，RJ45*1（网络控制），3D SYNC*1</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11.色域：≥REC.709</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12.功耗：功耗≤550W，待机功耗≤0.5W</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13.3D：支持DLPlink 3D、红外3D，支持多台投影机3D同步</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14.颜色调整：支持RGBYCMW七色调整</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短焦镜头</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投射比：0.6:1</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投影机吊架</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根据现场环境制作钢结构，固定投影</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32吋触摸屏</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32吋；电容触摸；操作系统:Android 7.1；CPU:Cortex-A17，4核，主频1.8 GHz；内存 2G DDR3;标配8G内部存储（可扩展）；分辨率：1920*1080；尺寸：750.5mm*445.5mm*51.4mm</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触摸屏底座</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按效果图定</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融合主机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I5 12600KF代；16G内存；256G固态；显卡：P4000</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7</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融合软件</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1：通道模式，支持M*N，单机支持最大12通道，标准分辨率1024*768~7680*7680，可自定义任意分辨率，最大支持单台投影7680*4320。</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2：投影重叠区支持任意尺寸的重叠区，≥20%为佳，手动几何校正，平幕、弧幕、折幕、U幕、柱幕等。</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3：融合带Gamma校正处理，多灰阶以及RGB色阶调节,投影机边缘叠加高消隐处理，使投影画面平滑过渡，对色差较大的LCD投影机也能保持色彩一致。</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4：同步能力，精确同步、帧同步。</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5：图像渲染引，DirectX高性能图像渲染引擎，基于融合配置信息对图像进行实时渲染。</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6：支持A卡及N卡游戏卡及制图卡，不需要拼大桌面（a卡Eyefinity ，n卡surround，p卡 mosaic）</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7：桌面融合支持windows 10 专业版，显示器，可有，可无。</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4通道</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8</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吸顶音箱</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最大/额定功率：200W/100W；输入方式：8Ω；灵敏度（1M，1W）：90dB；频率响应：50～20KHZ;产品尺寸MM：Φ281*185；安装尺寸 Φ250；净重(KG)：≤3.5KG;材料：ABS面板；铁后桶</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9</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超低音音箱</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结构组成（口径/音圈）： L 15″；频率范围：35Hz~200kH；特性灵敏度级（1W/1m）：97dB；最大声压级：123dB；额定功率（AES）：500W；最大功率：2000W；额定阻抗：8Ω；接线形式：四芯插座1+ 1-；箱体结构：倒相式；外形尺寸WDH（mm）：470×495×690； </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1只</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10</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2.1通道功放</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立体声功率8Ω：350Wx2+650W；立体声功率4Ω：500Wx2+900W；</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数字效果器</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具有音箱处理器功能的效果器，每部分功能都独立可调。采用24Bit数据总线和32Bit DSP。MUSIC设有7段参量均衡。MUSIC到主输出高通滤波器:12dB-24dB(0Hz-303Hz)；MIC设有15段参量均衡，麦克风有压缩限幅功能。主输出设有5段参量均衡。有压缩限幅功能。X-500 是5.1输出  中置输出，后置输出及超低音均设有3段参量均衡。麦克风有4种反馈抑制，并可选择OFF/1/2/3。可存储16种模式。麦克风输出，主输出、中置输出、超低音输出、后置输出均设有压限及延时功能。</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1台</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kern w:val="0"/>
                <w:sz w:val="21"/>
                <w:szCs w:val="21"/>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触摸联动程序开发</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程序开发包含大屏播放羰开发和触摸屏端开发；</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大屏端：实现多画面同步播放；可接受中控的播放控制</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触摸端：三级以内菜单逻辑开发，实现触摸屏与大屏之间的联动</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视频制作</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1、脚本撰写，与甲方沟通修改、定稿。</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2、策划搜集整理资料，并根据脚本内容进行策划，撰写解说词，解说词与甲方沟通、定稿；</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3、分镜头设计，与甲方沟通修改、定稿。</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4、安排省级以上专业播音员进行解说词配音</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5、整理甲方提供的资料，多渠道收集补充完善况影片中甲方未能提供的资料、</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6、根据需求合理安排现场拍摄，</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7、根据脚本方案，设计三维动画制作，（运用3D Max、C4D等三维软件依照脚本及策展方案进行3D建模、赋材质、打灯光和摄像机，渲染三维特效等），同时根据内容对场景进行插画创作，生动形象地传达影片内容</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8、高清影视特效演示动画制作，视觉艺术包装动画制作、配音、配乐、数字音频合成等后期制作</w:t>
            </w:r>
          </w:p>
        </w:tc>
        <w:tc>
          <w:tcPr>
            <w:tcW w:w="88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1项</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软件和信息技术服务业</w:t>
            </w:r>
          </w:p>
        </w:tc>
      </w:tr>
    </w:tbl>
    <w:p>
      <w:pPr>
        <w:pStyle w:val="2"/>
        <w:rPr>
          <w:rFonts w:hint="eastAsia" w:ascii="宋体" w:hAnsi="宋体" w:eastAsia="宋体" w:cs="宋体"/>
          <w:color w:val="auto"/>
          <w:sz w:val="24"/>
          <w:szCs w:val="24"/>
          <w:highlight w:val="none"/>
          <w:lang w:val="en-US" w:eastAsia="zh-CN"/>
        </w:rPr>
      </w:pPr>
      <w:bookmarkStart w:id="9" w:name="_GoBack"/>
      <w:bookmarkEnd w:id="9"/>
    </w:p>
    <w:sectPr>
      <w:headerReference r:id="rId4" w:type="first"/>
      <w:footerReference r:id="rId6" w:type="first"/>
      <w:headerReference r:id="rId3" w:type="default"/>
      <w:footerReference r:id="rId5"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49"/>
        <w:tab w:val="clear" w:pos="4153"/>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color w:val="auto"/>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YzBiZmRkMDY0MGQxMDM5NDdjYjUxN2Q3ZmM2ZDk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250DA"/>
    <w:rsid w:val="02B32C00"/>
    <w:rsid w:val="02EB23E7"/>
    <w:rsid w:val="030F6088"/>
    <w:rsid w:val="03397423"/>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64365F2"/>
    <w:rsid w:val="064E27D6"/>
    <w:rsid w:val="066514D0"/>
    <w:rsid w:val="067726AC"/>
    <w:rsid w:val="067B2453"/>
    <w:rsid w:val="06C8536A"/>
    <w:rsid w:val="07414C7E"/>
    <w:rsid w:val="074D3623"/>
    <w:rsid w:val="07762499"/>
    <w:rsid w:val="07AF7E3A"/>
    <w:rsid w:val="07E560A1"/>
    <w:rsid w:val="07EB6D02"/>
    <w:rsid w:val="07FC3AF7"/>
    <w:rsid w:val="086C7AD9"/>
    <w:rsid w:val="087E3197"/>
    <w:rsid w:val="08C94A81"/>
    <w:rsid w:val="08E753B1"/>
    <w:rsid w:val="09032B5D"/>
    <w:rsid w:val="091B1C08"/>
    <w:rsid w:val="091C32AD"/>
    <w:rsid w:val="09546684"/>
    <w:rsid w:val="095876F5"/>
    <w:rsid w:val="097B48D7"/>
    <w:rsid w:val="097E55FE"/>
    <w:rsid w:val="097F55EA"/>
    <w:rsid w:val="09831C8A"/>
    <w:rsid w:val="099C7A81"/>
    <w:rsid w:val="09B3321A"/>
    <w:rsid w:val="09B94F9F"/>
    <w:rsid w:val="09BB7A3D"/>
    <w:rsid w:val="09C12051"/>
    <w:rsid w:val="09D41DD9"/>
    <w:rsid w:val="09EB0ED1"/>
    <w:rsid w:val="0A0E27AD"/>
    <w:rsid w:val="0A23066B"/>
    <w:rsid w:val="0A455AAA"/>
    <w:rsid w:val="0A496AA6"/>
    <w:rsid w:val="0A7D7D7B"/>
    <w:rsid w:val="0AB55D93"/>
    <w:rsid w:val="0ABA2D7D"/>
    <w:rsid w:val="0AED0DF1"/>
    <w:rsid w:val="0AF52007"/>
    <w:rsid w:val="0AFD0EBC"/>
    <w:rsid w:val="0B001BD6"/>
    <w:rsid w:val="0B0C55A3"/>
    <w:rsid w:val="0B457C0C"/>
    <w:rsid w:val="0B4A5E65"/>
    <w:rsid w:val="0B6A792F"/>
    <w:rsid w:val="0BB26A70"/>
    <w:rsid w:val="0BB27EF8"/>
    <w:rsid w:val="0BC67500"/>
    <w:rsid w:val="0C195E4B"/>
    <w:rsid w:val="0C2506CA"/>
    <w:rsid w:val="0C6A432F"/>
    <w:rsid w:val="0CE55CFE"/>
    <w:rsid w:val="0D2B6D40"/>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6C61F2"/>
    <w:rsid w:val="0FBD0C1A"/>
    <w:rsid w:val="0FC30926"/>
    <w:rsid w:val="0FF07241"/>
    <w:rsid w:val="1022110A"/>
    <w:rsid w:val="103939A5"/>
    <w:rsid w:val="104135F9"/>
    <w:rsid w:val="10437371"/>
    <w:rsid w:val="10CF7537"/>
    <w:rsid w:val="10F845FF"/>
    <w:rsid w:val="112706F4"/>
    <w:rsid w:val="113263C3"/>
    <w:rsid w:val="115D4462"/>
    <w:rsid w:val="115F08E1"/>
    <w:rsid w:val="117417AC"/>
    <w:rsid w:val="117B4B6D"/>
    <w:rsid w:val="118F65E6"/>
    <w:rsid w:val="11F3777D"/>
    <w:rsid w:val="128D141F"/>
    <w:rsid w:val="12920EF5"/>
    <w:rsid w:val="12A871D7"/>
    <w:rsid w:val="135B70C7"/>
    <w:rsid w:val="13710699"/>
    <w:rsid w:val="13D44784"/>
    <w:rsid w:val="141F3B13"/>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F2599B"/>
    <w:rsid w:val="15F80BFE"/>
    <w:rsid w:val="161F0EEC"/>
    <w:rsid w:val="16420C4F"/>
    <w:rsid w:val="16486627"/>
    <w:rsid w:val="16502CDA"/>
    <w:rsid w:val="16557669"/>
    <w:rsid w:val="16766832"/>
    <w:rsid w:val="16BA216A"/>
    <w:rsid w:val="16C72E02"/>
    <w:rsid w:val="16E66CA8"/>
    <w:rsid w:val="16ED73BF"/>
    <w:rsid w:val="17033CFE"/>
    <w:rsid w:val="170B4961"/>
    <w:rsid w:val="17714319"/>
    <w:rsid w:val="179901BE"/>
    <w:rsid w:val="17A96653"/>
    <w:rsid w:val="17B46264"/>
    <w:rsid w:val="17F51340"/>
    <w:rsid w:val="18177ED1"/>
    <w:rsid w:val="18673E19"/>
    <w:rsid w:val="18837C5C"/>
    <w:rsid w:val="18C354F3"/>
    <w:rsid w:val="19267830"/>
    <w:rsid w:val="19355CC5"/>
    <w:rsid w:val="19362169"/>
    <w:rsid w:val="19397563"/>
    <w:rsid w:val="193D01D8"/>
    <w:rsid w:val="19587403"/>
    <w:rsid w:val="199B0BC1"/>
    <w:rsid w:val="19C93D85"/>
    <w:rsid w:val="1A0A0E60"/>
    <w:rsid w:val="1A0B7134"/>
    <w:rsid w:val="1A2279A0"/>
    <w:rsid w:val="1A241393"/>
    <w:rsid w:val="1A393BF0"/>
    <w:rsid w:val="1A66082C"/>
    <w:rsid w:val="1A810F94"/>
    <w:rsid w:val="1AA67A69"/>
    <w:rsid w:val="1AD23E4E"/>
    <w:rsid w:val="1AE55376"/>
    <w:rsid w:val="1B0C692E"/>
    <w:rsid w:val="1BBE6686"/>
    <w:rsid w:val="1BC33A5C"/>
    <w:rsid w:val="1C24274C"/>
    <w:rsid w:val="1C395ACC"/>
    <w:rsid w:val="1C5260F7"/>
    <w:rsid w:val="1C626DD1"/>
    <w:rsid w:val="1C654B13"/>
    <w:rsid w:val="1C837E33"/>
    <w:rsid w:val="1D210BFD"/>
    <w:rsid w:val="1D2B3667"/>
    <w:rsid w:val="1D4B5AB7"/>
    <w:rsid w:val="1D540C49"/>
    <w:rsid w:val="1D617689"/>
    <w:rsid w:val="1D8D377B"/>
    <w:rsid w:val="1DB655BE"/>
    <w:rsid w:val="1DD1296B"/>
    <w:rsid w:val="1DED3012"/>
    <w:rsid w:val="1E206E52"/>
    <w:rsid w:val="1E247347"/>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A5EA1"/>
    <w:rsid w:val="1FF607C2"/>
    <w:rsid w:val="203C7A5B"/>
    <w:rsid w:val="20602C7A"/>
    <w:rsid w:val="20C148C6"/>
    <w:rsid w:val="20E26732"/>
    <w:rsid w:val="215C2350"/>
    <w:rsid w:val="21C34257"/>
    <w:rsid w:val="21CB5418"/>
    <w:rsid w:val="21F4496F"/>
    <w:rsid w:val="221950B9"/>
    <w:rsid w:val="222D7E81"/>
    <w:rsid w:val="22433DD5"/>
    <w:rsid w:val="22821F7B"/>
    <w:rsid w:val="22A40E2A"/>
    <w:rsid w:val="22CB4C39"/>
    <w:rsid w:val="22DA1DB7"/>
    <w:rsid w:val="22E55B06"/>
    <w:rsid w:val="22F52960"/>
    <w:rsid w:val="22FA2B18"/>
    <w:rsid w:val="23211167"/>
    <w:rsid w:val="23250B58"/>
    <w:rsid w:val="23616034"/>
    <w:rsid w:val="23647A1C"/>
    <w:rsid w:val="23706277"/>
    <w:rsid w:val="2382348F"/>
    <w:rsid w:val="23B73C18"/>
    <w:rsid w:val="246906CD"/>
    <w:rsid w:val="247B58A0"/>
    <w:rsid w:val="24855D52"/>
    <w:rsid w:val="248F6BD1"/>
    <w:rsid w:val="24B108F5"/>
    <w:rsid w:val="24D81875"/>
    <w:rsid w:val="24E24F53"/>
    <w:rsid w:val="24E94533"/>
    <w:rsid w:val="250F386E"/>
    <w:rsid w:val="25356324"/>
    <w:rsid w:val="253B22C4"/>
    <w:rsid w:val="25706CBA"/>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10CF7"/>
    <w:rsid w:val="27E6053F"/>
    <w:rsid w:val="28016BEB"/>
    <w:rsid w:val="280264C3"/>
    <w:rsid w:val="280E153D"/>
    <w:rsid w:val="285F68BA"/>
    <w:rsid w:val="2863671A"/>
    <w:rsid w:val="288B136F"/>
    <w:rsid w:val="28AB7D51"/>
    <w:rsid w:val="28B01ACD"/>
    <w:rsid w:val="28DE4AA3"/>
    <w:rsid w:val="28E15521"/>
    <w:rsid w:val="28EA61ED"/>
    <w:rsid w:val="28FE4325"/>
    <w:rsid w:val="29026462"/>
    <w:rsid w:val="291E02EB"/>
    <w:rsid w:val="296C2322"/>
    <w:rsid w:val="29731ED1"/>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C57C52"/>
    <w:rsid w:val="2BF11F1F"/>
    <w:rsid w:val="2C003885"/>
    <w:rsid w:val="2C2E3173"/>
    <w:rsid w:val="2C526E91"/>
    <w:rsid w:val="2C867239"/>
    <w:rsid w:val="2CD930DF"/>
    <w:rsid w:val="2D524754"/>
    <w:rsid w:val="2D573CA4"/>
    <w:rsid w:val="2D9E61E0"/>
    <w:rsid w:val="2DE53D06"/>
    <w:rsid w:val="2E0C4DEE"/>
    <w:rsid w:val="2E291D46"/>
    <w:rsid w:val="2EF35FAE"/>
    <w:rsid w:val="2EF7784D"/>
    <w:rsid w:val="2F227824"/>
    <w:rsid w:val="2F4440CA"/>
    <w:rsid w:val="2F49150D"/>
    <w:rsid w:val="2F542EF1"/>
    <w:rsid w:val="2F5C1DA5"/>
    <w:rsid w:val="2F653786"/>
    <w:rsid w:val="302B7E84"/>
    <w:rsid w:val="3043740F"/>
    <w:rsid w:val="30660E93"/>
    <w:rsid w:val="307E107A"/>
    <w:rsid w:val="30C73495"/>
    <w:rsid w:val="30DF11B1"/>
    <w:rsid w:val="30EB38AE"/>
    <w:rsid w:val="311F050C"/>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092AB6"/>
    <w:rsid w:val="3417273F"/>
    <w:rsid w:val="342033A2"/>
    <w:rsid w:val="343B467F"/>
    <w:rsid w:val="3450536B"/>
    <w:rsid w:val="347600C7"/>
    <w:rsid w:val="34FF3EF1"/>
    <w:rsid w:val="35216B3A"/>
    <w:rsid w:val="3542559A"/>
    <w:rsid w:val="357240D1"/>
    <w:rsid w:val="35E46F67"/>
    <w:rsid w:val="36172D69"/>
    <w:rsid w:val="36252EF1"/>
    <w:rsid w:val="36392432"/>
    <w:rsid w:val="365A2ACD"/>
    <w:rsid w:val="36CA1CEB"/>
    <w:rsid w:val="36F34D9D"/>
    <w:rsid w:val="37215DAE"/>
    <w:rsid w:val="37385662"/>
    <w:rsid w:val="37621F23"/>
    <w:rsid w:val="3768578B"/>
    <w:rsid w:val="376F6900"/>
    <w:rsid w:val="377834F5"/>
    <w:rsid w:val="3791247D"/>
    <w:rsid w:val="379B4086"/>
    <w:rsid w:val="37AA6032"/>
    <w:rsid w:val="384E0062"/>
    <w:rsid w:val="386677F1"/>
    <w:rsid w:val="38706B58"/>
    <w:rsid w:val="387A22ED"/>
    <w:rsid w:val="390E705C"/>
    <w:rsid w:val="39404C40"/>
    <w:rsid w:val="395922F3"/>
    <w:rsid w:val="395A7356"/>
    <w:rsid w:val="3962445C"/>
    <w:rsid w:val="39893797"/>
    <w:rsid w:val="39A1607B"/>
    <w:rsid w:val="39EE35FF"/>
    <w:rsid w:val="3A6B4003"/>
    <w:rsid w:val="3A924EA9"/>
    <w:rsid w:val="3AB331C1"/>
    <w:rsid w:val="3AD06540"/>
    <w:rsid w:val="3ADF038D"/>
    <w:rsid w:val="3AE37655"/>
    <w:rsid w:val="3B223EA3"/>
    <w:rsid w:val="3B68689B"/>
    <w:rsid w:val="3B845814"/>
    <w:rsid w:val="3B9D79CE"/>
    <w:rsid w:val="3BCC3E0F"/>
    <w:rsid w:val="3C2A559E"/>
    <w:rsid w:val="3C4B567C"/>
    <w:rsid w:val="3C545E01"/>
    <w:rsid w:val="3C7626F9"/>
    <w:rsid w:val="3C7D2064"/>
    <w:rsid w:val="3C8666B4"/>
    <w:rsid w:val="3CAF5C0A"/>
    <w:rsid w:val="3D51730D"/>
    <w:rsid w:val="3D8250CD"/>
    <w:rsid w:val="3D83546E"/>
    <w:rsid w:val="3E114C4C"/>
    <w:rsid w:val="3E2D328B"/>
    <w:rsid w:val="3E655A64"/>
    <w:rsid w:val="3E886713"/>
    <w:rsid w:val="3E895FE7"/>
    <w:rsid w:val="3E8A4C21"/>
    <w:rsid w:val="3E9958B1"/>
    <w:rsid w:val="3EC82FB3"/>
    <w:rsid w:val="3EE719AC"/>
    <w:rsid w:val="3EEA2F2A"/>
    <w:rsid w:val="3F377F69"/>
    <w:rsid w:val="3F406FEE"/>
    <w:rsid w:val="3F6833D1"/>
    <w:rsid w:val="3F941354"/>
    <w:rsid w:val="3FAE708C"/>
    <w:rsid w:val="3FDA1030"/>
    <w:rsid w:val="3FF12C3A"/>
    <w:rsid w:val="400A54C8"/>
    <w:rsid w:val="40386761"/>
    <w:rsid w:val="409725E8"/>
    <w:rsid w:val="40A215BE"/>
    <w:rsid w:val="40CC194D"/>
    <w:rsid w:val="40FA4E7B"/>
    <w:rsid w:val="411424C6"/>
    <w:rsid w:val="41201CCA"/>
    <w:rsid w:val="41271358"/>
    <w:rsid w:val="415D3E87"/>
    <w:rsid w:val="417B430D"/>
    <w:rsid w:val="41896177"/>
    <w:rsid w:val="41D028AB"/>
    <w:rsid w:val="41DF489C"/>
    <w:rsid w:val="41E41EB2"/>
    <w:rsid w:val="42106AA5"/>
    <w:rsid w:val="42442C17"/>
    <w:rsid w:val="425816DC"/>
    <w:rsid w:val="426E40F0"/>
    <w:rsid w:val="42762427"/>
    <w:rsid w:val="43184112"/>
    <w:rsid w:val="432A5C58"/>
    <w:rsid w:val="433E1A96"/>
    <w:rsid w:val="43664B49"/>
    <w:rsid w:val="43D917BF"/>
    <w:rsid w:val="43E4263E"/>
    <w:rsid w:val="4412230A"/>
    <w:rsid w:val="44390EDF"/>
    <w:rsid w:val="44623562"/>
    <w:rsid w:val="447514E8"/>
    <w:rsid w:val="447F1515"/>
    <w:rsid w:val="44971580"/>
    <w:rsid w:val="449D27EC"/>
    <w:rsid w:val="44A07CD1"/>
    <w:rsid w:val="44F91C55"/>
    <w:rsid w:val="4519546F"/>
    <w:rsid w:val="45291D8C"/>
    <w:rsid w:val="453651C9"/>
    <w:rsid w:val="4589726A"/>
    <w:rsid w:val="45A8769B"/>
    <w:rsid w:val="45CD5A14"/>
    <w:rsid w:val="45CF2E79"/>
    <w:rsid w:val="45DB1070"/>
    <w:rsid w:val="46113492"/>
    <w:rsid w:val="4622484A"/>
    <w:rsid w:val="46265A4F"/>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B2CF7"/>
    <w:rsid w:val="49107A31"/>
    <w:rsid w:val="49372EB2"/>
    <w:rsid w:val="493C25D4"/>
    <w:rsid w:val="494D658F"/>
    <w:rsid w:val="494E5146"/>
    <w:rsid w:val="49BE748D"/>
    <w:rsid w:val="49FB621D"/>
    <w:rsid w:val="4A011398"/>
    <w:rsid w:val="4A05080D"/>
    <w:rsid w:val="4A091ED0"/>
    <w:rsid w:val="4A7D10F6"/>
    <w:rsid w:val="4ABF170F"/>
    <w:rsid w:val="4B52754A"/>
    <w:rsid w:val="4B6F5345"/>
    <w:rsid w:val="4B8F7BC6"/>
    <w:rsid w:val="4BBA394F"/>
    <w:rsid w:val="4BFD6A13"/>
    <w:rsid w:val="4C2757BD"/>
    <w:rsid w:val="4C3C07ED"/>
    <w:rsid w:val="4C4E58ED"/>
    <w:rsid w:val="4C7B4A9E"/>
    <w:rsid w:val="4CA0731E"/>
    <w:rsid w:val="4CA872B5"/>
    <w:rsid w:val="4CC7434F"/>
    <w:rsid w:val="4CD945DE"/>
    <w:rsid w:val="4D03307E"/>
    <w:rsid w:val="4D91713A"/>
    <w:rsid w:val="4DD21759"/>
    <w:rsid w:val="4DF72F6D"/>
    <w:rsid w:val="4E0A47AA"/>
    <w:rsid w:val="4E2F0959"/>
    <w:rsid w:val="4E847CBD"/>
    <w:rsid w:val="4E8E2ED5"/>
    <w:rsid w:val="4ED70257"/>
    <w:rsid w:val="4EF243B2"/>
    <w:rsid w:val="4F1359F5"/>
    <w:rsid w:val="4F873249"/>
    <w:rsid w:val="4FEB08B0"/>
    <w:rsid w:val="500951DA"/>
    <w:rsid w:val="501A1D50"/>
    <w:rsid w:val="503075AA"/>
    <w:rsid w:val="50410780"/>
    <w:rsid w:val="504D156B"/>
    <w:rsid w:val="50524154"/>
    <w:rsid w:val="50BE7306"/>
    <w:rsid w:val="50FD109C"/>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AC09B2"/>
    <w:rsid w:val="56EF512A"/>
    <w:rsid w:val="56F633DE"/>
    <w:rsid w:val="570010E5"/>
    <w:rsid w:val="570109B9"/>
    <w:rsid w:val="5726041F"/>
    <w:rsid w:val="57460AC2"/>
    <w:rsid w:val="579D4B86"/>
    <w:rsid w:val="57ED3822"/>
    <w:rsid w:val="581326DD"/>
    <w:rsid w:val="582D35BA"/>
    <w:rsid w:val="583E0FCC"/>
    <w:rsid w:val="588071E3"/>
    <w:rsid w:val="58D97369"/>
    <w:rsid w:val="59446509"/>
    <w:rsid w:val="594C53EE"/>
    <w:rsid w:val="59834C5E"/>
    <w:rsid w:val="598F6750"/>
    <w:rsid w:val="59A8341F"/>
    <w:rsid w:val="59B537F0"/>
    <w:rsid w:val="59C503C4"/>
    <w:rsid w:val="5A1F7AD4"/>
    <w:rsid w:val="5A3F7093"/>
    <w:rsid w:val="5AC468CD"/>
    <w:rsid w:val="5AE71154"/>
    <w:rsid w:val="5B0942E0"/>
    <w:rsid w:val="5B1566C6"/>
    <w:rsid w:val="5B157129"/>
    <w:rsid w:val="5B1935A9"/>
    <w:rsid w:val="5B215ACE"/>
    <w:rsid w:val="5B7025B1"/>
    <w:rsid w:val="5B8624B1"/>
    <w:rsid w:val="5B9D0EAC"/>
    <w:rsid w:val="5BA30C60"/>
    <w:rsid w:val="5BD26DC8"/>
    <w:rsid w:val="5BE014E5"/>
    <w:rsid w:val="5C2C4F12"/>
    <w:rsid w:val="5C2E04A2"/>
    <w:rsid w:val="5C5D0C38"/>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E45C2E"/>
    <w:rsid w:val="5F0507CB"/>
    <w:rsid w:val="5FB3249C"/>
    <w:rsid w:val="5FDB705B"/>
    <w:rsid w:val="5FE11ED3"/>
    <w:rsid w:val="602816AC"/>
    <w:rsid w:val="603F31C9"/>
    <w:rsid w:val="606C266E"/>
    <w:rsid w:val="6079112D"/>
    <w:rsid w:val="608E20E7"/>
    <w:rsid w:val="60942A5D"/>
    <w:rsid w:val="609B1E7E"/>
    <w:rsid w:val="60B46A9C"/>
    <w:rsid w:val="61273712"/>
    <w:rsid w:val="615D7134"/>
    <w:rsid w:val="6189617B"/>
    <w:rsid w:val="619244A7"/>
    <w:rsid w:val="61E6537B"/>
    <w:rsid w:val="62632F8F"/>
    <w:rsid w:val="629D6E17"/>
    <w:rsid w:val="62D96C8E"/>
    <w:rsid w:val="62F872CE"/>
    <w:rsid w:val="634174F0"/>
    <w:rsid w:val="6371143E"/>
    <w:rsid w:val="6396158E"/>
    <w:rsid w:val="6397045F"/>
    <w:rsid w:val="63B76FCF"/>
    <w:rsid w:val="63BF5E84"/>
    <w:rsid w:val="63C870C0"/>
    <w:rsid w:val="63CB2219"/>
    <w:rsid w:val="63F5294F"/>
    <w:rsid w:val="64405216"/>
    <w:rsid w:val="64774C22"/>
    <w:rsid w:val="64E35BA2"/>
    <w:rsid w:val="64E42046"/>
    <w:rsid w:val="64EA1700"/>
    <w:rsid w:val="651D4188"/>
    <w:rsid w:val="652F4185"/>
    <w:rsid w:val="6530119C"/>
    <w:rsid w:val="65353E6F"/>
    <w:rsid w:val="654A3F15"/>
    <w:rsid w:val="65546448"/>
    <w:rsid w:val="65766A16"/>
    <w:rsid w:val="658729D1"/>
    <w:rsid w:val="65901886"/>
    <w:rsid w:val="65953E0C"/>
    <w:rsid w:val="665C34CD"/>
    <w:rsid w:val="666D296A"/>
    <w:rsid w:val="66A17AC3"/>
    <w:rsid w:val="66AD4457"/>
    <w:rsid w:val="66B62179"/>
    <w:rsid w:val="66DB3E09"/>
    <w:rsid w:val="66E51D3A"/>
    <w:rsid w:val="670E33AA"/>
    <w:rsid w:val="67584625"/>
    <w:rsid w:val="675B5B1B"/>
    <w:rsid w:val="67884E65"/>
    <w:rsid w:val="6796339F"/>
    <w:rsid w:val="679A5B4D"/>
    <w:rsid w:val="679D472E"/>
    <w:rsid w:val="67A63223"/>
    <w:rsid w:val="67C84888"/>
    <w:rsid w:val="67CD72E8"/>
    <w:rsid w:val="681B5FA2"/>
    <w:rsid w:val="682C2673"/>
    <w:rsid w:val="683C3F47"/>
    <w:rsid w:val="685A68BE"/>
    <w:rsid w:val="68727968"/>
    <w:rsid w:val="68FB169C"/>
    <w:rsid w:val="690802CD"/>
    <w:rsid w:val="69605006"/>
    <w:rsid w:val="69796E11"/>
    <w:rsid w:val="6985191D"/>
    <w:rsid w:val="69A73B89"/>
    <w:rsid w:val="6A181E8D"/>
    <w:rsid w:val="6A325601"/>
    <w:rsid w:val="6A3B177D"/>
    <w:rsid w:val="6A3B3D8A"/>
    <w:rsid w:val="6A502786"/>
    <w:rsid w:val="6A5657ED"/>
    <w:rsid w:val="6A616079"/>
    <w:rsid w:val="6A617C95"/>
    <w:rsid w:val="6A753740"/>
    <w:rsid w:val="6AB37DC4"/>
    <w:rsid w:val="6B116D78"/>
    <w:rsid w:val="6B20545A"/>
    <w:rsid w:val="6B2111D2"/>
    <w:rsid w:val="6B301415"/>
    <w:rsid w:val="6B3428F7"/>
    <w:rsid w:val="6B620166"/>
    <w:rsid w:val="6B65611A"/>
    <w:rsid w:val="6B7415B6"/>
    <w:rsid w:val="6B99375A"/>
    <w:rsid w:val="6BA8544F"/>
    <w:rsid w:val="6BD968C3"/>
    <w:rsid w:val="6BF730D7"/>
    <w:rsid w:val="6C1D07EE"/>
    <w:rsid w:val="6C565104"/>
    <w:rsid w:val="6C602FC1"/>
    <w:rsid w:val="6CD02EB0"/>
    <w:rsid w:val="6CD24E7A"/>
    <w:rsid w:val="6D3C22F3"/>
    <w:rsid w:val="6D8B27CF"/>
    <w:rsid w:val="6E0C733E"/>
    <w:rsid w:val="6E263E89"/>
    <w:rsid w:val="6E47692C"/>
    <w:rsid w:val="6E6164B5"/>
    <w:rsid w:val="6E62222D"/>
    <w:rsid w:val="6E7361E8"/>
    <w:rsid w:val="6E76219B"/>
    <w:rsid w:val="6EB4407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983CE4"/>
    <w:rsid w:val="70DC62C7"/>
    <w:rsid w:val="712263AB"/>
    <w:rsid w:val="71376F72"/>
    <w:rsid w:val="7145658E"/>
    <w:rsid w:val="715220E5"/>
    <w:rsid w:val="71E04ECC"/>
    <w:rsid w:val="72313A8F"/>
    <w:rsid w:val="726437BB"/>
    <w:rsid w:val="726A127D"/>
    <w:rsid w:val="728E35F1"/>
    <w:rsid w:val="729B7ABC"/>
    <w:rsid w:val="72B8088B"/>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9F723D"/>
    <w:rsid w:val="74A7099A"/>
    <w:rsid w:val="74D177C5"/>
    <w:rsid w:val="74E9081C"/>
    <w:rsid w:val="751C3136"/>
    <w:rsid w:val="75257396"/>
    <w:rsid w:val="754206C3"/>
    <w:rsid w:val="754B12D3"/>
    <w:rsid w:val="75941572"/>
    <w:rsid w:val="75D7525F"/>
    <w:rsid w:val="75F220E9"/>
    <w:rsid w:val="76256605"/>
    <w:rsid w:val="76371099"/>
    <w:rsid w:val="765A1C8C"/>
    <w:rsid w:val="765E4228"/>
    <w:rsid w:val="7693567A"/>
    <w:rsid w:val="76EE28B0"/>
    <w:rsid w:val="7718515B"/>
    <w:rsid w:val="775B7B9D"/>
    <w:rsid w:val="778036C3"/>
    <w:rsid w:val="77A6276C"/>
    <w:rsid w:val="77DD178E"/>
    <w:rsid w:val="781E1591"/>
    <w:rsid w:val="784E0C98"/>
    <w:rsid w:val="78647DA9"/>
    <w:rsid w:val="7889049B"/>
    <w:rsid w:val="788A4695"/>
    <w:rsid w:val="78B44DDC"/>
    <w:rsid w:val="78ED57C7"/>
    <w:rsid w:val="790F4D60"/>
    <w:rsid w:val="791800B8"/>
    <w:rsid w:val="792E2C60"/>
    <w:rsid w:val="7941364C"/>
    <w:rsid w:val="794B2AAD"/>
    <w:rsid w:val="79534C4C"/>
    <w:rsid w:val="7984574E"/>
    <w:rsid w:val="79C8388C"/>
    <w:rsid w:val="79D3028B"/>
    <w:rsid w:val="79E104AA"/>
    <w:rsid w:val="79EC750C"/>
    <w:rsid w:val="7A0A5C53"/>
    <w:rsid w:val="7A0E0CCB"/>
    <w:rsid w:val="7A61783D"/>
    <w:rsid w:val="7A7237F8"/>
    <w:rsid w:val="7A740891"/>
    <w:rsid w:val="7A9609AA"/>
    <w:rsid w:val="7A9F1809"/>
    <w:rsid w:val="7AA80846"/>
    <w:rsid w:val="7AB570B4"/>
    <w:rsid w:val="7AEA15E0"/>
    <w:rsid w:val="7AF17F97"/>
    <w:rsid w:val="7AF55786"/>
    <w:rsid w:val="7B0C3F0D"/>
    <w:rsid w:val="7B0F1047"/>
    <w:rsid w:val="7B4C6D88"/>
    <w:rsid w:val="7B707D38"/>
    <w:rsid w:val="7BB265A2"/>
    <w:rsid w:val="7BB65001"/>
    <w:rsid w:val="7BDC361F"/>
    <w:rsid w:val="7C083123"/>
    <w:rsid w:val="7C4F5666"/>
    <w:rsid w:val="7C5036C5"/>
    <w:rsid w:val="7C5F74F0"/>
    <w:rsid w:val="7C6F4E89"/>
    <w:rsid w:val="7CAB04C7"/>
    <w:rsid w:val="7CDE5E54"/>
    <w:rsid w:val="7CDF5EAD"/>
    <w:rsid w:val="7D252DA4"/>
    <w:rsid w:val="7D6041D6"/>
    <w:rsid w:val="7D697134"/>
    <w:rsid w:val="7DCC76C3"/>
    <w:rsid w:val="7DFB04BA"/>
    <w:rsid w:val="7E0E1A8A"/>
    <w:rsid w:val="7E300756"/>
    <w:rsid w:val="7E682F48"/>
    <w:rsid w:val="7E6A6EBA"/>
    <w:rsid w:val="7E7A45CB"/>
    <w:rsid w:val="7F0562FB"/>
    <w:rsid w:val="7F0A03FD"/>
    <w:rsid w:val="7F855D7C"/>
    <w:rsid w:val="7FD67122"/>
    <w:rsid w:val="7FF072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6">
    <w:name w:val="heading 2"/>
    <w:basedOn w:val="1"/>
    <w:next w:val="1"/>
    <w:link w:val="60"/>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7">
    <w:name w:val="heading 3"/>
    <w:basedOn w:val="1"/>
    <w:next w:val="1"/>
    <w:link w:val="61"/>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8">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41">
    <w:name w:val="Default Paragraph Font"/>
    <w:qFormat/>
    <w:uiPriority w:val="0"/>
    <w:rPr>
      <w:rFonts w:ascii="宋体" w:hAnsi="宋体" w:eastAsia="宋体"/>
      <w:kern w:val="2"/>
      <w:sz w:val="28"/>
      <w:szCs w:val="24"/>
      <w:lang w:val="en-US" w:eastAsia="zh-CN" w:bidi="ar-SA"/>
    </w:rPr>
  </w:style>
  <w:style w:type="table" w:default="1" w:styleId="3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numPr>
        <w:ilvl w:val="0"/>
        <w:numId w:val="0"/>
      </w:numPr>
      <w:spacing w:after="120" w:afterLines="0"/>
    </w:pPr>
  </w:style>
  <w:style w:type="paragraph" w:styleId="3">
    <w:name w:val="Body Text Indent"/>
    <w:basedOn w:val="1"/>
    <w:next w:val="4"/>
    <w:link w:val="59"/>
    <w:qFormat/>
    <w:uiPriority w:val="0"/>
    <w:rPr>
      <w:kern w:val="0"/>
    </w:rPr>
  </w:style>
  <w:style w:type="paragraph" w:styleId="4">
    <w:name w:val="envelope return"/>
    <w:basedOn w:val="1"/>
    <w:qFormat/>
    <w:uiPriority w:val="0"/>
    <w:pPr>
      <w:snapToGrid w:val="0"/>
    </w:pPr>
    <w:rPr>
      <w:rFonts w:ascii="Arial" w:hAnsi="Arial"/>
    </w:rPr>
  </w:style>
  <w:style w:type="paragraph" w:styleId="9">
    <w:name w:val="toc 7"/>
    <w:basedOn w:val="1"/>
    <w:next w:val="1"/>
    <w:qFormat/>
    <w:uiPriority w:val="0"/>
    <w:pPr>
      <w:ind w:left="2520" w:leftChars="1200"/>
    </w:pPr>
  </w:style>
  <w:style w:type="paragraph" w:styleId="10">
    <w:name w:val="Normal Indent"/>
    <w:basedOn w:val="1"/>
    <w:link w:val="62"/>
    <w:qFormat/>
    <w:uiPriority w:val="0"/>
    <w:pPr>
      <w:autoSpaceDE w:val="0"/>
      <w:autoSpaceDN w:val="0"/>
      <w:adjustRightInd w:val="0"/>
      <w:ind w:firstLine="420"/>
      <w:jc w:val="left"/>
    </w:pPr>
    <w:rPr>
      <w:rFonts w:ascii="宋体"/>
      <w:kern w:val="0"/>
      <w:sz w:val="24"/>
    </w:rPr>
  </w:style>
  <w:style w:type="paragraph" w:styleId="11">
    <w:name w:val="index 5"/>
    <w:basedOn w:val="1"/>
    <w:next w:val="1"/>
    <w:unhideWhenUsed/>
    <w:qFormat/>
    <w:uiPriority w:val="0"/>
    <w:pPr>
      <w:ind w:left="800" w:leftChars="800"/>
    </w:pPr>
    <w:rPr>
      <w:sz w:val="21"/>
      <w:szCs w:val="24"/>
    </w:rPr>
  </w:style>
  <w:style w:type="paragraph" w:styleId="12">
    <w:name w:val="Document Map"/>
    <w:basedOn w:val="1"/>
    <w:qFormat/>
    <w:uiPriority w:val="0"/>
    <w:pPr>
      <w:shd w:val="clear" w:color="auto" w:fill="000080"/>
    </w:pPr>
  </w:style>
  <w:style w:type="paragraph" w:styleId="13">
    <w:name w:val="annotation text"/>
    <w:basedOn w:val="1"/>
    <w:qFormat/>
    <w:uiPriority w:val="0"/>
    <w:pPr>
      <w:jc w:val="left"/>
    </w:pPr>
  </w:style>
  <w:style w:type="paragraph" w:styleId="14">
    <w:name w:val="Body Text 3"/>
    <w:basedOn w:val="1"/>
    <w:qFormat/>
    <w:uiPriority w:val="0"/>
    <w:rPr>
      <w:rFonts w:eastAsia="楷体_GB2312"/>
      <w:sz w:val="28"/>
    </w:rPr>
  </w:style>
  <w:style w:type="paragraph" w:styleId="15">
    <w:name w:val="Body Text"/>
    <w:basedOn w:val="1"/>
    <w:next w:val="16"/>
    <w:qFormat/>
    <w:uiPriority w:val="0"/>
    <w:pPr>
      <w:spacing w:after="120" w:afterLines="0"/>
    </w:pPr>
  </w:style>
  <w:style w:type="paragraph" w:customStyle="1" w:styleId="16">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
    <w:name w:val="Block Text"/>
    <w:basedOn w:val="1"/>
    <w:unhideWhenUsed/>
    <w:qFormat/>
    <w:uiPriority w:val="99"/>
    <w:pPr>
      <w:spacing w:after="120"/>
      <w:ind w:left="1440" w:leftChars="700" w:right="1440" w:rightChars="700"/>
    </w:pPr>
  </w:style>
  <w:style w:type="paragraph" w:styleId="18">
    <w:name w:val="toc 5"/>
    <w:basedOn w:val="1"/>
    <w:next w:val="1"/>
    <w:qFormat/>
    <w:uiPriority w:val="0"/>
    <w:pPr>
      <w:ind w:left="1680" w:leftChars="800"/>
    </w:pPr>
  </w:style>
  <w:style w:type="paragraph" w:styleId="19">
    <w:name w:val="toc 3"/>
    <w:basedOn w:val="1"/>
    <w:next w:val="1"/>
    <w:qFormat/>
    <w:uiPriority w:val="0"/>
    <w:pPr>
      <w:ind w:left="840" w:leftChars="400"/>
    </w:pPr>
  </w:style>
  <w:style w:type="paragraph" w:styleId="20">
    <w:name w:val="Plain Text"/>
    <w:basedOn w:val="1"/>
    <w:next w:val="15"/>
    <w:link w:val="63"/>
    <w:qFormat/>
    <w:uiPriority w:val="0"/>
    <w:rPr>
      <w:rFonts w:hAnsi="Courier New" w:eastAsia="幼圆"/>
      <w:kern w:val="0"/>
    </w:rPr>
  </w:style>
  <w:style w:type="paragraph" w:styleId="21">
    <w:name w:val="toc 8"/>
    <w:basedOn w:val="1"/>
    <w:next w:val="1"/>
    <w:qFormat/>
    <w:uiPriority w:val="0"/>
    <w:pPr>
      <w:ind w:left="2940" w:leftChars="1400"/>
    </w:pPr>
  </w:style>
  <w:style w:type="paragraph" w:styleId="22">
    <w:name w:val="Date"/>
    <w:basedOn w:val="1"/>
    <w:next w:val="1"/>
    <w:qFormat/>
    <w:uiPriority w:val="0"/>
    <w:pPr>
      <w:ind w:left="100" w:leftChars="2500"/>
    </w:pPr>
    <w:rPr>
      <w:rFonts w:ascii="宋体" w:hAnsi="宋体"/>
      <w:sz w:val="28"/>
    </w:rPr>
  </w:style>
  <w:style w:type="paragraph" w:styleId="23">
    <w:name w:val="Body Text Indent 2"/>
    <w:basedOn w:val="1"/>
    <w:qFormat/>
    <w:uiPriority w:val="0"/>
    <w:pPr>
      <w:ind w:firstLine="405" w:firstLineChars="193"/>
    </w:pPr>
    <w:rPr>
      <w:rFonts w:ascii="宋体" w:hAnsi="宋体"/>
    </w:rPr>
  </w:style>
  <w:style w:type="paragraph" w:styleId="24">
    <w:name w:val="Balloon Text"/>
    <w:basedOn w:val="1"/>
    <w:link w:val="64"/>
    <w:qFormat/>
    <w:uiPriority w:val="0"/>
    <w:rPr>
      <w:rFonts w:ascii="宋体" w:hAnsi="宋体"/>
      <w:sz w:val="18"/>
      <w:szCs w:val="18"/>
    </w:rPr>
  </w:style>
  <w:style w:type="paragraph" w:styleId="25">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6">
    <w:name w:val="header"/>
    <w:basedOn w:val="1"/>
    <w:next w:val="25"/>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7">
    <w:name w:val="toc 1"/>
    <w:basedOn w:val="1"/>
    <w:next w:val="1"/>
    <w:qFormat/>
    <w:uiPriority w:val="39"/>
  </w:style>
  <w:style w:type="paragraph" w:styleId="28">
    <w:name w:val="toc 4"/>
    <w:basedOn w:val="1"/>
    <w:next w:val="1"/>
    <w:qFormat/>
    <w:uiPriority w:val="0"/>
    <w:pPr>
      <w:ind w:left="1260" w:leftChars="600"/>
    </w:pPr>
  </w:style>
  <w:style w:type="paragraph" w:styleId="29">
    <w:name w:val="footnote text"/>
    <w:basedOn w:val="1"/>
    <w:next w:val="11"/>
    <w:unhideWhenUsed/>
    <w:qFormat/>
    <w:uiPriority w:val="0"/>
    <w:pPr>
      <w:tabs>
        <w:tab w:val="left" w:pos="502"/>
      </w:tabs>
      <w:snapToGrid w:val="0"/>
    </w:pPr>
    <w:rPr>
      <w:sz w:val="18"/>
      <w:szCs w:val="18"/>
    </w:rPr>
  </w:style>
  <w:style w:type="paragraph" w:styleId="30">
    <w:name w:val="toc 6"/>
    <w:basedOn w:val="1"/>
    <w:next w:val="1"/>
    <w:qFormat/>
    <w:uiPriority w:val="0"/>
    <w:pPr>
      <w:ind w:left="2100" w:leftChars="1000"/>
    </w:pPr>
  </w:style>
  <w:style w:type="paragraph" w:styleId="31">
    <w:name w:val="Body Text Indent 3"/>
    <w:basedOn w:val="1"/>
    <w:qFormat/>
    <w:uiPriority w:val="0"/>
    <w:pPr>
      <w:ind w:firstLine="420" w:firstLineChars="200"/>
    </w:pPr>
    <w:rPr>
      <w:rFonts w:ascii="宋体" w:hAnsi="宋体"/>
    </w:rPr>
  </w:style>
  <w:style w:type="paragraph" w:styleId="32">
    <w:name w:val="toc 2"/>
    <w:basedOn w:val="1"/>
    <w:next w:val="1"/>
    <w:qFormat/>
    <w:uiPriority w:val="0"/>
    <w:pPr>
      <w:ind w:left="420" w:leftChars="200"/>
    </w:pPr>
  </w:style>
  <w:style w:type="paragraph" w:styleId="33">
    <w:name w:val="toc 9"/>
    <w:basedOn w:val="1"/>
    <w:next w:val="1"/>
    <w:qFormat/>
    <w:uiPriority w:val="0"/>
    <w:pPr>
      <w:ind w:left="3360" w:leftChars="1600"/>
    </w:pPr>
  </w:style>
  <w:style w:type="paragraph" w:styleId="34">
    <w:name w:val="Body Text 2"/>
    <w:basedOn w:val="1"/>
    <w:qFormat/>
    <w:uiPriority w:val="0"/>
    <w:pPr>
      <w:spacing w:after="120" w:afterLines="0" w:line="480" w:lineRule="auto"/>
    </w:pPr>
  </w:style>
  <w:style w:type="paragraph" w:styleId="35">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6">
    <w:name w:val="index 1"/>
    <w:basedOn w:val="1"/>
    <w:next w:val="1"/>
    <w:qFormat/>
    <w:uiPriority w:val="0"/>
    <w:rPr>
      <w:szCs w:val="20"/>
    </w:rPr>
  </w:style>
  <w:style w:type="paragraph" w:styleId="37">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8">
    <w:name w:val="Body Text First Indent"/>
    <w:basedOn w:val="15"/>
    <w:next w:val="2"/>
    <w:qFormat/>
    <w:uiPriority w:val="0"/>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0"/>
    <w:rPr>
      <w:b/>
      <w:bCs/>
    </w:rPr>
  </w:style>
  <w:style w:type="character" w:styleId="43">
    <w:name w:val="page number"/>
    <w:qFormat/>
    <w:uiPriority w:val="0"/>
    <w:rPr>
      <w:lang w:val="en-US" w:eastAsia="zh-CN" w:bidi="ar-SA"/>
    </w:rPr>
  </w:style>
  <w:style w:type="character" w:styleId="44">
    <w:name w:val="FollowedHyperlink"/>
    <w:qFormat/>
    <w:uiPriority w:val="0"/>
    <w:rPr>
      <w:rFonts w:ascii="宋体" w:hAnsi="宋体" w:eastAsia="宋体"/>
      <w:color w:val="333333"/>
      <w:kern w:val="2"/>
      <w:sz w:val="18"/>
      <w:szCs w:val="18"/>
      <w:u w:val="none"/>
      <w:lang w:val="en-US" w:eastAsia="zh-CN" w:bidi="ar-SA"/>
    </w:rPr>
  </w:style>
  <w:style w:type="character" w:styleId="45">
    <w:name w:val="HTML Definition"/>
    <w:qFormat/>
    <w:uiPriority w:val="0"/>
    <w:rPr>
      <w:lang w:val="en-US" w:eastAsia="zh-CN" w:bidi="ar-SA"/>
    </w:rPr>
  </w:style>
  <w:style w:type="character" w:styleId="46">
    <w:name w:val="HTML Typewriter"/>
    <w:qFormat/>
    <w:uiPriority w:val="0"/>
    <w:rPr>
      <w:rFonts w:hint="default" w:ascii="monospace" w:hAnsi="monospace" w:eastAsia="monospace" w:cs="monospace"/>
      <w:sz w:val="20"/>
      <w:lang w:val="en-US" w:eastAsia="zh-CN" w:bidi="ar-SA"/>
    </w:rPr>
  </w:style>
  <w:style w:type="character" w:styleId="47">
    <w:name w:val="HTML Acronym"/>
    <w:qFormat/>
    <w:uiPriority w:val="0"/>
    <w:rPr>
      <w:lang w:val="en-US" w:eastAsia="zh-CN" w:bidi="ar-SA"/>
    </w:rPr>
  </w:style>
  <w:style w:type="character" w:styleId="48">
    <w:name w:val="HTML Variable"/>
    <w:qFormat/>
    <w:uiPriority w:val="0"/>
    <w:rPr>
      <w:lang w:val="en-US" w:eastAsia="zh-CN" w:bidi="ar-SA"/>
    </w:rPr>
  </w:style>
  <w:style w:type="character" w:styleId="49">
    <w:name w:val="Hyperlink"/>
    <w:qFormat/>
    <w:uiPriority w:val="99"/>
    <w:rPr>
      <w:rFonts w:ascii="宋体" w:hAnsi="宋体" w:eastAsia="宋体"/>
      <w:color w:val="0000FF"/>
      <w:kern w:val="2"/>
      <w:sz w:val="28"/>
      <w:szCs w:val="24"/>
      <w:u w:val="single"/>
      <w:lang w:val="en-US" w:eastAsia="zh-CN" w:bidi="ar-SA"/>
    </w:rPr>
  </w:style>
  <w:style w:type="character" w:styleId="50">
    <w:name w:val="HTML Code"/>
    <w:qFormat/>
    <w:uiPriority w:val="0"/>
    <w:rPr>
      <w:rFonts w:ascii="monospace" w:hAnsi="monospace" w:eastAsia="monospace" w:cs="monospace"/>
      <w:sz w:val="20"/>
      <w:lang w:val="en-US" w:eastAsia="zh-CN" w:bidi="ar-SA"/>
    </w:rPr>
  </w:style>
  <w:style w:type="character" w:styleId="51">
    <w:name w:val="HTML Cite"/>
    <w:qFormat/>
    <w:uiPriority w:val="0"/>
    <w:rPr>
      <w:lang w:val="en-US" w:eastAsia="zh-CN" w:bidi="ar-SA"/>
    </w:rPr>
  </w:style>
  <w:style w:type="character" w:styleId="52">
    <w:name w:val="HTML Keyboard"/>
    <w:qFormat/>
    <w:uiPriority w:val="0"/>
    <w:rPr>
      <w:rFonts w:hint="default" w:ascii="monospace" w:hAnsi="monospace" w:eastAsia="monospace" w:cs="monospace"/>
      <w:sz w:val="20"/>
      <w:lang w:val="en-US" w:eastAsia="zh-CN" w:bidi="ar-SA"/>
    </w:rPr>
  </w:style>
  <w:style w:type="character" w:styleId="53">
    <w:name w:val="HTML Sample"/>
    <w:qFormat/>
    <w:uiPriority w:val="0"/>
    <w:rPr>
      <w:rFonts w:hint="default" w:ascii="monospace" w:hAnsi="monospace" w:eastAsia="monospace" w:cs="monospace"/>
      <w:lang w:val="en-US" w:eastAsia="zh-CN" w:bidi="ar-SA"/>
    </w:rPr>
  </w:style>
  <w:style w:type="paragraph" w:customStyle="1" w:styleId="54">
    <w:name w:val="Char Char10 Char Char Char Char"/>
    <w:basedOn w:val="1"/>
    <w:next w:val="55"/>
    <w:qFormat/>
    <w:uiPriority w:val="0"/>
  </w:style>
  <w:style w:type="paragraph" w:customStyle="1" w:styleId="55">
    <w:name w:val="xl87"/>
    <w:basedOn w:val="1"/>
    <w:next w:val="56"/>
    <w:qFormat/>
    <w:uiPriority w:val="0"/>
    <w:pPr>
      <w:widowControl/>
      <w:shd w:val="clear" w:color="FFFFFF" w:fill="FFFFFF"/>
      <w:spacing w:before="280" w:beforeLines="0" w:after="280" w:afterLines="0"/>
      <w:jc w:val="right"/>
    </w:pPr>
    <w:rPr>
      <w:rFonts w:ascii="宋体"/>
      <w:sz w:val="24"/>
    </w:rPr>
  </w:style>
  <w:style w:type="paragraph" w:customStyle="1" w:styleId="56">
    <w:name w:val="xl72"/>
    <w:basedOn w:val="1"/>
    <w:next w:val="22"/>
    <w:qFormat/>
    <w:uiPriority w:val="0"/>
    <w:pPr>
      <w:widowControl/>
      <w:shd w:val="clear" w:color="FFFFFF" w:fill="FFFFFF"/>
      <w:spacing w:before="280" w:beforeLines="0" w:after="280" w:afterLines="0"/>
      <w:jc w:val="right"/>
    </w:pPr>
    <w:rPr>
      <w:rFonts w:ascii="宋体"/>
      <w:sz w:val="24"/>
    </w:rPr>
  </w:style>
  <w:style w:type="paragraph" w:customStyle="1" w:styleId="57">
    <w:name w:val="表格文字"/>
    <w:basedOn w:val="1"/>
    <w:next w:val="15"/>
    <w:qFormat/>
    <w:uiPriority w:val="0"/>
    <w:pPr>
      <w:adjustRightInd w:val="0"/>
      <w:spacing w:line="420" w:lineRule="atLeast"/>
      <w:jc w:val="left"/>
      <w:textAlignment w:val="baseline"/>
    </w:pPr>
    <w:rPr>
      <w:kern w:val="0"/>
      <w:szCs w:val="20"/>
    </w:rPr>
  </w:style>
  <w:style w:type="paragraph" w:customStyle="1" w:styleId="58">
    <w:name w:val="No Spacing1"/>
    <w:basedOn w:val="1"/>
    <w:qFormat/>
    <w:uiPriority w:val="0"/>
    <w:pPr>
      <w:spacing w:after="0" w:afterLines="0" w:line="400" w:lineRule="exact"/>
    </w:pPr>
    <w:rPr>
      <w:rFonts w:ascii="Calibri" w:hAnsi="Calibri" w:eastAsia="宋体" w:cs="黑体"/>
      <w:sz w:val="24"/>
      <w:lang w:val="en-US" w:eastAsia="zh-CN" w:bidi="ar-SA"/>
    </w:rPr>
  </w:style>
  <w:style w:type="character" w:customStyle="1" w:styleId="59">
    <w:name w:val="正文文本缩进 Char"/>
    <w:link w:val="3"/>
    <w:qFormat/>
    <w:uiPriority w:val="0"/>
    <w:rPr>
      <w:sz w:val="21"/>
      <w:lang w:val="en-US" w:eastAsia="zh-CN" w:bidi="ar-SA"/>
    </w:rPr>
  </w:style>
  <w:style w:type="character" w:customStyle="1" w:styleId="60">
    <w:name w:val="标题 2 Char"/>
    <w:link w:val="6"/>
    <w:qFormat/>
    <w:uiPriority w:val="0"/>
    <w:rPr>
      <w:rFonts w:ascii="Arial" w:hAnsi="Arial" w:eastAsia="黑体"/>
      <w:b/>
      <w:bCs/>
      <w:kern w:val="2"/>
      <w:sz w:val="32"/>
      <w:szCs w:val="32"/>
      <w:lang w:val="en-US" w:eastAsia="zh-CN" w:bidi="ar-SA"/>
    </w:rPr>
  </w:style>
  <w:style w:type="character" w:customStyle="1" w:styleId="61">
    <w:name w:val="标题 3 Char"/>
    <w:link w:val="7"/>
    <w:qFormat/>
    <w:uiPriority w:val="0"/>
    <w:rPr>
      <w:rFonts w:ascii="宋体" w:hAnsi="宋体" w:eastAsia="幼圆"/>
      <w:b/>
      <w:bCs/>
      <w:kern w:val="2"/>
      <w:sz w:val="32"/>
      <w:szCs w:val="32"/>
      <w:lang w:val="en-US" w:eastAsia="zh-CN" w:bidi="ar-SA"/>
    </w:rPr>
  </w:style>
  <w:style w:type="character" w:customStyle="1" w:styleId="62">
    <w:name w:val="正文缩进 Char"/>
    <w:link w:val="10"/>
    <w:qFormat/>
    <w:uiPriority w:val="0"/>
    <w:rPr>
      <w:rFonts w:ascii="宋体"/>
      <w:sz w:val="24"/>
    </w:rPr>
  </w:style>
  <w:style w:type="character" w:customStyle="1" w:styleId="63">
    <w:name w:val="纯文本 Char"/>
    <w:link w:val="20"/>
    <w:qFormat/>
    <w:uiPriority w:val="0"/>
    <w:rPr>
      <w:rFonts w:hAnsi="Courier New" w:eastAsia="幼圆"/>
      <w:sz w:val="21"/>
      <w:lang w:val="en-US" w:eastAsia="zh-CN" w:bidi="ar-SA"/>
    </w:rPr>
  </w:style>
  <w:style w:type="character" w:customStyle="1" w:styleId="64">
    <w:name w:val="批注框文本 Char"/>
    <w:link w:val="24"/>
    <w:qFormat/>
    <w:uiPriority w:val="0"/>
    <w:rPr>
      <w:rFonts w:ascii="宋体" w:hAnsi="宋体" w:eastAsia="宋体"/>
      <w:kern w:val="2"/>
      <w:sz w:val="18"/>
      <w:szCs w:val="18"/>
      <w:lang w:val="en-US" w:eastAsia="zh-CN" w:bidi="ar-SA"/>
    </w:rPr>
  </w:style>
  <w:style w:type="character" w:customStyle="1" w:styleId="65">
    <w:name w:val="页眉 Char Char"/>
    <w:qFormat/>
    <w:uiPriority w:val="0"/>
    <w:rPr>
      <w:rFonts w:ascii="宋体" w:hAnsi="宋体" w:eastAsia="宋体"/>
      <w:kern w:val="2"/>
      <w:sz w:val="18"/>
      <w:szCs w:val="18"/>
      <w:lang w:val="en-US" w:eastAsia="zh-CN" w:bidi="ar-SA"/>
    </w:rPr>
  </w:style>
  <w:style w:type="character" w:customStyle="1" w:styleId="66">
    <w:name w:val="页脚 Char Char"/>
    <w:qFormat/>
    <w:uiPriority w:val="0"/>
    <w:rPr>
      <w:rFonts w:ascii="宋体" w:hAnsi="宋体" w:eastAsia="宋体"/>
      <w:kern w:val="2"/>
      <w:sz w:val="18"/>
      <w:szCs w:val="18"/>
      <w:lang w:val="en-US" w:eastAsia="zh-CN" w:bidi="ar-SA"/>
    </w:rPr>
  </w:style>
  <w:style w:type="character" w:customStyle="1" w:styleId="67">
    <w:name w:val="ca-21"/>
    <w:qFormat/>
    <w:uiPriority w:val="0"/>
    <w:rPr>
      <w:rFonts w:hint="eastAsia" w:ascii="仿宋_GB2312" w:eastAsia="仿宋_GB2312"/>
      <w:sz w:val="32"/>
      <w:szCs w:val="32"/>
    </w:rPr>
  </w:style>
  <w:style w:type="character" w:customStyle="1" w:styleId="68">
    <w:name w:val="ca-31"/>
    <w:qFormat/>
    <w:uiPriority w:val="0"/>
    <w:rPr>
      <w:rFonts w:hint="eastAsia" w:ascii="仿宋_GB2312" w:eastAsia="仿宋_GB2312"/>
      <w:b/>
      <w:bCs/>
      <w:spacing w:val="-20"/>
      <w:sz w:val="32"/>
      <w:szCs w:val="32"/>
    </w:rPr>
  </w:style>
  <w:style w:type="character" w:customStyle="1" w:styleId="69">
    <w:name w:val="UserStyle_17"/>
    <w:qFormat/>
    <w:uiPriority w:val="0"/>
    <w:rPr>
      <w:rFonts w:ascii="Times New Roman" w:hAnsi="Times New Roman" w:eastAsia="宋体" w:cs="Times New Roman"/>
      <w:kern w:val="2"/>
      <w:sz w:val="21"/>
      <w:szCs w:val="24"/>
      <w:lang w:val="en-US" w:eastAsia="zh-CN" w:bidi="ar-SA"/>
    </w:rPr>
  </w:style>
  <w:style w:type="character" w:customStyle="1" w:styleId="70">
    <w:name w:val="ca-11"/>
    <w:qFormat/>
    <w:uiPriority w:val="0"/>
    <w:rPr>
      <w:rFonts w:hint="default" w:ascii="Times New Roman" w:hAnsi="Times New Roman" w:cs="Times New Roman"/>
      <w:sz w:val="32"/>
      <w:szCs w:val="32"/>
    </w:rPr>
  </w:style>
  <w:style w:type="character" w:customStyle="1" w:styleId="71">
    <w:name w:val="font11"/>
    <w:qFormat/>
    <w:uiPriority w:val="0"/>
    <w:rPr>
      <w:rFonts w:hint="eastAsia" w:ascii="宋体" w:hAnsi="宋体" w:eastAsia="宋体" w:cs="宋体"/>
      <w:color w:val="000000"/>
      <w:sz w:val="20"/>
      <w:szCs w:val="20"/>
      <w:u w:val="none"/>
    </w:rPr>
  </w:style>
  <w:style w:type="character" w:customStyle="1" w:styleId="72">
    <w:name w:val="Char Char Char"/>
    <w:qFormat/>
    <w:uiPriority w:val="0"/>
    <w:rPr>
      <w:rFonts w:ascii="Arial" w:hAnsi="Arial" w:eastAsia="黑体"/>
      <w:b/>
      <w:bCs/>
      <w:kern w:val="2"/>
      <w:sz w:val="32"/>
      <w:szCs w:val="32"/>
      <w:lang w:val="en-US" w:eastAsia="zh-CN" w:bidi="ar-SA"/>
    </w:rPr>
  </w:style>
  <w:style w:type="character" w:customStyle="1" w:styleId="73">
    <w:name w:val="ca-121"/>
    <w:qFormat/>
    <w:uiPriority w:val="0"/>
    <w:rPr>
      <w:rFonts w:hint="eastAsia" w:ascii="仿宋_GB2312" w:eastAsia="仿宋_GB2312"/>
      <w:color w:val="000000"/>
      <w:sz w:val="21"/>
      <w:szCs w:val="21"/>
    </w:rPr>
  </w:style>
  <w:style w:type="paragraph" w:customStyle="1" w:styleId="74">
    <w:name w:val="样式 正文文字 + 小四 段后: 0 磅 行距: 1.5 倍行距"/>
    <w:basedOn w:val="15"/>
    <w:qFormat/>
    <w:uiPriority w:val="0"/>
    <w:pPr>
      <w:spacing w:after="0" w:afterLines="0" w:line="360" w:lineRule="auto"/>
      <w:ind w:firstLine="480" w:firstLineChars="200"/>
    </w:pPr>
    <w:rPr>
      <w:rFonts w:cs="宋体"/>
      <w:sz w:val="24"/>
      <w:szCs w:val="20"/>
    </w:rPr>
  </w:style>
  <w:style w:type="paragraph" w:customStyle="1" w:styleId="75">
    <w:name w:val="pa-58"/>
    <w:basedOn w:val="1"/>
    <w:qFormat/>
    <w:uiPriority w:val="0"/>
    <w:pPr>
      <w:widowControl/>
      <w:spacing w:line="240" w:lineRule="atLeast"/>
      <w:ind w:firstLine="460"/>
    </w:pPr>
    <w:rPr>
      <w:rFonts w:ascii="宋体" w:hAnsi="宋体" w:cs="宋体"/>
      <w:kern w:val="0"/>
      <w:sz w:val="24"/>
    </w:rPr>
  </w:style>
  <w:style w:type="paragraph" w:customStyle="1" w:styleId="76">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7">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8">
    <w:name w:val="pa-6"/>
    <w:basedOn w:val="1"/>
    <w:qFormat/>
    <w:uiPriority w:val="0"/>
    <w:pPr>
      <w:widowControl/>
      <w:spacing w:line="360" w:lineRule="atLeast"/>
    </w:pPr>
    <w:rPr>
      <w:rFonts w:ascii="宋体" w:hAnsi="宋体" w:cs="宋体"/>
      <w:kern w:val="0"/>
      <w:sz w:val="24"/>
    </w:rPr>
  </w:style>
  <w:style w:type="paragraph" w:customStyle="1" w:styleId="79">
    <w:name w:val="pa-2"/>
    <w:basedOn w:val="1"/>
    <w:qFormat/>
    <w:uiPriority w:val="0"/>
    <w:pPr>
      <w:widowControl/>
      <w:spacing w:line="360" w:lineRule="atLeast"/>
    </w:pPr>
    <w:rPr>
      <w:rFonts w:ascii="宋体" w:hAnsi="宋体" w:cs="宋体"/>
      <w:kern w:val="0"/>
      <w:sz w:val="24"/>
    </w:rPr>
  </w:style>
  <w:style w:type="paragraph" w:customStyle="1" w:styleId="80">
    <w:name w:val="Heading 1"/>
    <w:basedOn w:val="1"/>
    <w:qFormat/>
    <w:uiPriority w:val="0"/>
    <w:pPr>
      <w:outlineLvl w:val="1"/>
    </w:pPr>
    <w:rPr>
      <w:rFonts w:ascii="黑体" w:hAnsi="黑体" w:eastAsia="黑体"/>
      <w:b/>
      <w:bCs/>
      <w:sz w:val="44"/>
      <w:szCs w:val="44"/>
    </w:rPr>
  </w:style>
  <w:style w:type="paragraph" w:customStyle="1" w:styleId="81">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2">
    <w:name w:val="正文（首行缩进一字）"/>
    <w:basedOn w:val="1"/>
    <w:qFormat/>
    <w:uiPriority w:val="0"/>
  </w:style>
  <w:style w:type="paragraph" w:customStyle="1" w:styleId="83">
    <w:name w:val="pa-53"/>
    <w:basedOn w:val="1"/>
    <w:qFormat/>
    <w:uiPriority w:val="0"/>
    <w:pPr>
      <w:widowControl/>
      <w:spacing w:line="240" w:lineRule="atLeast"/>
    </w:pPr>
    <w:rPr>
      <w:rFonts w:ascii="宋体" w:hAnsi="宋体" w:cs="宋体"/>
      <w:kern w:val="0"/>
      <w:sz w:val="24"/>
    </w:rPr>
  </w:style>
  <w:style w:type="paragraph" w:customStyle="1" w:styleId="84">
    <w:name w:val="列出段落1"/>
    <w:basedOn w:val="1"/>
    <w:qFormat/>
    <w:uiPriority w:val="0"/>
    <w:pPr>
      <w:ind w:firstLine="420" w:firstLineChars="200"/>
    </w:pPr>
    <w:rPr>
      <w:rFonts w:ascii="Times New Roman" w:hAnsi="Times New Roman" w:eastAsia="宋体" w:cs="Times New Roman"/>
    </w:rPr>
  </w:style>
  <w:style w:type="paragraph" w:customStyle="1" w:styleId="85">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6">
    <w:name w:val="无间隔1"/>
    <w:basedOn w:val="1"/>
    <w:qFormat/>
    <w:uiPriority w:val="0"/>
    <w:pPr>
      <w:spacing w:line="400" w:lineRule="exact"/>
    </w:pPr>
    <w:rPr>
      <w:rFonts w:eastAsia="宋体"/>
      <w:sz w:val="24"/>
    </w:rPr>
  </w:style>
  <w:style w:type="paragraph" w:customStyle="1" w:styleId="87">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8">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9">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90">
    <w:name w:val="pa-62"/>
    <w:basedOn w:val="1"/>
    <w:qFormat/>
    <w:uiPriority w:val="0"/>
    <w:pPr>
      <w:widowControl/>
      <w:spacing w:line="240" w:lineRule="atLeast"/>
    </w:pPr>
    <w:rPr>
      <w:rFonts w:ascii="宋体" w:hAnsi="宋体" w:cs="宋体"/>
      <w:kern w:val="0"/>
      <w:sz w:val="24"/>
    </w:rPr>
  </w:style>
  <w:style w:type="paragraph" w:customStyle="1" w:styleId="91">
    <w:name w:val="_Style 80"/>
    <w:qFormat/>
    <w:uiPriority w:val="0"/>
    <w:rPr>
      <w:rFonts w:ascii="Times New Roman" w:hAnsi="Times New Roman" w:eastAsia="宋体" w:cs="Times New Roman"/>
      <w:kern w:val="2"/>
      <w:sz w:val="21"/>
      <w:lang w:val="en-US" w:eastAsia="zh-CN" w:bidi="ar-SA"/>
    </w:rPr>
  </w:style>
  <w:style w:type="paragraph" w:customStyle="1" w:styleId="92">
    <w:name w:val="p0"/>
    <w:basedOn w:val="1"/>
    <w:qFormat/>
    <w:uiPriority w:val="0"/>
    <w:pPr>
      <w:widowControl/>
    </w:pPr>
    <w:rPr>
      <w:kern w:val="0"/>
      <w:szCs w:val="21"/>
    </w:rPr>
  </w:style>
  <w:style w:type="paragraph" w:customStyle="1" w:styleId="93">
    <w:name w:val="彩色列表1"/>
    <w:basedOn w:val="1"/>
    <w:qFormat/>
    <w:uiPriority w:val="0"/>
    <w:pPr>
      <w:jc w:val="left"/>
    </w:pPr>
    <w:rPr>
      <w:rFonts w:ascii="Calibri" w:hAnsi="Calibri" w:eastAsia="宋体" w:cs="Times New Roman"/>
      <w:kern w:val="0"/>
      <w:sz w:val="22"/>
      <w:szCs w:val="22"/>
      <w:lang w:eastAsia="en-US"/>
    </w:rPr>
  </w:style>
  <w:style w:type="paragraph" w:customStyle="1" w:styleId="94">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5">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6">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7">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8">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0">
    <w:name w:val="pa-56"/>
    <w:basedOn w:val="1"/>
    <w:qFormat/>
    <w:uiPriority w:val="0"/>
    <w:pPr>
      <w:widowControl/>
      <w:spacing w:line="240" w:lineRule="atLeast"/>
    </w:pPr>
    <w:rPr>
      <w:rFonts w:ascii="宋体" w:hAnsi="宋体" w:cs="宋体"/>
      <w:kern w:val="0"/>
      <w:sz w:val="24"/>
    </w:rPr>
  </w:style>
  <w:style w:type="paragraph" w:customStyle="1" w:styleId="101">
    <w:name w:val=" Char Char Char"/>
    <w:basedOn w:val="1"/>
    <w:qFormat/>
    <w:uiPriority w:val="0"/>
    <w:rPr>
      <w:rFonts w:ascii="Tahoma" w:hAnsi="Tahoma"/>
      <w:sz w:val="24"/>
      <w:szCs w:val="20"/>
    </w:rPr>
  </w:style>
  <w:style w:type="paragraph" w:customStyle="1" w:styleId="102">
    <w:name w:val="pa-4"/>
    <w:basedOn w:val="1"/>
    <w:qFormat/>
    <w:uiPriority w:val="0"/>
    <w:pPr>
      <w:widowControl/>
      <w:spacing w:line="360" w:lineRule="atLeast"/>
      <w:ind w:firstLine="960"/>
    </w:pPr>
    <w:rPr>
      <w:rFonts w:ascii="宋体" w:hAnsi="宋体" w:cs="宋体"/>
      <w:kern w:val="0"/>
      <w:sz w:val="24"/>
    </w:rPr>
  </w:style>
  <w:style w:type="paragraph" w:customStyle="1" w:styleId="103">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4">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5">
    <w:name w:val="_Style 2"/>
    <w:basedOn w:val="1"/>
    <w:qFormat/>
    <w:uiPriority w:val="0"/>
    <w:pPr>
      <w:ind w:firstLine="420" w:firstLineChars="200"/>
    </w:pPr>
    <w:rPr>
      <w:kern w:val="0"/>
      <w:sz w:val="20"/>
      <w:szCs w:val="24"/>
    </w:rPr>
  </w:style>
  <w:style w:type="paragraph" w:customStyle="1" w:styleId="106">
    <w:name w:val="彩色底纹 - 强调文字颜色 61"/>
    <w:basedOn w:val="5"/>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7">
    <w:name w:val="样式2"/>
    <w:basedOn w:val="6"/>
    <w:qFormat/>
    <w:uiPriority w:val="0"/>
    <w:pPr>
      <w:spacing w:line="413" w:lineRule="auto"/>
      <w:jc w:val="left"/>
    </w:pPr>
    <w:rPr>
      <w:rFonts w:ascii="华文中宋" w:hAnsi="华文中宋" w:eastAsia="宋体"/>
      <w:bCs w:val="0"/>
      <w:color w:val="000000"/>
      <w:szCs w:val="20"/>
    </w:rPr>
  </w:style>
  <w:style w:type="paragraph" w:customStyle="1" w:styleId="108">
    <w:name w:val="pa-57"/>
    <w:basedOn w:val="1"/>
    <w:qFormat/>
    <w:uiPriority w:val="0"/>
    <w:pPr>
      <w:widowControl/>
      <w:spacing w:line="240" w:lineRule="atLeast"/>
      <w:ind w:firstLine="480"/>
    </w:pPr>
    <w:rPr>
      <w:rFonts w:ascii="宋体" w:hAnsi="宋体" w:cs="宋体"/>
      <w:kern w:val="0"/>
      <w:sz w:val="24"/>
    </w:rPr>
  </w:style>
  <w:style w:type="paragraph" w:customStyle="1" w:styleId="109">
    <w:name w:val="Table Paragraph"/>
    <w:basedOn w:val="1"/>
    <w:qFormat/>
    <w:uiPriority w:val="0"/>
    <w:pPr>
      <w:jc w:val="left"/>
    </w:pPr>
    <w:rPr>
      <w:rFonts w:ascii="Calibri" w:hAnsi="Calibri" w:eastAsia="宋体" w:cs="Times New Roman"/>
      <w:kern w:val="0"/>
      <w:sz w:val="22"/>
      <w:szCs w:val="22"/>
      <w:lang w:eastAsia="en-US"/>
    </w:rPr>
  </w:style>
  <w:style w:type="paragraph" w:styleId="110">
    <w:name w:val="List Paragraph"/>
    <w:basedOn w:val="1"/>
    <w:qFormat/>
    <w:uiPriority w:val="34"/>
    <w:pPr>
      <w:ind w:firstLine="420" w:firstLineChars="200"/>
    </w:pPr>
    <w:rPr>
      <w:rFonts w:ascii="Calibri" w:hAnsi="Calibri"/>
      <w:szCs w:val="22"/>
    </w:rPr>
  </w:style>
  <w:style w:type="paragraph" w:customStyle="1" w:styleId="111">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2">
    <w:name w:val="pa-59"/>
    <w:basedOn w:val="1"/>
    <w:qFormat/>
    <w:uiPriority w:val="0"/>
    <w:pPr>
      <w:widowControl/>
      <w:spacing w:line="240" w:lineRule="atLeast"/>
      <w:ind w:firstLine="640"/>
    </w:pPr>
    <w:rPr>
      <w:rFonts w:ascii="宋体" w:hAnsi="宋体" w:cs="宋体"/>
      <w:kern w:val="0"/>
      <w:sz w:val="24"/>
    </w:rPr>
  </w:style>
  <w:style w:type="paragraph" w:customStyle="1" w:styleId="113">
    <w:name w:val="WPSOffice手动目录 1"/>
    <w:qFormat/>
    <w:uiPriority w:val="0"/>
    <w:rPr>
      <w:rFonts w:ascii="Times New Roman" w:hAnsi="Times New Roman" w:eastAsia="宋体" w:cs="Times New Roman"/>
      <w:lang w:val="en-US" w:eastAsia="zh-CN" w:bidi="ar-SA"/>
    </w:rPr>
  </w:style>
  <w:style w:type="paragraph" w:customStyle="1" w:styleId="114">
    <w:name w:val="Heading 2"/>
    <w:basedOn w:val="1"/>
    <w:qFormat/>
    <w:uiPriority w:val="0"/>
    <w:pPr>
      <w:ind w:left="117"/>
      <w:outlineLvl w:val="2"/>
    </w:pPr>
    <w:rPr>
      <w:rFonts w:ascii="黑体" w:hAnsi="黑体" w:eastAsia="黑体"/>
      <w:b/>
      <w:bCs/>
      <w:sz w:val="32"/>
      <w:szCs w:val="32"/>
    </w:rPr>
  </w:style>
  <w:style w:type="paragraph" w:customStyle="1" w:styleId="115">
    <w:name w:val="List Paragraph1"/>
    <w:basedOn w:val="1"/>
    <w:qFormat/>
    <w:uiPriority w:val="0"/>
  </w:style>
  <w:style w:type="paragraph" w:customStyle="1" w:styleId="116">
    <w:name w:val="Char Char Char Char"/>
    <w:basedOn w:val="1"/>
    <w:qFormat/>
    <w:uiPriority w:val="0"/>
    <w:rPr>
      <w:rFonts w:ascii="Tahoma" w:hAnsi="Tahoma"/>
      <w:sz w:val="24"/>
      <w:szCs w:val="20"/>
    </w:rPr>
  </w:style>
  <w:style w:type="paragraph" w:customStyle="1" w:styleId="117">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8">
    <w:name w:val="pa-7"/>
    <w:basedOn w:val="1"/>
    <w:qFormat/>
    <w:uiPriority w:val="0"/>
    <w:pPr>
      <w:widowControl/>
      <w:spacing w:line="360" w:lineRule="atLeast"/>
      <w:ind w:firstLine="800"/>
    </w:pPr>
    <w:rPr>
      <w:rFonts w:ascii="宋体" w:hAnsi="宋体" w:cs="宋体"/>
      <w:kern w:val="0"/>
      <w:sz w:val="24"/>
    </w:rPr>
  </w:style>
  <w:style w:type="paragraph" w:customStyle="1" w:styleId="119">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20">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21">
    <w:name w:val="正文_0"/>
    <w:qFormat/>
    <w:uiPriority w:val="0"/>
    <w:rPr>
      <w:rFonts w:ascii="Times New Roman" w:hAnsi="Times New Roman" w:eastAsia="宋体" w:cs="Times New Roman"/>
      <w:sz w:val="21"/>
      <w:lang w:val="en-US" w:eastAsia="zh-CN" w:bidi="ar-SA"/>
    </w:rPr>
  </w:style>
  <w:style w:type="paragraph" w:customStyle="1" w:styleId="122">
    <w:name w:val="0"/>
    <w:basedOn w:val="1"/>
    <w:qFormat/>
    <w:uiPriority w:val="0"/>
    <w:pPr>
      <w:widowControl/>
      <w:snapToGrid w:val="0"/>
      <w:spacing w:line="408" w:lineRule="auto"/>
      <w:ind w:left="1"/>
      <w:textAlignment w:val="bottom"/>
    </w:pPr>
    <w:rPr>
      <w:color w:val="000000"/>
      <w:kern w:val="0"/>
      <w:szCs w:val="21"/>
    </w:rPr>
  </w:style>
  <w:style w:type="paragraph" w:customStyle="1" w:styleId="123">
    <w:name w:val="pa-55"/>
    <w:basedOn w:val="1"/>
    <w:qFormat/>
    <w:uiPriority w:val="0"/>
    <w:pPr>
      <w:widowControl/>
      <w:spacing w:line="240" w:lineRule="atLeast"/>
      <w:ind w:firstLine="420"/>
    </w:pPr>
    <w:rPr>
      <w:rFonts w:ascii="宋体" w:hAnsi="宋体" w:cs="宋体"/>
      <w:kern w:val="0"/>
      <w:sz w:val="24"/>
    </w:rPr>
  </w:style>
  <w:style w:type="paragraph" w:customStyle="1" w:styleId="124">
    <w:name w:val="pa-1"/>
    <w:basedOn w:val="1"/>
    <w:qFormat/>
    <w:uiPriority w:val="0"/>
    <w:pPr>
      <w:widowControl/>
      <w:spacing w:line="360" w:lineRule="atLeast"/>
      <w:ind w:firstLine="640"/>
    </w:pPr>
    <w:rPr>
      <w:rFonts w:ascii="宋体" w:hAnsi="宋体" w:cs="宋体"/>
      <w:kern w:val="0"/>
      <w:sz w:val="24"/>
    </w:rPr>
  </w:style>
  <w:style w:type="table" w:customStyle="1" w:styleId="125">
    <w:name w:val="Table Normal"/>
    <w:semiHidden/>
    <w:unhideWhenUsed/>
    <w:qFormat/>
    <w:uiPriority w:val="0"/>
    <w:tblPr>
      <w:tblCellMar>
        <w:top w:w="0" w:type="dxa"/>
        <w:left w:w="0" w:type="dxa"/>
        <w:bottom w:w="0" w:type="dxa"/>
        <w:right w:w="0" w:type="dxa"/>
      </w:tblCellMar>
    </w:tblPr>
  </w:style>
  <w:style w:type="paragraph" w:customStyle="1" w:styleId="126">
    <w:name w:val="Basistekst Batenburg"/>
    <w:basedOn w:val="127"/>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7">
    <w:name w:val="Zsysbasis Batenburg"/>
    <w:next w:val="126"/>
    <w:qFormat/>
    <w:uiPriority w:val="0"/>
    <w:pPr>
      <w:spacing w:line="300" w:lineRule="atLeast"/>
    </w:pPr>
    <w:rPr>
      <w:rFonts w:ascii="Calibri" w:hAnsi="Calibri" w:eastAsia="宋体" w:cs="Times New Roman"/>
      <w:sz w:val="22"/>
      <w:szCs w:val="18"/>
      <w:lang w:val="en-US" w:eastAsia="zh-CN" w:bidi="ar-SA"/>
    </w:rPr>
  </w:style>
  <w:style w:type="character" w:customStyle="1" w:styleId="128">
    <w:name w:val="font21"/>
    <w:basedOn w:val="41"/>
    <w:qFormat/>
    <w:uiPriority w:val="0"/>
    <w:rPr>
      <w:rFonts w:hint="eastAsia" w:ascii="宋体" w:hAnsi="宋体" w:eastAsia="宋体" w:cs="宋体"/>
      <w:color w:val="000000"/>
      <w:sz w:val="20"/>
      <w:szCs w:val="20"/>
      <w:u w:val="none"/>
    </w:rPr>
  </w:style>
  <w:style w:type="paragraph" w:customStyle="1" w:styleId="129">
    <w:name w:val="正文 A"/>
    <w:next w:val="16"/>
    <w:qFormat/>
    <w:uiPriority w:val="0"/>
    <w:pPr>
      <w:widowControl w:val="0"/>
      <w:jc w:val="both"/>
    </w:pPr>
    <w:rPr>
      <w:rFonts w:ascii="Times New Roman" w:hAnsi="Arial Unicode MS"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29039</Words>
  <Characters>31672</Characters>
  <Lines>235</Lines>
  <Paragraphs>66</Paragraphs>
  <TotalTime>1</TotalTime>
  <ScaleCrop>false</ScaleCrop>
  <LinksUpToDate>false</LinksUpToDate>
  <CharactersWithSpaces>34462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Administrator</cp:lastModifiedBy>
  <cp:lastPrinted>2023-07-26T08:53:00Z</cp:lastPrinted>
  <dcterms:modified xsi:type="dcterms:W3CDTF">2023-08-31T10:59:28Z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F392F8DBC35F48188F56E67CC9CF3754_13</vt:lpwstr>
  </property>
</Properties>
</file>