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jc w:val="center"/>
        <w:outlineLvl w:val="0"/>
        <w:rPr>
          <w:rFonts w:hint="eastAsia" w:ascii="黑体" w:hAnsi="黑体" w:eastAsia="黑体" w:cs="黑体"/>
          <w:b/>
          <w:sz w:val="40"/>
          <w:szCs w:val="40"/>
        </w:rPr>
      </w:pPr>
      <w:bookmarkStart w:id="0" w:name="_Toc115021824"/>
      <w:bookmarkStart w:id="1" w:name="_Toc29289"/>
      <w:r>
        <w:rPr>
          <w:rFonts w:hint="eastAsia" w:ascii="宋体" w:hAnsi="宋体"/>
          <w:b/>
          <w:bCs/>
          <w:sz w:val="40"/>
          <w:szCs w:val="40"/>
          <w:lang w:val="en-US" w:eastAsia="zh-CN"/>
        </w:rPr>
        <w:t>武陟县财政局关于武陟县财政系统广域网及机房改造项目</w:t>
      </w: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eastAsia" w:ascii="宋体" w:hAnsi="宋体" w:eastAsia="宋体"/>
          <w:szCs w:val="21"/>
          <w:lang w:eastAsia="zh-CN"/>
        </w:rPr>
      </w:pPr>
      <w:r>
        <w:rPr>
          <w:rFonts w:hint="eastAsia" w:ascii="宋体" w:hAnsi="宋体" w:cs="宋体"/>
          <w:sz w:val="28"/>
          <w:szCs w:val="28"/>
        </w:rPr>
        <w:t>项目编号：2023-CS-053</w:t>
      </w:r>
      <w:r>
        <w:rPr>
          <w:rFonts w:hint="eastAsia" w:ascii="宋体" w:hAnsi="宋体" w:cs="宋体"/>
          <w:sz w:val="28"/>
          <w:szCs w:val="28"/>
          <w:lang w:eastAsia="zh-CN"/>
        </w:rPr>
        <w:t>号</w:t>
      </w:r>
    </w:p>
    <w:p>
      <w:pPr>
        <w:pStyle w:val="51"/>
        <w:rPr>
          <w:rFonts w:hint="eastAsia"/>
          <w:lang w:eastAsia="zh-CN"/>
        </w:rPr>
      </w:pPr>
    </w:p>
    <w:p>
      <w:pPr>
        <w:pStyle w:val="36"/>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bookmarkStart w:id="192" w:name="_GoBack"/>
      <w:r>
        <w:rPr>
          <w:rFonts w:hint="eastAsia" w:ascii="宋体" w:hAnsi="宋体" w:cs="宋体"/>
          <w:b/>
          <w:bCs/>
          <w:sz w:val="32"/>
        </w:rPr>
        <w:t>采   购   人：</w:t>
      </w:r>
      <w:r>
        <w:rPr>
          <w:rFonts w:hint="eastAsia" w:ascii="宋体" w:hAnsi="宋体" w:eastAsia="宋体" w:cs="宋体"/>
          <w:b/>
          <w:bCs/>
          <w:sz w:val="32"/>
          <w:lang w:val="en-US" w:eastAsia="zh-CN"/>
        </w:rPr>
        <w:t>武陟县财政局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政府</w:t>
      </w:r>
      <w:r>
        <w:rPr>
          <w:rFonts w:hint="eastAsia" w:ascii="宋体" w:hAnsi="宋体" w:cs="宋体"/>
          <w:b/>
          <w:bCs/>
          <w:sz w:val="32"/>
        </w:rPr>
        <w:t>采购</w:t>
      </w:r>
      <w:r>
        <w:rPr>
          <w:rFonts w:hint="eastAsia" w:ascii="宋体" w:hAnsi="宋体" w:cs="宋体"/>
          <w:b/>
          <w:bCs/>
          <w:sz w:val="32"/>
          <w:lang w:eastAsia="zh-CN"/>
        </w:rPr>
        <w:t>集中</w:t>
      </w:r>
      <w:r>
        <w:rPr>
          <w:rFonts w:hint="eastAsia" w:ascii="宋体" w:hAnsi="宋体" w:cs="宋体"/>
          <w:b/>
          <w:bCs/>
          <w:sz w:val="32"/>
        </w:rPr>
        <w:t>机构：</w:t>
      </w:r>
      <w:r>
        <w:rPr>
          <w:rFonts w:hint="eastAsia" w:ascii="宋体" w:hAnsi="宋体" w:cs="宋体"/>
          <w:b/>
          <w:bCs/>
          <w:sz w:val="32"/>
          <w:lang w:eastAsia="zh-CN"/>
        </w:rPr>
        <w:t>武陟县公共资源交易中心</w:t>
      </w:r>
    </w:p>
    <w:bookmarkEnd w:id="192"/>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_Toc31054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_Toc31054 \h </w:instrText>
      </w:r>
      <w:r>
        <w:fldChar w:fldCharType="separate"/>
      </w:r>
      <w:r>
        <w:t>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_Toc1733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_Toc1733 \h </w:instrText>
      </w:r>
      <w:r>
        <w:fldChar w:fldCharType="separate"/>
      </w:r>
      <w:r>
        <w:t>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_Toc29269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_Toc29269 \h </w:instrText>
      </w:r>
      <w:r>
        <w:fldChar w:fldCharType="separate"/>
      </w:r>
      <w:r>
        <w:t>20</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_Toc7994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_Toc7994 \h </w:instrText>
      </w:r>
      <w:r>
        <w:fldChar w:fldCharType="separate"/>
      </w:r>
      <w:r>
        <w:t>23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_Toc1920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_Toc1920 \h </w:instrText>
      </w:r>
      <w:r>
        <w:fldChar w:fldCharType="separate"/>
      </w:r>
      <w:r>
        <w:t>29</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_Toc2238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_Toc2238 \h </w:instrText>
      </w:r>
      <w:r>
        <w:fldChar w:fldCharType="separate"/>
      </w:r>
      <w:r>
        <w:t>39</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_Toc513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_Toc513 \h </w:instrText>
      </w:r>
      <w:r>
        <w:fldChar w:fldCharType="separate"/>
      </w:r>
      <w:r>
        <w:t>42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_Toc23986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_Toc23986 \h </w:instrText>
      </w:r>
      <w:r>
        <w:fldChar w:fldCharType="separate"/>
      </w:r>
      <w:r>
        <w:t>43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_Toc30947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_Toc30947 \h </w:instrText>
      </w:r>
      <w:r>
        <w:fldChar w:fldCharType="separate"/>
      </w:r>
      <w:r>
        <w:t>44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_Toc20085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_Toc20085 \h </w:instrText>
      </w:r>
      <w:r>
        <w:fldChar w:fldCharType="separate"/>
      </w:r>
      <w:r>
        <w:t>45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_Toc641 </w:instrText>
      </w:r>
      <w:r>
        <w:rPr>
          <w:rFonts w:hint="eastAsia" w:ascii="宋体" w:hAnsi="宋体" w:cs="宋体"/>
          <w:bCs/>
          <w:caps/>
          <w:szCs w:val="24"/>
          <w:lang w:val="zh-CN"/>
        </w:rPr>
        <w:fldChar w:fldCharType="separate"/>
      </w:r>
      <w:r>
        <w:rPr>
          <w:rFonts w:hint="eastAsia" w:ascii="宋体" w:hAnsi="宋体" w:cs="宋体"/>
          <w:szCs w:val="32"/>
        </w:rPr>
        <w:t>5. 报价明细表</w:t>
      </w:r>
      <w:r>
        <w:tab/>
      </w:r>
      <w:r>
        <w:fldChar w:fldCharType="begin"/>
      </w:r>
      <w:r>
        <w:instrText xml:space="preserve"> PAGEREF _Toc641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_Toc2439 </w:instrText>
      </w:r>
      <w:r>
        <w:rPr>
          <w:rFonts w:hint="eastAsia" w:ascii="宋体" w:hAnsi="宋体" w:cs="宋体"/>
          <w:bCs/>
          <w:caps/>
          <w:szCs w:val="24"/>
          <w:lang w:val="zh-CN"/>
        </w:rPr>
        <w:fldChar w:fldCharType="separate"/>
      </w:r>
      <w:r>
        <w:rPr>
          <w:rFonts w:hint="eastAsia" w:ascii="宋体" w:hAnsi="宋体" w:cs="宋体"/>
          <w:szCs w:val="32"/>
        </w:rPr>
        <w:t>6. 技术响应表</w:t>
      </w:r>
      <w:r>
        <w:tab/>
      </w:r>
      <w:r>
        <w:fldChar w:fldCharType="begin"/>
      </w:r>
      <w:r>
        <w:instrText xml:space="preserve"> PAGEREF _Toc2439 \h </w:instrText>
      </w:r>
      <w:r>
        <w:fldChar w:fldCharType="separate"/>
      </w:r>
      <w:r>
        <w:t>47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_Toc1701 </w:instrText>
      </w:r>
      <w:r>
        <w:rPr>
          <w:rFonts w:hint="eastAsia" w:ascii="宋体" w:hAnsi="宋体" w:cs="宋体"/>
          <w:bCs/>
          <w:caps/>
          <w:szCs w:val="24"/>
          <w:lang w:val="zh-CN"/>
        </w:rPr>
        <w:fldChar w:fldCharType="separate"/>
      </w:r>
      <w:r>
        <w:rPr>
          <w:rFonts w:hint="eastAsia" w:ascii="宋体" w:hAnsi="宋体" w:cs="宋体"/>
          <w:szCs w:val="32"/>
        </w:rPr>
        <w:t>7. 商务响应表</w:t>
      </w:r>
      <w:r>
        <w:tab/>
      </w:r>
      <w:r>
        <w:fldChar w:fldCharType="begin"/>
      </w:r>
      <w:r>
        <w:instrText xml:space="preserve"> PAGEREF _Toc1701 \h </w:instrText>
      </w:r>
      <w:r>
        <w:fldChar w:fldCharType="separate"/>
      </w:r>
      <w:r>
        <w:t>48</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_Toc9646 </w:instrText>
      </w:r>
      <w:r>
        <w:rPr>
          <w:rFonts w:hint="eastAsia" w:ascii="宋体" w:hAnsi="宋体" w:cs="宋体"/>
          <w:bCs/>
          <w:caps/>
          <w:szCs w:val="24"/>
          <w:lang w:val="zh-CN"/>
        </w:rPr>
        <w:fldChar w:fldCharType="separate"/>
      </w:r>
      <w:r>
        <w:rPr>
          <w:rFonts w:hint="eastAsia" w:ascii="宋体" w:hAnsi="宋体" w:cs="宋体"/>
          <w:szCs w:val="32"/>
        </w:rPr>
        <w:t>8. 资格证明材料</w:t>
      </w:r>
      <w:r>
        <w:tab/>
      </w:r>
      <w:r>
        <w:fldChar w:fldCharType="begin"/>
      </w:r>
      <w:r>
        <w:instrText xml:space="preserve"> PAGEREF _Toc9646 \h </w:instrText>
      </w:r>
      <w:r>
        <w:fldChar w:fldCharType="separate"/>
      </w:r>
      <w:r>
        <w:t>49</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_Toc24212 </w:instrText>
      </w:r>
      <w:r>
        <w:rPr>
          <w:rFonts w:hint="eastAsia" w:ascii="宋体" w:hAnsi="宋体" w:cs="宋体"/>
          <w:bCs/>
          <w:caps/>
          <w:szCs w:val="24"/>
          <w:lang w:val="zh-CN"/>
        </w:rPr>
        <w:fldChar w:fldCharType="separate"/>
      </w:r>
      <w:r>
        <w:rPr>
          <w:rFonts w:hint="eastAsia" w:ascii="宋体" w:hAnsi="宋体" w:cs="宋体"/>
          <w:szCs w:val="32"/>
        </w:rPr>
        <w:t>9. 法定代表人身份证明或授权委托书</w:t>
      </w:r>
      <w:r>
        <w:tab/>
      </w:r>
      <w:r>
        <w:fldChar w:fldCharType="begin"/>
      </w:r>
      <w:r>
        <w:instrText xml:space="preserve"> PAGEREF _Toc24212 \h </w:instrText>
      </w:r>
      <w:r>
        <w:fldChar w:fldCharType="separate"/>
      </w:r>
      <w:r>
        <w:t>52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_Toc9804 </w:instrText>
      </w:r>
      <w:r>
        <w:rPr>
          <w:rFonts w:hint="eastAsia" w:ascii="宋体" w:hAnsi="宋体" w:cs="宋体"/>
          <w:bCs/>
          <w:caps/>
          <w:szCs w:val="24"/>
          <w:lang w:val="zh-CN"/>
        </w:rPr>
        <w:fldChar w:fldCharType="separate"/>
      </w:r>
      <w:r>
        <w:rPr>
          <w:rFonts w:hint="eastAsia"/>
          <w:kern w:val="44"/>
          <w:szCs w:val="32"/>
        </w:rPr>
        <w:t>10. 中小企业声明函（货物）</w:t>
      </w:r>
      <w:r>
        <w:tab/>
      </w:r>
      <w:r>
        <w:fldChar w:fldCharType="begin"/>
      </w:r>
      <w:r>
        <w:instrText xml:space="preserve"> PAGEREF _Toc9804 \h </w:instrText>
      </w:r>
      <w:r>
        <w:fldChar w:fldCharType="separate"/>
      </w:r>
      <w:r>
        <w:t>54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_Toc6810 </w:instrText>
      </w:r>
      <w:r>
        <w:rPr>
          <w:rFonts w:hint="eastAsia" w:ascii="宋体" w:hAnsi="宋体" w:cs="宋体"/>
          <w:bCs/>
          <w:caps/>
          <w:szCs w:val="24"/>
          <w:lang w:val="zh-CN"/>
        </w:rPr>
        <w:fldChar w:fldCharType="separate"/>
      </w:r>
      <w:r>
        <w:rPr>
          <w:rFonts w:hint="eastAsia" w:ascii="宋体" w:hAnsi="宋体" w:cs="宋体"/>
          <w:szCs w:val="32"/>
        </w:rPr>
        <w:t>残疾人福利性单位声明函</w:t>
      </w:r>
      <w:r>
        <w:tab/>
      </w:r>
      <w:r>
        <w:fldChar w:fldCharType="begin"/>
      </w:r>
      <w:r>
        <w:instrText xml:space="preserve"> PAGEREF _Toc6810 \h </w:instrText>
      </w:r>
      <w:r>
        <w:fldChar w:fldCharType="separate"/>
      </w:r>
      <w:r>
        <w:t>55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_Toc13119 </w:instrText>
      </w:r>
      <w:r>
        <w:rPr>
          <w:rFonts w:hint="eastAsia" w:ascii="宋体" w:hAnsi="宋体" w:cs="宋体"/>
          <w:bCs/>
          <w:caps/>
          <w:szCs w:val="24"/>
          <w:lang w:val="zh-CN"/>
        </w:rPr>
        <w:fldChar w:fldCharType="separate"/>
      </w:r>
      <w:r>
        <w:rPr>
          <w:rFonts w:hint="eastAsia" w:ascii="宋体" w:hAnsi="宋体" w:cs="宋体"/>
          <w:szCs w:val="32"/>
        </w:rPr>
        <w:t>11. 反商业贿赂承诺书</w:t>
      </w:r>
      <w:r>
        <w:tab/>
      </w:r>
      <w:r>
        <w:fldChar w:fldCharType="begin"/>
      </w:r>
      <w:r>
        <w:instrText xml:space="preserve"> PAGEREF _Toc13119 \h </w:instrText>
      </w:r>
      <w:r>
        <w:fldChar w:fldCharType="separate"/>
      </w:r>
      <w:r>
        <w:t>56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_Toc16593 </w:instrText>
      </w:r>
      <w:r>
        <w:rPr>
          <w:rFonts w:hint="eastAsia" w:ascii="宋体" w:hAnsi="宋体" w:cs="宋体"/>
          <w:bCs/>
          <w:caps/>
          <w:szCs w:val="24"/>
          <w:lang w:val="zh-CN"/>
        </w:rPr>
        <w:fldChar w:fldCharType="separate"/>
      </w:r>
      <w:r>
        <w:rPr>
          <w:rFonts w:hint="eastAsia" w:ascii="宋体" w:hAnsi="宋体" w:cs="宋体"/>
          <w:szCs w:val="32"/>
        </w:rPr>
        <w:t>12. 竞争性磋商文件要求的以及供应商认为应该提供的其他材料</w:t>
      </w:r>
      <w:r>
        <w:tab/>
      </w:r>
      <w:r>
        <w:fldChar w:fldCharType="begin"/>
      </w:r>
      <w:r>
        <w:instrText xml:space="preserve"> PAGEREF _Toc16593 \h </w:instrText>
      </w:r>
      <w:r>
        <w:fldChar w:fldCharType="separate"/>
      </w:r>
      <w:r>
        <w:t>57</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4"/>
        <w:jc w:val="center"/>
        <w:rPr>
          <w:rFonts w:hint="eastAsia" w:ascii="宋体" w:hAnsi="宋体" w:cs="宋体"/>
          <w:b/>
          <w:color w:val="FF0000"/>
          <w:sz w:val="28"/>
          <w:szCs w:val="28"/>
        </w:rPr>
      </w:pPr>
    </w:p>
    <w:p>
      <w:pPr>
        <w:pStyle w:val="84"/>
        <w:rPr>
          <w:rFonts w:hint="eastAsia" w:ascii="宋体" w:hAnsi="宋体" w:cs="宋体"/>
          <w:color w:val="FF0000"/>
        </w:rPr>
      </w:pPr>
      <w:r>
        <w:rPr>
          <w:rFonts w:hint="eastAsia" w:ascii="宋体" w:hAnsi="宋体" w:cs="宋体"/>
          <w:color w:val="FF0000"/>
        </w:rPr>
        <w:t> </w:t>
      </w:r>
    </w:p>
    <w:p>
      <w:pPr>
        <w:pStyle w:val="84"/>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4"/>
        <w:numPr>
          <w:ilvl w:val="0"/>
          <w:numId w:val="1"/>
        </w:numPr>
        <w:spacing w:before="0" w:after="0" w:line="360" w:lineRule="auto"/>
        <w:ind w:firstLine="0"/>
        <w:rPr>
          <w:rFonts w:hint="eastAsia" w:ascii="宋体" w:hAnsi="宋体" w:cs="宋体"/>
          <w:bCs w:val="0"/>
        </w:rPr>
      </w:pPr>
      <w:bookmarkStart w:id="2" w:name="_Toc31054"/>
      <w:bookmarkStart w:id="3" w:name="_Toc30568"/>
      <w:r>
        <w:rPr>
          <w:rFonts w:hint="eastAsia" w:ascii="宋体" w:hAnsi="宋体" w:cs="宋体"/>
          <w:bCs w:val="0"/>
        </w:rPr>
        <w:t>竞争性磋商公告</w:t>
      </w:r>
      <w:bookmarkEnd w:id="2"/>
      <w:bookmarkEnd w:id="3"/>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r>
        <w:rPr>
          <w:rFonts w:hint="eastAsia" w:ascii="宋体" w:hAnsi="宋体" w:cs="宋体"/>
          <w:b/>
          <w:bCs/>
          <w:sz w:val="28"/>
          <w:szCs w:val="28"/>
          <w:lang w:val="en-US" w:eastAsia="zh-CN"/>
        </w:rPr>
        <w:t>武陟县财政局关于武陟县财政系统广域网及机房改造项目</w:t>
      </w:r>
    </w:p>
    <w:p>
      <w:pPr>
        <w:spacing w:line="400" w:lineRule="exact"/>
        <w:jc w:val="center"/>
        <w:rPr>
          <w:rFonts w:hint="eastAsia" w:ascii="宋体" w:hAnsi="宋体" w:cs="宋体"/>
          <w:b/>
          <w:bCs/>
          <w:sz w:val="28"/>
          <w:szCs w:val="28"/>
        </w:rPr>
      </w:pPr>
      <w:r>
        <w:rPr>
          <w:rFonts w:hint="eastAsia" w:ascii="宋体" w:hAnsi="宋体" w:cs="宋体"/>
          <w:b/>
          <w:bCs/>
          <w:sz w:val="28"/>
          <w:szCs w:val="28"/>
        </w:rPr>
        <w:t>竞争性磋商公告</w:t>
      </w:r>
      <w:bookmarkStart w:id="4" w:name="_Toc15614"/>
      <w:bookmarkStart w:id="5" w:name="_Toc373230021"/>
      <w:bookmarkStart w:id="6" w:name="_Toc408816341"/>
      <w:bookmarkStart w:id="7" w:name="_Toc477423242"/>
      <w:bookmarkStart w:id="8" w:name="_Toc374512408"/>
      <w:bookmarkStart w:id="9" w:name="_Toc22562"/>
    </w:p>
    <w:p>
      <w:pPr>
        <w:pStyle w:val="36"/>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武陟县财政局关于武陟县财政系统广域网及机房改造项目的潜在</w:t>
      </w:r>
      <w:r>
        <w:rPr>
          <w:rFonts w:hint="eastAsia" w:ascii="宋体" w:hAnsi="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lang w:val="en-US" w:eastAsia="zh-CN"/>
          <w14:textFill>
            <w14:solidFill>
              <w14:schemeClr w14:val="tx1"/>
            </w14:solidFill>
          </w14:textFill>
        </w:rPr>
        <w:t>应在焦作市公共资源交易中心网站获取</w:t>
      </w:r>
      <w:r>
        <w:rPr>
          <w:rFonts w:hint="eastAsia" w:ascii="宋体" w:hAnsi="宋体" w:cs="宋体"/>
          <w:color w:val="000000" w:themeColor="text1"/>
          <w:sz w:val="24"/>
          <w:szCs w:val="24"/>
          <w:lang w:val="en-US" w:eastAsia="zh-CN"/>
          <w14:textFill>
            <w14:solidFill>
              <w14:schemeClr w14:val="tx1"/>
            </w14:solidFill>
          </w14:textFill>
        </w:rPr>
        <w:t>竞争性磋商文件</w:t>
      </w:r>
      <w:r>
        <w:rPr>
          <w:rFonts w:hint="eastAsia" w:ascii="宋体" w:hAnsi="宋体" w:eastAsia="宋体" w:cs="宋体"/>
          <w:color w:val="000000" w:themeColor="text1"/>
          <w:sz w:val="24"/>
          <w:szCs w:val="24"/>
          <w:lang w:val="en-US" w:eastAsia="zh-CN"/>
          <w14:textFill>
            <w14:solidFill>
              <w14:schemeClr w14:val="tx1"/>
            </w14:solidFill>
          </w14:textFill>
        </w:rPr>
        <w:t>，并于</w:t>
      </w:r>
      <w:r>
        <w:rPr>
          <w:rFonts w:hint="eastAsia" w:ascii="宋体" w:hAnsi="宋体" w:cs="宋体"/>
          <w:color w:val="000000" w:themeColor="text1"/>
          <w:sz w:val="24"/>
          <w:szCs w:val="24"/>
          <w:lang w:val="en-US" w:eastAsia="zh-CN"/>
          <w14:textFill>
            <w14:solidFill>
              <w14:schemeClr w14:val="tx1"/>
            </w14:solidFill>
          </w14:textFill>
        </w:rPr>
        <w:t xml:space="preserve">2023 </w:t>
      </w:r>
      <w:r>
        <w:rPr>
          <w:rFonts w:hint="eastAsia" w:ascii="宋体" w:hAnsi="宋体" w:eastAsia="宋体" w:cs="宋体"/>
          <w:color w:val="000000" w:themeColor="text1"/>
          <w:sz w:val="24"/>
          <w:szCs w:val="24"/>
          <w:lang w:val="en-US" w:eastAsia="zh-CN"/>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10</w:t>
      </w:r>
      <w:r>
        <w:rPr>
          <w:rFonts w:hint="eastAsia" w:ascii="宋体" w:hAnsi="宋体" w:eastAsia="宋体" w:cs="宋体"/>
          <w:color w:val="000000" w:themeColor="text1"/>
          <w:sz w:val="24"/>
          <w:szCs w:val="24"/>
          <w:lang w:val="en-US" w:eastAsia="zh-CN"/>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lang w:val="en-US" w:eastAsia="zh-CN"/>
          <w14:textFill>
            <w14:solidFill>
              <w14:schemeClr w14:val="tx1"/>
            </w14:solidFill>
          </w14:textFill>
        </w:rPr>
        <w:t>日09时00分（北京时间）前递交响应文件。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项</w:t>
      </w:r>
      <w:r>
        <w:rPr>
          <w:rFonts w:hint="eastAsia" w:ascii="宋体" w:hAnsi="宋体" w:eastAsia="宋体" w:cs="宋体"/>
          <w:color w:val="000000" w:themeColor="text1"/>
          <w:sz w:val="24"/>
          <w:szCs w:val="24"/>
          <w14:textFill>
            <w14:solidFill>
              <w14:schemeClr w14:val="tx1"/>
            </w14:solidFill>
          </w14:textFill>
        </w:rPr>
        <w:t>目编号：</w:t>
      </w:r>
      <w:r>
        <w:rPr>
          <w:rFonts w:hint="eastAsia" w:ascii="宋体" w:hAnsi="宋体" w:eastAsia="宋体" w:cs="宋体"/>
          <w:color w:val="000000" w:themeColor="text1"/>
          <w:sz w:val="24"/>
          <w:szCs w:val="24"/>
          <w:lang w:eastAsia="zh-CN"/>
          <w14:textFill>
            <w14:solidFill>
              <w14:schemeClr w14:val="tx1"/>
            </w14:solidFill>
          </w14:textFill>
        </w:rPr>
        <w:t>2023-CS-053号</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项目名称：</w:t>
      </w:r>
      <w:r>
        <w:rPr>
          <w:rFonts w:hint="eastAsia" w:ascii="宋体" w:hAnsi="宋体" w:eastAsia="宋体" w:cs="宋体"/>
          <w:color w:val="000000" w:themeColor="text1"/>
          <w:sz w:val="24"/>
          <w:szCs w:val="24"/>
          <w:lang w:val="en-US" w:eastAsia="zh-CN"/>
          <w14:textFill>
            <w14:solidFill>
              <w14:schemeClr w14:val="tx1"/>
            </w14:solidFill>
          </w14:textFill>
        </w:rPr>
        <w:t>武陟县财政局关于武陟县财政系统广域网及机房改造项目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预算金额：</w:t>
      </w:r>
      <w:r>
        <w:rPr>
          <w:rFonts w:hint="eastAsia" w:ascii="宋体" w:hAnsi="宋体" w:cs="宋体"/>
          <w:color w:val="000000" w:themeColor="text1"/>
          <w:sz w:val="24"/>
          <w:szCs w:val="24"/>
          <w:lang w:val="en-US" w:eastAsia="zh-CN"/>
          <w14:textFill>
            <w14:solidFill>
              <w14:schemeClr w14:val="tx1"/>
            </w14:solidFill>
          </w14:textFill>
        </w:rPr>
        <w:t>950000元</w:t>
      </w:r>
    </w:p>
    <w:p>
      <w:pPr>
        <w:pStyle w:val="36"/>
        <w:spacing w:line="360" w:lineRule="auto"/>
        <w:rPr>
          <w:rFonts w:hint="default"/>
          <w:color w:val="000000" w:themeColor="text1"/>
          <w:lang w:val="en-US"/>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最高限价： 950000元</w:t>
      </w:r>
    </w:p>
    <w:tbl>
      <w:tblPr>
        <w:tblStyle w:val="123"/>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638"/>
        <w:gridCol w:w="3207"/>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序号</w:t>
            </w:r>
          </w:p>
        </w:tc>
        <w:tc>
          <w:tcPr>
            <w:tcW w:w="1638"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包</w:t>
            </w:r>
            <w:r>
              <w:rPr>
                <w:rFonts w:hint="eastAsia" w:ascii="宋体" w:hAnsi="宋体" w:eastAsia="宋体" w:cs="宋体"/>
                <w:color w:val="000000" w:themeColor="text1"/>
                <w:spacing w:val="-2"/>
                <w:sz w:val="24"/>
                <w:szCs w:val="24"/>
                <w14:textFill>
                  <w14:solidFill>
                    <w14:schemeClr w14:val="tx1"/>
                  </w14:solidFill>
                </w14:textFill>
              </w:rPr>
              <w:t>号</w:t>
            </w:r>
          </w:p>
        </w:tc>
        <w:tc>
          <w:tcPr>
            <w:tcW w:w="320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包</w:t>
            </w:r>
            <w:r>
              <w:rPr>
                <w:rFonts w:hint="eastAsia" w:ascii="宋体" w:hAnsi="宋体" w:eastAsia="宋体" w:cs="宋体"/>
                <w:color w:val="000000" w:themeColor="text1"/>
                <w:spacing w:val="1"/>
                <w:sz w:val="24"/>
                <w:szCs w:val="24"/>
                <w14:textFill>
                  <w14:solidFill>
                    <w14:schemeClr w14:val="tx1"/>
                  </w14:solidFill>
                </w14:textFill>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4"/>
                <w:sz w:val="24"/>
                <w:szCs w:val="24"/>
                <w14:textFill>
                  <w14:solidFill>
                    <w14:schemeClr w14:val="tx1"/>
                  </w14:solidFill>
                </w14:textFill>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5"/>
                <w:sz w:val="24"/>
                <w:szCs w:val="24"/>
                <w14:textFill>
                  <w14:solidFill>
                    <w14:schemeClr w14:val="tx1"/>
                  </w14:solidFill>
                </w14:textFill>
              </w:rPr>
              <w:t>包最高限</w:t>
            </w:r>
            <w:r>
              <w:rPr>
                <w:rFonts w:hint="eastAsia" w:ascii="宋体" w:hAnsi="宋体" w:eastAsia="宋体" w:cs="宋体"/>
                <w:color w:val="000000" w:themeColor="text1"/>
                <w:spacing w:val="4"/>
                <w:sz w:val="24"/>
                <w:szCs w:val="24"/>
                <w14:textFill>
                  <w14:solidFill>
                    <w14:schemeClr w14:val="tx1"/>
                  </w14:solidFill>
                </w14:textFill>
              </w:rPr>
              <w:t>价</w:t>
            </w:r>
            <w:r>
              <w:rPr>
                <w:rFonts w:hint="eastAsia" w:ascii="宋体" w:hAnsi="宋体" w:eastAsia="宋体" w:cs="宋体"/>
                <w:color w:val="000000" w:themeColor="text1"/>
                <w:spacing w:val="-11"/>
                <w:sz w:val="24"/>
                <w:szCs w:val="24"/>
                <w14:textFill>
                  <w14:solidFill>
                    <w14:schemeClr w14:val="tx1"/>
                  </w14:solidFill>
                </w14:textFill>
              </w:rPr>
              <w:t>(</w:t>
            </w:r>
            <w:r>
              <w:rPr>
                <w:rFonts w:hint="eastAsia" w:ascii="宋体" w:hAnsi="宋体" w:eastAsia="宋体" w:cs="宋体"/>
                <w:color w:val="000000" w:themeColor="text1"/>
                <w:spacing w:val="-10"/>
                <w:sz w:val="24"/>
                <w:szCs w:val="24"/>
                <w14:textFill>
                  <w14:solidFill>
                    <w14:schemeClr w14:val="tx1"/>
                  </w14:solidFill>
                </w14:textFill>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1638"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2023-CS-053号</w:t>
            </w:r>
          </w:p>
        </w:tc>
        <w:tc>
          <w:tcPr>
            <w:tcW w:w="3207"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武陟县财政局关于武陟县财政系统广域网及机房改造项目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950000</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950000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采购需求(包括但不限于标的的名称、数量、简要技术需求或服务要求等)</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系统广域网及机房改造。(详见《河南省政府采购网》本公告附件)。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6、合同</w:t>
      </w:r>
      <w:r>
        <w:rPr>
          <w:rFonts w:hint="eastAsia" w:ascii="宋体" w:hAnsi="宋体" w:eastAsia="宋体" w:cs="宋体"/>
          <w:color w:val="000000" w:themeColor="text1"/>
          <w:sz w:val="24"/>
          <w:szCs w:val="24"/>
          <w14:textFill>
            <w14:solidFill>
              <w14:schemeClr w14:val="tx1"/>
            </w14:solidFill>
          </w14:textFill>
        </w:rPr>
        <w:t>履行期限：项目验收合格之后三年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9、是否专门面向中小企业：否</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.1供应商及其法定代表人、委托代理人均无行贿犯罪记录；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三、</w:t>
      </w:r>
      <w:r>
        <w:rPr>
          <w:rFonts w:hint="eastAsia" w:ascii="宋体" w:hAnsi="宋体" w:eastAsia="宋体" w:cs="宋体"/>
          <w:b/>
          <w:bCs/>
          <w:color w:val="000000" w:themeColor="text1"/>
          <w:sz w:val="24"/>
          <w:szCs w:val="24"/>
          <w14:textFill>
            <w14:solidFill>
              <w14:schemeClr w14:val="tx1"/>
            </w14:solidFill>
          </w14:textFill>
        </w:rPr>
        <w:t>获取</w:t>
      </w:r>
      <w:r>
        <w:rPr>
          <w:rFonts w:hint="eastAsia" w:ascii="宋体" w:hAnsi="宋体" w:eastAsia="宋体" w:cs="宋体"/>
          <w:b/>
          <w:bCs/>
          <w:color w:val="000000" w:themeColor="text1"/>
          <w:sz w:val="24"/>
          <w:szCs w:val="24"/>
          <w:lang w:eastAsia="zh-CN"/>
          <w14:textFill>
            <w14:solidFill>
              <w14:schemeClr w14:val="tx1"/>
            </w14:solidFill>
          </w14:textFill>
        </w:rPr>
        <w:t>采购</w:t>
      </w:r>
      <w:r>
        <w:rPr>
          <w:rFonts w:hint="eastAsia" w:ascii="宋体" w:hAnsi="宋体" w:eastAsia="宋体" w:cs="宋体"/>
          <w:b/>
          <w:bCs/>
          <w:color w:val="000000" w:themeColor="text1"/>
          <w:sz w:val="24"/>
          <w:szCs w:val="24"/>
          <w14:textFill>
            <w14:solidFill>
              <w14:schemeClr w14:val="tx1"/>
            </w14:solidFill>
          </w14:textFill>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时间：</w:t>
      </w:r>
      <w:r>
        <w:rPr>
          <w:rFonts w:hint="eastAsia" w:ascii="宋体" w:hAnsi="宋体" w:cs="宋体"/>
          <w:color w:val="000000" w:themeColor="text1"/>
          <w:sz w:val="24"/>
          <w:szCs w:val="24"/>
          <w:lang w:val="en-US" w:eastAsia="zh-CN"/>
          <w14:textFill>
            <w14:solidFill>
              <w14:schemeClr w14:val="tx1"/>
            </w14:solidFill>
          </w14:textFill>
        </w:rPr>
        <w:t>2023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日至</w:t>
      </w:r>
      <w:r>
        <w:rPr>
          <w:rFonts w:hint="eastAsia" w:ascii="宋体" w:hAnsi="宋体" w:cs="宋体"/>
          <w:color w:val="000000" w:themeColor="text1"/>
          <w:sz w:val="24"/>
          <w:szCs w:val="24"/>
          <w:lang w:val="en-US" w:eastAsia="zh-CN"/>
          <w14:textFill>
            <w14:solidFill>
              <w14:schemeClr w14:val="tx1"/>
            </w14:solidFill>
          </w14:textFill>
        </w:rPr>
        <w:t>2023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28</w:t>
      </w:r>
      <w:r>
        <w:rPr>
          <w:rFonts w:hint="eastAsia" w:ascii="宋体" w:hAnsi="宋体" w:eastAsia="宋体" w:cs="宋体"/>
          <w:color w:val="000000" w:themeColor="text1"/>
          <w:sz w:val="24"/>
          <w:szCs w:val="24"/>
          <w14:textFill>
            <w14:solidFill>
              <w14:schemeClr w14:val="tx1"/>
            </w14:solidFill>
          </w14:textFill>
        </w:rPr>
        <w:t>日，每天上午 0</w:t>
      </w:r>
      <w:r>
        <w:rPr>
          <w:rFonts w:hint="eastAsia" w:ascii="宋体" w:hAnsi="宋体" w:eastAsia="宋体" w:cs="宋体"/>
          <w:color w:val="000000" w:themeColor="text1"/>
          <w:sz w:val="24"/>
          <w:szCs w:val="24"/>
          <w:lang w:val="en-US" w:eastAsia="zh-CN"/>
          <w14:textFill>
            <w14:solidFill>
              <w14:schemeClr w14:val="tx1"/>
            </w14:solidFill>
          </w14:textFill>
        </w:rPr>
        <w:t>0</w:t>
      </w:r>
      <w:r>
        <w:rPr>
          <w:rFonts w:hint="eastAsia" w:ascii="宋体" w:hAnsi="宋体" w:eastAsia="宋体" w:cs="宋体"/>
          <w:color w:val="000000" w:themeColor="text1"/>
          <w:sz w:val="24"/>
          <w:szCs w:val="24"/>
          <w14:textFill>
            <w14:solidFill>
              <w14:schemeClr w14:val="tx1"/>
            </w14:solidFill>
          </w14:textFill>
        </w:rPr>
        <w:t>:00 至 12:00， 下午 12:00 至 23:</w:t>
      </w:r>
      <w:r>
        <w:rPr>
          <w:rFonts w:hint="eastAsia" w:ascii="宋体" w:hAnsi="宋体" w:cs="宋体"/>
          <w:color w:val="000000" w:themeColor="text1"/>
          <w:sz w:val="24"/>
          <w:szCs w:val="24"/>
          <w:lang w:val="en-US" w:eastAsia="zh-CN"/>
          <w14:textFill>
            <w14:solidFill>
              <w14:schemeClr w14:val="tx1"/>
            </w14:solidFill>
          </w14:textFill>
        </w:rPr>
        <w:t>59</w:t>
      </w:r>
      <w:r>
        <w:rPr>
          <w:rFonts w:hint="eastAsia" w:ascii="宋体" w:hAnsi="宋体" w:eastAsia="宋体" w:cs="宋体"/>
          <w:color w:val="000000" w:themeColor="text1"/>
          <w:sz w:val="24"/>
          <w:szCs w:val="24"/>
          <w14:textFill>
            <w14:solidFill>
              <w14:schemeClr w14:val="tx1"/>
            </w14:solidFill>
          </w14:textFill>
        </w:rPr>
        <w:t xml:space="preserve"> (北京时间，法定节假日除外。)</w:t>
      </w:r>
      <w:r>
        <w:rPr>
          <w:rFonts w:hint="eastAsia" w:ascii="宋体" w:hAnsi="宋体" w:cs="宋体"/>
          <w:color w:val="000000" w:themeColor="text1"/>
          <w:sz w:val="24"/>
          <w:szCs w:val="24"/>
          <w:lang w:eastAsia="zh-CN"/>
          <w14:textFill>
            <w14:solidFill>
              <w14:schemeClr w14:val="tx1"/>
            </w14:solidFill>
          </w14:textFill>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shd w:val="clear" w:color="auto" w:fill="FFFF00"/>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地点：焦作市公共资源交易中心网站</w:t>
      </w:r>
      <w:r>
        <w:rPr>
          <w:rFonts w:hint="eastAsia" w:ascii="宋体" w:hAnsi="宋体" w:cs="宋体"/>
          <w:color w:val="000000" w:themeColor="text1"/>
          <w:sz w:val="24"/>
          <w:szCs w:val="24"/>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方式：本项目采用网上获取</w:t>
      </w:r>
      <w:r>
        <w:rPr>
          <w:rFonts w:hint="eastAsia" w:ascii="宋体" w:hAnsi="宋体" w:cs="宋体"/>
          <w:color w:val="000000" w:themeColor="text1"/>
          <w:sz w:val="24"/>
          <w:szCs w:val="24"/>
          <w:lang w:eastAsia="zh-CN"/>
          <w14:textFill>
            <w14:solidFill>
              <w14:schemeClr w14:val="tx1"/>
            </w14:solidFill>
          </w14:textFill>
        </w:rPr>
        <w:t>竞争性</w:t>
      </w:r>
      <w:r>
        <w:rPr>
          <w:rFonts w:hint="eastAsia" w:ascii="宋体" w:hAnsi="宋体" w:eastAsia="宋体" w:cs="宋体"/>
          <w:color w:val="000000" w:themeColor="text1"/>
          <w:sz w:val="24"/>
          <w:szCs w:val="24"/>
          <w14:textFill>
            <w14:solidFill>
              <w14:schemeClr w14:val="tx1"/>
            </w14:solidFill>
          </w14:textFill>
        </w:rPr>
        <w:t>磋商文件，凡有意参加本项目磋商活动者，请登陆焦作市公共资源交易中心网站</w:t>
      </w:r>
      <w:r>
        <w:rPr>
          <w:rFonts w:hint="eastAsia" w:ascii="宋体" w:hAnsi="宋体" w:eastAsia="宋体" w:cs="宋体"/>
          <w:color w:val="000000" w:themeColor="text1"/>
          <w:sz w:val="24"/>
          <w:szCs w:val="24"/>
          <w:lang w:val="en-US" w:eastAsia="zh-CN"/>
          <w14:textFill>
            <w14:solidFill>
              <w14:schemeClr w14:val="tx1"/>
            </w14:solidFill>
          </w14:textFill>
        </w:rPr>
        <w:t>-交易平台“交易主体登录”栏目下载磋商文件</w:t>
      </w:r>
      <w:r>
        <w:rPr>
          <w:rFonts w:hint="eastAsia" w:ascii="宋体" w:hAnsi="宋体" w:cs="宋体"/>
          <w:color w:val="000000" w:themeColor="text1"/>
          <w:sz w:val="24"/>
          <w:szCs w:val="24"/>
          <w:lang w:eastAsia="zh-CN"/>
          <w14:textFill>
            <w14:solidFill>
              <w14:schemeClr w14:val="tx1"/>
            </w14:solidFill>
          </w14:textFill>
        </w:rPr>
        <w:t>；</w:t>
      </w:r>
    </w:p>
    <w:p>
      <w:pPr>
        <w:pStyle w:val="36"/>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四、提交</w:t>
      </w:r>
      <w:r>
        <w:rPr>
          <w:rFonts w:hint="eastAsia" w:ascii="宋体" w:hAnsi="宋体" w:cs="宋体"/>
          <w:b/>
          <w:bCs/>
          <w:color w:val="000000" w:themeColor="text1"/>
          <w:sz w:val="24"/>
          <w:szCs w:val="24"/>
          <w:lang w:eastAsia="zh-CN"/>
          <w14:textFill>
            <w14:solidFill>
              <w14:schemeClr w14:val="tx1"/>
            </w14:solidFill>
          </w14:textFill>
        </w:rPr>
        <w:t>响应</w:t>
      </w:r>
      <w:r>
        <w:rPr>
          <w:rFonts w:hint="eastAsia" w:ascii="宋体" w:hAnsi="宋体" w:eastAsia="宋体" w:cs="宋体"/>
          <w:b/>
          <w:bCs/>
          <w:color w:val="000000" w:themeColor="text1"/>
          <w:sz w:val="24"/>
          <w:szCs w:val="24"/>
          <w:lang w:eastAsia="zh-CN"/>
          <w14:textFill>
            <w14:solidFill>
              <w14:schemeClr w14:val="tx1"/>
            </w14:solidFill>
          </w14:textFill>
        </w:rPr>
        <w:t>文件截止时间及地点：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1.截止时间：</w:t>
      </w:r>
      <w:r>
        <w:rPr>
          <w:rFonts w:hint="eastAsia" w:ascii="宋体" w:hAnsi="宋体" w:cs="宋体"/>
          <w:color w:val="000000" w:themeColor="text1"/>
          <w:sz w:val="24"/>
          <w:szCs w:val="24"/>
          <w:u w:val="none"/>
          <w:lang w:val="en-US" w:eastAsia="zh-CN"/>
          <w14:textFill>
            <w14:solidFill>
              <w14:schemeClr w14:val="tx1"/>
            </w14:solidFill>
          </w14:textFill>
        </w:rPr>
        <w:t>2023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none"/>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none"/>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color w:val="000000" w:themeColor="text1"/>
          <w:sz w:val="24"/>
          <w:szCs w:val="24"/>
          <w:u w:val="none"/>
          <w14:textFill>
            <w14:solidFill>
              <w14:schemeClr w14:val="tx1"/>
            </w14:solidFill>
          </w14:textFill>
        </w:rPr>
        <w:t>09</w:t>
      </w:r>
      <w:r>
        <w:rPr>
          <w:rFonts w:hint="eastAsia" w:ascii="宋体" w:hAnsi="宋体" w:eastAsia="宋体" w:cs="宋体"/>
          <w:color w:val="000000" w:themeColor="text1"/>
          <w:sz w:val="24"/>
          <w:szCs w:val="24"/>
          <w14:textFill>
            <w14:solidFill>
              <w14:schemeClr w14:val="tx1"/>
            </w14:solidFill>
          </w14:textFill>
        </w:rPr>
        <w:t>点</w:t>
      </w:r>
      <w:r>
        <w:rPr>
          <w:rFonts w:hint="eastAsia" w:ascii="宋体" w:hAnsi="宋体" w:eastAsia="宋体" w:cs="宋体"/>
          <w:color w:val="000000" w:themeColor="text1"/>
          <w:sz w:val="24"/>
          <w:szCs w:val="24"/>
          <w:u w:val="none"/>
          <w14:textFill>
            <w14:solidFill>
              <w14:schemeClr w14:val="tx1"/>
            </w14:solidFill>
          </w14:textFill>
        </w:rPr>
        <w:t>00</w:t>
      </w:r>
      <w:r>
        <w:rPr>
          <w:rFonts w:hint="eastAsia" w:ascii="宋体" w:hAnsi="宋体" w:eastAsia="宋体" w:cs="宋体"/>
          <w:color w:val="000000" w:themeColor="text1"/>
          <w:sz w:val="24"/>
          <w:szCs w:val="24"/>
          <w14:textFill>
            <w14:solidFill>
              <w14:schemeClr w14:val="tx1"/>
            </w14:solidFill>
          </w14:textFill>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五、响应文件</w:t>
      </w:r>
      <w:r>
        <w:rPr>
          <w:rFonts w:hint="eastAsia" w:ascii="宋体" w:hAnsi="宋体" w:eastAsia="宋体" w:cs="宋体"/>
          <w:b/>
          <w:bCs/>
          <w:color w:val="000000" w:themeColor="text1"/>
          <w:sz w:val="24"/>
          <w:szCs w:val="24"/>
          <w14:textFill>
            <w14:solidFill>
              <w14:schemeClr w14:val="tx1"/>
            </w14:solidFill>
          </w14:textFill>
        </w:rPr>
        <w:t>开启</w:t>
      </w:r>
      <w:r>
        <w:rPr>
          <w:rFonts w:hint="eastAsia" w:ascii="宋体" w:hAnsi="宋体" w:cs="宋体"/>
          <w:b/>
          <w:bCs/>
          <w:color w:val="000000" w:themeColor="text1"/>
          <w:sz w:val="24"/>
          <w:szCs w:val="24"/>
          <w:lang w:eastAsia="zh-CN"/>
          <w14:textFill>
            <w14:solidFill>
              <w14:schemeClr w14:val="tx1"/>
            </w14:solidFill>
          </w14:textFill>
        </w:rPr>
        <w:t>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1.时间：</w:t>
      </w:r>
      <w:r>
        <w:rPr>
          <w:rFonts w:hint="eastAsia" w:ascii="宋体" w:hAnsi="宋体" w:cs="宋体"/>
          <w:color w:val="000000" w:themeColor="text1"/>
          <w:sz w:val="24"/>
          <w:szCs w:val="24"/>
          <w:u w:val="none"/>
          <w:lang w:val="en-US" w:eastAsia="zh-CN"/>
          <w14:textFill>
            <w14:solidFill>
              <w14:schemeClr w14:val="tx1"/>
            </w14:solidFill>
          </w14:textFill>
        </w:rPr>
        <w:t>2023</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none"/>
          <w:lang w:val="en-US" w:eastAsia="zh-CN"/>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none"/>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日09时00分（北京时间）；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2.地点：武陟县公共资源交易中心二楼开标</w:t>
      </w:r>
      <w:r>
        <w:rPr>
          <w:rFonts w:hint="eastAsia" w:ascii="宋体" w:hAnsi="宋体" w:cs="宋体"/>
          <w:color w:val="000000" w:themeColor="text1"/>
          <w:sz w:val="24"/>
          <w:szCs w:val="24"/>
          <w:u w:val="none"/>
          <w:lang w:val="en-US" w:eastAsia="zh-CN"/>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六、发布</w:t>
      </w:r>
      <w:r>
        <w:rPr>
          <w:rFonts w:hint="eastAsia" w:ascii="宋体" w:hAnsi="宋体" w:eastAsia="宋体" w:cs="宋体"/>
          <w:b/>
          <w:bCs/>
          <w:color w:val="000000" w:themeColor="text1"/>
          <w:sz w:val="24"/>
          <w:szCs w:val="24"/>
          <w14:textFill>
            <w14:solidFill>
              <w14:schemeClr w14:val="tx1"/>
            </w14:solidFill>
          </w14:textFill>
        </w:rPr>
        <w:t>公告</w:t>
      </w:r>
      <w:r>
        <w:rPr>
          <w:rFonts w:hint="eastAsia" w:ascii="宋体" w:hAnsi="宋体" w:eastAsia="宋体" w:cs="宋体"/>
          <w:b/>
          <w:bCs/>
          <w:color w:val="000000" w:themeColor="text1"/>
          <w:sz w:val="24"/>
          <w:szCs w:val="24"/>
          <w:lang w:eastAsia="zh-CN"/>
          <w14:textFill>
            <w14:solidFill>
              <w14:schemeClr w14:val="tx1"/>
            </w14:solidFill>
          </w14:textFill>
        </w:rPr>
        <w:t>的媒介及</w:t>
      </w:r>
      <w:r>
        <w:rPr>
          <w:rFonts w:hint="eastAsia" w:ascii="宋体" w:hAnsi="宋体" w:cs="宋体"/>
          <w:b/>
          <w:bCs/>
          <w:color w:val="000000" w:themeColor="text1"/>
          <w:sz w:val="24"/>
          <w:szCs w:val="24"/>
          <w:lang w:eastAsia="zh-CN"/>
          <w14:textFill>
            <w14:solidFill>
              <w14:schemeClr w14:val="tx1"/>
            </w14:solidFill>
          </w14:textFill>
        </w:rPr>
        <w:t>采购</w:t>
      </w:r>
      <w:r>
        <w:rPr>
          <w:rFonts w:hint="eastAsia" w:ascii="宋体" w:hAnsi="宋体" w:eastAsia="宋体" w:cs="宋体"/>
          <w:b/>
          <w:bCs/>
          <w:color w:val="000000" w:themeColor="text1"/>
          <w:sz w:val="24"/>
          <w:szCs w:val="24"/>
          <w:lang w:eastAsia="zh-CN"/>
          <w14:textFill>
            <w14:solidFill>
              <w14:schemeClr w14:val="tx1"/>
            </w14:solidFill>
          </w14:textFill>
        </w:rPr>
        <w:t>公告</w:t>
      </w:r>
      <w:r>
        <w:rPr>
          <w:rFonts w:hint="eastAsia" w:ascii="宋体" w:hAnsi="宋体" w:eastAsia="宋体" w:cs="宋体"/>
          <w:b/>
          <w:bCs/>
          <w:color w:val="000000" w:themeColor="text1"/>
          <w:sz w:val="24"/>
          <w:szCs w:val="24"/>
          <w14:textFill>
            <w14:solidFill>
              <w14:schemeClr w14:val="tx1"/>
            </w14:solidFill>
          </w14:textFill>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本次</w:t>
      </w:r>
      <w:r>
        <w:rPr>
          <w:rFonts w:hint="eastAsia" w:ascii="宋体" w:hAnsi="宋体" w:cs="宋体"/>
          <w:color w:val="000000" w:themeColor="text1"/>
          <w:sz w:val="24"/>
          <w:szCs w:val="24"/>
          <w:lang w:eastAsia="zh-CN"/>
          <w14:textFill>
            <w14:solidFill>
              <w14:schemeClr w14:val="tx1"/>
            </w14:solidFill>
          </w14:textFill>
        </w:rPr>
        <w:t>竞争性磋商</w:t>
      </w:r>
      <w:r>
        <w:rPr>
          <w:rFonts w:hint="eastAsia" w:ascii="宋体" w:hAnsi="宋体" w:eastAsia="宋体" w:cs="宋体"/>
          <w:color w:val="000000" w:themeColor="text1"/>
          <w:sz w:val="24"/>
          <w:szCs w:val="24"/>
          <w14:textFill>
            <w14:solidFill>
              <w14:schemeClr w14:val="tx1"/>
            </w14:solidFill>
          </w14:textFill>
        </w:rPr>
        <w:t>公告</w:t>
      </w:r>
      <w:r>
        <w:rPr>
          <w:rFonts w:hint="eastAsia" w:ascii="宋体" w:hAnsi="宋体" w:eastAsia="宋体" w:cs="宋体"/>
          <w:color w:val="000000" w:themeColor="text1"/>
          <w:sz w:val="24"/>
          <w:szCs w:val="24"/>
          <w:lang w:eastAsia="zh-CN"/>
          <w14:textFill>
            <w14:solidFill>
              <w14:schemeClr w14:val="tx1"/>
            </w14:solidFill>
          </w14:textFill>
        </w:rPr>
        <w:t>在</w:t>
      </w:r>
      <w:r>
        <w:rPr>
          <w:rFonts w:hint="eastAsia" w:ascii="宋体" w:hAnsi="宋体" w:eastAsia="宋体" w:cs="宋体"/>
          <w:color w:val="000000" w:themeColor="text1"/>
          <w:sz w:val="24"/>
          <w:szCs w:val="24"/>
          <w14:textFill>
            <w14:solidFill>
              <w14:schemeClr w14:val="tx1"/>
            </w14:solidFill>
          </w14:textFill>
        </w:rPr>
        <w:t>《河南省政府采购网》、《焦作市公共资源交易中心网》、《武陟县公共资源交易中心网》</w:t>
      </w:r>
      <w:r>
        <w:rPr>
          <w:rFonts w:hint="eastAsia" w:ascii="宋体" w:hAnsi="宋体" w:eastAsia="宋体" w:cs="宋体"/>
          <w:color w:val="000000" w:themeColor="text1"/>
          <w:sz w:val="24"/>
          <w:szCs w:val="24"/>
          <w:lang w:eastAsia="zh-CN"/>
          <w14:textFill>
            <w14:solidFill>
              <w14:schemeClr w14:val="tx1"/>
            </w14:solidFill>
          </w14:textFill>
        </w:rPr>
        <w:t>上发布</w:t>
      </w:r>
      <w:r>
        <w:rPr>
          <w:rFonts w:hint="eastAsia" w:ascii="宋体" w:hAnsi="宋体" w:cs="宋体"/>
          <w:color w:val="000000" w:themeColor="text1"/>
          <w:sz w:val="24"/>
          <w:szCs w:val="24"/>
          <w:lang w:eastAsia="zh-CN"/>
          <w14:textFill>
            <w14:solidFill>
              <w14:schemeClr w14:val="tx1"/>
            </w14:solidFill>
          </w14:textFill>
        </w:rPr>
        <w:t>。竞争性磋商</w:t>
      </w:r>
      <w:r>
        <w:rPr>
          <w:rFonts w:hint="eastAsia" w:ascii="宋体" w:hAnsi="宋体" w:eastAsia="宋体" w:cs="宋体"/>
          <w:color w:val="000000" w:themeColor="text1"/>
          <w:sz w:val="24"/>
          <w:szCs w:val="24"/>
          <w:lang w:eastAsia="zh-CN"/>
          <w14:textFill>
            <w14:solidFill>
              <w14:schemeClr w14:val="tx1"/>
            </w14:solidFill>
          </w14:textFill>
        </w:rPr>
        <w:t>公告期限为</w:t>
      </w:r>
      <w:r>
        <w:rPr>
          <w:rFonts w:hint="eastAsia" w:ascii="宋体" w:hAnsi="宋体" w:cs="宋体"/>
          <w:color w:val="000000" w:themeColor="text1"/>
          <w:sz w:val="24"/>
          <w:szCs w:val="24"/>
          <w:lang w:eastAsia="zh-CN"/>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个工作日。</w:t>
      </w:r>
    </w:p>
    <w:p>
      <w:pPr>
        <w:keepNext w:val="0"/>
        <w:keepLines w:val="0"/>
        <w:widowControl/>
        <w:numPr>
          <w:ilvl w:val="0"/>
          <w:numId w:val="3"/>
        </w:numPr>
        <w:suppressLineNumbers w:val="0"/>
        <w:jc w:val="left"/>
        <w:rPr>
          <w:rFonts w:hint="eastAsia" w:ascii="宋体" w:hAnsi="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其他补充事宜</w:t>
      </w:r>
      <w:r>
        <w:rPr>
          <w:rFonts w:hint="eastAsia" w:ascii="宋体" w:hAnsi="宋体" w:cs="宋体"/>
          <w:b/>
          <w:bCs/>
          <w:color w:val="000000" w:themeColor="text1"/>
          <w:sz w:val="24"/>
          <w:szCs w:val="24"/>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2、按要求进行网上获取并下载竞争性磋商文件,凡未在规定时间内获取竞争性磋商文件者视为无效标。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w:t>
      </w:r>
      <w:r>
        <w:rPr>
          <w:rFonts w:hint="eastAsia" w:ascii="宋体" w:hAnsi="宋体" w:cs="宋体"/>
          <w:color w:val="000000" w:themeColor="text1"/>
          <w:sz w:val="24"/>
          <w:szCs w:val="24"/>
          <w:lang w:val="en-US" w:eastAsia="zh-CN"/>
          <w14:textFill>
            <w14:solidFill>
              <w14:schemeClr w14:val="tx1"/>
            </w14:solidFill>
          </w14:textFill>
        </w:rPr>
        <w:t>一</w:t>
      </w:r>
      <w:r>
        <w:rPr>
          <w:rFonts w:hint="eastAsia" w:ascii="宋体" w:hAnsi="宋体" w:eastAsia="宋体" w:cs="宋体"/>
          <w:color w:val="000000" w:themeColor="text1"/>
          <w:sz w:val="24"/>
          <w:szCs w:val="24"/>
          <w:lang w:val="en-US" w:eastAsia="zh-CN"/>
          <w14:textFill>
            <w14:solidFill>
              <w14:schemeClr w14:val="tx1"/>
            </w14:solidFill>
          </w14:textFill>
        </w:rPr>
        <w:t xml:space="preserve">切后果由供应商自行负责。除电子响应性文件外，磋商时不再接受任何纸质文件、资料等。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八、</w:t>
      </w:r>
      <w:r>
        <w:rPr>
          <w:rFonts w:hint="eastAsia" w:ascii="宋体" w:hAnsi="宋体" w:eastAsia="宋体" w:cs="宋体"/>
          <w:b/>
          <w:bCs/>
          <w:color w:val="000000" w:themeColor="text1"/>
          <w:sz w:val="24"/>
          <w:szCs w:val="24"/>
          <w14:textFill>
            <w14:solidFill>
              <w14:schemeClr w14:val="tx1"/>
            </w14:solidFill>
          </w14:textFill>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名 称：</w:t>
      </w:r>
      <w:r>
        <w:rPr>
          <w:rFonts w:hint="eastAsia" w:ascii="宋体" w:hAnsi="宋体" w:eastAsia="宋体" w:cs="宋体"/>
          <w:color w:val="000000" w:themeColor="text1"/>
          <w:sz w:val="24"/>
          <w:szCs w:val="24"/>
          <w:lang w:val="en-US" w:eastAsia="zh-CN"/>
          <w14:textFill>
            <w14:solidFill>
              <w14:schemeClr w14:val="tx1"/>
            </w14:solidFill>
          </w14:textFill>
        </w:rPr>
        <w:t>武陟县财政局</w:t>
      </w:r>
      <w:r>
        <w:rPr>
          <w:rFonts w:hint="eastAsia" w:ascii="宋体" w:hAnsi="宋体" w:eastAsia="宋体" w:cs="宋体"/>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址：河南省武陟县和平路112号</w:t>
      </w:r>
    </w:p>
    <w:p>
      <w:pPr>
        <w:spacing w:line="440" w:lineRule="exact"/>
        <w:ind w:left="284" w:firstLine="240" w:firstLineChars="1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联系人：陈鹏</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联系方式：</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13462477777</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政府</w:t>
      </w:r>
      <w:r>
        <w:rPr>
          <w:rFonts w:hint="eastAsia" w:ascii="宋体" w:hAnsi="宋体" w:eastAsia="宋体" w:cs="宋体"/>
          <w:color w:val="000000" w:themeColor="text1"/>
          <w:sz w:val="24"/>
          <w:szCs w:val="24"/>
          <w14:textFill>
            <w14:solidFill>
              <w14:schemeClr w14:val="tx1"/>
            </w14:solidFill>
          </w14:textFill>
        </w:rPr>
        <w:t>采购</w:t>
      </w:r>
      <w:r>
        <w:rPr>
          <w:rFonts w:hint="eastAsia" w:ascii="宋体" w:hAnsi="宋体" w:eastAsia="宋体" w:cs="宋体"/>
          <w:color w:val="000000" w:themeColor="text1"/>
          <w:sz w:val="24"/>
          <w:szCs w:val="24"/>
          <w:lang w:eastAsia="zh-CN"/>
          <w14:textFill>
            <w14:solidFill>
              <w14:schemeClr w14:val="tx1"/>
            </w14:solidFill>
          </w14:textFill>
        </w:rPr>
        <w:t>集中</w:t>
      </w:r>
      <w:r>
        <w:rPr>
          <w:rFonts w:hint="eastAsia" w:ascii="宋体" w:hAnsi="宋体" w:eastAsia="宋体" w:cs="宋体"/>
          <w:color w:val="000000" w:themeColor="text1"/>
          <w:sz w:val="24"/>
          <w:szCs w:val="24"/>
          <w14:textFill>
            <w14:solidFill>
              <w14:schemeClr w14:val="tx1"/>
            </w14:solidFill>
          </w14:textFill>
        </w:rPr>
        <w:t>机构</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名 称：</w:t>
      </w:r>
      <w:r>
        <w:rPr>
          <w:rFonts w:hint="eastAsia" w:ascii="宋体" w:hAnsi="宋体" w:cs="宋体"/>
          <w:color w:val="000000" w:themeColor="text1"/>
          <w:sz w:val="24"/>
          <w:szCs w:val="24"/>
          <w:lang w:eastAsia="zh-CN"/>
          <w14:textFill>
            <w14:solidFill>
              <w14:schemeClr w14:val="tx1"/>
            </w14:solidFill>
          </w14:textFill>
        </w:rPr>
        <w:t>武陟县公共资源交易中心</w:t>
      </w:r>
      <w:r>
        <w:rPr>
          <w:rFonts w:hint="eastAsia" w:ascii="宋体" w:hAnsi="宋体" w:eastAsia="宋体" w:cs="宋体"/>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 址：武陟县河朔大道中段西侧产业集聚区东门</w:t>
      </w:r>
      <w:r>
        <w:rPr>
          <w:rFonts w:hint="eastAsia" w:ascii="宋体" w:hAnsi="宋体" w:eastAsia="宋体" w:cs="宋体"/>
          <w:color w:val="000000" w:themeColor="text1"/>
          <w:sz w:val="24"/>
          <w:szCs w:val="24"/>
          <w:lang w:val="en-US"/>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号楼二楼</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w:t>
      </w:r>
      <w:r>
        <w:rPr>
          <w:rFonts w:hint="eastAsia" w:ascii="宋体" w:hAnsi="宋体" w:cs="宋体"/>
          <w:color w:val="000000" w:themeColor="text1"/>
          <w:sz w:val="24"/>
          <w:szCs w:val="24"/>
          <w:highlight w:val="none"/>
          <w:lang w:eastAsia="zh-CN"/>
          <w14:textFill>
            <w14:solidFill>
              <w14:schemeClr w14:val="tx1"/>
            </w14:solidFill>
          </w14:textFill>
        </w:rPr>
        <w:t>贾青锋</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3.项目联系方式</w:t>
      </w:r>
    </w:p>
    <w:p>
      <w:pPr>
        <w:pStyle w:val="19"/>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项目联系人：</w:t>
      </w:r>
      <w:r>
        <w:rPr>
          <w:rFonts w:hint="eastAsia" w:ascii="宋体" w:hAnsi="宋体" w:eastAsia="宋体" w:cs="宋体"/>
          <w:color w:val="000000" w:themeColor="text1"/>
          <w:sz w:val="24"/>
          <w:szCs w:val="24"/>
          <w:highlight w:val="none"/>
          <w:lang w:eastAsia="zh-CN"/>
          <w14:textFill>
            <w14:solidFill>
              <w14:schemeClr w14:val="tx1"/>
            </w14:solidFill>
          </w14:textFill>
        </w:rPr>
        <w:t>陈鹏</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000000" w:themeColor="text1"/>
          <w:sz w:val="24"/>
          <w:szCs w:val="24"/>
          <w:u w:val="single"/>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　话：</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13462477777</w:t>
      </w:r>
    </w:p>
    <w:p>
      <w:pPr>
        <w:spacing w:line="380" w:lineRule="exact"/>
        <w:ind w:firstLine="6000" w:firstLineChars="2500"/>
        <w:rPr>
          <w:rFonts w:hint="eastAsia" w:ascii="宋体" w:hAnsi="宋体" w:cs="宋体"/>
          <w:color w:val="000000" w:themeColor="text1"/>
          <w:sz w:val="24"/>
          <w:szCs w:val="24"/>
          <w:u w:val="none"/>
          <w14:textFill>
            <w14:solidFill>
              <w14:schemeClr w14:val="tx1"/>
            </w14:solidFill>
          </w14:textFill>
        </w:rPr>
      </w:pPr>
      <w:r>
        <w:rPr>
          <w:rFonts w:hint="eastAsia" w:ascii="宋体" w:hAnsi="宋体" w:cs="宋体"/>
          <w:color w:val="000000" w:themeColor="text1"/>
          <w:sz w:val="24"/>
          <w:szCs w:val="24"/>
          <w:u w:val="none"/>
          <w14:textFill>
            <w14:solidFill>
              <w14:schemeClr w14:val="tx1"/>
            </w14:solidFill>
          </w14:textFill>
        </w:rPr>
        <w:t>时间：</w:t>
      </w:r>
      <w:r>
        <w:rPr>
          <w:rFonts w:hint="eastAsia" w:ascii="宋体" w:hAnsi="宋体" w:cs="宋体"/>
          <w:color w:val="000000" w:themeColor="text1"/>
          <w:sz w:val="24"/>
          <w:szCs w:val="24"/>
          <w:u w:val="none"/>
          <w:lang w:val="en-US" w:eastAsia="zh-CN"/>
          <w14:textFill>
            <w14:solidFill>
              <w14:schemeClr w14:val="tx1"/>
            </w14:solidFill>
          </w14:textFill>
        </w:rPr>
        <w:t>2023</w:t>
      </w:r>
      <w:r>
        <w:rPr>
          <w:rFonts w:hint="eastAsia" w:ascii="宋体" w:hAnsi="宋体" w:cs="宋体"/>
          <w:color w:val="000000" w:themeColor="text1"/>
          <w:sz w:val="24"/>
          <w:szCs w:val="24"/>
          <w:u w:val="none"/>
          <w14:textFill>
            <w14:solidFill>
              <w14:schemeClr w14:val="tx1"/>
            </w14:solidFill>
          </w14:textFill>
        </w:rPr>
        <w:t>年</w:t>
      </w:r>
      <w:r>
        <w:rPr>
          <w:rFonts w:hint="eastAsia" w:ascii="宋体" w:hAnsi="宋体" w:cs="宋体"/>
          <w:color w:val="000000" w:themeColor="text1"/>
          <w:sz w:val="24"/>
          <w:szCs w:val="24"/>
          <w:u w:val="none"/>
          <w:lang w:val="en-US" w:eastAsia="zh-CN"/>
          <w14:textFill>
            <w14:solidFill>
              <w14:schemeClr w14:val="tx1"/>
            </w14:solidFill>
          </w14:textFill>
        </w:rPr>
        <w:t>9</w:t>
      </w:r>
      <w:r>
        <w:rPr>
          <w:rFonts w:hint="eastAsia" w:ascii="宋体" w:hAnsi="宋体" w:cs="宋体"/>
          <w:color w:val="000000" w:themeColor="text1"/>
          <w:sz w:val="24"/>
          <w:szCs w:val="24"/>
          <w:u w:val="none"/>
          <w14:textFill>
            <w14:solidFill>
              <w14:schemeClr w14:val="tx1"/>
            </w14:solidFill>
          </w14:textFill>
        </w:rPr>
        <w:t>月</w:t>
      </w:r>
      <w:r>
        <w:rPr>
          <w:rFonts w:hint="eastAsia" w:ascii="宋体" w:hAnsi="宋体" w:cs="宋体"/>
          <w:color w:val="000000" w:themeColor="text1"/>
          <w:sz w:val="24"/>
          <w:szCs w:val="24"/>
          <w:u w:val="none"/>
          <w:lang w:val="en-US" w:eastAsia="zh-CN"/>
          <w14:textFill>
            <w14:solidFill>
              <w14:schemeClr w14:val="tx1"/>
            </w14:solidFill>
          </w14:textFill>
        </w:rPr>
        <w:t>21</w:t>
      </w:r>
      <w:r>
        <w:rPr>
          <w:rFonts w:hint="eastAsia" w:ascii="宋体" w:hAnsi="宋体" w:cs="宋体"/>
          <w:color w:val="000000" w:themeColor="text1"/>
          <w:sz w:val="24"/>
          <w:szCs w:val="24"/>
          <w:u w:val="none"/>
          <w14:textFill>
            <w14:solidFill>
              <w14:schemeClr w14:val="tx1"/>
            </w14:solidFill>
          </w14:textFill>
        </w:rPr>
        <w:t>日</w:t>
      </w:r>
    </w:p>
    <w:p>
      <w:pPr>
        <w:pStyle w:val="51"/>
        <w:rPr>
          <w:rFonts w:hint="eastAsia"/>
        </w:rPr>
        <w:sectPr>
          <w:headerReference r:id="rId10" w:type="default"/>
          <w:footerReference r:id="rId11" w:type="default"/>
          <w:pgSz w:w="11906" w:h="16838"/>
          <w:pgMar w:top="1134" w:right="1134" w:bottom="1134" w:left="1474" w:header="851" w:footer="510" w:gutter="0"/>
          <w:cols w:space="720" w:num="1"/>
          <w:docGrid w:type="lines" w:linePitch="312" w:charSpace="0"/>
        </w:sectPr>
      </w:pPr>
    </w:p>
    <w:p>
      <w:pPr>
        <w:pStyle w:val="34"/>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0" w:name="_Toc1733"/>
      <w:bookmarkStart w:id="11" w:name="_Toc29694"/>
      <w:r>
        <w:rPr>
          <w:rFonts w:hint="eastAsia" w:ascii="宋体" w:hAnsi="宋体" w:cs="宋体"/>
        </w:rPr>
        <w:t>供应商须知</w:t>
      </w:r>
      <w:bookmarkEnd w:id="4"/>
      <w:bookmarkEnd w:id="10"/>
      <w:bookmarkEnd w:id="1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武陟县财政局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lang w:val="en-US" w:eastAsia="zh-CN"/>
              </w:rPr>
              <w:t>政府</w:t>
            </w:r>
            <w:r>
              <w:rPr>
                <w:rFonts w:hint="eastAsia" w:ascii="宋体" w:hAnsi="宋体" w:cs="宋体"/>
                <w:kern w:val="0"/>
                <w:szCs w:val="21"/>
              </w:rPr>
              <w:t>采购</w:t>
            </w:r>
            <w:r>
              <w:rPr>
                <w:rFonts w:hint="eastAsia" w:ascii="宋体" w:hAnsi="宋体" w:cs="宋体"/>
                <w:kern w:val="0"/>
                <w:szCs w:val="21"/>
                <w:lang w:eastAsia="zh-CN"/>
              </w:rPr>
              <w:t>集中</w:t>
            </w:r>
            <w:r>
              <w:rPr>
                <w:rFonts w:hint="eastAsia" w:ascii="宋体" w:hAnsi="宋体" w:cs="宋体"/>
                <w:kern w:val="0"/>
                <w:szCs w:val="21"/>
              </w:rPr>
              <w:t>机构</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武陟县公共资源交易中心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rPr>
                <w:rFonts w:hint="eastAsia"/>
                <w:lang w:eastAsia="zh-CN"/>
              </w:rPr>
            </w:pPr>
            <w:r>
              <w:rPr>
                <w:rFonts w:hint="eastAsia"/>
                <w:lang w:val="en-US" w:eastAsia="zh-CN"/>
              </w:rPr>
              <w:t>武陟县财政局关于武陟县财政系统广域网及机房改造项目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color w:val="auto"/>
                <w:kern w:val="0"/>
                <w:szCs w:val="21"/>
                <w:lang w:val="en-US" w:eastAsia="zh-CN"/>
              </w:rPr>
              <w:t>货物</w:t>
            </w:r>
            <w:r>
              <w:rPr>
                <w:rFonts w:hint="eastAsia" w:ascii="宋体" w:hAnsi="宋体" w:cs="宋体"/>
                <w:color w:val="auto"/>
                <w:kern w:val="0"/>
                <w:szCs w:val="21"/>
                <w:lang w:val="en-US" w:eastAsia="zh-CN"/>
              </w:rPr>
              <w:sym w:font="Wingdings" w:char="F0FE"/>
            </w:r>
            <w:r>
              <w:rPr>
                <w:rFonts w:hint="eastAsia" w:ascii="宋体" w:hAnsi="宋体" w:cs="宋体"/>
                <w:color w:val="auto"/>
                <w:kern w:val="0"/>
                <w:szCs w:val="21"/>
                <w:lang w:val="en-US" w:eastAsia="zh-CN"/>
              </w:rPr>
              <w:t xml:space="preserve">      服务</w:t>
            </w:r>
            <w:r>
              <w:rPr>
                <w:rFonts w:hint="eastAsia" w:ascii="宋体" w:hAnsi="宋体" w:cs="宋体"/>
                <w:color w:val="auto"/>
                <w:kern w:val="0"/>
                <w:szCs w:val="21"/>
                <w:lang w:val="en-US" w:eastAsia="zh-CN"/>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kern w:val="0"/>
                <w:szCs w:val="21"/>
              </w:rPr>
              <w:t>：</w:t>
            </w:r>
            <w:r>
              <w:rPr>
                <w:rFonts w:hint="eastAsia" w:ascii="宋体" w:hAnsi="宋体" w:cs="宋体"/>
                <w:kern w:val="0"/>
                <w:szCs w:val="21"/>
                <w:lang w:val="en-US" w:eastAsia="zh-CN"/>
              </w:rPr>
              <w:t>1.8万元</w:t>
            </w:r>
            <w:r>
              <w:rPr>
                <w:rFonts w:hint="eastAsia" w:ascii="宋体" w:hAnsi="宋体" w:cs="宋体"/>
                <w:b/>
                <w:bCs/>
                <w:szCs w:val="21"/>
              </w:rPr>
              <w:t>（暂不缴纳）</w:t>
            </w:r>
          </w:p>
          <w:p>
            <w:pPr>
              <w:spacing w:line="400" w:lineRule="exact"/>
              <w:rPr>
                <w:rFonts w:hint="eastAsia" w:ascii="宋体" w:hAnsi="宋体" w:cs="宋体"/>
                <w:szCs w:val="21"/>
              </w:rPr>
            </w:pPr>
            <w:r>
              <w:rPr>
                <w:rFonts w:hint="eastAsia" w:ascii="宋体" w:hAnsi="宋体" w:cs="宋体"/>
                <w:szCs w:val="21"/>
              </w:rPr>
              <w:t>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lang w:val="en-US" w:eastAsia="zh-CN"/>
              </w:rPr>
              <w:t>1.8万元</w:t>
            </w:r>
            <w:r>
              <w:rPr>
                <w:rFonts w:hint="eastAsia" w:ascii="宋体" w:hAnsi="宋体" w:cs="宋体"/>
                <w:szCs w:val="21"/>
              </w:rPr>
              <w:t>，</w:t>
            </w:r>
            <w:r>
              <w:rPr>
                <w:rFonts w:hint="eastAsia" w:ascii="宋体" w:hAnsi="宋体" w:cs="宋体"/>
                <w:b/>
                <w:bCs/>
                <w:szCs w:val="21"/>
              </w:rPr>
              <w:t>并予以没收</w:t>
            </w:r>
            <w:r>
              <w:rPr>
                <w:rFonts w:hint="eastAsia" w:ascii="宋体" w:hAnsi="宋体" w:cs="宋体"/>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7"/>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 xml:space="preserve">2、未在响应性文件提交截止时间前完成上传加密的电子响应性文件视为逾期送达。逾期上传或未按规定方式上传加密的电子响应性文件，投标无效。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36"/>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）由磋商小组采用综合评分法对提交最后报价供应商的响应文件和最后报价进行综合评分并出具评审报告。</w:t>
            </w:r>
          </w:p>
          <w:p>
            <w:pPr>
              <w:pStyle w:val="14"/>
              <w:spacing w:line="400" w:lineRule="exact"/>
              <w:ind w:firstLine="211" w:firstLineChars="1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14"/>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在货物采购项目中，</w:t>
            </w:r>
            <w:r>
              <w:rPr>
                <w:rFonts w:hint="eastAsia" w:ascii="宋体" w:hAnsi="宋体"/>
                <w:bCs/>
                <w:color w:val="auto"/>
                <w:sz w:val="21"/>
                <w:szCs w:val="21"/>
                <w:lang w:eastAsia="zh-CN"/>
              </w:rPr>
              <w:t>供应商</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竞争性磋商文件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spacing w:line="440" w:lineRule="exact"/>
              <w:ind w:firstLine="424" w:firstLineChars="202"/>
              <w:jc w:val="left"/>
              <w:rPr>
                <w:rFonts w:hint="eastAsia"/>
              </w:rPr>
            </w:pPr>
            <w:r>
              <w:rPr>
                <w:rFonts w:hint="eastAsia"/>
                <w:lang w:val="en-US" w:eastAsia="zh-CN"/>
              </w:rPr>
              <w:t>4.</w:t>
            </w:r>
            <w:r>
              <w:rPr>
                <w:rFonts w:hint="eastAsia"/>
              </w:rPr>
              <w:t>本项目将对小型和微型企业、监狱企业和残疾人福利性单位的最后报价给予</w:t>
            </w:r>
            <w:r>
              <w:rPr>
                <w:rFonts w:hint="eastAsia"/>
                <w:lang w:val="en-US" w:eastAsia="zh-CN"/>
              </w:rPr>
              <w:t>20</w:t>
            </w:r>
            <w:r>
              <w:rPr>
                <w:rFonts w:hint="eastAsia"/>
              </w:rPr>
              <w:t xml:space="preserve"> %的扣除，用扣除后的价格参与评审。成交价和合同签约价仍以其最后报价为准。计算公式如下：评审价=最后报价×（100%- </w:t>
            </w:r>
            <w:r>
              <w:rPr>
                <w:rFonts w:hint="eastAsia"/>
                <w:lang w:val="en-US" w:eastAsia="zh-CN"/>
              </w:rPr>
              <w:t>20</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shd w:val="clear" w:color="auto" w:fill="FFFF00"/>
                <w:lang w:eastAsia="zh-CN"/>
              </w:rPr>
            </w:pPr>
            <w:r>
              <w:rPr>
                <w:rFonts w:hint="eastAsia" w:ascii="宋体" w:hAnsi="宋体"/>
                <w:b/>
                <w:bCs w:val="0"/>
                <w:sz w:val="21"/>
                <w:szCs w:val="21"/>
                <w:lang w:eastAsia="zh-CN"/>
              </w:rPr>
              <w:t>供应商</w:t>
            </w:r>
            <w:r>
              <w:rPr>
                <w:rFonts w:hint="eastAsia" w:ascii="宋体" w:hAnsi="宋体" w:eastAsia="宋体"/>
                <w:b/>
                <w:bCs w:val="0"/>
                <w:sz w:val="21"/>
                <w:szCs w:val="21"/>
              </w:rPr>
              <w:t>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lang w:eastAsia="zh-CN"/>
              </w:rPr>
            </w:pPr>
            <w:r>
              <w:rPr>
                <w:rFonts w:hint="eastAsia" w:ascii="宋体" w:hAnsi="宋体"/>
                <w:b/>
                <w:bCs w:val="0"/>
                <w:sz w:val="21"/>
                <w:szCs w:val="21"/>
                <w:lang w:eastAsia="zh-CN"/>
              </w:rPr>
              <w:t>磋商小组</w:t>
            </w:r>
            <w:r>
              <w:rPr>
                <w:rFonts w:hint="eastAsia" w:ascii="宋体" w:hAnsi="宋体" w:eastAsia="宋体"/>
                <w:b/>
                <w:bCs w:val="0"/>
                <w:sz w:val="21"/>
                <w:szCs w:val="21"/>
                <w:lang w:eastAsia="zh-CN"/>
              </w:rPr>
              <w:t>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，被认定为</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的方可</w:t>
            </w:r>
            <w:r>
              <w:rPr>
                <w:rFonts w:hint="eastAsia" w:ascii="宋体" w:hAnsi="宋体" w:eastAsia="宋体"/>
                <w:b/>
                <w:bCs w:val="0"/>
                <w:sz w:val="21"/>
                <w:szCs w:val="21"/>
              </w:rPr>
              <w:t>享受价格优惠。</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lang w:eastAsia="zh-CN"/>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17</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rPr>
              <w:t>本竞争性磋商文件解释权归采购人或其委托的采购代理机构。未尽事宜按国家相关法律法规执行。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val="en-US" w:eastAsia="zh-CN" w:bidi="ar-SA"/>
              </w:rPr>
            </w:pPr>
            <w:bookmarkStart w:id="12" w:name="_Toc461962050"/>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eastAsia="宋体" w:cs="宋体"/>
                <w:kern w:val="0"/>
                <w:sz w:val="21"/>
                <w:szCs w:val="21"/>
                <w:lang w:val="en-US" w:eastAsia="zh-CN" w:bidi="ar-SA"/>
              </w:rPr>
            </w:pPr>
            <w:r>
              <w:rPr>
                <w:rFonts w:hint="eastAsia" w:ascii="宋体" w:hAnsi="宋体" w:cs="宋体"/>
                <w:kern w:val="0"/>
                <w:szCs w:val="21"/>
              </w:rPr>
              <w:t>代理服务费</w:t>
            </w:r>
          </w:p>
        </w:tc>
        <w:tc>
          <w:tcPr>
            <w:tcW w:w="6563" w:type="dxa"/>
            <w:noWrap w:val="0"/>
            <w:vAlign w:val="center"/>
          </w:tcPr>
          <w:p>
            <w:pPr>
              <w:spacing w:line="360" w:lineRule="auto"/>
              <w:rPr>
                <w:rFonts w:hint="eastAsia" w:ascii="Times New Roman" w:hAnsi="Times New Roman" w:eastAsia="宋体" w:cs="Times New Roman"/>
                <w:kern w:val="2"/>
                <w:sz w:val="21"/>
                <w:szCs w:val="21"/>
                <w:lang w:val="en-US" w:eastAsia="zh-CN" w:bidi="ar-SA"/>
              </w:rPr>
            </w:pPr>
            <w:r>
              <w:rPr>
                <w:rFonts w:hint="eastAsia" w:ascii="宋体" w:hAnsi="宋体" w:cs="宋体"/>
                <w:b/>
                <w:bCs/>
                <w:szCs w:val="21"/>
              </w:rPr>
              <w:t>本项目</w:t>
            </w:r>
            <w:r>
              <w:rPr>
                <w:rFonts w:hint="eastAsia" w:ascii="宋体" w:hAnsi="宋体" w:cs="宋体"/>
                <w:b/>
                <w:bCs/>
                <w:szCs w:val="21"/>
                <w:lang w:eastAsia="zh-CN"/>
              </w:rPr>
              <w:t>不收</w:t>
            </w:r>
            <w:r>
              <w:rPr>
                <w:rFonts w:hint="eastAsia" w:ascii="宋体" w:hAnsi="宋体" w:cs="宋体"/>
                <w:b/>
                <w:bCs/>
                <w:szCs w:val="21"/>
              </w:rPr>
              <w:t>取代理服务费</w:t>
            </w:r>
            <w:r>
              <w:rPr>
                <w:rFonts w:hint="eastAsia" w:ascii="宋体" w:hAnsi="宋体" w:cs="宋体"/>
                <w:b/>
                <w:bCs/>
                <w:szCs w:val="21"/>
                <w:lang w:eastAsia="zh-CN"/>
              </w:rPr>
              <w:t>。</w:t>
            </w:r>
          </w:p>
        </w:tc>
      </w:tr>
      <w:bookmarkEnd w:id="5"/>
      <w:bookmarkEnd w:id="6"/>
      <w:bookmarkEnd w:id="7"/>
      <w:bookmarkEnd w:id="8"/>
      <w:bookmarkEnd w:id="9"/>
    </w:tbl>
    <w:p>
      <w:pPr>
        <w:rPr>
          <w:rFonts w:hint="eastAsia" w:ascii="宋体" w:hAnsi="宋体" w:cs="宋体"/>
          <w:b/>
          <w:sz w:val="32"/>
        </w:rPr>
      </w:pPr>
    </w:p>
    <w:bookmarkEnd w:id="12"/>
    <w:p>
      <w:pPr>
        <w:pStyle w:val="4"/>
        <w:spacing w:before="0" w:after="0" w:line="240" w:lineRule="auto"/>
        <w:jc w:val="center"/>
        <w:rPr>
          <w:rFonts w:hint="eastAsia" w:ascii="宋体" w:hAnsi="宋体" w:eastAsia="宋体" w:cs="宋体"/>
        </w:rPr>
      </w:pPr>
      <w:bookmarkStart w:id="13" w:name="_Toc477423243"/>
      <w:bookmarkStart w:id="14" w:name="_Toc487805903"/>
      <w:bookmarkStart w:id="15" w:name="_Toc374512410"/>
      <w:bookmarkStart w:id="16" w:name="_Toc2200"/>
      <w:bookmarkStart w:id="17" w:name="_Toc26492"/>
      <w:bookmarkStart w:id="18" w:name="_Toc461962051"/>
      <w:bookmarkStart w:id="19" w:name="_Toc490161260"/>
      <w:bookmarkStart w:id="20" w:name="_Toc373230023"/>
      <w:r>
        <w:rPr>
          <w:rFonts w:hint="eastAsia" w:ascii="宋体" w:hAnsi="宋体" w:eastAsia="宋体" w:cs="宋体"/>
        </w:rPr>
        <w:t>一、总则</w:t>
      </w:r>
      <w:bookmarkEnd w:id="13"/>
      <w:bookmarkEnd w:id="14"/>
      <w:bookmarkEnd w:id="15"/>
      <w:bookmarkEnd w:id="16"/>
      <w:bookmarkEnd w:id="17"/>
      <w:bookmarkEnd w:id="18"/>
      <w:bookmarkEnd w:id="19"/>
      <w:bookmarkEnd w:id="20"/>
    </w:p>
    <w:p>
      <w:pPr>
        <w:numPr>
          <w:ilvl w:val="0"/>
          <w:numId w:val="4"/>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“采购人” 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5"/>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4"/>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9"/>
        <w:spacing w:line="440" w:lineRule="exact"/>
        <w:ind w:firstLine="420" w:firstLineChars="200"/>
        <w:rPr>
          <w:rFonts w:hint="eastAsia"/>
          <w:sz w:val="21"/>
          <w:szCs w:val="21"/>
        </w:rPr>
      </w:pPr>
      <w:r>
        <w:rPr>
          <w:rFonts w:hint="eastAsia"/>
          <w:sz w:val="21"/>
          <w:szCs w:val="21"/>
        </w:rPr>
        <w:t>3.1.1.具有有效的“设立登记证书”；</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9"/>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9"/>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4"/>
        <w:spacing w:line="440" w:lineRule="exact"/>
        <w:jc w:val="center"/>
        <w:rPr>
          <w:rFonts w:hint="eastAsia" w:ascii="宋体" w:hAnsi="宋体" w:eastAsia="宋体" w:cs="宋体"/>
          <w:sz w:val="21"/>
          <w:szCs w:val="21"/>
        </w:rPr>
      </w:pPr>
      <w:bookmarkStart w:id="21" w:name="_Toc477423244"/>
      <w:bookmarkStart w:id="22" w:name="_Toc374512411"/>
      <w:bookmarkStart w:id="23" w:name="_Toc461962052"/>
      <w:bookmarkStart w:id="24" w:name="_Toc12084"/>
      <w:bookmarkStart w:id="25" w:name="_Toc487805904"/>
      <w:bookmarkStart w:id="26" w:name="_Toc23018"/>
      <w:bookmarkStart w:id="27" w:name="_Toc373230024"/>
      <w:bookmarkStart w:id="28" w:name="_Toc490161261"/>
      <w:r>
        <w:rPr>
          <w:rFonts w:hint="eastAsia" w:ascii="宋体" w:hAnsi="宋体" w:eastAsia="宋体" w:cs="宋体"/>
          <w:sz w:val="21"/>
          <w:szCs w:val="21"/>
        </w:rPr>
        <w:t>二、磋商文件</w:t>
      </w:r>
      <w:bookmarkEnd w:id="21"/>
      <w:bookmarkEnd w:id="22"/>
      <w:bookmarkEnd w:id="23"/>
      <w:bookmarkEnd w:id="24"/>
      <w:bookmarkEnd w:id="25"/>
      <w:bookmarkEnd w:id="26"/>
      <w:bookmarkEnd w:id="27"/>
      <w:bookmarkEnd w:id="28"/>
    </w:p>
    <w:p>
      <w:pPr>
        <w:numPr>
          <w:ilvl w:val="0"/>
          <w:numId w:val="4"/>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52"/>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52"/>
      </w:pPr>
    </w:p>
    <w:p>
      <w:pPr>
        <w:pStyle w:val="4"/>
        <w:numPr>
          <w:ilvl w:val="0"/>
          <w:numId w:val="9"/>
        </w:numPr>
        <w:spacing w:line="440" w:lineRule="exact"/>
        <w:jc w:val="center"/>
        <w:rPr>
          <w:rFonts w:hint="eastAsia" w:ascii="宋体" w:hAnsi="宋体" w:eastAsia="宋体" w:cs="宋体"/>
          <w:sz w:val="21"/>
          <w:szCs w:val="21"/>
        </w:rPr>
      </w:pPr>
      <w:bookmarkStart w:id="29" w:name="_Toc374512412"/>
      <w:bookmarkStart w:id="30" w:name="_Toc477423245"/>
      <w:bookmarkStart w:id="31" w:name="_Toc6048"/>
      <w:bookmarkStart w:id="32" w:name="_Toc490161262"/>
      <w:bookmarkStart w:id="33" w:name="_Toc487805905"/>
      <w:bookmarkStart w:id="34" w:name="_Toc26181"/>
      <w:bookmarkStart w:id="35" w:name="_Toc461962053"/>
      <w:bookmarkStart w:id="36" w:name="_Toc373230025"/>
      <w:r>
        <w:rPr>
          <w:rFonts w:hint="eastAsia" w:ascii="宋体" w:hAnsi="宋体" w:eastAsia="宋体" w:cs="宋体"/>
          <w:sz w:val="21"/>
          <w:szCs w:val="21"/>
        </w:rPr>
        <w:t>响应文件的编制</w:t>
      </w:r>
      <w:bookmarkEnd w:id="29"/>
      <w:bookmarkEnd w:id="30"/>
      <w:bookmarkEnd w:id="31"/>
      <w:bookmarkEnd w:id="32"/>
      <w:bookmarkEnd w:id="33"/>
      <w:bookmarkEnd w:id="34"/>
      <w:bookmarkEnd w:id="35"/>
      <w:bookmarkEnd w:id="36"/>
    </w:p>
    <w:p>
      <w:pPr>
        <w:numPr>
          <w:ilvl w:val="0"/>
          <w:numId w:val="4"/>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0" w:leftChars="0" w:firstLine="420" w:firstLineChars="200"/>
        <w:rPr>
          <w:rFonts w:hint="eastAsia" w:ascii="宋体" w:hAnsi="宋体" w:eastAsia="宋体" w:cs="宋体"/>
          <w:szCs w:val="21"/>
          <w:lang w:eastAsia="zh-CN"/>
        </w:rPr>
      </w:pPr>
      <w:r>
        <w:rPr>
          <w:rFonts w:hint="eastAsia" w:ascii="宋体" w:hAnsi="宋体" w:cs="宋体"/>
          <w:szCs w:val="21"/>
        </w:rPr>
        <w:t>9.1供应商应仔细阅读、并充分理解磋商文件的所有内容，按照磋商文件的要求编制、提交响应文件。</w:t>
      </w:r>
      <w:r>
        <w:rPr>
          <w:rFonts w:hint="eastAsia" w:ascii="宋体" w:hAnsi="宋体" w:cs="宋体"/>
          <w:szCs w:val="21"/>
          <w:lang w:eastAsia="zh-CN"/>
        </w:rPr>
        <w:tab/>
      </w:r>
    </w:p>
    <w:p>
      <w:pPr>
        <w:spacing w:line="500" w:lineRule="exact"/>
        <w:ind w:left="0" w:leftChars="0" w:firstLine="420" w:firstLineChars="20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9.2响应文件应对磋商文件的要求作出实质性响应（包括供应商资格要求、商务要求和响应文件格式要求），并保证所提供的全部资料的真实性，否则其响应文件将作为无效文件处理。</w:t>
      </w:r>
    </w:p>
    <w:p>
      <w:pPr>
        <w:spacing w:line="500" w:lineRule="exact"/>
        <w:ind w:left="0" w:leftChars="0" w:firstLine="420" w:firstLineChars="20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9.3供应商没有按照磋商文件要求提供全部资料，或者供应商没有对磋商文件在各方面都作出实质性响应的是供应商的风险，并可能导致其响应文件被拒绝。</w:t>
      </w:r>
    </w:p>
    <w:p>
      <w:pPr>
        <w:spacing w:line="500" w:lineRule="exact"/>
        <w:ind w:left="0" w:leftChars="0" w:firstLine="420" w:firstLineChars="200"/>
        <w:rPr>
          <w:rFonts w:hint="eastAsia"/>
        </w:rPr>
      </w:pPr>
      <w:r>
        <w:rPr>
          <w:rFonts w:hint="eastAsia" w:ascii="宋体" w:hAnsi="宋体" w:cs="宋体"/>
          <w:szCs w:val="21"/>
        </w:rPr>
        <w:t>9.4供应商与采购人、采购代理机构的任何口头协议均不影响磋商文件、响应文件的任何条款和内容。</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w:t>
      </w:r>
      <w:r>
        <w:rPr>
          <w:rFonts w:hint="eastAsia" w:ascii="宋体" w:hAnsi="宋体" w:cs="宋体"/>
          <w:szCs w:val="21"/>
          <w:lang w:val="en-US" w:eastAsia="zh-CN"/>
        </w:rPr>
        <w:t>1</w:t>
      </w:r>
      <w:r>
        <w:rPr>
          <w:rFonts w:hint="eastAsia" w:ascii="宋体" w:hAnsi="宋体" w:cs="宋体"/>
          <w:szCs w:val="21"/>
        </w:rPr>
        <w:t>供应商的报价均包括完成该项目的成本、利润、税金、风险等所有伴随的其他费用。</w:t>
      </w:r>
    </w:p>
    <w:p>
      <w:pPr>
        <w:pStyle w:val="51"/>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w:t>
      </w:r>
      <w:r>
        <w:rPr>
          <w:rFonts w:hint="eastAsia" w:ascii="宋体" w:hAnsi="宋体" w:cs="宋体"/>
          <w:sz w:val="21"/>
          <w:szCs w:val="21"/>
          <w:lang w:val="en-US" w:eastAsia="zh-CN"/>
        </w:rPr>
        <w:t>2</w:t>
      </w:r>
      <w:r>
        <w:rPr>
          <w:rFonts w:hint="eastAsia" w:ascii="宋体" w:hAnsi="宋体" w:cs="宋体"/>
          <w:sz w:val="21"/>
          <w:szCs w:val="21"/>
        </w:rPr>
        <w:t>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4"/>
        <w:spacing w:line="440" w:lineRule="exact"/>
        <w:jc w:val="center"/>
        <w:rPr>
          <w:rFonts w:hint="eastAsia" w:ascii="宋体" w:hAnsi="宋体" w:eastAsia="宋体" w:cs="宋体"/>
          <w:sz w:val="21"/>
          <w:szCs w:val="21"/>
        </w:rPr>
      </w:pPr>
      <w:bookmarkStart w:id="37" w:name="_Toc27919"/>
      <w:bookmarkStart w:id="38" w:name="_Toc10798"/>
      <w:bookmarkStart w:id="39" w:name="_Toc487805906"/>
      <w:bookmarkStart w:id="40" w:name="_Toc490161263"/>
      <w:bookmarkStart w:id="41" w:name="_Toc461962054"/>
      <w:bookmarkStart w:id="42" w:name="_Toc373230026"/>
      <w:bookmarkStart w:id="43" w:name="_Toc477423246"/>
      <w:bookmarkStart w:id="44" w:name="_Toc374512413"/>
      <w:r>
        <w:rPr>
          <w:rFonts w:hint="eastAsia" w:ascii="宋体" w:hAnsi="宋体" w:eastAsia="宋体" w:cs="宋体"/>
          <w:sz w:val="21"/>
          <w:szCs w:val="21"/>
        </w:rPr>
        <w:t>四、响应文件的提交</w:t>
      </w:r>
      <w:bookmarkEnd w:id="37"/>
      <w:bookmarkEnd w:id="38"/>
      <w:bookmarkEnd w:id="39"/>
      <w:bookmarkEnd w:id="40"/>
      <w:bookmarkEnd w:id="41"/>
      <w:bookmarkEnd w:id="42"/>
      <w:bookmarkEnd w:id="43"/>
      <w:bookmarkEnd w:id="44"/>
    </w:p>
    <w:p>
      <w:pPr>
        <w:numPr>
          <w:ilvl w:val="0"/>
          <w:numId w:val="4"/>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firstLine="420" w:firstLineChars="20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7" w:firstLine="413"/>
        <w:rPr>
          <w:rFonts w:hint="eastAsia" w:ascii="宋体" w:hAnsi="宋体" w:cs="宋体"/>
          <w:szCs w:val="21"/>
        </w:rPr>
      </w:pPr>
      <w:r>
        <w:rPr>
          <w:rFonts w:hint="eastAsia" w:ascii="宋体" w:hAnsi="宋体" w:eastAsia="宋体" w:cs="宋体"/>
          <w:szCs w:val="21"/>
        </w:rPr>
        <w:t>参加磋商</w:t>
      </w:r>
      <w:r>
        <w:rPr>
          <w:rFonts w:hint="eastAsia" w:ascii="宋体" w:hAnsi="宋体" w:cs="宋体"/>
          <w:szCs w:val="21"/>
        </w:rPr>
        <w:t>的供应商在递交响应文件后，可以修改或撤回其响应文件，但这种修改和撤回，必须在规定的响应文件递交截止时间前；</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4"/>
        <w:spacing w:line="440" w:lineRule="exact"/>
        <w:jc w:val="center"/>
        <w:rPr>
          <w:rFonts w:hint="eastAsia" w:ascii="宋体" w:hAnsi="宋体" w:eastAsia="宋体" w:cs="宋体"/>
          <w:sz w:val="21"/>
          <w:szCs w:val="21"/>
        </w:rPr>
      </w:pPr>
      <w:bookmarkStart w:id="45" w:name="_Toc217235123"/>
      <w:bookmarkStart w:id="46" w:name="_Toc373230027"/>
      <w:bookmarkStart w:id="47" w:name="_Toc374512414"/>
      <w:bookmarkStart w:id="48" w:name="_Toc461962055"/>
      <w:bookmarkStart w:id="49" w:name="_Toc477423247"/>
      <w:bookmarkStart w:id="50" w:name="_Toc490161264"/>
      <w:bookmarkStart w:id="51" w:name="_Toc487805907"/>
      <w:bookmarkStart w:id="52" w:name="_Toc6236"/>
      <w:bookmarkStart w:id="53" w:name="_Toc9653"/>
      <w:r>
        <w:rPr>
          <w:rFonts w:hint="eastAsia" w:ascii="宋体" w:hAnsi="宋体" w:eastAsia="宋体" w:cs="宋体"/>
          <w:sz w:val="21"/>
          <w:szCs w:val="21"/>
        </w:rPr>
        <w:t>五、磋商</w:t>
      </w:r>
      <w:bookmarkEnd w:id="45"/>
      <w:bookmarkEnd w:id="46"/>
      <w:bookmarkEnd w:id="47"/>
      <w:bookmarkEnd w:id="48"/>
      <w:r>
        <w:rPr>
          <w:rFonts w:hint="eastAsia" w:ascii="宋体" w:hAnsi="宋体" w:eastAsia="宋体" w:cs="宋体"/>
          <w:sz w:val="21"/>
          <w:szCs w:val="21"/>
        </w:rPr>
        <w:t>和评审</w:t>
      </w:r>
      <w:bookmarkEnd w:id="49"/>
      <w:bookmarkEnd w:id="50"/>
      <w:bookmarkEnd w:id="51"/>
      <w:bookmarkEnd w:id="52"/>
      <w:bookmarkEnd w:id="53"/>
    </w:p>
    <w:p>
      <w:pPr>
        <w:numPr>
          <w:ilvl w:val="0"/>
          <w:numId w:val="4"/>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4"/>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第一轮报价超过磋商文件中规定的项目预算金额的；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5</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hint="eastAsia" w:ascii="宋体" w:hAnsi="宋体" w:cs="宋体"/>
          <w:b/>
          <w:szCs w:val="21"/>
        </w:rPr>
      </w:pPr>
      <w:bookmarkStart w:id="54" w:name="_Toc374512415"/>
      <w:bookmarkStart w:id="55" w:name="_Toc373230028"/>
      <w:r>
        <w:rPr>
          <w:rFonts w:hint="eastAsia" w:ascii="宋体" w:hAnsi="宋体" w:cs="宋体"/>
          <w:b/>
          <w:szCs w:val="21"/>
        </w:rPr>
        <w:t>评审方法</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6" w:name="_Toc32423"/>
      <w:r>
        <w:rPr>
          <w:rFonts w:hint="eastAsia" w:ascii="宋体" w:hAnsi="宋体" w:cs="宋体"/>
          <w:szCs w:val="21"/>
        </w:rPr>
        <w:t>《政府采购竞争性磋商采购方式管理暂行办法</w:t>
      </w:r>
      <w:bookmarkEnd w:id="56"/>
      <w:r>
        <w:rPr>
          <w:rFonts w:hint="eastAsia" w:ascii="宋体" w:hAnsi="宋体" w:cs="宋体"/>
          <w:szCs w:val="21"/>
        </w:rPr>
        <w:t>》第三条第四项情形的，提交最后报价的供应商可以为2家</w:t>
      </w:r>
      <w:bookmarkStart w:id="57" w:name="_Toc5652"/>
      <w:r>
        <w:rPr>
          <w:rFonts w:hint="eastAsia" w:ascii="宋体" w:hAnsi="宋体" w:cs="宋体"/>
          <w:szCs w:val="21"/>
        </w:rPr>
        <w:t>或符合《财政部关于政府采购竞争性磋商采购方式管理暂行办法有关问题的补充通知</w:t>
      </w:r>
      <w:bookmarkEnd w:id="57"/>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8" w:name="_Toc490161265"/>
      <w:bookmarkStart w:id="59" w:name="_Toc19608"/>
      <w:bookmarkStart w:id="60" w:name="_Toc477423248"/>
      <w:bookmarkStart w:id="61" w:name="_Toc487805908"/>
      <w:bookmarkStart w:id="62" w:name="_Toc5841"/>
      <w:r>
        <w:rPr>
          <w:rFonts w:hint="eastAsia" w:ascii="宋体" w:hAnsi="宋体" w:eastAsia="宋体" w:cs="宋体"/>
          <w:sz w:val="21"/>
          <w:szCs w:val="21"/>
        </w:rPr>
        <w:t>六、成交和合同</w:t>
      </w:r>
      <w:bookmarkEnd w:id="58"/>
      <w:bookmarkEnd w:id="59"/>
      <w:bookmarkEnd w:id="60"/>
      <w:bookmarkEnd w:id="61"/>
      <w:bookmarkEnd w:id="62"/>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218" w:firstLineChars="104"/>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4"/>
    <w:bookmarkEnd w:id="55"/>
    <w:p>
      <w:pPr>
        <w:numPr>
          <w:ilvl w:val="0"/>
          <w:numId w:val="4"/>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30.1采购人与成交供应商应当在成交通知书发出之日起30日内（供应商须知前附表另有规定者从其规定），签订政府采购合同。</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30.3成交供应商应在采购合同签订之日起三个工作日内将合同报武陟县公共资源交易中心、武陟县政府采购管理办公室备案；</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30.4合同双方如违约，将按《中华人民共和国民法典》、《中华人民共和国政府采购法》及有关法律法规中的规定执行。</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firstLine="210" w:firstLineChars="100"/>
        <w:rPr>
          <w:rFonts w:hint="eastAsia" w:ascii="宋体" w:hAnsi="宋体" w:eastAsia="宋体" w:cs="宋体"/>
          <w:color w:val="auto"/>
          <w:szCs w:val="21"/>
          <w:lang w:eastAsia="zh-CN"/>
        </w:rPr>
      </w:pPr>
      <w:r>
        <w:rPr>
          <w:rFonts w:hint="eastAsia" w:ascii="宋体" w:hAnsi="宋体" w:cs="宋体"/>
          <w:color w:val="auto"/>
          <w:szCs w:val="21"/>
        </w:rPr>
        <w:t>（2）采购人名称：</w:t>
      </w:r>
      <w:r>
        <w:rPr>
          <w:rFonts w:hint="eastAsia" w:ascii="宋体" w:hAnsi="宋体" w:cs="宋体"/>
          <w:color w:val="auto"/>
          <w:szCs w:val="21"/>
          <w:lang w:eastAsia="zh-CN"/>
        </w:rPr>
        <w:t>武陟县财政局</w:t>
      </w:r>
    </w:p>
    <w:p>
      <w:pPr>
        <w:spacing w:line="440" w:lineRule="exact"/>
        <w:ind w:left="284"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地点：</w:t>
      </w:r>
      <w:r>
        <w:rPr>
          <w:rFonts w:hint="eastAsia" w:ascii="宋体" w:hAnsi="宋体" w:cs="宋体"/>
          <w:color w:val="auto"/>
          <w:szCs w:val="21"/>
          <w:lang w:eastAsia="zh-CN"/>
        </w:rPr>
        <w:t>河南省武陟县和平路</w:t>
      </w:r>
      <w:r>
        <w:rPr>
          <w:rFonts w:hint="eastAsia" w:ascii="宋体" w:hAnsi="宋体" w:cs="宋体"/>
          <w:color w:val="auto"/>
          <w:szCs w:val="21"/>
          <w:lang w:val="en-US" w:eastAsia="zh-CN"/>
        </w:rPr>
        <w:t>112号</w:t>
      </w:r>
    </w:p>
    <w:p>
      <w:pPr>
        <w:spacing w:line="440" w:lineRule="exact"/>
        <w:ind w:left="284" w:firstLine="210" w:firstLineChars="100"/>
        <w:rPr>
          <w:rFonts w:hint="eastAsia"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陈鹏</w:t>
      </w:r>
    </w:p>
    <w:p>
      <w:pPr>
        <w:spacing w:line="440" w:lineRule="exact"/>
        <w:ind w:left="284" w:firstLine="210" w:firstLineChars="100"/>
        <w:rPr>
          <w:rFonts w:hint="default" w:ascii="宋体" w:hAnsi="宋体" w:cs="宋体"/>
          <w:color w:val="auto"/>
          <w:szCs w:val="21"/>
          <w:lang w:val="en-US" w:eastAsia="zh-CN"/>
        </w:rPr>
      </w:pPr>
      <w:r>
        <w:rPr>
          <w:rFonts w:hint="eastAsia" w:ascii="宋体" w:hAnsi="宋体" w:cs="宋体"/>
          <w:color w:val="auto"/>
          <w:szCs w:val="21"/>
        </w:rPr>
        <w:t>联系电话：</w:t>
      </w:r>
      <w:r>
        <w:rPr>
          <w:rFonts w:hint="eastAsia" w:ascii="宋体" w:hAnsi="宋体" w:cs="宋体"/>
          <w:color w:val="auto"/>
          <w:szCs w:val="21"/>
          <w:lang w:val="en-US" w:eastAsia="zh-CN"/>
        </w:rPr>
        <w:t>13462477777</w:t>
      </w:r>
    </w:p>
    <w:p>
      <w:pPr>
        <w:spacing w:line="440" w:lineRule="exact"/>
        <w:ind w:left="284" w:firstLine="210" w:firstLineChars="100"/>
        <w:rPr>
          <w:rFonts w:hint="eastAsia" w:ascii="宋体" w:hAnsi="宋体" w:eastAsia="宋体" w:cs="宋体"/>
          <w:color w:val="auto"/>
          <w:szCs w:val="21"/>
          <w:lang w:eastAsia="zh-CN"/>
        </w:rPr>
      </w:pPr>
      <w:r>
        <w:rPr>
          <w:rFonts w:hint="eastAsia" w:ascii="宋体" w:hAnsi="宋体" w:cs="宋体"/>
          <w:color w:val="auto"/>
          <w:szCs w:val="21"/>
        </w:rPr>
        <w:t>（3）</w:t>
      </w:r>
      <w:r>
        <w:rPr>
          <w:rFonts w:hint="eastAsia" w:ascii="宋体" w:hAnsi="宋体" w:cs="宋体"/>
          <w:color w:val="auto"/>
          <w:szCs w:val="21"/>
          <w:lang w:eastAsia="zh-CN"/>
        </w:rPr>
        <w:t>政府采购集中机构</w:t>
      </w:r>
      <w:r>
        <w:rPr>
          <w:rFonts w:hint="eastAsia" w:ascii="宋体" w:hAnsi="宋体" w:cs="宋体"/>
          <w:color w:val="auto"/>
          <w:szCs w:val="21"/>
        </w:rPr>
        <w:t>：</w:t>
      </w:r>
      <w:r>
        <w:rPr>
          <w:rFonts w:hint="eastAsia" w:ascii="宋体" w:hAnsi="宋体" w:cs="宋体"/>
          <w:color w:val="auto"/>
          <w:szCs w:val="21"/>
          <w:lang w:eastAsia="zh-CN"/>
        </w:rPr>
        <w:t>武陟县公共资源交易中心</w:t>
      </w:r>
    </w:p>
    <w:p>
      <w:pPr>
        <w:spacing w:line="440" w:lineRule="exact"/>
        <w:ind w:left="284" w:firstLine="210" w:firstLineChars="100"/>
        <w:rPr>
          <w:rFonts w:hint="default" w:ascii="宋体" w:hAnsi="宋体" w:cs="宋体"/>
          <w:color w:val="auto"/>
          <w:szCs w:val="21"/>
          <w:lang w:val="en-US" w:eastAsia="zh-CN"/>
        </w:rPr>
      </w:pPr>
      <w:r>
        <w:rPr>
          <w:rFonts w:hint="eastAsia" w:ascii="宋体" w:hAnsi="宋体" w:cs="宋体"/>
          <w:color w:val="auto"/>
          <w:szCs w:val="21"/>
        </w:rPr>
        <w:t>地点：武陟县河朔大道中段西侧产业集聚区东门</w:t>
      </w:r>
      <w:r>
        <w:rPr>
          <w:rFonts w:hint="eastAsia" w:ascii="宋体" w:hAnsi="宋体" w:cs="宋体"/>
          <w:color w:val="auto"/>
          <w:szCs w:val="21"/>
          <w:lang w:val="en-US"/>
        </w:rPr>
        <w:t>8</w:t>
      </w:r>
      <w:r>
        <w:rPr>
          <w:rFonts w:hint="eastAsia" w:ascii="宋体" w:hAnsi="宋体" w:cs="宋体"/>
          <w:color w:val="auto"/>
          <w:szCs w:val="21"/>
        </w:rPr>
        <w:t>号楼二楼</w:t>
      </w:r>
    </w:p>
    <w:p>
      <w:pPr>
        <w:spacing w:line="440" w:lineRule="exact"/>
        <w:ind w:left="284" w:firstLine="210" w:firstLineChars="100"/>
        <w:rPr>
          <w:rFonts w:hint="eastAsia"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贾青锋</w:t>
      </w:r>
    </w:p>
    <w:p>
      <w:pPr>
        <w:spacing w:line="440" w:lineRule="exact"/>
        <w:ind w:left="284" w:firstLine="210" w:firstLineChars="100"/>
        <w:rPr>
          <w:rFonts w:ascii="宋体" w:hAnsi="宋体" w:cs="宋体"/>
          <w:color w:val="auto"/>
          <w:szCs w:val="21"/>
        </w:rPr>
      </w:pPr>
      <w:r>
        <w:rPr>
          <w:rFonts w:hint="eastAsia" w:ascii="宋体" w:hAnsi="宋体" w:cs="宋体"/>
          <w:color w:val="auto"/>
          <w:szCs w:val="21"/>
        </w:rPr>
        <w:t>联系电话：0391-7289803</w:t>
      </w:r>
    </w:p>
    <w:p>
      <w:pPr>
        <w:rPr>
          <w:rFonts w:hint="eastAsia"/>
        </w:rPr>
      </w:pPr>
    </w:p>
    <w:p>
      <w:pPr>
        <w:rPr>
          <w:rFonts w:hint="eastAsia" w:ascii="宋体" w:hAnsi="宋体" w:cs="宋体"/>
          <w:szCs w:val="21"/>
        </w:rPr>
      </w:pPr>
    </w:p>
    <w:p>
      <w:pPr>
        <w:pStyle w:val="36"/>
        <w:rPr>
          <w:rFonts w:hint="eastAsia" w:ascii="宋体" w:hAnsi="宋体" w:cs="宋体"/>
          <w:szCs w:val="21"/>
        </w:rPr>
      </w:pPr>
    </w:p>
    <w:p>
      <w:pPr>
        <w:numPr>
          <w:ilvl w:val="0"/>
          <w:numId w:val="4"/>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36"/>
        <w:spacing w:line="440" w:lineRule="exact"/>
        <w:ind w:firstLine="420"/>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sectPr>
          <w:footerReference r:id="rId12" w:type="default"/>
          <w:pgSz w:w="11906" w:h="16838"/>
          <w:pgMar w:top="1134" w:right="1134" w:bottom="1134" w:left="1474" w:header="851" w:footer="510" w:gutter="0"/>
          <w:cols w:space="720" w:num="1"/>
          <w:docGrid w:type="lines" w:linePitch="312" w:charSpace="0"/>
        </w:sectPr>
      </w:pPr>
      <w:bookmarkStart w:id="63" w:name="_Toc11289"/>
      <w:bookmarkStart w:id="64" w:name="_Toc8874"/>
      <w:bookmarkStart w:id="65" w:name="_Toc477423249"/>
      <w:bookmarkStart w:id="66" w:name="_Toc374512417"/>
      <w:bookmarkStart w:id="67" w:name="_Toc373230030"/>
    </w:p>
    <w:p>
      <w:pPr>
        <w:pStyle w:val="34"/>
        <w:numPr>
          <w:ilvl w:val="0"/>
          <w:numId w:val="1"/>
        </w:numPr>
        <w:spacing w:before="0" w:after="0" w:line="360" w:lineRule="auto"/>
        <w:ind w:firstLine="0"/>
        <w:rPr>
          <w:rFonts w:hint="eastAsia" w:ascii="宋体" w:hAnsi="宋体" w:cs="宋体"/>
        </w:rPr>
      </w:pPr>
      <w:bookmarkStart w:id="68" w:name="_Toc29269"/>
      <w:r>
        <w:rPr>
          <w:rFonts w:hint="eastAsia" w:ascii="宋体" w:hAnsi="宋体" w:cs="宋体"/>
        </w:rPr>
        <w:t>评审方法</w:t>
      </w:r>
      <w:bookmarkEnd w:id="63"/>
      <w:r>
        <w:rPr>
          <w:rFonts w:hint="eastAsia" w:ascii="宋体" w:hAnsi="宋体" w:cs="宋体"/>
        </w:rPr>
        <w:t>和评审标准</w:t>
      </w:r>
      <w:bookmarkEnd w:id="64"/>
      <w:bookmarkEnd w:id="68"/>
    </w:p>
    <w:bookmarkEnd w:id="65"/>
    <w:bookmarkEnd w:id="66"/>
    <w:bookmarkEnd w:id="67"/>
    <w:p>
      <w:pPr>
        <w:spacing w:line="440" w:lineRule="exact"/>
        <w:ind w:left="284"/>
        <w:rPr>
          <w:rFonts w:hint="eastAsia" w:ascii="宋体" w:hAnsi="宋体" w:cs="宋体"/>
          <w:b/>
          <w:bCs/>
          <w:szCs w:val="21"/>
        </w:rPr>
      </w:pPr>
      <w:bookmarkStart w:id="69" w:name="_Toc113459850"/>
      <w:bookmarkStart w:id="70" w:name="_Toc7461"/>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500" w:lineRule="exact"/>
        <w:ind w:firstLine="420" w:firstLineChars="200"/>
        <w:rPr>
          <w:rFonts w:hint="eastAsia" w:ascii="宋体" w:hAnsi="宋体"/>
          <w:bCs/>
          <w:sz w:val="21"/>
          <w:szCs w:val="21"/>
          <w:lang w:val="en-US" w:eastAsia="zh-CN"/>
        </w:rPr>
      </w:pPr>
      <w:r>
        <w:rPr>
          <w:rFonts w:hint="eastAsia" w:ascii="宋体" w:hAnsi="宋体"/>
          <w:bCs/>
          <w:sz w:val="21"/>
          <w:szCs w:val="21"/>
          <w:lang w:val="en-US" w:eastAsia="zh-CN"/>
        </w:rPr>
        <w:t>（4）本项目将对小型和微型企业、监狱企业和残疾人福利性单位的最后报价给予</w:t>
      </w:r>
      <w:r>
        <w:rPr>
          <w:rFonts w:hint="eastAsia" w:ascii="宋体" w:hAnsi="宋体"/>
          <w:bCs/>
          <w:color w:val="FF0000"/>
          <w:sz w:val="21"/>
          <w:szCs w:val="21"/>
          <w:u w:val="single"/>
          <w:lang w:val="en-US" w:eastAsia="zh-CN"/>
        </w:rPr>
        <w:t xml:space="preserve"> 20 </w:t>
      </w:r>
      <w:r>
        <w:rPr>
          <w:rFonts w:hint="eastAsia" w:ascii="宋体" w:hAnsi="宋体"/>
          <w:bCs/>
          <w:color w:val="FF0000"/>
          <w:sz w:val="21"/>
          <w:szCs w:val="21"/>
          <w:lang w:val="en-US" w:eastAsia="zh-CN"/>
        </w:rPr>
        <w:t>%</w:t>
      </w:r>
      <w:r>
        <w:rPr>
          <w:rFonts w:hint="eastAsia" w:ascii="宋体" w:hAnsi="宋体"/>
          <w:bCs/>
          <w:sz w:val="21"/>
          <w:szCs w:val="21"/>
          <w:lang w:val="en-US" w:eastAsia="zh-CN"/>
        </w:rPr>
        <w:t>的扣除，用扣除后的价格参与评审。成交价和合同签约价仍以其最后报价为准。计算公式如下：评审价=最后报价×（100%-</w:t>
      </w:r>
      <w:r>
        <w:rPr>
          <w:rFonts w:hint="eastAsia" w:ascii="宋体" w:hAnsi="宋体"/>
          <w:bCs/>
          <w:color w:val="FF0000"/>
          <w:sz w:val="21"/>
          <w:szCs w:val="21"/>
          <w:u w:val="single"/>
          <w:lang w:val="en-US" w:eastAsia="zh-CN"/>
        </w:rPr>
        <w:t>20</w:t>
      </w:r>
      <w:r>
        <w:rPr>
          <w:rFonts w:hint="eastAsia" w:ascii="宋体" w:hAnsi="宋体"/>
          <w:bCs/>
          <w:color w:val="FF0000"/>
          <w:sz w:val="21"/>
          <w:szCs w:val="21"/>
          <w:lang w:val="en-US" w:eastAsia="zh-CN"/>
        </w:rPr>
        <w:t>%</w:t>
      </w:r>
      <w:r>
        <w:rPr>
          <w:rFonts w:hint="eastAsia" w:ascii="宋体" w:hAnsi="宋体"/>
          <w:bCs/>
          <w:sz w:val="21"/>
          <w:szCs w:val="21"/>
          <w:lang w:val="en-US" w:eastAsia="zh-CN"/>
        </w:rPr>
        <w:t>）。</w:t>
      </w:r>
    </w:p>
    <w:p>
      <w:pPr>
        <w:pStyle w:val="84"/>
        <w:spacing w:line="500" w:lineRule="exact"/>
        <w:ind w:firstLine="444" w:firstLineChars="200"/>
        <w:rPr>
          <w:rFonts w:hint="eastAsia" w:ascii="宋体" w:hAnsi="宋体"/>
          <w:bCs/>
          <w:spacing w:val="6"/>
          <w:sz w:val="21"/>
          <w:szCs w:val="21"/>
          <w:lang w:val="en-US" w:eastAsia="zh-CN"/>
        </w:rPr>
      </w:pPr>
      <w:r>
        <w:rPr>
          <w:rFonts w:hint="eastAsia" w:ascii="宋体" w:hAnsi="宋体"/>
          <w:bCs/>
          <w:spacing w:val="6"/>
          <w:sz w:val="21"/>
          <w:szCs w:val="21"/>
        </w:rPr>
        <w:t>注：</w:t>
      </w:r>
      <w:r>
        <w:rPr>
          <w:rFonts w:hint="eastAsia" w:ascii="宋体" w:hAnsi="宋体"/>
          <w:bCs/>
          <w:spacing w:val="6"/>
          <w:sz w:val="21"/>
          <w:szCs w:val="21"/>
          <w:lang w:val="en-US" w:eastAsia="zh-CN"/>
        </w:rPr>
        <w:t>1.</w:t>
      </w:r>
      <w:r>
        <w:rPr>
          <w:rFonts w:hint="eastAsia" w:ascii="宋体" w:hAnsi="宋体"/>
          <w:bCs/>
          <w:spacing w:val="6"/>
          <w:sz w:val="21"/>
          <w:szCs w:val="21"/>
        </w:rPr>
        <w:t>小型和微型企业、监狱企业和残疾人福利性单位产品的认定见第</w:t>
      </w:r>
      <w:r>
        <w:rPr>
          <w:rFonts w:hint="eastAsia" w:ascii="宋体" w:hAnsi="宋体"/>
          <w:bCs/>
          <w:spacing w:val="6"/>
          <w:sz w:val="21"/>
          <w:szCs w:val="21"/>
          <w:lang w:eastAsia="zh-CN"/>
        </w:rPr>
        <w:t>二</w:t>
      </w:r>
      <w:r>
        <w:rPr>
          <w:rFonts w:hint="eastAsia" w:ascii="宋体" w:hAnsi="宋体"/>
          <w:bCs/>
          <w:spacing w:val="6"/>
          <w:sz w:val="21"/>
          <w:szCs w:val="21"/>
        </w:rPr>
        <w:t>章供应商须知前附表</w:t>
      </w:r>
      <w:r>
        <w:rPr>
          <w:rFonts w:hint="eastAsia" w:ascii="宋体" w:hAnsi="宋体"/>
          <w:bCs/>
          <w:spacing w:val="6"/>
          <w:sz w:val="21"/>
          <w:szCs w:val="21"/>
          <w:lang w:val="en-US" w:eastAsia="zh-CN"/>
        </w:rPr>
        <w:t>；</w:t>
      </w:r>
    </w:p>
    <w:p>
      <w:pPr>
        <w:pStyle w:val="84"/>
        <w:numPr>
          <w:ilvl w:val="0"/>
          <w:numId w:val="0"/>
        </w:numPr>
        <w:spacing w:line="500" w:lineRule="exact"/>
        <w:ind w:firstLine="446" w:firstLineChars="200"/>
        <w:rPr>
          <w:rFonts w:hint="eastAsia" w:ascii="宋体" w:hAnsi="宋体"/>
          <w:b/>
          <w:bCs w:val="0"/>
          <w:spacing w:val="6"/>
          <w:sz w:val="21"/>
          <w:szCs w:val="21"/>
        </w:rPr>
      </w:pPr>
      <w:r>
        <w:rPr>
          <w:rFonts w:hint="eastAsia" w:ascii="宋体" w:hAnsi="宋体"/>
          <w:b/>
          <w:bCs w:val="0"/>
          <w:spacing w:val="6"/>
          <w:sz w:val="21"/>
          <w:szCs w:val="21"/>
          <w:lang w:val="en-US" w:eastAsia="zh-CN"/>
        </w:rPr>
        <w:t>2.</w:t>
      </w:r>
      <w:r>
        <w:rPr>
          <w:rFonts w:hint="eastAsia" w:ascii="宋体" w:hAnsi="宋体"/>
          <w:b/>
          <w:bCs w:val="0"/>
          <w:spacing w:val="6"/>
          <w:sz w:val="21"/>
          <w:szCs w:val="21"/>
          <w:lang w:eastAsia="zh-CN"/>
        </w:rPr>
        <w:t>供应商</w:t>
      </w:r>
      <w:r>
        <w:rPr>
          <w:rFonts w:hint="eastAsia" w:ascii="宋体" w:hAnsi="宋体"/>
          <w:b/>
          <w:bCs w:val="0"/>
          <w:spacing w:val="6"/>
          <w:sz w:val="21"/>
          <w:szCs w:val="21"/>
        </w:rPr>
        <w:t>同时为小型、微型企业、监狱企业、残疾人福利性单位任两种或以上情况的，评审中只享受一次价格扣除，不重复进行价格扣除。</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w:t>
      </w:r>
    </w:p>
    <w:tbl>
      <w:tblPr>
        <w:tblStyle w:val="37"/>
        <w:tblW w:w="9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1"/>
        <w:gridCol w:w="1635"/>
        <w:gridCol w:w="7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971" w:type="dxa"/>
            <w:tcBorders>
              <w:top w:val="single" w:color="000000" w:sz="4" w:space="0"/>
              <w:left w:val="single" w:color="000000" w:sz="4" w:space="0"/>
              <w:bottom w:val="single" w:color="000000" w:sz="4" w:space="0"/>
              <w:right w:val="single" w:color="000000" w:sz="4" w:space="0"/>
            </w:tcBorders>
            <w:vAlign w:val="center"/>
          </w:tcPr>
          <w:p>
            <w:pPr>
              <w:pStyle w:val="101"/>
              <w:jc w:val="center"/>
              <w:rPr>
                <w:rFonts w:hAnsi="宋体" w:cs="宋体"/>
                <w:b/>
                <w:color w:val="auto"/>
                <w:spacing w:val="6"/>
                <w:kern w:val="2"/>
                <w:sz w:val="21"/>
                <w:szCs w:val="21"/>
              </w:rPr>
            </w:pPr>
            <w:r>
              <w:rPr>
                <w:rFonts w:hint="eastAsia" w:hAnsi="宋体" w:cs="宋体"/>
                <w:b/>
                <w:color w:val="auto"/>
                <w:spacing w:val="6"/>
                <w:kern w:val="2"/>
                <w:sz w:val="21"/>
                <w:szCs w:val="21"/>
              </w:rPr>
              <w:t>序号</w:t>
            </w:r>
          </w:p>
        </w:tc>
        <w:tc>
          <w:tcPr>
            <w:tcW w:w="1635" w:type="dxa"/>
            <w:tcBorders>
              <w:top w:val="single" w:color="000000" w:sz="4" w:space="0"/>
              <w:left w:val="single" w:color="000000" w:sz="4" w:space="0"/>
              <w:bottom w:val="single" w:color="000000" w:sz="4" w:space="0"/>
              <w:right w:val="single" w:color="000000" w:sz="4" w:space="0"/>
            </w:tcBorders>
            <w:vAlign w:val="center"/>
          </w:tcPr>
          <w:p>
            <w:pPr>
              <w:pStyle w:val="101"/>
              <w:jc w:val="center"/>
              <w:rPr>
                <w:rFonts w:hAnsi="宋体" w:cs="宋体"/>
                <w:b/>
                <w:color w:val="auto"/>
                <w:spacing w:val="6"/>
                <w:kern w:val="2"/>
                <w:sz w:val="21"/>
                <w:szCs w:val="21"/>
              </w:rPr>
            </w:pPr>
            <w:r>
              <w:rPr>
                <w:rFonts w:hint="eastAsia" w:hAnsi="宋体" w:cs="宋体"/>
                <w:b/>
                <w:color w:val="auto"/>
                <w:spacing w:val="6"/>
                <w:kern w:val="2"/>
                <w:sz w:val="21"/>
                <w:szCs w:val="21"/>
              </w:rPr>
              <w:t>评分因素</w:t>
            </w:r>
          </w:p>
        </w:tc>
        <w:tc>
          <w:tcPr>
            <w:tcW w:w="7340" w:type="dxa"/>
            <w:tcBorders>
              <w:top w:val="single" w:color="000000" w:sz="4" w:space="0"/>
              <w:left w:val="single" w:color="000000" w:sz="4" w:space="0"/>
              <w:bottom w:val="single" w:color="000000" w:sz="4" w:space="0"/>
              <w:right w:val="single" w:color="000000" w:sz="4" w:space="0"/>
            </w:tcBorders>
            <w:vAlign w:val="center"/>
          </w:tcPr>
          <w:p>
            <w:pPr>
              <w:pStyle w:val="101"/>
              <w:jc w:val="center"/>
              <w:rPr>
                <w:rFonts w:hAnsi="宋体" w:cs="宋体"/>
                <w:b/>
                <w:color w:val="auto"/>
                <w:spacing w:val="6"/>
                <w:kern w:val="2"/>
                <w:sz w:val="21"/>
                <w:szCs w:val="21"/>
              </w:rPr>
            </w:pPr>
            <w:r>
              <w:rPr>
                <w:rFonts w:hint="eastAsia" w:hAnsi="宋体" w:cs="宋体"/>
                <w:b/>
                <w:color w:val="auto"/>
                <w:spacing w:val="6"/>
                <w:kern w:val="2"/>
                <w:sz w:val="21"/>
                <w:szCs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971" w:type="dxa"/>
            <w:tcBorders>
              <w:top w:val="single" w:color="000000" w:sz="4" w:space="0"/>
              <w:left w:val="single" w:color="000000" w:sz="4" w:space="0"/>
              <w:bottom w:val="single" w:color="auto" w:sz="4" w:space="0"/>
              <w:right w:val="single" w:color="000000" w:sz="4" w:space="0"/>
            </w:tcBorders>
            <w:vAlign w:val="center"/>
          </w:tcPr>
          <w:p>
            <w:pPr>
              <w:pStyle w:val="101"/>
              <w:jc w:val="center"/>
              <w:rPr>
                <w:rFonts w:hAnsi="宋体" w:cs="宋体"/>
                <w:bCs/>
                <w:color w:val="auto"/>
                <w:spacing w:val="6"/>
                <w:kern w:val="2"/>
                <w:sz w:val="21"/>
                <w:szCs w:val="21"/>
              </w:rPr>
            </w:pPr>
            <w:r>
              <w:rPr>
                <w:rFonts w:hint="eastAsia" w:hAnsi="宋体" w:cs="宋体"/>
                <w:bCs/>
                <w:color w:val="auto"/>
                <w:spacing w:val="6"/>
                <w:kern w:val="2"/>
                <w:sz w:val="21"/>
                <w:szCs w:val="21"/>
              </w:rPr>
              <w:t>1</w:t>
            </w:r>
          </w:p>
        </w:tc>
        <w:tc>
          <w:tcPr>
            <w:tcW w:w="1635" w:type="dxa"/>
            <w:tcBorders>
              <w:top w:val="single" w:color="000000" w:sz="4" w:space="0"/>
              <w:left w:val="single" w:color="000000" w:sz="4" w:space="0"/>
              <w:bottom w:val="single" w:color="auto" w:sz="4" w:space="0"/>
              <w:right w:val="single" w:color="000000" w:sz="4" w:space="0"/>
            </w:tcBorders>
            <w:vAlign w:val="center"/>
          </w:tcPr>
          <w:p>
            <w:pPr>
              <w:pStyle w:val="101"/>
              <w:jc w:val="center"/>
              <w:rPr>
                <w:rFonts w:hAnsi="宋体" w:cs="宋体"/>
                <w:bCs/>
                <w:color w:val="auto"/>
                <w:spacing w:val="6"/>
                <w:kern w:val="2"/>
                <w:sz w:val="21"/>
                <w:szCs w:val="21"/>
              </w:rPr>
            </w:pPr>
            <w:r>
              <w:rPr>
                <w:rFonts w:hint="eastAsia" w:hAnsi="宋体" w:cs="宋体"/>
                <w:bCs/>
                <w:color w:val="auto"/>
                <w:spacing w:val="6"/>
                <w:kern w:val="2"/>
                <w:sz w:val="21"/>
                <w:szCs w:val="21"/>
              </w:rPr>
              <w:t>分值构成</w:t>
            </w:r>
          </w:p>
          <w:p>
            <w:pPr>
              <w:pStyle w:val="101"/>
              <w:jc w:val="center"/>
              <w:rPr>
                <w:rFonts w:hAnsi="宋体" w:cs="宋体"/>
                <w:bCs/>
                <w:color w:val="auto"/>
                <w:spacing w:val="6"/>
                <w:kern w:val="2"/>
                <w:sz w:val="21"/>
                <w:szCs w:val="21"/>
              </w:rPr>
            </w:pPr>
            <w:r>
              <w:rPr>
                <w:rFonts w:hint="eastAsia" w:hAnsi="宋体" w:cs="宋体"/>
                <w:bCs/>
                <w:color w:val="auto"/>
                <w:spacing w:val="6"/>
                <w:kern w:val="2"/>
                <w:sz w:val="21"/>
                <w:szCs w:val="21"/>
              </w:rPr>
              <w:t>（100分）</w:t>
            </w:r>
          </w:p>
        </w:tc>
        <w:tc>
          <w:tcPr>
            <w:tcW w:w="7340" w:type="dxa"/>
            <w:tcBorders>
              <w:top w:val="single" w:color="000000" w:sz="4" w:space="0"/>
              <w:left w:val="single" w:color="000000" w:sz="4" w:space="0"/>
              <w:bottom w:val="single" w:color="auto" w:sz="4" w:space="0"/>
              <w:right w:val="single" w:color="000000" w:sz="4" w:space="0"/>
            </w:tcBorders>
            <w:vAlign w:val="center"/>
          </w:tcPr>
          <w:p>
            <w:pPr>
              <w:rPr>
                <w:rFonts w:ascii="宋体" w:hAnsi="宋体" w:cs="宋体"/>
                <w:bCs/>
                <w:spacing w:val="6"/>
                <w:szCs w:val="21"/>
              </w:rPr>
            </w:pPr>
            <w:r>
              <w:rPr>
                <w:rFonts w:hint="eastAsia" w:ascii="宋体" w:hAnsi="宋体" w:cs="宋体"/>
                <w:bCs/>
                <w:spacing w:val="6"/>
                <w:szCs w:val="21"/>
              </w:rPr>
              <w:t>报价部分：30分，技术部分：</w:t>
            </w:r>
            <w:r>
              <w:rPr>
                <w:rFonts w:hint="eastAsia" w:ascii="宋体" w:hAnsi="宋体" w:cs="宋体"/>
                <w:bCs/>
                <w:spacing w:val="6"/>
                <w:szCs w:val="21"/>
                <w:lang w:val="en-US" w:eastAsia="zh-CN"/>
              </w:rPr>
              <w:t>50</w:t>
            </w:r>
            <w:r>
              <w:rPr>
                <w:rFonts w:hint="eastAsia" w:ascii="宋体" w:hAnsi="宋体" w:cs="宋体"/>
                <w:bCs/>
                <w:spacing w:val="6"/>
                <w:szCs w:val="21"/>
              </w:rPr>
              <w:t>分，商务部分：2</w:t>
            </w:r>
            <w:r>
              <w:rPr>
                <w:rFonts w:hint="eastAsia" w:ascii="宋体" w:hAnsi="宋体" w:cs="宋体"/>
                <w:bCs/>
                <w:spacing w:val="6"/>
                <w:szCs w:val="21"/>
                <w:lang w:val="en-US" w:eastAsia="zh-CN"/>
              </w:rPr>
              <w:t>0</w:t>
            </w:r>
            <w:r>
              <w:rPr>
                <w:rFonts w:hint="eastAsia" w:ascii="宋体" w:hAnsi="宋体" w:cs="宋体"/>
                <w:bCs/>
                <w:spacing w:val="6"/>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2" w:hRule="atLeast"/>
          <w:jc w:val="center"/>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bCs/>
                <w:spacing w:val="6"/>
                <w:szCs w:val="21"/>
              </w:rPr>
              <w:t>2</w:t>
            </w:r>
          </w:p>
          <w:p>
            <w:pPr>
              <w:jc w:val="center"/>
              <w:rPr>
                <w:rFonts w:ascii="宋体" w:hAnsi="宋体" w:cs="宋体"/>
                <w:bCs/>
                <w:spacing w:val="6"/>
                <w:szCs w:val="21"/>
              </w:rPr>
            </w:pPr>
            <w:r>
              <w:rPr>
                <w:rFonts w:hint="eastAsia" w:ascii="宋体" w:hAnsi="宋体" w:cs="宋体"/>
                <w:bCs/>
                <w:spacing w:val="6"/>
                <w:szCs w:val="21"/>
              </w:rPr>
              <w:t>报价部分</w:t>
            </w:r>
          </w:p>
          <w:p>
            <w:pPr>
              <w:jc w:val="center"/>
              <w:rPr>
                <w:rFonts w:ascii="宋体" w:hAnsi="宋体" w:cs="宋体"/>
                <w:bCs/>
                <w:spacing w:val="6"/>
                <w:szCs w:val="21"/>
              </w:rPr>
            </w:pPr>
            <w:r>
              <w:rPr>
                <w:rFonts w:hint="eastAsia" w:ascii="宋体" w:hAnsi="宋体" w:cs="宋体"/>
                <w:bCs/>
                <w:spacing w:val="6"/>
                <w:szCs w:val="21"/>
              </w:rPr>
              <w:t>（30分）</w:t>
            </w: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bCs/>
                <w:spacing w:val="6"/>
                <w:szCs w:val="21"/>
              </w:rPr>
              <w:t>报价部分</w:t>
            </w:r>
          </w:p>
          <w:p>
            <w:pPr>
              <w:jc w:val="center"/>
              <w:rPr>
                <w:rFonts w:ascii="宋体" w:hAnsi="宋体" w:cs="宋体"/>
                <w:bCs/>
                <w:spacing w:val="6"/>
                <w:szCs w:val="21"/>
              </w:rPr>
            </w:pPr>
            <w:r>
              <w:rPr>
                <w:rFonts w:hint="eastAsia" w:ascii="宋体" w:hAnsi="宋体" w:cs="宋体"/>
                <w:bCs/>
                <w:spacing w:val="6"/>
                <w:szCs w:val="21"/>
              </w:rPr>
              <w:t>（30分）</w:t>
            </w:r>
          </w:p>
        </w:tc>
        <w:tc>
          <w:tcPr>
            <w:tcW w:w="7340"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0" w:firstLineChars="200"/>
              <w:rPr>
                <w:rFonts w:hint="eastAsia" w:ascii="宋体" w:hAnsi="宋体"/>
                <w:sz w:val="21"/>
                <w:szCs w:val="21"/>
              </w:rPr>
            </w:pPr>
            <w:r>
              <w:rPr>
                <w:rFonts w:hint="eastAsia" w:ascii="宋体" w:hAnsi="宋体"/>
                <w:sz w:val="21"/>
                <w:szCs w:val="21"/>
              </w:rPr>
              <w:t>满足</w:t>
            </w:r>
            <w:r>
              <w:rPr>
                <w:rFonts w:hint="eastAsia" w:ascii="宋体" w:hAnsi="宋体"/>
                <w:sz w:val="21"/>
                <w:szCs w:val="21"/>
                <w:lang w:eastAsia="zh-CN"/>
              </w:rPr>
              <w:t>竞争性磋商</w:t>
            </w:r>
            <w:r>
              <w:rPr>
                <w:rFonts w:hint="eastAsia" w:ascii="宋体" w:hAnsi="宋体"/>
                <w:sz w:val="21"/>
                <w:szCs w:val="21"/>
              </w:rPr>
              <w:t>文件要求且价格最低的报价（含小型和微型企业、监狱企业和残疾人福利性单位评标价）为评标基准价，其价格分为满分（即</w:t>
            </w:r>
            <w:r>
              <w:rPr>
                <w:rFonts w:hint="eastAsia" w:ascii="宋体" w:hAnsi="宋体"/>
                <w:sz w:val="21"/>
                <w:szCs w:val="21"/>
                <w:lang w:val="en-US" w:eastAsia="zh-CN"/>
              </w:rPr>
              <w:t>30</w:t>
            </w:r>
            <w:r>
              <w:rPr>
                <w:rFonts w:hint="eastAsia" w:ascii="宋体" w:hAnsi="宋体"/>
                <w:sz w:val="21"/>
                <w:szCs w:val="21"/>
              </w:rPr>
              <w:t>分）。其他</w:t>
            </w:r>
            <w:r>
              <w:rPr>
                <w:rFonts w:hint="eastAsia" w:ascii="宋体" w:hAnsi="宋体"/>
                <w:sz w:val="21"/>
                <w:szCs w:val="21"/>
                <w:lang w:eastAsia="zh-CN"/>
              </w:rPr>
              <w:t>供应商</w:t>
            </w:r>
            <w:r>
              <w:rPr>
                <w:rFonts w:hint="eastAsia" w:ascii="宋体" w:hAnsi="宋体"/>
                <w:sz w:val="21"/>
                <w:szCs w:val="21"/>
              </w:rPr>
              <w:t>的价格分统一按照下列公式计算：</w:t>
            </w:r>
          </w:p>
          <w:p>
            <w:pPr>
              <w:spacing w:line="400" w:lineRule="exact"/>
              <w:rPr>
                <w:rFonts w:ascii="宋体" w:hAnsi="宋体" w:cs="宋体"/>
                <w:bCs/>
                <w:spacing w:val="6"/>
                <w:szCs w:val="21"/>
              </w:rPr>
            </w:pPr>
            <w:r>
              <w:rPr>
                <w:rFonts w:hint="eastAsia" w:ascii="宋体" w:hAnsi="宋体"/>
                <w:sz w:val="21"/>
                <w:szCs w:val="21"/>
              </w:rPr>
              <w:t>报价得分=(评标基准价／报价) ×价格权值（</w:t>
            </w:r>
            <w:r>
              <w:rPr>
                <w:rFonts w:hint="eastAsia" w:ascii="宋体" w:hAnsi="宋体"/>
                <w:sz w:val="21"/>
                <w:szCs w:val="21"/>
                <w:lang w:val="en-US" w:eastAsia="zh-CN"/>
              </w:rPr>
              <w:t>30</w:t>
            </w:r>
            <w:r>
              <w:rPr>
                <w:rFonts w:hint="eastAsia" w:ascii="宋体" w:hAnsi="宋体"/>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8" w:hRule="atLeast"/>
          <w:jc w:val="center"/>
        </w:trPr>
        <w:tc>
          <w:tcPr>
            <w:tcW w:w="971" w:type="dxa"/>
            <w:vMerge w:val="restart"/>
            <w:tcBorders>
              <w:top w:val="single" w:color="auto" w:sz="4" w:space="0"/>
              <w:left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bCs/>
                <w:spacing w:val="6"/>
                <w:szCs w:val="21"/>
              </w:rPr>
              <w:t>3</w:t>
            </w:r>
          </w:p>
          <w:p>
            <w:pPr>
              <w:jc w:val="center"/>
              <w:rPr>
                <w:rFonts w:ascii="宋体" w:hAnsi="宋体" w:cs="宋体"/>
                <w:bCs/>
                <w:spacing w:val="6"/>
                <w:szCs w:val="21"/>
              </w:rPr>
            </w:pPr>
            <w:r>
              <w:rPr>
                <w:rFonts w:hint="eastAsia" w:ascii="宋体" w:hAnsi="宋体" w:cs="宋体"/>
                <w:bCs/>
                <w:spacing w:val="6"/>
                <w:szCs w:val="21"/>
              </w:rPr>
              <w:t>技术部分</w:t>
            </w:r>
          </w:p>
          <w:p>
            <w:pPr>
              <w:jc w:val="center"/>
              <w:rPr>
                <w:rFonts w:ascii="宋体" w:hAnsi="宋体" w:cs="宋体"/>
                <w:bCs/>
                <w:spacing w:val="6"/>
                <w:szCs w:val="21"/>
              </w:rPr>
            </w:pPr>
            <w:r>
              <w:rPr>
                <w:rFonts w:hint="eastAsia" w:ascii="宋体" w:hAnsi="宋体" w:cs="宋体"/>
                <w:bCs/>
                <w:spacing w:val="6"/>
                <w:szCs w:val="21"/>
              </w:rPr>
              <w:t>（</w:t>
            </w:r>
            <w:r>
              <w:rPr>
                <w:rFonts w:hint="eastAsia" w:ascii="宋体" w:hAnsi="宋体" w:cs="宋体"/>
                <w:bCs/>
                <w:spacing w:val="6"/>
                <w:szCs w:val="21"/>
                <w:lang w:val="en-US" w:eastAsia="zh-CN"/>
              </w:rPr>
              <w:t>50</w:t>
            </w:r>
            <w:r>
              <w:rPr>
                <w:rFonts w:hint="eastAsia" w:ascii="宋体" w:hAnsi="宋体" w:cs="宋体"/>
                <w:bCs/>
                <w:spacing w:val="6"/>
                <w:szCs w:val="21"/>
              </w:rPr>
              <w:t>分）</w:t>
            </w:r>
          </w:p>
          <w:p>
            <w:pPr>
              <w:jc w:val="left"/>
              <w:rPr>
                <w:rFonts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技术参数</w:t>
            </w:r>
          </w:p>
          <w:p>
            <w:pPr>
              <w:jc w:val="center"/>
              <w:rPr>
                <w:rFonts w:ascii="宋体" w:hAnsi="宋体" w:cs="宋体"/>
                <w:bCs/>
                <w:spacing w:val="6"/>
                <w:szCs w:val="21"/>
              </w:rPr>
            </w:pPr>
            <w:r>
              <w:rPr>
                <w:rFonts w:hint="eastAsia" w:ascii="宋体" w:hAnsi="宋体" w:cs="宋体"/>
                <w:bCs/>
                <w:spacing w:val="6"/>
                <w:szCs w:val="21"/>
              </w:rPr>
              <w:t>（30分）</w:t>
            </w:r>
          </w:p>
        </w:tc>
        <w:tc>
          <w:tcPr>
            <w:tcW w:w="734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cs="宋体"/>
                <w:szCs w:val="21"/>
              </w:rPr>
            </w:pPr>
            <w:r>
              <w:rPr>
                <w:rFonts w:hint="eastAsia" w:hAnsi="宋体" w:cs="宋体"/>
                <w:szCs w:val="21"/>
              </w:rPr>
              <w:t>所投产品技术性能、产品规格符合</w:t>
            </w:r>
            <w:r>
              <w:rPr>
                <w:rFonts w:hint="eastAsia" w:hAnsi="宋体" w:cs="宋体"/>
                <w:szCs w:val="21"/>
                <w:lang w:eastAsia="zh-CN"/>
              </w:rPr>
              <w:t>磋商</w:t>
            </w:r>
            <w:r>
              <w:rPr>
                <w:rFonts w:hint="eastAsia" w:hAnsi="宋体" w:cs="宋体"/>
                <w:szCs w:val="21"/>
              </w:rPr>
              <w:t>文件的得30分；</w:t>
            </w:r>
            <w:r>
              <w:rPr>
                <w:rFonts w:hint="eastAsia" w:ascii="宋体" w:hAnsi="宋体" w:cs="宋体"/>
                <w:szCs w:val="21"/>
              </w:rPr>
              <w:t>非“</w:t>
            </w:r>
            <w:r>
              <w:rPr>
                <w:rFonts w:hint="eastAsia"/>
                <w:szCs w:val="21"/>
              </w:rPr>
              <w:t>★</w:t>
            </w:r>
            <w:r>
              <w:rPr>
                <w:rFonts w:hint="eastAsia" w:ascii="宋体" w:hAnsi="宋体" w:cs="宋体"/>
                <w:szCs w:val="21"/>
              </w:rPr>
              <w:t>”标注项为一般性技术参数，每一项不满足扣</w:t>
            </w:r>
            <w:r>
              <w:rPr>
                <w:rFonts w:hint="eastAsia" w:hAnsi="宋体" w:cs="宋体"/>
                <w:szCs w:val="21"/>
              </w:rPr>
              <w:t>1</w:t>
            </w:r>
            <w:r>
              <w:rPr>
                <w:rFonts w:hint="eastAsia" w:ascii="宋体" w:hAnsi="宋体" w:cs="宋体"/>
                <w:szCs w:val="21"/>
              </w:rPr>
              <w:t>分，扣完为止。标注“</w:t>
            </w:r>
            <w:r>
              <w:rPr>
                <w:rFonts w:hint="eastAsia"/>
                <w:szCs w:val="21"/>
              </w:rPr>
              <w:t>★</w:t>
            </w:r>
            <w:r>
              <w:rPr>
                <w:rFonts w:hint="eastAsia" w:ascii="宋体" w:hAnsi="宋体" w:cs="宋体"/>
                <w:szCs w:val="21"/>
              </w:rPr>
              <w:t>”的为重要技术参数，每有一项不满足扣</w:t>
            </w:r>
            <w:r>
              <w:rPr>
                <w:rFonts w:hint="eastAsia" w:hAnsi="宋体" w:cs="宋体"/>
                <w:szCs w:val="21"/>
              </w:rPr>
              <w:t>3</w:t>
            </w:r>
            <w:r>
              <w:rPr>
                <w:rFonts w:hint="eastAsia" w:ascii="宋体" w:hAnsi="宋体" w:cs="宋体"/>
                <w:szCs w:val="21"/>
              </w:rPr>
              <w:t>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971" w:type="dxa"/>
            <w:vMerge w:val="continue"/>
            <w:tcBorders>
              <w:left w:val="single" w:color="auto" w:sz="4" w:space="0"/>
              <w:right w:val="single" w:color="auto" w:sz="4" w:space="0"/>
            </w:tcBorders>
            <w:vAlign w:val="center"/>
          </w:tcPr>
          <w:p>
            <w:pPr>
              <w:jc w:val="left"/>
              <w:rPr>
                <w:rFonts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sz w:val="21"/>
                <w:szCs w:val="21"/>
              </w:rPr>
              <w:t>优先采购节能、环保产品(</w:t>
            </w:r>
            <w:r>
              <w:rPr>
                <w:rFonts w:hint="eastAsia" w:ascii="宋体" w:hAnsi="宋体" w:cs="宋体"/>
                <w:sz w:val="21"/>
                <w:szCs w:val="21"/>
                <w:lang w:val="en-US" w:eastAsia="zh-CN"/>
              </w:rPr>
              <w:t>1</w:t>
            </w:r>
            <w:r>
              <w:rPr>
                <w:rFonts w:hint="eastAsia" w:ascii="宋体" w:hAnsi="宋体" w:cs="宋体"/>
                <w:sz w:val="21"/>
                <w:szCs w:val="21"/>
              </w:rPr>
              <w:t>分)</w:t>
            </w:r>
          </w:p>
        </w:tc>
        <w:tc>
          <w:tcPr>
            <w:tcW w:w="734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hint="eastAsia" w:ascii="宋体" w:hAnsi="宋体" w:eastAsia="宋体" w:cs="宋体"/>
                <w:szCs w:val="21"/>
                <w:lang w:eastAsia="zh-CN"/>
              </w:rPr>
            </w:pPr>
            <w:r>
              <w:rPr>
                <w:rFonts w:hint="eastAsia" w:ascii="宋体" w:hAnsi="宋体"/>
                <w:sz w:val="21"/>
                <w:szCs w:val="21"/>
                <w:lang w:val="en-US" w:eastAsia="zh-CN"/>
              </w:rPr>
              <w:t>1.</w:t>
            </w:r>
            <w:r>
              <w:rPr>
                <w:rFonts w:hint="eastAsia" w:ascii="宋体" w:hAnsi="宋体" w:eastAsia="宋体" w:cs="宋体"/>
                <w:szCs w:val="21"/>
              </w:rPr>
              <w:t>节能产品（政府强制采购的节能产品除外）：所投</w:t>
            </w:r>
            <w:r>
              <w:rPr>
                <w:rFonts w:hint="eastAsia" w:ascii="宋体" w:hAnsi="宋体" w:eastAsia="宋体" w:cs="宋体"/>
                <w:szCs w:val="21"/>
                <w:lang w:val="en-US" w:eastAsia="zh-CN"/>
              </w:rPr>
              <w:t>网络安全管理平台</w:t>
            </w:r>
            <w:r>
              <w:rPr>
                <w:rFonts w:hint="eastAsia" w:ascii="宋体" w:hAnsi="宋体" w:eastAsia="宋体" w:cs="宋体"/>
                <w:szCs w:val="21"/>
              </w:rPr>
              <w:t>产品为节能产品的得</w:t>
            </w:r>
            <w:r>
              <w:rPr>
                <w:rFonts w:hint="eastAsia" w:ascii="宋体" w:hAnsi="宋体" w:eastAsia="宋体" w:cs="宋体"/>
                <w:szCs w:val="21"/>
                <w:lang w:val="en-US" w:eastAsia="zh-CN"/>
              </w:rPr>
              <w:t>0.5</w:t>
            </w:r>
            <w:r>
              <w:rPr>
                <w:rFonts w:hint="eastAsia" w:ascii="宋体" w:hAnsi="宋体" w:eastAsia="宋体" w:cs="宋体"/>
                <w:szCs w:val="21"/>
              </w:rPr>
              <w:t>分</w:t>
            </w:r>
            <w:r>
              <w:rPr>
                <w:rFonts w:hint="eastAsia" w:ascii="宋体" w:hAnsi="宋体" w:eastAsia="宋体" w:cs="宋体"/>
                <w:szCs w:val="21"/>
                <w:lang w:eastAsia="zh-CN"/>
              </w:rPr>
              <w:t>；</w:t>
            </w:r>
          </w:p>
          <w:p>
            <w:pPr>
              <w:ind w:firstLine="420" w:firstLineChars="2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环保产品：所投</w:t>
            </w:r>
            <w:r>
              <w:rPr>
                <w:rFonts w:hint="eastAsia" w:ascii="宋体" w:hAnsi="宋体" w:eastAsia="宋体" w:cs="宋体"/>
                <w:szCs w:val="21"/>
                <w:lang w:val="en-US" w:eastAsia="zh-CN"/>
              </w:rPr>
              <w:t>网络安全管理平台</w:t>
            </w:r>
            <w:r>
              <w:rPr>
                <w:rFonts w:hint="eastAsia" w:ascii="宋体" w:hAnsi="宋体" w:eastAsia="宋体" w:cs="宋体"/>
                <w:szCs w:val="21"/>
              </w:rPr>
              <w:t>产品为环境标志产品的得</w:t>
            </w:r>
            <w:r>
              <w:rPr>
                <w:rFonts w:hint="eastAsia" w:ascii="宋体" w:hAnsi="宋体" w:eastAsia="宋体" w:cs="宋体"/>
                <w:szCs w:val="21"/>
                <w:lang w:val="en-US" w:eastAsia="zh-CN"/>
              </w:rPr>
              <w:t>0.5</w:t>
            </w:r>
            <w:r>
              <w:rPr>
                <w:rFonts w:hint="eastAsia" w:ascii="宋体" w:hAnsi="宋体" w:eastAsia="宋体" w:cs="宋体"/>
                <w:szCs w:val="21"/>
              </w:rPr>
              <w:t>分。</w:t>
            </w:r>
          </w:p>
          <w:p>
            <w:pPr>
              <w:ind w:firstLine="422" w:firstLineChars="200"/>
              <w:rPr>
                <w:rFonts w:hint="eastAsia"/>
                <w:lang w:val="en-US" w:eastAsia="zh-CN"/>
              </w:rPr>
            </w:pPr>
            <w:r>
              <w:rPr>
                <w:rFonts w:hint="eastAsia" w:ascii="宋体" w:hAnsi="宋体" w:eastAsia="宋体" w:cs="宋体"/>
                <w:b/>
                <w:bCs/>
                <w:szCs w:val="21"/>
              </w:rPr>
              <w:t>提供节能产品、环境标志产品依据国家确定的认证机构出具的、处于有效期之内的节能产品、环境标志产品认证证书，提供复印件加盖</w:t>
            </w:r>
            <w:r>
              <w:rPr>
                <w:rFonts w:hint="eastAsia" w:ascii="宋体" w:hAnsi="宋体" w:eastAsia="宋体" w:cs="宋体"/>
                <w:b/>
                <w:bCs/>
                <w:szCs w:val="21"/>
                <w:lang w:eastAsia="zh-CN"/>
              </w:rPr>
              <w:t>供应商</w:t>
            </w:r>
            <w:r>
              <w:rPr>
                <w:rFonts w:hint="eastAsia" w:ascii="宋体" w:hAnsi="宋体" w:eastAsia="宋体" w:cs="宋体"/>
                <w:b/>
                <w:bCs/>
                <w:szCs w:val="21"/>
              </w:rPr>
              <w:t>公章，否则不予承认。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71" w:type="dxa"/>
            <w:vMerge w:val="continue"/>
            <w:tcBorders>
              <w:left w:val="single" w:color="auto" w:sz="4" w:space="0"/>
              <w:right w:val="single" w:color="auto" w:sz="4" w:space="0"/>
            </w:tcBorders>
            <w:vAlign w:val="center"/>
          </w:tcPr>
          <w:p>
            <w:pPr>
              <w:jc w:val="left"/>
              <w:rPr>
                <w:rFonts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pacing w:val="30"/>
              </w:rPr>
            </w:pPr>
            <w:r>
              <w:rPr>
                <w:rFonts w:hint="eastAsia" w:ascii="宋体" w:hAnsi="宋体" w:cs="宋体"/>
                <w:spacing w:val="30"/>
              </w:rPr>
              <w:t>安全性</w:t>
            </w:r>
          </w:p>
          <w:p>
            <w:pPr>
              <w:pStyle w:val="35"/>
              <w:jc w:val="center"/>
            </w:pPr>
            <w:r>
              <w:rPr>
                <w:rFonts w:hint="eastAsia" w:ascii="宋体" w:hAnsi="宋体" w:cs="宋体"/>
                <w:spacing w:val="30"/>
              </w:rPr>
              <w:t>（1</w:t>
            </w:r>
            <w:r>
              <w:rPr>
                <w:rFonts w:hint="eastAsia" w:ascii="宋体" w:hAnsi="宋体" w:cs="宋体"/>
                <w:spacing w:val="30"/>
                <w:lang w:val="en-US" w:eastAsia="zh-CN"/>
              </w:rPr>
              <w:t>4</w:t>
            </w:r>
            <w:r>
              <w:rPr>
                <w:rFonts w:hint="eastAsia" w:ascii="宋体" w:hAnsi="宋体" w:cs="宋体"/>
                <w:spacing w:val="30"/>
              </w:rPr>
              <w:t>）</w:t>
            </w:r>
          </w:p>
          <w:p>
            <w:pPr>
              <w:jc w:val="center"/>
              <w:rPr>
                <w:rFonts w:ascii="宋体" w:hAnsi="宋体" w:cs="宋体"/>
                <w:bCs/>
                <w:spacing w:val="6"/>
                <w:szCs w:val="21"/>
              </w:rPr>
            </w:pPr>
          </w:p>
        </w:tc>
        <w:tc>
          <w:tcPr>
            <w:tcW w:w="7340"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before="156" w:beforeLines="50" w:after="10"/>
              <w:rPr>
                <w:b/>
                <w:bCs/>
              </w:rPr>
            </w:pPr>
            <w:r>
              <w:rPr>
                <w:rFonts w:hint="eastAsia"/>
                <w:color w:val="0000FF"/>
                <w:lang w:val="en-US" w:eastAsia="zh-CN"/>
              </w:rPr>
              <w:t xml:space="preserve">   </w:t>
            </w:r>
            <w:r>
              <w:rPr>
                <w:rFonts w:hint="eastAsia"/>
                <w:color w:val="auto"/>
                <w:lang w:val="en-US" w:eastAsia="zh-CN"/>
              </w:rPr>
              <w:t>1.</w:t>
            </w:r>
            <w:r>
              <w:rPr>
                <w:color w:val="auto"/>
              </w:rPr>
              <w:t>所投</w:t>
            </w:r>
            <w:r>
              <w:rPr>
                <w:rFonts w:hint="eastAsia"/>
                <w:color w:val="auto"/>
                <w:lang w:eastAsia="zh-CN"/>
              </w:rPr>
              <w:t>网络安全管理平台取得</w:t>
            </w:r>
            <w:r>
              <w:rPr>
                <w:color w:val="auto"/>
              </w:rPr>
              <w:t>产品信息安全认证证书</w:t>
            </w:r>
            <w:r>
              <w:rPr>
                <w:rFonts w:hint="eastAsia"/>
                <w:color w:val="auto"/>
              </w:rPr>
              <w:t>的得2分</w:t>
            </w:r>
            <w:r>
              <w:rPr>
                <w:rFonts w:hint="eastAsia"/>
                <w:color w:val="auto"/>
                <w:lang w:eastAsia="zh-CN"/>
              </w:rPr>
              <w:t>，所投</w:t>
            </w:r>
            <w:r>
              <w:rPr>
                <w:rFonts w:hint="eastAsia"/>
                <w:color w:val="auto"/>
              </w:rPr>
              <w:t>核心交换机</w:t>
            </w:r>
            <w:r>
              <w:rPr>
                <w:rFonts w:hint="eastAsia" w:ascii="宋体" w:hAnsi="宋体" w:cs="宋体"/>
                <w:color w:val="auto"/>
                <w:szCs w:val="21"/>
                <w:lang w:eastAsia="zh-CN"/>
              </w:rPr>
              <w:t>取得</w:t>
            </w:r>
            <w:r>
              <w:rPr>
                <w:color w:val="auto"/>
              </w:rPr>
              <w:t>产品信息安全认证证书</w:t>
            </w:r>
            <w:r>
              <w:rPr>
                <w:rFonts w:hint="eastAsia"/>
                <w:color w:val="auto"/>
              </w:rPr>
              <w:t>的得2分</w:t>
            </w:r>
            <w:r>
              <w:rPr>
                <w:rFonts w:hint="eastAsia"/>
                <w:color w:val="auto"/>
                <w:lang w:eastAsia="zh-CN"/>
              </w:rPr>
              <w:t>，共</w:t>
            </w:r>
            <w:r>
              <w:rPr>
                <w:rFonts w:hint="eastAsia"/>
                <w:color w:val="auto"/>
                <w:lang w:val="en-US" w:eastAsia="zh-CN"/>
              </w:rPr>
              <w:t>4分</w:t>
            </w:r>
            <w:r>
              <w:rPr>
                <w:rFonts w:hint="eastAsia"/>
                <w:b/>
                <w:bCs/>
                <w:color w:val="auto"/>
                <w:lang w:eastAsia="zh-CN"/>
              </w:rPr>
              <w:t>（响应文件中</w:t>
            </w:r>
            <w:r>
              <w:rPr>
                <w:b/>
                <w:bCs/>
                <w:color w:val="auto"/>
              </w:rPr>
              <w:t>提供证书复印件</w:t>
            </w:r>
            <w:r>
              <w:rPr>
                <w:rFonts w:hint="eastAsia"/>
                <w:b/>
                <w:bCs/>
                <w:color w:val="auto"/>
              </w:rPr>
              <w:t>并加盖</w:t>
            </w:r>
            <w:r>
              <w:rPr>
                <w:rFonts w:hint="eastAsia"/>
                <w:b/>
                <w:bCs/>
                <w:color w:val="auto"/>
                <w:lang w:eastAsia="zh-CN"/>
              </w:rPr>
              <w:t>生产</w:t>
            </w:r>
            <w:r>
              <w:rPr>
                <w:rFonts w:hint="eastAsia"/>
                <w:b/>
                <w:bCs/>
                <w:color w:val="auto"/>
              </w:rPr>
              <w:t>厂</w:t>
            </w:r>
            <w:r>
              <w:rPr>
                <w:rFonts w:hint="eastAsia"/>
                <w:b/>
                <w:bCs/>
                <w:color w:val="auto"/>
                <w:lang w:eastAsia="zh-CN"/>
              </w:rPr>
              <w:t>家</w:t>
            </w:r>
            <w:r>
              <w:rPr>
                <w:rFonts w:hint="eastAsia"/>
                <w:b/>
                <w:bCs/>
                <w:color w:val="auto"/>
              </w:rPr>
              <w:t>公章</w:t>
            </w:r>
            <w:r>
              <w:rPr>
                <w:rFonts w:hint="eastAsia"/>
                <w:b/>
                <w:bCs/>
                <w:color w:val="auto"/>
                <w:lang w:eastAsia="zh-CN"/>
              </w:rPr>
              <w:t>）</w:t>
            </w:r>
            <w:r>
              <w:rPr>
                <w:b/>
                <w:bCs/>
                <w:color w:val="auto"/>
              </w:rPr>
              <w:t>。</w:t>
            </w:r>
          </w:p>
          <w:p>
            <w:pPr>
              <w:numPr>
                <w:ilvl w:val="0"/>
                <w:numId w:val="0"/>
              </w:numPr>
              <w:spacing w:before="156" w:beforeLines="50" w:after="10"/>
              <w:ind w:firstLine="420" w:firstLineChars="200"/>
              <w:rPr>
                <w:rFonts w:ascii="宋体" w:hAnsi="宋体" w:cs="宋体"/>
                <w:szCs w:val="21"/>
              </w:rPr>
            </w:pPr>
            <w:r>
              <w:rPr>
                <w:rFonts w:hint="eastAsia" w:ascii="宋体" w:hAnsi="宋体" w:cs="宋体"/>
                <w:szCs w:val="21"/>
                <w:lang w:val="en-US" w:eastAsia="zh-CN"/>
              </w:rPr>
              <w:t>2.</w:t>
            </w:r>
            <w:r>
              <w:rPr>
                <w:rFonts w:hint="eastAsia" w:ascii="宋体" w:hAnsi="宋体" w:cs="宋体"/>
                <w:szCs w:val="21"/>
              </w:rPr>
              <w:t>为保证所</w:t>
            </w:r>
            <w:r>
              <w:rPr>
                <w:rFonts w:hint="eastAsia" w:ascii="宋体" w:hAnsi="宋体" w:cs="宋体"/>
                <w:b w:val="0"/>
                <w:bCs w:val="0"/>
                <w:szCs w:val="21"/>
              </w:rPr>
              <w:t>投</w:t>
            </w:r>
            <w:r>
              <w:rPr>
                <w:rFonts w:hint="eastAsia" w:ascii="宋体" w:hAnsi="宋体" w:cs="宋体"/>
                <w:b w:val="0"/>
                <w:bCs w:val="0"/>
                <w:szCs w:val="21"/>
                <w:lang w:val="en-US" w:eastAsia="zh-CN"/>
              </w:rPr>
              <w:t>网络安全管理平台</w:t>
            </w:r>
            <w:r>
              <w:rPr>
                <w:rFonts w:hint="eastAsia" w:ascii="宋体" w:hAnsi="宋体" w:cs="宋体"/>
                <w:b w:val="0"/>
                <w:bCs w:val="0"/>
                <w:szCs w:val="21"/>
              </w:rPr>
              <w:t>在安全漏洞方面的整体研究水平和及时预防能力。具备网络安全漏洞统一收集验证、</w:t>
            </w:r>
            <w:r>
              <w:rPr>
                <w:rFonts w:hint="eastAsia" w:ascii="宋体" w:hAnsi="宋体" w:cs="宋体"/>
                <w:szCs w:val="21"/>
              </w:rPr>
              <w:t>预警发布及应急处置体系，进而提高产品的安全性。</w:t>
            </w:r>
            <w:r>
              <w:rPr>
                <w:rFonts w:hint="eastAsia" w:ascii="宋体" w:hAnsi="宋体" w:cs="宋体"/>
                <w:b w:val="0"/>
                <w:bCs w:val="0"/>
                <w:szCs w:val="21"/>
                <w:lang w:val="en-US" w:eastAsia="zh-CN"/>
              </w:rPr>
              <w:t>网络安全管理平台</w:t>
            </w:r>
            <w:r>
              <w:rPr>
                <w:rFonts w:hint="eastAsia" w:ascii="宋体" w:hAnsi="宋体" w:cs="宋体"/>
                <w:szCs w:val="21"/>
              </w:rPr>
              <w:t>生产厂</w:t>
            </w:r>
            <w:r>
              <w:rPr>
                <w:rFonts w:hint="eastAsia" w:ascii="宋体" w:hAnsi="宋体" w:cs="宋体"/>
                <w:szCs w:val="21"/>
                <w:lang w:eastAsia="zh-CN"/>
              </w:rPr>
              <w:t>家为</w:t>
            </w:r>
            <w:r>
              <w:rPr>
                <w:rFonts w:hint="eastAsia" w:ascii="宋体" w:hAnsi="宋体" w:cs="宋体"/>
                <w:szCs w:val="21"/>
              </w:rPr>
              <w:t>国家信息安全漏洞共享平台（CNVD）技术组成员</w:t>
            </w:r>
            <w:r>
              <w:rPr>
                <w:rFonts w:hint="eastAsia" w:ascii="宋体" w:hAnsi="宋体" w:cs="宋体"/>
                <w:szCs w:val="21"/>
                <w:lang w:eastAsia="zh-CN"/>
              </w:rPr>
              <w:t>的</w:t>
            </w:r>
            <w:r>
              <w:rPr>
                <w:rFonts w:hint="eastAsia" w:ascii="宋体" w:hAnsi="宋体" w:cs="宋体"/>
                <w:szCs w:val="21"/>
              </w:rPr>
              <w:t>得</w:t>
            </w:r>
            <w:r>
              <w:rPr>
                <w:rFonts w:hint="eastAsia" w:ascii="宋体" w:hAnsi="宋体" w:cs="宋体"/>
                <w:szCs w:val="21"/>
                <w:lang w:val="en-US" w:eastAsia="zh-CN"/>
              </w:rPr>
              <w:t>4</w:t>
            </w:r>
            <w:r>
              <w:rPr>
                <w:rFonts w:hint="eastAsia" w:ascii="宋体" w:hAnsi="宋体" w:cs="宋体"/>
                <w:szCs w:val="21"/>
              </w:rPr>
              <w:t>分</w:t>
            </w:r>
            <w:r>
              <w:rPr>
                <w:rFonts w:hint="eastAsia" w:ascii="宋体" w:hAnsi="宋体" w:cs="宋体"/>
                <w:szCs w:val="21"/>
                <w:lang w:eastAsia="zh-CN"/>
              </w:rPr>
              <w:t>，为</w:t>
            </w:r>
            <w:r>
              <w:rPr>
                <w:rFonts w:hint="eastAsia" w:ascii="宋体" w:hAnsi="宋体" w:cs="宋体"/>
                <w:szCs w:val="21"/>
              </w:rPr>
              <w:t>中国国家信息安全漏洞库（CNNVD）一级技术支撑单位</w:t>
            </w:r>
            <w:r>
              <w:rPr>
                <w:rFonts w:hint="eastAsia" w:ascii="宋体" w:hAnsi="宋体" w:cs="宋体"/>
                <w:szCs w:val="21"/>
                <w:lang w:eastAsia="zh-CN"/>
              </w:rPr>
              <w:t>的</w:t>
            </w:r>
            <w:r>
              <w:rPr>
                <w:rFonts w:hint="eastAsia" w:ascii="宋体" w:hAnsi="宋体" w:cs="宋体"/>
                <w:szCs w:val="21"/>
              </w:rPr>
              <w:t>得2分</w:t>
            </w:r>
            <w:r>
              <w:rPr>
                <w:rFonts w:hint="eastAsia" w:ascii="宋体" w:hAnsi="宋体" w:cs="宋体"/>
                <w:szCs w:val="21"/>
                <w:lang w:eastAsia="zh-CN"/>
              </w:rPr>
              <w:t>，共</w:t>
            </w:r>
            <w:r>
              <w:rPr>
                <w:rFonts w:hint="eastAsia" w:ascii="宋体" w:hAnsi="宋体" w:cs="宋体"/>
                <w:szCs w:val="21"/>
                <w:lang w:val="en-US" w:eastAsia="zh-CN"/>
              </w:rPr>
              <w:t>6分</w:t>
            </w:r>
            <w:r>
              <w:rPr>
                <w:rFonts w:hint="eastAsia" w:ascii="宋体" w:hAnsi="宋体" w:cs="宋体"/>
                <w:b/>
                <w:bCs/>
                <w:szCs w:val="21"/>
                <w:lang w:eastAsia="zh-CN"/>
              </w:rPr>
              <w:t>（响应文件中</w:t>
            </w:r>
            <w:r>
              <w:rPr>
                <w:rFonts w:hint="eastAsia" w:ascii="宋体" w:hAnsi="宋体" w:cs="宋体"/>
                <w:b/>
                <w:bCs/>
                <w:szCs w:val="21"/>
              </w:rPr>
              <w:t>提供证书复印件和官网截图并加盖设备厂商公章</w:t>
            </w:r>
            <w:r>
              <w:rPr>
                <w:rFonts w:hint="eastAsia" w:ascii="宋体" w:hAnsi="宋体" w:cs="宋体"/>
                <w:b/>
                <w:bCs/>
                <w:szCs w:val="21"/>
                <w:lang w:eastAsia="zh-CN"/>
              </w:rPr>
              <w:t>）</w:t>
            </w:r>
            <w:r>
              <w:rPr>
                <w:rFonts w:hint="eastAsia" w:ascii="宋体" w:hAnsi="宋体" w:cs="宋体"/>
                <w:szCs w:val="21"/>
              </w:rPr>
              <w:t>。</w:t>
            </w:r>
            <w:r>
              <w:rPr>
                <w:rFonts w:hint="eastAsia" w:ascii="宋体" w:hAnsi="宋体" w:cs="宋体"/>
                <w:szCs w:val="21"/>
                <w:lang w:eastAsia="zh-CN"/>
              </w:rPr>
              <w:t>本项共</w:t>
            </w:r>
            <w:r>
              <w:rPr>
                <w:rFonts w:hint="eastAsia" w:ascii="宋体" w:hAnsi="宋体" w:cs="宋体"/>
                <w:szCs w:val="21"/>
                <w:lang w:val="en-US" w:eastAsia="zh-CN"/>
              </w:rPr>
              <w:t>6分</w:t>
            </w:r>
          </w:p>
          <w:p>
            <w:pPr>
              <w:numPr>
                <w:ilvl w:val="0"/>
                <w:numId w:val="0"/>
              </w:numPr>
              <w:spacing w:before="156" w:beforeLines="50" w:after="10"/>
              <w:ind w:firstLine="420" w:firstLineChars="200"/>
            </w:pPr>
            <w:r>
              <w:rPr>
                <w:rFonts w:hint="eastAsia"/>
                <w:lang w:val="en-US" w:eastAsia="zh-CN"/>
              </w:rPr>
              <w:t>3.</w:t>
            </w:r>
            <w:r>
              <w:t>所投</w:t>
            </w:r>
            <w:r>
              <w:rPr>
                <w:rFonts w:hint="eastAsia"/>
                <w:lang w:eastAsia="zh-CN"/>
              </w:rPr>
              <w:t>网络安全管理平台</w:t>
            </w:r>
            <w:r>
              <w:rPr>
                <w:rFonts w:hint="eastAsia" w:ascii="宋体" w:hAnsi="宋体" w:cs="宋体"/>
                <w:szCs w:val="21"/>
              </w:rPr>
              <w:t>生产厂商</w:t>
            </w:r>
            <w:r>
              <w:t>具备CN</w:t>
            </w:r>
            <w:r>
              <w:rPr>
                <w:color w:val="auto"/>
              </w:rPr>
              <w:t>NVD颁发的CNNVD兼容性资质证书</w:t>
            </w:r>
            <w:r>
              <w:rPr>
                <w:rFonts w:hint="eastAsia"/>
                <w:color w:val="auto"/>
              </w:rPr>
              <w:t>的得2分</w:t>
            </w:r>
            <w:r>
              <w:rPr>
                <w:rFonts w:hint="eastAsia"/>
                <w:color w:val="auto"/>
                <w:lang w:eastAsia="zh-CN"/>
              </w:rPr>
              <w:t>，</w:t>
            </w:r>
            <w:r>
              <w:rPr>
                <w:rFonts w:hint="eastAsia"/>
                <w:color w:val="auto"/>
              </w:rPr>
              <w:t>核心交换机产品</w:t>
            </w:r>
            <w:r>
              <w:rPr>
                <w:rFonts w:hint="eastAsia" w:ascii="宋体" w:hAnsi="宋体" w:cs="宋体"/>
                <w:color w:val="auto"/>
                <w:szCs w:val="21"/>
              </w:rPr>
              <w:t>生产厂商</w:t>
            </w:r>
            <w:r>
              <w:rPr>
                <w:color w:val="auto"/>
              </w:rPr>
              <w:t>具备CNNVD颁发的CNNVD兼容性资质证书</w:t>
            </w:r>
            <w:r>
              <w:rPr>
                <w:rFonts w:hint="eastAsia"/>
                <w:color w:val="auto"/>
              </w:rPr>
              <w:t>的得2分</w:t>
            </w:r>
            <w:r>
              <w:rPr>
                <w:rFonts w:hint="eastAsia"/>
                <w:color w:val="auto"/>
                <w:lang w:eastAsia="zh-CN"/>
              </w:rPr>
              <w:t>，共</w:t>
            </w:r>
            <w:r>
              <w:rPr>
                <w:rFonts w:hint="eastAsia"/>
                <w:color w:val="auto"/>
                <w:lang w:val="en-US" w:eastAsia="zh-CN"/>
              </w:rPr>
              <w:t>4分</w:t>
            </w:r>
            <w:r>
              <w:rPr>
                <w:rFonts w:hint="eastAsia"/>
                <w:b/>
                <w:bCs/>
                <w:color w:val="auto"/>
                <w:lang w:eastAsia="zh-CN"/>
              </w:rPr>
              <w:t>（响应文件中</w:t>
            </w:r>
            <w:r>
              <w:rPr>
                <w:b/>
                <w:bCs/>
                <w:color w:val="auto"/>
              </w:rPr>
              <w:t>提供证书复印件</w:t>
            </w:r>
            <w:r>
              <w:rPr>
                <w:rFonts w:hint="eastAsia"/>
                <w:b/>
                <w:bCs/>
                <w:color w:val="auto"/>
              </w:rPr>
              <w:t>并加</w:t>
            </w:r>
            <w:r>
              <w:rPr>
                <w:rFonts w:hint="eastAsia"/>
                <w:b/>
                <w:bCs/>
              </w:rPr>
              <w:t>盖</w:t>
            </w:r>
            <w:r>
              <w:rPr>
                <w:rFonts w:hint="eastAsia"/>
                <w:b/>
                <w:bCs/>
                <w:lang w:eastAsia="zh-CN"/>
              </w:rPr>
              <w:t>生产</w:t>
            </w:r>
            <w:r>
              <w:rPr>
                <w:rFonts w:hint="eastAsia"/>
                <w:b/>
                <w:bCs/>
              </w:rPr>
              <w:t>厂</w:t>
            </w:r>
            <w:r>
              <w:rPr>
                <w:rFonts w:hint="eastAsia"/>
                <w:b/>
                <w:bCs/>
                <w:lang w:eastAsia="zh-CN"/>
              </w:rPr>
              <w:t>家</w:t>
            </w:r>
            <w:r>
              <w:rPr>
                <w:rFonts w:hint="eastAsia"/>
                <w:b/>
                <w:bCs/>
              </w:rPr>
              <w:t>公章</w:t>
            </w:r>
            <w:r>
              <w:rPr>
                <w:rFonts w:hint="eastAsia"/>
                <w:b/>
                <w:bCs/>
                <w:lang w:eastAsia="zh-CN"/>
              </w:rPr>
              <w:t>）</w:t>
            </w:r>
            <w:r>
              <w:rPr>
                <w:b/>
                <w:bC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0" w:hRule="atLeast"/>
          <w:jc w:val="center"/>
        </w:trPr>
        <w:tc>
          <w:tcPr>
            <w:tcW w:w="971" w:type="dxa"/>
            <w:vMerge w:val="continue"/>
            <w:tcBorders>
              <w:left w:val="single" w:color="auto" w:sz="4" w:space="0"/>
              <w:bottom w:val="single" w:color="auto" w:sz="4" w:space="0"/>
              <w:right w:val="single" w:color="auto" w:sz="4" w:space="0"/>
            </w:tcBorders>
            <w:vAlign w:val="center"/>
          </w:tcPr>
          <w:p>
            <w:pPr>
              <w:jc w:val="left"/>
              <w:rPr>
                <w:rFonts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spacing w:val="30"/>
              </w:rPr>
              <w:t>安装、调试方案</w:t>
            </w:r>
            <w:r>
              <w:rPr>
                <w:rFonts w:hint="eastAsia" w:ascii="宋体" w:hAnsi="宋体" w:cs="宋体"/>
                <w:bCs/>
                <w:spacing w:val="6"/>
                <w:szCs w:val="21"/>
              </w:rPr>
              <w:t>（5分）</w:t>
            </w:r>
          </w:p>
        </w:tc>
        <w:tc>
          <w:tcPr>
            <w:tcW w:w="734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Cs w:val="21"/>
              </w:rPr>
            </w:pPr>
            <w:r>
              <w:rPr>
                <w:rFonts w:hint="eastAsia" w:ascii="宋体" w:hAnsi="宋体" w:cs="宋体"/>
                <w:szCs w:val="21"/>
              </w:rPr>
              <w:t>根据供应商提供的安装、调试的方案详细合理、切实可行的得5分；</w:t>
            </w:r>
          </w:p>
          <w:p>
            <w:pPr>
              <w:spacing w:line="360" w:lineRule="auto"/>
              <w:jc w:val="left"/>
              <w:rPr>
                <w:rFonts w:ascii="宋体" w:hAnsi="宋体" w:cs="宋体"/>
                <w:szCs w:val="21"/>
              </w:rPr>
            </w:pPr>
            <w:r>
              <w:rPr>
                <w:rFonts w:hint="eastAsia" w:ascii="宋体" w:hAnsi="宋体" w:cs="宋体"/>
                <w:szCs w:val="21"/>
              </w:rPr>
              <w:t>安装、调试的方案基本合理、基本可行的得3分；</w:t>
            </w:r>
          </w:p>
          <w:p>
            <w:pPr>
              <w:spacing w:line="360" w:lineRule="auto"/>
              <w:jc w:val="left"/>
              <w:rPr>
                <w:rFonts w:ascii="宋体" w:hAnsi="宋体" w:cs="宋体"/>
                <w:szCs w:val="21"/>
              </w:rPr>
            </w:pPr>
            <w:r>
              <w:rPr>
                <w:rFonts w:hint="eastAsia" w:ascii="宋体" w:hAnsi="宋体" w:cs="宋体"/>
                <w:szCs w:val="21"/>
              </w:rPr>
              <w:t xml:space="preserve">安装、调试的方案不合理或不可行的得2分； </w:t>
            </w:r>
          </w:p>
          <w:p>
            <w:pPr>
              <w:rPr>
                <w:rFonts w:hAnsi="宋体" w:cs="宋体"/>
                <w:szCs w:val="21"/>
              </w:rPr>
            </w:pPr>
            <w:r>
              <w:rPr>
                <w:rFonts w:hint="eastAsia" w:ascii="宋体" w:hAnsi="宋体" w:cs="宋体"/>
                <w:szCs w:val="21"/>
              </w:rPr>
              <w:t>未提供不得分。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4" w:hRule="atLeast"/>
          <w:jc w:val="center"/>
        </w:trPr>
        <w:tc>
          <w:tcPr>
            <w:tcW w:w="971" w:type="dxa"/>
            <w:vMerge w:val="restart"/>
            <w:tcBorders>
              <w:top w:val="single" w:color="auto" w:sz="4" w:space="0"/>
              <w:left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bCs/>
                <w:spacing w:val="6"/>
                <w:szCs w:val="21"/>
              </w:rPr>
              <w:t>4</w:t>
            </w:r>
          </w:p>
          <w:p>
            <w:pPr>
              <w:jc w:val="center"/>
              <w:rPr>
                <w:rFonts w:ascii="宋体" w:hAnsi="宋体" w:cs="宋体"/>
                <w:bCs/>
                <w:spacing w:val="6"/>
                <w:szCs w:val="21"/>
              </w:rPr>
            </w:pPr>
            <w:r>
              <w:rPr>
                <w:rFonts w:hint="eastAsia" w:ascii="宋体" w:hAnsi="宋体" w:cs="宋体"/>
                <w:bCs/>
                <w:spacing w:val="6"/>
                <w:szCs w:val="21"/>
              </w:rPr>
              <w:t>商务部分</w:t>
            </w:r>
          </w:p>
          <w:p>
            <w:pPr>
              <w:jc w:val="center"/>
              <w:rPr>
                <w:rFonts w:ascii="宋体" w:hAnsi="宋体" w:cs="宋体"/>
                <w:bCs/>
                <w:spacing w:val="6"/>
                <w:szCs w:val="21"/>
              </w:rPr>
            </w:pPr>
            <w:r>
              <w:rPr>
                <w:rFonts w:hint="eastAsia" w:ascii="宋体" w:hAnsi="宋体" w:cs="宋体"/>
                <w:bCs/>
                <w:spacing w:val="6"/>
                <w:szCs w:val="21"/>
              </w:rPr>
              <w:t>（2</w:t>
            </w:r>
            <w:r>
              <w:rPr>
                <w:rFonts w:hint="eastAsia" w:ascii="宋体" w:hAnsi="宋体" w:cs="宋体"/>
                <w:bCs/>
                <w:spacing w:val="6"/>
                <w:szCs w:val="21"/>
                <w:lang w:val="en-US" w:eastAsia="zh-CN"/>
              </w:rPr>
              <w:t>0</w:t>
            </w:r>
            <w:r>
              <w:rPr>
                <w:rFonts w:hint="eastAsia" w:ascii="宋体" w:hAnsi="宋体" w:cs="宋体"/>
                <w:bCs/>
                <w:spacing w:val="6"/>
                <w:szCs w:val="21"/>
              </w:rPr>
              <w:t>分）</w:t>
            </w:r>
          </w:p>
        </w:tc>
        <w:tc>
          <w:tcPr>
            <w:tcW w:w="1635" w:type="dxa"/>
            <w:tcBorders>
              <w:top w:val="single" w:color="auto" w:sz="4" w:space="0"/>
              <w:left w:val="single" w:color="auto" w:sz="4" w:space="0"/>
              <w:right w:val="single" w:color="auto" w:sz="4" w:space="0"/>
            </w:tcBorders>
            <w:vAlign w:val="center"/>
          </w:tcPr>
          <w:p>
            <w:pPr>
              <w:jc w:val="center"/>
              <w:rPr>
                <w:rFonts w:ascii="宋体" w:hAnsi="宋体" w:cs="宋体"/>
                <w:spacing w:val="30"/>
                <w:lang w:eastAsia="zh-Hans"/>
              </w:rPr>
            </w:pPr>
          </w:p>
          <w:p>
            <w:pPr>
              <w:jc w:val="center"/>
              <w:rPr>
                <w:rFonts w:ascii="宋体" w:hAnsi="宋体" w:cs="宋体"/>
                <w:spacing w:val="30"/>
              </w:rPr>
            </w:pPr>
            <w:r>
              <w:rPr>
                <w:rFonts w:hint="eastAsia" w:ascii="宋体" w:hAnsi="宋体" w:cs="宋体"/>
                <w:szCs w:val="21"/>
              </w:rPr>
              <w:t>产品实力（</w:t>
            </w:r>
            <w:r>
              <w:rPr>
                <w:rFonts w:hint="eastAsia" w:ascii="宋体" w:hAnsi="宋体" w:cs="宋体"/>
                <w:szCs w:val="21"/>
                <w:lang w:val="en-US" w:eastAsia="zh-CN"/>
              </w:rPr>
              <w:t>8</w:t>
            </w:r>
            <w:r>
              <w:rPr>
                <w:rFonts w:hint="eastAsia" w:ascii="宋体" w:hAnsi="宋体" w:cs="宋体"/>
                <w:szCs w:val="21"/>
              </w:rPr>
              <w:t>分）</w:t>
            </w:r>
          </w:p>
        </w:tc>
        <w:tc>
          <w:tcPr>
            <w:tcW w:w="7340" w:type="dxa"/>
            <w:tcBorders>
              <w:top w:val="single" w:color="auto" w:sz="4" w:space="0"/>
              <w:left w:val="single" w:color="auto" w:sz="4" w:space="0"/>
              <w:bottom w:val="single" w:color="auto" w:sz="4" w:space="0"/>
              <w:right w:val="single" w:color="auto" w:sz="4" w:space="0"/>
            </w:tcBorders>
            <w:vAlign w:val="center"/>
          </w:tcPr>
          <w:p>
            <w:pPr>
              <w:pStyle w:val="36"/>
              <w:spacing w:before="156" w:beforeLines="50" w:after="10" w:line="300" w:lineRule="exact"/>
              <w:ind w:firstLine="420" w:firstLineChars="200"/>
            </w:pPr>
            <w:r>
              <w:rPr>
                <w:rFonts w:hint="eastAsia"/>
                <w:lang w:val="en-US" w:eastAsia="zh-CN"/>
              </w:rPr>
              <w:t>1</w:t>
            </w:r>
            <w:r>
              <w:rPr>
                <w:rFonts w:hint="eastAsia"/>
              </w:rPr>
              <w:t>.所投UPS系统</w:t>
            </w:r>
            <w:r>
              <w:rPr>
                <w:rFonts w:hint="eastAsia"/>
                <w:lang w:eastAsia="zh-CN"/>
              </w:rPr>
              <w:t>生产厂家获得</w:t>
            </w:r>
            <w:r>
              <w:rPr>
                <w:rFonts w:hint="eastAsia"/>
              </w:rPr>
              <w:t>质量</w:t>
            </w:r>
            <w:r>
              <w:rPr>
                <w:rFonts w:hint="eastAsia"/>
                <w:lang w:eastAsia="zh-CN"/>
              </w:rPr>
              <w:t>管理</w:t>
            </w:r>
            <w:r>
              <w:rPr>
                <w:rFonts w:hint="eastAsia"/>
              </w:rPr>
              <w:t>体系认证</w:t>
            </w:r>
            <w:r>
              <w:rPr>
                <w:rFonts w:hint="eastAsia"/>
                <w:lang w:eastAsia="zh-CN"/>
              </w:rPr>
              <w:t>、</w:t>
            </w:r>
            <w:r>
              <w:rPr>
                <w:rFonts w:hint="eastAsia"/>
              </w:rPr>
              <w:t>环境管理体系认证</w:t>
            </w:r>
            <w:r>
              <w:rPr>
                <w:rFonts w:hint="eastAsia"/>
                <w:lang w:eastAsia="zh-CN"/>
              </w:rPr>
              <w:t>、职业健康安全管理体系、信息安全管理体系认证</w:t>
            </w:r>
            <w:r>
              <w:rPr>
                <w:rFonts w:hint="eastAsia"/>
              </w:rPr>
              <w:t>的每提供一项得</w:t>
            </w:r>
            <w:r>
              <w:rPr>
                <w:rFonts w:hint="eastAsia"/>
                <w:lang w:val="en-US" w:eastAsia="zh-CN"/>
              </w:rPr>
              <w:t>1</w:t>
            </w:r>
            <w:r>
              <w:rPr>
                <w:rFonts w:hint="eastAsia"/>
              </w:rPr>
              <w:t>分，最多得</w:t>
            </w:r>
            <w:r>
              <w:rPr>
                <w:rFonts w:hint="eastAsia"/>
                <w:lang w:val="en-US" w:eastAsia="zh-CN"/>
              </w:rPr>
              <w:t>4</w:t>
            </w:r>
            <w:r>
              <w:rPr>
                <w:rFonts w:hint="eastAsia"/>
              </w:rPr>
              <w:t>分</w:t>
            </w:r>
            <w:r>
              <w:rPr>
                <w:rFonts w:hint="eastAsia"/>
                <w:b/>
                <w:bCs/>
                <w:lang w:eastAsia="zh-CN"/>
              </w:rPr>
              <w:t>（响应文件中</w:t>
            </w:r>
            <w:r>
              <w:rPr>
                <w:b/>
                <w:bCs/>
              </w:rPr>
              <w:t>提供证书复印件</w:t>
            </w:r>
            <w:r>
              <w:rPr>
                <w:rFonts w:hint="eastAsia"/>
                <w:b/>
                <w:bCs/>
              </w:rPr>
              <w:t>并加盖</w:t>
            </w:r>
            <w:r>
              <w:rPr>
                <w:rFonts w:hint="eastAsia"/>
                <w:b/>
                <w:bCs/>
                <w:lang w:eastAsia="zh-CN"/>
              </w:rPr>
              <w:t>生产</w:t>
            </w:r>
            <w:r>
              <w:rPr>
                <w:rFonts w:hint="eastAsia"/>
                <w:b/>
                <w:bCs/>
              </w:rPr>
              <w:t>厂</w:t>
            </w:r>
            <w:r>
              <w:rPr>
                <w:rFonts w:hint="eastAsia"/>
                <w:b/>
                <w:bCs/>
                <w:lang w:eastAsia="zh-CN"/>
              </w:rPr>
              <w:t>家</w:t>
            </w:r>
            <w:r>
              <w:rPr>
                <w:rFonts w:hint="eastAsia"/>
                <w:b/>
                <w:bCs/>
              </w:rPr>
              <w:t>公章</w:t>
            </w:r>
            <w:r>
              <w:rPr>
                <w:rFonts w:hint="eastAsia"/>
                <w:b/>
                <w:bCs/>
                <w:lang w:eastAsia="zh-CN"/>
              </w:rPr>
              <w:t>）</w:t>
            </w:r>
            <w:r>
              <w:rPr>
                <w:b/>
                <w:bCs/>
              </w:rPr>
              <w:t>。</w:t>
            </w:r>
          </w:p>
          <w:p>
            <w:pPr>
              <w:pStyle w:val="36"/>
              <w:spacing w:before="156" w:beforeLines="50" w:after="10" w:line="300" w:lineRule="exact"/>
              <w:ind w:firstLine="420" w:firstLineChars="200"/>
            </w:pPr>
            <w:r>
              <w:rPr>
                <w:rFonts w:hint="eastAsia"/>
                <w:lang w:val="en-US" w:eastAsia="zh-CN"/>
              </w:rPr>
              <w:t>2</w:t>
            </w:r>
            <w:r>
              <w:rPr>
                <w:rFonts w:hint="eastAsia"/>
              </w:rPr>
              <w:t>.所投UPS系统</w:t>
            </w:r>
            <w:r>
              <w:rPr>
                <w:rFonts w:hint="eastAsia"/>
                <w:lang w:eastAsia="zh-CN"/>
              </w:rPr>
              <w:t>生产厂家</w:t>
            </w:r>
            <w:r>
              <w:t>售后服务5星认证</w:t>
            </w:r>
            <w:r>
              <w:rPr>
                <w:rFonts w:hint="eastAsia"/>
              </w:rPr>
              <w:t>的得2分</w:t>
            </w:r>
            <w:r>
              <w:rPr>
                <w:rFonts w:hint="eastAsia"/>
                <w:b/>
                <w:bCs/>
                <w:lang w:eastAsia="zh-CN"/>
              </w:rPr>
              <w:t>（响应文件中</w:t>
            </w:r>
            <w:r>
              <w:rPr>
                <w:b/>
                <w:bCs/>
              </w:rPr>
              <w:t>提供证书复印件</w:t>
            </w:r>
            <w:r>
              <w:rPr>
                <w:rFonts w:hint="eastAsia"/>
                <w:b/>
                <w:bCs/>
              </w:rPr>
              <w:t>并加盖</w:t>
            </w:r>
            <w:r>
              <w:rPr>
                <w:rFonts w:hint="eastAsia"/>
                <w:b/>
                <w:bCs/>
                <w:lang w:eastAsia="zh-CN"/>
              </w:rPr>
              <w:t>生产</w:t>
            </w:r>
            <w:r>
              <w:rPr>
                <w:rFonts w:hint="eastAsia"/>
                <w:b/>
                <w:bCs/>
              </w:rPr>
              <w:t>厂</w:t>
            </w:r>
            <w:r>
              <w:rPr>
                <w:rFonts w:hint="eastAsia"/>
                <w:b/>
                <w:bCs/>
                <w:lang w:eastAsia="zh-CN"/>
              </w:rPr>
              <w:t>家</w:t>
            </w:r>
            <w:r>
              <w:rPr>
                <w:rFonts w:hint="eastAsia"/>
                <w:b/>
                <w:bCs/>
              </w:rPr>
              <w:t>公章</w:t>
            </w:r>
            <w:r>
              <w:rPr>
                <w:rFonts w:hint="eastAsia"/>
                <w:b/>
                <w:bCs/>
                <w:lang w:eastAsia="zh-CN"/>
              </w:rPr>
              <w:t>）</w:t>
            </w:r>
            <w:r>
              <w:rPr>
                <w:b/>
                <w:bCs/>
              </w:rPr>
              <w:t>。</w:t>
            </w:r>
          </w:p>
          <w:p>
            <w:pPr>
              <w:pStyle w:val="36"/>
              <w:spacing w:before="156" w:beforeLines="50" w:after="10" w:line="300" w:lineRule="exact"/>
              <w:ind w:firstLine="420" w:firstLineChars="200"/>
              <w:rPr>
                <w:rFonts w:hint="eastAsia" w:eastAsia="宋体"/>
                <w:lang w:eastAsia="zh-CN"/>
              </w:rPr>
            </w:pPr>
            <w:r>
              <w:rPr>
                <w:rFonts w:hint="eastAsia"/>
                <w:lang w:val="en-US" w:eastAsia="zh-CN"/>
              </w:rPr>
              <w:t>3.</w:t>
            </w:r>
            <w:r>
              <w:rPr>
                <w:rFonts w:hint="eastAsia"/>
                <w:lang w:eastAsia="zh-CN"/>
              </w:rPr>
              <w:t>所投</w:t>
            </w:r>
            <w:r>
              <w:rPr>
                <w:b/>
                <w:bCs/>
              </w:rPr>
              <w:t>UPS</w:t>
            </w:r>
            <w:r>
              <w:rPr>
                <w:rFonts w:hint="eastAsia"/>
                <w:b/>
                <w:bCs/>
                <w:lang w:eastAsia="zh-CN"/>
              </w:rPr>
              <w:t>系统</w:t>
            </w:r>
            <w:r>
              <w:rPr>
                <w:rFonts w:hint="eastAsia"/>
                <w:lang w:eastAsia="zh-CN"/>
              </w:rPr>
              <w:t>具有</w:t>
            </w:r>
            <w:r>
              <w:t>软件著作权证书</w:t>
            </w:r>
            <w:r>
              <w:rPr>
                <w:rFonts w:hint="eastAsia"/>
                <w:lang w:eastAsia="zh-CN"/>
              </w:rPr>
              <w:t>的</w:t>
            </w:r>
            <w:r>
              <w:rPr>
                <w:rFonts w:hint="eastAsia"/>
              </w:rPr>
              <w:t>得</w:t>
            </w:r>
            <w:r>
              <w:rPr>
                <w:rFonts w:hint="eastAsia"/>
                <w:lang w:val="en-US" w:eastAsia="zh-CN"/>
              </w:rPr>
              <w:t>2</w:t>
            </w:r>
            <w:r>
              <w:rPr>
                <w:rFonts w:hint="eastAsia"/>
              </w:rPr>
              <w:t>分</w:t>
            </w:r>
            <w:r>
              <w:rPr>
                <w:rFonts w:hint="eastAsia"/>
                <w:b/>
                <w:bCs/>
                <w:lang w:eastAsia="zh-CN"/>
              </w:rPr>
              <w:t>（响应文件中</w:t>
            </w:r>
            <w:r>
              <w:rPr>
                <w:b/>
                <w:bCs/>
              </w:rPr>
              <w:t>提供证书复印件</w:t>
            </w:r>
            <w:r>
              <w:rPr>
                <w:rFonts w:hint="eastAsia"/>
                <w:b/>
                <w:bCs/>
              </w:rPr>
              <w:t>并加盖</w:t>
            </w:r>
            <w:r>
              <w:rPr>
                <w:rFonts w:hint="eastAsia"/>
                <w:b/>
                <w:bCs/>
                <w:lang w:eastAsia="zh-CN"/>
              </w:rPr>
              <w:t>生产</w:t>
            </w:r>
            <w:r>
              <w:rPr>
                <w:rFonts w:hint="eastAsia"/>
                <w:b/>
                <w:bCs/>
              </w:rPr>
              <w:t>厂</w:t>
            </w:r>
            <w:r>
              <w:rPr>
                <w:rFonts w:hint="eastAsia"/>
                <w:b/>
                <w:bCs/>
                <w:lang w:eastAsia="zh-CN"/>
              </w:rPr>
              <w:t>家</w:t>
            </w:r>
            <w:r>
              <w:rPr>
                <w:rFonts w:hint="eastAsia"/>
                <w:b/>
                <w:bCs/>
              </w:rPr>
              <w:t>公章</w:t>
            </w:r>
            <w:r>
              <w:rPr>
                <w:rFonts w:hint="eastAsia"/>
                <w:b/>
                <w:bCs/>
                <w:lang w:eastAsia="zh-CN"/>
              </w:rPr>
              <w:t>）</w:t>
            </w:r>
            <w:r>
              <w:rPr>
                <w:b/>
                <w:bC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5" w:hRule="atLeast"/>
          <w:jc w:val="center"/>
        </w:trPr>
        <w:tc>
          <w:tcPr>
            <w:tcW w:w="971" w:type="dxa"/>
            <w:vMerge w:val="continue"/>
            <w:tcBorders>
              <w:left w:val="single" w:color="auto" w:sz="4" w:space="0"/>
              <w:right w:val="single" w:color="auto" w:sz="4" w:space="0"/>
            </w:tcBorders>
            <w:vAlign w:val="center"/>
          </w:tcPr>
          <w:p>
            <w:pPr>
              <w:jc w:val="left"/>
              <w:rPr>
                <w:rFonts w:ascii="宋体" w:hAnsi="宋体" w:cs="宋体"/>
                <w:bCs/>
                <w:spacing w:val="6"/>
                <w:szCs w:val="21"/>
              </w:rPr>
            </w:pPr>
          </w:p>
        </w:tc>
        <w:tc>
          <w:tcPr>
            <w:tcW w:w="1635" w:type="dxa"/>
            <w:tcBorders>
              <w:top w:val="single" w:color="auto" w:sz="4" w:space="0"/>
              <w:left w:val="single" w:color="auto" w:sz="4" w:space="0"/>
              <w:right w:val="single" w:color="auto" w:sz="4" w:space="0"/>
            </w:tcBorders>
            <w:vAlign w:val="center"/>
          </w:tcPr>
          <w:p>
            <w:pPr>
              <w:jc w:val="center"/>
              <w:rPr>
                <w:rFonts w:ascii="宋体" w:hAnsi="宋体" w:cs="宋体"/>
                <w:bCs/>
                <w:spacing w:val="6"/>
                <w:szCs w:val="21"/>
              </w:rPr>
            </w:pPr>
            <w:r>
              <w:rPr>
                <w:rFonts w:hint="eastAsia" w:ascii="宋体" w:hAnsi="宋体" w:cs="宋体"/>
                <w:szCs w:val="21"/>
              </w:rPr>
              <w:t>服务承诺及优惠条件（</w:t>
            </w:r>
            <w:r>
              <w:rPr>
                <w:rFonts w:hint="eastAsia" w:ascii="宋体" w:hAnsi="宋体" w:cs="宋体"/>
                <w:szCs w:val="21"/>
                <w:lang w:val="en-US" w:eastAsia="zh-CN"/>
              </w:rPr>
              <w:t>12</w:t>
            </w:r>
            <w:r>
              <w:rPr>
                <w:rFonts w:hint="eastAsia" w:ascii="宋体" w:hAnsi="宋体" w:cs="宋体"/>
                <w:szCs w:val="21"/>
              </w:rPr>
              <w:t>分)</w:t>
            </w:r>
          </w:p>
        </w:tc>
        <w:tc>
          <w:tcPr>
            <w:tcW w:w="7340" w:type="dxa"/>
            <w:tcBorders>
              <w:top w:val="single" w:color="auto" w:sz="4" w:space="0"/>
              <w:left w:val="single" w:color="auto" w:sz="4" w:space="0"/>
              <w:bottom w:val="single" w:color="auto" w:sz="4" w:space="0"/>
              <w:right w:val="single" w:color="auto" w:sz="4" w:space="0"/>
            </w:tcBorders>
            <w:vAlign w:val="center"/>
          </w:tcPr>
          <w:p>
            <w:pPr>
              <w:ind w:firstLine="420" w:firstLineChars="200"/>
            </w:pPr>
            <w:r>
              <w:rPr>
                <w:rFonts w:hint="eastAsia"/>
              </w:rPr>
              <w:t>1</w:t>
            </w:r>
            <w:r>
              <w:t>.</w:t>
            </w:r>
            <w:r>
              <w:rPr>
                <w:rFonts w:hint="eastAsia"/>
              </w:rPr>
              <w:t>所投产品</w:t>
            </w:r>
            <w:r>
              <w:rPr>
                <w:rFonts w:hint="eastAsia"/>
                <w:lang w:eastAsia="zh-CN"/>
              </w:rPr>
              <w:t>网络安全管理平台</w:t>
            </w:r>
            <w:r>
              <w:rPr>
                <w:rFonts w:hint="eastAsia"/>
              </w:rPr>
              <w:t>、核心交换机、UPS系统的厂商</w:t>
            </w:r>
            <w:r>
              <w:t>提供</w:t>
            </w:r>
            <w:r>
              <w:rPr>
                <w:rFonts w:hint="eastAsia"/>
              </w:rPr>
              <w:t>本项目</w:t>
            </w:r>
            <w:r>
              <w:t>售后服务承诺函</w:t>
            </w:r>
            <w:r>
              <w:rPr>
                <w:rFonts w:hint="eastAsia"/>
              </w:rPr>
              <w:t>，每提供一份得</w:t>
            </w:r>
            <w:r>
              <w:rPr>
                <w:rFonts w:hint="eastAsia"/>
                <w:lang w:val="en-US" w:eastAsia="zh-CN"/>
              </w:rPr>
              <w:t>2</w:t>
            </w:r>
            <w:r>
              <w:rPr>
                <w:rFonts w:hint="eastAsia"/>
              </w:rPr>
              <w:t>分，最多得</w:t>
            </w:r>
            <w:r>
              <w:rPr>
                <w:rFonts w:hint="eastAsia"/>
                <w:lang w:val="en-US" w:eastAsia="zh-CN"/>
              </w:rPr>
              <w:t>6</w:t>
            </w:r>
            <w:r>
              <w:rPr>
                <w:rFonts w:hint="eastAsia"/>
              </w:rPr>
              <w:t>分。</w:t>
            </w:r>
          </w:p>
          <w:p>
            <w:pPr>
              <w:ind w:firstLine="420" w:firstLineChars="200"/>
            </w:pPr>
            <w:r>
              <w:rPr>
                <w:rFonts w:hint="eastAsia"/>
              </w:rPr>
              <w:t>2</w:t>
            </w:r>
            <w:r>
              <w:t>.</w:t>
            </w:r>
            <w:r>
              <w:rPr>
                <w:rFonts w:hint="eastAsia"/>
              </w:rPr>
              <w:t>根据投标人针对本项目提出的售后服务承诺评分。售后服务措施能满足标书要求，根据提出的售后服务体系、故障响应时间、应急维修措施、备品备件配备以及培训方案等情况，</w:t>
            </w:r>
            <w:r>
              <w:rPr>
                <w:rFonts w:hint="eastAsia" w:ascii="宋体" w:hAnsi="宋体" w:cs="宋体"/>
                <w:szCs w:val="21"/>
              </w:rPr>
              <w:t>科学、合理、可行、有效的得</w:t>
            </w:r>
            <w:r>
              <w:rPr>
                <w:rFonts w:hint="eastAsia" w:ascii="宋体" w:hAnsi="宋体" w:cs="宋体"/>
                <w:szCs w:val="21"/>
                <w:lang w:val="en-US" w:eastAsia="zh-CN"/>
              </w:rPr>
              <w:t>6</w:t>
            </w:r>
            <w:r>
              <w:rPr>
                <w:rFonts w:hint="eastAsia" w:ascii="宋体" w:hAnsi="宋体" w:cs="宋体"/>
                <w:szCs w:val="21"/>
              </w:rPr>
              <w:t>分；基本科学、基本合理、基本可行、基本有效的得</w:t>
            </w:r>
            <w:r>
              <w:rPr>
                <w:rFonts w:hint="eastAsia" w:ascii="宋体" w:hAnsi="宋体" w:cs="宋体"/>
                <w:szCs w:val="21"/>
                <w:lang w:val="en-US" w:eastAsia="zh-CN"/>
              </w:rPr>
              <w:t>4</w:t>
            </w:r>
            <w:r>
              <w:rPr>
                <w:rFonts w:hint="eastAsia" w:ascii="宋体" w:hAnsi="宋体" w:cs="宋体"/>
                <w:szCs w:val="21"/>
              </w:rPr>
              <w:t>分；科学性、合理性、可行性一般，部分有效的得</w:t>
            </w:r>
            <w:r>
              <w:rPr>
                <w:rFonts w:hint="eastAsia" w:ascii="宋体" w:hAnsi="宋体" w:cs="宋体"/>
                <w:szCs w:val="21"/>
                <w:lang w:val="en-US" w:eastAsia="zh-CN"/>
              </w:rPr>
              <w:t>2</w:t>
            </w:r>
            <w:r>
              <w:rPr>
                <w:rFonts w:hint="eastAsia" w:ascii="宋体" w:hAnsi="宋体" w:cs="宋体"/>
                <w:szCs w:val="21"/>
              </w:rPr>
              <w:t>分。</w:t>
            </w:r>
          </w:p>
        </w:tc>
      </w:tr>
    </w:tbl>
    <w:p>
      <w:pPr>
        <w:spacing w:line="440" w:lineRule="exact"/>
        <w:ind w:left="284"/>
        <w:rPr>
          <w:rFonts w:ascii="宋体" w:hAnsi="宋体" w:cs="宋体"/>
          <w:szCs w:val="21"/>
        </w:rPr>
      </w:pPr>
      <w:r>
        <w:rPr>
          <w:rFonts w:hint="eastAsia" w:ascii="宋体" w:hAnsi="宋体" w:cs="宋体"/>
          <w:szCs w:val="21"/>
        </w:rPr>
        <w:t>注：</w:t>
      </w:r>
    </w:p>
    <w:p>
      <w:pPr>
        <w:spacing w:line="440" w:lineRule="exact"/>
        <w:ind w:left="284"/>
        <w:rPr>
          <w:rFonts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ascii="宋体" w:hAnsi="宋体" w:cs="宋体"/>
          <w:szCs w:val="21"/>
        </w:rPr>
      </w:pPr>
      <w:r>
        <w:rPr>
          <w:rFonts w:hint="eastAsia" w:ascii="宋体" w:hAnsi="宋体" w:cs="宋体"/>
          <w:szCs w:val="21"/>
        </w:rPr>
        <w:t>2.评审时，</w:t>
      </w:r>
      <w:r>
        <w:rPr>
          <w:rFonts w:hint="eastAsia" w:ascii="宋体" w:hAnsi="宋体" w:cs="宋体"/>
          <w:szCs w:val="21"/>
          <w:lang w:eastAsia="zh-CN"/>
        </w:rPr>
        <w:t>磋商小组</w:t>
      </w:r>
      <w:r>
        <w:rPr>
          <w:rFonts w:hint="eastAsia" w:ascii="宋体" w:hAnsi="宋体" w:cs="宋体"/>
          <w:szCs w:val="21"/>
        </w:rPr>
        <w:t>各成员应当独立对每个有效响应的文件进行评价、打分，然后汇总每个供应商每项评分因素的得分，取各</w:t>
      </w:r>
      <w:r>
        <w:rPr>
          <w:rFonts w:hint="eastAsia" w:ascii="宋体" w:hAnsi="宋体" w:cs="宋体"/>
          <w:szCs w:val="21"/>
          <w:lang w:eastAsia="zh-CN"/>
        </w:rPr>
        <w:t>磋商小组</w:t>
      </w:r>
      <w:r>
        <w:rPr>
          <w:rFonts w:hint="eastAsia" w:ascii="宋体" w:hAnsi="宋体" w:cs="宋体"/>
          <w:szCs w:val="21"/>
        </w:rPr>
        <w:t>各成员评分的算术平均数作为供应商的评审最后得分。</w:t>
      </w:r>
    </w:p>
    <w:p>
      <w:pPr>
        <w:spacing w:line="440" w:lineRule="exact"/>
        <w:ind w:left="284"/>
        <w:rPr>
          <w:rFonts w:ascii="宋体" w:hAnsi="宋体" w:cs="宋体"/>
          <w:szCs w:val="21"/>
        </w:rPr>
      </w:pPr>
      <w:r>
        <w:rPr>
          <w:rFonts w:hint="eastAsia" w:ascii="宋体" w:hAnsi="宋体" w:cs="宋体"/>
          <w:szCs w:val="21"/>
        </w:rPr>
        <w:t>3.</w:t>
      </w:r>
      <w:r>
        <w:rPr>
          <w:rFonts w:hint="eastAsia" w:ascii="宋体" w:hAnsi="宋体" w:cs="宋体"/>
          <w:szCs w:val="21"/>
          <w:lang w:eastAsia="zh-CN"/>
        </w:rPr>
        <w:t>磋商小组</w:t>
      </w:r>
      <w:r>
        <w:rPr>
          <w:rFonts w:hint="eastAsia" w:ascii="宋体" w:hAnsi="宋体" w:cs="宋体"/>
          <w:szCs w:val="21"/>
        </w:rPr>
        <w:t>应当根据综合评分情况，按照评审得分由高到低顺序推荐3名以上成交候选供应商，并编写评审报告。符合《政府采购竞争性评委采购方式管理暂行办法》第三条第四项情形的或符合《财政部关于政府采购竞争性评委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ind w:left="284"/>
        <w:rPr>
          <w:rFonts w:ascii="宋体" w:hAnsi="宋体" w:cs="宋体"/>
          <w:szCs w:val="21"/>
        </w:rPr>
      </w:pPr>
      <w:r>
        <w:rPr>
          <w:rFonts w:hint="eastAsia" w:ascii="宋体" w:hAnsi="宋体" w:cs="宋体"/>
          <w:szCs w:val="21"/>
        </w:rPr>
        <w:t>4.评分分值及计算结果精确到小数点后二位，二位以后四舍五入。</w:t>
      </w:r>
    </w:p>
    <w:p>
      <w:pPr>
        <w:rPr>
          <w:rFonts w:hint="eastAsia"/>
        </w:rPr>
        <w:sectPr>
          <w:pgSz w:w="11906" w:h="16838"/>
          <w:pgMar w:top="1134" w:right="1134" w:bottom="1134" w:left="1474" w:header="851" w:footer="510" w:gutter="0"/>
          <w:cols w:space="720" w:num="1"/>
          <w:docGrid w:type="lines" w:linePitch="312" w:charSpace="0"/>
        </w:sectPr>
      </w:pPr>
    </w:p>
    <w:p>
      <w:pPr>
        <w:pStyle w:val="34"/>
        <w:numPr>
          <w:ilvl w:val="0"/>
          <w:numId w:val="1"/>
        </w:numPr>
        <w:spacing w:before="0" w:after="0" w:line="360" w:lineRule="auto"/>
        <w:ind w:firstLine="0"/>
        <w:rPr>
          <w:rFonts w:hint="eastAsia" w:ascii="宋体" w:hAnsi="宋体" w:cs="宋体"/>
        </w:rPr>
      </w:pPr>
      <w:bookmarkStart w:id="71" w:name="_Toc7994"/>
      <w:r>
        <w:rPr>
          <w:rFonts w:hint="eastAsia" w:ascii="宋体" w:hAnsi="宋体" w:cs="宋体"/>
        </w:rPr>
        <w:t>拟签订的合同</w:t>
      </w:r>
      <w:bookmarkStart w:id="72" w:name="_Toc214329890"/>
      <w:bookmarkStart w:id="73" w:name="_Toc373230031"/>
      <w:bookmarkStart w:id="74" w:name="_Toc153880771"/>
      <w:bookmarkStart w:id="75" w:name="_Toc374512418"/>
      <w:bookmarkStart w:id="76" w:name="_Toc218418181"/>
      <w:r>
        <w:rPr>
          <w:rFonts w:hint="eastAsia" w:ascii="宋体" w:hAnsi="宋体" w:cs="宋体"/>
        </w:rPr>
        <w:t>文本</w:t>
      </w:r>
      <w:bookmarkEnd w:id="69"/>
      <w:bookmarkEnd w:id="71"/>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hint="eastAsia" w:ascii="宋体" w:hAnsi="宋体" w:cs="宋体"/>
          <w:sz w:val="24"/>
        </w:rPr>
      </w:pPr>
    </w:p>
    <w:p>
      <w:pPr>
        <w:ind w:firstLine="5280" w:firstLineChars="2200"/>
        <w:jc w:val="right"/>
        <w:rPr>
          <w:rFonts w:ascii="宋体" w:hAnsi="宋体" w:cs="宋体"/>
          <w:sz w:val="24"/>
          <w:u w:val="single"/>
        </w:rPr>
      </w:pPr>
      <w:r>
        <w:rPr>
          <w:rFonts w:hint="eastAsia" w:ascii="宋体" w:hAnsi="宋体" w:cs="宋体"/>
          <w:sz w:val="24"/>
        </w:rPr>
        <w:t>合同编号：</w:t>
      </w:r>
      <w:r>
        <w:rPr>
          <w:rFonts w:hint="eastAsia" w:ascii="宋体" w:hAnsi="宋体" w:cs="宋体"/>
          <w:sz w:val="24"/>
          <w:u w:val="single"/>
        </w:rPr>
        <w:t xml:space="preserve">           </w:t>
      </w:r>
    </w:p>
    <w:p>
      <w:pPr>
        <w:spacing w:line="480" w:lineRule="auto"/>
        <w:jc w:val="center"/>
        <w:rPr>
          <w:rFonts w:ascii="宋体" w:hAnsi="宋体" w:cs="宋体"/>
          <w:b/>
          <w:sz w:val="28"/>
          <w:szCs w:val="28"/>
        </w:rPr>
      </w:pPr>
    </w:p>
    <w:p>
      <w:pPr>
        <w:spacing w:line="480" w:lineRule="auto"/>
        <w:jc w:val="center"/>
        <w:rPr>
          <w:rFonts w:ascii="宋体" w:hAnsi="宋体" w:cs="宋体"/>
          <w:b/>
          <w:sz w:val="28"/>
          <w:szCs w:val="28"/>
        </w:rPr>
      </w:pPr>
    </w:p>
    <w:p>
      <w:pPr>
        <w:spacing w:line="480" w:lineRule="auto"/>
        <w:jc w:val="center"/>
        <w:rPr>
          <w:rFonts w:ascii="宋体" w:hAnsi="宋体" w:cs="宋体"/>
          <w:b/>
          <w:sz w:val="24"/>
        </w:rPr>
      </w:pPr>
      <w:r>
        <w:rPr>
          <w:rFonts w:hint="eastAsia" w:ascii="宋体" w:hAnsi="宋体" w:cs="宋体"/>
          <w:b/>
          <w:sz w:val="44"/>
          <w:szCs w:val="44"/>
        </w:rPr>
        <w:t>XXX项目合同</w:t>
      </w:r>
    </w:p>
    <w:p>
      <w:pPr>
        <w:pStyle w:val="126"/>
        <w:rPr>
          <w:rFonts w:ascii="宋体" w:hAnsi="宋体" w:cs="宋体"/>
        </w:rPr>
      </w:pPr>
    </w:p>
    <w:p>
      <w:pPr>
        <w:pStyle w:val="126"/>
        <w:rPr>
          <w:rFonts w:ascii="宋体" w:hAnsi="宋体" w:cs="宋体"/>
          <w:u w:val="single"/>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pStyle w:val="126"/>
        <w:rPr>
          <w:rFonts w:ascii="宋体" w:hAnsi="宋体" w:cs="宋体"/>
        </w:rPr>
      </w:pPr>
    </w:p>
    <w:p>
      <w:pPr>
        <w:spacing w:before="120" w:line="22" w:lineRule="atLeast"/>
        <w:rPr>
          <w:rFonts w:ascii="宋体" w:hAnsi="宋体" w:cs="宋体"/>
          <w:sz w:val="24"/>
        </w:rPr>
      </w:pPr>
    </w:p>
    <w:p>
      <w:pPr>
        <w:spacing w:before="120" w:line="22" w:lineRule="atLeast"/>
        <w:ind w:left="960"/>
        <w:rPr>
          <w:rFonts w:ascii="宋体" w:hAnsi="宋体" w:cs="宋体"/>
          <w:sz w:val="24"/>
          <w:u w:val="single"/>
        </w:rPr>
      </w:pPr>
      <w:r>
        <w:rPr>
          <w:rFonts w:hint="eastAsia" w:ascii="宋体" w:hAnsi="宋体" w:cs="宋体"/>
          <w:sz w:val="24"/>
        </w:rPr>
        <w:t>项目名称：</w:t>
      </w:r>
      <w:r>
        <w:rPr>
          <w:rFonts w:hint="eastAsia" w:ascii="宋体" w:hAnsi="宋体" w:cs="宋体"/>
          <w:sz w:val="24"/>
          <w:u w:val="single"/>
        </w:rPr>
        <w:t xml:space="preserve">                 XXX项目                                    </w:t>
      </w:r>
    </w:p>
    <w:p>
      <w:pPr>
        <w:rPr>
          <w:rFonts w:ascii="宋体" w:hAnsi="宋体" w:cs="宋体"/>
        </w:rPr>
      </w:pPr>
    </w:p>
    <w:p>
      <w:pPr>
        <w:spacing w:before="120" w:line="22" w:lineRule="atLeast"/>
        <w:ind w:left="960"/>
        <w:rPr>
          <w:rFonts w:ascii="宋体" w:hAnsi="宋体" w:cs="宋体"/>
          <w:sz w:val="24"/>
          <w:u w:val="single"/>
        </w:rPr>
      </w:pPr>
      <w:r>
        <w:rPr>
          <w:rFonts w:hint="eastAsia" w:ascii="宋体" w:hAnsi="宋体" w:cs="宋体"/>
          <w:sz w:val="24"/>
        </w:rPr>
        <w:t xml:space="preserve">甲方： </w:t>
      </w:r>
      <w:r>
        <w:rPr>
          <w:rFonts w:ascii="宋体" w:hAnsi="宋体" w:cs="宋体"/>
          <w:sz w:val="24"/>
        </w:rPr>
        <w:t xml:space="preserve">   </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XXX                       </w:t>
      </w:r>
      <w:r>
        <w:rPr>
          <w:rFonts w:ascii="宋体" w:hAnsi="宋体" w:cs="宋体"/>
          <w:sz w:val="24"/>
          <w:u w:val="single"/>
        </w:rPr>
        <w:t xml:space="preserve"> </w:t>
      </w:r>
    </w:p>
    <w:p>
      <w:pPr>
        <w:spacing w:before="120" w:line="22" w:lineRule="atLeast"/>
        <w:rPr>
          <w:rFonts w:ascii="宋体" w:hAnsi="宋体" w:cs="宋体"/>
          <w:sz w:val="24"/>
        </w:rPr>
      </w:pPr>
    </w:p>
    <w:p>
      <w:pPr>
        <w:spacing w:before="120" w:line="22" w:lineRule="atLeast"/>
        <w:ind w:left="960"/>
        <w:rPr>
          <w:rFonts w:ascii="宋体" w:hAnsi="宋体" w:cs="宋体"/>
          <w:sz w:val="24"/>
          <w:u w:val="single"/>
        </w:rPr>
      </w:pPr>
      <w:r>
        <w:rPr>
          <w:rFonts w:hint="eastAsia" w:ascii="宋体" w:hAnsi="宋体" w:cs="宋体"/>
          <w:sz w:val="24"/>
        </w:rPr>
        <w:t xml:space="preserve">乙方： </w:t>
      </w:r>
      <w:r>
        <w:rPr>
          <w:rFonts w:ascii="宋体" w:hAnsi="宋体" w:cs="宋体"/>
          <w:sz w:val="24"/>
        </w:rPr>
        <w:t xml:space="preserve">   </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XXX                        </w:t>
      </w:r>
    </w:p>
    <w:p>
      <w:pPr>
        <w:spacing w:before="120" w:line="22" w:lineRule="atLeast"/>
        <w:rPr>
          <w:rFonts w:ascii="宋体" w:hAnsi="宋体" w:cs="宋体"/>
          <w:sz w:val="24"/>
        </w:rPr>
      </w:pPr>
    </w:p>
    <w:p>
      <w:pPr>
        <w:spacing w:line="440" w:lineRule="exact"/>
        <w:ind w:firstLine="960" w:firstLineChars="400"/>
        <w:rPr>
          <w:rFonts w:ascii="宋体" w:hAnsi="宋体" w:cs="宋体"/>
          <w:szCs w:val="21"/>
        </w:rPr>
      </w:pPr>
      <w:r>
        <w:rPr>
          <w:rFonts w:hint="eastAsia" w:ascii="宋体" w:hAnsi="宋体" w:cs="宋体"/>
          <w:sz w:val="24"/>
        </w:rPr>
        <w:t xml:space="preserve">日期： </w:t>
      </w:r>
      <w:r>
        <w:rPr>
          <w:rFonts w:ascii="宋体" w:hAnsi="宋体" w:cs="宋体"/>
          <w:sz w:val="24"/>
        </w:rPr>
        <w:t xml:space="preserve">   </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年      月     日                    </w:t>
      </w:r>
      <w:r>
        <w:rPr>
          <w:rFonts w:hint="eastAsia" w:ascii="宋体" w:hAnsi="宋体" w:cs="宋体"/>
          <w:sz w:val="24"/>
        </w:rPr>
        <w:br w:type="page"/>
      </w:r>
      <w:r>
        <w:rPr>
          <w:rFonts w:hint="eastAsia" w:ascii="宋体" w:hAnsi="宋体" w:cs="宋体"/>
          <w:szCs w:val="21"/>
          <w:u w:val="single"/>
        </w:rPr>
        <w:t xml:space="preserve">  XXX  </w:t>
      </w:r>
      <w:r>
        <w:rPr>
          <w:rFonts w:hint="eastAsia" w:ascii="宋体" w:hAnsi="宋体" w:cs="宋体"/>
          <w:szCs w:val="21"/>
        </w:rPr>
        <w:t>以</w:t>
      </w:r>
      <w:r>
        <w:rPr>
          <w:rFonts w:hint="eastAsia" w:ascii="宋体" w:hAnsi="宋体" w:cs="宋体"/>
          <w:szCs w:val="21"/>
          <w:u w:val="single"/>
        </w:rPr>
        <w:t xml:space="preserve">  XXX  </w:t>
      </w:r>
      <w:r>
        <w:rPr>
          <w:rFonts w:hint="eastAsia" w:ascii="宋体" w:hAnsi="宋体" w:cs="宋体"/>
          <w:szCs w:val="21"/>
        </w:rPr>
        <w:t>对</w:t>
      </w:r>
      <w:r>
        <w:rPr>
          <w:rFonts w:hint="eastAsia" w:ascii="宋体" w:hAnsi="宋体" w:cs="宋体"/>
          <w:szCs w:val="21"/>
          <w:u w:val="single"/>
        </w:rPr>
        <w:t xml:space="preserve">   XXX  </w:t>
      </w:r>
      <w:r>
        <w:rPr>
          <w:rFonts w:hint="eastAsia" w:ascii="宋体" w:hAnsi="宋体" w:cs="宋体"/>
          <w:szCs w:val="21"/>
        </w:rPr>
        <w:t>进行了采购。经评定，</w:t>
      </w:r>
      <w:r>
        <w:rPr>
          <w:rFonts w:hint="eastAsia" w:ascii="宋体" w:hAnsi="宋体" w:cs="宋体"/>
          <w:szCs w:val="21"/>
          <w:u w:val="single"/>
        </w:rPr>
        <w:t xml:space="preserve"> XXX </w:t>
      </w:r>
      <w:r>
        <w:rPr>
          <w:rFonts w:ascii="宋体" w:hAnsi="宋体" w:cs="宋体"/>
          <w:szCs w:val="21"/>
          <w:u w:val="single"/>
        </w:rPr>
        <w:t xml:space="preserve"> </w:t>
      </w:r>
      <w:r>
        <w:rPr>
          <w:rFonts w:hint="eastAsia" w:ascii="宋体" w:hAnsi="宋体" w:cs="宋体"/>
          <w:szCs w:val="21"/>
        </w:rPr>
        <w:t>为该项目成交供应商。现于中标通知书发出之日起三十日内，按照采购文件确定的事项签订本合同。</w:t>
      </w:r>
    </w:p>
    <w:p>
      <w:pPr>
        <w:spacing w:line="440" w:lineRule="exact"/>
        <w:ind w:firstLine="420" w:firstLineChars="200"/>
        <w:rPr>
          <w:rFonts w:ascii="宋体" w:hAnsi="宋体" w:cs="宋体"/>
          <w:szCs w:val="21"/>
        </w:rPr>
      </w:pPr>
      <w:r>
        <w:rPr>
          <w:rFonts w:hint="eastAsia" w:ascii="宋体" w:hAnsi="宋体" w:cs="宋体"/>
          <w:szCs w:val="21"/>
          <w:lang w:val="zh-CN"/>
        </w:rPr>
        <w:t>根据《中华人民共和国民法典》、《中华人民共和国政府采购法》等相关法律法规之规定，按照平等、自愿、公平和诚实信用的原则，经</w:t>
      </w:r>
      <w:r>
        <w:rPr>
          <w:rFonts w:hint="eastAsia" w:ascii="宋体" w:hAnsi="宋体" w:cs="宋体"/>
          <w:szCs w:val="21"/>
          <w:u w:val="single"/>
        </w:rPr>
        <w:t xml:space="preserve">   XXX   </w:t>
      </w:r>
      <w:r>
        <w:rPr>
          <w:rFonts w:hint="eastAsia" w:ascii="宋体" w:hAnsi="宋体" w:cs="宋体"/>
          <w:szCs w:val="21"/>
          <w:lang w:val="zh-CN"/>
        </w:rPr>
        <w:t>(以下简称：甲方)和</w:t>
      </w:r>
      <w:r>
        <w:rPr>
          <w:rFonts w:hint="eastAsia" w:ascii="宋体" w:hAnsi="宋体" w:cs="宋体"/>
          <w:szCs w:val="21"/>
          <w:u w:val="single"/>
        </w:rPr>
        <w:t xml:space="preserve"> XXX  </w:t>
      </w:r>
      <w:r>
        <w:rPr>
          <w:rFonts w:hint="eastAsia" w:ascii="宋体" w:hAnsi="宋体" w:cs="宋体"/>
          <w:szCs w:val="21"/>
          <w:lang w:val="zh-CN"/>
        </w:rPr>
        <w:t>(以下简称：乙方)协商一致，约定以下合同</w:t>
      </w:r>
      <w:r>
        <w:rPr>
          <w:rFonts w:hint="eastAsia" w:ascii="宋体" w:hAnsi="宋体" w:cs="宋体"/>
          <w:szCs w:val="21"/>
        </w:rPr>
        <w:t>条款，以兹共同遵守、全面履行。</w:t>
      </w:r>
    </w:p>
    <w:p>
      <w:pPr>
        <w:spacing w:line="440" w:lineRule="exact"/>
        <w:ind w:firstLine="422" w:firstLineChars="200"/>
        <w:rPr>
          <w:rFonts w:ascii="宋体" w:hAnsi="宋体" w:cs="宋体"/>
          <w:b/>
          <w:szCs w:val="21"/>
        </w:rPr>
      </w:pPr>
      <w:r>
        <w:rPr>
          <w:rFonts w:hint="eastAsia" w:ascii="宋体" w:hAnsi="宋体" w:cs="宋体"/>
          <w:b/>
          <w:szCs w:val="21"/>
        </w:rPr>
        <w:t>1.1 合同组成部分</w:t>
      </w:r>
    </w:p>
    <w:p>
      <w:pPr>
        <w:spacing w:line="440" w:lineRule="exact"/>
        <w:ind w:firstLine="420" w:firstLineChars="200"/>
        <w:rPr>
          <w:rFonts w:ascii="宋体" w:hAnsi="宋体" w:cs="宋体"/>
          <w:szCs w:val="21"/>
        </w:rPr>
      </w:pPr>
      <w:r>
        <w:rPr>
          <w:rFonts w:hint="eastAsia" w:ascii="宋体" w:hAnsi="宋体" w:cs="宋体"/>
          <w:szCs w:val="21"/>
        </w:rPr>
        <w:t>下列文件为本合同的组成部分，并构成一个整体，需综合解释、相互补充。如果下列文件内容出现不一致的情形，那么在保证按照采购文件确定的事项的前提下，组成本合同的多个文件的优先适用顺序如下：</w:t>
      </w:r>
    </w:p>
    <w:p>
      <w:pPr>
        <w:spacing w:line="440" w:lineRule="exact"/>
        <w:ind w:firstLine="420" w:firstLineChars="200"/>
        <w:rPr>
          <w:rFonts w:ascii="宋体" w:hAnsi="宋体" w:cs="宋体"/>
          <w:szCs w:val="21"/>
        </w:rPr>
      </w:pPr>
      <w:r>
        <w:rPr>
          <w:rFonts w:hint="eastAsia" w:ascii="宋体" w:hAnsi="宋体" w:cs="宋体"/>
          <w:szCs w:val="21"/>
        </w:rPr>
        <w:t>1.1.1 本合同及其补充合同、变更协议；</w:t>
      </w:r>
    </w:p>
    <w:p>
      <w:pPr>
        <w:spacing w:line="440" w:lineRule="exact"/>
        <w:ind w:firstLine="420" w:firstLineChars="200"/>
        <w:rPr>
          <w:rFonts w:ascii="宋体" w:hAnsi="宋体" w:cs="宋体"/>
          <w:szCs w:val="21"/>
        </w:rPr>
      </w:pPr>
      <w:r>
        <w:rPr>
          <w:rFonts w:hint="eastAsia" w:ascii="宋体" w:hAnsi="宋体" w:cs="宋体"/>
          <w:szCs w:val="21"/>
        </w:rPr>
        <w:t>1.1.2 中标通知书；</w:t>
      </w:r>
    </w:p>
    <w:p>
      <w:pPr>
        <w:spacing w:line="440" w:lineRule="exact"/>
        <w:ind w:firstLine="420" w:firstLineChars="200"/>
        <w:rPr>
          <w:rFonts w:ascii="宋体" w:hAnsi="宋体" w:cs="宋体"/>
          <w:szCs w:val="21"/>
        </w:rPr>
      </w:pPr>
      <w:r>
        <w:rPr>
          <w:rFonts w:hint="eastAsia" w:ascii="宋体" w:hAnsi="宋体" w:cs="宋体"/>
          <w:szCs w:val="21"/>
        </w:rPr>
        <w:t>1.1.3 公开招标文件（含澄清或者说明文件）；</w:t>
      </w:r>
    </w:p>
    <w:p>
      <w:pPr>
        <w:spacing w:line="440" w:lineRule="exact"/>
        <w:ind w:firstLine="420" w:firstLineChars="200"/>
        <w:rPr>
          <w:rFonts w:ascii="宋体" w:hAnsi="宋体" w:cs="宋体"/>
          <w:szCs w:val="21"/>
        </w:rPr>
      </w:pPr>
      <w:r>
        <w:rPr>
          <w:rFonts w:hint="eastAsia" w:ascii="宋体" w:hAnsi="宋体" w:cs="宋体"/>
          <w:szCs w:val="21"/>
        </w:rPr>
        <w:t>1.1.4 公开招标响应文件（含澄清或者修改文件）；</w:t>
      </w:r>
    </w:p>
    <w:p>
      <w:pPr>
        <w:spacing w:line="440" w:lineRule="exact"/>
        <w:ind w:firstLine="420" w:firstLineChars="200"/>
        <w:rPr>
          <w:rFonts w:ascii="宋体" w:hAnsi="宋体" w:cs="宋体"/>
          <w:szCs w:val="21"/>
        </w:rPr>
      </w:pPr>
      <w:r>
        <w:rPr>
          <w:rFonts w:hint="eastAsia" w:ascii="宋体" w:hAnsi="宋体" w:cs="宋体"/>
          <w:szCs w:val="21"/>
        </w:rPr>
        <w:t>1.1.5 其他相关采购文件。</w:t>
      </w:r>
    </w:p>
    <w:p>
      <w:pPr>
        <w:spacing w:line="440" w:lineRule="exact"/>
        <w:ind w:firstLine="422" w:firstLineChars="200"/>
        <w:rPr>
          <w:rFonts w:ascii="宋体" w:hAnsi="宋体" w:cs="宋体"/>
          <w:b/>
          <w:szCs w:val="21"/>
        </w:rPr>
      </w:pPr>
      <w:r>
        <w:rPr>
          <w:rFonts w:hint="eastAsia" w:ascii="宋体" w:hAnsi="宋体" w:cs="宋体"/>
          <w:b/>
          <w:szCs w:val="21"/>
        </w:rPr>
        <w:t>1.2 标的</w:t>
      </w:r>
    </w:p>
    <w:p>
      <w:pPr>
        <w:spacing w:line="440" w:lineRule="exact"/>
        <w:ind w:firstLine="420" w:firstLineChars="200"/>
        <w:rPr>
          <w:rFonts w:ascii="宋体" w:hAnsi="宋体" w:cs="宋体"/>
          <w:szCs w:val="21"/>
          <w:u w:val="single"/>
        </w:rPr>
      </w:pPr>
      <w:r>
        <w:rPr>
          <w:rFonts w:hint="eastAsia" w:ascii="宋体" w:hAnsi="宋体" w:cs="宋体"/>
          <w:szCs w:val="21"/>
        </w:rPr>
        <w:t>1.2.1 标的名称：</w:t>
      </w:r>
      <w:r>
        <w:rPr>
          <w:rFonts w:hint="eastAsia" w:ascii="宋体" w:hAnsi="宋体" w:cs="宋体"/>
          <w:szCs w:val="21"/>
          <w:u w:val="single"/>
        </w:rPr>
        <w:t>XXX</w:t>
      </w:r>
    </w:p>
    <w:p>
      <w:pPr>
        <w:spacing w:line="360" w:lineRule="auto"/>
        <w:ind w:firstLine="420" w:firstLineChars="200"/>
        <w:rPr>
          <w:rFonts w:ascii="宋体" w:hAnsi="宋体" w:cs="宋体"/>
          <w:szCs w:val="21"/>
        </w:rPr>
      </w:pPr>
      <w:r>
        <w:rPr>
          <w:rFonts w:hint="eastAsia" w:ascii="宋体" w:hAnsi="宋体" w:cs="宋体"/>
          <w:szCs w:val="21"/>
        </w:rPr>
        <w:t>1.2.</w:t>
      </w:r>
      <w:r>
        <w:rPr>
          <w:rFonts w:ascii="宋体" w:hAnsi="宋体" w:cs="宋体"/>
          <w:szCs w:val="21"/>
        </w:rPr>
        <w:t>2</w:t>
      </w:r>
      <w:r>
        <w:rPr>
          <w:rFonts w:hint="eastAsia" w:ascii="宋体" w:hAnsi="宋体" w:cs="宋体"/>
          <w:szCs w:val="21"/>
        </w:rPr>
        <w:t xml:space="preserve"> 标的质量：</w:t>
      </w:r>
      <w:r>
        <w:rPr>
          <w:rFonts w:hint="eastAsia" w:ascii="宋体" w:hAnsi="宋体" w:cs="宋体"/>
          <w:szCs w:val="21"/>
          <w:u w:val="single"/>
        </w:rPr>
        <w:t>符合国家及行业标准并满足采购人使用要求</w:t>
      </w:r>
      <w:r>
        <w:rPr>
          <w:rFonts w:hint="eastAsia" w:ascii="宋体" w:hAnsi="宋体" w:cs="宋体"/>
          <w:szCs w:val="21"/>
        </w:rPr>
        <w:t>。</w:t>
      </w:r>
    </w:p>
    <w:p>
      <w:pPr>
        <w:spacing w:line="440" w:lineRule="exact"/>
        <w:ind w:firstLine="422" w:firstLineChars="200"/>
        <w:rPr>
          <w:rFonts w:ascii="宋体" w:hAnsi="宋体" w:cs="宋体"/>
          <w:b/>
          <w:szCs w:val="21"/>
        </w:rPr>
      </w:pPr>
      <w:r>
        <w:rPr>
          <w:rFonts w:hint="eastAsia" w:ascii="宋体" w:hAnsi="宋体" w:cs="宋体"/>
          <w:b/>
          <w:szCs w:val="21"/>
        </w:rPr>
        <w:t>1.3 价款</w:t>
      </w:r>
    </w:p>
    <w:p>
      <w:pPr>
        <w:spacing w:line="440" w:lineRule="exact"/>
        <w:ind w:firstLine="420" w:firstLineChars="200"/>
      </w:pPr>
      <w:r>
        <w:rPr>
          <w:rFonts w:hint="eastAsia" w:ascii="宋体" w:hAnsi="宋体" w:cs="宋体"/>
          <w:szCs w:val="21"/>
        </w:rPr>
        <w:t>本合同总价为：￥</w:t>
      </w:r>
      <w:r>
        <w:rPr>
          <w:rFonts w:hint="eastAsia" w:ascii="宋体" w:hAnsi="宋体" w:cs="宋体"/>
          <w:szCs w:val="21"/>
          <w:u w:val="single"/>
        </w:rPr>
        <w:t xml:space="preserve">  XXX </w:t>
      </w:r>
      <w:r>
        <w:rPr>
          <w:rFonts w:hint="eastAsia" w:ascii="宋体" w:hAnsi="宋体" w:cs="宋体"/>
          <w:szCs w:val="21"/>
        </w:rPr>
        <w:t>元（大写：</w:t>
      </w:r>
      <w:r>
        <w:rPr>
          <w:rFonts w:hint="eastAsia" w:ascii="宋体" w:hAnsi="宋体" w:cs="宋体"/>
          <w:szCs w:val="21"/>
          <w:u w:val="single"/>
        </w:rPr>
        <w:t xml:space="preserve"> XXX  </w:t>
      </w:r>
      <w:r>
        <w:rPr>
          <w:rFonts w:hint="eastAsia" w:ascii="宋体" w:hAnsi="宋体" w:cs="宋体"/>
          <w:szCs w:val="21"/>
        </w:rPr>
        <w:t>）。</w:t>
      </w:r>
    </w:p>
    <w:p>
      <w:pPr>
        <w:spacing w:line="440" w:lineRule="exact"/>
        <w:ind w:firstLine="422" w:firstLineChars="200"/>
        <w:rPr>
          <w:rFonts w:ascii="宋体" w:hAnsi="宋体" w:cs="宋体"/>
          <w:b/>
          <w:szCs w:val="21"/>
        </w:rPr>
      </w:pPr>
      <w:r>
        <w:rPr>
          <w:rFonts w:hint="eastAsia" w:ascii="宋体" w:hAnsi="宋体" w:cs="宋体"/>
          <w:b/>
          <w:szCs w:val="21"/>
        </w:rPr>
        <w:t>1.4 付款方式和发票开具方式</w:t>
      </w:r>
    </w:p>
    <w:p>
      <w:pPr>
        <w:spacing w:line="440" w:lineRule="exact"/>
        <w:ind w:firstLine="420" w:firstLineChars="200"/>
        <w:rPr>
          <w:rFonts w:ascii="宋体" w:hAnsi="宋体" w:cs="宋体"/>
          <w:szCs w:val="21"/>
        </w:rPr>
      </w:pPr>
      <w:r>
        <w:rPr>
          <w:rFonts w:hint="eastAsia" w:ascii="宋体" w:hAnsi="宋体" w:cs="宋体"/>
          <w:szCs w:val="21"/>
        </w:rPr>
        <w:t>1.4.1 付款方式：</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XXX</w:t>
      </w:r>
      <w:r>
        <w:rPr>
          <w:rFonts w:ascii="宋体" w:hAnsi="宋体" w:cs="宋体"/>
          <w:szCs w:val="21"/>
          <w:u w:val="single"/>
        </w:rPr>
        <w:t xml:space="preserve">  </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1.4.2 发票开具方式：</w:t>
      </w:r>
      <w:r>
        <w:rPr>
          <w:rFonts w:hint="eastAsia" w:ascii="宋体" w:hAnsi="宋体" w:cs="宋体"/>
          <w:szCs w:val="21"/>
          <w:u w:val="single"/>
        </w:rPr>
        <w:t xml:space="preserve">付款前乙方应开具相应金额的增值税普通发票 </w:t>
      </w:r>
      <w:r>
        <w:rPr>
          <w:rFonts w:hint="eastAsia" w:ascii="宋体" w:hAnsi="宋体" w:cs="宋体"/>
          <w:szCs w:val="21"/>
        </w:rPr>
        <w:t>。</w:t>
      </w:r>
    </w:p>
    <w:p>
      <w:pPr>
        <w:spacing w:line="440" w:lineRule="exact"/>
        <w:ind w:firstLine="422" w:firstLineChars="200"/>
        <w:rPr>
          <w:rFonts w:ascii="宋体" w:hAnsi="宋体" w:cs="宋体"/>
          <w:b/>
          <w:szCs w:val="21"/>
        </w:rPr>
      </w:pPr>
      <w:r>
        <w:rPr>
          <w:rFonts w:hint="eastAsia" w:ascii="宋体" w:hAnsi="宋体" w:cs="宋体"/>
          <w:b/>
          <w:szCs w:val="21"/>
        </w:rPr>
        <w:t>1.5</w:t>
      </w:r>
      <w:r>
        <w:rPr>
          <w:rFonts w:hint="eastAsia" w:ascii="宋体" w:hAnsi="宋体" w:cs="宋体"/>
          <w:b/>
          <w:bCs/>
          <w:szCs w:val="21"/>
        </w:rPr>
        <w:t>履行期限、质保期</w:t>
      </w:r>
    </w:p>
    <w:p>
      <w:pPr>
        <w:spacing w:line="440" w:lineRule="exact"/>
        <w:ind w:firstLine="420" w:firstLineChars="200"/>
        <w:rPr>
          <w:rFonts w:ascii="宋体" w:hAnsi="宋体" w:cs="宋体"/>
          <w:szCs w:val="21"/>
          <w:u w:val="single"/>
        </w:rPr>
      </w:pPr>
      <w:r>
        <w:rPr>
          <w:rFonts w:hint="eastAsia" w:ascii="宋体" w:hAnsi="宋体" w:cs="宋体"/>
          <w:szCs w:val="21"/>
        </w:rPr>
        <w:t>1.5.1 交货期限：</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XXX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1.5.2 质保期：</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XXX            </w:t>
      </w:r>
      <w:r>
        <w:rPr>
          <w:rFonts w:hint="eastAsia" w:ascii="宋体" w:hAnsi="宋体" w:cs="宋体"/>
          <w:szCs w:val="21"/>
        </w:rPr>
        <w:t>；</w:t>
      </w:r>
    </w:p>
    <w:p>
      <w:pPr>
        <w:pStyle w:val="35"/>
        <w:spacing w:after="0" w:line="440" w:lineRule="exact"/>
        <w:ind w:firstLineChars="200"/>
        <w:rPr>
          <w:rFonts w:ascii="宋体" w:hAnsi="宋体" w:cs="宋体"/>
          <w:szCs w:val="21"/>
          <w:u w:val="single"/>
        </w:rPr>
      </w:pPr>
      <w:r>
        <w:rPr>
          <w:rFonts w:hint="eastAsia" w:ascii="宋体" w:hAnsi="宋体" w:cs="宋体"/>
          <w:szCs w:val="21"/>
        </w:rPr>
        <w:t>1.5.3 进场施工：</w:t>
      </w:r>
      <w:r>
        <w:rPr>
          <w:rFonts w:hint="eastAsia" w:ascii="宋体" w:hAnsi="宋体" w:cs="宋体"/>
          <w:szCs w:val="21"/>
          <w:u w:val="single"/>
        </w:rPr>
        <w:t xml:space="preserve">  XXX     </w:t>
      </w:r>
      <w:r>
        <w:rPr>
          <w:rFonts w:hint="eastAsia" w:ascii="宋体" w:hAnsi="宋体" w:cs="宋体"/>
          <w:szCs w:val="21"/>
        </w:rPr>
        <w:t>；</w:t>
      </w:r>
    </w:p>
    <w:p>
      <w:pPr>
        <w:spacing w:line="440" w:lineRule="exact"/>
        <w:ind w:firstLine="422" w:firstLineChars="200"/>
        <w:rPr>
          <w:rFonts w:ascii="宋体" w:hAnsi="宋体" w:cs="宋体"/>
          <w:b/>
          <w:bCs/>
          <w:szCs w:val="21"/>
        </w:rPr>
      </w:pPr>
      <w:r>
        <w:rPr>
          <w:rFonts w:hint="eastAsia" w:ascii="宋体" w:hAnsi="宋体" w:cs="宋体"/>
          <w:b/>
          <w:bCs/>
          <w:szCs w:val="21"/>
        </w:rPr>
        <w:t>1.6售后服务</w:t>
      </w:r>
    </w:p>
    <w:p>
      <w:pPr>
        <w:pStyle w:val="35"/>
        <w:spacing w:after="0" w:line="440" w:lineRule="exact"/>
        <w:ind w:firstLineChars="200"/>
        <w:rPr>
          <w:rFonts w:ascii="宋体" w:hAnsi="宋体" w:cs="宋体"/>
          <w:szCs w:val="21"/>
        </w:rPr>
      </w:pPr>
      <w:r>
        <w:rPr>
          <w:rFonts w:hint="eastAsia" w:ascii="宋体" w:hAnsi="宋体" w:cs="宋体"/>
          <w:szCs w:val="21"/>
        </w:rPr>
        <w:t>1.6.1乙方应按照甲方要求，免费提供软件更新，免费纠正或替换任何与本合同约定的功能有偏差的软件。</w:t>
      </w:r>
    </w:p>
    <w:p>
      <w:pPr>
        <w:pStyle w:val="35"/>
        <w:spacing w:after="0" w:line="440" w:lineRule="exact"/>
        <w:ind w:firstLineChars="200"/>
        <w:rPr>
          <w:rFonts w:ascii="宋体" w:hAnsi="宋体" w:cs="宋体"/>
          <w:szCs w:val="21"/>
        </w:rPr>
      </w:pPr>
      <w:r>
        <w:rPr>
          <w:rFonts w:hint="eastAsia" w:ascii="宋体" w:hAnsi="宋体" w:cs="宋体"/>
          <w:szCs w:val="21"/>
        </w:rPr>
        <w:t>1.6.2乙方为系统故障的第一响应方。当系统发生故障时，乙方有责任在甲方要求的时间内首先响应，并负责对系统调测及运行维护中出现的问题进行及时的处理和故障排除。</w:t>
      </w:r>
    </w:p>
    <w:p>
      <w:pPr>
        <w:pStyle w:val="35"/>
        <w:spacing w:after="0" w:line="440" w:lineRule="exact"/>
        <w:ind w:firstLineChars="200"/>
        <w:rPr>
          <w:rFonts w:ascii="宋体" w:hAnsi="宋体" w:cs="宋体"/>
          <w:szCs w:val="21"/>
        </w:rPr>
      </w:pPr>
      <w:r>
        <w:rPr>
          <w:rFonts w:hint="eastAsia" w:ascii="宋体" w:hAnsi="宋体" w:cs="宋体"/>
          <w:szCs w:val="21"/>
        </w:rPr>
        <w:t>1.6.3在系统售后期内，乙方承诺免费对系统进行维护并提供系统正常运行所必需的基本技术支持（含现场服务），包括但不限于：</w:t>
      </w:r>
    </w:p>
    <w:p>
      <w:pPr>
        <w:pStyle w:val="35"/>
        <w:spacing w:after="0" w:line="440" w:lineRule="exact"/>
        <w:ind w:firstLineChars="200"/>
        <w:rPr>
          <w:rFonts w:ascii="宋体" w:hAnsi="宋体" w:cs="宋体"/>
          <w:szCs w:val="21"/>
        </w:rPr>
      </w:pPr>
      <w:r>
        <w:rPr>
          <w:rFonts w:hint="eastAsia" w:ascii="宋体" w:hAnsi="宋体" w:cs="宋体"/>
          <w:szCs w:val="21"/>
        </w:rPr>
        <w:t>（1）为保证系统正常运行所需的预防性维护、日常维护支持、网络调整支持、数据备份支持等工作。</w:t>
      </w:r>
    </w:p>
    <w:p>
      <w:pPr>
        <w:pStyle w:val="35"/>
        <w:spacing w:after="0" w:line="440" w:lineRule="exact"/>
        <w:ind w:firstLineChars="200"/>
        <w:rPr>
          <w:rFonts w:ascii="宋体" w:hAnsi="宋体" w:cs="宋体"/>
          <w:szCs w:val="21"/>
        </w:rPr>
      </w:pPr>
      <w:r>
        <w:rPr>
          <w:rFonts w:hint="eastAsia" w:ascii="宋体" w:hAnsi="宋体" w:cs="宋体"/>
          <w:szCs w:val="21"/>
        </w:rPr>
        <w:t>（2）若由于技术的发展，乙方对于合同软件进行了任何升级、改进或修改，乙方均应及时向甲方提供有关软件功能增加和性能改进等方面的信息。在甲方要求时，提供增加新功能的软件更新或版本升级。</w:t>
      </w:r>
    </w:p>
    <w:p>
      <w:pPr>
        <w:pStyle w:val="35"/>
        <w:spacing w:after="0" w:line="440" w:lineRule="exact"/>
        <w:ind w:firstLineChars="200"/>
        <w:rPr>
          <w:rFonts w:ascii="宋体" w:hAnsi="宋体" w:cs="宋体"/>
          <w:szCs w:val="21"/>
        </w:rPr>
      </w:pPr>
      <w:r>
        <w:rPr>
          <w:rFonts w:hint="eastAsia" w:ascii="宋体" w:hAnsi="宋体" w:cs="宋体"/>
          <w:szCs w:val="21"/>
        </w:rPr>
        <w:t>（3）向甲方提供合同系统相关新技术和新业务的日常技术咨询服务。</w:t>
      </w:r>
    </w:p>
    <w:p>
      <w:pPr>
        <w:pStyle w:val="35"/>
        <w:spacing w:after="0" w:line="440" w:lineRule="exact"/>
        <w:ind w:firstLineChars="200"/>
        <w:rPr>
          <w:rFonts w:ascii="宋体" w:hAnsi="宋体" w:cs="宋体"/>
          <w:szCs w:val="21"/>
        </w:rPr>
      </w:pPr>
      <w:r>
        <w:rPr>
          <w:rFonts w:hint="eastAsia" w:ascii="宋体" w:hAnsi="宋体" w:cs="宋体"/>
          <w:szCs w:val="21"/>
        </w:rPr>
        <w:t>（4）合同系统发生搬迁时，免费提供合理、可行的搬迁技术方案给甲方，并在甲方要求的情况下，委派专业技术人员进行现场支持，以确保搬迁后系统的正常运行。</w:t>
      </w:r>
    </w:p>
    <w:p>
      <w:pPr>
        <w:pStyle w:val="35"/>
        <w:spacing w:after="0" w:line="440" w:lineRule="exact"/>
        <w:ind w:firstLineChars="200"/>
        <w:rPr>
          <w:rFonts w:ascii="宋体" w:hAnsi="宋体" w:cs="宋体"/>
          <w:szCs w:val="21"/>
        </w:rPr>
      </w:pPr>
      <w:r>
        <w:rPr>
          <w:rFonts w:hint="eastAsia" w:ascii="宋体" w:hAnsi="宋体" w:cs="宋体"/>
          <w:szCs w:val="21"/>
        </w:rPr>
        <w:t>1.6.4在系统售后期内，乙方应提供每周7天每天24小时保持通讯畅通，并提供技术支持服务。如果出现紧急技术问题，在甲方通过电话或传真等通知乙方的情况下，乙方的工程师应在1小时内予以答复。如果甲方要求紧急处理，乙方应在收到甲方通知后的1小时内赶到现场。当合同系统提供的业务中断时，乙方在提供远端服务的同时，须在收到甲方通知后2小时内赶到现场，因不可抗力致使乙方未按时到达现场的除外。</w:t>
      </w:r>
    </w:p>
    <w:p>
      <w:pPr>
        <w:pStyle w:val="35"/>
        <w:spacing w:after="0" w:line="440" w:lineRule="exact"/>
        <w:ind w:firstLineChars="200"/>
        <w:rPr>
          <w:rFonts w:ascii="宋体" w:hAnsi="宋体" w:cs="宋体"/>
          <w:szCs w:val="21"/>
        </w:rPr>
      </w:pPr>
      <w:r>
        <w:rPr>
          <w:rFonts w:hint="eastAsia" w:ascii="宋体" w:hAnsi="宋体" w:cs="宋体"/>
          <w:szCs w:val="21"/>
        </w:rPr>
        <w:t>1.6.5在系统售后期内，乙方承诺在甲方对本工程后续的扩容工程或本工程相关的其他工程中，无论乙方中标与否，均进行免费的配合工作。</w:t>
      </w:r>
    </w:p>
    <w:p>
      <w:pPr>
        <w:pStyle w:val="35"/>
        <w:spacing w:after="0" w:line="440" w:lineRule="exact"/>
        <w:ind w:firstLine="210"/>
        <w:rPr>
          <w:rFonts w:ascii="宋体" w:hAnsi="宋体" w:cs="宋体"/>
          <w:b/>
          <w:szCs w:val="21"/>
        </w:rPr>
      </w:pPr>
      <w:r>
        <w:rPr>
          <w:rFonts w:hint="eastAsia" w:ascii="宋体" w:hAnsi="宋体" w:cs="宋体"/>
          <w:szCs w:val="21"/>
        </w:rPr>
        <w:t xml:space="preserve"> </w:t>
      </w:r>
      <w:r>
        <w:rPr>
          <w:rFonts w:ascii="宋体" w:hAnsi="宋体" w:cs="宋体"/>
          <w:szCs w:val="21"/>
        </w:rPr>
        <w:t xml:space="preserve"> </w:t>
      </w:r>
      <w:r>
        <w:rPr>
          <w:rFonts w:ascii="宋体" w:hAnsi="宋体" w:cs="宋体"/>
          <w:b/>
          <w:szCs w:val="21"/>
        </w:rPr>
        <w:t>1.</w:t>
      </w:r>
      <w:r>
        <w:rPr>
          <w:rFonts w:hint="eastAsia" w:ascii="宋体" w:hAnsi="宋体" w:cs="宋体"/>
          <w:b/>
          <w:szCs w:val="21"/>
        </w:rPr>
        <w:t>7项目验收</w:t>
      </w:r>
    </w:p>
    <w:p>
      <w:pPr>
        <w:pStyle w:val="35"/>
        <w:spacing w:after="0" w:line="440" w:lineRule="exact"/>
        <w:ind w:firstLine="211"/>
      </w:pPr>
      <w:r>
        <w:rPr>
          <w:rFonts w:hint="eastAsia" w:ascii="宋体" w:hAnsi="宋体" w:cs="宋体"/>
          <w:b/>
          <w:szCs w:val="21"/>
        </w:rPr>
        <w:t xml:space="preserve"> </w:t>
      </w:r>
      <w:r>
        <w:rPr>
          <w:rFonts w:ascii="宋体" w:hAnsi="宋体" w:cs="宋体"/>
          <w:b/>
          <w:szCs w:val="21"/>
        </w:rPr>
        <w:t xml:space="preserve"> </w:t>
      </w:r>
      <w:r>
        <w:rPr>
          <w:rFonts w:hint="eastAsia" w:ascii="宋体" w:hAnsi="宋体" w:cs="宋体"/>
          <w:szCs w:val="21"/>
        </w:rPr>
        <w:t>项目完工后，由乙方向甲方提出书面验收申请。甲方需在收到验收申请之日起</w:t>
      </w:r>
      <w:r>
        <w:rPr>
          <w:rFonts w:ascii="宋体" w:hAnsi="宋体" w:cs="宋体"/>
          <w:szCs w:val="21"/>
        </w:rPr>
        <w:t>7</w:t>
      </w:r>
      <w:r>
        <w:rPr>
          <w:rFonts w:hint="eastAsia" w:ascii="宋体" w:hAnsi="宋体" w:cs="宋体"/>
          <w:szCs w:val="21"/>
        </w:rPr>
        <w:t>个工作日内组织验收，验收通过后3个工作日内应出具验收报告，验收报告中载明的日期视为验收合格之日。</w:t>
      </w:r>
    </w:p>
    <w:p>
      <w:pPr>
        <w:spacing w:line="440" w:lineRule="exact"/>
        <w:ind w:firstLine="422" w:firstLineChars="200"/>
        <w:rPr>
          <w:rFonts w:ascii="宋体" w:hAnsi="宋体" w:cs="宋体"/>
          <w:b/>
          <w:szCs w:val="21"/>
        </w:rPr>
      </w:pPr>
      <w:r>
        <w:rPr>
          <w:rFonts w:hint="eastAsia" w:ascii="宋体" w:hAnsi="宋体" w:cs="宋体"/>
          <w:b/>
          <w:szCs w:val="21"/>
        </w:rPr>
        <w:t>1.8 违约责任</w:t>
      </w:r>
    </w:p>
    <w:p>
      <w:pPr>
        <w:spacing w:line="440" w:lineRule="exact"/>
        <w:ind w:firstLine="420" w:firstLineChars="200"/>
        <w:rPr>
          <w:rFonts w:ascii="宋体" w:hAnsi="宋体" w:cs="宋体"/>
          <w:szCs w:val="21"/>
        </w:rPr>
      </w:pPr>
      <w:r>
        <w:rPr>
          <w:rFonts w:hint="eastAsia" w:ascii="宋体" w:hAnsi="宋体" w:cs="宋体"/>
          <w:szCs w:val="21"/>
        </w:rPr>
        <w:t>1.8.1 除不可抗力外，如果乙方没有按照本合同约定的期限、地点和方式交付标的，那么甲方可要求乙方支付违约金，违约金按每迟延交付标的一日的应交付而未交付标的价格的</w:t>
      </w:r>
      <w:r>
        <w:rPr>
          <w:rFonts w:hint="eastAsia" w:ascii="宋体" w:hAnsi="宋体" w:cs="宋体"/>
          <w:szCs w:val="21"/>
          <w:u w:val="single"/>
        </w:rPr>
        <w:t xml:space="preserve">    万分之一</w:t>
      </w:r>
      <w:r>
        <w:rPr>
          <w:rFonts w:hint="eastAsia" w:ascii="宋体" w:hAnsi="宋体" w:cs="宋体"/>
          <w:szCs w:val="21"/>
        </w:rPr>
        <w:t>计算，最高限额为本合同总价的</w:t>
      </w:r>
      <w:r>
        <w:rPr>
          <w:rFonts w:hint="eastAsia" w:ascii="宋体" w:hAnsi="宋体" w:cs="宋体"/>
          <w:szCs w:val="21"/>
          <w:u w:val="single"/>
        </w:rPr>
        <w:t xml:space="preserve">  </w:t>
      </w:r>
      <w:r>
        <w:rPr>
          <w:rFonts w:ascii="宋体" w:hAnsi="宋体" w:cs="宋体"/>
          <w:szCs w:val="21"/>
          <w:u w:val="single"/>
        </w:rPr>
        <w:t>3</w:t>
      </w:r>
      <w:r>
        <w:rPr>
          <w:rFonts w:hint="eastAsia" w:ascii="宋体" w:hAnsi="宋体" w:cs="宋体"/>
          <w:szCs w:val="21"/>
          <w:u w:val="single"/>
        </w:rPr>
        <w:t xml:space="preserve">  </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1.8.2 除不可抗力外，如果甲方没有按照本合同约定的付款方式付款，那么乙方可要求甲方支付违约金，违约金按每迟延付款一日的应付而未付款的</w:t>
      </w:r>
      <w:r>
        <w:rPr>
          <w:rFonts w:hint="eastAsia" w:ascii="宋体" w:hAnsi="宋体" w:cs="宋体"/>
          <w:szCs w:val="21"/>
          <w:u w:val="single"/>
        </w:rPr>
        <w:t xml:space="preserve">  万分之一 </w:t>
      </w:r>
      <w:r>
        <w:rPr>
          <w:rFonts w:hint="eastAsia" w:ascii="宋体" w:hAnsi="宋体" w:cs="宋体"/>
          <w:szCs w:val="21"/>
        </w:rPr>
        <w:t>计算，最高限额为本合同总价的</w:t>
      </w:r>
      <w:r>
        <w:rPr>
          <w:rFonts w:hint="eastAsia" w:ascii="宋体" w:hAnsi="宋体" w:cs="宋体"/>
          <w:szCs w:val="21"/>
          <w:u w:val="single"/>
        </w:rPr>
        <w:t xml:space="preserve">  </w:t>
      </w:r>
      <w:r>
        <w:rPr>
          <w:rFonts w:ascii="宋体" w:hAnsi="宋体" w:cs="宋体"/>
          <w:szCs w:val="21"/>
          <w:u w:val="single"/>
        </w:rPr>
        <w:t>3</w:t>
      </w:r>
      <w:r>
        <w:rPr>
          <w:rFonts w:hint="eastAsia" w:ascii="宋体" w:hAnsi="宋体" w:cs="宋体"/>
          <w:szCs w:val="21"/>
          <w:u w:val="single"/>
        </w:rPr>
        <w:t xml:space="preserve">  </w:t>
      </w:r>
      <w:r>
        <w:rPr>
          <w:rFonts w:hint="eastAsia" w:ascii="宋体" w:hAnsi="宋体" w:cs="宋体"/>
          <w:szCs w:val="21"/>
        </w:rPr>
        <w:t>%；</w:t>
      </w:r>
    </w:p>
    <w:p>
      <w:pPr>
        <w:spacing w:line="440" w:lineRule="exact"/>
        <w:ind w:firstLine="420" w:firstLineChars="200"/>
        <w:rPr>
          <w:rFonts w:ascii="宋体" w:hAnsi="宋体"/>
          <w:kern w:val="0"/>
          <w:szCs w:val="21"/>
        </w:rPr>
      </w:pPr>
      <w:r>
        <w:rPr>
          <w:rFonts w:hint="eastAsia" w:ascii="宋体" w:hAnsi="宋体" w:cs="宋体"/>
          <w:szCs w:val="21"/>
        </w:rPr>
        <w:t>1.8.3 除不可抗力外，</w:t>
      </w:r>
      <w:r>
        <w:rPr>
          <w:rFonts w:hint="eastAsia"/>
        </w:rPr>
        <w:t>本合同履行过程中，因乙方</w:t>
      </w:r>
      <w:r>
        <w:rPr>
          <w:rFonts w:hint="eastAsia" w:ascii="宋体" w:hAnsi="宋体"/>
          <w:kern w:val="0"/>
          <w:szCs w:val="21"/>
        </w:rPr>
        <w:t>未按合同约定履行售后义务的</w:t>
      </w:r>
      <w:r>
        <w:rPr>
          <w:rFonts w:hint="eastAsia" w:ascii="宋体" w:hAnsi="宋体" w:cs="宋体"/>
          <w:szCs w:val="21"/>
        </w:rPr>
        <w:t>或乙方提供的</w:t>
      </w:r>
      <w:r>
        <w:rPr>
          <w:rFonts w:hint="eastAsia" w:ascii="宋体" w:hAnsi="宋体"/>
          <w:kern w:val="0"/>
          <w:szCs w:val="21"/>
        </w:rPr>
        <w:t>售后</w:t>
      </w:r>
      <w:r>
        <w:rPr>
          <w:rFonts w:hint="eastAsia" w:ascii="宋体" w:hAnsi="宋体" w:cs="宋体"/>
          <w:szCs w:val="21"/>
        </w:rPr>
        <w:t>服务不合格的，甲方有权要求乙方支付违约金，每次售后违约按合同质保金的</w:t>
      </w:r>
      <w:r>
        <w:rPr>
          <w:rFonts w:hint="eastAsia" w:ascii="宋体" w:hAnsi="宋体" w:cs="宋体"/>
          <w:szCs w:val="21"/>
          <w:u w:val="single"/>
        </w:rPr>
        <w:t xml:space="preserve">  万分之一 </w:t>
      </w:r>
      <w:r>
        <w:rPr>
          <w:rFonts w:hint="eastAsia" w:ascii="宋体" w:hAnsi="宋体" w:cs="宋体"/>
          <w:szCs w:val="21"/>
        </w:rPr>
        <w:t>计算，最高限额为本合同总价的</w:t>
      </w:r>
      <w:r>
        <w:rPr>
          <w:rFonts w:hint="eastAsia" w:ascii="宋体" w:hAnsi="宋体" w:cs="宋体"/>
          <w:szCs w:val="21"/>
          <w:u w:val="single"/>
        </w:rPr>
        <w:t xml:space="preserve">  3  %</w:t>
      </w:r>
      <w:r>
        <w:rPr>
          <w:rFonts w:hint="eastAsia" w:ascii="宋体" w:hAnsi="宋体" w:cs="宋体"/>
          <w:szCs w:val="21"/>
        </w:rPr>
        <w:t>；</w:t>
      </w:r>
    </w:p>
    <w:p>
      <w:pPr>
        <w:spacing w:line="440" w:lineRule="exact"/>
        <w:ind w:firstLine="420" w:firstLineChars="200"/>
        <w:rPr>
          <w:rFonts w:ascii="宋体" w:hAnsi="宋体" w:cs="宋体"/>
          <w:szCs w:val="21"/>
        </w:rPr>
      </w:pPr>
      <w:r>
        <w:rPr>
          <w:rFonts w:hint="eastAsia" w:ascii="宋体" w:hAnsi="宋体" w:cs="宋体"/>
          <w:szCs w:val="21"/>
        </w:rPr>
        <w:t>1.8.4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440" w:lineRule="exact"/>
        <w:ind w:firstLine="420" w:firstLineChars="200"/>
        <w:rPr>
          <w:rFonts w:ascii="宋体" w:hAnsi="宋体" w:cs="宋体"/>
          <w:szCs w:val="21"/>
        </w:rPr>
      </w:pPr>
      <w:r>
        <w:rPr>
          <w:rFonts w:hint="eastAsia" w:ascii="宋体" w:hAnsi="宋体" w:cs="宋体"/>
          <w:szCs w:val="21"/>
        </w:rPr>
        <w:t>1.8.5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440" w:lineRule="exact"/>
        <w:ind w:firstLine="420" w:firstLineChars="200"/>
        <w:rPr>
          <w:rFonts w:ascii="宋体" w:hAnsi="宋体" w:cs="宋体"/>
          <w:szCs w:val="21"/>
        </w:rPr>
      </w:pPr>
      <w:r>
        <w:rPr>
          <w:rFonts w:hint="eastAsia" w:ascii="宋体" w:hAnsi="宋体" w:cs="宋体"/>
          <w:szCs w:val="21"/>
        </w:rPr>
        <w:t>1.8.6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440" w:lineRule="exact"/>
        <w:ind w:firstLine="422" w:firstLineChars="200"/>
        <w:rPr>
          <w:rFonts w:ascii="宋体" w:hAnsi="宋体" w:cs="宋体"/>
          <w:b/>
          <w:szCs w:val="21"/>
        </w:rPr>
      </w:pPr>
      <w:r>
        <w:rPr>
          <w:rFonts w:hint="eastAsia" w:ascii="宋体" w:hAnsi="宋体" w:cs="宋体"/>
          <w:b/>
          <w:szCs w:val="21"/>
        </w:rPr>
        <w:t>1.9 合同争议的解决</w:t>
      </w:r>
    </w:p>
    <w:p>
      <w:pPr>
        <w:spacing w:line="440" w:lineRule="exact"/>
        <w:ind w:firstLine="420" w:firstLineChars="200"/>
        <w:rPr>
          <w:rFonts w:ascii="宋体" w:hAnsi="宋体" w:cs="宋体"/>
          <w:bCs/>
          <w:szCs w:val="21"/>
        </w:rPr>
      </w:pPr>
      <w:r>
        <w:rPr>
          <w:rFonts w:hint="eastAsia" w:ascii="宋体" w:hAnsi="宋体" w:cs="宋体"/>
          <w:szCs w:val="21"/>
        </w:rPr>
        <w:t>本合同履行过程中发生的任何争议，双方当事人均可通过和解或者调解解决；不愿和解、调解或者和解、调解不成的，</w:t>
      </w:r>
      <w:r>
        <w:rPr>
          <w:rFonts w:hint="eastAsia" w:ascii="宋体" w:hAnsi="宋体" w:cs="宋体"/>
          <w:bCs/>
          <w:szCs w:val="21"/>
        </w:rPr>
        <w:t>任何一方均可以向甲方所在地有管辖权的人民法院提起诉讼。</w:t>
      </w:r>
    </w:p>
    <w:p>
      <w:pPr>
        <w:spacing w:line="360" w:lineRule="auto"/>
        <w:ind w:firstLine="422" w:firstLineChars="200"/>
        <w:rPr>
          <w:rFonts w:ascii="宋体" w:hAnsi="宋体" w:cs="宋体"/>
          <w:b/>
          <w:szCs w:val="21"/>
        </w:rPr>
      </w:pPr>
      <w:r>
        <w:rPr>
          <w:rFonts w:ascii="宋体" w:hAnsi="宋体" w:cs="宋体"/>
          <w:b/>
          <w:szCs w:val="21"/>
        </w:rPr>
        <w:t>1.</w:t>
      </w:r>
      <w:r>
        <w:rPr>
          <w:rFonts w:hint="eastAsia" w:ascii="宋体" w:hAnsi="宋体" w:cs="宋体"/>
          <w:b/>
          <w:szCs w:val="21"/>
        </w:rPr>
        <w:t>10送达条款</w:t>
      </w:r>
    </w:p>
    <w:p>
      <w:pPr>
        <w:pStyle w:val="32"/>
        <w:widowControl/>
        <w:adjustRightInd w:val="0"/>
        <w:snapToGrid w:val="0"/>
        <w:spacing w:beforeAutospacing="0" w:afterAutospacing="0" w:line="360" w:lineRule="auto"/>
        <w:ind w:firstLine="420" w:firstLineChars="200"/>
        <w:rPr>
          <w:rFonts w:ascii="宋体" w:hAnsi="宋体" w:eastAsia="宋体" w:cs="宋体"/>
          <w:bCs/>
          <w:kern w:val="2"/>
          <w:sz w:val="21"/>
          <w:szCs w:val="21"/>
        </w:rPr>
      </w:pPr>
      <w:r>
        <w:rPr>
          <w:rFonts w:hint="eastAsia" w:ascii="宋体" w:hAnsi="宋体" w:eastAsia="宋体" w:cs="宋体"/>
          <w:bCs/>
          <w:kern w:val="2"/>
          <w:sz w:val="21"/>
          <w:szCs w:val="21"/>
        </w:rPr>
        <w:t>本合同联系方式和联系信息适用于双方往来联系、书面文件送达及争议解决时法律文书送达。因联系方式和联系信息错误而无法直接送达的自交邮后第7日视为送达。双方指定联系地址与联系方式如下：</w:t>
      </w:r>
    </w:p>
    <w:p>
      <w:pPr>
        <w:pStyle w:val="32"/>
        <w:widowControl/>
        <w:adjustRightInd w:val="0"/>
        <w:snapToGrid w:val="0"/>
        <w:spacing w:beforeAutospacing="0" w:afterAutospacing="0" w:line="360" w:lineRule="auto"/>
        <w:ind w:firstLine="420" w:firstLineChars="200"/>
        <w:rPr>
          <w:rFonts w:ascii="宋体" w:hAnsi="宋体" w:eastAsia="宋体" w:cs="宋体"/>
          <w:bCs/>
          <w:kern w:val="2"/>
          <w:sz w:val="21"/>
          <w:szCs w:val="21"/>
        </w:rPr>
      </w:pPr>
      <w:r>
        <w:rPr>
          <w:rFonts w:hint="eastAsia" w:ascii="宋体" w:hAnsi="宋体" w:eastAsia="宋体" w:cs="宋体"/>
          <w:bCs/>
          <w:kern w:val="2"/>
          <w:sz w:val="21"/>
          <w:szCs w:val="21"/>
        </w:rPr>
        <w:t>甲方联系人：XXX，联系电话：XXX，联系地址：XXX，邮编：XXX，电子邮箱：XXX。</w:t>
      </w:r>
    </w:p>
    <w:p>
      <w:pPr>
        <w:pStyle w:val="32"/>
        <w:widowControl/>
        <w:adjustRightInd w:val="0"/>
        <w:snapToGrid w:val="0"/>
        <w:spacing w:beforeAutospacing="0" w:afterAutospacing="0" w:line="360" w:lineRule="auto"/>
        <w:ind w:firstLine="420" w:firstLineChars="200"/>
        <w:rPr>
          <w:rFonts w:ascii="宋体" w:hAnsi="宋体" w:eastAsia="宋体" w:cs="宋体"/>
          <w:bCs/>
          <w:kern w:val="2"/>
          <w:sz w:val="21"/>
          <w:szCs w:val="21"/>
        </w:rPr>
      </w:pPr>
      <w:r>
        <w:rPr>
          <w:rFonts w:hint="eastAsia" w:ascii="宋体" w:hAnsi="宋体" w:eastAsia="宋体" w:cs="宋体"/>
          <w:bCs/>
          <w:kern w:val="2"/>
          <w:sz w:val="21"/>
          <w:szCs w:val="21"/>
        </w:rPr>
        <w:t>乙方联系人：XXX，联系电话：XXX，联系地址：XXX，邮编：XXX，传真：XXX，电子邮箱：XXX</w:t>
      </w:r>
    </w:p>
    <w:p>
      <w:pPr>
        <w:spacing w:line="440" w:lineRule="exact"/>
        <w:ind w:firstLine="422" w:firstLineChars="200"/>
        <w:rPr>
          <w:rFonts w:ascii="宋体" w:hAnsi="宋体" w:cs="宋体"/>
          <w:b/>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1 合同生效</w:t>
      </w:r>
    </w:p>
    <w:p>
      <w:pPr>
        <w:autoSpaceDE w:val="0"/>
        <w:autoSpaceDN w:val="0"/>
        <w:adjustRightInd w:val="0"/>
        <w:spacing w:line="440" w:lineRule="exact"/>
        <w:ind w:firstLine="420" w:firstLineChars="200"/>
        <w:rPr>
          <w:rFonts w:ascii="宋体" w:hAnsi="宋体" w:cs="宋体"/>
          <w:bCs/>
          <w:szCs w:val="21"/>
        </w:rPr>
      </w:pPr>
      <w:r>
        <w:rPr>
          <w:rFonts w:ascii="宋体" w:hAnsi="宋体" w:cs="宋体"/>
          <w:bCs/>
          <w:szCs w:val="21"/>
        </w:rPr>
        <w:t>1.1</w:t>
      </w:r>
      <w:r>
        <w:rPr>
          <w:rFonts w:hint="eastAsia" w:ascii="宋体" w:hAnsi="宋体" w:cs="宋体"/>
          <w:bCs/>
          <w:szCs w:val="21"/>
        </w:rPr>
        <w:t>1</w:t>
      </w:r>
      <w:r>
        <w:rPr>
          <w:rFonts w:ascii="宋体" w:hAnsi="宋体" w:cs="宋体"/>
          <w:bCs/>
          <w:szCs w:val="21"/>
        </w:rPr>
        <w:t>.1</w:t>
      </w:r>
      <w:r>
        <w:rPr>
          <w:rFonts w:hint="eastAsia" w:ascii="宋体" w:hAnsi="宋体" w:cs="宋体"/>
          <w:bCs/>
          <w:szCs w:val="21"/>
        </w:rPr>
        <w:t>、本合同未尽事宜，双方另行补充。</w:t>
      </w:r>
    </w:p>
    <w:p>
      <w:pPr>
        <w:autoSpaceDE w:val="0"/>
        <w:autoSpaceDN w:val="0"/>
        <w:adjustRightInd w:val="0"/>
        <w:spacing w:line="440" w:lineRule="exact"/>
        <w:ind w:firstLine="420" w:firstLineChars="200"/>
        <w:rPr>
          <w:rFonts w:ascii="宋体" w:hAnsi="宋体" w:cs="宋体"/>
          <w:bCs/>
          <w:szCs w:val="21"/>
        </w:rPr>
      </w:pPr>
      <w:r>
        <w:rPr>
          <w:rFonts w:ascii="宋体" w:hAnsi="宋体" w:cs="宋体"/>
          <w:bCs/>
          <w:szCs w:val="21"/>
        </w:rPr>
        <w:t>1.1</w:t>
      </w:r>
      <w:r>
        <w:rPr>
          <w:rFonts w:hint="eastAsia" w:ascii="宋体" w:hAnsi="宋体" w:cs="宋体"/>
          <w:bCs/>
          <w:szCs w:val="21"/>
        </w:rPr>
        <w:t>1</w:t>
      </w:r>
      <w:r>
        <w:rPr>
          <w:rFonts w:ascii="宋体" w:hAnsi="宋体" w:cs="宋体"/>
          <w:bCs/>
          <w:szCs w:val="21"/>
        </w:rPr>
        <w:t>.2</w:t>
      </w:r>
      <w:r>
        <w:rPr>
          <w:rFonts w:hint="eastAsia" w:ascii="宋体" w:hAnsi="宋体" w:cs="宋体"/>
          <w:bCs/>
          <w:szCs w:val="21"/>
        </w:rPr>
        <w:t>、本合同一式四份，甲、乙双方授权代表签字并盖单位公章后生效，甲乙双方各执两份。</w:t>
      </w:r>
    </w:p>
    <w:p>
      <w:pPr>
        <w:pStyle w:val="35"/>
        <w:ind w:firstLine="210"/>
        <w:rPr>
          <w:rFonts w:ascii="宋体" w:hAnsi="宋体" w:cs="宋体"/>
          <w:bCs/>
          <w:szCs w:val="21"/>
        </w:rPr>
      </w:pPr>
    </w:p>
    <w:p>
      <w:pPr>
        <w:pStyle w:val="35"/>
        <w:ind w:firstLine="210"/>
        <w:rPr>
          <w:rFonts w:ascii="宋体" w:hAnsi="宋体" w:cs="宋体"/>
          <w:bCs/>
          <w:szCs w:val="21"/>
        </w:rPr>
      </w:pPr>
      <w:r>
        <w:rPr>
          <w:rFonts w:hint="eastAsia" w:ascii="宋体" w:hAnsi="宋体" w:cs="宋体"/>
          <w:bCs/>
          <w:szCs w:val="21"/>
        </w:rPr>
        <w:t>附件：项目清单</w:t>
      </w:r>
    </w:p>
    <w:p>
      <w:pPr>
        <w:pStyle w:val="35"/>
        <w:ind w:firstLine="210"/>
        <w:rPr>
          <w:rFonts w:ascii="宋体" w:hAnsi="宋体" w:cs="宋体"/>
          <w:bCs/>
          <w:szCs w:val="21"/>
        </w:rPr>
      </w:pPr>
      <w:r>
        <w:rPr>
          <w:rFonts w:hint="eastAsia" w:ascii="宋体" w:hAnsi="宋体" w:cs="宋体"/>
          <w:bCs/>
          <w:szCs w:val="21"/>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b/>
          <w:szCs w:val="21"/>
          <w:lang w:val="zh-CN"/>
        </w:rPr>
        <w:t>甲方</w:t>
      </w:r>
      <w:r>
        <w:rPr>
          <w:rFonts w:hint="eastAsia" w:ascii="宋体" w:hAnsi="宋体" w:cs="宋体"/>
          <w:szCs w:val="21"/>
          <w:lang w:val="zh-CN"/>
        </w:rPr>
        <w:t xml:space="preserve">：  </w:t>
      </w:r>
      <w:r>
        <w:rPr>
          <w:rFonts w:hint="eastAsia" w:ascii="宋体" w:hAnsi="宋体" w:cs="宋体"/>
          <w:szCs w:val="21"/>
        </w:rPr>
        <w:t>XXX</w:t>
      </w:r>
      <w:r>
        <w:rPr>
          <w:rFonts w:hint="eastAsia" w:ascii="宋体" w:hAnsi="宋体" w:cs="宋体"/>
          <w:szCs w:val="21"/>
          <w:lang w:val="zh-CN"/>
        </w:rPr>
        <w:t xml:space="preserve">（盖章）                           </w:t>
      </w:r>
      <w:r>
        <w:rPr>
          <w:rFonts w:hint="eastAsia" w:ascii="宋体" w:hAnsi="宋体" w:cs="宋体"/>
          <w:b/>
          <w:szCs w:val="21"/>
          <w:lang w:val="zh-CN"/>
        </w:rPr>
        <w:t xml:space="preserve">      </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szCs w:val="21"/>
          <w:lang w:val="zh-CN"/>
        </w:rPr>
        <w:t xml:space="preserve">法定代表人或授权代表（签字）：  </w:t>
      </w:r>
    </w:p>
    <w:p>
      <w:pPr>
        <w:autoSpaceDE w:val="0"/>
        <w:autoSpaceDN w:val="0"/>
        <w:adjustRightInd w:val="0"/>
        <w:spacing w:line="440" w:lineRule="exact"/>
        <w:rPr>
          <w:rFonts w:ascii="宋体" w:hAnsi="宋体" w:cs="宋体"/>
          <w:szCs w:val="21"/>
          <w:lang w:val="zh-CN"/>
        </w:rPr>
      </w:pPr>
      <w:r>
        <w:rPr>
          <w:rFonts w:hint="eastAsia" w:ascii="宋体" w:hAnsi="宋体" w:cs="宋体"/>
          <w:szCs w:val="21"/>
        </w:rPr>
        <w:t>日期：     年     月      日</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szCs w:val="21"/>
          <w:lang w:val="zh-CN"/>
        </w:rPr>
        <w:t>所在地：</w:t>
      </w:r>
      <w:r>
        <w:rPr>
          <w:rFonts w:hint="eastAsia" w:ascii="宋体" w:hAnsi="宋体" w:cs="宋体"/>
          <w:szCs w:val="21"/>
        </w:rPr>
        <w:t>XXX</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szCs w:val="21"/>
          <w:lang w:val="zh-CN"/>
        </w:rPr>
        <w:t>电话:</w:t>
      </w:r>
      <w:r>
        <w:rPr>
          <w:rFonts w:hint="eastAsia" w:ascii="宋体" w:hAnsi="宋体" w:cs="宋体"/>
          <w:szCs w:val="21"/>
        </w:rPr>
        <w:t>XXX</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rPr>
      </w:pPr>
      <w:r>
        <w:rPr>
          <w:rFonts w:hint="eastAsia" w:ascii="宋体" w:hAnsi="宋体" w:cs="宋体"/>
          <w:szCs w:val="21"/>
        </w:rPr>
        <w:t xml:space="preserve">开户银行： XXX                             </w:t>
      </w:r>
    </w:p>
    <w:p>
      <w:pPr>
        <w:autoSpaceDE w:val="0"/>
        <w:autoSpaceDN w:val="0"/>
        <w:adjustRightInd w:val="0"/>
        <w:spacing w:line="440" w:lineRule="exact"/>
        <w:rPr>
          <w:rFonts w:ascii="宋体" w:hAnsi="宋体" w:cs="宋体"/>
          <w:szCs w:val="21"/>
        </w:rPr>
      </w:pPr>
      <w:r>
        <w:rPr>
          <w:rFonts w:hint="eastAsia" w:ascii="宋体" w:hAnsi="宋体" w:cs="宋体"/>
          <w:szCs w:val="21"/>
        </w:rPr>
        <w:t xml:space="preserve">开户名称： XXX                             </w:t>
      </w:r>
    </w:p>
    <w:p>
      <w:pPr>
        <w:autoSpaceDE w:val="0"/>
        <w:autoSpaceDN w:val="0"/>
        <w:adjustRightInd w:val="0"/>
        <w:spacing w:line="440" w:lineRule="exact"/>
        <w:rPr>
          <w:rFonts w:ascii="宋体" w:hAnsi="宋体" w:cs="宋体"/>
          <w:szCs w:val="21"/>
          <w:lang w:val="zh-CN"/>
        </w:rPr>
      </w:pPr>
      <w:r>
        <w:rPr>
          <w:rFonts w:hint="eastAsia" w:ascii="宋体" w:hAnsi="宋体" w:cs="宋体"/>
          <w:szCs w:val="21"/>
        </w:rPr>
        <w:t>开户账号：</w:t>
      </w:r>
      <w:r>
        <w:rPr>
          <w:rFonts w:hint="eastAsia" w:ascii="宋体" w:hAnsi="宋体" w:cs="宋体"/>
          <w:szCs w:val="21"/>
          <w:lang w:val="zh-CN"/>
        </w:rPr>
        <w:t xml:space="preserve"> </w:t>
      </w:r>
      <w:r>
        <w:rPr>
          <w:rFonts w:hint="eastAsia" w:ascii="宋体" w:hAnsi="宋体" w:cs="宋体"/>
          <w:szCs w:val="21"/>
        </w:rPr>
        <w:t>XXX</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b/>
          <w:szCs w:val="21"/>
          <w:lang w:val="zh-CN"/>
        </w:rPr>
        <w:t>乙方</w:t>
      </w:r>
      <w:r>
        <w:rPr>
          <w:rFonts w:hint="eastAsia" w:ascii="宋体" w:hAnsi="宋体" w:cs="宋体"/>
          <w:szCs w:val="21"/>
          <w:lang w:val="zh-CN"/>
        </w:rPr>
        <w:t xml:space="preserve">：  </w:t>
      </w:r>
      <w:r>
        <w:rPr>
          <w:rFonts w:hint="eastAsia" w:ascii="宋体" w:hAnsi="宋体" w:cs="宋体"/>
          <w:szCs w:val="21"/>
        </w:rPr>
        <w:t>XXX</w:t>
      </w:r>
      <w:r>
        <w:rPr>
          <w:rFonts w:hint="eastAsia" w:ascii="宋体" w:hAnsi="宋体" w:cs="宋体"/>
          <w:szCs w:val="21"/>
          <w:lang w:val="zh-CN"/>
        </w:rPr>
        <w:t xml:space="preserve">（盖章）                           </w:t>
      </w:r>
      <w:r>
        <w:rPr>
          <w:rFonts w:hint="eastAsia" w:ascii="宋体" w:hAnsi="宋体" w:cs="宋体"/>
          <w:b/>
          <w:szCs w:val="21"/>
          <w:lang w:val="zh-CN"/>
        </w:rPr>
        <w:t xml:space="preserve">      </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szCs w:val="21"/>
          <w:lang w:val="zh-CN"/>
        </w:rPr>
        <w:t xml:space="preserve">法定代表人或授权代表（签字）：  </w:t>
      </w:r>
    </w:p>
    <w:p>
      <w:pPr>
        <w:autoSpaceDE w:val="0"/>
        <w:autoSpaceDN w:val="0"/>
        <w:adjustRightInd w:val="0"/>
        <w:spacing w:line="440" w:lineRule="exact"/>
        <w:rPr>
          <w:rFonts w:ascii="宋体" w:hAnsi="宋体" w:cs="宋体"/>
          <w:szCs w:val="21"/>
          <w:lang w:val="zh-CN"/>
        </w:rPr>
      </w:pPr>
      <w:r>
        <w:rPr>
          <w:rFonts w:hint="eastAsia" w:ascii="宋体" w:hAnsi="宋体" w:cs="宋体"/>
          <w:szCs w:val="21"/>
        </w:rPr>
        <w:t>日期：     年     月      日</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szCs w:val="21"/>
          <w:lang w:val="zh-CN"/>
        </w:rPr>
        <w:t xml:space="preserve">所在地： </w:t>
      </w:r>
      <w:r>
        <w:rPr>
          <w:rFonts w:hint="eastAsia" w:ascii="宋体" w:hAnsi="宋体" w:cs="宋体"/>
          <w:szCs w:val="21"/>
        </w:rPr>
        <w:t>XXX</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lang w:val="zh-CN"/>
        </w:rPr>
      </w:pPr>
      <w:r>
        <w:rPr>
          <w:rFonts w:hint="eastAsia" w:ascii="宋体" w:hAnsi="宋体" w:cs="宋体"/>
          <w:szCs w:val="21"/>
          <w:lang w:val="zh-CN"/>
        </w:rPr>
        <w:t xml:space="preserve">电话:    </w:t>
      </w:r>
      <w:r>
        <w:rPr>
          <w:rFonts w:hint="eastAsia" w:ascii="宋体" w:hAnsi="宋体" w:cs="宋体"/>
          <w:bCs/>
          <w:szCs w:val="21"/>
        </w:rPr>
        <w:t>XXX</w:t>
      </w:r>
      <w:r>
        <w:rPr>
          <w:rFonts w:hint="eastAsia" w:ascii="宋体" w:hAnsi="宋体" w:cs="宋体"/>
          <w:szCs w:val="21"/>
          <w:lang w:val="zh-CN"/>
        </w:rPr>
        <w:t xml:space="preserve">                                                            </w:t>
      </w:r>
    </w:p>
    <w:p>
      <w:pPr>
        <w:autoSpaceDE w:val="0"/>
        <w:autoSpaceDN w:val="0"/>
        <w:adjustRightInd w:val="0"/>
        <w:spacing w:line="440" w:lineRule="exact"/>
        <w:rPr>
          <w:rFonts w:ascii="宋体" w:hAnsi="宋体" w:cs="宋体"/>
          <w:szCs w:val="21"/>
        </w:rPr>
      </w:pPr>
      <w:r>
        <w:rPr>
          <w:rFonts w:hint="eastAsia" w:ascii="宋体" w:hAnsi="宋体" w:cs="宋体"/>
          <w:szCs w:val="21"/>
        </w:rPr>
        <w:t xml:space="preserve">开户银行： </w:t>
      </w:r>
      <w:r>
        <w:rPr>
          <w:rFonts w:hint="eastAsia" w:ascii="宋体" w:hAnsi="宋体" w:cs="宋体"/>
          <w:bCs/>
          <w:szCs w:val="21"/>
        </w:rPr>
        <w:t>XXX</w:t>
      </w:r>
      <w:r>
        <w:rPr>
          <w:rFonts w:hint="eastAsia" w:ascii="宋体" w:hAnsi="宋体" w:cs="宋体"/>
          <w:szCs w:val="21"/>
        </w:rPr>
        <w:t xml:space="preserve">                             </w:t>
      </w:r>
    </w:p>
    <w:p>
      <w:pPr>
        <w:autoSpaceDE w:val="0"/>
        <w:autoSpaceDN w:val="0"/>
        <w:adjustRightInd w:val="0"/>
        <w:spacing w:line="440" w:lineRule="exact"/>
        <w:rPr>
          <w:rFonts w:ascii="宋体" w:hAnsi="宋体" w:cs="宋体"/>
          <w:szCs w:val="21"/>
        </w:rPr>
      </w:pPr>
      <w:r>
        <w:rPr>
          <w:rFonts w:hint="eastAsia" w:ascii="宋体" w:hAnsi="宋体" w:cs="宋体"/>
          <w:szCs w:val="21"/>
        </w:rPr>
        <w:t xml:space="preserve">开户名称： </w:t>
      </w:r>
      <w:r>
        <w:rPr>
          <w:rFonts w:hint="eastAsia" w:ascii="宋体" w:hAnsi="宋体" w:cs="宋体"/>
          <w:bCs/>
          <w:szCs w:val="21"/>
        </w:rPr>
        <w:t>XXX</w:t>
      </w:r>
      <w:r>
        <w:rPr>
          <w:rFonts w:hint="eastAsia" w:ascii="宋体" w:hAnsi="宋体" w:cs="宋体"/>
          <w:szCs w:val="21"/>
        </w:rPr>
        <w:t xml:space="preserve">                            </w:t>
      </w:r>
    </w:p>
    <w:p>
      <w:pPr>
        <w:autoSpaceDE w:val="0"/>
        <w:autoSpaceDN w:val="0"/>
        <w:adjustRightInd w:val="0"/>
        <w:spacing w:line="440" w:lineRule="exact"/>
        <w:rPr>
          <w:rFonts w:ascii="宋体" w:hAnsi="宋体" w:cs="宋体"/>
          <w:bCs/>
          <w:szCs w:val="21"/>
        </w:rPr>
        <w:sectPr>
          <w:footerReference r:id="rId13" w:type="default"/>
          <w:pgSz w:w="11906" w:h="16838"/>
          <w:pgMar w:top="1440" w:right="1797" w:bottom="1440" w:left="1797" w:header="851" w:footer="992" w:gutter="0"/>
          <w:cols w:space="425" w:num="1"/>
          <w:docGrid w:type="lines" w:linePitch="312" w:charSpace="0"/>
        </w:sectPr>
      </w:pPr>
      <w:r>
        <w:rPr>
          <w:rFonts w:hint="eastAsia" w:ascii="宋体" w:hAnsi="宋体" w:cs="宋体"/>
          <w:szCs w:val="21"/>
        </w:rPr>
        <w:t>开户账号：</w:t>
      </w:r>
      <w:r>
        <w:rPr>
          <w:rFonts w:hint="eastAsia" w:ascii="宋体" w:hAnsi="宋体" w:cs="宋体"/>
          <w:bCs/>
          <w:szCs w:val="21"/>
        </w:rPr>
        <w:t>XX</w:t>
      </w:r>
    </w:p>
    <w:p>
      <w:pPr>
        <w:pStyle w:val="23"/>
        <w:spacing w:line="440" w:lineRule="exact"/>
        <w:rPr>
          <w:rFonts w:hint="eastAsia" w:cs="宋体"/>
          <w:sz w:val="21"/>
          <w:szCs w:val="21"/>
        </w:rPr>
      </w:pPr>
    </w:p>
    <w:bookmarkEnd w:id="72"/>
    <w:bookmarkEnd w:id="73"/>
    <w:bookmarkEnd w:id="74"/>
    <w:bookmarkEnd w:id="75"/>
    <w:bookmarkEnd w:id="76"/>
    <w:p>
      <w:pPr>
        <w:pStyle w:val="34"/>
        <w:numPr>
          <w:ilvl w:val="0"/>
          <w:numId w:val="1"/>
        </w:numPr>
        <w:spacing w:before="0" w:after="0" w:line="360" w:lineRule="auto"/>
        <w:ind w:firstLine="0"/>
        <w:rPr>
          <w:rFonts w:hint="eastAsia" w:ascii="宋体" w:hAnsi="宋体" w:cs="宋体"/>
        </w:rPr>
      </w:pPr>
      <w:bookmarkStart w:id="77" w:name="_Toc1920"/>
      <w:r>
        <w:rPr>
          <w:rFonts w:hint="eastAsia" w:ascii="宋体" w:hAnsi="宋体" w:cs="宋体"/>
        </w:rPr>
        <w:t>采购需求</w:t>
      </w:r>
      <w:bookmarkEnd w:id="70"/>
      <w:bookmarkEnd w:id="77"/>
    </w:p>
    <w:p>
      <w:pPr>
        <w:widowControl/>
        <w:adjustRightInd w:val="0"/>
        <w:spacing w:line="360" w:lineRule="auto"/>
        <w:rPr>
          <w:rFonts w:ascii="宋体" w:hAnsi="宋体"/>
          <w:b/>
          <w:kern w:val="0"/>
          <w:sz w:val="21"/>
          <w:szCs w:val="21"/>
        </w:rPr>
      </w:pPr>
      <w:bookmarkStart w:id="78" w:name="_Toc11229"/>
      <w:bookmarkStart w:id="79" w:name="_Toc4426"/>
      <w:bookmarkStart w:id="80" w:name="_Toc477423251"/>
      <w:bookmarkStart w:id="81" w:name="_Toc487805927"/>
      <w:bookmarkStart w:id="82" w:name="_Toc20594"/>
      <w:bookmarkStart w:id="83" w:name="_Toc374512420"/>
      <w:bookmarkStart w:id="84" w:name="_Toc373230032"/>
      <w:r>
        <w:rPr>
          <w:rFonts w:hint="eastAsia" w:ascii="宋体" w:hAnsi="宋体"/>
          <w:b/>
          <w:kern w:val="0"/>
          <w:sz w:val="21"/>
          <w:szCs w:val="21"/>
        </w:rPr>
        <w:t>一、</w:t>
      </w:r>
      <w:r>
        <w:rPr>
          <w:rFonts w:ascii="宋体" w:hAnsi="宋体"/>
          <w:b/>
          <w:kern w:val="0"/>
          <w:sz w:val="21"/>
          <w:szCs w:val="21"/>
        </w:rPr>
        <w:t>相关说明</w:t>
      </w:r>
    </w:p>
    <w:p>
      <w:pPr>
        <w:widowControl/>
        <w:numPr>
          <w:ilvl w:val="2"/>
          <w:numId w:val="12"/>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r>
        <w:rPr>
          <w:rFonts w:hint="eastAsia" w:ascii="宋体" w:hAnsi="宋体"/>
          <w:kern w:val="0"/>
          <w:sz w:val="21"/>
          <w:szCs w:val="21"/>
          <w:lang w:eastAsia="zh-CN"/>
        </w:rPr>
        <w:t>。</w:t>
      </w:r>
    </w:p>
    <w:p>
      <w:pPr>
        <w:widowControl/>
        <w:numPr>
          <w:ilvl w:val="2"/>
          <w:numId w:val="12"/>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13"/>
        </w:numPr>
        <w:spacing w:line="360" w:lineRule="auto"/>
        <w:ind w:firstLine="420" w:firstLineChars="200"/>
        <w:rPr>
          <w:rFonts w:hint="eastAsia" w:ascii="Times New Roman" w:hAnsi="Times New Roman" w:cs="Times New Roman"/>
        </w:rPr>
      </w:pPr>
      <w:r>
        <w:rPr>
          <w:rFonts w:hint="eastAsia" w:ascii="Times New Roman" w:hAnsi="Times New Roman" w:cs="Times New Roman"/>
        </w:rPr>
        <w:t>合同履行期限：</w:t>
      </w:r>
      <w:r>
        <w:rPr>
          <w:rFonts w:ascii="Times New Roman" w:hAnsi="Times New Roman" w:cs="Times New Roman"/>
        </w:rPr>
        <w:t>项目验收合格之后三年</w:t>
      </w:r>
    </w:p>
    <w:p>
      <w:pPr>
        <w:numPr>
          <w:ilvl w:val="2"/>
          <w:numId w:val="13"/>
        </w:numPr>
        <w:spacing w:line="360" w:lineRule="auto"/>
        <w:ind w:firstLine="420" w:firstLineChars="200"/>
        <w:rPr>
          <w:rFonts w:hint="eastAsia" w:ascii="Times New Roman" w:hAnsi="Times New Roman" w:cs="Times New Roman"/>
        </w:rPr>
      </w:pPr>
      <w:r>
        <w:rPr>
          <w:rFonts w:hint="eastAsia" w:ascii="Times New Roman" w:hAnsi="Times New Roman" w:cs="Times New Roman"/>
        </w:rPr>
        <w:t>供货</w:t>
      </w:r>
      <w:r>
        <w:rPr>
          <w:rFonts w:hint="eastAsia" w:cs="Times New Roman"/>
          <w:lang w:eastAsia="zh-CN"/>
        </w:rPr>
        <w:t>安装</w:t>
      </w:r>
      <w:r>
        <w:rPr>
          <w:rFonts w:hint="eastAsia" w:ascii="Times New Roman" w:hAnsi="Times New Roman" w:cs="Times New Roman"/>
        </w:rPr>
        <w:t>地点：</w:t>
      </w:r>
      <w:r>
        <w:rPr>
          <w:rFonts w:ascii="Times New Roman" w:hAnsi="Times New Roman" w:cs="Times New Roman"/>
        </w:rPr>
        <w:t>焦作市武陟县</w:t>
      </w:r>
      <w:r>
        <w:rPr>
          <w:rFonts w:hint="eastAsia" w:cs="Times New Roman"/>
          <w:lang w:eastAsia="zh-CN"/>
        </w:rPr>
        <w:t>财政局</w:t>
      </w:r>
    </w:p>
    <w:p>
      <w:pPr>
        <w:numPr>
          <w:ilvl w:val="2"/>
          <w:numId w:val="13"/>
        </w:numPr>
        <w:spacing w:line="360" w:lineRule="auto"/>
        <w:ind w:firstLine="420" w:firstLineChars="200"/>
        <w:rPr>
          <w:rFonts w:hint="eastAsia" w:ascii="Times New Roman" w:hAnsi="Times New Roman" w:cs="Times New Roman"/>
        </w:rPr>
      </w:pPr>
      <w:r>
        <w:rPr>
          <w:rFonts w:hint="eastAsia" w:ascii="Times New Roman" w:hAnsi="Times New Roman" w:cs="Times New Roman"/>
        </w:rPr>
        <w:t>质量标准：</w:t>
      </w:r>
      <w:r>
        <w:rPr>
          <w:rFonts w:ascii="Times New Roman" w:hAnsi="Times New Roman" w:cs="Times New Roman"/>
        </w:rPr>
        <w:t>符合国家及行业标准并满足采购人使用要求。</w:t>
      </w:r>
    </w:p>
    <w:p>
      <w:pPr>
        <w:numPr>
          <w:ilvl w:val="2"/>
          <w:numId w:val="13"/>
        </w:numPr>
        <w:spacing w:line="360" w:lineRule="auto"/>
        <w:ind w:firstLine="420" w:firstLineChars="200"/>
        <w:rPr>
          <w:rFonts w:hint="eastAsia" w:ascii="Times New Roman" w:hAnsi="Times New Roman" w:cs="Times New Roman"/>
        </w:rPr>
      </w:pPr>
      <w:r>
        <w:rPr>
          <w:rFonts w:hint="eastAsia" w:ascii="Times New Roman" w:hAnsi="Times New Roman" w:cs="Times New Roman"/>
        </w:rPr>
        <w:t>质量保证期：</w:t>
      </w:r>
      <w:r>
        <w:rPr>
          <w:rFonts w:ascii="Times New Roman" w:hAnsi="Times New Roman" w:cs="Times New Roman"/>
        </w:rPr>
        <w:t>项目验收合格之后三年</w:t>
      </w:r>
    </w:p>
    <w:p>
      <w:pPr>
        <w:numPr>
          <w:ilvl w:val="2"/>
          <w:numId w:val="13"/>
        </w:numPr>
        <w:spacing w:line="360" w:lineRule="auto"/>
        <w:ind w:firstLine="420" w:firstLineChars="200"/>
        <w:rPr>
          <w:rFonts w:hint="eastAsia" w:ascii="宋体" w:hAnsi="宋体"/>
          <w:sz w:val="21"/>
          <w:szCs w:val="21"/>
        </w:rPr>
      </w:pPr>
      <w:r>
        <w:rPr>
          <w:rFonts w:hint="eastAsia" w:ascii="Times New Roman" w:hAnsi="Times New Roman" w:cs="Times New Roman"/>
        </w:rPr>
        <w:t>付款方式：</w:t>
      </w:r>
      <w:r>
        <w:t>合同签订之后支付合同金额的30%，项目验收</w:t>
      </w:r>
      <w:r>
        <w:rPr>
          <w:rFonts w:hint="eastAsia"/>
        </w:rPr>
        <w:t>合格</w:t>
      </w:r>
      <w:r>
        <w:t>之后支付至合同金额的100%。付款前乙方应开具相应金额的增值税普通发票 。</w:t>
      </w:r>
    </w:p>
    <w:p>
      <w:pPr>
        <w:numPr>
          <w:ilvl w:val="2"/>
          <w:numId w:val="13"/>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商品包装要求：</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 xml:space="preserve">.1适用范围 </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rPr>
        <w:t xml:space="preserve">本标准规定了商品使用的塑料、纸质、木质等包装材料的环保要求。 </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 xml:space="preserve">.2商品包装环保要求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（6）纸质商品包装应使用75%以上的可再生纤维原料生产； </w:t>
      </w:r>
    </w:p>
    <w:p>
      <w:pPr>
        <w:widowControl/>
        <w:spacing w:line="360" w:lineRule="auto"/>
        <w:ind w:firstLine="420" w:firstLineChars="200"/>
        <w:rPr>
          <w:rFonts w:hint="eastAsia" w:ascii="宋体" w:hAnsi="宋体"/>
          <w:kern w:val="0"/>
          <w:sz w:val="21"/>
          <w:szCs w:val="21"/>
          <w:lang w:bidi="ar"/>
        </w:rPr>
      </w:pPr>
      <w:r>
        <w:rPr>
          <w:rFonts w:hint="eastAsia" w:ascii="宋体" w:hAnsi="宋体"/>
          <w:kern w:val="0"/>
          <w:sz w:val="21"/>
          <w:szCs w:val="21"/>
          <w:lang w:bidi="ar"/>
        </w:rPr>
        <w:t xml:space="preserve">（7）木质商品包装的原料应来源于可持续性森林。 </w:t>
      </w:r>
    </w:p>
    <w:p>
      <w:pPr>
        <w:widowControl/>
        <w:adjustRightInd w:val="0"/>
        <w:spacing w:line="360" w:lineRule="auto"/>
        <w:rPr>
          <w:rFonts w:hint="eastAsia" w:ascii="宋体" w:hAnsi="宋体"/>
          <w:color w:val="auto"/>
          <w:sz w:val="21"/>
          <w:szCs w:val="21"/>
          <w:u w:val="single"/>
        </w:rPr>
      </w:pPr>
      <w:r>
        <w:rPr>
          <w:rFonts w:hint="eastAsia" w:ascii="宋体" w:hAnsi="宋体"/>
          <w:b/>
          <w:kern w:val="0"/>
          <w:sz w:val="21"/>
          <w:szCs w:val="21"/>
          <w:lang w:eastAsia="zh-CN"/>
        </w:rPr>
        <w:t>三</w:t>
      </w:r>
      <w:r>
        <w:rPr>
          <w:rFonts w:hint="eastAsia" w:ascii="宋体" w:hAnsi="宋体"/>
          <w:b/>
          <w:kern w:val="0"/>
          <w:sz w:val="21"/>
          <w:szCs w:val="21"/>
        </w:rPr>
        <w:t>、采购内容及技术要求</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 xml:space="preserve">  </w:t>
      </w:r>
    </w:p>
    <w:tbl>
      <w:tblPr>
        <w:tblStyle w:val="37"/>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225"/>
        <w:gridCol w:w="5275"/>
        <w:gridCol w:w="862"/>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b/>
                <w:bCs/>
                <w:color w:val="000000"/>
                <w:kern w:val="0"/>
                <w:sz w:val="21"/>
                <w:szCs w:val="21"/>
              </w:rPr>
            </w:pPr>
            <w:r>
              <w:rPr>
                <w:rFonts w:hint="eastAsia" w:ascii="宋体" w:hAnsi="宋体" w:eastAsia="宋体" w:cs="Times New Roman"/>
                <w:b/>
                <w:bCs/>
                <w:color w:val="000000"/>
                <w:kern w:val="0"/>
                <w:sz w:val="21"/>
                <w:szCs w:val="21"/>
                <w:lang w:val="en-US" w:eastAsia="zh-CN"/>
              </w:rPr>
              <w:t>序号</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b/>
                <w:color w:val="000000"/>
                <w:kern w:val="0"/>
                <w:sz w:val="21"/>
                <w:szCs w:val="21"/>
              </w:rPr>
            </w:pPr>
            <w:r>
              <w:rPr>
                <w:rFonts w:hint="eastAsia" w:ascii="宋体" w:hAnsi="宋体" w:cs="Times New Roman"/>
                <w:b/>
                <w:bCs/>
                <w:color w:val="000000"/>
                <w:kern w:val="0"/>
                <w:sz w:val="21"/>
                <w:szCs w:val="21"/>
                <w:lang w:val="en-US" w:eastAsia="zh-CN"/>
              </w:rPr>
              <w:t>标的</w:t>
            </w:r>
            <w:r>
              <w:rPr>
                <w:rFonts w:hint="eastAsia" w:ascii="宋体" w:hAnsi="宋体" w:eastAsia="宋体" w:cs="Times New Roman"/>
                <w:b/>
                <w:bCs/>
                <w:color w:val="000000"/>
                <w:kern w:val="0"/>
                <w:sz w:val="21"/>
                <w:szCs w:val="21"/>
                <w:lang w:val="en-US" w:eastAsia="zh-CN"/>
              </w:rPr>
              <w:t>名称</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pStyle w:val="90"/>
              <w:jc w:val="center"/>
              <w:rPr>
                <w:rFonts w:hint="eastAsia" w:ascii="宋体" w:hAnsi="宋体"/>
                <w:b/>
                <w:bCs/>
                <w:color w:val="000000"/>
                <w:kern w:val="0"/>
                <w:sz w:val="21"/>
                <w:szCs w:val="21"/>
              </w:rPr>
            </w:pPr>
            <w:r>
              <w:rPr>
                <w:rFonts w:hint="eastAsia" w:ascii="宋体" w:hAnsi="宋体" w:eastAsia="宋体" w:cs="Times New Roman"/>
                <w:b/>
                <w:bCs/>
                <w:color w:val="auto"/>
                <w:kern w:val="0"/>
                <w:sz w:val="21"/>
                <w:szCs w:val="21"/>
                <w:lang w:val="en-US" w:eastAsia="zh-CN" w:bidi="ar-SA"/>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网络安全管理平台</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b/>
                <w:bCs/>
                <w:i w:val="0"/>
                <w:iCs w:val="0"/>
                <w:color w:val="000000"/>
                <w:kern w:val="2"/>
                <w:sz w:val="18"/>
                <w:szCs w:val="18"/>
                <w:u w:val="none"/>
                <w:lang w:val="en-US" w:eastAsia="zh-CN" w:bidi="ar-SA"/>
              </w:rPr>
              <w:t>一、防火墙系统：</w:t>
            </w:r>
            <w:r>
              <w:rPr>
                <w:rStyle w:val="127"/>
                <w:kern w:val="0"/>
                <w:sz w:val="18"/>
                <w:szCs w:val="18"/>
                <w:lang w:bidi="ar"/>
              </w:rPr>
              <w:br w:type="textWrapping"/>
            </w:r>
            <w:r>
              <w:rPr>
                <w:rStyle w:val="127"/>
                <w:kern w:val="0"/>
                <w:sz w:val="18"/>
                <w:szCs w:val="18"/>
                <w:lang w:bidi="ar"/>
              </w:rPr>
              <w:t>（一）功能要求：</w:t>
            </w:r>
            <w:r>
              <w:rPr>
                <w:rStyle w:val="127"/>
                <w:kern w:val="0"/>
                <w:sz w:val="18"/>
                <w:szCs w:val="18"/>
                <w:lang w:bidi="ar"/>
              </w:rPr>
              <w:br w:type="textWrapping"/>
            </w:r>
            <w:r>
              <w:rPr>
                <w:rStyle w:val="127"/>
                <w:kern w:val="0"/>
                <w:sz w:val="18"/>
                <w:szCs w:val="18"/>
                <w:lang w:bidi="ar"/>
              </w:rPr>
              <w:t>★1、VPN：SSLVPN支持页面定制功能特性，包括登录页面、交互信息、提示信息的定制功能；防火墙在SSLVPN页面上修改用户密码，支持防暴力破解密码；可基于每个SSLVPN用户的会话连接数、连接时间和流量阀值进行细颗粒度的管控</w:t>
            </w:r>
            <w:r>
              <w:rPr>
                <w:rStyle w:val="127"/>
                <w:b/>
                <w:bCs/>
                <w:kern w:val="0"/>
                <w:sz w:val="18"/>
                <w:szCs w:val="18"/>
                <w:lang w:bidi="ar"/>
              </w:rPr>
              <w:t>（响应文件中提供功能截图）。</w:t>
            </w:r>
            <w:r>
              <w:rPr>
                <w:rStyle w:val="127"/>
                <w:kern w:val="0"/>
                <w:sz w:val="18"/>
                <w:szCs w:val="18"/>
                <w:lang w:bidi="ar"/>
              </w:rPr>
              <w:br w:type="textWrapping"/>
            </w:r>
            <w:r>
              <w:rPr>
                <w:rStyle w:val="127"/>
                <w:kern w:val="0"/>
                <w:sz w:val="18"/>
                <w:szCs w:val="18"/>
                <w:lang w:bidi="ar"/>
              </w:rPr>
              <w:t>2、攻击防护：实现安全区域划分，访问控制列表，配置对象及策略，动态包过滤，黑名单，MAC和IP绑定功能，基于MAC的访问控制列表，802.1q VLAN 透传等功能。</w:t>
            </w:r>
            <w:r>
              <w:rPr>
                <w:rStyle w:val="127"/>
                <w:kern w:val="0"/>
                <w:sz w:val="18"/>
                <w:szCs w:val="18"/>
                <w:lang w:bidi="ar"/>
              </w:rPr>
              <w:br w:type="textWrapping"/>
            </w:r>
            <w:r>
              <w:rPr>
                <w:rStyle w:val="127"/>
                <w:kern w:val="0"/>
                <w:sz w:val="18"/>
                <w:szCs w:val="18"/>
                <w:lang w:bidi="ar"/>
              </w:rPr>
              <w:t>★3、安全策略：支持一体化安全策略，能够基于时间、用户/用户组、应用层协议、五元组、内容安全统一界面进行安全策略配置；支持策略风险调优，支持安全策略优化分析，支持策略数冗余及命中分析，支持基于应用风险的策略调优，可根据流量、应用、风险类型等细粒度展示，并给出总体安全评分，便于用户更好的管理安全策略</w:t>
            </w:r>
            <w:r>
              <w:rPr>
                <w:rStyle w:val="127"/>
                <w:b/>
                <w:bCs/>
                <w:kern w:val="0"/>
                <w:sz w:val="18"/>
                <w:szCs w:val="18"/>
                <w:lang w:bidi="ar"/>
              </w:rPr>
              <w:t>（响应文件中提供功能截图）。</w:t>
            </w:r>
            <w:r>
              <w:rPr>
                <w:rStyle w:val="127"/>
                <w:kern w:val="0"/>
                <w:sz w:val="18"/>
                <w:szCs w:val="18"/>
                <w:lang w:bidi="ar"/>
              </w:rPr>
              <w:br w:type="textWrapping"/>
            </w:r>
            <w:r>
              <w:rPr>
                <w:rStyle w:val="127"/>
                <w:kern w:val="0"/>
                <w:sz w:val="18"/>
                <w:szCs w:val="18"/>
                <w:lang w:bidi="ar"/>
              </w:rPr>
              <w:t>★4、支持至少5500条以上的应用识别，且提示风险类型及风险级别，便于用户根据实际情况进行上网行为管理。</w:t>
            </w:r>
            <w:r>
              <w:rPr>
                <w:rStyle w:val="127"/>
                <w:b/>
                <w:bCs/>
                <w:kern w:val="0"/>
                <w:sz w:val="18"/>
                <w:szCs w:val="18"/>
                <w:lang w:bidi="ar"/>
              </w:rPr>
              <w:t>（响应文件中提供功能截图）。</w:t>
            </w:r>
            <w:r>
              <w:rPr>
                <w:rStyle w:val="127"/>
                <w:kern w:val="0"/>
                <w:sz w:val="18"/>
                <w:szCs w:val="18"/>
                <w:lang w:bidi="ar"/>
              </w:rPr>
              <w:br w:type="textWrapping"/>
            </w:r>
            <w:r>
              <w:rPr>
                <w:rStyle w:val="127"/>
                <w:kern w:val="0"/>
                <w:sz w:val="18"/>
                <w:szCs w:val="18"/>
                <w:lang w:bidi="ar"/>
              </w:rPr>
              <w:t>★5、入侵防御：支持基于对包括但不限于操作系统、网络设备、办公软件、网页服务等保护对象的入侵防御策略，支持基于对漏洞、恶意文件、信息收集类攻击等的攻击分类的防护策略，支持基于服务器、客户端的防护策略。且缺省动作支持黑名单</w:t>
            </w:r>
            <w:r>
              <w:rPr>
                <w:rStyle w:val="127"/>
                <w:b/>
                <w:bCs/>
                <w:kern w:val="0"/>
                <w:sz w:val="18"/>
                <w:szCs w:val="18"/>
                <w:lang w:bidi="ar"/>
              </w:rPr>
              <w:t>（响应文件中提供功能截图）。</w:t>
            </w:r>
            <w:r>
              <w:rPr>
                <w:rStyle w:val="127"/>
                <w:kern w:val="0"/>
                <w:sz w:val="18"/>
                <w:szCs w:val="18"/>
                <w:lang w:bidi="ar"/>
              </w:rPr>
              <w:br w:type="textWrapping"/>
            </w:r>
            <w:r>
              <w:rPr>
                <w:rStyle w:val="127"/>
                <w:kern w:val="0"/>
                <w:sz w:val="18"/>
                <w:szCs w:val="18"/>
                <w:lang w:bidi="ar"/>
              </w:rPr>
              <w:t>★6、DDoS防护：支持流量自学习功能，可设置自学习时间，并自动生成DDoS防范策略</w:t>
            </w:r>
            <w:r>
              <w:rPr>
                <w:rStyle w:val="127"/>
                <w:b/>
                <w:bCs/>
                <w:kern w:val="0"/>
                <w:sz w:val="18"/>
                <w:szCs w:val="18"/>
                <w:lang w:bidi="ar"/>
              </w:rPr>
              <w:t>（响应文件中提供功能截图）。</w:t>
            </w:r>
            <w:r>
              <w:rPr>
                <w:rStyle w:val="127"/>
                <w:kern w:val="0"/>
                <w:sz w:val="18"/>
                <w:szCs w:val="18"/>
                <w:lang w:bidi="ar"/>
              </w:rPr>
              <w:br w:type="textWrapping"/>
            </w:r>
            <w:r>
              <w:rPr>
                <w:rStyle w:val="127"/>
                <w:kern w:val="0"/>
                <w:sz w:val="18"/>
                <w:szCs w:val="18"/>
                <w:lang w:bidi="ar"/>
              </w:rPr>
              <w:t>★7、负载均衡：支持DNS透明代理功能，可基于负载均衡算法代理内网用户进行DNS请求转发，避免单运营商DNS解析出现单一链路流量过载，平衡多条运营商线路的带宽利用率。</w:t>
            </w:r>
            <w:r>
              <w:rPr>
                <w:rStyle w:val="127"/>
                <w:b/>
                <w:bCs/>
                <w:kern w:val="0"/>
                <w:sz w:val="18"/>
                <w:szCs w:val="18"/>
                <w:lang w:bidi="ar"/>
              </w:rPr>
              <w:t>（响应文件中需提供设备功能界面截图证明）</w:t>
            </w:r>
            <w:r>
              <w:rPr>
                <w:rStyle w:val="127"/>
                <w:kern w:val="0"/>
                <w:sz w:val="18"/>
                <w:szCs w:val="18"/>
                <w:lang w:bidi="ar"/>
              </w:rPr>
              <w:t xml:space="preserve">                                                </w:t>
            </w:r>
            <w:r>
              <w:rPr>
                <w:rStyle w:val="127"/>
                <w:kern w:val="0"/>
                <w:sz w:val="18"/>
                <w:szCs w:val="18"/>
                <w:lang w:bidi="ar"/>
              </w:rPr>
              <w:br w:type="textWrapping"/>
            </w:r>
            <w:r>
              <w:rPr>
                <w:rStyle w:val="127"/>
                <w:kern w:val="0"/>
                <w:sz w:val="18"/>
                <w:szCs w:val="18"/>
                <w:lang w:bidi="ar"/>
              </w:rPr>
              <w:t>8、支持采用非X86多</w:t>
            </w:r>
            <w:r>
              <w:rPr>
                <w:rStyle w:val="127"/>
                <w:color w:val="auto"/>
                <w:kern w:val="0"/>
                <w:sz w:val="18"/>
                <w:szCs w:val="18"/>
                <w:lang w:bidi="ar"/>
              </w:rPr>
              <w:t>核架构，</w:t>
            </w:r>
            <w:r>
              <w:rPr>
                <w:rStyle w:val="128"/>
                <w:color w:val="auto"/>
                <w:kern w:val="0"/>
                <w:sz w:val="18"/>
                <w:szCs w:val="18"/>
                <w:lang w:bidi="ar"/>
              </w:rPr>
              <w:t>内置交流电源。</w:t>
            </w:r>
            <w:r>
              <w:rPr>
                <w:rStyle w:val="127"/>
                <w:kern w:val="0"/>
                <w:sz w:val="18"/>
                <w:szCs w:val="18"/>
                <w:lang w:bidi="ar"/>
              </w:rPr>
              <w:br w:type="textWrapping"/>
            </w:r>
            <w:r>
              <w:rPr>
                <w:rStyle w:val="127"/>
                <w:kern w:val="0"/>
                <w:sz w:val="18"/>
                <w:szCs w:val="18"/>
                <w:lang w:bidi="ar"/>
              </w:rPr>
              <w:t>9、整套系统同时具备防火墙、链路负载均衡、入侵防御、防病毒、带宽控制、应用识别和web应用防护等功能，SSL VPN，默认免费提供15个并发（用户）授权；</w:t>
            </w:r>
            <w:r>
              <w:rPr>
                <w:rStyle w:val="127"/>
                <w:kern w:val="0"/>
                <w:sz w:val="18"/>
                <w:szCs w:val="18"/>
                <w:lang w:bidi="ar"/>
              </w:rPr>
              <w:br w:type="textWrapping"/>
            </w:r>
            <w:r>
              <w:rPr>
                <w:rStyle w:val="127"/>
                <w:kern w:val="0"/>
                <w:sz w:val="18"/>
                <w:szCs w:val="18"/>
                <w:lang w:bidi="ar"/>
              </w:rPr>
              <w:t>（二）配置要求：</w:t>
            </w:r>
            <w:r>
              <w:rPr>
                <w:rStyle w:val="127"/>
                <w:kern w:val="0"/>
                <w:sz w:val="18"/>
                <w:szCs w:val="18"/>
                <w:lang w:bidi="ar"/>
              </w:rPr>
              <w:br w:type="textWrapping"/>
            </w:r>
            <w:r>
              <w:rPr>
                <w:rStyle w:val="127"/>
                <w:kern w:val="0"/>
                <w:sz w:val="18"/>
                <w:szCs w:val="18"/>
                <w:lang w:bidi="ar"/>
              </w:rPr>
              <w:t>1、存储：支持SSD硬盘≥480G，HDD硬盘≥500G；</w:t>
            </w:r>
            <w:r>
              <w:rPr>
                <w:rStyle w:val="127"/>
                <w:kern w:val="0"/>
                <w:sz w:val="18"/>
                <w:szCs w:val="18"/>
                <w:lang w:bidi="ar"/>
              </w:rPr>
              <w:br w:type="textWrapping"/>
            </w:r>
            <w:r>
              <w:rPr>
                <w:rStyle w:val="127"/>
                <w:color w:val="auto"/>
                <w:kern w:val="0"/>
                <w:sz w:val="18"/>
                <w:szCs w:val="18"/>
                <w:lang w:bidi="ar"/>
              </w:rPr>
              <w:t>★2、</w:t>
            </w:r>
            <w:r>
              <w:rPr>
                <w:rStyle w:val="128"/>
                <w:color w:val="auto"/>
                <w:kern w:val="0"/>
                <w:sz w:val="18"/>
                <w:szCs w:val="18"/>
                <w:lang w:bidi="ar"/>
              </w:rPr>
              <w:t>支持接口要求：配置≥8个千兆电口，≥2个Combo口（含1个管理口），≥2个Bypass电口，1个Console口，≥2个USB接口（响应文件中提供设备照片）；</w:t>
            </w:r>
            <w:r>
              <w:rPr>
                <w:rStyle w:val="127"/>
                <w:kern w:val="0"/>
                <w:sz w:val="18"/>
                <w:szCs w:val="18"/>
                <w:lang w:bidi="ar"/>
              </w:rPr>
              <w:br w:type="textWrapping"/>
            </w:r>
            <w:r>
              <w:rPr>
                <w:rStyle w:val="127"/>
                <w:kern w:val="0"/>
                <w:sz w:val="18"/>
                <w:szCs w:val="18"/>
                <w:lang w:bidi="ar"/>
              </w:rPr>
              <w:t>3、性能要求：应用层吞吐量≥800M，网络层吞吐量≥3.5Gbps，最大并发连接数≥80万，每秒新建连接数≥1.5万，SSL VPN并发用户≥500，IPSec VPN隧道数≥500；</w:t>
            </w:r>
            <w:r>
              <w:rPr>
                <w:rStyle w:val="127"/>
                <w:kern w:val="0"/>
                <w:sz w:val="18"/>
                <w:szCs w:val="18"/>
                <w:lang w:bidi="ar"/>
              </w:rPr>
              <w:br w:type="textWrapping"/>
            </w:r>
            <w:r>
              <w:rPr>
                <w:rFonts w:hint="eastAsia" w:ascii="宋体" w:hAnsi="宋体" w:eastAsia="宋体" w:cs="宋体"/>
                <w:b/>
                <w:bCs/>
                <w:i w:val="0"/>
                <w:iCs w:val="0"/>
                <w:color w:val="000000"/>
                <w:kern w:val="2"/>
                <w:sz w:val="18"/>
                <w:szCs w:val="18"/>
                <w:u w:val="none"/>
                <w:lang w:val="en-US" w:eastAsia="zh-CN" w:bidi="ar-SA"/>
              </w:rPr>
              <w:t>二、上网行为管理系统</w:t>
            </w:r>
            <w:r>
              <w:rPr>
                <w:rStyle w:val="127"/>
                <w:kern w:val="0"/>
                <w:sz w:val="18"/>
                <w:szCs w:val="18"/>
                <w:lang w:bidi="ar"/>
              </w:rPr>
              <w:br w:type="textWrapping"/>
            </w:r>
            <w:r>
              <w:rPr>
                <w:rStyle w:val="127"/>
                <w:kern w:val="0"/>
                <w:sz w:val="18"/>
                <w:szCs w:val="18"/>
                <w:lang w:bidi="ar"/>
              </w:rPr>
              <w:t>（一）功能要求：</w:t>
            </w:r>
            <w:r>
              <w:rPr>
                <w:rStyle w:val="127"/>
                <w:kern w:val="0"/>
                <w:sz w:val="18"/>
                <w:szCs w:val="18"/>
                <w:lang w:bidi="ar"/>
              </w:rPr>
              <w:br w:type="textWrapping"/>
            </w:r>
            <w:r>
              <w:rPr>
                <w:rStyle w:val="127"/>
                <w:kern w:val="0"/>
                <w:sz w:val="18"/>
                <w:szCs w:val="18"/>
                <w:lang w:bidi="ar"/>
              </w:rPr>
              <w:t>1、资产发现：支持主动扫描发现内网资产，获取资产基本信息；支持用户手动新建、导入、导出资产信息；支持资产搜索，关键字段包含资产IP、描述、用户、部门、重要度、分类、操作系统、可用服务、状态、关键词等。</w:t>
            </w:r>
            <w:r>
              <w:rPr>
                <w:rStyle w:val="127"/>
                <w:kern w:val="0"/>
                <w:sz w:val="18"/>
                <w:szCs w:val="18"/>
                <w:lang w:bidi="ar"/>
              </w:rPr>
              <w:br w:type="textWrapping"/>
            </w:r>
            <w:r>
              <w:rPr>
                <w:rStyle w:val="127"/>
                <w:kern w:val="0"/>
                <w:sz w:val="18"/>
                <w:szCs w:val="18"/>
                <w:lang w:bidi="ar"/>
              </w:rPr>
              <w:t>2、数据分析：支持小时/天/周为单位的用户流量、应用流量、设备流量趋势图、列表TOP统计展示；支持用户虚拟身份画像，以时间轴的形式展示用户上网行为轨迹；支持对单用户进行网站访问质量检测；支持黑名单用户显示、SSL VPN在线用户显示、实时用户/应用流速统计。</w:t>
            </w:r>
            <w:r>
              <w:rPr>
                <w:rStyle w:val="127"/>
                <w:kern w:val="0"/>
                <w:sz w:val="18"/>
                <w:szCs w:val="18"/>
                <w:lang w:bidi="ar"/>
              </w:rPr>
              <w:br w:type="textWrapping"/>
            </w:r>
            <w:r>
              <w:rPr>
                <w:rStyle w:val="127"/>
                <w:kern w:val="0"/>
                <w:sz w:val="18"/>
                <w:szCs w:val="18"/>
                <w:lang w:bidi="ar"/>
              </w:rPr>
              <w:t>3、策略分析与清理：支持分析冗余策略、隐藏策略、冲突策略、可合并策略、空策略、过期策略；支持图形化展示策略分析概况，问题策略分布，总体策略宽松度评分；支持问题列表式显示问题策略，展示问题策略与正常策略的对照关系；支持忽略问题策略，减少干扰。</w:t>
            </w:r>
            <w:r>
              <w:rPr>
                <w:rStyle w:val="127"/>
                <w:kern w:val="0"/>
                <w:sz w:val="18"/>
                <w:szCs w:val="18"/>
                <w:lang w:bidi="ar"/>
              </w:rPr>
              <w:br w:type="textWrapping"/>
            </w:r>
            <w:r>
              <w:rPr>
                <w:rStyle w:val="127"/>
                <w:kern w:val="0"/>
                <w:sz w:val="18"/>
                <w:szCs w:val="18"/>
                <w:lang w:bidi="ar"/>
              </w:rPr>
              <w:t>4、应用协议识别：支持主流P2P、IM、在线视频、网络游戏、网络炒股等应用识别；支持BYOD特征库，可识别ios版和安卓版移动互联网软件如腾讯微博、QQ空间等特征。</w:t>
            </w:r>
            <w:r>
              <w:rPr>
                <w:rStyle w:val="127"/>
                <w:kern w:val="0"/>
                <w:sz w:val="18"/>
                <w:szCs w:val="18"/>
                <w:lang w:bidi="ar"/>
              </w:rPr>
              <w:br w:type="textWrapping"/>
            </w:r>
            <w:r>
              <w:rPr>
                <w:rStyle w:val="127"/>
                <w:kern w:val="0"/>
                <w:sz w:val="18"/>
                <w:szCs w:val="18"/>
                <w:lang w:bidi="ar"/>
              </w:rPr>
              <w:t>5、用户认证功能：支持本地web认证，针对本地web认证的认证服务器可以是本地AAA，也支持外部radius、ldap认证服务器；支持本地web认证、短信认证、微信认证、免认证、SAM认证、单点登录、POP3认证、portal认证、访客二维码认证、混合认证等多种认证方式。</w:t>
            </w:r>
            <w:r>
              <w:rPr>
                <w:rStyle w:val="127"/>
                <w:kern w:val="0"/>
                <w:sz w:val="18"/>
                <w:szCs w:val="18"/>
                <w:lang w:bidi="ar"/>
              </w:rPr>
              <w:br w:type="textWrapping"/>
            </w:r>
            <w:r>
              <w:rPr>
                <w:rStyle w:val="127"/>
                <w:kern w:val="0"/>
                <w:sz w:val="18"/>
                <w:szCs w:val="18"/>
                <w:lang w:bidi="ar"/>
              </w:rPr>
              <w:t>6、告警及处理：支持移动终端发现管理，可一键添加为信任终端、发现终端后可邮件告警/冻结等，支持趋势图呈现移动终端接入趋势及列表详情等。</w:t>
            </w:r>
            <w:r>
              <w:rPr>
                <w:rStyle w:val="127"/>
                <w:kern w:val="0"/>
                <w:sz w:val="18"/>
                <w:szCs w:val="18"/>
                <w:lang w:bidi="ar"/>
              </w:rPr>
              <w:br w:type="textWrapping"/>
            </w:r>
            <w:r>
              <w:rPr>
                <w:rStyle w:val="127"/>
                <w:kern w:val="0"/>
                <w:sz w:val="18"/>
                <w:szCs w:val="18"/>
                <w:lang w:bidi="ar"/>
              </w:rPr>
              <w:t>7、支持针对设备健康状态，业务信息等维度告警；告警事件入库支持展示，查询，导出；告警事件支持弹窗，邮件；弹窗默认展示最近10条告警记录。</w:t>
            </w:r>
            <w:r>
              <w:rPr>
                <w:rStyle w:val="127"/>
                <w:kern w:val="0"/>
                <w:sz w:val="18"/>
                <w:szCs w:val="18"/>
                <w:lang w:bidi="ar"/>
              </w:rPr>
              <w:br w:type="textWrapping"/>
            </w:r>
            <w:r>
              <w:rPr>
                <w:rStyle w:val="127"/>
                <w:kern w:val="0"/>
                <w:sz w:val="18"/>
                <w:szCs w:val="18"/>
                <w:lang w:bidi="ar"/>
              </w:rPr>
              <w:t xml:space="preserve">8、实配一年应用识别&amp;URL特征库升级授权。                                       </w:t>
            </w:r>
            <w:r>
              <w:rPr>
                <w:rStyle w:val="127"/>
                <w:kern w:val="0"/>
                <w:sz w:val="18"/>
                <w:szCs w:val="18"/>
                <w:lang w:bidi="ar"/>
              </w:rPr>
              <w:br w:type="textWrapping"/>
            </w:r>
            <w:r>
              <w:rPr>
                <w:rStyle w:val="127"/>
                <w:kern w:val="0"/>
                <w:sz w:val="18"/>
                <w:szCs w:val="18"/>
                <w:lang w:bidi="ar"/>
              </w:rPr>
              <w:t>9、功能结构支持：机架式独立硬件设备，系统硬件为全内置封闭式结构，稳定可靠，加电即可运行，启动过程无须人工干预；多核架构设计，不允许采用X86架构，功能采用模块化结构设计，提供CPU型号、频率；最大功率≤300W；内置两路电口Bypass；在设备流量异常时，可自动切换到Bypass状态，当设备恢复时，可自动切换回工作状态。</w:t>
            </w:r>
            <w:r>
              <w:rPr>
                <w:rStyle w:val="127"/>
                <w:kern w:val="0"/>
                <w:sz w:val="18"/>
                <w:szCs w:val="18"/>
                <w:lang w:bidi="ar"/>
              </w:rPr>
              <w:br w:type="textWrapping"/>
            </w:r>
            <w:r>
              <w:rPr>
                <w:rStyle w:val="127"/>
                <w:kern w:val="0"/>
                <w:sz w:val="18"/>
                <w:szCs w:val="18"/>
                <w:lang w:bidi="ar"/>
              </w:rPr>
              <w:t>（二）配置要求：</w:t>
            </w:r>
            <w:r>
              <w:rPr>
                <w:rStyle w:val="127"/>
                <w:kern w:val="0"/>
                <w:sz w:val="18"/>
                <w:szCs w:val="18"/>
                <w:lang w:bidi="ar"/>
              </w:rPr>
              <w:br w:type="textWrapping"/>
            </w:r>
            <w:r>
              <w:rPr>
                <w:rStyle w:val="127"/>
                <w:kern w:val="0"/>
                <w:sz w:val="18"/>
                <w:szCs w:val="18"/>
                <w:lang w:bidi="ar"/>
              </w:rPr>
              <w:t>1、性能要求：三层吞吐量≥2Gbps，七层吞吐量≥800MbpsGbps；行为审计&amp;应用控制适用终端规模≥500台。</w:t>
            </w:r>
            <w:r>
              <w:rPr>
                <w:rStyle w:val="127"/>
                <w:kern w:val="0"/>
                <w:sz w:val="18"/>
                <w:szCs w:val="18"/>
                <w:lang w:bidi="ar"/>
              </w:rPr>
              <w:br w:type="textWrapping"/>
            </w:r>
            <w:r>
              <w:rPr>
                <w:rStyle w:val="127"/>
                <w:kern w:val="0"/>
                <w:sz w:val="18"/>
                <w:szCs w:val="18"/>
                <w:lang w:bidi="ar"/>
              </w:rPr>
              <w:t>2、系统要求支持:≥10个千兆电口，≥4对Combo口，内置存储硬盘≥1T;扩展插槽≥2;内置2.4寸彩色液晶屏，具备触碰按钮；可显示版本号、CPU利用率、内存利用率、设备名称、管理IP等信息。</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5G双域专网服务</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1、采用5G+超整合架构，通过5G通信能力，配置专用DNN，开通内外网双域分流访问功能。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2、通过安全专用数据链路连接运营商网络和本地机房信息中心，保障网络使用具有较高安全性，满足日常办公高速网络应用需求和智能化场景应用需求。</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Times New Roman"/>
                <w:kern w:val="0"/>
                <w:sz w:val="21"/>
                <w:szCs w:val="21"/>
                <w:lang w:val="en-US" w:eastAsia="zh-CN"/>
              </w:rPr>
            </w:pPr>
          </w:p>
          <w:p>
            <w:pPr>
              <w:bidi w:val="0"/>
              <w:jc w:val="center"/>
              <w:rPr>
                <w:rFonts w:hint="default"/>
                <w:lang w:val="en-US" w:eastAsia="zh-CN"/>
              </w:rPr>
            </w:pPr>
            <w:r>
              <w:rPr>
                <w:rFonts w:hint="eastAsia" w:ascii="宋体" w:hAnsi="宋体" w:eastAsia="宋体" w:cs="Times New Roman"/>
                <w:kern w:val="0"/>
                <w:sz w:val="21"/>
                <w:szCs w:val="21"/>
                <w:lang w:val="en-US" w:eastAsia="zh-CN"/>
              </w:rPr>
              <w:t>1/年</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信息传输业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杀毒系统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1、本次配置≥100个PC端授权，≥10个服务器端授权包含管理及杀毒授权。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2、支持全盘扫描、快速扫描、自定义扫描、右键扫描、拖动扫描等多种扫描方式。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3、具备人工智能引擎，人工智能引擎支持PE/OFFICE/PDF常见文件类型威胁检测。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4、支持目录白名单、文件哈希白名单、签名证书白名单三种方式。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5、支持内网WSUS和互联网、隔离环境三种工作模式。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6、Windows/Linux/国产操作系统提供相同的杀毒UI界面。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7、支持采集终端基础信息，包括终端名称、IP地址（私有）、IP地址（公网）、MAC地址、健康状态、硬件架构、操作系统、组件等信息。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8、管理平台具备整体安全概览展示，包括威胁趋势、安全概况、防护概况、安全合规、高危终端TOP10、高危病毒TOP10、待办事项等。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管理平台支持以组织架构的方式管理全网终端，能够显示终端基本信息（包括终端名称、IP、MAC、健康状态等）；终端资产支持显示终端详情包括性能、硬件、软件、进程、网络、漏洞等；包括策略分发、卸载、关机、重启、消息分发、隔离、取消隔离、误杀恢复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10、管理平台支持统一的客户端病毒查杀、基线核查、漏洞修复、终端资产发现。</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kern w:val="0"/>
                <w:sz w:val="21"/>
                <w:szCs w:val="21"/>
                <w:lang w:val="en-US" w:eastAsia="zh-CN"/>
              </w:rPr>
            </w:pPr>
            <w:r>
              <w:rPr>
                <w:rFonts w:hint="eastAsia" w:ascii="宋体" w:hAnsi="宋体"/>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核心交换机</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Style w:val="127"/>
                <w:kern w:val="0"/>
                <w:sz w:val="18"/>
                <w:szCs w:val="18"/>
                <w:lang w:bidi="ar"/>
              </w:rPr>
              <w:t>★1、硬件性能：交换容量≥756Gbps，包转发率≥222Mpps（以官网最小值为准。</w:t>
            </w:r>
            <w:r>
              <w:rPr>
                <w:rStyle w:val="127"/>
                <w:b/>
                <w:bCs/>
                <w:color w:val="auto"/>
                <w:kern w:val="0"/>
                <w:sz w:val="18"/>
                <w:szCs w:val="18"/>
                <w:lang w:bidi="ar"/>
              </w:rPr>
              <w:t>响应文件中</w:t>
            </w:r>
            <w:r>
              <w:rPr>
                <w:rStyle w:val="128"/>
                <w:b/>
                <w:bCs/>
                <w:color w:val="auto"/>
                <w:kern w:val="0"/>
                <w:sz w:val="18"/>
                <w:szCs w:val="18"/>
                <w:lang w:bidi="ar"/>
              </w:rPr>
              <w:t>提供加盖生产厂家公章的官网截图</w:t>
            </w:r>
            <w:r>
              <w:rPr>
                <w:rStyle w:val="127"/>
                <w:kern w:val="0"/>
                <w:sz w:val="18"/>
                <w:szCs w:val="18"/>
                <w:lang w:bidi="ar"/>
              </w:rPr>
              <w:t>）。</w:t>
            </w:r>
            <w:r>
              <w:rPr>
                <w:rStyle w:val="127"/>
                <w:kern w:val="0"/>
                <w:sz w:val="18"/>
                <w:szCs w:val="18"/>
                <w:lang w:bidi="ar"/>
              </w:rPr>
              <w:br w:type="textWrapping"/>
            </w:r>
            <w:r>
              <w:rPr>
                <w:rStyle w:val="127"/>
                <w:kern w:val="0"/>
                <w:sz w:val="18"/>
                <w:szCs w:val="18"/>
                <w:lang w:bidi="ar"/>
              </w:rPr>
              <w:t>2、单台配置：千兆电口≥24个（其中千兆combo口8个），万兆光口≥4个，扩展插槽≥1个，冗余电源风扇模块。</w:t>
            </w:r>
            <w:r>
              <w:rPr>
                <w:rStyle w:val="127"/>
                <w:kern w:val="0"/>
                <w:sz w:val="18"/>
                <w:szCs w:val="18"/>
                <w:lang w:bidi="ar"/>
              </w:rPr>
              <w:br w:type="textWrapping"/>
            </w:r>
            <w:r>
              <w:rPr>
                <w:rStyle w:val="127"/>
                <w:kern w:val="0"/>
                <w:sz w:val="18"/>
                <w:szCs w:val="18"/>
                <w:lang w:bidi="ar"/>
              </w:rPr>
              <w:t>3、支持防火墙插卡功能，支持多类型子卡，支持双风扇功能、支持端口节能功能；支持零配置启动功能、支持通过USB拷贝删除文件，支持通过MicroUSB登录设备。</w:t>
            </w:r>
            <w:r>
              <w:rPr>
                <w:rStyle w:val="127"/>
                <w:kern w:val="0"/>
                <w:sz w:val="18"/>
                <w:szCs w:val="18"/>
                <w:lang w:bidi="ar"/>
              </w:rPr>
              <w:br w:type="textWrapping"/>
            </w:r>
            <w:r>
              <w:rPr>
                <w:rStyle w:val="127"/>
                <w:kern w:val="0"/>
                <w:sz w:val="18"/>
                <w:szCs w:val="18"/>
                <w:lang w:bidi="ar"/>
              </w:rPr>
              <w:t>★4、支持通过VXLAN技术实现不同交换机的二层或三层互通功能；支持通过EVPN技术实现不同交换机的二三层互通功能</w:t>
            </w:r>
            <w:r>
              <w:rPr>
                <w:rStyle w:val="127"/>
                <w:b/>
                <w:bCs/>
                <w:kern w:val="0"/>
                <w:sz w:val="18"/>
                <w:szCs w:val="18"/>
                <w:lang w:bidi="ar"/>
              </w:rPr>
              <w:t>(响应文件中提供加盖生产厂家公章或项目授权章的第三方测试机构出具的检测报告)。</w:t>
            </w:r>
            <w:r>
              <w:rPr>
                <w:rStyle w:val="127"/>
                <w:kern w:val="0"/>
                <w:sz w:val="18"/>
                <w:szCs w:val="18"/>
                <w:lang w:bidi="ar"/>
              </w:rPr>
              <w:br w:type="textWrapping"/>
            </w:r>
            <w:r>
              <w:rPr>
                <w:rStyle w:val="127"/>
                <w:kern w:val="0"/>
                <w:sz w:val="18"/>
                <w:szCs w:val="18"/>
                <w:lang w:bidi="ar"/>
              </w:rPr>
              <w:t>5、支持本地负载分担功能、单点管理功能；支持链路聚合功能及聚合零丢包功能；支持BFD for VRRP功能、RRPP功能；支持IPv4 IGMP-Snooping功能、IPv6 MLD-Snooping功能。</w:t>
            </w:r>
            <w:r>
              <w:rPr>
                <w:rStyle w:val="127"/>
                <w:kern w:val="0"/>
                <w:sz w:val="18"/>
                <w:szCs w:val="18"/>
                <w:lang w:bidi="ar"/>
              </w:rPr>
              <w:br w:type="textWrapping"/>
            </w:r>
            <w:r>
              <w:rPr>
                <w:rStyle w:val="127"/>
                <w:kern w:val="0"/>
                <w:sz w:val="18"/>
                <w:szCs w:val="18"/>
                <w:lang w:bidi="ar"/>
              </w:rPr>
              <w:t>6、支持STP、RSTP、MSTP、ERPS功能；支持IPv4、IPv6组播功能；支持OSPF FRR功能；支持802.1X、Portal、Triple认证功能；支持DHCP Snooping，支持NQA功能。</w:t>
            </w:r>
            <w:r>
              <w:rPr>
                <w:rStyle w:val="127"/>
                <w:kern w:val="0"/>
                <w:sz w:val="18"/>
                <w:szCs w:val="18"/>
                <w:lang w:bidi="ar"/>
              </w:rPr>
              <w:br w:type="textWrapping"/>
            </w:r>
            <w:r>
              <w:rPr>
                <w:rStyle w:val="127"/>
                <w:kern w:val="0"/>
                <w:sz w:val="18"/>
                <w:szCs w:val="18"/>
                <w:lang w:bidi="ar"/>
              </w:rPr>
              <w:t>★7、支持安全插卡功能，通过设备的测试流且可以引向安全插卡，经过安全插卡的安全策略过滤后继续转发</w:t>
            </w:r>
            <w:r>
              <w:rPr>
                <w:rStyle w:val="127"/>
                <w:b/>
                <w:bCs/>
                <w:kern w:val="0"/>
                <w:sz w:val="18"/>
                <w:szCs w:val="18"/>
                <w:lang w:bidi="ar"/>
              </w:rPr>
              <w:t>(响应文件中提供加盖生产厂家公章或项目授权章的第三方测试机构出具的检测报告)。</w:t>
            </w:r>
            <w:r>
              <w:rPr>
                <w:rStyle w:val="127"/>
                <w:kern w:val="0"/>
                <w:sz w:val="18"/>
                <w:szCs w:val="18"/>
                <w:lang w:bidi="ar"/>
              </w:rPr>
              <w:br w:type="textWrapping"/>
            </w:r>
            <w:r>
              <w:rPr>
                <w:rStyle w:val="127"/>
                <w:rFonts w:hint="eastAsia"/>
                <w:kern w:val="0"/>
                <w:sz w:val="18"/>
                <w:szCs w:val="18"/>
                <w:lang w:val="en-US" w:bidi="ar"/>
              </w:rPr>
              <w:t>8</w:t>
            </w:r>
            <w:r>
              <w:rPr>
                <w:rStyle w:val="127"/>
                <w:kern w:val="0"/>
                <w:sz w:val="18"/>
                <w:szCs w:val="18"/>
                <w:lang w:bidi="ar"/>
              </w:rPr>
              <w:t>、支持BFD for IPv4路由功能、BFD for  IPv6路由功能、策略路由功能、等价路由功能。</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1/台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楼层交换机</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1、交换容量≥336Gbps，包转发率≥96Mpps。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2、千兆电口≥24个，千兆SFP口≥4个。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3、支持IRF2(最大9组)；支持LLDP；静态MAC配置；支持MAC地址学习数目限制；支持端口镜像和流镜像功能；支持端口聚合；支持端口隔离；支持STP/RSTP/MSTP。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4、支持静态路由；支持IPv4和IPv6双协议栈；支持ND、Pingv6、Telnetv6、FTPv6、TFTPv6、ICMPv6。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5、支持BFD；支持DLDP；支持Track；支持安全网管SNMPv3。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6、支持IP＋MAC+PORT+VLAN绑定功能；支持WEB认证；支持IEEE 802.1x；支持SAVI 源地址有效性验证；支持Radius、支持HWTACACS。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7、支持共模防护6KV，防雷4级。</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8/台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办公室POE交换机</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1、交换容量≥336Gbps，包转发率≥96Mpps。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2、千兆电口≥24个，千兆SFP口≥4个。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3、整机最大供电功率370W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4、支持IRF2(最大9组)；支持LLDP；静态MAC配置；支持MAC地址学习数目限制；支持端口镜像和流镜像功能；支持端口聚合；支持端口隔离；支持STP/RSTP/MSTP。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5、支持静态路由；支持IPv4和IPv6双协议栈；支持ND、Pingv6、Telnetv6、FTPv6、TFTPv6、ICMPv6。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6、支持BFD；支持DLDP；支持Track；支持安全网管SNMPv3。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7、支持IP＋MAC+PORT+VLAN绑定功能；支持WEB认证；支持IEEE 802.1x；支持SAVI 源地址有效性验证；支持Radius、支持HWTACACS。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8、支持共模防护6KV，防雷4级。</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8/台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无线控制器</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Style w:val="127"/>
                <w:kern w:val="0"/>
                <w:sz w:val="18"/>
                <w:szCs w:val="18"/>
                <w:lang w:bidi="ar"/>
              </w:rPr>
              <w:t>1.≥WAN口：2个10/100/1000Base-T以太网端口,≥LAN口：3个10/100/1000Base-T以太网端口.</w:t>
            </w:r>
            <w:r>
              <w:rPr>
                <w:rStyle w:val="127"/>
                <w:kern w:val="0"/>
                <w:sz w:val="18"/>
                <w:szCs w:val="18"/>
                <w:lang w:bidi="ar"/>
              </w:rPr>
              <w:br w:type="textWrapping"/>
            </w:r>
            <w:r>
              <w:rPr>
                <w:rStyle w:val="127"/>
                <w:kern w:val="0"/>
                <w:sz w:val="18"/>
                <w:szCs w:val="18"/>
                <w:lang w:bidi="ar"/>
              </w:rPr>
              <w:t>2.支持ESP协议，支持通过IKE自动建立安全联盟，支持MD5及SHA-1验证算法。</w:t>
            </w:r>
            <w:r>
              <w:rPr>
                <w:rStyle w:val="127"/>
                <w:kern w:val="0"/>
                <w:sz w:val="18"/>
                <w:szCs w:val="18"/>
                <w:lang w:bidi="ar"/>
              </w:rPr>
              <w:br w:type="textWrapping"/>
            </w:r>
            <w:r>
              <w:rPr>
                <w:rStyle w:val="127"/>
                <w:kern w:val="0"/>
                <w:sz w:val="18"/>
                <w:szCs w:val="18"/>
                <w:lang w:bidi="ar"/>
              </w:rPr>
              <w:t>3.支持LAN/WAN切换，最多支持4个WAN口，支持多WAN口负载均衡。</w:t>
            </w:r>
            <w:r>
              <w:rPr>
                <w:rStyle w:val="127"/>
                <w:kern w:val="0"/>
                <w:sz w:val="18"/>
                <w:szCs w:val="18"/>
                <w:lang w:bidi="ar"/>
              </w:rPr>
              <w:br w:type="textWrapping"/>
            </w:r>
            <w:r>
              <w:rPr>
                <w:rStyle w:val="127"/>
                <w:kern w:val="0"/>
                <w:sz w:val="18"/>
                <w:szCs w:val="18"/>
                <w:lang w:bidi="ar"/>
              </w:rPr>
              <w:t>4.基于物理端口的流量统计，基于IP的流量统计，支持自动排序功能。</w:t>
            </w:r>
            <w:r>
              <w:rPr>
                <w:rStyle w:val="127"/>
                <w:kern w:val="0"/>
                <w:sz w:val="18"/>
                <w:szCs w:val="18"/>
                <w:lang w:bidi="ar"/>
              </w:rPr>
              <w:br w:type="textWrapping"/>
            </w:r>
            <w:r>
              <w:rPr>
                <w:rStyle w:val="127"/>
                <w:kern w:val="0"/>
                <w:sz w:val="18"/>
                <w:szCs w:val="18"/>
                <w:lang w:bidi="ar"/>
              </w:rPr>
              <w:t>5.支持AP自动发现，支持对AP发射功率调整，支持对AP信道调整，支持SSID绑定不同VLAN。</w:t>
            </w:r>
            <w:r>
              <w:rPr>
                <w:rStyle w:val="127"/>
                <w:kern w:val="0"/>
                <w:sz w:val="18"/>
                <w:szCs w:val="18"/>
                <w:lang w:bidi="ar"/>
              </w:rPr>
              <w:br w:type="textWrapping"/>
            </w:r>
            <w:r>
              <w:rPr>
                <w:rStyle w:val="127"/>
                <w:kern w:val="0"/>
                <w:sz w:val="18"/>
                <w:szCs w:val="18"/>
                <w:lang w:bidi="ar"/>
              </w:rPr>
              <w:t>6.基于Web的用户管理接口（本地管理），通过HTTP 升级系统软件，静态路由（50条）策略路由（100条）。</w:t>
            </w:r>
            <w:r>
              <w:rPr>
                <w:rStyle w:val="127"/>
                <w:kern w:val="0"/>
                <w:sz w:val="18"/>
                <w:szCs w:val="18"/>
                <w:lang w:bidi="ar"/>
              </w:rPr>
              <w:br w:type="textWrapping"/>
            </w:r>
            <w:r>
              <w:rPr>
                <w:rStyle w:val="127"/>
                <w:kern w:val="0"/>
                <w:sz w:val="18"/>
                <w:szCs w:val="18"/>
                <w:lang w:bidi="ar"/>
              </w:rPr>
              <w:t>7.支持蓝牙功能，终端设备通过蓝牙实现近端运维，支持IPSec VPN，通过WEB配置实现端到端安全的VPN连接，支持多种加密算法。</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1/台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吸顶AP</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Style w:val="127"/>
                <w:kern w:val="0"/>
                <w:sz w:val="18"/>
                <w:szCs w:val="18"/>
                <w:lang w:bidi="ar"/>
              </w:rPr>
              <w:t>1.1个10/100/1000Base-T以太网端口，无线速率3000 Mbps（2.4G：2*2MIMO，5G：2*2MIMO），WiFi6速率。</w:t>
            </w:r>
            <w:r>
              <w:rPr>
                <w:rStyle w:val="127"/>
                <w:kern w:val="0"/>
                <w:sz w:val="18"/>
                <w:szCs w:val="18"/>
                <w:lang w:bidi="ar"/>
              </w:rPr>
              <w:br w:type="textWrapping"/>
            </w:r>
            <w:r>
              <w:rPr>
                <w:rStyle w:val="127"/>
                <w:kern w:val="0"/>
                <w:sz w:val="18"/>
                <w:szCs w:val="18"/>
                <w:lang w:bidi="ar"/>
              </w:rPr>
              <w:t>2.支持8个 SSID配置，支持AP自动发现，支持对AP信道调整。</w:t>
            </w:r>
            <w:r>
              <w:rPr>
                <w:rStyle w:val="127"/>
                <w:kern w:val="0"/>
                <w:sz w:val="18"/>
                <w:szCs w:val="18"/>
                <w:lang w:bidi="ar"/>
              </w:rPr>
              <w:br w:type="textWrapping"/>
            </w:r>
            <w:r>
              <w:rPr>
                <w:rStyle w:val="127"/>
                <w:kern w:val="0"/>
                <w:sz w:val="18"/>
                <w:szCs w:val="18"/>
                <w:lang w:bidi="ar"/>
              </w:rPr>
              <w:t>3.支持AP 配置模板管理，支持无线客户端列表，支持无线漫游，支持MU-MIMO技术，改善多用户使用过程中同信道干扰问题，接入终端更多。</w:t>
            </w:r>
            <w:r>
              <w:rPr>
                <w:rStyle w:val="127"/>
                <w:kern w:val="0"/>
                <w:sz w:val="18"/>
                <w:szCs w:val="18"/>
                <w:lang w:bidi="ar"/>
              </w:rPr>
              <w:br w:type="textWrapping"/>
            </w:r>
            <w:r>
              <w:rPr>
                <w:rStyle w:val="127"/>
                <w:kern w:val="0"/>
                <w:sz w:val="18"/>
                <w:szCs w:val="18"/>
                <w:lang w:bidi="ar"/>
              </w:rPr>
              <w:t>4.支持基于WEB的用户管理接口，支持基于CAPWAP协议的集中控制系统，支持OFDMA技术。</w:t>
            </w:r>
            <w:r>
              <w:rPr>
                <w:rStyle w:val="127"/>
                <w:kern w:val="0"/>
                <w:sz w:val="18"/>
                <w:szCs w:val="18"/>
                <w:lang w:bidi="ar"/>
              </w:rPr>
              <w:br w:type="textWrapping"/>
            </w:r>
            <w:r>
              <w:rPr>
                <w:rStyle w:val="127"/>
                <w:kern w:val="0"/>
                <w:sz w:val="18"/>
                <w:szCs w:val="18"/>
                <w:lang w:bidi="ar"/>
              </w:rPr>
              <w:t>5.支持通过WEB页面本地升级，通过云服务器一键升级。</w:t>
            </w:r>
            <w:r>
              <w:rPr>
                <w:rStyle w:val="127"/>
                <w:kern w:val="0"/>
                <w:sz w:val="18"/>
                <w:szCs w:val="18"/>
                <w:lang w:bidi="ar"/>
              </w:rPr>
              <w:br w:type="textWrapping"/>
            </w:r>
            <w:r>
              <w:rPr>
                <w:rStyle w:val="127"/>
                <w:kern w:val="0"/>
                <w:sz w:val="18"/>
                <w:szCs w:val="18"/>
                <w:lang w:bidi="ar"/>
              </w:rPr>
              <w:t>6.支持对AP地址分配，支持对AP软件升级，支持对AP配置同步，支持对AP断线检测</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eastAsia" w:ascii="宋体" w:hAnsi="宋体"/>
                <w:kern w:val="0"/>
                <w:sz w:val="21"/>
                <w:szCs w:val="21"/>
                <w:lang w:val="en-US" w:eastAsia="zh-CN"/>
              </w:rPr>
            </w:pPr>
          </w:p>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21/台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面板AP</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 支持标准X86面板安装；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 正面端口：≥1千兆电+1电话口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 支持802.11 b/g/n/a/ac，双频3流；无线速率≥1500Mbps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 内置3根不可拆卸2dbi增益全向天线；发射功率≥15dBm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 支持≥2个SSID数：支持HT20/HT40模式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 支持自动信道选择或手动信道选择、支持客户端隔离、SSID广播开启或关闭、多种加密方式(不加密、WPA、WPA2)、无线MAC接入控制（白名单、黑名单）、设置无线发射功率、无线接入客户列表显示； </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64/台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千兆光模块</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千兆光模块</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52/块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智能机柜系统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1、综合服务器机柜采用SPCC优质钢板材生产，表面静电喷涂高温烘烤工艺，优质耐用，规格：600*1200*2000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2、配置1：后门平板实门，前门采用优质玻璃，密码锁，配备高强度暗装铰链，柜架采用SPCC多折焊接工艺。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3、配置4根2.0/EAI标准立柱（每U44.45mm），整柜配置顶板及底板均有进线孔预留。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4、含一套侧板，含脚轮支撑脚，标配并柜件及30套优质M6浮动螺母及螺丝。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5、柜体静态承重1500KG,动态承重力800KG, 柜架抗震裂度达至7-8级。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6、颜色：常规黑色，其它颜色需定制，防护等级：IP2X。</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3/台</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智能配电系统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1、[主路输入] 单路市电输入，配置63A/2P*1微型断路器[防雷要求] C级防雷设计，lmax=40kA In=20kA ，配置32A/2P*1 微型断路器用于防雷器分断。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2、[市电输出] UPS输入、UPS输出开关配置63A/1P*2微型断路器，UPS维护旁路开关带锁配置63A/2P*1微型断路器:空调输入开关配置32A/1P*1微型断路器，照明开关32A/1P*1微型断路器。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3、备用开关32A/1P*1; B路IT机柜及备用开关配置 32A/1P*4微型断路器。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4、[UPS输出]A路IT机柜开关配置32A/1P*4微型断路器:监控32A/1P*1微型断路器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5、配置电源输入指示灯 6U高度，满足标准19英寸安装</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lang w:val="en-US" w:eastAsia="zh-CN"/>
              </w:rPr>
            </w:pPr>
          </w:p>
          <w:p>
            <w:pPr>
              <w:widowControl/>
              <w:jc w:val="both"/>
              <w:rPr>
                <w:rFonts w:hint="default" w:ascii="宋体" w:hAnsi="宋体" w:eastAsia="宋体"/>
                <w:kern w:val="0"/>
                <w:sz w:val="21"/>
                <w:szCs w:val="21"/>
                <w:lang w:val="en-US" w:eastAsia="zh-CN"/>
              </w:rPr>
            </w:pPr>
            <w:r>
              <w:rPr>
                <w:rFonts w:hint="eastAsia" w:ascii="宋体" w:hAnsi="宋体"/>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动环监控</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机房环境监控系统可支持TCP/IP及SNMP协议进行数据交互，为日后机房联网预留接口，能够实现集中或分散监控。支持C/S+B/S两种方式，管理人员可通过内网、外网进行监控或管理；使用IE浏览时应无需安装任何软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2、机房环境监控系统可完全兼容机房内精密空调、温湿度、水泄漏、消防等设备的监控。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3、软件界面采用全中文界面，3D视觉电子地图，统一界面，不得外挂附加于系统的单一管理窗口和报表窗口。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4、机房环境监控系统支持多种报警方式：包括电话、短信、现场语音报警方式；需支持E-MAIL报警、声光报警、报警推送等报警方式。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机房环境监控系统具有强大的报警级别管理功能，可区分多级报警，当系统出现报警时，可根据不同监控对象报警事件而划分不同的报警方式，包括划分报警等级、时间优先、次数频率等，在监控中心可以以不同颜色和声音对报警事件进行区分，完善的报警级别将会使系统具有更高的可靠性。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机房环境监控系统可根据不同的操作者划分了多级操作权限，最低级操作权限只能查看监控数据；具有控制权限的操作者可以进行对监控对象发送控制指令，例如：开、关空调；具有系统修改权限的操作者可以对系统所有控件进行属性、参数的修改；最高级的操作权限可以修改系统的所有参数，包括系统的运行参数；系统具有非常完善的权限分级管理功能，亦可根据用户实际需求，可对操作者划分不同的操作权限，不同的用户只能在自己的操作权限内进行系统的操作。也可为不同用户指定可访问的监控数据界面及相关操作。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7、机房环境监控系统系统需支持RS232、RS485、RS422、TCP/IP、SNMP、OPC、DDE、MODBUS、ASCII、LONKWORKS、BACNET等各种标准化协议和接口，以用于快速方便的将各监控对象集成到系统中。</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精密空调</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机架式空调（制冷加热）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机柜内安装精密空调，高度6U，制冷量7KW，采用变频压缩机和EC风机，带冷凝水排水泵，不带加湿；送回风方式：前送后回；800*442*264（6U），1KW加热，7KW空调外机,无储液器和油分</w:t>
            </w:r>
            <w:r>
              <w:rPr>
                <w:rFonts w:hint="eastAsia" w:ascii="宋体" w:hAnsi="宋体" w:cs="宋体"/>
                <w:i w:val="0"/>
                <w:iCs w:val="0"/>
                <w:color w:val="000000"/>
                <w:kern w:val="0"/>
                <w:sz w:val="18"/>
                <w:szCs w:val="18"/>
                <w:u w:val="none"/>
                <w:lang w:val="en-US" w:eastAsia="zh-CN" w:bidi="ar"/>
              </w:rPr>
              <w:t>。</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UPS系统</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1、 主机功率为20KVA/18KW，三入单出/单入单出兼容，输出功率因素0.9。</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 主机可承受90V~300V（单相相电压）/150V~500V(三相线电压）极宽输入电压，及40~70Hz输入频率范围。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 整流器采用IGBT，具有PFC功能，输入功率因数&gt;0.99（100%非线性负载），输入谐波电流＜6%（100%非线性负载）。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 输出额定电压（Vac）：208/220/230/240VAC，50/60Hz，广泛适应各种电压频率制式设备；输出电压波形失真度：&lt;2%(线性负载)，&lt;6%(非线性负载)。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 切换时间：市电模式和电池模式相互转换：0ms，逆变模式和旁路模式相互转换时间：≤1ms，逆变模式和ECO模式相互转换时间：0ms。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 整机效率：≥94%（市电模式）。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 过载能力：105%~125%额定负载10分钟， 126%~150%额定负载30秒，&gt;150%额定负载0.5秒。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 通信功能：标配RS232、以太网卡，选配USB、MODBUS；并可选配SNMP卡，支持远程智能监控，提供手机APP、网页、PC监控台多途径，实现一对一/一对多/多对一全面监控。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 蓄电池标称电压：192VDC/240VDC（电池16/20节）可调节。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 包括以下保护和报警功能：输入交流电源断电报警，主电路过流保护，浪涌电流抑止保护，限流、过载的快速保护，过压、欠压保护，熔丝熔断显示和报警，故障报警和信号指示等。</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kern w:val="0"/>
                <w:sz w:val="21"/>
                <w:szCs w:val="21"/>
                <w:lang w:val="en-US" w:eastAsia="zh-CN"/>
              </w:rPr>
            </w:pPr>
          </w:p>
          <w:p>
            <w:pPr>
              <w:widowControl/>
              <w:jc w:val="center"/>
              <w:rPr>
                <w:rFonts w:hint="eastAsia" w:ascii="宋体" w:hAnsi="宋体"/>
                <w:kern w:val="0"/>
                <w:sz w:val="21"/>
                <w:szCs w:val="21"/>
              </w:rPr>
            </w:pPr>
            <w:r>
              <w:rPr>
                <w:rFonts w:hint="eastAsia" w:ascii="宋体" w:hAnsi="宋体" w:eastAsia="宋体" w:cs="Times New Roman"/>
                <w:kern w:val="0"/>
                <w:sz w:val="21"/>
                <w:szCs w:val="21"/>
                <w:lang w:val="en-US" w:eastAsia="zh-CN"/>
              </w:rPr>
              <w:t>1/套</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二级电源防雷器</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4P结构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最大持续工作电压Uc：385VAC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标称放电电流In(8/20μs)：30kA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最大放电电流Imax(8/20μs):60kA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保护水平Up:2.0kV</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三级电源防雷器</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2P结构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最大持续工作电压Uc：385VAC (如需其他电压等级，可联系安迅公司咨询)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标称放电电流In(8/20μs)：20kA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最大放电电流Imax(8/20μs):40kA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保护水平Up:1.7kV</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安装调试</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提供设备的安装、上架、调试以及所需安装接地线、防静电地板、消防设施、光纤、网线等辅材安装。</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1/项</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其他未列明行业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1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集成服务</w:t>
            </w:r>
          </w:p>
        </w:tc>
        <w:tc>
          <w:tcPr>
            <w:tcW w:w="52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提供软硬件设备的系统调试、上线等集成服务，保证项目顺利按期完成，交付运行。</w:t>
            </w:r>
          </w:p>
        </w:tc>
        <w:tc>
          <w:tcPr>
            <w:tcW w:w="8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1/项</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eastAsia="zh-CN"/>
              </w:rPr>
              <w:t>软件和信息技术服务业</w:t>
            </w:r>
          </w:p>
        </w:tc>
      </w:tr>
    </w:tbl>
    <w:p>
      <w:pPr>
        <w:spacing w:line="360" w:lineRule="auto"/>
        <w:rPr>
          <w:rFonts w:hint="eastAsia" w:ascii="宋体" w:hAnsi="宋体" w:cs="宋体"/>
          <w:sz w:val="24"/>
          <w:szCs w:val="24"/>
        </w:rPr>
      </w:pPr>
    </w:p>
    <w:bookmarkEnd w:id="78"/>
    <w:bookmarkEnd w:id="79"/>
    <w:bookmarkEnd w:id="80"/>
    <w:bookmarkEnd w:id="81"/>
    <w:bookmarkEnd w:id="82"/>
    <w:bookmarkEnd w:id="83"/>
    <w:bookmarkEnd w:id="84"/>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5"/>
        <w:rPr>
          <w:rFonts w:hint="eastAsia"/>
        </w:rPr>
      </w:pPr>
    </w:p>
    <w:p>
      <w:pPr>
        <w:pStyle w:val="36"/>
        <w:rPr>
          <w:rFonts w:hint="eastAsia"/>
        </w:rPr>
      </w:pPr>
    </w:p>
    <w:p>
      <w:pPr>
        <w:rPr>
          <w:rFonts w:hint="eastAsia"/>
        </w:rPr>
      </w:pPr>
    </w:p>
    <w:p>
      <w:pPr>
        <w:pStyle w:val="35"/>
        <w:rPr>
          <w:rFonts w:hint="eastAsia"/>
        </w:rPr>
      </w:pPr>
    </w:p>
    <w:p>
      <w:pPr>
        <w:pStyle w:val="36"/>
        <w:rPr>
          <w:rFonts w:hint="eastAsia"/>
        </w:rPr>
      </w:pPr>
    </w:p>
    <w:p>
      <w:pPr>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4"/>
        <w:spacing w:before="0" w:after="0" w:line="360" w:lineRule="auto"/>
        <w:ind w:firstLine="2891" w:firstLineChars="900"/>
        <w:jc w:val="both"/>
        <w:rPr>
          <w:rFonts w:hint="eastAsia" w:ascii="宋体" w:hAnsi="宋体" w:cs="宋体"/>
        </w:rPr>
      </w:pPr>
    </w:p>
    <w:p>
      <w:pPr>
        <w:pStyle w:val="34"/>
        <w:spacing w:before="0" w:after="0" w:line="360" w:lineRule="auto"/>
        <w:ind w:firstLine="2891" w:firstLineChars="900"/>
        <w:jc w:val="both"/>
        <w:rPr>
          <w:rFonts w:hint="eastAsia" w:ascii="宋体" w:hAnsi="宋体" w:cs="宋体"/>
        </w:rPr>
      </w:pPr>
    </w:p>
    <w:p>
      <w:pPr>
        <w:pStyle w:val="34"/>
        <w:spacing w:before="0" w:after="0" w:line="360" w:lineRule="auto"/>
        <w:ind w:firstLine="2891" w:firstLineChars="900"/>
        <w:jc w:val="both"/>
        <w:rPr>
          <w:rFonts w:hint="eastAsia" w:ascii="宋体" w:hAnsi="宋体" w:cs="宋体"/>
        </w:rPr>
      </w:pPr>
    </w:p>
    <w:p>
      <w:pPr>
        <w:pStyle w:val="34"/>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36"/>
        <w:rPr>
          <w:rFonts w:hint="eastAsia" w:ascii="宋体" w:hAnsi="宋体" w:cs="宋体"/>
        </w:rPr>
      </w:pPr>
    </w:p>
    <w:p>
      <w:pPr>
        <w:rPr>
          <w:rFonts w:hint="eastAsia"/>
        </w:rPr>
      </w:pPr>
    </w:p>
    <w:p>
      <w:pPr>
        <w:pStyle w:val="34"/>
        <w:spacing w:before="0" w:after="0" w:line="360" w:lineRule="auto"/>
        <w:ind w:firstLine="2891" w:firstLineChars="900"/>
        <w:jc w:val="both"/>
        <w:rPr>
          <w:rFonts w:hint="eastAsia" w:ascii="宋体" w:hAnsi="宋体" w:cs="宋体"/>
        </w:rPr>
      </w:pPr>
    </w:p>
    <w:p>
      <w:pPr>
        <w:pStyle w:val="34"/>
        <w:spacing w:before="0" w:after="0" w:line="360" w:lineRule="auto"/>
        <w:ind w:firstLine="2891" w:firstLineChars="900"/>
        <w:jc w:val="both"/>
        <w:rPr>
          <w:rFonts w:hint="eastAsia" w:ascii="宋体" w:hAnsi="宋体" w:cs="宋体"/>
        </w:rPr>
      </w:pPr>
      <w:bookmarkStart w:id="85" w:name="_Toc2238"/>
      <w:r>
        <w:rPr>
          <w:rFonts w:hint="eastAsia" w:ascii="宋体" w:hAnsi="宋体" w:cs="宋体"/>
        </w:rPr>
        <w:t>第六章 响应文件格式</w:t>
      </w:r>
      <w:bookmarkEnd w:id="85"/>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36"/>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6"/>
        <w:rPr>
          <w:rFonts w:hint="eastAsia"/>
        </w:rPr>
      </w:pPr>
    </w:p>
    <w:p>
      <w:pPr>
        <w:pStyle w:val="36"/>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6"/>
        <w:rPr>
          <w:rFonts w:hint="eastAsia"/>
        </w:rPr>
      </w:pPr>
    </w:p>
    <w:p>
      <w:pPr>
        <w:spacing w:line="460" w:lineRule="exact"/>
        <w:rPr>
          <w:rFonts w:hint="eastAsia" w:ascii="宋体" w:hAnsi="宋体" w:cs="宋体"/>
          <w:sz w:val="32"/>
          <w:szCs w:val="32"/>
        </w:rPr>
      </w:pPr>
    </w:p>
    <w:p>
      <w:pPr>
        <w:pStyle w:val="36"/>
        <w:rPr>
          <w:rFonts w:hint="eastAsia"/>
        </w:rPr>
      </w:pPr>
      <w:bookmarkStart w:id="86" w:name="_Toc530584396"/>
      <w:bookmarkStart w:id="87" w:name="_Toc23451"/>
      <w:bookmarkStart w:id="88" w:name="_Toc22461"/>
      <w:bookmarkStart w:id="89" w:name="_Toc12304"/>
      <w:bookmarkStart w:id="90" w:name="_Toc374512423"/>
      <w:bookmarkStart w:id="91" w:name="_Toc487805929"/>
      <w:bookmarkStart w:id="92" w:name="_Toc26310"/>
      <w:bookmarkStart w:id="93" w:name="_Toc408816353"/>
      <w:bookmarkStart w:id="94" w:name="_Toc3023"/>
      <w:bookmarkStart w:id="95" w:name="_Toc490161460"/>
      <w:bookmarkStart w:id="96" w:name="_Toc373230035"/>
      <w:bookmarkStart w:id="97" w:name="_Toc477423253"/>
    </w:p>
    <w:p>
      <w:pPr>
        <w:pStyle w:val="3"/>
        <w:numPr>
          <w:ilvl w:val="0"/>
          <w:numId w:val="14"/>
        </w:numPr>
        <w:spacing w:before="0" w:after="0" w:line="360" w:lineRule="auto"/>
        <w:rPr>
          <w:rFonts w:hint="eastAsia" w:ascii="宋体" w:hAnsi="宋体" w:cs="宋体"/>
          <w:sz w:val="32"/>
          <w:szCs w:val="32"/>
        </w:rPr>
      </w:pPr>
      <w:bookmarkStart w:id="98" w:name="_Toc513"/>
      <w:r>
        <w:rPr>
          <w:rFonts w:hint="eastAsia" w:ascii="宋体" w:hAnsi="宋体" w:cs="宋体"/>
          <w:sz w:val="32"/>
          <w:szCs w:val="32"/>
        </w:rPr>
        <w:t>磋商承诺函</w:t>
      </w:r>
      <w:bookmarkEnd w:id="86"/>
      <w:bookmarkEnd w:id="87"/>
      <w:bookmarkEnd w:id="88"/>
      <w:bookmarkEnd w:id="89"/>
      <w:bookmarkEnd w:id="98"/>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2"/>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36"/>
        <w:rPr>
          <w:rFonts w:hint="eastAsia" w:ascii="宋体" w:hAnsi="宋体" w:cs="宋体"/>
          <w:szCs w:val="21"/>
        </w:rPr>
      </w:pPr>
    </w:p>
    <w:p>
      <w:pPr>
        <w:rPr>
          <w:rFonts w:hint="eastAsia" w:ascii="宋体" w:hAnsi="宋体" w:cs="宋体"/>
          <w:szCs w:val="21"/>
        </w:rPr>
      </w:pPr>
    </w:p>
    <w:p>
      <w:pPr>
        <w:pStyle w:val="36"/>
        <w:rPr>
          <w:rFonts w:hint="eastAsia" w:ascii="宋体" w:hAnsi="宋体" w:cs="宋体"/>
          <w:szCs w:val="21"/>
        </w:rPr>
      </w:pPr>
    </w:p>
    <w:p>
      <w:pPr>
        <w:rPr>
          <w:rFonts w:hint="eastAsia"/>
        </w:rPr>
      </w:pPr>
    </w:p>
    <w:p>
      <w:pPr>
        <w:pStyle w:val="3"/>
        <w:numPr>
          <w:ilvl w:val="0"/>
          <w:numId w:val="14"/>
        </w:numPr>
        <w:spacing w:before="0" w:after="0" w:line="360" w:lineRule="auto"/>
        <w:rPr>
          <w:rFonts w:hint="eastAsia" w:ascii="宋体" w:hAnsi="宋体" w:cs="宋体"/>
          <w:sz w:val="32"/>
          <w:szCs w:val="32"/>
        </w:rPr>
      </w:pPr>
      <w:bookmarkStart w:id="99" w:name="_Toc32512"/>
      <w:bookmarkStart w:id="100" w:name="_Toc13659"/>
      <w:bookmarkStart w:id="101" w:name="_Toc23986"/>
      <w:bookmarkStart w:id="102" w:name="_Toc438"/>
      <w:r>
        <w:rPr>
          <w:rFonts w:hint="eastAsia" w:ascii="宋体" w:hAnsi="宋体" w:cs="宋体"/>
          <w:sz w:val="32"/>
          <w:szCs w:val="32"/>
        </w:rPr>
        <w:t>承诺书</w:t>
      </w:r>
      <w:bookmarkEnd w:id="99"/>
      <w:bookmarkEnd w:id="100"/>
      <w:bookmarkEnd w:id="101"/>
      <w:bookmarkEnd w:id="102"/>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1"/>
        <w:rPr>
          <w:rFonts w:hint="eastAsia"/>
        </w:rPr>
      </w:pPr>
    </w:p>
    <w:p>
      <w:pPr>
        <w:pStyle w:val="51"/>
        <w:rPr>
          <w:rFonts w:hint="eastAsia"/>
        </w:rPr>
      </w:pPr>
    </w:p>
    <w:p>
      <w:pPr>
        <w:pStyle w:val="51"/>
        <w:rPr>
          <w:rFonts w:hint="eastAsia"/>
        </w:rPr>
      </w:pPr>
    </w:p>
    <w:p>
      <w:pPr>
        <w:pStyle w:val="51"/>
        <w:rPr>
          <w:rFonts w:hint="eastAsia"/>
        </w:rPr>
      </w:pPr>
    </w:p>
    <w:p>
      <w:pPr>
        <w:pStyle w:val="51"/>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90"/>
    <w:bookmarkEnd w:id="91"/>
    <w:bookmarkEnd w:id="92"/>
    <w:bookmarkEnd w:id="93"/>
    <w:bookmarkEnd w:id="94"/>
    <w:bookmarkEnd w:id="95"/>
    <w:bookmarkEnd w:id="96"/>
    <w:bookmarkEnd w:id="97"/>
    <w:p>
      <w:pPr>
        <w:pStyle w:val="3"/>
        <w:numPr>
          <w:ilvl w:val="0"/>
          <w:numId w:val="14"/>
        </w:numPr>
        <w:spacing w:before="0" w:after="0" w:line="360" w:lineRule="auto"/>
        <w:rPr>
          <w:rFonts w:hint="eastAsia" w:ascii="宋体" w:hAnsi="宋体" w:cs="宋体"/>
          <w:sz w:val="32"/>
          <w:szCs w:val="32"/>
        </w:rPr>
      </w:pPr>
      <w:bookmarkStart w:id="103" w:name="_Toc30947"/>
      <w:bookmarkStart w:id="104" w:name="_Toc6638"/>
      <w:bookmarkStart w:id="105" w:name="_Toc484"/>
      <w:bookmarkStart w:id="106" w:name="_Toc29369"/>
      <w:bookmarkStart w:id="107" w:name="_Toc477423254"/>
      <w:bookmarkStart w:id="108" w:name="_Toc475955188"/>
      <w:bookmarkStart w:id="109" w:name="_Toc27591"/>
      <w:bookmarkStart w:id="110" w:name="_Toc364490445"/>
      <w:bookmarkStart w:id="111" w:name="_Toc476045982"/>
      <w:bookmarkStart w:id="112" w:name="_Toc408816355"/>
      <w:bookmarkStart w:id="113" w:name="_Toc453513319"/>
      <w:bookmarkStart w:id="114" w:name="_Toc374512425"/>
      <w:bookmarkStart w:id="115" w:name="_Toc373230037"/>
      <w:r>
        <w:rPr>
          <w:rFonts w:hint="eastAsia" w:ascii="宋体" w:hAnsi="宋体" w:cs="宋体"/>
          <w:sz w:val="32"/>
          <w:szCs w:val="32"/>
        </w:rPr>
        <w:t>供应商基本情况表</w:t>
      </w:r>
      <w:bookmarkEnd w:id="103"/>
      <w:bookmarkEnd w:id="104"/>
      <w:bookmarkEnd w:id="105"/>
      <w:bookmarkEnd w:id="106"/>
    </w:p>
    <w:tbl>
      <w:tblPr>
        <w:tblStyle w:val="3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4" w:type="default"/>
          <w:pgSz w:w="11906" w:h="16838"/>
          <w:pgMar w:top="1134" w:right="1134" w:bottom="1134" w:left="1474" w:header="851" w:footer="510" w:gutter="0"/>
          <w:cols w:space="720" w:num="1"/>
          <w:docGrid w:type="lines" w:linePitch="312" w:charSpace="0"/>
        </w:sectPr>
      </w:pPr>
    </w:p>
    <w:p>
      <w:pPr>
        <w:pStyle w:val="3"/>
        <w:numPr>
          <w:ilvl w:val="0"/>
          <w:numId w:val="14"/>
        </w:numPr>
        <w:spacing w:before="0" w:after="0" w:line="360" w:lineRule="auto"/>
        <w:rPr>
          <w:rFonts w:hint="eastAsia" w:ascii="宋体" w:hAnsi="宋体" w:cs="宋体"/>
          <w:sz w:val="32"/>
          <w:szCs w:val="32"/>
        </w:rPr>
      </w:pPr>
      <w:bookmarkStart w:id="116" w:name="_Toc20085"/>
      <w:bookmarkStart w:id="117" w:name="_Toc31769"/>
      <w:bookmarkStart w:id="118" w:name="_Toc19916"/>
      <w:bookmarkStart w:id="119" w:name="_Toc530584397"/>
      <w:bookmarkStart w:id="120" w:name="_Toc20355"/>
      <w:r>
        <w:rPr>
          <w:rFonts w:hint="eastAsia" w:ascii="宋体" w:hAnsi="宋体" w:cs="宋体"/>
          <w:sz w:val="32"/>
          <w:szCs w:val="32"/>
        </w:rPr>
        <w:t>第一轮报价表</w:t>
      </w:r>
      <w:bookmarkEnd w:id="116"/>
      <w:bookmarkEnd w:id="117"/>
      <w:bookmarkEnd w:id="118"/>
      <w:bookmarkEnd w:id="119"/>
      <w:bookmarkEnd w:id="120"/>
    </w:p>
    <w:tbl>
      <w:tblPr>
        <w:tblStyle w:val="37"/>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3"/>
        <w:numPr>
          <w:ilvl w:val="0"/>
          <w:numId w:val="14"/>
        </w:numPr>
        <w:spacing w:before="0" w:after="0" w:line="360" w:lineRule="auto"/>
        <w:rPr>
          <w:rFonts w:hint="eastAsia" w:ascii="宋体" w:hAnsi="宋体" w:cs="宋体"/>
          <w:sz w:val="32"/>
          <w:szCs w:val="32"/>
        </w:rPr>
      </w:pPr>
      <w:bookmarkStart w:id="121" w:name="_Toc16334"/>
      <w:bookmarkStart w:id="122" w:name="_Toc23602"/>
      <w:bookmarkStart w:id="123" w:name="_Toc641"/>
      <w:bookmarkStart w:id="124" w:name="_Toc8227"/>
      <w:r>
        <w:rPr>
          <w:rFonts w:hint="eastAsia" w:ascii="宋体" w:hAnsi="宋体" w:cs="宋体"/>
          <w:sz w:val="32"/>
          <w:szCs w:val="32"/>
        </w:rPr>
        <w:t>报价明细表</w:t>
      </w:r>
      <w:bookmarkEnd w:id="121"/>
      <w:bookmarkEnd w:id="122"/>
      <w:bookmarkEnd w:id="123"/>
      <w:bookmarkEnd w:id="124"/>
    </w:p>
    <w:p>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27"/>
        <w:gridCol w:w="1040"/>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927" w:type="dxa"/>
            <w:noWrap w:val="0"/>
            <w:vAlign w:val="center"/>
          </w:tcPr>
          <w:p>
            <w:pPr>
              <w:spacing w:line="240" w:lineRule="atLeast"/>
              <w:jc w:val="center"/>
              <w:rPr>
                <w:rFonts w:hint="eastAsia" w:ascii="宋体" w:hAnsi="宋体" w:cs="宋体"/>
                <w:szCs w:val="21"/>
                <w:lang w:eastAsia="zh-CN"/>
              </w:rPr>
            </w:pPr>
            <w:r>
              <w:rPr>
                <w:rFonts w:hint="eastAsia" w:ascii="宋体" w:hAnsi="宋体" w:cs="宋体"/>
                <w:szCs w:val="21"/>
                <w:lang w:eastAsia="zh-CN"/>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1040"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eastAsia="宋体" w:cs="宋体"/>
                <w:szCs w:val="21"/>
                <w:lang w:eastAsia="zh-CN"/>
              </w:rPr>
            </w:pPr>
          </w:p>
        </w:tc>
        <w:tc>
          <w:tcPr>
            <w:tcW w:w="927" w:type="dxa"/>
            <w:noWrap w:val="0"/>
            <w:vAlign w:val="center"/>
          </w:tcPr>
          <w:p>
            <w:pPr>
              <w:spacing w:line="240" w:lineRule="atLeast"/>
              <w:jc w:val="center"/>
              <w:rPr>
                <w:rFonts w:hint="eastAsia" w:ascii="宋体" w:hAnsi="宋体" w:eastAsia="宋体" w:cs="宋体"/>
                <w:szCs w:val="21"/>
                <w:lang w:eastAsia="zh-CN"/>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keepNext w:val="0"/>
              <w:keepLines w:val="0"/>
              <w:widowControl/>
              <w:suppressLineNumbers w:val="0"/>
              <w:jc w:val="center"/>
              <w:textAlignment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eastAsia="宋体" w:cs="宋体"/>
                <w:szCs w:val="21"/>
                <w:lang w:eastAsia="zh-CN"/>
              </w:rPr>
            </w:pPr>
          </w:p>
        </w:tc>
        <w:tc>
          <w:tcPr>
            <w:tcW w:w="927" w:type="dxa"/>
            <w:noWrap w:val="0"/>
            <w:vAlign w:val="center"/>
          </w:tcPr>
          <w:p>
            <w:pPr>
              <w:spacing w:line="240" w:lineRule="atLeast"/>
              <w:jc w:val="center"/>
              <w:rPr>
                <w:rFonts w:hint="eastAsia" w:ascii="宋体" w:hAnsi="宋体" w:eastAsia="宋体" w:cs="宋体"/>
                <w:szCs w:val="21"/>
                <w:lang w:eastAsia="zh-CN"/>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keepNext w:val="0"/>
              <w:keepLines w:val="0"/>
              <w:widowControl/>
              <w:suppressLineNumbers w:val="0"/>
              <w:jc w:val="center"/>
              <w:textAlignment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eastAsia="宋体" w:cs="宋体"/>
                <w:szCs w:val="21"/>
                <w:lang w:eastAsia="zh-CN"/>
              </w:rPr>
            </w:pPr>
          </w:p>
        </w:tc>
        <w:tc>
          <w:tcPr>
            <w:tcW w:w="927" w:type="dxa"/>
            <w:noWrap w:val="0"/>
            <w:vAlign w:val="center"/>
          </w:tcPr>
          <w:p>
            <w:pPr>
              <w:spacing w:line="240" w:lineRule="atLeast"/>
              <w:jc w:val="center"/>
              <w:rPr>
                <w:rFonts w:hint="eastAsia" w:ascii="宋体" w:hAnsi="宋体" w:eastAsia="宋体" w:cs="宋体"/>
                <w:szCs w:val="21"/>
                <w:lang w:eastAsia="zh-CN"/>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keepNext w:val="0"/>
              <w:keepLines w:val="0"/>
              <w:widowControl/>
              <w:suppressLineNumbers w:val="0"/>
              <w:jc w:val="center"/>
              <w:textAlignment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eastAsia="宋体" w:cs="宋体"/>
                <w:szCs w:val="21"/>
                <w:lang w:val="en-US" w:eastAsia="zh-CN"/>
              </w:rPr>
            </w:pPr>
          </w:p>
        </w:tc>
        <w:tc>
          <w:tcPr>
            <w:tcW w:w="927" w:type="dxa"/>
            <w:noWrap w:val="0"/>
            <w:vAlign w:val="center"/>
          </w:tcPr>
          <w:p>
            <w:pPr>
              <w:spacing w:line="240" w:lineRule="atLeast"/>
              <w:jc w:val="center"/>
              <w:rPr>
                <w:rFonts w:hint="eastAsia" w:ascii="宋体" w:hAnsi="宋体" w:eastAsia="宋体" w:cs="宋体"/>
                <w:szCs w:val="21"/>
                <w:lang w:val="en-US" w:eastAsia="zh-CN"/>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keepNext w:val="0"/>
              <w:keepLines w:val="0"/>
              <w:widowControl/>
              <w:suppressLineNumbers w:val="0"/>
              <w:jc w:val="center"/>
              <w:textAlignment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eastAsia="宋体" w:cs="宋体"/>
                <w:szCs w:val="21"/>
                <w:lang w:val="en-US" w:eastAsia="zh-CN"/>
              </w:rPr>
            </w:pPr>
            <w:r>
              <w:rPr>
                <w:rFonts w:hint="eastAsia" w:ascii="宋体" w:hAnsi="宋体" w:cs="宋体"/>
                <w:szCs w:val="21"/>
              </w:rPr>
              <w:t>…</w:t>
            </w:r>
          </w:p>
        </w:tc>
        <w:tc>
          <w:tcPr>
            <w:tcW w:w="927" w:type="dxa"/>
            <w:noWrap w:val="0"/>
            <w:vAlign w:val="center"/>
          </w:tcPr>
          <w:p>
            <w:pPr>
              <w:spacing w:line="240" w:lineRule="atLeast"/>
              <w:jc w:val="center"/>
              <w:rPr>
                <w:rFonts w:hint="eastAsia" w:ascii="宋体" w:hAnsi="宋体" w:eastAsia="宋体" w:cs="宋体"/>
                <w:szCs w:val="21"/>
                <w:lang w:val="en-US" w:eastAsia="zh-CN"/>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keepNext w:val="0"/>
              <w:keepLines w:val="0"/>
              <w:widowControl/>
              <w:suppressLineNumbers w:val="0"/>
              <w:jc w:val="center"/>
              <w:textAlignment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963" w:type="dxa"/>
            <w:gridSpan w:val="8"/>
            <w:noWrap w:val="0"/>
            <w:vAlign w:val="center"/>
          </w:tcPr>
          <w:p>
            <w:pPr>
              <w:spacing w:line="360" w:lineRule="auto"/>
              <w:rPr>
                <w:rFonts w:hint="eastAsia" w:ascii="宋体" w:hAnsi="宋体" w:cs="宋体"/>
                <w:szCs w:val="21"/>
              </w:rPr>
            </w:pPr>
            <w:r>
              <w:rPr>
                <w:rFonts w:hint="eastAsia" w:ascii="宋体" w:hAnsi="宋体" w:cs="宋体"/>
                <w:szCs w:val="21"/>
              </w:rPr>
              <w:t>总价（大写）：                           （小写）：</w:t>
            </w:r>
          </w:p>
        </w:tc>
        <w:tc>
          <w:tcPr>
            <w:tcW w:w="1059" w:type="dxa"/>
            <w:noWrap w:val="0"/>
            <w:vAlign w:val="center"/>
          </w:tcPr>
          <w:p>
            <w:pPr>
              <w:spacing w:line="360" w:lineRule="auto"/>
              <w:rPr>
                <w:rFonts w:hint="eastAsia" w:ascii="宋体" w:hAnsi="宋体" w:cs="宋体"/>
                <w:szCs w:val="21"/>
              </w:rPr>
            </w:pPr>
          </w:p>
        </w:tc>
      </w:tr>
    </w:tbl>
    <w:p>
      <w:pPr>
        <w:spacing w:line="360" w:lineRule="auto"/>
        <w:ind w:firstLine="422" w:firstLineChars="200"/>
        <w:rPr>
          <w:rFonts w:hint="eastAsia" w:ascii="宋体" w:hAnsi="宋体"/>
          <w:b/>
          <w:bCs/>
          <w:sz w:val="21"/>
          <w:szCs w:val="21"/>
        </w:rPr>
      </w:pPr>
      <w:r>
        <w:rPr>
          <w:rFonts w:hint="eastAsia" w:ascii="宋体" w:hAnsi="宋体"/>
          <w:b/>
          <w:bCs/>
          <w:sz w:val="21"/>
          <w:szCs w:val="21"/>
        </w:rPr>
        <w:t>注：以上所投产品中均包含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line="360" w:lineRule="auto"/>
        <w:ind w:firstLine="420" w:firstLineChars="200"/>
        <w:rPr>
          <w:rFonts w:hint="eastAsia" w:ascii="宋体" w:hAnsi="宋体"/>
          <w:sz w:val="21"/>
          <w:szCs w:val="21"/>
        </w:rPr>
      </w:pP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eastAsia="zh-CN"/>
        </w:rPr>
        <w:t>供应商</w:t>
      </w:r>
      <w:r>
        <w:rPr>
          <w:rFonts w:hint="eastAsia" w:ascii="宋体" w:hAnsi="宋体"/>
          <w:sz w:val="21"/>
          <w:szCs w:val="21"/>
        </w:rPr>
        <w:t>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w:t>
      </w:r>
      <w:r>
        <w:rPr>
          <w:rFonts w:hint="eastAsia" w:ascii="宋体" w:hAnsi="宋体"/>
          <w:sz w:val="21"/>
          <w:szCs w:val="21"/>
          <w:lang w:eastAsia="zh-CN"/>
        </w:rPr>
        <w:t>签名</w:t>
      </w:r>
      <w:r>
        <w:rPr>
          <w:rFonts w:hint="eastAsia" w:ascii="宋体" w:hAnsi="宋体"/>
          <w:sz w:val="21"/>
          <w:szCs w:val="21"/>
        </w:rPr>
        <w:t>或盖章）：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年   月   日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rPr>
      </w:pPr>
      <w:bookmarkStart w:id="125" w:name="_Toc11308"/>
      <w:bookmarkStart w:id="126" w:name="_Toc30567"/>
      <w:bookmarkStart w:id="127" w:name="_Toc15225"/>
    </w:p>
    <w:p>
      <w:pPr>
        <w:rPr>
          <w:rFonts w:hint="eastAsia" w:ascii="宋体" w:hAnsi="宋体" w:cs="宋体"/>
        </w:rPr>
      </w:pPr>
    </w:p>
    <w:p>
      <w:pPr>
        <w:pStyle w:val="3"/>
        <w:numPr>
          <w:ilvl w:val="0"/>
          <w:numId w:val="14"/>
        </w:numPr>
        <w:spacing w:before="0" w:after="0" w:line="360" w:lineRule="auto"/>
        <w:rPr>
          <w:rFonts w:hint="eastAsia" w:ascii="宋体" w:hAnsi="宋体" w:cs="宋体"/>
          <w:sz w:val="32"/>
          <w:szCs w:val="32"/>
        </w:rPr>
      </w:pPr>
      <w:bookmarkStart w:id="128" w:name="_Toc2439"/>
      <w:r>
        <w:rPr>
          <w:rFonts w:hint="eastAsia" w:ascii="宋体" w:hAnsi="宋体" w:cs="宋体"/>
          <w:sz w:val="32"/>
          <w:szCs w:val="32"/>
        </w:rPr>
        <w:t>技术响应表</w:t>
      </w:r>
      <w:bookmarkEnd w:id="125"/>
      <w:bookmarkEnd w:id="126"/>
      <w:bookmarkEnd w:id="128"/>
    </w:p>
    <w:bookmarkEnd w:id="127"/>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84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sz w:val="21"/>
                <w:szCs w:val="21"/>
                <w:lang w:eastAsia="zh-CN"/>
              </w:rPr>
            </w:pPr>
            <w:r>
              <w:rPr>
                <w:rFonts w:hint="eastAsia" w:ascii="宋体" w:hAnsi="宋体"/>
                <w:sz w:val="21"/>
                <w:szCs w:val="21"/>
                <w:lang w:eastAsia="zh-CN"/>
              </w:rPr>
              <w:t>磋商文件要求</w:t>
            </w:r>
          </w:p>
        </w:tc>
        <w:tc>
          <w:tcPr>
            <w:tcW w:w="116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13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lang w:eastAsia="zh-CN"/>
              </w:rPr>
              <w:t>供应商</w:t>
            </w:r>
            <w:r>
              <w:rPr>
                <w:rFonts w:hint="eastAsia" w:ascii="宋体" w:hAnsi="宋体"/>
                <w:sz w:val="21"/>
                <w:szCs w:val="21"/>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w:t>
      </w:r>
      <w:r>
        <w:rPr>
          <w:rFonts w:hint="eastAsia" w:ascii="宋体" w:hAnsi="宋体" w:cs="宋体"/>
          <w:sz w:val="24"/>
          <w:lang w:eastAsia="zh-CN"/>
        </w:rPr>
        <w:t>签名或盖章</w:t>
      </w:r>
      <w:r>
        <w:rPr>
          <w:rFonts w:hint="eastAsia" w:ascii="宋体" w:hAnsi="宋体" w:cs="宋体"/>
          <w:sz w:val="24"/>
        </w:rPr>
        <w:t>）：</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both"/>
        <w:rPr>
          <w:rFonts w:hint="eastAsia" w:ascii="宋体" w:hAnsi="宋体" w:cs="宋体"/>
        </w:rPr>
      </w:pPr>
    </w:p>
    <w:p>
      <w:pPr>
        <w:pStyle w:val="51"/>
        <w:rPr>
          <w:rFonts w:hint="eastAsia" w:ascii="宋体" w:hAnsi="宋体" w:cs="宋体"/>
        </w:rPr>
      </w:pPr>
    </w:p>
    <w:p>
      <w:pPr>
        <w:pStyle w:val="51"/>
        <w:rPr>
          <w:rFonts w:hint="eastAsia" w:ascii="宋体" w:hAnsi="宋体" w:cs="宋体"/>
        </w:rPr>
      </w:pPr>
    </w:p>
    <w:p>
      <w:pPr>
        <w:pStyle w:val="51"/>
        <w:rPr>
          <w:rFonts w:hint="eastAsia" w:ascii="宋体" w:hAnsi="宋体" w:cs="宋体"/>
        </w:rPr>
      </w:pPr>
    </w:p>
    <w:p>
      <w:pPr>
        <w:pStyle w:val="51"/>
        <w:rPr>
          <w:rFonts w:hint="eastAsia" w:ascii="宋体" w:hAnsi="宋体" w:cs="宋体"/>
        </w:rPr>
      </w:pPr>
    </w:p>
    <w:p>
      <w:pPr>
        <w:jc w:val="center"/>
        <w:rPr>
          <w:rFonts w:hint="eastAsia" w:ascii="宋体" w:hAnsi="宋体" w:cs="宋体"/>
        </w:rPr>
      </w:pPr>
    </w:p>
    <w:p>
      <w:pPr>
        <w:rPr>
          <w:rFonts w:hint="eastAsia"/>
        </w:rPr>
      </w:pPr>
    </w:p>
    <w:p>
      <w:pPr>
        <w:pStyle w:val="3"/>
        <w:numPr>
          <w:ilvl w:val="0"/>
          <w:numId w:val="14"/>
        </w:numPr>
        <w:spacing w:before="0" w:after="0" w:line="360" w:lineRule="auto"/>
        <w:rPr>
          <w:rFonts w:hint="eastAsia" w:ascii="宋体" w:hAnsi="宋体" w:cs="宋体"/>
          <w:sz w:val="32"/>
          <w:szCs w:val="32"/>
        </w:rPr>
      </w:pPr>
      <w:bookmarkStart w:id="129" w:name="_Toc24554"/>
      <w:bookmarkStart w:id="130" w:name="_Toc31901"/>
      <w:bookmarkStart w:id="131" w:name="_Toc1701"/>
      <w:r>
        <w:rPr>
          <w:rFonts w:hint="eastAsia" w:ascii="宋体" w:hAnsi="宋体" w:cs="宋体"/>
          <w:sz w:val="32"/>
          <w:szCs w:val="32"/>
        </w:rPr>
        <w:t>商务响应表</w:t>
      </w:r>
      <w:bookmarkEnd w:id="129"/>
      <w:bookmarkEnd w:id="130"/>
      <w:bookmarkEnd w:id="131"/>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36"/>
        <w:rPr>
          <w:rFonts w:hint="eastAsia" w:ascii="宋体" w:hAnsi="宋体" w:cs="宋体"/>
          <w:szCs w:val="21"/>
        </w:rPr>
      </w:pPr>
    </w:p>
    <w:p>
      <w:pPr>
        <w:rPr>
          <w:rFonts w:hint="eastAsia" w:ascii="宋体" w:hAnsi="宋体" w:cs="宋体"/>
          <w:szCs w:val="21"/>
        </w:rPr>
      </w:pPr>
    </w:p>
    <w:p>
      <w:pPr>
        <w:pStyle w:val="36"/>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07"/>
    <w:bookmarkEnd w:id="108"/>
    <w:bookmarkEnd w:id="109"/>
    <w:bookmarkEnd w:id="110"/>
    <w:bookmarkEnd w:id="111"/>
    <w:bookmarkEnd w:id="112"/>
    <w:bookmarkEnd w:id="113"/>
    <w:p>
      <w:pPr>
        <w:pStyle w:val="3"/>
        <w:numPr>
          <w:ilvl w:val="0"/>
          <w:numId w:val="14"/>
        </w:numPr>
        <w:spacing w:before="0" w:after="0" w:line="360" w:lineRule="auto"/>
        <w:rPr>
          <w:rFonts w:hint="eastAsia" w:ascii="宋体" w:hAnsi="宋体" w:cs="宋体"/>
          <w:sz w:val="32"/>
          <w:szCs w:val="32"/>
        </w:rPr>
      </w:pPr>
      <w:bookmarkStart w:id="132" w:name="_bookmark278"/>
      <w:bookmarkEnd w:id="132"/>
      <w:bookmarkStart w:id="133" w:name="18.4.4_信息采集费用概算明细表"/>
      <w:bookmarkEnd w:id="133"/>
      <w:bookmarkStart w:id="134" w:name="_Toc9646"/>
      <w:bookmarkStart w:id="135" w:name="_Toc6508"/>
      <w:bookmarkStart w:id="136" w:name="_Toc8927"/>
      <w:r>
        <w:rPr>
          <w:rFonts w:hint="eastAsia" w:ascii="宋体" w:hAnsi="宋体" w:cs="宋体"/>
          <w:sz w:val="32"/>
          <w:szCs w:val="32"/>
        </w:rPr>
        <w:t>资格证明材料</w:t>
      </w:r>
      <w:bookmarkEnd w:id="134"/>
      <w:bookmarkEnd w:id="135"/>
      <w:bookmarkEnd w:id="136"/>
    </w:p>
    <w:p>
      <w:pPr>
        <w:numPr>
          <w:ilvl w:val="0"/>
          <w:numId w:val="15"/>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numPr>
          <w:ilvl w:val="0"/>
          <w:numId w:val="15"/>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供应商及其法定代表人、委托代理人均无行贿犯罪记录（提供无行贿犯罪记录承诺书，详见格式）；</w:t>
      </w:r>
    </w:p>
    <w:p>
      <w:pPr>
        <w:numPr>
          <w:ilvl w:val="0"/>
          <w:numId w:val="15"/>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sz w:val="24"/>
          <w:szCs w:val="24"/>
        </w:rPr>
      </w:pPr>
    </w:p>
    <w:p>
      <w:pPr>
        <w:pStyle w:val="52"/>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jc w:val="left"/>
        <w:rPr>
          <w:rFonts w:hint="eastAsia" w:ascii="宋体" w:hAnsi="宋体" w:cs="宋体"/>
          <w:b/>
          <w:sz w:val="24"/>
          <w:szCs w:val="24"/>
        </w:rPr>
      </w:pPr>
    </w:p>
    <w:p>
      <w:pPr>
        <w:pStyle w:val="35"/>
        <w:rPr>
          <w:rFonts w:hint="eastAsia" w:ascii="宋体" w:hAnsi="宋体" w:cs="宋体"/>
          <w:b/>
          <w:sz w:val="24"/>
          <w:szCs w:val="24"/>
        </w:rPr>
      </w:pPr>
    </w:p>
    <w:p>
      <w:pPr>
        <w:pStyle w:val="36"/>
        <w:rPr>
          <w:rFonts w:hint="eastAsia" w:ascii="宋体" w:hAnsi="宋体" w:cs="宋体"/>
          <w:b/>
          <w:sz w:val="24"/>
          <w:szCs w:val="24"/>
        </w:rPr>
      </w:pPr>
    </w:p>
    <w:p>
      <w:pPr>
        <w:rPr>
          <w:rFonts w:hint="eastAsia" w:ascii="宋体" w:hAnsi="宋体" w:cs="宋体"/>
          <w:b/>
          <w:sz w:val="24"/>
          <w:szCs w:val="24"/>
        </w:rPr>
      </w:pPr>
    </w:p>
    <w:p>
      <w:pPr>
        <w:pStyle w:val="35"/>
        <w:rPr>
          <w:rFonts w:hint="eastAsia" w:ascii="宋体" w:hAnsi="宋体" w:cs="宋体"/>
          <w:b/>
          <w:sz w:val="24"/>
          <w:szCs w:val="24"/>
        </w:rPr>
      </w:pPr>
    </w:p>
    <w:p>
      <w:pPr>
        <w:pStyle w:val="36"/>
        <w:rPr>
          <w:rFonts w:hint="eastAsia" w:ascii="宋体" w:hAnsi="宋体" w:cs="宋体"/>
          <w:b/>
          <w:sz w:val="24"/>
          <w:szCs w:val="24"/>
        </w:rPr>
      </w:pPr>
    </w:p>
    <w:p>
      <w:pPr>
        <w:rPr>
          <w:rFonts w:hint="eastAsia" w:ascii="宋体" w:hAnsi="宋体" w:cs="宋体"/>
          <w:b/>
          <w:sz w:val="24"/>
          <w:szCs w:val="24"/>
        </w:rPr>
      </w:pPr>
    </w:p>
    <w:p>
      <w:pPr>
        <w:pStyle w:val="35"/>
        <w:rPr>
          <w:rFonts w:hint="eastAsia" w:ascii="宋体" w:hAnsi="宋体" w:cs="宋体"/>
          <w:b/>
          <w:sz w:val="24"/>
          <w:szCs w:val="24"/>
        </w:rPr>
      </w:pPr>
    </w:p>
    <w:p>
      <w:pPr>
        <w:pStyle w:val="36"/>
        <w:rPr>
          <w:rFonts w:hint="eastAsia" w:ascii="宋体" w:hAnsi="宋体" w:cs="宋体"/>
          <w:b/>
          <w:sz w:val="24"/>
          <w:szCs w:val="24"/>
        </w:rPr>
      </w:pPr>
    </w:p>
    <w:p>
      <w:pPr>
        <w:rPr>
          <w:rFonts w:hint="eastAsia" w:ascii="宋体" w:hAnsi="宋体" w:cs="宋体"/>
          <w:b/>
          <w:sz w:val="24"/>
          <w:szCs w:val="24"/>
        </w:rPr>
      </w:pPr>
    </w:p>
    <w:p>
      <w:pPr>
        <w:pStyle w:val="35"/>
        <w:rPr>
          <w:rFonts w:hint="eastAsia"/>
        </w:rPr>
      </w:pPr>
    </w:p>
    <w:p>
      <w:pPr>
        <w:pStyle w:val="36"/>
        <w:rPr>
          <w:rFonts w:hint="eastAsia"/>
        </w:rPr>
      </w:pPr>
    </w:p>
    <w:p>
      <w:pPr>
        <w:pStyle w:val="12"/>
        <w:rPr>
          <w:rFonts w:hint="eastAsia" w:ascii="宋体" w:hAnsi="宋体" w:cs="宋体"/>
          <w:b/>
          <w:sz w:val="24"/>
          <w:szCs w:val="24"/>
        </w:rPr>
      </w:pPr>
    </w:p>
    <w:p>
      <w:pPr>
        <w:tabs>
          <w:tab w:val="center" w:pos="4649"/>
        </w:tabs>
        <w:jc w:val="center"/>
        <w:rPr>
          <w:rFonts w:hint="eastAsia"/>
          <w:b/>
          <w:sz w:val="28"/>
        </w:rPr>
      </w:pPr>
      <w:bookmarkStart w:id="137" w:name="_Toc8011"/>
      <w:bookmarkStart w:id="138" w:name="_Toc114940421"/>
      <w:bookmarkStart w:id="139" w:name="_Toc31392"/>
    </w:p>
    <w:p>
      <w:pPr>
        <w:tabs>
          <w:tab w:val="center" w:pos="4649"/>
        </w:tabs>
        <w:jc w:val="center"/>
        <w:rPr>
          <w:rFonts w:hint="eastAsia"/>
          <w:b/>
          <w:sz w:val="28"/>
        </w:rPr>
      </w:pPr>
    </w:p>
    <w:p>
      <w:pPr>
        <w:tabs>
          <w:tab w:val="center" w:pos="4649"/>
        </w:tabs>
        <w:jc w:val="center"/>
        <w:rPr>
          <w:rFonts w:hint="eastAsia"/>
          <w:b/>
          <w:sz w:val="28"/>
        </w:rPr>
      </w:pPr>
      <w:r>
        <w:rPr>
          <w:rFonts w:hint="eastAsia"/>
          <w:b/>
          <w:sz w:val="28"/>
        </w:rPr>
        <w:t>武陟县政府采购供应商资格信用承诺函</w:t>
      </w:r>
      <w:bookmarkEnd w:id="137"/>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38"/>
      <w:bookmarkEnd w:id="139"/>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rPr>
          <w:rFonts w:hint="eastAsia" w:ascii="宋体" w:hAnsi="宋体" w:eastAsia="宋体" w:cs="宋体"/>
          <w:sz w:val="28"/>
          <w:szCs w:val="28"/>
        </w:rPr>
      </w:pPr>
    </w:p>
    <w:p>
      <w:pPr>
        <w:pStyle w:val="4"/>
        <w:jc w:val="center"/>
        <w:rPr>
          <w:rFonts w:hint="eastAsia" w:ascii="宋体" w:hAnsi="宋体" w:eastAsia="宋体" w:cs="宋体"/>
          <w:sz w:val="28"/>
          <w:szCs w:val="28"/>
        </w:rPr>
      </w:pPr>
    </w:p>
    <w:p>
      <w:pPr>
        <w:pStyle w:val="32"/>
        <w:spacing w:before="0" w:beforeAutospacing="0" w:after="0" w:afterAutospacing="0"/>
        <w:ind w:right="560"/>
        <w:jc w:val="center"/>
        <w:rPr>
          <w:rFonts w:hint="eastAsia"/>
          <w:b/>
          <w:bCs/>
          <w:sz w:val="32"/>
          <w:szCs w:val="32"/>
        </w:rPr>
      </w:pPr>
    </w:p>
    <w:p>
      <w:pPr>
        <w:pStyle w:val="32"/>
        <w:spacing w:before="0" w:beforeAutospacing="0" w:after="0" w:afterAutospacing="0"/>
        <w:ind w:right="560"/>
        <w:jc w:val="center"/>
        <w:rPr>
          <w:rFonts w:hint="eastAsia"/>
          <w:b/>
          <w:bCs/>
          <w:sz w:val="32"/>
          <w:szCs w:val="32"/>
        </w:rPr>
      </w:pPr>
    </w:p>
    <w:p>
      <w:pPr>
        <w:pStyle w:val="32"/>
        <w:spacing w:before="0" w:beforeAutospacing="0" w:after="0" w:afterAutospacing="0"/>
        <w:ind w:right="560"/>
        <w:jc w:val="center"/>
        <w:rPr>
          <w:rFonts w:hint="eastAsia"/>
          <w:b/>
          <w:bCs/>
          <w:sz w:val="32"/>
          <w:szCs w:val="32"/>
        </w:rPr>
      </w:pPr>
    </w:p>
    <w:p>
      <w:pPr>
        <w:pStyle w:val="32"/>
        <w:spacing w:before="0" w:beforeAutospacing="0" w:after="0" w:afterAutospacing="0"/>
        <w:ind w:right="560"/>
        <w:jc w:val="both"/>
        <w:rPr>
          <w:b/>
          <w:bCs/>
          <w:sz w:val="32"/>
          <w:szCs w:val="32"/>
        </w:rPr>
      </w:pPr>
    </w:p>
    <w:bookmarkEnd w:id="114"/>
    <w:bookmarkEnd w:id="115"/>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40" w:name="_Toc23619"/>
      <w:bookmarkStart w:id="141" w:name="_Toc406663316"/>
      <w:bookmarkStart w:id="142" w:name="_Toc5506"/>
      <w:bookmarkStart w:id="143" w:name="_Toc428454062"/>
      <w:bookmarkStart w:id="144" w:name="_Toc490161471"/>
      <w:bookmarkStart w:id="145" w:name="_Toc15846"/>
      <w:bookmarkStart w:id="146" w:name="_Toc428525390"/>
      <w:bookmarkStart w:id="147" w:name="_Toc477423256"/>
      <w:bookmarkStart w:id="148" w:name="_Toc487805932"/>
      <w:bookmarkStart w:id="149" w:name="_Toc373230045"/>
      <w:bookmarkStart w:id="150" w:name="_Toc364490446"/>
      <w:bookmarkStart w:id="151" w:name="_Toc374512433"/>
      <w:bookmarkStart w:id="152" w:name="_Toc408816356"/>
      <w:bookmarkStart w:id="153" w:name="_Toc25878"/>
      <w:bookmarkStart w:id="154" w:name="_Toc214329904"/>
      <w:r>
        <w:rPr>
          <w:rFonts w:hint="eastAsia"/>
          <w:b/>
          <w:sz w:val="28"/>
        </w:rPr>
        <w:t xml:space="preserve"> </w:t>
      </w:r>
    </w:p>
    <w:p>
      <w:pPr>
        <w:pStyle w:val="3"/>
        <w:numPr>
          <w:ilvl w:val="0"/>
          <w:numId w:val="14"/>
        </w:numPr>
        <w:spacing w:before="0" w:after="0" w:line="360" w:lineRule="auto"/>
        <w:rPr>
          <w:rFonts w:hint="eastAsia" w:ascii="宋体" w:hAnsi="宋体" w:cs="宋体"/>
          <w:sz w:val="32"/>
          <w:szCs w:val="32"/>
        </w:rPr>
      </w:pPr>
      <w:bookmarkStart w:id="155" w:name="_Toc24212"/>
      <w:r>
        <w:rPr>
          <w:rFonts w:hint="eastAsia" w:ascii="宋体" w:hAnsi="宋体" w:cs="宋体"/>
          <w:sz w:val="32"/>
          <w:szCs w:val="32"/>
        </w:rPr>
        <w:t>法定代表人身份证明或授权委托书</w:t>
      </w:r>
      <w:bookmarkEnd w:id="140"/>
      <w:bookmarkEnd w:id="141"/>
      <w:bookmarkEnd w:id="142"/>
      <w:bookmarkEnd w:id="143"/>
      <w:bookmarkEnd w:id="144"/>
      <w:bookmarkEnd w:id="145"/>
      <w:bookmarkEnd w:id="146"/>
      <w:bookmarkEnd w:id="147"/>
      <w:bookmarkEnd w:id="148"/>
      <w:bookmarkEnd w:id="155"/>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1"/>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56" w:name="_Toc487805933"/>
      <w:bookmarkStart w:id="157" w:name="_Toc475955191"/>
      <w:bookmarkStart w:id="158" w:name="_Toc15453"/>
      <w:bookmarkStart w:id="159" w:name="_Toc490161472"/>
      <w:bookmarkStart w:id="160" w:name="_Toc476045985"/>
      <w:bookmarkStart w:id="161" w:name="_Toc477423257"/>
      <w:bookmarkStart w:id="162" w:name="_Toc428525391"/>
      <w:bookmarkStart w:id="163"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4"/>
        <w:ind w:firstLine="964" w:firstLineChars="400"/>
        <w:rPr>
          <w:rFonts w:hint="eastAsia" w:ascii="宋体" w:hAnsi="宋体" w:cs="宋体"/>
        </w:rPr>
        <w:sectPr>
          <w:headerReference r:id="rId16" w:type="first"/>
          <w:footerReference r:id="rId18" w:type="first"/>
          <w:headerReference r:id="rId15" w:type="default"/>
          <w:footerReference r:id="rId17"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56"/>
      <w:bookmarkEnd w:id="157"/>
      <w:bookmarkEnd w:id="158"/>
      <w:bookmarkEnd w:id="159"/>
      <w:bookmarkEnd w:id="160"/>
      <w:bookmarkEnd w:id="161"/>
      <w:bookmarkStart w:id="164" w:name="_Toc477423259"/>
      <w:bookmarkStart w:id="165" w:name="_Toc490161474"/>
      <w:bookmarkStart w:id="166" w:name="_Toc17258"/>
      <w:bookmarkStart w:id="167" w:name="_Toc487805935"/>
      <w:r>
        <w:rPr>
          <w:rFonts w:hint="eastAsia" w:ascii="宋体" w:hAnsi="宋体" w:cs="宋体"/>
          <w:b/>
        </w:rPr>
        <w:t>此项。</w:t>
      </w:r>
    </w:p>
    <w:p>
      <w:pPr>
        <w:pStyle w:val="3"/>
        <w:numPr>
          <w:ilvl w:val="0"/>
          <w:numId w:val="14"/>
        </w:numPr>
        <w:spacing w:before="0" w:after="0" w:line="360" w:lineRule="auto"/>
        <w:rPr>
          <w:rFonts w:hint="eastAsia"/>
          <w:b/>
          <w:kern w:val="44"/>
          <w:sz w:val="32"/>
          <w:szCs w:val="32"/>
        </w:rPr>
      </w:pPr>
      <w:bookmarkStart w:id="168" w:name="_Toc9804"/>
      <w:bookmarkStart w:id="169" w:name="_Toc5526"/>
      <w:bookmarkStart w:id="170" w:name="_Toc529865893"/>
      <w:bookmarkStart w:id="171" w:name="_Toc12027"/>
      <w:r>
        <w:rPr>
          <w:rFonts w:hint="eastAsia"/>
          <w:b/>
          <w:kern w:val="44"/>
          <w:sz w:val="32"/>
          <w:szCs w:val="32"/>
        </w:rPr>
        <w:t>中小企业声明函（货物）</w:t>
      </w:r>
      <w:bookmarkEnd w:id="168"/>
    </w:p>
    <w:p>
      <w:pPr>
        <w:spacing w:line="360" w:lineRule="auto"/>
        <w:ind w:firstLine="420" w:firstLineChars="200"/>
        <w:rPr>
          <w:rFonts w:hint="eastAsia"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widowControl/>
        <w:spacing w:line="580" w:lineRule="atLeast"/>
        <w:ind w:firstLine="420" w:firstLineChars="200"/>
        <w:rPr>
          <w:rFonts w:hint="eastAsia" w:ascii="宋体" w:hAnsi="宋体" w:cs="宋体"/>
        </w:rPr>
      </w:pPr>
      <w:r>
        <w:rPr>
          <w:rFonts w:hint="default" w:ascii="Arial" w:hAnsi="Arial" w:cs="Arial"/>
        </w:rPr>
        <w:t>……</w:t>
      </w:r>
    </w:p>
    <w:p>
      <w:pPr>
        <w:spacing w:line="360" w:lineRule="auto"/>
        <w:ind w:firstLine="420" w:firstLineChars="200"/>
        <w:rPr>
          <w:rFonts w:hint="eastAsia"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20" w:firstLineChars="200"/>
        <w:rPr>
          <w:rFonts w:hint="eastAsia"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040" w:firstLineChars="2400"/>
        <w:rPr>
          <w:rFonts w:hint="eastAsia" w:ascii="宋体" w:hAnsi="宋体" w:cs="宋体"/>
          <w:szCs w:val="21"/>
        </w:rPr>
      </w:pPr>
      <w:r>
        <w:rPr>
          <w:rFonts w:hint="eastAsia" w:ascii="宋体" w:hAnsi="宋体" w:cs="宋体"/>
          <w:szCs w:val="21"/>
        </w:rPr>
        <w:t>企业名称（盖章）：</w:t>
      </w:r>
    </w:p>
    <w:p>
      <w:pPr>
        <w:spacing w:line="360" w:lineRule="auto"/>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日期：</w:t>
      </w:r>
    </w:p>
    <w:p>
      <w:pPr>
        <w:spacing w:line="360" w:lineRule="auto"/>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36"/>
        <w:ind w:left="0" w:leftChars="0" w:firstLine="420" w:firstLineChars="200"/>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spacing w:line="360" w:lineRule="auto"/>
        <w:ind w:firstLine="420" w:firstLineChars="200"/>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51"/>
        <w:rPr>
          <w:rFonts w:hint="eastAsia" w:ascii="宋体" w:hAnsi="宋体" w:eastAsia="宋体" w:cs="宋体"/>
          <w:b/>
          <w:kern w:val="2"/>
          <w:sz w:val="21"/>
          <w:szCs w:val="21"/>
          <w:lang w:val="en-US" w:eastAsia="zh-CN" w:bidi="ar-SA"/>
        </w:rPr>
      </w:pPr>
    </w:p>
    <w:p>
      <w:pPr>
        <w:pStyle w:val="3"/>
        <w:numPr>
          <w:ilvl w:val="0"/>
          <w:numId w:val="0"/>
        </w:numPr>
        <w:spacing w:before="0" w:after="0" w:line="360" w:lineRule="auto"/>
        <w:jc w:val="center"/>
        <w:rPr>
          <w:rFonts w:hint="eastAsia" w:ascii="宋体" w:hAnsi="宋体" w:cs="宋体"/>
          <w:sz w:val="32"/>
          <w:szCs w:val="32"/>
        </w:rPr>
      </w:pPr>
      <w:bookmarkStart w:id="172" w:name="_Toc6810"/>
      <w:r>
        <w:rPr>
          <w:rFonts w:hint="eastAsia" w:ascii="宋体" w:hAnsi="宋体" w:cs="宋体"/>
          <w:sz w:val="32"/>
          <w:szCs w:val="32"/>
        </w:rPr>
        <w:t>残疾人福利性单位声明函</w:t>
      </w:r>
      <w:bookmarkEnd w:id="169"/>
      <w:bookmarkEnd w:id="170"/>
      <w:bookmarkEnd w:id="171"/>
      <w:bookmarkEnd w:id="172"/>
    </w:p>
    <w:p>
      <w:pPr>
        <w:rPr>
          <w:rFonts w:hint="eastAsia"/>
        </w:rPr>
      </w:pPr>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6"/>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3"/>
        <w:rPr>
          <w:rFonts w:hint="eastAsia" w:cs="宋体"/>
        </w:rPr>
      </w:pPr>
    </w:p>
    <w:bookmarkEnd w:id="164"/>
    <w:bookmarkEnd w:id="165"/>
    <w:bookmarkEnd w:id="166"/>
    <w:bookmarkEnd w:id="167"/>
    <w:p>
      <w:pPr>
        <w:pStyle w:val="3"/>
        <w:numPr>
          <w:ilvl w:val="0"/>
          <w:numId w:val="14"/>
        </w:numPr>
        <w:spacing w:before="0" w:after="0" w:line="360" w:lineRule="auto"/>
        <w:rPr>
          <w:rFonts w:hint="eastAsia" w:ascii="宋体" w:hAnsi="宋体" w:cs="宋体"/>
          <w:sz w:val="32"/>
          <w:szCs w:val="32"/>
        </w:rPr>
      </w:pPr>
      <w:bookmarkStart w:id="173" w:name="_Toc1654"/>
      <w:bookmarkStart w:id="174" w:name="_Toc13119"/>
      <w:bookmarkStart w:id="175" w:name="_Toc19062"/>
      <w:bookmarkStart w:id="176" w:name="_Toc477423260"/>
      <w:bookmarkStart w:id="177" w:name="_Toc487805936"/>
      <w:bookmarkStart w:id="178" w:name="_Toc7213"/>
      <w:bookmarkStart w:id="179" w:name="_Toc490161475"/>
      <w:r>
        <w:rPr>
          <w:rFonts w:hint="eastAsia" w:ascii="宋体" w:hAnsi="宋体" w:cs="宋体"/>
          <w:sz w:val="32"/>
          <w:szCs w:val="32"/>
        </w:rPr>
        <w:t>反商业贿赂承诺书</w:t>
      </w:r>
      <w:bookmarkEnd w:id="173"/>
      <w:bookmarkEnd w:id="174"/>
      <w:bookmarkEnd w:id="175"/>
      <w:bookmarkEnd w:id="176"/>
      <w:bookmarkEnd w:id="177"/>
      <w:bookmarkEnd w:id="178"/>
      <w:bookmarkEnd w:id="179"/>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49"/>
    <w:bookmarkEnd w:id="150"/>
    <w:bookmarkEnd w:id="151"/>
    <w:bookmarkEnd w:id="152"/>
    <w:bookmarkEnd w:id="153"/>
    <w:bookmarkEnd w:id="154"/>
    <w:bookmarkEnd w:id="162"/>
    <w:bookmarkEnd w:id="163"/>
    <w:p>
      <w:pPr>
        <w:spacing w:line="460" w:lineRule="exact"/>
        <w:rPr>
          <w:rFonts w:hint="eastAsia" w:ascii="宋体" w:hAnsi="宋体" w:cs="宋体"/>
          <w:sz w:val="24"/>
          <w:szCs w:val="24"/>
        </w:rPr>
      </w:pPr>
      <w:bookmarkStart w:id="180" w:name="_Toc364962592"/>
      <w:bookmarkStart w:id="181" w:name="_Toc18166"/>
      <w:bookmarkStart w:id="182" w:name="_Toc490161482"/>
      <w:bookmarkStart w:id="183" w:name="_Toc406663323"/>
      <w:bookmarkStart w:id="184" w:name="_Toc19579"/>
      <w:bookmarkStart w:id="185" w:name="_Toc365712853"/>
      <w:bookmarkStart w:id="186" w:name="_Toc475955200"/>
      <w:bookmarkStart w:id="187" w:name="_Toc450037734"/>
      <w:bookmarkStart w:id="188" w:name="_Toc477423265"/>
      <w:bookmarkStart w:id="189" w:name="_Toc19463"/>
      <w:bookmarkStart w:id="190" w:name="_Toc476045994"/>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14"/>
        </w:numPr>
        <w:spacing w:before="0" w:after="0" w:line="360" w:lineRule="auto"/>
        <w:rPr>
          <w:rFonts w:hint="eastAsia" w:ascii="宋体" w:hAnsi="宋体" w:cs="宋体"/>
          <w:sz w:val="32"/>
          <w:szCs w:val="32"/>
        </w:rPr>
      </w:pPr>
      <w:bookmarkStart w:id="191" w:name="_Toc16593"/>
      <w:r>
        <w:rPr>
          <w:rFonts w:hint="eastAsia" w:ascii="宋体" w:hAnsi="宋体" w:cs="宋体"/>
          <w:sz w:val="32"/>
          <w:szCs w:val="32"/>
        </w:rPr>
        <w:t>竞争性磋商文件要求的以及供应商认为应该提供的其他材料</w:t>
      </w:r>
      <w:bookmarkEnd w:id="180"/>
      <w:bookmarkEnd w:id="181"/>
      <w:bookmarkEnd w:id="182"/>
      <w:bookmarkEnd w:id="183"/>
      <w:bookmarkEnd w:id="184"/>
      <w:bookmarkEnd w:id="185"/>
      <w:bookmarkEnd w:id="186"/>
      <w:bookmarkEnd w:id="187"/>
      <w:bookmarkEnd w:id="188"/>
      <w:bookmarkEnd w:id="189"/>
      <w:bookmarkEnd w:id="190"/>
      <w:bookmarkEnd w:id="191"/>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4"/>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第二轮磋商报价表</w:t>
      </w:r>
    </w:p>
    <w:p>
      <w:pPr>
        <w:rPr>
          <w:rFonts w:hint="eastAsia"/>
        </w:rPr>
      </w:pPr>
    </w:p>
    <w:p>
      <w:pPr>
        <w:spacing w:line="360" w:lineRule="auto"/>
        <w:rPr>
          <w:rFonts w:hint="eastAsia" w:ascii="宋体" w:hAnsi="宋体" w:cs="宋体"/>
          <w:color w:val="FF0000"/>
          <w:szCs w:val="21"/>
        </w:rPr>
      </w:pPr>
      <w:r>
        <w:rPr>
          <w:rFonts w:hint="eastAsia" w:ascii="宋体" w:hAnsi="宋体" w:cs="宋体"/>
          <w:szCs w:val="21"/>
        </w:rPr>
        <w:t>项目名称：                                    项目编号：</w:t>
      </w:r>
    </w:p>
    <w:tbl>
      <w:tblPr>
        <w:tblStyle w:val="37"/>
        <w:tblW w:w="10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2443"/>
        <w:gridCol w:w="725"/>
        <w:gridCol w:w="1280"/>
        <w:gridCol w:w="872"/>
        <w:gridCol w:w="871"/>
        <w:gridCol w:w="1449"/>
        <w:gridCol w:w="1150"/>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543"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2443"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标的名称</w:t>
            </w:r>
          </w:p>
        </w:tc>
        <w:tc>
          <w:tcPr>
            <w:tcW w:w="725"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8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872" w:type="dxa"/>
            <w:noWrap w:val="0"/>
            <w:vAlign w:val="top"/>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原产地</w:t>
            </w:r>
          </w:p>
        </w:tc>
        <w:tc>
          <w:tcPr>
            <w:tcW w:w="871" w:type="dxa"/>
            <w:noWrap w:val="0"/>
            <w:vAlign w:val="center"/>
          </w:tcPr>
          <w:p>
            <w:pPr>
              <w:spacing w:line="240" w:lineRule="atLeast"/>
              <w:jc w:val="center"/>
              <w:rPr>
                <w:rFonts w:hint="eastAsia" w:ascii="宋体" w:hAnsi="宋体" w:cs="宋体"/>
                <w:szCs w:val="21"/>
              </w:rPr>
            </w:pPr>
            <w:r>
              <w:rPr>
                <w:rFonts w:hint="eastAsia" w:ascii="宋体" w:hAnsi="宋体" w:cs="宋体"/>
                <w:kern w:val="0"/>
                <w:szCs w:val="21"/>
              </w:rPr>
              <w:t>单位</w:t>
            </w:r>
          </w:p>
        </w:tc>
        <w:tc>
          <w:tcPr>
            <w:tcW w:w="144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15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242"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jc w:val="center"/>
        </w:trPr>
        <w:tc>
          <w:tcPr>
            <w:tcW w:w="543" w:type="dxa"/>
            <w:noWrap w:val="0"/>
            <w:vAlign w:val="center"/>
          </w:tcPr>
          <w:p>
            <w:pPr>
              <w:spacing w:line="240" w:lineRule="atLeast"/>
              <w:jc w:val="center"/>
              <w:rPr>
                <w:rFonts w:hint="eastAsia" w:ascii="宋体" w:hAnsi="宋体" w:cs="宋体"/>
                <w:szCs w:val="21"/>
              </w:rPr>
            </w:pPr>
          </w:p>
        </w:tc>
        <w:tc>
          <w:tcPr>
            <w:tcW w:w="2443" w:type="dxa"/>
            <w:noWrap w:val="0"/>
            <w:vAlign w:val="center"/>
          </w:tcPr>
          <w:p>
            <w:pPr>
              <w:spacing w:line="300" w:lineRule="exact"/>
              <w:jc w:val="center"/>
              <w:rPr>
                <w:rFonts w:hint="eastAsia" w:ascii="宋体" w:hAnsi="宋体" w:cs="宋体"/>
                <w:szCs w:val="21"/>
              </w:rPr>
            </w:pPr>
          </w:p>
        </w:tc>
        <w:tc>
          <w:tcPr>
            <w:tcW w:w="725" w:type="dxa"/>
            <w:noWrap w:val="0"/>
            <w:vAlign w:val="center"/>
          </w:tcPr>
          <w:p>
            <w:pPr>
              <w:spacing w:line="240" w:lineRule="atLeast"/>
              <w:jc w:val="center"/>
              <w:rPr>
                <w:rFonts w:hint="eastAsia" w:ascii="宋体" w:hAnsi="宋体" w:cs="宋体"/>
                <w:szCs w:val="21"/>
              </w:rPr>
            </w:pPr>
          </w:p>
        </w:tc>
        <w:tc>
          <w:tcPr>
            <w:tcW w:w="1280" w:type="dxa"/>
            <w:noWrap w:val="0"/>
            <w:vAlign w:val="center"/>
          </w:tcPr>
          <w:p>
            <w:pPr>
              <w:spacing w:line="240" w:lineRule="atLeast"/>
              <w:jc w:val="center"/>
              <w:rPr>
                <w:rFonts w:hint="eastAsia" w:ascii="宋体" w:hAnsi="宋体" w:cs="宋体"/>
                <w:szCs w:val="21"/>
              </w:rPr>
            </w:pPr>
          </w:p>
        </w:tc>
        <w:tc>
          <w:tcPr>
            <w:tcW w:w="872" w:type="dxa"/>
            <w:noWrap w:val="0"/>
            <w:vAlign w:val="top"/>
          </w:tcPr>
          <w:p>
            <w:pPr>
              <w:spacing w:line="240" w:lineRule="atLeast"/>
              <w:jc w:val="center"/>
              <w:rPr>
                <w:rFonts w:hint="eastAsia" w:ascii="宋体" w:hAnsi="宋体" w:cs="宋体"/>
                <w:kern w:val="0"/>
                <w:szCs w:val="21"/>
              </w:rPr>
            </w:pPr>
          </w:p>
          <w:p>
            <w:pPr>
              <w:spacing w:line="240" w:lineRule="atLeast"/>
              <w:jc w:val="center"/>
              <w:rPr>
                <w:rFonts w:hint="eastAsia" w:ascii="宋体" w:hAnsi="宋体" w:cs="宋体"/>
                <w:szCs w:val="21"/>
              </w:rPr>
            </w:pPr>
          </w:p>
        </w:tc>
        <w:tc>
          <w:tcPr>
            <w:tcW w:w="871" w:type="dxa"/>
            <w:noWrap w:val="0"/>
            <w:vAlign w:val="center"/>
          </w:tcPr>
          <w:p>
            <w:pPr>
              <w:spacing w:line="240" w:lineRule="atLeast"/>
              <w:jc w:val="center"/>
              <w:rPr>
                <w:rFonts w:hint="eastAsia" w:ascii="宋体" w:hAnsi="宋体" w:cs="宋体"/>
                <w:kern w:val="0"/>
                <w:szCs w:val="21"/>
              </w:rPr>
            </w:pPr>
          </w:p>
        </w:tc>
        <w:tc>
          <w:tcPr>
            <w:tcW w:w="1449" w:type="dxa"/>
            <w:noWrap w:val="0"/>
            <w:vAlign w:val="center"/>
          </w:tcPr>
          <w:p>
            <w:pPr>
              <w:spacing w:line="240" w:lineRule="atLeast"/>
              <w:jc w:val="center"/>
              <w:rPr>
                <w:rFonts w:ascii="宋体" w:hAnsi="宋体" w:cs="宋体"/>
                <w:szCs w:val="21"/>
              </w:rPr>
            </w:pPr>
          </w:p>
        </w:tc>
        <w:tc>
          <w:tcPr>
            <w:tcW w:w="1150" w:type="dxa"/>
            <w:noWrap w:val="0"/>
            <w:vAlign w:val="center"/>
          </w:tcPr>
          <w:p>
            <w:pPr>
              <w:spacing w:line="240" w:lineRule="atLeast"/>
              <w:jc w:val="center"/>
              <w:rPr>
                <w:rFonts w:hint="eastAsia" w:ascii="宋体" w:hAnsi="宋体" w:cs="宋体"/>
                <w:szCs w:val="21"/>
              </w:rPr>
            </w:pPr>
          </w:p>
        </w:tc>
        <w:tc>
          <w:tcPr>
            <w:tcW w:w="1242" w:type="dxa"/>
            <w:noWrap w:val="0"/>
            <w:vAlign w:val="center"/>
          </w:tcPr>
          <w:p>
            <w:pPr>
              <w:spacing w:line="240" w:lineRule="atLeas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exact"/>
          <w:jc w:val="center"/>
        </w:trPr>
        <w:tc>
          <w:tcPr>
            <w:tcW w:w="543" w:type="dxa"/>
            <w:noWrap w:val="0"/>
            <w:vAlign w:val="center"/>
          </w:tcPr>
          <w:p>
            <w:pPr>
              <w:spacing w:line="360" w:lineRule="auto"/>
              <w:jc w:val="center"/>
              <w:rPr>
                <w:rFonts w:hint="eastAsia" w:ascii="宋体" w:hAnsi="宋体" w:cs="宋体"/>
                <w:szCs w:val="21"/>
              </w:rPr>
            </w:pPr>
          </w:p>
        </w:tc>
        <w:tc>
          <w:tcPr>
            <w:tcW w:w="2443" w:type="dxa"/>
            <w:noWrap w:val="0"/>
            <w:vAlign w:val="center"/>
          </w:tcPr>
          <w:p>
            <w:pPr>
              <w:widowControl/>
              <w:jc w:val="center"/>
              <w:rPr>
                <w:rFonts w:hint="eastAsia" w:ascii="宋体" w:hAnsi="宋体" w:cs="宋体"/>
                <w:szCs w:val="21"/>
              </w:rPr>
            </w:pPr>
          </w:p>
        </w:tc>
        <w:tc>
          <w:tcPr>
            <w:tcW w:w="725" w:type="dxa"/>
            <w:noWrap w:val="0"/>
            <w:vAlign w:val="center"/>
          </w:tcPr>
          <w:p>
            <w:pPr>
              <w:jc w:val="center"/>
              <w:rPr>
                <w:rFonts w:hint="eastAsia" w:ascii="宋体" w:hAnsi="宋体" w:cs="宋体"/>
                <w:szCs w:val="21"/>
              </w:rPr>
            </w:pPr>
          </w:p>
        </w:tc>
        <w:tc>
          <w:tcPr>
            <w:tcW w:w="1280" w:type="dxa"/>
            <w:noWrap w:val="0"/>
            <w:vAlign w:val="center"/>
          </w:tcPr>
          <w:p>
            <w:pPr>
              <w:jc w:val="center"/>
              <w:rPr>
                <w:rFonts w:hint="eastAsia" w:ascii="宋体" w:hAnsi="宋体" w:cs="宋体"/>
                <w:szCs w:val="21"/>
              </w:rPr>
            </w:pPr>
          </w:p>
        </w:tc>
        <w:tc>
          <w:tcPr>
            <w:tcW w:w="872" w:type="dxa"/>
            <w:noWrap w:val="0"/>
            <w:vAlign w:val="top"/>
          </w:tcPr>
          <w:p>
            <w:pPr>
              <w:jc w:val="center"/>
              <w:rPr>
                <w:rFonts w:hint="eastAsia" w:ascii="宋体" w:hAnsi="宋体" w:cs="宋体"/>
                <w:szCs w:val="21"/>
              </w:rPr>
            </w:pPr>
          </w:p>
        </w:tc>
        <w:tc>
          <w:tcPr>
            <w:tcW w:w="871" w:type="dxa"/>
            <w:noWrap w:val="0"/>
            <w:vAlign w:val="center"/>
          </w:tcPr>
          <w:p>
            <w:pPr>
              <w:jc w:val="center"/>
              <w:rPr>
                <w:rFonts w:hint="eastAsia" w:ascii="宋体" w:hAnsi="宋体" w:cs="宋体"/>
                <w:szCs w:val="21"/>
              </w:rPr>
            </w:pPr>
          </w:p>
        </w:tc>
        <w:tc>
          <w:tcPr>
            <w:tcW w:w="1449" w:type="dxa"/>
            <w:noWrap w:val="0"/>
            <w:vAlign w:val="center"/>
          </w:tcPr>
          <w:p>
            <w:pPr>
              <w:jc w:val="center"/>
              <w:rPr>
                <w:rFonts w:ascii="宋体" w:hAnsi="宋体" w:cs="宋体"/>
                <w:szCs w:val="21"/>
              </w:rPr>
            </w:pPr>
          </w:p>
        </w:tc>
        <w:tc>
          <w:tcPr>
            <w:tcW w:w="1150" w:type="dxa"/>
            <w:noWrap w:val="0"/>
            <w:vAlign w:val="center"/>
          </w:tcPr>
          <w:p>
            <w:pPr>
              <w:spacing w:line="360" w:lineRule="auto"/>
              <w:jc w:val="center"/>
              <w:rPr>
                <w:rFonts w:hint="eastAsia" w:ascii="宋体" w:hAnsi="宋体" w:cs="宋体"/>
                <w:szCs w:val="21"/>
              </w:rPr>
            </w:pPr>
          </w:p>
        </w:tc>
        <w:tc>
          <w:tcPr>
            <w:tcW w:w="1242"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543" w:type="dxa"/>
            <w:noWrap w:val="0"/>
            <w:vAlign w:val="center"/>
          </w:tcPr>
          <w:p>
            <w:pPr>
              <w:spacing w:line="360" w:lineRule="auto"/>
              <w:jc w:val="center"/>
              <w:rPr>
                <w:rFonts w:hint="eastAsia" w:ascii="宋体" w:hAnsi="宋体" w:cs="宋体"/>
                <w:szCs w:val="21"/>
              </w:rPr>
            </w:pPr>
          </w:p>
        </w:tc>
        <w:tc>
          <w:tcPr>
            <w:tcW w:w="2443" w:type="dxa"/>
            <w:noWrap w:val="0"/>
            <w:vAlign w:val="center"/>
          </w:tcPr>
          <w:p>
            <w:pPr>
              <w:widowControl/>
              <w:jc w:val="center"/>
              <w:rPr>
                <w:rFonts w:hint="eastAsia" w:ascii="宋体" w:hAnsi="宋体" w:cs="宋体"/>
                <w:szCs w:val="21"/>
              </w:rPr>
            </w:pPr>
          </w:p>
        </w:tc>
        <w:tc>
          <w:tcPr>
            <w:tcW w:w="725" w:type="dxa"/>
            <w:noWrap w:val="0"/>
            <w:vAlign w:val="center"/>
          </w:tcPr>
          <w:p>
            <w:pPr>
              <w:jc w:val="center"/>
              <w:rPr>
                <w:rFonts w:hint="eastAsia" w:ascii="宋体" w:hAnsi="宋体" w:cs="宋体"/>
                <w:szCs w:val="21"/>
              </w:rPr>
            </w:pPr>
          </w:p>
        </w:tc>
        <w:tc>
          <w:tcPr>
            <w:tcW w:w="1280" w:type="dxa"/>
            <w:noWrap w:val="0"/>
            <w:vAlign w:val="center"/>
          </w:tcPr>
          <w:p>
            <w:pPr>
              <w:jc w:val="center"/>
              <w:rPr>
                <w:rFonts w:hint="eastAsia" w:ascii="宋体" w:hAnsi="宋体" w:cs="宋体"/>
                <w:szCs w:val="21"/>
              </w:rPr>
            </w:pPr>
          </w:p>
        </w:tc>
        <w:tc>
          <w:tcPr>
            <w:tcW w:w="872" w:type="dxa"/>
            <w:noWrap w:val="0"/>
            <w:vAlign w:val="top"/>
          </w:tcPr>
          <w:p>
            <w:pPr>
              <w:jc w:val="center"/>
              <w:rPr>
                <w:rFonts w:hint="eastAsia" w:ascii="宋体" w:hAnsi="宋体" w:cs="宋体"/>
                <w:szCs w:val="21"/>
              </w:rPr>
            </w:pPr>
          </w:p>
        </w:tc>
        <w:tc>
          <w:tcPr>
            <w:tcW w:w="871" w:type="dxa"/>
            <w:noWrap w:val="0"/>
            <w:vAlign w:val="center"/>
          </w:tcPr>
          <w:p>
            <w:pPr>
              <w:jc w:val="center"/>
              <w:rPr>
                <w:rFonts w:hint="eastAsia" w:ascii="宋体" w:hAnsi="宋体" w:cs="宋体"/>
                <w:szCs w:val="21"/>
              </w:rPr>
            </w:pPr>
          </w:p>
        </w:tc>
        <w:tc>
          <w:tcPr>
            <w:tcW w:w="1449" w:type="dxa"/>
            <w:noWrap w:val="0"/>
            <w:vAlign w:val="center"/>
          </w:tcPr>
          <w:p>
            <w:pPr>
              <w:jc w:val="center"/>
              <w:rPr>
                <w:rFonts w:ascii="宋体" w:hAnsi="宋体" w:cs="宋体"/>
                <w:szCs w:val="21"/>
              </w:rPr>
            </w:pPr>
          </w:p>
        </w:tc>
        <w:tc>
          <w:tcPr>
            <w:tcW w:w="1150" w:type="dxa"/>
            <w:noWrap w:val="0"/>
            <w:vAlign w:val="center"/>
          </w:tcPr>
          <w:p>
            <w:pPr>
              <w:spacing w:line="360" w:lineRule="auto"/>
              <w:jc w:val="center"/>
              <w:rPr>
                <w:rFonts w:hint="eastAsia" w:ascii="宋体" w:hAnsi="宋体" w:cs="宋体"/>
                <w:szCs w:val="21"/>
              </w:rPr>
            </w:pPr>
          </w:p>
        </w:tc>
        <w:tc>
          <w:tcPr>
            <w:tcW w:w="1242"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exact"/>
          <w:jc w:val="center"/>
        </w:trPr>
        <w:tc>
          <w:tcPr>
            <w:tcW w:w="543" w:type="dxa"/>
            <w:noWrap w:val="0"/>
            <w:vAlign w:val="center"/>
          </w:tcPr>
          <w:p>
            <w:pPr>
              <w:spacing w:line="360" w:lineRule="auto"/>
              <w:jc w:val="center"/>
              <w:rPr>
                <w:rFonts w:ascii="宋体" w:hAnsi="宋体" w:cs="宋体"/>
                <w:szCs w:val="21"/>
              </w:rPr>
            </w:pPr>
            <w:r>
              <w:rPr>
                <w:rFonts w:hint="eastAsia" w:ascii="宋体" w:hAnsi="宋体" w:cs="宋体"/>
                <w:szCs w:val="21"/>
              </w:rPr>
              <w:t>…</w:t>
            </w:r>
          </w:p>
        </w:tc>
        <w:tc>
          <w:tcPr>
            <w:tcW w:w="2443" w:type="dxa"/>
            <w:noWrap w:val="0"/>
            <w:vAlign w:val="center"/>
          </w:tcPr>
          <w:p>
            <w:pPr>
              <w:widowControl/>
              <w:jc w:val="center"/>
              <w:rPr>
                <w:rFonts w:hint="eastAsia"/>
                <w:szCs w:val="21"/>
              </w:rPr>
            </w:pPr>
          </w:p>
        </w:tc>
        <w:tc>
          <w:tcPr>
            <w:tcW w:w="725" w:type="dxa"/>
            <w:noWrap w:val="0"/>
            <w:vAlign w:val="center"/>
          </w:tcPr>
          <w:p>
            <w:pPr>
              <w:jc w:val="center"/>
              <w:rPr>
                <w:rFonts w:hint="eastAsia" w:ascii="宋体" w:hAnsi="宋体" w:cs="宋体"/>
                <w:szCs w:val="21"/>
              </w:rPr>
            </w:pPr>
          </w:p>
        </w:tc>
        <w:tc>
          <w:tcPr>
            <w:tcW w:w="1280" w:type="dxa"/>
            <w:noWrap w:val="0"/>
            <w:vAlign w:val="center"/>
          </w:tcPr>
          <w:p>
            <w:pPr>
              <w:jc w:val="center"/>
              <w:rPr>
                <w:rFonts w:hint="eastAsia" w:ascii="宋体" w:hAnsi="宋体" w:cs="宋体"/>
                <w:szCs w:val="21"/>
              </w:rPr>
            </w:pPr>
          </w:p>
        </w:tc>
        <w:tc>
          <w:tcPr>
            <w:tcW w:w="872" w:type="dxa"/>
            <w:noWrap w:val="0"/>
            <w:vAlign w:val="top"/>
          </w:tcPr>
          <w:p>
            <w:pPr>
              <w:jc w:val="center"/>
              <w:rPr>
                <w:rFonts w:hint="eastAsia" w:ascii="宋体" w:hAnsi="宋体" w:cs="宋体"/>
                <w:szCs w:val="21"/>
              </w:rPr>
            </w:pPr>
          </w:p>
        </w:tc>
        <w:tc>
          <w:tcPr>
            <w:tcW w:w="871" w:type="dxa"/>
            <w:noWrap w:val="0"/>
            <w:vAlign w:val="center"/>
          </w:tcPr>
          <w:p>
            <w:pPr>
              <w:jc w:val="center"/>
              <w:rPr>
                <w:rFonts w:hint="eastAsia" w:ascii="宋体" w:hAnsi="宋体" w:cs="宋体"/>
                <w:szCs w:val="21"/>
              </w:rPr>
            </w:pPr>
          </w:p>
        </w:tc>
        <w:tc>
          <w:tcPr>
            <w:tcW w:w="1449" w:type="dxa"/>
            <w:noWrap w:val="0"/>
            <w:vAlign w:val="center"/>
          </w:tcPr>
          <w:p>
            <w:pPr>
              <w:jc w:val="center"/>
              <w:rPr>
                <w:rFonts w:ascii="宋体" w:hAnsi="宋体" w:cs="宋体"/>
                <w:szCs w:val="21"/>
              </w:rPr>
            </w:pPr>
          </w:p>
        </w:tc>
        <w:tc>
          <w:tcPr>
            <w:tcW w:w="1150" w:type="dxa"/>
            <w:noWrap w:val="0"/>
            <w:vAlign w:val="center"/>
          </w:tcPr>
          <w:p>
            <w:pPr>
              <w:spacing w:line="360" w:lineRule="auto"/>
              <w:jc w:val="center"/>
              <w:rPr>
                <w:rFonts w:hint="eastAsia" w:ascii="宋体" w:hAnsi="宋体" w:cs="宋体"/>
                <w:szCs w:val="21"/>
              </w:rPr>
            </w:pPr>
          </w:p>
        </w:tc>
        <w:tc>
          <w:tcPr>
            <w:tcW w:w="1242"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jc w:val="center"/>
        </w:trPr>
        <w:tc>
          <w:tcPr>
            <w:tcW w:w="10575" w:type="dxa"/>
            <w:gridSpan w:val="9"/>
            <w:noWrap w:val="0"/>
            <w:vAlign w:val="top"/>
          </w:tcPr>
          <w:p>
            <w:pPr>
              <w:spacing w:line="460" w:lineRule="exact"/>
              <w:rPr>
                <w:rFonts w:hint="eastAsia" w:ascii="宋体" w:hAnsi="宋体" w:cs="宋体"/>
              </w:rPr>
            </w:pPr>
            <w:r>
              <w:rPr>
                <w:rFonts w:hint="eastAsia" w:ascii="宋体" w:hAnsi="宋体" w:cs="宋体"/>
              </w:rPr>
              <w:t>总报价大写：                           小写：</w:t>
            </w:r>
          </w:p>
        </w:tc>
      </w:tr>
    </w:tbl>
    <w:p>
      <w:pPr>
        <w:rPr>
          <w:rFonts w:hint="eastAsia"/>
        </w:rPr>
      </w:pPr>
    </w:p>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23"/>
        <w:rPr>
          <w:rFonts w:hint="eastAsia" w:cs="宋体"/>
          <w:sz w:val="28"/>
          <w:szCs w:val="24"/>
        </w:rPr>
      </w:pPr>
    </w:p>
    <w:p>
      <w:pPr>
        <w:spacing w:line="440" w:lineRule="exact"/>
        <w:ind w:left="420"/>
        <w:rPr>
          <w:rFonts w:hint="eastAsia"/>
          <w:b/>
          <w:bCs/>
          <w:szCs w:val="21"/>
        </w:rPr>
      </w:pPr>
      <w:r>
        <w:rPr>
          <w:rFonts w:hint="eastAsia"/>
          <w:b/>
          <w:bCs/>
          <w:szCs w:val="21"/>
        </w:rPr>
        <w:t>注：1.本表不能装在响应文件内，应单独制作并在二次报价时作为附件（PDF格式）上传。磋商小组对已通过资格性、符合性审查的供应商发起二轮（最后报价）邀请后，</w:t>
      </w:r>
      <w:r>
        <w:rPr>
          <w:rFonts w:hint="eastAsia"/>
          <w:b/>
          <w:bCs/>
        </w:rPr>
        <w:t>供应商在规定时间内通过焦作市公共资源交易平台进行二轮报价（最后报价）</w:t>
      </w:r>
      <w:r>
        <w:rPr>
          <w:rFonts w:hint="eastAsia"/>
          <w:b/>
          <w:bCs/>
          <w:lang w:eastAsia="zh-CN"/>
        </w:rPr>
        <w:t>并上传本报价表</w:t>
      </w:r>
      <w:r>
        <w:rPr>
          <w:rFonts w:hint="eastAsia"/>
          <w:b/>
          <w:bCs/>
        </w:rPr>
        <w:t>，未在规定时间内提交二轮报价（最后报价）的视为放弃本次磋商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szCs w:val="21"/>
        </w:rPr>
        <w:t>本表总报价和电子投标系统表的总报价不一致的，以本表为准；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rPr>
          <w:rFonts w:hint="eastAsia" w:ascii="宋体" w:hAnsi="宋体" w:cs="宋体"/>
          <w:b/>
          <w:bCs/>
          <w:sz w:val="32"/>
          <w:szCs w:val="32"/>
        </w:rPr>
      </w:pPr>
    </w:p>
    <w:sectPr>
      <w:headerReference r:id="rId20" w:type="first"/>
      <w:footerReference r:id="rId22" w:type="first"/>
      <w:headerReference r:id="rId19" w:type="default"/>
      <w:footerReference r:id="rId21"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2360987"/>
    </w:sdtPr>
    <w:sdtContent>
      <w:p>
        <w:pPr>
          <w:pStyle w:val="24"/>
          <w:jc w:val="center"/>
        </w:pPr>
        <w:r>
          <w:fldChar w:fldCharType="begin"/>
        </w:r>
        <w:r>
          <w:instrText xml:space="preserve">PAGE   \* MERGEFORMAT</w:instrText>
        </w:r>
        <w:r>
          <w:fldChar w:fldCharType="separate"/>
        </w:r>
        <w:r>
          <w:rPr>
            <w:lang w:val="zh-CN"/>
          </w:rPr>
          <w:t>3</w:t>
        </w:r>
        <w:r>
          <w:fldChar w:fldCharType="end"/>
        </w:r>
      </w:p>
    </w:sdtContent>
  </w:sdt>
  <w:p>
    <w:pPr>
      <w:pStyle w:val="2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3">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5">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6">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B"/>
    <w:multiLevelType w:val="singleLevel"/>
    <w:tmpl w:val="0000001B"/>
    <w:lvl w:ilvl="0" w:tentative="0">
      <w:start w:val="1"/>
      <w:numFmt w:val="decimal"/>
      <w:suff w:val="nothing"/>
      <w:lvlText w:val="%1."/>
      <w:lvlJc w:val="left"/>
    </w:lvl>
  </w:abstractNum>
  <w:abstractNum w:abstractNumId="9">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511B12F6"/>
    <w:multiLevelType w:val="singleLevel"/>
    <w:tmpl w:val="511B12F6"/>
    <w:lvl w:ilvl="0" w:tentative="0">
      <w:start w:val="7"/>
      <w:numFmt w:val="chineseCounting"/>
      <w:suff w:val="nothing"/>
      <w:lvlText w:val="%1、"/>
      <w:lvlJc w:val="left"/>
      <w:rPr>
        <w:rFonts w:hint="eastAsia"/>
      </w:rPr>
    </w:lvl>
  </w:abstractNum>
  <w:num w:numId="1">
    <w:abstractNumId w:val="5"/>
  </w:num>
  <w:num w:numId="2">
    <w:abstractNumId w:val="13"/>
  </w:num>
  <w:num w:numId="3">
    <w:abstractNumId w:val="14"/>
  </w:num>
  <w:num w:numId="4">
    <w:abstractNumId w:val="10"/>
  </w:num>
  <w:num w:numId="5">
    <w:abstractNumId w:val="2"/>
  </w:num>
  <w:num w:numId="6">
    <w:abstractNumId w:val="3"/>
  </w:num>
  <w:num w:numId="7">
    <w:abstractNumId w:val="6"/>
  </w:num>
  <w:num w:numId="8">
    <w:abstractNumId w:val="9"/>
  </w:num>
  <w:num w:numId="9">
    <w:abstractNumId w:val="1"/>
  </w:num>
  <w:num w:numId="10">
    <w:abstractNumId w:val="7"/>
  </w:num>
  <w:num w:numId="11">
    <w:abstractNumId w:val="4"/>
  </w:num>
  <w:num w:numId="12">
    <w:abstractNumId w:val="12"/>
  </w:num>
  <w:num w:numId="13">
    <w:abstractNumId w:val="11"/>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NzExZDQ5NjJhOGJmNzE2Yjc4ZGQ5YzE1NzVmNzc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250DA"/>
    <w:rsid w:val="02B32C00"/>
    <w:rsid w:val="02EB23E7"/>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9F11D0"/>
    <w:rsid w:val="05B93485"/>
    <w:rsid w:val="05C71142"/>
    <w:rsid w:val="05D821BC"/>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51F68"/>
    <w:rsid w:val="0D32353D"/>
    <w:rsid w:val="0D7D4536"/>
    <w:rsid w:val="0DAF0B93"/>
    <w:rsid w:val="0DC57FFF"/>
    <w:rsid w:val="0DF612D3"/>
    <w:rsid w:val="0E031C4F"/>
    <w:rsid w:val="0E0620AA"/>
    <w:rsid w:val="0E552513"/>
    <w:rsid w:val="0E5C239D"/>
    <w:rsid w:val="0E63197E"/>
    <w:rsid w:val="0E996CD0"/>
    <w:rsid w:val="0F044A03"/>
    <w:rsid w:val="0F1B6A2C"/>
    <w:rsid w:val="0F223D21"/>
    <w:rsid w:val="0F2F360E"/>
    <w:rsid w:val="0F3A297B"/>
    <w:rsid w:val="0F5372FC"/>
    <w:rsid w:val="0F6C35CE"/>
    <w:rsid w:val="0FBD0C1A"/>
    <w:rsid w:val="0FC30926"/>
    <w:rsid w:val="0FF07241"/>
    <w:rsid w:val="100453F3"/>
    <w:rsid w:val="1022110A"/>
    <w:rsid w:val="103939A5"/>
    <w:rsid w:val="104135F9"/>
    <w:rsid w:val="10437371"/>
    <w:rsid w:val="10F845FF"/>
    <w:rsid w:val="112706F4"/>
    <w:rsid w:val="113263C3"/>
    <w:rsid w:val="115D4462"/>
    <w:rsid w:val="115F08E1"/>
    <w:rsid w:val="117417AC"/>
    <w:rsid w:val="117B4B6D"/>
    <w:rsid w:val="118F65E6"/>
    <w:rsid w:val="11F3777D"/>
    <w:rsid w:val="128C631B"/>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F2599B"/>
    <w:rsid w:val="15F80BFE"/>
    <w:rsid w:val="161F0EEC"/>
    <w:rsid w:val="16420C4F"/>
    <w:rsid w:val="16486627"/>
    <w:rsid w:val="16502CDA"/>
    <w:rsid w:val="16557669"/>
    <w:rsid w:val="16BA216A"/>
    <w:rsid w:val="16C72E02"/>
    <w:rsid w:val="16E66CA8"/>
    <w:rsid w:val="17033CFE"/>
    <w:rsid w:val="170B4961"/>
    <w:rsid w:val="17714319"/>
    <w:rsid w:val="179901BE"/>
    <w:rsid w:val="17A96653"/>
    <w:rsid w:val="17B46264"/>
    <w:rsid w:val="17F51340"/>
    <w:rsid w:val="18177ED1"/>
    <w:rsid w:val="18467369"/>
    <w:rsid w:val="18673E19"/>
    <w:rsid w:val="18837C5C"/>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40668"/>
    <w:rsid w:val="1C654B13"/>
    <w:rsid w:val="1D210BFD"/>
    <w:rsid w:val="1D2B3667"/>
    <w:rsid w:val="1D457830"/>
    <w:rsid w:val="1D4B5AB7"/>
    <w:rsid w:val="1D540C49"/>
    <w:rsid w:val="1D611D73"/>
    <w:rsid w:val="1D617689"/>
    <w:rsid w:val="1D7E23F8"/>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6B68E4"/>
    <w:rsid w:val="1F925C1F"/>
    <w:rsid w:val="1F971487"/>
    <w:rsid w:val="1FCC2F8A"/>
    <w:rsid w:val="1FEA5EA1"/>
    <w:rsid w:val="20094B98"/>
    <w:rsid w:val="203C7A5B"/>
    <w:rsid w:val="204443F5"/>
    <w:rsid w:val="20602C7A"/>
    <w:rsid w:val="20C148C6"/>
    <w:rsid w:val="20E26732"/>
    <w:rsid w:val="215502DB"/>
    <w:rsid w:val="215C2350"/>
    <w:rsid w:val="21C34257"/>
    <w:rsid w:val="21CB5418"/>
    <w:rsid w:val="21F4496F"/>
    <w:rsid w:val="221950B9"/>
    <w:rsid w:val="222D7E81"/>
    <w:rsid w:val="22433DD5"/>
    <w:rsid w:val="224522F9"/>
    <w:rsid w:val="22821F7B"/>
    <w:rsid w:val="22A40E2A"/>
    <w:rsid w:val="22CB4C39"/>
    <w:rsid w:val="22DA1DB7"/>
    <w:rsid w:val="22E55B06"/>
    <w:rsid w:val="22F52960"/>
    <w:rsid w:val="22FA2B18"/>
    <w:rsid w:val="23211167"/>
    <w:rsid w:val="23250B58"/>
    <w:rsid w:val="23616034"/>
    <w:rsid w:val="23647A1C"/>
    <w:rsid w:val="23706277"/>
    <w:rsid w:val="2382348F"/>
    <w:rsid w:val="23B73C18"/>
    <w:rsid w:val="23CD1F32"/>
    <w:rsid w:val="247B58A0"/>
    <w:rsid w:val="24855D52"/>
    <w:rsid w:val="248F6BD1"/>
    <w:rsid w:val="24B108F5"/>
    <w:rsid w:val="24D81875"/>
    <w:rsid w:val="24E24F53"/>
    <w:rsid w:val="24E94533"/>
    <w:rsid w:val="250F386E"/>
    <w:rsid w:val="25356324"/>
    <w:rsid w:val="253B22C4"/>
    <w:rsid w:val="25706CBA"/>
    <w:rsid w:val="25AE3087"/>
    <w:rsid w:val="25B85CB3"/>
    <w:rsid w:val="26011794"/>
    <w:rsid w:val="26094761"/>
    <w:rsid w:val="26751DF6"/>
    <w:rsid w:val="26A92FFB"/>
    <w:rsid w:val="26C02369"/>
    <w:rsid w:val="26CB02AF"/>
    <w:rsid w:val="26DC3F00"/>
    <w:rsid w:val="26DD1E76"/>
    <w:rsid w:val="27145658"/>
    <w:rsid w:val="27283ECE"/>
    <w:rsid w:val="27286E69"/>
    <w:rsid w:val="2733425E"/>
    <w:rsid w:val="27441EF5"/>
    <w:rsid w:val="27742C61"/>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F35FAE"/>
    <w:rsid w:val="2EF7784D"/>
    <w:rsid w:val="2F227824"/>
    <w:rsid w:val="2F4440CA"/>
    <w:rsid w:val="2F49150D"/>
    <w:rsid w:val="2F542EF1"/>
    <w:rsid w:val="2F5C1DA5"/>
    <w:rsid w:val="2F653786"/>
    <w:rsid w:val="2F862A31"/>
    <w:rsid w:val="302B7E84"/>
    <w:rsid w:val="3043740F"/>
    <w:rsid w:val="304C5976"/>
    <w:rsid w:val="30660E93"/>
    <w:rsid w:val="30A85D06"/>
    <w:rsid w:val="30C73495"/>
    <w:rsid w:val="30DF11B1"/>
    <w:rsid w:val="30EB38AE"/>
    <w:rsid w:val="31701FF1"/>
    <w:rsid w:val="319F3B14"/>
    <w:rsid w:val="3200110E"/>
    <w:rsid w:val="324433B8"/>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42559A"/>
    <w:rsid w:val="357240D1"/>
    <w:rsid w:val="35E46F67"/>
    <w:rsid w:val="36172D69"/>
    <w:rsid w:val="36252EF1"/>
    <w:rsid w:val="36392432"/>
    <w:rsid w:val="365A2ACD"/>
    <w:rsid w:val="36CA1CEB"/>
    <w:rsid w:val="36F34D9D"/>
    <w:rsid w:val="37215DAE"/>
    <w:rsid w:val="37385662"/>
    <w:rsid w:val="37621F23"/>
    <w:rsid w:val="3768578B"/>
    <w:rsid w:val="376F6900"/>
    <w:rsid w:val="377834F5"/>
    <w:rsid w:val="379B4086"/>
    <w:rsid w:val="37AA6032"/>
    <w:rsid w:val="384E0062"/>
    <w:rsid w:val="386677F1"/>
    <w:rsid w:val="38706B58"/>
    <w:rsid w:val="387A22ED"/>
    <w:rsid w:val="38BE623C"/>
    <w:rsid w:val="390E705C"/>
    <w:rsid w:val="39404C40"/>
    <w:rsid w:val="395922F3"/>
    <w:rsid w:val="395A7356"/>
    <w:rsid w:val="3962445C"/>
    <w:rsid w:val="39893797"/>
    <w:rsid w:val="39A1607B"/>
    <w:rsid w:val="3A6B4003"/>
    <w:rsid w:val="3A924EA9"/>
    <w:rsid w:val="3AB331C1"/>
    <w:rsid w:val="3AD06540"/>
    <w:rsid w:val="3ADF038D"/>
    <w:rsid w:val="3AE37655"/>
    <w:rsid w:val="3B223EA3"/>
    <w:rsid w:val="3B68689B"/>
    <w:rsid w:val="3B845814"/>
    <w:rsid w:val="3B9D79CE"/>
    <w:rsid w:val="3BCC3E0F"/>
    <w:rsid w:val="3C2A559E"/>
    <w:rsid w:val="3C4B567C"/>
    <w:rsid w:val="3C545E01"/>
    <w:rsid w:val="3C7626F9"/>
    <w:rsid w:val="3C7D2064"/>
    <w:rsid w:val="3C8666B4"/>
    <w:rsid w:val="3CAF5C0A"/>
    <w:rsid w:val="3CB50EC3"/>
    <w:rsid w:val="3D51730D"/>
    <w:rsid w:val="3D8250CD"/>
    <w:rsid w:val="3D83546E"/>
    <w:rsid w:val="3E114C4C"/>
    <w:rsid w:val="3E2D328B"/>
    <w:rsid w:val="3E655A64"/>
    <w:rsid w:val="3E895FE7"/>
    <w:rsid w:val="3E8A4C21"/>
    <w:rsid w:val="3E9958B1"/>
    <w:rsid w:val="3EC82FB3"/>
    <w:rsid w:val="3EE045C9"/>
    <w:rsid w:val="3EE719AC"/>
    <w:rsid w:val="3EEA2F2A"/>
    <w:rsid w:val="3F406FEE"/>
    <w:rsid w:val="3F6833D1"/>
    <w:rsid w:val="3F941354"/>
    <w:rsid w:val="3FAE708C"/>
    <w:rsid w:val="3FDA1030"/>
    <w:rsid w:val="3FF12C3A"/>
    <w:rsid w:val="400A54C8"/>
    <w:rsid w:val="40386761"/>
    <w:rsid w:val="409725E8"/>
    <w:rsid w:val="40A215BE"/>
    <w:rsid w:val="40B01C45"/>
    <w:rsid w:val="40FA4E7B"/>
    <w:rsid w:val="411424C6"/>
    <w:rsid w:val="41201CCA"/>
    <w:rsid w:val="41271358"/>
    <w:rsid w:val="415D3E87"/>
    <w:rsid w:val="417B430D"/>
    <w:rsid w:val="4189672F"/>
    <w:rsid w:val="41D028AB"/>
    <w:rsid w:val="41DF489C"/>
    <w:rsid w:val="41E41EB2"/>
    <w:rsid w:val="42106AA5"/>
    <w:rsid w:val="42442C17"/>
    <w:rsid w:val="425816DC"/>
    <w:rsid w:val="426E40F0"/>
    <w:rsid w:val="42762427"/>
    <w:rsid w:val="43184112"/>
    <w:rsid w:val="433E1A96"/>
    <w:rsid w:val="43664B49"/>
    <w:rsid w:val="43D917BF"/>
    <w:rsid w:val="43DE178B"/>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2D151F"/>
    <w:rsid w:val="47525B10"/>
    <w:rsid w:val="47807760"/>
    <w:rsid w:val="478F0B12"/>
    <w:rsid w:val="47BC567F"/>
    <w:rsid w:val="47E46F5C"/>
    <w:rsid w:val="47FB61A8"/>
    <w:rsid w:val="480056D8"/>
    <w:rsid w:val="48374480"/>
    <w:rsid w:val="483F277D"/>
    <w:rsid w:val="488E2B78"/>
    <w:rsid w:val="48B40105"/>
    <w:rsid w:val="48BD345D"/>
    <w:rsid w:val="48DF1625"/>
    <w:rsid w:val="48FB2CF7"/>
    <w:rsid w:val="49107A31"/>
    <w:rsid w:val="49372EB2"/>
    <w:rsid w:val="493C25D4"/>
    <w:rsid w:val="494D658F"/>
    <w:rsid w:val="494E5146"/>
    <w:rsid w:val="49BE748D"/>
    <w:rsid w:val="49FB621D"/>
    <w:rsid w:val="4A011398"/>
    <w:rsid w:val="4A05080D"/>
    <w:rsid w:val="4A091ED0"/>
    <w:rsid w:val="4A7D10F6"/>
    <w:rsid w:val="4ABF170F"/>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442F6"/>
    <w:rsid w:val="4E0A47AA"/>
    <w:rsid w:val="4E2F0959"/>
    <w:rsid w:val="4E847CBD"/>
    <w:rsid w:val="4E8E2ED5"/>
    <w:rsid w:val="4ED70257"/>
    <w:rsid w:val="4EF243B2"/>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2A178B8"/>
    <w:rsid w:val="52DC7403"/>
    <w:rsid w:val="530C3041"/>
    <w:rsid w:val="531E71EE"/>
    <w:rsid w:val="535C4775"/>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44C94"/>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942E0"/>
    <w:rsid w:val="5B1566C6"/>
    <w:rsid w:val="5B157129"/>
    <w:rsid w:val="5B1935A9"/>
    <w:rsid w:val="5B215ACE"/>
    <w:rsid w:val="5B7025B1"/>
    <w:rsid w:val="5B8624B1"/>
    <w:rsid w:val="5B9D0EAC"/>
    <w:rsid w:val="5BA30C60"/>
    <w:rsid w:val="5BD26DC8"/>
    <w:rsid w:val="5BDF1093"/>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FB3249C"/>
    <w:rsid w:val="5FE11ED3"/>
    <w:rsid w:val="602816AC"/>
    <w:rsid w:val="6048563A"/>
    <w:rsid w:val="6079112D"/>
    <w:rsid w:val="608E20E7"/>
    <w:rsid w:val="60942A5D"/>
    <w:rsid w:val="609B1E7E"/>
    <w:rsid w:val="60B46A9C"/>
    <w:rsid w:val="615D7134"/>
    <w:rsid w:val="6189617B"/>
    <w:rsid w:val="619244A7"/>
    <w:rsid w:val="61E6537B"/>
    <w:rsid w:val="62632F8F"/>
    <w:rsid w:val="629D6E17"/>
    <w:rsid w:val="62D96C8E"/>
    <w:rsid w:val="634174F0"/>
    <w:rsid w:val="6371143E"/>
    <w:rsid w:val="6396158E"/>
    <w:rsid w:val="6397045F"/>
    <w:rsid w:val="63B76FCF"/>
    <w:rsid w:val="63BF5E84"/>
    <w:rsid w:val="63C870C0"/>
    <w:rsid w:val="63CB2219"/>
    <w:rsid w:val="63F5294F"/>
    <w:rsid w:val="644D7A47"/>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CC16AA"/>
    <w:rsid w:val="66DB3E09"/>
    <w:rsid w:val="670E33AA"/>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796E11"/>
    <w:rsid w:val="69A73B89"/>
    <w:rsid w:val="6A181E8D"/>
    <w:rsid w:val="6A325601"/>
    <w:rsid w:val="6A3B177D"/>
    <w:rsid w:val="6A3B3D8A"/>
    <w:rsid w:val="6A5657ED"/>
    <w:rsid w:val="6A616079"/>
    <w:rsid w:val="6A617C95"/>
    <w:rsid w:val="6A753740"/>
    <w:rsid w:val="6AB37DC4"/>
    <w:rsid w:val="6B116D78"/>
    <w:rsid w:val="6B20545A"/>
    <w:rsid w:val="6B2111D2"/>
    <w:rsid w:val="6B301415"/>
    <w:rsid w:val="6B3428F7"/>
    <w:rsid w:val="6B620166"/>
    <w:rsid w:val="6B65611A"/>
    <w:rsid w:val="6B7415B6"/>
    <w:rsid w:val="6B99375A"/>
    <w:rsid w:val="6BA8544F"/>
    <w:rsid w:val="6BF730D7"/>
    <w:rsid w:val="6C1D07EE"/>
    <w:rsid w:val="6C2C0607"/>
    <w:rsid w:val="6C565104"/>
    <w:rsid w:val="6C602FC1"/>
    <w:rsid w:val="6CD02EB0"/>
    <w:rsid w:val="6CD24E7A"/>
    <w:rsid w:val="6D3C22F3"/>
    <w:rsid w:val="6D8B27CF"/>
    <w:rsid w:val="6E263E89"/>
    <w:rsid w:val="6E47692C"/>
    <w:rsid w:val="6E6164B5"/>
    <w:rsid w:val="6E62222D"/>
    <w:rsid w:val="6E7361E8"/>
    <w:rsid w:val="6EB4407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777D9E"/>
    <w:rsid w:val="71E04ECC"/>
    <w:rsid w:val="72313A8F"/>
    <w:rsid w:val="726437BB"/>
    <w:rsid w:val="726A127D"/>
    <w:rsid w:val="728E35F1"/>
    <w:rsid w:val="729B7ABC"/>
    <w:rsid w:val="72B8088B"/>
    <w:rsid w:val="734A4D94"/>
    <w:rsid w:val="734B2FC2"/>
    <w:rsid w:val="735522FB"/>
    <w:rsid w:val="7378018E"/>
    <w:rsid w:val="73890E04"/>
    <w:rsid w:val="7395275D"/>
    <w:rsid w:val="73AD6CEC"/>
    <w:rsid w:val="73C027B6"/>
    <w:rsid w:val="73C03C7E"/>
    <w:rsid w:val="73C91FB4"/>
    <w:rsid w:val="73DE5EB2"/>
    <w:rsid w:val="73ED63CB"/>
    <w:rsid w:val="740F250F"/>
    <w:rsid w:val="74365CEE"/>
    <w:rsid w:val="743E1047"/>
    <w:rsid w:val="744228E5"/>
    <w:rsid w:val="746601C4"/>
    <w:rsid w:val="749F723D"/>
    <w:rsid w:val="74A7099A"/>
    <w:rsid w:val="74D177C5"/>
    <w:rsid w:val="74E9081C"/>
    <w:rsid w:val="751C3136"/>
    <w:rsid w:val="75257396"/>
    <w:rsid w:val="754206C3"/>
    <w:rsid w:val="754B12D3"/>
    <w:rsid w:val="75941572"/>
    <w:rsid w:val="75956484"/>
    <w:rsid w:val="75F220E9"/>
    <w:rsid w:val="76256605"/>
    <w:rsid w:val="76371099"/>
    <w:rsid w:val="765E4228"/>
    <w:rsid w:val="76605B1A"/>
    <w:rsid w:val="7693567A"/>
    <w:rsid w:val="76EE28B0"/>
    <w:rsid w:val="7718515B"/>
    <w:rsid w:val="775B7B9D"/>
    <w:rsid w:val="778036C3"/>
    <w:rsid w:val="77A6276C"/>
    <w:rsid w:val="77DD178E"/>
    <w:rsid w:val="781E1591"/>
    <w:rsid w:val="784E0C98"/>
    <w:rsid w:val="78647DA9"/>
    <w:rsid w:val="78650049"/>
    <w:rsid w:val="7889049B"/>
    <w:rsid w:val="788A4695"/>
    <w:rsid w:val="78B44DDC"/>
    <w:rsid w:val="78ED57C7"/>
    <w:rsid w:val="790F4D60"/>
    <w:rsid w:val="791800B8"/>
    <w:rsid w:val="7941364C"/>
    <w:rsid w:val="7945563E"/>
    <w:rsid w:val="794B2AAD"/>
    <w:rsid w:val="79534C4C"/>
    <w:rsid w:val="7984574E"/>
    <w:rsid w:val="79C8388C"/>
    <w:rsid w:val="79D3028B"/>
    <w:rsid w:val="79E104AA"/>
    <w:rsid w:val="79EC750C"/>
    <w:rsid w:val="7A0A5C53"/>
    <w:rsid w:val="7A0E0CCB"/>
    <w:rsid w:val="7A3B4602"/>
    <w:rsid w:val="7A61783D"/>
    <w:rsid w:val="7A7237F8"/>
    <w:rsid w:val="7A740891"/>
    <w:rsid w:val="7A9609AA"/>
    <w:rsid w:val="7A9F1809"/>
    <w:rsid w:val="7AA80846"/>
    <w:rsid w:val="7AB570B4"/>
    <w:rsid w:val="7AB931D5"/>
    <w:rsid w:val="7AEA15E0"/>
    <w:rsid w:val="7AF17F97"/>
    <w:rsid w:val="7AF55786"/>
    <w:rsid w:val="7B0F1047"/>
    <w:rsid w:val="7B260AB7"/>
    <w:rsid w:val="7B4C6D88"/>
    <w:rsid w:val="7B5B420B"/>
    <w:rsid w:val="7B707D38"/>
    <w:rsid w:val="7BB265A2"/>
    <w:rsid w:val="7BB65001"/>
    <w:rsid w:val="7BDC361F"/>
    <w:rsid w:val="7C083123"/>
    <w:rsid w:val="7C4F5666"/>
    <w:rsid w:val="7C5036C5"/>
    <w:rsid w:val="7C5F74F0"/>
    <w:rsid w:val="7C6F4E89"/>
    <w:rsid w:val="7CAB04C7"/>
    <w:rsid w:val="7CAB71AA"/>
    <w:rsid w:val="7CDE5E54"/>
    <w:rsid w:val="7CDF5EAD"/>
    <w:rsid w:val="7D252DA4"/>
    <w:rsid w:val="7D6041D6"/>
    <w:rsid w:val="7D697134"/>
    <w:rsid w:val="7DCC76C3"/>
    <w:rsid w:val="7DFB04BA"/>
    <w:rsid w:val="7E0E1A8A"/>
    <w:rsid w:val="7E300756"/>
    <w:rsid w:val="7E682F48"/>
    <w:rsid w:val="7E6A6EBA"/>
    <w:rsid w:val="7E7A45CB"/>
    <w:rsid w:val="7E845EE8"/>
    <w:rsid w:val="7F0562FB"/>
    <w:rsid w:val="7F0A03FD"/>
    <w:rsid w:val="7F855D7C"/>
    <w:rsid w:val="7F89546E"/>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8"/>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59"/>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7">
    <w:name w:val="toc 7"/>
    <w:basedOn w:val="1"/>
    <w:next w:val="1"/>
    <w:qFormat/>
    <w:uiPriority w:val="0"/>
    <w:pPr>
      <w:ind w:left="2520" w:leftChars="1200"/>
    </w:pPr>
  </w:style>
  <w:style w:type="paragraph" w:styleId="8">
    <w:name w:val="Normal Indent"/>
    <w:basedOn w:val="1"/>
    <w:link w:val="60"/>
    <w:qFormat/>
    <w:uiPriority w:val="0"/>
    <w:pPr>
      <w:autoSpaceDE w:val="0"/>
      <w:autoSpaceDN w:val="0"/>
      <w:adjustRightInd w:val="0"/>
      <w:ind w:firstLine="420"/>
      <w:jc w:val="left"/>
    </w:pPr>
    <w:rPr>
      <w:rFonts w:ascii="宋体"/>
      <w:kern w:val="0"/>
      <w:sz w:val="24"/>
    </w:rPr>
  </w:style>
  <w:style w:type="paragraph" w:styleId="9">
    <w:name w:val="Document Map"/>
    <w:basedOn w:val="1"/>
    <w:qFormat/>
    <w:uiPriority w:val="0"/>
    <w:pPr>
      <w:shd w:val="clear" w:color="auto" w:fill="000080"/>
    </w:pPr>
  </w:style>
  <w:style w:type="paragraph" w:styleId="10">
    <w:name w:val="annotation text"/>
    <w:basedOn w:val="1"/>
    <w:qFormat/>
    <w:uiPriority w:val="0"/>
    <w:pPr>
      <w:jc w:val="left"/>
    </w:pPr>
  </w:style>
  <w:style w:type="paragraph" w:styleId="11">
    <w:name w:val="Body Text 3"/>
    <w:basedOn w:val="1"/>
    <w:qFormat/>
    <w:uiPriority w:val="0"/>
    <w:rPr>
      <w:rFonts w:eastAsia="楷体_GB2312"/>
      <w:sz w:val="28"/>
    </w:rPr>
  </w:style>
  <w:style w:type="paragraph" w:styleId="12">
    <w:name w:val="Body Text"/>
    <w:basedOn w:val="1"/>
    <w:next w:val="13"/>
    <w:qFormat/>
    <w:uiPriority w:val="0"/>
    <w:pPr>
      <w:spacing w:after="120" w:afterLines="0"/>
    </w:pPr>
  </w:style>
  <w:style w:type="paragraph" w:styleId="13">
    <w:name w:val="Body Text 2"/>
    <w:basedOn w:val="1"/>
    <w:qFormat/>
    <w:uiPriority w:val="0"/>
    <w:pPr>
      <w:spacing w:after="120" w:afterLines="0" w:line="480" w:lineRule="auto"/>
    </w:pPr>
  </w:style>
  <w:style w:type="paragraph" w:styleId="14">
    <w:name w:val="Body Text Indent"/>
    <w:basedOn w:val="1"/>
    <w:next w:val="15"/>
    <w:link w:val="57"/>
    <w:qFormat/>
    <w:uiPriority w:val="0"/>
    <w:rPr>
      <w:kern w:val="0"/>
    </w:rPr>
  </w:style>
  <w:style w:type="paragraph" w:styleId="15">
    <w:name w:val="envelope return"/>
    <w:basedOn w:val="1"/>
    <w:qFormat/>
    <w:uiPriority w:val="0"/>
    <w:pPr>
      <w:snapToGrid w:val="0"/>
    </w:pPr>
    <w:rPr>
      <w:rFonts w:ascii="Arial" w:hAnsi="Arial"/>
    </w:rPr>
  </w:style>
  <w:style w:type="paragraph" w:styleId="16">
    <w:name w:val="Block Text"/>
    <w:basedOn w:val="1"/>
    <w:unhideWhenUsed/>
    <w:qFormat/>
    <w:uiPriority w:val="99"/>
    <w:pPr>
      <w:spacing w:after="120"/>
      <w:ind w:left="1440" w:leftChars="700" w:right="1440" w:rightChars="700"/>
    </w:pPr>
  </w:style>
  <w:style w:type="paragraph" w:styleId="17">
    <w:name w:val="toc 5"/>
    <w:basedOn w:val="1"/>
    <w:next w:val="1"/>
    <w:qFormat/>
    <w:uiPriority w:val="0"/>
    <w:pPr>
      <w:ind w:left="1680" w:leftChars="800"/>
    </w:pPr>
  </w:style>
  <w:style w:type="paragraph" w:styleId="18">
    <w:name w:val="toc 3"/>
    <w:basedOn w:val="1"/>
    <w:next w:val="1"/>
    <w:qFormat/>
    <w:uiPriority w:val="0"/>
    <w:pPr>
      <w:ind w:left="840" w:leftChars="400"/>
    </w:pPr>
  </w:style>
  <w:style w:type="paragraph" w:styleId="19">
    <w:name w:val="Plain Text"/>
    <w:basedOn w:val="1"/>
    <w:next w:val="12"/>
    <w:link w:val="61"/>
    <w:qFormat/>
    <w:uiPriority w:val="0"/>
    <w:rPr>
      <w:rFonts w:hAnsi="Courier New" w:eastAsia="幼圆"/>
      <w:kern w:val="0"/>
    </w:rPr>
  </w:style>
  <w:style w:type="paragraph" w:styleId="20">
    <w:name w:val="toc 8"/>
    <w:basedOn w:val="1"/>
    <w:next w:val="1"/>
    <w:qFormat/>
    <w:uiPriority w:val="0"/>
    <w:pPr>
      <w:ind w:left="2940" w:leftChars="1400"/>
    </w:pPr>
  </w:style>
  <w:style w:type="paragraph" w:styleId="21">
    <w:name w:val="Date"/>
    <w:basedOn w:val="1"/>
    <w:next w:val="1"/>
    <w:qFormat/>
    <w:uiPriority w:val="0"/>
    <w:pPr>
      <w:ind w:left="100" w:leftChars="2500"/>
    </w:pPr>
    <w:rPr>
      <w:rFonts w:ascii="宋体" w:hAnsi="宋体"/>
      <w:sz w:val="28"/>
    </w:rPr>
  </w:style>
  <w:style w:type="paragraph" w:styleId="22">
    <w:name w:val="Body Text Indent 2"/>
    <w:basedOn w:val="1"/>
    <w:qFormat/>
    <w:uiPriority w:val="0"/>
    <w:pPr>
      <w:ind w:firstLine="405" w:firstLineChars="193"/>
    </w:pPr>
    <w:rPr>
      <w:rFonts w:ascii="宋体" w:hAnsi="宋体"/>
    </w:rPr>
  </w:style>
  <w:style w:type="paragraph" w:styleId="23">
    <w:name w:val="Balloon Text"/>
    <w:basedOn w:val="1"/>
    <w:link w:val="62"/>
    <w:qFormat/>
    <w:uiPriority w:val="0"/>
    <w:rPr>
      <w:rFonts w:ascii="宋体" w:hAnsi="宋体"/>
      <w:sz w:val="18"/>
      <w:szCs w:val="18"/>
    </w:rPr>
  </w:style>
  <w:style w:type="paragraph" w:styleId="24">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next w:val="24"/>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qFormat/>
    <w:uiPriority w:val="39"/>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3">
    <w:name w:val="index 1"/>
    <w:basedOn w:val="1"/>
    <w:next w:val="1"/>
    <w:qFormat/>
    <w:uiPriority w:val="0"/>
    <w:rPr>
      <w:szCs w:val="20"/>
    </w:rPr>
  </w:style>
  <w:style w:type="paragraph" w:styleId="34">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5">
    <w:name w:val="Body Text First Indent"/>
    <w:basedOn w:val="12"/>
    <w:next w:val="36"/>
    <w:qFormat/>
    <w:uiPriority w:val="0"/>
  </w:style>
  <w:style w:type="paragraph" w:styleId="36">
    <w:name w:val="Body Text First Indent 2"/>
    <w:basedOn w:val="14"/>
    <w:next w:val="1"/>
    <w:qFormat/>
    <w:uiPriority w:val="0"/>
    <w:pPr>
      <w:numPr>
        <w:ilvl w:val="0"/>
        <w:numId w:val="0"/>
      </w:numPr>
      <w:spacing w:after="120" w:afterLines="0"/>
    </w:p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lang w:val="en-US" w:eastAsia="zh-CN" w:bidi="ar-SA"/>
    </w:rPr>
  </w:style>
  <w:style w:type="character" w:styleId="41">
    <w:name w:val="FollowedHyperlink"/>
    <w:qFormat/>
    <w:uiPriority w:val="0"/>
    <w:rPr>
      <w:rFonts w:ascii="宋体" w:hAnsi="宋体" w:eastAsia="宋体"/>
      <w:color w:val="333333"/>
      <w:kern w:val="2"/>
      <w:sz w:val="18"/>
      <w:szCs w:val="18"/>
      <w:u w:val="none"/>
      <w:lang w:val="en-US" w:eastAsia="zh-CN" w:bidi="ar-SA"/>
    </w:rPr>
  </w:style>
  <w:style w:type="character" w:styleId="42">
    <w:name w:val="HTML Definition"/>
    <w:qFormat/>
    <w:uiPriority w:val="0"/>
    <w:rPr>
      <w:lang w:val="en-US" w:eastAsia="zh-CN" w:bidi="ar-SA"/>
    </w:rPr>
  </w:style>
  <w:style w:type="character" w:styleId="43">
    <w:name w:val="HTML Typewriter"/>
    <w:qFormat/>
    <w:uiPriority w:val="0"/>
    <w:rPr>
      <w:rFonts w:hint="default" w:ascii="monospace" w:hAnsi="monospace" w:eastAsia="monospace" w:cs="monospace"/>
      <w:sz w:val="20"/>
      <w:lang w:val="en-US" w:eastAsia="zh-CN" w:bidi="ar-SA"/>
    </w:rPr>
  </w:style>
  <w:style w:type="character" w:styleId="44">
    <w:name w:val="HTML Acronym"/>
    <w:qFormat/>
    <w:uiPriority w:val="0"/>
    <w:rPr>
      <w:lang w:val="en-US" w:eastAsia="zh-CN" w:bidi="ar-SA"/>
    </w:rPr>
  </w:style>
  <w:style w:type="character" w:styleId="45">
    <w:name w:val="HTML Variable"/>
    <w:qFormat/>
    <w:uiPriority w:val="0"/>
    <w:rPr>
      <w:lang w:val="en-US" w:eastAsia="zh-CN" w:bidi="ar-SA"/>
    </w:rPr>
  </w:style>
  <w:style w:type="character" w:styleId="46">
    <w:name w:val="Hyperlink"/>
    <w:qFormat/>
    <w:uiPriority w:val="99"/>
    <w:rPr>
      <w:rFonts w:ascii="宋体" w:hAnsi="宋体" w:eastAsia="宋体"/>
      <w:color w:val="0000FF"/>
      <w:kern w:val="2"/>
      <w:sz w:val="28"/>
      <w:szCs w:val="24"/>
      <w:u w:val="single"/>
      <w:lang w:val="en-US" w:eastAsia="zh-CN" w:bidi="ar-SA"/>
    </w:rPr>
  </w:style>
  <w:style w:type="character" w:styleId="47">
    <w:name w:val="HTML Code"/>
    <w:qFormat/>
    <w:uiPriority w:val="0"/>
    <w:rPr>
      <w:rFonts w:ascii="monospace" w:hAnsi="monospace" w:eastAsia="monospace" w:cs="monospace"/>
      <w:sz w:val="20"/>
      <w:lang w:val="en-US" w:eastAsia="zh-CN" w:bidi="ar-SA"/>
    </w:rPr>
  </w:style>
  <w:style w:type="character" w:styleId="48">
    <w:name w:val="HTML Cite"/>
    <w:qFormat/>
    <w:uiPriority w:val="0"/>
    <w:rPr>
      <w:lang w:val="en-US" w:eastAsia="zh-CN" w:bidi="ar-SA"/>
    </w:rPr>
  </w:style>
  <w:style w:type="character" w:styleId="49">
    <w:name w:val="HTML Keyboard"/>
    <w:qFormat/>
    <w:uiPriority w:val="0"/>
    <w:rPr>
      <w:rFonts w:hint="default" w:ascii="monospace" w:hAnsi="monospace" w:eastAsia="monospace" w:cs="monospace"/>
      <w:sz w:val="20"/>
      <w:lang w:val="en-US" w:eastAsia="zh-CN" w:bidi="ar-SA"/>
    </w:rPr>
  </w:style>
  <w:style w:type="character" w:styleId="50">
    <w:name w:val="HTML Sample"/>
    <w:qFormat/>
    <w:uiPriority w:val="0"/>
    <w:rPr>
      <w:rFonts w:hint="default" w:ascii="monospace" w:hAnsi="monospace" w:eastAsia="monospace" w:cs="monospace"/>
      <w:lang w:val="en-US" w:eastAsia="zh-CN" w:bidi="ar-SA"/>
    </w:rPr>
  </w:style>
  <w:style w:type="paragraph" w:customStyle="1" w:styleId="51">
    <w:name w:val="No Spacing1"/>
    <w:basedOn w:val="1"/>
    <w:qFormat/>
    <w:uiPriority w:val="0"/>
    <w:pPr>
      <w:spacing w:after="0" w:afterLines="0" w:line="400" w:lineRule="exact"/>
    </w:pPr>
    <w:rPr>
      <w:rFonts w:ascii="Calibri" w:hAnsi="Calibri" w:eastAsia="宋体" w:cs="黑体"/>
      <w:sz w:val="24"/>
      <w:lang w:val="en-US" w:eastAsia="zh-CN" w:bidi="ar-SA"/>
    </w:rPr>
  </w:style>
  <w:style w:type="paragraph" w:customStyle="1" w:styleId="5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3">
    <w:name w:val="Char Char10 Char Char Char Char"/>
    <w:basedOn w:val="1"/>
    <w:next w:val="54"/>
    <w:qFormat/>
    <w:uiPriority w:val="0"/>
  </w:style>
  <w:style w:type="paragraph" w:customStyle="1" w:styleId="54">
    <w:name w:val="xl87"/>
    <w:basedOn w:val="1"/>
    <w:next w:val="55"/>
    <w:qFormat/>
    <w:uiPriority w:val="0"/>
    <w:pPr>
      <w:widowControl/>
      <w:shd w:val="clear" w:color="FFFFFF" w:fill="FFFFFF"/>
      <w:spacing w:before="280" w:beforeLines="0" w:after="280" w:afterLines="0"/>
      <w:jc w:val="right"/>
    </w:pPr>
    <w:rPr>
      <w:rFonts w:ascii="宋体"/>
      <w:sz w:val="24"/>
    </w:rPr>
  </w:style>
  <w:style w:type="paragraph" w:customStyle="1" w:styleId="55">
    <w:name w:val="xl72"/>
    <w:basedOn w:val="1"/>
    <w:next w:val="21"/>
    <w:qFormat/>
    <w:uiPriority w:val="0"/>
    <w:pPr>
      <w:widowControl/>
      <w:shd w:val="clear" w:color="FFFFFF" w:fill="FFFFFF"/>
      <w:spacing w:before="280" w:beforeLines="0" w:after="280" w:afterLines="0"/>
      <w:jc w:val="right"/>
    </w:pPr>
    <w:rPr>
      <w:rFonts w:ascii="宋体"/>
      <w:sz w:val="24"/>
    </w:rPr>
  </w:style>
  <w:style w:type="paragraph" w:customStyle="1" w:styleId="56">
    <w:name w:val="表格文字"/>
    <w:basedOn w:val="1"/>
    <w:next w:val="12"/>
    <w:qFormat/>
    <w:uiPriority w:val="0"/>
    <w:pPr>
      <w:adjustRightInd w:val="0"/>
      <w:spacing w:line="420" w:lineRule="atLeast"/>
      <w:jc w:val="left"/>
      <w:textAlignment w:val="baseline"/>
    </w:pPr>
    <w:rPr>
      <w:kern w:val="0"/>
      <w:szCs w:val="20"/>
    </w:rPr>
  </w:style>
  <w:style w:type="character" w:customStyle="1" w:styleId="57">
    <w:name w:val="正文文本缩进 Char"/>
    <w:link w:val="14"/>
    <w:qFormat/>
    <w:uiPriority w:val="0"/>
    <w:rPr>
      <w:sz w:val="21"/>
      <w:lang w:val="en-US" w:eastAsia="zh-CN" w:bidi="ar-SA"/>
    </w:rPr>
  </w:style>
  <w:style w:type="character" w:customStyle="1" w:styleId="58">
    <w:name w:val="标题 2 Char"/>
    <w:link w:val="4"/>
    <w:qFormat/>
    <w:uiPriority w:val="0"/>
    <w:rPr>
      <w:rFonts w:ascii="Arial" w:hAnsi="Arial" w:eastAsia="黑体"/>
      <w:b/>
      <w:bCs/>
      <w:kern w:val="2"/>
      <w:sz w:val="32"/>
      <w:szCs w:val="32"/>
      <w:lang w:val="en-US" w:eastAsia="zh-CN" w:bidi="ar-SA"/>
    </w:rPr>
  </w:style>
  <w:style w:type="character" w:customStyle="1" w:styleId="59">
    <w:name w:val="标题 3 Char"/>
    <w:link w:val="5"/>
    <w:qFormat/>
    <w:uiPriority w:val="0"/>
    <w:rPr>
      <w:rFonts w:ascii="宋体" w:hAnsi="宋体" w:eastAsia="幼圆"/>
      <w:b/>
      <w:bCs/>
      <w:kern w:val="2"/>
      <w:sz w:val="32"/>
      <w:szCs w:val="32"/>
      <w:lang w:val="en-US" w:eastAsia="zh-CN" w:bidi="ar-SA"/>
    </w:rPr>
  </w:style>
  <w:style w:type="character" w:customStyle="1" w:styleId="60">
    <w:name w:val="正文缩进 Char"/>
    <w:link w:val="8"/>
    <w:qFormat/>
    <w:uiPriority w:val="0"/>
    <w:rPr>
      <w:rFonts w:ascii="宋体"/>
      <w:sz w:val="24"/>
    </w:rPr>
  </w:style>
  <w:style w:type="character" w:customStyle="1" w:styleId="61">
    <w:name w:val="纯文本 Char"/>
    <w:link w:val="19"/>
    <w:qFormat/>
    <w:uiPriority w:val="0"/>
    <w:rPr>
      <w:rFonts w:hAnsi="Courier New" w:eastAsia="幼圆"/>
      <w:sz w:val="21"/>
      <w:lang w:val="en-US" w:eastAsia="zh-CN" w:bidi="ar-SA"/>
    </w:rPr>
  </w:style>
  <w:style w:type="character" w:customStyle="1" w:styleId="62">
    <w:name w:val="批注框文本 Char"/>
    <w:link w:val="23"/>
    <w:qFormat/>
    <w:uiPriority w:val="0"/>
    <w:rPr>
      <w:rFonts w:ascii="宋体" w:hAnsi="宋体" w:eastAsia="宋体"/>
      <w:kern w:val="2"/>
      <w:sz w:val="18"/>
      <w:szCs w:val="18"/>
      <w:lang w:val="en-US" w:eastAsia="zh-CN" w:bidi="ar-SA"/>
    </w:rPr>
  </w:style>
  <w:style w:type="character" w:customStyle="1" w:styleId="63">
    <w:name w:val="页眉 Char Char"/>
    <w:qFormat/>
    <w:uiPriority w:val="0"/>
    <w:rPr>
      <w:rFonts w:ascii="宋体" w:hAnsi="宋体" w:eastAsia="宋体"/>
      <w:kern w:val="2"/>
      <w:sz w:val="18"/>
      <w:szCs w:val="18"/>
      <w:lang w:val="en-US" w:eastAsia="zh-CN" w:bidi="ar-SA"/>
    </w:rPr>
  </w:style>
  <w:style w:type="character" w:customStyle="1" w:styleId="64">
    <w:name w:val="页脚 Char Char"/>
    <w:qFormat/>
    <w:uiPriority w:val="0"/>
    <w:rPr>
      <w:rFonts w:ascii="宋体" w:hAnsi="宋体" w:eastAsia="宋体"/>
      <w:kern w:val="2"/>
      <w:sz w:val="18"/>
      <w:szCs w:val="18"/>
      <w:lang w:val="en-US" w:eastAsia="zh-CN" w:bidi="ar-SA"/>
    </w:rPr>
  </w:style>
  <w:style w:type="character" w:customStyle="1" w:styleId="65">
    <w:name w:val="ca-21"/>
    <w:qFormat/>
    <w:uiPriority w:val="0"/>
    <w:rPr>
      <w:rFonts w:hint="eastAsia" w:ascii="仿宋_GB2312" w:eastAsia="仿宋_GB2312"/>
      <w:sz w:val="32"/>
      <w:szCs w:val="32"/>
    </w:rPr>
  </w:style>
  <w:style w:type="character" w:customStyle="1" w:styleId="66">
    <w:name w:val="ca-31"/>
    <w:qFormat/>
    <w:uiPriority w:val="0"/>
    <w:rPr>
      <w:rFonts w:hint="eastAsia" w:ascii="仿宋_GB2312" w:eastAsia="仿宋_GB2312"/>
      <w:b/>
      <w:bCs/>
      <w:spacing w:val="-20"/>
      <w:sz w:val="32"/>
      <w:szCs w:val="32"/>
    </w:rPr>
  </w:style>
  <w:style w:type="character" w:customStyle="1" w:styleId="67">
    <w:name w:val="UserStyle_17"/>
    <w:qFormat/>
    <w:uiPriority w:val="0"/>
    <w:rPr>
      <w:rFonts w:ascii="Times New Roman" w:hAnsi="Times New Roman" w:eastAsia="宋体" w:cs="Times New Roman"/>
      <w:kern w:val="2"/>
      <w:sz w:val="21"/>
      <w:szCs w:val="24"/>
      <w:lang w:val="en-US" w:eastAsia="zh-CN" w:bidi="ar-SA"/>
    </w:rPr>
  </w:style>
  <w:style w:type="character" w:customStyle="1" w:styleId="68">
    <w:name w:val="ca-11"/>
    <w:qFormat/>
    <w:uiPriority w:val="0"/>
    <w:rPr>
      <w:rFonts w:hint="default" w:ascii="Times New Roman" w:hAnsi="Times New Roman" w:cs="Times New Roman"/>
      <w:sz w:val="32"/>
      <w:szCs w:val="32"/>
    </w:rPr>
  </w:style>
  <w:style w:type="character" w:customStyle="1" w:styleId="69">
    <w:name w:val="font11"/>
    <w:qFormat/>
    <w:uiPriority w:val="0"/>
    <w:rPr>
      <w:rFonts w:hint="eastAsia" w:ascii="宋体" w:hAnsi="宋体" w:eastAsia="宋体" w:cs="宋体"/>
      <w:color w:val="000000"/>
      <w:sz w:val="20"/>
      <w:szCs w:val="20"/>
      <w:u w:val="none"/>
    </w:rPr>
  </w:style>
  <w:style w:type="character" w:customStyle="1" w:styleId="70">
    <w:name w:val="Char Char Char"/>
    <w:qFormat/>
    <w:uiPriority w:val="0"/>
    <w:rPr>
      <w:rFonts w:ascii="Arial" w:hAnsi="Arial" w:eastAsia="黑体"/>
      <w:b/>
      <w:bCs/>
      <w:kern w:val="2"/>
      <w:sz w:val="32"/>
      <w:szCs w:val="32"/>
      <w:lang w:val="en-US" w:eastAsia="zh-CN" w:bidi="ar-SA"/>
    </w:rPr>
  </w:style>
  <w:style w:type="character" w:customStyle="1" w:styleId="71">
    <w:name w:val="ca-121"/>
    <w:qFormat/>
    <w:uiPriority w:val="0"/>
    <w:rPr>
      <w:rFonts w:hint="eastAsia" w:ascii="仿宋_GB2312" w:eastAsia="仿宋_GB2312"/>
      <w:color w:val="000000"/>
      <w:sz w:val="21"/>
      <w:szCs w:val="21"/>
    </w:rPr>
  </w:style>
  <w:style w:type="paragraph" w:customStyle="1" w:styleId="72">
    <w:name w:val="样式 正文文字 + 小四 段后: 0 磅 行距: 1.5 倍行距"/>
    <w:basedOn w:val="12"/>
    <w:qFormat/>
    <w:uiPriority w:val="0"/>
    <w:pPr>
      <w:spacing w:after="0" w:afterLines="0" w:line="360" w:lineRule="auto"/>
      <w:ind w:firstLine="480" w:firstLineChars="200"/>
    </w:pPr>
    <w:rPr>
      <w:rFonts w:cs="宋体"/>
      <w:sz w:val="24"/>
      <w:szCs w:val="20"/>
    </w:rPr>
  </w:style>
  <w:style w:type="paragraph" w:customStyle="1" w:styleId="73">
    <w:name w:val="pa-58"/>
    <w:basedOn w:val="1"/>
    <w:qFormat/>
    <w:uiPriority w:val="0"/>
    <w:pPr>
      <w:widowControl/>
      <w:spacing w:line="240" w:lineRule="atLeast"/>
      <w:ind w:firstLine="460"/>
    </w:pPr>
    <w:rPr>
      <w:rFonts w:ascii="宋体" w:hAnsi="宋体" w:cs="宋体"/>
      <w:kern w:val="0"/>
      <w:sz w:val="24"/>
    </w:rPr>
  </w:style>
  <w:style w:type="paragraph" w:customStyle="1" w:styleId="74">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5">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6">
    <w:name w:val="pa-6"/>
    <w:basedOn w:val="1"/>
    <w:qFormat/>
    <w:uiPriority w:val="0"/>
    <w:pPr>
      <w:widowControl/>
      <w:spacing w:line="360" w:lineRule="atLeast"/>
    </w:pPr>
    <w:rPr>
      <w:rFonts w:ascii="宋体" w:hAnsi="宋体" w:cs="宋体"/>
      <w:kern w:val="0"/>
      <w:sz w:val="24"/>
    </w:rPr>
  </w:style>
  <w:style w:type="paragraph" w:customStyle="1" w:styleId="77">
    <w:name w:val="pa-2"/>
    <w:basedOn w:val="1"/>
    <w:qFormat/>
    <w:uiPriority w:val="0"/>
    <w:pPr>
      <w:widowControl/>
      <w:spacing w:line="360" w:lineRule="atLeast"/>
    </w:pPr>
    <w:rPr>
      <w:rFonts w:ascii="宋体" w:hAnsi="宋体" w:cs="宋体"/>
      <w:kern w:val="0"/>
      <w:sz w:val="24"/>
    </w:rPr>
  </w:style>
  <w:style w:type="paragraph" w:customStyle="1" w:styleId="78">
    <w:name w:val="Heading 1"/>
    <w:basedOn w:val="1"/>
    <w:qFormat/>
    <w:uiPriority w:val="0"/>
    <w:pPr>
      <w:outlineLvl w:val="1"/>
    </w:pPr>
    <w:rPr>
      <w:rFonts w:ascii="黑体" w:hAnsi="黑体" w:eastAsia="黑体"/>
      <w:b/>
      <w:bCs/>
      <w:sz w:val="44"/>
      <w:szCs w:val="44"/>
    </w:rPr>
  </w:style>
  <w:style w:type="paragraph" w:customStyle="1" w:styleId="79">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0">
    <w:name w:val="正文（首行缩进一字）"/>
    <w:basedOn w:val="1"/>
    <w:qFormat/>
    <w:uiPriority w:val="0"/>
  </w:style>
  <w:style w:type="paragraph" w:customStyle="1" w:styleId="81">
    <w:name w:val="pa-53"/>
    <w:basedOn w:val="1"/>
    <w:qFormat/>
    <w:uiPriority w:val="0"/>
    <w:pPr>
      <w:widowControl/>
      <w:spacing w:line="240" w:lineRule="atLeast"/>
    </w:pPr>
    <w:rPr>
      <w:rFonts w:ascii="宋体" w:hAnsi="宋体" w:cs="宋体"/>
      <w:kern w:val="0"/>
      <w:sz w:val="24"/>
    </w:rPr>
  </w:style>
  <w:style w:type="paragraph" w:customStyle="1" w:styleId="82">
    <w:name w:val="列出段落1"/>
    <w:basedOn w:val="1"/>
    <w:qFormat/>
    <w:uiPriority w:val="0"/>
    <w:pPr>
      <w:ind w:firstLine="420" w:firstLineChars="200"/>
    </w:pPr>
    <w:rPr>
      <w:rFonts w:ascii="Times New Roman" w:hAnsi="Times New Roman" w:eastAsia="宋体" w:cs="Times New Roman"/>
    </w:rPr>
  </w:style>
  <w:style w:type="paragraph" w:customStyle="1" w:styleId="83">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4">
    <w:name w:val="无间隔1"/>
    <w:basedOn w:val="1"/>
    <w:qFormat/>
    <w:uiPriority w:val="0"/>
    <w:pPr>
      <w:spacing w:line="400" w:lineRule="exact"/>
    </w:pPr>
    <w:rPr>
      <w:rFonts w:eastAsia="宋体"/>
      <w:sz w:val="24"/>
    </w:rPr>
  </w:style>
  <w:style w:type="paragraph" w:customStyle="1" w:styleId="85">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6">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7">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8">
    <w:name w:val="pa-62"/>
    <w:basedOn w:val="1"/>
    <w:qFormat/>
    <w:uiPriority w:val="0"/>
    <w:pPr>
      <w:widowControl/>
      <w:spacing w:line="240" w:lineRule="atLeast"/>
    </w:pPr>
    <w:rPr>
      <w:rFonts w:ascii="宋体" w:hAnsi="宋体" w:cs="宋体"/>
      <w:kern w:val="0"/>
      <w:sz w:val="24"/>
    </w:rPr>
  </w:style>
  <w:style w:type="paragraph" w:customStyle="1" w:styleId="89">
    <w:name w:val="_Style 80"/>
    <w:qFormat/>
    <w:uiPriority w:val="0"/>
    <w:rPr>
      <w:rFonts w:ascii="Times New Roman" w:hAnsi="Times New Roman" w:eastAsia="宋体" w:cs="Times New Roman"/>
      <w:kern w:val="2"/>
      <w:sz w:val="21"/>
      <w:lang w:val="en-US" w:eastAsia="zh-CN" w:bidi="ar-SA"/>
    </w:rPr>
  </w:style>
  <w:style w:type="paragraph" w:customStyle="1" w:styleId="90">
    <w:name w:val="p0"/>
    <w:basedOn w:val="1"/>
    <w:qFormat/>
    <w:uiPriority w:val="0"/>
    <w:pPr>
      <w:widowControl/>
    </w:pPr>
    <w:rPr>
      <w:kern w:val="0"/>
      <w:szCs w:val="21"/>
    </w:rPr>
  </w:style>
  <w:style w:type="paragraph" w:customStyle="1" w:styleId="91">
    <w:name w:val="彩色列表1"/>
    <w:basedOn w:val="1"/>
    <w:qFormat/>
    <w:uiPriority w:val="0"/>
    <w:pPr>
      <w:jc w:val="left"/>
    </w:pPr>
    <w:rPr>
      <w:rFonts w:ascii="Calibri" w:hAnsi="Calibri" w:eastAsia="宋体" w:cs="Times New Roman"/>
      <w:kern w:val="0"/>
      <w:sz w:val="22"/>
      <w:szCs w:val="22"/>
      <w:lang w:eastAsia="en-US"/>
    </w:rPr>
  </w:style>
  <w:style w:type="paragraph" w:customStyle="1" w:styleId="92">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3">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4">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5">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6">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8">
    <w:name w:val="pa-56"/>
    <w:basedOn w:val="1"/>
    <w:qFormat/>
    <w:uiPriority w:val="0"/>
    <w:pPr>
      <w:widowControl/>
      <w:spacing w:line="240" w:lineRule="atLeast"/>
    </w:pPr>
    <w:rPr>
      <w:rFonts w:ascii="宋体" w:hAnsi="宋体" w:cs="宋体"/>
      <w:kern w:val="0"/>
      <w:sz w:val="24"/>
    </w:rPr>
  </w:style>
  <w:style w:type="paragraph" w:customStyle="1" w:styleId="99">
    <w:name w:val=" Char Char Char"/>
    <w:basedOn w:val="1"/>
    <w:qFormat/>
    <w:uiPriority w:val="0"/>
    <w:rPr>
      <w:rFonts w:ascii="Tahoma" w:hAnsi="Tahoma"/>
      <w:sz w:val="24"/>
      <w:szCs w:val="20"/>
    </w:rPr>
  </w:style>
  <w:style w:type="paragraph" w:customStyle="1" w:styleId="100">
    <w:name w:val="pa-4"/>
    <w:basedOn w:val="1"/>
    <w:qFormat/>
    <w:uiPriority w:val="0"/>
    <w:pPr>
      <w:widowControl/>
      <w:spacing w:line="360" w:lineRule="atLeast"/>
      <w:ind w:firstLine="960"/>
    </w:pPr>
    <w:rPr>
      <w:rFonts w:ascii="宋体" w:hAnsi="宋体" w:cs="宋体"/>
      <w:kern w:val="0"/>
      <w:sz w:val="24"/>
    </w:rPr>
  </w:style>
  <w:style w:type="paragraph" w:customStyle="1" w:styleId="101">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2">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3">
    <w:name w:val="_Style 2"/>
    <w:basedOn w:val="1"/>
    <w:qFormat/>
    <w:uiPriority w:val="0"/>
    <w:pPr>
      <w:ind w:firstLine="420" w:firstLineChars="200"/>
    </w:pPr>
    <w:rPr>
      <w:kern w:val="0"/>
      <w:sz w:val="20"/>
      <w:szCs w:val="24"/>
    </w:rPr>
  </w:style>
  <w:style w:type="paragraph" w:customStyle="1" w:styleId="104">
    <w:name w:val="彩色底纹 - 强调文字颜色 61"/>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5">
    <w:name w:val="样式2"/>
    <w:basedOn w:val="4"/>
    <w:qFormat/>
    <w:uiPriority w:val="0"/>
    <w:pPr>
      <w:spacing w:line="413" w:lineRule="auto"/>
      <w:jc w:val="left"/>
    </w:pPr>
    <w:rPr>
      <w:rFonts w:ascii="华文中宋" w:hAnsi="华文中宋" w:eastAsia="宋体"/>
      <w:bCs w:val="0"/>
      <w:color w:val="000000"/>
      <w:szCs w:val="20"/>
    </w:rPr>
  </w:style>
  <w:style w:type="paragraph" w:customStyle="1" w:styleId="106">
    <w:name w:val="pa-57"/>
    <w:basedOn w:val="1"/>
    <w:qFormat/>
    <w:uiPriority w:val="0"/>
    <w:pPr>
      <w:widowControl/>
      <w:spacing w:line="240" w:lineRule="atLeast"/>
      <w:ind w:firstLine="480"/>
    </w:pPr>
    <w:rPr>
      <w:rFonts w:ascii="宋体" w:hAnsi="宋体" w:cs="宋体"/>
      <w:kern w:val="0"/>
      <w:sz w:val="24"/>
    </w:rPr>
  </w:style>
  <w:style w:type="paragraph" w:customStyle="1" w:styleId="107">
    <w:name w:val="Table Paragraph"/>
    <w:basedOn w:val="1"/>
    <w:qFormat/>
    <w:uiPriority w:val="0"/>
    <w:pPr>
      <w:jc w:val="left"/>
    </w:pPr>
    <w:rPr>
      <w:rFonts w:ascii="Calibri" w:hAnsi="Calibri" w:eastAsia="宋体" w:cs="Times New Roman"/>
      <w:kern w:val="0"/>
      <w:sz w:val="22"/>
      <w:szCs w:val="22"/>
      <w:lang w:eastAsia="en-US"/>
    </w:rPr>
  </w:style>
  <w:style w:type="paragraph" w:styleId="108">
    <w:name w:val="List Paragraph"/>
    <w:basedOn w:val="1"/>
    <w:qFormat/>
    <w:uiPriority w:val="34"/>
    <w:pPr>
      <w:ind w:firstLine="420" w:firstLineChars="200"/>
    </w:pPr>
    <w:rPr>
      <w:rFonts w:ascii="Calibri" w:hAnsi="Calibri"/>
      <w:szCs w:val="22"/>
    </w:rPr>
  </w:style>
  <w:style w:type="paragraph" w:customStyle="1" w:styleId="109">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0">
    <w:name w:val="pa-59"/>
    <w:basedOn w:val="1"/>
    <w:qFormat/>
    <w:uiPriority w:val="0"/>
    <w:pPr>
      <w:widowControl/>
      <w:spacing w:line="240" w:lineRule="atLeast"/>
      <w:ind w:firstLine="640"/>
    </w:pPr>
    <w:rPr>
      <w:rFonts w:ascii="宋体" w:hAnsi="宋体" w:cs="宋体"/>
      <w:kern w:val="0"/>
      <w:sz w:val="24"/>
    </w:rPr>
  </w:style>
  <w:style w:type="paragraph" w:customStyle="1" w:styleId="111">
    <w:name w:val="WPSOffice手动目录 1"/>
    <w:qFormat/>
    <w:uiPriority w:val="0"/>
    <w:rPr>
      <w:rFonts w:ascii="Times New Roman" w:hAnsi="Times New Roman" w:eastAsia="宋体" w:cs="Times New Roman"/>
      <w:lang w:val="en-US" w:eastAsia="zh-CN" w:bidi="ar-SA"/>
    </w:rPr>
  </w:style>
  <w:style w:type="paragraph" w:customStyle="1" w:styleId="112">
    <w:name w:val="Heading 2"/>
    <w:basedOn w:val="1"/>
    <w:qFormat/>
    <w:uiPriority w:val="0"/>
    <w:pPr>
      <w:ind w:left="117"/>
      <w:outlineLvl w:val="2"/>
    </w:pPr>
    <w:rPr>
      <w:rFonts w:ascii="黑体" w:hAnsi="黑体" w:eastAsia="黑体"/>
      <w:b/>
      <w:bCs/>
      <w:sz w:val="32"/>
      <w:szCs w:val="32"/>
    </w:rPr>
  </w:style>
  <w:style w:type="paragraph" w:customStyle="1" w:styleId="113">
    <w:name w:val="List Paragraph1"/>
    <w:basedOn w:val="1"/>
    <w:qFormat/>
    <w:uiPriority w:val="0"/>
  </w:style>
  <w:style w:type="paragraph" w:customStyle="1" w:styleId="114">
    <w:name w:val="Char Char Char Char"/>
    <w:basedOn w:val="1"/>
    <w:qFormat/>
    <w:uiPriority w:val="0"/>
    <w:rPr>
      <w:rFonts w:ascii="Tahoma" w:hAnsi="Tahoma"/>
      <w:sz w:val="24"/>
      <w:szCs w:val="20"/>
    </w:rPr>
  </w:style>
  <w:style w:type="paragraph" w:customStyle="1" w:styleId="115">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6">
    <w:name w:val="pa-7"/>
    <w:basedOn w:val="1"/>
    <w:qFormat/>
    <w:uiPriority w:val="0"/>
    <w:pPr>
      <w:widowControl/>
      <w:spacing w:line="360" w:lineRule="atLeast"/>
      <w:ind w:firstLine="800"/>
    </w:pPr>
    <w:rPr>
      <w:rFonts w:ascii="宋体" w:hAnsi="宋体" w:cs="宋体"/>
      <w:kern w:val="0"/>
      <w:sz w:val="24"/>
    </w:rPr>
  </w:style>
  <w:style w:type="paragraph" w:customStyle="1" w:styleId="117">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8">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9">
    <w:name w:val="正文_0"/>
    <w:qFormat/>
    <w:uiPriority w:val="0"/>
    <w:rPr>
      <w:rFonts w:ascii="Times New Roman" w:hAnsi="Times New Roman" w:eastAsia="宋体" w:cs="Times New Roman"/>
      <w:sz w:val="21"/>
      <w:lang w:val="en-US" w:eastAsia="zh-CN" w:bidi="ar-SA"/>
    </w:rPr>
  </w:style>
  <w:style w:type="paragraph" w:customStyle="1" w:styleId="120">
    <w:name w:val="0"/>
    <w:basedOn w:val="1"/>
    <w:qFormat/>
    <w:uiPriority w:val="0"/>
    <w:pPr>
      <w:widowControl/>
      <w:snapToGrid w:val="0"/>
      <w:spacing w:line="408" w:lineRule="auto"/>
      <w:ind w:left="1"/>
      <w:textAlignment w:val="bottom"/>
    </w:pPr>
    <w:rPr>
      <w:color w:val="000000"/>
      <w:kern w:val="0"/>
      <w:szCs w:val="21"/>
    </w:rPr>
  </w:style>
  <w:style w:type="paragraph" w:customStyle="1" w:styleId="121">
    <w:name w:val="pa-55"/>
    <w:basedOn w:val="1"/>
    <w:qFormat/>
    <w:uiPriority w:val="0"/>
    <w:pPr>
      <w:widowControl/>
      <w:spacing w:line="240" w:lineRule="atLeast"/>
      <w:ind w:firstLine="420"/>
    </w:pPr>
    <w:rPr>
      <w:rFonts w:ascii="宋体" w:hAnsi="宋体" w:cs="宋体"/>
      <w:kern w:val="0"/>
      <w:sz w:val="24"/>
    </w:rPr>
  </w:style>
  <w:style w:type="paragraph" w:customStyle="1" w:styleId="122">
    <w:name w:val="pa-1"/>
    <w:basedOn w:val="1"/>
    <w:qFormat/>
    <w:uiPriority w:val="0"/>
    <w:pPr>
      <w:widowControl/>
      <w:spacing w:line="360" w:lineRule="atLeast"/>
      <w:ind w:firstLine="640"/>
    </w:pPr>
    <w:rPr>
      <w:rFonts w:ascii="宋体" w:hAnsi="宋体" w:cs="宋体"/>
      <w:kern w:val="0"/>
      <w:sz w:val="24"/>
    </w:rPr>
  </w:style>
  <w:style w:type="table" w:customStyle="1" w:styleId="123">
    <w:name w:val="Table Normal"/>
    <w:semiHidden/>
    <w:unhideWhenUsed/>
    <w:qFormat/>
    <w:uiPriority w:val="0"/>
    <w:tblPr>
      <w:tblCellMar>
        <w:top w:w="0" w:type="dxa"/>
        <w:left w:w="0" w:type="dxa"/>
        <w:bottom w:w="0" w:type="dxa"/>
        <w:right w:w="0" w:type="dxa"/>
      </w:tblCellMar>
    </w:tblPr>
  </w:style>
  <w:style w:type="paragraph" w:customStyle="1" w:styleId="124">
    <w:name w:val="Basistekst Batenburg"/>
    <w:basedOn w:val="125"/>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5">
    <w:name w:val="Zsysbasis Batenburg"/>
    <w:next w:val="124"/>
    <w:qFormat/>
    <w:uiPriority w:val="0"/>
    <w:pPr>
      <w:spacing w:line="300" w:lineRule="atLeast"/>
    </w:pPr>
    <w:rPr>
      <w:rFonts w:ascii="Calibri" w:hAnsi="Calibri" w:eastAsia="宋体" w:cs="Times New Roman"/>
      <w:sz w:val="22"/>
      <w:szCs w:val="18"/>
      <w:lang w:val="en-US" w:eastAsia="zh-CN" w:bidi="ar-SA"/>
    </w:rPr>
  </w:style>
  <w:style w:type="paragraph" w:customStyle="1" w:styleId="126">
    <w:name w:val="正文缩进1"/>
    <w:basedOn w:val="1"/>
    <w:qFormat/>
    <w:uiPriority w:val="99"/>
    <w:pPr>
      <w:ind w:firstLine="420" w:firstLineChars="200"/>
    </w:pPr>
  </w:style>
  <w:style w:type="character" w:customStyle="1" w:styleId="127">
    <w:name w:val="font31"/>
    <w:basedOn w:val="39"/>
    <w:qFormat/>
    <w:uiPriority w:val="0"/>
    <w:rPr>
      <w:rFonts w:hint="eastAsia" w:ascii="宋体" w:hAnsi="宋体" w:eastAsia="宋体" w:cs="宋体"/>
      <w:color w:val="000000"/>
      <w:sz w:val="20"/>
      <w:szCs w:val="20"/>
      <w:u w:val="none"/>
    </w:rPr>
  </w:style>
  <w:style w:type="character" w:customStyle="1" w:styleId="128">
    <w:name w:val="font41"/>
    <w:basedOn w:val="3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27617</Words>
  <Characters>29795</Characters>
  <Lines>235</Lines>
  <Paragraphs>66</Paragraphs>
  <TotalTime>53</TotalTime>
  <ScaleCrop>false</ScaleCrop>
  <LinksUpToDate>false</LinksUpToDate>
  <CharactersWithSpaces>33297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Administrator</cp:lastModifiedBy>
  <cp:lastPrinted>2023-08-03T02:10:00Z</cp:lastPrinted>
  <dcterms:modified xsi:type="dcterms:W3CDTF">2023-10-07T01:52:27Z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A36695D2C29F47C2B7AD2F27E0519FD1</vt:lpwstr>
  </property>
</Properties>
</file>