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黑体" w:hAnsi="黑体" w:eastAsia="黑体" w:cs="黑体"/>
          <w:b/>
          <w:sz w:val="44"/>
          <w:szCs w:val="44"/>
        </w:rPr>
      </w:pPr>
      <w:bookmarkStart w:id="0" w:name="_Toc29289"/>
      <w:bookmarkStart w:id="1" w:name="_Toc115021824"/>
      <w:r>
        <w:rPr>
          <w:rFonts w:hint="eastAsia" w:ascii="宋体" w:hAnsi="宋体"/>
          <w:b/>
          <w:bCs/>
          <w:sz w:val="36"/>
          <w:szCs w:val="36"/>
          <w:lang w:val="en-US" w:eastAsia="zh-CN"/>
        </w:rPr>
        <w:t>武陟县自然资源局2023年武陟县城市国土空间监测项目</w:t>
      </w: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pPr>
        <w:jc w:val="center"/>
        <w:rPr>
          <w:rFonts w:hint="default" w:ascii="宋体" w:hAnsi="宋体" w:eastAsia="宋体"/>
          <w:szCs w:val="21"/>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2023-CS-055</w:t>
      </w:r>
    </w:p>
    <w:p>
      <w:pPr>
        <w:pStyle w:val="57"/>
        <w:rPr>
          <w:rFonts w:hint="eastAsia"/>
          <w:lang w:eastAsia="zh-CN"/>
        </w:rPr>
      </w:pPr>
    </w:p>
    <w:p>
      <w:pPr>
        <w:pStyle w:val="2"/>
        <w:rPr>
          <w:rFonts w:hint="eastAsia" w:ascii="宋体" w:hAnsi="宋体"/>
          <w:sz w:val="28"/>
          <w:szCs w:val="24"/>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2"/>
        <w:rPr>
          <w:rFonts w:hint="eastAsia"/>
        </w:rPr>
      </w:pPr>
    </w:p>
    <w:p>
      <w:pPr>
        <w:rPr>
          <w:rFonts w:hint="eastAsia" w:ascii="宋体" w:hAnsi="宋体" w:cs="宋体"/>
          <w:b/>
          <w:bCs/>
          <w:sz w:val="32"/>
        </w:rPr>
      </w:pPr>
    </w:p>
    <w:p>
      <w:pPr>
        <w:ind w:firstLine="1606" w:firstLineChars="500"/>
        <w:rPr>
          <w:rFonts w:hint="eastAsia" w:ascii="宋体" w:hAnsi="宋体" w:eastAsia="宋体" w:cs="宋体"/>
          <w:b/>
          <w:bCs/>
          <w:sz w:val="32"/>
          <w:lang w:eastAsia="zh-CN"/>
        </w:rPr>
      </w:pPr>
      <w:r>
        <w:rPr>
          <w:rFonts w:hint="eastAsia" w:ascii="宋体" w:hAnsi="宋体" w:cs="宋体"/>
          <w:b/>
          <w:bCs/>
          <w:sz w:val="32"/>
        </w:rPr>
        <w:t>采   购   人：</w:t>
      </w:r>
      <w:r>
        <w:rPr>
          <w:rFonts w:hint="eastAsia" w:ascii="宋体" w:hAnsi="宋体" w:cs="宋体"/>
          <w:b/>
          <w:bCs/>
          <w:sz w:val="32"/>
          <w:lang w:eastAsia="zh-CN"/>
        </w:rPr>
        <w:t>武陟县自然资源局</w:t>
      </w:r>
    </w:p>
    <w:p>
      <w:pPr>
        <w:rPr>
          <w:rFonts w:hint="eastAsia" w:ascii="宋体" w:hAnsi="宋体" w:eastAsia="宋体" w:cs="宋体"/>
          <w:b/>
          <w:bCs/>
          <w:sz w:val="44"/>
          <w:szCs w:val="32"/>
          <w:lang w:eastAsia="zh-CN"/>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w:t>
      </w:r>
      <w:r>
        <w:rPr>
          <w:rFonts w:hint="eastAsia" w:ascii="宋体" w:hAnsi="宋体" w:cs="宋体"/>
          <w:b/>
          <w:bCs/>
          <w:sz w:val="32"/>
          <w:lang w:eastAsia="zh-CN"/>
        </w:rPr>
        <w:t>中喆华晟云平台有限公司</w:t>
      </w:r>
    </w:p>
    <w:p>
      <w:pPr>
        <w:pStyle w:val="26"/>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目录</w:t>
      </w:r>
    </w:p>
    <w:p>
      <w:pPr>
        <w:pStyle w:val="26"/>
        <w:tabs>
          <w:tab w:val="right" w:leader="dot" w:pos="8820"/>
        </w:tabs>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_Toc7320 </w:instrText>
      </w:r>
      <w:r>
        <w:rPr>
          <w:rFonts w:hint="eastAsia" w:ascii="宋体" w:hAnsi="宋体" w:cs="宋体"/>
          <w:bCs/>
          <w:caps/>
          <w:szCs w:val="24"/>
          <w:lang w:val="zh-CN"/>
        </w:rPr>
        <w:fldChar w:fldCharType="separate"/>
      </w:r>
      <w:r>
        <w:rPr>
          <w:rFonts w:hint="eastAsia" w:ascii="宋体" w:hAnsi="宋体" w:cs="宋体"/>
          <w:bCs/>
        </w:rPr>
        <w:t xml:space="preserve">第一章 </w:t>
      </w:r>
      <w:r>
        <w:rPr>
          <w:rFonts w:hint="eastAsia" w:ascii="宋体" w:hAnsi="宋体" w:cs="宋体"/>
          <w:bCs w:val="0"/>
        </w:rPr>
        <w:t>竞争性磋商公告</w:t>
      </w:r>
      <w:r>
        <w:tab/>
      </w:r>
      <w:r>
        <w:fldChar w:fldCharType="begin"/>
      </w:r>
      <w:r>
        <w:instrText xml:space="preserve"> PAGEREF _Toc7320 \h </w:instrText>
      </w:r>
      <w:r>
        <w:fldChar w:fldCharType="separate"/>
      </w:r>
      <w:r>
        <w:t>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_Toc15530 </w:instrText>
      </w:r>
      <w:r>
        <w:rPr>
          <w:rFonts w:hint="eastAsia" w:ascii="宋体" w:hAnsi="宋体" w:cs="宋体"/>
          <w:bCs/>
          <w:caps/>
          <w:szCs w:val="24"/>
          <w:lang w:val="zh-CN"/>
        </w:rPr>
        <w:fldChar w:fldCharType="separate"/>
      </w:r>
      <w:r>
        <w:rPr>
          <w:rFonts w:hint="eastAsia" w:ascii="宋体" w:hAnsi="宋体" w:cs="宋体"/>
          <w:bCs/>
        </w:rPr>
        <w:t xml:space="preserve">第二章 </w:t>
      </w:r>
      <w:r>
        <w:rPr>
          <w:rFonts w:hint="eastAsia" w:ascii="宋体" w:hAnsi="宋体" w:cs="宋体"/>
        </w:rPr>
        <w:t>供应商须知</w:t>
      </w:r>
      <w:r>
        <w:tab/>
      </w:r>
      <w:r>
        <w:fldChar w:fldCharType="begin"/>
      </w:r>
      <w:r>
        <w:instrText xml:space="preserve"> PAGEREF _Toc15530 \h </w:instrText>
      </w:r>
      <w:r>
        <w:fldChar w:fldCharType="separate"/>
      </w:r>
      <w:r>
        <w:t>5</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_Toc3621 </w:instrText>
      </w:r>
      <w:r>
        <w:rPr>
          <w:rFonts w:hint="eastAsia" w:ascii="宋体" w:hAnsi="宋体" w:cs="宋体"/>
          <w:bCs/>
          <w:caps/>
          <w:szCs w:val="24"/>
          <w:lang w:val="zh-CN"/>
        </w:rPr>
        <w:fldChar w:fldCharType="separate"/>
      </w:r>
      <w:r>
        <w:rPr>
          <w:rFonts w:hint="eastAsia" w:ascii="宋体" w:hAnsi="宋体" w:cs="宋体"/>
          <w:bCs/>
        </w:rPr>
        <w:t xml:space="preserve">第三章 </w:t>
      </w:r>
      <w:r>
        <w:rPr>
          <w:rFonts w:hint="eastAsia" w:ascii="宋体" w:hAnsi="宋体" w:cs="宋体"/>
        </w:rPr>
        <w:t>评审方法和评审标准</w:t>
      </w:r>
      <w:r>
        <w:tab/>
      </w:r>
      <w:r>
        <w:fldChar w:fldCharType="begin"/>
      </w:r>
      <w:r>
        <w:instrText xml:space="preserve"> PAGEREF _Toc3621 \h </w:instrText>
      </w:r>
      <w:r>
        <w:fldChar w:fldCharType="separate"/>
      </w:r>
      <w:r>
        <w:t>19</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_Toc15626 </w:instrText>
      </w:r>
      <w:r>
        <w:rPr>
          <w:rFonts w:hint="eastAsia" w:ascii="宋体" w:hAnsi="宋体" w:cs="宋体"/>
          <w:bCs/>
          <w:caps/>
          <w:szCs w:val="24"/>
          <w:lang w:val="zh-CN"/>
        </w:rPr>
        <w:fldChar w:fldCharType="separate"/>
      </w:r>
      <w:r>
        <w:rPr>
          <w:rFonts w:hint="eastAsia" w:ascii="宋体" w:hAnsi="宋体" w:cs="宋体"/>
          <w:bCs/>
        </w:rPr>
        <w:t xml:space="preserve">第四章 </w:t>
      </w:r>
      <w:r>
        <w:rPr>
          <w:rFonts w:hint="eastAsia" w:ascii="宋体" w:hAnsi="宋体" w:cs="宋体"/>
        </w:rPr>
        <w:t>拟签订的合同文本</w:t>
      </w:r>
      <w:r>
        <w:tab/>
      </w:r>
      <w:r>
        <w:fldChar w:fldCharType="begin"/>
      </w:r>
      <w:r>
        <w:instrText xml:space="preserve"> PAGEREF _Toc15626 \h </w:instrText>
      </w:r>
      <w:r>
        <w:fldChar w:fldCharType="separate"/>
      </w:r>
      <w:r>
        <w:t>22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_Toc23819 </w:instrText>
      </w:r>
      <w:r>
        <w:rPr>
          <w:rFonts w:hint="eastAsia" w:ascii="宋体" w:hAnsi="宋体" w:cs="宋体"/>
          <w:bCs/>
          <w:caps/>
          <w:szCs w:val="24"/>
          <w:lang w:val="zh-CN"/>
        </w:rPr>
        <w:fldChar w:fldCharType="separate"/>
      </w:r>
      <w:r>
        <w:rPr>
          <w:rFonts w:hint="eastAsia" w:ascii="宋体" w:hAnsi="宋体" w:cs="宋体"/>
          <w:bCs/>
        </w:rPr>
        <w:t xml:space="preserve">第五章 </w:t>
      </w:r>
      <w:r>
        <w:rPr>
          <w:rFonts w:hint="eastAsia" w:ascii="宋体" w:hAnsi="宋体" w:cs="宋体"/>
        </w:rPr>
        <w:t>采购需求</w:t>
      </w:r>
      <w:r>
        <w:tab/>
      </w:r>
      <w:r>
        <w:fldChar w:fldCharType="begin"/>
      </w:r>
      <w:r>
        <w:instrText xml:space="preserve"> PAGEREF _Toc23819 \h </w:instrText>
      </w:r>
      <w:r>
        <w:fldChar w:fldCharType="separate"/>
      </w:r>
      <w:r>
        <w:t>23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_Toc29422 </w:instrText>
      </w:r>
      <w:r>
        <w:rPr>
          <w:rFonts w:hint="eastAsia" w:ascii="宋体" w:hAnsi="宋体" w:cs="宋体"/>
          <w:bCs/>
          <w:caps/>
          <w:szCs w:val="24"/>
          <w:lang w:val="zh-CN"/>
        </w:rPr>
        <w:fldChar w:fldCharType="separate"/>
      </w:r>
      <w:r>
        <w:rPr>
          <w:rFonts w:hint="eastAsia" w:ascii="宋体" w:hAnsi="宋体" w:cs="宋体"/>
        </w:rPr>
        <w:t>第六章 响应文件格式</w:t>
      </w:r>
      <w:r>
        <w:tab/>
      </w:r>
      <w:r>
        <w:fldChar w:fldCharType="begin"/>
      </w:r>
      <w:r>
        <w:instrText xml:space="preserve"> PAGEREF _Toc29422 \h </w:instrText>
      </w:r>
      <w:r>
        <w:fldChar w:fldCharType="separate"/>
      </w:r>
      <w:r>
        <w:t>26</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_Toc7109 </w:instrText>
      </w:r>
      <w:r>
        <w:rPr>
          <w:rFonts w:hint="eastAsia" w:ascii="宋体" w:hAnsi="宋体" w:cs="宋体"/>
          <w:bCs/>
          <w:caps/>
          <w:szCs w:val="24"/>
          <w:lang w:val="zh-CN"/>
        </w:rPr>
        <w:fldChar w:fldCharType="separate"/>
      </w:r>
      <w:r>
        <w:rPr>
          <w:rFonts w:hint="eastAsia" w:ascii="宋体" w:hAnsi="宋体" w:cs="宋体"/>
          <w:szCs w:val="32"/>
        </w:rPr>
        <w:t>1. 磋商承诺函</w:t>
      </w:r>
      <w:r>
        <w:tab/>
      </w:r>
      <w:r>
        <w:fldChar w:fldCharType="begin"/>
      </w:r>
      <w:r>
        <w:instrText xml:space="preserve"> PAGEREF _Toc7109 \h </w:instrText>
      </w:r>
      <w:r>
        <w:fldChar w:fldCharType="separate"/>
      </w:r>
      <w:r>
        <w:t>29</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_Toc15663 </w:instrText>
      </w:r>
      <w:r>
        <w:rPr>
          <w:rFonts w:hint="eastAsia" w:ascii="宋体" w:hAnsi="宋体" w:cs="宋体"/>
          <w:bCs/>
          <w:caps/>
          <w:szCs w:val="24"/>
          <w:lang w:val="zh-CN"/>
        </w:rPr>
        <w:fldChar w:fldCharType="separate"/>
      </w:r>
      <w:r>
        <w:rPr>
          <w:rFonts w:hint="eastAsia" w:ascii="宋体" w:hAnsi="宋体" w:cs="宋体"/>
          <w:szCs w:val="32"/>
        </w:rPr>
        <w:t>2. 承诺书</w:t>
      </w:r>
      <w:r>
        <w:tab/>
      </w:r>
      <w:r>
        <w:fldChar w:fldCharType="begin"/>
      </w:r>
      <w:r>
        <w:instrText xml:space="preserve"> PAGEREF _Toc15663 \h </w:instrText>
      </w:r>
      <w:r>
        <w:fldChar w:fldCharType="separate"/>
      </w:r>
      <w:r>
        <w:t>30</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_Toc13008 </w:instrText>
      </w:r>
      <w:r>
        <w:rPr>
          <w:rFonts w:hint="eastAsia" w:ascii="宋体" w:hAnsi="宋体" w:cs="宋体"/>
          <w:bCs/>
          <w:caps/>
          <w:szCs w:val="24"/>
          <w:lang w:val="zh-CN"/>
        </w:rPr>
        <w:fldChar w:fldCharType="separate"/>
      </w:r>
      <w:r>
        <w:rPr>
          <w:rFonts w:hint="eastAsia" w:ascii="宋体" w:hAnsi="宋体" w:cs="宋体"/>
          <w:szCs w:val="32"/>
        </w:rPr>
        <w:t>3. 供应商基本情况表</w:t>
      </w:r>
      <w:r>
        <w:tab/>
      </w:r>
      <w:r>
        <w:fldChar w:fldCharType="begin"/>
      </w:r>
      <w:r>
        <w:instrText xml:space="preserve"> PAGEREF _Toc13008 \h </w:instrText>
      </w:r>
      <w:r>
        <w:fldChar w:fldCharType="separate"/>
      </w:r>
      <w:r>
        <w:t>31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_Toc31547 </w:instrText>
      </w:r>
      <w:r>
        <w:rPr>
          <w:rFonts w:hint="eastAsia" w:ascii="宋体" w:hAnsi="宋体" w:cs="宋体"/>
          <w:bCs/>
          <w:caps/>
          <w:szCs w:val="24"/>
          <w:lang w:val="zh-CN"/>
        </w:rPr>
        <w:fldChar w:fldCharType="separate"/>
      </w:r>
      <w:r>
        <w:rPr>
          <w:rFonts w:hint="eastAsia" w:ascii="宋体" w:hAnsi="宋体" w:cs="宋体"/>
          <w:szCs w:val="32"/>
        </w:rPr>
        <w:t>4. 第一轮报价表</w:t>
      </w:r>
      <w:r>
        <w:tab/>
      </w:r>
      <w:r>
        <w:fldChar w:fldCharType="begin"/>
      </w:r>
      <w:r>
        <w:instrText xml:space="preserve"> PAGEREF _Toc31547 \h </w:instrText>
      </w:r>
      <w:r>
        <w:fldChar w:fldCharType="separate"/>
      </w:r>
      <w:r>
        <w:t>32</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_Toc32699 </w:instrText>
      </w:r>
      <w:r>
        <w:rPr>
          <w:rFonts w:hint="eastAsia" w:ascii="宋体" w:hAnsi="宋体" w:cs="宋体"/>
          <w:bCs/>
          <w:caps/>
          <w:szCs w:val="24"/>
          <w:lang w:val="zh-CN"/>
        </w:rPr>
        <w:fldChar w:fldCharType="separate"/>
      </w:r>
      <w:r>
        <w:rPr>
          <w:rFonts w:hint="eastAsia" w:ascii="宋体" w:hAnsi="宋体" w:cs="宋体"/>
          <w:bCs/>
          <w:caps/>
          <w:szCs w:val="24"/>
          <w:lang w:val="en-US" w:eastAsia="zh-CN"/>
        </w:rPr>
        <w:t>5</w:t>
      </w:r>
      <w:r>
        <w:rPr>
          <w:rFonts w:hint="eastAsia" w:ascii="宋体" w:hAnsi="宋体" w:cs="宋体"/>
          <w:szCs w:val="32"/>
        </w:rPr>
        <w:t>. 技术响应表</w:t>
      </w:r>
      <w:r>
        <w:tab/>
      </w:r>
      <w:r>
        <w:fldChar w:fldCharType="begin"/>
      </w:r>
      <w:r>
        <w:instrText xml:space="preserve"> PAGEREF _Toc32699 \h </w:instrText>
      </w:r>
      <w:r>
        <w:fldChar w:fldCharType="separate"/>
      </w:r>
      <w:r>
        <w:t>33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_Toc1864 </w:instrText>
      </w:r>
      <w:r>
        <w:rPr>
          <w:rFonts w:hint="eastAsia" w:ascii="宋体" w:hAnsi="宋体" w:cs="宋体"/>
          <w:bCs/>
          <w:caps/>
          <w:szCs w:val="24"/>
          <w:lang w:val="zh-CN"/>
        </w:rPr>
        <w:fldChar w:fldCharType="separate"/>
      </w:r>
      <w:r>
        <w:rPr>
          <w:rFonts w:hint="eastAsia" w:ascii="宋体" w:hAnsi="宋体" w:cs="宋体"/>
          <w:bCs/>
          <w:caps/>
          <w:szCs w:val="24"/>
          <w:lang w:val="en-US" w:eastAsia="zh-CN"/>
        </w:rPr>
        <w:t>6</w:t>
      </w:r>
      <w:r>
        <w:rPr>
          <w:rFonts w:hint="eastAsia" w:ascii="宋体" w:hAnsi="宋体" w:cs="宋体"/>
          <w:szCs w:val="32"/>
        </w:rPr>
        <w:t>. 商务响应表</w:t>
      </w:r>
      <w:r>
        <w:tab/>
      </w:r>
      <w:r>
        <w:fldChar w:fldCharType="begin"/>
      </w:r>
      <w:r>
        <w:instrText xml:space="preserve"> PAGEREF _Toc1864 \h </w:instrText>
      </w:r>
      <w:r>
        <w:fldChar w:fldCharType="separate"/>
      </w:r>
      <w:r>
        <w:t>36</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_Toc2497 </w:instrText>
      </w:r>
      <w:r>
        <w:rPr>
          <w:rFonts w:hint="eastAsia" w:ascii="宋体" w:hAnsi="宋体" w:cs="宋体"/>
          <w:bCs/>
          <w:caps/>
          <w:szCs w:val="24"/>
          <w:lang w:val="zh-CN"/>
        </w:rPr>
        <w:fldChar w:fldCharType="separate"/>
      </w:r>
      <w:r>
        <w:rPr>
          <w:rFonts w:hint="eastAsia" w:ascii="宋体" w:hAnsi="宋体" w:cs="宋体"/>
          <w:bCs/>
          <w:caps/>
          <w:szCs w:val="24"/>
          <w:lang w:val="en-US" w:eastAsia="zh-CN"/>
        </w:rPr>
        <w:t>7</w:t>
      </w:r>
      <w:r>
        <w:rPr>
          <w:rFonts w:hint="eastAsia" w:ascii="宋体" w:hAnsi="宋体" w:cs="宋体"/>
          <w:szCs w:val="32"/>
        </w:rPr>
        <w:t>. 资格证明材料</w:t>
      </w:r>
      <w:r>
        <w:tab/>
      </w:r>
      <w:r>
        <w:fldChar w:fldCharType="begin"/>
      </w:r>
      <w:r>
        <w:instrText xml:space="preserve"> PAGEREF _Toc2497 \h </w:instrText>
      </w:r>
      <w:r>
        <w:fldChar w:fldCharType="separate"/>
      </w:r>
      <w:r>
        <w:t>37</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_Toc20773 </w:instrText>
      </w:r>
      <w:r>
        <w:rPr>
          <w:rFonts w:hint="eastAsia" w:ascii="宋体" w:hAnsi="宋体" w:cs="宋体"/>
          <w:bCs/>
          <w:caps/>
          <w:szCs w:val="24"/>
          <w:lang w:val="zh-CN"/>
        </w:rPr>
        <w:fldChar w:fldCharType="separate"/>
      </w:r>
      <w:r>
        <w:rPr>
          <w:rFonts w:hint="eastAsia" w:ascii="宋体" w:hAnsi="宋体" w:cs="宋体"/>
          <w:bCs/>
          <w:caps/>
          <w:szCs w:val="24"/>
          <w:lang w:val="en-US" w:eastAsia="zh-CN"/>
        </w:rPr>
        <w:t>8</w:t>
      </w:r>
      <w:r>
        <w:rPr>
          <w:rFonts w:hint="eastAsia" w:ascii="宋体" w:hAnsi="宋体" w:cs="宋体"/>
          <w:szCs w:val="32"/>
        </w:rPr>
        <w:t>. 法定代表人身份证明或授权委托书</w:t>
      </w:r>
      <w:r>
        <w:tab/>
      </w:r>
      <w:r>
        <w:fldChar w:fldCharType="begin"/>
      </w:r>
      <w:r>
        <w:instrText xml:space="preserve"> PAGEREF _Toc20773 \h </w:instrText>
      </w:r>
      <w:r>
        <w:fldChar w:fldCharType="separate"/>
      </w:r>
      <w:r>
        <w:t>41</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 </w:instrText>
      </w:r>
      <w:r>
        <w:rPr>
          <w:rFonts w:hint="eastAsia" w:ascii="宋体" w:hAnsi="宋体" w:cs="宋体"/>
          <w:bCs/>
          <w:caps/>
          <w:szCs w:val="24"/>
          <w:lang w:val="zh-CN"/>
        </w:rPr>
        <w:fldChar w:fldCharType="separate"/>
      </w:r>
      <w:r>
        <w:rPr>
          <w:rFonts w:hint="eastAsia" w:ascii="宋体" w:hAnsi="宋体" w:cs="宋体"/>
          <w:bCs/>
          <w:caps/>
          <w:szCs w:val="24"/>
          <w:lang w:val="en-US" w:eastAsia="zh-CN"/>
        </w:rPr>
        <w:t>9</w:t>
      </w:r>
      <w:r>
        <w:rPr>
          <w:rFonts w:hint="eastAsia" w:ascii="宋体" w:hAnsi="宋体" w:cs="宋体"/>
          <w:szCs w:val="32"/>
        </w:rPr>
        <w:t>. 残疾人福利性单位声明函</w:t>
      </w:r>
      <w:r>
        <w:tab/>
      </w:r>
      <w:r>
        <w:fldChar w:fldCharType="begin"/>
      </w:r>
      <w:r>
        <w:instrText xml:space="preserve"> PAGEREF _Toc2 \h </w:instrText>
      </w:r>
      <w:r>
        <w:fldChar w:fldCharType="separate"/>
      </w:r>
      <w:r>
        <w:t>43</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_Toc20485 </w:instrText>
      </w:r>
      <w:r>
        <w:rPr>
          <w:rFonts w:hint="eastAsia" w:ascii="宋体" w:hAnsi="宋体" w:cs="宋体"/>
          <w:bCs/>
          <w:caps/>
          <w:szCs w:val="24"/>
          <w:lang w:val="zh-CN"/>
        </w:rPr>
        <w:fldChar w:fldCharType="separate"/>
      </w:r>
      <w:r>
        <w:rPr>
          <w:rFonts w:hint="eastAsia" w:ascii="宋体" w:hAnsi="宋体" w:cs="宋体"/>
          <w:szCs w:val="32"/>
        </w:rPr>
        <w:t>1</w:t>
      </w:r>
      <w:r>
        <w:rPr>
          <w:rFonts w:hint="eastAsia" w:ascii="宋体" w:hAnsi="宋体" w:cs="宋体"/>
          <w:szCs w:val="32"/>
          <w:lang w:val="en-US" w:eastAsia="zh-CN"/>
        </w:rPr>
        <w:t>0</w:t>
      </w:r>
      <w:r>
        <w:rPr>
          <w:rFonts w:hint="eastAsia" w:ascii="宋体" w:hAnsi="宋体" w:cs="宋体"/>
          <w:szCs w:val="32"/>
        </w:rPr>
        <w:t>. 反商业贿赂承诺书</w:t>
      </w:r>
      <w:r>
        <w:tab/>
      </w:r>
      <w:r>
        <w:fldChar w:fldCharType="begin"/>
      </w:r>
      <w:r>
        <w:instrText xml:space="preserve"> PAGEREF _Toc20485 \h </w:instrText>
      </w:r>
      <w:r>
        <w:fldChar w:fldCharType="separate"/>
      </w:r>
      <w:r>
        <w:t>44</w:t>
      </w:r>
      <w:r>
        <w:fldChar w:fldCharType="end"/>
      </w:r>
      <w:r>
        <w:rPr>
          <w:rFonts w:hint="eastAsia" w:ascii="宋体" w:hAnsi="宋体" w:cs="宋体"/>
          <w:bCs/>
          <w:caps/>
          <w:szCs w:val="24"/>
          <w:lang w:val="zh-CN"/>
        </w:rPr>
        <w:fldChar w:fldCharType="end"/>
      </w:r>
    </w:p>
    <w:p>
      <w:pPr>
        <w:pStyle w:val="26"/>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_Toc18203 </w:instrText>
      </w:r>
      <w:r>
        <w:rPr>
          <w:rFonts w:hint="eastAsia" w:ascii="宋体" w:hAnsi="宋体" w:cs="宋体"/>
          <w:bCs/>
          <w:caps/>
          <w:szCs w:val="24"/>
          <w:lang w:val="zh-CN"/>
        </w:rPr>
        <w:fldChar w:fldCharType="separate"/>
      </w:r>
      <w:r>
        <w:rPr>
          <w:rFonts w:hint="eastAsia" w:ascii="宋体" w:hAnsi="宋体" w:cs="宋体"/>
          <w:szCs w:val="32"/>
        </w:rPr>
        <w:t>1</w:t>
      </w:r>
      <w:r>
        <w:rPr>
          <w:rFonts w:hint="eastAsia" w:ascii="宋体" w:hAnsi="宋体" w:cs="宋体"/>
          <w:szCs w:val="32"/>
          <w:lang w:val="en-US" w:eastAsia="zh-CN"/>
        </w:rPr>
        <w:t>1</w:t>
      </w:r>
      <w:r>
        <w:rPr>
          <w:rFonts w:hint="eastAsia" w:ascii="宋体" w:hAnsi="宋体" w:cs="宋体"/>
          <w:szCs w:val="32"/>
        </w:rPr>
        <w:t>. 竞争性磋商文件要求的以及供应商认为应该提供的其他材料</w:t>
      </w:r>
      <w:r>
        <w:tab/>
      </w:r>
      <w:r>
        <w:fldChar w:fldCharType="begin"/>
      </w:r>
      <w:r>
        <w:instrText xml:space="preserve"> PAGEREF _Toc18203 \h </w:instrText>
      </w:r>
      <w:r>
        <w:fldChar w:fldCharType="separate"/>
      </w:r>
      <w:r>
        <w:t>45</w:t>
      </w:r>
      <w:r>
        <w:fldChar w:fldCharType="end"/>
      </w:r>
      <w:r>
        <w:rPr>
          <w:rFonts w:hint="eastAsia" w:ascii="宋体" w:hAnsi="宋体" w:cs="宋体"/>
          <w:bCs/>
          <w:caps/>
          <w:szCs w:val="24"/>
          <w:lang w:val="zh-CN"/>
        </w:rPr>
        <w:fldChar w:fldCharType="end"/>
      </w:r>
    </w:p>
    <w:p>
      <w:pPr>
        <w:pStyle w:val="26"/>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pPr>
        <w:pStyle w:val="85"/>
        <w:jc w:val="center"/>
        <w:rPr>
          <w:rFonts w:hint="eastAsia" w:ascii="宋体" w:hAnsi="宋体" w:cs="宋体"/>
          <w:b/>
          <w:color w:val="FF0000"/>
          <w:sz w:val="28"/>
          <w:szCs w:val="28"/>
        </w:rPr>
      </w:pPr>
    </w:p>
    <w:p>
      <w:pPr>
        <w:pStyle w:val="85"/>
        <w:rPr>
          <w:rFonts w:hint="eastAsia" w:ascii="宋体" w:hAnsi="宋体" w:cs="宋体"/>
          <w:color w:val="FF0000"/>
        </w:rPr>
      </w:pPr>
      <w:r>
        <w:rPr>
          <w:rFonts w:hint="eastAsia" w:ascii="宋体" w:hAnsi="宋体" w:cs="宋体"/>
          <w:color w:val="FF0000"/>
        </w:rPr>
        <w:t> </w:t>
      </w:r>
    </w:p>
    <w:p>
      <w:pPr>
        <w:pStyle w:val="85"/>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6"/>
        <w:numPr>
          <w:ilvl w:val="0"/>
          <w:numId w:val="1"/>
        </w:numPr>
        <w:spacing w:before="0" w:after="0" w:line="360" w:lineRule="auto"/>
        <w:ind w:firstLine="0"/>
        <w:rPr>
          <w:rFonts w:hint="eastAsia" w:ascii="宋体" w:hAnsi="宋体" w:cs="宋体"/>
          <w:bCs w:val="0"/>
        </w:rPr>
      </w:pPr>
      <w:bookmarkStart w:id="2" w:name="_Toc30568"/>
      <w:bookmarkStart w:id="3" w:name="_Toc7320"/>
      <w:r>
        <w:rPr>
          <w:rFonts w:hint="eastAsia" w:ascii="宋体" w:hAnsi="宋体" w:cs="宋体"/>
          <w:bCs w:val="0"/>
        </w:rPr>
        <w:t>竞争性磋商公告</w:t>
      </w:r>
      <w:bookmarkEnd w:id="2"/>
      <w:bookmarkEnd w:id="3"/>
    </w:p>
    <w:p>
      <w:pPr>
        <w:spacing w:line="400" w:lineRule="exact"/>
        <w:ind w:firstLine="562" w:firstLineChars="200"/>
        <w:jc w:val="center"/>
        <w:rPr>
          <w:rFonts w:hint="eastAsia" w:ascii="宋体" w:hAnsi="宋体" w:cs="宋体"/>
          <w:b/>
          <w:bCs/>
          <w:sz w:val="28"/>
          <w:szCs w:val="28"/>
          <w:lang w:eastAsia="zh-CN"/>
        </w:rPr>
      </w:pPr>
    </w:p>
    <w:p>
      <w:pPr>
        <w:spacing w:line="400" w:lineRule="exact"/>
        <w:jc w:val="center"/>
        <w:rPr>
          <w:rFonts w:hint="eastAsia" w:ascii="宋体" w:hAnsi="宋体" w:cs="宋体"/>
          <w:b/>
          <w:bCs/>
          <w:sz w:val="28"/>
          <w:szCs w:val="28"/>
        </w:rPr>
      </w:pPr>
      <w:r>
        <w:rPr>
          <w:rFonts w:hint="eastAsia" w:ascii="宋体" w:hAnsi="宋体" w:cs="宋体"/>
          <w:b/>
          <w:bCs/>
          <w:sz w:val="28"/>
          <w:szCs w:val="28"/>
          <w:lang w:val="en-US" w:eastAsia="zh-CN"/>
        </w:rPr>
        <w:t>武陟县自然资源局2023年武陟县城市国土空间监测项目</w:t>
      </w:r>
      <w:r>
        <w:rPr>
          <w:rFonts w:hint="eastAsia" w:ascii="宋体" w:hAnsi="宋体" w:cs="宋体"/>
          <w:b/>
          <w:bCs/>
          <w:sz w:val="28"/>
          <w:szCs w:val="28"/>
        </w:rPr>
        <w:t>竞争性磋商公告</w:t>
      </w:r>
      <w:bookmarkStart w:id="4" w:name="_Toc15614"/>
      <w:bookmarkStart w:id="5" w:name="_Toc477423242"/>
      <w:bookmarkStart w:id="6" w:name="_Toc374512408"/>
      <w:bookmarkStart w:id="7" w:name="_Toc373230021"/>
      <w:bookmarkStart w:id="8" w:name="_Toc22562"/>
      <w:bookmarkStart w:id="9" w:name="_Toc408816341"/>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color w:val="auto"/>
          <w:sz w:val="24"/>
          <w:szCs w:val="24"/>
          <w:lang w:eastAsia="zh-CN"/>
        </w:rPr>
        <w:t>武陟县自然资源局2023年武陟县城市国土空间监测项目</w:t>
      </w:r>
      <w:r>
        <w:rPr>
          <w:rFonts w:hint="eastAsia" w:ascii="宋体" w:hAnsi="宋体" w:eastAsia="宋体" w:cs="宋体"/>
          <w:sz w:val="24"/>
          <w:szCs w:val="24"/>
          <w:lang w:val="en-US" w:eastAsia="zh-CN"/>
        </w:rPr>
        <w:t>的潜在</w:t>
      </w:r>
      <w:r>
        <w:rPr>
          <w:rFonts w:hint="eastAsia" w:ascii="宋体" w:hAnsi="宋体" w:cs="宋体"/>
          <w:sz w:val="24"/>
          <w:szCs w:val="24"/>
          <w:lang w:val="en-US" w:eastAsia="zh-CN"/>
        </w:rPr>
        <w:t>供应商</w:t>
      </w:r>
      <w:r>
        <w:rPr>
          <w:rFonts w:hint="eastAsia" w:ascii="宋体" w:hAnsi="宋体" w:eastAsia="宋体" w:cs="宋体"/>
          <w:sz w:val="24"/>
          <w:szCs w:val="24"/>
          <w:lang w:val="en-US" w:eastAsia="zh-CN"/>
        </w:rPr>
        <w:t>应在焦作市公共资源交易中心网站获取</w:t>
      </w:r>
      <w:r>
        <w:rPr>
          <w:rFonts w:hint="eastAsia" w:ascii="宋体" w:hAnsi="宋体" w:cs="宋体"/>
          <w:sz w:val="24"/>
          <w:szCs w:val="24"/>
          <w:lang w:val="en-US" w:eastAsia="zh-CN"/>
        </w:rPr>
        <w:t>竞争性磋商文件</w:t>
      </w:r>
      <w:r>
        <w:rPr>
          <w:rFonts w:hint="eastAsia" w:ascii="宋体" w:hAnsi="宋体" w:eastAsia="宋体" w:cs="宋体"/>
          <w:sz w:val="24"/>
          <w:szCs w:val="24"/>
          <w:lang w:val="en-US" w:eastAsia="zh-CN"/>
        </w:rPr>
        <w:t>，并于</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日09时00分</w:t>
      </w:r>
      <w:r>
        <w:rPr>
          <w:rFonts w:hint="eastAsia" w:ascii="宋体" w:hAnsi="宋体" w:eastAsia="宋体" w:cs="宋体"/>
          <w:sz w:val="24"/>
          <w:szCs w:val="24"/>
          <w:lang w:val="en-US" w:eastAsia="zh-CN"/>
        </w:rPr>
        <w:t>（北京时间）前递交响应文件。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项</w:t>
      </w:r>
      <w:r>
        <w:rPr>
          <w:rFonts w:hint="eastAsia" w:ascii="宋体" w:hAnsi="宋体" w:eastAsia="宋体" w:cs="宋体"/>
          <w:sz w:val="24"/>
          <w:szCs w:val="24"/>
        </w:rPr>
        <w:t>目编号：</w:t>
      </w:r>
      <w:r>
        <w:rPr>
          <w:rFonts w:hint="eastAsia" w:ascii="宋体" w:hAnsi="宋体" w:eastAsia="宋体" w:cs="宋体"/>
          <w:sz w:val="24"/>
          <w:szCs w:val="24"/>
          <w:lang w:val="en-US" w:eastAsia="zh-CN"/>
        </w:rPr>
        <w:t>2023-CS-055</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项目名称：</w:t>
      </w:r>
      <w:r>
        <w:rPr>
          <w:rFonts w:hint="eastAsia" w:ascii="宋体" w:hAnsi="宋体" w:cs="宋体"/>
          <w:color w:val="auto"/>
          <w:sz w:val="24"/>
          <w:szCs w:val="24"/>
          <w:lang w:eastAsia="zh-CN"/>
        </w:rPr>
        <w:t>武陟县自然资源局2023年武陟县城市国土空间监测项目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采购方式：竞争性磋商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预算金额：</w:t>
      </w:r>
      <w:r>
        <w:rPr>
          <w:rFonts w:hint="eastAsia" w:ascii="宋体" w:hAnsi="宋体" w:cs="宋体"/>
          <w:sz w:val="24"/>
          <w:szCs w:val="24"/>
          <w:lang w:val="en-US" w:eastAsia="zh-CN"/>
        </w:rPr>
        <w:t>492000.00元</w:t>
      </w:r>
    </w:p>
    <w:p>
      <w:pPr>
        <w:pStyle w:val="2"/>
        <w:spacing w:line="360" w:lineRule="auto"/>
        <w:rPr>
          <w:rFonts w:hint="default"/>
          <w:lang w:val="en-US"/>
        </w:rPr>
      </w:pPr>
      <w:r>
        <w:rPr>
          <w:rFonts w:hint="eastAsia" w:ascii="宋体" w:hAnsi="宋体" w:cs="宋体"/>
          <w:sz w:val="24"/>
          <w:szCs w:val="24"/>
          <w:lang w:val="en-US" w:eastAsia="zh-CN"/>
        </w:rPr>
        <w:t xml:space="preserve">       最高限价：488000.00元</w:t>
      </w:r>
    </w:p>
    <w:tbl>
      <w:tblPr>
        <w:tblStyle w:val="123"/>
        <w:tblpPr w:leftFromText="180" w:rightFromText="180" w:vertAnchor="text" w:horzAnchor="page" w:tblpX="1454" w:tblpY="14"/>
        <w:tblOverlap w:val="never"/>
        <w:tblW w:w="91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424"/>
        <w:gridCol w:w="3421"/>
        <w:gridCol w:w="1662"/>
        <w:gridCol w:w="2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序号</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w:t>
            </w:r>
            <w:r>
              <w:rPr>
                <w:rFonts w:hint="eastAsia" w:ascii="宋体" w:hAnsi="宋体" w:eastAsia="宋体" w:cs="宋体"/>
                <w:spacing w:val="-2"/>
                <w:sz w:val="24"/>
                <w:szCs w:val="24"/>
              </w:rPr>
              <w:t>号</w:t>
            </w:r>
          </w:p>
        </w:tc>
        <w:tc>
          <w:tcPr>
            <w:tcW w:w="342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包</w:t>
            </w:r>
            <w:r>
              <w:rPr>
                <w:rFonts w:hint="eastAsia" w:ascii="宋体" w:hAnsi="宋体" w:eastAsia="宋体" w:cs="宋体"/>
                <w:spacing w:val="1"/>
                <w:sz w:val="24"/>
                <w:szCs w:val="24"/>
              </w:rPr>
              <w:t>名称</w:t>
            </w:r>
          </w:p>
        </w:tc>
        <w:tc>
          <w:tcPr>
            <w:tcW w:w="166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包预算(元)</w:t>
            </w:r>
          </w:p>
        </w:tc>
        <w:tc>
          <w:tcPr>
            <w:tcW w:w="206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包最高限</w:t>
            </w:r>
            <w:r>
              <w:rPr>
                <w:rFonts w:hint="eastAsia" w:ascii="宋体" w:hAnsi="宋体" w:eastAsia="宋体" w:cs="宋体"/>
                <w:spacing w:val="4"/>
                <w:sz w:val="24"/>
                <w:szCs w:val="24"/>
              </w:rPr>
              <w:t>价</w:t>
            </w:r>
            <w:r>
              <w:rPr>
                <w:rFonts w:hint="eastAsia" w:ascii="宋体" w:hAnsi="宋体" w:eastAsia="宋体" w:cs="宋体"/>
                <w:spacing w:val="-11"/>
                <w:sz w:val="24"/>
                <w:szCs w:val="24"/>
              </w:rPr>
              <w:t>(</w:t>
            </w:r>
            <w:r>
              <w:rPr>
                <w:rFonts w:hint="eastAsia" w:ascii="宋体" w:hAnsi="宋体" w:eastAsia="宋体" w:cs="宋体"/>
                <w:spacing w:val="-1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2023-CS-055</w:t>
            </w:r>
          </w:p>
        </w:tc>
        <w:tc>
          <w:tcPr>
            <w:tcW w:w="342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cs="宋体"/>
                <w:color w:val="auto"/>
                <w:sz w:val="24"/>
                <w:szCs w:val="24"/>
                <w:lang w:eastAsia="zh-CN"/>
              </w:rPr>
              <w:t>武陟县自然资源局2023年武陟县城市国土空间监测项目</w:t>
            </w:r>
          </w:p>
        </w:tc>
        <w:tc>
          <w:tcPr>
            <w:tcW w:w="166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492000</w:t>
            </w:r>
          </w:p>
        </w:tc>
        <w:tc>
          <w:tcPr>
            <w:tcW w:w="206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rPr>
            </w:pPr>
            <w:r>
              <w:rPr>
                <w:rFonts w:hint="eastAsia" w:ascii="宋体" w:hAnsi="宋体" w:cs="宋体"/>
                <w:sz w:val="24"/>
                <w:szCs w:val="24"/>
                <w:lang w:val="en-US" w:eastAsia="zh-CN"/>
              </w:rPr>
              <w:t>488000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采购需求(包括但不限于标的的名称、数量、简要技术需求或服务要求等)</w:t>
      </w:r>
      <w:r>
        <w:rPr>
          <w:rFonts w:hint="eastAsia" w:ascii="宋体" w:hAnsi="宋体" w:cs="宋体"/>
          <w:sz w:val="24"/>
          <w:szCs w:val="24"/>
          <w:lang w:eastAsia="zh-CN"/>
        </w:rPr>
        <w:t>：</w:t>
      </w:r>
      <w:r>
        <w:rPr>
          <w:rFonts w:hint="eastAsia" w:ascii="宋体" w:hAnsi="宋体" w:cs="宋体"/>
          <w:color w:val="000000"/>
          <w:kern w:val="0"/>
          <w:sz w:val="24"/>
          <w:szCs w:val="24"/>
          <w:lang w:bidi="ar"/>
        </w:rPr>
        <w:t>对武陟县行政区域范围797.98平方公里开展城市国土空间监测工作</w:t>
      </w:r>
      <w:r>
        <w:rPr>
          <w:rFonts w:hint="eastAsia" w:ascii="宋体" w:hAnsi="宋体" w:cs="宋体"/>
          <w:color w:val="000000"/>
          <w:kern w:val="0"/>
          <w:sz w:val="24"/>
          <w:szCs w:val="24"/>
          <w:lang w:eastAsia="zh-CN" w:bidi="ar"/>
        </w:rPr>
        <w:t>。</w:t>
      </w:r>
      <w:r>
        <w:rPr>
          <w:rFonts w:hint="eastAsia" w:ascii="宋体" w:hAnsi="宋体" w:eastAsia="宋体" w:cs="宋体"/>
          <w:sz w:val="24"/>
          <w:szCs w:val="24"/>
          <w:lang w:val="en-US" w:eastAsia="zh-CN"/>
        </w:rPr>
        <w:t>(详见《河南省政府采购网》本公告附件)。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合同履行期限：</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7、本项目是否接受联合</w:t>
      </w:r>
      <w:r>
        <w:rPr>
          <w:rFonts w:hint="eastAsia" w:ascii="宋体" w:hAnsi="宋体" w:eastAsia="宋体" w:cs="宋体"/>
          <w:color w:val="auto"/>
          <w:sz w:val="24"/>
          <w:szCs w:val="24"/>
          <w:lang w:val="en-US" w:eastAsia="zh-CN"/>
        </w:rPr>
        <w:t>体：否</w:t>
      </w:r>
      <w:bookmarkStart w:id="189" w:name="_GoBack"/>
      <w:bookmarkEnd w:id="189"/>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8、是否接受进口产品：否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9、是否专门面向中小企业：是</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申请人的资格要求：</w:t>
      </w:r>
    </w:p>
    <w:p>
      <w:pPr>
        <w:keepNext w:val="0"/>
        <w:keepLines w:val="0"/>
        <w:pageBreakBefore w:val="0"/>
        <w:numPr>
          <w:ilvl w:val="0"/>
          <w:numId w:val="0"/>
        </w:numPr>
        <w:tabs>
          <w:tab w:val="left" w:pos="492"/>
          <w:tab w:val="left" w:pos="839"/>
        </w:tabs>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满足《中华人民共和国政府采购法》第二十二条规定；</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落实政府采购政策需满足的资格要求：</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shd w:val="clear" w:fill="FFFF00"/>
          <w:lang w:val="en-US" w:eastAsia="zh-CN"/>
        </w:rPr>
      </w:pPr>
      <w:r>
        <w:rPr>
          <w:rFonts w:hint="eastAsia" w:ascii="宋体" w:hAnsi="宋体" w:cs="宋体"/>
          <w:sz w:val="24"/>
          <w:szCs w:val="24"/>
          <w:lang w:val="en-US" w:eastAsia="zh-CN"/>
        </w:rPr>
        <w:t>2.1所投货物的制造商应为中小微企业或监狱企业或残疾人福利性单位；</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本项目的特定资格要求：</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eastAsia="zh-CN"/>
        </w:rPr>
      </w:pPr>
      <w:r>
        <w:rPr>
          <w:rFonts w:hint="eastAsia" w:ascii="宋体" w:hAnsi="宋体" w:eastAsia="宋体" w:cs="宋体"/>
          <w:sz w:val="24"/>
          <w:szCs w:val="24"/>
        </w:rPr>
        <w:t>3.1供应商须具备有效的测绘</w:t>
      </w:r>
      <w:r>
        <w:rPr>
          <w:rFonts w:hint="eastAsia" w:ascii="宋体" w:hAnsi="宋体" w:cs="宋体"/>
          <w:sz w:val="24"/>
          <w:szCs w:val="24"/>
          <w:lang w:eastAsia="zh-CN"/>
        </w:rPr>
        <w:t>乙</w:t>
      </w:r>
      <w:r>
        <w:rPr>
          <w:rFonts w:hint="eastAsia" w:ascii="宋体" w:hAnsi="宋体" w:eastAsia="宋体" w:cs="宋体"/>
          <w:sz w:val="24"/>
          <w:szCs w:val="24"/>
        </w:rPr>
        <w:t>级</w:t>
      </w:r>
      <w:r>
        <w:rPr>
          <w:rFonts w:hint="eastAsia" w:ascii="宋体" w:hAnsi="宋体" w:cs="宋体"/>
          <w:sz w:val="24"/>
          <w:szCs w:val="24"/>
          <w:lang w:eastAsia="zh-CN"/>
        </w:rPr>
        <w:t>及以上</w:t>
      </w:r>
      <w:r>
        <w:rPr>
          <w:rFonts w:hint="eastAsia" w:ascii="宋体" w:hAnsi="宋体" w:eastAsia="宋体" w:cs="宋体"/>
          <w:sz w:val="24"/>
          <w:szCs w:val="24"/>
        </w:rPr>
        <w:t>资质；</w:t>
      </w:r>
      <w:r>
        <w:rPr>
          <w:rFonts w:hint="eastAsia" w:ascii="宋体" w:hAnsi="宋体" w:cs="宋体"/>
          <w:sz w:val="24"/>
          <w:szCs w:val="24"/>
          <w:lang w:val="en-US" w:eastAsia="zh-CN"/>
        </w:rPr>
        <w:t xml:space="preserve"> </w:t>
      </w:r>
      <w:r>
        <w:rPr>
          <w:rFonts w:hint="eastAsia" w:ascii="宋体" w:hAnsi="宋体" w:eastAsia="宋体" w:cs="宋体"/>
          <w:sz w:val="24"/>
          <w:szCs w:val="24"/>
        </w:rPr>
        <w:t>拟派项目负责人应具备国家注册测绘师执业资格证书或测绘专业高级工程师资格，并提供劳动合同及本单位2023年1月以来为其缴纳任意3个月社保证明</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3.2</w:t>
      </w:r>
      <w:r>
        <w:rPr>
          <w:rFonts w:hint="eastAsia" w:ascii="宋体" w:hAnsi="宋体" w:eastAsia="宋体" w:cs="宋体"/>
          <w:sz w:val="24"/>
          <w:szCs w:val="24"/>
        </w:rPr>
        <w:t>供应商及其法定代表人、委托代理人均无行贿犯罪记录；</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3</w:t>
      </w:r>
      <w:r>
        <w:rPr>
          <w:rFonts w:hint="eastAsia" w:ascii="宋体" w:hAnsi="宋体" w:eastAsia="宋体" w:cs="宋体"/>
          <w:sz w:val="24"/>
          <w:szCs w:val="24"/>
        </w:rPr>
        <w:t>不得被列入失信被执行人、重大税收违法失信主体、政府采购严重违法失信行为记录名单。</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获取</w:t>
      </w:r>
      <w:r>
        <w:rPr>
          <w:rFonts w:hint="eastAsia" w:ascii="宋体" w:hAnsi="宋体" w:eastAsia="宋体" w:cs="宋体"/>
          <w:b/>
          <w:bCs/>
          <w:sz w:val="24"/>
          <w:szCs w:val="24"/>
          <w:lang w:eastAsia="zh-CN"/>
        </w:rPr>
        <w:t>采购</w:t>
      </w:r>
      <w:r>
        <w:rPr>
          <w:rFonts w:hint="eastAsia" w:ascii="宋体" w:hAnsi="宋体" w:eastAsia="宋体" w:cs="宋体"/>
          <w:b/>
          <w:bCs/>
          <w:sz w:val="24"/>
          <w:szCs w:val="24"/>
        </w:rPr>
        <w:t>文件</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日至</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sz w:val="24"/>
          <w:szCs w:val="24"/>
        </w:rPr>
        <w:t>，每天上午 0</w:t>
      </w:r>
      <w:r>
        <w:rPr>
          <w:rFonts w:hint="eastAsia" w:ascii="宋体" w:hAnsi="宋体" w:eastAsia="宋体" w:cs="宋体"/>
          <w:sz w:val="24"/>
          <w:szCs w:val="24"/>
          <w:lang w:val="en-US" w:eastAsia="zh-CN"/>
        </w:rPr>
        <w:t>0</w:t>
      </w:r>
      <w:r>
        <w:rPr>
          <w:rFonts w:hint="eastAsia" w:ascii="宋体" w:hAnsi="宋体" w:eastAsia="宋体" w:cs="宋体"/>
          <w:sz w:val="24"/>
          <w:szCs w:val="24"/>
        </w:rPr>
        <w:t>:00 至 12:00， 下午 12:00 至 23:</w:t>
      </w:r>
      <w:r>
        <w:rPr>
          <w:rFonts w:hint="eastAsia" w:ascii="宋体" w:hAnsi="宋体" w:cs="宋体"/>
          <w:sz w:val="24"/>
          <w:szCs w:val="24"/>
          <w:lang w:val="en-US" w:eastAsia="zh-CN"/>
        </w:rPr>
        <w:t>59</w:t>
      </w:r>
      <w:r>
        <w:rPr>
          <w:rFonts w:hint="eastAsia" w:ascii="宋体" w:hAnsi="宋体" w:eastAsia="宋体" w:cs="宋体"/>
          <w:sz w:val="24"/>
          <w:szCs w:val="24"/>
        </w:rPr>
        <w:t xml:space="preserve"> (北京时间，法定节假日除外。)</w:t>
      </w:r>
      <w:r>
        <w:rPr>
          <w:rFonts w:hint="eastAsia" w:ascii="宋体" w:hAnsi="宋体" w:cs="宋体"/>
          <w:sz w:val="24"/>
          <w:szCs w:val="24"/>
          <w:lang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shd w:val="clear" w:color="auto" w:fill="FFFF00"/>
        </w:rPr>
      </w:pPr>
      <w:r>
        <w:rPr>
          <w:rFonts w:hint="eastAsia" w:ascii="宋体" w:hAnsi="宋体" w:eastAsia="宋体" w:cs="宋体"/>
          <w:sz w:val="24"/>
          <w:szCs w:val="24"/>
        </w:rPr>
        <w:t>地点：焦作市公共资源交易中心网站</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方式：本项目采用网上获取</w:t>
      </w:r>
      <w:r>
        <w:rPr>
          <w:rFonts w:hint="eastAsia" w:ascii="宋体" w:hAnsi="宋体" w:cs="宋体"/>
          <w:sz w:val="24"/>
          <w:szCs w:val="24"/>
          <w:lang w:eastAsia="zh-CN"/>
        </w:rPr>
        <w:t>竞争性</w:t>
      </w:r>
      <w:r>
        <w:rPr>
          <w:rFonts w:hint="eastAsia" w:ascii="宋体" w:hAnsi="宋体" w:eastAsia="宋体" w:cs="宋体"/>
          <w:sz w:val="24"/>
          <w:szCs w:val="24"/>
        </w:rPr>
        <w:t>磋商文件，凡有意参加本项目磋商活动者，请登陆焦作市公共资源交易中心网站</w:t>
      </w:r>
      <w:r>
        <w:rPr>
          <w:rFonts w:hint="eastAsia" w:ascii="宋体" w:hAnsi="宋体" w:eastAsia="宋体" w:cs="宋体"/>
          <w:sz w:val="24"/>
          <w:szCs w:val="24"/>
          <w:lang w:val="en-US" w:eastAsia="zh-CN"/>
        </w:rPr>
        <w:t>-交易平台“交易主体登录”栏目下载磋商文件</w:t>
      </w:r>
      <w:r>
        <w:rPr>
          <w:rFonts w:hint="eastAsia" w:ascii="宋体" w:hAnsi="宋体" w:cs="宋体"/>
          <w:sz w:val="24"/>
          <w:szCs w:val="24"/>
          <w:lang w:eastAsia="zh-CN"/>
        </w:rPr>
        <w:t>；</w:t>
      </w:r>
    </w:p>
    <w:p>
      <w:pPr>
        <w:pStyle w:val="2"/>
        <w:keepNext w:val="0"/>
        <w:keepLines w:val="0"/>
        <w:pageBreakBefore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4.售价：0元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四、提交</w:t>
      </w:r>
      <w:r>
        <w:rPr>
          <w:rFonts w:hint="eastAsia" w:ascii="宋体" w:hAnsi="宋体" w:cs="宋体"/>
          <w:b/>
          <w:bCs/>
          <w:sz w:val="24"/>
          <w:szCs w:val="24"/>
          <w:lang w:eastAsia="zh-CN"/>
        </w:rPr>
        <w:t>响应</w:t>
      </w:r>
      <w:r>
        <w:rPr>
          <w:rFonts w:hint="eastAsia" w:ascii="宋体" w:hAnsi="宋体" w:eastAsia="宋体" w:cs="宋体"/>
          <w:b/>
          <w:bCs/>
          <w:sz w:val="24"/>
          <w:szCs w:val="24"/>
          <w:lang w:eastAsia="zh-CN"/>
        </w:rPr>
        <w:t>文件截止时间及地点：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1.截止时间：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color w:val="FF0000"/>
          <w:sz w:val="24"/>
          <w:szCs w:val="24"/>
          <w:u w:val="none"/>
        </w:rPr>
        <w:t>09</w:t>
      </w:r>
      <w:r>
        <w:rPr>
          <w:rFonts w:hint="eastAsia" w:ascii="宋体" w:hAnsi="宋体" w:eastAsia="宋体" w:cs="宋体"/>
          <w:color w:val="FF0000"/>
          <w:sz w:val="24"/>
          <w:szCs w:val="24"/>
        </w:rPr>
        <w:t>点</w:t>
      </w:r>
      <w:r>
        <w:rPr>
          <w:rFonts w:hint="eastAsia" w:ascii="宋体" w:hAnsi="宋体" w:eastAsia="宋体" w:cs="宋体"/>
          <w:color w:val="FF0000"/>
          <w:sz w:val="24"/>
          <w:szCs w:val="24"/>
          <w:u w:val="none"/>
        </w:rPr>
        <w:t>00</w:t>
      </w:r>
      <w:r>
        <w:rPr>
          <w:rFonts w:hint="eastAsia" w:ascii="宋体" w:hAnsi="宋体" w:eastAsia="宋体" w:cs="宋体"/>
          <w:color w:val="FF0000"/>
          <w:sz w:val="24"/>
          <w:szCs w:val="24"/>
        </w:rPr>
        <w:t>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2.地点：焦作市公共资源交易中心网站。</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五、响应文件</w:t>
      </w:r>
      <w:r>
        <w:rPr>
          <w:rFonts w:hint="eastAsia" w:ascii="宋体" w:hAnsi="宋体" w:eastAsia="宋体" w:cs="宋体"/>
          <w:b/>
          <w:bCs/>
          <w:sz w:val="24"/>
          <w:szCs w:val="24"/>
        </w:rPr>
        <w:t>开启</w:t>
      </w:r>
      <w:r>
        <w:rPr>
          <w:rFonts w:hint="eastAsia" w:ascii="宋体" w:hAnsi="宋体" w:cs="宋体"/>
          <w:b/>
          <w:bCs/>
          <w:sz w:val="24"/>
          <w:szCs w:val="24"/>
          <w:lang w:eastAsia="zh-CN"/>
        </w:rPr>
        <w:t>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年</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日09时00分</w:t>
      </w:r>
      <w:r>
        <w:rPr>
          <w:rFonts w:hint="eastAsia" w:ascii="宋体" w:hAnsi="宋体" w:eastAsia="宋体" w:cs="宋体"/>
          <w:sz w:val="24"/>
          <w:szCs w:val="24"/>
        </w:rPr>
        <w:t>（北京时间）；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2.地点：武陟县公共资源交易中心二楼</w:t>
      </w:r>
      <w:r>
        <w:rPr>
          <w:rFonts w:hint="eastAsia" w:ascii="宋体" w:hAnsi="宋体" w:eastAsia="宋体" w:cs="宋体"/>
          <w:color w:val="FF0000"/>
          <w:sz w:val="24"/>
          <w:szCs w:val="24"/>
        </w:rPr>
        <w:t>开标</w:t>
      </w:r>
      <w:r>
        <w:rPr>
          <w:rFonts w:hint="eastAsia" w:ascii="宋体" w:hAnsi="宋体" w:cs="宋体"/>
          <w:color w:val="FF0000"/>
          <w:sz w:val="24"/>
          <w:szCs w:val="24"/>
          <w:u w:val="none"/>
          <w:lang w:val="en-US" w:eastAsia="zh-CN"/>
        </w:rPr>
        <w:t xml:space="preserve">   </w:t>
      </w:r>
      <w:r>
        <w:rPr>
          <w:rFonts w:hint="eastAsia" w:ascii="宋体" w:hAnsi="宋体" w:eastAsia="宋体" w:cs="宋体"/>
          <w:color w:val="FF0000"/>
          <w:sz w:val="24"/>
          <w:szCs w:val="24"/>
        </w:rPr>
        <w:t>厅</w:t>
      </w:r>
      <w:r>
        <w:rPr>
          <w:rFonts w:hint="eastAsia" w:ascii="宋体" w:hAnsi="宋体" w:eastAsia="宋体" w:cs="宋体"/>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六、发布</w:t>
      </w:r>
      <w:r>
        <w:rPr>
          <w:rFonts w:hint="eastAsia" w:ascii="宋体" w:hAnsi="宋体" w:eastAsia="宋体" w:cs="宋体"/>
          <w:b/>
          <w:bCs/>
          <w:sz w:val="24"/>
          <w:szCs w:val="24"/>
        </w:rPr>
        <w:t>公告</w:t>
      </w:r>
      <w:r>
        <w:rPr>
          <w:rFonts w:hint="eastAsia" w:ascii="宋体" w:hAnsi="宋体" w:eastAsia="宋体" w:cs="宋体"/>
          <w:b/>
          <w:bCs/>
          <w:sz w:val="24"/>
          <w:szCs w:val="24"/>
          <w:lang w:eastAsia="zh-CN"/>
        </w:rPr>
        <w:t>的媒介及</w:t>
      </w:r>
      <w:r>
        <w:rPr>
          <w:rFonts w:hint="eastAsia" w:ascii="宋体" w:hAnsi="宋体" w:cs="宋体"/>
          <w:b/>
          <w:bCs/>
          <w:sz w:val="24"/>
          <w:szCs w:val="24"/>
          <w:lang w:eastAsia="zh-CN"/>
        </w:rPr>
        <w:t>采购</w:t>
      </w:r>
      <w:r>
        <w:rPr>
          <w:rFonts w:hint="eastAsia" w:ascii="宋体" w:hAnsi="宋体" w:eastAsia="宋体" w:cs="宋体"/>
          <w:b/>
          <w:bCs/>
          <w:sz w:val="24"/>
          <w:szCs w:val="24"/>
          <w:lang w:eastAsia="zh-CN"/>
        </w:rPr>
        <w:t>公告</w:t>
      </w:r>
      <w:r>
        <w:rPr>
          <w:rFonts w:hint="eastAsia" w:ascii="宋体" w:hAnsi="宋体" w:eastAsia="宋体" w:cs="宋体"/>
          <w:b/>
          <w:bCs/>
          <w:sz w:val="24"/>
          <w:szCs w:val="24"/>
        </w:rPr>
        <w:t>期限：</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本次</w:t>
      </w:r>
      <w:r>
        <w:rPr>
          <w:rFonts w:hint="eastAsia" w:ascii="宋体" w:hAnsi="宋体" w:cs="宋体"/>
          <w:sz w:val="24"/>
          <w:szCs w:val="24"/>
          <w:lang w:eastAsia="zh-CN"/>
        </w:rPr>
        <w:t>竞争性磋商</w:t>
      </w:r>
      <w:r>
        <w:rPr>
          <w:rFonts w:hint="eastAsia" w:ascii="宋体" w:hAnsi="宋体" w:eastAsia="宋体" w:cs="宋体"/>
          <w:sz w:val="24"/>
          <w:szCs w:val="24"/>
        </w:rPr>
        <w:t>公告</w:t>
      </w:r>
      <w:r>
        <w:rPr>
          <w:rFonts w:hint="eastAsia" w:ascii="宋体" w:hAnsi="宋体" w:eastAsia="宋体" w:cs="宋体"/>
          <w:sz w:val="24"/>
          <w:szCs w:val="24"/>
          <w:lang w:eastAsia="zh-CN"/>
        </w:rPr>
        <w:t>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w:t>
      </w:r>
      <w:r>
        <w:rPr>
          <w:rFonts w:hint="eastAsia" w:ascii="宋体" w:hAnsi="宋体" w:cs="宋体"/>
          <w:sz w:val="24"/>
          <w:szCs w:val="24"/>
          <w:lang w:eastAsia="zh-CN"/>
        </w:rPr>
        <w:t>。竞争性磋商</w:t>
      </w:r>
      <w:r>
        <w:rPr>
          <w:rFonts w:hint="eastAsia" w:ascii="宋体" w:hAnsi="宋体" w:eastAsia="宋体" w:cs="宋体"/>
          <w:sz w:val="24"/>
          <w:szCs w:val="24"/>
          <w:lang w:eastAsia="zh-CN"/>
        </w:rPr>
        <w:t>公告期限为</w:t>
      </w:r>
      <w:r>
        <w:rPr>
          <w:rFonts w:hint="eastAsia" w:ascii="宋体" w:hAnsi="宋体" w:cs="宋体"/>
          <w:sz w:val="24"/>
          <w:szCs w:val="24"/>
          <w:lang w:eastAsia="zh-CN"/>
        </w:rPr>
        <w:t>三</w:t>
      </w:r>
      <w:r>
        <w:rPr>
          <w:rFonts w:hint="eastAsia" w:ascii="宋体" w:hAnsi="宋体" w:eastAsia="宋体" w:cs="宋体"/>
          <w:sz w:val="24"/>
          <w:szCs w:val="24"/>
        </w:rPr>
        <w:t>个工作日。</w:t>
      </w:r>
    </w:p>
    <w:p>
      <w:pPr>
        <w:keepNext w:val="0"/>
        <w:keepLines w:val="0"/>
        <w:widowControl/>
        <w:numPr>
          <w:ilvl w:val="0"/>
          <w:numId w:val="3"/>
        </w:numPr>
        <w:suppressLineNumbers w:val="0"/>
        <w:jc w:val="left"/>
        <w:rPr>
          <w:rFonts w:hint="eastAsia" w:ascii="宋体" w:hAnsi="宋体" w:cs="宋体"/>
          <w:b/>
          <w:bCs/>
          <w:sz w:val="24"/>
          <w:szCs w:val="24"/>
          <w:lang w:eastAsia="zh-CN"/>
        </w:rPr>
      </w:pPr>
      <w:r>
        <w:rPr>
          <w:rFonts w:hint="eastAsia" w:ascii="宋体" w:hAnsi="宋体" w:eastAsia="宋体" w:cs="宋体"/>
          <w:b/>
          <w:bCs/>
          <w:sz w:val="24"/>
          <w:szCs w:val="24"/>
        </w:rPr>
        <w:t>其他补充事宜</w:t>
      </w:r>
      <w:r>
        <w:rPr>
          <w:rFonts w:hint="eastAsia" w:ascii="宋体" w:hAnsi="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2、按要求进行网上获取并下载竞争性磋商文件,凡未在规定时间内获取竞争性磋商文件者视为无效标。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4、平台统一技术服务电话为：400-998-0000，服务 QQ：4008503300, 服务时间：周一至周日 8：00-17：30（北京时间）。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5、本项目采用远程不见面交易的模式，磋商当日，供应商无需到现场参加磋商会议，应在提交响应性文件截止时间前，登录“不见面开标大厅系统”，在线准时参加磋商活动，在规定时间内进行文件解密。各潜在供应商因加密电子响应性文件未能成功上传，其投标将被拒绝。供应商需在响应文件提交截止时间后 30 分钟内完成解密，否则造成的</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切后果由供应商自行负责。除电子响应性文件外，磋商时不再接受任何纸质文件、资料等。</w:t>
      </w:r>
      <w:r>
        <w:rPr>
          <w:rFonts w:hint="eastAsia" w:ascii="宋体" w:hAnsi="宋体" w:eastAsia="宋体" w:cs="宋体"/>
          <w:color w:val="0000FF"/>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凡对本次采购提出询问，请按以下方式联系</w:t>
      </w:r>
    </w:p>
    <w:p>
      <w:pPr>
        <w:keepNext w:val="0"/>
        <w:keepLines w:val="0"/>
        <w:pageBreakBefore w:val="0"/>
        <w:widowControl/>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cs="宋体"/>
          <w:sz w:val="24"/>
          <w:szCs w:val="24"/>
          <w:lang w:eastAsia="zh-CN"/>
        </w:rPr>
        <w:t>武陟县自然资源局</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lang w:eastAsia="zh-CN"/>
        </w:rPr>
        <w:t>武陟县黄河大道</w:t>
      </w:r>
      <w:r>
        <w:rPr>
          <w:rFonts w:hint="eastAsia" w:ascii="宋体" w:hAnsi="宋体" w:eastAsia="宋体" w:cs="宋体"/>
          <w:sz w:val="24"/>
          <w:szCs w:val="24"/>
          <w:highlight w:val="none"/>
          <w:lang w:val="en-US" w:eastAsia="zh-CN"/>
        </w:rPr>
        <w:t>89号</w:t>
      </w:r>
    </w:p>
    <w:p>
      <w:pPr>
        <w:pStyle w:val="2"/>
        <w:keepNext w:val="0"/>
        <w:keepLines w:val="0"/>
        <w:pageBreakBefore w:val="0"/>
        <w:widowControl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联系人：</w:t>
      </w:r>
      <w:r>
        <w:rPr>
          <w:rFonts w:hint="eastAsia" w:ascii="宋体" w:hAnsi="宋体" w:cs="宋体"/>
          <w:sz w:val="24"/>
          <w:szCs w:val="24"/>
          <w:highlight w:val="none"/>
          <w:lang w:eastAsia="zh-CN"/>
        </w:rPr>
        <w:t>王哲</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联系方式：</w:t>
      </w:r>
      <w:r>
        <w:rPr>
          <w:rFonts w:hint="eastAsia" w:ascii="宋体" w:hAnsi="宋体" w:cs="宋体"/>
          <w:sz w:val="24"/>
          <w:szCs w:val="24"/>
          <w:shd w:val="clear" w:color="auto" w:fill="FFFFFF"/>
          <w:lang w:val="en-US" w:eastAsia="zh-CN"/>
        </w:rPr>
        <w:t>13782738855</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2.采购代理机构信息</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cs="宋体"/>
          <w:sz w:val="24"/>
          <w:szCs w:val="24"/>
          <w:lang w:eastAsia="zh-CN"/>
        </w:rPr>
        <w:t>中喆华晟云平台有限公司</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地 址：</w:t>
      </w:r>
      <w:r>
        <w:rPr>
          <w:rFonts w:hint="eastAsia" w:ascii="宋体" w:hAnsi="宋体" w:cs="宋体"/>
          <w:sz w:val="24"/>
          <w:szCs w:val="24"/>
          <w:lang w:eastAsia="zh-CN"/>
        </w:rPr>
        <w:t>武陟县云台大道东侧</w:t>
      </w:r>
      <w:r>
        <w:rPr>
          <w:rFonts w:hint="eastAsia" w:ascii="宋体" w:hAnsi="宋体" w:cs="宋体"/>
          <w:sz w:val="24"/>
          <w:szCs w:val="24"/>
          <w:lang w:val="en-US" w:eastAsia="zh-CN"/>
        </w:rPr>
        <w:t>2号</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联系人：</w:t>
      </w:r>
      <w:r>
        <w:rPr>
          <w:rFonts w:hint="eastAsia" w:ascii="宋体" w:hAnsi="宋体" w:cs="宋体"/>
          <w:sz w:val="24"/>
          <w:szCs w:val="24"/>
          <w:highlight w:val="none"/>
          <w:lang w:eastAsia="zh-CN"/>
        </w:rPr>
        <w:t>荆宇轩</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联系方式：0391-7289803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3.项目联系方式</w:t>
      </w:r>
    </w:p>
    <w:p>
      <w:pPr>
        <w:pStyle w:val="18"/>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项目联系人：</w:t>
      </w:r>
      <w:r>
        <w:rPr>
          <w:rFonts w:hint="eastAsia" w:ascii="宋体" w:hAnsi="宋体" w:cs="宋体"/>
          <w:sz w:val="24"/>
          <w:szCs w:val="24"/>
          <w:highlight w:val="none"/>
          <w:lang w:eastAsia="zh-CN"/>
        </w:rPr>
        <w:t>王哲</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电　话：</w:t>
      </w:r>
      <w:r>
        <w:rPr>
          <w:rFonts w:hint="eastAsia" w:ascii="宋体" w:hAnsi="宋体" w:eastAsia="宋体" w:cs="宋体"/>
          <w:sz w:val="24"/>
          <w:szCs w:val="24"/>
          <w:lang w:val="en-US" w:eastAsia="zh-CN"/>
        </w:rPr>
        <w:t>0391-7588032</w:t>
      </w:r>
    </w:p>
    <w:p>
      <w:pPr>
        <w:spacing w:line="380" w:lineRule="exact"/>
        <w:ind w:firstLine="6000" w:firstLineChars="2500"/>
        <w:rPr>
          <w:rFonts w:hint="eastAsia" w:ascii="宋体" w:hAnsi="宋体" w:cs="宋体"/>
          <w:sz w:val="24"/>
          <w:szCs w:val="24"/>
          <w:u w:val="none"/>
        </w:rPr>
        <w:sectPr>
          <w:footerReference r:id="rId10" w:type="default"/>
          <w:pgSz w:w="11906" w:h="16838"/>
          <w:pgMar w:top="1134" w:right="1134" w:bottom="1134" w:left="1474" w:header="851" w:footer="510" w:gutter="0"/>
          <w:cols w:space="720" w:num="1"/>
          <w:docGrid w:type="lines" w:linePitch="312" w:charSpace="0"/>
        </w:sectPr>
      </w:pPr>
      <w:r>
        <w:rPr>
          <w:rFonts w:hint="eastAsia" w:ascii="宋体" w:hAnsi="宋体" w:cs="宋体"/>
          <w:sz w:val="24"/>
          <w:szCs w:val="24"/>
          <w:u w:val="none"/>
        </w:rPr>
        <w:t>时间：</w:t>
      </w:r>
      <w:r>
        <w:rPr>
          <w:rFonts w:hint="eastAsia" w:ascii="宋体" w:hAnsi="宋体" w:cs="宋体"/>
          <w:sz w:val="24"/>
          <w:szCs w:val="24"/>
          <w:u w:val="none"/>
          <w:lang w:val="en-US" w:eastAsia="zh-CN"/>
        </w:rPr>
        <w:t xml:space="preserve">    </w:t>
      </w:r>
      <w:r>
        <w:rPr>
          <w:rFonts w:hint="eastAsia" w:ascii="宋体" w:hAnsi="宋体" w:cs="宋体"/>
          <w:sz w:val="24"/>
          <w:szCs w:val="24"/>
          <w:u w:val="none"/>
        </w:rPr>
        <w:t>年</w:t>
      </w:r>
      <w:r>
        <w:rPr>
          <w:rFonts w:hint="eastAsia" w:ascii="宋体" w:hAnsi="宋体" w:cs="宋体"/>
          <w:sz w:val="24"/>
          <w:szCs w:val="24"/>
          <w:u w:val="none"/>
          <w:lang w:val="en-US" w:eastAsia="zh-CN"/>
        </w:rPr>
        <w:t xml:space="preserve">  </w:t>
      </w:r>
      <w:r>
        <w:rPr>
          <w:rFonts w:hint="eastAsia" w:ascii="宋体" w:hAnsi="宋体" w:cs="宋体"/>
          <w:sz w:val="24"/>
          <w:szCs w:val="24"/>
          <w:u w:val="none"/>
        </w:rPr>
        <w:t>月</w:t>
      </w:r>
      <w:r>
        <w:rPr>
          <w:rFonts w:hint="eastAsia" w:ascii="宋体" w:hAnsi="宋体" w:cs="宋体"/>
          <w:sz w:val="24"/>
          <w:szCs w:val="24"/>
          <w:u w:val="none"/>
          <w:lang w:val="en-US" w:eastAsia="zh-CN"/>
        </w:rPr>
        <w:t xml:space="preserve">  </w:t>
      </w:r>
      <w:r>
        <w:rPr>
          <w:rFonts w:hint="eastAsia" w:ascii="宋体" w:hAnsi="宋体" w:cs="宋体"/>
          <w:sz w:val="24"/>
          <w:szCs w:val="24"/>
          <w:u w:val="none"/>
        </w:rPr>
        <w:t>日</w:t>
      </w:r>
    </w:p>
    <w:p>
      <w:pPr>
        <w:pStyle w:val="36"/>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0" w:name="_Toc29694"/>
      <w:bookmarkStart w:id="11" w:name="_Toc15530"/>
      <w:r>
        <w:rPr>
          <w:rFonts w:hint="eastAsia" w:ascii="宋体" w:hAnsi="宋体" w:cs="宋体"/>
        </w:rPr>
        <w:t>供应商须知</w:t>
      </w:r>
      <w:bookmarkEnd w:id="4"/>
      <w:bookmarkEnd w:id="10"/>
      <w:bookmarkEnd w:id="11"/>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kern w:val="0"/>
                <w:szCs w:val="21"/>
                <w:lang w:eastAsia="zh-CN"/>
              </w:rPr>
              <w:t>武陟县自然资源局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kern w:val="0"/>
                <w:szCs w:val="21"/>
                <w:lang w:eastAsia="zh-CN"/>
              </w:rPr>
              <w:t>中喆华晟云平台有限公司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项目名称</w:t>
            </w:r>
          </w:p>
        </w:tc>
        <w:tc>
          <w:tcPr>
            <w:tcW w:w="6563" w:type="dxa"/>
            <w:noWrap w:val="0"/>
            <w:vAlign w:val="center"/>
          </w:tcPr>
          <w:p>
            <w:pPr>
              <w:rPr>
                <w:rFonts w:hint="eastAsia"/>
                <w:lang w:eastAsia="zh-CN"/>
              </w:rPr>
            </w:pPr>
            <w:r>
              <w:rPr>
                <w:rFonts w:hint="eastAsia" w:ascii="宋体" w:hAnsi="宋体" w:cs="宋体"/>
                <w:kern w:val="0"/>
                <w:szCs w:val="21"/>
                <w:lang w:eastAsia="zh-CN"/>
              </w:rPr>
              <w:t>武陟县自然资源局2023年武陟县城市国土空间监测项目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kern w:val="0"/>
                <w:szCs w:val="21"/>
                <w:lang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131" w:type="dxa"/>
            <w:noWrap w:val="0"/>
            <w:vAlign w:val="center"/>
          </w:tcPr>
          <w:p>
            <w:pPr>
              <w:spacing w:line="460" w:lineRule="exact"/>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报价范围</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s="宋体"/>
                <w:color w:val="auto"/>
                <w:kern w:val="0"/>
                <w:szCs w:val="21"/>
                <w:lang w:val="en-US" w:eastAsia="zh-CN"/>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olor w:val="auto"/>
                <w:szCs w:val="21"/>
              </w:rPr>
              <w:t>项目属性</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00A8"/>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szCs w:val="21"/>
              </w:rPr>
              <w:t>保证金：</w:t>
            </w:r>
            <w:r>
              <w:rPr>
                <w:rFonts w:hint="eastAsia" w:ascii="宋体" w:hAnsi="宋体" w:cs="宋体"/>
                <w:color w:val="auto"/>
                <w:szCs w:val="21"/>
                <w:lang w:val="en-US" w:eastAsia="zh-CN"/>
              </w:rPr>
              <w:t>0.8</w:t>
            </w:r>
            <w:r>
              <w:rPr>
                <w:rFonts w:hint="eastAsia" w:ascii="宋体" w:hAnsi="宋体" w:cs="宋体"/>
                <w:color w:val="auto"/>
                <w:szCs w:val="21"/>
                <w:lang w:eastAsia="zh-CN"/>
              </w:rPr>
              <w:t>万</w:t>
            </w:r>
            <w:r>
              <w:rPr>
                <w:rFonts w:hint="eastAsia" w:ascii="宋体" w:hAnsi="宋体" w:cs="宋体"/>
                <w:color w:val="auto"/>
                <w:szCs w:val="21"/>
              </w:rPr>
              <w:t>元</w:t>
            </w:r>
            <w:r>
              <w:rPr>
                <w:rFonts w:hint="eastAsia" w:ascii="宋体" w:hAnsi="宋体" w:cs="宋体"/>
                <w:b/>
                <w:bCs/>
                <w:szCs w:val="21"/>
              </w:rPr>
              <w:t>（暂不缴纳）</w:t>
            </w:r>
          </w:p>
          <w:p>
            <w:pPr>
              <w:spacing w:line="400" w:lineRule="exact"/>
              <w:rPr>
                <w:rFonts w:hint="eastAsia" w:ascii="宋体" w:hAnsi="宋体" w:cs="宋体"/>
                <w:szCs w:val="21"/>
              </w:rPr>
            </w:pPr>
            <w:r>
              <w:rPr>
                <w:rFonts w:hint="eastAsia" w:ascii="宋体" w:hAnsi="宋体" w:cs="宋体"/>
                <w:szCs w:val="21"/>
              </w:rPr>
              <w:t>2.供应商有下列情形之一的，采购人将追索</w:t>
            </w:r>
            <w:r>
              <w:rPr>
                <w:rFonts w:hint="eastAsia" w:ascii="宋体" w:hAnsi="宋体" w:cs="宋体"/>
                <w:kern w:val="0"/>
                <w:szCs w:val="21"/>
              </w:rPr>
              <w:t>磋商</w:t>
            </w:r>
            <w:r>
              <w:rPr>
                <w:rFonts w:hint="eastAsia" w:ascii="宋体" w:hAnsi="宋体" w:cs="宋体"/>
                <w:szCs w:val="21"/>
              </w:rPr>
              <w:t>保证金人民币</w:t>
            </w:r>
            <w:r>
              <w:rPr>
                <w:rFonts w:hint="eastAsia" w:ascii="宋体" w:hAnsi="宋体" w:cs="宋体"/>
                <w:b/>
                <w:bCs/>
                <w:color w:val="auto"/>
                <w:kern w:val="0"/>
                <w:szCs w:val="21"/>
                <w:lang w:val="en-US" w:eastAsia="zh-CN"/>
              </w:rPr>
              <w:t>0.8</w:t>
            </w:r>
            <w:r>
              <w:rPr>
                <w:rFonts w:hint="eastAsia" w:ascii="宋体" w:hAnsi="宋体" w:cs="宋体"/>
                <w:b/>
                <w:bCs/>
                <w:color w:val="auto"/>
                <w:kern w:val="0"/>
                <w:szCs w:val="21"/>
                <w:lang w:eastAsia="zh-CN"/>
              </w:rPr>
              <w:t>万元</w:t>
            </w:r>
            <w:r>
              <w:rPr>
                <w:rFonts w:hint="eastAsia" w:ascii="宋体" w:hAnsi="宋体" w:cs="宋体"/>
                <w:color w:val="auto"/>
                <w:szCs w:val="21"/>
              </w:rPr>
              <w:t>，</w:t>
            </w:r>
            <w:r>
              <w:rPr>
                <w:rFonts w:hint="eastAsia" w:ascii="宋体" w:hAnsi="宋体" w:cs="宋体"/>
                <w:b/>
                <w:bCs/>
                <w:szCs w:val="21"/>
              </w:rPr>
              <w:t>并予以没收</w:t>
            </w:r>
            <w:r>
              <w:rPr>
                <w:rFonts w:hint="eastAsia" w:ascii="宋体" w:hAnsi="宋体" w:cs="宋体"/>
                <w:szCs w:val="21"/>
              </w:rPr>
              <w:t>，供应商应作出相应承诺（承诺书格式见第六章响应文件格式中）：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7"/>
              <w:spacing w:before="1" w:line="440" w:lineRule="exact"/>
              <w:ind w:left="108"/>
              <w:jc w:val="center"/>
              <w:rPr>
                <w:rFonts w:hint="eastAsia" w:ascii="宋体" w:hAnsi="宋体" w:cs="宋体"/>
                <w:color w:val="auto"/>
                <w:kern w:val="0"/>
                <w:szCs w:val="21"/>
              </w:rPr>
            </w:pPr>
            <w:r>
              <w:rPr>
                <w:rFonts w:hint="eastAsia" w:ascii="宋体" w:hAnsi="宋体" w:cs="宋体"/>
                <w:color w:val="auto"/>
                <w:sz w:val="21"/>
                <w:szCs w:val="21"/>
              </w:rPr>
              <w:t>响应文件的递交</w:t>
            </w:r>
          </w:p>
        </w:tc>
        <w:tc>
          <w:tcPr>
            <w:tcW w:w="6563" w:type="dxa"/>
            <w:noWrap w:val="0"/>
            <w:vAlign w:val="center"/>
          </w:tcPr>
          <w:p>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 xml:space="preserve">1、本项目为不见面开标，加密电子响应性文件须在响应性文件提交截 止时间前通过“焦作市公共资源交易中心”网站-交易平台加密上传。除电子响应性文件外，磋商时不再接受任何纸质文件、资料等。 </w:t>
            </w:r>
          </w:p>
          <w:p>
            <w:pPr>
              <w:keepNext w:val="0"/>
              <w:keepLines w:val="0"/>
              <w:widowControl/>
              <w:suppressLineNumbers w:val="0"/>
              <w:jc w:val="left"/>
              <w:rPr>
                <w:rFonts w:hint="eastAsia" w:ascii="宋体" w:hAnsi="宋体" w:cs="宋体"/>
                <w:color w:val="auto"/>
                <w:kern w:val="0"/>
                <w:szCs w:val="21"/>
              </w:rPr>
            </w:pPr>
            <w:r>
              <w:rPr>
                <w:rFonts w:hint="eastAsia" w:ascii="宋体" w:hAnsi="宋体" w:eastAsia="宋体" w:cs="宋体"/>
                <w:color w:val="auto"/>
                <w:kern w:val="0"/>
                <w:sz w:val="21"/>
                <w:szCs w:val="21"/>
                <w:lang w:val="en-US" w:eastAsia="zh-CN" w:bidi="ar"/>
              </w:rPr>
              <w:t xml:space="preserve">2、未在响应性文件提交截止时间前完成上传加密的电子响应性文件视为逾期送达。逾期上传或未按规定方式上传加密的电子响应性文件，投标无效。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pPr>
              <w:pStyle w:val="2"/>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pPr>
              <w:pStyle w:val="3"/>
              <w:spacing w:line="400" w:lineRule="exact"/>
              <w:ind w:firstLine="211" w:firstLineChars="100"/>
              <w:rPr>
                <w:rFonts w:hint="eastAsia"/>
                <w:b/>
                <w:bCs/>
                <w:kern w:val="2"/>
                <w:szCs w:val="21"/>
              </w:rPr>
            </w:pPr>
            <w:r>
              <w:rPr>
                <w:rFonts w:hint="eastAsia"/>
                <w:b/>
                <w:bCs/>
                <w:kern w:val="2"/>
                <w:szCs w:val="21"/>
              </w:rPr>
              <w:t>备注：1.</w:t>
            </w:r>
            <w:r>
              <w:rPr>
                <w:rFonts w:hint="eastAsia" w:ascii="宋体" w:hAnsi="宋体" w:eastAsia="宋体" w:cs="宋体"/>
                <w:b/>
                <w:bCs/>
                <w:kern w:val="0"/>
                <w:sz w:val="21"/>
                <w:szCs w:val="21"/>
                <w:lang w:eastAsia="zh-CN"/>
              </w:rPr>
              <w:t>多包项目的，</w:t>
            </w:r>
            <w:r>
              <w:rPr>
                <w:rFonts w:hint="eastAsia" w:ascii="宋体" w:hAnsi="宋体" w:cs="宋体"/>
                <w:b/>
                <w:bCs/>
                <w:kern w:val="0"/>
                <w:sz w:val="21"/>
                <w:szCs w:val="21"/>
                <w:lang w:eastAsia="zh-CN"/>
              </w:rPr>
              <w:t>磋商</w:t>
            </w:r>
            <w:r>
              <w:rPr>
                <w:rFonts w:hint="eastAsia" w:ascii="宋体" w:hAnsi="宋体" w:eastAsia="宋体" w:cs="宋体"/>
                <w:b/>
                <w:bCs/>
                <w:kern w:val="0"/>
                <w:sz w:val="21"/>
                <w:szCs w:val="21"/>
                <w:lang w:eastAsia="zh-CN"/>
              </w:rPr>
              <w:t>会议将按包的顺序依次进行，请各</w:t>
            </w:r>
            <w:r>
              <w:rPr>
                <w:rFonts w:hint="eastAsia" w:ascii="宋体" w:hAnsi="宋体" w:cs="宋体"/>
                <w:b/>
                <w:bCs/>
                <w:kern w:val="0"/>
                <w:sz w:val="21"/>
                <w:szCs w:val="21"/>
                <w:lang w:eastAsia="zh-CN"/>
              </w:rPr>
              <w:t>供应商</w:t>
            </w:r>
            <w:r>
              <w:rPr>
                <w:rFonts w:hint="eastAsia" w:ascii="宋体" w:hAnsi="宋体" w:eastAsia="宋体" w:cs="宋体"/>
                <w:b/>
                <w:bCs/>
                <w:kern w:val="0"/>
                <w:sz w:val="21"/>
                <w:szCs w:val="21"/>
                <w:lang w:eastAsia="zh-CN"/>
              </w:rPr>
              <w:t>时刻关注焦作市不见面开标大厅系统。</w:t>
            </w:r>
          </w:p>
          <w:p>
            <w:pPr>
              <w:pStyle w:val="3"/>
              <w:spacing w:line="400" w:lineRule="exact"/>
              <w:ind w:firstLine="422" w:firstLineChars="200"/>
              <w:rPr>
                <w:rFonts w:hint="eastAsia" w:ascii="宋体" w:hAnsi="宋体" w:cs="宋体"/>
                <w:kern w:val="2"/>
                <w:szCs w:val="21"/>
              </w:rPr>
            </w:pPr>
            <w:r>
              <w:rPr>
                <w:rFonts w:hint="eastAsia"/>
                <w:b/>
                <w:bCs/>
                <w:kern w:val="2"/>
                <w:szCs w:val="21"/>
                <w:lang w:val="en-US" w:eastAsia="zh-CN"/>
              </w:rPr>
              <w:t>2.</w:t>
            </w:r>
            <w:r>
              <w:rPr>
                <w:rFonts w:hint="eastAsia"/>
                <w:b/>
                <w:bCs/>
                <w:kern w:val="2"/>
                <w:szCs w:val="21"/>
              </w:rPr>
              <w:t>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（1）</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pPr>
              <w:spacing w:line="440" w:lineRule="exact"/>
              <w:ind w:firstLine="424" w:firstLineChars="202"/>
              <w:jc w:val="left"/>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eastAsia="宋体"/>
                <w:color w:val="auto"/>
                <w:lang w:eastAsia="zh-CN"/>
              </w:rPr>
            </w:pPr>
            <w:r>
              <w:rPr>
                <w:rFonts w:hint="eastAsia" w:ascii="宋体" w:hAnsi="宋体" w:eastAsia="宋体"/>
                <w:b/>
                <w:bCs w:val="0"/>
                <w:sz w:val="21"/>
                <w:szCs w:val="21"/>
                <w:lang w:eastAsia="zh-CN"/>
              </w:rPr>
              <w:t>采购人根据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是否属于中小企业，监狱企业和残疾人福利性单位视同小型、微型企业。不属于中小企业、监狱企业或残疾人福利性单位的拒绝参与本项目</w:t>
            </w:r>
            <w:r>
              <w:rPr>
                <w:rFonts w:hint="eastAsia" w:ascii="宋体" w:hAnsi="宋体"/>
                <w:b/>
                <w:bCs w:val="0"/>
                <w:sz w:val="21"/>
                <w:szCs w:val="21"/>
                <w:lang w:eastAsia="zh-CN"/>
              </w:rPr>
              <w:t>磋商</w:t>
            </w:r>
            <w:r>
              <w:rPr>
                <w:rFonts w:hint="eastAsia" w:ascii="宋体" w:hAnsi="宋体" w:eastAsia="宋体"/>
                <w:b/>
                <w:bCs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2131" w:type="dxa"/>
            <w:noWrap w:val="0"/>
            <w:vAlign w:val="center"/>
          </w:tcPr>
          <w:p>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ind w:firstLine="420" w:firstLineChars="200"/>
              <w:rPr>
                <w:rFonts w:hint="eastAsia" w:ascii="宋体" w:hAnsi="宋体" w:cs="宋体"/>
                <w:kern w:val="0"/>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spacing w:line="360" w:lineRule="auto"/>
              <w:ind w:firstLine="420" w:firstLineChars="200"/>
              <w:rPr>
                <w:rFonts w:hint="eastAsia" w:ascii="宋体" w:hAnsi="宋体" w:cs="宋体"/>
                <w:kern w:val="0"/>
                <w:szCs w:val="21"/>
              </w:rPr>
            </w:pPr>
            <w:r>
              <w:rPr>
                <w:rFonts w:hint="eastAsia" w:ascii="宋体" w:hAnsi="宋体" w:cs="宋体"/>
                <w:kern w:val="0"/>
                <w:szCs w:val="21"/>
              </w:rPr>
              <w:t>本竞争性磋商文件解释权归采购人或其委托的采购代理机构。未尽事宜按国家相关法律法规执行。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w:t>
            </w:r>
          </w:p>
          <w:p>
            <w:pPr>
              <w:spacing w:line="460" w:lineRule="exact"/>
              <w:jc w:val="center"/>
              <w:rPr>
                <w:rFonts w:hint="eastAsia" w:ascii="宋体" w:hAnsi="宋体" w:cs="宋体"/>
                <w:kern w:val="0"/>
                <w:szCs w:val="21"/>
              </w:rPr>
            </w:pPr>
            <w:r>
              <w:rPr>
                <w:rFonts w:hint="eastAsia" w:ascii="宋体" w:hAnsi="宋体" w:cs="宋体"/>
                <w:kern w:val="0"/>
                <w:szCs w:val="21"/>
              </w:rPr>
              <w:t>服务费</w:t>
            </w:r>
          </w:p>
        </w:tc>
        <w:tc>
          <w:tcPr>
            <w:tcW w:w="6563" w:type="dxa"/>
            <w:noWrap w:val="0"/>
            <w:vAlign w:val="center"/>
          </w:tcPr>
          <w:p>
            <w:pPr>
              <w:spacing w:line="360" w:lineRule="auto"/>
              <w:rPr>
                <w:rFonts w:hint="eastAsia" w:ascii="宋体" w:hAnsi="宋体" w:cs="宋体"/>
                <w:szCs w:val="21"/>
              </w:rPr>
            </w:pPr>
            <w:r>
              <w:rPr>
                <w:rFonts w:hint="eastAsia" w:ascii="宋体" w:hAnsi="宋体" w:cs="宋体"/>
                <w:szCs w:val="21"/>
              </w:rPr>
              <w:t>本项目收取代理服务费：</w:t>
            </w:r>
          </w:p>
          <w:p>
            <w:pPr>
              <w:numPr>
                <w:ilvl w:val="0"/>
                <w:numId w:val="0"/>
              </w:numPr>
              <w:spacing w:line="360" w:lineRule="auto"/>
              <w:rPr>
                <w:rFonts w:hint="eastAsia" w:ascii="宋体" w:hAnsi="宋体" w:cs="宋体"/>
                <w:color w:val="FF0000"/>
                <w:szCs w:val="21"/>
              </w:rPr>
            </w:pPr>
            <w:r>
              <w:rPr>
                <w:rFonts w:hint="eastAsia" w:ascii="宋体" w:hAnsi="宋体" w:cs="宋体"/>
                <w:color w:val="auto"/>
                <w:szCs w:val="21"/>
                <w:lang w:val="en-US" w:eastAsia="zh-CN"/>
              </w:rPr>
              <w:t>1.</w:t>
            </w:r>
            <w:r>
              <w:rPr>
                <w:rFonts w:hint="eastAsia" w:ascii="宋体" w:hAnsi="宋体" w:cs="宋体"/>
                <w:color w:val="auto"/>
                <w:szCs w:val="21"/>
              </w:rPr>
              <w:t>代理服务费用</w:t>
            </w:r>
            <w:r>
              <w:rPr>
                <w:rFonts w:hint="eastAsia" w:ascii="宋体" w:hAnsi="宋体" w:cs="宋体"/>
                <w:color w:val="auto"/>
                <w:szCs w:val="21"/>
                <w:lang w:eastAsia="zh-CN"/>
              </w:rPr>
              <w:t>：</w:t>
            </w:r>
            <w:r>
              <w:rPr>
                <w:rFonts w:hint="eastAsia" w:ascii="宋体" w:hAnsi="宋体" w:cs="宋体"/>
                <w:kern w:val="0"/>
                <w:szCs w:val="21"/>
              </w:rPr>
              <w:t>见《采购代理机构代理费用的收取标准》。</w:t>
            </w:r>
          </w:p>
          <w:p>
            <w:pPr>
              <w:spacing w:line="360" w:lineRule="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支付方式：现金或转账。</w:t>
            </w:r>
          </w:p>
          <w:p>
            <w:pPr>
              <w:spacing w:line="360" w:lineRule="auto"/>
              <w:rPr>
                <w:rFonts w:hint="eastAsia"/>
                <w:szCs w:val="21"/>
              </w:rPr>
            </w:pPr>
            <w:r>
              <w:rPr>
                <w:rFonts w:hint="eastAsia" w:ascii="宋体" w:hAnsi="宋体" w:cs="宋体"/>
                <w:szCs w:val="21"/>
              </w:rPr>
              <w:t>3.采购代理机构代理服务费由中标人支付。</w:t>
            </w:r>
          </w:p>
        </w:tc>
      </w:tr>
      <w:bookmarkEnd w:id="5"/>
      <w:bookmarkEnd w:id="6"/>
      <w:bookmarkEnd w:id="7"/>
      <w:bookmarkEnd w:id="8"/>
      <w:bookmarkEnd w:id="9"/>
    </w:tbl>
    <w:p>
      <w:pPr>
        <w:autoSpaceDN w:val="0"/>
        <w:spacing w:before="75" w:after="75" w:line="360" w:lineRule="auto"/>
        <w:jc w:val="center"/>
        <w:rPr>
          <w:rFonts w:hint="eastAsia" w:ascii="宋体" w:hAnsi="宋体" w:cs="宋体"/>
          <w:b/>
          <w:sz w:val="32"/>
        </w:rPr>
      </w:pPr>
      <w:bookmarkStart w:id="12" w:name="_Toc461962050"/>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4968240" cy="2764155"/>
            <wp:effectExtent l="0" t="0" r="3810" b="17145"/>
            <wp:docPr id="1" name="图片 1"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河南省招标代理服务收费计算标准.png河南省招标代理服务收费计算标准"/>
                    <pic:cNvPicPr>
                      <a:picLocks noChangeAspect="1"/>
                    </pic:cNvPicPr>
                  </pic:nvPicPr>
                  <pic:blipFill>
                    <a:blip r:embed="rId22"/>
                    <a:stretch>
                      <a:fillRect/>
                    </a:stretch>
                  </pic:blipFill>
                  <pic:spPr>
                    <a:xfrm>
                      <a:off x="0" y="0"/>
                      <a:ext cx="4968240" cy="2764155"/>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w:t>
      </w:r>
      <w:r>
        <w:rPr>
          <w:rFonts w:hint="eastAsia" w:ascii="宋体" w:hAnsi="宋体" w:cs="宋体"/>
          <w:szCs w:val="21"/>
          <w:lang w:val="en-US" w:eastAsia="zh-CN"/>
        </w:rPr>
        <w:t>7</w:t>
      </w: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（500-100）万元×1.</w:t>
      </w: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w:t>
      </w:r>
      <w:r>
        <w:rPr>
          <w:rFonts w:hint="eastAsia" w:ascii="宋体" w:hAnsi="宋体" w:cs="宋体"/>
          <w:szCs w:val="21"/>
          <w:lang w:val="en-US" w:eastAsia="zh-CN"/>
        </w:rPr>
        <w:t>7</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lang w:val="en-US" w:eastAsia="zh-CN"/>
        </w:rPr>
        <w:t>6.5</w:t>
      </w:r>
      <w:r>
        <w:rPr>
          <w:rFonts w:hint="eastAsia" w:ascii="宋体" w:hAnsi="宋体" w:cs="宋体"/>
          <w:szCs w:val="21"/>
        </w:rPr>
        <w:t>万元</w:t>
      </w:r>
    </w:p>
    <w:p>
      <w:pPr>
        <w:rPr>
          <w:rFonts w:hint="eastAsia" w:ascii="宋体" w:hAnsi="宋体" w:cs="宋体"/>
          <w:b/>
          <w:sz w:val="32"/>
        </w:rPr>
      </w:pPr>
    </w:p>
    <w:p>
      <w:pPr>
        <w:rPr>
          <w:rFonts w:hint="eastAsia" w:ascii="宋体" w:hAnsi="宋体" w:cs="宋体"/>
          <w:b/>
          <w:sz w:val="32"/>
        </w:rPr>
      </w:pPr>
    </w:p>
    <w:bookmarkEnd w:id="12"/>
    <w:p>
      <w:pPr>
        <w:pStyle w:val="5"/>
        <w:spacing w:before="0" w:after="0" w:line="240" w:lineRule="auto"/>
        <w:jc w:val="center"/>
        <w:rPr>
          <w:rFonts w:hint="eastAsia" w:ascii="宋体" w:hAnsi="宋体" w:eastAsia="宋体" w:cs="宋体"/>
        </w:rPr>
      </w:pPr>
      <w:bookmarkStart w:id="13" w:name="_Toc26492"/>
      <w:bookmarkStart w:id="14" w:name="_Toc373230023"/>
      <w:bookmarkStart w:id="15" w:name="_Toc477423243"/>
      <w:bookmarkStart w:id="16" w:name="_Toc490161260"/>
      <w:bookmarkStart w:id="17" w:name="_Toc487805903"/>
      <w:bookmarkStart w:id="18" w:name="_Toc374512410"/>
      <w:bookmarkStart w:id="19" w:name="_Toc2200"/>
      <w:bookmarkStart w:id="20" w:name="_Toc461962051"/>
      <w:r>
        <w:rPr>
          <w:rFonts w:hint="eastAsia" w:ascii="宋体" w:hAnsi="宋体" w:eastAsia="宋体" w:cs="宋体"/>
        </w:rPr>
        <w:t>一、总则</w:t>
      </w:r>
      <w:bookmarkEnd w:id="13"/>
      <w:bookmarkEnd w:id="14"/>
      <w:bookmarkEnd w:id="15"/>
      <w:bookmarkEnd w:id="16"/>
      <w:bookmarkEnd w:id="17"/>
      <w:bookmarkEnd w:id="18"/>
      <w:bookmarkEnd w:id="19"/>
      <w:bookmarkEnd w:id="20"/>
    </w:p>
    <w:p>
      <w:pPr>
        <w:numPr>
          <w:ilvl w:val="0"/>
          <w:numId w:val="4"/>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4"/>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“采购人” 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pPr>
        <w:numPr>
          <w:ilvl w:val="0"/>
          <w:numId w:val="5"/>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5"/>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4"/>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80"/>
        <w:spacing w:line="440" w:lineRule="exact"/>
        <w:ind w:firstLine="420" w:firstLineChars="200"/>
        <w:rPr>
          <w:rFonts w:hint="eastAsia"/>
          <w:sz w:val="21"/>
          <w:szCs w:val="21"/>
        </w:rPr>
      </w:pPr>
      <w:r>
        <w:rPr>
          <w:rFonts w:hint="eastAsia"/>
          <w:sz w:val="21"/>
          <w:szCs w:val="21"/>
        </w:rPr>
        <w:t>3.1.1.具有有效的“设立登记证书”；</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3.1.4.具有经政府审计部门或会计事务所审计的2021年度财务审计报告（新成立企业不足一年的，提供最近一个月的财务报表。）或其基本开户银行出具的资信证明。</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80"/>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80"/>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6"/>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4"/>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4"/>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5"/>
        <w:spacing w:line="440" w:lineRule="exact"/>
        <w:jc w:val="center"/>
        <w:rPr>
          <w:rFonts w:hint="eastAsia" w:ascii="宋体" w:hAnsi="宋体" w:eastAsia="宋体" w:cs="宋体"/>
          <w:sz w:val="21"/>
          <w:szCs w:val="21"/>
        </w:rPr>
      </w:pPr>
      <w:bookmarkStart w:id="21" w:name="_Toc461962052"/>
      <w:bookmarkStart w:id="22" w:name="_Toc373230024"/>
      <w:bookmarkStart w:id="23" w:name="_Toc477423244"/>
      <w:bookmarkStart w:id="24" w:name="_Toc23018"/>
      <w:bookmarkStart w:id="25" w:name="_Toc12084"/>
      <w:bookmarkStart w:id="26" w:name="_Toc374512411"/>
      <w:bookmarkStart w:id="27" w:name="_Toc487805904"/>
      <w:bookmarkStart w:id="28" w:name="_Toc490161261"/>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pPr>
        <w:numPr>
          <w:ilvl w:val="0"/>
          <w:numId w:val="4"/>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7"/>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4"/>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4"/>
        </w:numPr>
        <w:spacing w:line="440" w:lineRule="exact"/>
        <w:rPr>
          <w:rFonts w:ascii="宋体" w:hAnsi="宋体" w:cs="宋体"/>
          <w:b/>
          <w:szCs w:val="21"/>
        </w:rPr>
      </w:pPr>
      <w:r>
        <w:rPr>
          <w:rFonts w:hint="eastAsia" w:ascii="宋体" w:hAnsi="宋体" w:cs="宋体"/>
          <w:b/>
          <w:szCs w:val="21"/>
        </w:rPr>
        <w:t>磋商文件的约束力</w:t>
      </w:r>
    </w:p>
    <w:p>
      <w:pPr>
        <w:pStyle w:val="52"/>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52"/>
      </w:pPr>
    </w:p>
    <w:p>
      <w:pPr>
        <w:pStyle w:val="5"/>
        <w:numPr>
          <w:ilvl w:val="0"/>
          <w:numId w:val="9"/>
        </w:numPr>
        <w:spacing w:line="440" w:lineRule="exact"/>
        <w:jc w:val="center"/>
        <w:rPr>
          <w:rFonts w:hint="eastAsia" w:ascii="宋体" w:hAnsi="宋体" w:eastAsia="宋体" w:cs="宋体"/>
          <w:sz w:val="21"/>
          <w:szCs w:val="21"/>
        </w:rPr>
      </w:pPr>
      <w:bookmarkStart w:id="29" w:name="_Toc490161262"/>
      <w:bookmarkStart w:id="30" w:name="_Toc374512412"/>
      <w:bookmarkStart w:id="31" w:name="_Toc26181"/>
      <w:bookmarkStart w:id="32" w:name="_Toc6048"/>
      <w:bookmarkStart w:id="33" w:name="_Toc477423245"/>
      <w:bookmarkStart w:id="34" w:name="_Toc373230025"/>
      <w:bookmarkStart w:id="35" w:name="_Toc461962053"/>
      <w:bookmarkStart w:id="36" w:name="_Toc487805905"/>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pPr>
        <w:numPr>
          <w:ilvl w:val="0"/>
          <w:numId w:val="4"/>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0" w:leftChars="0" w:firstLine="420" w:firstLineChars="200"/>
        <w:rPr>
          <w:rFonts w:hint="eastAsia" w:ascii="宋体" w:hAnsi="宋体" w:eastAsia="宋体" w:cs="宋体"/>
          <w:szCs w:val="21"/>
          <w:lang w:eastAsia="zh-CN"/>
        </w:rPr>
      </w:pPr>
      <w:r>
        <w:rPr>
          <w:rFonts w:hint="eastAsia" w:ascii="宋体" w:hAnsi="宋体" w:cs="宋体"/>
          <w:szCs w:val="21"/>
        </w:rPr>
        <w:t>9.1供应商应仔细阅读、并充分理解磋商文件的所有内容，按照磋商文件的要求编制、提交响应文件。</w:t>
      </w:r>
      <w:r>
        <w:rPr>
          <w:rFonts w:hint="eastAsia" w:ascii="宋体" w:hAnsi="宋体" w:cs="宋体"/>
          <w:szCs w:val="21"/>
          <w:lang w:eastAsia="zh-CN"/>
        </w:rPr>
        <w:tab/>
      </w:r>
    </w:p>
    <w:p>
      <w:pPr>
        <w:spacing w:line="500" w:lineRule="exact"/>
        <w:ind w:left="0" w:leftChars="0" w:firstLine="420" w:firstLineChars="20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9.2响应文件应对磋商文件的要求作出实质性响应（包括供应商资格要求、商务要求和响应文件格式要求），并保证所提供的全部资料的真实性，否则其响应文件将作为无效文件处理。</w:t>
      </w:r>
    </w:p>
    <w:p>
      <w:pPr>
        <w:spacing w:line="500" w:lineRule="exact"/>
        <w:ind w:left="0" w:leftChars="0" w:firstLine="420" w:firstLineChars="20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9.3供应商没有按照磋商文件要求提供全部资料，或者供应商没有对磋商文件在各方面都作出实质性响应的是供应商的风险，并可能导致其响应文件被拒绝。</w:t>
      </w:r>
    </w:p>
    <w:p>
      <w:pPr>
        <w:spacing w:line="500" w:lineRule="exact"/>
        <w:ind w:left="0" w:leftChars="0" w:firstLine="420" w:firstLineChars="200"/>
        <w:rPr>
          <w:rFonts w:hint="eastAsia"/>
        </w:rPr>
      </w:pPr>
      <w:r>
        <w:rPr>
          <w:rFonts w:hint="eastAsia" w:ascii="宋体" w:hAnsi="宋体" w:cs="宋体"/>
          <w:szCs w:val="21"/>
        </w:rPr>
        <w:t>9.4供应商与采购人、采购代理机构的任何口头协议均不影响磋商文件、响应文件的任何条款和内容。</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4"/>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w:t>
      </w:r>
      <w:r>
        <w:rPr>
          <w:rFonts w:hint="eastAsia" w:ascii="宋体" w:hAnsi="宋体" w:cs="宋体"/>
          <w:szCs w:val="21"/>
          <w:lang w:val="en-US" w:eastAsia="zh-CN"/>
        </w:rPr>
        <w:t>1</w:t>
      </w:r>
      <w:r>
        <w:rPr>
          <w:rFonts w:hint="eastAsia" w:ascii="宋体" w:hAnsi="宋体" w:cs="宋体"/>
          <w:szCs w:val="21"/>
        </w:rPr>
        <w:t>供应商的报价均包括完成该项目的成本、利润、税金、风险等所有伴随的其他费用。</w:t>
      </w:r>
    </w:p>
    <w:p>
      <w:pPr>
        <w:pStyle w:val="57"/>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w:t>
      </w:r>
      <w:r>
        <w:rPr>
          <w:rFonts w:hint="eastAsia" w:ascii="宋体" w:hAnsi="宋体" w:cs="宋体"/>
          <w:sz w:val="21"/>
          <w:szCs w:val="21"/>
          <w:lang w:val="en-US" w:eastAsia="zh-CN"/>
        </w:rPr>
        <w:t>2</w:t>
      </w:r>
      <w:r>
        <w:rPr>
          <w:rFonts w:hint="eastAsia" w:ascii="宋体" w:hAnsi="宋体" w:cs="宋体"/>
          <w:sz w:val="21"/>
          <w:szCs w:val="21"/>
        </w:rPr>
        <w:t>响应性文件中的报价并非最后报价，在磋商结束后由供应商在规定时间内提交最后报价，磋商小组根据供应商的综合得分确定成交供应商，成交供应商其最后的报价为成交价。</w:t>
      </w:r>
    </w:p>
    <w:p>
      <w:pPr>
        <w:numPr>
          <w:ilvl w:val="0"/>
          <w:numId w:val="4"/>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4"/>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4"/>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5"/>
        <w:spacing w:line="440" w:lineRule="exact"/>
        <w:jc w:val="center"/>
        <w:rPr>
          <w:rFonts w:hint="eastAsia" w:ascii="宋体" w:hAnsi="宋体" w:eastAsia="宋体" w:cs="宋体"/>
          <w:sz w:val="21"/>
          <w:szCs w:val="21"/>
        </w:rPr>
      </w:pPr>
      <w:bookmarkStart w:id="37" w:name="_Toc374512413"/>
      <w:bookmarkStart w:id="38" w:name="_Toc461962054"/>
      <w:bookmarkStart w:id="39" w:name="_Toc27919"/>
      <w:bookmarkStart w:id="40" w:name="_Toc487805906"/>
      <w:bookmarkStart w:id="41" w:name="_Toc477423246"/>
      <w:bookmarkStart w:id="42" w:name="_Toc490161263"/>
      <w:bookmarkStart w:id="43" w:name="_Toc10798"/>
      <w:bookmarkStart w:id="44" w:name="_Toc373230026"/>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pPr>
        <w:numPr>
          <w:ilvl w:val="0"/>
          <w:numId w:val="4"/>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firstLine="420" w:firstLineChars="20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4"/>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4"/>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5"/>
        <w:spacing w:line="440" w:lineRule="exact"/>
        <w:jc w:val="center"/>
        <w:rPr>
          <w:rFonts w:hint="eastAsia" w:ascii="宋体" w:hAnsi="宋体" w:eastAsia="宋体" w:cs="宋体"/>
          <w:sz w:val="21"/>
          <w:szCs w:val="21"/>
        </w:rPr>
      </w:pPr>
      <w:bookmarkStart w:id="45" w:name="_Toc217235123"/>
      <w:bookmarkStart w:id="46" w:name="_Toc373230027"/>
      <w:bookmarkStart w:id="47" w:name="_Toc374512414"/>
      <w:bookmarkStart w:id="48" w:name="_Toc461962055"/>
      <w:bookmarkStart w:id="49" w:name="_Toc490161264"/>
      <w:bookmarkStart w:id="50" w:name="_Toc487805907"/>
      <w:bookmarkStart w:id="51" w:name="_Toc477423247"/>
      <w:bookmarkStart w:id="52" w:name="_Toc6236"/>
      <w:bookmarkStart w:id="53" w:name="_Toc9653"/>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pPr>
        <w:numPr>
          <w:ilvl w:val="0"/>
          <w:numId w:val="4"/>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4"/>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4"/>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磋商小组</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4"/>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响应文件有下列情形之一的，视为其没有通过符合性审查：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第一轮报价超过磋商文件中规定的项目预算金额的；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响应文件未按磋商文件要求签字、盖章的；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响应文件格式不符合磋商文件中响应文件格式要求的；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lang w:eastAsia="zh-CN"/>
        </w:rPr>
        <w:t>）</w:t>
      </w:r>
      <w:r>
        <w:rPr>
          <w:rFonts w:hint="eastAsia" w:ascii="宋体" w:hAnsi="宋体" w:eastAsia="宋体" w:cs="宋体"/>
          <w:color w:val="auto"/>
          <w:szCs w:val="21"/>
        </w:rPr>
        <w:t>不响应磋商文件商务要求的；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lang w:eastAsia="zh-CN"/>
        </w:rPr>
        <w:t>）不响应磋商文件第五章采购需求中技术要求的；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cs="宋体"/>
          <w:szCs w:val="21"/>
          <w:lang w:val="en-US" w:eastAsia="zh-CN"/>
        </w:rPr>
        <w:t>6</w:t>
      </w:r>
      <w:r>
        <w:rPr>
          <w:rFonts w:hint="eastAsia" w:ascii="宋体" w:hAnsi="宋体" w:eastAsia="宋体" w:cs="宋体"/>
          <w:szCs w:val="21"/>
          <w:lang w:eastAsia="zh-CN"/>
        </w:rPr>
        <w:t>）响应文件中出现有选择性报价的；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7</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spacing w:line="500" w:lineRule="exact"/>
        <w:ind w:firstLine="420" w:firstLineChars="200"/>
        <w:rPr>
          <w:rFonts w:hint="eastAsia" w:ascii="宋体" w:hAnsi="宋体" w:cs="宋体"/>
          <w:szCs w:val="21"/>
        </w:rPr>
      </w:pPr>
      <w:r>
        <w:rPr>
          <w:rFonts w:hint="eastAsia" w:ascii="宋体" w:hAnsi="宋体" w:cs="宋体"/>
          <w:szCs w:val="21"/>
        </w:rPr>
        <w:t>23.1逾期上传响应文件的；</w:t>
      </w:r>
    </w:p>
    <w:p>
      <w:pPr>
        <w:spacing w:line="500" w:lineRule="exact"/>
        <w:ind w:firstLine="420" w:firstLineChars="200"/>
        <w:rPr>
          <w:rFonts w:hint="eastAsia" w:ascii="宋体" w:hAnsi="宋体" w:cs="宋体"/>
          <w:szCs w:val="21"/>
        </w:rPr>
      </w:pPr>
      <w:r>
        <w:rPr>
          <w:rFonts w:hint="eastAsia" w:ascii="宋体" w:hAnsi="宋体" w:cs="宋体"/>
          <w:szCs w:val="21"/>
        </w:rPr>
        <w:t>23.2在规定的响应文件递交截止时间之前，提交合格的撤回通知的；</w:t>
      </w:r>
    </w:p>
    <w:p>
      <w:pPr>
        <w:spacing w:line="440" w:lineRule="exact"/>
        <w:ind w:firstLine="420" w:firstLineChars="200"/>
        <w:rPr>
          <w:rFonts w:hint="eastAsia" w:ascii="宋体" w:hAnsi="宋体" w:cs="宋体"/>
          <w:b/>
          <w:szCs w:val="21"/>
        </w:rPr>
      </w:pPr>
      <w:r>
        <w:rPr>
          <w:rFonts w:hint="eastAsia" w:ascii="宋体" w:hAnsi="宋体" w:cs="宋体"/>
          <w:szCs w:val="21"/>
        </w:rPr>
        <w:t>23.3一个供应商不止递交一套同一合同项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响应文件的澄清</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4"/>
        </w:numPr>
        <w:spacing w:line="440" w:lineRule="exact"/>
        <w:rPr>
          <w:rFonts w:hint="eastAsia" w:ascii="宋体" w:hAnsi="宋体" w:cs="宋体"/>
          <w:szCs w:val="21"/>
        </w:rPr>
      </w:pPr>
      <w:r>
        <w:rPr>
          <w:rFonts w:hint="eastAsia" w:ascii="宋体" w:hAnsi="宋体" w:cs="宋体"/>
          <w:szCs w:val="21"/>
        </w:rPr>
        <w:t>报价出现不一致的，按照下列规定修正：</w:t>
      </w:r>
    </w:p>
    <w:p>
      <w:pPr>
        <w:numPr>
          <w:ilvl w:val="0"/>
          <w:numId w:val="10"/>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0"/>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0"/>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4"/>
        </w:numPr>
        <w:spacing w:line="440" w:lineRule="exact"/>
        <w:rPr>
          <w:rFonts w:hint="eastAsia" w:ascii="宋体" w:hAnsi="宋体" w:cs="宋体"/>
          <w:b/>
          <w:szCs w:val="21"/>
        </w:rPr>
      </w:pPr>
      <w:bookmarkStart w:id="54" w:name="_Toc373230028"/>
      <w:bookmarkStart w:id="55" w:name="_Toc374512415"/>
      <w:r>
        <w:rPr>
          <w:rFonts w:hint="eastAsia" w:ascii="宋体" w:hAnsi="宋体" w:cs="宋体"/>
          <w:b/>
          <w:szCs w:val="21"/>
        </w:rPr>
        <w:t>评审方法</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4"/>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4"/>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4"/>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4"/>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1"/>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1"/>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1"/>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5"/>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58" w:name="_Toc5841"/>
      <w:bookmarkStart w:id="59" w:name="_Toc477423248"/>
      <w:bookmarkStart w:id="60" w:name="_Toc487805908"/>
      <w:bookmarkStart w:id="61" w:name="_Toc490161265"/>
      <w:bookmarkStart w:id="62" w:name="_Toc19608"/>
      <w:r>
        <w:rPr>
          <w:rFonts w:hint="eastAsia" w:ascii="宋体" w:hAnsi="宋体" w:eastAsia="宋体" w:cs="宋体"/>
          <w:sz w:val="21"/>
          <w:szCs w:val="21"/>
        </w:rPr>
        <w:t>六、成交和合同</w:t>
      </w:r>
      <w:bookmarkEnd w:id="58"/>
      <w:bookmarkEnd w:id="59"/>
      <w:bookmarkEnd w:id="60"/>
      <w:bookmarkEnd w:id="61"/>
      <w:bookmarkEnd w:id="62"/>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4"/>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4"/>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4"/>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4"/>
        </w:numPr>
        <w:spacing w:line="440" w:lineRule="exact"/>
        <w:ind w:left="0" w:leftChars="0" w:firstLine="218" w:firstLineChars="104"/>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pPr>
        <w:numPr>
          <w:ilvl w:val="0"/>
          <w:numId w:val="4"/>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1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30.1采购人与成交供应商应当在成交通知书发出之日起30日内（供应商须知前附表另有规定者从其规定），签订政府采购合同。</w:t>
      </w:r>
    </w:p>
    <w:p>
      <w:pPr>
        <w:pStyle w:val="1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1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30.3成交供应商应在采购合同签订之日起三个工作日内将合同报武陟县公共资源交易中心、武陟县政府采购管理办公室备案；</w:t>
      </w:r>
    </w:p>
    <w:p>
      <w:pPr>
        <w:pStyle w:val="1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30.4合同双方如违约，将按《中华人民共和国民法典》、《中华人民共和国政府采购法》及有关法律法规中的规定执行。</w:t>
      </w:r>
    </w:p>
    <w:p>
      <w:pPr>
        <w:pStyle w:val="1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30.5根据《政府采购促进中小企业发展管理办法》规定，成交供应商为小微企业的不得将合同分包给大中型企业，成交供应商为中型企业的不得将合同分包给大型企业。</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4"/>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4"/>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4"/>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31.10</w:t>
      </w:r>
      <w:r>
        <w:rPr>
          <w:rFonts w:hint="eastAsia" w:ascii="宋体" w:hAnsi="宋体" w:cs="宋体"/>
          <w:color w:val="auto"/>
          <w:szCs w:val="21"/>
        </w:rPr>
        <w:t>质疑供应商对采购人或采购代理机构的答复不满意以及采购人或采购代理机构未在规定的时间内做出答复的，可以在答复期满后15个工作日内向同级财政部门投诉。</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31.11</w:t>
      </w:r>
      <w:r>
        <w:rPr>
          <w:rFonts w:hint="eastAsia" w:ascii="宋体" w:hAnsi="宋体" w:cs="宋体"/>
          <w:color w:val="auto"/>
          <w:szCs w:val="21"/>
        </w:rPr>
        <w:t xml:space="preserve">质疑联系事项： </w:t>
      </w:r>
    </w:p>
    <w:p>
      <w:pPr>
        <w:spacing w:line="440" w:lineRule="exact"/>
        <w:ind w:left="284"/>
        <w:rPr>
          <w:rFonts w:hint="eastAsia" w:ascii="宋体" w:hAnsi="宋体" w:cs="宋体"/>
          <w:szCs w:val="21"/>
        </w:rPr>
      </w:pPr>
      <w:r>
        <w:rPr>
          <w:rFonts w:hint="eastAsia" w:ascii="宋体" w:hAnsi="宋体" w:cs="宋体"/>
          <w:szCs w:val="21"/>
        </w:rPr>
        <w:t>（1）供应商应以书面方式将质疑函分别送至采购人、采购代理机构；</w:t>
      </w:r>
    </w:p>
    <w:p>
      <w:pPr>
        <w:spacing w:line="440" w:lineRule="exact"/>
        <w:ind w:left="284"/>
        <w:rPr>
          <w:rFonts w:hint="eastAsia" w:ascii="宋体" w:hAnsi="宋体" w:eastAsia="宋体" w:cs="宋体"/>
          <w:color w:val="auto"/>
          <w:szCs w:val="21"/>
          <w:lang w:eastAsia="zh-CN"/>
        </w:rPr>
      </w:pPr>
      <w:r>
        <w:rPr>
          <w:rFonts w:hint="eastAsia" w:ascii="宋体" w:hAnsi="宋体" w:cs="宋体"/>
          <w:color w:val="auto"/>
          <w:szCs w:val="21"/>
        </w:rPr>
        <w:t>（2）采购人名称：</w:t>
      </w:r>
      <w:r>
        <w:rPr>
          <w:rFonts w:hint="eastAsia" w:ascii="宋体" w:hAnsi="宋体" w:cs="宋体"/>
          <w:color w:val="auto"/>
          <w:szCs w:val="21"/>
          <w:lang w:eastAsia="zh-CN"/>
        </w:rPr>
        <w:t>武陟县自然资源局</w:t>
      </w:r>
    </w:p>
    <w:p>
      <w:pPr>
        <w:spacing w:line="440" w:lineRule="exact"/>
        <w:ind w:left="284" w:firstLine="210" w:firstLineChars="100"/>
        <w:rPr>
          <w:rFonts w:hint="eastAsia" w:ascii="宋体" w:hAnsi="宋体" w:cs="宋体"/>
          <w:color w:val="auto"/>
          <w:szCs w:val="21"/>
        </w:rPr>
      </w:pPr>
      <w:r>
        <w:rPr>
          <w:rFonts w:hint="eastAsia" w:ascii="宋体" w:hAnsi="宋体" w:cs="宋体"/>
          <w:color w:val="auto"/>
          <w:szCs w:val="21"/>
        </w:rPr>
        <w:t>地点：</w:t>
      </w:r>
      <w:r>
        <w:rPr>
          <w:rFonts w:hint="eastAsia" w:ascii="宋体" w:hAnsi="宋体" w:cs="宋体"/>
          <w:color w:val="auto"/>
          <w:szCs w:val="21"/>
          <w:lang w:eastAsia="zh-CN"/>
        </w:rPr>
        <w:t>武陟县黄河大道</w:t>
      </w:r>
      <w:r>
        <w:rPr>
          <w:rFonts w:hint="eastAsia" w:ascii="宋体" w:hAnsi="宋体" w:cs="宋体"/>
          <w:color w:val="auto"/>
          <w:szCs w:val="21"/>
          <w:lang w:val="en-US" w:eastAsia="zh-CN"/>
        </w:rPr>
        <w:t>89号</w:t>
      </w:r>
    </w:p>
    <w:p>
      <w:pPr>
        <w:spacing w:line="440" w:lineRule="exact"/>
        <w:ind w:left="283" w:leftChars="135" w:firstLine="210" w:firstLineChars="100"/>
        <w:rPr>
          <w:rFonts w:hint="default" w:ascii="宋体" w:hAnsi="宋体" w:eastAsia="宋体" w:cs="宋体"/>
          <w:color w:val="auto"/>
          <w:szCs w:val="21"/>
          <w:lang w:val="en-US" w:eastAsia="zh-CN"/>
        </w:rPr>
      </w:pPr>
      <w:r>
        <w:rPr>
          <w:rFonts w:hint="eastAsia" w:ascii="宋体" w:hAnsi="宋体" w:cs="宋体"/>
          <w:color w:val="auto"/>
          <w:szCs w:val="21"/>
        </w:rPr>
        <w:t>联系人：</w:t>
      </w:r>
      <w:r>
        <w:rPr>
          <w:rFonts w:hint="eastAsia" w:ascii="宋体" w:hAnsi="宋体" w:cs="宋体"/>
          <w:color w:val="auto"/>
          <w:szCs w:val="21"/>
          <w:lang w:eastAsia="zh-CN"/>
        </w:rPr>
        <w:t>王哲</w:t>
      </w:r>
    </w:p>
    <w:p>
      <w:pPr>
        <w:spacing w:line="440" w:lineRule="exact"/>
        <w:ind w:left="283" w:leftChars="135" w:firstLine="210" w:firstLineChars="100"/>
        <w:rPr>
          <w:rFonts w:hint="default" w:ascii="宋体" w:hAnsi="宋体" w:eastAsia="宋体" w:cs="宋体"/>
          <w:color w:val="auto"/>
          <w:szCs w:val="21"/>
          <w:lang w:val="en-US" w:eastAsia="zh-CN"/>
        </w:rPr>
      </w:pPr>
      <w:r>
        <w:rPr>
          <w:rFonts w:hint="eastAsia" w:ascii="宋体" w:hAnsi="宋体" w:cs="宋体"/>
          <w:color w:val="auto"/>
          <w:szCs w:val="21"/>
        </w:rPr>
        <w:t>联系电话：</w:t>
      </w:r>
      <w:r>
        <w:rPr>
          <w:rFonts w:hint="eastAsia" w:ascii="宋体" w:hAnsi="宋体" w:cs="宋体"/>
          <w:color w:val="auto"/>
          <w:szCs w:val="21"/>
          <w:lang w:val="en-US" w:eastAsia="zh-CN"/>
        </w:rPr>
        <w:t>0391-7588032</w:t>
      </w:r>
    </w:p>
    <w:p>
      <w:pPr>
        <w:spacing w:line="440" w:lineRule="exact"/>
        <w:ind w:left="284"/>
        <w:rPr>
          <w:rFonts w:hint="eastAsia" w:ascii="宋体" w:hAnsi="宋体" w:eastAsia="宋体" w:cs="宋体"/>
          <w:color w:val="auto"/>
          <w:szCs w:val="21"/>
          <w:lang w:eastAsia="zh-CN"/>
        </w:rPr>
      </w:pPr>
      <w:r>
        <w:rPr>
          <w:rFonts w:hint="eastAsia" w:ascii="宋体" w:hAnsi="宋体" w:cs="宋体"/>
          <w:color w:val="auto"/>
          <w:szCs w:val="21"/>
        </w:rPr>
        <w:t>（3）采购代理机构名称：</w:t>
      </w:r>
      <w:r>
        <w:rPr>
          <w:rFonts w:hint="eastAsia" w:ascii="宋体" w:hAnsi="宋体" w:cs="宋体"/>
          <w:color w:val="auto"/>
          <w:szCs w:val="21"/>
          <w:lang w:eastAsia="zh-CN"/>
        </w:rPr>
        <w:t>中喆华晟云平台有限公司</w:t>
      </w:r>
    </w:p>
    <w:p>
      <w:pPr>
        <w:spacing w:line="440" w:lineRule="exact"/>
        <w:ind w:left="284" w:firstLine="210" w:firstLineChars="100"/>
        <w:rPr>
          <w:rFonts w:hint="default" w:ascii="宋体" w:hAnsi="宋体" w:eastAsia="宋体" w:cs="宋体"/>
          <w:color w:val="auto"/>
          <w:szCs w:val="21"/>
          <w:lang w:val="en-US" w:eastAsia="zh-CN"/>
        </w:rPr>
      </w:pPr>
      <w:r>
        <w:rPr>
          <w:rFonts w:hint="eastAsia" w:ascii="宋体" w:hAnsi="宋体" w:cs="宋体"/>
          <w:color w:val="auto"/>
          <w:szCs w:val="21"/>
        </w:rPr>
        <w:t>地点：</w:t>
      </w:r>
      <w:r>
        <w:rPr>
          <w:rFonts w:hint="eastAsia" w:ascii="宋体" w:hAnsi="宋体" w:cs="宋体"/>
          <w:color w:val="auto"/>
          <w:szCs w:val="21"/>
          <w:lang w:eastAsia="zh-CN"/>
        </w:rPr>
        <w:t>武陟县云台大道东侧</w:t>
      </w:r>
      <w:r>
        <w:rPr>
          <w:rFonts w:hint="eastAsia" w:ascii="宋体" w:hAnsi="宋体" w:cs="宋体"/>
          <w:color w:val="auto"/>
          <w:szCs w:val="21"/>
          <w:lang w:val="en-US" w:eastAsia="zh-CN"/>
        </w:rPr>
        <w:t>2号</w:t>
      </w:r>
    </w:p>
    <w:p>
      <w:pPr>
        <w:spacing w:line="440" w:lineRule="exact"/>
        <w:ind w:left="284" w:firstLine="210" w:firstLineChars="100"/>
        <w:rPr>
          <w:rFonts w:hint="eastAsia" w:ascii="宋体" w:hAnsi="宋体" w:eastAsia="宋体" w:cs="宋体"/>
          <w:color w:val="auto"/>
          <w:szCs w:val="21"/>
          <w:lang w:eastAsia="zh-CN"/>
        </w:rPr>
      </w:pPr>
      <w:r>
        <w:rPr>
          <w:rFonts w:hint="eastAsia" w:ascii="宋体" w:hAnsi="宋体" w:cs="宋体"/>
          <w:color w:val="auto"/>
          <w:szCs w:val="21"/>
        </w:rPr>
        <w:t>联系人：</w:t>
      </w:r>
      <w:r>
        <w:rPr>
          <w:rFonts w:hint="eastAsia" w:ascii="宋体" w:hAnsi="宋体" w:cs="宋体"/>
          <w:color w:val="auto"/>
          <w:szCs w:val="21"/>
          <w:lang w:eastAsia="zh-CN"/>
        </w:rPr>
        <w:t>荆宇轩</w:t>
      </w:r>
    </w:p>
    <w:p>
      <w:pPr>
        <w:spacing w:line="440" w:lineRule="exact"/>
        <w:ind w:left="284" w:firstLine="210" w:firstLineChars="100"/>
        <w:rPr>
          <w:rFonts w:ascii="宋体" w:hAnsi="宋体" w:cs="宋体"/>
          <w:color w:val="auto"/>
          <w:szCs w:val="21"/>
        </w:rPr>
      </w:pPr>
      <w:r>
        <w:rPr>
          <w:rFonts w:hint="eastAsia" w:ascii="宋体" w:hAnsi="宋体" w:cs="宋体"/>
          <w:color w:val="auto"/>
          <w:szCs w:val="21"/>
        </w:rPr>
        <w:t>联系电话：0391-7289803</w:t>
      </w:r>
    </w:p>
    <w:p>
      <w:pPr>
        <w:pStyle w:val="2"/>
        <w:rPr>
          <w:rFonts w:hint="eastAsia" w:ascii="宋体" w:hAnsi="宋体" w:cs="宋体"/>
          <w:szCs w:val="21"/>
        </w:rPr>
      </w:pPr>
    </w:p>
    <w:p>
      <w:pPr>
        <w:rPr>
          <w:rFonts w:hint="eastAsia"/>
        </w:rPr>
      </w:pPr>
    </w:p>
    <w:p>
      <w:pPr>
        <w:rPr>
          <w:rFonts w:hint="eastAsia" w:ascii="宋体" w:hAnsi="宋体" w:cs="宋体"/>
          <w:szCs w:val="21"/>
        </w:rPr>
      </w:pPr>
    </w:p>
    <w:p>
      <w:pPr>
        <w:pStyle w:val="2"/>
        <w:rPr>
          <w:rFonts w:hint="eastAsia" w:ascii="宋体" w:hAnsi="宋体" w:cs="宋体"/>
          <w:szCs w:val="21"/>
        </w:rPr>
      </w:pPr>
    </w:p>
    <w:p>
      <w:pPr>
        <w:numPr>
          <w:ilvl w:val="0"/>
          <w:numId w:val="4"/>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2"/>
        <w:spacing w:line="440" w:lineRule="exact"/>
        <w:ind w:firstLine="420"/>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sectPr>
          <w:footerReference r:id="rId11" w:type="default"/>
          <w:pgSz w:w="11906" w:h="16838"/>
          <w:pgMar w:top="1134" w:right="1134" w:bottom="1134" w:left="1474" w:header="851" w:footer="510" w:gutter="0"/>
          <w:cols w:space="720" w:num="1"/>
          <w:docGrid w:type="lines" w:linePitch="312" w:charSpace="0"/>
        </w:sectPr>
      </w:pPr>
      <w:bookmarkStart w:id="63" w:name="_Toc11289"/>
      <w:bookmarkStart w:id="64" w:name="_Toc8874"/>
      <w:bookmarkStart w:id="65" w:name="_Toc373230030"/>
      <w:bookmarkStart w:id="66" w:name="_Toc374512417"/>
      <w:bookmarkStart w:id="67" w:name="_Toc477423249"/>
    </w:p>
    <w:p>
      <w:pPr>
        <w:pStyle w:val="36"/>
        <w:numPr>
          <w:ilvl w:val="0"/>
          <w:numId w:val="1"/>
        </w:numPr>
        <w:spacing w:before="0" w:after="0" w:line="360" w:lineRule="auto"/>
        <w:ind w:firstLine="0"/>
        <w:rPr>
          <w:rFonts w:hint="eastAsia" w:ascii="宋体" w:hAnsi="宋体" w:cs="宋体"/>
        </w:rPr>
      </w:pPr>
      <w:bookmarkStart w:id="68" w:name="_Toc3621"/>
      <w:r>
        <w:rPr>
          <w:rFonts w:hint="eastAsia" w:ascii="宋体" w:hAnsi="宋体" w:cs="宋体"/>
        </w:rPr>
        <w:t>评审方法</w:t>
      </w:r>
      <w:bookmarkEnd w:id="63"/>
      <w:r>
        <w:rPr>
          <w:rFonts w:hint="eastAsia" w:ascii="宋体" w:hAnsi="宋体" w:cs="宋体"/>
        </w:rPr>
        <w:t>和评审标准</w:t>
      </w:r>
      <w:bookmarkEnd w:id="64"/>
      <w:bookmarkEnd w:id="68"/>
    </w:p>
    <w:p>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pPr>
        <w:spacing w:line="440" w:lineRule="exact"/>
        <w:ind w:left="284"/>
        <w:rPr>
          <w:rFonts w:hint="eastAsia" w:ascii="宋体" w:hAnsi="宋体" w:cs="宋体"/>
          <w:b/>
          <w:bCs/>
          <w:szCs w:val="21"/>
          <w:lang w:eastAsia="zh-CN"/>
        </w:rPr>
      </w:pPr>
      <w:r>
        <w:rPr>
          <w:rFonts w:hint="eastAsia" w:ascii="宋体" w:hAnsi="宋体" w:cs="宋体"/>
          <w:b/>
          <w:bCs/>
          <w:szCs w:val="21"/>
          <w:lang w:eastAsia="zh-CN"/>
        </w:rPr>
        <w:t>二、评审标准</w:t>
      </w:r>
    </w:p>
    <w:bookmarkEnd w:id="65"/>
    <w:bookmarkEnd w:id="66"/>
    <w:bookmarkEnd w:id="67"/>
    <w:tbl>
      <w:tblPr>
        <w:tblStyle w:val="37"/>
        <w:tblW w:w="9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113"/>
        <w:gridCol w:w="1624"/>
        <w:gridCol w:w="5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903" w:type="dxa"/>
            <w:noWrap w:val="0"/>
            <w:vAlign w:val="top"/>
          </w:tcPr>
          <w:p>
            <w:pPr>
              <w:pStyle w:val="85"/>
              <w:spacing w:line="360" w:lineRule="auto"/>
              <w:jc w:val="center"/>
              <w:rPr>
                <w:rFonts w:hint="eastAsia" w:ascii="宋体" w:hAnsi="宋体" w:cs="宋体"/>
                <w:bCs/>
                <w:spacing w:val="6"/>
                <w:sz w:val="21"/>
                <w:szCs w:val="21"/>
              </w:rPr>
            </w:pPr>
            <w:bookmarkStart w:id="69" w:name="_Toc14171"/>
            <w:bookmarkStart w:id="70" w:name="_Toc487805909"/>
            <w:r>
              <w:rPr>
                <w:rFonts w:hint="eastAsia" w:ascii="宋体" w:hAnsi="宋体" w:cs="宋体"/>
                <w:b/>
                <w:bCs/>
                <w:sz w:val="21"/>
                <w:szCs w:val="21"/>
              </w:rPr>
              <w:t>条款号</w:t>
            </w:r>
          </w:p>
        </w:tc>
        <w:tc>
          <w:tcPr>
            <w:tcW w:w="1113" w:type="dxa"/>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pacing w:val="1"/>
                <w:sz w:val="21"/>
                <w:szCs w:val="21"/>
              </w:rPr>
              <w:t>评分因素</w:t>
            </w:r>
          </w:p>
        </w:tc>
        <w:tc>
          <w:tcPr>
            <w:tcW w:w="7423" w:type="dxa"/>
            <w:gridSpan w:val="2"/>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903" w:type="dxa"/>
            <w:noWrap w:val="0"/>
            <w:vAlign w:val="center"/>
          </w:tcPr>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1</w:t>
            </w:r>
          </w:p>
        </w:tc>
        <w:tc>
          <w:tcPr>
            <w:tcW w:w="1113" w:type="dxa"/>
            <w:noWrap w:val="0"/>
            <w:vAlign w:val="center"/>
          </w:tcPr>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投标报价（</w:t>
            </w:r>
            <w:r>
              <w:rPr>
                <w:rFonts w:hint="eastAsia" w:ascii="宋体" w:hAnsi="宋体" w:cs="宋体"/>
                <w:sz w:val="21"/>
                <w:szCs w:val="21"/>
                <w:lang w:val="en-US" w:eastAsia="zh-CN"/>
              </w:rPr>
              <w:t>30</w:t>
            </w:r>
            <w:r>
              <w:rPr>
                <w:rFonts w:hint="eastAsia" w:ascii="宋体" w:hAnsi="宋体" w:cs="宋体"/>
                <w:sz w:val="21"/>
                <w:szCs w:val="21"/>
              </w:rPr>
              <w:t>分）</w:t>
            </w:r>
          </w:p>
        </w:tc>
        <w:tc>
          <w:tcPr>
            <w:tcW w:w="7423" w:type="dxa"/>
            <w:gridSpan w:val="2"/>
            <w:noWrap w:val="0"/>
            <w:vAlign w:val="top"/>
          </w:tcPr>
          <w:p>
            <w:pPr>
              <w:spacing w:line="500" w:lineRule="exact"/>
              <w:ind w:firstLine="420" w:firstLineChars="200"/>
              <w:rPr>
                <w:rFonts w:hint="eastAsia" w:ascii="宋体" w:hAnsi="宋体"/>
                <w:sz w:val="21"/>
                <w:szCs w:val="21"/>
              </w:rPr>
            </w:pPr>
            <w:r>
              <w:rPr>
                <w:rFonts w:hint="eastAsia" w:ascii="宋体" w:hAnsi="宋体"/>
                <w:sz w:val="21"/>
                <w:szCs w:val="21"/>
              </w:rPr>
              <w:t>满足</w:t>
            </w:r>
            <w:r>
              <w:rPr>
                <w:rFonts w:hint="eastAsia" w:ascii="宋体" w:hAnsi="宋体"/>
                <w:sz w:val="21"/>
                <w:szCs w:val="21"/>
                <w:lang w:eastAsia="zh-CN"/>
              </w:rPr>
              <w:t>竞争性磋商</w:t>
            </w:r>
            <w:r>
              <w:rPr>
                <w:rFonts w:hint="eastAsia" w:ascii="宋体" w:hAnsi="宋体"/>
                <w:sz w:val="21"/>
                <w:szCs w:val="21"/>
              </w:rPr>
              <w:t>文件要求且价格最低的报价为评标基准价，其价格分为满分（即</w:t>
            </w:r>
            <w:r>
              <w:rPr>
                <w:rFonts w:hint="eastAsia" w:ascii="宋体" w:hAnsi="宋体"/>
                <w:sz w:val="21"/>
                <w:szCs w:val="21"/>
                <w:lang w:val="en-US" w:eastAsia="zh-CN"/>
              </w:rPr>
              <w:t>30</w:t>
            </w:r>
            <w:r>
              <w:rPr>
                <w:rFonts w:hint="eastAsia" w:ascii="宋体" w:hAnsi="宋体"/>
                <w:sz w:val="21"/>
                <w:szCs w:val="21"/>
              </w:rPr>
              <w:t>分）。其他</w:t>
            </w:r>
            <w:r>
              <w:rPr>
                <w:rFonts w:hint="eastAsia" w:ascii="宋体" w:hAnsi="宋体"/>
                <w:sz w:val="21"/>
                <w:szCs w:val="21"/>
                <w:lang w:eastAsia="zh-CN"/>
              </w:rPr>
              <w:t>供应商</w:t>
            </w:r>
            <w:r>
              <w:rPr>
                <w:rFonts w:hint="eastAsia" w:ascii="宋体" w:hAnsi="宋体"/>
                <w:sz w:val="21"/>
                <w:szCs w:val="21"/>
              </w:rPr>
              <w:t>的价格分统一按照下列公式计算：</w:t>
            </w:r>
          </w:p>
          <w:p>
            <w:pPr>
              <w:pStyle w:val="85"/>
              <w:spacing w:line="360" w:lineRule="auto"/>
              <w:rPr>
                <w:rFonts w:hint="eastAsia" w:ascii="宋体" w:hAnsi="宋体" w:cs="宋体"/>
                <w:bCs/>
                <w:spacing w:val="6"/>
                <w:sz w:val="21"/>
                <w:szCs w:val="21"/>
              </w:rPr>
            </w:pPr>
            <w:r>
              <w:rPr>
                <w:rFonts w:hint="eastAsia" w:ascii="宋体" w:hAnsi="宋体"/>
                <w:sz w:val="21"/>
                <w:szCs w:val="21"/>
              </w:rPr>
              <w:t>报价得分=(评标基准价／报价) ×价格权值（</w:t>
            </w:r>
            <w:r>
              <w:rPr>
                <w:rFonts w:hint="eastAsia" w:ascii="宋体" w:hAnsi="宋体"/>
                <w:sz w:val="21"/>
                <w:szCs w:val="21"/>
                <w:lang w:val="en-US" w:eastAsia="zh-CN"/>
              </w:rPr>
              <w:t>30</w:t>
            </w:r>
            <w:r>
              <w:rPr>
                <w:rFonts w:hint="eastAsia" w:ascii="宋体" w:hAnsi="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903" w:type="dxa"/>
            <w:vMerge w:val="restart"/>
            <w:noWrap w:val="0"/>
            <w:vAlign w:val="center"/>
          </w:tcPr>
          <w:p>
            <w:pPr>
              <w:pStyle w:val="85"/>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113" w:type="dxa"/>
            <w:vMerge w:val="restart"/>
            <w:noWrap w:val="0"/>
            <w:vAlign w:val="center"/>
          </w:tcPr>
          <w:p>
            <w:pPr>
              <w:pStyle w:val="85"/>
              <w:spacing w:line="360" w:lineRule="auto"/>
              <w:jc w:val="center"/>
              <w:rPr>
                <w:rFonts w:hint="eastAsia" w:ascii="宋体" w:hAnsi="宋体" w:cs="宋体"/>
                <w:sz w:val="21"/>
                <w:szCs w:val="21"/>
              </w:rPr>
            </w:pPr>
            <w:r>
              <w:rPr>
                <w:rFonts w:hint="eastAsia" w:ascii="宋体" w:hAnsi="宋体" w:cs="宋体"/>
                <w:sz w:val="21"/>
                <w:szCs w:val="21"/>
                <w:lang w:eastAsia="zh-CN"/>
              </w:rPr>
              <w:t>技术部分</w:t>
            </w:r>
            <w:r>
              <w:rPr>
                <w:rFonts w:hint="eastAsia" w:ascii="宋体" w:hAnsi="宋体" w:cs="宋体"/>
                <w:sz w:val="21"/>
                <w:szCs w:val="21"/>
              </w:rPr>
              <w:t>(</w:t>
            </w:r>
            <w:r>
              <w:rPr>
                <w:rFonts w:hint="eastAsia" w:ascii="宋体" w:hAnsi="宋体" w:cs="宋体"/>
                <w:sz w:val="21"/>
                <w:szCs w:val="21"/>
                <w:lang w:val="en-US" w:eastAsia="zh-CN"/>
              </w:rPr>
              <w:t>45</w:t>
            </w:r>
            <w:r>
              <w:rPr>
                <w:rFonts w:hint="eastAsia" w:ascii="宋体" w:hAnsi="宋体" w:cs="宋体"/>
                <w:sz w:val="21"/>
                <w:szCs w:val="21"/>
              </w:rPr>
              <w:t>分)</w:t>
            </w: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 w:val="21"/>
                <w:szCs w:val="21"/>
                <w:lang w:eastAsia="zh-CN"/>
              </w:rPr>
            </w:pPr>
            <w:r>
              <w:rPr>
                <w:rFonts w:hint="eastAsia" w:ascii="宋体" w:hAnsi="宋体" w:cs="宋体"/>
                <w:sz w:val="21"/>
                <w:szCs w:val="21"/>
                <w:lang w:eastAsia="zh-CN"/>
              </w:rPr>
              <w:t>总体实施方案（</w:t>
            </w:r>
            <w:r>
              <w:rPr>
                <w:rFonts w:hint="eastAsia" w:ascii="宋体" w:hAnsi="宋体" w:cs="宋体"/>
                <w:sz w:val="21"/>
                <w:szCs w:val="21"/>
                <w:lang w:val="en-US" w:eastAsia="zh-CN"/>
              </w:rPr>
              <w:t>12分</w:t>
            </w:r>
            <w:r>
              <w:rPr>
                <w:rFonts w:hint="eastAsia" w:ascii="宋体" w:hAnsi="宋体" w:cs="宋体"/>
                <w:sz w:val="21"/>
                <w:szCs w:val="21"/>
                <w:lang w:eastAsia="zh-CN"/>
              </w:rPr>
              <w:t>）</w:t>
            </w:r>
          </w:p>
        </w:tc>
        <w:tc>
          <w:tcPr>
            <w:tcW w:w="5799" w:type="dxa"/>
            <w:noWrap w:val="0"/>
            <w:vAlign w:val="top"/>
          </w:tcPr>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1.对完成服务内容的工期、进度控制等保证措施阐述全面详 细，应对措施完善、合理</w:t>
            </w:r>
            <w:r>
              <w:rPr>
                <w:rFonts w:hint="eastAsia" w:ascii="宋体" w:hAnsi="宋体" w:cs="楷体"/>
                <w:lang w:eastAsia="zh-CN"/>
              </w:rPr>
              <w:t>的得</w:t>
            </w:r>
            <w:r>
              <w:rPr>
                <w:rFonts w:hint="eastAsia" w:ascii="宋体" w:hAnsi="宋体" w:cs="楷体"/>
                <w:lang w:val="en-US" w:eastAsia="zh-CN"/>
              </w:rPr>
              <w:t>12</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2.对完成服务内容的工期、进度控制等保证措施阐述较为完 善，应对措施较为完善、合理</w:t>
            </w:r>
            <w:r>
              <w:rPr>
                <w:rFonts w:hint="eastAsia" w:ascii="宋体" w:hAnsi="宋体" w:cs="楷体"/>
                <w:lang w:eastAsia="zh-CN"/>
              </w:rPr>
              <w:t>的得</w:t>
            </w:r>
            <w:r>
              <w:rPr>
                <w:rFonts w:hint="eastAsia" w:ascii="宋体" w:hAnsi="宋体" w:cs="楷体"/>
              </w:rPr>
              <w:t>10分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3.对完成服务内容的工期、进度控制等保证措施阐述一般，应对措施</w:t>
            </w:r>
            <w:r>
              <w:rPr>
                <w:rFonts w:hint="eastAsia" w:ascii="宋体" w:hAnsi="宋体" w:cs="楷体"/>
                <w:lang w:eastAsia="zh-CN"/>
              </w:rPr>
              <w:t>一般的得</w:t>
            </w:r>
            <w:r>
              <w:rPr>
                <w:rFonts w:hint="eastAsia" w:ascii="宋体" w:hAnsi="宋体" w:cs="楷体"/>
                <w:lang w:val="en-US" w:eastAsia="zh-CN"/>
              </w:rPr>
              <w:t>8</w:t>
            </w:r>
            <w:r>
              <w:rPr>
                <w:rFonts w:hint="eastAsia" w:ascii="宋体" w:hAnsi="宋体" w:cs="楷体"/>
              </w:rPr>
              <w:t>分</w:t>
            </w:r>
            <w:r>
              <w:rPr>
                <w:rFonts w:hint="eastAsia" w:ascii="宋体" w:hAnsi="宋体" w:cs="楷体"/>
                <w:lang w:eastAsia="zh-CN"/>
              </w:rPr>
              <w:t>；</w:t>
            </w:r>
          </w:p>
          <w:p>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eastAsia="宋体"/>
                <w:lang w:val="en-US" w:eastAsia="zh-CN"/>
              </w:rPr>
            </w:pPr>
            <w:r>
              <w:rPr>
                <w:rFonts w:hint="eastAsia" w:ascii="宋体" w:hAnsi="宋体" w:cs="楷体"/>
                <w:lang w:val="en-US" w:eastAsia="zh-CN"/>
              </w:rPr>
              <w:t>4.</w:t>
            </w:r>
            <w:r>
              <w:rPr>
                <w:rFonts w:hint="eastAsia" w:ascii="宋体" w:hAnsi="宋体" w:cs="楷体"/>
              </w:rPr>
              <w:t>对完成服务内容的工期、进度控制等保证措施阐述</w:t>
            </w:r>
            <w:r>
              <w:rPr>
                <w:rFonts w:hint="eastAsia" w:ascii="宋体" w:hAnsi="宋体" w:cs="楷体"/>
                <w:lang w:eastAsia="zh-CN"/>
              </w:rPr>
              <w:t>较差，</w:t>
            </w:r>
            <w:r>
              <w:rPr>
                <w:rFonts w:hint="eastAsia" w:ascii="宋体" w:hAnsi="宋体" w:cs="楷体"/>
              </w:rPr>
              <w:t>应对措施</w:t>
            </w:r>
            <w:r>
              <w:rPr>
                <w:rFonts w:hint="eastAsia" w:ascii="宋体" w:hAnsi="宋体" w:cs="楷体"/>
                <w:lang w:eastAsia="zh-CN"/>
              </w:rPr>
              <w:t>较差的得</w:t>
            </w:r>
            <w:r>
              <w:rPr>
                <w:rFonts w:hint="eastAsia" w:ascii="宋体" w:hAnsi="宋体" w:cs="楷体"/>
                <w:lang w:val="en-US" w:eastAsia="zh-CN"/>
              </w:rPr>
              <w:t>6</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sz w:val="21"/>
                <w:szCs w:val="21"/>
              </w:rPr>
            </w:pPr>
            <w:r>
              <w:rPr>
                <w:rFonts w:hint="eastAsia" w:ascii="宋体" w:hAnsi="宋体" w:cs="楷体"/>
              </w:rPr>
              <w:t>注：缺项得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903" w:type="dxa"/>
            <w:vMerge w:val="continue"/>
            <w:noWrap w:val="0"/>
            <w:vAlign w:val="center"/>
          </w:tcPr>
          <w:p>
            <w:pPr>
              <w:pStyle w:val="85"/>
              <w:spacing w:line="360" w:lineRule="auto"/>
            </w:pPr>
          </w:p>
        </w:tc>
        <w:tc>
          <w:tcPr>
            <w:tcW w:w="1113" w:type="dxa"/>
            <w:vMerge w:val="continue"/>
            <w:noWrap w:val="0"/>
            <w:vAlign w:val="center"/>
          </w:tcPr>
          <w:p>
            <w:pPr>
              <w:pStyle w:val="85"/>
              <w:spacing w:line="360" w:lineRule="auto"/>
            </w:pP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ascii="宋体" w:hAnsi="宋体" w:cs="宋体"/>
                <w:sz w:val="21"/>
                <w:szCs w:val="21"/>
                <w:lang w:eastAsia="zh-CN"/>
              </w:rPr>
              <w:t>重难点分析与解决（</w:t>
            </w:r>
            <w:r>
              <w:rPr>
                <w:rFonts w:hint="eastAsia" w:ascii="宋体" w:hAnsi="宋体" w:cs="宋体"/>
                <w:sz w:val="21"/>
                <w:szCs w:val="21"/>
                <w:lang w:val="en-US" w:eastAsia="zh-CN"/>
              </w:rPr>
              <w:t>12分</w:t>
            </w:r>
            <w:r>
              <w:rPr>
                <w:rFonts w:hint="eastAsia" w:ascii="宋体" w:hAnsi="宋体" w:cs="宋体"/>
                <w:sz w:val="21"/>
                <w:szCs w:val="21"/>
                <w:lang w:eastAsia="zh-CN"/>
              </w:rPr>
              <w:t>）</w:t>
            </w:r>
          </w:p>
        </w:tc>
        <w:tc>
          <w:tcPr>
            <w:tcW w:w="5799" w:type="dxa"/>
            <w:noWrap w:val="0"/>
            <w:vAlign w:val="top"/>
          </w:tcPr>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cs="楷体"/>
              </w:rPr>
            </w:pPr>
            <w:r>
              <w:rPr>
                <w:rFonts w:hint="eastAsia" w:ascii="宋体" w:hAnsi="宋体" w:cs="楷体"/>
              </w:rPr>
              <w:t>1.对项目实施过程中重点、难点、关键过程分析及问题解决方案和与之相应的合理化建议等方面进行详细的阐述，可操作性</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强，能完全满足或优于项目需要</w:t>
            </w:r>
            <w:r>
              <w:rPr>
                <w:rFonts w:hint="eastAsia" w:ascii="宋体" w:hAnsi="宋体" w:cs="楷体"/>
                <w:lang w:eastAsia="zh-CN"/>
              </w:rPr>
              <w:t>的得</w:t>
            </w:r>
            <w:r>
              <w:rPr>
                <w:rFonts w:hint="eastAsia" w:ascii="宋体" w:hAnsi="宋体" w:cs="楷体"/>
              </w:rPr>
              <w:t>1</w:t>
            </w:r>
            <w:r>
              <w:rPr>
                <w:rFonts w:hint="eastAsia" w:ascii="宋体" w:hAnsi="宋体" w:cs="楷体"/>
                <w:lang w:val="en-US" w:eastAsia="zh-CN"/>
              </w:rPr>
              <w:t>2</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2.对项目实施过程中重点、难点、关键过程分析及问题解决方案和与之相应的合理化建议等方面阐述</w:t>
            </w:r>
            <w:r>
              <w:rPr>
                <w:rFonts w:hint="eastAsia" w:ascii="宋体" w:hAnsi="宋体" w:cs="楷体"/>
                <w:lang w:eastAsia="zh-CN"/>
              </w:rPr>
              <w:t>较好</w:t>
            </w:r>
            <w:r>
              <w:rPr>
                <w:rFonts w:hint="eastAsia" w:ascii="宋体" w:hAnsi="宋体" w:cs="楷体"/>
              </w:rPr>
              <w:t>，可操作性</w:t>
            </w:r>
            <w:r>
              <w:rPr>
                <w:rFonts w:hint="eastAsia" w:ascii="宋体" w:hAnsi="宋体" w:cs="楷体"/>
                <w:lang w:eastAsia="zh-CN"/>
              </w:rPr>
              <w:t>较好</w:t>
            </w:r>
            <w:r>
              <w:rPr>
                <w:rFonts w:hint="eastAsia" w:ascii="宋体" w:hAnsi="宋体" w:cs="楷体"/>
              </w:rPr>
              <w:t>，基本能满足项目需要</w:t>
            </w:r>
            <w:r>
              <w:rPr>
                <w:rFonts w:hint="eastAsia" w:ascii="宋体" w:hAnsi="宋体" w:cs="楷体"/>
                <w:lang w:eastAsia="zh-CN"/>
              </w:rPr>
              <w:t>的得</w:t>
            </w:r>
            <w:r>
              <w:rPr>
                <w:rFonts w:hint="eastAsia" w:ascii="宋体" w:hAnsi="宋体" w:cs="楷体"/>
                <w:lang w:val="en-US" w:eastAsia="zh-CN"/>
              </w:rPr>
              <w:t>10</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3.对项目实施过程中重点、难点、关键过程分析及问题解决方案和与之相应的合理化建议等方面阐述</w:t>
            </w:r>
            <w:r>
              <w:rPr>
                <w:rFonts w:hint="eastAsia" w:ascii="宋体" w:hAnsi="宋体" w:cs="楷体"/>
                <w:lang w:eastAsia="zh-CN"/>
              </w:rPr>
              <w:t>一般</w:t>
            </w:r>
            <w:r>
              <w:rPr>
                <w:rFonts w:hint="eastAsia" w:ascii="宋体" w:hAnsi="宋体" w:cs="楷体"/>
              </w:rPr>
              <w:t>，可操作性</w:t>
            </w:r>
            <w:r>
              <w:rPr>
                <w:rFonts w:hint="eastAsia" w:ascii="宋体" w:hAnsi="宋体" w:cs="楷体"/>
                <w:lang w:eastAsia="zh-CN"/>
              </w:rPr>
              <w:t>一般</w:t>
            </w:r>
            <w:r>
              <w:rPr>
                <w:rFonts w:hint="eastAsia" w:ascii="宋体" w:hAnsi="宋体" w:cs="楷体"/>
              </w:rPr>
              <w:t>，无法保障全部满足项目需要</w:t>
            </w:r>
            <w:r>
              <w:rPr>
                <w:rFonts w:hint="eastAsia" w:ascii="宋体" w:hAnsi="宋体" w:cs="楷体"/>
                <w:lang w:eastAsia="zh-CN"/>
              </w:rPr>
              <w:t>的得</w:t>
            </w:r>
            <w:r>
              <w:rPr>
                <w:rFonts w:hint="eastAsia" w:ascii="宋体" w:hAnsi="宋体" w:cs="楷体"/>
                <w:lang w:val="en-US" w:eastAsia="zh-CN"/>
              </w:rPr>
              <w:t>8</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lang w:val="en-US" w:eastAsia="zh-CN"/>
              </w:rPr>
              <w:t>4.</w:t>
            </w:r>
            <w:r>
              <w:rPr>
                <w:rFonts w:hint="eastAsia" w:ascii="宋体" w:hAnsi="宋体" w:cs="楷体"/>
              </w:rPr>
              <w:t>对项目实施过程中重点、难点、关键过程分析及问题解决方案和与之相应的合理化建议等方面阐述不详细或缺项，可操作性差，存在缺陷，无法保障全部满足项目需要</w:t>
            </w:r>
            <w:r>
              <w:rPr>
                <w:rFonts w:hint="eastAsia" w:ascii="宋体" w:hAnsi="宋体" w:cs="楷体"/>
                <w:lang w:eastAsia="zh-CN"/>
              </w:rPr>
              <w:t>的得</w:t>
            </w:r>
            <w:r>
              <w:rPr>
                <w:rFonts w:hint="eastAsia" w:ascii="宋体" w:hAnsi="宋体" w:cs="楷体"/>
                <w:lang w:val="en-US" w:eastAsia="zh-CN"/>
              </w:rPr>
              <w:t>6</w:t>
            </w:r>
            <w:r>
              <w:rPr>
                <w:rFonts w:hint="eastAsia" w:ascii="宋体" w:hAnsi="宋体" w:cs="楷体"/>
              </w:rPr>
              <w:t>分</w:t>
            </w:r>
            <w:r>
              <w:rPr>
                <w:rFonts w:hint="eastAsia" w:ascii="宋体" w:hAnsi="宋体" w:cs="楷体"/>
                <w:lang w:eastAsia="zh-CN"/>
              </w:rPr>
              <w:t>；</w:t>
            </w:r>
          </w:p>
          <w:p>
            <w:pPr>
              <w:pStyle w:val="85"/>
              <w:keepNext w:val="0"/>
              <w:keepLines w:val="0"/>
              <w:pageBreakBefore w:val="0"/>
              <w:widowControl w:val="0"/>
              <w:kinsoku/>
              <w:wordWrap/>
              <w:overflowPunct/>
              <w:topLinePunct w:val="0"/>
              <w:autoSpaceDE/>
              <w:autoSpaceDN/>
              <w:bidi w:val="0"/>
              <w:adjustRightInd/>
              <w:spacing w:line="360" w:lineRule="auto"/>
              <w:textAlignment w:val="auto"/>
            </w:pPr>
            <w:r>
              <w:rPr>
                <w:rFonts w:hint="eastAsia" w:ascii="宋体" w:hAnsi="宋体" w:eastAsia="宋体" w:cs="楷体"/>
                <w:kern w:val="2"/>
                <w:sz w:val="21"/>
                <w:lang w:val="en-US" w:eastAsia="zh-CN" w:bidi="ar-SA"/>
              </w:rPr>
              <w:t>注：缺项得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903" w:type="dxa"/>
            <w:vMerge w:val="continue"/>
            <w:noWrap w:val="0"/>
            <w:vAlign w:val="center"/>
          </w:tcPr>
          <w:p>
            <w:pPr>
              <w:pStyle w:val="85"/>
              <w:spacing w:line="360" w:lineRule="auto"/>
            </w:pPr>
          </w:p>
        </w:tc>
        <w:tc>
          <w:tcPr>
            <w:tcW w:w="1113" w:type="dxa"/>
            <w:vMerge w:val="continue"/>
            <w:noWrap w:val="0"/>
            <w:vAlign w:val="center"/>
          </w:tcPr>
          <w:p>
            <w:pPr>
              <w:pStyle w:val="85"/>
              <w:spacing w:line="360" w:lineRule="auto"/>
            </w:pP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ascii="宋体" w:hAnsi="宋体" w:cs="宋体"/>
                <w:sz w:val="21"/>
                <w:szCs w:val="21"/>
                <w:lang w:eastAsia="zh-CN"/>
              </w:rPr>
              <w:t>质量及保措施(1</w:t>
            </w:r>
            <w:r>
              <w:rPr>
                <w:rFonts w:hint="eastAsia" w:ascii="宋体" w:hAnsi="宋体" w:cs="宋体"/>
                <w:sz w:val="21"/>
                <w:szCs w:val="21"/>
                <w:lang w:val="en-US" w:eastAsia="zh-CN"/>
              </w:rPr>
              <w:t>1</w:t>
            </w:r>
            <w:r>
              <w:rPr>
                <w:rFonts w:hint="eastAsia" w:ascii="宋体" w:hAnsi="宋体" w:cs="宋体"/>
                <w:sz w:val="21"/>
                <w:szCs w:val="21"/>
                <w:lang w:eastAsia="zh-CN"/>
              </w:rPr>
              <w:t>分)</w:t>
            </w:r>
          </w:p>
        </w:tc>
        <w:tc>
          <w:tcPr>
            <w:tcW w:w="5799" w:type="dxa"/>
            <w:noWrap w:val="0"/>
            <w:vAlign w:val="top"/>
          </w:tcPr>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1.对成果质量控制、审核及监督机制阐述全面详细，且具有完整的制度及应对措施</w:t>
            </w:r>
            <w:r>
              <w:rPr>
                <w:rFonts w:hint="eastAsia" w:ascii="宋体" w:hAnsi="宋体" w:cs="楷体"/>
                <w:lang w:eastAsia="zh-CN"/>
              </w:rPr>
              <w:t>的得</w:t>
            </w:r>
            <w:r>
              <w:rPr>
                <w:rFonts w:hint="eastAsia" w:ascii="宋体" w:hAnsi="宋体" w:cs="楷体"/>
              </w:rPr>
              <w:t>1</w:t>
            </w:r>
            <w:r>
              <w:rPr>
                <w:rFonts w:hint="eastAsia" w:ascii="宋体" w:hAnsi="宋体" w:cs="楷体"/>
                <w:lang w:val="en-US" w:eastAsia="zh-CN"/>
              </w:rPr>
              <w:t>1</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楷体"/>
                <w:lang w:eastAsia="zh-CN"/>
              </w:rPr>
            </w:pPr>
            <w:r>
              <w:rPr>
                <w:rFonts w:hint="eastAsia" w:ascii="宋体" w:hAnsi="宋体" w:cs="楷体"/>
              </w:rPr>
              <w:t>2.对成果质量控制、审核及监督机制阐述较为完善，制度及应对措施</w:t>
            </w:r>
            <w:r>
              <w:rPr>
                <w:rFonts w:hint="eastAsia" w:ascii="宋体" w:hAnsi="宋体" w:cs="楷体"/>
                <w:lang w:eastAsia="zh-CN"/>
              </w:rPr>
              <w:t>较为</w:t>
            </w:r>
            <w:r>
              <w:rPr>
                <w:rFonts w:hint="eastAsia" w:ascii="宋体" w:hAnsi="宋体" w:cs="楷体"/>
              </w:rPr>
              <w:t>完善、合理</w:t>
            </w:r>
            <w:r>
              <w:rPr>
                <w:rFonts w:hint="eastAsia" w:ascii="宋体" w:hAnsi="宋体" w:cs="楷体"/>
                <w:lang w:eastAsia="zh-CN"/>
              </w:rPr>
              <w:t>的得</w:t>
            </w:r>
            <w:r>
              <w:rPr>
                <w:rFonts w:hint="eastAsia" w:ascii="宋体" w:hAnsi="宋体" w:cs="楷体"/>
                <w:lang w:val="en-US" w:eastAsia="zh-CN"/>
              </w:rPr>
              <w:t>19</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cs="楷体"/>
                <w:lang w:eastAsia="zh-CN"/>
              </w:rPr>
            </w:pPr>
            <w:r>
              <w:rPr>
                <w:rFonts w:hint="eastAsia" w:ascii="宋体" w:hAnsi="宋体" w:cs="楷体"/>
              </w:rPr>
              <w:t>3.对成果质量控制、审核及监督机制阐述一般，制度及应对措施</w:t>
            </w:r>
            <w:r>
              <w:rPr>
                <w:rFonts w:hint="eastAsia" w:ascii="宋体" w:hAnsi="宋体" w:cs="楷体"/>
                <w:lang w:eastAsia="zh-CN"/>
              </w:rPr>
              <w:t>一般的的得</w:t>
            </w:r>
            <w:r>
              <w:rPr>
                <w:rFonts w:hint="eastAsia" w:ascii="宋体" w:hAnsi="宋体" w:cs="楷体"/>
                <w:lang w:val="en-US" w:eastAsia="zh-CN"/>
              </w:rPr>
              <w:t>7</w:t>
            </w:r>
            <w:r>
              <w:rPr>
                <w:rFonts w:hint="eastAsia" w:ascii="宋体" w:hAnsi="宋体" w:cs="楷体"/>
              </w:rPr>
              <w:t>分</w:t>
            </w:r>
            <w:r>
              <w:rPr>
                <w:rFonts w:hint="eastAsia" w:ascii="宋体" w:hAnsi="宋体" w:cs="楷体"/>
                <w:lang w:eastAsia="zh-CN"/>
              </w:rPr>
              <w:t>；</w:t>
            </w:r>
          </w:p>
          <w:p>
            <w:pPr>
              <w:pStyle w:val="2"/>
              <w:rPr>
                <w:rFonts w:hint="default"/>
                <w:lang w:val="en-US" w:eastAsia="zh-CN"/>
              </w:rPr>
            </w:pPr>
            <w:r>
              <w:rPr>
                <w:rFonts w:hint="eastAsia" w:ascii="宋体" w:hAnsi="宋体" w:cs="楷体"/>
                <w:lang w:val="en-US" w:eastAsia="zh-CN"/>
              </w:rPr>
              <w:t>4.</w:t>
            </w:r>
            <w:r>
              <w:rPr>
                <w:rFonts w:hint="eastAsia" w:ascii="宋体" w:hAnsi="宋体" w:cs="楷体"/>
              </w:rPr>
              <w:t>对成果质量控制、审核及监督机制阐述</w:t>
            </w:r>
            <w:r>
              <w:rPr>
                <w:rFonts w:hint="eastAsia" w:ascii="宋体" w:hAnsi="宋体" w:cs="楷体"/>
                <w:lang w:eastAsia="zh-CN"/>
              </w:rPr>
              <w:t>较差</w:t>
            </w:r>
            <w:r>
              <w:rPr>
                <w:rFonts w:hint="eastAsia" w:ascii="宋体" w:hAnsi="宋体" w:cs="楷体"/>
              </w:rPr>
              <w:t>，制度及应对措施</w:t>
            </w:r>
            <w:r>
              <w:rPr>
                <w:rFonts w:hint="eastAsia" w:ascii="宋体" w:hAnsi="宋体" w:cs="楷体"/>
                <w:lang w:eastAsia="zh-CN"/>
              </w:rPr>
              <w:t>较差的得</w:t>
            </w:r>
            <w:r>
              <w:rPr>
                <w:rFonts w:hint="eastAsia" w:ascii="宋体" w:hAnsi="宋体" w:cs="楷体"/>
                <w:lang w:val="en-US" w:eastAsia="zh-CN"/>
              </w:rPr>
              <w:t>5</w:t>
            </w:r>
            <w:r>
              <w:rPr>
                <w:rFonts w:hint="eastAsia" w:ascii="宋体" w:hAnsi="宋体" w:cs="楷体"/>
              </w:rPr>
              <w:t>分</w:t>
            </w:r>
            <w:r>
              <w:rPr>
                <w:rFonts w:hint="eastAsia" w:ascii="宋体" w:hAnsi="宋体" w:cs="楷体"/>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pPr>
            <w:r>
              <w:rPr>
                <w:rFonts w:hint="eastAsia" w:ascii="宋体" w:hAnsi="宋体" w:cs="楷体"/>
              </w:rPr>
              <w:t>注：缺项得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903" w:type="dxa"/>
            <w:vMerge w:val="continue"/>
            <w:noWrap w:val="0"/>
            <w:vAlign w:val="center"/>
          </w:tcPr>
          <w:p>
            <w:pPr>
              <w:pStyle w:val="85"/>
              <w:spacing w:line="360" w:lineRule="auto"/>
            </w:pPr>
          </w:p>
        </w:tc>
        <w:tc>
          <w:tcPr>
            <w:tcW w:w="1113" w:type="dxa"/>
            <w:vMerge w:val="continue"/>
            <w:noWrap w:val="0"/>
            <w:vAlign w:val="center"/>
          </w:tcPr>
          <w:p>
            <w:pPr>
              <w:pStyle w:val="85"/>
              <w:spacing w:line="360" w:lineRule="auto"/>
            </w:pP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软件著作权</w:t>
            </w:r>
          </w:p>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ascii="宋体" w:hAnsi="宋体" w:eastAsia="宋体" w:cs="宋体"/>
                <w:sz w:val="21"/>
                <w:szCs w:val="21"/>
                <w:lang w:eastAsia="zh-CN"/>
              </w:rPr>
              <w:t>（10分）</w:t>
            </w:r>
          </w:p>
        </w:tc>
        <w:tc>
          <w:tcPr>
            <w:tcW w:w="5799" w:type="dxa"/>
            <w:noWrap w:val="0"/>
            <w:vAlign w:val="top"/>
          </w:tcPr>
          <w:p>
            <w:pPr>
              <w:pStyle w:val="85"/>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eastAsia="宋体" w:cs="楷体"/>
                <w:kern w:val="2"/>
                <w:sz w:val="21"/>
                <w:lang w:val="en-US" w:eastAsia="zh-CN" w:bidi="ar-SA"/>
              </w:rPr>
              <w:t>供应商具有土地调查数据管理系统、遥感影像处理系统、地理时空大数据管理平台系统、三维地理信息系统、国土资源管理系统的计算机软件著作权登记书，每有一项得2分，最多得10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903" w:type="dxa"/>
            <w:vMerge w:val="restart"/>
            <w:noWrap w:val="0"/>
            <w:vAlign w:val="center"/>
          </w:tcPr>
          <w:p>
            <w:pPr>
              <w:pStyle w:val="85"/>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1113" w:type="dxa"/>
            <w:vMerge w:val="restart"/>
            <w:noWrap w:val="0"/>
            <w:vAlign w:val="center"/>
          </w:tcPr>
          <w:p>
            <w:pPr>
              <w:pStyle w:val="85"/>
              <w:spacing w:line="36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综合部分（</w:t>
            </w:r>
            <w:r>
              <w:rPr>
                <w:rFonts w:hint="eastAsia" w:ascii="宋体" w:hAnsi="宋体" w:cs="宋体"/>
                <w:sz w:val="21"/>
                <w:szCs w:val="21"/>
                <w:lang w:val="en-US" w:eastAsia="zh-CN"/>
              </w:rPr>
              <w:t>25</w:t>
            </w:r>
            <w:r>
              <w:rPr>
                <w:rFonts w:hint="eastAsia" w:ascii="宋体" w:hAnsi="宋体" w:cs="宋体"/>
                <w:sz w:val="21"/>
                <w:szCs w:val="21"/>
                <w:lang w:eastAsia="zh-CN"/>
              </w:rPr>
              <w:t>）</w:t>
            </w: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eastAsia="zh-CN"/>
              </w:rPr>
            </w:pPr>
            <w:r>
              <w:rPr>
                <w:rFonts w:hint="eastAsia" w:ascii="宋体" w:hAnsi="宋体" w:cs="宋体"/>
                <w:sz w:val="21"/>
                <w:szCs w:val="21"/>
                <w:lang w:eastAsia="zh-CN"/>
              </w:rPr>
              <w:t>投标人业绩</w:t>
            </w:r>
          </w:p>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sz w:val="21"/>
                <w:szCs w:val="21"/>
                <w:shd w:val="clear" w:fill="FFFF00"/>
                <w:lang w:eastAsia="zh-CN"/>
              </w:rPr>
            </w:pPr>
            <w:r>
              <w:rPr>
                <w:rFonts w:hint="eastAsia" w:ascii="宋体" w:hAnsi="宋体" w:cs="宋体"/>
                <w:sz w:val="21"/>
                <w:szCs w:val="21"/>
                <w:lang w:eastAsia="zh-CN"/>
              </w:rPr>
              <w:t>（1</w:t>
            </w:r>
            <w:r>
              <w:rPr>
                <w:rFonts w:hint="eastAsia" w:ascii="宋体" w:hAnsi="宋体" w:cs="宋体"/>
                <w:sz w:val="21"/>
                <w:szCs w:val="21"/>
                <w:lang w:val="en-US" w:eastAsia="zh-CN"/>
              </w:rPr>
              <w:t>5</w:t>
            </w:r>
            <w:r>
              <w:rPr>
                <w:rFonts w:hint="eastAsia" w:ascii="宋体" w:hAnsi="宋体" w:cs="宋体"/>
                <w:sz w:val="21"/>
                <w:szCs w:val="21"/>
                <w:lang w:eastAsia="zh-CN"/>
              </w:rPr>
              <w:t>分）</w:t>
            </w:r>
          </w:p>
        </w:tc>
        <w:tc>
          <w:tcPr>
            <w:tcW w:w="5799" w:type="dxa"/>
            <w:noWrap w:val="0"/>
            <w:vAlign w:val="top"/>
          </w:tcPr>
          <w:p>
            <w:pPr>
              <w:pStyle w:val="85"/>
              <w:spacing w:line="360" w:lineRule="auto"/>
              <w:rPr>
                <w:rFonts w:hint="eastAsia" w:ascii="宋体" w:hAnsi="宋体"/>
                <w:sz w:val="21"/>
                <w:szCs w:val="21"/>
                <w:shd w:val="clear" w:fill="FFFF00"/>
                <w:lang w:eastAsia="zh-CN"/>
              </w:rPr>
            </w:pPr>
            <w:r>
              <w:rPr>
                <w:rFonts w:hint="eastAsia" w:ascii="宋体" w:hAnsi="宋体" w:eastAsia="宋体" w:cs="楷体"/>
                <w:kern w:val="2"/>
                <w:sz w:val="21"/>
                <w:lang w:val="en-US" w:eastAsia="zh-CN" w:bidi="ar-SA"/>
              </w:rPr>
              <w:t>供应商2020年以来承担过类似项目业绩（提供中标通知书、合同和中标公示网页截图），每提供一份得3分，最多得15分。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03" w:type="dxa"/>
            <w:vMerge w:val="continue"/>
            <w:noWrap w:val="0"/>
            <w:vAlign w:val="center"/>
          </w:tcPr>
          <w:p>
            <w:pPr>
              <w:pStyle w:val="85"/>
              <w:spacing w:line="360" w:lineRule="auto"/>
            </w:pPr>
          </w:p>
        </w:tc>
        <w:tc>
          <w:tcPr>
            <w:tcW w:w="1113" w:type="dxa"/>
            <w:vMerge w:val="continue"/>
            <w:noWrap w:val="0"/>
            <w:vAlign w:val="center"/>
          </w:tcPr>
          <w:p>
            <w:pPr>
              <w:pStyle w:val="85"/>
              <w:spacing w:line="360" w:lineRule="auto"/>
            </w:pPr>
          </w:p>
        </w:tc>
        <w:tc>
          <w:tcPr>
            <w:tcW w:w="1624" w:type="dxa"/>
            <w:noWrap w:val="0"/>
            <w:vAlign w:val="center"/>
          </w:tcPr>
          <w:p>
            <w:pPr>
              <w:pStyle w:val="85"/>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ascii="宋体" w:hAnsi="宋体" w:eastAsia="宋体" w:cs="宋体"/>
                <w:sz w:val="21"/>
                <w:szCs w:val="21"/>
                <w:lang w:eastAsia="zh-CN"/>
              </w:rPr>
              <w:t>技术团队实力 (10分)</w:t>
            </w:r>
          </w:p>
        </w:tc>
        <w:tc>
          <w:tcPr>
            <w:tcW w:w="5799" w:type="dxa"/>
            <w:noWrap w:val="0"/>
            <w:vAlign w:val="top"/>
          </w:tcPr>
          <w:p>
            <w:pPr>
              <w:keepNext w:val="0"/>
              <w:keepLines w:val="0"/>
              <w:pageBreakBefore w:val="0"/>
              <w:widowControl w:val="0"/>
              <w:kinsoku/>
              <w:wordWrap/>
              <w:overflowPunct/>
              <w:topLinePunct w:val="0"/>
              <w:autoSpaceDE/>
              <w:autoSpaceDN/>
              <w:bidi w:val="0"/>
              <w:adjustRightInd/>
              <w:snapToGrid/>
              <w:spacing w:before="124" w:line="360" w:lineRule="auto"/>
              <w:ind w:right="59" w:firstLine="0" w:firstLineChars="0"/>
              <w:textAlignment w:val="auto"/>
              <w:rPr>
                <w:rFonts w:hint="eastAsia" w:ascii="宋体" w:hAnsi="宋体" w:eastAsia="宋体" w:cs="楷体"/>
                <w:kern w:val="2"/>
                <w:sz w:val="21"/>
                <w:lang w:val="en-US" w:eastAsia="zh-CN" w:bidi="ar-SA"/>
              </w:rPr>
            </w:pPr>
            <w:r>
              <w:rPr>
                <w:rFonts w:hint="eastAsia" w:ascii="宋体" w:hAnsi="宋体" w:eastAsia="宋体" w:cs="楷体"/>
                <w:kern w:val="2"/>
                <w:sz w:val="21"/>
                <w:lang w:val="en-US" w:eastAsia="zh-CN" w:bidi="ar-SA"/>
              </w:rPr>
              <w:t>（1）项目组（除项目负责人外）项目组成员中具有测绘、 建筑、土地规划、测量(提供职称证或注册证)专业高级工程师的每有一名得3分，最多得6分。</w:t>
            </w:r>
          </w:p>
          <w:p>
            <w:pPr>
              <w:keepNext w:val="0"/>
              <w:keepLines w:val="0"/>
              <w:pageBreakBefore w:val="0"/>
              <w:widowControl w:val="0"/>
              <w:kinsoku/>
              <w:wordWrap/>
              <w:overflowPunct/>
              <w:topLinePunct w:val="0"/>
              <w:autoSpaceDE/>
              <w:autoSpaceDN/>
              <w:bidi w:val="0"/>
              <w:adjustRightInd/>
              <w:snapToGrid/>
              <w:spacing w:before="124" w:line="360" w:lineRule="auto"/>
              <w:ind w:right="59" w:firstLine="0" w:firstLineChars="0"/>
              <w:textAlignment w:val="auto"/>
              <w:rPr>
                <w:rFonts w:hint="eastAsia" w:ascii="宋体" w:hAnsi="宋体" w:eastAsia="宋体" w:cs="楷体"/>
                <w:kern w:val="2"/>
                <w:sz w:val="21"/>
                <w:lang w:val="en-US" w:eastAsia="zh-CN" w:bidi="ar-SA"/>
              </w:rPr>
            </w:pPr>
            <w:r>
              <w:rPr>
                <w:rFonts w:hint="eastAsia" w:ascii="宋体" w:hAnsi="宋体" w:eastAsia="宋体" w:cs="楷体"/>
                <w:kern w:val="2"/>
                <w:sz w:val="21"/>
                <w:lang w:val="en-US" w:eastAsia="zh-CN" w:bidi="ar-SA"/>
              </w:rPr>
              <w:t>(2)供应商拟配备的项目组成员中（除项目负责人外），每有一名中级及以上职称的得1分，最多得4分。</w:t>
            </w:r>
          </w:p>
          <w:p>
            <w:pPr>
              <w:pStyle w:val="85"/>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宋体" w:hAnsi="宋体" w:eastAsia="宋体" w:cs="楷体"/>
                <w:kern w:val="2"/>
                <w:sz w:val="21"/>
                <w:lang w:val="en-US" w:eastAsia="zh-CN" w:bidi="ar-SA"/>
              </w:rPr>
              <w:t>（须提供相关证书扫描件和近六个月的社保证明）</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注：</w:t>
      </w:r>
      <w:r>
        <w:rPr>
          <w:rFonts w:hint="eastAsia" w:ascii="宋体" w:hAnsi="宋体" w:cs="宋体"/>
          <w:szCs w:val="21"/>
          <w:lang w:val="en-US" w:eastAsia="zh-CN"/>
        </w:rPr>
        <w:t>1</w:t>
      </w:r>
      <w:r>
        <w:rPr>
          <w:rFonts w:hint="eastAsia" w:ascii="宋体" w:hAnsi="宋体" w:cs="宋体"/>
          <w:b/>
          <w:bCs/>
          <w:szCs w:val="21"/>
          <w:lang w:val="en-US" w:eastAsia="zh-CN"/>
        </w:rPr>
        <w:t>.</w:t>
      </w:r>
      <w:r>
        <w:rPr>
          <w:rFonts w:hint="eastAsia" w:ascii="宋体" w:hAnsi="宋体" w:cs="宋体"/>
          <w:b/>
          <w:bCs/>
          <w:szCs w:val="21"/>
        </w:rPr>
        <w:t>评分办法中要求的所有证明材料均需按要求附响应文件中，否则不得分。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评审时，磋商小组各成员应当独立对每个有效响应的文件进行评价、打分，然后汇总每个供应商每项评分因素的得分，取各磋商小组各成员评分的算术平均数作为供应商的评审最后得分。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2"/>
        <w:rPr>
          <w:rFonts w:hint="eastAsia" w:ascii="宋体" w:hAnsi="宋体" w:cs="宋体"/>
          <w:szCs w:val="21"/>
        </w:rPr>
      </w:pPr>
    </w:p>
    <w:bookmarkEnd w:id="69"/>
    <w:bookmarkEnd w:id="70"/>
    <w:p>
      <w:pPr>
        <w:rPr>
          <w:rFonts w:hint="eastAsia"/>
        </w:rPr>
        <w:sectPr>
          <w:pgSz w:w="11906" w:h="16838"/>
          <w:pgMar w:top="1134" w:right="1134" w:bottom="1134" w:left="1474" w:header="851" w:footer="510" w:gutter="0"/>
          <w:cols w:space="720" w:num="1"/>
          <w:docGrid w:type="lines" w:linePitch="312" w:charSpace="0"/>
        </w:sectPr>
      </w:pPr>
      <w:bookmarkStart w:id="71" w:name="_Toc113459850"/>
      <w:bookmarkStart w:id="72" w:name="_Toc7461"/>
    </w:p>
    <w:p>
      <w:pPr>
        <w:pStyle w:val="36"/>
        <w:numPr>
          <w:ilvl w:val="0"/>
          <w:numId w:val="1"/>
        </w:numPr>
        <w:spacing w:before="0" w:after="0" w:line="360" w:lineRule="auto"/>
        <w:ind w:firstLine="0"/>
        <w:rPr>
          <w:rFonts w:hint="eastAsia" w:ascii="宋体" w:hAnsi="宋体" w:cs="宋体"/>
        </w:rPr>
      </w:pPr>
      <w:bookmarkStart w:id="73" w:name="_Toc15626"/>
      <w:r>
        <w:rPr>
          <w:rFonts w:hint="eastAsia" w:ascii="宋体" w:hAnsi="宋体" w:cs="宋体"/>
        </w:rPr>
        <w:t>拟签订的合同</w:t>
      </w:r>
      <w:bookmarkStart w:id="74" w:name="_Toc218418181"/>
      <w:bookmarkStart w:id="75" w:name="_Toc214329890"/>
      <w:bookmarkStart w:id="76" w:name="_Toc153880771"/>
      <w:bookmarkStart w:id="77" w:name="_Toc373230031"/>
      <w:bookmarkStart w:id="78" w:name="_Toc374512418"/>
      <w:r>
        <w:rPr>
          <w:rFonts w:hint="eastAsia" w:ascii="宋体" w:hAnsi="宋体" w:cs="宋体"/>
        </w:rPr>
        <w:t>文本</w:t>
      </w:r>
      <w:bookmarkEnd w:id="71"/>
      <w:bookmarkEnd w:id="73"/>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bookmarkEnd w:id="74"/>
    <w:bookmarkEnd w:id="75"/>
    <w:bookmarkEnd w:id="76"/>
    <w:bookmarkEnd w:id="77"/>
    <w:bookmarkEnd w:id="78"/>
    <w:p>
      <w:pPr>
        <w:pStyle w:val="36"/>
        <w:numPr>
          <w:ilvl w:val="0"/>
          <w:numId w:val="1"/>
        </w:numPr>
        <w:spacing w:before="0" w:after="0" w:line="360" w:lineRule="auto"/>
        <w:ind w:firstLine="0"/>
        <w:rPr>
          <w:rFonts w:hint="eastAsia" w:ascii="宋体" w:hAnsi="宋体" w:cs="宋体"/>
        </w:rPr>
      </w:pPr>
      <w:bookmarkStart w:id="79" w:name="_Toc23819"/>
      <w:r>
        <w:rPr>
          <w:rFonts w:hint="eastAsia" w:ascii="宋体" w:hAnsi="宋体" w:cs="宋体"/>
        </w:rPr>
        <w:t>采购需求</w:t>
      </w:r>
      <w:bookmarkEnd w:id="72"/>
      <w:bookmarkEnd w:id="79"/>
    </w:p>
    <w:p>
      <w:pPr>
        <w:widowControl/>
        <w:adjustRightInd w:val="0"/>
        <w:spacing w:line="360" w:lineRule="auto"/>
        <w:rPr>
          <w:rFonts w:ascii="宋体" w:hAnsi="宋体"/>
          <w:b/>
          <w:kern w:val="0"/>
          <w:sz w:val="21"/>
          <w:szCs w:val="21"/>
        </w:rPr>
      </w:pPr>
      <w:bookmarkStart w:id="80" w:name="_Toc477423251"/>
      <w:bookmarkStart w:id="81" w:name="_Toc374512420"/>
      <w:bookmarkStart w:id="82" w:name="_Toc373230032"/>
      <w:bookmarkStart w:id="83" w:name="_Toc487805927"/>
      <w:bookmarkStart w:id="84" w:name="_Toc11229"/>
      <w:bookmarkStart w:id="85" w:name="_Toc20594"/>
      <w:bookmarkStart w:id="86" w:name="_Toc4426"/>
      <w:r>
        <w:rPr>
          <w:rFonts w:hint="eastAsia" w:ascii="宋体" w:hAnsi="宋体"/>
          <w:b/>
          <w:kern w:val="0"/>
          <w:sz w:val="21"/>
          <w:szCs w:val="21"/>
        </w:rPr>
        <w:t>一、</w:t>
      </w:r>
      <w:r>
        <w:rPr>
          <w:rFonts w:ascii="宋体" w:hAnsi="宋体"/>
          <w:b/>
          <w:kern w:val="0"/>
          <w:sz w:val="21"/>
          <w:szCs w:val="21"/>
        </w:rPr>
        <w:t>相关说明</w:t>
      </w:r>
    </w:p>
    <w:p>
      <w:pPr>
        <w:widowControl/>
        <w:numPr>
          <w:ilvl w:val="2"/>
          <w:numId w:val="12"/>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12"/>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 xml:space="preserve">二、商务要求： </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合同履行期限：50日历天</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地点：武陟县</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质量标准：符合国家现行相关标准和规范要求，达到合格标准</w:t>
      </w:r>
    </w:p>
    <w:p>
      <w:pPr>
        <w:numPr>
          <w:ilvl w:val="2"/>
          <w:numId w:val="13"/>
        </w:numPr>
        <w:spacing w:line="360" w:lineRule="auto"/>
        <w:ind w:firstLine="420" w:firstLineChars="200"/>
        <w:rPr>
          <w:rFonts w:hint="eastAsia" w:ascii="宋体" w:hAnsi="宋体"/>
          <w:color w:val="auto"/>
          <w:kern w:val="0"/>
          <w:sz w:val="21"/>
          <w:szCs w:val="21"/>
          <w:lang w:bidi="ar"/>
        </w:rPr>
      </w:pPr>
      <w:r>
        <w:rPr>
          <w:rFonts w:hint="eastAsia" w:ascii="宋体" w:hAnsi="宋体"/>
          <w:color w:val="auto"/>
          <w:sz w:val="21"/>
          <w:szCs w:val="21"/>
        </w:rPr>
        <w:t>付款方式：合同签订后 10 个工作日内，甲方向乙方支付合同金额的50% 作为首付款，待完成本项目所有工作内容，并向甲方递交符 合要求的成果文件且甲方评审合格后，甲方向乙方支付剩余50%的合同款。</w:t>
      </w:r>
      <w:r>
        <w:rPr>
          <w:rFonts w:hint="eastAsia" w:ascii="宋体" w:hAnsi="宋体"/>
          <w:color w:val="auto"/>
          <w:kern w:val="0"/>
          <w:sz w:val="21"/>
          <w:szCs w:val="21"/>
          <w:lang w:bidi="ar"/>
        </w:rPr>
        <w:t xml:space="preserve"> </w:t>
      </w:r>
    </w:p>
    <w:p>
      <w:pPr>
        <w:pStyle w:val="2"/>
        <w:rPr>
          <w:rFonts w:hint="eastAsia" w:ascii="宋体" w:hAnsi="宋体"/>
          <w:b/>
          <w:bCs/>
          <w:kern w:val="0"/>
          <w:sz w:val="21"/>
          <w:szCs w:val="21"/>
          <w:lang w:eastAsia="zh-CN" w:bidi="ar"/>
        </w:rPr>
      </w:pPr>
      <w:r>
        <w:rPr>
          <w:rFonts w:hint="eastAsia" w:ascii="宋体" w:hAnsi="宋体"/>
          <w:b/>
          <w:bCs/>
          <w:kern w:val="0"/>
          <w:sz w:val="21"/>
          <w:szCs w:val="21"/>
          <w:lang w:eastAsia="zh-CN" w:bidi="ar"/>
        </w:rPr>
        <w:t>三、其他要求：无</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lang w:eastAsia="zh-CN"/>
        </w:rPr>
        <w:t>四</w:t>
      </w:r>
      <w:r>
        <w:rPr>
          <w:rFonts w:hint="eastAsia" w:ascii="宋体" w:hAnsi="宋体"/>
          <w:b/>
          <w:kern w:val="0"/>
          <w:sz w:val="21"/>
          <w:szCs w:val="21"/>
        </w:rPr>
        <w:t>、采购内容及技术要求</w:t>
      </w:r>
    </w:p>
    <w:bookmarkEnd w:id="80"/>
    <w:bookmarkEnd w:id="81"/>
    <w:bookmarkEnd w:id="82"/>
    <w:bookmarkEnd w:id="83"/>
    <w:bookmarkEnd w:id="84"/>
    <w:bookmarkEnd w:id="85"/>
    <w:bookmarkEnd w:id="86"/>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数学基础</w:t>
      </w:r>
    </w:p>
    <w:p>
      <w:pPr>
        <w:pStyle w:val="51"/>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平面坐标系</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大地基准：2000 国家大地坐标系；</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投影方式：高斯-克吕格投影；</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分带方式：按1:10000比例尺标准分幅的正射影像宜采用3度分带，按1:50000比例尺标准分幅的正射影像、分景正射影像宜采用6度分带。利用已有正射影像成果的，分带方式不需调整。</w:t>
      </w:r>
    </w:p>
    <w:p>
      <w:pPr>
        <w:pStyle w:val="51"/>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高程基准</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1985国家高程基</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监测对象</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监测对象包括湿地、耕地、园地、林地、草地、商业服务业用地、工矿用地、住宅用地、公共管理与公共服务用地、特殊用地、交通运输用地、水域及水利设施用地、其他土地、其他等14个一级类。</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监测范围</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监测范围根据需要分为全域范围和城区范围两类。全域范围指城市行政区域为监测范围。城区监测范围以按照《城区范围确定规程》已划定的城区范围确定</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工作内容及要求</w:t>
      </w:r>
    </w:p>
    <w:p>
      <w:pPr>
        <w:pStyle w:val="51"/>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地类变化监测</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利用自然资源部下发的地类变化图斑，在上半年地类变化监测和下半年国土利用全覆盖遥感监测的基础上，统一标准，加密监测频次。按照变更调查相关要求进行举证，持续做好国土变更调查日常变更工作</w:t>
      </w:r>
    </w:p>
    <w:p>
      <w:pPr>
        <w:pStyle w:val="51"/>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监测和重点监测</w:t>
      </w:r>
    </w:p>
    <w:p>
      <w:pPr>
        <w:pStyle w:val="51"/>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按照自然资源部要求，配合开展特定专题或重点区域的专项监测和重点监测。一是围绕国家对耕地和永久基本农田、生态保护红线、城镇开发边界三条控制线严格管理、监督、考核的需要对三条控制线开展监测。二是围绕黄河流域生态保护和高质量发展等国家重大战略区域开展监测。三是围绕用地监管开展监测，对涉及自然资源管理的重大工程建设情况、已供土地、临时用地备案设施农用地使用情况，以及采矿损毁土地情况开展监测。四是围绕生态保护修复治理情况开展监测，对山水林田湖草沙一体化保护和修复工程、新增矿山修复工程、历史遗留废弃矿山生态修复、国家湿地公园等开展监测。</w:t>
      </w:r>
    </w:p>
    <w:p>
      <w:pPr>
        <w:pStyle w:val="51"/>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工作要求</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监测工作以2022年度国土变更调查成果为底图，结合2023年高分辨率遥感影像、最新相关专题资料和实地调查，确定监测要素的位置、占地范围、面积 (长度)和相关属性。同时，监测更新水网、路网相关数据。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各地可根据实际管理需要，在规定的监测内容基础上进一步拓展和细化监测内容</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质量控制</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按照全过程管理的原则开展质量控制，实行“两级检查、一级验收”制度。</w:t>
      </w:r>
    </w:p>
    <w:p>
      <w:pPr>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监测作业单位负责监测成果质量的“两级检查”，省级自然资源主管部门负责组织监测成果的验收， 确保监测成果的真实性、准确性、完整性和规范性。</w:t>
      </w:r>
    </w:p>
    <w:p>
      <w:pPr>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国家负责质量抽查等工作。</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数据库建设</w:t>
      </w:r>
    </w:p>
    <w:p>
      <w:pPr>
        <w:keepNext w:val="0"/>
        <w:keepLines w:val="0"/>
        <w:pageBreakBefore w:val="0"/>
        <w:widowControl/>
        <w:kinsoku/>
        <w:wordWrap/>
        <w:overflowPunct/>
        <w:topLinePunct w:val="0"/>
        <w:bidi w:val="0"/>
        <w:adjustRightInd/>
        <w:snapToGrid/>
        <w:spacing w:line="360" w:lineRule="auto"/>
        <w:ind w:firstLine="630" w:firstLineChars="3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各级自然资源主管部门按要求完成数据成果汇交，建立城市国土空间监测数据库，并对监测数据进行集成、处理、可视化表达。同时，将数据库纳入自然资源三维立体时空数据库体系，并与国土空间规划“一张图”等管理系统互联互通。</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监测成果</w:t>
      </w:r>
    </w:p>
    <w:p>
      <w:pPr>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基础成果</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包括正射纠正影像成果，地类变化监测成果，专项监测和重点监测成果，以及城市国土空间监测成果等。</w:t>
      </w:r>
    </w:p>
    <w:p>
      <w:pPr>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统计成果</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基础成果进行汇总统计形成的数据成果，包括:以县级行政区域为单元或以专项监测和重点监测范围为单元，耕地、园地、林地、草地、水域、建设用地等范围内各地类变化面积、比例等，以及城市国土空间监测的统计成果。</w:t>
      </w:r>
    </w:p>
    <w:p>
      <w:pPr>
        <w:keepNext w:val="0"/>
        <w:keepLines w:val="0"/>
        <w:pageBreakBefore w:val="0"/>
        <w:widowControl/>
        <w:numPr>
          <w:ilvl w:val="0"/>
          <w:numId w:val="14"/>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监测成果分析</w:t>
      </w:r>
    </w:p>
    <w:p>
      <w:pPr>
        <w:keepNext w:val="0"/>
        <w:keepLines w:val="0"/>
        <w:pageBreakBefore w:val="0"/>
        <w:widowControl/>
        <w:kinsoku/>
        <w:wordWrap/>
        <w:overflowPunct/>
        <w:topLinePunct w:val="0"/>
        <w:bidi w:val="0"/>
        <w:adjustRightInd/>
        <w:snapToGrid/>
        <w:spacing w:line="360" w:lineRule="auto"/>
        <w:ind w:firstLine="630" w:firstLineChars="300"/>
        <w:jc w:val="left"/>
        <w:textAlignment w:val="auto"/>
        <w:rPr>
          <w:rFonts w:hint="eastAsia" w:ascii="宋体" w:hAnsi="宋体" w:eastAsia="宋体" w:cs="宋体"/>
          <w:sz w:val="24"/>
          <w:szCs w:val="24"/>
        </w:rPr>
      </w:pPr>
      <w:r>
        <w:rPr>
          <w:rFonts w:hint="eastAsia" w:ascii="宋体" w:hAnsi="宋体" w:eastAsia="宋体" w:cs="宋体"/>
          <w:color w:val="000000"/>
          <w:kern w:val="0"/>
          <w:sz w:val="21"/>
          <w:szCs w:val="21"/>
          <w:lang w:bidi="ar"/>
        </w:rPr>
        <w:t>根据城市国土空间监测成果，各级自然资源主管部门分别进行各自的统计分析，满足不同层级自然资源管理和国土空间治理需求。</w:t>
      </w: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36"/>
        <w:spacing w:before="0" w:after="0" w:line="360" w:lineRule="auto"/>
        <w:ind w:firstLine="2891" w:firstLineChars="900"/>
        <w:jc w:val="both"/>
        <w:rPr>
          <w:rFonts w:hint="eastAsia" w:ascii="宋体" w:hAnsi="宋体" w:cs="宋体"/>
        </w:rPr>
      </w:pPr>
    </w:p>
    <w:p>
      <w:pPr>
        <w:pStyle w:val="36"/>
        <w:spacing w:before="0" w:after="0" w:line="360" w:lineRule="auto"/>
        <w:ind w:firstLine="2891" w:firstLineChars="900"/>
        <w:jc w:val="both"/>
        <w:rPr>
          <w:rFonts w:hint="eastAsia" w:ascii="宋体" w:hAnsi="宋体" w:cs="宋体"/>
        </w:rPr>
      </w:pPr>
    </w:p>
    <w:p>
      <w:pPr>
        <w:pStyle w:val="36"/>
        <w:spacing w:before="0" w:after="0" w:line="360" w:lineRule="auto"/>
        <w:ind w:firstLine="2891" w:firstLineChars="900"/>
        <w:jc w:val="both"/>
        <w:rPr>
          <w:rFonts w:hint="eastAsia" w:ascii="宋体" w:hAnsi="宋体" w:cs="宋体"/>
        </w:rPr>
      </w:pPr>
    </w:p>
    <w:p>
      <w:pPr>
        <w:pStyle w:val="36"/>
        <w:spacing w:before="0" w:after="0" w:line="360" w:lineRule="auto"/>
        <w:ind w:firstLine="2891" w:firstLineChars="900"/>
        <w:jc w:val="both"/>
        <w:rPr>
          <w:rFonts w:hint="eastAsia" w:ascii="宋体" w:hAnsi="宋体" w:cs="宋体"/>
        </w:rPr>
      </w:pPr>
    </w:p>
    <w:p>
      <w:pPr>
        <w:rPr>
          <w:rFonts w:hint="eastAsia" w:ascii="宋体" w:hAnsi="宋体" w:cs="宋体"/>
        </w:rPr>
      </w:pPr>
    </w:p>
    <w:p>
      <w:pPr>
        <w:pStyle w:val="51"/>
        <w:rPr>
          <w:rFonts w:hint="eastAsia" w:ascii="宋体" w:hAnsi="宋体" w:cs="宋体"/>
        </w:rPr>
      </w:pPr>
    </w:p>
    <w:p>
      <w:pPr>
        <w:rPr>
          <w:rFonts w:hint="eastAsia" w:ascii="宋体" w:hAnsi="宋体" w:cs="宋体"/>
        </w:rPr>
      </w:pPr>
    </w:p>
    <w:p>
      <w:pPr>
        <w:pStyle w:val="51"/>
        <w:rPr>
          <w:rFonts w:hint="eastAsia" w:ascii="宋体" w:hAnsi="宋体" w:cs="宋体"/>
        </w:rPr>
      </w:pPr>
    </w:p>
    <w:p>
      <w:pPr>
        <w:rPr>
          <w:rFonts w:hint="eastAsia" w:ascii="宋体" w:hAnsi="宋体" w:cs="宋体"/>
        </w:rPr>
      </w:pPr>
    </w:p>
    <w:p>
      <w:pPr>
        <w:pStyle w:val="51"/>
        <w:rPr>
          <w:rFonts w:hint="eastAsia" w:ascii="宋体" w:hAnsi="宋体" w:cs="宋体"/>
        </w:rPr>
      </w:pPr>
    </w:p>
    <w:p>
      <w:pPr>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36"/>
        <w:spacing w:before="0" w:after="0" w:line="360" w:lineRule="auto"/>
        <w:ind w:firstLine="2891" w:firstLineChars="900"/>
        <w:jc w:val="both"/>
        <w:rPr>
          <w:rFonts w:hint="eastAsia" w:ascii="宋体" w:hAnsi="宋体" w:cs="宋体"/>
        </w:rPr>
      </w:pPr>
    </w:p>
    <w:p>
      <w:pPr>
        <w:pStyle w:val="36"/>
        <w:spacing w:before="0" w:after="0" w:line="360" w:lineRule="auto"/>
        <w:ind w:firstLine="2891" w:firstLineChars="900"/>
        <w:jc w:val="both"/>
        <w:rPr>
          <w:rFonts w:hint="eastAsia" w:ascii="宋体" w:hAnsi="宋体" w:cs="宋体"/>
        </w:rPr>
      </w:pPr>
      <w:bookmarkStart w:id="87" w:name="_Toc29422"/>
      <w:r>
        <w:rPr>
          <w:rFonts w:hint="eastAsia" w:ascii="宋体" w:hAnsi="宋体" w:cs="宋体"/>
        </w:rPr>
        <w:t>第六章 响应文件格式</w:t>
      </w:r>
      <w:bookmarkEnd w:id="87"/>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rPr>
          <w:rFonts w:hint="eastAsia"/>
        </w:rPr>
        <w:sectPr>
          <w:pgSz w:w="11906" w:h="16838"/>
          <w:pgMar w:top="1134" w:right="1134" w:bottom="1134" w:left="1474" w:header="851" w:footer="510" w:gutter="0"/>
          <w:cols w:space="720" w:num="1"/>
          <w:docGrid w:type="lines" w:linePitch="312" w:charSpace="0"/>
        </w:sectPr>
      </w:pPr>
    </w:p>
    <w:p>
      <w:pPr>
        <w:pStyle w:val="2"/>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2"/>
        <w:rPr>
          <w:rFonts w:hint="eastAsia"/>
        </w:rPr>
      </w:pPr>
    </w:p>
    <w:p>
      <w:pPr>
        <w:pStyle w:val="2"/>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2"/>
        <w:rPr>
          <w:rFonts w:hint="eastAsia"/>
        </w:rPr>
      </w:pPr>
    </w:p>
    <w:p>
      <w:pPr>
        <w:spacing w:line="460" w:lineRule="exact"/>
        <w:rPr>
          <w:rFonts w:hint="eastAsia" w:ascii="宋体" w:hAnsi="宋体" w:cs="宋体"/>
          <w:sz w:val="32"/>
          <w:szCs w:val="32"/>
        </w:rPr>
      </w:pPr>
    </w:p>
    <w:p>
      <w:pPr>
        <w:pStyle w:val="2"/>
        <w:rPr>
          <w:rFonts w:hint="eastAsia"/>
        </w:rPr>
      </w:pPr>
      <w:bookmarkStart w:id="88" w:name="_Toc530584396"/>
      <w:bookmarkStart w:id="89" w:name="_Toc12304"/>
      <w:bookmarkStart w:id="90" w:name="_Toc23451"/>
      <w:bookmarkStart w:id="91" w:name="_Toc22461"/>
      <w:bookmarkStart w:id="92" w:name="_Toc374512423"/>
      <w:bookmarkStart w:id="93" w:name="_Toc26310"/>
      <w:bookmarkStart w:id="94" w:name="_Toc487805929"/>
      <w:bookmarkStart w:id="95" w:name="_Toc373230035"/>
      <w:bookmarkStart w:id="96" w:name="_Toc3023"/>
      <w:bookmarkStart w:id="97" w:name="_Toc408816353"/>
      <w:bookmarkStart w:id="98" w:name="_Toc477423253"/>
      <w:bookmarkStart w:id="99" w:name="_Toc490161460"/>
    </w:p>
    <w:p>
      <w:pPr>
        <w:pStyle w:val="4"/>
        <w:numPr>
          <w:ilvl w:val="0"/>
          <w:numId w:val="15"/>
        </w:numPr>
        <w:spacing w:before="0" w:after="0" w:line="360" w:lineRule="auto"/>
        <w:rPr>
          <w:rFonts w:hint="eastAsia" w:ascii="宋体" w:hAnsi="宋体" w:cs="宋体"/>
          <w:sz w:val="32"/>
          <w:szCs w:val="32"/>
        </w:rPr>
      </w:pPr>
      <w:bookmarkStart w:id="100" w:name="_Toc7109"/>
      <w:r>
        <w:rPr>
          <w:rFonts w:hint="eastAsia" w:ascii="宋体" w:hAnsi="宋体" w:cs="宋体"/>
          <w:sz w:val="32"/>
          <w:szCs w:val="32"/>
        </w:rPr>
        <w:t>磋商承诺函</w:t>
      </w:r>
      <w:bookmarkEnd w:id="88"/>
      <w:bookmarkEnd w:id="89"/>
      <w:bookmarkEnd w:id="90"/>
      <w:bookmarkEnd w:id="91"/>
      <w:bookmarkEnd w:id="100"/>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4"/>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pStyle w:val="2"/>
        <w:rPr>
          <w:rFonts w:hint="eastAsia" w:ascii="宋体" w:hAnsi="宋体" w:cs="宋体"/>
          <w:szCs w:val="21"/>
        </w:rPr>
      </w:pPr>
    </w:p>
    <w:p>
      <w:pPr>
        <w:rPr>
          <w:rFonts w:hint="eastAsia" w:ascii="宋体" w:hAnsi="宋体" w:cs="宋体"/>
          <w:szCs w:val="21"/>
        </w:rPr>
      </w:pPr>
    </w:p>
    <w:p>
      <w:pPr>
        <w:pStyle w:val="2"/>
        <w:rPr>
          <w:rFonts w:hint="eastAsia" w:ascii="宋体" w:hAnsi="宋体" w:cs="宋体"/>
          <w:szCs w:val="21"/>
        </w:rPr>
      </w:pPr>
    </w:p>
    <w:p>
      <w:pPr>
        <w:rPr>
          <w:rFonts w:hint="eastAsia"/>
        </w:rPr>
      </w:pPr>
    </w:p>
    <w:p>
      <w:pPr>
        <w:pStyle w:val="4"/>
        <w:numPr>
          <w:ilvl w:val="0"/>
          <w:numId w:val="15"/>
        </w:numPr>
        <w:spacing w:before="0" w:after="0" w:line="360" w:lineRule="auto"/>
        <w:rPr>
          <w:rFonts w:hint="eastAsia" w:ascii="宋体" w:hAnsi="宋体" w:cs="宋体"/>
          <w:sz w:val="32"/>
          <w:szCs w:val="32"/>
        </w:rPr>
      </w:pPr>
      <w:bookmarkStart w:id="101" w:name="_Toc438"/>
      <w:bookmarkStart w:id="102" w:name="_Toc32512"/>
      <w:bookmarkStart w:id="103" w:name="_Toc13659"/>
      <w:bookmarkStart w:id="104" w:name="_Toc15663"/>
      <w:r>
        <w:rPr>
          <w:rFonts w:hint="eastAsia" w:ascii="宋体" w:hAnsi="宋体" w:cs="宋体"/>
          <w:sz w:val="32"/>
          <w:szCs w:val="32"/>
        </w:rPr>
        <w:t>承诺书</w:t>
      </w:r>
      <w:bookmarkEnd w:id="101"/>
      <w:bookmarkEnd w:id="102"/>
      <w:bookmarkEnd w:id="103"/>
      <w:bookmarkEnd w:id="104"/>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57"/>
        <w:rPr>
          <w:rFonts w:hint="eastAsia"/>
        </w:rPr>
      </w:pPr>
    </w:p>
    <w:p>
      <w:pPr>
        <w:pStyle w:val="57"/>
        <w:rPr>
          <w:rFonts w:hint="eastAsia"/>
        </w:rPr>
      </w:pPr>
    </w:p>
    <w:p>
      <w:pPr>
        <w:pStyle w:val="57"/>
        <w:rPr>
          <w:rFonts w:hint="eastAsia"/>
        </w:rPr>
      </w:pPr>
    </w:p>
    <w:p>
      <w:pPr>
        <w:pStyle w:val="57"/>
        <w:rPr>
          <w:rFonts w:hint="eastAsia"/>
        </w:rPr>
      </w:pPr>
    </w:p>
    <w:p>
      <w:pPr>
        <w:pStyle w:val="57"/>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92"/>
    <w:bookmarkEnd w:id="93"/>
    <w:bookmarkEnd w:id="94"/>
    <w:bookmarkEnd w:id="95"/>
    <w:bookmarkEnd w:id="96"/>
    <w:bookmarkEnd w:id="97"/>
    <w:bookmarkEnd w:id="98"/>
    <w:bookmarkEnd w:id="99"/>
    <w:p>
      <w:pPr>
        <w:pStyle w:val="4"/>
        <w:numPr>
          <w:ilvl w:val="0"/>
          <w:numId w:val="15"/>
        </w:numPr>
        <w:spacing w:before="0" w:after="0" w:line="360" w:lineRule="auto"/>
        <w:rPr>
          <w:rFonts w:hint="eastAsia" w:ascii="宋体" w:hAnsi="宋体" w:cs="宋体"/>
          <w:sz w:val="32"/>
          <w:szCs w:val="32"/>
        </w:rPr>
      </w:pPr>
      <w:bookmarkStart w:id="105" w:name="_Toc6638"/>
      <w:bookmarkStart w:id="106" w:name="_Toc484"/>
      <w:bookmarkStart w:id="107" w:name="_Toc13008"/>
      <w:bookmarkStart w:id="108" w:name="_Toc29369"/>
      <w:bookmarkStart w:id="109" w:name="_Toc475955188"/>
      <w:bookmarkStart w:id="110" w:name="_Toc27591"/>
      <w:bookmarkStart w:id="111" w:name="_Toc453513319"/>
      <w:bookmarkStart w:id="112" w:name="_Toc408816355"/>
      <w:bookmarkStart w:id="113" w:name="_Toc476045982"/>
      <w:bookmarkStart w:id="114" w:name="_Toc477423254"/>
      <w:bookmarkStart w:id="115" w:name="_Toc364490445"/>
      <w:bookmarkStart w:id="116" w:name="_Toc374512425"/>
      <w:bookmarkStart w:id="117" w:name="_Toc373230037"/>
      <w:r>
        <w:rPr>
          <w:rFonts w:hint="eastAsia" w:ascii="宋体" w:hAnsi="宋体" w:cs="宋体"/>
          <w:sz w:val="32"/>
          <w:szCs w:val="32"/>
        </w:rPr>
        <w:t>供应商基本情况表</w:t>
      </w:r>
      <w:bookmarkEnd w:id="105"/>
      <w:bookmarkEnd w:id="106"/>
      <w:bookmarkEnd w:id="107"/>
      <w:bookmarkEnd w:id="108"/>
    </w:p>
    <w:tbl>
      <w:tblPr>
        <w:tblStyle w:val="3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2" w:type="default"/>
          <w:pgSz w:w="11906" w:h="16838"/>
          <w:pgMar w:top="1134" w:right="1134" w:bottom="1134" w:left="1474" w:header="851" w:footer="510" w:gutter="0"/>
          <w:cols w:space="720" w:num="1"/>
          <w:docGrid w:type="lines" w:linePitch="312" w:charSpace="0"/>
        </w:sectPr>
      </w:pPr>
    </w:p>
    <w:p>
      <w:pPr>
        <w:pStyle w:val="4"/>
        <w:numPr>
          <w:ilvl w:val="0"/>
          <w:numId w:val="15"/>
        </w:numPr>
        <w:spacing w:before="0" w:after="0" w:line="360" w:lineRule="auto"/>
        <w:rPr>
          <w:rFonts w:hint="eastAsia" w:ascii="宋体" w:hAnsi="宋体" w:cs="宋体"/>
          <w:sz w:val="32"/>
          <w:szCs w:val="32"/>
        </w:rPr>
      </w:pPr>
      <w:bookmarkStart w:id="118" w:name="_Toc20355"/>
      <w:bookmarkStart w:id="119" w:name="_Toc530584397"/>
      <w:bookmarkStart w:id="120" w:name="_Toc31769"/>
      <w:bookmarkStart w:id="121" w:name="_Toc31547"/>
      <w:bookmarkStart w:id="122" w:name="_Toc19916"/>
      <w:r>
        <w:rPr>
          <w:rFonts w:hint="eastAsia" w:ascii="宋体" w:hAnsi="宋体" w:cs="宋体"/>
          <w:sz w:val="32"/>
          <w:szCs w:val="32"/>
        </w:rPr>
        <w:t>第一轮报价表</w:t>
      </w:r>
      <w:bookmarkEnd w:id="118"/>
      <w:bookmarkEnd w:id="119"/>
      <w:bookmarkEnd w:id="120"/>
      <w:bookmarkEnd w:id="121"/>
      <w:bookmarkEnd w:id="122"/>
    </w:p>
    <w:tbl>
      <w:tblPr>
        <w:tblStyle w:val="37"/>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auto"/>
        <w:ind w:firstLine="420" w:firstLineChars="200"/>
        <w:rPr>
          <w:rFonts w:hint="eastAsia" w:ascii="宋体" w:hAnsi="宋体" w:cs="宋体"/>
          <w:szCs w:val="21"/>
        </w:rPr>
      </w:pPr>
    </w:p>
    <w:p>
      <w:pPr>
        <w:pStyle w:val="56"/>
        <w:rPr>
          <w:rFonts w:hint="eastAsia" w:ascii="宋体" w:hAnsi="宋体" w:cs="宋体"/>
        </w:rPr>
      </w:pPr>
      <w:r>
        <w:rPr>
          <w:rFonts w:hint="eastAsia" w:ascii="宋体" w:hAnsi="宋体" w:cs="宋体"/>
          <w:szCs w:val="21"/>
        </w:rPr>
        <w:t xml:space="preserve">    </w:t>
      </w:r>
      <w:bookmarkStart w:id="123" w:name="_Toc11308"/>
      <w:bookmarkStart w:id="124" w:name="_Toc30567"/>
      <w:bookmarkStart w:id="125" w:name="_Toc15225"/>
    </w:p>
    <w:p>
      <w:pPr>
        <w:rPr>
          <w:rFonts w:hint="eastAsia" w:ascii="宋体" w:hAnsi="宋体" w:cs="宋体"/>
        </w:rPr>
      </w:pPr>
    </w:p>
    <w:p>
      <w:pPr>
        <w:pStyle w:val="4"/>
        <w:numPr>
          <w:ilvl w:val="0"/>
          <w:numId w:val="15"/>
        </w:numPr>
        <w:spacing w:before="0" w:after="0" w:line="360" w:lineRule="auto"/>
        <w:rPr>
          <w:rFonts w:hint="eastAsia" w:ascii="宋体" w:hAnsi="宋体" w:cs="宋体"/>
          <w:sz w:val="32"/>
          <w:szCs w:val="32"/>
        </w:rPr>
      </w:pPr>
      <w:bookmarkStart w:id="126" w:name="_Toc32699"/>
      <w:r>
        <w:rPr>
          <w:rFonts w:hint="eastAsia" w:ascii="宋体" w:hAnsi="宋体" w:cs="宋体"/>
          <w:sz w:val="32"/>
          <w:szCs w:val="32"/>
        </w:rPr>
        <w:t>技术响应表</w:t>
      </w:r>
      <w:bookmarkEnd w:id="123"/>
      <w:bookmarkEnd w:id="124"/>
      <w:bookmarkEnd w:id="126"/>
    </w:p>
    <w:bookmarkEnd w:id="125"/>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5100"/>
        <w:gridCol w:w="1101"/>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dxa"/>
            <w:vAlign w:val="center"/>
          </w:tcPr>
          <w:p>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 w:val="21"/>
                <w:szCs w:val="21"/>
              </w:rPr>
              <w:t>序号</w:t>
            </w:r>
          </w:p>
        </w:tc>
        <w:tc>
          <w:tcPr>
            <w:tcW w:w="5100" w:type="dxa"/>
            <w:vAlign w:val="center"/>
          </w:tcPr>
          <w:p>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 w:val="21"/>
                <w:szCs w:val="21"/>
                <w:lang w:eastAsia="zh-CN"/>
              </w:rPr>
              <w:t>磋商文件要求</w:t>
            </w:r>
          </w:p>
        </w:tc>
        <w:tc>
          <w:tcPr>
            <w:tcW w:w="1101" w:type="dxa"/>
            <w:vAlign w:val="center"/>
          </w:tcPr>
          <w:p>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 w:val="21"/>
                <w:szCs w:val="21"/>
              </w:rPr>
              <w:t>是否响应</w:t>
            </w:r>
          </w:p>
        </w:tc>
        <w:tc>
          <w:tcPr>
            <w:tcW w:w="2379" w:type="dxa"/>
            <w:vAlign w:val="center"/>
          </w:tcPr>
          <w:p>
            <w:pPr>
              <w:spacing w:line="360" w:lineRule="auto"/>
              <w:jc w:val="center"/>
              <w:rPr>
                <w:rFonts w:hint="eastAsia" w:ascii="宋体" w:hAnsi="宋体" w:eastAsia="宋体" w:cs="Times New Roman"/>
                <w:kern w:val="2"/>
                <w:sz w:val="21"/>
                <w:szCs w:val="21"/>
                <w:lang w:val="en-US" w:eastAsia="zh-CN" w:bidi="ar-SA"/>
              </w:rPr>
            </w:pPr>
            <w:r>
              <w:rPr>
                <w:rFonts w:hint="eastAsia" w:ascii="宋体" w:hAnsi="宋体"/>
                <w:sz w:val="21"/>
                <w:szCs w:val="21"/>
                <w:lang w:eastAsia="zh-CN"/>
              </w:rPr>
              <w:t>供应商</w:t>
            </w:r>
            <w:r>
              <w:rPr>
                <w:rFonts w:hint="eastAsia" w:ascii="宋体" w:hAnsi="宋体"/>
                <w:sz w:val="21"/>
                <w:szCs w:val="21"/>
              </w:rPr>
              <w:t>的承诺或说明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 w:type="dxa"/>
            <w:vAlign w:val="center"/>
          </w:tcPr>
          <w:p>
            <w:pPr>
              <w:autoSpaceDN w:val="0"/>
              <w:snapToGrid w:val="0"/>
              <w:spacing w:before="156" w:line="360" w:lineRule="auto"/>
              <w:jc w:val="center"/>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1</w:t>
            </w:r>
          </w:p>
        </w:tc>
        <w:tc>
          <w:tcPr>
            <w:tcW w:w="5100" w:type="dxa"/>
            <w:vAlign w:val="center"/>
          </w:tcPr>
          <w:p>
            <w:pPr>
              <w:autoSpaceDN w:val="0"/>
              <w:spacing w:line="440" w:lineRule="exact"/>
              <w:jc w:val="left"/>
              <w:textAlignment w:val="top"/>
              <w:rPr>
                <w:rFonts w:hint="eastAsia" w:ascii="宋体" w:hAnsi="宋体"/>
                <w:sz w:val="21"/>
                <w:szCs w:val="21"/>
              </w:rPr>
            </w:pPr>
            <w:r>
              <w:rPr>
                <w:rFonts w:hint="eastAsia" w:ascii="宋体" w:hAnsi="宋体"/>
                <w:sz w:val="21"/>
                <w:szCs w:val="21"/>
              </w:rPr>
              <w:t>（一）数学基础</w:t>
            </w:r>
          </w:p>
          <w:p>
            <w:pPr>
              <w:autoSpaceDN w:val="0"/>
              <w:spacing w:line="440" w:lineRule="exact"/>
              <w:jc w:val="left"/>
              <w:textAlignment w:val="top"/>
              <w:rPr>
                <w:rFonts w:hint="eastAsia" w:ascii="宋体" w:hAnsi="宋体"/>
                <w:sz w:val="21"/>
                <w:szCs w:val="21"/>
              </w:rPr>
            </w:pPr>
            <w:r>
              <w:rPr>
                <w:rFonts w:hint="eastAsia" w:ascii="宋体" w:hAnsi="宋体"/>
                <w:sz w:val="21"/>
                <w:szCs w:val="21"/>
              </w:rPr>
              <w:t>1.平面坐标系</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大地基准：2000 国家大地坐标系；</w:t>
            </w:r>
          </w:p>
          <w:p>
            <w:pPr>
              <w:autoSpaceDN w:val="0"/>
              <w:spacing w:line="440" w:lineRule="exact"/>
              <w:jc w:val="left"/>
              <w:textAlignment w:val="top"/>
              <w:rPr>
                <w:rFonts w:hint="eastAsia" w:ascii="宋体" w:hAnsi="宋体"/>
                <w:sz w:val="21"/>
                <w:szCs w:val="21"/>
              </w:rPr>
            </w:pPr>
            <w:r>
              <w:rPr>
                <w:rFonts w:hint="eastAsia" w:ascii="宋体" w:hAnsi="宋体"/>
                <w:sz w:val="21"/>
                <w:szCs w:val="21"/>
              </w:rPr>
              <w:t>投影方式：高斯-克吕格投影；</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分带方式：按1:10000比例尺标准分幅的正射影像宜采用3度分带，按1:50000比例尺标准分幅的正射影像、分景正射影像宜采用6度分带。利用已有正射影像成果的，分带方式不需调整。</w:t>
            </w:r>
          </w:p>
          <w:p>
            <w:pPr>
              <w:autoSpaceDN w:val="0"/>
              <w:spacing w:line="440" w:lineRule="exact"/>
              <w:jc w:val="left"/>
              <w:textAlignment w:val="top"/>
              <w:rPr>
                <w:rFonts w:hint="eastAsia" w:ascii="宋体" w:hAnsi="宋体"/>
                <w:sz w:val="21"/>
                <w:szCs w:val="21"/>
              </w:rPr>
            </w:pPr>
            <w:r>
              <w:rPr>
                <w:rFonts w:hint="eastAsia" w:ascii="宋体" w:hAnsi="宋体"/>
                <w:sz w:val="21"/>
                <w:szCs w:val="21"/>
              </w:rPr>
              <w:t>2.高程基准</w:t>
            </w:r>
          </w:p>
          <w:p>
            <w:pPr>
              <w:autoSpaceDN w:val="0"/>
              <w:spacing w:line="440" w:lineRule="exact"/>
              <w:jc w:val="left"/>
              <w:textAlignment w:val="top"/>
              <w:rPr>
                <w:rFonts w:hint="eastAsia" w:ascii="宋体" w:hAnsi="宋体"/>
                <w:sz w:val="21"/>
                <w:szCs w:val="21"/>
              </w:rPr>
            </w:pPr>
            <w:r>
              <w:rPr>
                <w:rFonts w:hint="eastAsia" w:ascii="宋体" w:hAnsi="宋体"/>
                <w:sz w:val="21"/>
                <w:szCs w:val="21"/>
              </w:rPr>
              <w:t>1985国家高程基</w:t>
            </w:r>
          </w:p>
          <w:p>
            <w:pPr>
              <w:autoSpaceDN w:val="0"/>
              <w:spacing w:line="440" w:lineRule="exact"/>
              <w:jc w:val="left"/>
              <w:textAlignment w:val="top"/>
              <w:rPr>
                <w:rFonts w:hint="eastAsia" w:ascii="宋体" w:hAnsi="宋体"/>
                <w:sz w:val="21"/>
                <w:szCs w:val="21"/>
              </w:rPr>
            </w:pPr>
            <w:r>
              <w:rPr>
                <w:rFonts w:hint="eastAsia" w:ascii="宋体" w:hAnsi="宋体"/>
                <w:sz w:val="21"/>
                <w:szCs w:val="21"/>
              </w:rPr>
              <w:t>（二）监测对象</w:t>
            </w:r>
          </w:p>
          <w:p>
            <w:pPr>
              <w:autoSpaceDN w:val="0"/>
              <w:spacing w:line="440" w:lineRule="exact"/>
              <w:jc w:val="left"/>
              <w:textAlignment w:val="top"/>
              <w:rPr>
                <w:rFonts w:hint="eastAsia" w:ascii="宋体" w:hAnsi="宋体"/>
                <w:sz w:val="21"/>
                <w:szCs w:val="21"/>
              </w:rPr>
            </w:pPr>
            <w:r>
              <w:rPr>
                <w:rFonts w:hint="eastAsia" w:ascii="宋体" w:hAnsi="宋体"/>
                <w:sz w:val="21"/>
                <w:szCs w:val="21"/>
              </w:rPr>
              <w:t>监测对象包括湿地、耕地、园地、林地、草地、商业服务业用地、工矿用地、住宅用地、公共管理与公共服务用地、特殊用地、交通运输用地、水域及水利设施用地、其他土地、其他等14个一级类。</w:t>
            </w:r>
          </w:p>
          <w:p>
            <w:pPr>
              <w:autoSpaceDN w:val="0"/>
              <w:spacing w:line="440" w:lineRule="exact"/>
              <w:jc w:val="left"/>
              <w:textAlignment w:val="top"/>
              <w:rPr>
                <w:rFonts w:hint="eastAsia" w:ascii="宋体" w:hAnsi="宋体"/>
                <w:sz w:val="21"/>
                <w:szCs w:val="21"/>
              </w:rPr>
            </w:pPr>
            <w:r>
              <w:rPr>
                <w:rFonts w:hint="eastAsia" w:ascii="宋体" w:hAnsi="宋体"/>
                <w:sz w:val="21"/>
                <w:szCs w:val="21"/>
              </w:rPr>
              <w:t>（三）监测范围</w:t>
            </w:r>
          </w:p>
          <w:p>
            <w:pPr>
              <w:autoSpaceDN w:val="0"/>
              <w:spacing w:line="440" w:lineRule="exact"/>
              <w:jc w:val="left"/>
              <w:textAlignment w:val="top"/>
              <w:rPr>
                <w:rFonts w:hint="eastAsia" w:ascii="宋体" w:hAnsi="宋体"/>
                <w:sz w:val="21"/>
                <w:szCs w:val="21"/>
              </w:rPr>
            </w:pPr>
            <w:r>
              <w:rPr>
                <w:rFonts w:hint="eastAsia" w:ascii="宋体" w:hAnsi="宋体"/>
                <w:sz w:val="21"/>
                <w:szCs w:val="21"/>
              </w:rPr>
              <w:t>监测范围根据需要分为全域范围和城区范围两类。全域范围指城市行政区域为监测范围。城区监测范围以按照《城区范围确定规程》已划定的城区范围确定</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（四）工作内容及要求</w:t>
            </w:r>
          </w:p>
          <w:p>
            <w:pPr>
              <w:autoSpaceDN w:val="0"/>
              <w:spacing w:line="440" w:lineRule="exact"/>
              <w:jc w:val="left"/>
              <w:textAlignment w:val="top"/>
              <w:rPr>
                <w:rFonts w:hint="eastAsia" w:ascii="宋体" w:hAnsi="宋体"/>
                <w:sz w:val="21"/>
                <w:szCs w:val="21"/>
              </w:rPr>
            </w:pPr>
            <w:r>
              <w:rPr>
                <w:rFonts w:hint="eastAsia" w:ascii="宋体" w:hAnsi="宋体"/>
                <w:sz w:val="21"/>
                <w:szCs w:val="21"/>
              </w:rPr>
              <w:t>1.地类变化监测</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利用自然资源部下发的地类变化图斑，在上半年地类变化监测和下半年国土利用全覆盖遥感监测的基础上，统一标准，加密监测频次。按照变更调查相关要求进行举证，持续做好国土变更调查日常变更工作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2.监测和重点监测</w:t>
            </w:r>
          </w:p>
          <w:p>
            <w:pPr>
              <w:autoSpaceDN w:val="0"/>
              <w:spacing w:line="440" w:lineRule="exact"/>
              <w:jc w:val="left"/>
              <w:textAlignment w:val="top"/>
              <w:rPr>
                <w:rFonts w:hint="eastAsia" w:ascii="宋体" w:hAnsi="宋体"/>
                <w:sz w:val="21"/>
                <w:szCs w:val="21"/>
              </w:rPr>
            </w:pPr>
            <w:r>
              <w:rPr>
                <w:rFonts w:hint="eastAsia" w:ascii="宋体" w:hAnsi="宋体"/>
                <w:sz w:val="21"/>
                <w:szCs w:val="21"/>
              </w:rPr>
              <w:t>按照自然资源部要求，配合开展特定专题或重点区域的专项监测和重点监测。一是围绕国家对耕地和永久基本农田、生态保护红线、城镇开发边界三条控制线严格管理、监督、考核的需要对三条控制线开展监测。二是围绕黄河流域生态保护和高质量发展等国家重大战略区域开展监测。三是围绕用地监管开展监测，对涉及自然资源管理的重大工程建设情况、已供土地、临时用地备案设施农用地使用情况，以及采矿损毁土地情况开展监测。四是围绕生态保护修复治理情况开展监测，对山水林田湖草沙一体化保护和修复工程、新增矿山修复工程、历史遗留废弃矿山生态修复、国家湿地公园等开展监测。</w:t>
            </w:r>
          </w:p>
          <w:p>
            <w:pPr>
              <w:autoSpaceDN w:val="0"/>
              <w:spacing w:line="440" w:lineRule="exact"/>
              <w:jc w:val="left"/>
              <w:textAlignment w:val="top"/>
              <w:rPr>
                <w:rFonts w:hint="eastAsia" w:ascii="宋体" w:hAnsi="宋体"/>
                <w:sz w:val="21"/>
                <w:szCs w:val="21"/>
              </w:rPr>
            </w:pPr>
            <w:r>
              <w:rPr>
                <w:rFonts w:hint="eastAsia" w:ascii="宋体" w:hAnsi="宋体"/>
                <w:sz w:val="21"/>
                <w:szCs w:val="21"/>
              </w:rPr>
              <w:t>3.工作要求</w:t>
            </w:r>
          </w:p>
          <w:p>
            <w:pPr>
              <w:autoSpaceDN w:val="0"/>
              <w:spacing w:line="440" w:lineRule="exact"/>
              <w:jc w:val="left"/>
              <w:textAlignment w:val="top"/>
              <w:rPr>
                <w:rFonts w:hint="eastAsia" w:ascii="宋体" w:hAnsi="宋体"/>
                <w:sz w:val="21"/>
                <w:szCs w:val="21"/>
              </w:rPr>
            </w:pPr>
            <w:r>
              <w:rPr>
                <w:rFonts w:hint="eastAsia" w:ascii="宋体" w:hAnsi="宋体"/>
                <w:sz w:val="21"/>
                <w:szCs w:val="21"/>
              </w:rPr>
              <w:t>监测工作以2022年度国土变更调查成果为底图，结合2023年高分辨率遥感影像、最新相关专题资料和实地调查，确定监测要素的位置、占地范围、面积 (长度)和相关属性。同时，监测更新水网、路网相关数据。</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各地可根据实际管理需要，在规定的监测内容基础上进一步拓展和细化监测内容</w:t>
            </w:r>
          </w:p>
          <w:p>
            <w:pPr>
              <w:autoSpaceDN w:val="0"/>
              <w:spacing w:line="440" w:lineRule="exact"/>
              <w:jc w:val="left"/>
              <w:textAlignment w:val="top"/>
              <w:rPr>
                <w:rFonts w:hint="eastAsia" w:ascii="宋体" w:hAnsi="宋体"/>
                <w:sz w:val="21"/>
                <w:szCs w:val="21"/>
              </w:rPr>
            </w:pPr>
            <w:r>
              <w:rPr>
                <w:rFonts w:hint="eastAsia" w:ascii="宋体" w:hAnsi="宋体"/>
                <w:sz w:val="21"/>
                <w:szCs w:val="21"/>
              </w:rPr>
              <w:t>（五）质量控制</w:t>
            </w:r>
          </w:p>
          <w:p>
            <w:pPr>
              <w:autoSpaceDN w:val="0"/>
              <w:spacing w:line="440" w:lineRule="exact"/>
              <w:jc w:val="left"/>
              <w:textAlignment w:val="top"/>
              <w:rPr>
                <w:rFonts w:hint="eastAsia" w:ascii="宋体" w:hAnsi="宋体"/>
                <w:sz w:val="21"/>
                <w:szCs w:val="21"/>
              </w:rPr>
            </w:pPr>
            <w:r>
              <w:rPr>
                <w:rFonts w:hint="eastAsia" w:ascii="宋体" w:hAnsi="宋体"/>
                <w:sz w:val="21"/>
                <w:szCs w:val="21"/>
              </w:rPr>
              <w:t>按照全过程管理的原则开展质量控制，实行“两级检查、一级验收”制度。</w:t>
            </w:r>
          </w:p>
          <w:p>
            <w:pPr>
              <w:autoSpaceDN w:val="0"/>
              <w:spacing w:line="440" w:lineRule="exact"/>
              <w:jc w:val="left"/>
              <w:textAlignment w:val="top"/>
              <w:rPr>
                <w:rFonts w:hint="eastAsia" w:ascii="宋体" w:hAnsi="宋体"/>
                <w:sz w:val="21"/>
                <w:szCs w:val="21"/>
              </w:rPr>
            </w:pPr>
            <w:r>
              <w:rPr>
                <w:rFonts w:hint="eastAsia" w:ascii="宋体" w:hAnsi="宋体"/>
                <w:sz w:val="21"/>
                <w:szCs w:val="21"/>
              </w:rPr>
              <w:t>1.监测作业单位负责监测成果质量的“两级检查”，省级自然资源主管部门负责组织监测成果的验收， 确保监测成果的真实性、准确性、完整性和规范性。</w:t>
            </w:r>
          </w:p>
          <w:p>
            <w:pPr>
              <w:autoSpaceDN w:val="0"/>
              <w:spacing w:line="440" w:lineRule="exact"/>
              <w:jc w:val="left"/>
              <w:textAlignment w:val="top"/>
              <w:rPr>
                <w:rFonts w:hint="eastAsia" w:ascii="宋体" w:hAnsi="宋体"/>
                <w:sz w:val="21"/>
                <w:szCs w:val="21"/>
              </w:rPr>
            </w:pPr>
            <w:r>
              <w:rPr>
                <w:rFonts w:hint="eastAsia" w:ascii="宋体" w:hAnsi="宋体"/>
                <w:sz w:val="21"/>
                <w:szCs w:val="21"/>
              </w:rPr>
              <w:t>2.国家负责质量抽查等工作。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（六）数据库建设</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各级自然资源主管部门按要求完成数据成果汇交，建立城市国土空间监测数据库，并对监测数据进行集成、处理、可视化表达。同时，将数据库纳入自然资源三维立体时空数据库体系，并与国土空间规划“一张图”等管理系统互联互通。</w:t>
            </w:r>
          </w:p>
          <w:p>
            <w:pPr>
              <w:autoSpaceDN w:val="0"/>
              <w:spacing w:line="440" w:lineRule="exact"/>
              <w:jc w:val="left"/>
              <w:textAlignment w:val="top"/>
              <w:rPr>
                <w:rFonts w:hint="eastAsia" w:ascii="宋体" w:hAnsi="宋体"/>
                <w:sz w:val="21"/>
                <w:szCs w:val="21"/>
              </w:rPr>
            </w:pPr>
            <w:r>
              <w:rPr>
                <w:rFonts w:hint="eastAsia" w:ascii="宋体" w:hAnsi="宋体"/>
                <w:sz w:val="21"/>
                <w:szCs w:val="21"/>
              </w:rPr>
              <w:t>（七）监测成果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1.基础成果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包括正射纠正影像成果，地类变化监测成果，专项监测和重点监测成果，以及城市国土空间监测成果等。</w:t>
            </w:r>
          </w:p>
          <w:p>
            <w:pPr>
              <w:autoSpaceDN w:val="0"/>
              <w:spacing w:line="440" w:lineRule="exact"/>
              <w:jc w:val="left"/>
              <w:textAlignment w:val="top"/>
              <w:rPr>
                <w:rFonts w:hint="eastAsia" w:ascii="宋体" w:hAnsi="宋体"/>
                <w:sz w:val="21"/>
                <w:szCs w:val="21"/>
              </w:rPr>
            </w:pPr>
            <w:r>
              <w:rPr>
                <w:rFonts w:hint="eastAsia" w:ascii="宋体" w:hAnsi="宋体"/>
                <w:sz w:val="21"/>
                <w:szCs w:val="21"/>
              </w:rPr>
              <w:t>2.统计成果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基于基础成果进行汇总统计形成的数据成果，包括:以县级行政区域为单元或以专项监测和重点监测范围为单元，耕地、园地、林地、草地、水域、建设用地等范围内各地类变化面积、比例等，以及城市国土空间监测的统计成果。</w:t>
            </w:r>
          </w:p>
          <w:p>
            <w:pPr>
              <w:autoSpaceDN w:val="0"/>
              <w:spacing w:line="440" w:lineRule="exact"/>
              <w:jc w:val="left"/>
              <w:textAlignment w:val="top"/>
              <w:rPr>
                <w:rFonts w:hint="eastAsia" w:ascii="宋体" w:hAnsi="宋体"/>
                <w:sz w:val="21"/>
                <w:szCs w:val="21"/>
              </w:rPr>
            </w:pPr>
            <w:r>
              <w:rPr>
                <w:rFonts w:hint="eastAsia" w:ascii="宋体" w:hAnsi="宋体"/>
                <w:sz w:val="21"/>
                <w:szCs w:val="21"/>
              </w:rPr>
              <w:t>（八）监测成果分析</w:t>
            </w:r>
          </w:p>
          <w:p>
            <w:pPr>
              <w:autoSpaceDN w:val="0"/>
              <w:spacing w:line="440" w:lineRule="exact"/>
              <w:jc w:val="left"/>
              <w:textAlignment w:val="top"/>
              <w:rPr>
                <w:rFonts w:hint="eastAsia" w:ascii="宋体" w:hAnsi="宋体" w:eastAsia="宋体" w:cs="Times New Roman"/>
                <w:kern w:val="2"/>
                <w:sz w:val="21"/>
                <w:szCs w:val="21"/>
                <w:lang w:val="en-US" w:eastAsia="zh-CN" w:bidi="ar-SA"/>
              </w:rPr>
            </w:pPr>
            <w:r>
              <w:rPr>
                <w:rFonts w:hint="eastAsia" w:ascii="宋体" w:hAnsi="宋体"/>
                <w:sz w:val="21"/>
                <w:szCs w:val="21"/>
              </w:rPr>
              <w:t>根据城市国土空间监测成果，各级自然资源主管部门分别进行各自的统计分析，满足不同层级自然资源管理和国土空间治理需求。</w:t>
            </w:r>
          </w:p>
        </w:tc>
        <w:tc>
          <w:tcPr>
            <w:tcW w:w="1101" w:type="dxa"/>
          </w:tcPr>
          <w:p>
            <w:pPr>
              <w:pStyle w:val="51"/>
              <w:widowControl w:val="0"/>
              <w:rPr>
                <w:rFonts w:hint="eastAsia"/>
                <w:vertAlign w:val="baseline"/>
              </w:rPr>
            </w:pPr>
          </w:p>
        </w:tc>
        <w:tc>
          <w:tcPr>
            <w:tcW w:w="2379" w:type="dxa"/>
          </w:tcPr>
          <w:p>
            <w:pPr>
              <w:pStyle w:val="51"/>
              <w:widowControl w:val="0"/>
              <w:rPr>
                <w:rFonts w:hint="eastAsia"/>
                <w:vertAlign w:val="baseline"/>
              </w:rPr>
            </w:pPr>
          </w:p>
        </w:tc>
      </w:tr>
    </w:tbl>
    <w:p>
      <w:pPr>
        <w:rPr>
          <w:rFonts w:hint="eastAsia" w:ascii="宋体" w:hAnsi="宋体" w:cs="宋体"/>
          <w:color w:val="000000"/>
          <w:szCs w:val="21"/>
        </w:rPr>
      </w:pPr>
    </w:p>
    <w:p>
      <w:pPr>
        <w:rPr>
          <w:rFonts w:hint="eastAsia" w:ascii="宋体" w:hAnsi="宋体" w:cs="宋体"/>
          <w:color w:val="000000"/>
          <w:szCs w:val="21"/>
        </w:rPr>
      </w:pPr>
      <w:r>
        <w:rPr>
          <w:rFonts w:hint="eastAsia" w:ascii="宋体" w:hAnsi="宋体" w:cs="宋体"/>
          <w:color w:val="000000"/>
          <w:szCs w:val="21"/>
        </w:rPr>
        <w:t>注：供应商必须如实填写上表。</w:t>
      </w:r>
    </w:p>
    <w:p>
      <w:pPr>
        <w:adjustRightInd w:val="0"/>
        <w:snapToGrid w:val="0"/>
        <w:ind w:right="210" w:rightChars="100" w:firstLine="210" w:firstLineChars="100"/>
        <w:rPr>
          <w:rFonts w:hint="eastAsia" w:ascii="宋体" w:hAnsi="宋体" w:cs="宋体"/>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w:t>
      </w:r>
      <w:r>
        <w:rPr>
          <w:rFonts w:hint="eastAsia" w:ascii="宋体" w:hAnsi="宋体" w:cs="宋体"/>
          <w:sz w:val="24"/>
          <w:lang w:eastAsia="zh-CN"/>
        </w:rPr>
        <w:t>签名或盖章</w:t>
      </w:r>
      <w:r>
        <w:rPr>
          <w:rFonts w:hint="eastAsia" w:ascii="宋体" w:hAnsi="宋体" w:cs="宋体"/>
          <w:sz w:val="24"/>
        </w:rPr>
        <w:t>）：</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2"/>
        <w:rPr>
          <w:rFonts w:hint="eastAsia" w:ascii="宋体" w:hAnsi="宋体" w:cs="宋体"/>
        </w:rPr>
      </w:pPr>
    </w:p>
    <w:p>
      <w:pPr>
        <w:rPr>
          <w:rFonts w:hint="eastAsia"/>
        </w:rPr>
      </w:pPr>
    </w:p>
    <w:p>
      <w:pPr>
        <w:jc w:val="center"/>
        <w:rPr>
          <w:rFonts w:hint="eastAsia" w:ascii="宋体" w:hAnsi="宋体" w:cs="宋体"/>
        </w:rPr>
      </w:pPr>
    </w:p>
    <w:p>
      <w:pPr>
        <w:jc w:val="center"/>
        <w:rPr>
          <w:rFonts w:hint="eastAsia" w:ascii="宋体" w:hAnsi="宋体" w:cs="宋体"/>
        </w:rPr>
      </w:pPr>
    </w:p>
    <w:p>
      <w:pPr>
        <w:rPr>
          <w:rFonts w:hint="eastAsia"/>
        </w:rPr>
      </w:pPr>
      <w:r>
        <w:rPr>
          <w:rFonts w:hint="eastAsia"/>
        </w:rPr>
        <w:br w:type="page"/>
      </w:r>
    </w:p>
    <w:p>
      <w:pPr>
        <w:pStyle w:val="4"/>
        <w:numPr>
          <w:ilvl w:val="0"/>
          <w:numId w:val="15"/>
        </w:numPr>
        <w:spacing w:before="0" w:after="0" w:line="360" w:lineRule="auto"/>
        <w:rPr>
          <w:rFonts w:hint="eastAsia" w:ascii="宋体" w:hAnsi="宋体" w:cs="宋体"/>
          <w:sz w:val="32"/>
          <w:szCs w:val="32"/>
        </w:rPr>
      </w:pPr>
      <w:bookmarkStart w:id="127" w:name="_Toc31901"/>
      <w:bookmarkStart w:id="128" w:name="_Toc24554"/>
      <w:bookmarkStart w:id="129" w:name="_Toc1864"/>
      <w:r>
        <w:rPr>
          <w:rFonts w:hint="eastAsia" w:ascii="宋体" w:hAnsi="宋体" w:cs="宋体"/>
          <w:sz w:val="32"/>
          <w:szCs w:val="32"/>
        </w:rPr>
        <w:t>商务响应表</w:t>
      </w:r>
      <w:bookmarkEnd w:id="127"/>
      <w:bookmarkEnd w:id="128"/>
      <w:bookmarkEnd w:id="129"/>
    </w:p>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2"/>
        <w:rPr>
          <w:rFonts w:hint="eastAsia" w:ascii="宋体" w:hAnsi="宋体" w:cs="宋体"/>
          <w:szCs w:val="21"/>
        </w:rPr>
      </w:pPr>
    </w:p>
    <w:p>
      <w:pPr>
        <w:rPr>
          <w:rFonts w:hint="eastAsia" w:ascii="宋体" w:hAnsi="宋体" w:cs="宋体"/>
          <w:szCs w:val="21"/>
        </w:rPr>
      </w:pPr>
    </w:p>
    <w:p>
      <w:pPr>
        <w:pStyle w:val="2"/>
        <w:rPr>
          <w:rFonts w:hint="eastAsia" w:ascii="宋体" w:hAnsi="宋体" w:cs="宋体"/>
          <w:szCs w:val="21"/>
        </w:rPr>
      </w:pPr>
    </w:p>
    <w:p>
      <w:pPr>
        <w:rPr>
          <w:rFonts w:hint="eastAsia"/>
        </w:rPr>
      </w:pP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09"/>
    <w:bookmarkEnd w:id="110"/>
    <w:bookmarkEnd w:id="111"/>
    <w:bookmarkEnd w:id="112"/>
    <w:bookmarkEnd w:id="113"/>
    <w:bookmarkEnd w:id="114"/>
    <w:bookmarkEnd w:id="115"/>
    <w:p>
      <w:pPr>
        <w:pStyle w:val="4"/>
        <w:numPr>
          <w:ilvl w:val="0"/>
          <w:numId w:val="15"/>
        </w:numPr>
        <w:spacing w:before="0" w:after="0" w:line="360" w:lineRule="auto"/>
        <w:rPr>
          <w:rFonts w:hint="eastAsia" w:ascii="宋体" w:hAnsi="宋体" w:cs="宋体"/>
          <w:sz w:val="32"/>
          <w:szCs w:val="32"/>
        </w:rPr>
      </w:pPr>
      <w:bookmarkStart w:id="130" w:name="_bookmark278"/>
      <w:bookmarkEnd w:id="130"/>
      <w:bookmarkStart w:id="131" w:name="18.4.4_信息采集费用概算明细表"/>
      <w:bookmarkEnd w:id="131"/>
      <w:bookmarkStart w:id="132" w:name="_Toc8927"/>
      <w:bookmarkStart w:id="133" w:name="_Toc6508"/>
      <w:bookmarkStart w:id="134" w:name="_Toc2497"/>
      <w:r>
        <w:rPr>
          <w:rFonts w:hint="eastAsia" w:ascii="宋体" w:hAnsi="宋体" w:cs="宋体"/>
          <w:sz w:val="32"/>
          <w:szCs w:val="32"/>
        </w:rPr>
        <w:t>资格证明材料</w:t>
      </w:r>
      <w:bookmarkEnd w:id="132"/>
      <w:bookmarkEnd w:id="133"/>
      <w:bookmarkEnd w:id="134"/>
    </w:p>
    <w:p>
      <w:pPr>
        <w:numPr>
          <w:ilvl w:val="0"/>
          <w:numId w:val="16"/>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武陟县政府采购供应商资格信用承诺函（详见格式）；</w:t>
      </w:r>
    </w:p>
    <w:p>
      <w:pPr>
        <w:numPr>
          <w:ilvl w:val="0"/>
          <w:numId w:val="16"/>
        </w:numPr>
        <w:spacing w:line="360" w:lineRule="auto"/>
        <w:ind w:firstLine="480" w:firstLineChars="200"/>
        <w:jc w:val="left"/>
        <w:rPr>
          <w:rFonts w:hint="eastAsia" w:ascii="宋体" w:hAnsi="宋体" w:cs="宋体"/>
          <w:color w:val="auto"/>
          <w:sz w:val="24"/>
          <w:szCs w:val="24"/>
          <w:shd w:val="clear" w:fill="FFFF00"/>
          <w:lang w:val="en-US" w:eastAsia="zh-CN"/>
        </w:rPr>
      </w:pPr>
      <w:r>
        <w:rPr>
          <w:rFonts w:hint="eastAsia" w:ascii="宋体" w:hAnsi="宋体" w:cs="宋体"/>
          <w:color w:val="auto"/>
          <w:sz w:val="24"/>
          <w:szCs w:val="24"/>
        </w:rPr>
        <w:t>提供中小企业声明函(详见格式)，</w:t>
      </w:r>
      <w:r>
        <w:rPr>
          <w:rFonts w:hint="eastAsia" w:ascii="宋体" w:hAnsi="宋体" w:cs="宋体"/>
          <w:color w:val="auto"/>
          <w:sz w:val="24"/>
          <w:szCs w:val="24"/>
          <w:lang w:eastAsia="zh-CN"/>
        </w:rPr>
        <w:t>磋商</w:t>
      </w:r>
      <w:r>
        <w:rPr>
          <w:rFonts w:hint="eastAsia" w:ascii="宋体" w:hAnsi="宋体" w:cs="宋体"/>
          <w:color w:val="auto"/>
          <w:sz w:val="24"/>
          <w:szCs w:val="24"/>
        </w:rPr>
        <w:t>小组根据供应商提供的《中小企业声明函》认定该供应商是否属于中小企业，监狱企业和残疾人福利性单位视同小型、微型企业。不属于中小企业、监狱企业或残疾人福利性单位的不得参与本项目</w:t>
      </w:r>
      <w:r>
        <w:rPr>
          <w:rFonts w:hint="eastAsia" w:ascii="宋体" w:hAnsi="宋体" w:cs="宋体"/>
          <w:color w:val="auto"/>
          <w:sz w:val="24"/>
          <w:szCs w:val="24"/>
          <w:lang w:eastAsia="zh-CN"/>
        </w:rPr>
        <w:t>磋商。</w:t>
      </w:r>
    </w:p>
    <w:p>
      <w:pPr>
        <w:numPr>
          <w:ilvl w:val="0"/>
          <w:numId w:val="16"/>
        </w:numPr>
        <w:shd w:val="clear"/>
        <w:spacing w:line="360" w:lineRule="auto"/>
        <w:ind w:firstLine="480" w:firstLineChars="200"/>
        <w:jc w:val="left"/>
        <w:rPr>
          <w:rFonts w:hint="eastAsia"/>
        </w:rPr>
      </w:pPr>
      <w:r>
        <w:rPr>
          <w:rFonts w:hint="eastAsia" w:ascii="宋体" w:hAnsi="宋体" w:cs="宋体"/>
          <w:sz w:val="24"/>
          <w:szCs w:val="24"/>
        </w:rPr>
        <w:t>供应商及其法定代表人、委托代理人均无行贿犯罪记录（提供无行贿犯罪记录承诺书，详见格式）；</w:t>
      </w:r>
    </w:p>
    <w:p>
      <w:pPr>
        <w:numPr>
          <w:ilvl w:val="0"/>
          <w:numId w:val="16"/>
        </w:numPr>
        <w:shd w:val="clear"/>
        <w:spacing w:line="360" w:lineRule="auto"/>
        <w:ind w:firstLine="480" w:firstLineChars="200"/>
        <w:jc w:val="left"/>
        <w:rPr>
          <w:rFonts w:hint="eastAsia" w:ascii="宋体" w:hAnsi="宋体" w:cs="宋体"/>
          <w:sz w:val="24"/>
          <w:szCs w:val="24"/>
        </w:rPr>
      </w:pPr>
      <w:r>
        <w:rPr>
          <w:rFonts w:hint="eastAsia" w:ascii="宋体" w:hAnsi="宋体" w:eastAsia="宋体" w:cs="宋体"/>
          <w:sz w:val="24"/>
          <w:szCs w:val="24"/>
        </w:rPr>
        <w:t>供应商须具备有效的测绘</w:t>
      </w:r>
      <w:r>
        <w:rPr>
          <w:rFonts w:hint="eastAsia" w:ascii="宋体" w:hAnsi="宋体" w:cs="宋体"/>
          <w:sz w:val="24"/>
          <w:szCs w:val="24"/>
          <w:lang w:eastAsia="zh-CN"/>
        </w:rPr>
        <w:t>乙</w:t>
      </w:r>
      <w:r>
        <w:rPr>
          <w:rFonts w:hint="eastAsia" w:ascii="宋体" w:hAnsi="宋体" w:eastAsia="宋体" w:cs="宋体"/>
          <w:sz w:val="24"/>
          <w:szCs w:val="24"/>
        </w:rPr>
        <w:t>级</w:t>
      </w:r>
      <w:r>
        <w:rPr>
          <w:rFonts w:hint="eastAsia" w:ascii="宋体" w:hAnsi="宋体" w:cs="宋体"/>
          <w:sz w:val="24"/>
          <w:szCs w:val="24"/>
          <w:lang w:eastAsia="zh-CN"/>
        </w:rPr>
        <w:t>及以上</w:t>
      </w:r>
      <w:r>
        <w:rPr>
          <w:rFonts w:hint="eastAsia" w:ascii="宋体" w:hAnsi="宋体" w:eastAsia="宋体" w:cs="宋体"/>
          <w:sz w:val="24"/>
          <w:szCs w:val="24"/>
        </w:rPr>
        <w:t>资质；拟派项目负责人应具备国家注册测绘师执业资格证书或测绘专业高级工程师资格，并提供劳动合同及本单位2023年1月以来为其缴纳任意3个月社保证明</w:t>
      </w:r>
      <w:r>
        <w:rPr>
          <w:rFonts w:hint="eastAsia" w:ascii="宋体" w:hAnsi="宋体" w:eastAsia="宋体" w:cs="宋体"/>
          <w:sz w:val="24"/>
          <w:szCs w:val="24"/>
          <w:lang w:eastAsia="zh-CN"/>
        </w:rPr>
        <w:t>；</w:t>
      </w:r>
    </w:p>
    <w:p>
      <w:pPr>
        <w:numPr>
          <w:ilvl w:val="0"/>
          <w:numId w:val="16"/>
        </w:numPr>
        <w:shd w:val="clea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hint="eastAsia" w:ascii="宋体" w:hAnsi="宋体" w:cs="宋体"/>
          <w:sz w:val="24"/>
          <w:szCs w:val="24"/>
        </w:rPr>
      </w:pPr>
    </w:p>
    <w:p>
      <w:pPr>
        <w:pStyle w:val="52"/>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2"/>
        <w:rPr>
          <w:rFonts w:hint="eastAsia"/>
        </w:rPr>
      </w:pPr>
    </w:p>
    <w:p>
      <w:pPr>
        <w:pStyle w:val="13"/>
        <w:rPr>
          <w:rFonts w:hint="eastAsia" w:ascii="宋体" w:hAnsi="宋体" w:cs="宋体"/>
          <w:b/>
          <w:sz w:val="24"/>
          <w:szCs w:val="24"/>
        </w:rPr>
      </w:pPr>
    </w:p>
    <w:p>
      <w:pPr>
        <w:pStyle w:val="14"/>
        <w:rPr>
          <w:rFonts w:hint="eastAsia" w:ascii="宋体" w:hAnsi="宋体" w:cs="宋体"/>
          <w:b/>
          <w:sz w:val="24"/>
          <w:szCs w:val="24"/>
        </w:rPr>
      </w:pPr>
    </w:p>
    <w:p>
      <w:pPr>
        <w:rPr>
          <w:rFonts w:hint="eastAsia" w:ascii="宋体" w:hAnsi="宋体" w:cs="宋体"/>
          <w:b/>
          <w:sz w:val="24"/>
          <w:szCs w:val="24"/>
        </w:rPr>
      </w:pPr>
    </w:p>
    <w:p>
      <w:pPr>
        <w:pStyle w:val="51"/>
        <w:rPr>
          <w:rFonts w:hint="eastAsia" w:ascii="宋体" w:hAnsi="宋体" w:cs="宋体"/>
          <w:b/>
          <w:sz w:val="24"/>
          <w:szCs w:val="24"/>
        </w:rPr>
      </w:pPr>
    </w:p>
    <w:p>
      <w:pPr>
        <w:rPr>
          <w:rFonts w:hint="eastAsia" w:ascii="宋体" w:hAnsi="宋体" w:cs="宋体"/>
          <w:b/>
          <w:sz w:val="24"/>
          <w:szCs w:val="24"/>
        </w:rPr>
      </w:pPr>
    </w:p>
    <w:p>
      <w:pPr>
        <w:pStyle w:val="51"/>
        <w:rPr>
          <w:rFonts w:hint="eastAsia" w:ascii="宋体" w:hAnsi="宋体" w:cs="宋体"/>
          <w:b/>
          <w:sz w:val="24"/>
          <w:szCs w:val="24"/>
        </w:rPr>
      </w:pPr>
    </w:p>
    <w:p>
      <w:pPr>
        <w:rPr>
          <w:rFonts w:hint="eastAsia" w:ascii="宋体" w:hAnsi="宋体" w:cs="宋体"/>
          <w:b/>
          <w:sz w:val="24"/>
          <w:szCs w:val="24"/>
        </w:rPr>
      </w:pPr>
    </w:p>
    <w:p>
      <w:pPr>
        <w:pStyle w:val="51"/>
        <w:rPr>
          <w:rFonts w:hint="eastAsia" w:ascii="宋体" w:hAnsi="宋体" w:cs="宋体"/>
          <w:b/>
          <w:sz w:val="24"/>
          <w:szCs w:val="24"/>
        </w:rPr>
      </w:pPr>
    </w:p>
    <w:p>
      <w:pPr>
        <w:rPr>
          <w:rFonts w:hint="eastAsia"/>
        </w:rPr>
      </w:pPr>
    </w:p>
    <w:p>
      <w:pPr>
        <w:tabs>
          <w:tab w:val="center" w:pos="4649"/>
        </w:tabs>
        <w:jc w:val="center"/>
        <w:rPr>
          <w:rFonts w:hint="eastAsia"/>
          <w:b/>
          <w:sz w:val="28"/>
        </w:rPr>
      </w:pPr>
      <w:bookmarkStart w:id="135" w:name="_Toc8011"/>
      <w:bookmarkStart w:id="136" w:name="_Toc114940421"/>
      <w:bookmarkStart w:id="137" w:name="_Toc31392"/>
      <w:r>
        <w:rPr>
          <w:rFonts w:hint="eastAsia"/>
          <w:b/>
          <w:sz w:val="28"/>
        </w:rPr>
        <w:t>武陟县政府采购供应商资格信用承诺函</w:t>
      </w:r>
      <w:bookmarkEnd w:id="135"/>
      <w:r>
        <w:rPr>
          <w:rFonts w:hint="eastAsia"/>
          <w:b/>
          <w:sz w:val="28"/>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36"/>
      <w:bookmarkEnd w:id="137"/>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5"/>
        <w:jc w:val="center"/>
        <w:rPr>
          <w:rFonts w:hint="eastAsia" w:ascii="宋体" w:hAnsi="宋体" w:eastAsia="宋体" w:cs="宋体"/>
          <w:sz w:val="28"/>
          <w:szCs w:val="28"/>
        </w:rPr>
      </w:pPr>
    </w:p>
    <w:p>
      <w:pPr>
        <w:pStyle w:val="5"/>
        <w:jc w:val="center"/>
        <w:rPr>
          <w:rFonts w:hint="eastAsia" w:ascii="宋体" w:hAnsi="宋体" w:eastAsia="宋体" w:cs="宋体"/>
          <w:sz w:val="28"/>
          <w:szCs w:val="28"/>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both"/>
        <w:rPr>
          <w:b/>
          <w:bCs/>
          <w:sz w:val="32"/>
          <w:szCs w:val="32"/>
        </w:rPr>
      </w:pPr>
    </w:p>
    <w:p>
      <w:pPr>
        <w:pStyle w:val="34"/>
        <w:spacing w:before="0" w:beforeAutospacing="0" w:after="0" w:afterAutospacing="0"/>
        <w:ind w:right="560"/>
        <w:jc w:val="both"/>
        <w:rPr>
          <w:b/>
          <w:bCs/>
          <w:sz w:val="32"/>
          <w:szCs w:val="32"/>
        </w:rPr>
      </w:pPr>
    </w:p>
    <w:p>
      <w:pPr>
        <w:widowControl/>
        <w:spacing w:line="580" w:lineRule="atLeast"/>
        <w:jc w:val="center"/>
        <w:rPr>
          <w:rFonts w:hint="eastAsia" w:ascii="宋体" w:hAnsi="宋体" w:cs="宋体"/>
          <w:b/>
          <w:bCs/>
          <w:sz w:val="32"/>
          <w:szCs w:val="32"/>
        </w:rPr>
      </w:pPr>
      <w:r>
        <w:rPr>
          <w:rFonts w:hint="eastAsia" w:ascii="宋体" w:hAnsi="宋体" w:cs="宋体"/>
          <w:b/>
          <w:bCs/>
          <w:sz w:val="32"/>
          <w:szCs w:val="32"/>
        </w:rPr>
        <w:t>中小企业声明函（工程、服务）</w:t>
      </w:r>
    </w:p>
    <w:p>
      <w:pPr>
        <w:widowControl/>
        <w:spacing w:line="580" w:lineRule="atLeast"/>
        <w:ind w:firstLine="420" w:firstLineChars="200"/>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580" w:lineRule="atLeast"/>
        <w:ind w:firstLine="420" w:firstLineChars="200"/>
        <w:rPr>
          <w:rFonts w:hint="eastAsia" w:ascii="宋体" w:hAnsi="宋体" w:cs="宋体"/>
        </w:rPr>
      </w:pPr>
      <w:r>
        <w:rPr>
          <w:rFonts w:hint="eastAsia" w:ascii="宋体" w:hAnsi="宋体" w:cs="宋体"/>
          <w:u w:val="single"/>
          <w:lang w:eastAsia="zh-CN"/>
        </w:rPr>
        <w:t>武陟县自然资源局2023年武陟县城市国土空间监测项目</w:t>
      </w:r>
      <w:r>
        <w:rPr>
          <w:rFonts w:hint="eastAsia" w:ascii="宋体" w:hAnsi="宋体" w:cs="宋体"/>
        </w:rPr>
        <w:t>，属于</w:t>
      </w:r>
      <w:r>
        <w:rPr>
          <w:rFonts w:hint="eastAsia" w:ascii="宋体" w:hAnsi="宋体" w:cs="宋体"/>
          <w:u w:val="single"/>
          <w:lang w:eastAsia="zh-CN"/>
        </w:rPr>
        <w:t>其它未列明行业</w:t>
      </w:r>
      <w:r>
        <w:rPr>
          <w:rFonts w:hint="eastAsia" w:ascii="宋体" w:hAnsi="宋体" w:cs="宋体"/>
        </w:rPr>
        <w:t>；承建（承接）企业为</w:t>
      </w:r>
      <w:r>
        <w:rPr>
          <w:rFonts w:hint="eastAsia" w:ascii="宋体" w:hAnsi="宋体" w:cs="宋体"/>
          <w:u w:val="single"/>
        </w:rPr>
        <w:t>（企业名称）</w:t>
      </w:r>
      <w:r>
        <w:rPr>
          <w:rFonts w:hint="eastAsia" w:ascii="宋体" w:hAnsi="宋体" w:cs="宋体"/>
        </w:rPr>
        <w:t>， 从业人员＿人，营业收入为＿万元，资产总额为＿万元， 属于</w:t>
      </w:r>
      <w:r>
        <w:rPr>
          <w:rFonts w:hint="eastAsia" w:ascii="宋体" w:hAnsi="宋体" w:cs="宋体"/>
          <w:u w:val="single"/>
        </w:rPr>
        <w:t>（中型企业、小型企业、微型企业）</w:t>
      </w:r>
      <w:r>
        <w:rPr>
          <w:rFonts w:hint="eastAsia" w:ascii="宋体" w:hAnsi="宋体" w:cs="宋体"/>
        </w:rPr>
        <w:t>；</w:t>
      </w:r>
    </w:p>
    <w:p>
      <w:pPr>
        <w:widowControl/>
        <w:spacing w:line="580" w:lineRule="atLeast"/>
        <w:ind w:firstLine="420" w:firstLineChars="200"/>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widowControl/>
        <w:spacing w:line="580" w:lineRule="atLeast"/>
        <w:ind w:firstLine="420" w:firstLineChars="200"/>
        <w:rPr>
          <w:rFonts w:hint="eastAsia" w:ascii="宋体" w:hAnsi="宋体" w:cs="宋体"/>
        </w:rPr>
      </w:pPr>
      <w:r>
        <w:rPr>
          <w:rFonts w:hint="eastAsia" w:ascii="宋体" w:hAnsi="宋体" w:cs="宋体"/>
        </w:rPr>
        <w:t>本企业对上述声明内容的真实性负责。如有虚假，将依法承担相应责任。</w:t>
      </w:r>
    </w:p>
    <w:p>
      <w:pPr>
        <w:widowControl/>
        <w:spacing w:line="580" w:lineRule="atLeast"/>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pPr>
        <w:pStyle w:val="2"/>
        <w:ind w:firstLine="4410" w:firstLineChars="2100"/>
        <w:rPr>
          <w:rFonts w:hint="eastAsia" w:eastAsia="宋体"/>
          <w:lang w:eastAsia="zh-CN"/>
        </w:rPr>
      </w:pPr>
      <w:r>
        <w:rPr>
          <w:rFonts w:hint="eastAsia" w:ascii="宋体" w:hAnsi="宋体" w:cs="宋体"/>
          <w:lang w:eastAsia="zh-CN"/>
        </w:rPr>
        <w:t>日期：</w:t>
      </w: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pPr>
        <w:rPr>
          <w:rFonts w:hint="eastAsia"/>
        </w:rPr>
      </w:pPr>
    </w:p>
    <w:p>
      <w:pPr>
        <w:pStyle w:val="34"/>
        <w:spacing w:before="0" w:beforeAutospacing="0" w:after="0" w:afterAutospacing="0"/>
        <w:ind w:right="560"/>
        <w:jc w:val="both"/>
        <w:rPr>
          <w:b/>
          <w:bCs/>
          <w:sz w:val="32"/>
          <w:szCs w:val="32"/>
        </w:rPr>
      </w:pPr>
    </w:p>
    <w:bookmarkEnd w:id="116"/>
    <w:bookmarkEnd w:id="117"/>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38" w:name="_Toc487805932"/>
      <w:bookmarkStart w:id="139" w:name="_Toc406663316"/>
      <w:bookmarkStart w:id="140" w:name="_Toc477423256"/>
      <w:bookmarkStart w:id="141" w:name="_Toc490161471"/>
      <w:bookmarkStart w:id="142" w:name="_Toc428525390"/>
      <w:bookmarkStart w:id="143" w:name="_Toc5506"/>
      <w:bookmarkStart w:id="144" w:name="_Toc428454062"/>
      <w:bookmarkStart w:id="145" w:name="_Toc15846"/>
      <w:bookmarkStart w:id="146" w:name="_Toc23619"/>
      <w:bookmarkStart w:id="147" w:name="_Toc408816356"/>
      <w:bookmarkStart w:id="148" w:name="_Toc364490446"/>
      <w:bookmarkStart w:id="149" w:name="_Toc25878"/>
      <w:bookmarkStart w:id="150" w:name="_Toc374512433"/>
      <w:bookmarkStart w:id="151" w:name="_Toc214329904"/>
      <w:bookmarkStart w:id="152" w:name="_Toc373230045"/>
      <w:r>
        <w:rPr>
          <w:rFonts w:hint="eastAsia"/>
          <w:b/>
          <w:sz w:val="28"/>
        </w:rPr>
        <w:t xml:space="preserve"> </w:t>
      </w:r>
    </w:p>
    <w:p>
      <w:pPr>
        <w:pStyle w:val="4"/>
        <w:numPr>
          <w:ilvl w:val="0"/>
          <w:numId w:val="15"/>
        </w:numPr>
        <w:spacing w:before="0" w:after="0" w:line="360" w:lineRule="auto"/>
        <w:rPr>
          <w:rFonts w:hint="eastAsia" w:ascii="宋体" w:hAnsi="宋体" w:cs="宋体"/>
          <w:sz w:val="32"/>
          <w:szCs w:val="32"/>
        </w:rPr>
      </w:pPr>
      <w:bookmarkStart w:id="153" w:name="_Toc20773"/>
      <w:r>
        <w:rPr>
          <w:rFonts w:hint="eastAsia" w:ascii="宋体" w:hAnsi="宋体" w:cs="宋体"/>
          <w:sz w:val="32"/>
          <w:szCs w:val="32"/>
        </w:rPr>
        <w:t>法定代表人身份证明或授权委托书</w:t>
      </w:r>
      <w:bookmarkEnd w:id="138"/>
      <w:bookmarkEnd w:id="139"/>
      <w:bookmarkEnd w:id="140"/>
      <w:bookmarkEnd w:id="141"/>
      <w:bookmarkEnd w:id="142"/>
      <w:bookmarkEnd w:id="143"/>
      <w:bookmarkEnd w:id="144"/>
      <w:bookmarkEnd w:id="145"/>
      <w:bookmarkEnd w:id="146"/>
      <w:bookmarkEnd w:id="153"/>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57"/>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54" w:name="_Toc477423257"/>
      <w:bookmarkStart w:id="155" w:name="_Toc15453"/>
      <w:bookmarkStart w:id="156" w:name="_Toc487805933"/>
      <w:bookmarkStart w:id="157" w:name="_Toc476045985"/>
      <w:bookmarkStart w:id="158" w:name="_Toc490161472"/>
      <w:bookmarkStart w:id="159" w:name="_Toc475955191"/>
      <w:bookmarkStart w:id="160" w:name="_Toc428525391"/>
      <w:bookmarkStart w:id="161"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5"/>
        <w:ind w:firstLine="964" w:firstLineChars="400"/>
        <w:rPr>
          <w:rFonts w:hint="eastAsia" w:ascii="宋体" w:hAnsi="宋体" w:cs="宋体"/>
        </w:rPr>
        <w:sectPr>
          <w:headerReference r:id="rId14" w:type="first"/>
          <w:footerReference r:id="rId16" w:type="first"/>
          <w:headerReference r:id="rId13" w:type="default"/>
          <w:footerReference r:id="rId15"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54"/>
      <w:bookmarkEnd w:id="155"/>
      <w:bookmarkEnd w:id="156"/>
      <w:bookmarkEnd w:id="157"/>
      <w:bookmarkEnd w:id="158"/>
      <w:bookmarkEnd w:id="159"/>
      <w:bookmarkStart w:id="162" w:name="_Toc477423259"/>
      <w:bookmarkStart w:id="163" w:name="_Toc490161474"/>
      <w:bookmarkStart w:id="164" w:name="_Toc17258"/>
      <w:bookmarkStart w:id="165" w:name="_Toc487805935"/>
      <w:r>
        <w:rPr>
          <w:rFonts w:hint="eastAsia" w:ascii="宋体" w:hAnsi="宋体" w:cs="宋体"/>
          <w:b/>
        </w:rPr>
        <w:t>此项。</w:t>
      </w:r>
    </w:p>
    <w:p>
      <w:pPr>
        <w:pStyle w:val="4"/>
        <w:numPr>
          <w:ilvl w:val="0"/>
          <w:numId w:val="15"/>
        </w:numPr>
        <w:spacing w:before="0" w:after="0" w:line="360" w:lineRule="auto"/>
        <w:rPr>
          <w:rFonts w:hint="eastAsia" w:ascii="宋体" w:hAnsi="宋体" w:cs="宋体"/>
          <w:sz w:val="32"/>
          <w:szCs w:val="32"/>
        </w:rPr>
      </w:pPr>
      <w:bookmarkStart w:id="166" w:name="_Toc12027"/>
      <w:bookmarkStart w:id="167" w:name="_Toc5526"/>
      <w:bookmarkStart w:id="168" w:name="_Toc529865893"/>
      <w:bookmarkStart w:id="169" w:name="_Toc2"/>
      <w:r>
        <w:rPr>
          <w:rFonts w:hint="eastAsia" w:ascii="宋体" w:hAnsi="宋体" w:cs="宋体"/>
          <w:sz w:val="32"/>
          <w:szCs w:val="32"/>
        </w:rPr>
        <w:t>残疾人福利性单位声明函</w:t>
      </w:r>
      <w:bookmarkEnd w:id="166"/>
      <w:bookmarkEnd w:id="167"/>
      <w:bookmarkEnd w:id="168"/>
      <w:bookmarkEnd w:id="169"/>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
        <w:rPr>
          <w:rFonts w:hint="eastAsia"/>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2"/>
        <w:rPr>
          <w:rFonts w:hint="eastAsia" w:cs="宋体"/>
        </w:rPr>
      </w:pPr>
    </w:p>
    <w:bookmarkEnd w:id="162"/>
    <w:bookmarkEnd w:id="163"/>
    <w:bookmarkEnd w:id="164"/>
    <w:bookmarkEnd w:id="165"/>
    <w:p>
      <w:pPr>
        <w:pStyle w:val="4"/>
        <w:numPr>
          <w:ilvl w:val="0"/>
          <w:numId w:val="15"/>
        </w:numPr>
        <w:spacing w:before="0" w:after="0" w:line="360" w:lineRule="auto"/>
        <w:rPr>
          <w:rFonts w:hint="eastAsia" w:ascii="宋体" w:hAnsi="宋体" w:cs="宋体"/>
          <w:sz w:val="32"/>
          <w:szCs w:val="32"/>
        </w:rPr>
      </w:pPr>
      <w:bookmarkStart w:id="170" w:name="_Toc477423260"/>
      <w:bookmarkStart w:id="171" w:name="_Toc19062"/>
      <w:bookmarkStart w:id="172" w:name="_Toc490161475"/>
      <w:bookmarkStart w:id="173" w:name="_Toc487805936"/>
      <w:bookmarkStart w:id="174" w:name="_Toc20485"/>
      <w:bookmarkStart w:id="175" w:name="_Toc1654"/>
      <w:bookmarkStart w:id="176" w:name="_Toc7213"/>
      <w:r>
        <w:rPr>
          <w:rFonts w:hint="eastAsia" w:ascii="宋体" w:hAnsi="宋体" w:cs="宋体"/>
          <w:sz w:val="32"/>
          <w:szCs w:val="32"/>
        </w:rPr>
        <w:t>反商业贿赂承诺书</w:t>
      </w:r>
      <w:bookmarkEnd w:id="170"/>
      <w:bookmarkEnd w:id="171"/>
      <w:bookmarkEnd w:id="172"/>
      <w:bookmarkEnd w:id="173"/>
      <w:bookmarkEnd w:id="174"/>
      <w:bookmarkEnd w:id="175"/>
      <w:bookmarkEnd w:id="176"/>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47"/>
    <w:bookmarkEnd w:id="148"/>
    <w:bookmarkEnd w:id="149"/>
    <w:bookmarkEnd w:id="150"/>
    <w:bookmarkEnd w:id="151"/>
    <w:bookmarkEnd w:id="152"/>
    <w:bookmarkEnd w:id="160"/>
    <w:bookmarkEnd w:id="161"/>
    <w:p>
      <w:pPr>
        <w:spacing w:line="460" w:lineRule="exact"/>
        <w:rPr>
          <w:rFonts w:hint="eastAsia" w:ascii="宋体" w:hAnsi="宋体" w:cs="宋体"/>
          <w:sz w:val="24"/>
          <w:szCs w:val="24"/>
        </w:rPr>
      </w:pPr>
      <w:bookmarkStart w:id="177" w:name="_Toc19579"/>
      <w:bookmarkStart w:id="178" w:name="_Toc364962592"/>
      <w:bookmarkStart w:id="179" w:name="_Toc475955200"/>
      <w:bookmarkStart w:id="180" w:name="_Toc476045994"/>
      <w:bookmarkStart w:id="181" w:name="_Toc19463"/>
      <w:bookmarkStart w:id="182" w:name="_Toc18166"/>
      <w:bookmarkStart w:id="183" w:name="_Toc477423265"/>
      <w:bookmarkStart w:id="184" w:name="_Toc450037734"/>
      <w:bookmarkStart w:id="185" w:name="_Toc365712853"/>
      <w:bookmarkStart w:id="186" w:name="_Toc406663323"/>
      <w:bookmarkStart w:id="187" w:name="_Toc490161482"/>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4"/>
        <w:numPr>
          <w:ilvl w:val="0"/>
          <w:numId w:val="15"/>
        </w:numPr>
        <w:spacing w:before="0" w:after="0" w:line="360" w:lineRule="auto"/>
        <w:rPr>
          <w:rFonts w:hint="eastAsia" w:ascii="宋体" w:hAnsi="宋体" w:cs="宋体"/>
          <w:sz w:val="32"/>
          <w:szCs w:val="32"/>
        </w:rPr>
      </w:pPr>
      <w:bookmarkStart w:id="188" w:name="_Toc18203"/>
      <w:r>
        <w:rPr>
          <w:rFonts w:hint="eastAsia" w:ascii="宋体" w:hAnsi="宋体" w:cs="宋体"/>
          <w:sz w:val="32"/>
          <w:szCs w:val="32"/>
        </w:rPr>
        <w:t>竞争性磋商文件要求的以及供应商认为应该提供的其他材料</w:t>
      </w:r>
      <w:bookmarkEnd w:id="177"/>
      <w:bookmarkEnd w:id="178"/>
      <w:bookmarkEnd w:id="179"/>
      <w:bookmarkEnd w:id="180"/>
      <w:bookmarkEnd w:id="181"/>
      <w:bookmarkEnd w:id="182"/>
      <w:bookmarkEnd w:id="183"/>
      <w:bookmarkEnd w:id="184"/>
      <w:bookmarkEnd w:id="185"/>
      <w:bookmarkEnd w:id="186"/>
      <w:bookmarkEnd w:id="187"/>
      <w:bookmarkEnd w:id="188"/>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4"/>
        <w:numPr>
          <w:ilvl w:val="0"/>
          <w:numId w:val="0"/>
        </w:numPr>
        <w:spacing w:before="0" w:after="0" w:line="360" w:lineRule="auto"/>
        <w:jc w:val="center"/>
        <w:rPr>
          <w:rFonts w:hint="eastAsia" w:ascii="宋体" w:hAnsi="宋体" w:cs="宋体"/>
          <w:sz w:val="32"/>
          <w:szCs w:val="32"/>
        </w:rPr>
      </w:pPr>
      <w:r>
        <w:rPr>
          <w:rFonts w:hint="eastAsia" w:ascii="宋体" w:hAnsi="宋体" w:cs="宋体"/>
          <w:sz w:val="32"/>
          <w:szCs w:val="32"/>
        </w:rPr>
        <w:t>第</w:t>
      </w:r>
      <w:r>
        <w:rPr>
          <w:rFonts w:hint="eastAsia" w:ascii="宋体" w:hAnsi="宋体" w:cs="宋体"/>
          <w:sz w:val="32"/>
          <w:szCs w:val="32"/>
          <w:lang w:eastAsia="zh-CN"/>
        </w:rPr>
        <w:t>二</w:t>
      </w:r>
      <w:r>
        <w:rPr>
          <w:rFonts w:hint="eastAsia" w:ascii="宋体" w:hAnsi="宋体" w:cs="宋体"/>
          <w:sz w:val="32"/>
          <w:szCs w:val="32"/>
        </w:rPr>
        <w:t>轮报价表</w:t>
      </w:r>
    </w:p>
    <w:tbl>
      <w:tblPr>
        <w:tblStyle w:val="37"/>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pStyle w:val="22"/>
        <w:rPr>
          <w:rFonts w:hint="eastAsia" w:cs="宋体"/>
          <w:sz w:val="28"/>
          <w:szCs w:val="24"/>
        </w:rPr>
      </w:pPr>
    </w:p>
    <w:p>
      <w:pPr>
        <w:spacing w:line="440" w:lineRule="exact"/>
        <w:ind w:left="420"/>
        <w:rPr>
          <w:rFonts w:hint="eastAsia"/>
          <w:b/>
          <w:bCs/>
          <w:szCs w:val="21"/>
        </w:rPr>
      </w:pPr>
      <w:r>
        <w:rPr>
          <w:rFonts w:hint="eastAsia"/>
          <w:b/>
          <w:bCs/>
          <w:szCs w:val="21"/>
        </w:rPr>
        <w:t>注：1.本表不能装在响应文件内，应单独制作并在二次报价时作为附件（PDF格式）上传。磋商小组对已通过资格性、符合性审查的供应商发起二轮（最后报价）邀请后，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 xml:space="preserve">。  </w:t>
      </w:r>
    </w:p>
    <w:p>
      <w:pPr>
        <w:spacing w:line="440" w:lineRule="exact"/>
        <w:ind w:left="420" w:firstLine="420" w:firstLineChars="200"/>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pPr>
        <w:spacing w:line="440" w:lineRule="exact"/>
        <w:ind w:firstLine="420" w:firstLineChars="200"/>
        <w:rPr>
          <w:rFonts w:hint="eastAsia" w:ascii="宋体" w:hAnsi="宋体" w:cs="宋体"/>
          <w:b/>
          <w:bCs/>
          <w:szCs w:val="21"/>
        </w:rPr>
      </w:pPr>
      <w:r>
        <w:rPr>
          <w:rFonts w:ascii="宋体" w:hAnsi="宋体" w:cs="宋体"/>
          <w:b/>
          <w:bCs/>
          <w:szCs w:val="21"/>
        </w:rPr>
        <w:t>（</w:t>
      </w: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本表总报价和电子投标系统表的总报价不一致的，以本表为准；</w:t>
      </w:r>
    </w:p>
    <w:p>
      <w:pPr>
        <w:spacing w:line="440" w:lineRule="exact"/>
        <w:ind w:firstLine="420" w:firstLineChars="200"/>
        <w:rPr>
          <w:rFonts w:ascii="宋体" w:hAnsi="宋体" w:cs="宋体"/>
          <w:b/>
          <w:bCs/>
          <w:szCs w:val="21"/>
        </w:rPr>
      </w:pPr>
      <w:r>
        <w:rPr>
          <w:rFonts w:hint="eastAsia" w:ascii="宋体" w:hAnsi="宋体" w:cs="宋体"/>
          <w:b/>
          <w:bCs/>
          <w:szCs w:val="21"/>
        </w:rPr>
        <w:t>（2）</w:t>
      </w:r>
      <w:r>
        <w:rPr>
          <w:rFonts w:ascii="宋体" w:hAnsi="宋体" w:cs="宋体"/>
          <w:b/>
          <w:bCs/>
          <w:szCs w:val="21"/>
        </w:rPr>
        <w:t>大写金额和小写金额不一致的，以大写金额为准；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3</w:t>
      </w:r>
      <w:r>
        <w:rPr>
          <w:rFonts w:ascii="宋体" w:hAnsi="宋体" w:cs="宋体"/>
          <w:b/>
          <w:bCs/>
          <w:szCs w:val="21"/>
        </w:rPr>
        <w:t>）单价金额小数点或者百分比有明显错位的，以总价为准；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4</w:t>
      </w:r>
      <w:r>
        <w:rPr>
          <w:rFonts w:ascii="宋体" w:hAnsi="宋体" w:cs="宋体"/>
          <w:b/>
          <w:bCs/>
          <w:szCs w:val="21"/>
        </w:rPr>
        <w:t>）总价金额与按单价汇总金额不一致的，以单价金额计算结果为准。</w:t>
      </w:r>
    </w:p>
    <w:p>
      <w:pPr>
        <w:spacing w:line="440" w:lineRule="exact"/>
        <w:ind w:firstLine="424" w:firstLineChars="202"/>
        <w:rPr>
          <w:rFonts w:hint="eastAsia" w:ascii="宋体" w:hAnsi="宋体" w:cs="宋体"/>
          <w:b/>
          <w:bCs/>
          <w:szCs w:val="21"/>
        </w:rPr>
      </w:pPr>
      <w:r>
        <w:rPr>
          <w:rFonts w:ascii="宋体" w:hAnsi="宋体" w:cs="宋体"/>
          <w:b/>
          <w:bCs/>
          <w:szCs w:val="21"/>
        </w:rPr>
        <w:t>同时出现两种以上不一致的，按照前款规定的顺序修正。</w:t>
      </w:r>
    </w:p>
    <w:sectPr>
      <w:headerReference r:id="rId18" w:type="first"/>
      <w:footerReference r:id="rId20" w:type="first"/>
      <w:headerReference r:id="rId17" w:type="default"/>
      <w:footerReference r:id="rId19"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3"/>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v:fill on="f" focussize="0,0"/>
              <v:stroke on="f"/>
              <v:imagedata o:title=""/>
              <o:lock v:ext="edit" aspectratio="f"/>
              <v:textbox inset="0mm,0mm,0mm,0mm" style="mso-fit-shape-to-text:t;">
                <w:txbxContent>
                  <w:p>
                    <w:pPr>
                      <w:pStyle w:val="23"/>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j97HnUAQAApgMAAA4AAABkcnMvZTJvRG9jLnhtbK1TzY7TMBC+&#10;I/EOlu80aWEhipquFlWLkBAgLTyA69iNJf/J4zbpC8AbcOLCnefqc+zYSbpouexhL86MZ/zNfN9M&#10;1teD0eQoAihnG7pclJQIy12r7L6h37/dvqoogchsy7SzoqEnAfR68/LFuve1WLnO6VYEgiAW6t43&#10;tIvR10UBvBOGwcJ5YTEoXTAsohv2RRtYj+hGF6uyfFv0LrQ+OC4A8HY7BumEGJ4C6KRUXGwdPxhh&#10;44gahGYRKUGnPNBN7lZKweMXKUFEohuKTGM+sQjau3QWmzWr94H5TvGpBfaUFh5xMkxZLHqB2rLI&#10;yCGo/6CM4sGBk3HBnSlGIlkRZLEsH2lz1zEvMheUGvxFdHg+WP75+DUQ1TZ0RYllBgd+/vXz/Pvv&#10;+c8Psixfv0kK9R5qTLzzmBqH927AvZnvAS8T8UEGk75IiWAc9T1d9BVDJDw9qlZVVWKIY2x2EL94&#10;eO4DxA/CGZKMhgYcYNaVHT9BHFPnlFTNululdR6itqRH1Kvq3VV+cQkhurZYJLEYu01WHHbDRG3n&#10;2hMy63ELGmpx6SnRHy2KnBZmNsJs7Gbj4IPad3mjUivgbw4R28ldpgoj7FQYx5d5TquW9uNfP2c9&#10;/F6b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ex5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3">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000001B"/>
    <w:multiLevelType w:val="singleLevel"/>
    <w:tmpl w:val="0000001B"/>
    <w:lvl w:ilvl="0" w:tentative="0">
      <w:start w:val="1"/>
      <w:numFmt w:val="decimal"/>
      <w:suff w:val="nothing"/>
      <w:lvlText w:val="%1."/>
      <w:lvlJc w:val="left"/>
    </w:lvl>
  </w:abstractNum>
  <w:abstractNum w:abstractNumId="9">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512117E"/>
    <w:multiLevelType w:val="singleLevel"/>
    <w:tmpl w:val="2512117E"/>
    <w:lvl w:ilvl="0" w:tentative="0">
      <w:start w:val="1"/>
      <w:numFmt w:val="chineseCounting"/>
      <w:suff w:val="nothing"/>
      <w:lvlText w:val="（%1）"/>
      <w:lvlJc w:val="left"/>
      <w:pPr>
        <w:ind w:left="-420" w:firstLine="420"/>
      </w:pPr>
      <w:rPr>
        <w:rFonts w:hint="eastAsia"/>
      </w:rPr>
    </w:lvl>
  </w:abstractNum>
  <w:abstractNum w:abstractNumId="15">
    <w:nsid w:val="511B12F6"/>
    <w:multiLevelType w:val="singleLevel"/>
    <w:tmpl w:val="511B12F6"/>
    <w:lvl w:ilvl="0" w:tentative="0">
      <w:start w:val="7"/>
      <w:numFmt w:val="chineseCounting"/>
      <w:suff w:val="nothing"/>
      <w:lvlText w:val="%1、"/>
      <w:lvlJc w:val="left"/>
      <w:rPr>
        <w:rFonts w:hint="eastAsia"/>
      </w:rPr>
    </w:lvl>
  </w:abstractNum>
  <w:num w:numId="1">
    <w:abstractNumId w:val="5"/>
  </w:num>
  <w:num w:numId="2">
    <w:abstractNumId w:val="13"/>
  </w:num>
  <w:num w:numId="3">
    <w:abstractNumId w:val="15"/>
  </w:num>
  <w:num w:numId="4">
    <w:abstractNumId w:val="10"/>
  </w:num>
  <w:num w:numId="5">
    <w:abstractNumId w:val="2"/>
  </w:num>
  <w:num w:numId="6">
    <w:abstractNumId w:val="3"/>
  </w:num>
  <w:num w:numId="7">
    <w:abstractNumId w:val="6"/>
  </w:num>
  <w:num w:numId="8">
    <w:abstractNumId w:val="9"/>
  </w:num>
  <w:num w:numId="9">
    <w:abstractNumId w:val="1"/>
  </w:num>
  <w:num w:numId="10">
    <w:abstractNumId w:val="7"/>
  </w:num>
  <w:num w:numId="11">
    <w:abstractNumId w:val="4"/>
  </w:num>
  <w:num w:numId="12">
    <w:abstractNumId w:val="12"/>
  </w:num>
  <w:num w:numId="13">
    <w:abstractNumId w:val="11"/>
  </w:num>
  <w:num w:numId="14">
    <w:abstractNumId w:val="14"/>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NTZlYmY3MGI2MDhjZDMwOTlkMzUxZTIxNTFlYjY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64365F2"/>
    <w:rsid w:val="064E27D6"/>
    <w:rsid w:val="066514D0"/>
    <w:rsid w:val="067329AF"/>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7D7D7B"/>
    <w:rsid w:val="0AB55D93"/>
    <w:rsid w:val="0ABA2D7D"/>
    <w:rsid w:val="0AF52007"/>
    <w:rsid w:val="0AFD0EBC"/>
    <w:rsid w:val="0B0C55A3"/>
    <w:rsid w:val="0B104041"/>
    <w:rsid w:val="0B4A5E65"/>
    <w:rsid w:val="0B6A792F"/>
    <w:rsid w:val="0BB26A70"/>
    <w:rsid w:val="0BB27EF8"/>
    <w:rsid w:val="0BC67500"/>
    <w:rsid w:val="0C195E4B"/>
    <w:rsid w:val="0C2506CA"/>
    <w:rsid w:val="0C6A432F"/>
    <w:rsid w:val="0CE55CFE"/>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F845FF"/>
    <w:rsid w:val="112706F4"/>
    <w:rsid w:val="113263C3"/>
    <w:rsid w:val="115D4462"/>
    <w:rsid w:val="115F08E1"/>
    <w:rsid w:val="117417AC"/>
    <w:rsid w:val="117B4B6D"/>
    <w:rsid w:val="118F65E6"/>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F2599B"/>
    <w:rsid w:val="15F80BFE"/>
    <w:rsid w:val="161F0EEC"/>
    <w:rsid w:val="16420C4F"/>
    <w:rsid w:val="16486627"/>
    <w:rsid w:val="16502CDA"/>
    <w:rsid w:val="16557669"/>
    <w:rsid w:val="16BA216A"/>
    <w:rsid w:val="16C72E02"/>
    <w:rsid w:val="16E66CA8"/>
    <w:rsid w:val="17033CFE"/>
    <w:rsid w:val="170B4961"/>
    <w:rsid w:val="17714319"/>
    <w:rsid w:val="179901BE"/>
    <w:rsid w:val="17A96653"/>
    <w:rsid w:val="17B46264"/>
    <w:rsid w:val="17F51340"/>
    <w:rsid w:val="18177ED1"/>
    <w:rsid w:val="18673E19"/>
    <w:rsid w:val="18837C5C"/>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A5EA1"/>
    <w:rsid w:val="203C7A5B"/>
    <w:rsid w:val="20602C7A"/>
    <w:rsid w:val="20C148C6"/>
    <w:rsid w:val="20E26732"/>
    <w:rsid w:val="215502DB"/>
    <w:rsid w:val="215C2350"/>
    <w:rsid w:val="21C34257"/>
    <w:rsid w:val="21CB5418"/>
    <w:rsid w:val="21F4496F"/>
    <w:rsid w:val="221950B9"/>
    <w:rsid w:val="222D7E81"/>
    <w:rsid w:val="22433DD5"/>
    <w:rsid w:val="22821F7B"/>
    <w:rsid w:val="22A40E2A"/>
    <w:rsid w:val="22CB4C39"/>
    <w:rsid w:val="22DA1DB7"/>
    <w:rsid w:val="22E55B06"/>
    <w:rsid w:val="22F52960"/>
    <w:rsid w:val="22FA2B18"/>
    <w:rsid w:val="23166361"/>
    <w:rsid w:val="23211167"/>
    <w:rsid w:val="23250B58"/>
    <w:rsid w:val="23616034"/>
    <w:rsid w:val="23647A1C"/>
    <w:rsid w:val="23706277"/>
    <w:rsid w:val="2382348F"/>
    <w:rsid w:val="23B73C18"/>
    <w:rsid w:val="247B58A0"/>
    <w:rsid w:val="24855D52"/>
    <w:rsid w:val="248F6BD1"/>
    <w:rsid w:val="24B108F5"/>
    <w:rsid w:val="24D81875"/>
    <w:rsid w:val="24E24F53"/>
    <w:rsid w:val="24E94533"/>
    <w:rsid w:val="250F386E"/>
    <w:rsid w:val="25356324"/>
    <w:rsid w:val="253B22C4"/>
    <w:rsid w:val="25706CBA"/>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57DD7"/>
    <w:rsid w:val="2CD930DF"/>
    <w:rsid w:val="2D524754"/>
    <w:rsid w:val="2D573CA4"/>
    <w:rsid w:val="2D9E61E0"/>
    <w:rsid w:val="2DE53D06"/>
    <w:rsid w:val="2E0C4DEE"/>
    <w:rsid w:val="2E291D46"/>
    <w:rsid w:val="2EF35FAE"/>
    <w:rsid w:val="2EF7784D"/>
    <w:rsid w:val="2F227824"/>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D43B63"/>
    <w:rsid w:val="34FF3EF1"/>
    <w:rsid w:val="35216B3A"/>
    <w:rsid w:val="3542559A"/>
    <w:rsid w:val="357240D1"/>
    <w:rsid w:val="35E46F67"/>
    <w:rsid w:val="36172D69"/>
    <w:rsid w:val="36252EF1"/>
    <w:rsid w:val="36392432"/>
    <w:rsid w:val="365A2ACD"/>
    <w:rsid w:val="36CA1CEB"/>
    <w:rsid w:val="36F34D9D"/>
    <w:rsid w:val="37215DAE"/>
    <w:rsid w:val="37385662"/>
    <w:rsid w:val="37621F23"/>
    <w:rsid w:val="3768578B"/>
    <w:rsid w:val="376F6900"/>
    <w:rsid w:val="377834F5"/>
    <w:rsid w:val="379B4086"/>
    <w:rsid w:val="37AA6032"/>
    <w:rsid w:val="384E0062"/>
    <w:rsid w:val="386677F1"/>
    <w:rsid w:val="38706B58"/>
    <w:rsid w:val="387A22ED"/>
    <w:rsid w:val="38E63798"/>
    <w:rsid w:val="390E705C"/>
    <w:rsid w:val="39404C40"/>
    <w:rsid w:val="395922F3"/>
    <w:rsid w:val="395A7356"/>
    <w:rsid w:val="3962445C"/>
    <w:rsid w:val="39893797"/>
    <w:rsid w:val="39A1607B"/>
    <w:rsid w:val="3A6B4003"/>
    <w:rsid w:val="3A924EA9"/>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E114C4C"/>
    <w:rsid w:val="3E2D328B"/>
    <w:rsid w:val="3E655A64"/>
    <w:rsid w:val="3E895FE7"/>
    <w:rsid w:val="3E8A4C21"/>
    <w:rsid w:val="3E9958B1"/>
    <w:rsid w:val="3EC82FB3"/>
    <w:rsid w:val="3EE045C9"/>
    <w:rsid w:val="3EE719AC"/>
    <w:rsid w:val="3EEA2F2A"/>
    <w:rsid w:val="3F406FEE"/>
    <w:rsid w:val="3F6833D1"/>
    <w:rsid w:val="3F941354"/>
    <w:rsid w:val="3FAE708C"/>
    <w:rsid w:val="3FDA1030"/>
    <w:rsid w:val="3FF12C3A"/>
    <w:rsid w:val="400A54C8"/>
    <w:rsid w:val="40386761"/>
    <w:rsid w:val="409725E8"/>
    <w:rsid w:val="40A215BE"/>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E1A96"/>
    <w:rsid w:val="43664B49"/>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5D6648"/>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BE748D"/>
    <w:rsid w:val="49FB621D"/>
    <w:rsid w:val="49FD4352"/>
    <w:rsid w:val="4A011398"/>
    <w:rsid w:val="4A05080D"/>
    <w:rsid w:val="4A091ED0"/>
    <w:rsid w:val="4A7D10F6"/>
    <w:rsid w:val="4ABF170F"/>
    <w:rsid w:val="4B2470F9"/>
    <w:rsid w:val="4B52754A"/>
    <w:rsid w:val="4B6F5345"/>
    <w:rsid w:val="4B8F7BC6"/>
    <w:rsid w:val="4BBA394F"/>
    <w:rsid w:val="4BFD6A13"/>
    <w:rsid w:val="4C2757BD"/>
    <w:rsid w:val="4C3C07ED"/>
    <w:rsid w:val="4C7B4A9E"/>
    <w:rsid w:val="4CC7434F"/>
    <w:rsid w:val="4CD945DE"/>
    <w:rsid w:val="4D03307E"/>
    <w:rsid w:val="4D91713A"/>
    <w:rsid w:val="4DC03D8F"/>
    <w:rsid w:val="4DD21759"/>
    <w:rsid w:val="4DF72F6D"/>
    <w:rsid w:val="4E0A47AA"/>
    <w:rsid w:val="4E2F0959"/>
    <w:rsid w:val="4E847CBD"/>
    <w:rsid w:val="4E8E2ED5"/>
    <w:rsid w:val="4ED70257"/>
    <w:rsid w:val="4EF243B2"/>
    <w:rsid w:val="4F873249"/>
    <w:rsid w:val="4FEB08B0"/>
    <w:rsid w:val="500951DA"/>
    <w:rsid w:val="501A1D50"/>
    <w:rsid w:val="502D711A"/>
    <w:rsid w:val="503075AA"/>
    <w:rsid w:val="50410780"/>
    <w:rsid w:val="504D156B"/>
    <w:rsid w:val="50524154"/>
    <w:rsid w:val="50BE7306"/>
    <w:rsid w:val="510C3762"/>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D43E52"/>
    <w:rsid w:val="5EE45C2E"/>
    <w:rsid w:val="5FB3249C"/>
    <w:rsid w:val="5FE11ED3"/>
    <w:rsid w:val="602816AC"/>
    <w:rsid w:val="6079112D"/>
    <w:rsid w:val="608E20E7"/>
    <w:rsid w:val="60942A5D"/>
    <w:rsid w:val="609B1E7E"/>
    <w:rsid w:val="60B46A9C"/>
    <w:rsid w:val="615D7134"/>
    <w:rsid w:val="6189617B"/>
    <w:rsid w:val="619244A7"/>
    <w:rsid w:val="61E6537B"/>
    <w:rsid w:val="62632F8F"/>
    <w:rsid w:val="629D6E17"/>
    <w:rsid w:val="62D96C8E"/>
    <w:rsid w:val="634174F0"/>
    <w:rsid w:val="6371143E"/>
    <w:rsid w:val="6396158E"/>
    <w:rsid w:val="6397045F"/>
    <w:rsid w:val="63B76FCF"/>
    <w:rsid w:val="63BF5E84"/>
    <w:rsid w:val="63C870C0"/>
    <w:rsid w:val="63CB2219"/>
    <w:rsid w:val="63F5294F"/>
    <w:rsid w:val="64774C22"/>
    <w:rsid w:val="64B83AA0"/>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796E11"/>
    <w:rsid w:val="69A73B89"/>
    <w:rsid w:val="6A181E8D"/>
    <w:rsid w:val="6A325601"/>
    <w:rsid w:val="6A3B177D"/>
    <w:rsid w:val="6A3B3D8A"/>
    <w:rsid w:val="6A5657ED"/>
    <w:rsid w:val="6A616079"/>
    <w:rsid w:val="6A617C95"/>
    <w:rsid w:val="6A753740"/>
    <w:rsid w:val="6AB37DC4"/>
    <w:rsid w:val="6B116D78"/>
    <w:rsid w:val="6B20545A"/>
    <w:rsid w:val="6B2111D2"/>
    <w:rsid w:val="6B301415"/>
    <w:rsid w:val="6B3428F7"/>
    <w:rsid w:val="6B620166"/>
    <w:rsid w:val="6B65611A"/>
    <w:rsid w:val="6B7415B6"/>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B4407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E04ECC"/>
    <w:rsid w:val="72313A8F"/>
    <w:rsid w:val="726437BB"/>
    <w:rsid w:val="726A127D"/>
    <w:rsid w:val="728E35F1"/>
    <w:rsid w:val="729B7ABC"/>
    <w:rsid w:val="72B8088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9F723D"/>
    <w:rsid w:val="74A7099A"/>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4E0C98"/>
    <w:rsid w:val="78647DA9"/>
    <w:rsid w:val="7889049B"/>
    <w:rsid w:val="788A4695"/>
    <w:rsid w:val="78B44DDC"/>
    <w:rsid w:val="78ED57C7"/>
    <w:rsid w:val="790F4D60"/>
    <w:rsid w:val="791800B8"/>
    <w:rsid w:val="792F5186"/>
    <w:rsid w:val="7941364C"/>
    <w:rsid w:val="794B2AAD"/>
    <w:rsid w:val="79534C4C"/>
    <w:rsid w:val="7984574E"/>
    <w:rsid w:val="79C8388C"/>
    <w:rsid w:val="79D3028B"/>
    <w:rsid w:val="79E104AA"/>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AB04C7"/>
    <w:rsid w:val="7CAB71AA"/>
    <w:rsid w:val="7CDE5E54"/>
    <w:rsid w:val="7CDF5EAD"/>
    <w:rsid w:val="7D252DA4"/>
    <w:rsid w:val="7D6041D6"/>
    <w:rsid w:val="7D697134"/>
    <w:rsid w:val="7DCC76C3"/>
    <w:rsid w:val="7DFB04BA"/>
    <w:rsid w:val="7E0E1A8A"/>
    <w:rsid w:val="7E300756"/>
    <w:rsid w:val="7E682F48"/>
    <w:rsid w:val="7E6A6EBA"/>
    <w:rsid w:val="7E7A45CB"/>
    <w:rsid w:val="7E845EE8"/>
    <w:rsid w:val="7F0562FB"/>
    <w:rsid w:val="7F0A03FD"/>
    <w:rsid w:val="7F855D7C"/>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5">
    <w:name w:val="heading 2"/>
    <w:basedOn w:val="1"/>
    <w:next w:val="1"/>
    <w:link w:val="59"/>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link w:val="60"/>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7">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39">
    <w:name w:val="Default Paragraph Font"/>
    <w:qFormat/>
    <w:uiPriority w:val="0"/>
    <w:rPr>
      <w:rFonts w:ascii="宋体" w:hAnsi="宋体" w:eastAsia="宋体"/>
      <w:kern w:val="2"/>
      <w:sz w:val="28"/>
      <w:szCs w:val="24"/>
      <w:lang w:val="en-US" w:eastAsia="zh-CN" w:bidi="ar-SA"/>
    </w:rPr>
  </w:style>
  <w:style w:type="table" w:default="1" w:styleId="3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numPr>
        <w:ilvl w:val="0"/>
        <w:numId w:val="0"/>
      </w:numPr>
      <w:spacing w:after="120" w:afterLines="0"/>
    </w:pPr>
  </w:style>
  <w:style w:type="paragraph" w:styleId="3">
    <w:name w:val="Body Text Indent"/>
    <w:basedOn w:val="1"/>
    <w:link w:val="58"/>
    <w:qFormat/>
    <w:uiPriority w:val="0"/>
    <w:rPr>
      <w:kern w:val="0"/>
    </w:rPr>
  </w:style>
  <w:style w:type="paragraph" w:styleId="8">
    <w:name w:val="toc 7"/>
    <w:basedOn w:val="1"/>
    <w:next w:val="1"/>
    <w:qFormat/>
    <w:uiPriority w:val="0"/>
    <w:pPr>
      <w:ind w:left="2520" w:leftChars="1200"/>
    </w:pPr>
  </w:style>
  <w:style w:type="paragraph" w:styleId="9">
    <w:name w:val="Normal Indent"/>
    <w:basedOn w:val="1"/>
    <w:link w:val="61"/>
    <w:qFormat/>
    <w:uiPriority w:val="0"/>
    <w:pPr>
      <w:autoSpaceDE w:val="0"/>
      <w:autoSpaceDN w:val="0"/>
      <w:adjustRightInd w:val="0"/>
      <w:ind w:firstLine="420"/>
      <w:jc w:val="left"/>
    </w:pPr>
    <w:rPr>
      <w:rFonts w:ascii="宋体"/>
      <w:kern w:val="0"/>
      <w:sz w:val="24"/>
    </w:rPr>
  </w:style>
  <w:style w:type="paragraph" w:styleId="10">
    <w:name w:val="Document Map"/>
    <w:basedOn w:val="1"/>
    <w:qFormat/>
    <w:uiPriority w:val="0"/>
    <w:pPr>
      <w:shd w:val="clear" w:color="auto" w:fill="000080"/>
    </w:pPr>
  </w:style>
  <w:style w:type="paragraph" w:styleId="11">
    <w:name w:val="annotation text"/>
    <w:basedOn w:val="1"/>
    <w:qFormat/>
    <w:uiPriority w:val="0"/>
    <w:pPr>
      <w:jc w:val="left"/>
    </w:pPr>
  </w:style>
  <w:style w:type="paragraph" w:styleId="12">
    <w:name w:val="Body Text 3"/>
    <w:basedOn w:val="1"/>
    <w:qFormat/>
    <w:uiPriority w:val="0"/>
    <w:rPr>
      <w:rFonts w:eastAsia="楷体_GB2312"/>
      <w:sz w:val="28"/>
    </w:rPr>
  </w:style>
  <w:style w:type="paragraph" w:styleId="13">
    <w:name w:val="Body Text"/>
    <w:basedOn w:val="1"/>
    <w:next w:val="14"/>
    <w:qFormat/>
    <w:uiPriority w:val="0"/>
    <w:pPr>
      <w:spacing w:after="120" w:afterLines="0"/>
    </w:pPr>
  </w:style>
  <w:style w:type="paragraph" w:styleId="14">
    <w:name w:val="Body Text First Indent"/>
    <w:basedOn w:val="13"/>
    <w:next w:val="1"/>
    <w:qFormat/>
    <w:uiPriority w:val="0"/>
  </w:style>
  <w:style w:type="paragraph" w:styleId="15">
    <w:name w:val="Block Text"/>
    <w:basedOn w:val="1"/>
    <w:unhideWhenUsed/>
    <w:qFormat/>
    <w:uiPriority w:val="99"/>
    <w:pPr>
      <w:spacing w:after="120"/>
      <w:ind w:left="1440" w:leftChars="700" w:right="1440" w:rightChars="700"/>
    </w:pPr>
  </w:style>
  <w:style w:type="paragraph" w:styleId="16">
    <w:name w:val="toc 5"/>
    <w:basedOn w:val="1"/>
    <w:next w:val="1"/>
    <w:qFormat/>
    <w:uiPriority w:val="0"/>
    <w:pPr>
      <w:ind w:left="1680" w:leftChars="800"/>
    </w:pPr>
  </w:style>
  <w:style w:type="paragraph" w:styleId="17">
    <w:name w:val="toc 3"/>
    <w:basedOn w:val="1"/>
    <w:next w:val="1"/>
    <w:qFormat/>
    <w:uiPriority w:val="0"/>
    <w:pPr>
      <w:ind w:left="840" w:leftChars="400"/>
    </w:pPr>
  </w:style>
  <w:style w:type="paragraph" w:styleId="18">
    <w:name w:val="Plain Text"/>
    <w:basedOn w:val="1"/>
    <w:next w:val="13"/>
    <w:link w:val="62"/>
    <w:qFormat/>
    <w:uiPriority w:val="0"/>
    <w:rPr>
      <w:rFonts w:hAnsi="Courier New" w:eastAsia="幼圆"/>
      <w:kern w:val="0"/>
    </w:r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63"/>
    <w:qFormat/>
    <w:uiPriority w:val="0"/>
    <w:rPr>
      <w:rFonts w:ascii="宋体" w:hAnsi="宋体"/>
      <w:sz w:val="18"/>
      <w:szCs w:val="18"/>
    </w:rPr>
  </w:style>
  <w:style w:type="paragraph" w:styleId="23">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4">
    <w:name w:val="envelope return"/>
    <w:basedOn w:val="1"/>
    <w:qFormat/>
    <w:uiPriority w:val="0"/>
    <w:pPr>
      <w:snapToGrid w:val="0"/>
    </w:pPr>
    <w:rPr>
      <w:rFonts w:ascii="Arial" w:hAnsi="Arial"/>
    </w:rPr>
  </w:style>
  <w:style w:type="paragraph" w:styleId="25">
    <w:name w:val="header"/>
    <w:basedOn w:val="1"/>
    <w:next w:val="23"/>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Body Text 2"/>
    <w:basedOn w:val="1"/>
    <w:qFormat/>
    <w:uiPriority w:val="0"/>
    <w:pPr>
      <w:spacing w:after="120" w:afterLines="0" w:line="480" w:lineRule="auto"/>
    </w:pPr>
  </w:style>
  <w:style w:type="paragraph" w:styleId="33">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5">
    <w:name w:val="index 1"/>
    <w:basedOn w:val="1"/>
    <w:next w:val="1"/>
    <w:qFormat/>
    <w:uiPriority w:val="0"/>
    <w:rPr>
      <w:szCs w:val="20"/>
    </w:rPr>
  </w:style>
  <w:style w:type="paragraph" w:styleId="36">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qFormat/>
    <w:uiPriority w:val="0"/>
    <w:rPr>
      <w:lang w:val="en-US" w:eastAsia="zh-CN" w:bidi="ar-SA"/>
    </w:rPr>
  </w:style>
  <w:style w:type="character" w:styleId="41">
    <w:name w:val="FollowedHyperlink"/>
    <w:qFormat/>
    <w:uiPriority w:val="0"/>
    <w:rPr>
      <w:rFonts w:ascii="宋体" w:hAnsi="宋体" w:eastAsia="宋体"/>
      <w:color w:val="333333"/>
      <w:kern w:val="2"/>
      <w:sz w:val="18"/>
      <w:szCs w:val="18"/>
      <w:u w:val="none"/>
      <w:lang w:val="en-US" w:eastAsia="zh-CN" w:bidi="ar-SA"/>
    </w:rPr>
  </w:style>
  <w:style w:type="character" w:styleId="42">
    <w:name w:val="HTML Definition"/>
    <w:qFormat/>
    <w:uiPriority w:val="0"/>
    <w:rPr>
      <w:lang w:val="en-US" w:eastAsia="zh-CN" w:bidi="ar-SA"/>
    </w:rPr>
  </w:style>
  <w:style w:type="character" w:styleId="43">
    <w:name w:val="HTML Typewriter"/>
    <w:qFormat/>
    <w:uiPriority w:val="0"/>
    <w:rPr>
      <w:rFonts w:hint="default" w:ascii="monospace" w:hAnsi="monospace" w:eastAsia="monospace" w:cs="monospace"/>
      <w:sz w:val="20"/>
      <w:lang w:val="en-US" w:eastAsia="zh-CN" w:bidi="ar-SA"/>
    </w:rPr>
  </w:style>
  <w:style w:type="character" w:styleId="44">
    <w:name w:val="HTML Acronym"/>
    <w:qFormat/>
    <w:uiPriority w:val="0"/>
    <w:rPr>
      <w:lang w:val="en-US" w:eastAsia="zh-CN" w:bidi="ar-SA"/>
    </w:rPr>
  </w:style>
  <w:style w:type="character" w:styleId="45">
    <w:name w:val="HTML Variable"/>
    <w:qFormat/>
    <w:uiPriority w:val="0"/>
    <w:rPr>
      <w:lang w:val="en-US" w:eastAsia="zh-CN" w:bidi="ar-SA"/>
    </w:rPr>
  </w:style>
  <w:style w:type="character" w:styleId="46">
    <w:name w:val="Hyperlink"/>
    <w:qFormat/>
    <w:uiPriority w:val="99"/>
    <w:rPr>
      <w:rFonts w:ascii="宋体" w:hAnsi="宋体" w:eastAsia="宋体"/>
      <w:color w:val="0000FF"/>
      <w:kern w:val="2"/>
      <w:sz w:val="28"/>
      <w:szCs w:val="24"/>
      <w:u w:val="single"/>
      <w:lang w:val="en-US" w:eastAsia="zh-CN" w:bidi="ar-SA"/>
    </w:rPr>
  </w:style>
  <w:style w:type="character" w:styleId="47">
    <w:name w:val="HTML Code"/>
    <w:qFormat/>
    <w:uiPriority w:val="0"/>
    <w:rPr>
      <w:rFonts w:ascii="monospace" w:hAnsi="monospace" w:eastAsia="monospace" w:cs="monospace"/>
      <w:sz w:val="20"/>
      <w:lang w:val="en-US" w:eastAsia="zh-CN" w:bidi="ar-SA"/>
    </w:rPr>
  </w:style>
  <w:style w:type="character" w:styleId="48">
    <w:name w:val="HTML Cite"/>
    <w:qFormat/>
    <w:uiPriority w:val="0"/>
    <w:rPr>
      <w:lang w:val="en-US" w:eastAsia="zh-CN" w:bidi="ar-SA"/>
    </w:rPr>
  </w:style>
  <w:style w:type="character" w:styleId="49">
    <w:name w:val="HTML Keyboard"/>
    <w:qFormat/>
    <w:uiPriority w:val="0"/>
    <w:rPr>
      <w:rFonts w:hint="default" w:ascii="monospace" w:hAnsi="monospace" w:eastAsia="monospace" w:cs="monospace"/>
      <w:sz w:val="20"/>
      <w:lang w:val="en-US" w:eastAsia="zh-CN" w:bidi="ar-SA"/>
    </w:rPr>
  </w:style>
  <w:style w:type="character" w:styleId="50">
    <w:name w:val="HTML Sample"/>
    <w:qFormat/>
    <w:uiPriority w:val="0"/>
    <w:rPr>
      <w:rFonts w:hint="default" w:ascii="monospace" w:hAnsi="monospace" w:eastAsia="monospace" w:cs="monospace"/>
      <w:lang w:val="en-US" w:eastAsia="zh-CN" w:bidi="ar-SA"/>
    </w:rPr>
  </w:style>
  <w:style w:type="paragraph" w:customStyle="1" w:styleId="51">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3">
    <w:name w:val="Char Char10 Char Char Char Char"/>
    <w:basedOn w:val="1"/>
    <w:next w:val="54"/>
    <w:qFormat/>
    <w:uiPriority w:val="0"/>
  </w:style>
  <w:style w:type="paragraph" w:customStyle="1" w:styleId="54">
    <w:name w:val="xl87"/>
    <w:basedOn w:val="1"/>
    <w:next w:val="55"/>
    <w:qFormat/>
    <w:uiPriority w:val="0"/>
    <w:pPr>
      <w:widowControl/>
      <w:shd w:val="clear" w:color="FFFFFF" w:fill="FFFFFF"/>
      <w:spacing w:before="280" w:beforeLines="0" w:after="280" w:afterLines="0"/>
      <w:jc w:val="right"/>
    </w:pPr>
    <w:rPr>
      <w:rFonts w:ascii="宋体"/>
      <w:sz w:val="24"/>
    </w:rPr>
  </w:style>
  <w:style w:type="paragraph" w:customStyle="1" w:styleId="55">
    <w:name w:val="xl72"/>
    <w:basedOn w:val="1"/>
    <w:next w:val="20"/>
    <w:qFormat/>
    <w:uiPriority w:val="0"/>
    <w:pPr>
      <w:widowControl/>
      <w:shd w:val="clear" w:color="FFFFFF" w:fill="FFFFFF"/>
      <w:spacing w:before="280" w:beforeLines="0" w:after="280" w:afterLines="0"/>
      <w:jc w:val="right"/>
    </w:pPr>
    <w:rPr>
      <w:rFonts w:ascii="宋体"/>
      <w:sz w:val="24"/>
    </w:rPr>
  </w:style>
  <w:style w:type="paragraph" w:customStyle="1" w:styleId="56">
    <w:name w:val="表格文字"/>
    <w:basedOn w:val="1"/>
    <w:next w:val="13"/>
    <w:qFormat/>
    <w:uiPriority w:val="0"/>
    <w:pPr>
      <w:adjustRightInd w:val="0"/>
      <w:spacing w:line="420" w:lineRule="atLeast"/>
      <w:jc w:val="left"/>
      <w:textAlignment w:val="baseline"/>
    </w:pPr>
    <w:rPr>
      <w:kern w:val="0"/>
      <w:szCs w:val="20"/>
    </w:rPr>
  </w:style>
  <w:style w:type="paragraph" w:customStyle="1" w:styleId="57">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8">
    <w:name w:val="正文文本缩进 Char"/>
    <w:link w:val="3"/>
    <w:qFormat/>
    <w:uiPriority w:val="0"/>
    <w:rPr>
      <w:sz w:val="21"/>
      <w:lang w:val="en-US" w:eastAsia="zh-CN" w:bidi="ar-SA"/>
    </w:rPr>
  </w:style>
  <w:style w:type="character" w:customStyle="1" w:styleId="59">
    <w:name w:val="标题 2 Char"/>
    <w:link w:val="5"/>
    <w:qFormat/>
    <w:uiPriority w:val="0"/>
    <w:rPr>
      <w:rFonts w:ascii="Arial" w:hAnsi="Arial" w:eastAsia="黑体"/>
      <w:b/>
      <w:bCs/>
      <w:kern w:val="2"/>
      <w:sz w:val="32"/>
      <w:szCs w:val="32"/>
      <w:lang w:val="en-US" w:eastAsia="zh-CN" w:bidi="ar-SA"/>
    </w:rPr>
  </w:style>
  <w:style w:type="character" w:customStyle="1" w:styleId="60">
    <w:name w:val="标题 3 Char"/>
    <w:link w:val="6"/>
    <w:qFormat/>
    <w:uiPriority w:val="0"/>
    <w:rPr>
      <w:rFonts w:ascii="宋体" w:hAnsi="宋体" w:eastAsia="幼圆"/>
      <w:b/>
      <w:bCs/>
      <w:kern w:val="2"/>
      <w:sz w:val="32"/>
      <w:szCs w:val="32"/>
      <w:lang w:val="en-US" w:eastAsia="zh-CN" w:bidi="ar-SA"/>
    </w:rPr>
  </w:style>
  <w:style w:type="character" w:customStyle="1" w:styleId="61">
    <w:name w:val="正文缩进 Char"/>
    <w:link w:val="9"/>
    <w:qFormat/>
    <w:uiPriority w:val="0"/>
    <w:rPr>
      <w:rFonts w:ascii="宋体"/>
      <w:sz w:val="24"/>
    </w:rPr>
  </w:style>
  <w:style w:type="character" w:customStyle="1" w:styleId="62">
    <w:name w:val="纯文本 Char"/>
    <w:link w:val="18"/>
    <w:qFormat/>
    <w:uiPriority w:val="0"/>
    <w:rPr>
      <w:rFonts w:hAnsi="Courier New" w:eastAsia="幼圆"/>
      <w:sz w:val="21"/>
      <w:lang w:val="en-US" w:eastAsia="zh-CN" w:bidi="ar-SA"/>
    </w:rPr>
  </w:style>
  <w:style w:type="character" w:customStyle="1" w:styleId="63">
    <w:name w:val="批注框文本 Char"/>
    <w:link w:val="22"/>
    <w:qFormat/>
    <w:uiPriority w:val="0"/>
    <w:rPr>
      <w:rFonts w:ascii="宋体" w:hAnsi="宋体" w:eastAsia="宋体"/>
      <w:kern w:val="2"/>
      <w:sz w:val="18"/>
      <w:szCs w:val="18"/>
      <w:lang w:val="en-US" w:eastAsia="zh-CN" w:bidi="ar-SA"/>
    </w:rPr>
  </w:style>
  <w:style w:type="character" w:customStyle="1" w:styleId="64">
    <w:name w:val="页眉 Char Char"/>
    <w:qFormat/>
    <w:uiPriority w:val="0"/>
    <w:rPr>
      <w:rFonts w:ascii="宋体" w:hAnsi="宋体" w:eastAsia="宋体"/>
      <w:kern w:val="2"/>
      <w:sz w:val="18"/>
      <w:szCs w:val="18"/>
      <w:lang w:val="en-US" w:eastAsia="zh-CN" w:bidi="ar-SA"/>
    </w:rPr>
  </w:style>
  <w:style w:type="character" w:customStyle="1" w:styleId="65">
    <w:name w:val="页脚 Char Char"/>
    <w:qFormat/>
    <w:uiPriority w:val="0"/>
    <w:rPr>
      <w:rFonts w:ascii="宋体" w:hAnsi="宋体" w:eastAsia="宋体"/>
      <w:kern w:val="2"/>
      <w:sz w:val="18"/>
      <w:szCs w:val="18"/>
      <w:lang w:val="en-US" w:eastAsia="zh-CN" w:bidi="ar-SA"/>
    </w:rPr>
  </w:style>
  <w:style w:type="character" w:customStyle="1" w:styleId="66">
    <w:name w:val="ca-21"/>
    <w:qFormat/>
    <w:uiPriority w:val="0"/>
    <w:rPr>
      <w:rFonts w:hint="eastAsia" w:ascii="仿宋_GB2312" w:eastAsia="仿宋_GB2312"/>
      <w:sz w:val="32"/>
      <w:szCs w:val="32"/>
    </w:rPr>
  </w:style>
  <w:style w:type="character" w:customStyle="1" w:styleId="67">
    <w:name w:val="ca-31"/>
    <w:qFormat/>
    <w:uiPriority w:val="0"/>
    <w:rPr>
      <w:rFonts w:hint="eastAsia" w:ascii="仿宋_GB2312" w:eastAsia="仿宋_GB2312"/>
      <w:b/>
      <w:bCs/>
      <w:spacing w:val="-20"/>
      <w:sz w:val="32"/>
      <w:szCs w:val="32"/>
    </w:rPr>
  </w:style>
  <w:style w:type="character" w:customStyle="1" w:styleId="68">
    <w:name w:val="UserStyle_17"/>
    <w:qFormat/>
    <w:uiPriority w:val="0"/>
    <w:rPr>
      <w:rFonts w:ascii="Times New Roman" w:hAnsi="Times New Roman" w:eastAsia="宋体" w:cs="Times New Roman"/>
      <w:kern w:val="2"/>
      <w:sz w:val="21"/>
      <w:szCs w:val="24"/>
      <w:lang w:val="en-US" w:eastAsia="zh-CN" w:bidi="ar-SA"/>
    </w:rPr>
  </w:style>
  <w:style w:type="character" w:customStyle="1" w:styleId="69">
    <w:name w:val="ca-11"/>
    <w:qFormat/>
    <w:uiPriority w:val="0"/>
    <w:rPr>
      <w:rFonts w:hint="default" w:ascii="Times New Roman" w:hAnsi="Times New Roman" w:cs="Times New Roman"/>
      <w:sz w:val="32"/>
      <w:szCs w:val="32"/>
    </w:rPr>
  </w:style>
  <w:style w:type="character" w:customStyle="1" w:styleId="70">
    <w:name w:val="font11"/>
    <w:qFormat/>
    <w:uiPriority w:val="0"/>
    <w:rPr>
      <w:rFonts w:hint="eastAsia" w:ascii="宋体" w:hAnsi="宋体" w:eastAsia="宋体" w:cs="宋体"/>
      <w:color w:val="000000"/>
      <w:sz w:val="20"/>
      <w:szCs w:val="20"/>
      <w:u w:val="none"/>
    </w:rPr>
  </w:style>
  <w:style w:type="character" w:customStyle="1" w:styleId="71">
    <w:name w:val="Char Char Char"/>
    <w:qFormat/>
    <w:uiPriority w:val="0"/>
    <w:rPr>
      <w:rFonts w:ascii="Arial" w:hAnsi="Arial" w:eastAsia="黑体"/>
      <w:b/>
      <w:bCs/>
      <w:kern w:val="2"/>
      <w:sz w:val="32"/>
      <w:szCs w:val="32"/>
      <w:lang w:val="en-US" w:eastAsia="zh-CN" w:bidi="ar-SA"/>
    </w:rPr>
  </w:style>
  <w:style w:type="character" w:customStyle="1" w:styleId="72">
    <w:name w:val="ca-121"/>
    <w:qFormat/>
    <w:uiPriority w:val="0"/>
    <w:rPr>
      <w:rFonts w:hint="eastAsia" w:ascii="仿宋_GB2312" w:eastAsia="仿宋_GB2312"/>
      <w:color w:val="000000"/>
      <w:sz w:val="21"/>
      <w:szCs w:val="21"/>
    </w:rPr>
  </w:style>
  <w:style w:type="paragraph" w:customStyle="1" w:styleId="73">
    <w:name w:val="样式 正文文字 + 小四 段后: 0 磅 行距: 1.5 倍行距"/>
    <w:basedOn w:val="13"/>
    <w:qFormat/>
    <w:uiPriority w:val="0"/>
    <w:pPr>
      <w:spacing w:after="0" w:afterLines="0" w:line="360" w:lineRule="auto"/>
      <w:ind w:firstLine="480" w:firstLineChars="200"/>
    </w:pPr>
    <w:rPr>
      <w:rFonts w:cs="宋体"/>
      <w:sz w:val="24"/>
      <w:szCs w:val="20"/>
    </w:rPr>
  </w:style>
  <w:style w:type="paragraph" w:customStyle="1" w:styleId="74">
    <w:name w:val="pa-58"/>
    <w:basedOn w:val="1"/>
    <w:qFormat/>
    <w:uiPriority w:val="0"/>
    <w:pPr>
      <w:widowControl/>
      <w:spacing w:line="240" w:lineRule="atLeast"/>
      <w:ind w:firstLine="460"/>
    </w:pPr>
    <w:rPr>
      <w:rFonts w:ascii="宋体" w:hAnsi="宋体" w:cs="宋体"/>
      <w:kern w:val="0"/>
      <w:sz w:val="24"/>
    </w:rPr>
  </w:style>
  <w:style w:type="paragraph" w:customStyle="1" w:styleId="75">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6">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7">
    <w:name w:val="pa-6"/>
    <w:basedOn w:val="1"/>
    <w:qFormat/>
    <w:uiPriority w:val="0"/>
    <w:pPr>
      <w:widowControl/>
      <w:spacing w:line="360" w:lineRule="atLeast"/>
    </w:pPr>
    <w:rPr>
      <w:rFonts w:ascii="宋体" w:hAnsi="宋体" w:cs="宋体"/>
      <w:kern w:val="0"/>
      <w:sz w:val="24"/>
    </w:rPr>
  </w:style>
  <w:style w:type="paragraph" w:customStyle="1" w:styleId="78">
    <w:name w:val="pa-2"/>
    <w:basedOn w:val="1"/>
    <w:qFormat/>
    <w:uiPriority w:val="0"/>
    <w:pPr>
      <w:widowControl/>
      <w:spacing w:line="360" w:lineRule="atLeast"/>
    </w:pPr>
    <w:rPr>
      <w:rFonts w:ascii="宋体" w:hAnsi="宋体" w:cs="宋体"/>
      <w:kern w:val="0"/>
      <w:sz w:val="24"/>
    </w:rPr>
  </w:style>
  <w:style w:type="paragraph" w:customStyle="1" w:styleId="79">
    <w:name w:val="Heading 1"/>
    <w:basedOn w:val="1"/>
    <w:qFormat/>
    <w:uiPriority w:val="0"/>
    <w:pPr>
      <w:outlineLvl w:val="1"/>
    </w:pPr>
    <w:rPr>
      <w:rFonts w:ascii="黑体" w:hAnsi="黑体" w:eastAsia="黑体"/>
      <w:b/>
      <w:bCs/>
      <w:sz w:val="44"/>
      <w:szCs w:val="44"/>
    </w:rPr>
  </w:style>
  <w:style w:type="paragraph" w:customStyle="1" w:styleId="80">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1">
    <w:name w:val="正文（首行缩进一字）"/>
    <w:basedOn w:val="1"/>
    <w:qFormat/>
    <w:uiPriority w:val="0"/>
  </w:style>
  <w:style w:type="paragraph" w:customStyle="1" w:styleId="82">
    <w:name w:val="pa-53"/>
    <w:basedOn w:val="1"/>
    <w:qFormat/>
    <w:uiPriority w:val="0"/>
    <w:pPr>
      <w:widowControl/>
      <w:spacing w:line="240" w:lineRule="atLeast"/>
    </w:pPr>
    <w:rPr>
      <w:rFonts w:ascii="宋体" w:hAnsi="宋体" w:cs="宋体"/>
      <w:kern w:val="0"/>
      <w:sz w:val="24"/>
    </w:rPr>
  </w:style>
  <w:style w:type="paragraph" w:customStyle="1" w:styleId="83">
    <w:name w:val="列出段落1"/>
    <w:basedOn w:val="1"/>
    <w:qFormat/>
    <w:uiPriority w:val="0"/>
    <w:pPr>
      <w:ind w:firstLine="420" w:firstLineChars="200"/>
    </w:pPr>
    <w:rPr>
      <w:rFonts w:ascii="Times New Roman" w:hAnsi="Times New Roman" w:eastAsia="宋体" w:cs="Times New Roman"/>
    </w:rPr>
  </w:style>
  <w:style w:type="paragraph" w:customStyle="1" w:styleId="84">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5">
    <w:name w:val="无间隔1"/>
    <w:basedOn w:val="1"/>
    <w:qFormat/>
    <w:uiPriority w:val="0"/>
    <w:pPr>
      <w:spacing w:line="400" w:lineRule="exact"/>
    </w:pPr>
    <w:rPr>
      <w:rFonts w:eastAsia="宋体"/>
      <w:sz w:val="24"/>
    </w:rPr>
  </w:style>
  <w:style w:type="paragraph" w:customStyle="1" w:styleId="86">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7">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8">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9">
    <w:name w:val="pa-62"/>
    <w:basedOn w:val="1"/>
    <w:qFormat/>
    <w:uiPriority w:val="0"/>
    <w:pPr>
      <w:widowControl/>
      <w:spacing w:line="240" w:lineRule="atLeast"/>
    </w:pPr>
    <w:rPr>
      <w:rFonts w:ascii="宋体" w:hAnsi="宋体" w:cs="宋体"/>
      <w:kern w:val="0"/>
      <w:sz w:val="24"/>
    </w:rPr>
  </w:style>
  <w:style w:type="paragraph" w:customStyle="1" w:styleId="90">
    <w:name w:val="_Style 80"/>
    <w:qFormat/>
    <w:uiPriority w:val="0"/>
    <w:rPr>
      <w:rFonts w:ascii="Times New Roman" w:hAnsi="Times New Roman" w:eastAsia="宋体" w:cs="Times New Roman"/>
      <w:kern w:val="2"/>
      <w:sz w:val="21"/>
      <w:lang w:val="en-US" w:eastAsia="zh-CN" w:bidi="ar-SA"/>
    </w:rPr>
  </w:style>
  <w:style w:type="paragraph" w:customStyle="1" w:styleId="91">
    <w:name w:val="p0"/>
    <w:basedOn w:val="1"/>
    <w:qFormat/>
    <w:uiPriority w:val="0"/>
    <w:pPr>
      <w:widowControl/>
    </w:pPr>
    <w:rPr>
      <w:kern w:val="0"/>
      <w:szCs w:val="21"/>
    </w:rPr>
  </w:style>
  <w:style w:type="paragraph" w:customStyle="1" w:styleId="92">
    <w:name w:val="彩色列表1"/>
    <w:basedOn w:val="1"/>
    <w:qFormat/>
    <w:uiPriority w:val="0"/>
    <w:pPr>
      <w:jc w:val="left"/>
    </w:pPr>
    <w:rPr>
      <w:rFonts w:ascii="Calibri" w:hAnsi="Calibri" w:eastAsia="宋体" w:cs="Times New Roman"/>
      <w:kern w:val="0"/>
      <w:sz w:val="22"/>
      <w:szCs w:val="22"/>
      <w:lang w:eastAsia="en-US"/>
    </w:rPr>
  </w:style>
  <w:style w:type="paragraph" w:customStyle="1" w:styleId="93">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4">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5">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6">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7">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
    <w:name w:val="pa-56"/>
    <w:basedOn w:val="1"/>
    <w:qFormat/>
    <w:uiPriority w:val="0"/>
    <w:pPr>
      <w:widowControl/>
      <w:spacing w:line="240" w:lineRule="atLeast"/>
    </w:pPr>
    <w:rPr>
      <w:rFonts w:ascii="宋体" w:hAnsi="宋体" w:cs="宋体"/>
      <w:kern w:val="0"/>
      <w:sz w:val="24"/>
    </w:rPr>
  </w:style>
  <w:style w:type="paragraph" w:customStyle="1" w:styleId="99">
    <w:name w:val=" Char Char Char"/>
    <w:basedOn w:val="1"/>
    <w:qFormat/>
    <w:uiPriority w:val="0"/>
    <w:rPr>
      <w:rFonts w:ascii="Tahoma" w:hAnsi="Tahoma"/>
      <w:sz w:val="24"/>
      <w:szCs w:val="20"/>
    </w:rPr>
  </w:style>
  <w:style w:type="paragraph" w:customStyle="1" w:styleId="100">
    <w:name w:val="pa-4"/>
    <w:basedOn w:val="1"/>
    <w:qFormat/>
    <w:uiPriority w:val="0"/>
    <w:pPr>
      <w:widowControl/>
      <w:spacing w:line="360" w:lineRule="atLeast"/>
      <w:ind w:firstLine="960"/>
    </w:pPr>
    <w:rPr>
      <w:rFonts w:ascii="宋体" w:hAnsi="宋体" w:cs="宋体"/>
      <w:kern w:val="0"/>
      <w:sz w:val="24"/>
    </w:rPr>
  </w:style>
  <w:style w:type="paragraph" w:customStyle="1" w:styleId="101">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2">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3">
    <w:name w:val="_Style 2"/>
    <w:basedOn w:val="1"/>
    <w:qFormat/>
    <w:uiPriority w:val="0"/>
    <w:pPr>
      <w:ind w:firstLine="420" w:firstLineChars="200"/>
    </w:pPr>
    <w:rPr>
      <w:kern w:val="0"/>
      <w:sz w:val="20"/>
      <w:szCs w:val="24"/>
    </w:rPr>
  </w:style>
  <w:style w:type="paragraph" w:customStyle="1" w:styleId="104">
    <w:name w:val="彩色底纹 - 强调文字颜色 61"/>
    <w:basedOn w:val="4"/>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5">
    <w:name w:val="样式2"/>
    <w:basedOn w:val="5"/>
    <w:qFormat/>
    <w:uiPriority w:val="0"/>
    <w:pPr>
      <w:spacing w:line="413" w:lineRule="auto"/>
      <w:jc w:val="left"/>
    </w:pPr>
    <w:rPr>
      <w:rFonts w:ascii="华文中宋" w:hAnsi="华文中宋" w:eastAsia="宋体"/>
      <w:bCs w:val="0"/>
      <w:color w:val="000000"/>
      <w:szCs w:val="20"/>
    </w:rPr>
  </w:style>
  <w:style w:type="paragraph" w:customStyle="1" w:styleId="106">
    <w:name w:val="pa-57"/>
    <w:basedOn w:val="1"/>
    <w:qFormat/>
    <w:uiPriority w:val="0"/>
    <w:pPr>
      <w:widowControl/>
      <w:spacing w:line="240" w:lineRule="atLeast"/>
      <w:ind w:firstLine="480"/>
    </w:pPr>
    <w:rPr>
      <w:rFonts w:ascii="宋体" w:hAnsi="宋体" w:cs="宋体"/>
      <w:kern w:val="0"/>
      <w:sz w:val="24"/>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styleId="108">
    <w:name w:val="List Paragraph"/>
    <w:basedOn w:val="1"/>
    <w:qFormat/>
    <w:uiPriority w:val="34"/>
    <w:pPr>
      <w:ind w:firstLine="420" w:firstLineChars="200"/>
    </w:pPr>
    <w:rPr>
      <w:rFonts w:ascii="Calibri" w:hAnsi="Calibri"/>
      <w:szCs w:val="22"/>
    </w:rPr>
  </w:style>
  <w:style w:type="paragraph" w:customStyle="1" w:styleId="109">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0">
    <w:name w:val="pa-59"/>
    <w:basedOn w:val="1"/>
    <w:qFormat/>
    <w:uiPriority w:val="0"/>
    <w:pPr>
      <w:widowControl/>
      <w:spacing w:line="240" w:lineRule="atLeast"/>
      <w:ind w:firstLine="640"/>
    </w:pPr>
    <w:rPr>
      <w:rFonts w:ascii="宋体" w:hAnsi="宋体" w:cs="宋体"/>
      <w:kern w:val="0"/>
      <w:sz w:val="24"/>
    </w:rPr>
  </w:style>
  <w:style w:type="paragraph" w:customStyle="1" w:styleId="111">
    <w:name w:val="WPSOffice手动目录 1"/>
    <w:qFormat/>
    <w:uiPriority w:val="0"/>
    <w:rPr>
      <w:rFonts w:ascii="Times New Roman" w:hAnsi="Times New Roman" w:eastAsia="宋体" w:cs="Times New Roman"/>
      <w:lang w:val="en-US" w:eastAsia="zh-CN" w:bidi="ar-SA"/>
    </w:rPr>
  </w:style>
  <w:style w:type="paragraph" w:customStyle="1" w:styleId="112">
    <w:name w:val="Heading 2"/>
    <w:basedOn w:val="1"/>
    <w:qFormat/>
    <w:uiPriority w:val="0"/>
    <w:pPr>
      <w:ind w:left="117"/>
      <w:outlineLvl w:val="2"/>
    </w:pPr>
    <w:rPr>
      <w:rFonts w:ascii="黑体" w:hAnsi="黑体" w:eastAsia="黑体"/>
      <w:b/>
      <w:bCs/>
      <w:sz w:val="32"/>
      <w:szCs w:val="32"/>
    </w:rPr>
  </w:style>
  <w:style w:type="paragraph" w:customStyle="1" w:styleId="113">
    <w:name w:val="List Paragraph1"/>
    <w:basedOn w:val="1"/>
    <w:qFormat/>
    <w:uiPriority w:val="0"/>
  </w:style>
  <w:style w:type="paragraph" w:customStyle="1" w:styleId="114">
    <w:name w:val="Char Char Char Char"/>
    <w:basedOn w:val="1"/>
    <w:qFormat/>
    <w:uiPriority w:val="0"/>
    <w:rPr>
      <w:rFonts w:ascii="Tahoma" w:hAnsi="Tahoma"/>
      <w:sz w:val="24"/>
      <w:szCs w:val="20"/>
    </w:rPr>
  </w:style>
  <w:style w:type="paragraph" w:customStyle="1" w:styleId="115">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6">
    <w:name w:val="pa-7"/>
    <w:basedOn w:val="1"/>
    <w:qFormat/>
    <w:uiPriority w:val="0"/>
    <w:pPr>
      <w:widowControl/>
      <w:spacing w:line="360" w:lineRule="atLeast"/>
      <w:ind w:firstLine="800"/>
    </w:pPr>
    <w:rPr>
      <w:rFonts w:ascii="宋体" w:hAnsi="宋体" w:cs="宋体"/>
      <w:kern w:val="0"/>
      <w:sz w:val="24"/>
    </w:rPr>
  </w:style>
  <w:style w:type="paragraph" w:customStyle="1" w:styleId="117">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8">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9">
    <w:name w:val="正文_0"/>
    <w:qFormat/>
    <w:uiPriority w:val="0"/>
    <w:rPr>
      <w:rFonts w:ascii="Times New Roman" w:hAnsi="Times New Roman" w:eastAsia="宋体" w:cs="Times New Roman"/>
      <w:sz w:val="21"/>
      <w:lang w:val="en-US" w:eastAsia="zh-CN" w:bidi="ar-SA"/>
    </w:rPr>
  </w:style>
  <w:style w:type="paragraph" w:customStyle="1" w:styleId="120">
    <w:name w:val="0"/>
    <w:basedOn w:val="1"/>
    <w:qFormat/>
    <w:uiPriority w:val="0"/>
    <w:pPr>
      <w:widowControl/>
      <w:snapToGrid w:val="0"/>
      <w:spacing w:line="408" w:lineRule="auto"/>
      <w:ind w:left="1"/>
      <w:textAlignment w:val="bottom"/>
    </w:pPr>
    <w:rPr>
      <w:color w:val="000000"/>
      <w:kern w:val="0"/>
      <w:szCs w:val="21"/>
    </w:rPr>
  </w:style>
  <w:style w:type="paragraph" w:customStyle="1" w:styleId="121">
    <w:name w:val="pa-55"/>
    <w:basedOn w:val="1"/>
    <w:qFormat/>
    <w:uiPriority w:val="0"/>
    <w:pPr>
      <w:widowControl/>
      <w:spacing w:line="240" w:lineRule="atLeast"/>
      <w:ind w:firstLine="420"/>
    </w:pPr>
    <w:rPr>
      <w:rFonts w:ascii="宋体" w:hAnsi="宋体" w:cs="宋体"/>
      <w:kern w:val="0"/>
      <w:sz w:val="24"/>
    </w:rPr>
  </w:style>
  <w:style w:type="paragraph" w:customStyle="1" w:styleId="122">
    <w:name w:val="pa-1"/>
    <w:basedOn w:val="1"/>
    <w:qFormat/>
    <w:uiPriority w:val="0"/>
    <w:pPr>
      <w:widowControl/>
      <w:spacing w:line="360" w:lineRule="atLeast"/>
      <w:ind w:firstLine="640"/>
    </w:pPr>
    <w:rPr>
      <w:rFonts w:ascii="宋体" w:hAnsi="宋体" w:cs="宋体"/>
      <w:kern w:val="0"/>
      <w:sz w:val="24"/>
    </w:rPr>
  </w:style>
  <w:style w:type="table" w:customStyle="1" w:styleId="123">
    <w:name w:val="Table Normal"/>
    <w:semiHidden/>
    <w:unhideWhenUsed/>
    <w:qFormat/>
    <w:uiPriority w:val="0"/>
    <w:tblPr>
      <w:tblCellMar>
        <w:top w:w="0" w:type="dxa"/>
        <w:left w:w="0" w:type="dxa"/>
        <w:bottom w:w="0" w:type="dxa"/>
        <w:right w:w="0" w:type="dxa"/>
      </w:tblCellMar>
    </w:tblPr>
  </w:style>
  <w:style w:type="paragraph" w:customStyle="1" w:styleId="124">
    <w:name w:val="Basistekst Batenburg"/>
    <w:basedOn w:val="125"/>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5">
    <w:name w:val="Zsysbasis Batenburg"/>
    <w:next w:val="124"/>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21195</Words>
  <Characters>21707</Characters>
  <Lines>235</Lines>
  <Paragraphs>66</Paragraphs>
  <TotalTime>111</TotalTime>
  <ScaleCrop>false</ScaleCrop>
  <LinksUpToDate>false</LinksUpToDate>
  <CharactersWithSpaces>24255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小刀</cp:lastModifiedBy>
  <cp:lastPrinted>2023-08-03T02:10:00Z</cp:lastPrinted>
  <dcterms:modified xsi:type="dcterms:W3CDTF">2023-10-23T08:23:17Z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A31A4EC6D5A94F71A01C9B3BB1D01E0E_13</vt:lpwstr>
  </property>
</Properties>
</file>