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before="0" w:after="0" w:line="360" w:lineRule="auto"/>
        <w:ind w:leftChars="0"/>
        <w:jc w:val="center"/>
        <w:rPr>
          <w:rFonts w:hint="eastAsia" w:ascii="宋体" w:hAnsi="宋体" w:cs="宋体"/>
        </w:rPr>
      </w:pPr>
      <w:bookmarkStart w:id="8" w:name="_GoBack"/>
      <w:bookmarkEnd w:id="8"/>
      <w:bookmarkStart w:id="0" w:name="_Toc23819"/>
      <w:r>
        <w:rPr>
          <w:rFonts w:hint="eastAsia" w:ascii="宋体" w:hAnsi="宋体" w:cs="宋体"/>
        </w:rPr>
        <w:t>采购需求</w:t>
      </w:r>
      <w:bookmarkEnd w:id="0"/>
    </w:p>
    <w:p>
      <w:pPr>
        <w:widowControl/>
        <w:adjustRightInd w:val="0"/>
        <w:spacing w:line="360" w:lineRule="auto"/>
        <w:rPr>
          <w:rFonts w:ascii="宋体" w:hAnsi="宋体"/>
          <w:b/>
          <w:kern w:val="0"/>
          <w:sz w:val="21"/>
          <w:szCs w:val="21"/>
        </w:rPr>
      </w:pPr>
      <w:bookmarkStart w:id="1" w:name="_Toc20594"/>
      <w:bookmarkStart w:id="2" w:name="_Toc487805927"/>
      <w:bookmarkStart w:id="3" w:name="_Toc11229"/>
      <w:bookmarkStart w:id="4" w:name="_Toc477423251"/>
      <w:bookmarkStart w:id="5" w:name="_Toc374512420"/>
      <w:bookmarkStart w:id="6" w:name="_Toc4426"/>
      <w:bookmarkStart w:id="7" w:name="_Toc373230032"/>
      <w:r>
        <w:rPr>
          <w:rFonts w:hint="eastAsia" w:ascii="宋体" w:hAnsi="宋体"/>
          <w:b/>
          <w:kern w:val="0"/>
          <w:sz w:val="21"/>
          <w:szCs w:val="21"/>
        </w:rPr>
        <w:t>一、</w:t>
      </w:r>
      <w:r>
        <w:rPr>
          <w:rFonts w:ascii="宋体" w:hAnsi="宋体"/>
          <w:b/>
          <w:kern w:val="0"/>
          <w:sz w:val="21"/>
          <w:szCs w:val="21"/>
        </w:rPr>
        <w:t>相关说明</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 xml:space="preserve">二、商务要求： </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合同履行期限：50日历天</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地点：武陟县</w:t>
      </w:r>
    </w:p>
    <w:p>
      <w:pPr>
        <w:numPr>
          <w:ilvl w:val="2"/>
          <w:numId w:val="2"/>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质量标准：符合国家现行相关标准和规范要求，达到合格标准</w:t>
      </w:r>
    </w:p>
    <w:p>
      <w:pPr>
        <w:numPr>
          <w:ilvl w:val="2"/>
          <w:numId w:val="2"/>
        </w:numPr>
        <w:spacing w:line="360" w:lineRule="auto"/>
        <w:ind w:firstLine="420" w:firstLineChars="200"/>
        <w:rPr>
          <w:rFonts w:hint="eastAsia" w:ascii="宋体" w:hAnsi="宋体"/>
          <w:color w:val="auto"/>
          <w:kern w:val="0"/>
          <w:sz w:val="21"/>
          <w:szCs w:val="21"/>
          <w:lang w:bidi="ar"/>
        </w:rPr>
      </w:pPr>
      <w:r>
        <w:rPr>
          <w:rFonts w:hint="eastAsia" w:ascii="宋体" w:hAnsi="宋体"/>
          <w:color w:val="auto"/>
          <w:sz w:val="21"/>
          <w:szCs w:val="21"/>
        </w:rPr>
        <w:t>付款方式：合同签订后 10 个工作日内，甲方向乙方支付合同金额的50% 作为首付款，待完成本项目所有工作内容，并向甲方递交符 合要求的成果文件且甲方评审合格后，甲方向乙方支付剩余50%的合同款。</w:t>
      </w:r>
      <w:r>
        <w:rPr>
          <w:rFonts w:hint="eastAsia" w:ascii="宋体" w:hAnsi="宋体"/>
          <w:color w:val="auto"/>
          <w:kern w:val="0"/>
          <w:sz w:val="21"/>
          <w:szCs w:val="21"/>
          <w:lang w:bidi="ar"/>
        </w:rPr>
        <w:t xml:space="preserve"> </w:t>
      </w:r>
    </w:p>
    <w:p>
      <w:pPr>
        <w:pStyle w:val="2"/>
        <w:rPr>
          <w:rFonts w:hint="eastAsia" w:ascii="宋体" w:hAnsi="宋体"/>
          <w:b/>
          <w:bCs/>
          <w:kern w:val="0"/>
          <w:sz w:val="21"/>
          <w:szCs w:val="21"/>
          <w:lang w:eastAsia="zh-CN" w:bidi="ar"/>
        </w:rPr>
      </w:pPr>
      <w:r>
        <w:rPr>
          <w:rFonts w:hint="eastAsia" w:ascii="宋体" w:hAnsi="宋体"/>
          <w:b/>
          <w:bCs/>
          <w:kern w:val="0"/>
          <w:sz w:val="21"/>
          <w:szCs w:val="21"/>
          <w:lang w:eastAsia="zh-CN" w:bidi="ar"/>
        </w:rPr>
        <w:t>三、其他要求：无</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lang w:eastAsia="zh-CN"/>
        </w:rPr>
        <w:t>四</w:t>
      </w:r>
      <w:r>
        <w:rPr>
          <w:rFonts w:hint="eastAsia" w:ascii="宋体" w:hAnsi="宋体"/>
          <w:b/>
          <w:kern w:val="0"/>
          <w:sz w:val="21"/>
          <w:szCs w:val="21"/>
        </w:rPr>
        <w:t>、采购内容及技术要求</w:t>
      </w:r>
    </w:p>
    <w:bookmarkEnd w:id="1"/>
    <w:bookmarkEnd w:id="2"/>
    <w:bookmarkEnd w:id="3"/>
    <w:bookmarkEnd w:id="4"/>
    <w:bookmarkEnd w:id="5"/>
    <w:bookmarkEnd w:id="6"/>
    <w:bookmarkEnd w:id="7"/>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数学基础</w:t>
      </w:r>
    </w:p>
    <w:p>
      <w:pPr>
        <w:pStyle w:val="7"/>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平面坐标系</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大地基准：2000 国家大地坐标系；</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投影方式：高斯-克吕格投影；</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分带方式：按1:10000比例尺标准分幅的正射影像宜采用3度分带，按1:50000比例尺标准分幅的正射影像、分景正射影像宜采用6度分带。利用已有正射影像成果的，分带方式不需调整。</w:t>
      </w:r>
    </w:p>
    <w:p>
      <w:pPr>
        <w:pStyle w:val="7"/>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高程基准</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1985国家高程基</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监测对象</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监测对象包括湿地、耕地、园地、林地、草地、商业服务业用地、工矿用地、住宅用地、公共管理与公共服务用地、特殊用地、交通运输用地、水域及水利设施用地、其他土地、其他等14个一级类。</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监测范围</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监测范围根据需要分为全域范围和城区范围两类。全域范围指城市行政区域为监测范围。城区监测范围以按照《城区范围确定规程》已划定的城区范围确定</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工作内容及要求</w:t>
      </w:r>
    </w:p>
    <w:p>
      <w:pPr>
        <w:pStyle w:val="7"/>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地类变化监测</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利用自然资源部下发的地类变化图斑，在上半年地类变化监测和下半年国土利用全覆盖遥感监测的基础上，统一标准，加密监测频次。按照变更调查相关要求进行举证，持续做好国土变更调查日常变更工作</w:t>
      </w:r>
    </w:p>
    <w:p>
      <w:pPr>
        <w:pStyle w:val="7"/>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监测和重点监测</w:t>
      </w:r>
    </w:p>
    <w:p>
      <w:pPr>
        <w:pStyle w:val="7"/>
        <w:keepNext w:val="0"/>
        <w:keepLines w:val="0"/>
        <w:pageBreakBefore w:val="0"/>
        <w:kinsoku/>
        <w:wordWrap/>
        <w:overflowPunct/>
        <w:topLinePunct w:val="0"/>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按照自然资源部要求，配合开展特定专题或重点区域的专项监测和重点监测。一是围绕国家对耕地和永久基本农田、生态保护红线、城镇开发边界三条控制线严格管理、监督、考核的需要对三条控制线开展监测。二是围绕黄河流域生态保护和高质量发展等国家重大战略区域开展监测。三是围绕用地监管开展监测，对涉及自然资源管理的重大工程建设情况、已供土地、临时用地备案设施农用地使用情况，以及采矿损毁土地情况开展监测。四是围绕生态保护修复治理情况开展监测，对山水林田湖草沙一体化保护和修复工程、新增矿山修复工程、历史遗留废弃矿山生态修复、国家湿地公园等开展监测。</w:t>
      </w:r>
    </w:p>
    <w:p>
      <w:pPr>
        <w:pStyle w:val="7"/>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工作要求</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监测工作以2022年度国土变更调查成果为底图，结合2023年高分辨率遥感影像、最新相关专题资料和实地调查，确定监测要素的位置、占地范围、面积 (长度)和相关属性。同时，监测更新水网、路网相关数据。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各地可根据实际管理需要，在规定的监测内容基础上进一步拓展和细化监测内容</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质量控制</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按照全过程管理的原则开展质量控制，实行“两级检查、一级验收”制度。</w:t>
      </w:r>
    </w:p>
    <w:p>
      <w:pPr>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监测作业单位负责监测成果质量的“两级检查”，省级自然资源主管部门负责组织监测成果的验收， 确保监测成果的真实性、准确性、完整性和规范性。</w:t>
      </w:r>
    </w:p>
    <w:p>
      <w:pPr>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国家负责质量抽查等工作。</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数据库建设</w:t>
      </w:r>
    </w:p>
    <w:p>
      <w:pPr>
        <w:keepNext w:val="0"/>
        <w:keepLines w:val="0"/>
        <w:pageBreakBefore w:val="0"/>
        <w:widowControl/>
        <w:kinsoku/>
        <w:wordWrap/>
        <w:overflowPunct/>
        <w:topLinePunct w:val="0"/>
        <w:bidi w:val="0"/>
        <w:adjustRightInd/>
        <w:snapToGrid/>
        <w:spacing w:line="360" w:lineRule="auto"/>
        <w:ind w:firstLine="630" w:firstLineChars="30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各级自然资源主管部门按要求完成数据成果汇交，建立城市国土空间监测数据库，并对监测数据进行集成、处理、可视化表达。同时，将数据库纳入自然资源三维立体时空数据库体系，并与国土空间规划“一张图”等管理系统互联互通。</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监测成果</w:t>
      </w:r>
    </w:p>
    <w:p>
      <w:pPr>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基础成果</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包括正射纠正影像成果，地类变化监测成果，专项监测和重点监测成果，以及城市国土空间监测成果等。</w:t>
      </w:r>
    </w:p>
    <w:p>
      <w:pPr>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统计成果</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基础成果进行汇总统计形成的数据成果，包括:以县级行政区域为单元或以专项监测和重点监测范围为单元，耕地、园地、林地、草地、水域、建设用地等范围内各地类变化面积、比例等，以及城市国土空间监测的统计成果。</w:t>
      </w:r>
    </w:p>
    <w:p>
      <w:pPr>
        <w:keepNext w:val="0"/>
        <w:keepLines w:val="0"/>
        <w:pageBreakBefore w:val="0"/>
        <w:widowControl/>
        <w:numPr>
          <w:ilvl w:val="0"/>
          <w:numId w:val="3"/>
        </w:numPr>
        <w:kinsoku/>
        <w:wordWrap/>
        <w:overflowPunct/>
        <w:topLinePunct w:val="0"/>
        <w:bidi w:val="0"/>
        <w:adjustRightInd/>
        <w:snapToGrid/>
        <w:spacing w:line="360" w:lineRule="auto"/>
        <w:ind w:left="-420" w:leftChars="0" w:firstLineChars="0"/>
        <w:jc w:val="left"/>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监测成果分析</w:t>
      </w:r>
    </w:p>
    <w:p>
      <w:r>
        <w:rPr>
          <w:rFonts w:hint="eastAsia" w:ascii="宋体" w:hAnsi="宋体" w:eastAsia="宋体" w:cs="宋体"/>
          <w:color w:val="000000"/>
          <w:kern w:val="0"/>
          <w:sz w:val="21"/>
          <w:szCs w:val="21"/>
          <w:lang w:bidi="ar"/>
        </w:rPr>
        <w:t>根据城市国土空间监测成果，各级自然资源主管部门分别进行各自的统计分析，满足不同层级自然资源管理和国土空间治理需求。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512117E"/>
    <w:multiLevelType w:val="singleLevel"/>
    <w:tmpl w:val="2512117E"/>
    <w:lvl w:ilvl="0" w:tentative="0">
      <w:start w:val="1"/>
      <w:numFmt w:val="chineseCounting"/>
      <w:suff w:val="nothing"/>
      <w:lvlText w:val="（%1）"/>
      <w:lvlJc w:val="left"/>
      <w:pPr>
        <w:ind w:left="-42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NTZlYmY3MGI2MDhjZDMwOTlkMzUxZTIxNTFlYjYifQ=="/>
  </w:docVars>
  <w:rsids>
    <w:rsidRoot w:val="00000000"/>
    <w:rsid w:val="401C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numPr>
        <w:ilvl w:val="0"/>
        <w:numId w:val="0"/>
      </w:numPr>
      <w:spacing w:after="120" w:afterLines="0"/>
    </w:pPr>
  </w:style>
  <w:style w:type="paragraph" w:styleId="3">
    <w:name w:val="Body Text Indent"/>
    <w:basedOn w:val="1"/>
    <w:qFormat/>
    <w:uiPriority w:val="0"/>
    <w:rPr>
      <w:kern w:val="0"/>
    </w:rPr>
  </w:style>
  <w:style w:type="paragraph" w:styleId="4">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7">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2023-10-27T09:04:35Z</dcterms:created>
  <dc:creator>Administrator</dc:creator>
  <cp:lastModifiedBy>小刀</cp:lastModifiedBy>
  <dcterms:modified xsi:type="dcterms:W3CDTF">2023-10-27T09:04:54Z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67628EEB8DA54863A0201908783E5938_12</vt:lpwstr>
  </property>
</Properties>
</file>