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sz w:val="40"/>
          <w:szCs w:val="40"/>
        </w:rPr>
      </w:pPr>
      <w:bookmarkStart w:id="0" w:name="_Toc29289"/>
      <w:r>
        <w:rPr>
          <w:rFonts w:hint="eastAsia" w:ascii="宋体" w:hAnsi="宋体"/>
          <w:b/>
          <w:bCs/>
          <w:sz w:val="40"/>
          <w:szCs w:val="40"/>
          <w:lang w:val="en-US" w:eastAsia="zh-CN"/>
        </w:rPr>
        <w:t>武陟县住房和城乡建设局施工图审查服务采购项目</w:t>
      </w:r>
    </w:p>
    <w:p>
      <w:pPr>
        <w:jc w:val="center"/>
        <w:outlineLvl w:val="0"/>
        <w:rPr>
          <w:rFonts w:hint="eastAsia" w:ascii="黑体" w:hAnsi="黑体" w:eastAsia="黑体" w:cs="黑体"/>
          <w:b/>
          <w:sz w:val="72"/>
          <w:szCs w:val="72"/>
        </w:rPr>
      </w:pPr>
      <w:bookmarkStart w:id="1" w:name="_Toc115021824"/>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spacing w:line="360" w:lineRule="auto"/>
        <w:jc w:val="center"/>
        <w:rPr>
          <w:rFonts w:hint="eastAsia" w:ascii="宋体" w:hAnsi="宋体" w:cs="宋体"/>
          <w:b/>
          <w:bCs/>
          <w:sz w:val="72"/>
          <w:szCs w:val="72"/>
        </w:rPr>
      </w:pPr>
      <w:r>
        <w:rPr>
          <w:rFonts w:hint="eastAsia" w:ascii="宋体" w:hAnsi="宋体" w:cs="宋体"/>
          <w:b/>
          <w:bCs/>
          <w:sz w:val="72"/>
          <w:szCs w:val="72"/>
        </w:rPr>
        <w:t>竞争性磋商文件</w:t>
      </w:r>
      <w:bookmarkEnd w:id="0"/>
      <w:bookmarkEnd w:id="1"/>
    </w:p>
    <w:p>
      <w:pPr>
        <w:jc w:val="center"/>
        <w:rPr>
          <w:rFonts w:hint="default" w:ascii="宋体" w:hAnsi="宋体" w:eastAsia="宋体"/>
          <w:b/>
          <w:bCs/>
          <w:szCs w:val="21"/>
          <w:lang w:val="en-US" w:eastAsia="zh-CN"/>
        </w:rPr>
      </w:pPr>
      <w:r>
        <w:rPr>
          <w:rFonts w:hint="eastAsia" w:ascii="宋体" w:hAnsi="宋体" w:cs="宋体"/>
          <w:b/>
          <w:bCs/>
          <w:sz w:val="28"/>
          <w:szCs w:val="28"/>
        </w:rPr>
        <w:t>项目编号：</w:t>
      </w:r>
      <w:r>
        <w:rPr>
          <w:rFonts w:hint="eastAsia" w:ascii="宋体" w:hAnsi="宋体" w:cs="宋体"/>
          <w:b/>
          <w:bCs/>
          <w:sz w:val="28"/>
          <w:szCs w:val="28"/>
          <w:lang w:val="en-US" w:eastAsia="zh-CN"/>
        </w:rPr>
        <w:t>2023-CS-047</w:t>
      </w:r>
    </w:p>
    <w:p>
      <w:pPr>
        <w:pStyle w:val="53"/>
        <w:rPr>
          <w:rFonts w:hint="eastAsia"/>
          <w:lang w:eastAsia="zh-CN"/>
        </w:rPr>
      </w:pPr>
    </w:p>
    <w:p>
      <w:pPr>
        <w:pStyle w:val="2"/>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2"/>
        <w:rPr>
          <w:rFonts w:hint="eastAsia"/>
        </w:rPr>
      </w:pP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w:t>
      </w:r>
      <w:r>
        <w:rPr>
          <w:rFonts w:hint="eastAsia" w:ascii="宋体" w:hAnsi="宋体" w:cs="宋体"/>
          <w:b/>
          <w:bCs/>
          <w:sz w:val="32"/>
          <w:lang w:eastAsia="zh-CN"/>
        </w:rPr>
        <w:t>武陟县住房和城乡建设局</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w:t>
      </w:r>
      <w:r>
        <w:rPr>
          <w:rFonts w:hint="eastAsia" w:ascii="宋体" w:hAnsi="宋体" w:cs="宋体"/>
          <w:b/>
          <w:bCs/>
          <w:sz w:val="32"/>
        </w:rPr>
        <w:t>采购代理机构：</w:t>
      </w:r>
      <w:r>
        <w:rPr>
          <w:rFonts w:hint="eastAsia" w:ascii="宋体" w:hAnsi="宋体" w:cs="宋体"/>
          <w:b/>
          <w:bCs/>
          <w:sz w:val="32"/>
          <w:lang w:eastAsia="zh-CN"/>
        </w:rPr>
        <w:t>中喆华晟云平台有限公司</w:t>
      </w:r>
    </w:p>
    <w:p>
      <w:pPr>
        <w:pStyle w:val="26"/>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目录</w:t>
      </w:r>
    </w:p>
    <w:p>
      <w:pPr>
        <w:pStyle w:val="26"/>
        <w:tabs>
          <w:tab w:val="right" w:leader="dot" w:pos="8820"/>
        </w:tabs>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_Toc7320 </w:instrText>
      </w:r>
      <w:r>
        <w:rPr>
          <w:rFonts w:hint="eastAsia" w:ascii="宋体" w:hAnsi="宋体" w:cs="宋体"/>
          <w:bCs/>
          <w:caps/>
          <w:szCs w:val="24"/>
          <w:lang w:val="zh-CN"/>
        </w:rPr>
        <w:fldChar w:fldCharType="separate"/>
      </w:r>
      <w:r>
        <w:rPr>
          <w:rFonts w:hint="eastAsia" w:ascii="宋体" w:hAnsi="宋体" w:cs="宋体"/>
          <w:bCs/>
        </w:rPr>
        <w:t xml:space="preserve">第一章 </w:t>
      </w:r>
      <w:r>
        <w:rPr>
          <w:rFonts w:hint="eastAsia" w:ascii="宋体" w:hAnsi="宋体" w:cs="宋体"/>
          <w:bCs w:val="0"/>
        </w:rPr>
        <w:t>竞争性磋商公告</w:t>
      </w:r>
      <w:r>
        <w:tab/>
      </w:r>
      <w:r>
        <w:fldChar w:fldCharType="begin"/>
      </w:r>
      <w:r>
        <w:instrText xml:space="preserve"> PAGEREF _Toc7320 \h </w:instrText>
      </w:r>
      <w:r>
        <w:fldChar w:fldCharType="separate"/>
      </w:r>
      <w:r>
        <w:t>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_Toc15530 </w:instrText>
      </w:r>
      <w:r>
        <w:rPr>
          <w:rFonts w:hint="eastAsia" w:ascii="宋体" w:hAnsi="宋体" w:cs="宋体"/>
          <w:bCs/>
          <w:caps/>
          <w:szCs w:val="24"/>
          <w:lang w:val="zh-CN"/>
        </w:rPr>
        <w:fldChar w:fldCharType="separate"/>
      </w:r>
      <w:r>
        <w:rPr>
          <w:rFonts w:hint="eastAsia" w:ascii="宋体" w:hAnsi="宋体" w:cs="宋体"/>
          <w:bCs/>
        </w:rPr>
        <w:t xml:space="preserve">第二章 </w:t>
      </w:r>
      <w:r>
        <w:rPr>
          <w:rFonts w:hint="eastAsia" w:ascii="宋体" w:hAnsi="宋体" w:cs="宋体"/>
        </w:rPr>
        <w:t>供应商须知</w:t>
      </w:r>
      <w:r>
        <w:tab/>
      </w:r>
      <w:r>
        <w:fldChar w:fldCharType="begin"/>
      </w:r>
      <w:r>
        <w:instrText xml:space="preserve"> PAGEREF _Toc15530 \h </w:instrText>
      </w:r>
      <w:r>
        <w:fldChar w:fldCharType="separate"/>
      </w:r>
      <w:r>
        <w:t>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_Toc3621 </w:instrText>
      </w:r>
      <w:r>
        <w:rPr>
          <w:rFonts w:hint="eastAsia" w:ascii="宋体" w:hAnsi="宋体" w:cs="宋体"/>
          <w:bCs/>
          <w:caps/>
          <w:szCs w:val="24"/>
          <w:lang w:val="zh-CN"/>
        </w:rPr>
        <w:fldChar w:fldCharType="separate"/>
      </w:r>
      <w:r>
        <w:rPr>
          <w:rFonts w:hint="eastAsia" w:ascii="宋体" w:hAnsi="宋体" w:cs="宋体"/>
          <w:bCs/>
        </w:rPr>
        <w:t xml:space="preserve">第三章 </w:t>
      </w:r>
      <w:r>
        <w:rPr>
          <w:rFonts w:hint="eastAsia" w:ascii="宋体" w:hAnsi="宋体" w:cs="宋体"/>
        </w:rPr>
        <w:t>评审方法和评审标准</w:t>
      </w:r>
      <w:r>
        <w:tab/>
      </w:r>
      <w:r>
        <w:fldChar w:fldCharType="begin"/>
      </w:r>
      <w:r>
        <w:instrText xml:space="preserve"> PAGEREF _Toc3621 \h </w:instrText>
      </w:r>
      <w:r>
        <w:fldChar w:fldCharType="separate"/>
      </w:r>
      <w:r>
        <w:t>19</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_Toc15626 </w:instrText>
      </w:r>
      <w:r>
        <w:rPr>
          <w:rFonts w:hint="eastAsia" w:ascii="宋体" w:hAnsi="宋体" w:cs="宋体"/>
          <w:bCs/>
          <w:caps/>
          <w:szCs w:val="24"/>
          <w:lang w:val="zh-CN"/>
        </w:rPr>
        <w:fldChar w:fldCharType="separate"/>
      </w:r>
      <w:r>
        <w:rPr>
          <w:rFonts w:hint="eastAsia" w:ascii="宋体" w:hAnsi="宋体" w:cs="宋体"/>
          <w:bCs/>
        </w:rPr>
        <w:t xml:space="preserve">第四章 </w:t>
      </w:r>
      <w:r>
        <w:rPr>
          <w:rFonts w:hint="eastAsia" w:ascii="宋体" w:hAnsi="宋体" w:cs="宋体"/>
        </w:rPr>
        <w:t>拟签订的合同文本</w:t>
      </w:r>
      <w:r>
        <w:tab/>
      </w:r>
      <w:r>
        <w:fldChar w:fldCharType="begin"/>
      </w:r>
      <w:r>
        <w:instrText xml:space="preserve"> PAGEREF _Toc15626 \h </w:instrText>
      </w:r>
      <w:r>
        <w:fldChar w:fldCharType="separate"/>
      </w:r>
      <w:r>
        <w:t>22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_Toc23819 </w:instrText>
      </w:r>
      <w:r>
        <w:rPr>
          <w:rFonts w:hint="eastAsia" w:ascii="宋体" w:hAnsi="宋体" w:cs="宋体"/>
          <w:bCs/>
          <w:caps/>
          <w:szCs w:val="24"/>
          <w:lang w:val="zh-CN"/>
        </w:rPr>
        <w:fldChar w:fldCharType="separate"/>
      </w:r>
      <w:r>
        <w:rPr>
          <w:rFonts w:hint="eastAsia" w:ascii="宋体" w:hAnsi="宋体" w:cs="宋体"/>
          <w:bCs/>
        </w:rPr>
        <w:t xml:space="preserve">第五章 </w:t>
      </w:r>
      <w:r>
        <w:rPr>
          <w:rFonts w:hint="eastAsia" w:ascii="宋体" w:hAnsi="宋体" w:cs="宋体"/>
        </w:rPr>
        <w:t>采购需求</w:t>
      </w:r>
      <w:r>
        <w:tab/>
      </w:r>
      <w:r>
        <w:fldChar w:fldCharType="begin"/>
      </w:r>
      <w:r>
        <w:instrText xml:space="preserve"> PAGEREF _Toc23819 \h </w:instrText>
      </w:r>
      <w:r>
        <w:fldChar w:fldCharType="separate"/>
      </w:r>
      <w:r>
        <w:t>26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_Toc29422 </w:instrText>
      </w:r>
      <w:r>
        <w:rPr>
          <w:rFonts w:hint="eastAsia" w:ascii="宋体" w:hAnsi="宋体" w:cs="宋体"/>
          <w:bCs/>
          <w:caps/>
          <w:szCs w:val="24"/>
          <w:lang w:val="zh-CN"/>
        </w:rPr>
        <w:fldChar w:fldCharType="separate"/>
      </w:r>
      <w:r>
        <w:rPr>
          <w:rFonts w:hint="eastAsia" w:ascii="宋体" w:hAnsi="宋体" w:cs="宋体"/>
        </w:rPr>
        <w:t>第六章 响应文件格式</w:t>
      </w:r>
      <w:r>
        <w:tab/>
      </w:r>
      <w:r>
        <w:fldChar w:fldCharType="begin"/>
      </w:r>
      <w:r>
        <w:instrText xml:space="preserve"> PAGEREF _Toc29422 \h </w:instrText>
      </w:r>
      <w:r>
        <w:fldChar w:fldCharType="separate"/>
      </w:r>
      <w:r>
        <w:t>27</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_Toc7109 </w:instrText>
      </w:r>
      <w:r>
        <w:rPr>
          <w:rFonts w:hint="eastAsia" w:ascii="宋体" w:hAnsi="宋体" w:cs="宋体"/>
          <w:bCs/>
          <w:caps/>
          <w:szCs w:val="24"/>
          <w:lang w:val="zh-CN"/>
        </w:rPr>
        <w:fldChar w:fldCharType="separate"/>
      </w:r>
      <w:r>
        <w:rPr>
          <w:rFonts w:hint="eastAsia" w:ascii="宋体" w:hAnsi="宋体" w:cs="宋体"/>
          <w:szCs w:val="32"/>
        </w:rPr>
        <w:t>1. 磋商承诺函</w:t>
      </w:r>
      <w:r>
        <w:tab/>
      </w:r>
      <w:r>
        <w:fldChar w:fldCharType="begin"/>
      </w:r>
      <w:r>
        <w:instrText xml:space="preserve"> PAGEREF _Toc7109 \h </w:instrText>
      </w:r>
      <w:r>
        <w:fldChar w:fldCharType="separate"/>
      </w:r>
      <w:r>
        <w:t>30</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_Toc15663 </w:instrText>
      </w:r>
      <w:r>
        <w:rPr>
          <w:rFonts w:hint="eastAsia" w:ascii="宋体" w:hAnsi="宋体" w:cs="宋体"/>
          <w:bCs/>
          <w:caps/>
          <w:szCs w:val="24"/>
          <w:lang w:val="zh-CN"/>
        </w:rPr>
        <w:fldChar w:fldCharType="separate"/>
      </w:r>
      <w:r>
        <w:rPr>
          <w:rFonts w:hint="eastAsia" w:ascii="宋体" w:hAnsi="宋体" w:cs="宋体"/>
          <w:szCs w:val="32"/>
        </w:rPr>
        <w:t>2. 承诺书</w:t>
      </w:r>
      <w:r>
        <w:tab/>
      </w:r>
      <w:r>
        <w:fldChar w:fldCharType="begin"/>
      </w:r>
      <w:r>
        <w:instrText xml:space="preserve"> PAGEREF _Toc15663 \h </w:instrText>
      </w:r>
      <w:r>
        <w:fldChar w:fldCharType="separate"/>
      </w:r>
      <w:r>
        <w:t>31</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_Toc13008 </w:instrText>
      </w:r>
      <w:r>
        <w:rPr>
          <w:rFonts w:hint="eastAsia" w:ascii="宋体" w:hAnsi="宋体" w:cs="宋体"/>
          <w:bCs/>
          <w:caps/>
          <w:szCs w:val="24"/>
          <w:lang w:val="zh-CN"/>
        </w:rPr>
        <w:fldChar w:fldCharType="separate"/>
      </w:r>
      <w:r>
        <w:rPr>
          <w:rFonts w:hint="eastAsia" w:ascii="宋体" w:hAnsi="宋体" w:cs="宋体"/>
          <w:szCs w:val="32"/>
        </w:rPr>
        <w:t>3. 供应商基本情况表</w:t>
      </w:r>
      <w:r>
        <w:tab/>
      </w:r>
      <w:r>
        <w:fldChar w:fldCharType="begin"/>
      </w:r>
      <w:r>
        <w:instrText xml:space="preserve"> PAGEREF _Toc13008 \h </w:instrText>
      </w:r>
      <w:r>
        <w:fldChar w:fldCharType="separate"/>
      </w:r>
      <w:r>
        <w:t>32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_Toc31547 </w:instrText>
      </w:r>
      <w:r>
        <w:rPr>
          <w:rFonts w:hint="eastAsia" w:ascii="宋体" w:hAnsi="宋体" w:cs="宋体"/>
          <w:bCs/>
          <w:caps/>
          <w:szCs w:val="24"/>
          <w:lang w:val="zh-CN"/>
        </w:rPr>
        <w:fldChar w:fldCharType="separate"/>
      </w:r>
      <w:r>
        <w:rPr>
          <w:rFonts w:hint="eastAsia" w:ascii="宋体" w:hAnsi="宋体" w:cs="宋体"/>
          <w:szCs w:val="32"/>
        </w:rPr>
        <w:t>4. 第一轮报价表</w:t>
      </w:r>
      <w:r>
        <w:tab/>
      </w:r>
      <w:r>
        <w:fldChar w:fldCharType="begin"/>
      </w:r>
      <w:r>
        <w:instrText xml:space="preserve"> PAGEREF _Toc31547 \h </w:instrText>
      </w:r>
      <w:r>
        <w:fldChar w:fldCharType="separate"/>
      </w:r>
      <w:r>
        <w:t>33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_Toc32699 </w:instrText>
      </w:r>
      <w:r>
        <w:rPr>
          <w:rFonts w:hint="eastAsia" w:ascii="宋体" w:hAnsi="宋体" w:cs="宋体"/>
          <w:bCs/>
          <w:caps/>
          <w:szCs w:val="24"/>
          <w:lang w:val="zh-CN"/>
        </w:rPr>
        <w:fldChar w:fldCharType="separate"/>
      </w:r>
      <w:r>
        <w:rPr>
          <w:rFonts w:hint="eastAsia" w:ascii="宋体" w:hAnsi="宋体" w:cs="宋体"/>
          <w:bCs/>
          <w:caps/>
          <w:szCs w:val="24"/>
          <w:lang w:val="en-US" w:eastAsia="zh-CN"/>
        </w:rPr>
        <w:t>5</w:t>
      </w:r>
      <w:r>
        <w:rPr>
          <w:rFonts w:hint="eastAsia" w:ascii="宋体" w:hAnsi="宋体" w:cs="宋体"/>
          <w:szCs w:val="32"/>
        </w:rPr>
        <w:t>. 技术响应表</w:t>
      </w:r>
      <w:r>
        <w:tab/>
      </w:r>
      <w:r>
        <w:fldChar w:fldCharType="begin"/>
      </w:r>
      <w:r>
        <w:instrText xml:space="preserve"> PAGEREF _Toc32699 \h </w:instrText>
      </w:r>
      <w:r>
        <w:fldChar w:fldCharType="separate"/>
      </w:r>
      <w:r>
        <w:t>34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_Toc1864 </w:instrText>
      </w:r>
      <w:r>
        <w:rPr>
          <w:rFonts w:hint="eastAsia" w:ascii="宋体" w:hAnsi="宋体" w:cs="宋体"/>
          <w:bCs/>
          <w:caps/>
          <w:szCs w:val="24"/>
          <w:lang w:val="zh-CN"/>
        </w:rPr>
        <w:fldChar w:fldCharType="separate"/>
      </w:r>
      <w:r>
        <w:rPr>
          <w:rFonts w:hint="eastAsia" w:ascii="宋体" w:hAnsi="宋体" w:cs="宋体"/>
          <w:bCs/>
          <w:caps/>
          <w:szCs w:val="24"/>
          <w:lang w:val="en-US" w:eastAsia="zh-CN"/>
        </w:rPr>
        <w:t>6</w:t>
      </w:r>
      <w:r>
        <w:rPr>
          <w:rFonts w:hint="eastAsia" w:ascii="宋体" w:hAnsi="宋体" w:cs="宋体"/>
          <w:szCs w:val="32"/>
        </w:rPr>
        <w:t>. 商务响应表</w:t>
      </w:r>
      <w:r>
        <w:tab/>
      </w:r>
      <w:r>
        <w:fldChar w:fldCharType="begin"/>
      </w:r>
      <w:r>
        <w:instrText xml:space="preserve"> PAGEREF _Toc1864 \h </w:instrText>
      </w:r>
      <w:r>
        <w:fldChar w:fldCharType="separate"/>
      </w:r>
      <w:r>
        <w:t>35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_Toc2497 </w:instrText>
      </w:r>
      <w:r>
        <w:rPr>
          <w:rFonts w:hint="eastAsia" w:ascii="宋体" w:hAnsi="宋体" w:cs="宋体"/>
          <w:bCs/>
          <w:caps/>
          <w:szCs w:val="24"/>
          <w:lang w:val="zh-CN"/>
        </w:rPr>
        <w:fldChar w:fldCharType="separate"/>
      </w:r>
      <w:r>
        <w:rPr>
          <w:rFonts w:hint="eastAsia" w:ascii="宋体" w:hAnsi="宋体" w:cs="宋体"/>
          <w:bCs/>
          <w:caps/>
          <w:szCs w:val="24"/>
          <w:lang w:val="en-US" w:eastAsia="zh-CN"/>
        </w:rPr>
        <w:t>7</w:t>
      </w:r>
      <w:r>
        <w:rPr>
          <w:rFonts w:hint="eastAsia" w:ascii="宋体" w:hAnsi="宋体" w:cs="宋体"/>
          <w:szCs w:val="32"/>
        </w:rPr>
        <w:t>. 资格证明材料</w:t>
      </w:r>
      <w:r>
        <w:tab/>
      </w:r>
      <w:r>
        <w:fldChar w:fldCharType="begin"/>
      </w:r>
      <w:r>
        <w:instrText xml:space="preserve"> PAGEREF _Toc2497 \h </w:instrText>
      </w:r>
      <w:r>
        <w:fldChar w:fldCharType="separate"/>
      </w:r>
      <w:r>
        <w:t>36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_Toc20773 </w:instrText>
      </w:r>
      <w:r>
        <w:rPr>
          <w:rFonts w:hint="eastAsia" w:ascii="宋体" w:hAnsi="宋体" w:cs="宋体"/>
          <w:bCs/>
          <w:caps/>
          <w:szCs w:val="24"/>
          <w:lang w:val="zh-CN"/>
        </w:rPr>
        <w:fldChar w:fldCharType="separate"/>
      </w:r>
      <w:r>
        <w:rPr>
          <w:rFonts w:hint="eastAsia" w:ascii="宋体" w:hAnsi="宋体" w:cs="宋体"/>
          <w:bCs/>
          <w:caps/>
          <w:szCs w:val="24"/>
          <w:lang w:val="en-US" w:eastAsia="zh-CN"/>
        </w:rPr>
        <w:t>8</w:t>
      </w:r>
      <w:r>
        <w:rPr>
          <w:rFonts w:hint="eastAsia" w:ascii="宋体" w:hAnsi="宋体" w:cs="宋体"/>
          <w:szCs w:val="32"/>
        </w:rPr>
        <w:t>. 法定代表人身份证明或授权委托书</w:t>
      </w:r>
      <w:r>
        <w:tab/>
      </w:r>
      <w:r>
        <w:fldChar w:fldCharType="begin"/>
      </w:r>
      <w:r>
        <w:instrText xml:space="preserve"> PAGEREF _Toc20773 \h </w:instrText>
      </w:r>
      <w:r>
        <w:fldChar w:fldCharType="separate"/>
      </w:r>
      <w:r>
        <w:t>40</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 </w:instrText>
      </w:r>
      <w:r>
        <w:rPr>
          <w:rFonts w:hint="eastAsia" w:ascii="宋体" w:hAnsi="宋体" w:cs="宋体"/>
          <w:bCs/>
          <w:caps/>
          <w:szCs w:val="24"/>
          <w:lang w:val="zh-CN"/>
        </w:rPr>
        <w:fldChar w:fldCharType="separate"/>
      </w:r>
      <w:r>
        <w:rPr>
          <w:rFonts w:hint="eastAsia" w:ascii="宋体" w:hAnsi="宋体" w:cs="宋体"/>
          <w:bCs/>
          <w:caps/>
          <w:szCs w:val="24"/>
          <w:lang w:val="en-US" w:eastAsia="zh-CN"/>
        </w:rPr>
        <w:t>9</w:t>
      </w:r>
      <w:r>
        <w:rPr>
          <w:rFonts w:hint="eastAsia" w:ascii="宋体" w:hAnsi="宋体" w:cs="宋体"/>
          <w:szCs w:val="32"/>
        </w:rPr>
        <w:t>. 残疾人福利性单位声明函</w:t>
      </w:r>
      <w:r>
        <w:tab/>
      </w:r>
      <w:r>
        <w:fldChar w:fldCharType="begin"/>
      </w:r>
      <w:r>
        <w:instrText xml:space="preserve"> PAGEREF _Toc2 \h </w:instrText>
      </w:r>
      <w:r>
        <w:fldChar w:fldCharType="separate"/>
      </w:r>
      <w:r>
        <w:t>42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_Toc20485 </w:instrText>
      </w:r>
      <w:r>
        <w:rPr>
          <w:rFonts w:hint="eastAsia" w:ascii="宋体" w:hAnsi="宋体" w:cs="宋体"/>
          <w:bCs/>
          <w:caps/>
          <w:szCs w:val="24"/>
          <w:lang w:val="zh-CN"/>
        </w:rPr>
        <w:fldChar w:fldCharType="separate"/>
      </w:r>
      <w:r>
        <w:rPr>
          <w:rFonts w:hint="eastAsia" w:ascii="宋体" w:hAnsi="宋体" w:cs="宋体"/>
          <w:szCs w:val="32"/>
        </w:rPr>
        <w:t>1</w:t>
      </w:r>
      <w:r>
        <w:rPr>
          <w:rFonts w:hint="eastAsia" w:ascii="宋体" w:hAnsi="宋体" w:cs="宋体"/>
          <w:szCs w:val="32"/>
          <w:lang w:val="en-US" w:eastAsia="zh-CN"/>
        </w:rPr>
        <w:t>0</w:t>
      </w:r>
      <w:r>
        <w:rPr>
          <w:rFonts w:hint="eastAsia" w:ascii="宋体" w:hAnsi="宋体" w:cs="宋体"/>
          <w:szCs w:val="32"/>
        </w:rPr>
        <w:t>. 反商业贿赂承诺书</w:t>
      </w:r>
      <w:r>
        <w:tab/>
      </w:r>
      <w:r>
        <w:fldChar w:fldCharType="begin"/>
      </w:r>
      <w:r>
        <w:instrText xml:space="preserve"> PAGEREF _Toc20485 \h </w:instrText>
      </w:r>
      <w:r>
        <w:fldChar w:fldCharType="separate"/>
      </w:r>
      <w:r>
        <w:t>43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_Toc18203 </w:instrText>
      </w:r>
      <w:r>
        <w:rPr>
          <w:rFonts w:hint="eastAsia" w:ascii="宋体" w:hAnsi="宋体" w:cs="宋体"/>
          <w:bCs/>
          <w:caps/>
          <w:szCs w:val="24"/>
          <w:lang w:val="zh-CN"/>
        </w:rPr>
        <w:fldChar w:fldCharType="separate"/>
      </w:r>
      <w:r>
        <w:rPr>
          <w:rFonts w:hint="eastAsia" w:ascii="宋体" w:hAnsi="宋体" w:cs="宋体"/>
          <w:szCs w:val="32"/>
        </w:rPr>
        <w:t>1</w:t>
      </w:r>
      <w:r>
        <w:rPr>
          <w:rFonts w:hint="eastAsia" w:ascii="宋体" w:hAnsi="宋体" w:cs="宋体"/>
          <w:szCs w:val="32"/>
          <w:lang w:val="en-US" w:eastAsia="zh-CN"/>
        </w:rPr>
        <w:t>1</w:t>
      </w:r>
      <w:r>
        <w:rPr>
          <w:rFonts w:hint="eastAsia" w:ascii="宋体" w:hAnsi="宋体" w:cs="宋体"/>
          <w:szCs w:val="32"/>
        </w:rPr>
        <w:t>. 竞争性磋商文件要求的以及供应商认为应该提供的其他材料</w:t>
      </w:r>
      <w:r>
        <w:tab/>
      </w:r>
      <w:r>
        <w:fldChar w:fldCharType="begin"/>
      </w:r>
      <w:r>
        <w:instrText xml:space="preserve"> PAGEREF _Toc18203 \h </w:instrText>
      </w:r>
      <w:r>
        <w:fldChar w:fldCharType="separate"/>
      </w:r>
      <w:r>
        <w:t>44</w:t>
      </w:r>
      <w:r>
        <w:fldChar w:fldCharType="end"/>
      </w:r>
      <w:r>
        <w:rPr>
          <w:rFonts w:hint="eastAsia" w:ascii="宋体" w:hAnsi="宋体" w:cs="宋体"/>
          <w:bCs/>
          <w:caps/>
          <w:szCs w:val="24"/>
          <w:lang w:val="zh-CN"/>
        </w:rPr>
        <w:fldChar w:fldCharType="end"/>
      </w:r>
    </w:p>
    <w:p>
      <w:pPr>
        <w:pStyle w:val="26"/>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Cs w:val="24"/>
          <w:lang w:val="zh-CN"/>
        </w:rPr>
        <w:fldChar w:fldCharType="end"/>
      </w:r>
    </w:p>
    <w:p>
      <w:pPr>
        <w:pStyle w:val="54"/>
        <w:jc w:val="center"/>
        <w:rPr>
          <w:rFonts w:hint="eastAsia" w:ascii="宋体" w:hAnsi="宋体" w:cs="宋体"/>
          <w:b/>
          <w:color w:val="FF0000"/>
          <w:sz w:val="28"/>
          <w:szCs w:val="28"/>
        </w:rPr>
      </w:pPr>
    </w:p>
    <w:p>
      <w:pPr>
        <w:pStyle w:val="54"/>
        <w:rPr>
          <w:rFonts w:hint="eastAsia" w:ascii="宋体" w:hAnsi="宋体" w:cs="宋体"/>
          <w:color w:val="FF0000"/>
        </w:rPr>
      </w:pPr>
      <w:r>
        <w:rPr>
          <w:rFonts w:hint="eastAsia" w:ascii="宋体" w:hAnsi="宋体" w:cs="宋体"/>
          <w:color w:val="FF0000"/>
        </w:rPr>
        <w:t> </w:t>
      </w:r>
    </w:p>
    <w:p>
      <w:pPr>
        <w:pStyle w:val="54"/>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6"/>
        <w:numPr>
          <w:ilvl w:val="0"/>
          <w:numId w:val="1"/>
        </w:numPr>
        <w:spacing w:before="0" w:after="0" w:line="360" w:lineRule="auto"/>
        <w:ind w:firstLine="0"/>
        <w:rPr>
          <w:rFonts w:hint="eastAsia" w:ascii="宋体" w:hAnsi="宋体" w:cs="宋体"/>
          <w:bCs w:val="0"/>
        </w:rPr>
      </w:pPr>
      <w:bookmarkStart w:id="2" w:name="_Toc7320"/>
      <w:bookmarkStart w:id="3" w:name="_Toc30568"/>
      <w:r>
        <w:rPr>
          <w:rFonts w:hint="eastAsia" w:ascii="宋体" w:hAnsi="宋体" w:cs="宋体"/>
          <w:bCs w:val="0"/>
        </w:rPr>
        <w:t>竞争性磋商公告</w:t>
      </w:r>
      <w:bookmarkEnd w:id="2"/>
      <w:bookmarkEnd w:id="3"/>
    </w:p>
    <w:p>
      <w:pPr>
        <w:spacing w:line="400" w:lineRule="exact"/>
        <w:ind w:firstLine="562" w:firstLineChars="200"/>
        <w:jc w:val="center"/>
        <w:rPr>
          <w:rFonts w:hint="eastAsia" w:ascii="宋体" w:hAnsi="宋体" w:cs="宋体"/>
          <w:b/>
          <w:bCs/>
          <w:sz w:val="28"/>
          <w:szCs w:val="28"/>
          <w:lang w:eastAsia="zh-CN"/>
        </w:rPr>
      </w:pPr>
    </w:p>
    <w:p>
      <w:pPr>
        <w:spacing w:line="400" w:lineRule="exact"/>
        <w:jc w:val="center"/>
        <w:rPr>
          <w:rFonts w:hint="eastAsia" w:ascii="宋体" w:hAnsi="宋体" w:cs="宋体"/>
          <w:b/>
          <w:bCs/>
          <w:sz w:val="28"/>
          <w:szCs w:val="28"/>
          <w:lang w:val="en-US" w:eastAsia="zh-CN"/>
        </w:rPr>
      </w:pPr>
      <w:r>
        <w:rPr>
          <w:rFonts w:hint="eastAsia" w:ascii="宋体" w:hAnsi="宋体" w:cs="宋体"/>
          <w:b/>
          <w:bCs/>
          <w:sz w:val="28"/>
          <w:szCs w:val="28"/>
          <w:lang w:val="en-US" w:eastAsia="zh-CN"/>
        </w:rPr>
        <w:t>武陟县住房和城乡建设局施工图审查服务采购项目</w:t>
      </w:r>
    </w:p>
    <w:p>
      <w:pPr>
        <w:spacing w:line="400" w:lineRule="exact"/>
        <w:jc w:val="center"/>
        <w:rPr>
          <w:rFonts w:hint="eastAsia" w:ascii="宋体" w:hAnsi="宋体" w:cs="宋体"/>
          <w:b/>
          <w:bCs/>
          <w:sz w:val="28"/>
          <w:szCs w:val="28"/>
        </w:rPr>
      </w:pPr>
      <w:r>
        <w:rPr>
          <w:rFonts w:hint="eastAsia" w:ascii="宋体" w:hAnsi="宋体" w:cs="宋体"/>
          <w:b/>
          <w:bCs/>
          <w:sz w:val="28"/>
          <w:szCs w:val="28"/>
        </w:rPr>
        <w:t>竞争性磋商公告</w:t>
      </w:r>
      <w:bookmarkStart w:id="4" w:name="_Toc15614"/>
      <w:bookmarkStart w:id="5" w:name="_Toc22562"/>
      <w:bookmarkStart w:id="6" w:name="_Toc477423242"/>
      <w:bookmarkStart w:id="7" w:name="_Toc408816341"/>
      <w:bookmarkStart w:id="8" w:name="_Toc374512408"/>
      <w:bookmarkStart w:id="9" w:name="_Toc373230021"/>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eastAsia="zh-CN"/>
        </w:rPr>
        <w:t>武陟县住房和城乡建设局施工图审查服务采购项目</w:t>
      </w:r>
      <w:r>
        <w:rPr>
          <w:rFonts w:hint="eastAsia" w:ascii="宋体" w:hAnsi="宋体" w:eastAsia="宋体" w:cs="宋体"/>
          <w:color w:val="auto"/>
          <w:sz w:val="24"/>
          <w:szCs w:val="24"/>
          <w:lang w:val="en-US" w:eastAsia="zh-CN"/>
        </w:rPr>
        <w:t>的潜在</w:t>
      </w: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应在焦作市公共资源交易中心网站获取</w:t>
      </w:r>
      <w:r>
        <w:rPr>
          <w:rFonts w:hint="eastAsia" w:ascii="宋体" w:hAnsi="宋体" w:cs="宋体"/>
          <w:color w:val="auto"/>
          <w:sz w:val="24"/>
          <w:szCs w:val="24"/>
          <w:lang w:val="en-US" w:eastAsia="zh-CN"/>
        </w:rPr>
        <w:t>竞争性磋商文件</w:t>
      </w:r>
      <w:r>
        <w:rPr>
          <w:rFonts w:hint="eastAsia" w:ascii="宋体" w:hAnsi="宋体" w:eastAsia="宋体" w:cs="宋体"/>
          <w:color w:val="auto"/>
          <w:sz w:val="24"/>
          <w:szCs w:val="24"/>
          <w:lang w:val="en-US" w:eastAsia="zh-CN"/>
        </w:rPr>
        <w:t>，并于</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日09时00分（北京时间）前递交响应文件。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color w:val="auto"/>
          <w:sz w:val="24"/>
          <w:szCs w:val="24"/>
          <w:highlight w:val="yellow"/>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项</w:t>
      </w:r>
      <w:r>
        <w:rPr>
          <w:rFonts w:hint="eastAsia" w:ascii="宋体" w:hAnsi="宋体" w:eastAsia="宋体" w:cs="宋体"/>
          <w:color w:val="auto"/>
          <w:sz w:val="24"/>
          <w:szCs w:val="24"/>
        </w:rPr>
        <w:t>目编号：</w:t>
      </w:r>
      <w:r>
        <w:rPr>
          <w:rFonts w:hint="eastAsia" w:ascii="宋体" w:hAnsi="宋体" w:cs="宋体"/>
          <w:color w:val="auto"/>
          <w:sz w:val="24"/>
          <w:szCs w:val="24"/>
          <w:lang w:val="en-US" w:eastAsia="zh-CN"/>
        </w:rPr>
        <w:t>2023-CS-047</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项目名称：</w:t>
      </w:r>
      <w:r>
        <w:rPr>
          <w:rFonts w:hint="eastAsia" w:ascii="宋体" w:hAnsi="宋体" w:cs="宋体"/>
          <w:color w:val="auto"/>
          <w:sz w:val="24"/>
          <w:szCs w:val="24"/>
          <w:lang w:eastAsia="zh-CN"/>
        </w:rPr>
        <w:t>武陟县住房和城乡建设局施工图审查服务采购项目</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采购方式：竞争性磋商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预算金额：</w:t>
      </w:r>
      <w:r>
        <w:rPr>
          <w:rFonts w:hint="eastAsia" w:ascii="宋体" w:hAnsi="宋体" w:cs="宋体"/>
          <w:color w:val="auto"/>
          <w:sz w:val="24"/>
          <w:szCs w:val="24"/>
          <w:lang w:val="en-US" w:eastAsia="zh-CN"/>
        </w:rPr>
        <w:t>650000.00元</w:t>
      </w:r>
    </w:p>
    <w:p>
      <w:pPr>
        <w:pStyle w:val="2"/>
        <w:spacing w:line="360" w:lineRule="auto"/>
        <w:rPr>
          <w:rFonts w:hint="default"/>
          <w:color w:val="auto"/>
          <w:lang w:val="en-US"/>
        </w:rPr>
      </w:pPr>
      <w:r>
        <w:rPr>
          <w:rFonts w:hint="eastAsia" w:ascii="宋体" w:hAnsi="宋体" w:cs="宋体"/>
          <w:color w:val="auto"/>
          <w:sz w:val="24"/>
          <w:szCs w:val="24"/>
          <w:lang w:val="en-US" w:eastAsia="zh-CN"/>
        </w:rPr>
        <w:t xml:space="preserve">       最高限价：491700.00元</w:t>
      </w:r>
    </w:p>
    <w:tbl>
      <w:tblPr>
        <w:tblStyle w:val="125"/>
        <w:tblpPr w:leftFromText="180" w:rightFromText="180" w:vertAnchor="text" w:horzAnchor="page" w:tblpX="1454" w:tblpY="14"/>
        <w:tblOverlap w:val="never"/>
        <w:tblW w:w="919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548"/>
        <w:gridCol w:w="3297"/>
        <w:gridCol w:w="1662"/>
        <w:gridCol w:w="20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rPr>
              <w:t>序号</w:t>
            </w:r>
          </w:p>
        </w:tc>
        <w:tc>
          <w:tcPr>
            <w:tcW w:w="1548"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4"/>
                <w:sz w:val="24"/>
                <w:szCs w:val="24"/>
              </w:rPr>
              <w:t>包</w:t>
            </w:r>
            <w:r>
              <w:rPr>
                <w:rFonts w:hint="eastAsia" w:ascii="宋体" w:hAnsi="宋体" w:eastAsia="宋体" w:cs="宋体"/>
                <w:color w:val="auto"/>
                <w:spacing w:val="-2"/>
                <w:sz w:val="24"/>
                <w:szCs w:val="24"/>
              </w:rPr>
              <w:t>号</w:t>
            </w:r>
          </w:p>
        </w:tc>
        <w:tc>
          <w:tcPr>
            <w:tcW w:w="3297"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rPr>
              <w:t>包</w:t>
            </w:r>
            <w:r>
              <w:rPr>
                <w:rFonts w:hint="eastAsia" w:ascii="宋体" w:hAnsi="宋体" w:eastAsia="宋体" w:cs="宋体"/>
                <w:color w:val="auto"/>
                <w:spacing w:val="1"/>
                <w:sz w:val="24"/>
                <w:szCs w:val="24"/>
              </w:rPr>
              <w:t>名称</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4"/>
                <w:sz w:val="24"/>
                <w:szCs w:val="24"/>
              </w:rPr>
              <w:t>包预算(元)</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5"/>
                <w:sz w:val="24"/>
                <w:szCs w:val="24"/>
              </w:rPr>
              <w:t>包最高限</w:t>
            </w:r>
            <w:r>
              <w:rPr>
                <w:rFonts w:hint="eastAsia" w:ascii="宋体" w:hAnsi="宋体" w:eastAsia="宋体" w:cs="宋体"/>
                <w:color w:val="auto"/>
                <w:spacing w:val="4"/>
                <w:sz w:val="24"/>
                <w:szCs w:val="24"/>
              </w:rPr>
              <w:t>价</w:t>
            </w:r>
            <w:r>
              <w:rPr>
                <w:rFonts w:hint="eastAsia" w:ascii="宋体" w:hAnsi="宋体" w:eastAsia="宋体" w:cs="宋体"/>
                <w:color w:val="auto"/>
                <w:spacing w:val="-11"/>
                <w:sz w:val="24"/>
                <w:szCs w:val="24"/>
              </w:rPr>
              <w:t>(</w:t>
            </w:r>
            <w:r>
              <w:rPr>
                <w:rFonts w:hint="eastAsia" w:ascii="宋体" w:hAnsi="宋体" w:eastAsia="宋体" w:cs="宋体"/>
                <w:color w:val="auto"/>
                <w:spacing w:val="-10"/>
                <w:sz w:val="24"/>
                <w:szCs w:val="24"/>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154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武交采JZCS2023-027号</w:t>
            </w:r>
          </w:p>
        </w:tc>
        <w:tc>
          <w:tcPr>
            <w:tcW w:w="3297"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rPr>
            </w:pPr>
            <w:r>
              <w:rPr>
                <w:rFonts w:hint="eastAsia" w:ascii="宋体" w:hAnsi="宋体" w:cs="宋体"/>
                <w:color w:val="auto"/>
                <w:sz w:val="24"/>
                <w:szCs w:val="24"/>
                <w:lang w:eastAsia="zh-CN"/>
              </w:rPr>
              <w:t>武陟县住房和城乡建设局施工图审查服务采购项目</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650000.00</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color w:val="auto"/>
                <w:sz w:val="24"/>
                <w:szCs w:val="24"/>
                <w:lang w:val="en-US"/>
              </w:rPr>
            </w:pPr>
            <w:r>
              <w:rPr>
                <w:rFonts w:hint="eastAsia" w:ascii="宋体" w:hAnsi="宋体" w:cs="宋体"/>
                <w:color w:val="auto"/>
                <w:sz w:val="24"/>
                <w:szCs w:val="24"/>
                <w:lang w:val="en-US" w:eastAsia="zh-CN"/>
              </w:rPr>
              <w:t>491700.00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采购需求(包括但不限于标的的名称、数量、简要技术需求或服务要求等)</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按国家、省、市有关规定的新建、改建、扩建房屋建筑工程进行施工图审查。本项目采用折扣报价的方式进行报价</w:t>
      </w:r>
      <w:r>
        <w:rPr>
          <w:rFonts w:hint="eastAsia" w:ascii="宋体" w:hAnsi="宋体" w:eastAsia="宋体" w:cs="宋体"/>
          <w:color w:val="auto"/>
          <w:sz w:val="24"/>
          <w:szCs w:val="24"/>
          <w:lang w:val="en-US" w:eastAsia="zh-CN"/>
        </w:rPr>
        <w:t>(详见《河南省政府采购网》本公告附件)。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合同履行期限：</w:t>
      </w:r>
      <w:r>
        <w:rPr>
          <w:rFonts w:hint="eastAsia" w:ascii="宋体" w:hAnsi="宋体" w:cs="宋体"/>
          <w:color w:val="auto"/>
          <w:sz w:val="24"/>
          <w:szCs w:val="24"/>
          <w:lang w:eastAsia="zh-CN"/>
        </w:rPr>
        <w:t>一年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7、本项目是否接受联</w:t>
      </w:r>
      <w:r>
        <w:rPr>
          <w:rFonts w:hint="eastAsia" w:ascii="宋体" w:hAnsi="宋体" w:eastAsia="宋体" w:cs="宋体"/>
          <w:color w:val="auto"/>
          <w:sz w:val="24"/>
          <w:szCs w:val="24"/>
          <w:lang w:val="en-US" w:eastAsia="zh-CN"/>
        </w:rPr>
        <w:t>合体：否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9、是否专门面向中小企业：是</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w:t>
      </w:r>
      <w:r>
        <w:rPr>
          <w:rFonts w:hint="eastAsia" w:ascii="宋体" w:hAnsi="宋体" w:eastAsia="宋体" w:cs="宋体"/>
          <w:b/>
          <w:bCs/>
          <w:color w:val="auto"/>
          <w:sz w:val="24"/>
          <w:szCs w:val="24"/>
        </w:rPr>
        <w:t>申请人的资格要求：</w:t>
      </w:r>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满足《中华人民共和国政府采购法》第二十二条规定；</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落实政府采购政策需满足的资格要求：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2.1供应商应为中小微企业或监狱企业或残疾人福利性单位；</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本项目的特定资格要求：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3.</w:t>
      </w:r>
      <w:r>
        <w:rPr>
          <w:rFonts w:hint="eastAsia" w:ascii="宋体" w:hAnsi="宋体" w:cs="宋体"/>
          <w:color w:val="auto"/>
          <w:sz w:val="24"/>
          <w:szCs w:val="24"/>
          <w:lang w:val="en-US" w:eastAsia="zh-CN"/>
        </w:rPr>
        <w:t>1供应商</w:t>
      </w:r>
      <w:r>
        <w:rPr>
          <w:rFonts w:hint="eastAsia" w:ascii="宋体" w:hAnsi="宋体" w:cs="宋体"/>
          <w:color w:val="auto"/>
          <w:sz w:val="24"/>
          <w:szCs w:val="24"/>
        </w:rPr>
        <w:t>具有施工图设计文件审查机构</w:t>
      </w:r>
      <w:r>
        <w:rPr>
          <w:rFonts w:hint="eastAsia" w:ascii="宋体" w:hAnsi="宋体" w:cs="宋体"/>
          <w:color w:val="auto"/>
          <w:sz w:val="24"/>
          <w:szCs w:val="24"/>
          <w:lang w:eastAsia="zh-CN"/>
        </w:rPr>
        <w:t>认定（</w:t>
      </w:r>
      <w:r>
        <w:rPr>
          <w:rFonts w:hint="eastAsia" w:ascii="宋体" w:hAnsi="宋体" w:cs="宋体"/>
          <w:color w:val="auto"/>
          <w:sz w:val="24"/>
          <w:szCs w:val="24"/>
        </w:rPr>
        <w:t>房屋建筑工程</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二</w:t>
      </w:r>
      <w:r>
        <w:rPr>
          <w:rFonts w:hint="eastAsia" w:ascii="宋体" w:hAnsi="宋体" w:cs="宋体"/>
          <w:color w:val="auto"/>
          <w:sz w:val="24"/>
          <w:szCs w:val="24"/>
        </w:rPr>
        <w:t>类</w:t>
      </w:r>
      <w:r>
        <w:rPr>
          <w:rFonts w:hint="eastAsia" w:ascii="宋体" w:hAnsi="宋体" w:cs="宋体"/>
          <w:color w:val="auto"/>
          <w:sz w:val="24"/>
          <w:szCs w:val="24"/>
          <w:lang w:val="en-US" w:eastAsia="zh-CN"/>
        </w:rPr>
        <w:t>及以上</w:t>
      </w:r>
      <w:r>
        <w:rPr>
          <w:rFonts w:hint="eastAsia" w:ascii="宋体" w:hAnsi="宋体" w:cs="宋体"/>
          <w:color w:val="auto"/>
          <w:sz w:val="24"/>
          <w:szCs w:val="24"/>
        </w:rPr>
        <w:t>资</w:t>
      </w:r>
      <w:r>
        <w:rPr>
          <w:rFonts w:hint="eastAsia" w:ascii="宋体" w:hAnsi="宋体" w:cs="宋体"/>
          <w:color w:val="auto"/>
          <w:sz w:val="24"/>
          <w:szCs w:val="24"/>
          <w:lang w:eastAsia="zh-CN"/>
        </w:rPr>
        <w:t>格且被列入审查机构名录的机构；</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3.2</w:t>
      </w:r>
      <w:r>
        <w:rPr>
          <w:rFonts w:hint="eastAsia" w:ascii="宋体" w:hAnsi="宋体" w:eastAsia="宋体" w:cs="宋体"/>
          <w:color w:val="auto"/>
          <w:sz w:val="24"/>
          <w:szCs w:val="24"/>
        </w:rPr>
        <w:t>供应商及其法定代表人、委托代理人均无行贿犯罪记录；</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不得被列入失信被执行人、重大税收违法失信主体、政府采购严重违法失信行为记录名单。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w:t>
      </w:r>
      <w:r>
        <w:rPr>
          <w:rFonts w:hint="eastAsia" w:ascii="宋体" w:hAnsi="宋体" w:eastAsia="宋体" w:cs="宋体"/>
          <w:b/>
          <w:bCs/>
          <w:color w:val="auto"/>
          <w:sz w:val="24"/>
          <w:szCs w:val="24"/>
        </w:rPr>
        <w:t>获取</w:t>
      </w:r>
      <w:r>
        <w:rPr>
          <w:rFonts w:hint="eastAsia" w:ascii="宋体" w:hAnsi="宋体" w:eastAsia="宋体" w:cs="宋体"/>
          <w:b/>
          <w:bCs/>
          <w:color w:val="auto"/>
          <w:sz w:val="24"/>
          <w:szCs w:val="24"/>
          <w:lang w:eastAsia="zh-CN"/>
        </w:rPr>
        <w:t>采购</w:t>
      </w:r>
      <w:r>
        <w:rPr>
          <w:rFonts w:hint="eastAsia" w:ascii="宋体" w:hAnsi="宋体" w:eastAsia="宋体" w:cs="宋体"/>
          <w:b/>
          <w:bCs/>
          <w:color w:val="auto"/>
          <w:sz w:val="24"/>
          <w:szCs w:val="24"/>
        </w:rPr>
        <w:t>文件</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时间：</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日至</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none"/>
        </w:rPr>
        <w:t>年</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日，每天上午 0</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:00 至 12:00， 下午 12:00 至 23:</w:t>
      </w:r>
      <w:r>
        <w:rPr>
          <w:rFonts w:hint="eastAsia" w:ascii="宋体" w:hAnsi="宋体" w:cs="宋体"/>
          <w:color w:val="auto"/>
          <w:sz w:val="24"/>
          <w:szCs w:val="24"/>
          <w:lang w:val="en-US" w:eastAsia="zh-CN"/>
        </w:rPr>
        <w:t>59</w:t>
      </w:r>
      <w:r>
        <w:rPr>
          <w:rFonts w:hint="eastAsia" w:ascii="宋体" w:hAnsi="宋体" w:eastAsia="宋体" w:cs="宋体"/>
          <w:color w:val="auto"/>
          <w:sz w:val="24"/>
          <w:szCs w:val="24"/>
        </w:rPr>
        <w:t xml:space="preserve"> (北京时间，法定节假日除外。)</w:t>
      </w:r>
      <w:r>
        <w:rPr>
          <w:rFonts w:hint="eastAsia" w:ascii="宋体" w:hAnsi="宋体" w:cs="宋体"/>
          <w:color w:val="auto"/>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shd w:val="clear" w:color="auto" w:fill="FFFF00"/>
        </w:rPr>
      </w:pPr>
      <w:r>
        <w:rPr>
          <w:rFonts w:hint="eastAsia" w:ascii="宋体" w:hAnsi="宋体" w:eastAsia="宋体" w:cs="宋体"/>
          <w:color w:val="auto"/>
          <w:sz w:val="24"/>
          <w:szCs w:val="24"/>
        </w:rPr>
        <w:t>地点：焦作市公共资源交易中心网站</w:t>
      </w:r>
      <w:r>
        <w:rPr>
          <w:rFonts w:hint="eastAsia" w:ascii="宋体" w:hAnsi="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方式：本项目采用网上获取</w:t>
      </w:r>
      <w:r>
        <w:rPr>
          <w:rFonts w:hint="eastAsia" w:ascii="宋体" w:hAnsi="宋体" w:cs="宋体"/>
          <w:color w:val="auto"/>
          <w:sz w:val="24"/>
          <w:szCs w:val="24"/>
          <w:lang w:eastAsia="zh-CN"/>
        </w:rPr>
        <w:t>竞争性</w:t>
      </w:r>
      <w:r>
        <w:rPr>
          <w:rFonts w:hint="eastAsia" w:ascii="宋体" w:hAnsi="宋体" w:eastAsia="宋体" w:cs="宋体"/>
          <w:color w:val="auto"/>
          <w:sz w:val="24"/>
          <w:szCs w:val="24"/>
        </w:rPr>
        <w:t>磋商文件，凡有意参加本项目磋商活动者，请登陆焦作市公共资源交易中心网站</w:t>
      </w:r>
      <w:r>
        <w:rPr>
          <w:rFonts w:hint="eastAsia" w:ascii="宋体" w:hAnsi="宋体" w:eastAsia="宋体" w:cs="宋体"/>
          <w:color w:val="auto"/>
          <w:sz w:val="24"/>
          <w:szCs w:val="24"/>
          <w:lang w:val="en-US" w:eastAsia="zh-CN"/>
        </w:rPr>
        <w:t>-交易平台“交易主体登录”栏目下载磋商文件</w:t>
      </w:r>
      <w:r>
        <w:rPr>
          <w:rFonts w:hint="eastAsia" w:ascii="宋体" w:hAnsi="宋体" w:cs="宋体"/>
          <w:color w:val="auto"/>
          <w:sz w:val="24"/>
          <w:szCs w:val="24"/>
          <w:lang w:eastAsia="zh-CN"/>
        </w:rPr>
        <w:t>；</w:t>
      </w:r>
    </w:p>
    <w:p>
      <w:pPr>
        <w:pStyle w:val="2"/>
        <w:keepNext w:val="0"/>
        <w:keepLines w:val="0"/>
        <w:pageBreakBefore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四、提交</w:t>
      </w:r>
      <w:r>
        <w:rPr>
          <w:rFonts w:hint="eastAsia" w:ascii="宋体" w:hAnsi="宋体" w:cs="宋体"/>
          <w:b/>
          <w:bCs/>
          <w:color w:val="auto"/>
          <w:sz w:val="24"/>
          <w:szCs w:val="24"/>
          <w:lang w:eastAsia="zh-CN"/>
        </w:rPr>
        <w:t>响应</w:t>
      </w:r>
      <w:r>
        <w:rPr>
          <w:rFonts w:hint="eastAsia" w:ascii="宋体" w:hAnsi="宋体" w:eastAsia="宋体" w:cs="宋体"/>
          <w:b/>
          <w:bCs/>
          <w:color w:val="auto"/>
          <w:sz w:val="24"/>
          <w:szCs w:val="24"/>
          <w:lang w:eastAsia="zh-CN"/>
        </w:rPr>
        <w:t>文件截止时间及地点：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1.截止时间：</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none"/>
        </w:rPr>
        <w:t>09</w:t>
      </w:r>
      <w:r>
        <w:rPr>
          <w:rFonts w:hint="eastAsia" w:ascii="宋体" w:hAnsi="宋体" w:eastAsia="宋体" w:cs="宋体"/>
          <w:color w:val="auto"/>
          <w:sz w:val="24"/>
          <w:szCs w:val="24"/>
        </w:rPr>
        <w:t>点</w:t>
      </w:r>
      <w:r>
        <w:rPr>
          <w:rFonts w:hint="eastAsia" w:ascii="宋体" w:hAnsi="宋体" w:eastAsia="宋体" w:cs="宋体"/>
          <w:color w:val="auto"/>
          <w:sz w:val="24"/>
          <w:szCs w:val="24"/>
          <w:u w:val="none"/>
        </w:rPr>
        <w:t>00</w:t>
      </w:r>
      <w:r>
        <w:rPr>
          <w:rFonts w:hint="eastAsia" w:ascii="宋体" w:hAnsi="宋体" w:eastAsia="宋体" w:cs="宋体"/>
          <w:color w:val="auto"/>
          <w:sz w:val="24"/>
          <w:szCs w:val="24"/>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五、响应文件</w:t>
      </w:r>
      <w:r>
        <w:rPr>
          <w:rFonts w:hint="eastAsia" w:ascii="宋体" w:hAnsi="宋体" w:eastAsia="宋体" w:cs="宋体"/>
          <w:b/>
          <w:bCs/>
          <w:color w:val="auto"/>
          <w:sz w:val="24"/>
          <w:szCs w:val="24"/>
        </w:rPr>
        <w:t>开启</w:t>
      </w:r>
      <w:r>
        <w:rPr>
          <w:rFonts w:hint="eastAsia" w:ascii="宋体" w:hAnsi="宋体" w:cs="宋体"/>
          <w:b/>
          <w:bCs/>
          <w:color w:val="auto"/>
          <w:sz w:val="24"/>
          <w:szCs w:val="24"/>
          <w:lang w:eastAsia="zh-CN"/>
        </w:rPr>
        <w:t>及地点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rPr>
        <w:t>1.时间：</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日09时00分（北</w:t>
      </w:r>
      <w:r>
        <w:rPr>
          <w:rFonts w:hint="eastAsia" w:ascii="宋体" w:hAnsi="宋体" w:eastAsia="宋体" w:cs="宋体"/>
          <w:sz w:val="24"/>
          <w:szCs w:val="24"/>
        </w:rPr>
        <w:t>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2.地点：武陟县公共资源交易中心二</w:t>
      </w:r>
      <w:r>
        <w:rPr>
          <w:rFonts w:hint="eastAsia" w:ascii="宋体" w:hAnsi="宋体" w:eastAsia="宋体" w:cs="宋体"/>
          <w:color w:val="auto"/>
          <w:sz w:val="24"/>
          <w:szCs w:val="24"/>
        </w:rPr>
        <w:t>楼开标</w:t>
      </w:r>
      <w:r>
        <w:rPr>
          <w:rFonts w:hint="eastAsia" w:ascii="宋体" w:hAnsi="宋体" w:cs="宋体"/>
          <w:color w:val="auto"/>
          <w:sz w:val="24"/>
          <w:szCs w:val="24"/>
          <w:u w:val="none"/>
          <w:lang w:val="en-US" w:eastAsia="zh-CN"/>
        </w:rPr>
        <w:t>三</w:t>
      </w:r>
      <w:r>
        <w:rPr>
          <w:rFonts w:hint="eastAsia" w:ascii="宋体" w:hAnsi="宋体" w:eastAsia="宋体" w:cs="宋体"/>
          <w:color w:val="auto"/>
          <w:sz w:val="24"/>
          <w:szCs w:val="24"/>
        </w:rPr>
        <w:t>厅。</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六、发布</w:t>
      </w:r>
      <w:r>
        <w:rPr>
          <w:rFonts w:hint="eastAsia" w:ascii="宋体" w:hAnsi="宋体" w:eastAsia="宋体" w:cs="宋体"/>
          <w:b/>
          <w:bCs/>
          <w:sz w:val="24"/>
          <w:szCs w:val="24"/>
        </w:rPr>
        <w:t>公告</w:t>
      </w:r>
      <w:r>
        <w:rPr>
          <w:rFonts w:hint="eastAsia" w:ascii="宋体" w:hAnsi="宋体" w:eastAsia="宋体" w:cs="宋体"/>
          <w:b/>
          <w:bCs/>
          <w:sz w:val="24"/>
          <w:szCs w:val="24"/>
          <w:lang w:eastAsia="zh-CN"/>
        </w:rPr>
        <w:t>的媒介及</w:t>
      </w:r>
      <w:r>
        <w:rPr>
          <w:rFonts w:hint="eastAsia" w:ascii="宋体" w:hAnsi="宋体" w:cs="宋体"/>
          <w:b/>
          <w:bCs/>
          <w:sz w:val="24"/>
          <w:szCs w:val="24"/>
          <w:lang w:eastAsia="zh-CN"/>
        </w:rPr>
        <w:t>采购</w:t>
      </w:r>
      <w:r>
        <w:rPr>
          <w:rFonts w:hint="eastAsia" w:ascii="宋体" w:hAnsi="宋体" w:eastAsia="宋体" w:cs="宋体"/>
          <w:b/>
          <w:bCs/>
          <w:sz w:val="24"/>
          <w:szCs w:val="24"/>
          <w:lang w:eastAsia="zh-CN"/>
        </w:rPr>
        <w:t>公告</w:t>
      </w:r>
      <w:r>
        <w:rPr>
          <w:rFonts w:hint="eastAsia" w:ascii="宋体" w:hAnsi="宋体" w:eastAsia="宋体" w:cs="宋体"/>
          <w:b/>
          <w:bCs/>
          <w:sz w:val="24"/>
          <w:szCs w:val="24"/>
        </w:rPr>
        <w:t>期限：</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w:t>
      </w:r>
      <w:r>
        <w:rPr>
          <w:rFonts w:hint="eastAsia" w:ascii="宋体" w:hAnsi="宋体" w:cs="宋体"/>
          <w:sz w:val="24"/>
          <w:szCs w:val="24"/>
          <w:lang w:eastAsia="zh-CN"/>
        </w:rPr>
        <w:t>竞争性磋商</w:t>
      </w:r>
      <w:r>
        <w:rPr>
          <w:rFonts w:hint="eastAsia" w:ascii="宋体" w:hAnsi="宋体" w:eastAsia="宋体" w:cs="宋体"/>
          <w:sz w:val="24"/>
          <w:szCs w:val="24"/>
        </w:rPr>
        <w:t>公告</w:t>
      </w:r>
      <w:r>
        <w:rPr>
          <w:rFonts w:hint="eastAsia" w:ascii="宋体" w:hAnsi="宋体" w:eastAsia="宋体" w:cs="宋体"/>
          <w:sz w:val="24"/>
          <w:szCs w:val="24"/>
          <w:lang w:eastAsia="zh-CN"/>
        </w:rPr>
        <w:t>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w:t>
      </w:r>
      <w:r>
        <w:rPr>
          <w:rFonts w:hint="eastAsia" w:ascii="宋体" w:hAnsi="宋体" w:cs="宋体"/>
          <w:sz w:val="24"/>
          <w:szCs w:val="24"/>
          <w:lang w:eastAsia="zh-CN"/>
        </w:rPr>
        <w:t>。竞争性磋商</w:t>
      </w:r>
      <w:r>
        <w:rPr>
          <w:rFonts w:hint="eastAsia" w:ascii="宋体" w:hAnsi="宋体" w:eastAsia="宋体" w:cs="宋体"/>
          <w:sz w:val="24"/>
          <w:szCs w:val="24"/>
          <w:lang w:eastAsia="zh-CN"/>
        </w:rPr>
        <w:t>公告期限为</w:t>
      </w:r>
      <w:r>
        <w:rPr>
          <w:rFonts w:hint="eastAsia" w:ascii="宋体" w:hAnsi="宋体" w:eastAsia="宋体" w:cs="宋体"/>
          <w:sz w:val="24"/>
          <w:szCs w:val="24"/>
        </w:rPr>
        <w:t>五个工作日。</w:t>
      </w:r>
    </w:p>
    <w:p>
      <w:pPr>
        <w:keepNext w:val="0"/>
        <w:keepLines w:val="0"/>
        <w:widowControl/>
        <w:numPr>
          <w:ilvl w:val="0"/>
          <w:numId w:val="3"/>
        </w:numPr>
        <w:suppressLineNumbers w:val="0"/>
        <w:jc w:val="left"/>
        <w:rPr>
          <w:rFonts w:hint="eastAsia" w:ascii="宋体" w:hAnsi="宋体" w:cs="宋体"/>
          <w:b/>
          <w:bCs/>
          <w:sz w:val="24"/>
          <w:szCs w:val="24"/>
          <w:lang w:eastAsia="zh-CN"/>
        </w:rPr>
      </w:pPr>
      <w:r>
        <w:rPr>
          <w:rFonts w:hint="eastAsia" w:ascii="宋体" w:hAnsi="宋体" w:eastAsia="宋体" w:cs="宋体"/>
          <w:b/>
          <w:bCs/>
          <w:sz w:val="24"/>
          <w:szCs w:val="24"/>
        </w:rPr>
        <w:t>其他补充事宜</w:t>
      </w:r>
      <w:r>
        <w:rPr>
          <w:rFonts w:hint="eastAsia" w:ascii="宋体" w:hAnsi="宋体" w:cs="宋体"/>
          <w:b/>
          <w:bCs/>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1、请各供应商提前办理 CA 数字证书，并学习电子响应性文件制作。加密的电子响应性文件须使用 CA 数字证书上传。为防止网络拥堵等不可控因素影响加密的电子响应性文件上传，请各供应商提前上传，因未能及时上传</w:t>
      </w:r>
      <w:bookmarkStart w:id="188" w:name="_GoBack"/>
      <w:bookmarkEnd w:id="188"/>
      <w:r>
        <w:rPr>
          <w:rFonts w:hint="eastAsia" w:ascii="宋体" w:hAnsi="宋体" w:eastAsia="宋体" w:cs="宋体"/>
          <w:color w:val="auto"/>
          <w:sz w:val="24"/>
          <w:szCs w:val="24"/>
          <w:lang w:val="en-US" w:eastAsia="zh-CN"/>
        </w:rPr>
        <w:t xml:space="preserve">导致投标失败的责任由供应商自行承担。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 xml:space="preserve">2、按要求进行网上获取并下载竞争性磋商文件,凡未在规定时间内获取竞争性磋商文件者视为无效标。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获取竞争性磋商文件后，请下载并安装最新版本投标文件制作工具，制作电子响应性文件，在响应性文件提交截止时间前，上传加密的响应性文件。供应商未在响应性文件提交截止时间前完成上传的，视为逾期送达，焦作市电子招投标交易平台将拒绝接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 xml:space="preserve">4、平台统一技术服务电话为：400-998-0000，服务 QQ：4008503300, 服务时间：周一至周日 8：00-17：30（北京时间）。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FF"/>
          <w:sz w:val="24"/>
          <w:szCs w:val="24"/>
          <w:lang w:val="en-US" w:eastAsia="zh-CN"/>
        </w:rPr>
      </w:pPr>
      <w:r>
        <w:rPr>
          <w:rFonts w:hint="eastAsia" w:ascii="宋体" w:hAnsi="宋体" w:eastAsia="宋体" w:cs="宋体"/>
          <w:color w:val="auto"/>
          <w:sz w:val="24"/>
          <w:szCs w:val="24"/>
          <w:lang w:val="en-US" w:eastAsia="zh-CN"/>
        </w:rPr>
        <w:t>5、本项目采用远程不见面交易的模式，磋商当日，供应商无需到现场参加磋商会议，应在提交响应性文件截止时间前，登录“不见面开标大厅系统”，在线准时参加磋商活动，在规定时间内进行文件解密。各潜在供应商因加密电子响应性文件未能成功上传，其投标将被拒绝。供应商需在响应文件提交截止时间后 30 分钟内完成解密，否则造成的</w:t>
      </w:r>
      <w:r>
        <w:rPr>
          <w:rFonts w:hint="eastAsia" w:ascii="宋体" w:hAnsi="宋体" w:cs="宋体"/>
          <w:color w:val="auto"/>
          <w:sz w:val="24"/>
          <w:szCs w:val="24"/>
          <w:lang w:val="en-US" w:eastAsia="zh-CN"/>
        </w:rPr>
        <w:t>一</w:t>
      </w:r>
      <w:r>
        <w:rPr>
          <w:rFonts w:hint="eastAsia" w:ascii="宋体" w:hAnsi="宋体" w:eastAsia="宋体" w:cs="宋体"/>
          <w:color w:val="auto"/>
          <w:sz w:val="24"/>
          <w:szCs w:val="24"/>
          <w:lang w:val="en-US" w:eastAsia="zh-CN"/>
        </w:rPr>
        <w:t>切后果由供应商自行负责。除电子响应性文件外，磋商时不再接受任何纸质文件、资料等。</w:t>
      </w:r>
      <w:r>
        <w:rPr>
          <w:rFonts w:hint="eastAsia" w:ascii="宋体" w:hAnsi="宋体" w:eastAsia="宋体" w:cs="宋体"/>
          <w:color w:val="0000FF"/>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凡对本次采购提出询问，请按以下方式联系</w:t>
      </w:r>
    </w:p>
    <w:p>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cs="宋体"/>
          <w:sz w:val="24"/>
          <w:szCs w:val="24"/>
          <w:lang w:eastAsia="zh-CN"/>
        </w:rPr>
        <w:t>武陟县住房和城乡建设局</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lang w:eastAsia="zh-CN"/>
        </w:rPr>
        <w:t>河南省武陟县和平路118号</w:t>
      </w:r>
    </w:p>
    <w:p>
      <w:pPr>
        <w:pStyle w:val="2"/>
        <w:keepNext w:val="0"/>
        <w:keepLines w:val="0"/>
        <w:pageBreakBefore w:val="0"/>
        <w:widowControl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cs="宋体"/>
          <w:color w:val="auto"/>
          <w:sz w:val="24"/>
          <w:szCs w:val="24"/>
          <w:highlight w:val="none"/>
          <w:lang w:eastAsia="zh-CN"/>
        </w:rPr>
        <w:t>秦艳梅</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default"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rPr>
        <w:t>联系方式：</w:t>
      </w:r>
      <w:r>
        <w:rPr>
          <w:rFonts w:hint="eastAsia" w:ascii="宋体" w:hAnsi="宋体" w:cs="宋体"/>
          <w:sz w:val="24"/>
          <w:szCs w:val="24"/>
          <w:shd w:val="clear" w:color="auto" w:fill="FFFFFF"/>
          <w:lang w:val="en-US" w:eastAsia="zh-CN"/>
        </w:rPr>
        <w:t>15993762233</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2.采购代理机构信息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cs="宋体"/>
          <w:sz w:val="24"/>
          <w:szCs w:val="24"/>
          <w:lang w:eastAsia="zh-CN"/>
        </w:rPr>
        <w:t>中喆华晟云平台有限公司</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地 址：</w:t>
      </w:r>
      <w:r>
        <w:rPr>
          <w:rFonts w:hint="eastAsia" w:ascii="宋体" w:hAnsi="宋体" w:cs="宋体"/>
          <w:sz w:val="24"/>
          <w:szCs w:val="24"/>
          <w:lang w:eastAsia="zh-CN"/>
        </w:rPr>
        <w:t>武陟县云台大道东侧</w:t>
      </w:r>
      <w:r>
        <w:rPr>
          <w:rFonts w:hint="eastAsia" w:ascii="宋体" w:hAnsi="宋体" w:cs="宋体"/>
          <w:sz w:val="24"/>
          <w:szCs w:val="24"/>
          <w:lang w:val="en-US" w:eastAsia="zh-CN"/>
        </w:rPr>
        <w:t>2号</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cs="宋体"/>
          <w:sz w:val="24"/>
          <w:szCs w:val="24"/>
          <w:highlight w:val="none"/>
          <w:lang w:eastAsia="zh-CN"/>
        </w:rPr>
        <w:t>荆超</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16"/>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cs="宋体"/>
          <w:color w:val="auto"/>
          <w:sz w:val="24"/>
          <w:szCs w:val="24"/>
          <w:highlight w:val="none"/>
          <w:lang w:eastAsia="zh-CN"/>
        </w:rPr>
        <w:t>秦艳梅</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电　话：</w:t>
      </w:r>
      <w:r>
        <w:rPr>
          <w:rFonts w:hint="eastAsia" w:ascii="宋体" w:hAnsi="宋体" w:cs="宋体"/>
          <w:sz w:val="24"/>
          <w:szCs w:val="24"/>
          <w:shd w:val="clear" w:color="auto" w:fill="FFFFFF"/>
          <w:lang w:val="en-US" w:eastAsia="zh-CN"/>
        </w:rPr>
        <w:t>15993762233</w:t>
      </w:r>
    </w:p>
    <w:p>
      <w:pPr>
        <w:spacing w:line="380" w:lineRule="exact"/>
        <w:ind w:firstLine="6000" w:firstLineChars="2500"/>
        <w:rPr>
          <w:rFonts w:hint="eastAsia" w:ascii="宋体" w:hAnsi="宋体" w:cs="宋体"/>
          <w:sz w:val="24"/>
          <w:szCs w:val="24"/>
          <w:u w:val="none"/>
        </w:rPr>
        <w:sectPr>
          <w:footerReference r:id="rId10" w:type="default"/>
          <w:pgSz w:w="11906" w:h="16838"/>
          <w:pgMar w:top="1134" w:right="1134" w:bottom="1134" w:left="1474" w:header="851" w:footer="510" w:gutter="0"/>
          <w:cols w:space="720" w:num="1"/>
          <w:docGrid w:type="lines" w:linePitch="312" w:charSpace="0"/>
        </w:sectPr>
      </w:pPr>
      <w:r>
        <w:rPr>
          <w:rFonts w:hint="eastAsia" w:ascii="宋体" w:hAnsi="宋体" w:cs="宋体"/>
          <w:sz w:val="24"/>
          <w:szCs w:val="24"/>
          <w:u w:val="none"/>
        </w:rPr>
        <w:t>时间：</w:t>
      </w:r>
      <w:r>
        <w:rPr>
          <w:rFonts w:hint="eastAsia" w:ascii="宋体" w:hAnsi="宋体" w:cs="宋体"/>
          <w:sz w:val="24"/>
          <w:szCs w:val="24"/>
          <w:u w:val="none"/>
          <w:lang w:val="en-US" w:eastAsia="zh-CN"/>
        </w:rPr>
        <w:t xml:space="preserve">    </w:t>
      </w:r>
      <w:r>
        <w:rPr>
          <w:rFonts w:hint="eastAsia" w:ascii="宋体" w:hAnsi="宋体" w:cs="宋体"/>
          <w:sz w:val="24"/>
          <w:szCs w:val="24"/>
          <w:u w:val="none"/>
        </w:rPr>
        <w:t>年</w:t>
      </w:r>
      <w:r>
        <w:rPr>
          <w:rFonts w:hint="eastAsia" w:ascii="宋体" w:hAnsi="宋体" w:cs="宋体"/>
          <w:sz w:val="24"/>
          <w:szCs w:val="24"/>
          <w:u w:val="none"/>
          <w:lang w:val="en-US" w:eastAsia="zh-CN"/>
        </w:rPr>
        <w:t xml:space="preserve">  </w:t>
      </w:r>
      <w:r>
        <w:rPr>
          <w:rFonts w:hint="eastAsia" w:ascii="宋体" w:hAnsi="宋体" w:cs="宋体"/>
          <w:sz w:val="24"/>
          <w:szCs w:val="24"/>
          <w:u w:val="none"/>
        </w:rPr>
        <w:t>月</w:t>
      </w:r>
      <w:r>
        <w:rPr>
          <w:rFonts w:hint="eastAsia" w:ascii="宋体" w:hAnsi="宋体" w:cs="宋体"/>
          <w:sz w:val="24"/>
          <w:szCs w:val="24"/>
          <w:u w:val="none"/>
          <w:lang w:val="en-US" w:eastAsia="zh-CN"/>
        </w:rPr>
        <w:t xml:space="preserve">  </w:t>
      </w:r>
      <w:r>
        <w:rPr>
          <w:rFonts w:hint="eastAsia" w:ascii="宋体" w:hAnsi="宋体" w:cs="宋体"/>
          <w:sz w:val="24"/>
          <w:szCs w:val="24"/>
          <w:u w:val="none"/>
        </w:rPr>
        <w:t>日</w:t>
      </w:r>
    </w:p>
    <w:p>
      <w:pPr>
        <w:pStyle w:val="36"/>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0" w:name="_Toc29694"/>
      <w:bookmarkStart w:id="11" w:name="_Toc15530"/>
      <w:r>
        <w:rPr>
          <w:rFonts w:hint="eastAsia" w:ascii="宋体" w:hAnsi="宋体" w:cs="宋体"/>
        </w:rPr>
        <w:t>供应商须知</w:t>
      </w:r>
      <w:bookmarkEnd w:id="4"/>
      <w:bookmarkEnd w:id="10"/>
      <w:bookmarkEnd w:id="11"/>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firstLine="420" w:firstLine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8"/>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采购人</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eastAsia="宋体" w:cs="宋体"/>
                <w:kern w:val="0"/>
                <w:szCs w:val="21"/>
                <w:lang w:eastAsia="zh-CN"/>
              </w:rPr>
              <w:t>武陟县住房和城乡建设局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w:t>
            </w:r>
          </w:p>
        </w:tc>
        <w:tc>
          <w:tcPr>
            <w:tcW w:w="6563" w:type="dxa"/>
            <w:noWrap w:val="0"/>
            <w:vAlign w:val="center"/>
          </w:tcPr>
          <w:p>
            <w:pPr>
              <w:spacing w:line="460" w:lineRule="exact"/>
              <w:jc w:val="left"/>
              <w:rPr>
                <w:rFonts w:hint="eastAsia" w:ascii="宋体" w:hAnsi="宋体" w:eastAsia="宋体" w:cs="宋体"/>
                <w:kern w:val="0"/>
                <w:szCs w:val="21"/>
              </w:rPr>
            </w:pPr>
            <w:r>
              <w:rPr>
                <w:rFonts w:hint="eastAsia" w:ascii="宋体" w:hAnsi="宋体" w:eastAsia="宋体" w:cs="宋体"/>
                <w:kern w:val="0"/>
                <w:szCs w:val="21"/>
                <w:lang w:eastAsia="zh-CN"/>
              </w:rPr>
              <w:t>中喆华晟云平台有限公司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项目名称</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eastAsia="宋体" w:cs="宋体"/>
                <w:kern w:val="0"/>
                <w:szCs w:val="21"/>
                <w:lang w:eastAsia="zh-CN"/>
              </w:rPr>
              <w:t>武陟县住房和城乡建设局施工图审查服务采购项目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eastAsia="宋体" w:cs="宋体"/>
                <w:kern w:val="0"/>
                <w:szCs w:val="21"/>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6</w:t>
            </w:r>
          </w:p>
        </w:tc>
        <w:tc>
          <w:tcPr>
            <w:tcW w:w="2131" w:type="dxa"/>
            <w:noWrap w:val="0"/>
            <w:vAlign w:val="center"/>
          </w:tcPr>
          <w:p>
            <w:pPr>
              <w:spacing w:line="460" w:lineRule="exac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报价说明</w:t>
            </w:r>
          </w:p>
        </w:tc>
        <w:tc>
          <w:tcPr>
            <w:tcW w:w="6563" w:type="dxa"/>
            <w:noWrap w:val="0"/>
            <w:vAlign w:val="center"/>
          </w:tcPr>
          <w:p>
            <w:pPr>
              <w:numPr>
                <w:ilvl w:val="0"/>
                <w:numId w:val="0"/>
              </w:numPr>
              <w:spacing w:line="460" w:lineRule="exact"/>
              <w:ind w:firstLine="420" w:firstLineChars="200"/>
              <w:rPr>
                <w:rFonts w:hint="eastAsia" w:ascii="宋体" w:hAnsi="宋体" w:cs="宋体"/>
                <w:color w:val="auto"/>
                <w:kern w:val="0"/>
                <w:szCs w:val="21"/>
                <w:lang w:val="en-US" w:eastAsia="zh-CN"/>
              </w:rPr>
            </w:pPr>
            <w:r>
              <w:rPr>
                <w:rFonts w:hint="eastAsia" w:ascii="宋体" w:hAnsi="宋体" w:cs="宋体"/>
                <w:color w:val="auto"/>
                <w:kern w:val="0"/>
                <w:szCs w:val="21"/>
                <w:lang w:val="en-US" w:eastAsia="zh-CN"/>
              </w:rPr>
              <w:t>1.供应商所报总价（折扣报价）应包括其履行本项目合同（如果成交）所需的所有费用，包括但不限于所投入的全部人工成本、管理费、利润和税金等。</w:t>
            </w:r>
          </w:p>
          <w:p>
            <w:pPr>
              <w:ind w:firstLine="482" w:firstLineChars="200"/>
              <w:rPr>
                <w:rFonts w:hint="eastAsia" w:ascii="宋体" w:hAnsi="宋体" w:cs="宋体"/>
                <w:b/>
                <w:bCs/>
                <w:sz w:val="24"/>
                <w:szCs w:val="22"/>
                <w:lang w:val="en-US" w:eastAsia="zh-CN"/>
              </w:rPr>
            </w:pPr>
            <w:r>
              <w:rPr>
                <w:rFonts w:hint="eastAsia" w:ascii="宋体" w:hAnsi="宋体" w:cs="宋体"/>
                <w:b/>
                <w:bCs/>
                <w:sz w:val="24"/>
                <w:szCs w:val="22"/>
                <w:lang w:val="en-US" w:eastAsia="zh-CN"/>
              </w:rPr>
              <w:t>2.本项目采用折扣报价的方式进行报价，计算方法如下：</w:t>
            </w:r>
          </w:p>
          <w:p>
            <w:pPr>
              <w:ind w:firstLine="482" w:firstLineChars="200"/>
              <w:rPr>
                <w:rFonts w:hint="eastAsia" w:ascii="宋体" w:hAnsi="宋体" w:eastAsia="宋体" w:cs="宋体"/>
                <w:b/>
                <w:bCs/>
                <w:sz w:val="24"/>
                <w:szCs w:val="22"/>
                <w:lang w:eastAsia="zh-CN"/>
              </w:rPr>
            </w:pPr>
            <w:r>
              <w:rPr>
                <w:rFonts w:hint="eastAsia" w:ascii="宋体" w:hAnsi="宋体" w:cs="宋体"/>
                <w:b/>
                <w:bCs/>
                <w:sz w:val="24"/>
                <w:szCs w:val="22"/>
                <w:lang w:eastAsia="zh-CN"/>
              </w:rPr>
              <w:t>本项目最终结算价的计算公式：</w:t>
            </w:r>
            <w:r>
              <w:rPr>
                <w:rFonts w:hint="eastAsia" w:ascii="宋体" w:hAnsi="宋体" w:cs="宋体"/>
                <w:b/>
                <w:bCs/>
                <w:sz w:val="24"/>
                <w:szCs w:val="22"/>
                <w:lang w:val="en-US" w:eastAsia="zh-CN"/>
              </w:rPr>
              <w:t>《河南省施工图设计文件审查结算标准》规定的计算价</w:t>
            </w:r>
            <w:r>
              <w:rPr>
                <w:rFonts w:hint="eastAsia" w:ascii="宋体" w:hAnsi="宋体"/>
                <w:b/>
                <w:bCs/>
                <w:sz w:val="21"/>
                <w:szCs w:val="21"/>
              </w:rPr>
              <w:t>×</w:t>
            </w:r>
            <w:r>
              <w:rPr>
                <w:rFonts w:hint="eastAsia" w:ascii="宋体" w:hAnsi="宋体"/>
                <w:b/>
                <w:bCs/>
                <w:sz w:val="21"/>
                <w:szCs w:val="21"/>
                <w:lang w:eastAsia="zh-CN"/>
              </w:rPr>
              <w:t>成交</w:t>
            </w:r>
            <w:r>
              <w:rPr>
                <w:rFonts w:hint="eastAsia" w:ascii="宋体" w:hAnsi="宋体" w:cs="宋体"/>
                <w:b/>
                <w:bCs/>
                <w:sz w:val="24"/>
                <w:szCs w:val="22"/>
                <w:lang w:val="en-US" w:eastAsia="zh-CN"/>
              </w:rPr>
              <w:t>供应商第二轮磋商报价（折扣）。</w:t>
            </w:r>
          </w:p>
          <w:p>
            <w:pPr>
              <w:ind w:firstLine="442" w:firstLineChars="200"/>
              <w:rPr>
                <w:rFonts w:hint="eastAsia" w:ascii="宋体" w:hAnsi="宋体" w:cs="宋体"/>
                <w:b/>
                <w:bCs/>
                <w:sz w:val="22"/>
                <w:szCs w:val="21"/>
                <w:lang w:val="en-US" w:eastAsia="zh-CN"/>
              </w:rPr>
            </w:pPr>
            <w:r>
              <w:rPr>
                <w:rFonts w:hint="eastAsia" w:ascii="宋体" w:hAnsi="宋体" w:cs="宋体"/>
                <w:b/>
                <w:bCs/>
                <w:sz w:val="22"/>
                <w:szCs w:val="21"/>
                <w:lang w:eastAsia="zh-CN"/>
              </w:rPr>
              <w:t>例如：武陟县</w:t>
            </w:r>
            <w:r>
              <w:rPr>
                <w:rFonts w:hint="eastAsia" w:ascii="宋体" w:hAnsi="宋体" w:cs="宋体"/>
                <w:b/>
                <w:bCs/>
                <w:sz w:val="22"/>
                <w:szCs w:val="21"/>
                <w:lang w:val="en-US" w:eastAsia="zh-CN"/>
              </w:rPr>
              <w:t>***项目施工图审查，带人防工程公共建筑总面积为1000㎡，成交供应商第二轮折扣报价为90%</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firstLine="221" w:firstLineChars="100"/>
              <w:jc w:val="left"/>
              <w:textAlignment w:val="auto"/>
              <w:rPr>
                <w:rFonts w:hint="eastAsia" w:ascii="宋体" w:hAnsi="宋体"/>
                <w:b/>
                <w:bCs/>
                <w:sz w:val="21"/>
                <w:szCs w:val="21"/>
                <w:lang w:val="en-US" w:eastAsia="zh-CN"/>
              </w:rPr>
            </w:pPr>
            <w:r>
              <w:rPr>
                <w:rFonts w:hint="eastAsia" w:ascii="宋体" w:hAnsi="宋体" w:cs="宋体"/>
                <w:b/>
                <w:bCs/>
                <w:sz w:val="22"/>
                <w:szCs w:val="21"/>
                <w:lang w:val="en-US" w:eastAsia="zh-CN"/>
              </w:rPr>
              <w:t>1000</w:t>
            </w:r>
            <w:r>
              <w:rPr>
                <w:rFonts w:hint="eastAsia" w:ascii="宋体" w:hAnsi="宋体"/>
                <w:b/>
                <w:bCs/>
                <w:sz w:val="21"/>
                <w:szCs w:val="21"/>
              </w:rPr>
              <w:t>×</w:t>
            </w:r>
            <w:r>
              <w:rPr>
                <w:rFonts w:hint="eastAsia" w:ascii="宋体" w:hAnsi="宋体"/>
                <w:b/>
                <w:bCs/>
                <w:sz w:val="21"/>
                <w:szCs w:val="21"/>
                <w:lang w:val="en-US" w:eastAsia="zh-CN"/>
              </w:rPr>
              <w:t>1.9</w:t>
            </w:r>
            <w:r>
              <w:rPr>
                <w:rFonts w:hint="eastAsia" w:ascii="宋体" w:hAnsi="宋体"/>
                <w:b/>
                <w:bCs/>
                <w:sz w:val="21"/>
                <w:szCs w:val="21"/>
              </w:rPr>
              <w:t>×</w:t>
            </w:r>
            <w:r>
              <w:rPr>
                <w:rFonts w:hint="eastAsia" w:ascii="宋体" w:hAnsi="宋体"/>
                <w:b/>
                <w:bCs/>
                <w:sz w:val="21"/>
                <w:szCs w:val="21"/>
                <w:lang w:val="en-US" w:eastAsia="zh-CN"/>
              </w:rPr>
              <w:t>0.9=1710元</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firstLine="211" w:firstLineChars="100"/>
              <w:jc w:val="left"/>
              <w:textAlignment w:val="auto"/>
              <w:rPr>
                <w:rFonts w:hint="default"/>
                <w:lang w:val="en-US"/>
              </w:rPr>
            </w:pPr>
            <w:r>
              <w:rPr>
                <w:rFonts w:hint="eastAsia" w:ascii="宋体" w:hAnsi="宋体" w:cs="宋体"/>
                <w:b/>
                <w:bCs/>
                <w:kern w:val="2"/>
                <w:sz w:val="21"/>
                <w:szCs w:val="21"/>
                <w:highlight w:val="none"/>
                <w:lang w:val="en-US" w:eastAsia="zh-CN" w:bidi="ar-SA"/>
              </w:rPr>
              <w:t>供应商</w:t>
            </w:r>
            <w:r>
              <w:rPr>
                <w:rFonts w:hint="eastAsia" w:ascii="宋体" w:hAnsi="宋体" w:eastAsia="宋体" w:cs="宋体"/>
                <w:b/>
                <w:bCs/>
                <w:kern w:val="2"/>
                <w:sz w:val="21"/>
                <w:szCs w:val="21"/>
                <w:highlight w:val="none"/>
                <w:lang w:val="en-US" w:eastAsia="zh-CN" w:bidi="ar-SA"/>
              </w:rPr>
              <w:t>所报折扣不得超过100%。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7</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olor w:val="auto"/>
                <w:szCs w:val="21"/>
              </w:rPr>
              <w:t>项目属性</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olor w:val="auto"/>
                <w:szCs w:val="21"/>
              </w:rPr>
              <w:t>货物</w:t>
            </w:r>
            <w:r>
              <w:rPr>
                <w:rFonts w:hint="eastAsia" w:hAnsi="宋体"/>
                <w:color w:val="auto"/>
                <w:szCs w:val="21"/>
              </w:rPr>
              <w:sym w:font="Wingdings" w:char="00A8"/>
            </w:r>
            <w:r>
              <w:rPr>
                <w:rFonts w:hint="eastAsia" w:hAnsi="宋体"/>
                <w:color w:val="auto"/>
                <w:szCs w:val="21"/>
              </w:rPr>
              <w:t xml:space="preserve">      </w:t>
            </w:r>
            <w:r>
              <w:rPr>
                <w:rFonts w:hint="eastAsia" w:ascii="宋体" w:hAnsi="宋体"/>
                <w:color w:val="auto"/>
                <w:szCs w:val="21"/>
              </w:rPr>
              <w:t>服务</w:t>
            </w:r>
            <w:r>
              <w:rPr>
                <w:rFonts w:hint="eastAsia" w:hAnsi="宋体"/>
                <w:color w:val="auto"/>
                <w:szCs w:val="21"/>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b/>
                <w:bCs/>
                <w:color w:val="auto"/>
                <w:szCs w:val="21"/>
                <w:lang w:val="en-US" w:eastAsia="zh-CN"/>
              </w:rPr>
              <w:t>1</w:t>
            </w:r>
            <w:r>
              <w:rPr>
                <w:rFonts w:hint="eastAsia" w:ascii="宋体" w:hAnsi="宋体" w:cs="宋体"/>
                <w:b/>
                <w:bCs/>
                <w:color w:val="auto"/>
                <w:szCs w:val="21"/>
                <w:lang w:eastAsia="zh-CN"/>
              </w:rPr>
              <w:t>万</w:t>
            </w:r>
            <w:r>
              <w:rPr>
                <w:rFonts w:hint="eastAsia" w:ascii="宋体" w:hAnsi="宋体" w:cs="宋体"/>
                <w:b/>
                <w:bCs/>
                <w:color w:val="auto"/>
                <w:szCs w:val="21"/>
              </w:rPr>
              <w:t>元</w:t>
            </w:r>
            <w:r>
              <w:rPr>
                <w:rFonts w:hint="eastAsia" w:ascii="宋体" w:hAnsi="宋体" w:cs="宋体"/>
                <w:b/>
                <w:bCs/>
                <w:szCs w:val="21"/>
              </w:rPr>
              <w:t>（暂不缴纳）</w:t>
            </w:r>
          </w:p>
          <w:p>
            <w:pPr>
              <w:spacing w:line="400" w:lineRule="exact"/>
              <w:rPr>
                <w:rFonts w:hint="eastAsia" w:ascii="宋体" w:hAnsi="宋体" w:cs="宋体"/>
                <w:szCs w:val="21"/>
              </w:rPr>
            </w:pPr>
            <w:r>
              <w:rPr>
                <w:rFonts w:hint="eastAsia" w:ascii="宋体" w:hAnsi="宋体" w:cs="宋体"/>
                <w:szCs w:val="21"/>
              </w:rPr>
              <w:t>2.供应商有下列情形之一的，采购人将追索</w:t>
            </w:r>
            <w:r>
              <w:rPr>
                <w:rFonts w:hint="eastAsia" w:ascii="宋体" w:hAnsi="宋体" w:cs="宋体"/>
                <w:kern w:val="0"/>
                <w:szCs w:val="21"/>
              </w:rPr>
              <w:t>磋商</w:t>
            </w:r>
            <w:r>
              <w:rPr>
                <w:rFonts w:hint="eastAsia" w:ascii="宋体" w:hAnsi="宋体" w:cs="宋体"/>
                <w:szCs w:val="21"/>
              </w:rPr>
              <w:t>保证金人民</w:t>
            </w:r>
            <w:r>
              <w:rPr>
                <w:rFonts w:hint="eastAsia" w:ascii="宋体" w:hAnsi="宋体" w:cs="宋体"/>
                <w:color w:val="auto"/>
                <w:szCs w:val="21"/>
              </w:rPr>
              <w:t>币</w:t>
            </w:r>
            <w:r>
              <w:rPr>
                <w:rFonts w:hint="eastAsia" w:ascii="宋体" w:hAnsi="宋体" w:cs="宋体"/>
                <w:b/>
                <w:bCs/>
                <w:color w:val="auto"/>
                <w:kern w:val="0"/>
                <w:szCs w:val="21"/>
                <w:lang w:val="en-US" w:eastAsia="zh-CN"/>
              </w:rPr>
              <w:t>1</w:t>
            </w:r>
            <w:r>
              <w:rPr>
                <w:rFonts w:hint="eastAsia" w:ascii="宋体" w:hAnsi="宋体" w:cs="宋体"/>
                <w:b/>
                <w:bCs/>
                <w:color w:val="auto"/>
                <w:kern w:val="0"/>
                <w:szCs w:val="21"/>
                <w:lang w:eastAsia="zh-CN"/>
              </w:rPr>
              <w:t>万元</w:t>
            </w:r>
            <w:r>
              <w:rPr>
                <w:rFonts w:hint="eastAsia" w:ascii="宋体" w:hAnsi="宋体" w:cs="宋体"/>
                <w:szCs w:val="21"/>
              </w:rPr>
              <w:t>，</w:t>
            </w:r>
            <w:r>
              <w:rPr>
                <w:rFonts w:hint="eastAsia" w:ascii="宋体" w:hAnsi="宋体" w:cs="宋体"/>
                <w:b/>
                <w:bCs/>
                <w:szCs w:val="21"/>
              </w:rPr>
              <w:t>并予以没收</w:t>
            </w:r>
            <w:r>
              <w:rPr>
                <w:rFonts w:hint="eastAsia" w:ascii="宋体" w:hAnsi="宋体" w:cs="宋体"/>
                <w:szCs w:val="21"/>
              </w:rPr>
              <w:t>，供应商应作出相应承诺（承诺书格式见第六章响应文件格式中）：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9"/>
              <w:spacing w:before="1" w:line="440" w:lineRule="exact"/>
              <w:ind w:left="108"/>
              <w:jc w:val="center"/>
              <w:rPr>
                <w:rFonts w:hint="eastAsia" w:ascii="宋体" w:hAnsi="宋体" w:cs="宋体"/>
                <w:color w:val="auto"/>
                <w:kern w:val="0"/>
                <w:szCs w:val="21"/>
              </w:rPr>
            </w:pPr>
            <w:r>
              <w:rPr>
                <w:rFonts w:hint="eastAsia" w:ascii="宋体" w:hAnsi="宋体" w:cs="宋体"/>
                <w:color w:val="auto"/>
                <w:sz w:val="21"/>
                <w:szCs w:val="21"/>
              </w:rPr>
              <w:t>响应文件的递交</w:t>
            </w:r>
          </w:p>
        </w:tc>
        <w:tc>
          <w:tcPr>
            <w:tcW w:w="6563" w:type="dxa"/>
            <w:noWrap w:val="0"/>
            <w:vAlign w:val="center"/>
          </w:tcPr>
          <w:p>
            <w:pPr>
              <w:keepNext w:val="0"/>
              <w:keepLines w:val="0"/>
              <w:widowControl/>
              <w:suppressLineNumbers w:val="0"/>
              <w:jc w:val="left"/>
              <w:rPr>
                <w:color w:val="auto"/>
              </w:rPr>
            </w:pPr>
            <w:r>
              <w:rPr>
                <w:rFonts w:hint="eastAsia" w:ascii="宋体" w:hAnsi="宋体" w:eastAsia="宋体" w:cs="宋体"/>
                <w:color w:val="auto"/>
                <w:kern w:val="0"/>
                <w:sz w:val="21"/>
                <w:szCs w:val="21"/>
                <w:lang w:val="en-US" w:eastAsia="zh-CN" w:bidi="ar"/>
              </w:rPr>
              <w:t xml:space="preserve">1、本项目为不见面开标，加密电子响应性文件须在响应性文件提交截 止时间前通过“焦作市公共资源交易中心”网站-交易平台加密上传。除电子响应性文件外，磋商时不再接受任何纸质文件、资料等。 </w:t>
            </w:r>
          </w:p>
          <w:p>
            <w:pPr>
              <w:keepNext w:val="0"/>
              <w:keepLines w:val="0"/>
              <w:widowControl/>
              <w:suppressLineNumbers w:val="0"/>
              <w:jc w:val="left"/>
              <w:rPr>
                <w:rFonts w:hint="eastAsia" w:ascii="宋体" w:hAnsi="宋体" w:cs="宋体"/>
                <w:color w:val="auto"/>
                <w:kern w:val="0"/>
                <w:szCs w:val="21"/>
              </w:rPr>
            </w:pPr>
            <w:r>
              <w:rPr>
                <w:rFonts w:hint="eastAsia" w:ascii="宋体" w:hAnsi="宋体" w:eastAsia="宋体" w:cs="宋体"/>
                <w:color w:val="auto"/>
                <w:kern w:val="0"/>
                <w:sz w:val="21"/>
                <w:szCs w:val="21"/>
                <w:lang w:val="en-US" w:eastAsia="zh-CN" w:bidi="ar"/>
              </w:rPr>
              <w:t xml:space="preserve">2、未在响应性文件提交截止时间前完成上传加密的电子响应性文件视为逾期送达。逾期上传或未按规定方式上传加密的电子响应性文件，投标无效。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13</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磋商小组组成</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磋商小组由采购人代表和评审专家共 3人及以上单数组成，其中评审专家人数不得少于磋商小组成员总数的三分之二。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14</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是否授权磋商小组</w:t>
            </w:r>
          </w:p>
          <w:p>
            <w:pPr>
              <w:jc w:val="center"/>
              <w:rPr>
                <w:rFonts w:hint="eastAsia" w:ascii="宋体" w:hAnsi="宋体" w:cs="宋体"/>
                <w:kern w:val="0"/>
                <w:szCs w:val="21"/>
              </w:rPr>
            </w:pPr>
            <w:r>
              <w:rPr>
                <w:rFonts w:hint="eastAsia" w:ascii="宋体" w:hAnsi="宋体" w:cs="宋体"/>
                <w:kern w:val="0"/>
                <w:szCs w:val="21"/>
              </w:rPr>
              <w:t>确定成交人</w:t>
            </w:r>
          </w:p>
        </w:tc>
        <w:tc>
          <w:tcPr>
            <w:tcW w:w="6563" w:type="dxa"/>
            <w:noWrap w:val="0"/>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rPr>
              <w:t>否，推荐的成交候选人数:1-3 名</w:t>
            </w:r>
            <w:r>
              <w:rPr>
                <w:rFonts w:hint="eastAsia" w:ascii="宋体" w:hAnsi="宋体" w:cs="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rPr>
              <w:t>1</w:t>
            </w:r>
            <w:r>
              <w:rPr>
                <w:rFonts w:hint="eastAsia" w:ascii="宋体" w:hAnsi="宋体" w:cs="宋体"/>
                <w:kern w:val="0"/>
                <w:szCs w:val="21"/>
                <w:lang w:val="en-US" w:eastAsia="zh-CN"/>
              </w:rPr>
              <w:t>5</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w:t>
            </w:r>
            <w:r>
              <w:rPr>
                <w:rFonts w:hint="eastAsia"/>
                <w:szCs w:val="21"/>
                <w:lang w:val="en-US" w:eastAsia="zh-CN"/>
              </w:rPr>
              <w:t>4</w:t>
            </w:r>
            <w:r>
              <w:rPr>
                <w:rFonts w:hint="eastAsia"/>
                <w:szCs w:val="21"/>
              </w:rPr>
              <w:t>）</w:t>
            </w:r>
            <w:r>
              <w:rPr>
                <w:rFonts w:hint="eastAsia" w:ascii="宋体" w:hAnsi="宋体"/>
                <w:kern w:val="0"/>
                <w:szCs w:val="21"/>
              </w:rPr>
              <w:t>磋商</w:t>
            </w:r>
            <w:r>
              <w:rPr>
                <w:rFonts w:hint="eastAsia"/>
                <w:szCs w:val="21"/>
              </w:rPr>
              <w:t>小组对已通过资格性、符合性审查的供应商发起二轮(最后报价)邀请。</w:t>
            </w:r>
          </w:p>
          <w:p>
            <w:pPr>
              <w:pStyle w:val="2"/>
              <w:spacing w:line="400" w:lineRule="exact"/>
              <w:rPr>
                <w:rFonts w:hint="eastAsia"/>
                <w:kern w:val="2"/>
                <w:szCs w:val="21"/>
              </w:rPr>
            </w:pPr>
            <w:r>
              <w:rPr>
                <w:rFonts w:hint="eastAsia"/>
                <w:kern w:val="2"/>
                <w:szCs w:val="21"/>
              </w:rPr>
              <w:t>（</w:t>
            </w:r>
            <w:r>
              <w:rPr>
                <w:rFonts w:hint="eastAsia"/>
                <w:kern w:val="2"/>
                <w:szCs w:val="21"/>
                <w:lang w:val="en-US" w:eastAsia="zh-CN"/>
              </w:rPr>
              <w:t>5</w:t>
            </w:r>
            <w:r>
              <w:rPr>
                <w:rFonts w:hint="eastAsia"/>
                <w:kern w:val="2"/>
                <w:szCs w:val="21"/>
              </w:rPr>
              <w:t>）由磋商小组采用综合评分法对提交最后报价</w:t>
            </w:r>
            <w:r>
              <w:rPr>
                <w:rFonts w:hint="eastAsia" w:ascii="宋体" w:hAnsi="宋体" w:cs="宋体"/>
                <w:color w:val="auto"/>
                <w:kern w:val="0"/>
                <w:szCs w:val="21"/>
                <w:lang w:val="en-US" w:eastAsia="zh-CN"/>
              </w:rPr>
              <w:t>（折扣报价）</w:t>
            </w:r>
            <w:r>
              <w:rPr>
                <w:rFonts w:hint="eastAsia"/>
                <w:kern w:val="2"/>
                <w:szCs w:val="21"/>
              </w:rPr>
              <w:t>的供应商的响应文件和最后报价</w:t>
            </w:r>
            <w:r>
              <w:rPr>
                <w:rFonts w:hint="eastAsia" w:ascii="宋体" w:hAnsi="宋体" w:cs="宋体"/>
                <w:color w:val="auto"/>
                <w:kern w:val="0"/>
                <w:szCs w:val="21"/>
                <w:lang w:val="en-US" w:eastAsia="zh-CN"/>
              </w:rPr>
              <w:t>（折扣报价）</w:t>
            </w:r>
            <w:r>
              <w:rPr>
                <w:rFonts w:hint="eastAsia"/>
                <w:kern w:val="2"/>
                <w:szCs w:val="21"/>
              </w:rPr>
              <w:t>进行综合评分并出具评审报告。</w:t>
            </w:r>
          </w:p>
          <w:p>
            <w:pPr>
              <w:pStyle w:val="3"/>
              <w:spacing w:line="400" w:lineRule="exact"/>
              <w:ind w:firstLine="211" w:firstLineChars="100"/>
              <w:rPr>
                <w:rFonts w:hint="eastAsia"/>
                <w:b/>
                <w:bCs/>
                <w:kern w:val="2"/>
                <w:szCs w:val="21"/>
              </w:rPr>
            </w:pPr>
            <w:r>
              <w:rPr>
                <w:rFonts w:hint="eastAsia"/>
                <w:b/>
                <w:bCs/>
                <w:kern w:val="2"/>
                <w:szCs w:val="21"/>
              </w:rPr>
              <w:t>备注：1.</w:t>
            </w:r>
            <w:r>
              <w:rPr>
                <w:rFonts w:hint="eastAsia" w:ascii="宋体" w:hAnsi="宋体" w:eastAsia="宋体" w:cs="宋体"/>
                <w:b/>
                <w:bCs/>
                <w:kern w:val="0"/>
                <w:sz w:val="21"/>
                <w:szCs w:val="21"/>
                <w:lang w:eastAsia="zh-CN"/>
              </w:rPr>
              <w:t>多包项目的，</w:t>
            </w:r>
            <w:r>
              <w:rPr>
                <w:rFonts w:hint="eastAsia" w:ascii="宋体" w:hAnsi="宋体" w:cs="宋体"/>
                <w:b/>
                <w:bCs/>
                <w:kern w:val="0"/>
                <w:sz w:val="21"/>
                <w:szCs w:val="21"/>
                <w:lang w:eastAsia="zh-CN"/>
              </w:rPr>
              <w:t>磋商</w:t>
            </w:r>
            <w:r>
              <w:rPr>
                <w:rFonts w:hint="eastAsia" w:ascii="宋体" w:hAnsi="宋体" w:eastAsia="宋体" w:cs="宋体"/>
                <w:b/>
                <w:bCs/>
                <w:kern w:val="0"/>
                <w:sz w:val="21"/>
                <w:szCs w:val="21"/>
                <w:lang w:eastAsia="zh-CN"/>
              </w:rPr>
              <w:t>会议将按包的顺序依次进行，请各</w:t>
            </w:r>
            <w:r>
              <w:rPr>
                <w:rFonts w:hint="eastAsia" w:ascii="宋体" w:hAnsi="宋体" w:cs="宋体"/>
                <w:b/>
                <w:bCs/>
                <w:kern w:val="0"/>
                <w:sz w:val="21"/>
                <w:szCs w:val="21"/>
                <w:lang w:eastAsia="zh-CN"/>
              </w:rPr>
              <w:t>供应商</w:t>
            </w:r>
            <w:r>
              <w:rPr>
                <w:rFonts w:hint="eastAsia" w:ascii="宋体" w:hAnsi="宋体" w:eastAsia="宋体" w:cs="宋体"/>
                <w:b/>
                <w:bCs/>
                <w:kern w:val="0"/>
                <w:sz w:val="21"/>
                <w:szCs w:val="21"/>
                <w:lang w:eastAsia="zh-CN"/>
              </w:rPr>
              <w:t>时刻关注焦作市不见面开标大厅系统。</w:t>
            </w:r>
          </w:p>
          <w:p>
            <w:pPr>
              <w:pStyle w:val="3"/>
              <w:spacing w:line="400" w:lineRule="exact"/>
              <w:ind w:firstLine="422" w:firstLineChars="200"/>
              <w:rPr>
                <w:rFonts w:hint="eastAsia" w:ascii="宋体" w:hAnsi="宋体" w:cs="宋体"/>
                <w:kern w:val="2"/>
                <w:szCs w:val="21"/>
              </w:rPr>
            </w:pPr>
            <w:r>
              <w:rPr>
                <w:rFonts w:hint="eastAsia"/>
                <w:b/>
                <w:bCs/>
                <w:kern w:val="2"/>
                <w:szCs w:val="21"/>
                <w:lang w:val="en-US" w:eastAsia="zh-CN"/>
              </w:rPr>
              <w:t>2.</w:t>
            </w:r>
            <w:r>
              <w:rPr>
                <w:rFonts w:hint="eastAsia"/>
                <w:b/>
                <w:bCs/>
                <w:kern w:val="2"/>
                <w:szCs w:val="21"/>
              </w:rPr>
              <w:t>供应商在规定时间内需通过焦作市公共资源交易平台进行二轮报价（最后</w:t>
            </w:r>
            <w:r>
              <w:rPr>
                <w:rFonts w:hint="eastAsia"/>
                <w:b/>
                <w:bCs/>
                <w:kern w:val="2"/>
                <w:szCs w:val="21"/>
                <w:lang w:eastAsia="zh-CN"/>
              </w:rPr>
              <w:t>折扣</w:t>
            </w:r>
            <w:r>
              <w:rPr>
                <w:rFonts w:hint="eastAsia"/>
                <w:b/>
                <w:bCs/>
                <w:kern w:val="2"/>
                <w:szCs w:val="21"/>
              </w:rPr>
              <w:t>报价），未在规定时间内提交二轮报价（最后</w:t>
            </w:r>
            <w:r>
              <w:rPr>
                <w:rFonts w:hint="eastAsia"/>
                <w:b/>
                <w:bCs/>
                <w:kern w:val="2"/>
                <w:szCs w:val="21"/>
                <w:lang w:eastAsia="zh-CN"/>
              </w:rPr>
              <w:t>折扣</w:t>
            </w:r>
            <w:r>
              <w:rPr>
                <w:rFonts w:hint="eastAsia"/>
                <w:b/>
                <w:bCs/>
                <w:kern w:val="2"/>
                <w:szCs w:val="21"/>
              </w:rPr>
              <w:t>报价）的视为放弃本次磋商。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rPr>
              <w:t>1</w:t>
            </w:r>
            <w:r>
              <w:rPr>
                <w:rFonts w:hint="eastAsia" w:ascii="宋体" w:hAnsi="宋体" w:cs="宋体"/>
                <w:kern w:val="0"/>
                <w:szCs w:val="21"/>
                <w:lang w:val="en-US" w:eastAsia="zh-CN"/>
              </w:rPr>
              <w:t>6</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rPr>
              <w:t>1</w:t>
            </w:r>
            <w:r>
              <w:rPr>
                <w:rFonts w:hint="eastAsia" w:ascii="宋体" w:hAnsi="宋体" w:cs="宋体"/>
                <w:kern w:val="0"/>
                <w:szCs w:val="21"/>
                <w:lang w:val="en-US" w:eastAsia="zh-CN"/>
              </w:rPr>
              <w:t>7</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rPr>
              <w:t>1</w:t>
            </w:r>
            <w:r>
              <w:rPr>
                <w:rFonts w:hint="eastAsia" w:ascii="宋体" w:hAnsi="宋体" w:cs="宋体"/>
                <w:kern w:val="0"/>
                <w:szCs w:val="21"/>
                <w:lang w:val="en-US" w:eastAsia="zh-CN"/>
              </w:rPr>
              <w:t>8</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需要落实的政府采购政策</w:t>
            </w:r>
          </w:p>
        </w:tc>
        <w:tc>
          <w:tcPr>
            <w:tcW w:w="6563" w:type="dxa"/>
            <w:noWrap w:val="0"/>
            <w:vAlign w:val="center"/>
          </w:tcPr>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供应商应当按照竞争性磋商文件规定出具《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w:t>
            </w:r>
            <w:r>
              <w:rPr>
                <w:rFonts w:hint="eastAsia" w:ascii="宋体" w:hAnsi="宋体"/>
                <w:bCs/>
                <w:sz w:val="21"/>
                <w:szCs w:val="21"/>
                <w:lang w:eastAsia="zh-CN"/>
              </w:rPr>
              <w:t>供应商</w:t>
            </w:r>
            <w:r>
              <w:rPr>
                <w:rFonts w:hint="eastAsia" w:ascii="宋体" w:hAnsi="宋体"/>
                <w:bCs/>
                <w:sz w:val="21"/>
                <w:szCs w:val="21"/>
              </w:rPr>
              <w:t>出具的监狱企业证明文件如有虚假，其成交资格将被取消，并根据相关规定进行处罚。</w:t>
            </w:r>
          </w:p>
          <w:p>
            <w:pPr>
              <w:spacing w:line="440" w:lineRule="exact"/>
              <w:ind w:firstLine="424" w:firstLineChars="202"/>
              <w:jc w:val="left"/>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bCs/>
                <w:sz w:val="21"/>
                <w:szCs w:val="21"/>
                <w:lang w:eastAsia="zh-CN"/>
              </w:rPr>
              <w:t>供应商</w:t>
            </w:r>
            <w:r>
              <w:rPr>
                <w:rFonts w:hint="eastAsia" w:ascii="宋体" w:hAnsi="宋体"/>
                <w:bCs/>
                <w:sz w:val="21"/>
                <w:szCs w:val="21"/>
              </w:rPr>
              <w:t>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eastAsia="宋体"/>
                <w:color w:val="auto"/>
                <w:lang w:eastAsia="zh-CN"/>
              </w:rPr>
            </w:pPr>
            <w:r>
              <w:rPr>
                <w:rFonts w:hint="eastAsia" w:ascii="宋体" w:hAnsi="宋体" w:eastAsia="宋体"/>
                <w:b/>
                <w:bCs w:val="0"/>
                <w:sz w:val="21"/>
                <w:szCs w:val="21"/>
                <w:lang w:eastAsia="zh-CN"/>
              </w:rPr>
              <w:t>采购人根据</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是否属于中小企业，监狱企业和残疾人福利性单位视同小型、微型企业。不属于中小企业、监狱企业或残疾人福利性单位的拒绝参与本项目</w:t>
            </w:r>
            <w:r>
              <w:rPr>
                <w:rFonts w:hint="eastAsia" w:ascii="宋体" w:hAnsi="宋体"/>
                <w:b/>
                <w:bCs w:val="0"/>
                <w:sz w:val="21"/>
                <w:szCs w:val="21"/>
                <w:lang w:eastAsia="zh-CN"/>
              </w:rPr>
              <w:t>磋商</w:t>
            </w:r>
            <w:r>
              <w:rPr>
                <w:rFonts w:hint="eastAsia" w:ascii="宋体" w:hAnsi="宋体" w:eastAsia="宋体"/>
                <w:b/>
                <w:bCs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19</w:t>
            </w:r>
          </w:p>
        </w:tc>
        <w:tc>
          <w:tcPr>
            <w:tcW w:w="2131" w:type="dxa"/>
            <w:noWrap w:val="0"/>
            <w:vAlign w:val="center"/>
          </w:tcPr>
          <w:p>
            <w:pPr>
              <w:spacing w:line="4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履约担保</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cs="宋体"/>
                <w:kern w:val="0"/>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20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olor w:val="000000"/>
                <w:sz w:val="21"/>
                <w:szCs w:val="21"/>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项目执行预付款的，采购人在向成交供应商支付预付款前，成交供应商需向采购人提供预付款保函；</w:t>
            </w:r>
          </w:p>
          <w:p>
            <w:pPr>
              <w:spacing w:line="460" w:lineRule="exact"/>
              <w:ind w:firstLine="420" w:firstLineChars="200"/>
              <w:rPr>
                <w:rFonts w:hint="eastAsia" w:ascii="宋体" w:hAnsi="宋体" w:cs="宋体"/>
                <w:kern w:val="0"/>
                <w:szCs w:val="21"/>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spacing w:line="360" w:lineRule="auto"/>
              <w:ind w:firstLine="420" w:firstLineChars="200"/>
              <w:rPr>
                <w:rFonts w:hint="eastAsia" w:ascii="宋体" w:hAnsi="宋体" w:cs="宋体"/>
                <w:kern w:val="0"/>
                <w:szCs w:val="21"/>
              </w:rPr>
            </w:pPr>
            <w:r>
              <w:rPr>
                <w:rFonts w:hint="eastAsia" w:ascii="宋体" w:hAnsi="宋体" w:cs="宋体"/>
                <w:kern w:val="0"/>
                <w:szCs w:val="21"/>
              </w:rPr>
              <w:t>本竞争性磋商文件解释权归采购人或其委托的采购代理机构。未尽事宜按国家相关法律法规执行。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23</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采购代理机构代理</w:t>
            </w:r>
          </w:p>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服务费</w:t>
            </w:r>
          </w:p>
        </w:tc>
        <w:tc>
          <w:tcPr>
            <w:tcW w:w="6563" w:type="dxa"/>
            <w:noWrap w:val="0"/>
            <w:vAlign w:val="center"/>
          </w:tcPr>
          <w:p>
            <w:pPr>
              <w:spacing w:line="360" w:lineRule="auto"/>
              <w:rPr>
                <w:rFonts w:hint="default" w:eastAsia="宋体"/>
                <w:color w:val="auto"/>
                <w:szCs w:val="21"/>
                <w:lang w:val="en-US" w:eastAsia="zh-CN"/>
              </w:rPr>
            </w:pPr>
            <w:r>
              <w:rPr>
                <w:rFonts w:hint="eastAsia" w:ascii="宋体" w:hAnsi="宋体" w:cs="宋体"/>
                <w:color w:val="auto"/>
                <w:szCs w:val="21"/>
              </w:rPr>
              <w:t>本项目代理服务费：</w:t>
            </w:r>
            <w:r>
              <w:rPr>
                <w:rFonts w:hint="eastAsia" w:ascii="宋体" w:hAnsi="宋体" w:cs="宋体"/>
                <w:color w:val="auto"/>
                <w:szCs w:val="21"/>
                <w:lang w:val="en-US" w:eastAsia="zh-CN"/>
              </w:rPr>
              <w:t>11050元。</w:t>
            </w:r>
          </w:p>
        </w:tc>
      </w:tr>
      <w:bookmarkEnd w:id="5"/>
      <w:bookmarkEnd w:id="6"/>
      <w:bookmarkEnd w:id="7"/>
      <w:bookmarkEnd w:id="8"/>
      <w:bookmarkEnd w:id="9"/>
    </w:tbl>
    <w:p>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1"/>
          <w:rFonts w:hint="eastAsia" w:ascii="宋体" w:hAnsi="宋体" w:eastAsia="宋体" w:cs="宋体"/>
          <w:sz w:val="28"/>
          <w:szCs w:val="28"/>
          <w:highlight w:val="none"/>
        </w:rPr>
      </w:pPr>
      <w:bookmarkStart w:id="12" w:name="_Toc477423243"/>
      <w:bookmarkStart w:id="13" w:name="_Toc461962051"/>
      <w:bookmarkStart w:id="14" w:name="_Toc2200"/>
      <w:bookmarkStart w:id="15" w:name="_Toc374512410"/>
      <w:bookmarkStart w:id="16" w:name="_Toc26492"/>
      <w:bookmarkStart w:id="17" w:name="_Toc373230023"/>
      <w:bookmarkStart w:id="18" w:name="_Toc487805903"/>
      <w:bookmarkStart w:id="19" w:name="_Toc490161260"/>
    </w:p>
    <w:p>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1"/>
          <w:rFonts w:hint="eastAsia" w:ascii="宋体" w:hAnsi="宋体" w:eastAsia="宋体" w:cs="宋体"/>
          <w:sz w:val="28"/>
          <w:szCs w:val="28"/>
          <w:highlight w:val="none"/>
        </w:rPr>
      </w:pPr>
    </w:p>
    <w:p>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1"/>
          <w:rFonts w:hint="eastAsia" w:ascii="宋体" w:hAnsi="宋体" w:eastAsia="宋体" w:cs="宋体"/>
          <w:sz w:val="28"/>
          <w:szCs w:val="28"/>
          <w:highlight w:val="none"/>
        </w:rPr>
      </w:pPr>
    </w:p>
    <w:p>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1"/>
          <w:rFonts w:hint="eastAsia" w:ascii="宋体" w:hAnsi="宋体" w:eastAsia="宋体" w:cs="宋体"/>
          <w:sz w:val="28"/>
          <w:szCs w:val="28"/>
          <w:highlight w:val="none"/>
        </w:rPr>
      </w:pPr>
    </w:p>
    <w:p>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1"/>
          <w:rFonts w:hint="eastAsia" w:ascii="宋体" w:hAnsi="宋体" w:eastAsia="宋体" w:cs="宋体"/>
          <w:sz w:val="28"/>
          <w:szCs w:val="28"/>
          <w:highlight w:val="none"/>
        </w:rPr>
      </w:pPr>
    </w:p>
    <w:p>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1"/>
          <w:rFonts w:hint="eastAsia" w:ascii="宋体" w:hAnsi="宋体" w:eastAsia="宋体" w:cs="宋体"/>
          <w:sz w:val="28"/>
          <w:szCs w:val="28"/>
          <w:highlight w:val="none"/>
        </w:rPr>
      </w:pPr>
    </w:p>
    <w:p>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1"/>
          <w:rFonts w:hint="eastAsia" w:ascii="宋体" w:hAnsi="宋体" w:eastAsia="宋体" w:cs="宋体"/>
          <w:sz w:val="28"/>
          <w:szCs w:val="28"/>
          <w:highlight w:val="none"/>
        </w:rPr>
      </w:pPr>
    </w:p>
    <w:p>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1"/>
          <w:rFonts w:hint="eastAsia" w:ascii="宋体" w:hAnsi="宋体" w:eastAsia="宋体" w:cs="宋体"/>
          <w:sz w:val="28"/>
          <w:szCs w:val="28"/>
          <w:highlight w:val="none"/>
        </w:rPr>
      </w:pPr>
    </w:p>
    <w:p>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1"/>
          <w:rFonts w:hint="eastAsia" w:ascii="宋体" w:hAnsi="宋体" w:eastAsia="宋体" w:cs="宋体"/>
          <w:sz w:val="28"/>
          <w:szCs w:val="28"/>
          <w:highlight w:val="none"/>
        </w:rPr>
      </w:pPr>
    </w:p>
    <w:p>
      <w:pPr>
        <w:pStyle w:val="6"/>
        <w:spacing w:before="0" w:after="0" w:line="240" w:lineRule="auto"/>
        <w:jc w:val="center"/>
        <w:rPr>
          <w:rFonts w:hint="eastAsia" w:ascii="宋体" w:hAnsi="宋体" w:eastAsia="宋体" w:cs="宋体"/>
        </w:rPr>
      </w:pPr>
      <w:r>
        <w:rPr>
          <w:rFonts w:hint="eastAsia" w:ascii="宋体" w:hAnsi="宋体" w:eastAsia="宋体" w:cs="宋体"/>
        </w:rPr>
        <w:t>一、总则</w:t>
      </w:r>
      <w:bookmarkEnd w:id="12"/>
      <w:bookmarkEnd w:id="13"/>
      <w:bookmarkEnd w:id="14"/>
      <w:bookmarkEnd w:id="15"/>
      <w:bookmarkEnd w:id="16"/>
      <w:bookmarkEnd w:id="17"/>
      <w:bookmarkEnd w:id="18"/>
      <w:bookmarkEnd w:id="19"/>
    </w:p>
    <w:p>
      <w:pPr>
        <w:numPr>
          <w:ilvl w:val="0"/>
          <w:numId w:val="4"/>
        </w:numPr>
        <w:tabs>
          <w:tab w:val="left" w:pos="424"/>
        </w:tabs>
        <w:spacing w:line="440" w:lineRule="exact"/>
        <w:ind w:left="425" w:hanging="425"/>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本磋商文件仅适用于本次竞争性磋商所述的项目。</w:t>
      </w:r>
    </w:p>
    <w:p>
      <w:pPr>
        <w:numPr>
          <w:ilvl w:val="0"/>
          <w:numId w:val="4"/>
        </w:numPr>
        <w:tabs>
          <w:tab w:val="left" w:pos="424"/>
        </w:tabs>
        <w:spacing w:line="440" w:lineRule="exact"/>
        <w:ind w:left="425" w:hanging="425"/>
        <w:rPr>
          <w:rFonts w:hint="eastAsia" w:ascii="宋体" w:hAnsi="宋体" w:cs="宋体"/>
          <w:b/>
          <w:bCs/>
          <w:szCs w:val="21"/>
        </w:rPr>
      </w:pPr>
      <w:r>
        <w:rPr>
          <w:rFonts w:hint="eastAsia" w:ascii="宋体" w:hAnsi="宋体" w:cs="宋体"/>
          <w:b/>
          <w:szCs w:val="21"/>
        </w:rPr>
        <w:t>定义</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“采购人” 见供应商须知前附表；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“采购代理机构”见供应商须知前附表；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“供应商”是指响应磋商、参加磋商竞争的法人、其他组织或者自然人。</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0"/>
          <w:numId w:val="5"/>
        </w:numPr>
        <w:spacing w:line="440" w:lineRule="exact"/>
        <w:ind w:left="0" w:firstLine="422" w:firstLineChars="200"/>
        <w:rPr>
          <w:rFonts w:hint="eastAsia" w:ascii="宋体" w:hAnsi="宋体" w:cs="宋体"/>
          <w:szCs w:val="21"/>
        </w:rPr>
      </w:pPr>
      <w:r>
        <w:rPr>
          <w:rFonts w:hint="eastAsia" w:ascii="宋体" w:hAnsi="宋体" w:cs="宋体"/>
          <w:b/>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5"/>
        </w:numPr>
        <w:spacing w:line="440" w:lineRule="exact"/>
        <w:ind w:left="0" w:firstLine="420" w:firstLineChars="200"/>
        <w:rPr>
          <w:rFonts w:hint="eastAsia" w:ascii="宋体" w:hAnsi="宋体" w:cs="宋体"/>
          <w:bCs/>
          <w:szCs w:val="21"/>
        </w:rPr>
      </w:pPr>
      <w:r>
        <w:rPr>
          <w:rFonts w:hint="eastAsia" w:ascii="宋体" w:hAnsi="宋体" w:cs="宋体"/>
          <w:bCs/>
          <w:szCs w:val="21"/>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4"/>
        </w:numPr>
        <w:spacing w:line="440" w:lineRule="exact"/>
        <w:rPr>
          <w:rFonts w:hint="eastAsia" w:ascii="宋体" w:hAnsi="宋体" w:cs="宋体"/>
          <w:szCs w:val="21"/>
        </w:rPr>
      </w:pPr>
      <w:r>
        <w:rPr>
          <w:rFonts w:hint="eastAsia" w:ascii="宋体" w:hAnsi="宋体" w:cs="宋体"/>
          <w:b/>
          <w:szCs w:val="21"/>
        </w:rPr>
        <w:t>合格的供应商</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符合《中华人民共和国政府采购法》第二十二条规定的条件。</w:t>
      </w:r>
    </w:p>
    <w:p>
      <w:pPr>
        <w:pStyle w:val="82"/>
        <w:spacing w:line="440" w:lineRule="exact"/>
        <w:ind w:firstLine="420" w:firstLineChars="200"/>
        <w:rPr>
          <w:rFonts w:hint="eastAsia"/>
          <w:sz w:val="21"/>
          <w:szCs w:val="21"/>
        </w:rPr>
      </w:pPr>
      <w:r>
        <w:rPr>
          <w:rFonts w:hint="eastAsia"/>
          <w:sz w:val="21"/>
          <w:szCs w:val="21"/>
        </w:rPr>
        <w:t>3.1.1.具有有效的“设立登记证书”；</w:t>
      </w:r>
    </w:p>
    <w:p>
      <w:pPr>
        <w:pStyle w:val="82"/>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82"/>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82"/>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82"/>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82"/>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w:t>
      </w:r>
      <w:r>
        <w:rPr>
          <w:rFonts w:hint="eastAsia" w:hAnsi="宋体" w:cs="宋体"/>
          <w:bCs/>
          <w:color w:val="auto"/>
          <w:kern w:val="2"/>
          <w:sz w:val="21"/>
          <w:szCs w:val="21"/>
          <w:lang w:val="en-US" w:eastAsia="zh-CN"/>
        </w:rPr>
        <w:t>2</w:t>
      </w:r>
      <w:r>
        <w:rPr>
          <w:rFonts w:hint="eastAsia" w:hAnsi="宋体" w:cs="宋体"/>
          <w:bCs/>
          <w:color w:val="auto"/>
          <w:kern w:val="2"/>
          <w:sz w:val="21"/>
          <w:szCs w:val="21"/>
        </w:rPr>
        <w:t>年度财务审计报告（新成立企业不足一年的，提供最近一个月的财务报表。）或其基本开户银行出具的资信证明。</w:t>
      </w:r>
    </w:p>
    <w:p>
      <w:pPr>
        <w:pStyle w:val="82"/>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82"/>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82"/>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82"/>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符合本磋商文件规定的资格要求及项目要求的其它条件，并按照要求提供相关证明材料。</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供应商应遵守国家法律、法规和有关政府采购的规定。</w:t>
      </w:r>
    </w:p>
    <w:p>
      <w:pPr>
        <w:numPr>
          <w:ilvl w:val="0"/>
          <w:numId w:val="6"/>
        </w:numPr>
        <w:spacing w:line="440" w:lineRule="exact"/>
        <w:ind w:left="0" w:firstLine="420"/>
        <w:rPr>
          <w:rFonts w:hint="eastAsia" w:ascii="宋体" w:hAnsi="宋体" w:cs="宋体"/>
          <w:b/>
          <w:szCs w:val="21"/>
        </w:rPr>
      </w:pPr>
      <w:r>
        <w:rPr>
          <w:rFonts w:hint="eastAsia" w:ascii="宋体" w:hAnsi="宋体" w:cs="宋体"/>
          <w:bCs/>
          <w:szCs w:val="21"/>
        </w:rPr>
        <w:t>已按竞争性磋商公告要求获取竞争性磋商文件的。</w:t>
      </w:r>
    </w:p>
    <w:p>
      <w:pPr>
        <w:tabs>
          <w:tab w:val="left" w:pos="720"/>
          <w:tab w:val="left" w:pos="1134"/>
        </w:tabs>
        <w:spacing w:line="440" w:lineRule="exact"/>
        <w:ind w:firstLine="422" w:firstLineChars="200"/>
        <w:rPr>
          <w:rFonts w:hint="eastAsia" w:ascii="宋体" w:hAnsi="宋体" w:cs="宋体"/>
          <w:bCs/>
          <w:szCs w:val="21"/>
        </w:rPr>
      </w:pPr>
      <w:r>
        <w:rPr>
          <w:rFonts w:hint="eastAsia" w:ascii="宋体" w:hAnsi="宋体" w:cs="宋体"/>
          <w:b/>
          <w:szCs w:val="21"/>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hint="eastAsia" w:ascii="宋体" w:hAnsi="宋体" w:cs="宋体"/>
          <w:bCs/>
          <w:szCs w:val="21"/>
        </w:rPr>
      </w:pPr>
      <w:r>
        <w:rPr>
          <w:rFonts w:hint="eastAsia" w:ascii="宋体" w:hAnsi="宋体" w:cs="宋体"/>
          <w:bCs/>
          <w:szCs w:val="21"/>
        </w:rPr>
        <w:t>3.6 单位负责人为同一人或者存在直接控股、管理关系的不同供应商，不得参加同一合同项下的政府采购活动。</w:t>
      </w:r>
    </w:p>
    <w:p>
      <w:pPr>
        <w:numPr>
          <w:ilvl w:val="0"/>
          <w:numId w:val="4"/>
        </w:numPr>
        <w:spacing w:line="440" w:lineRule="exact"/>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4"/>
        </w:numPr>
        <w:spacing w:line="440" w:lineRule="exact"/>
        <w:rPr>
          <w:rFonts w:hint="eastAsia" w:ascii="宋体" w:hAnsi="宋体" w:cs="宋体"/>
          <w:b/>
          <w:szCs w:val="21"/>
        </w:rPr>
      </w:pPr>
      <w:r>
        <w:rPr>
          <w:rFonts w:hint="eastAsia" w:ascii="宋体" w:hAnsi="宋体" w:cs="宋体"/>
          <w:b/>
          <w:szCs w:val="21"/>
        </w:rPr>
        <w:t>需要落实的政府采购政策：见供应商须知前附表</w:t>
      </w:r>
    </w:p>
    <w:p>
      <w:pPr>
        <w:pStyle w:val="6"/>
        <w:spacing w:line="440" w:lineRule="exact"/>
        <w:jc w:val="center"/>
        <w:rPr>
          <w:rFonts w:hint="eastAsia" w:ascii="宋体" w:hAnsi="宋体" w:eastAsia="宋体" w:cs="宋体"/>
          <w:sz w:val="21"/>
          <w:szCs w:val="21"/>
        </w:rPr>
      </w:pPr>
      <w:bookmarkStart w:id="20" w:name="_Toc373230024"/>
      <w:bookmarkStart w:id="21" w:name="_Toc23018"/>
      <w:bookmarkStart w:id="22" w:name="_Toc487805904"/>
      <w:bookmarkStart w:id="23" w:name="_Toc374512411"/>
      <w:bookmarkStart w:id="24" w:name="_Toc477423244"/>
      <w:bookmarkStart w:id="25" w:name="_Toc12084"/>
      <w:bookmarkStart w:id="26" w:name="_Toc461962052"/>
      <w:bookmarkStart w:id="27" w:name="_Toc490161261"/>
      <w:r>
        <w:rPr>
          <w:rFonts w:hint="eastAsia" w:ascii="宋体" w:hAnsi="宋体" w:eastAsia="宋体" w:cs="宋体"/>
          <w:sz w:val="21"/>
          <w:szCs w:val="21"/>
        </w:rPr>
        <w:t>二、磋商文件</w:t>
      </w:r>
      <w:bookmarkEnd w:id="20"/>
      <w:bookmarkEnd w:id="21"/>
      <w:bookmarkEnd w:id="22"/>
      <w:bookmarkEnd w:id="23"/>
      <w:bookmarkEnd w:id="24"/>
      <w:bookmarkEnd w:id="25"/>
      <w:bookmarkEnd w:id="26"/>
      <w:bookmarkEnd w:id="27"/>
    </w:p>
    <w:p>
      <w:pPr>
        <w:numPr>
          <w:ilvl w:val="0"/>
          <w:numId w:val="4"/>
        </w:numPr>
        <w:spacing w:line="440" w:lineRule="exact"/>
        <w:rPr>
          <w:rFonts w:hint="eastAsia" w:ascii="宋体" w:hAnsi="宋体" w:cs="宋体"/>
          <w:b/>
          <w:szCs w:val="21"/>
        </w:rPr>
      </w:pPr>
      <w:r>
        <w:rPr>
          <w:rFonts w:hint="eastAsia" w:ascii="宋体" w:hAnsi="宋体" w:cs="宋体"/>
          <w:b/>
          <w:szCs w:val="21"/>
        </w:rPr>
        <w:t>磋商文件的组成</w:t>
      </w:r>
    </w:p>
    <w:p>
      <w:pPr>
        <w:numPr>
          <w:ilvl w:val="0"/>
          <w:numId w:val="7"/>
        </w:numPr>
        <w:tabs>
          <w:tab w:val="left" w:pos="720"/>
          <w:tab w:val="left" w:pos="839"/>
          <w:tab w:val="left" w:pos="1134"/>
        </w:tabs>
        <w:spacing w:line="440" w:lineRule="exact"/>
        <w:ind w:left="840" w:hanging="420"/>
        <w:rPr>
          <w:rFonts w:hint="eastAsia" w:ascii="宋体" w:hAnsi="宋体" w:cs="宋体"/>
          <w:bCs/>
          <w:szCs w:val="21"/>
        </w:rPr>
      </w:pPr>
      <w:r>
        <w:rPr>
          <w:rFonts w:hint="eastAsia" w:ascii="宋体" w:hAnsi="宋体" w:cs="宋体"/>
          <w:bCs/>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4"/>
        </w:numPr>
        <w:spacing w:line="440" w:lineRule="exact"/>
        <w:rPr>
          <w:rFonts w:hint="eastAsia" w:ascii="宋体" w:hAnsi="宋体" w:cs="宋体"/>
          <w:b/>
          <w:szCs w:val="21"/>
        </w:rPr>
      </w:pPr>
      <w:r>
        <w:rPr>
          <w:rFonts w:hint="eastAsia" w:ascii="宋体" w:hAnsi="宋体" w:cs="宋体"/>
          <w:b/>
          <w:szCs w:val="21"/>
        </w:rPr>
        <w:t>磋商文件的澄清或修改</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4"/>
        </w:numPr>
        <w:spacing w:line="440" w:lineRule="exact"/>
        <w:rPr>
          <w:rFonts w:ascii="宋体" w:hAnsi="宋体" w:cs="宋体"/>
          <w:b/>
          <w:szCs w:val="21"/>
        </w:rPr>
      </w:pPr>
      <w:r>
        <w:rPr>
          <w:rFonts w:hint="eastAsia" w:ascii="宋体" w:hAnsi="宋体" w:cs="宋体"/>
          <w:b/>
          <w:szCs w:val="21"/>
        </w:rPr>
        <w:t>磋商文件的约束力</w:t>
      </w:r>
    </w:p>
    <w:p>
      <w:pPr>
        <w:pStyle w:val="55"/>
        <w:ind w:firstLine="420" w:firstLineChars="200"/>
        <w:rPr>
          <w:rFonts w:hAnsi="宋体"/>
          <w:color w:val="auto"/>
          <w:kern w:val="2"/>
          <w:sz w:val="21"/>
          <w:szCs w:val="21"/>
        </w:rPr>
      </w:pPr>
      <w:r>
        <w:rPr>
          <w:rFonts w:hAnsi="宋体"/>
          <w:color w:val="auto"/>
          <w:kern w:val="2"/>
          <w:sz w:val="21"/>
          <w:szCs w:val="21"/>
        </w:rPr>
        <w:t>供应商一旦获取了本</w:t>
      </w:r>
      <w:r>
        <w:rPr>
          <w:rFonts w:hint="eastAsia" w:hAnsi="宋体"/>
          <w:color w:val="auto"/>
          <w:kern w:val="2"/>
          <w:sz w:val="21"/>
          <w:szCs w:val="21"/>
        </w:rPr>
        <w:t>磋商</w:t>
      </w:r>
      <w:r>
        <w:rPr>
          <w:rFonts w:hAnsi="宋体"/>
          <w:color w:val="auto"/>
          <w:kern w:val="2"/>
          <w:sz w:val="21"/>
          <w:szCs w:val="21"/>
        </w:rPr>
        <w:t>文件并参加</w:t>
      </w:r>
      <w:r>
        <w:rPr>
          <w:rFonts w:hint="eastAsia" w:hAnsi="宋体"/>
          <w:color w:val="auto"/>
          <w:kern w:val="2"/>
          <w:sz w:val="21"/>
          <w:szCs w:val="21"/>
        </w:rPr>
        <w:t>磋商</w:t>
      </w:r>
      <w:r>
        <w:rPr>
          <w:rFonts w:hAnsi="宋体"/>
          <w:color w:val="auto"/>
          <w:kern w:val="2"/>
          <w:sz w:val="21"/>
          <w:szCs w:val="21"/>
        </w:rPr>
        <w:t>，即被认为对本</w:t>
      </w:r>
      <w:r>
        <w:rPr>
          <w:rFonts w:hint="eastAsia" w:hAnsi="宋体"/>
          <w:color w:val="auto"/>
          <w:kern w:val="2"/>
          <w:sz w:val="21"/>
          <w:szCs w:val="21"/>
        </w:rPr>
        <w:t>磋商</w:t>
      </w:r>
      <w:r>
        <w:rPr>
          <w:rFonts w:hAnsi="宋体"/>
          <w:color w:val="auto"/>
          <w:kern w:val="2"/>
          <w:sz w:val="21"/>
          <w:szCs w:val="21"/>
        </w:rPr>
        <w:t>文件中的所有条件和规定均无异议。</w:t>
      </w:r>
    </w:p>
    <w:p>
      <w:pPr>
        <w:pStyle w:val="55"/>
      </w:pPr>
    </w:p>
    <w:p>
      <w:pPr>
        <w:pStyle w:val="6"/>
        <w:numPr>
          <w:ilvl w:val="0"/>
          <w:numId w:val="9"/>
        </w:numPr>
        <w:spacing w:line="440" w:lineRule="exact"/>
        <w:jc w:val="center"/>
        <w:rPr>
          <w:rFonts w:hint="eastAsia" w:ascii="宋体" w:hAnsi="宋体" w:eastAsia="宋体" w:cs="宋体"/>
          <w:sz w:val="21"/>
          <w:szCs w:val="21"/>
        </w:rPr>
      </w:pPr>
      <w:bookmarkStart w:id="28" w:name="_Toc477423245"/>
      <w:bookmarkStart w:id="29" w:name="_Toc26181"/>
      <w:bookmarkStart w:id="30" w:name="_Toc374512412"/>
      <w:bookmarkStart w:id="31" w:name="_Toc461962053"/>
      <w:bookmarkStart w:id="32" w:name="_Toc6048"/>
      <w:bookmarkStart w:id="33" w:name="_Toc373230025"/>
      <w:bookmarkStart w:id="34" w:name="_Toc487805905"/>
      <w:bookmarkStart w:id="35" w:name="_Toc490161262"/>
      <w:r>
        <w:rPr>
          <w:rFonts w:hint="eastAsia" w:ascii="宋体" w:hAnsi="宋体" w:eastAsia="宋体" w:cs="宋体"/>
          <w:sz w:val="21"/>
          <w:szCs w:val="21"/>
        </w:rPr>
        <w:t>响应文件的编制</w:t>
      </w:r>
      <w:bookmarkEnd w:id="28"/>
      <w:bookmarkEnd w:id="29"/>
      <w:bookmarkEnd w:id="30"/>
      <w:bookmarkEnd w:id="31"/>
      <w:bookmarkEnd w:id="32"/>
      <w:bookmarkEnd w:id="33"/>
      <w:bookmarkEnd w:id="34"/>
      <w:bookmarkEnd w:id="35"/>
    </w:p>
    <w:p>
      <w:pPr>
        <w:numPr>
          <w:ilvl w:val="0"/>
          <w:numId w:val="4"/>
        </w:numPr>
        <w:spacing w:line="440" w:lineRule="exact"/>
        <w:rPr>
          <w:rFonts w:hint="eastAsia" w:ascii="宋体" w:hAnsi="宋体" w:cs="宋体"/>
          <w:b/>
          <w:szCs w:val="21"/>
        </w:rPr>
      </w:pPr>
      <w:r>
        <w:rPr>
          <w:rFonts w:hint="eastAsia" w:ascii="宋体" w:hAnsi="宋体" w:cs="宋体"/>
          <w:b/>
          <w:szCs w:val="21"/>
        </w:rPr>
        <w:t>要求</w:t>
      </w:r>
    </w:p>
    <w:p>
      <w:pPr>
        <w:spacing w:line="500" w:lineRule="exact"/>
        <w:ind w:left="0" w:leftChars="0" w:firstLine="420" w:firstLineChars="200"/>
        <w:rPr>
          <w:rFonts w:hint="eastAsia" w:ascii="宋体" w:hAnsi="宋体" w:eastAsia="宋体" w:cs="宋体"/>
          <w:szCs w:val="21"/>
          <w:lang w:eastAsia="zh-CN"/>
        </w:rPr>
      </w:pPr>
      <w:r>
        <w:rPr>
          <w:rFonts w:hint="eastAsia" w:ascii="宋体" w:hAnsi="宋体" w:cs="宋体"/>
          <w:szCs w:val="21"/>
        </w:rPr>
        <w:t>9.1供应商应仔细阅读、并充分理解磋商文件的所有内容，按照磋商文件的要求编制、提交响应文件。</w:t>
      </w:r>
      <w:r>
        <w:rPr>
          <w:rFonts w:hint="eastAsia" w:ascii="宋体" w:hAnsi="宋体" w:cs="宋体"/>
          <w:szCs w:val="21"/>
          <w:lang w:eastAsia="zh-CN"/>
        </w:rPr>
        <w:tab/>
      </w:r>
    </w:p>
    <w:p>
      <w:pPr>
        <w:spacing w:line="500" w:lineRule="exact"/>
        <w:ind w:left="0" w:leftChars="0" w:firstLine="420" w:firstLineChars="200"/>
        <w:rPr>
          <w:rFonts w:hint="eastAsia" w:ascii="宋体" w:hAnsi="宋体" w:cs="宋体"/>
          <w:szCs w:val="21"/>
        </w:rPr>
      </w:pPr>
      <w:r>
        <w:rPr>
          <w:rFonts w:hint="eastAsia" w:ascii="宋体" w:hAnsi="宋体" w:cs="宋体"/>
          <w:szCs w:val="21"/>
        </w:rPr>
        <w:t>9.2响应文件应对磋商文件的要求作出实质性响应（包括供应商资格要求、商务要求和响应文件格式要求），并保证所提供的全部资料的真实性，否则其响应文件将作为无效文件处理。</w:t>
      </w:r>
    </w:p>
    <w:p>
      <w:pPr>
        <w:spacing w:line="500" w:lineRule="exact"/>
        <w:ind w:left="0" w:leftChars="0" w:firstLine="420" w:firstLineChars="200"/>
        <w:rPr>
          <w:rFonts w:hint="eastAsia" w:ascii="宋体" w:hAnsi="宋体" w:cs="宋体"/>
          <w:szCs w:val="21"/>
        </w:rPr>
      </w:pPr>
      <w:r>
        <w:rPr>
          <w:rFonts w:hint="eastAsia" w:ascii="宋体" w:hAnsi="宋体" w:cs="宋体"/>
          <w:szCs w:val="21"/>
        </w:rPr>
        <w:t>9.3供应商没有按照磋商文件要求提供全部资料，或者供应商没有对磋商文件在各方面都作出实质性响应的是供应商的风险，并可能导致其响应文件被拒绝。</w:t>
      </w:r>
    </w:p>
    <w:p>
      <w:pPr>
        <w:spacing w:line="500" w:lineRule="exact"/>
        <w:ind w:left="0" w:leftChars="0" w:firstLine="420" w:firstLineChars="200"/>
        <w:rPr>
          <w:rFonts w:hint="eastAsia"/>
        </w:rPr>
      </w:pPr>
      <w:r>
        <w:rPr>
          <w:rFonts w:hint="eastAsia" w:ascii="宋体" w:hAnsi="宋体" w:cs="宋体"/>
          <w:szCs w:val="21"/>
        </w:rPr>
        <w:t>9.4供应商与采购人、采购代理机构的任何口头协议均不影响磋商文件、响应文件的任何条款和内容。</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响应文件的语言及度量衡单位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响应文件的组成</w:t>
      </w:r>
    </w:p>
    <w:p>
      <w:pPr>
        <w:spacing w:line="440" w:lineRule="exact"/>
        <w:ind w:firstLine="315" w:firstLineChars="150"/>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4"/>
        </w:numPr>
        <w:spacing w:line="440" w:lineRule="exact"/>
        <w:rPr>
          <w:rFonts w:hint="eastAsia" w:ascii="宋体" w:hAnsi="宋体" w:cs="宋体"/>
          <w:b/>
          <w:szCs w:val="21"/>
        </w:rPr>
      </w:pPr>
      <w:r>
        <w:rPr>
          <w:rFonts w:hint="eastAsia" w:ascii="宋体" w:hAnsi="宋体" w:cs="宋体"/>
          <w:b/>
          <w:szCs w:val="21"/>
        </w:rPr>
        <w:t>报价</w:t>
      </w:r>
    </w:p>
    <w:p>
      <w:pPr>
        <w:tabs>
          <w:tab w:val="left" w:pos="839"/>
        </w:tabs>
        <w:spacing w:line="440" w:lineRule="exact"/>
        <w:ind w:firstLine="420" w:firstLineChars="200"/>
        <w:jc w:val="left"/>
        <w:rPr>
          <w:rFonts w:hint="eastAsia" w:ascii="宋体" w:hAnsi="宋体" w:cs="宋体"/>
          <w:szCs w:val="21"/>
        </w:rPr>
      </w:pPr>
      <w:r>
        <w:rPr>
          <w:rFonts w:hint="eastAsia" w:ascii="宋体" w:hAnsi="宋体" w:cs="宋体"/>
          <w:szCs w:val="21"/>
        </w:rPr>
        <w:t>12.</w:t>
      </w:r>
      <w:r>
        <w:rPr>
          <w:rFonts w:hint="eastAsia" w:ascii="宋体" w:hAnsi="宋体" w:cs="宋体"/>
          <w:szCs w:val="21"/>
          <w:lang w:val="en-US" w:eastAsia="zh-CN"/>
        </w:rPr>
        <w:t>1</w:t>
      </w:r>
      <w:r>
        <w:rPr>
          <w:rFonts w:hint="eastAsia" w:ascii="宋体" w:hAnsi="宋体" w:cs="宋体"/>
          <w:szCs w:val="21"/>
        </w:rPr>
        <w:t>供应商的报价</w:t>
      </w:r>
      <w:r>
        <w:rPr>
          <w:rFonts w:hint="eastAsia" w:ascii="宋体" w:hAnsi="宋体" w:cs="宋体"/>
          <w:color w:val="auto"/>
          <w:kern w:val="0"/>
          <w:szCs w:val="21"/>
          <w:lang w:val="en-US" w:eastAsia="zh-CN"/>
        </w:rPr>
        <w:t>（折扣报价）</w:t>
      </w:r>
      <w:r>
        <w:rPr>
          <w:rFonts w:hint="eastAsia" w:ascii="宋体" w:hAnsi="宋体" w:cs="宋体"/>
          <w:szCs w:val="21"/>
        </w:rPr>
        <w:t>均包括完成该项目的成本、利润、税金、风险等所有伴随的其他费用。</w:t>
      </w:r>
    </w:p>
    <w:p>
      <w:pPr>
        <w:pStyle w:val="53"/>
        <w:tabs>
          <w:tab w:val="left" w:pos="839"/>
        </w:tabs>
        <w:spacing w:line="440" w:lineRule="exact"/>
        <w:ind w:firstLine="420" w:firstLineChars="200"/>
        <w:rPr>
          <w:rFonts w:hint="eastAsia" w:ascii="宋体" w:hAnsi="宋体" w:cs="宋体"/>
          <w:sz w:val="21"/>
          <w:szCs w:val="21"/>
        </w:rPr>
      </w:pPr>
      <w:r>
        <w:rPr>
          <w:rFonts w:hint="eastAsia" w:ascii="宋体" w:hAnsi="宋体" w:cs="宋体"/>
          <w:sz w:val="21"/>
          <w:szCs w:val="21"/>
        </w:rPr>
        <w:t>12.</w:t>
      </w:r>
      <w:r>
        <w:rPr>
          <w:rFonts w:hint="eastAsia" w:ascii="宋体" w:hAnsi="宋体" w:cs="宋体"/>
          <w:sz w:val="21"/>
          <w:szCs w:val="21"/>
          <w:lang w:val="en-US" w:eastAsia="zh-CN"/>
        </w:rPr>
        <w:t>2</w:t>
      </w:r>
      <w:r>
        <w:rPr>
          <w:rFonts w:hint="eastAsia" w:ascii="宋体" w:hAnsi="宋体" w:cs="宋体"/>
          <w:sz w:val="21"/>
          <w:szCs w:val="21"/>
        </w:rPr>
        <w:t>响应性文件中的报价</w:t>
      </w:r>
      <w:r>
        <w:rPr>
          <w:rFonts w:hint="eastAsia" w:ascii="宋体" w:hAnsi="宋体" w:cs="宋体"/>
          <w:color w:val="auto"/>
          <w:kern w:val="0"/>
          <w:szCs w:val="21"/>
          <w:lang w:val="en-US" w:eastAsia="zh-CN"/>
        </w:rPr>
        <w:t>（折扣报价）</w:t>
      </w:r>
      <w:r>
        <w:rPr>
          <w:rFonts w:hint="eastAsia" w:ascii="宋体" w:hAnsi="宋体" w:cs="宋体"/>
          <w:sz w:val="21"/>
          <w:szCs w:val="21"/>
        </w:rPr>
        <w:t>并非最后报价</w:t>
      </w:r>
      <w:r>
        <w:rPr>
          <w:rFonts w:hint="eastAsia" w:ascii="宋体" w:hAnsi="宋体" w:cs="宋体"/>
          <w:color w:val="auto"/>
          <w:kern w:val="0"/>
          <w:szCs w:val="21"/>
          <w:lang w:val="en-US" w:eastAsia="zh-CN"/>
        </w:rPr>
        <w:t>（折扣报价）</w:t>
      </w:r>
      <w:r>
        <w:rPr>
          <w:rFonts w:hint="eastAsia" w:ascii="宋体" w:hAnsi="宋体" w:cs="宋体"/>
          <w:sz w:val="21"/>
          <w:szCs w:val="21"/>
        </w:rPr>
        <w:t>，在磋商结束后由供应商在规定时间内提交最后报价</w:t>
      </w:r>
      <w:r>
        <w:rPr>
          <w:rFonts w:hint="eastAsia" w:ascii="宋体" w:hAnsi="宋体" w:cs="宋体"/>
          <w:color w:val="auto"/>
          <w:kern w:val="0"/>
          <w:szCs w:val="21"/>
          <w:lang w:val="en-US" w:eastAsia="zh-CN"/>
        </w:rPr>
        <w:t>（折扣报价）</w:t>
      </w:r>
      <w:r>
        <w:rPr>
          <w:rFonts w:hint="eastAsia" w:ascii="宋体" w:hAnsi="宋体" w:cs="宋体"/>
          <w:sz w:val="21"/>
          <w:szCs w:val="21"/>
        </w:rPr>
        <w:t>，磋商小组根据供应商的综合得分确定成交供应商，成交供应商其最后的报价为成交价。</w:t>
      </w:r>
    </w:p>
    <w:p>
      <w:pPr>
        <w:numPr>
          <w:ilvl w:val="0"/>
          <w:numId w:val="4"/>
        </w:numPr>
        <w:spacing w:line="440" w:lineRule="exact"/>
        <w:rPr>
          <w:rFonts w:hint="eastAsia" w:ascii="宋体" w:hAnsi="宋体" w:cs="宋体"/>
          <w:b/>
          <w:szCs w:val="21"/>
        </w:rPr>
      </w:pPr>
      <w:r>
        <w:rPr>
          <w:rFonts w:hint="eastAsia" w:ascii="宋体" w:hAnsi="宋体" w:cs="宋体"/>
          <w:b/>
          <w:szCs w:val="21"/>
        </w:rPr>
        <w:t>磋商货币</w:t>
      </w:r>
    </w:p>
    <w:p>
      <w:pPr>
        <w:spacing w:line="440" w:lineRule="exact"/>
        <w:ind w:firstLine="630" w:firstLineChars="300"/>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4"/>
        </w:numPr>
        <w:spacing w:line="440" w:lineRule="exact"/>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4"/>
        </w:numPr>
        <w:spacing w:line="440" w:lineRule="exact"/>
        <w:rPr>
          <w:rFonts w:hint="eastAsia" w:ascii="宋体" w:hAnsi="宋体" w:cs="宋体"/>
          <w:b/>
          <w:szCs w:val="21"/>
        </w:rPr>
      </w:pPr>
      <w:r>
        <w:rPr>
          <w:rFonts w:hint="eastAsia" w:ascii="宋体" w:hAnsi="宋体" w:cs="宋体"/>
          <w:b/>
          <w:szCs w:val="21"/>
        </w:rPr>
        <w:t>磋商保证金:见供应商须知前附表。</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响应文件的编制、签署、盖章</w:t>
      </w:r>
    </w:p>
    <w:p>
      <w:pPr>
        <w:spacing w:line="500" w:lineRule="exact"/>
        <w:ind w:firstLine="420" w:firstLineChars="200"/>
        <w:rPr>
          <w:rFonts w:hint="eastAsia" w:ascii="宋体" w:hAnsi="宋体" w:cs="宋体"/>
          <w:szCs w:val="21"/>
        </w:rPr>
      </w:pPr>
      <w:r>
        <w:rPr>
          <w:rFonts w:hint="eastAsia" w:ascii="宋体" w:hAnsi="宋体" w:cs="宋体"/>
          <w:szCs w:val="21"/>
        </w:rPr>
        <w:t>16.1加密电子响应文件的编制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 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 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 xml:space="preserve">16.1.3 </w:t>
      </w:r>
      <w:r>
        <w:rPr>
          <w:rFonts w:hint="eastAsia" w:hAnsi="宋体"/>
          <w:szCs w:val="21"/>
        </w:rPr>
        <w:t>加密电子响应文件未按本竞争性磋商文件中响应文件格式要求加盖电子签章的视为无效文件。</w:t>
      </w:r>
    </w:p>
    <w:p>
      <w:pPr>
        <w:spacing w:line="500" w:lineRule="exact"/>
        <w:ind w:firstLine="420" w:firstLineChars="200"/>
        <w:rPr>
          <w:rFonts w:hint="eastAsia" w:ascii="宋体" w:hAnsi="宋体" w:cs="宋体"/>
          <w:szCs w:val="21"/>
        </w:rPr>
      </w:pPr>
      <w:r>
        <w:rPr>
          <w:rFonts w:hint="eastAsia" w:ascii="宋体" w:hAnsi="宋体" w:cs="宋体"/>
          <w:szCs w:val="21"/>
        </w:rPr>
        <w:t>16.2 供应商应完整地填写竞争性磋商文件中规定的所有内容。</w:t>
      </w:r>
    </w:p>
    <w:p>
      <w:pPr>
        <w:spacing w:line="500" w:lineRule="exact"/>
        <w:ind w:firstLine="420" w:firstLineChars="200"/>
        <w:rPr>
          <w:rFonts w:hint="eastAsia" w:ascii="宋体" w:hAnsi="宋体" w:cs="宋体"/>
          <w:szCs w:val="21"/>
        </w:rPr>
      </w:pPr>
      <w:r>
        <w:rPr>
          <w:rFonts w:hint="eastAsia" w:ascii="宋体" w:hAnsi="宋体" w:cs="宋体"/>
          <w:szCs w:val="21"/>
        </w:rPr>
        <w:t>16.3 供应商必须保证响应文件所提供的全部资料真实可靠。</w:t>
      </w:r>
    </w:p>
    <w:p>
      <w:pPr>
        <w:spacing w:line="500" w:lineRule="exact"/>
        <w:ind w:firstLine="420" w:firstLineChars="200"/>
        <w:rPr>
          <w:rFonts w:hint="eastAsia" w:ascii="宋体" w:hAnsi="宋体" w:cs="宋体"/>
          <w:szCs w:val="21"/>
        </w:rPr>
      </w:pPr>
      <w:r>
        <w:rPr>
          <w:rFonts w:hint="eastAsia" w:ascii="宋体" w:hAnsi="宋体" w:cs="宋体"/>
          <w:szCs w:val="21"/>
        </w:rPr>
        <w:t>16.4 如果因为供应商响应文件填报的内容不详，或没有提供磋商文件中所要求的全部资料及数据，由此造成的后果，其责任由供应商自行承担。</w:t>
      </w:r>
    </w:p>
    <w:p>
      <w:pPr>
        <w:spacing w:line="500" w:lineRule="exact"/>
        <w:ind w:firstLine="420" w:firstLineChars="200"/>
        <w:rPr>
          <w:rFonts w:hint="eastAsia" w:ascii="宋体" w:hAnsi="宋体" w:cs="宋体"/>
          <w:szCs w:val="21"/>
        </w:rPr>
      </w:pPr>
      <w:r>
        <w:rPr>
          <w:rFonts w:hint="eastAsia" w:ascii="宋体" w:hAnsi="宋体" w:cs="宋体"/>
          <w:szCs w:val="21"/>
        </w:rPr>
        <w:t xml:space="preserve">16.5 </w:t>
      </w:r>
      <w:r>
        <w:rPr>
          <w:rFonts w:hint="eastAsia"/>
        </w:rPr>
        <w:t>本竞争性磋商文件所表述（指定）的公章是指法人（供应商）行政公章，不包括专用章，并应与电子签章保持一致。</w:t>
      </w:r>
    </w:p>
    <w:p>
      <w:pPr>
        <w:spacing w:line="440" w:lineRule="exact"/>
        <w:ind w:firstLine="420" w:firstLineChars="200"/>
        <w:rPr>
          <w:rFonts w:hint="eastAsia" w:ascii="宋体" w:hAnsi="宋体" w:cs="宋体"/>
          <w:szCs w:val="21"/>
        </w:rPr>
      </w:pPr>
      <w:r>
        <w:rPr>
          <w:rFonts w:hint="eastAsia" w:ascii="宋体" w:hAnsi="宋体" w:cs="宋体"/>
          <w:szCs w:val="21"/>
        </w:rPr>
        <w:t>16.6 电报、电话、传真等形式的响应概不接受。</w:t>
      </w:r>
    </w:p>
    <w:p>
      <w:pPr>
        <w:pStyle w:val="6"/>
        <w:spacing w:line="440" w:lineRule="exact"/>
        <w:jc w:val="center"/>
        <w:rPr>
          <w:rFonts w:hint="eastAsia" w:ascii="宋体" w:hAnsi="宋体" w:eastAsia="宋体" w:cs="宋体"/>
          <w:sz w:val="21"/>
          <w:szCs w:val="21"/>
        </w:rPr>
      </w:pPr>
      <w:bookmarkStart w:id="36" w:name="_Toc374512413"/>
      <w:bookmarkStart w:id="37" w:name="_Toc490161263"/>
      <w:bookmarkStart w:id="38" w:name="_Toc477423246"/>
      <w:bookmarkStart w:id="39" w:name="_Toc487805906"/>
      <w:bookmarkStart w:id="40" w:name="_Toc461962054"/>
      <w:bookmarkStart w:id="41" w:name="_Toc373230026"/>
      <w:bookmarkStart w:id="42" w:name="_Toc27919"/>
      <w:bookmarkStart w:id="43" w:name="_Toc10798"/>
      <w:r>
        <w:rPr>
          <w:rFonts w:hint="eastAsia" w:ascii="宋体" w:hAnsi="宋体" w:eastAsia="宋体" w:cs="宋体"/>
          <w:sz w:val="21"/>
          <w:szCs w:val="21"/>
        </w:rPr>
        <w:t>四、响应文件的提交</w:t>
      </w:r>
      <w:bookmarkEnd w:id="36"/>
      <w:bookmarkEnd w:id="37"/>
      <w:bookmarkEnd w:id="38"/>
      <w:bookmarkEnd w:id="39"/>
      <w:bookmarkEnd w:id="40"/>
      <w:bookmarkEnd w:id="41"/>
      <w:bookmarkEnd w:id="42"/>
      <w:bookmarkEnd w:id="43"/>
    </w:p>
    <w:p>
      <w:pPr>
        <w:numPr>
          <w:ilvl w:val="0"/>
          <w:numId w:val="4"/>
        </w:numPr>
        <w:spacing w:line="440" w:lineRule="exact"/>
        <w:rPr>
          <w:rFonts w:hint="eastAsia" w:ascii="宋体" w:hAnsi="宋体" w:cs="宋体"/>
          <w:szCs w:val="21"/>
        </w:rPr>
      </w:pPr>
      <w:r>
        <w:rPr>
          <w:rFonts w:hint="eastAsia" w:ascii="宋体" w:hAnsi="宋体" w:cs="宋体"/>
          <w:b/>
          <w:szCs w:val="21"/>
        </w:rPr>
        <w:t>响应文件的提交：</w:t>
      </w:r>
    </w:p>
    <w:p>
      <w:pPr>
        <w:spacing w:line="500" w:lineRule="exact"/>
        <w:ind w:firstLine="420" w:firstLineChars="200"/>
        <w:rPr>
          <w:rFonts w:hint="eastAsia" w:ascii="宋体" w:hAnsi="宋体" w:cs="宋体"/>
          <w:szCs w:val="21"/>
        </w:rPr>
      </w:pPr>
      <w:r>
        <w:rPr>
          <w:rFonts w:hint="eastAsia" w:ascii="宋体" w:hAnsi="宋体" w:cs="宋体"/>
          <w:szCs w:val="21"/>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rPr>
        <w:t>磋商</w:t>
      </w:r>
      <w:r>
        <w:rPr>
          <w:rFonts w:hint="eastAsia" w:ascii="宋体" w:hAnsi="宋体" w:cs="宋体"/>
          <w:szCs w:val="21"/>
        </w:rPr>
        <w:t>；</w:t>
      </w:r>
    </w:p>
    <w:p>
      <w:pPr>
        <w:spacing w:line="440" w:lineRule="exact"/>
        <w:ind w:firstLine="420" w:firstLineChars="200"/>
        <w:rPr>
          <w:rFonts w:hint="eastAsia" w:ascii="宋体" w:hAnsi="宋体" w:cs="宋体"/>
          <w:szCs w:val="21"/>
        </w:rPr>
      </w:pPr>
      <w:r>
        <w:rPr>
          <w:rFonts w:hint="eastAsia" w:ascii="宋体" w:hAnsi="宋体" w:cs="宋体"/>
          <w:szCs w:val="21"/>
        </w:rPr>
        <w:t>17.2采购人拒绝接收在响应文件递交截止时间后上传的响应文件。</w:t>
      </w:r>
    </w:p>
    <w:p>
      <w:pPr>
        <w:numPr>
          <w:ilvl w:val="0"/>
          <w:numId w:val="4"/>
        </w:numPr>
        <w:spacing w:line="440" w:lineRule="exact"/>
        <w:rPr>
          <w:rFonts w:hint="eastAsia" w:ascii="宋体" w:hAnsi="宋体" w:cs="宋体"/>
          <w:b/>
          <w:szCs w:val="21"/>
        </w:rPr>
      </w:pPr>
      <w:r>
        <w:rPr>
          <w:rFonts w:hint="eastAsia" w:ascii="宋体" w:hAnsi="宋体" w:cs="宋体"/>
          <w:b/>
          <w:szCs w:val="21"/>
        </w:rPr>
        <w:t>响应文件提交的截止时间</w:t>
      </w:r>
    </w:p>
    <w:p>
      <w:pPr>
        <w:numPr>
          <w:ilvl w:val="1"/>
          <w:numId w:val="4"/>
        </w:numPr>
        <w:spacing w:line="440" w:lineRule="exact"/>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响应文件的修改与撤回</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供应商在响应文件递交截止时间后不得修改、撤回响应文件。</w:t>
      </w:r>
    </w:p>
    <w:p>
      <w:pPr>
        <w:pStyle w:val="6"/>
        <w:spacing w:line="440" w:lineRule="exact"/>
        <w:jc w:val="center"/>
        <w:rPr>
          <w:rFonts w:hint="eastAsia" w:ascii="宋体" w:hAnsi="宋体" w:eastAsia="宋体" w:cs="宋体"/>
          <w:sz w:val="21"/>
          <w:szCs w:val="21"/>
        </w:rPr>
      </w:pPr>
      <w:bookmarkStart w:id="44" w:name="_Toc461962055"/>
      <w:bookmarkStart w:id="45" w:name="_Toc373230027"/>
      <w:bookmarkStart w:id="46" w:name="_Toc217235123"/>
      <w:bookmarkStart w:id="47" w:name="_Toc374512414"/>
      <w:bookmarkStart w:id="48" w:name="_Toc490161264"/>
      <w:bookmarkStart w:id="49" w:name="_Toc9653"/>
      <w:bookmarkStart w:id="50" w:name="_Toc487805907"/>
      <w:bookmarkStart w:id="51" w:name="_Toc477423247"/>
      <w:bookmarkStart w:id="52" w:name="_Toc6236"/>
      <w:r>
        <w:rPr>
          <w:rFonts w:hint="eastAsia" w:ascii="宋体" w:hAnsi="宋体" w:eastAsia="宋体" w:cs="宋体"/>
          <w:sz w:val="21"/>
          <w:szCs w:val="21"/>
        </w:rPr>
        <w:t>五、磋商</w:t>
      </w:r>
      <w:bookmarkEnd w:id="44"/>
      <w:bookmarkEnd w:id="45"/>
      <w:bookmarkEnd w:id="46"/>
      <w:bookmarkEnd w:id="47"/>
      <w:r>
        <w:rPr>
          <w:rFonts w:hint="eastAsia" w:ascii="宋体" w:hAnsi="宋体" w:eastAsia="宋体" w:cs="宋体"/>
          <w:sz w:val="21"/>
          <w:szCs w:val="21"/>
        </w:rPr>
        <w:t>和评审</w:t>
      </w:r>
      <w:bookmarkEnd w:id="48"/>
      <w:bookmarkEnd w:id="49"/>
      <w:bookmarkEnd w:id="50"/>
      <w:bookmarkEnd w:id="51"/>
      <w:bookmarkEnd w:id="52"/>
    </w:p>
    <w:p>
      <w:pPr>
        <w:numPr>
          <w:ilvl w:val="0"/>
          <w:numId w:val="4"/>
        </w:numPr>
        <w:spacing w:line="440" w:lineRule="exact"/>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4"/>
        </w:numPr>
        <w:spacing w:line="440" w:lineRule="exact"/>
        <w:rPr>
          <w:rFonts w:hint="eastAsia" w:ascii="宋体" w:hAnsi="宋体" w:cs="宋体"/>
          <w:b/>
          <w:szCs w:val="21"/>
        </w:rPr>
      </w:pPr>
      <w:r>
        <w:rPr>
          <w:rFonts w:hint="eastAsia" w:ascii="宋体" w:hAnsi="宋体" w:cs="宋体"/>
          <w:szCs w:val="21"/>
        </w:rPr>
        <w:t>供应商逾期上传电子响应文件的；</w:t>
      </w:r>
    </w:p>
    <w:p>
      <w:pPr>
        <w:numPr>
          <w:ilvl w:val="1"/>
          <w:numId w:val="4"/>
        </w:numPr>
        <w:spacing w:line="440" w:lineRule="exact"/>
        <w:rPr>
          <w:rFonts w:hint="eastAsia" w:ascii="宋体" w:hAnsi="宋体" w:cs="宋体"/>
          <w:b/>
          <w:szCs w:val="21"/>
        </w:rPr>
      </w:pPr>
      <w:r>
        <w:rPr>
          <w:rFonts w:hint="eastAsia" w:ascii="宋体" w:hAnsi="宋体" w:cs="宋体"/>
          <w:szCs w:val="21"/>
        </w:rPr>
        <w:t>供应商未按规定的时间内解密响应文件的；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磋商小组</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磋商小组由采购人代表和评审专家共3人及以上单数组成，其中评审专家人数不得少于磋商小组成员总数的2/3。</w:t>
      </w:r>
    </w:p>
    <w:p>
      <w:pPr>
        <w:numPr>
          <w:ilvl w:val="1"/>
          <w:numId w:val="4"/>
        </w:numPr>
        <w:spacing w:line="440" w:lineRule="exact"/>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1</w:t>
      </w:r>
      <w:r>
        <w:rPr>
          <w:rFonts w:hint="eastAsia" w:ascii="宋体" w:hAnsi="宋体" w:eastAsia="宋体" w:cs="宋体"/>
          <w:szCs w:val="21"/>
          <w:lang w:eastAsia="zh-CN"/>
        </w:rPr>
        <w:t>）</w:t>
      </w:r>
      <w:r>
        <w:rPr>
          <w:rFonts w:hint="eastAsia" w:ascii="宋体" w:hAnsi="宋体" w:eastAsia="宋体" w:cs="宋体"/>
          <w:szCs w:val="21"/>
        </w:rPr>
        <w:t>第一轮报价超过磋商文件中规定的项目预算金额的；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3</w:t>
      </w:r>
      <w:r>
        <w:rPr>
          <w:rFonts w:hint="eastAsia" w:ascii="宋体" w:hAnsi="宋体" w:eastAsia="宋体" w:cs="宋体"/>
          <w:szCs w:val="21"/>
          <w:lang w:eastAsia="zh-CN"/>
        </w:rPr>
        <w:t>）</w:t>
      </w:r>
      <w:r>
        <w:rPr>
          <w:rFonts w:hint="eastAsia" w:ascii="宋体" w:hAnsi="宋体" w:eastAsia="宋体" w:cs="宋体"/>
          <w:szCs w:val="21"/>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4</w:t>
      </w:r>
      <w:r>
        <w:rPr>
          <w:rFonts w:hint="eastAsia" w:ascii="宋体" w:hAnsi="宋体" w:eastAsia="宋体" w:cs="宋体"/>
          <w:szCs w:val="21"/>
          <w:lang w:eastAsia="zh-CN"/>
        </w:rPr>
        <w:t>）</w:t>
      </w:r>
      <w:r>
        <w:rPr>
          <w:rFonts w:hint="eastAsia" w:ascii="宋体" w:hAnsi="宋体" w:eastAsia="宋体" w:cs="宋体"/>
          <w:color w:val="auto"/>
          <w:szCs w:val="21"/>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lang w:eastAsia="zh-CN"/>
        </w:rPr>
        <w:t>）不响应磋商文件第五章采购需求中技术要求的；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6</w:t>
      </w:r>
      <w:r>
        <w:rPr>
          <w:rFonts w:hint="eastAsia" w:ascii="宋体" w:hAnsi="宋体" w:eastAsia="宋体" w:cs="宋体"/>
          <w:szCs w:val="21"/>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8</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spacing w:line="500" w:lineRule="exact"/>
        <w:ind w:firstLine="420" w:firstLineChars="200"/>
        <w:rPr>
          <w:rFonts w:hint="eastAsia" w:ascii="宋体" w:hAnsi="宋体" w:cs="宋体"/>
          <w:szCs w:val="21"/>
        </w:rPr>
      </w:pPr>
      <w:r>
        <w:rPr>
          <w:rFonts w:hint="eastAsia" w:ascii="宋体" w:hAnsi="宋体" w:cs="宋体"/>
          <w:szCs w:val="21"/>
        </w:rPr>
        <w:t>23.1逾期上传响应文件的；</w:t>
      </w:r>
    </w:p>
    <w:p>
      <w:pPr>
        <w:spacing w:line="500" w:lineRule="exact"/>
        <w:ind w:firstLine="420" w:firstLineChars="200"/>
        <w:rPr>
          <w:rFonts w:hint="eastAsia" w:ascii="宋体" w:hAnsi="宋体" w:cs="宋体"/>
          <w:szCs w:val="21"/>
        </w:rPr>
      </w:pPr>
      <w:r>
        <w:rPr>
          <w:rFonts w:hint="eastAsia" w:ascii="宋体" w:hAnsi="宋体" w:cs="宋体"/>
          <w:szCs w:val="21"/>
        </w:rPr>
        <w:t>23.2在规定的响应文件递交截止时间之前，提交合格的撤回通知的；</w:t>
      </w:r>
    </w:p>
    <w:p>
      <w:pPr>
        <w:spacing w:line="440" w:lineRule="exact"/>
        <w:ind w:firstLine="420" w:firstLineChars="200"/>
        <w:rPr>
          <w:rFonts w:hint="eastAsia" w:ascii="宋体" w:hAnsi="宋体" w:cs="宋体"/>
          <w:b/>
          <w:szCs w:val="21"/>
        </w:rPr>
      </w:pPr>
      <w:r>
        <w:rPr>
          <w:rFonts w:hint="eastAsia" w:ascii="宋体" w:hAnsi="宋体" w:cs="宋体"/>
          <w:szCs w:val="21"/>
        </w:rPr>
        <w:t>23.3一个供应商不止递交一套同一合同项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响应文件的澄清</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4"/>
        </w:numPr>
        <w:spacing w:line="440" w:lineRule="exact"/>
        <w:rPr>
          <w:rFonts w:hint="eastAsia" w:ascii="宋体" w:hAnsi="宋体" w:cs="宋体"/>
          <w:szCs w:val="21"/>
        </w:rPr>
      </w:pPr>
      <w:r>
        <w:rPr>
          <w:rFonts w:hint="eastAsia" w:ascii="宋体" w:hAnsi="宋体" w:cs="宋体"/>
          <w:szCs w:val="21"/>
        </w:rPr>
        <w:t>报价出现不一致的，按照下列规定修正：</w:t>
      </w:r>
    </w:p>
    <w:p>
      <w:pPr>
        <w:numPr>
          <w:ilvl w:val="0"/>
          <w:numId w:val="10"/>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10"/>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10"/>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4"/>
        </w:numPr>
        <w:spacing w:line="440" w:lineRule="exact"/>
        <w:rPr>
          <w:rFonts w:hint="eastAsia" w:ascii="宋体" w:hAnsi="宋体" w:cs="宋体"/>
          <w:b/>
          <w:szCs w:val="21"/>
        </w:rPr>
      </w:pPr>
      <w:bookmarkStart w:id="53" w:name="_Toc374512415"/>
      <w:bookmarkStart w:id="54" w:name="_Toc373230028"/>
      <w:r>
        <w:rPr>
          <w:rFonts w:hint="eastAsia" w:ascii="宋体" w:hAnsi="宋体" w:cs="宋体"/>
          <w:b/>
          <w:szCs w:val="21"/>
        </w:rPr>
        <w:t>评审方法</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w:t>
      </w:r>
      <w:r>
        <w:rPr>
          <w:rFonts w:hint="eastAsia" w:ascii="宋体" w:hAnsi="宋体" w:cs="宋体"/>
          <w:color w:val="auto"/>
          <w:kern w:val="0"/>
          <w:szCs w:val="21"/>
          <w:lang w:val="en-US" w:eastAsia="zh-CN"/>
        </w:rPr>
        <w:t>（折扣报价）</w:t>
      </w:r>
      <w:r>
        <w:rPr>
          <w:rFonts w:hint="eastAsia" w:ascii="宋体" w:hAnsi="宋体" w:cs="宋体"/>
          <w:szCs w:val="21"/>
        </w:rPr>
        <w:t>，提交最后报价</w:t>
      </w:r>
      <w:r>
        <w:rPr>
          <w:rFonts w:hint="eastAsia" w:ascii="宋体" w:hAnsi="宋体" w:cs="宋体"/>
          <w:color w:val="auto"/>
          <w:kern w:val="0"/>
          <w:szCs w:val="21"/>
          <w:lang w:val="en-US" w:eastAsia="zh-CN"/>
        </w:rPr>
        <w:t>（折扣报价）</w:t>
      </w:r>
      <w:r>
        <w:rPr>
          <w:rFonts w:hint="eastAsia" w:ascii="宋体" w:hAnsi="宋体" w:cs="宋体"/>
          <w:szCs w:val="21"/>
        </w:rPr>
        <w:t>的供应商不得少于3家。符合</w:t>
      </w:r>
      <w:bookmarkStart w:id="55" w:name="_Toc32423"/>
      <w:r>
        <w:rPr>
          <w:rFonts w:hint="eastAsia" w:ascii="宋体" w:hAnsi="宋体" w:cs="宋体"/>
          <w:szCs w:val="21"/>
        </w:rPr>
        <w:t>《政府采购竞争性磋商采购方式管理暂行办法</w:t>
      </w:r>
      <w:bookmarkEnd w:id="55"/>
      <w:r>
        <w:rPr>
          <w:rFonts w:hint="eastAsia" w:ascii="宋体" w:hAnsi="宋体" w:cs="宋体"/>
          <w:szCs w:val="21"/>
        </w:rPr>
        <w:t>》第三条第四项情形的，提交最后报价</w:t>
      </w:r>
      <w:r>
        <w:rPr>
          <w:rFonts w:hint="eastAsia" w:ascii="宋体" w:hAnsi="宋体" w:cs="宋体"/>
          <w:color w:val="auto"/>
          <w:kern w:val="0"/>
          <w:szCs w:val="21"/>
          <w:lang w:val="en-US" w:eastAsia="zh-CN"/>
        </w:rPr>
        <w:t>（折扣报价）</w:t>
      </w:r>
      <w:r>
        <w:rPr>
          <w:rFonts w:hint="eastAsia" w:ascii="宋体" w:hAnsi="宋体" w:cs="宋体"/>
          <w:szCs w:val="21"/>
        </w:rPr>
        <w:t>的供应商可以为2家</w:t>
      </w:r>
      <w:bookmarkStart w:id="56" w:name="_Toc5652"/>
      <w:r>
        <w:rPr>
          <w:rFonts w:hint="eastAsia" w:ascii="宋体" w:hAnsi="宋体" w:cs="宋体"/>
          <w:szCs w:val="21"/>
        </w:rPr>
        <w:t>或符合《财政部关于政府采购竞争性磋商采购方式管理暂行办法有关问题的补充通知</w:t>
      </w:r>
      <w:bookmarkEnd w:id="56"/>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w:t>
      </w:r>
      <w:r>
        <w:rPr>
          <w:rFonts w:hint="eastAsia" w:ascii="宋体" w:hAnsi="宋体" w:cs="宋体"/>
          <w:color w:val="auto"/>
          <w:kern w:val="0"/>
          <w:szCs w:val="21"/>
          <w:lang w:val="en-US" w:eastAsia="zh-CN"/>
        </w:rPr>
        <w:t>（折扣报价）</w:t>
      </w:r>
      <w:r>
        <w:rPr>
          <w:rFonts w:hint="eastAsia" w:ascii="宋体" w:hAnsi="宋体" w:cs="宋体"/>
          <w:szCs w:val="21"/>
        </w:rPr>
        <w:t>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w:t>
      </w:r>
      <w:r>
        <w:rPr>
          <w:rFonts w:hint="eastAsia" w:ascii="宋体" w:hAnsi="宋体" w:cs="宋体"/>
          <w:color w:val="auto"/>
          <w:kern w:val="0"/>
          <w:szCs w:val="21"/>
          <w:lang w:val="en-US" w:eastAsia="zh-CN"/>
        </w:rPr>
        <w:t>（折扣报价）</w:t>
      </w:r>
      <w:r>
        <w:rPr>
          <w:rFonts w:hint="eastAsia" w:ascii="宋体" w:hAnsi="宋体" w:cs="宋体"/>
          <w:szCs w:val="21"/>
        </w:rPr>
        <w:t>的供应商后，由磋商小组采用综合评分法对提交最后报价的供应商的响应文件和最后报价</w:t>
      </w:r>
      <w:r>
        <w:rPr>
          <w:rFonts w:hint="eastAsia" w:ascii="宋体" w:hAnsi="宋体" w:cs="宋体"/>
          <w:color w:val="auto"/>
          <w:kern w:val="0"/>
          <w:szCs w:val="21"/>
          <w:lang w:val="en-US" w:eastAsia="zh-CN"/>
        </w:rPr>
        <w:t>（折扣报价）</w:t>
      </w:r>
      <w:r>
        <w:rPr>
          <w:rFonts w:hint="eastAsia" w:ascii="宋体" w:hAnsi="宋体" w:cs="宋体"/>
          <w:szCs w:val="21"/>
        </w:rPr>
        <w:t>进行综合评分。</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比较与评价</w:t>
      </w:r>
    </w:p>
    <w:p>
      <w:pPr>
        <w:numPr>
          <w:ilvl w:val="1"/>
          <w:numId w:val="4"/>
        </w:numPr>
        <w:spacing w:line="440" w:lineRule="exact"/>
        <w:rPr>
          <w:rFonts w:hint="eastAsia" w:ascii="宋体" w:hAnsi="宋体" w:cs="宋体"/>
          <w:szCs w:val="21"/>
        </w:rPr>
      </w:pPr>
      <w:r>
        <w:rPr>
          <w:rFonts w:hint="eastAsia" w:ascii="宋体" w:hAnsi="宋体" w:cs="宋体"/>
          <w:szCs w:val="21"/>
        </w:rPr>
        <w:t>评审标准：见本文件第三章；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4"/>
        </w:numPr>
        <w:spacing w:line="440" w:lineRule="exact"/>
        <w:ind w:left="7" w:firstLine="277"/>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保密及其他注意事项</w:t>
      </w:r>
    </w:p>
    <w:p>
      <w:pPr>
        <w:numPr>
          <w:ilvl w:val="1"/>
          <w:numId w:val="4"/>
        </w:numPr>
        <w:spacing w:line="440" w:lineRule="exact"/>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4"/>
        </w:numPr>
        <w:spacing w:line="440" w:lineRule="exact"/>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11"/>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11"/>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11"/>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6"/>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57" w:name="_Toc5841"/>
      <w:bookmarkStart w:id="58" w:name="_Toc487805908"/>
      <w:bookmarkStart w:id="59" w:name="_Toc477423248"/>
      <w:bookmarkStart w:id="60" w:name="_Toc19608"/>
      <w:bookmarkStart w:id="61" w:name="_Toc490161265"/>
      <w:r>
        <w:rPr>
          <w:rFonts w:hint="eastAsia" w:ascii="宋体" w:hAnsi="宋体" w:eastAsia="宋体" w:cs="宋体"/>
          <w:sz w:val="21"/>
          <w:szCs w:val="21"/>
        </w:rPr>
        <w:t>六、成交和合同</w:t>
      </w:r>
      <w:bookmarkEnd w:id="57"/>
      <w:bookmarkEnd w:id="58"/>
      <w:bookmarkEnd w:id="59"/>
      <w:bookmarkEnd w:id="60"/>
      <w:bookmarkEnd w:id="61"/>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成交通知</w:t>
      </w:r>
    </w:p>
    <w:p>
      <w:pPr>
        <w:numPr>
          <w:ilvl w:val="1"/>
          <w:numId w:val="4"/>
        </w:numPr>
        <w:spacing w:line="440" w:lineRule="exact"/>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4"/>
        </w:numPr>
        <w:spacing w:line="440" w:lineRule="exact"/>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4"/>
        </w:numPr>
        <w:spacing w:line="440" w:lineRule="exact"/>
        <w:rPr>
          <w:rFonts w:hint="eastAsia" w:ascii="宋体" w:hAnsi="宋体" w:cs="宋体"/>
          <w:szCs w:val="21"/>
        </w:rPr>
      </w:pPr>
      <w:r>
        <w:rPr>
          <w:rFonts w:hint="eastAsia" w:ascii="宋体" w:hAnsi="宋体" w:cs="宋体"/>
          <w:szCs w:val="21"/>
        </w:rPr>
        <w:t>成交通知书将作为签订合同的依据。</w:t>
      </w:r>
    </w:p>
    <w:p>
      <w:pPr>
        <w:numPr>
          <w:ilvl w:val="1"/>
          <w:numId w:val="4"/>
        </w:numPr>
        <w:spacing w:line="440" w:lineRule="exact"/>
        <w:ind w:left="0" w:leftChars="0" w:firstLine="218" w:firstLineChars="104"/>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53"/>
    <w:bookmarkEnd w:id="54"/>
    <w:p>
      <w:pPr>
        <w:numPr>
          <w:ilvl w:val="0"/>
          <w:numId w:val="4"/>
        </w:numPr>
        <w:spacing w:line="440" w:lineRule="exact"/>
        <w:rPr>
          <w:rFonts w:hint="eastAsia" w:ascii="宋体" w:hAnsi="宋体" w:cs="宋体"/>
          <w:b/>
          <w:szCs w:val="21"/>
        </w:rPr>
      </w:pPr>
      <w:r>
        <w:rPr>
          <w:rFonts w:hint="eastAsia" w:ascii="宋体" w:hAnsi="宋体" w:cs="宋体"/>
          <w:b/>
          <w:szCs w:val="21"/>
        </w:rPr>
        <w:t xml:space="preserve"> 签订合同及合同的执行</w:t>
      </w:r>
    </w:p>
    <w:p>
      <w:pPr>
        <w:pStyle w:val="15"/>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30.1采购人与成交供应商应当在成交通知书发出之日起30日内（供应商须知前附表另有规定者从其规定），签订政府采购合同。</w:t>
      </w:r>
    </w:p>
    <w:p>
      <w:pPr>
        <w:pStyle w:val="15"/>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30.2磋商文件及修改文件、成交供应商的响应文件、补充或修改的文件及澄清或承诺文件等，均为双方签订合同的组成部分，并与合同一并作为本磋商所列采购项目的互补性法律文件，与合同具有同等法律效力；</w:t>
      </w:r>
    </w:p>
    <w:p>
      <w:pPr>
        <w:pStyle w:val="15"/>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30.3成交供应商应在采购合同签订之日起三个工作日内将合同报武陟县公共资源交易中心、武陟县政府采购管理办公室备案；</w:t>
      </w:r>
    </w:p>
    <w:p>
      <w:pPr>
        <w:pStyle w:val="15"/>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30.4合同双方如违约，将按《中华人民共和国民法典》、《中华人民共和国政府采购法》及有关法律法规中的规定执行。</w:t>
      </w:r>
    </w:p>
    <w:p>
      <w:pPr>
        <w:pStyle w:val="15"/>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30.5根据《政府采购促进中小企业发展管理办法》规定，成交供应商为小微企业的不得将合同分包给大中型企业，成交供应商为中型企业的不得将合同分包给大型企业。</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质疑</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4"/>
        </w:numPr>
        <w:spacing w:line="440" w:lineRule="exact"/>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4"/>
        </w:numPr>
        <w:spacing w:line="440" w:lineRule="exact"/>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4"/>
        </w:numPr>
        <w:spacing w:line="440" w:lineRule="exact"/>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szCs w:val="21"/>
        </w:rPr>
        <w:fldChar w:fldCharType="begin"/>
      </w:r>
      <w:r>
        <w:rPr>
          <w:rFonts w:hint="eastAsia" w:ascii="宋体" w:hAnsi="宋体" w:cs="宋体"/>
          <w:szCs w:val="21"/>
        </w:rPr>
        <w:instrText xml:space="preserve">HYPERLINK "http://download.ccgp.gov.cn/2018/zhiyihanfanben.zip"</w:instrText>
      </w:r>
      <w:r>
        <w:rPr>
          <w:rFonts w:hint="eastAsia" w:ascii="宋体" w:hAnsi="宋体" w:cs="宋体"/>
          <w:szCs w:val="21"/>
        </w:rP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31.10</w:t>
      </w:r>
      <w:r>
        <w:rPr>
          <w:rFonts w:hint="eastAsia" w:ascii="宋体" w:hAnsi="宋体" w:cs="宋体"/>
          <w:color w:val="auto"/>
          <w:szCs w:val="21"/>
        </w:rPr>
        <w:t>质疑供应商对采购人或采购代理机构的答复不满意以及采购人或采购代理机构未在规定的时间内做出答复的，可以在答复期满后15个工作日内向同级财政部门投诉。</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31.11</w:t>
      </w:r>
      <w:r>
        <w:rPr>
          <w:rFonts w:hint="eastAsia" w:ascii="宋体" w:hAnsi="宋体" w:cs="宋体"/>
          <w:color w:val="auto"/>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（1）供应商应以书面方式将质疑函分别送至采购人、采购代理机构；</w:t>
      </w:r>
    </w:p>
    <w:p>
      <w:pPr>
        <w:spacing w:line="440" w:lineRule="exact"/>
        <w:ind w:left="284"/>
        <w:rPr>
          <w:rFonts w:hint="eastAsia" w:ascii="宋体" w:hAnsi="宋体" w:eastAsia="宋体" w:cs="宋体"/>
          <w:color w:val="auto"/>
          <w:szCs w:val="21"/>
          <w:lang w:eastAsia="zh-CN"/>
        </w:rPr>
      </w:pPr>
      <w:r>
        <w:rPr>
          <w:rFonts w:hint="eastAsia" w:ascii="宋体" w:hAnsi="宋体" w:cs="宋体"/>
          <w:color w:val="auto"/>
          <w:szCs w:val="21"/>
        </w:rPr>
        <w:t>（2）采购人名称：</w:t>
      </w:r>
      <w:r>
        <w:rPr>
          <w:rFonts w:hint="eastAsia" w:ascii="宋体" w:hAnsi="宋体" w:cs="宋体"/>
          <w:color w:val="auto"/>
          <w:szCs w:val="21"/>
          <w:lang w:eastAsia="zh-CN"/>
        </w:rPr>
        <w:t>武陟县住房和城乡建设局</w:t>
      </w:r>
    </w:p>
    <w:p>
      <w:pPr>
        <w:spacing w:line="440" w:lineRule="exact"/>
        <w:ind w:left="284" w:firstLine="210" w:firstLineChars="100"/>
        <w:rPr>
          <w:rFonts w:hint="eastAsia" w:ascii="宋体" w:hAnsi="宋体" w:cs="宋体"/>
          <w:color w:val="auto"/>
          <w:szCs w:val="21"/>
        </w:rPr>
      </w:pPr>
      <w:r>
        <w:rPr>
          <w:rFonts w:hint="eastAsia" w:ascii="宋体" w:hAnsi="宋体" w:cs="宋体"/>
          <w:color w:val="auto"/>
          <w:szCs w:val="21"/>
        </w:rPr>
        <w:t>地点：</w:t>
      </w:r>
      <w:r>
        <w:rPr>
          <w:rFonts w:hint="eastAsia" w:ascii="宋体" w:hAnsi="宋体" w:cs="宋体"/>
          <w:color w:val="auto"/>
          <w:szCs w:val="21"/>
          <w:lang w:eastAsia="zh-CN"/>
        </w:rPr>
        <w:t>河南省武陟县和平路118号</w:t>
      </w:r>
    </w:p>
    <w:p>
      <w:pPr>
        <w:spacing w:line="440" w:lineRule="exact"/>
        <w:ind w:left="283" w:leftChars="135" w:firstLine="210" w:firstLineChars="100"/>
        <w:rPr>
          <w:rFonts w:hint="eastAsia" w:ascii="宋体" w:hAnsi="宋体" w:eastAsia="宋体" w:cs="宋体"/>
          <w:color w:val="auto"/>
          <w:szCs w:val="21"/>
          <w:lang w:eastAsia="zh-CN"/>
        </w:rPr>
      </w:pPr>
      <w:r>
        <w:rPr>
          <w:rFonts w:hint="eastAsia" w:ascii="宋体" w:hAnsi="宋体" w:cs="宋体"/>
          <w:color w:val="auto"/>
          <w:szCs w:val="21"/>
        </w:rPr>
        <w:t>联系人：</w:t>
      </w:r>
      <w:r>
        <w:rPr>
          <w:rFonts w:hint="eastAsia" w:ascii="宋体" w:hAnsi="宋体" w:cs="宋体"/>
          <w:color w:val="auto"/>
          <w:sz w:val="24"/>
          <w:szCs w:val="24"/>
          <w:highlight w:val="none"/>
          <w:lang w:eastAsia="zh-CN"/>
        </w:rPr>
        <w:t>秦艳梅</w:t>
      </w:r>
    </w:p>
    <w:p>
      <w:pPr>
        <w:spacing w:line="440" w:lineRule="exact"/>
        <w:ind w:left="283" w:leftChars="135" w:firstLine="210" w:firstLineChars="100"/>
        <w:rPr>
          <w:rFonts w:hint="default" w:ascii="宋体" w:hAnsi="宋体" w:eastAsia="宋体" w:cs="宋体"/>
          <w:color w:val="auto"/>
          <w:szCs w:val="21"/>
          <w:lang w:val="en-US" w:eastAsia="zh-CN"/>
        </w:rPr>
      </w:pPr>
      <w:r>
        <w:rPr>
          <w:rFonts w:hint="eastAsia" w:ascii="宋体" w:hAnsi="宋体" w:cs="宋体"/>
          <w:color w:val="auto"/>
          <w:szCs w:val="21"/>
        </w:rPr>
        <w:t>联系电话：</w:t>
      </w:r>
      <w:r>
        <w:rPr>
          <w:rFonts w:hint="eastAsia" w:ascii="宋体" w:hAnsi="宋体" w:cs="宋体"/>
          <w:color w:val="auto"/>
          <w:szCs w:val="21"/>
          <w:lang w:val="en-US" w:eastAsia="zh-CN"/>
        </w:rPr>
        <w:t>15993762233</w:t>
      </w:r>
    </w:p>
    <w:p>
      <w:pPr>
        <w:spacing w:line="440" w:lineRule="exact"/>
        <w:ind w:left="284"/>
        <w:rPr>
          <w:rFonts w:hint="eastAsia" w:ascii="宋体" w:hAnsi="宋体" w:eastAsia="宋体" w:cs="宋体"/>
          <w:color w:val="auto"/>
          <w:szCs w:val="21"/>
          <w:lang w:eastAsia="zh-CN"/>
        </w:rPr>
      </w:pPr>
      <w:r>
        <w:rPr>
          <w:rFonts w:hint="eastAsia" w:ascii="宋体" w:hAnsi="宋体" w:cs="宋体"/>
          <w:color w:val="auto"/>
          <w:szCs w:val="21"/>
        </w:rPr>
        <w:t>（3）采购代理机构名称：</w:t>
      </w:r>
      <w:r>
        <w:rPr>
          <w:rFonts w:hint="eastAsia" w:ascii="宋体" w:hAnsi="宋体" w:cs="宋体"/>
          <w:color w:val="auto"/>
          <w:szCs w:val="21"/>
          <w:lang w:eastAsia="zh-CN"/>
        </w:rPr>
        <w:t>中喆华晟云平台有限公司</w:t>
      </w:r>
    </w:p>
    <w:p>
      <w:pPr>
        <w:spacing w:line="440" w:lineRule="exact"/>
        <w:ind w:left="284" w:firstLine="210" w:firstLineChars="100"/>
        <w:rPr>
          <w:rFonts w:hint="default" w:ascii="宋体" w:hAnsi="宋体" w:eastAsia="宋体" w:cs="宋体"/>
          <w:color w:val="auto"/>
          <w:szCs w:val="21"/>
          <w:lang w:val="en-US" w:eastAsia="zh-CN"/>
        </w:rPr>
      </w:pPr>
      <w:r>
        <w:rPr>
          <w:rFonts w:hint="eastAsia" w:ascii="宋体" w:hAnsi="宋体" w:cs="宋体"/>
          <w:color w:val="auto"/>
          <w:szCs w:val="21"/>
        </w:rPr>
        <w:t>地点：</w:t>
      </w:r>
      <w:r>
        <w:rPr>
          <w:rFonts w:hint="eastAsia" w:ascii="宋体" w:hAnsi="宋体" w:cs="宋体"/>
          <w:color w:val="auto"/>
          <w:szCs w:val="21"/>
          <w:lang w:eastAsia="zh-CN"/>
        </w:rPr>
        <w:t>武陟县云台大道东侧</w:t>
      </w:r>
      <w:r>
        <w:rPr>
          <w:rFonts w:hint="eastAsia" w:ascii="宋体" w:hAnsi="宋体" w:cs="宋体"/>
          <w:color w:val="auto"/>
          <w:szCs w:val="21"/>
          <w:lang w:val="en-US" w:eastAsia="zh-CN"/>
        </w:rPr>
        <w:t>2号</w:t>
      </w:r>
    </w:p>
    <w:p>
      <w:pPr>
        <w:spacing w:line="440" w:lineRule="exact"/>
        <w:ind w:left="284" w:firstLine="210" w:firstLineChars="100"/>
        <w:rPr>
          <w:rFonts w:hint="eastAsia" w:ascii="宋体" w:hAnsi="宋体" w:eastAsia="宋体" w:cs="宋体"/>
          <w:color w:val="auto"/>
          <w:szCs w:val="21"/>
          <w:lang w:eastAsia="zh-CN"/>
        </w:rPr>
      </w:pPr>
      <w:r>
        <w:rPr>
          <w:rFonts w:hint="eastAsia" w:ascii="宋体" w:hAnsi="宋体" w:cs="宋体"/>
          <w:color w:val="auto"/>
          <w:szCs w:val="21"/>
        </w:rPr>
        <w:t>联系人：</w:t>
      </w:r>
      <w:r>
        <w:rPr>
          <w:rFonts w:hint="eastAsia" w:ascii="宋体" w:hAnsi="宋体" w:cs="宋体"/>
          <w:color w:val="auto"/>
          <w:szCs w:val="21"/>
          <w:lang w:eastAsia="zh-CN"/>
        </w:rPr>
        <w:t>荆超</w:t>
      </w:r>
    </w:p>
    <w:p>
      <w:pPr>
        <w:spacing w:line="440" w:lineRule="exact"/>
        <w:ind w:left="284" w:firstLine="210" w:firstLineChars="100"/>
        <w:rPr>
          <w:rFonts w:hint="eastAsia" w:ascii="宋体" w:hAnsi="宋体" w:cs="宋体"/>
          <w:szCs w:val="21"/>
        </w:rPr>
      </w:pPr>
      <w:r>
        <w:rPr>
          <w:rFonts w:hint="eastAsia" w:ascii="宋体" w:hAnsi="宋体" w:cs="宋体"/>
          <w:color w:val="auto"/>
          <w:szCs w:val="21"/>
        </w:rPr>
        <w:t>联系电话：0391-7289803</w:t>
      </w:r>
    </w:p>
    <w:p>
      <w:pPr>
        <w:numPr>
          <w:ilvl w:val="0"/>
          <w:numId w:val="4"/>
        </w:numPr>
        <w:spacing w:line="440" w:lineRule="exact"/>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pStyle w:val="2"/>
        <w:spacing w:line="440" w:lineRule="exact"/>
        <w:ind w:firstLine="420"/>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sectPr>
          <w:footerReference r:id="rId11" w:type="default"/>
          <w:pgSz w:w="11906" w:h="16838"/>
          <w:pgMar w:top="1134" w:right="1134" w:bottom="1134" w:left="1474" w:header="851" w:footer="510" w:gutter="0"/>
          <w:cols w:space="720" w:num="1"/>
          <w:docGrid w:type="lines" w:linePitch="312" w:charSpace="0"/>
        </w:sectPr>
      </w:pPr>
      <w:bookmarkStart w:id="62" w:name="_Toc11289"/>
      <w:bookmarkStart w:id="63" w:name="_Toc8874"/>
      <w:bookmarkStart w:id="64" w:name="_Toc374512417"/>
      <w:bookmarkStart w:id="65" w:name="_Toc477423249"/>
      <w:bookmarkStart w:id="66" w:name="_Toc373230030"/>
    </w:p>
    <w:p>
      <w:pPr>
        <w:pStyle w:val="36"/>
        <w:numPr>
          <w:ilvl w:val="0"/>
          <w:numId w:val="1"/>
        </w:numPr>
        <w:spacing w:before="0" w:after="0" w:line="360" w:lineRule="auto"/>
        <w:ind w:firstLine="0"/>
        <w:rPr>
          <w:rFonts w:hint="eastAsia" w:ascii="宋体" w:hAnsi="宋体" w:cs="宋体"/>
        </w:rPr>
      </w:pPr>
      <w:bookmarkStart w:id="67" w:name="_Toc3621"/>
      <w:r>
        <w:rPr>
          <w:rFonts w:hint="eastAsia" w:ascii="宋体" w:hAnsi="宋体" w:cs="宋体"/>
        </w:rPr>
        <w:t>评审方法</w:t>
      </w:r>
      <w:bookmarkEnd w:id="62"/>
      <w:r>
        <w:rPr>
          <w:rFonts w:hint="eastAsia" w:ascii="宋体" w:hAnsi="宋体" w:cs="宋体"/>
        </w:rPr>
        <w:t>和评审标准</w:t>
      </w:r>
      <w:bookmarkEnd w:id="63"/>
      <w:bookmarkEnd w:id="67"/>
    </w:p>
    <w:p>
      <w:pPr>
        <w:spacing w:line="440" w:lineRule="exact"/>
        <w:ind w:left="284"/>
        <w:rPr>
          <w:rFonts w:hint="eastAsia" w:ascii="宋体" w:hAnsi="宋体" w:cs="宋体"/>
          <w:b/>
          <w:bCs/>
          <w:szCs w:val="21"/>
        </w:rPr>
      </w:pPr>
      <w:r>
        <w:rPr>
          <w:rFonts w:hint="eastAsia" w:ascii="宋体" w:hAnsi="宋体" w:cs="宋体"/>
          <w:b/>
          <w:bCs/>
          <w:szCs w:val="21"/>
          <w:lang w:eastAsia="zh-CN"/>
        </w:rPr>
        <w:t>一、评审</w:t>
      </w:r>
      <w:r>
        <w:rPr>
          <w:rFonts w:hint="eastAsia" w:ascii="宋体" w:hAnsi="宋体" w:cs="宋体"/>
          <w:b/>
          <w:bCs/>
          <w:szCs w:val="21"/>
        </w:rPr>
        <w:t>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磋商小组将按照磋商文件的规定，只对通过初步评审的响应文件和提交最后报价</w:t>
      </w:r>
      <w:r>
        <w:rPr>
          <w:rFonts w:hint="eastAsia" w:ascii="宋体" w:hAnsi="宋体" w:cs="宋体"/>
          <w:color w:val="auto"/>
          <w:kern w:val="0"/>
          <w:szCs w:val="21"/>
          <w:lang w:val="en-US" w:eastAsia="zh-CN"/>
        </w:rPr>
        <w:t>（折扣报价）</w:t>
      </w:r>
      <w:r>
        <w:rPr>
          <w:rFonts w:hint="eastAsia" w:ascii="宋体" w:hAnsi="宋体" w:cs="宋体"/>
          <w:szCs w:val="21"/>
        </w:rPr>
        <w:t>的供应商，由磋商小组采用综合评分法对提交最后报价</w:t>
      </w:r>
      <w:r>
        <w:rPr>
          <w:rFonts w:hint="eastAsia" w:ascii="宋体" w:hAnsi="宋体" w:cs="宋体"/>
          <w:color w:val="auto"/>
          <w:kern w:val="0"/>
          <w:szCs w:val="21"/>
          <w:lang w:val="en-US" w:eastAsia="zh-CN"/>
        </w:rPr>
        <w:t>（折扣报价）</w:t>
      </w:r>
      <w:r>
        <w:rPr>
          <w:rFonts w:hint="eastAsia" w:ascii="宋体" w:hAnsi="宋体" w:cs="宋体"/>
          <w:szCs w:val="21"/>
        </w:rPr>
        <w:t>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评审时，磋商小组各成员应当独立对每个有效响应的文件进行评价、打分，然后汇总每个供应商每项评分因素的得分。</w:t>
      </w:r>
    </w:p>
    <w:p>
      <w:pPr>
        <w:spacing w:line="440" w:lineRule="exact"/>
        <w:ind w:left="284"/>
        <w:rPr>
          <w:rFonts w:hint="eastAsia" w:ascii="宋体" w:hAnsi="宋体" w:cs="宋体"/>
          <w:b/>
          <w:bCs/>
          <w:szCs w:val="21"/>
          <w:lang w:eastAsia="zh-CN"/>
        </w:rPr>
      </w:pPr>
      <w:r>
        <w:rPr>
          <w:rFonts w:hint="eastAsia" w:ascii="宋体" w:hAnsi="宋体" w:cs="宋体"/>
          <w:b/>
          <w:bCs/>
          <w:szCs w:val="21"/>
          <w:lang w:eastAsia="zh-CN"/>
        </w:rPr>
        <w:t>二、评审标准</w:t>
      </w:r>
    </w:p>
    <w:bookmarkEnd w:id="64"/>
    <w:bookmarkEnd w:id="65"/>
    <w:bookmarkEnd w:id="66"/>
    <w:tbl>
      <w:tblPr>
        <w:tblStyle w:val="38"/>
        <w:tblW w:w="9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113"/>
        <w:gridCol w:w="1194"/>
        <w:gridCol w:w="6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03" w:type="dxa"/>
            <w:noWrap w:val="0"/>
            <w:vAlign w:val="top"/>
          </w:tcPr>
          <w:p>
            <w:pPr>
              <w:pStyle w:val="54"/>
              <w:spacing w:line="360" w:lineRule="auto"/>
              <w:jc w:val="center"/>
              <w:rPr>
                <w:rFonts w:hint="eastAsia" w:ascii="宋体" w:hAnsi="宋体" w:cs="宋体"/>
                <w:bCs/>
                <w:spacing w:val="6"/>
                <w:sz w:val="21"/>
                <w:szCs w:val="21"/>
              </w:rPr>
            </w:pPr>
            <w:bookmarkStart w:id="68" w:name="_Toc487805909"/>
            <w:bookmarkStart w:id="69" w:name="_Toc14171"/>
            <w:r>
              <w:rPr>
                <w:rFonts w:hint="eastAsia" w:ascii="宋体" w:hAnsi="宋体" w:cs="宋体"/>
                <w:b/>
                <w:bCs/>
                <w:sz w:val="21"/>
                <w:szCs w:val="21"/>
              </w:rPr>
              <w:t>条款号</w:t>
            </w:r>
          </w:p>
        </w:tc>
        <w:tc>
          <w:tcPr>
            <w:tcW w:w="1113" w:type="dxa"/>
            <w:noWrap w:val="0"/>
            <w:vAlign w:val="top"/>
          </w:tcPr>
          <w:p>
            <w:pPr>
              <w:pStyle w:val="54"/>
              <w:spacing w:line="360" w:lineRule="auto"/>
              <w:jc w:val="center"/>
              <w:rPr>
                <w:rFonts w:hint="eastAsia" w:ascii="宋体" w:hAnsi="宋体" w:eastAsia="宋体" w:cs="宋体"/>
                <w:bCs/>
                <w:spacing w:val="6"/>
                <w:sz w:val="21"/>
                <w:szCs w:val="21"/>
                <w:lang w:eastAsia="zh-CN"/>
              </w:rPr>
            </w:pPr>
            <w:r>
              <w:rPr>
                <w:rFonts w:hint="eastAsia" w:ascii="宋体" w:hAnsi="宋体" w:cs="宋体"/>
                <w:b/>
                <w:bCs/>
                <w:spacing w:val="1"/>
                <w:sz w:val="21"/>
                <w:szCs w:val="21"/>
              </w:rPr>
              <w:t>评分因素</w:t>
            </w:r>
            <w:r>
              <w:rPr>
                <w:rFonts w:hint="eastAsia" w:ascii="宋体" w:hAnsi="宋体" w:cs="宋体"/>
                <w:b/>
                <w:bCs/>
                <w:spacing w:val="1"/>
                <w:sz w:val="21"/>
                <w:szCs w:val="21"/>
                <w:lang w:eastAsia="zh-CN"/>
              </w:rPr>
              <w:t>（</w:t>
            </w:r>
            <w:r>
              <w:rPr>
                <w:rFonts w:hint="eastAsia" w:ascii="宋体" w:hAnsi="宋体" w:cs="宋体"/>
                <w:b/>
                <w:bCs/>
                <w:spacing w:val="1"/>
                <w:sz w:val="21"/>
                <w:szCs w:val="21"/>
                <w:lang w:val="en-US" w:eastAsia="zh-CN"/>
              </w:rPr>
              <w:t>100分</w:t>
            </w:r>
            <w:r>
              <w:rPr>
                <w:rFonts w:hint="eastAsia" w:ascii="宋体" w:hAnsi="宋体" w:cs="宋体"/>
                <w:b/>
                <w:bCs/>
                <w:spacing w:val="1"/>
                <w:sz w:val="21"/>
                <w:szCs w:val="21"/>
                <w:lang w:eastAsia="zh-CN"/>
              </w:rPr>
              <w:t>）</w:t>
            </w:r>
          </w:p>
        </w:tc>
        <w:tc>
          <w:tcPr>
            <w:tcW w:w="7423" w:type="dxa"/>
            <w:gridSpan w:val="2"/>
            <w:noWrap w:val="0"/>
            <w:vAlign w:val="top"/>
          </w:tcPr>
          <w:p>
            <w:pPr>
              <w:pStyle w:val="54"/>
              <w:spacing w:line="360" w:lineRule="auto"/>
              <w:jc w:val="center"/>
              <w:rPr>
                <w:rFonts w:hint="eastAsia" w:ascii="宋体" w:hAnsi="宋体" w:cs="宋体"/>
                <w:bCs/>
                <w:spacing w:val="6"/>
                <w:sz w:val="21"/>
                <w:szCs w:val="21"/>
              </w:rPr>
            </w:pPr>
            <w:r>
              <w:rPr>
                <w:rFonts w:hint="eastAsia" w:ascii="宋体" w:hAnsi="宋体" w:cs="宋体"/>
                <w:b/>
                <w:bCs/>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noWrap w:val="0"/>
            <w:vAlign w:val="center"/>
          </w:tcPr>
          <w:p>
            <w:pPr>
              <w:pStyle w:val="54"/>
              <w:spacing w:line="360" w:lineRule="auto"/>
              <w:jc w:val="center"/>
              <w:rPr>
                <w:rFonts w:hint="eastAsia" w:ascii="宋体" w:hAnsi="宋体" w:cs="宋体"/>
                <w:bCs/>
                <w:spacing w:val="6"/>
                <w:sz w:val="21"/>
                <w:szCs w:val="21"/>
              </w:rPr>
            </w:pPr>
            <w:r>
              <w:rPr>
                <w:rFonts w:hint="eastAsia" w:ascii="宋体" w:hAnsi="宋体" w:cs="宋体"/>
                <w:sz w:val="21"/>
                <w:szCs w:val="21"/>
              </w:rPr>
              <w:t>1</w:t>
            </w:r>
          </w:p>
        </w:tc>
        <w:tc>
          <w:tcPr>
            <w:tcW w:w="1113" w:type="dxa"/>
            <w:noWrap w:val="0"/>
            <w:vAlign w:val="center"/>
          </w:tcPr>
          <w:p>
            <w:pPr>
              <w:pStyle w:val="54"/>
              <w:spacing w:line="360" w:lineRule="auto"/>
              <w:jc w:val="center"/>
              <w:rPr>
                <w:rFonts w:hint="eastAsia" w:ascii="宋体" w:hAnsi="宋体" w:cs="宋体"/>
                <w:bCs/>
                <w:spacing w:val="6"/>
                <w:sz w:val="21"/>
                <w:szCs w:val="21"/>
              </w:rPr>
            </w:pPr>
            <w:r>
              <w:rPr>
                <w:rFonts w:hint="eastAsia" w:ascii="宋体" w:hAnsi="宋体" w:cs="宋体"/>
                <w:sz w:val="21"/>
                <w:szCs w:val="21"/>
              </w:rPr>
              <w:t>报</w:t>
            </w:r>
            <w:r>
              <w:rPr>
                <w:rFonts w:hint="eastAsia" w:ascii="宋体" w:hAnsi="宋体" w:cs="宋体"/>
                <w:sz w:val="21"/>
                <w:szCs w:val="21"/>
                <w:lang w:val="en-US" w:eastAsia="zh-CN"/>
              </w:rPr>
              <w:t xml:space="preserve">  </w:t>
            </w:r>
            <w:r>
              <w:rPr>
                <w:rFonts w:hint="eastAsia" w:ascii="宋体" w:hAnsi="宋体" w:cs="宋体"/>
                <w:sz w:val="21"/>
                <w:szCs w:val="21"/>
              </w:rPr>
              <w:t>价（</w:t>
            </w:r>
            <w:r>
              <w:rPr>
                <w:rFonts w:hint="eastAsia" w:ascii="宋体" w:hAnsi="宋体" w:cs="宋体"/>
                <w:sz w:val="21"/>
                <w:szCs w:val="21"/>
                <w:lang w:val="en-US" w:eastAsia="zh-CN"/>
              </w:rPr>
              <w:t>18</w:t>
            </w:r>
            <w:r>
              <w:rPr>
                <w:rFonts w:hint="eastAsia" w:ascii="宋体" w:hAnsi="宋体" w:cs="宋体"/>
                <w:sz w:val="21"/>
                <w:szCs w:val="21"/>
              </w:rPr>
              <w:t>分）</w:t>
            </w:r>
          </w:p>
        </w:tc>
        <w:tc>
          <w:tcPr>
            <w:tcW w:w="7423" w:type="dxa"/>
            <w:gridSpan w:val="2"/>
            <w:noWrap w:val="0"/>
            <w:vAlign w:val="top"/>
          </w:tcPr>
          <w:p>
            <w:pPr>
              <w:spacing w:line="500" w:lineRule="exact"/>
              <w:ind w:firstLine="420" w:firstLineChars="200"/>
              <w:rPr>
                <w:rFonts w:hint="eastAsia" w:ascii="宋体" w:hAnsi="宋体"/>
                <w:sz w:val="21"/>
                <w:szCs w:val="21"/>
              </w:rPr>
            </w:pPr>
            <w:r>
              <w:rPr>
                <w:rFonts w:hint="eastAsia" w:ascii="宋体" w:hAnsi="宋体"/>
                <w:sz w:val="21"/>
                <w:szCs w:val="21"/>
              </w:rPr>
              <w:t>满足</w:t>
            </w:r>
            <w:r>
              <w:rPr>
                <w:rFonts w:hint="eastAsia" w:ascii="宋体" w:hAnsi="宋体"/>
                <w:sz w:val="21"/>
                <w:szCs w:val="21"/>
                <w:lang w:eastAsia="zh-CN"/>
              </w:rPr>
              <w:t>竞争性磋商</w:t>
            </w:r>
            <w:r>
              <w:rPr>
                <w:rFonts w:hint="eastAsia" w:ascii="宋体" w:hAnsi="宋体"/>
                <w:sz w:val="21"/>
                <w:szCs w:val="21"/>
              </w:rPr>
              <w:t>文件要求且价格最低的报价为评标基准价，其价格分为满分（即</w:t>
            </w:r>
            <w:r>
              <w:rPr>
                <w:rFonts w:hint="eastAsia" w:ascii="宋体" w:hAnsi="宋体"/>
                <w:sz w:val="21"/>
                <w:szCs w:val="21"/>
                <w:lang w:val="en-US" w:eastAsia="zh-CN"/>
              </w:rPr>
              <w:t>18</w:t>
            </w:r>
            <w:r>
              <w:rPr>
                <w:rFonts w:hint="eastAsia" w:ascii="宋体" w:hAnsi="宋体"/>
                <w:sz w:val="21"/>
                <w:szCs w:val="21"/>
              </w:rPr>
              <w:t>分）。其他</w:t>
            </w:r>
            <w:r>
              <w:rPr>
                <w:rFonts w:hint="eastAsia" w:ascii="宋体" w:hAnsi="宋体"/>
                <w:sz w:val="21"/>
                <w:szCs w:val="21"/>
                <w:lang w:eastAsia="zh-CN"/>
              </w:rPr>
              <w:t>供应商</w:t>
            </w:r>
            <w:r>
              <w:rPr>
                <w:rFonts w:hint="eastAsia" w:ascii="宋体" w:hAnsi="宋体"/>
                <w:sz w:val="21"/>
                <w:szCs w:val="21"/>
              </w:rPr>
              <w:t>的价格分统一按照下列公式计算：</w:t>
            </w:r>
          </w:p>
          <w:p>
            <w:pPr>
              <w:pStyle w:val="54"/>
              <w:spacing w:line="360" w:lineRule="auto"/>
              <w:rPr>
                <w:rFonts w:hint="eastAsia" w:ascii="宋体" w:hAnsi="宋体" w:cs="宋体"/>
                <w:bCs/>
                <w:spacing w:val="6"/>
                <w:sz w:val="21"/>
                <w:szCs w:val="21"/>
              </w:rPr>
            </w:pPr>
            <w:r>
              <w:rPr>
                <w:rFonts w:hint="eastAsia" w:ascii="宋体" w:hAnsi="宋体"/>
                <w:sz w:val="21"/>
                <w:szCs w:val="21"/>
              </w:rPr>
              <w:t>报价得分=(评标基准价／报价) ×价格权值×</w:t>
            </w:r>
            <w:r>
              <w:rPr>
                <w:rFonts w:hint="eastAsia" w:ascii="宋体" w:hAnsi="宋体"/>
                <w:sz w:val="21"/>
                <w:szCs w:val="21"/>
                <w:lang w:val="en-US" w:eastAsia="zh-CN"/>
              </w:rPr>
              <w:t>100%</w:t>
            </w: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903" w:type="dxa"/>
            <w:vMerge w:val="restart"/>
            <w:noWrap w:val="0"/>
            <w:vAlign w:val="center"/>
          </w:tcPr>
          <w:p>
            <w:pPr>
              <w:pStyle w:val="54"/>
              <w:spacing w:line="360" w:lineRule="auto"/>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2</w:t>
            </w:r>
          </w:p>
        </w:tc>
        <w:tc>
          <w:tcPr>
            <w:tcW w:w="1113" w:type="dxa"/>
            <w:vMerge w:val="restart"/>
            <w:noWrap w:val="0"/>
            <w:vAlign w:val="center"/>
          </w:tcPr>
          <w:p>
            <w:pPr>
              <w:pStyle w:val="54"/>
              <w:spacing w:line="360" w:lineRule="auto"/>
              <w:jc w:val="center"/>
              <w:rPr>
                <w:rFonts w:hint="eastAsia" w:ascii="宋体" w:hAnsi="宋体" w:cs="宋体"/>
                <w:sz w:val="21"/>
                <w:szCs w:val="21"/>
              </w:rPr>
            </w:pPr>
            <w:r>
              <w:rPr>
                <w:rFonts w:hint="eastAsia" w:ascii="宋体" w:hAnsi="宋体" w:eastAsia="宋体" w:cs="宋体"/>
                <w:sz w:val="21"/>
                <w:szCs w:val="21"/>
                <w:lang w:val="en-US" w:eastAsia="zh-CN"/>
              </w:rPr>
              <w:t>技术</w:t>
            </w:r>
            <w:r>
              <w:rPr>
                <w:rFonts w:hint="eastAsia" w:ascii="宋体" w:hAnsi="宋体" w:eastAsia="宋体" w:cs="宋体"/>
                <w:sz w:val="21"/>
                <w:szCs w:val="21"/>
              </w:rPr>
              <w:t>部分</w:t>
            </w:r>
            <w:r>
              <w:rPr>
                <w:rFonts w:hint="eastAsia" w:ascii="宋体" w:hAnsi="宋体" w:cs="宋体"/>
                <w:sz w:val="21"/>
                <w:szCs w:val="21"/>
              </w:rPr>
              <w:t>(</w:t>
            </w:r>
            <w:r>
              <w:rPr>
                <w:rFonts w:hint="eastAsia" w:ascii="宋体" w:hAnsi="宋体" w:cs="宋体"/>
                <w:sz w:val="21"/>
                <w:szCs w:val="21"/>
                <w:lang w:val="en-US" w:eastAsia="zh-CN"/>
              </w:rPr>
              <w:t>60</w:t>
            </w:r>
            <w:r>
              <w:rPr>
                <w:rFonts w:hint="eastAsia" w:ascii="宋体" w:hAnsi="宋体" w:cs="宋体"/>
                <w:sz w:val="21"/>
                <w:szCs w:val="21"/>
              </w:rPr>
              <w:t>分)</w:t>
            </w:r>
          </w:p>
        </w:tc>
        <w:tc>
          <w:tcPr>
            <w:tcW w:w="1194" w:type="dxa"/>
            <w:noWrap w:val="0"/>
            <w:vAlign w:val="top"/>
          </w:tcPr>
          <w:p>
            <w:pPr>
              <w:pStyle w:val="54"/>
              <w:spacing w:line="360" w:lineRule="auto"/>
              <w:rPr>
                <w:rFonts w:hint="eastAsia" w:ascii="宋体" w:hAnsi="宋体"/>
                <w:sz w:val="21"/>
                <w:szCs w:val="21"/>
              </w:rPr>
            </w:pPr>
            <w:r>
              <w:rPr>
                <w:rFonts w:hint="eastAsia" w:ascii="宋体" w:hAnsi="宋体" w:eastAsia="宋体" w:cs="宋体"/>
                <w:sz w:val="21"/>
                <w:szCs w:val="21"/>
                <w:lang w:val="en-US" w:eastAsia="zh-CN"/>
              </w:rPr>
              <w:t>总体工作方案、工作计划运作机制及工作流程（5分）</w:t>
            </w:r>
          </w:p>
        </w:tc>
        <w:tc>
          <w:tcPr>
            <w:tcW w:w="6229" w:type="dxa"/>
            <w:noWrap w:val="0"/>
            <w:vAlign w:val="top"/>
          </w:tcPr>
          <w:p>
            <w:pPr>
              <w:pStyle w:val="54"/>
              <w:spacing w:line="360" w:lineRule="auto"/>
              <w:rPr>
                <w:rFonts w:hint="eastAsia" w:ascii="宋体" w:hAnsi="宋体" w:eastAsia="宋体"/>
                <w:sz w:val="21"/>
                <w:szCs w:val="21"/>
                <w:lang w:val="en-US" w:eastAsia="zh-CN"/>
              </w:rPr>
            </w:pPr>
            <w:r>
              <w:rPr>
                <w:rFonts w:hint="eastAsia" w:ascii="宋体" w:hAnsi="宋体" w:eastAsia="宋体"/>
                <w:sz w:val="21"/>
                <w:szCs w:val="21"/>
                <w:lang w:val="en-US" w:eastAsia="zh-CN"/>
              </w:rPr>
              <w:t>总体工作方案、工作计划运作机制及工作流程科学、合理、可行的，得5分；</w:t>
            </w:r>
          </w:p>
          <w:p>
            <w:pPr>
              <w:pStyle w:val="54"/>
              <w:spacing w:line="360" w:lineRule="auto"/>
              <w:rPr>
                <w:rFonts w:hint="eastAsia" w:ascii="宋体" w:hAnsi="宋体" w:eastAsia="宋体"/>
                <w:sz w:val="21"/>
                <w:szCs w:val="21"/>
                <w:lang w:val="en-US" w:eastAsia="zh-CN"/>
              </w:rPr>
            </w:pPr>
            <w:r>
              <w:rPr>
                <w:rFonts w:hint="eastAsia" w:ascii="宋体" w:hAnsi="宋体" w:eastAsia="宋体"/>
                <w:sz w:val="21"/>
                <w:szCs w:val="21"/>
                <w:lang w:val="en-US" w:eastAsia="zh-CN"/>
              </w:rPr>
              <w:t>总体工作方案、工作计划运作机制及工作流程基本合理可行的，得3分；</w:t>
            </w:r>
          </w:p>
          <w:p>
            <w:pPr>
              <w:pStyle w:val="54"/>
              <w:spacing w:line="360" w:lineRule="auto"/>
              <w:rPr>
                <w:rFonts w:hint="eastAsia" w:ascii="宋体" w:hAnsi="宋体"/>
                <w:sz w:val="21"/>
                <w:szCs w:val="21"/>
              </w:rPr>
            </w:pPr>
            <w:r>
              <w:rPr>
                <w:rFonts w:hint="eastAsia" w:ascii="宋体" w:hAnsi="宋体" w:eastAsia="宋体"/>
                <w:sz w:val="21"/>
                <w:szCs w:val="21"/>
                <w:lang w:val="en-US" w:eastAsia="zh-CN"/>
              </w:rPr>
              <w:t>总体工作方案、工作计划运作机制及工作流程欠合理可行的，得1分。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903" w:type="dxa"/>
            <w:vMerge w:val="continue"/>
            <w:noWrap w:val="0"/>
            <w:vAlign w:val="center"/>
          </w:tcPr>
          <w:p>
            <w:pPr>
              <w:pStyle w:val="54"/>
              <w:spacing w:line="360" w:lineRule="auto"/>
            </w:pPr>
          </w:p>
        </w:tc>
        <w:tc>
          <w:tcPr>
            <w:tcW w:w="1113" w:type="dxa"/>
            <w:vMerge w:val="continue"/>
            <w:noWrap w:val="0"/>
            <w:vAlign w:val="center"/>
          </w:tcPr>
          <w:p>
            <w:pPr>
              <w:pStyle w:val="54"/>
              <w:spacing w:line="360" w:lineRule="auto"/>
            </w:pPr>
          </w:p>
        </w:tc>
        <w:tc>
          <w:tcPr>
            <w:tcW w:w="1194" w:type="dxa"/>
            <w:noWrap w:val="0"/>
            <w:vAlign w:val="top"/>
          </w:tcPr>
          <w:p>
            <w:pPr>
              <w:pStyle w:val="54"/>
              <w:spacing w:line="360" w:lineRule="auto"/>
            </w:pPr>
            <w:r>
              <w:rPr>
                <w:rFonts w:hint="eastAsia" w:ascii="宋体" w:hAnsi="宋体" w:eastAsia="宋体" w:cs="宋体"/>
                <w:sz w:val="21"/>
                <w:szCs w:val="21"/>
                <w:lang w:val="en-US" w:eastAsia="zh-CN"/>
              </w:rPr>
              <w:t>项目审查依据（13分）</w:t>
            </w:r>
          </w:p>
        </w:tc>
        <w:tc>
          <w:tcPr>
            <w:tcW w:w="6229" w:type="dxa"/>
            <w:noWrap w:val="0"/>
            <w:vAlign w:val="top"/>
          </w:tcPr>
          <w:p>
            <w:pPr>
              <w:pStyle w:val="54"/>
              <w:spacing w:line="360" w:lineRule="auto"/>
              <w:rPr>
                <w:rFonts w:hint="eastAsia" w:ascii="宋体" w:hAnsi="宋体" w:eastAsia="宋体"/>
                <w:sz w:val="21"/>
                <w:szCs w:val="21"/>
                <w:lang w:val="en-US" w:eastAsia="zh-CN"/>
              </w:rPr>
            </w:pPr>
            <w:r>
              <w:rPr>
                <w:rFonts w:hint="eastAsia" w:ascii="宋体" w:hAnsi="宋体" w:eastAsia="宋体"/>
                <w:sz w:val="21"/>
                <w:szCs w:val="21"/>
                <w:lang w:val="en-US" w:eastAsia="zh-CN"/>
              </w:rPr>
              <w:t>项目审查依据清晰明了、范围清晰、审查依据充分全面，得</w:t>
            </w:r>
            <w:r>
              <w:rPr>
                <w:rFonts w:hint="eastAsia" w:ascii="宋体" w:hAnsi="宋体" w:eastAsia="宋体"/>
                <w:color w:val="auto"/>
                <w:sz w:val="21"/>
                <w:szCs w:val="21"/>
                <w:lang w:val="en-US" w:eastAsia="zh-CN"/>
              </w:rPr>
              <w:t>13分</w:t>
            </w:r>
            <w:r>
              <w:rPr>
                <w:rFonts w:hint="eastAsia" w:ascii="宋体" w:hAnsi="宋体" w:eastAsia="宋体"/>
                <w:sz w:val="21"/>
                <w:szCs w:val="21"/>
                <w:lang w:val="en-US" w:eastAsia="zh-CN"/>
              </w:rPr>
              <w:t>；</w:t>
            </w:r>
          </w:p>
          <w:p>
            <w:pPr>
              <w:pStyle w:val="54"/>
              <w:spacing w:line="360" w:lineRule="auto"/>
              <w:rPr>
                <w:rFonts w:hint="eastAsia" w:ascii="宋体" w:hAnsi="宋体" w:eastAsia="宋体"/>
                <w:color w:val="auto"/>
                <w:sz w:val="21"/>
                <w:szCs w:val="21"/>
                <w:lang w:val="en-US" w:eastAsia="zh-CN"/>
              </w:rPr>
            </w:pPr>
            <w:r>
              <w:rPr>
                <w:rFonts w:hint="eastAsia" w:ascii="宋体" w:hAnsi="宋体" w:eastAsia="宋体"/>
                <w:sz w:val="21"/>
                <w:szCs w:val="21"/>
                <w:lang w:val="en-US" w:eastAsia="zh-CN"/>
              </w:rPr>
              <w:t>项目审查依据较为明了、范围较为清晰、审查依据较为全面，得</w:t>
            </w:r>
            <w:r>
              <w:rPr>
                <w:rFonts w:hint="eastAsia" w:ascii="宋体" w:hAnsi="宋体"/>
                <w:color w:val="auto"/>
                <w:sz w:val="21"/>
                <w:szCs w:val="21"/>
                <w:lang w:val="en-US" w:eastAsia="zh-CN"/>
              </w:rPr>
              <w:t>11</w:t>
            </w:r>
            <w:r>
              <w:rPr>
                <w:rFonts w:hint="eastAsia" w:ascii="宋体" w:hAnsi="宋体" w:eastAsia="宋体"/>
                <w:color w:val="auto"/>
                <w:sz w:val="21"/>
                <w:szCs w:val="21"/>
                <w:lang w:val="en-US" w:eastAsia="zh-CN"/>
              </w:rPr>
              <w:t>分；</w:t>
            </w:r>
          </w:p>
          <w:p>
            <w:pPr>
              <w:pStyle w:val="54"/>
              <w:spacing w:line="360" w:lineRule="auto"/>
              <w:rPr>
                <w:rFonts w:hint="eastAsia" w:ascii="宋体" w:hAnsi="宋体" w:eastAsia="宋体"/>
                <w:sz w:val="21"/>
                <w:szCs w:val="21"/>
                <w:lang w:val="en-US" w:eastAsia="zh-CN"/>
              </w:rPr>
            </w:pPr>
            <w:r>
              <w:rPr>
                <w:rFonts w:hint="eastAsia" w:ascii="宋体" w:hAnsi="宋体" w:eastAsia="宋体"/>
                <w:color w:val="auto"/>
                <w:sz w:val="21"/>
                <w:szCs w:val="21"/>
                <w:lang w:val="en-US" w:eastAsia="zh-CN"/>
              </w:rPr>
              <w:t>项目审查依据基本明了、范围满足审查要求、审查依据无错漏，得</w:t>
            </w:r>
            <w:r>
              <w:rPr>
                <w:rFonts w:hint="eastAsia" w:ascii="宋体" w:hAnsi="宋体"/>
                <w:color w:val="auto"/>
                <w:sz w:val="21"/>
                <w:szCs w:val="21"/>
                <w:lang w:val="en-US" w:eastAsia="zh-CN"/>
              </w:rPr>
              <w:t>9</w:t>
            </w:r>
            <w:r>
              <w:rPr>
                <w:rFonts w:hint="eastAsia" w:ascii="宋体" w:hAnsi="宋体" w:eastAsia="宋体"/>
                <w:color w:val="auto"/>
                <w:sz w:val="21"/>
                <w:szCs w:val="21"/>
                <w:lang w:val="en-US" w:eastAsia="zh-CN"/>
              </w:rPr>
              <w:t>分</w:t>
            </w:r>
            <w:r>
              <w:rPr>
                <w:rFonts w:hint="eastAsia" w:ascii="宋体" w:hAnsi="宋体"/>
                <w:sz w:val="21"/>
                <w:szCs w:val="21"/>
                <w:lang w:val="en-US" w:eastAsia="zh-CN"/>
              </w:rPr>
              <w:t>；</w:t>
            </w:r>
          </w:p>
          <w:p>
            <w:pPr>
              <w:pStyle w:val="11"/>
              <w:rPr>
                <w:rFonts w:hint="default" w:eastAsia="宋体"/>
                <w:lang w:val="en-US" w:eastAsia="zh-CN"/>
              </w:rPr>
            </w:pPr>
            <w:r>
              <w:rPr>
                <w:rFonts w:hint="eastAsia" w:ascii="宋体" w:hAnsi="宋体" w:eastAsia="宋体"/>
                <w:sz w:val="21"/>
                <w:szCs w:val="21"/>
                <w:lang w:val="en-US" w:eastAsia="zh-CN"/>
              </w:rPr>
              <w:t>项目审查依据不清晰明了、范围不满足要求、审查依据较差，得7分。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903" w:type="dxa"/>
            <w:vMerge w:val="continue"/>
            <w:noWrap w:val="0"/>
            <w:vAlign w:val="center"/>
          </w:tcPr>
          <w:p>
            <w:pPr>
              <w:pStyle w:val="54"/>
              <w:spacing w:line="360" w:lineRule="auto"/>
            </w:pPr>
          </w:p>
        </w:tc>
        <w:tc>
          <w:tcPr>
            <w:tcW w:w="1113" w:type="dxa"/>
            <w:vMerge w:val="continue"/>
            <w:noWrap w:val="0"/>
            <w:vAlign w:val="center"/>
          </w:tcPr>
          <w:p>
            <w:pPr>
              <w:pStyle w:val="54"/>
              <w:spacing w:line="360" w:lineRule="auto"/>
            </w:pPr>
          </w:p>
        </w:tc>
        <w:tc>
          <w:tcPr>
            <w:tcW w:w="1194" w:type="dxa"/>
            <w:noWrap w:val="0"/>
            <w:vAlign w:val="top"/>
          </w:tcPr>
          <w:p>
            <w:pPr>
              <w:pStyle w:val="54"/>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审查重点及主要内容（13分）</w:t>
            </w:r>
          </w:p>
          <w:p>
            <w:pPr>
              <w:pStyle w:val="54"/>
              <w:spacing w:line="360" w:lineRule="auto"/>
            </w:pPr>
          </w:p>
        </w:tc>
        <w:tc>
          <w:tcPr>
            <w:tcW w:w="6229" w:type="dxa"/>
            <w:noWrap w:val="0"/>
            <w:vAlign w:val="top"/>
          </w:tcPr>
          <w:p>
            <w:pPr>
              <w:pStyle w:val="54"/>
              <w:spacing w:line="360" w:lineRule="auto"/>
              <w:rPr>
                <w:rFonts w:hint="eastAsia" w:ascii="宋体" w:hAnsi="宋体" w:eastAsia="宋体"/>
                <w:color w:val="auto"/>
                <w:sz w:val="21"/>
                <w:szCs w:val="21"/>
                <w:lang w:val="en-US" w:eastAsia="zh-CN"/>
              </w:rPr>
            </w:pPr>
            <w:r>
              <w:rPr>
                <w:rFonts w:hint="eastAsia" w:ascii="宋体" w:hAnsi="宋体" w:eastAsia="宋体"/>
                <w:sz w:val="21"/>
                <w:szCs w:val="21"/>
                <w:lang w:val="en-US" w:eastAsia="zh-CN"/>
              </w:rPr>
              <w:t>施工图审查核对内容明确、计划清晰，施工图图纸审查内容全面、充分，总体和各专业审查重点突出，得</w:t>
            </w:r>
            <w:r>
              <w:rPr>
                <w:rFonts w:hint="eastAsia" w:ascii="宋体" w:hAnsi="宋体" w:eastAsia="宋体"/>
                <w:color w:val="auto"/>
                <w:sz w:val="21"/>
                <w:szCs w:val="21"/>
                <w:lang w:val="en-US" w:eastAsia="zh-CN"/>
              </w:rPr>
              <w:t>13分；</w:t>
            </w:r>
          </w:p>
          <w:p>
            <w:pPr>
              <w:pStyle w:val="54"/>
              <w:spacing w:line="360" w:lineRule="auto"/>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施工图审查核对内容较为明确、有计划，施工图图纸审查内容较为全面，总体和各专业审查有重点，得</w:t>
            </w:r>
            <w:r>
              <w:rPr>
                <w:rFonts w:hint="eastAsia" w:ascii="宋体" w:hAnsi="宋体"/>
                <w:color w:val="auto"/>
                <w:sz w:val="21"/>
                <w:szCs w:val="21"/>
                <w:lang w:val="en-US" w:eastAsia="zh-CN"/>
              </w:rPr>
              <w:t>11</w:t>
            </w:r>
            <w:r>
              <w:rPr>
                <w:rFonts w:hint="eastAsia" w:ascii="宋体" w:hAnsi="宋体" w:eastAsia="宋体"/>
                <w:color w:val="auto"/>
                <w:sz w:val="21"/>
                <w:szCs w:val="21"/>
                <w:lang w:val="en-US" w:eastAsia="zh-CN"/>
              </w:rPr>
              <w:t>分；</w:t>
            </w:r>
          </w:p>
          <w:p>
            <w:pPr>
              <w:pStyle w:val="54"/>
              <w:spacing w:line="360" w:lineRule="auto"/>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施工图审查核对内容基本明确、有计划，施工图图纸审查内容基本全面，有总体和各专业审查，得</w:t>
            </w:r>
            <w:r>
              <w:rPr>
                <w:rFonts w:hint="eastAsia" w:ascii="宋体" w:hAnsi="宋体"/>
                <w:color w:val="auto"/>
                <w:sz w:val="21"/>
                <w:szCs w:val="21"/>
                <w:lang w:val="en-US" w:eastAsia="zh-CN"/>
              </w:rPr>
              <w:t>9</w:t>
            </w:r>
            <w:r>
              <w:rPr>
                <w:rFonts w:hint="eastAsia" w:ascii="宋体" w:hAnsi="宋体" w:eastAsia="宋体"/>
                <w:color w:val="auto"/>
                <w:sz w:val="21"/>
                <w:szCs w:val="21"/>
                <w:lang w:val="en-US" w:eastAsia="zh-CN"/>
              </w:rPr>
              <w:t>分</w:t>
            </w:r>
            <w:r>
              <w:rPr>
                <w:rFonts w:hint="eastAsia" w:ascii="宋体" w:hAnsi="宋体"/>
                <w:color w:val="auto"/>
                <w:sz w:val="21"/>
                <w:szCs w:val="21"/>
                <w:lang w:val="en-US" w:eastAsia="zh-CN"/>
              </w:rPr>
              <w:t>；</w:t>
            </w:r>
          </w:p>
          <w:p>
            <w:pPr>
              <w:pStyle w:val="11"/>
            </w:pPr>
            <w:r>
              <w:rPr>
                <w:rFonts w:hint="eastAsia" w:ascii="宋体" w:hAnsi="宋体" w:eastAsia="宋体"/>
                <w:color w:val="auto"/>
                <w:sz w:val="21"/>
                <w:szCs w:val="21"/>
                <w:lang w:val="en-US" w:eastAsia="zh-CN"/>
              </w:rPr>
              <w:t>施工图审查核对内容不明确、无计划，施工图图纸审查内容不全面，有总体和各专业审查，得</w:t>
            </w:r>
            <w:r>
              <w:rPr>
                <w:rFonts w:hint="eastAsia" w:ascii="宋体" w:hAnsi="宋体"/>
                <w:color w:val="auto"/>
                <w:sz w:val="21"/>
                <w:szCs w:val="21"/>
                <w:lang w:val="en-US" w:eastAsia="zh-CN"/>
              </w:rPr>
              <w:t>7</w:t>
            </w:r>
            <w:r>
              <w:rPr>
                <w:rFonts w:hint="eastAsia" w:ascii="宋体" w:hAnsi="宋体" w:eastAsia="宋体"/>
                <w:color w:val="auto"/>
                <w:sz w:val="21"/>
                <w:szCs w:val="21"/>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903" w:type="dxa"/>
            <w:vMerge w:val="continue"/>
            <w:noWrap w:val="0"/>
            <w:vAlign w:val="center"/>
          </w:tcPr>
          <w:p>
            <w:pPr>
              <w:pStyle w:val="54"/>
              <w:spacing w:line="360" w:lineRule="auto"/>
            </w:pPr>
          </w:p>
        </w:tc>
        <w:tc>
          <w:tcPr>
            <w:tcW w:w="1113" w:type="dxa"/>
            <w:vMerge w:val="continue"/>
            <w:noWrap w:val="0"/>
            <w:vAlign w:val="center"/>
          </w:tcPr>
          <w:p>
            <w:pPr>
              <w:pStyle w:val="54"/>
              <w:spacing w:line="360" w:lineRule="auto"/>
            </w:pPr>
          </w:p>
        </w:tc>
        <w:tc>
          <w:tcPr>
            <w:tcW w:w="1194" w:type="dxa"/>
            <w:noWrap w:val="0"/>
            <w:vAlign w:val="top"/>
          </w:tcPr>
          <w:p>
            <w:pPr>
              <w:pStyle w:val="54"/>
              <w:spacing w:line="360" w:lineRule="auto"/>
            </w:pPr>
            <w:r>
              <w:rPr>
                <w:rFonts w:hint="eastAsia" w:ascii="宋体" w:hAnsi="宋体" w:eastAsia="宋体" w:cs="宋体"/>
                <w:sz w:val="21"/>
                <w:szCs w:val="21"/>
                <w:lang w:val="en-US" w:eastAsia="zh-CN"/>
              </w:rPr>
              <w:t>保证审查质量及服务周期所采取的措施（13分）</w:t>
            </w:r>
          </w:p>
        </w:tc>
        <w:tc>
          <w:tcPr>
            <w:tcW w:w="6229" w:type="dxa"/>
            <w:noWrap w:val="0"/>
            <w:vAlign w:val="top"/>
          </w:tcPr>
          <w:p>
            <w:pPr>
              <w:pStyle w:val="54"/>
              <w:spacing w:line="360" w:lineRule="auto"/>
              <w:rPr>
                <w:rFonts w:hint="eastAsia" w:ascii="宋体" w:hAnsi="宋体" w:eastAsia="宋体"/>
                <w:color w:val="auto"/>
                <w:sz w:val="21"/>
                <w:szCs w:val="21"/>
                <w:lang w:val="en-US" w:eastAsia="zh-CN"/>
              </w:rPr>
            </w:pPr>
            <w:r>
              <w:rPr>
                <w:rFonts w:hint="eastAsia" w:ascii="宋体" w:hAnsi="宋体" w:eastAsia="宋体"/>
                <w:sz w:val="21"/>
                <w:szCs w:val="21"/>
                <w:lang w:val="en-US" w:eastAsia="zh-CN"/>
              </w:rPr>
              <w:t>资源配备非常合理，针对本项目编制具体的工作制度，工作计划安排合理，质量及服务周期控制措施合理；得</w:t>
            </w:r>
            <w:r>
              <w:rPr>
                <w:rFonts w:hint="eastAsia" w:ascii="宋体" w:hAnsi="宋体" w:eastAsia="宋体"/>
                <w:color w:val="auto"/>
                <w:sz w:val="21"/>
                <w:szCs w:val="21"/>
                <w:lang w:val="en-US" w:eastAsia="zh-CN"/>
              </w:rPr>
              <w:t>13分；</w:t>
            </w:r>
          </w:p>
          <w:p>
            <w:pPr>
              <w:pStyle w:val="54"/>
              <w:spacing w:line="360" w:lineRule="auto"/>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资源配备合理，针对本项目编制具体的工作制度，工作计划安排合理，质量及服务周期控制措施基本合理；得</w:t>
            </w:r>
            <w:r>
              <w:rPr>
                <w:rFonts w:hint="eastAsia" w:ascii="宋体" w:hAnsi="宋体"/>
                <w:color w:val="auto"/>
                <w:sz w:val="21"/>
                <w:szCs w:val="21"/>
                <w:lang w:val="en-US" w:eastAsia="zh-CN"/>
              </w:rPr>
              <w:t>11</w:t>
            </w:r>
            <w:r>
              <w:rPr>
                <w:rFonts w:hint="eastAsia" w:ascii="宋体" w:hAnsi="宋体" w:eastAsia="宋体"/>
                <w:color w:val="auto"/>
                <w:sz w:val="21"/>
                <w:szCs w:val="21"/>
                <w:lang w:val="en-US" w:eastAsia="zh-CN"/>
              </w:rPr>
              <w:t>分；</w:t>
            </w:r>
          </w:p>
          <w:p>
            <w:pPr>
              <w:pStyle w:val="54"/>
              <w:spacing w:line="360" w:lineRule="auto"/>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保证施工图审查质量及服务周期所采用的措施不够合理；得</w:t>
            </w:r>
            <w:r>
              <w:rPr>
                <w:rFonts w:hint="eastAsia" w:ascii="宋体" w:hAnsi="宋体"/>
                <w:color w:val="auto"/>
                <w:sz w:val="21"/>
                <w:szCs w:val="21"/>
                <w:lang w:val="en-US" w:eastAsia="zh-CN"/>
              </w:rPr>
              <w:t>9</w:t>
            </w:r>
            <w:r>
              <w:rPr>
                <w:rFonts w:hint="eastAsia" w:ascii="宋体" w:hAnsi="宋体" w:eastAsia="宋体"/>
                <w:color w:val="auto"/>
                <w:sz w:val="21"/>
                <w:szCs w:val="21"/>
                <w:lang w:val="en-US" w:eastAsia="zh-CN"/>
              </w:rPr>
              <w:t>分</w:t>
            </w:r>
            <w:r>
              <w:rPr>
                <w:rFonts w:hint="eastAsia" w:ascii="宋体" w:hAnsi="宋体"/>
                <w:color w:val="auto"/>
                <w:sz w:val="21"/>
                <w:szCs w:val="21"/>
                <w:lang w:val="en-US" w:eastAsia="zh-CN"/>
              </w:rPr>
              <w:t>；</w:t>
            </w:r>
          </w:p>
          <w:p>
            <w:pPr>
              <w:pStyle w:val="11"/>
            </w:pPr>
            <w:r>
              <w:rPr>
                <w:rFonts w:hint="eastAsia" w:ascii="宋体" w:hAnsi="宋体" w:eastAsia="宋体"/>
                <w:color w:val="auto"/>
                <w:sz w:val="21"/>
                <w:szCs w:val="21"/>
                <w:lang w:val="en-US" w:eastAsia="zh-CN"/>
              </w:rPr>
              <w:t>保证施工图审查质量及服务周期所采用的措施较差的；得7分。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903" w:type="dxa"/>
            <w:vMerge w:val="continue"/>
            <w:noWrap w:val="0"/>
            <w:vAlign w:val="center"/>
          </w:tcPr>
          <w:p>
            <w:pPr>
              <w:pStyle w:val="54"/>
              <w:spacing w:line="360" w:lineRule="auto"/>
            </w:pPr>
          </w:p>
        </w:tc>
        <w:tc>
          <w:tcPr>
            <w:tcW w:w="1113" w:type="dxa"/>
            <w:vMerge w:val="continue"/>
            <w:noWrap w:val="0"/>
            <w:vAlign w:val="center"/>
          </w:tcPr>
          <w:p>
            <w:pPr>
              <w:pStyle w:val="54"/>
              <w:spacing w:line="360" w:lineRule="auto"/>
            </w:pPr>
          </w:p>
        </w:tc>
        <w:tc>
          <w:tcPr>
            <w:tcW w:w="1194" w:type="dxa"/>
            <w:noWrap w:val="0"/>
            <w:vAlign w:val="top"/>
          </w:tcPr>
          <w:p>
            <w:pPr>
              <w:pStyle w:val="54"/>
              <w:spacing w:line="360" w:lineRule="auto"/>
            </w:pPr>
            <w:r>
              <w:rPr>
                <w:rFonts w:hint="eastAsia" w:ascii="宋体" w:hAnsi="宋体" w:eastAsia="宋体" w:cs="宋体"/>
                <w:sz w:val="21"/>
                <w:szCs w:val="21"/>
                <w:lang w:val="en-US" w:eastAsia="zh-CN"/>
              </w:rPr>
              <w:t>档案管理措施和方法（5分）</w:t>
            </w:r>
          </w:p>
        </w:tc>
        <w:tc>
          <w:tcPr>
            <w:tcW w:w="6229" w:type="dxa"/>
            <w:noWrap w:val="0"/>
            <w:vAlign w:val="top"/>
          </w:tcPr>
          <w:p>
            <w:pPr>
              <w:pStyle w:val="54"/>
              <w:spacing w:line="360" w:lineRule="auto"/>
              <w:rPr>
                <w:rFonts w:hint="eastAsia" w:ascii="宋体" w:hAnsi="宋体" w:eastAsia="宋体"/>
                <w:sz w:val="21"/>
                <w:szCs w:val="21"/>
                <w:lang w:val="en-US" w:eastAsia="zh-CN"/>
              </w:rPr>
            </w:pPr>
            <w:r>
              <w:rPr>
                <w:rFonts w:hint="eastAsia" w:ascii="宋体" w:hAnsi="宋体" w:eastAsia="宋体"/>
                <w:sz w:val="21"/>
                <w:szCs w:val="21"/>
                <w:lang w:val="en-US" w:eastAsia="zh-CN"/>
              </w:rPr>
              <w:t>档案管理措施和方法全面详细、管理制度切实可行，得5分；</w:t>
            </w:r>
          </w:p>
          <w:p>
            <w:pPr>
              <w:pStyle w:val="54"/>
              <w:spacing w:line="360" w:lineRule="auto"/>
              <w:rPr>
                <w:rFonts w:hint="eastAsia" w:ascii="宋体" w:hAnsi="宋体" w:eastAsia="宋体"/>
                <w:sz w:val="21"/>
                <w:szCs w:val="21"/>
                <w:lang w:val="en-US" w:eastAsia="zh-CN"/>
              </w:rPr>
            </w:pPr>
            <w:r>
              <w:rPr>
                <w:rFonts w:hint="eastAsia" w:ascii="宋体" w:hAnsi="宋体" w:eastAsia="宋体"/>
                <w:sz w:val="21"/>
                <w:szCs w:val="21"/>
                <w:lang w:val="en-US" w:eastAsia="zh-CN"/>
              </w:rPr>
              <w:t>档案管理措施和方法比较详细、管理制度基本可行，得3分；</w:t>
            </w:r>
          </w:p>
          <w:p>
            <w:pPr>
              <w:pStyle w:val="54"/>
              <w:spacing w:line="360" w:lineRule="auto"/>
            </w:pPr>
            <w:r>
              <w:rPr>
                <w:rFonts w:hint="eastAsia" w:ascii="宋体" w:hAnsi="宋体" w:eastAsia="宋体"/>
                <w:sz w:val="21"/>
                <w:szCs w:val="21"/>
                <w:lang w:val="en-US" w:eastAsia="zh-CN"/>
              </w:rPr>
              <w:t>档案管理措施和方法不够全面详细、管理制度实施性较差，得1分。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903" w:type="dxa"/>
            <w:vMerge w:val="continue"/>
            <w:noWrap w:val="0"/>
            <w:vAlign w:val="center"/>
          </w:tcPr>
          <w:p>
            <w:pPr>
              <w:pStyle w:val="54"/>
              <w:spacing w:line="360" w:lineRule="auto"/>
            </w:pPr>
          </w:p>
        </w:tc>
        <w:tc>
          <w:tcPr>
            <w:tcW w:w="1113" w:type="dxa"/>
            <w:vMerge w:val="continue"/>
            <w:noWrap w:val="0"/>
            <w:vAlign w:val="center"/>
          </w:tcPr>
          <w:p>
            <w:pPr>
              <w:pStyle w:val="54"/>
              <w:spacing w:line="360" w:lineRule="auto"/>
            </w:pPr>
          </w:p>
        </w:tc>
        <w:tc>
          <w:tcPr>
            <w:tcW w:w="1194" w:type="dxa"/>
            <w:noWrap w:val="0"/>
            <w:vAlign w:val="center"/>
          </w:tcPr>
          <w:p>
            <w:pPr>
              <w:pStyle w:val="54"/>
              <w:spacing w:line="360" w:lineRule="auto"/>
            </w:pPr>
            <w:r>
              <w:rPr>
                <w:rFonts w:hint="eastAsia" w:ascii="宋体" w:hAnsi="宋体" w:eastAsia="宋体" w:cs="宋体"/>
                <w:sz w:val="21"/>
                <w:szCs w:val="21"/>
                <w:lang w:val="en-US" w:eastAsia="zh-CN"/>
              </w:rPr>
              <w:t>风险管控措施（5分）</w:t>
            </w:r>
          </w:p>
        </w:tc>
        <w:tc>
          <w:tcPr>
            <w:tcW w:w="6229" w:type="dxa"/>
            <w:noWrap w:val="0"/>
            <w:vAlign w:val="top"/>
          </w:tcPr>
          <w:p>
            <w:pPr>
              <w:pStyle w:val="54"/>
              <w:spacing w:line="360" w:lineRule="auto"/>
              <w:rPr>
                <w:rFonts w:hint="eastAsia" w:ascii="宋体" w:hAnsi="宋体" w:eastAsia="宋体"/>
                <w:sz w:val="21"/>
                <w:szCs w:val="21"/>
                <w:lang w:val="en-US" w:eastAsia="zh-CN"/>
              </w:rPr>
            </w:pPr>
            <w:r>
              <w:rPr>
                <w:rFonts w:hint="eastAsia" w:ascii="宋体" w:hAnsi="宋体" w:eastAsia="宋体"/>
                <w:sz w:val="21"/>
                <w:szCs w:val="21"/>
                <w:lang w:val="en-US" w:eastAsia="zh-CN"/>
              </w:rPr>
              <w:t>工作过程中风险防控管理措施齐全，廉洁自律和职业操守制度建全，管控措施准确，各阶段风险控制及应急措施得力，得5分；</w:t>
            </w:r>
          </w:p>
          <w:p>
            <w:pPr>
              <w:pStyle w:val="54"/>
              <w:spacing w:line="360" w:lineRule="auto"/>
              <w:rPr>
                <w:rFonts w:hint="eastAsia" w:ascii="宋体" w:hAnsi="宋体" w:eastAsia="宋体"/>
                <w:sz w:val="21"/>
                <w:szCs w:val="21"/>
                <w:lang w:val="en-US" w:eastAsia="zh-CN"/>
              </w:rPr>
            </w:pPr>
            <w:r>
              <w:rPr>
                <w:rFonts w:hint="eastAsia" w:ascii="宋体" w:hAnsi="宋体" w:eastAsia="宋体"/>
                <w:sz w:val="21"/>
                <w:szCs w:val="21"/>
                <w:lang w:val="en-US" w:eastAsia="zh-CN"/>
              </w:rPr>
              <w:t>风险防控管理措施基本齐全，有廉洁自律和职业操守制度，各阶段风险控制及应急措施基本可行，得3分；</w:t>
            </w:r>
          </w:p>
          <w:p>
            <w:pPr>
              <w:pStyle w:val="54"/>
              <w:spacing w:line="360" w:lineRule="auto"/>
            </w:pPr>
            <w:r>
              <w:rPr>
                <w:rFonts w:hint="eastAsia" w:ascii="宋体" w:hAnsi="宋体" w:eastAsia="宋体"/>
                <w:sz w:val="21"/>
                <w:szCs w:val="21"/>
                <w:lang w:val="en-US" w:eastAsia="zh-CN"/>
              </w:rPr>
              <w:t>风险防控管理措施不够齐全，廉洁自律和职业操守制度不够健全，缺乏应急措施，得1分。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903" w:type="dxa"/>
            <w:vMerge w:val="continue"/>
            <w:noWrap w:val="0"/>
            <w:vAlign w:val="center"/>
          </w:tcPr>
          <w:p>
            <w:pPr>
              <w:pStyle w:val="54"/>
              <w:spacing w:line="360" w:lineRule="auto"/>
            </w:pPr>
          </w:p>
        </w:tc>
        <w:tc>
          <w:tcPr>
            <w:tcW w:w="1113" w:type="dxa"/>
            <w:vMerge w:val="continue"/>
            <w:noWrap w:val="0"/>
            <w:vAlign w:val="center"/>
          </w:tcPr>
          <w:p>
            <w:pPr>
              <w:pStyle w:val="54"/>
              <w:spacing w:line="360" w:lineRule="auto"/>
            </w:pPr>
          </w:p>
        </w:tc>
        <w:tc>
          <w:tcPr>
            <w:tcW w:w="1194" w:type="dxa"/>
            <w:noWrap w:val="0"/>
            <w:vAlign w:val="center"/>
          </w:tcPr>
          <w:p>
            <w:pPr>
              <w:tabs>
                <w:tab w:val="left" w:pos="-900"/>
              </w:tabs>
              <w:spacing w:line="560" w:lineRule="exact"/>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服务承诺</w:t>
            </w:r>
          </w:p>
          <w:p>
            <w:pPr>
              <w:pStyle w:val="54"/>
              <w:spacing w:line="360" w:lineRule="auto"/>
              <w:rPr>
                <w:rFonts w:hint="eastAsia" w:eastAsia="宋体"/>
                <w:lang w:eastAsia="zh-CN"/>
              </w:rPr>
            </w:pPr>
            <w:r>
              <w:rPr>
                <w:rFonts w:hint="eastAsia"/>
                <w:lang w:eastAsia="zh-CN"/>
              </w:rPr>
              <w:t>（</w:t>
            </w:r>
            <w:r>
              <w:rPr>
                <w:rFonts w:hint="eastAsia"/>
                <w:lang w:val="en-US" w:eastAsia="zh-CN"/>
              </w:rPr>
              <w:t>6分</w:t>
            </w:r>
            <w:r>
              <w:rPr>
                <w:rFonts w:hint="eastAsia"/>
                <w:lang w:eastAsia="zh-CN"/>
              </w:rPr>
              <w:t>）</w:t>
            </w:r>
          </w:p>
        </w:tc>
        <w:tc>
          <w:tcPr>
            <w:tcW w:w="6229" w:type="dxa"/>
            <w:noWrap w:val="0"/>
            <w:vAlign w:val="top"/>
          </w:tcPr>
          <w:p>
            <w:pPr>
              <w:pStyle w:val="54"/>
              <w:spacing w:line="360" w:lineRule="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1、结合本项目实际，保证实现审查工作计划、保证项目审查规范、到位的措施及承诺，得2分。 </w:t>
            </w:r>
          </w:p>
          <w:p>
            <w:pPr>
              <w:pStyle w:val="54"/>
              <w:spacing w:line="360" w:lineRule="auto"/>
              <w:rPr>
                <w:rFonts w:hint="eastAsia" w:ascii="宋体" w:hAnsi="宋体" w:eastAsia="宋体"/>
                <w:sz w:val="21"/>
                <w:szCs w:val="21"/>
                <w:lang w:val="en-US" w:eastAsia="zh-CN"/>
              </w:rPr>
            </w:pPr>
            <w:r>
              <w:rPr>
                <w:rFonts w:hint="eastAsia" w:ascii="宋体" w:hAnsi="宋体" w:eastAsia="宋体"/>
                <w:sz w:val="21"/>
                <w:szCs w:val="21"/>
                <w:lang w:val="en-US" w:eastAsia="zh-CN"/>
              </w:rPr>
              <w:t>2、对审查优惠服务、额外工作及附加工作的优惠承诺 ，得2分。</w:t>
            </w:r>
          </w:p>
          <w:p>
            <w:pPr>
              <w:pStyle w:val="54"/>
              <w:spacing w:line="360" w:lineRule="auto"/>
            </w:pPr>
            <w:r>
              <w:rPr>
                <w:rFonts w:hint="eastAsia" w:ascii="宋体" w:hAnsi="宋体" w:eastAsia="宋体"/>
                <w:sz w:val="21"/>
                <w:szCs w:val="21"/>
                <w:lang w:val="en-US" w:eastAsia="zh-CN"/>
              </w:rPr>
              <w:t>3、投标人承诺：在工作期间出错率超过相应次数后，同意采购人扣除相应服务费，承诺2分，缺项得0分。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03" w:type="dxa"/>
            <w:vMerge w:val="restart"/>
            <w:noWrap w:val="0"/>
            <w:vAlign w:val="center"/>
          </w:tcPr>
          <w:p>
            <w:pPr>
              <w:pStyle w:val="54"/>
              <w:spacing w:line="360" w:lineRule="auto"/>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1113" w:type="dxa"/>
            <w:vMerge w:val="restart"/>
            <w:noWrap w:val="0"/>
            <w:vAlign w:val="center"/>
          </w:tcPr>
          <w:p>
            <w:pPr>
              <w:pStyle w:val="54"/>
              <w:spacing w:line="360" w:lineRule="auto"/>
              <w:jc w:val="center"/>
              <w:rPr>
                <w:rFonts w:hint="eastAsia" w:ascii="宋体" w:hAnsi="宋体" w:cs="宋体"/>
                <w:sz w:val="21"/>
                <w:szCs w:val="21"/>
              </w:rPr>
            </w:pPr>
            <w:r>
              <w:rPr>
                <w:rFonts w:hint="eastAsia" w:ascii="宋体" w:hAnsi="宋体" w:eastAsia="宋体" w:cs="宋体"/>
                <w:sz w:val="21"/>
                <w:szCs w:val="21"/>
                <w:lang w:val="en-US" w:eastAsia="zh-CN"/>
              </w:rPr>
              <w:t>商务部分（2</w:t>
            </w:r>
            <w:r>
              <w:rPr>
                <w:rFonts w:hint="eastAsia" w:ascii="宋体" w:hAnsi="宋体" w:cs="宋体"/>
                <w:sz w:val="21"/>
                <w:szCs w:val="21"/>
                <w:lang w:val="en-US" w:eastAsia="zh-CN"/>
              </w:rPr>
              <w:t>2</w:t>
            </w:r>
            <w:r>
              <w:rPr>
                <w:rFonts w:hint="eastAsia" w:ascii="宋体" w:hAnsi="宋体" w:eastAsia="宋体" w:cs="宋体"/>
                <w:sz w:val="21"/>
                <w:szCs w:val="21"/>
                <w:lang w:val="en-US" w:eastAsia="zh-CN"/>
              </w:rPr>
              <w:t>分）</w:t>
            </w:r>
          </w:p>
        </w:tc>
        <w:tc>
          <w:tcPr>
            <w:tcW w:w="1194" w:type="dxa"/>
            <w:noWrap w:val="0"/>
            <w:vAlign w:val="center"/>
          </w:tcPr>
          <w:p>
            <w:pPr>
              <w:pStyle w:val="54"/>
              <w:spacing w:line="360" w:lineRule="auto"/>
              <w:rPr>
                <w:rFonts w:hint="eastAsia" w:ascii="宋体" w:hAnsi="宋体"/>
                <w:color w:val="auto"/>
                <w:sz w:val="21"/>
                <w:szCs w:val="21"/>
                <w:shd w:val="clear" w:fill="FFFF00"/>
                <w:lang w:eastAsia="zh-CN"/>
              </w:rPr>
            </w:pPr>
            <w:r>
              <w:rPr>
                <w:rFonts w:hint="eastAsia" w:ascii="宋体" w:hAnsi="宋体" w:eastAsia="宋体" w:cs="宋体"/>
                <w:color w:val="auto"/>
                <w:kern w:val="2"/>
                <w:sz w:val="21"/>
                <w:szCs w:val="21"/>
                <w:lang w:val="en-US" w:eastAsia="zh-CN" w:bidi="ar-SA"/>
              </w:rPr>
              <w:t>企业业绩（10分）</w:t>
            </w:r>
          </w:p>
        </w:tc>
        <w:tc>
          <w:tcPr>
            <w:tcW w:w="6229" w:type="dxa"/>
            <w:noWrap w:val="0"/>
            <w:vAlign w:val="top"/>
          </w:tcPr>
          <w:p>
            <w:pPr>
              <w:pStyle w:val="54"/>
              <w:spacing w:line="360" w:lineRule="auto"/>
              <w:rPr>
                <w:rFonts w:hint="eastAsia" w:ascii="宋体" w:hAnsi="宋体"/>
                <w:color w:val="auto"/>
                <w:sz w:val="21"/>
                <w:szCs w:val="21"/>
                <w:shd w:val="clear" w:fill="FFFF00"/>
                <w:lang w:eastAsia="zh-CN"/>
              </w:rPr>
            </w:pPr>
            <w:r>
              <w:rPr>
                <w:rFonts w:hint="eastAsia" w:ascii="宋体" w:hAnsi="宋体" w:eastAsia="宋体"/>
                <w:color w:val="auto"/>
                <w:sz w:val="21"/>
                <w:szCs w:val="21"/>
                <w:lang w:val="en-US" w:eastAsia="zh-CN"/>
              </w:rPr>
              <w:t>投标人自2020年至今承担过</w:t>
            </w:r>
            <w:r>
              <w:rPr>
                <w:rFonts w:hint="eastAsia" w:ascii="宋体" w:hAnsi="宋体"/>
                <w:color w:val="auto"/>
                <w:sz w:val="21"/>
                <w:szCs w:val="21"/>
                <w:lang w:val="en-US" w:eastAsia="zh-CN"/>
              </w:rPr>
              <w:t>类似</w:t>
            </w:r>
            <w:r>
              <w:rPr>
                <w:rFonts w:hint="eastAsia" w:ascii="宋体" w:hAnsi="宋体" w:eastAsia="宋体"/>
                <w:color w:val="auto"/>
                <w:sz w:val="21"/>
                <w:szCs w:val="21"/>
                <w:lang w:val="en-US" w:eastAsia="zh-CN"/>
              </w:rPr>
              <w:t>业绩的，每有一项得2分</w:t>
            </w:r>
            <w:r>
              <w:rPr>
                <w:rFonts w:hint="eastAsia" w:ascii="宋体" w:hAnsi="宋体"/>
                <w:color w:val="auto"/>
                <w:sz w:val="21"/>
                <w:szCs w:val="21"/>
                <w:lang w:val="en-US" w:eastAsia="zh-CN"/>
              </w:rPr>
              <w:t>，</w:t>
            </w:r>
            <w:r>
              <w:rPr>
                <w:rFonts w:hint="eastAsia" w:ascii="宋体" w:hAnsi="宋体" w:eastAsia="宋体"/>
                <w:color w:val="auto"/>
                <w:sz w:val="21"/>
                <w:szCs w:val="21"/>
                <w:lang w:val="en-US" w:eastAsia="zh-CN"/>
              </w:rPr>
              <w:t>最高得10分。（提供合同协议书原件</w:t>
            </w:r>
            <w:r>
              <w:rPr>
                <w:rFonts w:hint="eastAsia" w:ascii="宋体" w:hAnsi="宋体"/>
                <w:color w:val="auto"/>
                <w:sz w:val="21"/>
                <w:szCs w:val="21"/>
                <w:lang w:val="en-US" w:eastAsia="zh-CN"/>
              </w:rPr>
              <w:t>扫描</w:t>
            </w:r>
            <w:r>
              <w:rPr>
                <w:rFonts w:hint="eastAsia" w:ascii="宋体" w:hAnsi="宋体" w:eastAsia="宋体"/>
                <w:color w:val="auto"/>
                <w:sz w:val="21"/>
                <w:szCs w:val="21"/>
                <w:lang w:val="en-US" w:eastAsia="zh-CN"/>
              </w:rPr>
              <w:t>件加盖公章，时间以合同签订时间为准）。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03" w:type="dxa"/>
            <w:vMerge w:val="continue"/>
            <w:noWrap w:val="0"/>
            <w:vAlign w:val="center"/>
          </w:tcPr>
          <w:p>
            <w:pPr>
              <w:pStyle w:val="54"/>
              <w:spacing w:line="360" w:lineRule="auto"/>
            </w:pPr>
          </w:p>
        </w:tc>
        <w:tc>
          <w:tcPr>
            <w:tcW w:w="1113" w:type="dxa"/>
            <w:vMerge w:val="continue"/>
            <w:noWrap w:val="0"/>
            <w:vAlign w:val="center"/>
          </w:tcPr>
          <w:p>
            <w:pPr>
              <w:pStyle w:val="54"/>
              <w:spacing w:line="360" w:lineRule="auto"/>
            </w:pPr>
          </w:p>
        </w:tc>
        <w:tc>
          <w:tcPr>
            <w:tcW w:w="1194" w:type="dxa"/>
            <w:noWrap w:val="0"/>
            <w:vAlign w:val="center"/>
          </w:tcPr>
          <w:p>
            <w:pPr>
              <w:pStyle w:val="54"/>
              <w:spacing w:line="360" w:lineRule="auto"/>
            </w:pPr>
            <w:r>
              <w:rPr>
                <w:rFonts w:hint="eastAsia" w:ascii="宋体" w:hAnsi="宋体" w:eastAsia="宋体" w:cs="宋体"/>
                <w:sz w:val="21"/>
                <w:szCs w:val="21"/>
                <w:lang w:val="en-US" w:eastAsia="zh-CN"/>
              </w:rPr>
              <w:t>拟投入项目人员（12分）</w:t>
            </w:r>
          </w:p>
        </w:tc>
        <w:tc>
          <w:tcPr>
            <w:tcW w:w="6229" w:type="dxa"/>
            <w:noWrap w:val="0"/>
            <w:vAlign w:val="top"/>
          </w:tcPr>
          <w:p>
            <w:pPr>
              <w:pStyle w:val="54"/>
              <w:spacing w:line="360" w:lineRule="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（1）拟派项目负责人具有一级注册建筑师或一级注册结构工程师资格证且具有中级及以上工程师职称的得5分；（需提供项目负责人劳务合同和社保证明） </w:t>
            </w:r>
          </w:p>
          <w:p>
            <w:pPr>
              <w:pStyle w:val="54"/>
              <w:spacing w:line="360" w:lineRule="auto"/>
            </w:pPr>
            <w:r>
              <w:rPr>
                <w:rFonts w:hint="eastAsia" w:ascii="宋体" w:hAnsi="宋体" w:eastAsia="宋体"/>
                <w:sz w:val="21"/>
                <w:szCs w:val="21"/>
                <w:lang w:val="en-US" w:eastAsia="zh-CN"/>
              </w:rPr>
              <w:t>（2）项目负责人以外其他各专业人员配备满足程度：建筑专业配备1名一级注册建筑师，结构专业配备2名一级注册结构工程师，给排水、电气、暖通、勘察各配备1名本专业注册工程师，满足以上条件且证书齐全的得7分， 每缺少或未满足其中一个的在7分的基础上扣1分，扣完为止。 （所有注册证为原件扫描件加盖单位公章）</w:t>
            </w: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注：</w:t>
      </w:r>
      <w:r>
        <w:rPr>
          <w:rFonts w:hint="eastAsia" w:ascii="宋体" w:hAnsi="宋体" w:cs="宋体"/>
          <w:szCs w:val="21"/>
          <w:lang w:val="en-US" w:eastAsia="zh-CN"/>
        </w:rPr>
        <w:t>1.</w:t>
      </w:r>
      <w:r>
        <w:rPr>
          <w:rFonts w:hint="eastAsia" w:ascii="宋体" w:hAnsi="宋体" w:cs="宋体"/>
          <w:szCs w:val="21"/>
        </w:rPr>
        <w:t>评分办法中要求的所有证明材料均需按要求附响应文件中，否则不得分。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评审时，磋商小组各成员应当独立对每个有效响应的文件进行评价、打分，然后汇总每个供应商每项评分因素的得分，取各磋商小组各成员评分的算术平均数作为供应商的评审最后得分。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pStyle w:val="2"/>
        <w:rPr>
          <w:rFonts w:hint="eastAsia" w:ascii="宋体" w:hAnsi="宋体" w:cs="宋体"/>
          <w:szCs w:val="21"/>
        </w:rPr>
      </w:pPr>
    </w:p>
    <w:bookmarkEnd w:id="68"/>
    <w:bookmarkEnd w:id="69"/>
    <w:p>
      <w:pPr>
        <w:rPr>
          <w:rFonts w:hint="eastAsia"/>
        </w:rPr>
        <w:sectPr>
          <w:pgSz w:w="11906" w:h="16838"/>
          <w:pgMar w:top="1134" w:right="1134" w:bottom="1134" w:left="1474" w:header="851" w:footer="510" w:gutter="0"/>
          <w:cols w:space="720" w:num="1"/>
          <w:docGrid w:type="lines" w:linePitch="312" w:charSpace="0"/>
        </w:sectPr>
      </w:pPr>
      <w:bookmarkStart w:id="70" w:name="_Toc113459850"/>
      <w:bookmarkStart w:id="71" w:name="_Toc7461"/>
    </w:p>
    <w:p>
      <w:pPr>
        <w:pStyle w:val="36"/>
        <w:numPr>
          <w:ilvl w:val="0"/>
          <w:numId w:val="1"/>
        </w:numPr>
        <w:spacing w:before="0" w:after="0" w:line="360" w:lineRule="auto"/>
        <w:ind w:firstLine="0"/>
        <w:rPr>
          <w:rFonts w:hint="eastAsia" w:ascii="宋体" w:hAnsi="宋体" w:cs="宋体"/>
        </w:rPr>
      </w:pPr>
      <w:bookmarkStart w:id="72" w:name="_Toc15626"/>
      <w:r>
        <w:rPr>
          <w:rFonts w:hint="eastAsia" w:ascii="宋体" w:hAnsi="宋体" w:cs="宋体"/>
        </w:rPr>
        <w:t>拟签订的合同</w:t>
      </w:r>
      <w:bookmarkStart w:id="73" w:name="_Toc153880771"/>
      <w:bookmarkStart w:id="74" w:name="_Toc214329890"/>
      <w:bookmarkStart w:id="75" w:name="_Toc374512418"/>
      <w:bookmarkStart w:id="76" w:name="_Toc373230031"/>
      <w:bookmarkStart w:id="77" w:name="_Toc218418181"/>
      <w:r>
        <w:rPr>
          <w:rFonts w:hint="eastAsia" w:ascii="宋体" w:hAnsi="宋体" w:cs="宋体"/>
        </w:rPr>
        <w:t>文本</w:t>
      </w:r>
      <w:bookmarkEnd w:id="70"/>
      <w:bookmarkEnd w:id="7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采购单位：（甲方）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供应单位：（乙方）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一、合同签订依据</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1.《中华人民共和国民法典》；</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2.《建设工程质量管理条例》；</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3.《住房和城乡建设部关于修改&lt;房屋建筑和市政基础设施工程施工图设计文件审查管理办法&gt;的决定》（住房和城乡建设部令第46号）；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4.《河南省住房和城乡建设厅关于进一步加强施工图设计文件审查管理工作的通知》（豫建设标〔2018〕26号）；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5.《关于贯彻落实河南省人民政府办公厅“联合审图”方案有关工作的通知》（豫建设〔2019〕57号）；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二、政府购买施工图审查服务内容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政府购买施工图审查服务内容为按国家、省、市有关规定必须进行施工图审查的新建、改建、扩建房屋建筑工程。装饰装修工程、轨道交通工程、涉铁工程和可免于施工图审查的工程不在购买施工图审查服务范围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三、服务要求和服务期限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1、质量保证：根据住建部令第 46 号,施工图审查机构对全套施工图设计文件审查内容进行审查,满足招标人要求。若施工图设计文件因修改调整需进行二次审查,其发生的二次审查 费用应区分不同原因由不同主体进行承担:因规划调整等政策性因素导致审查合格后的施工图设计文件进行二次审查,所需费用由公共财政承担,因建设单位或勘察设计单位自身原因导致重新审查的费用由责任单位自行解决。</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2、严格遵守采购人提出的各项规章制度和廉政建设要求。图审机构必须独立完成采购人委托的任务,不得将图审业务转让给第三方完成。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3、认真履行图审结果向工程所在地建设部门报告制度。审查机构应当在出具审查合格</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书后5个工作日内，将审查情况报工程所在地住房城乡建设主管部门备案。审查不合格的， 审查机构应当将施工图退建设单位并出具审查意见告知书，说明不合格原因。同时，将审查意见告知书及审查中发现的建设单位、勘察设计企业和注册执业人员违反法律、法规和工程建设强制性标准的问题，报工程所在地住房城乡建设主管部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4、本合同服务期限：一年。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四、房屋建筑工程施工图设计文件审查费用标准及支付办法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1、本合同价款标准如下：</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施工图审查费用按照本合同价款标准（《豫建设【2019】57号》河南省住房和城乡建设厅、河南省财政厅、河南省人民防空办公室关于贯彻落实河南省人民政府办公厅“联合审图”方案有关工作的通知附件2“河南省施工图设计文件审查结算标准”）的</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签订。</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2"/>
        <w:gridCol w:w="1652"/>
        <w:gridCol w:w="1652"/>
        <w:gridCol w:w="1652"/>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304" w:type="dxa"/>
            <w:gridSpan w:val="2"/>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豫建设【2019】57号附件2</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工程分类</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按建筑面积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（元/平方米）</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中标比例（%）</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中标价格</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（元/平方米）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652" w:type="dxa"/>
            <w:vMerge w:val="restart"/>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带人防工程</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公共建筑</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1.9</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652" w:type="dxa"/>
            <w:vMerge w:val="continue"/>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其他</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1.6</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652" w:type="dxa"/>
            <w:vMerge w:val="restart"/>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无人防工程</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公共建筑</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1.7</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652" w:type="dxa"/>
            <w:vMerge w:val="continue"/>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其他</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1.4</w:t>
            </w: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tc>
        <w:tc>
          <w:tcPr>
            <w:tcW w:w="16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2、本合同价款包括房屋建筑工程施工图设计文件审查服务全部费用。（若因建设单位原因造成二次审查、图纸变更等其他原因的，图纸审查费用由建设单位承担，具体约定在单项合同中体现。）</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本合同付款方式:按照《河南省施工图设计文件审查结算标准》、《武陟县政府购买施工图审查服务计费标准》、施工图审查合同的约定等有关规定进行结算。（一）审查机构在出具审查合格书后，向建设行政主管部门出具审查费用结算发票，建设行政主管部门按每季度完成合同额的90%支付审查费用，剩余10%审查费用在半年度考评后集中支付。（二）由于建设单位原因，在审查机构出具审查意见后，终止项目审查的，审查费用按项目合同审查费的75%结算。若因建设单位原因变更或二次审查的由建设单位承担所产生的审查费。（以实际发生量为结算依据）</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4、付款范围：甲方付款范围是武陟县行政区规划范围内建设项目图纸审查服务。</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由甲方向乙方指定账户转账支付。</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乙方账户名：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乙方账户开户行：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乙方账户账号：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五、审查内容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依据住房和城乡建设部令第46号第十一条要求，审查机构应当对施工图审查下列内容：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1.是否符合工程建设强制性标准；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2.地基基础和主体结构的安全性；</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3.消防安全性；</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4.人防工程（不含人防指挥工程）防护安全性；</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5.是否符合民用建筑节能强制性标准，对执行绿色建筑标准的项目，还应当审查是否符合绿色建筑标准；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6.勘察设计企业和注册执业人员以及相关人员是否按规定在施工图上加盖相应的图章和签字；</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7.法律、法规、规章规定必须审查的其他内容。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六、审查时限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大型房屋建筑工程 15 个工作日完成审查,中型及以下房屋建筑工程 10 个工作日完成审查。经审查合格的,应及时核发施工图审查合格书。审查机构对期察设计企业提出的审查意见,勘察设计单位应及时回复修改。施工图审查机构对出具的施工图审查合格书承担相应的法律责任。</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七、双方职责</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（一）甲方职责</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1.甲方应按照要求，按时汇总、审核，并按程序拨付乙方购买服务费用；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2.甲方应加强对乙方的监督，认真开展“双随机、一公开”等日常考核和年度考核工作。</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（二）乙方职责</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1.乙方应按国家、省市相关法律、法规、规章及相关规范严格实施施工图审查，按项目所在地建设行政主管部门的有关要求，认真履行审查职责为甲方提供良好服务。</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1.1对审查合格的建设工程，乙方应出具《施工图设计文件审查合格书》，并在经审查合格的全套施工图审查资料上加盖电子签章。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1.2对审查不合格的建设工程，乙方应出具《审查意见告知书》，说明不合格原因。建设行政主管部门按相关规定处理。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2.乙方应按合同要求履行审查义务，不得将承接的审查项目转让他人审查，否则甲方有权取消乙方的承接主体资格；</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乙方应在规定时限内完成施工图审查，逾期不能提供合格的审查报告应承担相应的违约责任，每逾期一日应减少服务费千分之二，超过30日仍然没有交付合格的审查报告，无权再要求服务费，甲方有权解除合同并委托其他方另行服务。</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八、合同的变更和终止</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除《政府采购法》第四十九条、第五十条规定的情形外，本合同一经签订，甲乙双方不得擅自终止合同或对合同实质性条款进行变更。确有特殊情况的，经双方协商并报同级财政部门同意后，方可变更。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九、不可抗力事件处理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1.在合同有效期内，任何一方因不可抗力原因导致不能履行合同的，合同履行期可延长，其延长期与不可抗力影响期相同。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2.不可抗力原因发生后，应立即通知对方，并寄送有关权威机构出具的证明。</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3.不可抗力原因延续120天以上，双方应通过友好协商，确定是否继续履行合同。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十、争议的解决</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因履行本合同引起的或与本合同有关的争议，甲、乙双方应首先通过友好协商解决，如果协商不能解决争议，则采取以下第</w:t>
      </w:r>
      <w:r>
        <w:rPr>
          <w:rFonts w:hint="eastAsia" w:ascii="宋体" w:hAnsi="宋体" w:cs="宋体"/>
          <w:szCs w:val="21"/>
          <w:u w:val="single"/>
          <w:lang w:val="en-US" w:eastAsia="zh-CN"/>
        </w:rPr>
        <w:t xml:space="preserve">      </w:t>
      </w:r>
      <w:r>
        <w:rPr>
          <w:rFonts w:hint="eastAsia" w:ascii="宋体" w:hAnsi="宋体" w:eastAsia="宋体" w:cs="宋体"/>
          <w:szCs w:val="21"/>
          <w:lang w:val="en-US" w:eastAsia="zh-CN"/>
        </w:rPr>
        <w:t>种方式解决争议</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（1）向甲方所在地人民法院提起诉讼;</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（2）向项目所在地即焦作仲裁委员申请仲裁。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十一、合同生效及备案</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1.合同经双方法定代表人或被授权人签字并加盖单位公章后生效。</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2.合同执行中涉及采购资金和采购内容修改或补充的，需经财政部门审批，并签订书面补充协议报政府采购监督管理部门备案，方可作为主合同不可分割的一部分。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3.本合同未尽事宜，遵照《中华人民共和国政府采购法》有关条文执行。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4.本合同一式 肆 份，甲方 贰 份、乙方 壹 份，一份报送政府采购监督管理部门备案。</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甲方（盖章）：           乙方（盖章）：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地址：                   地址：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法定代表人：             法定代表人：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联系电话：               联系电话：</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日期：</w:t>
      </w:r>
      <w:r>
        <w:rPr>
          <w:rFonts w:hint="eastAsia" w:ascii="宋体" w:hAnsi="宋体" w:eastAsia="宋体" w:cs="宋体"/>
          <w:szCs w:val="21"/>
          <w:lang w:val="en-US" w:eastAsia="zh-CN"/>
        </w:rPr>
        <w:tab/>
      </w:r>
      <w:r>
        <w:rPr>
          <w:rFonts w:hint="eastAsia" w:ascii="宋体" w:hAnsi="宋体" w:eastAsia="宋体" w:cs="宋体"/>
          <w:szCs w:val="21"/>
          <w:lang w:val="en-US" w:eastAsia="zh-CN"/>
        </w:rPr>
        <w:t xml:space="preserve">                  日期：</w:t>
      </w: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bookmarkEnd w:id="73"/>
    <w:bookmarkEnd w:id="74"/>
    <w:bookmarkEnd w:id="75"/>
    <w:bookmarkEnd w:id="76"/>
    <w:bookmarkEnd w:id="77"/>
    <w:p>
      <w:pPr>
        <w:pStyle w:val="36"/>
        <w:numPr>
          <w:ilvl w:val="0"/>
          <w:numId w:val="1"/>
        </w:numPr>
        <w:spacing w:before="0" w:after="0" w:line="360" w:lineRule="auto"/>
        <w:ind w:firstLine="0"/>
        <w:rPr>
          <w:rFonts w:hint="eastAsia" w:ascii="宋体" w:hAnsi="宋体" w:cs="宋体"/>
        </w:rPr>
      </w:pPr>
      <w:bookmarkStart w:id="78" w:name="_Toc23819"/>
      <w:r>
        <w:rPr>
          <w:rFonts w:hint="eastAsia" w:ascii="宋体" w:hAnsi="宋体" w:cs="宋体"/>
        </w:rPr>
        <w:t>采购需求</w:t>
      </w:r>
      <w:bookmarkEnd w:id="71"/>
      <w:bookmarkEnd w:id="78"/>
    </w:p>
    <w:p>
      <w:pPr>
        <w:keepNext w:val="0"/>
        <w:keepLines w:val="0"/>
        <w:pageBreakBefore w:val="0"/>
        <w:widowControl/>
        <w:kinsoku/>
        <w:wordWrap/>
        <w:overflowPunct/>
        <w:topLinePunct w:val="0"/>
        <w:autoSpaceDE/>
        <w:autoSpaceDN/>
        <w:bidi w:val="0"/>
        <w:adjustRightInd w:val="0"/>
        <w:snapToGrid/>
        <w:spacing w:line="400" w:lineRule="exact"/>
        <w:textAlignment w:val="auto"/>
        <w:rPr>
          <w:rFonts w:ascii="宋体" w:hAnsi="宋体"/>
          <w:b/>
          <w:kern w:val="0"/>
          <w:sz w:val="21"/>
          <w:szCs w:val="21"/>
        </w:rPr>
      </w:pPr>
      <w:bookmarkStart w:id="79" w:name="_Toc487805927"/>
      <w:bookmarkStart w:id="80" w:name="_Toc4426"/>
      <w:bookmarkStart w:id="81" w:name="_Toc477423251"/>
      <w:bookmarkStart w:id="82" w:name="_Toc11229"/>
      <w:bookmarkStart w:id="83" w:name="_Toc374512420"/>
      <w:bookmarkStart w:id="84" w:name="_Toc20594"/>
      <w:bookmarkStart w:id="85" w:name="_Toc373230032"/>
      <w:r>
        <w:rPr>
          <w:rFonts w:hint="eastAsia" w:ascii="宋体" w:hAnsi="宋体"/>
          <w:b/>
          <w:kern w:val="0"/>
          <w:sz w:val="21"/>
          <w:szCs w:val="21"/>
        </w:rPr>
        <w:t>一、</w:t>
      </w:r>
      <w:r>
        <w:rPr>
          <w:rFonts w:ascii="宋体" w:hAnsi="宋体"/>
          <w:b/>
          <w:kern w:val="0"/>
          <w:sz w:val="21"/>
          <w:szCs w:val="21"/>
        </w:rPr>
        <w:t>相关说明</w:t>
      </w:r>
    </w:p>
    <w:p>
      <w:pPr>
        <w:keepNext w:val="0"/>
        <w:keepLines w:val="0"/>
        <w:pageBreakBefore w:val="0"/>
        <w:widowControl/>
        <w:numPr>
          <w:ilvl w:val="2"/>
          <w:numId w:val="12"/>
        </w:numPr>
        <w:kinsoku/>
        <w:wordWrap/>
        <w:overflowPunct/>
        <w:topLinePunct w:val="0"/>
        <w:autoSpaceDE/>
        <w:autoSpaceDN/>
        <w:bidi w:val="0"/>
        <w:adjustRightInd w:val="0"/>
        <w:snapToGrid/>
        <w:spacing w:line="400" w:lineRule="exact"/>
        <w:ind w:firstLine="420" w:firstLineChars="200"/>
        <w:jc w:val="left"/>
        <w:textAlignment w:val="auto"/>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p>
    <w:p>
      <w:pPr>
        <w:keepNext w:val="0"/>
        <w:keepLines w:val="0"/>
        <w:pageBreakBefore w:val="0"/>
        <w:widowControl/>
        <w:numPr>
          <w:ilvl w:val="2"/>
          <w:numId w:val="12"/>
        </w:numPr>
        <w:kinsoku/>
        <w:wordWrap/>
        <w:overflowPunct/>
        <w:topLinePunct w:val="0"/>
        <w:autoSpaceDE/>
        <w:autoSpaceDN/>
        <w:bidi w:val="0"/>
        <w:adjustRightInd w:val="0"/>
        <w:snapToGrid/>
        <w:spacing w:line="400" w:lineRule="exact"/>
        <w:ind w:firstLine="420" w:firstLineChars="200"/>
        <w:jc w:val="left"/>
        <w:textAlignment w:val="auto"/>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keepNext w:val="0"/>
        <w:keepLines w:val="0"/>
        <w:pageBreakBefore w:val="0"/>
        <w:widowControl/>
        <w:kinsoku/>
        <w:wordWrap/>
        <w:overflowPunct/>
        <w:topLinePunct w:val="0"/>
        <w:autoSpaceDE/>
        <w:autoSpaceDN/>
        <w:bidi w:val="0"/>
        <w:adjustRightInd w:val="0"/>
        <w:snapToGrid/>
        <w:spacing w:line="400" w:lineRule="exact"/>
        <w:textAlignment w:val="auto"/>
        <w:rPr>
          <w:rFonts w:hint="eastAsia" w:ascii="宋体" w:hAnsi="宋体"/>
          <w:b/>
          <w:kern w:val="0"/>
          <w:sz w:val="21"/>
          <w:szCs w:val="21"/>
        </w:rPr>
      </w:pPr>
      <w:r>
        <w:rPr>
          <w:rFonts w:hint="eastAsia" w:ascii="宋体" w:hAnsi="宋体"/>
          <w:b/>
          <w:kern w:val="0"/>
          <w:sz w:val="21"/>
          <w:szCs w:val="21"/>
        </w:rPr>
        <w:t xml:space="preserve">二、商务要求： </w:t>
      </w:r>
    </w:p>
    <w:p>
      <w:pPr>
        <w:keepNext w:val="0"/>
        <w:keepLines w:val="0"/>
        <w:pageBreakBefore w:val="0"/>
        <w:numPr>
          <w:ilvl w:val="2"/>
          <w:numId w:val="13"/>
        </w:numPr>
        <w:kinsoku/>
        <w:wordWrap/>
        <w:overflowPunct/>
        <w:topLinePunct w:val="0"/>
        <w:autoSpaceDE/>
        <w:autoSpaceDN/>
        <w:bidi w:val="0"/>
        <w:snapToGrid/>
        <w:spacing w:line="400" w:lineRule="exact"/>
        <w:ind w:firstLine="420" w:firstLineChars="200"/>
        <w:textAlignment w:val="auto"/>
        <w:rPr>
          <w:rFonts w:hint="eastAsia" w:ascii="宋体" w:hAnsi="宋体"/>
          <w:color w:val="auto"/>
          <w:sz w:val="21"/>
          <w:szCs w:val="21"/>
        </w:rPr>
      </w:pPr>
      <w:r>
        <w:rPr>
          <w:rFonts w:hint="eastAsia" w:ascii="宋体" w:hAnsi="宋体"/>
          <w:color w:val="auto"/>
          <w:sz w:val="21"/>
          <w:szCs w:val="21"/>
          <w:lang w:eastAsia="zh-CN"/>
        </w:rPr>
        <w:t>合同履行期限</w:t>
      </w:r>
      <w:r>
        <w:rPr>
          <w:rFonts w:hint="eastAsia" w:ascii="宋体" w:hAnsi="宋体"/>
          <w:color w:val="auto"/>
          <w:sz w:val="21"/>
          <w:szCs w:val="21"/>
        </w:rPr>
        <w:t>：</w:t>
      </w:r>
      <w:r>
        <w:rPr>
          <w:rFonts w:hint="eastAsia" w:ascii="宋体" w:hAnsi="宋体"/>
          <w:color w:val="auto"/>
          <w:sz w:val="21"/>
          <w:szCs w:val="21"/>
          <w:lang w:eastAsia="zh-CN"/>
        </w:rPr>
        <w:t>一年</w:t>
      </w:r>
    </w:p>
    <w:p>
      <w:pPr>
        <w:keepNext w:val="0"/>
        <w:keepLines w:val="0"/>
        <w:pageBreakBefore w:val="0"/>
        <w:numPr>
          <w:ilvl w:val="2"/>
          <w:numId w:val="13"/>
        </w:numPr>
        <w:kinsoku/>
        <w:wordWrap/>
        <w:overflowPunct/>
        <w:topLinePunct w:val="0"/>
        <w:autoSpaceDE/>
        <w:autoSpaceDN/>
        <w:bidi w:val="0"/>
        <w:snapToGrid/>
        <w:spacing w:line="400" w:lineRule="exact"/>
        <w:ind w:firstLine="420" w:firstLineChars="200"/>
        <w:textAlignment w:val="auto"/>
        <w:rPr>
          <w:rFonts w:hint="eastAsia" w:ascii="宋体" w:hAnsi="宋体"/>
          <w:color w:val="auto"/>
          <w:sz w:val="21"/>
          <w:szCs w:val="21"/>
        </w:rPr>
      </w:pPr>
      <w:r>
        <w:rPr>
          <w:rFonts w:hint="eastAsia" w:ascii="宋体" w:hAnsi="宋体"/>
          <w:color w:val="auto"/>
          <w:sz w:val="21"/>
          <w:szCs w:val="21"/>
        </w:rPr>
        <w:t>供货</w:t>
      </w:r>
      <w:r>
        <w:rPr>
          <w:rFonts w:hint="eastAsia" w:ascii="宋体" w:hAnsi="宋体"/>
          <w:color w:val="auto"/>
          <w:sz w:val="21"/>
          <w:szCs w:val="21"/>
          <w:lang w:eastAsia="zh-CN"/>
        </w:rPr>
        <w:t>（服务）</w:t>
      </w:r>
      <w:r>
        <w:rPr>
          <w:rFonts w:hint="eastAsia" w:ascii="宋体" w:hAnsi="宋体"/>
          <w:color w:val="auto"/>
          <w:sz w:val="21"/>
          <w:szCs w:val="21"/>
        </w:rPr>
        <w:t>地点：</w:t>
      </w:r>
      <w:r>
        <w:rPr>
          <w:rFonts w:hint="eastAsia" w:ascii="宋体" w:hAnsi="宋体"/>
          <w:color w:val="auto"/>
          <w:sz w:val="21"/>
          <w:szCs w:val="21"/>
          <w:lang w:eastAsia="zh-CN"/>
        </w:rPr>
        <w:t>武陟县住房和城乡建设局</w:t>
      </w:r>
    </w:p>
    <w:p>
      <w:pPr>
        <w:keepNext w:val="0"/>
        <w:keepLines w:val="0"/>
        <w:pageBreakBefore w:val="0"/>
        <w:numPr>
          <w:ilvl w:val="2"/>
          <w:numId w:val="13"/>
        </w:numPr>
        <w:kinsoku/>
        <w:wordWrap/>
        <w:overflowPunct/>
        <w:topLinePunct w:val="0"/>
        <w:autoSpaceDE/>
        <w:autoSpaceDN/>
        <w:bidi w:val="0"/>
        <w:snapToGrid/>
        <w:spacing w:line="400" w:lineRule="exact"/>
        <w:ind w:firstLine="420" w:firstLineChars="200"/>
        <w:textAlignment w:val="auto"/>
        <w:rPr>
          <w:rFonts w:hint="eastAsia" w:ascii="宋体" w:hAnsi="宋体"/>
          <w:color w:val="auto"/>
          <w:sz w:val="21"/>
          <w:szCs w:val="21"/>
        </w:rPr>
      </w:pPr>
      <w:r>
        <w:rPr>
          <w:rFonts w:hint="eastAsia" w:ascii="宋体" w:hAnsi="宋体"/>
          <w:color w:val="auto"/>
          <w:sz w:val="21"/>
          <w:szCs w:val="21"/>
        </w:rPr>
        <w:t>质量标准：</w:t>
      </w:r>
      <w:r>
        <w:rPr>
          <w:rFonts w:hint="eastAsia" w:ascii="宋体" w:hAnsi="宋体"/>
          <w:color w:val="auto"/>
          <w:sz w:val="21"/>
          <w:szCs w:val="21"/>
          <w:lang w:eastAsia="zh-CN"/>
        </w:rPr>
        <w:t>符合国家现行及行业标准。</w:t>
      </w:r>
    </w:p>
    <w:p>
      <w:pPr>
        <w:keepNext w:val="0"/>
        <w:keepLines w:val="0"/>
        <w:pageBreakBefore w:val="0"/>
        <w:numPr>
          <w:ilvl w:val="2"/>
          <w:numId w:val="13"/>
        </w:numPr>
        <w:kinsoku/>
        <w:wordWrap/>
        <w:overflowPunct/>
        <w:topLinePunct w:val="0"/>
        <w:autoSpaceDE/>
        <w:autoSpaceDN/>
        <w:bidi w:val="0"/>
        <w:snapToGrid/>
        <w:spacing w:line="400" w:lineRule="exact"/>
        <w:ind w:firstLine="420" w:firstLineChars="200"/>
        <w:textAlignment w:val="auto"/>
        <w:rPr>
          <w:rFonts w:hint="eastAsia" w:ascii="宋体" w:hAnsi="宋体"/>
          <w:color w:val="auto"/>
          <w:sz w:val="21"/>
          <w:szCs w:val="21"/>
          <w:lang w:eastAsia="zh-CN"/>
        </w:rPr>
      </w:pPr>
      <w:r>
        <w:rPr>
          <w:rFonts w:hint="eastAsia" w:ascii="宋体" w:hAnsi="宋体"/>
          <w:color w:val="auto"/>
          <w:sz w:val="21"/>
          <w:szCs w:val="21"/>
        </w:rPr>
        <w:t>付款方式：</w:t>
      </w:r>
      <w:r>
        <w:rPr>
          <w:rFonts w:hint="eastAsia" w:ascii="宋体" w:hAnsi="宋体" w:eastAsia="宋体" w:cs="宋体"/>
          <w:szCs w:val="21"/>
          <w:lang w:val="en-US" w:eastAsia="zh-CN"/>
        </w:rPr>
        <w:t>按照《河南省施工图设计文件审查结算标准》、《武陟县政府购买施工图审查服务计费标准》、施工图审查合同的约定等有关规定进行结算。</w:t>
      </w:r>
      <w:r>
        <w:rPr>
          <w:rFonts w:hint="eastAsia" w:ascii="宋体" w:hAnsi="宋体"/>
          <w:color w:val="auto"/>
          <w:sz w:val="21"/>
          <w:szCs w:val="21"/>
        </w:rPr>
        <w:t>（一）审查机构在出具审查合格书后，向建设行政主管部门出具审查费用结算发票，建设行政主管部门按</w:t>
      </w:r>
      <w:r>
        <w:rPr>
          <w:rFonts w:hint="eastAsia" w:ascii="宋体" w:hAnsi="宋体"/>
          <w:color w:val="auto"/>
          <w:sz w:val="21"/>
          <w:szCs w:val="21"/>
          <w:lang w:val="en-US" w:eastAsia="zh-CN"/>
        </w:rPr>
        <w:t>每季度完成合同额的</w:t>
      </w:r>
      <w:r>
        <w:rPr>
          <w:rFonts w:hint="eastAsia" w:ascii="宋体" w:hAnsi="宋体"/>
          <w:color w:val="auto"/>
          <w:sz w:val="21"/>
          <w:szCs w:val="21"/>
        </w:rPr>
        <w:t>90%</w:t>
      </w:r>
      <w:r>
        <w:rPr>
          <w:rFonts w:hint="eastAsia" w:ascii="宋体" w:hAnsi="宋体"/>
          <w:color w:val="auto"/>
          <w:sz w:val="21"/>
          <w:szCs w:val="21"/>
          <w:lang w:val="en-US" w:eastAsia="zh-CN"/>
        </w:rPr>
        <w:t>支付审查</w:t>
      </w:r>
      <w:r>
        <w:rPr>
          <w:rFonts w:hint="eastAsia" w:ascii="宋体" w:hAnsi="宋体"/>
          <w:color w:val="auto"/>
          <w:sz w:val="21"/>
          <w:szCs w:val="21"/>
        </w:rPr>
        <w:t>费用，剩余10%</w:t>
      </w:r>
      <w:r>
        <w:rPr>
          <w:rFonts w:hint="eastAsia" w:ascii="宋体" w:hAnsi="宋体"/>
          <w:color w:val="auto"/>
          <w:sz w:val="21"/>
          <w:szCs w:val="21"/>
          <w:lang w:val="en-US" w:eastAsia="zh-CN"/>
        </w:rPr>
        <w:t>审查</w:t>
      </w:r>
      <w:r>
        <w:rPr>
          <w:rFonts w:hint="eastAsia" w:ascii="宋体" w:hAnsi="宋体"/>
          <w:color w:val="auto"/>
          <w:sz w:val="21"/>
          <w:szCs w:val="21"/>
        </w:rPr>
        <w:t>费用在半年度考评后集中支付。（二）由于建设单位原因，在审查机构出具审查意见后，终止项目审查的，审查费用按项目合同审查费的75%结算。若因建设单位原因变更或二次审查的由建设单位承担所产生的审查费。</w:t>
      </w:r>
      <w:r>
        <w:rPr>
          <w:rFonts w:hint="eastAsia" w:ascii="宋体" w:hAnsi="宋体"/>
          <w:color w:val="auto"/>
          <w:sz w:val="21"/>
          <w:szCs w:val="21"/>
          <w:lang w:eastAsia="zh-CN"/>
        </w:rPr>
        <w:t>（以实际发生量为结算依据）</w:t>
      </w:r>
    </w:p>
    <w:p>
      <w:pPr>
        <w:keepNext w:val="0"/>
        <w:keepLines w:val="0"/>
        <w:pageBreakBefore w:val="0"/>
        <w:widowControl/>
        <w:kinsoku/>
        <w:wordWrap/>
        <w:overflowPunct/>
        <w:topLinePunct w:val="0"/>
        <w:autoSpaceDE/>
        <w:autoSpaceDN/>
        <w:bidi w:val="0"/>
        <w:adjustRightInd w:val="0"/>
        <w:snapToGrid/>
        <w:spacing w:line="400" w:lineRule="exact"/>
        <w:textAlignment w:val="auto"/>
        <w:rPr>
          <w:rFonts w:hint="eastAsia" w:ascii="宋体" w:hAnsi="宋体"/>
          <w:b/>
          <w:kern w:val="0"/>
          <w:sz w:val="21"/>
          <w:szCs w:val="21"/>
        </w:rPr>
      </w:pPr>
      <w:r>
        <w:rPr>
          <w:rFonts w:hint="eastAsia" w:ascii="宋体" w:hAnsi="宋体"/>
          <w:b/>
          <w:bCs/>
          <w:kern w:val="0"/>
          <w:sz w:val="21"/>
          <w:szCs w:val="21"/>
          <w:lang w:eastAsia="zh-CN" w:bidi="ar"/>
        </w:rPr>
        <w:t>三、</w:t>
      </w:r>
      <w:r>
        <w:rPr>
          <w:rFonts w:hint="eastAsia" w:ascii="宋体" w:hAnsi="宋体"/>
          <w:b/>
          <w:kern w:val="0"/>
          <w:sz w:val="21"/>
          <w:szCs w:val="21"/>
        </w:rPr>
        <w:t>采购内容及技术要求</w:t>
      </w:r>
    </w:p>
    <w:bookmarkEnd w:id="79"/>
    <w:bookmarkEnd w:id="80"/>
    <w:bookmarkEnd w:id="81"/>
    <w:bookmarkEnd w:id="82"/>
    <w:bookmarkEnd w:id="83"/>
    <w:bookmarkEnd w:id="84"/>
    <w:bookmarkEnd w:id="85"/>
    <w:p>
      <w:pPr>
        <w:keepNext w:val="0"/>
        <w:keepLines w:val="0"/>
        <w:pageBreakBefore w:val="0"/>
        <w:numPr>
          <w:ilvl w:val="0"/>
          <w:numId w:val="0"/>
        </w:numPr>
        <w:kinsoku/>
        <w:wordWrap/>
        <w:overflowPunct/>
        <w:topLinePunct w:val="0"/>
        <w:autoSpaceDE/>
        <w:autoSpaceDN/>
        <w:bidi w:val="0"/>
        <w:snapToGrid/>
        <w:spacing w:line="400" w:lineRule="exact"/>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1.采购内容：</w:t>
      </w:r>
      <w:r>
        <w:rPr>
          <w:rFonts w:hint="eastAsia" w:ascii="宋体" w:hAnsi="宋体" w:eastAsia="宋体" w:cs="宋体"/>
          <w:szCs w:val="21"/>
          <w:lang w:val="en-US" w:eastAsia="zh-CN"/>
        </w:rPr>
        <w:t>按国家、省、市有关规定的新建、改建、扩建房屋建筑工程进行施工图审查。</w:t>
      </w:r>
    </w:p>
    <w:p>
      <w:pPr>
        <w:keepNext w:val="0"/>
        <w:keepLines w:val="0"/>
        <w:pageBreakBefore w:val="0"/>
        <w:numPr>
          <w:ilvl w:val="0"/>
          <w:numId w:val="0"/>
        </w:numPr>
        <w:kinsoku/>
        <w:wordWrap/>
        <w:overflowPunct/>
        <w:topLinePunct w:val="0"/>
        <w:autoSpaceDE/>
        <w:autoSpaceDN/>
        <w:bidi w:val="0"/>
        <w:snapToGrid/>
        <w:spacing w:line="400" w:lineRule="exact"/>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2.质量保证：根据住建部令第 46 号,施工图审查机构对全套施工图设计文件审查内容进行审查,满足招标人要求。若施工图设计文件因修改调整需进行二次审查,其发生的二次审查 费用应区分不同原因由不同主体进行承担:因规划调整等政策性因素导致审查合格后的施工图设计文件进行二次审查,所需费用由公共财政承担,因建设单位或勘察设计单位自身原因导致重新审查的费用由责任单位自行解决。</w:t>
      </w:r>
    </w:p>
    <w:p>
      <w:pPr>
        <w:keepNext w:val="0"/>
        <w:keepLines w:val="0"/>
        <w:pageBreakBefore w:val="0"/>
        <w:numPr>
          <w:ilvl w:val="0"/>
          <w:numId w:val="0"/>
        </w:numPr>
        <w:kinsoku/>
        <w:wordWrap/>
        <w:overflowPunct/>
        <w:topLinePunct w:val="0"/>
        <w:autoSpaceDE/>
        <w:autoSpaceDN/>
        <w:bidi w:val="0"/>
        <w:snapToGrid/>
        <w:spacing w:line="400" w:lineRule="exact"/>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3.完成期限：大型房屋建筑工程 15 个工作日完成审查,中型及以下房屋建筑工程 10 个工作日完成审查。经审查合格的,应及时核发施工图审查合格书。审查机构对期察设计企业提出的审查意见,勘察设计单位应及时回复修改。施工图审查机构对出具的施工图审查合格书承担相应的法律责任。</w:t>
      </w:r>
    </w:p>
    <w:p>
      <w:pPr>
        <w:keepNext w:val="0"/>
        <w:keepLines w:val="0"/>
        <w:pageBreakBefore w:val="0"/>
        <w:numPr>
          <w:ilvl w:val="0"/>
          <w:numId w:val="0"/>
        </w:numPr>
        <w:kinsoku/>
        <w:wordWrap/>
        <w:overflowPunct/>
        <w:topLinePunct w:val="0"/>
        <w:autoSpaceDE/>
        <w:autoSpaceDN/>
        <w:bidi w:val="0"/>
        <w:snapToGrid/>
        <w:spacing w:line="400" w:lineRule="exact"/>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 xml:space="preserve">4.认真履行图审结果向工程所在地建设部门报告制度。审查机构应当在出具审查合格书后5个工作日内，将审查情况报工程所在地住房城乡建设主管部门备案。审查不合格的， 审查机构应当将施工图退建设单位并出具审查意见告知书，说明不合格原因。同时，将审查意见告知书及审查中发现的建设单位、勘察设计企业和注册执业人员违反法律、法规和工程建设强制性标准的问题，报工程所在地住房城乡建设主管部门。 </w:t>
      </w:r>
    </w:p>
    <w:p>
      <w:pPr>
        <w:keepNext w:val="0"/>
        <w:keepLines w:val="0"/>
        <w:pageBreakBefore w:val="0"/>
        <w:numPr>
          <w:ilvl w:val="0"/>
          <w:numId w:val="0"/>
        </w:numPr>
        <w:kinsoku/>
        <w:wordWrap/>
        <w:overflowPunct/>
        <w:topLinePunct w:val="0"/>
        <w:autoSpaceDE/>
        <w:autoSpaceDN/>
        <w:bidi w:val="0"/>
        <w:snapToGrid/>
        <w:spacing w:line="400" w:lineRule="exact"/>
        <w:ind w:firstLine="422" w:firstLineChars="200"/>
        <w:textAlignment w:val="auto"/>
        <w:rPr>
          <w:rFonts w:hint="default" w:ascii="宋体" w:hAnsi="宋体" w:eastAsia="宋体" w:cs="Times New Roman"/>
          <w:b/>
          <w:bCs/>
          <w:color w:val="auto"/>
          <w:sz w:val="21"/>
          <w:szCs w:val="21"/>
          <w:lang w:val="en-US" w:eastAsia="zh-CN"/>
        </w:rPr>
      </w:pPr>
      <w:r>
        <w:rPr>
          <w:rFonts w:hint="eastAsia" w:ascii="宋体" w:hAnsi="宋体" w:eastAsia="宋体" w:cs="Times New Roman"/>
          <w:b/>
          <w:bCs/>
          <w:color w:val="auto"/>
          <w:sz w:val="21"/>
          <w:szCs w:val="21"/>
          <w:lang w:val="en-US" w:eastAsia="zh-CN"/>
        </w:rPr>
        <w:t>5.</w:t>
      </w:r>
      <w:r>
        <w:rPr>
          <w:rFonts w:hint="default" w:ascii="宋体" w:hAnsi="宋体" w:eastAsia="宋体" w:cs="Times New Roman"/>
          <w:b/>
          <w:bCs/>
          <w:color w:val="auto"/>
          <w:sz w:val="21"/>
          <w:szCs w:val="21"/>
          <w:lang w:val="en-US" w:eastAsia="zh-CN"/>
        </w:rPr>
        <w:t>同意严格遵守采购人提出的各项规章制度和廉政建设要求。中标的图审机构必须独立完成采购人委托的任务,不得将图审业务转让给第三方完成。</w:t>
      </w:r>
    </w:p>
    <w:p>
      <w:pPr>
        <w:pStyle w:val="36"/>
        <w:spacing w:before="0" w:after="0" w:line="360" w:lineRule="auto"/>
        <w:jc w:val="both"/>
        <w:rPr>
          <w:rFonts w:hint="eastAsia" w:ascii="宋体" w:hAnsi="宋体" w:cs="宋体"/>
        </w:rPr>
      </w:pPr>
    </w:p>
    <w:p>
      <w:pPr>
        <w:rPr>
          <w:rFonts w:hint="eastAsia"/>
        </w:rPr>
      </w:pPr>
    </w:p>
    <w:p>
      <w:pPr>
        <w:pStyle w:val="36"/>
        <w:spacing w:before="0" w:after="0" w:line="360" w:lineRule="auto"/>
        <w:ind w:firstLine="2891" w:firstLineChars="900"/>
        <w:jc w:val="both"/>
        <w:rPr>
          <w:rFonts w:hint="eastAsia" w:ascii="宋体" w:hAnsi="宋体" w:cs="宋体"/>
        </w:rPr>
      </w:pPr>
      <w:bookmarkStart w:id="86" w:name="_Toc29422"/>
      <w:r>
        <w:rPr>
          <w:rFonts w:hint="eastAsia" w:ascii="宋体" w:hAnsi="宋体" w:cs="宋体"/>
        </w:rPr>
        <w:t>第六章 响应文件格式</w:t>
      </w:r>
      <w:bookmarkEnd w:id="86"/>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rPr>
      </w:pPr>
    </w:p>
    <w:p>
      <w:pPr>
        <w:pStyle w:val="2"/>
        <w:rPr>
          <w:rFonts w:hint="eastAsia"/>
        </w:rPr>
      </w:pPr>
    </w:p>
    <w:p>
      <w:pPr>
        <w:spacing w:line="460" w:lineRule="exact"/>
        <w:jc w:val="left"/>
        <w:rPr>
          <w:rFonts w:hint="eastAsia" w:ascii="宋体" w:hAnsi="宋体" w:cs="宋体"/>
          <w:b/>
          <w:sz w:val="44"/>
          <w:szCs w:val="44"/>
        </w:rPr>
      </w:pPr>
    </w:p>
    <w:p>
      <w:pPr>
        <w:spacing w:line="460" w:lineRule="exact"/>
        <w:jc w:val="left"/>
        <w:rPr>
          <w:rFonts w:hint="eastAsia" w:ascii="宋体" w:hAnsi="宋体" w:cs="宋体"/>
          <w:b/>
          <w:sz w:val="44"/>
          <w:szCs w:val="44"/>
          <w:u w:val="single"/>
        </w:rPr>
      </w:pPr>
      <w:r>
        <w:rPr>
          <w:rFonts w:hint="eastAsia" w:ascii="宋体" w:hAnsi="宋体" w:cs="宋体"/>
          <w:b/>
          <w:sz w:val="44"/>
          <w:szCs w:val="44"/>
        </w:rPr>
        <w:t xml:space="preserve">     </w:t>
      </w:r>
      <w:r>
        <w:rPr>
          <w:rFonts w:hint="eastAsia" w:ascii="宋体" w:hAnsi="宋体" w:cs="宋体"/>
          <w:b/>
          <w:sz w:val="44"/>
          <w:szCs w:val="44"/>
          <w:u w:val="single"/>
        </w:rPr>
        <w:t xml:space="preserve">                     </w:t>
      </w: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2"/>
        <w:rPr>
          <w:rFonts w:hint="eastAsia"/>
        </w:rPr>
      </w:pPr>
    </w:p>
    <w:p>
      <w:pPr>
        <w:pStyle w:val="2"/>
        <w:rPr>
          <w:rFonts w:hint="eastAsia"/>
        </w:rPr>
      </w:pPr>
    </w:p>
    <w:p>
      <w:pPr>
        <w:rPr>
          <w:rFonts w:hint="eastAsia"/>
        </w:rPr>
      </w:pPr>
    </w:p>
    <w:p>
      <w:pPr>
        <w:pStyle w:val="2"/>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2"/>
        <w:rPr>
          <w:rFonts w:hint="eastAsia"/>
        </w:rPr>
      </w:pPr>
    </w:p>
    <w:p>
      <w:pPr>
        <w:spacing w:line="460" w:lineRule="exact"/>
        <w:rPr>
          <w:rFonts w:hint="eastAsia" w:ascii="宋体" w:hAnsi="宋体" w:cs="宋体"/>
          <w:sz w:val="32"/>
          <w:szCs w:val="32"/>
        </w:rPr>
      </w:pPr>
    </w:p>
    <w:p>
      <w:pPr>
        <w:pStyle w:val="2"/>
        <w:rPr>
          <w:rFonts w:hint="eastAsia"/>
        </w:rPr>
      </w:pPr>
      <w:bookmarkStart w:id="87" w:name="_Toc12304"/>
      <w:bookmarkStart w:id="88" w:name="_Toc530584396"/>
      <w:bookmarkStart w:id="89" w:name="_Toc22461"/>
      <w:bookmarkStart w:id="90" w:name="_Toc23451"/>
      <w:bookmarkStart w:id="91" w:name="_Toc490161460"/>
      <w:bookmarkStart w:id="92" w:name="_Toc374512423"/>
      <w:bookmarkStart w:id="93" w:name="_Toc26310"/>
      <w:bookmarkStart w:id="94" w:name="_Toc408816353"/>
      <w:bookmarkStart w:id="95" w:name="_Toc487805929"/>
      <w:bookmarkStart w:id="96" w:name="_Toc477423253"/>
      <w:bookmarkStart w:id="97" w:name="_Toc373230035"/>
      <w:bookmarkStart w:id="98" w:name="_Toc3023"/>
    </w:p>
    <w:p>
      <w:pPr>
        <w:pStyle w:val="5"/>
        <w:numPr>
          <w:ilvl w:val="0"/>
          <w:numId w:val="14"/>
        </w:numPr>
        <w:spacing w:before="0" w:after="0" w:line="360" w:lineRule="auto"/>
        <w:rPr>
          <w:rFonts w:hint="eastAsia" w:ascii="宋体" w:hAnsi="宋体" w:cs="宋体"/>
          <w:sz w:val="32"/>
          <w:szCs w:val="32"/>
        </w:rPr>
      </w:pPr>
      <w:bookmarkStart w:id="99" w:name="_Toc7109"/>
      <w:r>
        <w:rPr>
          <w:rFonts w:hint="eastAsia" w:ascii="宋体" w:hAnsi="宋体" w:cs="宋体"/>
          <w:sz w:val="32"/>
          <w:szCs w:val="32"/>
        </w:rPr>
        <w:t>磋商承诺函</w:t>
      </w:r>
      <w:bookmarkEnd w:id="87"/>
      <w:bookmarkEnd w:id="88"/>
      <w:bookmarkEnd w:id="89"/>
      <w:bookmarkEnd w:id="90"/>
      <w:bookmarkEnd w:id="99"/>
    </w:p>
    <w:p>
      <w:pPr>
        <w:adjustRightInd w:val="0"/>
        <w:spacing w:line="400" w:lineRule="exact"/>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）的供应商，根据竞争性磋商文件要求，现郑重承诺如下：</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一、具备《中华人民共和国政府采购法》第二十二条第一款和本项目规定的条件。</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二、我公司同意按竞争性磋商文件中的规定，认定本项目磋商有效期为</w:t>
      </w:r>
      <w:r>
        <w:rPr>
          <w:rFonts w:hint="eastAsia" w:ascii="宋体" w:hAnsi="宋体" w:cs="宋体"/>
          <w:sz w:val="24"/>
          <w:szCs w:val="24"/>
          <w:u w:val="single"/>
        </w:rPr>
        <w:t xml:space="preserve">     </w:t>
      </w:r>
      <w:r>
        <w:rPr>
          <w:rFonts w:hint="eastAsia" w:ascii="宋体" w:hAnsi="宋体" w:cs="宋体"/>
          <w:sz w:val="24"/>
          <w:szCs w:val="24"/>
        </w:rPr>
        <w:t>日历天。</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三、完全接受和满足本项目竞争性磋商文件中的规定，如对竞争性磋商文件有异议，已经在响应文件提交截止时间前依法进行维权救济，不存在对竞争性磋商文件有异议的同时又参加</w:t>
      </w:r>
      <w:r>
        <w:rPr>
          <w:rFonts w:hint="eastAsia" w:ascii="宋体" w:hAnsi="宋体" w:cs="宋体"/>
          <w:bCs/>
          <w:sz w:val="24"/>
          <w:szCs w:val="24"/>
        </w:rPr>
        <w:t>磋商</w:t>
      </w:r>
      <w:r>
        <w:rPr>
          <w:rFonts w:hint="eastAsia" w:ascii="宋体" w:hAnsi="宋体" w:cs="宋体"/>
          <w:sz w:val="24"/>
          <w:szCs w:val="24"/>
        </w:rPr>
        <w:t>以求侥幸成交或者为实现其他非法目的的行为。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四、参加本次采购活动，不存在与单位负责人为同一人或者存在直接控股、管理关系的其他供应商参与同一合同项下的政府采购活动的行为。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五、参加本次采购活动，不存在为采购项目提供整体设计、规范编制或者项目管理、监理、检测等服务的行为。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七、供应商和其法定代表人及其委托代理人没有行贿犯罪行为。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w:t>
      </w:r>
    </w:p>
    <w:p>
      <w:pPr>
        <w:pStyle w:val="34"/>
        <w:shd w:val="clear" w:color="auto" w:fill="FFFFFF"/>
        <w:spacing w:before="0" w:beforeAutospacing="0" w:after="0" w:afterAutospacing="0" w:line="400" w:lineRule="exact"/>
        <w:rPr>
          <w:rFonts w:hint="eastAsia"/>
          <w:color w:val="333333"/>
          <w:spacing w:val="8"/>
          <w:szCs w:val="24"/>
        </w:rPr>
      </w:pPr>
      <w:r>
        <w:rPr>
          <w:rFonts w:hint="eastAsia"/>
          <w:color w:val="333333"/>
          <w:spacing w:val="8"/>
          <w:szCs w:val="24"/>
          <w:shd w:val="clear" w:color="auto" w:fill="FFFFFF"/>
        </w:rPr>
        <w:t>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与本</w:t>
      </w:r>
      <w:r>
        <w:rPr>
          <w:rFonts w:hint="eastAsia" w:ascii="宋体" w:hAnsi="宋体" w:cs="宋体"/>
          <w:bCs/>
          <w:sz w:val="24"/>
          <w:szCs w:val="24"/>
        </w:rPr>
        <w:t>磋商</w:t>
      </w:r>
      <w:r>
        <w:rPr>
          <w:rFonts w:hint="eastAsia" w:ascii="宋体" w:hAnsi="宋体" w:cs="宋体"/>
          <w:sz w:val="24"/>
          <w:szCs w:val="24"/>
        </w:rPr>
        <w:t>有关的一切往来通讯请寄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地址：                     电话：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电子邮箱：</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rPr>
      </w:pPr>
    </w:p>
    <w:p>
      <w:pPr>
        <w:pStyle w:val="5"/>
        <w:numPr>
          <w:ilvl w:val="0"/>
          <w:numId w:val="14"/>
        </w:numPr>
        <w:spacing w:before="0" w:after="0" w:line="360" w:lineRule="auto"/>
        <w:rPr>
          <w:rFonts w:hint="eastAsia" w:ascii="宋体" w:hAnsi="宋体" w:cs="宋体"/>
          <w:sz w:val="32"/>
          <w:szCs w:val="32"/>
        </w:rPr>
      </w:pPr>
      <w:bookmarkStart w:id="100" w:name="_Toc15663"/>
      <w:bookmarkStart w:id="101" w:name="_Toc13659"/>
      <w:bookmarkStart w:id="102" w:name="_Toc438"/>
      <w:bookmarkStart w:id="103" w:name="_Toc32512"/>
      <w:r>
        <w:rPr>
          <w:rFonts w:hint="eastAsia" w:ascii="宋体" w:hAnsi="宋体" w:cs="宋体"/>
          <w:sz w:val="32"/>
          <w:szCs w:val="32"/>
        </w:rPr>
        <w:t>承诺书</w:t>
      </w:r>
      <w:bookmarkEnd w:id="100"/>
      <w:bookmarkEnd w:id="101"/>
      <w:bookmarkEnd w:id="102"/>
      <w:bookmarkEnd w:id="103"/>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3"/>
        <w:rPr>
          <w:rFonts w:hint="eastAsia"/>
        </w:rPr>
      </w:pPr>
    </w:p>
    <w:p>
      <w:pPr>
        <w:pStyle w:val="53"/>
        <w:rPr>
          <w:rFonts w:hint="eastAsia"/>
        </w:rPr>
      </w:pPr>
    </w:p>
    <w:p>
      <w:pPr>
        <w:pStyle w:val="53"/>
        <w:rPr>
          <w:rFonts w:hint="eastAsia"/>
        </w:rPr>
      </w:pPr>
    </w:p>
    <w:p>
      <w:pPr>
        <w:pStyle w:val="53"/>
        <w:rPr>
          <w:rFonts w:hint="eastAsia"/>
        </w:rPr>
      </w:pPr>
    </w:p>
    <w:p>
      <w:pPr>
        <w:pStyle w:val="53"/>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91"/>
    <w:bookmarkEnd w:id="92"/>
    <w:bookmarkEnd w:id="93"/>
    <w:bookmarkEnd w:id="94"/>
    <w:bookmarkEnd w:id="95"/>
    <w:bookmarkEnd w:id="96"/>
    <w:bookmarkEnd w:id="97"/>
    <w:bookmarkEnd w:id="98"/>
    <w:p>
      <w:pPr>
        <w:pStyle w:val="5"/>
        <w:numPr>
          <w:ilvl w:val="0"/>
          <w:numId w:val="14"/>
        </w:numPr>
        <w:spacing w:before="0" w:after="0" w:line="360" w:lineRule="auto"/>
        <w:rPr>
          <w:rFonts w:hint="eastAsia" w:ascii="宋体" w:hAnsi="宋体" w:cs="宋体"/>
          <w:sz w:val="32"/>
          <w:szCs w:val="32"/>
        </w:rPr>
      </w:pPr>
      <w:bookmarkStart w:id="104" w:name="_Toc484"/>
      <w:bookmarkStart w:id="105" w:name="_Toc13008"/>
      <w:bookmarkStart w:id="106" w:name="_Toc29369"/>
      <w:bookmarkStart w:id="107" w:name="_Toc6638"/>
      <w:bookmarkStart w:id="108" w:name="_Toc477423254"/>
      <w:bookmarkStart w:id="109" w:name="_Toc453513319"/>
      <w:bookmarkStart w:id="110" w:name="_Toc408816355"/>
      <w:bookmarkStart w:id="111" w:name="_Toc27591"/>
      <w:bookmarkStart w:id="112" w:name="_Toc364490445"/>
      <w:bookmarkStart w:id="113" w:name="_Toc475955188"/>
      <w:bookmarkStart w:id="114" w:name="_Toc476045982"/>
      <w:bookmarkStart w:id="115" w:name="_Toc374512425"/>
      <w:bookmarkStart w:id="116" w:name="_Toc373230037"/>
      <w:r>
        <w:rPr>
          <w:rFonts w:hint="eastAsia" w:ascii="宋体" w:hAnsi="宋体" w:cs="宋体"/>
          <w:sz w:val="32"/>
          <w:szCs w:val="32"/>
        </w:rPr>
        <w:t>供应商基本情况表</w:t>
      </w:r>
      <w:bookmarkEnd w:id="104"/>
      <w:bookmarkEnd w:id="105"/>
      <w:bookmarkEnd w:id="106"/>
      <w:bookmarkEnd w:id="107"/>
    </w:p>
    <w:tbl>
      <w:tblPr>
        <w:tblStyle w:val="38"/>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cs="宋体"/>
                <w:sz w:val="24"/>
              </w:rPr>
            </w:pP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传真</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网址</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营业执照号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2" w:type="default"/>
          <w:pgSz w:w="11906" w:h="16838"/>
          <w:pgMar w:top="1134" w:right="1134" w:bottom="1134" w:left="1474" w:header="851" w:footer="510" w:gutter="0"/>
          <w:cols w:space="720" w:num="1"/>
          <w:docGrid w:type="lines" w:linePitch="312" w:charSpace="0"/>
        </w:sectPr>
      </w:pPr>
    </w:p>
    <w:p>
      <w:pPr>
        <w:pStyle w:val="5"/>
        <w:numPr>
          <w:ilvl w:val="0"/>
          <w:numId w:val="14"/>
        </w:numPr>
        <w:spacing w:before="0" w:after="0" w:line="360" w:lineRule="auto"/>
        <w:rPr>
          <w:rFonts w:hint="eastAsia" w:ascii="宋体" w:hAnsi="宋体" w:cs="宋体"/>
          <w:sz w:val="32"/>
          <w:szCs w:val="32"/>
        </w:rPr>
      </w:pPr>
      <w:bookmarkStart w:id="117" w:name="_Toc31547"/>
      <w:bookmarkStart w:id="118" w:name="_Toc20355"/>
      <w:bookmarkStart w:id="119" w:name="_Toc31769"/>
      <w:bookmarkStart w:id="120" w:name="_Toc530584397"/>
      <w:bookmarkStart w:id="121" w:name="_Toc19916"/>
      <w:r>
        <w:rPr>
          <w:rFonts w:hint="eastAsia" w:ascii="宋体" w:hAnsi="宋体" w:cs="宋体"/>
          <w:sz w:val="32"/>
          <w:szCs w:val="32"/>
        </w:rPr>
        <w:t>第一轮报价表</w:t>
      </w:r>
      <w:bookmarkEnd w:id="117"/>
      <w:bookmarkEnd w:id="118"/>
      <w:bookmarkEnd w:id="119"/>
      <w:bookmarkEnd w:id="120"/>
      <w:bookmarkEnd w:id="121"/>
    </w:p>
    <w:tbl>
      <w:tblPr>
        <w:tblStyle w:val="38"/>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1717"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总报价</w:t>
            </w:r>
            <w:r>
              <w:rPr>
                <w:rFonts w:hint="eastAsia" w:ascii="宋体" w:hAnsi="宋体" w:cs="宋体"/>
                <w:sz w:val="24"/>
                <w:szCs w:val="24"/>
                <w:lang w:eastAsia="zh-CN"/>
              </w:rPr>
              <w:t>（折扣）</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sz w:val="24"/>
                <w:szCs w:val="24"/>
                <w:lang w:eastAsia="zh-CN"/>
              </w:rPr>
            </w:pPr>
            <w:r>
              <w:rPr>
                <w:rFonts w:hint="eastAsia" w:ascii="宋体" w:hAnsi="宋体" w:cs="宋体"/>
                <w:sz w:val="24"/>
                <w:szCs w:val="24"/>
                <w:lang w:val="en-US" w:eastAsia="zh-CN"/>
              </w:rPr>
              <w:t>折扣：</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tc>
      </w:tr>
    </w:tbl>
    <w:p>
      <w:pPr>
        <w:rPr>
          <w:rFonts w:hint="eastAsia" w:ascii="宋体" w:hAnsi="宋体" w:eastAsia="宋体" w:cs="宋体"/>
          <w:b/>
          <w:bCs/>
          <w:sz w:val="24"/>
          <w:szCs w:val="22"/>
          <w:lang w:eastAsia="zh-CN"/>
        </w:rPr>
      </w:pPr>
      <w:r>
        <w:rPr>
          <w:rFonts w:hint="eastAsia" w:ascii="宋体" w:hAnsi="宋体" w:cs="宋体"/>
          <w:b/>
          <w:bCs/>
          <w:sz w:val="24"/>
          <w:szCs w:val="22"/>
          <w:lang w:eastAsia="zh-CN"/>
        </w:rPr>
        <w:t>注：本项目最终结算价的计算公式：</w:t>
      </w:r>
      <w:r>
        <w:rPr>
          <w:rFonts w:hint="eastAsia" w:ascii="宋体" w:hAnsi="宋体" w:cs="宋体"/>
          <w:b/>
          <w:bCs/>
          <w:sz w:val="24"/>
          <w:szCs w:val="22"/>
          <w:lang w:val="en-US" w:eastAsia="zh-CN"/>
        </w:rPr>
        <w:t>《河南省施工图设计文件审查结算标准》规定的计算价</w:t>
      </w:r>
      <w:r>
        <w:rPr>
          <w:rFonts w:hint="eastAsia" w:ascii="宋体" w:hAnsi="宋体"/>
          <w:b/>
          <w:bCs/>
          <w:sz w:val="21"/>
          <w:szCs w:val="21"/>
        </w:rPr>
        <w:t>×</w:t>
      </w:r>
      <w:r>
        <w:rPr>
          <w:rFonts w:hint="eastAsia" w:ascii="宋体" w:hAnsi="宋体"/>
          <w:b/>
          <w:bCs/>
          <w:sz w:val="21"/>
          <w:szCs w:val="21"/>
          <w:lang w:eastAsia="zh-CN"/>
        </w:rPr>
        <w:t>成交</w:t>
      </w:r>
      <w:r>
        <w:rPr>
          <w:rFonts w:hint="eastAsia" w:ascii="宋体" w:hAnsi="宋体" w:cs="宋体"/>
          <w:b/>
          <w:bCs/>
          <w:sz w:val="24"/>
          <w:szCs w:val="22"/>
          <w:lang w:val="en-US" w:eastAsia="zh-CN"/>
        </w:rPr>
        <w:t>供应商第二轮磋商报价（折扣）。</w:t>
      </w:r>
    </w:p>
    <w:p>
      <w:pPr>
        <w:rPr>
          <w:rFonts w:hint="eastAsia" w:ascii="宋体" w:hAnsi="宋体" w:cs="宋体"/>
          <w:b/>
          <w:bCs/>
          <w:sz w:val="22"/>
          <w:szCs w:val="21"/>
          <w:lang w:val="en-US" w:eastAsia="zh-CN"/>
        </w:rPr>
      </w:pPr>
      <w:r>
        <w:rPr>
          <w:rFonts w:hint="eastAsia" w:ascii="宋体" w:hAnsi="宋体" w:cs="宋体"/>
          <w:b/>
          <w:bCs/>
          <w:sz w:val="22"/>
          <w:szCs w:val="21"/>
          <w:lang w:eastAsia="zh-CN"/>
        </w:rPr>
        <w:t>例如：武陟县</w:t>
      </w:r>
      <w:r>
        <w:rPr>
          <w:rFonts w:hint="eastAsia" w:ascii="宋体" w:hAnsi="宋体" w:cs="宋体"/>
          <w:b/>
          <w:bCs/>
          <w:sz w:val="22"/>
          <w:szCs w:val="21"/>
          <w:lang w:val="en-US" w:eastAsia="zh-CN"/>
        </w:rPr>
        <w:t>***项目施工图审查，带人防工程公共建筑总面积为1000㎡，成交供应商第二轮折扣报价为90%</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firstLine="221" w:firstLineChars="100"/>
        <w:jc w:val="left"/>
        <w:textAlignment w:val="auto"/>
        <w:rPr>
          <w:rFonts w:hint="eastAsia" w:ascii="宋体" w:hAnsi="宋体"/>
          <w:b/>
          <w:bCs/>
          <w:sz w:val="21"/>
          <w:szCs w:val="21"/>
          <w:lang w:val="en-US" w:eastAsia="zh-CN"/>
        </w:rPr>
      </w:pPr>
      <w:r>
        <w:rPr>
          <w:rFonts w:hint="eastAsia" w:ascii="宋体" w:hAnsi="宋体" w:cs="宋体"/>
          <w:b/>
          <w:bCs/>
          <w:sz w:val="22"/>
          <w:szCs w:val="21"/>
          <w:lang w:val="en-US" w:eastAsia="zh-CN"/>
        </w:rPr>
        <w:t>1000</w:t>
      </w:r>
      <w:r>
        <w:rPr>
          <w:rFonts w:hint="eastAsia" w:ascii="宋体" w:hAnsi="宋体"/>
          <w:b/>
          <w:bCs/>
          <w:sz w:val="21"/>
          <w:szCs w:val="21"/>
        </w:rPr>
        <w:t>×</w:t>
      </w:r>
      <w:r>
        <w:rPr>
          <w:rFonts w:hint="eastAsia" w:ascii="宋体" w:hAnsi="宋体"/>
          <w:b/>
          <w:bCs/>
          <w:sz w:val="21"/>
          <w:szCs w:val="21"/>
          <w:lang w:val="en-US" w:eastAsia="zh-CN"/>
        </w:rPr>
        <w:t>1.9</w:t>
      </w:r>
      <w:r>
        <w:rPr>
          <w:rFonts w:hint="eastAsia" w:ascii="宋体" w:hAnsi="宋体"/>
          <w:b/>
          <w:bCs/>
          <w:sz w:val="21"/>
          <w:szCs w:val="21"/>
        </w:rPr>
        <w:t>×</w:t>
      </w:r>
      <w:r>
        <w:rPr>
          <w:rFonts w:hint="eastAsia" w:ascii="宋体" w:hAnsi="宋体"/>
          <w:b/>
          <w:bCs/>
          <w:sz w:val="21"/>
          <w:szCs w:val="21"/>
          <w:lang w:val="en-US" w:eastAsia="zh-CN"/>
        </w:rPr>
        <w:t>0.9=1710元</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firstLine="211" w:firstLineChars="100"/>
        <w:jc w:val="left"/>
        <w:textAlignment w:val="auto"/>
        <w:rPr>
          <w:rFonts w:hint="eastAsia" w:ascii="宋体" w:hAnsi="宋体" w:eastAsia="宋体" w:cs="宋体"/>
          <w:b/>
          <w:bCs/>
          <w:kern w:val="2"/>
          <w:sz w:val="21"/>
          <w:szCs w:val="21"/>
          <w:highlight w:val="none"/>
          <w:lang w:val="en-US" w:eastAsia="zh-CN" w:bidi="ar-SA"/>
        </w:rPr>
      </w:pPr>
      <w:r>
        <w:rPr>
          <w:rFonts w:hint="eastAsia" w:ascii="宋体" w:hAnsi="宋体" w:cs="宋体"/>
          <w:b/>
          <w:bCs/>
          <w:kern w:val="2"/>
          <w:sz w:val="21"/>
          <w:szCs w:val="21"/>
          <w:highlight w:val="none"/>
          <w:lang w:val="en-US" w:eastAsia="zh-CN" w:bidi="ar-SA"/>
        </w:rPr>
        <w:t>供应商</w:t>
      </w:r>
      <w:r>
        <w:rPr>
          <w:rFonts w:hint="eastAsia" w:ascii="宋体" w:hAnsi="宋体" w:eastAsia="宋体" w:cs="宋体"/>
          <w:b/>
          <w:bCs/>
          <w:kern w:val="2"/>
          <w:sz w:val="21"/>
          <w:szCs w:val="21"/>
          <w:highlight w:val="none"/>
          <w:lang w:val="en-US" w:eastAsia="zh-CN" w:bidi="ar-SA"/>
        </w:rPr>
        <w:t>所报折扣不得超过100%。</w:t>
      </w:r>
    </w:p>
    <w:p>
      <w:pPr>
        <w:ind w:firstLine="663" w:firstLineChars="300"/>
        <w:rPr>
          <w:rFonts w:hint="default" w:ascii="宋体" w:hAnsi="宋体" w:cs="宋体"/>
          <w:b/>
          <w:bCs/>
          <w:sz w:val="22"/>
          <w:szCs w:val="21"/>
          <w:lang w:val="en-US" w:eastAsia="zh-CN"/>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5"/>
        <w:numPr>
          <w:ilvl w:val="0"/>
          <w:numId w:val="14"/>
        </w:numPr>
        <w:spacing w:before="0" w:after="0" w:line="360" w:lineRule="auto"/>
        <w:rPr>
          <w:rFonts w:hint="eastAsia" w:ascii="宋体" w:hAnsi="宋体" w:cs="宋体"/>
          <w:sz w:val="32"/>
          <w:szCs w:val="32"/>
        </w:rPr>
      </w:pPr>
      <w:bookmarkStart w:id="122" w:name="_Toc30567"/>
      <w:bookmarkStart w:id="123" w:name="_Toc32699"/>
      <w:bookmarkStart w:id="124" w:name="_Toc11308"/>
      <w:bookmarkStart w:id="125" w:name="_Toc15225"/>
      <w:r>
        <w:rPr>
          <w:rFonts w:hint="eastAsia" w:ascii="宋体" w:hAnsi="宋体" w:cs="宋体"/>
          <w:sz w:val="32"/>
          <w:szCs w:val="32"/>
        </w:rPr>
        <w:t>技术响应表</w:t>
      </w:r>
      <w:bookmarkEnd w:id="122"/>
      <w:bookmarkEnd w:id="123"/>
      <w:bookmarkEnd w:id="124"/>
    </w:p>
    <w:bookmarkEnd w:id="125"/>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8"/>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3849"/>
        <w:gridCol w:w="1163"/>
        <w:gridCol w:w="313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70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序号</w:t>
            </w:r>
          </w:p>
        </w:tc>
        <w:tc>
          <w:tcPr>
            <w:tcW w:w="384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sz w:val="21"/>
                <w:szCs w:val="21"/>
                <w:lang w:eastAsia="zh-CN"/>
              </w:rPr>
            </w:pPr>
            <w:r>
              <w:rPr>
                <w:rFonts w:hint="eastAsia" w:ascii="宋体" w:hAnsi="宋体"/>
                <w:sz w:val="21"/>
                <w:szCs w:val="21"/>
                <w:lang w:eastAsia="zh-CN"/>
              </w:rPr>
              <w:t>磋商文件要求</w:t>
            </w:r>
          </w:p>
        </w:tc>
        <w:tc>
          <w:tcPr>
            <w:tcW w:w="116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是否响应</w:t>
            </w:r>
          </w:p>
        </w:tc>
        <w:tc>
          <w:tcPr>
            <w:tcW w:w="3137"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lang w:eastAsia="zh-CN"/>
              </w:rPr>
              <w:t>供应商</w:t>
            </w:r>
            <w:r>
              <w:rPr>
                <w:rFonts w:hint="eastAsia" w:ascii="宋体" w:hAnsi="宋体"/>
                <w:sz w:val="21"/>
                <w:szCs w:val="21"/>
              </w:rPr>
              <w:t>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92"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r>
              <w:rPr>
                <w:rFonts w:hint="eastAsia" w:ascii="宋体" w:hAnsi="宋体" w:cs="宋体"/>
                <w:szCs w:val="21"/>
              </w:rPr>
              <w:t>…</w:t>
            </w: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bl>
    <w:p>
      <w:pPr>
        <w:rPr>
          <w:rFonts w:hint="eastAsia" w:ascii="宋体" w:hAnsi="宋体" w:cs="宋体"/>
          <w:color w:val="000000"/>
          <w:szCs w:val="21"/>
        </w:rPr>
      </w:pPr>
    </w:p>
    <w:p>
      <w:pPr>
        <w:rPr>
          <w:rFonts w:hint="eastAsia" w:ascii="宋体" w:hAnsi="宋体" w:cs="宋体"/>
          <w:color w:val="000000"/>
          <w:szCs w:val="21"/>
        </w:rPr>
      </w:pPr>
    </w:p>
    <w:p>
      <w:pPr>
        <w:rPr>
          <w:rFonts w:hint="eastAsia" w:ascii="宋体" w:hAnsi="宋体" w:cs="宋体"/>
          <w:color w:val="000000"/>
          <w:szCs w:val="21"/>
        </w:rPr>
      </w:pPr>
    </w:p>
    <w:p>
      <w:pPr>
        <w:rPr>
          <w:rFonts w:hint="eastAsia" w:ascii="宋体" w:hAnsi="宋体" w:cs="宋体"/>
          <w:color w:val="000000"/>
          <w:szCs w:val="21"/>
        </w:rPr>
      </w:pPr>
      <w:r>
        <w:rPr>
          <w:rFonts w:hint="eastAsia" w:ascii="宋体" w:hAnsi="宋体" w:cs="宋体"/>
          <w:color w:val="000000"/>
          <w:szCs w:val="21"/>
        </w:rPr>
        <w:t>注：供应商必须如实填写上表。</w:t>
      </w:r>
    </w:p>
    <w:p>
      <w:pPr>
        <w:adjustRightInd w:val="0"/>
        <w:snapToGrid w:val="0"/>
        <w:ind w:right="210" w:rightChars="100" w:firstLine="210" w:firstLineChars="100"/>
        <w:rPr>
          <w:rFonts w:hint="eastAsia" w:ascii="宋体" w:hAnsi="宋体" w:cs="宋体"/>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w:t>
      </w:r>
      <w:r>
        <w:rPr>
          <w:rFonts w:hint="eastAsia" w:ascii="宋体" w:hAnsi="宋体" w:cs="宋体"/>
          <w:sz w:val="24"/>
          <w:lang w:eastAsia="zh-CN"/>
        </w:rPr>
        <w:t>签名或盖章</w:t>
      </w:r>
      <w:r>
        <w:rPr>
          <w:rFonts w:hint="eastAsia" w:ascii="宋体" w:hAnsi="宋体" w:cs="宋体"/>
          <w:sz w:val="24"/>
        </w:rPr>
        <w:t>）：</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adjustRightInd w:val="0"/>
        <w:snapToGrid w:val="0"/>
        <w:ind w:right="210" w:rightChars="100" w:firstLine="6720" w:firstLineChars="3200"/>
        <w:rPr>
          <w:rFonts w:hint="eastAsia" w:ascii="宋体" w:hAnsi="宋体" w:cs="宋体"/>
        </w:rPr>
      </w:pPr>
      <w:r>
        <w:rPr>
          <w:rFonts w:hint="eastAsia" w:ascii="宋体" w:hAnsi="宋体" w:cs="宋体"/>
          <w:szCs w:val="21"/>
        </w:rPr>
        <w:t xml:space="preserve"> 年  月  日</w:t>
      </w: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ascii="宋体" w:hAnsi="宋体" w:cs="宋体"/>
        </w:rPr>
      </w:pPr>
      <w:r>
        <w:rPr>
          <w:rFonts w:hint="eastAsia" w:ascii="宋体" w:hAnsi="宋体" w:cs="宋体"/>
        </w:rPr>
        <w:t xml:space="preserve">                                       </w:t>
      </w:r>
    </w:p>
    <w:p>
      <w:pPr>
        <w:jc w:val="left"/>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rPr>
          <w:rFonts w:hint="eastAsia"/>
        </w:rPr>
      </w:pPr>
      <w:r>
        <w:rPr>
          <w:rFonts w:hint="eastAsia"/>
        </w:rPr>
        <w:br w:type="page"/>
      </w:r>
    </w:p>
    <w:p>
      <w:pPr>
        <w:pStyle w:val="5"/>
        <w:numPr>
          <w:ilvl w:val="0"/>
          <w:numId w:val="14"/>
        </w:numPr>
        <w:spacing w:before="0" w:after="0" w:line="360" w:lineRule="auto"/>
        <w:rPr>
          <w:rFonts w:hint="eastAsia" w:ascii="宋体" w:hAnsi="宋体" w:cs="宋体"/>
          <w:sz w:val="32"/>
          <w:szCs w:val="32"/>
        </w:rPr>
      </w:pPr>
      <w:bookmarkStart w:id="126" w:name="_Toc31901"/>
      <w:bookmarkStart w:id="127" w:name="_Toc24554"/>
      <w:bookmarkStart w:id="128" w:name="_Toc1864"/>
      <w:r>
        <w:rPr>
          <w:rFonts w:hint="eastAsia" w:ascii="宋体" w:hAnsi="宋体" w:cs="宋体"/>
          <w:sz w:val="32"/>
          <w:szCs w:val="32"/>
        </w:rPr>
        <w:t>商务响应表</w:t>
      </w:r>
      <w:bookmarkEnd w:id="126"/>
      <w:bookmarkEnd w:id="127"/>
      <w:bookmarkEnd w:id="128"/>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8"/>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bookmarkEnd w:id="108"/>
    <w:bookmarkEnd w:id="109"/>
    <w:bookmarkEnd w:id="110"/>
    <w:bookmarkEnd w:id="111"/>
    <w:bookmarkEnd w:id="112"/>
    <w:bookmarkEnd w:id="113"/>
    <w:bookmarkEnd w:id="114"/>
    <w:p>
      <w:pPr>
        <w:pStyle w:val="5"/>
        <w:numPr>
          <w:ilvl w:val="0"/>
          <w:numId w:val="14"/>
        </w:numPr>
        <w:spacing w:before="0" w:after="0" w:line="360" w:lineRule="auto"/>
        <w:rPr>
          <w:rFonts w:hint="eastAsia" w:ascii="宋体" w:hAnsi="宋体" w:cs="宋体"/>
          <w:sz w:val="32"/>
          <w:szCs w:val="32"/>
        </w:rPr>
      </w:pPr>
      <w:bookmarkStart w:id="129" w:name="18.4.4_信息采集费用概算明细表"/>
      <w:bookmarkEnd w:id="129"/>
      <w:bookmarkStart w:id="130" w:name="_bookmark278"/>
      <w:bookmarkEnd w:id="130"/>
      <w:bookmarkStart w:id="131" w:name="_Toc2497"/>
      <w:bookmarkStart w:id="132" w:name="_Toc8927"/>
      <w:bookmarkStart w:id="133" w:name="_Toc6508"/>
      <w:r>
        <w:rPr>
          <w:rFonts w:hint="eastAsia" w:ascii="宋体" w:hAnsi="宋体" w:cs="宋体"/>
          <w:sz w:val="32"/>
          <w:szCs w:val="32"/>
        </w:rPr>
        <w:t>资格证明材料</w:t>
      </w:r>
      <w:bookmarkEnd w:id="131"/>
      <w:bookmarkEnd w:id="132"/>
      <w:bookmarkEnd w:id="133"/>
    </w:p>
    <w:p>
      <w:pPr>
        <w:numPr>
          <w:ilvl w:val="0"/>
          <w:numId w:val="15"/>
        </w:numPr>
        <w:spacing w:line="360" w:lineRule="auto"/>
        <w:ind w:firstLine="480" w:firstLineChars="200"/>
        <w:jc w:val="left"/>
        <w:rPr>
          <w:rFonts w:hint="eastAsia" w:ascii="宋体" w:hAnsi="宋体" w:cs="宋体"/>
          <w:color w:val="auto"/>
          <w:sz w:val="24"/>
          <w:szCs w:val="24"/>
        </w:rPr>
      </w:pPr>
      <w:r>
        <w:rPr>
          <w:rFonts w:hint="eastAsia" w:ascii="宋体" w:hAnsi="宋体" w:cs="宋体"/>
          <w:color w:val="auto"/>
          <w:sz w:val="24"/>
          <w:szCs w:val="24"/>
        </w:rPr>
        <w:t>武陟县政府采购供应商资格信用承诺函（详见格式）；</w:t>
      </w:r>
    </w:p>
    <w:p>
      <w:pPr>
        <w:numPr>
          <w:ilvl w:val="0"/>
          <w:numId w:val="15"/>
        </w:numPr>
        <w:spacing w:line="360" w:lineRule="auto"/>
        <w:ind w:firstLine="480" w:firstLineChars="200"/>
        <w:jc w:val="left"/>
        <w:rPr>
          <w:rFonts w:hint="eastAsia" w:ascii="宋体" w:hAnsi="宋体" w:cs="宋体"/>
          <w:color w:val="auto"/>
          <w:sz w:val="24"/>
          <w:szCs w:val="24"/>
          <w:shd w:val="clear" w:fill="FFFF00"/>
          <w:lang w:val="en-US" w:eastAsia="zh-CN"/>
        </w:rPr>
      </w:pPr>
      <w:r>
        <w:rPr>
          <w:rFonts w:hint="eastAsia" w:ascii="宋体" w:hAnsi="宋体" w:cs="宋体"/>
          <w:color w:val="auto"/>
          <w:sz w:val="24"/>
          <w:szCs w:val="24"/>
        </w:rPr>
        <w:t>提供中小企业声明函(详见格式)，</w:t>
      </w:r>
      <w:r>
        <w:rPr>
          <w:rFonts w:hint="eastAsia" w:ascii="宋体" w:hAnsi="宋体" w:cs="宋体"/>
          <w:color w:val="auto"/>
          <w:sz w:val="24"/>
          <w:szCs w:val="24"/>
          <w:lang w:eastAsia="zh-CN"/>
        </w:rPr>
        <w:t>磋商</w:t>
      </w:r>
      <w:r>
        <w:rPr>
          <w:rFonts w:hint="eastAsia" w:ascii="宋体" w:hAnsi="宋体" w:cs="宋体"/>
          <w:color w:val="auto"/>
          <w:sz w:val="24"/>
          <w:szCs w:val="24"/>
        </w:rPr>
        <w:t>小组根据供应商提供的《中小企业声明函》认定该供应商是否属于中小企业，监狱企业和残疾人福利性单位视同小型、微型企业。不属于中小企业、监狱企业或残疾人福利性单位的不得参与本项目</w:t>
      </w:r>
      <w:r>
        <w:rPr>
          <w:rFonts w:hint="eastAsia" w:ascii="宋体" w:hAnsi="宋体" w:cs="宋体"/>
          <w:color w:val="auto"/>
          <w:sz w:val="24"/>
          <w:szCs w:val="24"/>
          <w:lang w:eastAsia="zh-CN"/>
        </w:rPr>
        <w:t>磋商</w:t>
      </w:r>
      <w:r>
        <w:rPr>
          <w:rFonts w:hint="eastAsia" w:ascii="宋体" w:hAnsi="宋体" w:cs="宋体"/>
          <w:color w:val="auto"/>
          <w:sz w:val="24"/>
          <w:szCs w:val="24"/>
          <w:lang w:val="en-US" w:eastAsia="zh-CN"/>
        </w:rPr>
        <w:t>;</w:t>
      </w:r>
    </w:p>
    <w:p>
      <w:pPr>
        <w:numPr>
          <w:ilvl w:val="0"/>
          <w:numId w:val="15"/>
        </w:numPr>
        <w:spacing w:line="360" w:lineRule="auto"/>
        <w:ind w:firstLine="480" w:firstLineChars="200"/>
        <w:jc w:val="lef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具有施工图设计文件审查机构</w:t>
      </w:r>
      <w:r>
        <w:rPr>
          <w:rFonts w:hint="eastAsia" w:ascii="宋体" w:hAnsi="宋体" w:cs="宋体"/>
          <w:color w:val="auto"/>
          <w:sz w:val="24"/>
          <w:szCs w:val="24"/>
          <w:lang w:eastAsia="zh-CN"/>
        </w:rPr>
        <w:t>认定（</w:t>
      </w:r>
      <w:r>
        <w:rPr>
          <w:rFonts w:hint="eastAsia" w:ascii="宋体" w:hAnsi="宋体" w:cs="宋体"/>
          <w:color w:val="auto"/>
          <w:sz w:val="24"/>
          <w:szCs w:val="24"/>
        </w:rPr>
        <w:t>房屋建筑工程</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二</w:t>
      </w:r>
      <w:r>
        <w:rPr>
          <w:rFonts w:hint="eastAsia" w:ascii="宋体" w:hAnsi="宋体" w:cs="宋体"/>
          <w:color w:val="auto"/>
          <w:sz w:val="24"/>
          <w:szCs w:val="24"/>
        </w:rPr>
        <w:t>类</w:t>
      </w:r>
      <w:r>
        <w:rPr>
          <w:rFonts w:hint="eastAsia" w:ascii="宋体" w:hAnsi="宋体" w:cs="宋体"/>
          <w:color w:val="auto"/>
          <w:sz w:val="24"/>
          <w:szCs w:val="24"/>
          <w:lang w:val="en-US" w:eastAsia="zh-CN"/>
        </w:rPr>
        <w:t>及以上</w:t>
      </w:r>
      <w:r>
        <w:rPr>
          <w:rFonts w:hint="eastAsia" w:ascii="宋体" w:hAnsi="宋体" w:cs="宋体"/>
          <w:color w:val="auto"/>
          <w:sz w:val="24"/>
          <w:szCs w:val="24"/>
        </w:rPr>
        <w:t>资</w:t>
      </w:r>
      <w:r>
        <w:rPr>
          <w:rFonts w:hint="eastAsia" w:ascii="宋体" w:hAnsi="宋体" w:cs="宋体"/>
          <w:color w:val="auto"/>
          <w:sz w:val="24"/>
          <w:szCs w:val="24"/>
          <w:lang w:eastAsia="zh-CN"/>
        </w:rPr>
        <w:t>格且被列入审查机构名录的机构（提供资格证书和被列入审查机构名录的证明材料）</w:t>
      </w:r>
      <w:r>
        <w:rPr>
          <w:rFonts w:hint="eastAsia" w:ascii="宋体" w:hAnsi="宋体" w:cs="宋体"/>
          <w:color w:val="auto"/>
          <w:sz w:val="24"/>
          <w:szCs w:val="24"/>
          <w:lang w:val="en-US" w:eastAsia="zh-CN"/>
        </w:rPr>
        <w:t>;</w:t>
      </w:r>
    </w:p>
    <w:p>
      <w:pPr>
        <w:numPr>
          <w:ilvl w:val="0"/>
          <w:numId w:val="15"/>
        </w:numPr>
        <w:shd w:val="clear"/>
        <w:spacing w:line="360" w:lineRule="auto"/>
        <w:ind w:firstLine="480" w:firstLineChars="200"/>
        <w:jc w:val="left"/>
        <w:rPr>
          <w:rFonts w:hint="eastAsia"/>
          <w:color w:val="auto"/>
        </w:rPr>
      </w:pPr>
      <w:r>
        <w:rPr>
          <w:rFonts w:hint="eastAsia" w:ascii="宋体" w:hAnsi="宋体" w:cs="宋体"/>
          <w:color w:val="auto"/>
          <w:sz w:val="24"/>
          <w:szCs w:val="24"/>
        </w:rPr>
        <w:t>供应商及其法定代表人、委托代理人均无行贿犯罪记录（提供无行贿犯罪记录承诺书，详见格式）；</w:t>
      </w:r>
    </w:p>
    <w:p>
      <w:pPr>
        <w:numPr>
          <w:ilvl w:val="0"/>
          <w:numId w:val="15"/>
        </w:numPr>
        <w:shd w:val="clear"/>
        <w:spacing w:line="360" w:lineRule="auto"/>
        <w:ind w:firstLine="480" w:firstLineChars="200"/>
        <w:jc w:val="left"/>
        <w:rPr>
          <w:rFonts w:hint="eastAsia" w:ascii="宋体" w:hAnsi="宋体" w:cs="宋体"/>
          <w:color w:val="auto"/>
          <w:sz w:val="24"/>
          <w:szCs w:val="24"/>
        </w:rPr>
      </w:pPr>
      <w:r>
        <w:rPr>
          <w:rFonts w:hint="eastAsia" w:ascii="宋体" w:hAnsi="宋体" w:cs="宋体"/>
          <w:color w:val="auto"/>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spacing w:line="360" w:lineRule="auto"/>
        <w:ind w:firstLine="480" w:firstLineChars="200"/>
        <w:rPr>
          <w:rFonts w:hint="eastAsia" w:ascii="宋体" w:hAnsi="宋体" w:cs="宋体"/>
          <w:sz w:val="24"/>
          <w:szCs w:val="24"/>
        </w:rPr>
      </w:pPr>
    </w:p>
    <w:p>
      <w:pPr>
        <w:pStyle w:val="55"/>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pStyle w:val="2"/>
        <w:rPr>
          <w:rFonts w:hint="eastAsia" w:ascii="宋体" w:hAnsi="宋体" w:cs="宋体"/>
          <w:b/>
          <w:sz w:val="24"/>
          <w:szCs w:val="24"/>
        </w:rPr>
      </w:pPr>
    </w:p>
    <w:p>
      <w:pPr>
        <w:rPr>
          <w:rFonts w:hint="eastAsia" w:ascii="宋体" w:hAnsi="宋体" w:cs="宋体"/>
          <w:b/>
          <w:sz w:val="24"/>
          <w:szCs w:val="24"/>
        </w:rPr>
      </w:pPr>
    </w:p>
    <w:p>
      <w:pPr>
        <w:pStyle w:val="2"/>
        <w:rPr>
          <w:rFonts w:hint="eastAsia" w:ascii="宋体" w:hAnsi="宋体" w:cs="宋体"/>
          <w:b/>
          <w:sz w:val="24"/>
          <w:szCs w:val="24"/>
        </w:rPr>
      </w:pPr>
    </w:p>
    <w:p>
      <w:pPr>
        <w:rPr>
          <w:rFonts w:hint="eastAsia" w:ascii="宋体" w:hAnsi="宋体" w:cs="宋体"/>
          <w:b/>
          <w:sz w:val="24"/>
          <w:szCs w:val="24"/>
        </w:rPr>
      </w:pPr>
    </w:p>
    <w:p>
      <w:pPr>
        <w:pStyle w:val="2"/>
        <w:rPr>
          <w:rFonts w:hint="eastAsia" w:ascii="宋体" w:hAnsi="宋体" w:cs="宋体"/>
          <w:b/>
          <w:sz w:val="24"/>
          <w:szCs w:val="24"/>
        </w:rPr>
      </w:pPr>
    </w:p>
    <w:p>
      <w:pPr>
        <w:rPr>
          <w:rFonts w:hint="eastAsia" w:ascii="宋体" w:hAnsi="宋体" w:cs="宋体"/>
          <w:b/>
          <w:sz w:val="24"/>
          <w:szCs w:val="24"/>
        </w:rPr>
      </w:pPr>
    </w:p>
    <w:p>
      <w:pPr>
        <w:pStyle w:val="2"/>
        <w:rPr>
          <w:rFonts w:hint="eastAsia" w:ascii="宋体" w:hAnsi="宋体" w:cs="宋体"/>
          <w:b/>
          <w:sz w:val="24"/>
          <w:szCs w:val="24"/>
        </w:rPr>
      </w:pPr>
    </w:p>
    <w:p>
      <w:pPr>
        <w:rPr>
          <w:rFonts w:hint="eastAsia" w:ascii="宋体" w:hAnsi="宋体" w:cs="宋体"/>
          <w:b/>
          <w:sz w:val="24"/>
          <w:szCs w:val="24"/>
        </w:rPr>
      </w:pPr>
    </w:p>
    <w:p>
      <w:pPr>
        <w:pStyle w:val="2"/>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pStyle w:val="2"/>
        <w:rPr>
          <w:rFonts w:hint="eastAsia"/>
        </w:rPr>
      </w:pPr>
    </w:p>
    <w:p>
      <w:pPr>
        <w:pStyle w:val="15"/>
        <w:rPr>
          <w:rFonts w:hint="eastAsia" w:ascii="宋体" w:hAnsi="宋体" w:cs="宋体"/>
          <w:b/>
          <w:sz w:val="24"/>
          <w:szCs w:val="24"/>
        </w:rPr>
      </w:pPr>
    </w:p>
    <w:p>
      <w:pPr>
        <w:tabs>
          <w:tab w:val="center" w:pos="4649"/>
        </w:tabs>
        <w:jc w:val="center"/>
        <w:rPr>
          <w:rFonts w:hint="eastAsia"/>
          <w:b/>
          <w:sz w:val="28"/>
        </w:rPr>
      </w:pPr>
      <w:bookmarkStart w:id="134" w:name="_Toc8011"/>
      <w:bookmarkStart w:id="135" w:name="_Toc31392"/>
      <w:bookmarkStart w:id="136" w:name="_Toc114940421"/>
      <w:r>
        <w:rPr>
          <w:rFonts w:hint="eastAsia"/>
          <w:b/>
          <w:sz w:val="28"/>
        </w:rPr>
        <w:t>武陟县政府采购供应商资格信用承诺函</w:t>
      </w:r>
      <w:bookmarkEnd w:id="134"/>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35"/>
      <w:bookmarkEnd w:id="136"/>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6"/>
        <w:jc w:val="center"/>
        <w:rPr>
          <w:rFonts w:hint="eastAsia" w:ascii="宋体" w:hAnsi="宋体" w:eastAsia="宋体" w:cs="宋体"/>
          <w:sz w:val="28"/>
          <w:szCs w:val="28"/>
        </w:rPr>
      </w:pPr>
    </w:p>
    <w:p>
      <w:pPr>
        <w:pStyle w:val="6"/>
        <w:jc w:val="center"/>
        <w:rPr>
          <w:rFonts w:hint="eastAsia" w:ascii="宋体" w:hAnsi="宋体" w:eastAsia="宋体" w:cs="宋体"/>
          <w:sz w:val="28"/>
          <w:szCs w:val="28"/>
        </w:rPr>
      </w:pPr>
    </w:p>
    <w:p>
      <w:pPr>
        <w:pStyle w:val="34"/>
        <w:spacing w:before="0" w:beforeAutospacing="0" w:after="0" w:afterAutospacing="0"/>
        <w:ind w:right="560"/>
        <w:jc w:val="center"/>
        <w:rPr>
          <w:rFonts w:hint="eastAsia"/>
          <w:b/>
          <w:bCs/>
          <w:sz w:val="32"/>
          <w:szCs w:val="32"/>
        </w:rPr>
      </w:pPr>
    </w:p>
    <w:p>
      <w:pPr>
        <w:pStyle w:val="34"/>
        <w:spacing w:before="0" w:beforeAutospacing="0" w:after="0" w:afterAutospacing="0"/>
        <w:ind w:right="560"/>
        <w:jc w:val="center"/>
        <w:rPr>
          <w:rFonts w:hint="eastAsia"/>
          <w:b/>
          <w:bCs/>
          <w:sz w:val="32"/>
          <w:szCs w:val="32"/>
        </w:rPr>
      </w:pPr>
    </w:p>
    <w:p>
      <w:pPr>
        <w:pStyle w:val="34"/>
        <w:spacing w:before="0" w:beforeAutospacing="0" w:after="0" w:afterAutospacing="0"/>
        <w:ind w:right="560"/>
        <w:jc w:val="center"/>
        <w:rPr>
          <w:rFonts w:hint="eastAsia"/>
          <w:b/>
          <w:bCs/>
          <w:sz w:val="32"/>
          <w:szCs w:val="32"/>
        </w:rPr>
      </w:pPr>
    </w:p>
    <w:p>
      <w:pPr>
        <w:pStyle w:val="34"/>
        <w:spacing w:before="0" w:beforeAutospacing="0" w:after="0" w:afterAutospacing="0"/>
        <w:ind w:right="560"/>
        <w:jc w:val="both"/>
        <w:rPr>
          <w:b/>
          <w:bCs/>
          <w:sz w:val="32"/>
          <w:szCs w:val="32"/>
        </w:rPr>
      </w:pPr>
    </w:p>
    <w:p>
      <w:pPr>
        <w:pStyle w:val="34"/>
        <w:spacing w:before="0" w:beforeAutospacing="0" w:after="0" w:afterAutospacing="0"/>
        <w:ind w:right="560"/>
        <w:jc w:val="both"/>
        <w:rPr>
          <w:b/>
          <w:bCs/>
          <w:sz w:val="32"/>
          <w:szCs w:val="32"/>
        </w:rPr>
      </w:pPr>
    </w:p>
    <w:p>
      <w:pPr>
        <w:widowControl/>
        <w:spacing w:line="580" w:lineRule="atLeast"/>
        <w:jc w:val="center"/>
        <w:rPr>
          <w:rFonts w:hint="eastAsia" w:ascii="宋体" w:hAnsi="宋体" w:cs="宋体"/>
          <w:b/>
          <w:bCs/>
          <w:sz w:val="32"/>
          <w:szCs w:val="32"/>
        </w:rPr>
      </w:pPr>
      <w:r>
        <w:rPr>
          <w:rFonts w:hint="eastAsia" w:ascii="宋体" w:hAnsi="宋体" w:cs="宋体"/>
          <w:b/>
          <w:bCs/>
          <w:sz w:val="32"/>
          <w:szCs w:val="32"/>
        </w:rPr>
        <w:t>中小企业声明函（工程、服务）</w:t>
      </w:r>
    </w:p>
    <w:p>
      <w:pPr>
        <w:widowControl/>
        <w:spacing w:line="580" w:lineRule="atLeast"/>
        <w:ind w:firstLine="42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580" w:lineRule="atLeast"/>
        <w:ind w:firstLine="420" w:firstLineChars="200"/>
        <w:rPr>
          <w:rFonts w:hint="eastAsia" w:ascii="宋体" w:hAnsi="宋体" w:cs="宋体"/>
        </w:rPr>
      </w:pPr>
      <w:r>
        <w:rPr>
          <w:rFonts w:hint="eastAsia" w:ascii="宋体" w:hAnsi="宋体" w:cs="宋体"/>
        </w:rPr>
        <w:t>1.</w:t>
      </w:r>
      <w:r>
        <w:rPr>
          <w:rFonts w:hint="eastAsia" w:ascii="宋体" w:hAnsi="宋体" w:cs="宋体"/>
          <w:u w:val="single"/>
        </w:rPr>
        <w:t xml:space="preserve"> </w:t>
      </w:r>
      <w:r>
        <w:rPr>
          <w:rFonts w:hint="eastAsia" w:ascii="宋体" w:hAnsi="宋体" w:cs="宋体"/>
          <w:u w:val="single"/>
          <w:lang w:eastAsia="zh-CN"/>
        </w:rPr>
        <w:t>武陟县住房和城乡建设局施工图审查服务</w:t>
      </w:r>
      <w:r>
        <w:rPr>
          <w:rFonts w:hint="eastAsia" w:ascii="宋体" w:hAnsi="宋体" w:cs="宋体"/>
        </w:rPr>
        <w:t>，属于</w:t>
      </w:r>
      <w:r>
        <w:rPr>
          <w:rFonts w:hint="eastAsia" w:ascii="宋体" w:hAnsi="宋体" w:cs="宋体"/>
          <w:u w:val="single"/>
          <w:lang w:val="en-US" w:eastAsia="zh-CN"/>
        </w:rPr>
        <w:t>其他未列明行业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widowControl/>
        <w:spacing w:line="580" w:lineRule="atLeast"/>
        <w:ind w:firstLine="42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widowControl/>
        <w:spacing w:line="580" w:lineRule="atLeast"/>
        <w:ind w:firstLine="420" w:firstLineChars="200"/>
        <w:rPr>
          <w:rFonts w:hint="eastAsia" w:ascii="宋体" w:hAnsi="宋体" w:cs="宋体"/>
        </w:rPr>
      </w:pPr>
      <w:r>
        <w:rPr>
          <w:rFonts w:hint="eastAsia" w:ascii="宋体" w:hAnsi="宋体" w:cs="宋体"/>
        </w:rPr>
        <w:t>本企业对上述声明内容的真实性负责。如有虚假，将依法承担相应责任。</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pStyle w:val="2"/>
        <w:ind w:firstLine="4410" w:firstLineChars="2100"/>
        <w:rPr>
          <w:rFonts w:hint="eastAsia" w:eastAsia="宋体"/>
          <w:lang w:eastAsia="zh-CN"/>
        </w:rPr>
      </w:pPr>
      <w:r>
        <w:rPr>
          <w:rFonts w:hint="eastAsia" w:ascii="宋体" w:hAnsi="宋体" w:cs="宋体"/>
          <w:lang w:eastAsia="zh-CN"/>
        </w:rPr>
        <w:t>日期：</w:t>
      </w: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cs="宋体"/>
          <w:b/>
          <w:kern w:val="2"/>
          <w:sz w:val="21"/>
          <w:szCs w:val="21"/>
          <w:lang w:val="en-US" w:eastAsia="zh-CN" w:bidi="ar-SA"/>
        </w:rPr>
        <w:t>2</w:t>
      </w:r>
      <w:r>
        <w:rPr>
          <w:rFonts w:hint="eastAsia" w:ascii="宋体" w:hAnsi="宋体" w:eastAsia="宋体" w:cs="宋体"/>
          <w:b/>
          <w:kern w:val="2"/>
          <w:sz w:val="21"/>
          <w:szCs w:val="21"/>
          <w:lang w:val="en-US" w:eastAsia="zh-CN" w:bidi="ar-SA"/>
        </w:rPr>
        <w:t>.本“注”的文字，仅为告知，不作为文件格式要求。</w:t>
      </w:r>
    </w:p>
    <w:p>
      <w:pPr>
        <w:rPr>
          <w:rFonts w:hint="eastAsia"/>
        </w:rPr>
      </w:pPr>
    </w:p>
    <w:p>
      <w:pPr>
        <w:pStyle w:val="34"/>
        <w:spacing w:before="0" w:beforeAutospacing="0" w:after="0" w:afterAutospacing="0"/>
        <w:ind w:right="560"/>
        <w:jc w:val="both"/>
        <w:rPr>
          <w:b/>
          <w:bCs/>
          <w:sz w:val="32"/>
          <w:szCs w:val="32"/>
        </w:rPr>
      </w:pPr>
    </w:p>
    <w:bookmarkEnd w:id="115"/>
    <w:bookmarkEnd w:id="116"/>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37" w:name="_Toc5506"/>
      <w:bookmarkStart w:id="138" w:name="_Toc23619"/>
      <w:bookmarkStart w:id="139" w:name="_Toc428525390"/>
      <w:bookmarkStart w:id="140" w:name="_Toc490161471"/>
      <w:bookmarkStart w:id="141" w:name="_Toc428454062"/>
      <w:bookmarkStart w:id="142" w:name="_Toc477423256"/>
      <w:bookmarkStart w:id="143" w:name="_Toc406663316"/>
      <w:bookmarkStart w:id="144" w:name="_Toc15846"/>
      <w:bookmarkStart w:id="145" w:name="_Toc487805932"/>
      <w:bookmarkStart w:id="146" w:name="_Toc373230045"/>
      <w:bookmarkStart w:id="147" w:name="_Toc214329904"/>
      <w:bookmarkStart w:id="148" w:name="_Toc25878"/>
      <w:bookmarkStart w:id="149" w:name="_Toc408816356"/>
      <w:bookmarkStart w:id="150" w:name="_Toc364490446"/>
      <w:bookmarkStart w:id="151" w:name="_Toc374512433"/>
      <w:r>
        <w:rPr>
          <w:rFonts w:hint="eastAsia"/>
          <w:b/>
          <w:sz w:val="28"/>
        </w:rPr>
        <w:t xml:space="preserve"> </w:t>
      </w:r>
    </w:p>
    <w:p>
      <w:pPr>
        <w:pStyle w:val="5"/>
        <w:numPr>
          <w:ilvl w:val="0"/>
          <w:numId w:val="14"/>
        </w:numPr>
        <w:spacing w:before="0" w:after="0" w:line="360" w:lineRule="auto"/>
        <w:rPr>
          <w:rFonts w:hint="eastAsia" w:ascii="宋体" w:hAnsi="宋体" w:cs="宋体"/>
          <w:sz w:val="32"/>
          <w:szCs w:val="32"/>
        </w:rPr>
      </w:pPr>
      <w:bookmarkStart w:id="152" w:name="_Toc20773"/>
      <w:r>
        <w:rPr>
          <w:rFonts w:hint="eastAsia" w:ascii="宋体" w:hAnsi="宋体" w:cs="宋体"/>
          <w:sz w:val="32"/>
          <w:szCs w:val="32"/>
        </w:rPr>
        <w:t>法定代表人身份证明或授权委托书</w:t>
      </w:r>
      <w:bookmarkEnd w:id="137"/>
      <w:bookmarkEnd w:id="138"/>
      <w:bookmarkEnd w:id="139"/>
      <w:bookmarkEnd w:id="140"/>
      <w:bookmarkEnd w:id="141"/>
      <w:bookmarkEnd w:id="142"/>
      <w:bookmarkEnd w:id="143"/>
      <w:bookmarkEnd w:id="144"/>
      <w:bookmarkEnd w:id="145"/>
      <w:bookmarkEnd w:id="152"/>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3"/>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（供应商名称）营业执照注册号：</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rPr>
        <w:t>（供应商名称）的法定代表人，现授权委托</w:t>
      </w:r>
      <w:r>
        <w:rPr>
          <w:rFonts w:hint="eastAsia" w:ascii="宋体" w:hAnsi="宋体" w:cs="宋体"/>
          <w:sz w:val="24"/>
          <w:szCs w:val="24"/>
          <w:u w:val="single"/>
        </w:rPr>
        <w:t>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rPr>
        <w:t>（姓名）为我公司（院）代理人，以本公司（院）的名义参加</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代理人无转委托权，特此声明。</w:t>
      </w:r>
    </w:p>
    <w:p>
      <w:pPr>
        <w:spacing w:line="460" w:lineRule="exact"/>
        <w:ind w:firstLine="403" w:firstLineChars="168"/>
        <w:rPr>
          <w:rFonts w:hint="eastAsia" w:ascii="宋体" w:hAnsi="宋体" w:cs="宋体"/>
          <w:sz w:val="24"/>
          <w:szCs w:val="24"/>
        </w:rPr>
      </w:pPr>
    </w:p>
    <w:p>
      <w:pPr>
        <w:spacing w:line="460" w:lineRule="exact"/>
        <w:rPr>
          <w:rFonts w:hint="eastAsia" w:ascii="宋体" w:hAnsi="宋体" w:cs="宋体"/>
          <w:sz w:val="24"/>
          <w:szCs w:val="24"/>
        </w:rPr>
      </w:pPr>
    </w:p>
    <w:p>
      <w:pPr>
        <w:spacing w:line="360" w:lineRule="auto"/>
        <w:jc w:val="center"/>
        <w:rPr>
          <w:rFonts w:hint="eastAsia" w:ascii="宋体" w:hAnsi="宋体" w:cs="宋体"/>
          <w:sz w:val="24"/>
          <w:szCs w:val="24"/>
        </w:rPr>
      </w:pPr>
      <w:bookmarkStart w:id="153" w:name="_Toc487805933"/>
      <w:bookmarkStart w:id="154" w:name="_Toc475955191"/>
      <w:bookmarkStart w:id="155" w:name="_Toc15453"/>
      <w:bookmarkStart w:id="156" w:name="_Toc477423257"/>
      <w:bookmarkStart w:id="157" w:name="_Toc490161472"/>
      <w:bookmarkStart w:id="158" w:name="_Toc476045985"/>
      <w:bookmarkStart w:id="159" w:name="_Toc428525391"/>
      <w:bookmarkStart w:id="160" w:name="_Toc428454066"/>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54"/>
        <w:ind w:firstLine="964" w:firstLineChars="400"/>
        <w:rPr>
          <w:rFonts w:hint="eastAsia" w:ascii="宋体" w:hAnsi="宋体" w:cs="宋体"/>
        </w:rPr>
        <w:sectPr>
          <w:headerReference r:id="rId14" w:type="first"/>
          <w:footerReference r:id="rId16" w:type="first"/>
          <w:headerReference r:id="rId13" w:type="default"/>
          <w:footerReference r:id="rId15"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53"/>
      <w:bookmarkEnd w:id="154"/>
      <w:bookmarkEnd w:id="155"/>
      <w:bookmarkEnd w:id="156"/>
      <w:bookmarkEnd w:id="157"/>
      <w:bookmarkEnd w:id="158"/>
      <w:bookmarkStart w:id="161" w:name="_Toc487805935"/>
      <w:bookmarkStart w:id="162" w:name="_Toc477423259"/>
      <w:bookmarkStart w:id="163" w:name="_Toc17258"/>
      <w:bookmarkStart w:id="164" w:name="_Toc490161474"/>
      <w:r>
        <w:rPr>
          <w:rFonts w:hint="eastAsia" w:ascii="宋体" w:hAnsi="宋体" w:cs="宋体"/>
          <w:b/>
        </w:rPr>
        <w:t>此项。</w:t>
      </w:r>
    </w:p>
    <w:p>
      <w:pPr>
        <w:pStyle w:val="5"/>
        <w:numPr>
          <w:ilvl w:val="0"/>
          <w:numId w:val="14"/>
        </w:numPr>
        <w:spacing w:before="0" w:after="0" w:line="360" w:lineRule="auto"/>
        <w:rPr>
          <w:rFonts w:hint="eastAsia" w:ascii="宋体" w:hAnsi="宋体" w:cs="宋体"/>
          <w:sz w:val="32"/>
          <w:szCs w:val="32"/>
        </w:rPr>
      </w:pPr>
      <w:bookmarkStart w:id="165" w:name="_Toc2"/>
      <w:bookmarkStart w:id="166" w:name="_Toc529865893"/>
      <w:bookmarkStart w:id="167" w:name="_Toc5526"/>
      <w:bookmarkStart w:id="168" w:name="_Toc12027"/>
      <w:r>
        <w:rPr>
          <w:rFonts w:hint="eastAsia" w:ascii="宋体" w:hAnsi="宋体" w:cs="宋体"/>
          <w:sz w:val="32"/>
          <w:szCs w:val="32"/>
        </w:rPr>
        <w:t>残疾人福利性单位声明函</w:t>
      </w:r>
      <w:bookmarkEnd w:id="165"/>
      <w:bookmarkEnd w:id="166"/>
      <w:bookmarkEnd w:id="167"/>
      <w:bookmarkEnd w:id="168"/>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2"/>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23"/>
        <w:rPr>
          <w:rFonts w:hint="eastAsia" w:cs="宋体"/>
        </w:rPr>
      </w:pPr>
    </w:p>
    <w:bookmarkEnd w:id="161"/>
    <w:bookmarkEnd w:id="162"/>
    <w:bookmarkEnd w:id="163"/>
    <w:bookmarkEnd w:id="164"/>
    <w:p>
      <w:pPr>
        <w:pStyle w:val="5"/>
        <w:numPr>
          <w:ilvl w:val="0"/>
          <w:numId w:val="14"/>
        </w:numPr>
        <w:spacing w:before="0" w:after="0" w:line="360" w:lineRule="auto"/>
        <w:rPr>
          <w:rFonts w:hint="eastAsia" w:ascii="宋体" w:hAnsi="宋体" w:cs="宋体"/>
          <w:sz w:val="32"/>
          <w:szCs w:val="32"/>
        </w:rPr>
      </w:pPr>
      <w:bookmarkStart w:id="169" w:name="_Toc1654"/>
      <w:bookmarkStart w:id="170" w:name="_Toc477423260"/>
      <w:bookmarkStart w:id="171" w:name="_Toc20485"/>
      <w:bookmarkStart w:id="172" w:name="_Toc490161475"/>
      <w:bookmarkStart w:id="173" w:name="_Toc487805936"/>
      <w:bookmarkStart w:id="174" w:name="_Toc19062"/>
      <w:bookmarkStart w:id="175" w:name="_Toc7213"/>
      <w:r>
        <w:rPr>
          <w:rFonts w:hint="eastAsia" w:ascii="宋体" w:hAnsi="宋体" w:cs="宋体"/>
          <w:sz w:val="32"/>
          <w:szCs w:val="32"/>
        </w:rPr>
        <w:t>反商业贿赂承诺书</w:t>
      </w:r>
      <w:bookmarkEnd w:id="169"/>
      <w:bookmarkEnd w:id="170"/>
      <w:bookmarkEnd w:id="171"/>
      <w:bookmarkEnd w:id="172"/>
      <w:bookmarkEnd w:id="173"/>
      <w:bookmarkEnd w:id="174"/>
      <w:bookmarkEnd w:id="175"/>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46"/>
    <w:bookmarkEnd w:id="147"/>
    <w:bookmarkEnd w:id="148"/>
    <w:bookmarkEnd w:id="149"/>
    <w:bookmarkEnd w:id="150"/>
    <w:bookmarkEnd w:id="151"/>
    <w:bookmarkEnd w:id="159"/>
    <w:bookmarkEnd w:id="160"/>
    <w:p>
      <w:pPr>
        <w:spacing w:line="460" w:lineRule="exact"/>
        <w:rPr>
          <w:rFonts w:hint="eastAsia" w:ascii="宋体" w:hAnsi="宋体" w:cs="宋体"/>
          <w:sz w:val="24"/>
          <w:szCs w:val="24"/>
        </w:rPr>
      </w:pPr>
      <w:bookmarkStart w:id="176" w:name="_Toc19463"/>
      <w:bookmarkStart w:id="177" w:name="_Toc365712853"/>
      <w:bookmarkStart w:id="178" w:name="_Toc476045994"/>
      <w:bookmarkStart w:id="179" w:name="_Toc477423265"/>
      <w:bookmarkStart w:id="180" w:name="_Toc18166"/>
      <w:bookmarkStart w:id="181" w:name="_Toc406663323"/>
      <w:bookmarkStart w:id="182" w:name="_Toc475955200"/>
      <w:bookmarkStart w:id="183" w:name="_Toc19579"/>
      <w:bookmarkStart w:id="184" w:name="_Toc450037734"/>
      <w:bookmarkStart w:id="185" w:name="_Toc364962592"/>
      <w:bookmarkStart w:id="186" w:name="_Toc490161482"/>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5"/>
        <w:numPr>
          <w:ilvl w:val="0"/>
          <w:numId w:val="14"/>
        </w:numPr>
        <w:spacing w:before="0" w:after="0" w:line="360" w:lineRule="auto"/>
        <w:rPr>
          <w:rFonts w:hint="eastAsia" w:ascii="宋体" w:hAnsi="宋体" w:cs="宋体"/>
          <w:sz w:val="32"/>
          <w:szCs w:val="32"/>
        </w:rPr>
      </w:pPr>
      <w:bookmarkStart w:id="187" w:name="_Toc18203"/>
      <w:r>
        <w:rPr>
          <w:rFonts w:hint="eastAsia" w:ascii="宋体" w:hAnsi="宋体" w:cs="宋体"/>
          <w:sz w:val="32"/>
          <w:szCs w:val="32"/>
        </w:rPr>
        <w:t>竞争性磋商文件要求的以及供应商认为应该提供的其他材料</w:t>
      </w:r>
      <w:bookmarkEnd w:id="176"/>
      <w:bookmarkEnd w:id="177"/>
      <w:bookmarkEnd w:id="178"/>
      <w:bookmarkEnd w:id="179"/>
      <w:bookmarkEnd w:id="180"/>
      <w:bookmarkEnd w:id="181"/>
      <w:bookmarkEnd w:id="182"/>
      <w:bookmarkEnd w:id="183"/>
      <w:bookmarkEnd w:id="184"/>
      <w:bookmarkEnd w:id="185"/>
      <w:bookmarkEnd w:id="186"/>
      <w:bookmarkEnd w:id="187"/>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6"/>
        <w:spacing w:before="0" w:after="0" w:line="400" w:lineRule="exact"/>
        <w:jc w:val="center"/>
        <w:rPr>
          <w:rFonts w:hint="eastAsia" w:ascii="宋体" w:hAnsi="宋体" w:eastAsia="宋体" w:cs="宋体"/>
          <w:sz w:val="28"/>
          <w:szCs w:val="28"/>
        </w:rPr>
      </w:pPr>
      <w:r>
        <w:rPr>
          <w:rFonts w:hint="eastAsia" w:ascii="宋体" w:hAnsi="宋体" w:eastAsia="宋体" w:cs="宋体"/>
          <w:sz w:val="28"/>
          <w:szCs w:val="28"/>
        </w:rPr>
        <w:t>第二轮磋商报价表</w:t>
      </w:r>
    </w:p>
    <w:p>
      <w:pPr>
        <w:rPr>
          <w:rFonts w:hint="eastAsia"/>
        </w:rPr>
      </w:pPr>
    </w:p>
    <w:tbl>
      <w:tblPr>
        <w:tblStyle w:val="38"/>
        <w:tblW w:w="0" w:type="auto"/>
        <w:jc w:val="center"/>
        <w:tblLayout w:type="fixed"/>
        <w:tblCellMar>
          <w:top w:w="0" w:type="dxa"/>
          <w:left w:w="108" w:type="dxa"/>
          <w:bottom w:w="0" w:type="dxa"/>
          <w:right w:w="108" w:type="dxa"/>
        </w:tblCellMar>
      </w:tblPr>
      <w:tblGrid>
        <w:gridCol w:w="2420"/>
        <w:gridCol w:w="6260"/>
      </w:tblGrid>
      <w:tr>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1717"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总报价</w:t>
            </w:r>
            <w:r>
              <w:rPr>
                <w:rFonts w:hint="eastAsia" w:ascii="宋体" w:hAnsi="宋体" w:cs="宋体"/>
                <w:sz w:val="24"/>
                <w:szCs w:val="24"/>
                <w:lang w:eastAsia="zh-CN"/>
              </w:rPr>
              <w:t>（折扣）</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sz w:val="24"/>
                <w:szCs w:val="24"/>
                <w:lang w:eastAsia="zh-CN"/>
              </w:rPr>
            </w:pPr>
            <w:r>
              <w:rPr>
                <w:rFonts w:hint="eastAsia" w:ascii="宋体" w:hAnsi="宋体" w:cs="宋体"/>
                <w:sz w:val="24"/>
                <w:szCs w:val="24"/>
                <w:lang w:val="en-US" w:eastAsia="zh-CN"/>
              </w:rPr>
              <w:t>折扣：</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tc>
      </w:tr>
    </w:tbl>
    <w:p>
      <w:pPr>
        <w:spacing w:line="360" w:lineRule="auto"/>
        <w:jc w:val="right"/>
        <w:rPr>
          <w:rFonts w:hint="eastAsia" w:ascii="宋体" w:hAnsi="宋体" w:cs="宋体"/>
          <w:sz w:val="24"/>
        </w:rPr>
      </w:pPr>
    </w:p>
    <w:p>
      <w:pPr>
        <w:spacing w:line="360" w:lineRule="auto"/>
        <w:jc w:val="right"/>
        <w:rPr>
          <w:rFonts w:hint="eastAsia" w:ascii="宋体" w:hAnsi="宋体" w:cs="宋体"/>
          <w:sz w:val="24"/>
        </w:rPr>
      </w:pPr>
      <w:r>
        <w:rPr>
          <w:rFonts w:hint="eastAsia" w:ascii="宋体" w:hAnsi="宋体" w:cs="宋体"/>
          <w:sz w:val="24"/>
        </w:rPr>
        <w:t xml:space="preserve"> 供应商名称（全称并加盖公章）：</w:t>
      </w:r>
    </w:p>
    <w:p>
      <w:pPr>
        <w:spacing w:line="360" w:lineRule="auto"/>
        <w:jc w:val="right"/>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keepNext w:val="0"/>
        <w:keepLines w:val="0"/>
        <w:pageBreakBefore w:val="0"/>
        <w:widowControl w:val="0"/>
        <w:kinsoku/>
        <w:wordWrap/>
        <w:overflowPunct/>
        <w:topLinePunct w:val="0"/>
        <w:autoSpaceDE/>
        <w:autoSpaceDN/>
        <w:bidi w:val="0"/>
        <w:adjustRightInd/>
        <w:snapToGrid/>
        <w:spacing w:line="400" w:lineRule="exact"/>
        <w:ind w:left="420" w:firstLine="420" w:firstLineChars="200"/>
        <w:textAlignment w:val="auto"/>
        <w:rPr>
          <w:rFonts w:hint="eastAsia"/>
          <w:b/>
          <w:bCs/>
          <w:szCs w:val="21"/>
          <w:lang w:val="en-US" w:eastAsia="zh-CN"/>
        </w:rPr>
      </w:pPr>
      <w:r>
        <w:rPr>
          <w:rFonts w:hint="eastAsia"/>
          <w:b/>
          <w:bCs/>
          <w:szCs w:val="21"/>
        </w:rPr>
        <w:t>注：</w:t>
      </w:r>
      <w:r>
        <w:rPr>
          <w:rFonts w:hint="eastAsia"/>
          <w:b/>
          <w:bCs/>
          <w:szCs w:val="21"/>
          <w:lang w:val="en-US" w:eastAsia="zh-CN"/>
        </w:rPr>
        <w:t>1.本项目最终结算价的计算公式：《河南省施工图设计文件审查结算标准》规定的计算价×成交供应商第二轮磋商报价（折扣）。</w:t>
      </w:r>
    </w:p>
    <w:p>
      <w:pPr>
        <w:keepNext w:val="0"/>
        <w:keepLines w:val="0"/>
        <w:pageBreakBefore w:val="0"/>
        <w:widowControl w:val="0"/>
        <w:kinsoku/>
        <w:wordWrap/>
        <w:overflowPunct/>
        <w:topLinePunct w:val="0"/>
        <w:autoSpaceDE/>
        <w:autoSpaceDN/>
        <w:bidi w:val="0"/>
        <w:adjustRightInd/>
        <w:snapToGrid/>
        <w:spacing w:line="400" w:lineRule="exact"/>
        <w:ind w:left="420" w:firstLine="420" w:firstLineChars="200"/>
        <w:textAlignment w:val="auto"/>
        <w:rPr>
          <w:rFonts w:hint="eastAsia"/>
          <w:b/>
          <w:bCs/>
          <w:szCs w:val="21"/>
          <w:lang w:val="en-US" w:eastAsia="zh-CN"/>
        </w:rPr>
      </w:pPr>
      <w:r>
        <w:rPr>
          <w:rFonts w:hint="eastAsia"/>
          <w:b/>
          <w:bCs/>
          <w:szCs w:val="21"/>
          <w:lang w:val="en-US" w:eastAsia="zh-CN"/>
        </w:rPr>
        <w:t>例如：武陟县***项目施工图审查，带人防工程公共建筑总面积为1000㎡，成交供应商第二轮折扣报价为90%</w:t>
      </w:r>
    </w:p>
    <w:p>
      <w:pPr>
        <w:keepNext w:val="0"/>
        <w:keepLines w:val="0"/>
        <w:pageBreakBefore w:val="0"/>
        <w:widowControl w:val="0"/>
        <w:kinsoku/>
        <w:wordWrap/>
        <w:overflowPunct/>
        <w:topLinePunct w:val="0"/>
        <w:autoSpaceDE/>
        <w:autoSpaceDN/>
        <w:bidi w:val="0"/>
        <w:adjustRightInd/>
        <w:snapToGrid/>
        <w:spacing w:line="400" w:lineRule="exact"/>
        <w:ind w:left="420" w:firstLine="420" w:firstLineChars="200"/>
        <w:textAlignment w:val="auto"/>
        <w:rPr>
          <w:rFonts w:hint="eastAsia"/>
          <w:b/>
          <w:bCs/>
          <w:szCs w:val="21"/>
          <w:lang w:val="en-US" w:eastAsia="zh-CN"/>
        </w:rPr>
      </w:pPr>
      <w:r>
        <w:rPr>
          <w:rFonts w:hint="eastAsia"/>
          <w:b/>
          <w:bCs/>
          <w:szCs w:val="21"/>
          <w:lang w:val="en-US" w:eastAsia="zh-CN"/>
        </w:rPr>
        <w:t>1000×1.9×0.9=1710元</w:t>
      </w:r>
    </w:p>
    <w:p>
      <w:pPr>
        <w:keepNext w:val="0"/>
        <w:keepLines w:val="0"/>
        <w:pageBreakBefore w:val="0"/>
        <w:widowControl w:val="0"/>
        <w:kinsoku/>
        <w:wordWrap/>
        <w:overflowPunct/>
        <w:topLinePunct w:val="0"/>
        <w:autoSpaceDE/>
        <w:autoSpaceDN/>
        <w:bidi w:val="0"/>
        <w:adjustRightInd/>
        <w:snapToGrid/>
        <w:spacing w:line="400" w:lineRule="exact"/>
        <w:ind w:left="420" w:firstLine="420" w:firstLineChars="200"/>
        <w:textAlignment w:val="auto"/>
        <w:rPr>
          <w:rFonts w:hint="eastAsia"/>
          <w:b/>
          <w:bCs/>
          <w:szCs w:val="21"/>
          <w:lang w:val="en-US" w:eastAsia="zh-CN"/>
        </w:rPr>
      </w:pPr>
      <w:r>
        <w:rPr>
          <w:rFonts w:hint="eastAsia"/>
          <w:b/>
          <w:bCs/>
          <w:szCs w:val="21"/>
          <w:lang w:val="en-US" w:eastAsia="zh-CN"/>
        </w:rPr>
        <w:t>供应商所报折扣不得超过100%。</w:t>
      </w:r>
    </w:p>
    <w:p>
      <w:pPr>
        <w:keepNext w:val="0"/>
        <w:keepLines w:val="0"/>
        <w:pageBreakBefore w:val="0"/>
        <w:widowControl w:val="0"/>
        <w:kinsoku/>
        <w:wordWrap/>
        <w:overflowPunct/>
        <w:topLinePunct w:val="0"/>
        <w:autoSpaceDE/>
        <w:autoSpaceDN/>
        <w:bidi w:val="0"/>
        <w:adjustRightInd/>
        <w:snapToGrid/>
        <w:spacing w:line="400" w:lineRule="exact"/>
        <w:ind w:left="420" w:firstLine="420" w:firstLineChars="200"/>
        <w:textAlignment w:val="auto"/>
        <w:rPr>
          <w:rFonts w:hint="eastAsia"/>
          <w:b/>
          <w:bCs/>
          <w:szCs w:val="21"/>
        </w:rPr>
      </w:pPr>
      <w:r>
        <w:rPr>
          <w:rFonts w:hint="eastAsia"/>
          <w:b/>
          <w:bCs/>
          <w:szCs w:val="21"/>
          <w:lang w:val="en-US" w:eastAsia="zh-CN"/>
        </w:rPr>
        <w:t>2</w:t>
      </w:r>
      <w:r>
        <w:rPr>
          <w:rFonts w:hint="eastAsia"/>
          <w:b/>
          <w:bCs/>
          <w:szCs w:val="21"/>
        </w:rPr>
        <w:t>.本表不能装在响应文件内，应单独制作并在二次报价时作为附件（PDF格式）上传。磋商小组对已通过资格性、符合性审查的供应商发起二轮（最后报价）邀请后，</w:t>
      </w:r>
      <w:r>
        <w:rPr>
          <w:rFonts w:hint="eastAsia"/>
          <w:b/>
          <w:bCs/>
        </w:rPr>
        <w:t>供应商在规定时间内通过焦作市公共资源交易平台进行二轮报价（最后报价），未在规定时间内提交二轮报价（最后报价）的视为放弃本次磋商</w:t>
      </w:r>
      <w:r>
        <w:rPr>
          <w:rFonts w:hint="eastAsia"/>
          <w:b/>
          <w:bCs/>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420" w:firstLine="420" w:firstLineChars="200"/>
        <w:textAlignment w:val="auto"/>
        <w:rPr>
          <w:rFonts w:ascii="宋体" w:hAnsi="宋体" w:cs="宋体"/>
          <w:b/>
          <w:bCs/>
          <w:szCs w:val="21"/>
        </w:rPr>
      </w:pPr>
      <w:r>
        <w:rPr>
          <w:rFonts w:hint="eastAsia"/>
          <w:b/>
          <w:bCs/>
          <w:szCs w:val="21"/>
          <w:lang w:val="en-US" w:eastAsia="zh-CN"/>
        </w:rPr>
        <w:t>3</w:t>
      </w:r>
      <w:r>
        <w:rPr>
          <w:rFonts w:hint="eastAsia"/>
          <w:b/>
          <w:bCs/>
          <w:szCs w:val="21"/>
        </w:rPr>
        <w:t>.</w:t>
      </w:r>
      <w:r>
        <w:rPr>
          <w:rFonts w:ascii="宋体" w:hAnsi="宋体" w:cs="宋体"/>
          <w:b/>
          <w:bCs/>
          <w:szCs w:val="21"/>
        </w:rPr>
        <w:t>报价出现不一致的，按照下列规定修正：</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
          <w:bCs/>
          <w:szCs w:val="21"/>
        </w:rPr>
      </w:pPr>
      <w:r>
        <w:rPr>
          <w:rFonts w:ascii="宋体" w:hAnsi="宋体" w:cs="宋体"/>
          <w:b/>
          <w:bCs/>
          <w:szCs w:val="21"/>
        </w:rPr>
        <w:t>（</w:t>
      </w:r>
      <w:r>
        <w:rPr>
          <w:rFonts w:hint="eastAsia" w:ascii="宋体" w:hAnsi="宋体" w:cs="宋体"/>
          <w:b/>
          <w:bCs/>
          <w:szCs w:val="21"/>
        </w:rPr>
        <w:t>1</w:t>
      </w:r>
      <w:r>
        <w:rPr>
          <w:rFonts w:ascii="宋体" w:hAnsi="宋体" w:cs="宋体"/>
          <w:b/>
          <w:bCs/>
          <w:szCs w:val="21"/>
        </w:rPr>
        <w:t>）</w:t>
      </w:r>
      <w:r>
        <w:rPr>
          <w:rFonts w:hint="eastAsia" w:ascii="宋体" w:hAnsi="宋体" w:cs="宋体"/>
          <w:b/>
          <w:bCs/>
          <w:szCs w:val="21"/>
        </w:rPr>
        <w:t>本表总报价和电子投标系统表的总报价不一致的，以本表为准；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b/>
          <w:bCs/>
          <w:szCs w:val="21"/>
        </w:rPr>
      </w:pPr>
      <w:r>
        <w:rPr>
          <w:rFonts w:hint="eastAsia" w:ascii="宋体" w:hAnsi="宋体" w:cs="宋体"/>
          <w:b/>
          <w:bCs/>
          <w:szCs w:val="21"/>
        </w:rPr>
        <w:t>（2）</w:t>
      </w:r>
      <w:r>
        <w:rPr>
          <w:rFonts w:ascii="宋体" w:hAnsi="宋体" w:cs="宋体"/>
          <w:b/>
          <w:bCs/>
          <w:szCs w:val="21"/>
        </w:rPr>
        <w:t>大写金额和小写金额不一致的，以大写金额为准；</w:t>
      </w:r>
    </w:p>
    <w:p>
      <w:pPr>
        <w:keepNext w:val="0"/>
        <w:keepLines w:val="0"/>
        <w:pageBreakBefore w:val="0"/>
        <w:widowControl w:val="0"/>
        <w:kinsoku/>
        <w:wordWrap/>
        <w:overflowPunct/>
        <w:topLinePunct w:val="0"/>
        <w:autoSpaceDE/>
        <w:autoSpaceDN/>
        <w:bidi w:val="0"/>
        <w:adjustRightInd/>
        <w:snapToGrid/>
        <w:spacing w:line="400" w:lineRule="exact"/>
        <w:ind w:left="420"/>
        <w:textAlignment w:val="auto"/>
        <w:rPr>
          <w:rFonts w:ascii="宋体" w:hAnsi="宋体" w:cs="宋体"/>
          <w:b/>
          <w:bCs/>
          <w:szCs w:val="21"/>
        </w:rPr>
      </w:pPr>
      <w:r>
        <w:rPr>
          <w:rFonts w:ascii="宋体" w:hAnsi="宋体" w:cs="宋体"/>
          <w:b/>
          <w:bCs/>
          <w:szCs w:val="21"/>
        </w:rPr>
        <w:t>（</w:t>
      </w:r>
      <w:r>
        <w:rPr>
          <w:rFonts w:hint="eastAsia" w:ascii="宋体" w:hAnsi="宋体" w:cs="宋体"/>
          <w:b/>
          <w:bCs/>
          <w:szCs w:val="21"/>
        </w:rPr>
        <w:t>3</w:t>
      </w:r>
      <w:r>
        <w:rPr>
          <w:rFonts w:ascii="宋体" w:hAnsi="宋体" w:cs="宋体"/>
          <w:b/>
          <w:bCs/>
          <w:szCs w:val="21"/>
        </w:rPr>
        <w:t>）单价金额小数点或者百分比有明显错位的，以总价为准；</w:t>
      </w:r>
    </w:p>
    <w:p>
      <w:pPr>
        <w:keepNext w:val="0"/>
        <w:keepLines w:val="0"/>
        <w:pageBreakBefore w:val="0"/>
        <w:widowControl w:val="0"/>
        <w:kinsoku/>
        <w:wordWrap/>
        <w:overflowPunct/>
        <w:topLinePunct w:val="0"/>
        <w:autoSpaceDE/>
        <w:autoSpaceDN/>
        <w:bidi w:val="0"/>
        <w:adjustRightInd/>
        <w:snapToGrid/>
        <w:spacing w:line="400" w:lineRule="exact"/>
        <w:ind w:left="420"/>
        <w:textAlignment w:val="auto"/>
        <w:rPr>
          <w:rFonts w:ascii="宋体" w:hAnsi="宋体" w:cs="宋体"/>
          <w:b/>
          <w:bCs/>
          <w:szCs w:val="21"/>
        </w:rPr>
      </w:pPr>
      <w:r>
        <w:rPr>
          <w:rFonts w:ascii="宋体" w:hAnsi="宋体" w:cs="宋体"/>
          <w:b/>
          <w:bCs/>
          <w:szCs w:val="21"/>
        </w:rPr>
        <w:t>（</w:t>
      </w:r>
      <w:r>
        <w:rPr>
          <w:rFonts w:hint="eastAsia" w:ascii="宋体" w:hAnsi="宋体" w:cs="宋体"/>
          <w:b/>
          <w:bCs/>
          <w:szCs w:val="21"/>
        </w:rPr>
        <w:t>4</w:t>
      </w:r>
      <w:r>
        <w:rPr>
          <w:rFonts w:ascii="宋体" w:hAnsi="宋体" w:cs="宋体"/>
          <w:b/>
          <w:bCs/>
          <w:szCs w:val="21"/>
        </w:rPr>
        <w:t>）总价金额与按单价汇总金额不一致的，以单价金额计算结果为准。</w:t>
      </w:r>
    </w:p>
    <w:p>
      <w:pPr>
        <w:keepNext w:val="0"/>
        <w:keepLines w:val="0"/>
        <w:pageBreakBefore w:val="0"/>
        <w:widowControl w:val="0"/>
        <w:kinsoku/>
        <w:wordWrap/>
        <w:overflowPunct/>
        <w:topLinePunct w:val="0"/>
        <w:autoSpaceDE/>
        <w:autoSpaceDN/>
        <w:bidi w:val="0"/>
        <w:adjustRightInd/>
        <w:snapToGrid/>
        <w:spacing w:line="400" w:lineRule="exact"/>
        <w:ind w:firstLine="424" w:firstLineChars="202"/>
        <w:textAlignment w:val="auto"/>
        <w:rPr>
          <w:rFonts w:hint="eastAsia" w:ascii="宋体" w:hAnsi="宋体" w:cs="宋体"/>
          <w:b/>
          <w:bCs/>
          <w:szCs w:val="21"/>
        </w:rPr>
      </w:pPr>
      <w:r>
        <w:rPr>
          <w:rFonts w:ascii="宋体" w:hAnsi="宋体" w:cs="宋体"/>
          <w:b/>
          <w:bCs/>
          <w:szCs w:val="21"/>
        </w:rPr>
        <w:t>同时出现两种以上不一致的，按照前款规定的顺序修正。</w:t>
      </w:r>
    </w:p>
    <w:p>
      <w:pPr>
        <w:adjustRightInd w:val="0"/>
        <w:spacing w:line="400" w:lineRule="exact"/>
        <w:jc w:val="left"/>
        <w:textAlignment w:val="baseline"/>
        <w:rPr>
          <w:rFonts w:hint="eastAsia" w:ascii="宋体" w:hAnsi="宋体" w:cs="宋体"/>
          <w:b/>
          <w:bCs/>
          <w:sz w:val="32"/>
          <w:szCs w:val="32"/>
        </w:rPr>
      </w:pPr>
      <w:r>
        <w:rPr>
          <w:rFonts w:hint="eastAsia" w:ascii="宋体" w:hAnsi="宋体" w:cs="宋体"/>
          <w:sz w:val="24"/>
        </w:rPr>
        <w:t xml:space="preserve">               </w:t>
      </w:r>
    </w:p>
    <w:sectPr>
      <w:headerReference r:id="rId18" w:type="first"/>
      <w:footerReference r:id="rId20" w:type="first"/>
      <w:headerReference r:id="rId17" w:type="default"/>
      <w:footerReference r:id="rId19"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ex5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A1469"/>
    <w:multiLevelType w:val="singleLevel"/>
    <w:tmpl w:val="938A1469"/>
    <w:lvl w:ilvl="0" w:tentative="0">
      <w:start w:val="1"/>
      <w:numFmt w:val="decimal"/>
      <w:lvlText w:val="%1."/>
      <w:lvlJc w:val="left"/>
      <w:pPr>
        <w:tabs>
          <w:tab w:val="left" w:pos="312"/>
        </w:tabs>
      </w:pPr>
    </w:lvl>
  </w:abstractNum>
  <w:abstractNum w:abstractNumId="1">
    <w:nsid w:val="9EDF6615"/>
    <w:multiLevelType w:val="singleLevel"/>
    <w:tmpl w:val="9EDF6615"/>
    <w:lvl w:ilvl="0" w:tentative="0">
      <w:start w:val="3"/>
      <w:numFmt w:val="chineseCounting"/>
      <w:suff w:val="nothing"/>
      <w:lvlText w:val="%1、"/>
      <w:lvlJc w:val="left"/>
      <w:rPr>
        <w:rFonts w:hint="eastAsia"/>
      </w:rPr>
    </w:lvl>
  </w:abstractNum>
  <w:abstractNum w:abstractNumId="2">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3">
    <w:nsid w:val="00000002"/>
    <w:multiLevelType w:val="multilevel"/>
    <w:tmpl w:val="00000002"/>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5">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6">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1B"/>
    <w:multiLevelType w:val="singleLevel"/>
    <w:tmpl w:val="0000001B"/>
    <w:lvl w:ilvl="0" w:tentative="0">
      <w:start w:val="1"/>
      <w:numFmt w:val="decimal"/>
      <w:suff w:val="nothing"/>
      <w:lvlText w:val="%1."/>
      <w:lvlJc w:val="left"/>
    </w:lvl>
  </w:abstractNum>
  <w:abstractNum w:abstractNumId="9">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4"/>
    <w:multiLevelType w:val="multilevel"/>
    <w:tmpl w:val="00000024"/>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default" w:ascii="宋体" w:hAnsi="宋体" w:eastAsia="宋体" w:cs="宋体"/>
        <w:color w:val="auto"/>
        <w:sz w:val="21"/>
        <w:szCs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511B12F6"/>
    <w:multiLevelType w:val="singleLevel"/>
    <w:tmpl w:val="511B12F6"/>
    <w:lvl w:ilvl="0" w:tentative="0">
      <w:start w:val="7"/>
      <w:numFmt w:val="chineseCounting"/>
      <w:suff w:val="nothing"/>
      <w:lvlText w:val="%1、"/>
      <w:lvlJc w:val="left"/>
      <w:rPr>
        <w:rFonts w:hint="eastAsia"/>
      </w:rPr>
    </w:lvl>
  </w:abstractNum>
  <w:num w:numId="1">
    <w:abstractNumId w:val="5"/>
  </w:num>
  <w:num w:numId="2">
    <w:abstractNumId w:val="13"/>
  </w:num>
  <w:num w:numId="3">
    <w:abstractNumId w:val="14"/>
  </w:num>
  <w:num w:numId="4">
    <w:abstractNumId w:val="10"/>
  </w:num>
  <w:num w:numId="5">
    <w:abstractNumId w:val="2"/>
  </w:num>
  <w:num w:numId="6">
    <w:abstractNumId w:val="3"/>
  </w:num>
  <w:num w:numId="7">
    <w:abstractNumId w:val="6"/>
  </w:num>
  <w:num w:numId="8">
    <w:abstractNumId w:val="9"/>
  </w:num>
  <w:num w:numId="9">
    <w:abstractNumId w:val="1"/>
  </w:num>
  <w:num w:numId="10">
    <w:abstractNumId w:val="7"/>
  </w:num>
  <w:num w:numId="11">
    <w:abstractNumId w:val="4"/>
  </w:num>
  <w:num w:numId="12">
    <w:abstractNumId w:val="12"/>
  </w:num>
  <w:num w:numId="13">
    <w:abstractNumId w:val="11"/>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iNTZlYmY3MGI2MDhjZDMwOTlkMzUxZTIxNTFlYjY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67F18"/>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924DCF"/>
    <w:rsid w:val="01BD7A4F"/>
    <w:rsid w:val="01F62F61"/>
    <w:rsid w:val="0200793B"/>
    <w:rsid w:val="022D22A4"/>
    <w:rsid w:val="025B327C"/>
    <w:rsid w:val="02B250DA"/>
    <w:rsid w:val="02B32C00"/>
    <w:rsid w:val="02EB23E7"/>
    <w:rsid w:val="030F6088"/>
    <w:rsid w:val="03555A65"/>
    <w:rsid w:val="036566EB"/>
    <w:rsid w:val="03830824"/>
    <w:rsid w:val="03EF1DEA"/>
    <w:rsid w:val="04323463"/>
    <w:rsid w:val="04562E58"/>
    <w:rsid w:val="04644C52"/>
    <w:rsid w:val="046E2D62"/>
    <w:rsid w:val="04E57AC0"/>
    <w:rsid w:val="04EC22B8"/>
    <w:rsid w:val="051017B6"/>
    <w:rsid w:val="05130FB5"/>
    <w:rsid w:val="0536281A"/>
    <w:rsid w:val="053C0C8A"/>
    <w:rsid w:val="05465E75"/>
    <w:rsid w:val="05932DEC"/>
    <w:rsid w:val="05B93485"/>
    <w:rsid w:val="05C71142"/>
    <w:rsid w:val="05D821BC"/>
    <w:rsid w:val="064365F2"/>
    <w:rsid w:val="064E27D6"/>
    <w:rsid w:val="066514D0"/>
    <w:rsid w:val="067726AC"/>
    <w:rsid w:val="06C8536A"/>
    <w:rsid w:val="07414C7E"/>
    <w:rsid w:val="074D3623"/>
    <w:rsid w:val="07AF7E3A"/>
    <w:rsid w:val="07E560A1"/>
    <w:rsid w:val="07EB6D02"/>
    <w:rsid w:val="07FC3AF7"/>
    <w:rsid w:val="08420CAE"/>
    <w:rsid w:val="086C7AD9"/>
    <w:rsid w:val="087E3197"/>
    <w:rsid w:val="08B0406E"/>
    <w:rsid w:val="08C94A81"/>
    <w:rsid w:val="08E753B1"/>
    <w:rsid w:val="09032B5D"/>
    <w:rsid w:val="091B1C08"/>
    <w:rsid w:val="091C32AD"/>
    <w:rsid w:val="095876F5"/>
    <w:rsid w:val="097B48D7"/>
    <w:rsid w:val="097F55EA"/>
    <w:rsid w:val="09831C8A"/>
    <w:rsid w:val="099C7A81"/>
    <w:rsid w:val="09B3321A"/>
    <w:rsid w:val="09B94F9F"/>
    <w:rsid w:val="09BB7A3D"/>
    <w:rsid w:val="09D41DD9"/>
    <w:rsid w:val="09EB0ED1"/>
    <w:rsid w:val="0A0013DF"/>
    <w:rsid w:val="0A0E27AD"/>
    <w:rsid w:val="0A23066B"/>
    <w:rsid w:val="0A455AAA"/>
    <w:rsid w:val="0A496AA6"/>
    <w:rsid w:val="0A7D7D7B"/>
    <w:rsid w:val="0AB55D93"/>
    <w:rsid w:val="0ABA2D7D"/>
    <w:rsid w:val="0AF52007"/>
    <w:rsid w:val="0AFD0EBC"/>
    <w:rsid w:val="0B0C55A3"/>
    <w:rsid w:val="0B4A5E65"/>
    <w:rsid w:val="0B6A792F"/>
    <w:rsid w:val="0BB26A70"/>
    <w:rsid w:val="0BB27EF8"/>
    <w:rsid w:val="0BC67500"/>
    <w:rsid w:val="0C195E4B"/>
    <w:rsid w:val="0C2506CA"/>
    <w:rsid w:val="0C6A432F"/>
    <w:rsid w:val="0CA24D95"/>
    <w:rsid w:val="0CBF4CBC"/>
    <w:rsid w:val="0CE55CFE"/>
    <w:rsid w:val="0D32353D"/>
    <w:rsid w:val="0D7D4536"/>
    <w:rsid w:val="0DAF0B93"/>
    <w:rsid w:val="0DF612D3"/>
    <w:rsid w:val="0E031C4F"/>
    <w:rsid w:val="0E0620AA"/>
    <w:rsid w:val="0E552513"/>
    <w:rsid w:val="0E5C239D"/>
    <w:rsid w:val="0E63197E"/>
    <w:rsid w:val="0EE301FA"/>
    <w:rsid w:val="0F044A03"/>
    <w:rsid w:val="0F1B6A2C"/>
    <w:rsid w:val="0F223D21"/>
    <w:rsid w:val="0F2F360E"/>
    <w:rsid w:val="0F3A297B"/>
    <w:rsid w:val="0F5372FC"/>
    <w:rsid w:val="0F6C35CE"/>
    <w:rsid w:val="0FBD0C1A"/>
    <w:rsid w:val="0FC30926"/>
    <w:rsid w:val="0FF07241"/>
    <w:rsid w:val="1022110A"/>
    <w:rsid w:val="103939A5"/>
    <w:rsid w:val="104135F9"/>
    <w:rsid w:val="10437371"/>
    <w:rsid w:val="10F845FF"/>
    <w:rsid w:val="112706F4"/>
    <w:rsid w:val="113263C3"/>
    <w:rsid w:val="115D4462"/>
    <w:rsid w:val="115F08E1"/>
    <w:rsid w:val="117417AC"/>
    <w:rsid w:val="117B4B6D"/>
    <w:rsid w:val="118F65E6"/>
    <w:rsid w:val="11F3777D"/>
    <w:rsid w:val="128D141F"/>
    <w:rsid w:val="12920EF5"/>
    <w:rsid w:val="12A871D7"/>
    <w:rsid w:val="135B70C7"/>
    <w:rsid w:val="13710699"/>
    <w:rsid w:val="13D44784"/>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F2599B"/>
    <w:rsid w:val="15F80BFE"/>
    <w:rsid w:val="161F0EEC"/>
    <w:rsid w:val="16420C4F"/>
    <w:rsid w:val="16486627"/>
    <w:rsid w:val="16502CDA"/>
    <w:rsid w:val="16557669"/>
    <w:rsid w:val="16BA216A"/>
    <w:rsid w:val="16C72E02"/>
    <w:rsid w:val="16E66CA8"/>
    <w:rsid w:val="17033CFE"/>
    <w:rsid w:val="170B4961"/>
    <w:rsid w:val="17714319"/>
    <w:rsid w:val="17827928"/>
    <w:rsid w:val="179901BE"/>
    <w:rsid w:val="17A96653"/>
    <w:rsid w:val="17B46264"/>
    <w:rsid w:val="17F51340"/>
    <w:rsid w:val="18177ED1"/>
    <w:rsid w:val="18673E19"/>
    <w:rsid w:val="18837C5C"/>
    <w:rsid w:val="18C354F3"/>
    <w:rsid w:val="18E02723"/>
    <w:rsid w:val="190B3991"/>
    <w:rsid w:val="19267830"/>
    <w:rsid w:val="19355CC5"/>
    <w:rsid w:val="19362169"/>
    <w:rsid w:val="19397563"/>
    <w:rsid w:val="193D01D8"/>
    <w:rsid w:val="19587403"/>
    <w:rsid w:val="199B0BC1"/>
    <w:rsid w:val="19C93D85"/>
    <w:rsid w:val="1A0A0E60"/>
    <w:rsid w:val="1A0B7134"/>
    <w:rsid w:val="1A2279A0"/>
    <w:rsid w:val="1A241393"/>
    <w:rsid w:val="1A393BF0"/>
    <w:rsid w:val="1A66082C"/>
    <w:rsid w:val="1AA67A69"/>
    <w:rsid w:val="1AE3508A"/>
    <w:rsid w:val="1AE55376"/>
    <w:rsid w:val="1B0C692E"/>
    <w:rsid w:val="1B9067BE"/>
    <w:rsid w:val="1BBE6686"/>
    <w:rsid w:val="1BC33A5C"/>
    <w:rsid w:val="1C24274C"/>
    <w:rsid w:val="1C395ACC"/>
    <w:rsid w:val="1C5260F7"/>
    <w:rsid w:val="1C626DD1"/>
    <w:rsid w:val="1C654B13"/>
    <w:rsid w:val="1D210BFD"/>
    <w:rsid w:val="1D2B3667"/>
    <w:rsid w:val="1D4B5AB7"/>
    <w:rsid w:val="1D540C49"/>
    <w:rsid w:val="1D617689"/>
    <w:rsid w:val="1D8D377B"/>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D75D28"/>
    <w:rsid w:val="1FEA5EA1"/>
    <w:rsid w:val="20076707"/>
    <w:rsid w:val="203C7A5B"/>
    <w:rsid w:val="20602C7A"/>
    <w:rsid w:val="20C148C6"/>
    <w:rsid w:val="20E26732"/>
    <w:rsid w:val="215C2350"/>
    <w:rsid w:val="21C34257"/>
    <w:rsid w:val="21CB5418"/>
    <w:rsid w:val="21F4496F"/>
    <w:rsid w:val="221950B9"/>
    <w:rsid w:val="222D7E81"/>
    <w:rsid w:val="22433DD5"/>
    <w:rsid w:val="22821F7B"/>
    <w:rsid w:val="22A40E2A"/>
    <w:rsid w:val="22CB4C39"/>
    <w:rsid w:val="22DA1DB7"/>
    <w:rsid w:val="22E47692"/>
    <w:rsid w:val="22E55B06"/>
    <w:rsid w:val="22F52960"/>
    <w:rsid w:val="22FA2B18"/>
    <w:rsid w:val="23211167"/>
    <w:rsid w:val="23250B58"/>
    <w:rsid w:val="23616034"/>
    <w:rsid w:val="23647A1C"/>
    <w:rsid w:val="23706277"/>
    <w:rsid w:val="2382348F"/>
    <w:rsid w:val="23B73C18"/>
    <w:rsid w:val="23FC3DAF"/>
    <w:rsid w:val="247B58A0"/>
    <w:rsid w:val="24855D52"/>
    <w:rsid w:val="24897A59"/>
    <w:rsid w:val="248F6BD1"/>
    <w:rsid w:val="24B108F5"/>
    <w:rsid w:val="24D81875"/>
    <w:rsid w:val="24E24F53"/>
    <w:rsid w:val="24E94533"/>
    <w:rsid w:val="250F386E"/>
    <w:rsid w:val="25356324"/>
    <w:rsid w:val="253B22C4"/>
    <w:rsid w:val="25706CBA"/>
    <w:rsid w:val="25AE3087"/>
    <w:rsid w:val="25B85CB3"/>
    <w:rsid w:val="26011794"/>
    <w:rsid w:val="26094761"/>
    <w:rsid w:val="26751DF6"/>
    <w:rsid w:val="26A92FFB"/>
    <w:rsid w:val="26C02369"/>
    <w:rsid w:val="26CB02AF"/>
    <w:rsid w:val="26DD1E76"/>
    <w:rsid w:val="27145658"/>
    <w:rsid w:val="27283ECE"/>
    <w:rsid w:val="27286E69"/>
    <w:rsid w:val="2733425E"/>
    <w:rsid w:val="27441EF5"/>
    <w:rsid w:val="27E6053F"/>
    <w:rsid w:val="28016BEB"/>
    <w:rsid w:val="280264C3"/>
    <w:rsid w:val="280726C2"/>
    <w:rsid w:val="280E153D"/>
    <w:rsid w:val="285F68BA"/>
    <w:rsid w:val="2863671A"/>
    <w:rsid w:val="288B136F"/>
    <w:rsid w:val="28AB7D51"/>
    <w:rsid w:val="28B01ACD"/>
    <w:rsid w:val="28DE4AA3"/>
    <w:rsid w:val="28E15521"/>
    <w:rsid w:val="28FE4325"/>
    <w:rsid w:val="29026462"/>
    <w:rsid w:val="291E02EB"/>
    <w:rsid w:val="29731ED1"/>
    <w:rsid w:val="29C56BF1"/>
    <w:rsid w:val="29DC499B"/>
    <w:rsid w:val="29DD4F4B"/>
    <w:rsid w:val="2A2D4EC2"/>
    <w:rsid w:val="2A3A138D"/>
    <w:rsid w:val="2A573CED"/>
    <w:rsid w:val="2A7523C5"/>
    <w:rsid w:val="2A8D770F"/>
    <w:rsid w:val="2A9E7B6E"/>
    <w:rsid w:val="2AC84BEB"/>
    <w:rsid w:val="2ADF3CE2"/>
    <w:rsid w:val="2AF2558A"/>
    <w:rsid w:val="2B193346"/>
    <w:rsid w:val="2B260516"/>
    <w:rsid w:val="2B2B560D"/>
    <w:rsid w:val="2B6B095B"/>
    <w:rsid w:val="2B8679A9"/>
    <w:rsid w:val="2BC57C52"/>
    <w:rsid w:val="2BF11F1F"/>
    <w:rsid w:val="2C003885"/>
    <w:rsid w:val="2C2E3173"/>
    <w:rsid w:val="2C526E91"/>
    <w:rsid w:val="2C867239"/>
    <w:rsid w:val="2CD930DF"/>
    <w:rsid w:val="2D524754"/>
    <w:rsid w:val="2D573CA4"/>
    <w:rsid w:val="2D9E61E0"/>
    <w:rsid w:val="2DE53D06"/>
    <w:rsid w:val="2E0C4DEE"/>
    <w:rsid w:val="2E291D46"/>
    <w:rsid w:val="2EF35FAE"/>
    <w:rsid w:val="2EF7784D"/>
    <w:rsid w:val="2F227824"/>
    <w:rsid w:val="2F4440CA"/>
    <w:rsid w:val="2F49150D"/>
    <w:rsid w:val="2F542EF1"/>
    <w:rsid w:val="2F5C1DA5"/>
    <w:rsid w:val="2F653786"/>
    <w:rsid w:val="302B7E84"/>
    <w:rsid w:val="3043740F"/>
    <w:rsid w:val="304C5976"/>
    <w:rsid w:val="30660E93"/>
    <w:rsid w:val="308A41EA"/>
    <w:rsid w:val="30C73495"/>
    <w:rsid w:val="30DF11B1"/>
    <w:rsid w:val="30EB38AE"/>
    <w:rsid w:val="31485941"/>
    <w:rsid w:val="319F3B14"/>
    <w:rsid w:val="3200110E"/>
    <w:rsid w:val="32450C5C"/>
    <w:rsid w:val="328518BA"/>
    <w:rsid w:val="32B855C8"/>
    <w:rsid w:val="32D700C1"/>
    <w:rsid w:val="331570B9"/>
    <w:rsid w:val="332B6F4B"/>
    <w:rsid w:val="33A36954"/>
    <w:rsid w:val="33B71CA0"/>
    <w:rsid w:val="33C148CD"/>
    <w:rsid w:val="33E84297"/>
    <w:rsid w:val="33F85841"/>
    <w:rsid w:val="3402116D"/>
    <w:rsid w:val="340257AD"/>
    <w:rsid w:val="34034EE6"/>
    <w:rsid w:val="3417273F"/>
    <w:rsid w:val="342033A2"/>
    <w:rsid w:val="343B467F"/>
    <w:rsid w:val="347600C7"/>
    <w:rsid w:val="34FF3EF1"/>
    <w:rsid w:val="35216B3A"/>
    <w:rsid w:val="3542559A"/>
    <w:rsid w:val="357240D1"/>
    <w:rsid w:val="35E46F67"/>
    <w:rsid w:val="36172D69"/>
    <w:rsid w:val="36252EF1"/>
    <w:rsid w:val="36392432"/>
    <w:rsid w:val="365A2ACD"/>
    <w:rsid w:val="36CA1CEB"/>
    <w:rsid w:val="36F34D9D"/>
    <w:rsid w:val="37215DAE"/>
    <w:rsid w:val="37385662"/>
    <w:rsid w:val="37621F23"/>
    <w:rsid w:val="3768578B"/>
    <w:rsid w:val="376F6900"/>
    <w:rsid w:val="377834F5"/>
    <w:rsid w:val="379B4086"/>
    <w:rsid w:val="37AA6032"/>
    <w:rsid w:val="384E0062"/>
    <w:rsid w:val="386677F1"/>
    <w:rsid w:val="38706B58"/>
    <w:rsid w:val="387A22ED"/>
    <w:rsid w:val="390E705C"/>
    <w:rsid w:val="39404C40"/>
    <w:rsid w:val="395922F3"/>
    <w:rsid w:val="395A7356"/>
    <w:rsid w:val="3962445C"/>
    <w:rsid w:val="39893797"/>
    <w:rsid w:val="39A1607B"/>
    <w:rsid w:val="3A6B4003"/>
    <w:rsid w:val="3A924EA9"/>
    <w:rsid w:val="3AB331C1"/>
    <w:rsid w:val="3AD06540"/>
    <w:rsid w:val="3ADF038D"/>
    <w:rsid w:val="3AE37655"/>
    <w:rsid w:val="3B223EA3"/>
    <w:rsid w:val="3B68689B"/>
    <w:rsid w:val="3B845814"/>
    <w:rsid w:val="3B9D79CE"/>
    <w:rsid w:val="3BCC3E0F"/>
    <w:rsid w:val="3C2A559E"/>
    <w:rsid w:val="3C4B567C"/>
    <w:rsid w:val="3C545E01"/>
    <w:rsid w:val="3C7626F9"/>
    <w:rsid w:val="3C7D2064"/>
    <w:rsid w:val="3C8666B4"/>
    <w:rsid w:val="3CAF5C0A"/>
    <w:rsid w:val="3D51730D"/>
    <w:rsid w:val="3D8250CD"/>
    <w:rsid w:val="3D83546E"/>
    <w:rsid w:val="3DAF1D09"/>
    <w:rsid w:val="3E114C4C"/>
    <w:rsid w:val="3E2D328B"/>
    <w:rsid w:val="3E655A64"/>
    <w:rsid w:val="3E895FE7"/>
    <w:rsid w:val="3E8A4C21"/>
    <w:rsid w:val="3E9958B1"/>
    <w:rsid w:val="3EC82FB3"/>
    <w:rsid w:val="3EE045C9"/>
    <w:rsid w:val="3EE719AC"/>
    <w:rsid w:val="3EEA2F2A"/>
    <w:rsid w:val="3F406FEE"/>
    <w:rsid w:val="3F6833D1"/>
    <w:rsid w:val="3F844C0A"/>
    <w:rsid w:val="3F941354"/>
    <w:rsid w:val="3FAE708C"/>
    <w:rsid w:val="3FDA1030"/>
    <w:rsid w:val="3FF12C3A"/>
    <w:rsid w:val="400A54C8"/>
    <w:rsid w:val="40386761"/>
    <w:rsid w:val="409725E8"/>
    <w:rsid w:val="40A215BE"/>
    <w:rsid w:val="40FA4E7B"/>
    <w:rsid w:val="411424C6"/>
    <w:rsid w:val="41201CCA"/>
    <w:rsid w:val="41271358"/>
    <w:rsid w:val="415D3E87"/>
    <w:rsid w:val="417B430D"/>
    <w:rsid w:val="41D028AB"/>
    <w:rsid w:val="41DF489C"/>
    <w:rsid w:val="41E41EB2"/>
    <w:rsid w:val="42106AA5"/>
    <w:rsid w:val="42442C17"/>
    <w:rsid w:val="425816DC"/>
    <w:rsid w:val="426E40F0"/>
    <w:rsid w:val="42762427"/>
    <w:rsid w:val="42C85C37"/>
    <w:rsid w:val="43152717"/>
    <w:rsid w:val="43184112"/>
    <w:rsid w:val="433E1A96"/>
    <w:rsid w:val="43664B49"/>
    <w:rsid w:val="43D917BF"/>
    <w:rsid w:val="4412230A"/>
    <w:rsid w:val="44390EDF"/>
    <w:rsid w:val="44623562"/>
    <w:rsid w:val="447514E8"/>
    <w:rsid w:val="447F1515"/>
    <w:rsid w:val="44971580"/>
    <w:rsid w:val="449D27EC"/>
    <w:rsid w:val="44A07CD1"/>
    <w:rsid w:val="44B759DC"/>
    <w:rsid w:val="4511787E"/>
    <w:rsid w:val="4519546F"/>
    <w:rsid w:val="45291D8C"/>
    <w:rsid w:val="4589726A"/>
    <w:rsid w:val="45A8769B"/>
    <w:rsid w:val="45CD5A14"/>
    <w:rsid w:val="45CF2E79"/>
    <w:rsid w:val="45DB1070"/>
    <w:rsid w:val="46113492"/>
    <w:rsid w:val="4622484A"/>
    <w:rsid w:val="46265A4F"/>
    <w:rsid w:val="463C0496"/>
    <w:rsid w:val="464C3F11"/>
    <w:rsid w:val="46BA3E8B"/>
    <w:rsid w:val="46E14349"/>
    <w:rsid w:val="47525B10"/>
    <w:rsid w:val="478F0B12"/>
    <w:rsid w:val="47A520E4"/>
    <w:rsid w:val="47BC567F"/>
    <w:rsid w:val="47E46F5C"/>
    <w:rsid w:val="47FB61A8"/>
    <w:rsid w:val="480056D8"/>
    <w:rsid w:val="48374480"/>
    <w:rsid w:val="483F277D"/>
    <w:rsid w:val="488E2B78"/>
    <w:rsid w:val="48B40105"/>
    <w:rsid w:val="48BD345D"/>
    <w:rsid w:val="48DF1625"/>
    <w:rsid w:val="48FB2CF7"/>
    <w:rsid w:val="49107A31"/>
    <w:rsid w:val="49372EB2"/>
    <w:rsid w:val="493C25D4"/>
    <w:rsid w:val="494D658F"/>
    <w:rsid w:val="494E5146"/>
    <w:rsid w:val="49BE748D"/>
    <w:rsid w:val="49FB621D"/>
    <w:rsid w:val="4A011398"/>
    <w:rsid w:val="4A05080D"/>
    <w:rsid w:val="4A091ED0"/>
    <w:rsid w:val="4A7D10F6"/>
    <w:rsid w:val="4ABF170F"/>
    <w:rsid w:val="4B52754A"/>
    <w:rsid w:val="4B576270"/>
    <w:rsid w:val="4B6F5345"/>
    <w:rsid w:val="4B8F7BC6"/>
    <w:rsid w:val="4BBA394F"/>
    <w:rsid w:val="4BFD6A13"/>
    <w:rsid w:val="4C2757BD"/>
    <w:rsid w:val="4C3C07ED"/>
    <w:rsid w:val="4C7B4A9E"/>
    <w:rsid w:val="4CC7434F"/>
    <w:rsid w:val="4CD945DE"/>
    <w:rsid w:val="4D03307E"/>
    <w:rsid w:val="4D91713A"/>
    <w:rsid w:val="4DD21759"/>
    <w:rsid w:val="4DF72F6D"/>
    <w:rsid w:val="4E0A47AA"/>
    <w:rsid w:val="4E2F0959"/>
    <w:rsid w:val="4E847CBD"/>
    <w:rsid w:val="4E8E2ED5"/>
    <w:rsid w:val="4ED70257"/>
    <w:rsid w:val="4EF243B2"/>
    <w:rsid w:val="4EF83441"/>
    <w:rsid w:val="4F873249"/>
    <w:rsid w:val="4FEB08B0"/>
    <w:rsid w:val="500951DA"/>
    <w:rsid w:val="501A1D50"/>
    <w:rsid w:val="502D711A"/>
    <w:rsid w:val="503075AA"/>
    <w:rsid w:val="50410780"/>
    <w:rsid w:val="504D156B"/>
    <w:rsid w:val="50524154"/>
    <w:rsid w:val="50BE7306"/>
    <w:rsid w:val="5112712D"/>
    <w:rsid w:val="5119144D"/>
    <w:rsid w:val="513A1AEF"/>
    <w:rsid w:val="51B750E9"/>
    <w:rsid w:val="51BB2E7F"/>
    <w:rsid w:val="5217598C"/>
    <w:rsid w:val="521D69F0"/>
    <w:rsid w:val="522C218B"/>
    <w:rsid w:val="523429E2"/>
    <w:rsid w:val="524C5D58"/>
    <w:rsid w:val="529E11CC"/>
    <w:rsid w:val="530C3041"/>
    <w:rsid w:val="53167552"/>
    <w:rsid w:val="531E71EE"/>
    <w:rsid w:val="5360493A"/>
    <w:rsid w:val="53652785"/>
    <w:rsid w:val="538F24EB"/>
    <w:rsid w:val="5394300C"/>
    <w:rsid w:val="53981F52"/>
    <w:rsid w:val="53A24582"/>
    <w:rsid w:val="53A5521A"/>
    <w:rsid w:val="53BA6155"/>
    <w:rsid w:val="541D3002"/>
    <w:rsid w:val="5454544A"/>
    <w:rsid w:val="54974F18"/>
    <w:rsid w:val="55055AD7"/>
    <w:rsid w:val="55180399"/>
    <w:rsid w:val="55805F3E"/>
    <w:rsid w:val="559A2BCB"/>
    <w:rsid w:val="55A97243"/>
    <w:rsid w:val="55AB30F3"/>
    <w:rsid w:val="55DA73FC"/>
    <w:rsid w:val="55DD516C"/>
    <w:rsid w:val="562A20EE"/>
    <w:rsid w:val="5685572F"/>
    <w:rsid w:val="568764C8"/>
    <w:rsid w:val="568B6949"/>
    <w:rsid w:val="56EF512A"/>
    <w:rsid w:val="56F633DE"/>
    <w:rsid w:val="570010E5"/>
    <w:rsid w:val="570109B9"/>
    <w:rsid w:val="57063285"/>
    <w:rsid w:val="5726041F"/>
    <w:rsid w:val="57460AC2"/>
    <w:rsid w:val="579D4B86"/>
    <w:rsid w:val="57ED3822"/>
    <w:rsid w:val="581326DD"/>
    <w:rsid w:val="583E0FCC"/>
    <w:rsid w:val="588071E3"/>
    <w:rsid w:val="58D97369"/>
    <w:rsid w:val="59446509"/>
    <w:rsid w:val="594C53EE"/>
    <w:rsid w:val="59834C5E"/>
    <w:rsid w:val="598F6750"/>
    <w:rsid w:val="59A8341F"/>
    <w:rsid w:val="59B537F0"/>
    <w:rsid w:val="59C503C4"/>
    <w:rsid w:val="5A1F7AD4"/>
    <w:rsid w:val="5A3F7093"/>
    <w:rsid w:val="5AC468CD"/>
    <w:rsid w:val="5AE71154"/>
    <w:rsid w:val="5B0942E0"/>
    <w:rsid w:val="5B1566C6"/>
    <w:rsid w:val="5B157129"/>
    <w:rsid w:val="5B1935A9"/>
    <w:rsid w:val="5B215ACE"/>
    <w:rsid w:val="5B7025B1"/>
    <w:rsid w:val="5B8624B1"/>
    <w:rsid w:val="5B901F53"/>
    <w:rsid w:val="5B9D0EAC"/>
    <w:rsid w:val="5BA30C60"/>
    <w:rsid w:val="5BD26DC8"/>
    <w:rsid w:val="5BE014E5"/>
    <w:rsid w:val="5C2C4F12"/>
    <w:rsid w:val="5C2E04A2"/>
    <w:rsid w:val="5C6A5252"/>
    <w:rsid w:val="5C806824"/>
    <w:rsid w:val="5C9D4F74"/>
    <w:rsid w:val="5CB00EB7"/>
    <w:rsid w:val="5CC34005"/>
    <w:rsid w:val="5CD21182"/>
    <w:rsid w:val="5CFB2799"/>
    <w:rsid w:val="5CFC10D2"/>
    <w:rsid w:val="5D156F6C"/>
    <w:rsid w:val="5D384925"/>
    <w:rsid w:val="5D7B1E4D"/>
    <w:rsid w:val="5DB744C7"/>
    <w:rsid w:val="5DD0153B"/>
    <w:rsid w:val="5E0A4982"/>
    <w:rsid w:val="5E3C1BCE"/>
    <w:rsid w:val="5E3F564C"/>
    <w:rsid w:val="5E4E07C9"/>
    <w:rsid w:val="5E682CE6"/>
    <w:rsid w:val="5EE45C2E"/>
    <w:rsid w:val="5FB3249C"/>
    <w:rsid w:val="5FE11ED3"/>
    <w:rsid w:val="602816AC"/>
    <w:rsid w:val="6079112D"/>
    <w:rsid w:val="608E20E7"/>
    <w:rsid w:val="60942A5D"/>
    <w:rsid w:val="609B1E7E"/>
    <w:rsid w:val="60B46A9C"/>
    <w:rsid w:val="60F97617"/>
    <w:rsid w:val="615D7134"/>
    <w:rsid w:val="6189617B"/>
    <w:rsid w:val="619244A7"/>
    <w:rsid w:val="61E0249D"/>
    <w:rsid w:val="61E6537B"/>
    <w:rsid w:val="62632F8F"/>
    <w:rsid w:val="629D6E17"/>
    <w:rsid w:val="62D96C8E"/>
    <w:rsid w:val="634174F0"/>
    <w:rsid w:val="6371143E"/>
    <w:rsid w:val="6396158E"/>
    <w:rsid w:val="6397045F"/>
    <w:rsid w:val="63B76FCF"/>
    <w:rsid w:val="63BF5E84"/>
    <w:rsid w:val="63C870C0"/>
    <w:rsid w:val="63CB2219"/>
    <w:rsid w:val="63F5294F"/>
    <w:rsid w:val="64210636"/>
    <w:rsid w:val="64774C22"/>
    <w:rsid w:val="64E35BA2"/>
    <w:rsid w:val="64E42046"/>
    <w:rsid w:val="64EA1700"/>
    <w:rsid w:val="651D4188"/>
    <w:rsid w:val="652F4185"/>
    <w:rsid w:val="6530119C"/>
    <w:rsid w:val="65353E6F"/>
    <w:rsid w:val="65546448"/>
    <w:rsid w:val="65766A16"/>
    <w:rsid w:val="658729D1"/>
    <w:rsid w:val="65901886"/>
    <w:rsid w:val="65953E0C"/>
    <w:rsid w:val="665C34CD"/>
    <w:rsid w:val="666D296A"/>
    <w:rsid w:val="66A17AC3"/>
    <w:rsid w:val="66B62179"/>
    <w:rsid w:val="66DB3E09"/>
    <w:rsid w:val="670E33AA"/>
    <w:rsid w:val="67584625"/>
    <w:rsid w:val="675B5B1B"/>
    <w:rsid w:val="67884E65"/>
    <w:rsid w:val="6796339F"/>
    <w:rsid w:val="679A5B4D"/>
    <w:rsid w:val="679D472E"/>
    <w:rsid w:val="67A63223"/>
    <w:rsid w:val="67C84888"/>
    <w:rsid w:val="67CD72E8"/>
    <w:rsid w:val="681B5FA2"/>
    <w:rsid w:val="683C3F47"/>
    <w:rsid w:val="685A68BE"/>
    <w:rsid w:val="68727968"/>
    <w:rsid w:val="68A35D74"/>
    <w:rsid w:val="690802CD"/>
    <w:rsid w:val="69605006"/>
    <w:rsid w:val="69796E11"/>
    <w:rsid w:val="69A73B89"/>
    <w:rsid w:val="6A181E8D"/>
    <w:rsid w:val="6A325601"/>
    <w:rsid w:val="6A3B177D"/>
    <w:rsid w:val="6A3B3D8A"/>
    <w:rsid w:val="6A5657ED"/>
    <w:rsid w:val="6A616079"/>
    <w:rsid w:val="6A617C95"/>
    <w:rsid w:val="6A753740"/>
    <w:rsid w:val="6AB37DC4"/>
    <w:rsid w:val="6B116D78"/>
    <w:rsid w:val="6B20545A"/>
    <w:rsid w:val="6B2111D2"/>
    <w:rsid w:val="6B301415"/>
    <w:rsid w:val="6B3428F7"/>
    <w:rsid w:val="6B620166"/>
    <w:rsid w:val="6B65611A"/>
    <w:rsid w:val="6B7415B6"/>
    <w:rsid w:val="6B99375A"/>
    <w:rsid w:val="6BA8544F"/>
    <w:rsid w:val="6BF730D7"/>
    <w:rsid w:val="6C1D07EE"/>
    <w:rsid w:val="6C565104"/>
    <w:rsid w:val="6C602FC1"/>
    <w:rsid w:val="6CD02EB0"/>
    <w:rsid w:val="6CD24E7A"/>
    <w:rsid w:val="6D3C22F3"/>
    <w:rsid w:val="6D8B27CF"/>
    <w:rsid w:val="6E263E89"/>
    <w:rsid w:val="6E47692C"/>
    <w:rsid w:val="6E533FFF"/>
    <w:rsid w:val="6E6164B5"/>
    <w:rsid w:val="6E62222D"/>
    <w:rsid w:val="6E7361E8"/>
    <w:rsid w:val="6E9179BF"/>
    <w:rsid w:val="6EB44070"/>
    <w:rsid w:val="6EE8439B"/>
    <w:rsid w:val="6EEB648C"/>
    <w:rsid w:val="6EF1592B"/>
    <w:rsid w:val="6F3112FC"/>
    <w:rsid w:val="6F394D3C"/>
    <w:rsid w:val="6F3D38C2"/>
    <w:rsid w:val="6F4D6A39"/>
    <w:rsid w:val="6F7E4E45"/>
    <w:rsid w:val="6FB36BC5"/>
    <w:rsid w:val="6FD24C25"/>
    <w:rsid w:val="6FF6546C"/>
    <w:rsid w:val="7000682B"/>
    <w:rsid w:val="70010C88"/>
    <w:rsid w:val="700F0B54"/>
    <w:rsid w:val="70426C52"/>
    <w:rsid w:val="70983CE4"/>
    <w:rsid w:val="70DC62C7"/>
    <w:rsid w:val="712263AB"/>
    <w:rsid w:val="71376F72"/>
    <w:rsid w:val="7145658E"/>
    <w:rsid w:val="715220E5"/>
    <w:rsid w:val="71E04ECC"/>
    <w:rsid w:val="72313A8F"/>
    <w:rsid w:val="726437BB"/>
    <w:rsid w:val="726A127D"/>
    <w:rsid w:val="728E35F1"/>
    <w:rsid w:val="729B7ABC"/>
    <w:rsid w:val="72B8088B"/>
    <w:rsid w:val="734A4D94"/>
    <w:rsid w:val="734B2FC2"/>
    <w:rsid w:val="7354204B"/>
    <w:rsid w:val="7378018E"/>
    <w:rsid w:val="73890E04"/>
    <w:rsid w:val="7395275D"/>
    <w:rsid w:val="73AD6CEC"/>
    <w:rsid w:val="73C03C7E"/>
    <w:rsid w:val="73C91FB4"/>
    <w:rsid w:val="73DE5EB2"/>
    <w:rsid w:val="73ED63CB"/>
    <w:rsid w:val="740F250F"/>
    <w:rsid w:val="74365CEE"/>
    <w:rsid w:val="743E1047"/>
    <w:rsid w:val="744228E5"/>
    <w:rsid w:val="746601C4"/>
    <w:rsid w:val="749F723D"/>
    <w:rsid w:val="74A7099A"/>
    <w:rsid w:val="74D177C5"/>
    <w:rsid w:val="74E9081C"/>
    <w:rsid w:val="751C3136"/>
    <w:rsid w:val="75257396"/>
    <w:rsid w:val="754206C3"/>
    <w:rsid w:val="754B12D3"/>
    <w:rsid w:val="75941572"/>
    <w:rsid w:val="75F220E9"/>
    <w:rsid w:val="76256605"/>
    <w:rsid w:val="76371099"/>
    <w:rsid w:val="765E4228"/>
    <w:rsid w:val="7693567A"/>
    <w:rsid w:val="76EE28B0"/>
    <w:rsid w:val="7718515B"/>
    <w:rsid w:val="775B7B9D"/>
    <w:rsid w:val="776706E5"/>
    <w:rsid w:val="778036C3"/>
    <w:rsid w:val="77A6276C"/>
    <w:rsid w:val="77C83C15"/>
    <w:rsid w:val="77DD178E"/>
    <w:rsid w:val="781E1591"/>
    <w:rsid w:val="784E0C98"/>
    <w:rsid w:val="78647DA9"/>
    <w:rsid w:val="7889049B"/>
    <w:rsid w:val="788A4695"/>
    <w:rsid w:val="78B44DDC"/>
    <w:rsid w:val="78ED57C7"/>
    <w:rsid w:val="790F4D60"/>
    <w:rsid w:val="791800B8"/>
    <w:rsid w:val="7941364C"/>
    <w:rsid w:val="794B2AAD"/>
    <w:rsid w:val="79534C4C"/>
    <w:rsid w:val="7984574E"/>
    <w:rsid w:val="79C8388C"/>
    <w:rsid w:val="79D3028B"/>
    <w:rsid w:val="79E104AA"/>
    <w:rsid w:val="79EC750C"/>
    <w:rsid w:val="7A0A5C53"/>
    <w:rsid w:val="7A0E0CCB"/>
    <w:rsid w:val="7A61783D"/>
    <w:rsid w:val="7A7237F8"/>
    <w:rsid w:val="7A740891"/>
    <w:rsid w:val="7A9609AA"/>
    <w:rsid w:val="7A9F1809"/>
    <w:rsid w:val="7AA80846"/>
    <w:rsid w:val="7AB570B4"/>
    <w:rsid w:val="7AB931D5"/>
    <w:rsid w:val="7AEA15E0"/>
    <w:rsid w:val="7AF17F97"/>
    <w:rsid w:val="7AF55786"/>
    <w:rsid w:val="7B0F1047"/>
    <w:rsid w:val="7B4C6D88"/>
    <w:rsid w:val="7B707D38"/>
    <w:rsid w:val="7BB265A2"/>
    <w:rsid w:val="7BB65001"/>
    <w:rsid w:val="7BDC361F"/>
    <w:rsid w:val="7C083123"/>
    <w:rsid w:val="7C4F5666"/>
    <w:rsid w:val="7C5036C5"/>
    <w:rsid w:val="7C5F74F0"/>
    <w:rsid w:val="7C6F4E89"/>
    <w:rsid w:val="7CAB04C7"/>
    <w:rsid w:val="7CAB71AA"/>
    <w:rsid w:val="7CDE5E54"/>
    <w:rsid w:val="7CDF5EAD"/>
    <w:rsid w:val="7D252DA4"/>
    <w:rsid w:val="7D6041D6"/>
    <w:rsid w:val="7D697134"/>
    <w:rsid w:val="7DCC76C3"/>
    <w:rsid w:val="7DFB04BA"/>
    <w:rsid w:val="7E0E1A8A"/>
    <w:rsid w:val="7E300756"/>
    <w:rsid w:val="7E682F48"/>
    <w:rsid w:val="7E6A6EBA"/>
    <w:rsid w:val="7E7A45CB"/>
    <w:rsid w:val="7E845EE8"/>
    <w:rsid w:val="7F0562FB"/>
    <w:rsid w:val="7F0A03FD"/>
    <w:rsid w:val="7F855D7C"/>
    <w:rsid w:val="7FD67122"/>
    <w:rsid w:val="7FF072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6">
    <w:name w:val="heading 2"/>
    <w:basedOn w:val="1"/>
    <w:next w:val="1"/>
    <w:link w:val="6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7">
    <w:name w:val="heading 3"/>
    <w:basedOn w:val="1"/>
    <w:next w:val="1"/>
    <w:link w:val="62"/>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8">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40">
    <w:name w:val="Default Paragraph Font"/>
    <w:qFormat/>
    <w:uiPriority w:val="0"/>
    <w:rPr>
      <w:rFonts w:ascii="宋体" w:hAnsi="宋体" w:eastAsia="宋体"/>
      <w:kern w:val="2"/>
      <w:sz w:val="28"/>
      <w:szCs w:val="24"/>
      <w:lang w:val="en-US" w:eastAsia="zh-CN" w:bidi="ar-SA"/>
    </w:rPr>
  </w:style>
  <w:style w:type="table" w:default="1" w:styleId="3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numPr>
        <w:ilvl w:val="0"/>
        <w:numId w:val="0"/>
      </w:numPr>
      <w:spacing w:after="120" w:afterLines="0"/>
    </w:pPr>
  </w:style>
  <w:style w:type="paragraph" w:styleId="3">
    <w:name w:val="Body Text Indent"/>
    <w:basedOn w:val="1"/>
    <w:next w:val="4"/>
    <w:link w:val="60"/>
    <w:qFormat/>
    <w:uiPriority w:val="0"/>
    <w:rPr>
      <w:kern w:val="0"/>
    </w:rPr>
  </w:style>
  <w:style w:type="paragraph" w:styleId="4">
    <w:name w:val="envelope return"/>
    <w:basedOn w:val="1"/>
    <w:qFormat/>
    <w:uiPriority w:val="0"/>
    <w:pPr>
      <w:snapToGrid w:val="0"/>
    </w:pPr>
    <w:rPr>
      <w:rFonts w:ascii="Arial" w:hAnsi="Arial"/>
    </w:rPr>
  </w:style>
  <w:style w:type="paragraph" w:styleId="9">
    <w:name w:val="toc 7"/>
    <w:basedOn w:val="1"/>
    <w:next w:val="1"/>
    <w:qFormat/>
    <w:uiPriority w:val="0"/>
    <w:pPr>
      <w:ind w:left="2520" w:leftChars="1200"/>
    </w:pPr>
  </w:style>
  <w:style w:type="paragraph" w:styleId="10">
    <w:name w:val="Normal Indent"/>
    <w:basedOn w:val="1"/>
    <w:link w:val="63"/>
    <w:qFormat/>
    <w:uiPriority w:val="0"/>
    <w:pPr>
      <w:autoSpaceDE w:val="0"/>
      <w:autoSpaceDN w:val="0"/>
      <w:adjustRightInd w:val="0"/>
      <w:ind w:firstLine="420"/>
      <w:jc w:val="left"/>
    </w:pPr>
    <w:rPr>
      <w:rFonts w:ascii="宋体"/>
      <w:kern w:val="0"/>
      <w:sz w:val="24"/>
    </w:rPr>
  </w:style>
  <w:style w:type="paragraph" w:styleId="11">
    <w:name w:val="caption"/>
    <w:basedOn w:val="1"/>
    <w:next w:val="1"/>
    <w:qFormat/>
    <w:uiPriority w:val="0"/>
    <w:rPr>
      <w:rFonts w:ascii="Cambria" w:hAnsi="Cambria" w:eastAsia="黑体"/>
      <w:sz w:val="20"/>
      <w:szCs w:val="20"/>
    </w:rPr>
  </w:style>
  <w:style w:type="paragraph" w:styleId="12">
    <w:name w:val="Document Map"/>
    <w:basedOn w:val="1"/>
    <w:qFormat/>
    <w:uiPriority w:val="0"/>
    <w:pPr>
      <w:shd w:val="clear" w:color="auto" w:fill="000080"/>
    </w:pPr>
  </w:style>
  <w:style w:type="paragraph" w:styleId="13">
    <w:name w:val="annotation text"/>
    <w:basedOn w:val="1"/>
    <w:qFormat/>
    <w:uiPriority w:val="0"/>
    <w:pPr>
      <w:jc w:val="left"/>
    </w:pPr>
  </w:style>
  <w:style w:type="paragraph" w:styleId="14">
    <w:name w:val="Body Text 3"/>
    <w:basedOn w:val="1"/>
    <w:qFormat/>
    <w:uiPriority w:val="0"/>
    <w:rPr>
      <w:rFonts w:eastAsia="楷体_GB2312"/>
      <w:sz w:val="28"/>
    </w:rPr>
  </w:style>
  <w:style w:type="paragraph" w:styleId="15">
    <w:name w:val="Body Text"/>
    <w:basedOn w:val="1"/>
    <w:next w:val="16"/>
    <w:qFormat/>
    <w:uiPriority w:val="0"/>
    <w:pPr>
      <w:spacing w:after="120" w:afterLines="0"/>
    </w:pPr>
  </w:style>
  <w:style w:type="paragraph" w:styleId="16">
    <w:name w:val="Plain Text"/>
    <w:basedOn w:val="1"/>
    <w:next w:val="15"/>
    <w:link w:val="64"/>
    <w:qFormat/>
    <w:uiPriority w:val="0"/>
    <w:rPr>
      <w:rFonts w:hAnsi="Courier New" w:eastAsia="幼圆"/>
      <w:kern w:val="0"/>
    </w:rPr>
  </w:style>
  <w:style w:type="paragraph" w:styleId="17">
    <w:name w:val="Block Text"/>
    <w:basedOn w:val="1"/>
    <w:unhideWhenUsed/>
    <w:qFormat/>
    <w:uiPriority w:val="99"/>
    <w:pPr>
      <w:spacing w:after="120"/>
      <w:ind w:left="1440" w:leftChars="700" w:right="1440" w:rightChars="700"/>
    </w:pPr>
  </w:style>
  <w:style w:type="paragraph" w:styleId="18">
    <w:name w:val="toc 5"/>
    <w:basedOn w:val="1"/>
    <w:next w:val="1"/>
    <w:qFormat/>
    <w:uiPriority w:val="0"/>
    <w:pPr>
      <w:ind w:left="1680" w:leftChars="800"/>
    </w:pPr>
  </w:style>
  <w:style w:type="paragraph" w:styleId="19">
    <w:name w:val="toc 3"/>
    <w:basedOn w:val="1"/>
    <w:next w:val="1"/>
    <w:qFormat/>
    <w:uiPriority w:val="0"/>
    <w:pPr>
      <w:ind w:left="840" w:leftChars="400"/>
    </w:pPr>
  </w:style>
  <w:style w:type="paragraph" w:styleId="20">
    <w:name w:val="toc 8"/>
    <w:basedOn w:val="1"/>
    <w:next w:val="1"/>
    <w:qFormat/>
    <w:uiPriority w:val="0"/>
    <w:pPr>
      <w:ind w:left="2940" w:leftChars="1400"/>
    </w:pPr>
  </w:style>
  <w:style w:type="paragraph" w:styleId="21">
    <w:name w:val="Date"/>
    <w:basedOn w:val="1"/>
    <w:next w:val="1"/>
    <w:qFormat/>
    <w:uiPriority w:val="0"/>
    <w:pPr>
      <w:ind w:left="100" w:leftChars="2500"/>
    </w:pPr>
    <w:rPr>
      <w:rFonts w:ascii="宋体" w:hAnsi="宋体"/>
      <w:sz w:val="28"/>
    </w:rPr>
  </w:style>
  <w:style w:type="paragraph" w:styleId="22">
    <w:name w:val="Body Text Indent 2"/>
    <w:basedOn w:val="1"/>
    <w:qFormat/>
    <w:uiPriority w:val="0"/>
    <w:pPr>
      <w:ind w:firstLine="405" w:firstLineChars="193"/>
    </w:pPr>
    <w:rPr>
      <w:rFonts w:ascii="宋体" w:hAnsi="宋体"/>
    </w:rPr>
  </w:style>
  <w:style w:type="paragraph" w:styleId="23">
    <w:name w:val="Balloon Text"/>
    <w:basedOn w:val="1"/>
    <w:link w:val="65"/>
    <w:qFormat/>
    <w:uiPriority w:val="0"/>
    <w:rPr>
      <w:rFonts w:ascii="宋体" w:hAnsi="宋体"/>
      <w:sz w:val="18"/>
      <w:szCs w:val="18"/>
    </w:rPr>
  </w:style>
  <w:style w:type="paragraph" w:styleId="24">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5">
    <w:name w:val="header"/>
    <w:basedOn w:val="1"/>
    <w:next w:val="24"/>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6">
    <w:name w:val="toc 1"/>
    <w:basedOn w:val="1"/>
    <w:next w:val="1"/>
    <w:qFormat/>
    <w:uiPriority w:val="39"/>
  </w:style>
  <w:style w:type="paragraph" w:styleId="27">
    <w:name w:val="toc 4"/>
    <w:basedOn w:val="1"/>
    <w:next w:val="1"/>
    <w:qFormat/>
    <w:uiPriority w:val="0"/>
    <w:pPr>
      <w:ind w:left="1260" w:leftChars="600"/>
    </w:pPr>
  </w:style>
  <w:style w:type="paragraph" w:styleId="28">
    <w:name w:val="toc 6"/>
    <w:basedOn w:val="1"/>
    <w:next w:val="1"/>
    <w:qFormat/>
    <w:uiPriority w:val="0"/>
    <w:pPr>
      <w:ind w:left="2100" w:leftChars="1000"/>
    </w:pPr>
  </w:style>
  <w:style w:type="paragraph" w:styleId="29">
    <w:name w:val="Body Text Indent 3"/>
    <w:basedOn w:val="1"/>
    <w:qFormat/>
    <w:uiPriority w:val="0"/>
    <w:pPr>
      <w:ind w:firstLine="420" w:firstLineChars="200"/>
    </w:pPr>
    <w:rPr>
      <w:rFonts w:ascii="宋体" w:hAnsi="宋体"/>
    </w:rPr>
  </w:style>
  <w:style w:type="paragraph" w:styleId="30">
    <w:name w:val="toc 2"/>
    <w:basedOn w:val="1"/>
    <w:next w:val="1"/>
    <w:qFormat/>
    <w:uiPriority w:val="0"/>
    <w:pPr>
      <w:ind w:left="420" w:leftChars="200"/>
    </w:pPr>
  </w:style>
  <w:style w:type="paragraph" w:styleId="31">
    <w:name w:val="toc 9"/>
    <w:basedOn w:val="1"/>
    <w:next w:val="1"/>
    <w:qFormat/>
    <w:uiPriority w:val="0"/>
    <w:pPr>
      <w:ind w:left="3360" w:leftChars="1600"/>
    </w:pPr>
  </w:style>
  <w:style w:type="paragraph" w:styleId="32">
    <w:name w:val="Body Text 2"/>
    <w:basedOn w:val="1"/>
    <w:qFormat/>
    <w:uiPriority w:val="0"/>
    <w:pPr>
      <w:spacing w:after="120" w:afterLines="0" w:line="480" w:lineRule="auto"/>
    </w:pPr>
  </w:style>
  <w:style w:type="paragraph" w:styleId="33">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34">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5">
    <w:name w:val="index 1"/>
    <w:basedOn w:val="1"/>
    <w:next w:val="1"/>
    <w:qFormat/>
    <w:uiPriority w:val="0"/>
    <w:rPr>
      <w:szCs w:val="20"/>
    </w:rPr>
  </w:style>
  <w:style w:type="paragraph" w:styleId="36">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7">
    <w:name w:val="Body Text First Indent"/>
    <w:basedOn w:val="15"/>
    <w:next w:val="2"/>
    <w:qFormat/>
    <w:uiPriority w:val="0"/>
  </w:style>
  <w:style w:type="table" w:styleId="39">
    <w:name w:val="Table Grid"/>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uiPriority w:val="0"/>
    <w:rPr>
      <w:b/>
      <w:bCs/>
    </w:rPr>
  </w:style>
  <w:style w:type="character" w:styleId="42">
    <w:name w:val="page number"/>
    <w:qFormat/>
    <w:uiPriority w:val="0"/>
    <w:rPr>
      <w:lang w:val="en-US" w:eastAsia="zh-CN" w:bidi="ar-SA"/>
    </w:rPr>
  </w:style>
  <w:style w:type="character" w:styleId="43">
    <w:name w:val="FollowedHyperlink"/>
    <w:qFormat/>
    <w:uiPriority w:val="0"/>
    <w:rPr>
      <w:rFonts w:ascii="宋体" w:hAnsi="宋体" w:eastAsia="宋体"/>
      <w:color w:val="333333"/>
      <w:kern w:val="2"/>
      <w:sz w:val="18"/>
      <w:szCs w:val="18"/>
      <w:u w:val="none"/>
      <w:lang w:val="en-US" w:eastAsia="zh-CN" w:bidi="ar-SA"/>
    </w:rPr>
  </w:style>
  <w:style w:type="character" w:styleId="44">
    <w:name w:val="HTML Definition"/>
    <w:qFormat/>
    <w:uiPriority w:val="0"/>
    <w:rPr>
      <w:lang w:val="en-US" w:eastAsia="zh-CN" w:bidi="ar-SA"/>
    </w:rPr>
  </w:style>
  <w:style w:type="character" w:styleId="45">
    <w:name w:val="HTML Typewriter"/>
    <w:qFormat/>
    <w:uiPriority w:val="0"/>
    <w:rPr>
      <w:rFonts w:hint="default" w:ascii="monospace" w:hAnsi="monospace" w:eastAsia="monospace" w:cs="monospace"/>
      <w:sz w:val="20"/>
      <w:lang w:val="en-US" w:eastAsia="zh-CN" w:bidi="ar-SA"/>
    </w:rPr>
  </w:style>
  <w:style w:type="character" w:styleId="46">
    <w:name w:val="HTML Acronym"/>
    <w:qFormat/>
    <w:uiPriority w:val="0"/>
    <w:rPr>
      <w:lang w:val="en-US" w:eastAsia="zh-CN" w:bidi="ar-SA"/>
    </w:rPr>
  </w:style>
  <w:style w:type="character" w:styleId="47">
    <w:name w:val="HTML Variable"/>
    <w:qFormat/>
    <w:uiPriority w:val="0"/>
    <w:rPr>
      <w:lang w:val="en-US" w:eastAsia="zh-CN" w:bidi="ar-SA"/>
    </w:rPr>
  </w:style>
  <w:style w:type="character" w:styleId="48">
    <w:name w:val="Hyperlink"/>
    <w:qFormat/>
    <w:uiPriority w:val="99"/>
    <w:rPr>
      <w:rFonts w:ascii="宋体" w:hAnsi="宋体" w:eastAsia="宋体"/>
      <w:color w:val="0000FF"/>
      <w:kern w:val="2"/>
      <w:sz w:val="28"/>
      <w:szCs w:val="24"/>
      <w:u w:val="single"/>
      <w:lang w:val="en-US" w:eastAsia="zh-CN" w:bidi="ar-SA"/>
    </w:rPr>
  </w:style>
  <w:style w:type="character" w:styleId="49">
    <w:name w:val="HTML Code"/>
    <w:qFormat/>
    <w:uiPriority w:val="0"/>
    <w:rPr>
      <w:rFonts w:ascii="monospace" w:hAnsi="monospace" w:eastAsia="monospace" w:cs="monospace"/>
      <w:sz w:val="20"/>
      <w:lang w:val="en-US" w:eastAsia="zh-CN" w:bidi="ar-SA"/>
    </w:rPr>
  </w:style>
  <w:style w:type="character" w:styleId="50">
    <w:name w:val="HTML Cite"/>
    <w:qFormat/>
    <w:uiPriority w:val="0"/>
    <w:rPr>
      <w:lang w:val="en-US" w:eastAsia="zh-CN" w:bidi="ar-SA"/>
    </w:rPr>
  </w:style>
  <w:style w:type="character" w:styleId="51">
    <w:name w:val="HTML Keyboard"/>
    <w:qFormat/>
    <w:uiPriority w:val="0"/>
    <w:rPr>
      <w:rFonts w:hint="default" w:ascii="monospace" w:hAnsi="monospace" w:eastAsia="monospace" w:cs="monospace"/>
      <w:sz w:val="20"/>
      <w:lang w:val="en-US" w:eastAsia="zh-CN" w:bidi="ar-SA"/>
    </w:rPr>
  </w:style>
  <w:style w:type="character" w:styleId="52">
    <w:name w:val="HTML Sample"/>
    <w:qFormat/>
    <w:uiPriority w:val="0"/>
    <w:rPr>
      <w:rFonts w:hint="default" w:ascii="monospace" w:hAnsi="monospace" w:eastAsia="monospace" w:cs="monospace"/>
      <w:lang w:val="en-US" w:eastAsia="zh-CN" w:bidi="ar-SA"/>
    </w:rPr>
  </w:style>
  <w:style w:type="paragraph" w:customStyle="1" w:styleId="53">
    <w:name w:val="No Spacing1"/>
    <w:basedOn w:val="1"/>
    <w:qFormat/>
    <w:uiPriority w:val="0"/>
    <w:pPr>
      <w:spacing w:after="0" w:afterLines="0" w:line="400" w:lineRule="exact"/>
    </w:pPr>
    <w:rPr>
      <w:rFonts w:ascii="Calibri" w:hAnsi="Calibri" w:eastAsia="宋体" w:cs="黑体"/>
      <w:sz w:val="24"/>
      <w:lang w:val="en-US" w:eastAsia="zh-CN" w:bidi="ar-SA"/>
    </w:rPr>
  </w:style>
  <w:style w:type="paragraph" w:customStyle="1" w:styleId="54">
    <w:name w:val="无间隔1"/>
    <w:basedOn w:val="1"/>
    <w:next w:val="11"/>
    <w:qFormat/>
    <w:uiPriority w:val="0"/>
    <w:pPr>
      <w:spacing w:line="400" w:lineRule="exact"/>
    </w:pPr>
    <w:rPr>
      <w:rFonts w:eastAsia="宋体"/>
      <w:sz w:val="24"/>
    </w:rPr>
  </w:style>
  <w:style w:type="paragraph" w:customStyle="1" w:styleId="55">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6">
    <w:name w:val="Char Char10 Char Char Char Char"/>
    <w:basedOn w:val="1"/>
    <w:next w:val="57"/>
    <w:qFormat/>
    <w:uiPriority w:val="0"/>
  </w:style>
  <w:style w:type="paragraph" w:customStyle="1" w:styleId="57">
    <w:name w:val="xl87"/>
    <w:basedOn w:val="1"/>
    <w:next w:val="58"/>
    <w:qFormat/>
    <w:uiPriority w:val="0"/>
    <w:pPr>
      <w:widowControl/>
      <w:shd w:val="clear" w:color="FFFFFF" w:fill="FFFFFF"/>
      <w:spacing w:before="280" w:beforeLines="0" w:after="280" w:afterLines="0"/>
      <w:jc w:val="right"/>
    </w:pPr>
    <w:rPr>
      <w:rFonts w:ascii="宋体"/>
      <w:sz w:val="24"/>
    </w:rPr>
  </w:style>
  <w:style w:type="paragraph" w:customStyle="1" w:styleId="58">
    <w:name w:val="xl72"/>
    <w:basedOn w:val="1"/>
    <w:next w:val="21"/>
    <w:qFormat/>
    <w:uiPriority w:val="0"/>
    <w:pPr>
      <w:widowControl/>
      <w:shd w:val="clear" w:color="FFFFFF" w:fill="FFFFFF"/>
      <w:spacing w:before="280" w:beforeLines="0" w:after="280" w:afterLines="0"/>
      <w:jc w:val="right"/>
    </w:pPr>
    <w:rPr>
      <w:rFonts w:ascii="宋体"/>
      <w:sz w:val="24"/>
    </w:rPr>
  </w:style>
  <w:style w:type="paragraph" w:customStyle="1" w:styleId="59">
    <w:name w:val="表格文字"/>
    <w:basedOn w:val="1"/>
    <w:next w:val="15"/>
    <w:qFormat/>
    <w:uiPriority w:val="0"/>
    <w:pPr>
      <w:adjustRightInd w:val="0"/>
      <w:spacing w:line="420" w:lineRule="atLeast"/>
      <w:jc w:val="left"/>
      <w:textAlignment w:val="baseline"/>
    </w:pPr>
    <w:rPr>
      <w:kern w:val="0"/>
      <w:szCs w:val="20"/>
    </w:rPr>
  </w:style>
  <w:style w:type="character" w:customStyle="1" w:styleId="60">
    <w:name w:val="正文文本缩进 Char"/>
    <w:link w:val="3"/>
    <w:qFormat/>
    <w:uiPriority w:val="0"/>
    <w:rPr>
      <w:sz w:val="21"/>
      <w:lang w:val="en-US" w:eastAsia="zh-CN" w:bidi="ar-SA"/>
    </w:rPr>
  </w:style>
  <w:style w:type="character" w:customStyle="1" w:styleId="61">
    <w:name w:val="标题 2 Char"/>
    <w:link w:val="6"/>
    <w:qFormat/>
    <w:uiPriority w:val="0"/>
    <w:rPr>
      <w:rFonts w:ascii="Arial" w:hAnsi="Arial" w:eastAsia="黑体"/>
      <w:b/>
      <w:bCs/>
      <w:kern w:val="2"/>
      <w:sz w:val="32"/>
      <w:szCs w:val="32"/>
      <w:lang w:val="en-US" w:eastAsia="zh-CN" w:bidi="ar-SA"/>
    </w:rPr>
  </w:style>
  <w:style w:type="character" w:customStyle="1" w:styleId="62">
    <w:name w:val="标题 3 Char"/>
    <w:link w:val="7"/>
    <w:qFormat/>
    <w:uiPriority w:val="0"/>
    <w:rPr>
      <w:rFonts w:ascii="宋体" w:hAnsi="宋体" w:eastAsia="幼圆"/>
      <w:b/>
      <w:bCs/>
      <w:kern w:val="2"/>
      <w:sz w:val="32"/>
      <w:szCs w:val="32"/>
      <w:lang w:val="en-US" w:eastAsia="zh-CN" w:bidi="ar-SA"/>
    </w:rPr>
  </w:style>
  <w:style w:type="character" w:customStyle="1" w:styleId="63">
    <w:name w:val="正文缩进 Char"/>
    <w:link w:val="10"/>
    <w:qFormat/>
    <w:uiPriority w:val="0"/>
    <w:rPr>
      <w:rFonts w:ascii="宋体"/>
      <w:sz w:val="24"/>
    </w:rPr>
  </w:style>
  <w:style w:type="character" w:customStyle="1" w:styleId="64">
    <w:name w:val="纯文本 Char"/>
    <w:link w:val="16"/>
    <w:qFormat/>
    <w:uiPriority w:val="0"/>
    <w:rPr>
      <w:rFonts w:hAnsi="Courier New" w:eastAsia="幼圆"/>
      <w:sz w:val="21"/>
      <w:lang w:val="en-US" w:eastAsia="zh-CN" w:bidi="ar-SA"/>
    </w:rPr>
  </w:style>
  <w:style w:type="character" w:customStyle="1" w:styleId="65">
    <w:name w:val="批注框文本 Char"/>
    <w:link w:val="23"/>
    <w:qFormat/>
    <w:uiPriority w:val="0"/>
    <w:rPr>
      <w:rFonts w:ascii="宋体" w:hAnsi="宋体" w:eastAsia="宋体"/>
      <w:kern w:val="2"/>
      <w:sz w:val="18"/>
      <w:szCs w:val="18"/>
      <w:lang w:val="en-US" w:eastAsia="zh-CN" w:bidi="ar-SA"/>
    </w:rPr>
  </w:style>
  <w:style w:type="character" w:customStyle="1" w:styleId="66">
    <w:name w:val="页眉 Char Char"/>
    <w:qFormat/>
    <w:uiPriority w:val="0"/>
    <w:rPr>
      <w:rFonts w:ascii="宋体" w:hAnsi="宋体" w:eastAsia="宋体"/>
      <w:kern w:val="2"/>
      <w:sz w:val="18"/>
      <w:szCs w:val="18"/>
      <w:lang w:val="en-US" w:eastAsia="zh-CN" w:bidi="ar-SA"/>
    </w:rPr>
  </w:style>
  <w:style w:type="character" w:customStyle="1" w:styleId="67">
    <w:name w:val="页脚 Char Char"/>
    <w:qFormat/>
    <w:uiPriority w:val="0"/>
    <w:rPr>
      <w:rFonts w:ascii="宋体" w:hAnsi="宋体" w:eastAsia="宋体"/>
      <w:kern w:val="2"/>
      <w:sz w:val="18"/>
      <w:szCs w:val="18"/>
      <w:lang w:val="en-US" w:eastAsia="zh-CN" w:bidi="ar-SA"/>
    </w:rPr>
  </w:style>
  <w:style w:type="character" w:customStyle="1" w:styleId="68">
    <w:name w:val="ca-21"/>
    <w:qFormat/>
    <w:uiPriority w:val="0"/>
    <w:rPr>
      <w:rFonts w:hint="eastAsia" w:ascii="仿宋_GB2312" w:eastAsia="仿宋_GB2312"/>
      <w:sz w:val="32"/>
      <w:szCs w:val="32"/>
    </w:rPr>
  </w:style>
  <w:style w:type="character" w:customStyle="1" w:styleId="69">
    <w:name w:val="ca-31"/>
    <w:qFormat/>
    <w:uiPriority w:val="0"/>
    <w:rPr>
      <w:rFonts w:hint="eastAsia" w:ascii="仿宋_GB2312" w:eastAsia="仿宋_GB2312"/>
      <w:b/>
      <w:bCs/>
      <w:spacing w:val="-20"/>
      <w:sz w:val="32"/>
      <w:szCs w:val="32"/>
    </w:rPr>
  </w:style>
  <w:style w:type="character" w:customStyle="1" w:styleId="70">
    <w:name w:val="UserStyle_17"/>
    <w:qFormat/>
    <w:uiPriority w:val="0"/>
    <w:rPr>
      <w:rFonts w:ascii="Times New Roman" w:hAnsi="Times New Roman" w:eastAsia="宋体" w:cs="Times New Roman"/>
      <w:kern w:val="2"/>
      <w:sz w:val="21"/>
      <w:szCs w:val="24"/>
      <w:lang w:val="en-US" w:eastAsia="zh-CN" w:bidi="ar-SA"/>
    </w:rPr>
  </w:style>
  <w:style w:type="character" w:customStyle="1" w:styleId="71">
    <w:name w:val="ca-11"/>
    <w:qFormat/>
    <w:uiPriority w:val="0"/>
    <w:rPr>
      <w:rFonts w:hint="default" w:ascii="Times New Roman" w:hAnsi="Times New Roman" w:cs="Times New Roman"/>
      <w:sz w:val="32"/>
      <w:szCs w:val="32"/>
    </w:rPr>
  </w:style>
  <w:style w:type="character" w:customStyle="1" w:styleId="72">
    <w:name w:val="font11"/>
    <w:qFormat/>
    <w:uiPriority w:val="0"/>
    <w:rPr>
      <w:rFonts w:hint="eastAsia" w:ascii="宋体" w:hAnsi="宋体" w:eastAsia="宋体" w:cs="宋体"/>
      <w:color w:val="000000"/>
      <w:sz w:val="20"/>
      <w:szCs w:val="20"/>
      <w:u w:val="none"/>
    </w:rPr>
  </w:style>
  <w:style w:type="character" w:customStyle="1" w:styleId="73">
    <w:name w:val="Char Char Char"/>
    <w:qFormat/>
    <w:uiPriority w:val="0"/>
    <w:rPr>
      <w:rFonts w:ascii="Arial" w:hAnsi="Arial" w:eastAsia="黑体"/>
      <w:b/>
      <w:bCs/>
      <w:kern w:val="2"/>
      <w:sz w:val="32"/>
      <w:szCs w:val="32"/>
      <w:lang w:val="en-US" w:eastAsia="zh-CN" w:bidi="ar-SA"/>
    </w:rPr>
  </w:style>
  <w:style w:type="character" w:customStyle="1" w:styleId="74">
    <w:name w:val="ca-121"/>
    <w:qFormat/>
    <w:uiPriority w:val="0"/>
    <w:rPr>
      <w:rFonts w:hint="eastAsia" w:ascii="仿宋_GB2312" w:eastAsia="仿宋_GB2312"/>
      <w:color w:val="000000"/>
      <w:sz w:val="21"/>
      <w:szCs w:val="21"/>
    </w:rPr>
  </w:style>
  <w:style w:type="paragraph" w:customStyle="1" w:styleId="75">
    <w:name w:val="样式 正文文字 + 小四 段后: 0 磅 行距: 1.5 倍行距"/>
    <w:basedOn w:val="15"/>
    <w:qFormat/>
    <w:uiPriority w:val="0"/>
    <w:pPr>
      <w:spacing w:after="0" w:afterLines="0" w:line="360" w:lineRule="auto"/>
      <w:ind w:firstLine="480" w:firstLineChars="200"/>
    </w:pPr>
    <w:rPr>
      <w:rFonts w:cs="宋体"/>
      <w:sz w:val="24"/>
      <w:szCs w:val="20"/>
    </w:rPr>
  </w:style>
  <w:style w:type="paragraph" w:customStyle="1" w:styleId="76">
    <w:name w:val="pa-58"/>
    <w:basedOn w:val="1"/>
    <w:qFormat/>
    <w:uiPriority w:val="0"/>
    <w:pPr>
      <w:widowControl/>
      <w:spacing w:line="240" w:lineRule="atLeast"/>
      <w:ind w:firstLine="460"/>
    </w:pPr>
    <w:rPr>
      <w:rFonts w:ascii="宋体" w:hAnsi="宋体" w:cs="宋体"/>
      <w:kern w:val="0"/>
      <w:sz w:val="24"/>
    </w:rPr>
  </w:style>
  <w:style w:type="paragraph" w:customStyle="1" w:styleId="77">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8">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9">
    <w:name w:val="pa-6"/>
    <w:basedOn w:val="1"/>
    <w:qFormat/>
    <w:uiPriority w:val="0"/>
    <w:pPr>
      <w:widowControl/>
      <w:spacing w:line="360" w:lineRule="atLeast"/>
    </w:pPr>
    <w:rPr>
      <w:rFonts w:ascii="宋体" w:hAnsi="宋体" w:cs="宋体"/>
      <w:kern w:val="0"/>
      <w:sz w:val="24"/>
    </w:rPr>
  </w:style>
  <w:style w:type="paragraph" w:customStyle="1" w:styleId="80">
    <w:name w:val="pa-2"/>
    <w:basedOn w:val="1"/>
    <w:qFormat/>
    <w:uiPriority w:val="0"/>
    <w:pPr>
      <w:widowControl/>
      <w:spacing w:line="360" w:lineRule="atLeast"/>
    </w:pPr>
    <w:rPr>
      <w:rFonts w:ascii="宋体" w:hAnsi="宋体" w:cs="宋体"/>
      <w:kern w:val="0"/>
      <w:sz w:val="24"/>
    </w:rPr>
  </w:style>
  <w:style w:type="paragraph" w:customStyle="1" w:styleId="81">
    <w:name w:val="Heading 1"/>
    <w:basedOn w:val="1"/>
    <w:qFormat/>
    <w:uiPriority w:val="0"/>
    <w:pPr>
      <w:outlineLvl w:val="1"/>
    </w:pPr>
    <w:rPr>
      <w:rFonts w:ascii="黑体" w:hAnsi="黑体" w:eastAsia="黑体"/>
      <w:b/>
      <w:bCs/>
      <w:sz w:val="44"/>
      <w:szCs w:val="44"/>
    </w:rPr>
  </w:style>
  <w:style w:type="paragraph" w:customStyle="1" w:styleId="82">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3">
    <w:name w:val="正文（首行缩进一字）"/>
    <w:basedOn w:val="1"/>
    <w:qFormat/>
    <w:uiPriority w:val="0"/>
  </w:style>
  <w:style w:type="paragraph" w:customStyle="1" w:styleId="84">
    <w:name w:val="pa-53"/>
    <w:basedOn w:val="1"/>
    <w:qFormat/>
    <w:uiPriority w:val="0"/>
    <w:pPr>
      <w:widowControl/>
      <w:spacing w:line="240" w:lineRule="atLeast"/>
    </w:pPr>
    <w:rPr>
      <w:rFonts w:ascii="宋体" w:hAnsi="宋体" w:cs="宋体"/>
      <w:kern w:val="0"/>
      <w:sz w:val="24"/>
    </w:rPr>
  </w:style>
  <w:style w:type="paragraph" w:customStyle="1" w:styleId="85">
    <w:name w:val="列出段落1"/>
    <w:basedOn w:val="1"/>
    <w:qFormat/>
    <w:uiPriority w:val="0"/>
    <w:pPr>
      <w:ind w:firstLine="420" w:firstLineChars="200"/>
    </w:pPr>
    <w:rPr>
      <w:rFonts w:ascii="Times New Roman" w:hAnsi="Times New Roman" w:eastAsia="宋体" w:cs="Times New Roman"/>
    </w:rPr>
  </w:style>
  <w:style w:type="paragraph" w:customStyle="1" w:styleId="86">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87">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88">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9">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90">
    <w:name w:val="pa-62"/>
    <w:basedOn w:val="1"/>
    <w:qFormat/>
    <w:uiPriority w:val="0"/>
    <w:pPr>
      <w:widowControl/>
      <w:spacing w:line="240" w:lineRule="atLeast"/>
    </w:pPr>
    <w:rPr>
      <w:rFonts w:ascii="宋体" w:hAnsi="宋体" w:cs="宋体"/>
      <w:kern w:val="0"/>
      <w:sz w:val="24"/>
    </w:rPr>
  </w:style>
  <w:style w:type="paragraph" w:customStyle="1" w:styleId="91">
    <w:name w:val="_Style 80"/>
    <w:qFormat/>
    <w:uiPriority w:val="0"/>
    <w:rPr>
      <w:rFonts w:ascii="Times New Roman" w:hAnsi="Times New Roman" w:eastAsia="宋体" w:cs="Times New Roman"/>
      <w:kern w:val="2"/>
      <w:sz w:val="21"/>
      <w:lang w:val="en-US" w:eastAsia="zh-CN" w:bidi="ar-SA"/>
    </w:rPr>
  </w:style>
  <w:style w:type="paragraph" w:customStyle="1" w:styleId="92">
    <w:name w:val="p0"/>
    <w:basedOn w:val="1"/>
    <w:qFormat/>
    <w:uiPriority w:val="0"/>
    <w:pPr>
      <w:widowControl/>
    </w:pPr>
    <w:rPr>
      <w:kern w:val="0"/>
      <w:szCs w:val="21"/>
    </w:rPr>
  </w:style>
  <w:style w:type="paragraph" w:customStyle="1" w:styleId="93">
    <w:name w:val="彩色列表1"/>
    <w:basedOn w:val="1"/>
    <w:qFormat/>
    <w:uiPriority w:val="0"/>
    <w:pPr>
      <w:jc w:val="left"/>
    </w:pPr>
    <w:rPr>
      <w:rFonts w:ascii="Calibri" w:hAnsi="Calibri" w:eastAsia="宋体" w:cs="Times New Roman"/>
      <w:kern w:val="0"/>
      <w:sz w:val="22"/>
      <w:szCs w:val="22"/>
      <w:lang w:eastAsia="en-US"/>
    </w:rPr>
  </w:style>
  <w:style w:type="paragraph" w:customStyle="1" w:styleId="94">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5">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6">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7">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8">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00">
    <w:name w:val="pa-56"/>
    <w:basedOn w:val="1"/>
    <w:qFormat/>
    <w:uiPriority w:val="0"/>
    <w:pPr>
      <w:widowControl/>
      <w:spacing w:line="240" w:lineRule="atLeast"/>
    </w:pPr>
    <w:rPr>
      <w:rFonts w:ascii="宋体" w:hAnsi="宋体" w:cs="宋体"/>
      <w:kern w:val="0"/>
      <w:sz w:val="24"/>
    </w:rPr>
  </w:style>
  <w:style w:type="paragraph" w:customStyle="1" w:styleId="101">
    <w:name w:val=" Char Char Char"/>
    <w:basedOn w:val="1"/>
    <w:qFormat/>
    <w:uiPriority w:val="0"/>
    <w:rPr>
      <w:rFonts w:ascii="Tahoma" w:hAnsi="Tahoma"/>
      <w:sz w:val="24"/>
      <w:szCs w:val="20"/>
    </w:rPr>
  </w:style>
  <w:style w:type="paragraph" w:customStyle="1" w:styleId="102">
    <w:name w:val="pa-4"/>
    <w:basedOn w:val="1"/>
    <w:qFormat/>
    <w:uiPriority w:val="0"/>
    <w:pPr>
      <w:widowControl/>
      <w:spacing w:line="360" w:lineRule="atLeast"/>
      <w:ind w:firstLine="960"/>
    </w:pPr>
    <w:rPr>
      <w:rFonts w:ascii="宋体" w:hAnsi="宋体" w:cs="宋体"/>
      <w:kern w:val="0"/>
      <w:sz w:val="24"/>
    </w:rPr>
  </w:style>
  <w:style w:type="paragraph" w:customStyle="1" w:styleId="103">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4">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5">
    <w:name w:val="_Style 2"/>
    <w:basedOn w:val="1"/>
    <w:qFormat/>
    <w:uiPriority w:val="0"/>
    <w:pPr>
      <w:ind w:firstLine="420" w:firstLineChars="200"/>
    </w:pPr>
    <w:rPr>
      <w:kern w:val="0"/>
      <w:sz w:val="20"/>
      <w:szCs w:val="24"/>
    </w:rPr>
  </w:style>
  <w:style w:type="paragraph" w:customStyle="1" w:styleId="106">
    <w:name w:val="彩色底纹 - 强调文字颜色 61"/>
    <w:basedOn w:val="5"/>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7">
    <w:name w:val="样式2"/>
    <w:basedOn w:val="6"/>
    <w:qFormat/>
    <w:uiPriority w:val="0"/>
    <w:pPr>
      <w:spacing w:line="413" w:lineRule="auto"/>
      <w:jc w:val="left"/>
    </w:pPr>
    <w:rPr>
      <w:rFonts w:ascii="华文中宋" w:hAnsi="华文中宋" w:eastAsia="宋体"/>
      <w:bCs w:val="0"/>
      <w:color w:val="000000"/>
      <w:szCs w:val="20"/>
    </w:rPr>
  </w:style>
  <w:style w:type="paragraph" w:customStyle="1" w:styleId="108">
    <w:name w:val="pa-57"/>
    <w:basedOn w:val="1"/>
    <w:qFormat/>
    <w:uiPriority w:val="0"/>
    <w:pPr>
      <w:widowControl/>
      <w:spacing w:line="240" w:lineRule="atLeast"/>
      <w:ind w:firstLine="480"/>
    </w:pPr>
    <w:rPr>
      <w:rFonts w:ascii="宋体" w:hAnsi="宋体" w:cs="宋体"/>
      <w:kern w:val="0"/>
      <w:sz w:val="24"/>
    </w:rPr>
  </w:style>
  <w:style w:type="paragraph" w:customStyle="1" w:styleId="109">
    <w:name w:val="Table Paragraph"/>
    <w:basedOn w:val="1"/>
    <w:qFormat/>
    <w:uiPriority w:val="0"/>
    <w:pPr>
      <w:jc w:val="left"/>
    </w:pPr>
    <w:rPr>
      <w:rFonts w:ascii="Calibri" w:hAnsi="Calibri" w:eastAsia="宋体" w:cs="Times New Roman"/>
      <w:kern w:val="0"/>
      <w:sz w:val="22"/>
      <w:szCs w:val="22"/>
      <w:lang w:eastAsia="en-US"/>
    </w:rPr>
  </w:style>
  <w:style w:type="paragraph" w:styleId="110">
    <w:name w:val="List Paragraph"/>
    <w:basedOn w:val="1"/>
    <w:qFormat/>
    <w:uiPriority w:val="34"/>
    <w:pPr>
      <w:ind w:firstLine="420" w:firstLineChars="200"/>
    </w:pPr>
    <w:rPr>
      <w:rFonts w:ascii="Calibri" w:hAnsi="Calibri"/>
      <w:szCs w:val="22"/>
    </w:rPr>
  </w:style>
  <w:style w:type="paragraph" w:customStyle="1" w:styleId="111">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2">
    <w:name w:val="pa-59"/>
    <w:basedOn w:val="1"/>
    <w:qFormat/>
    <w:uiPriority w:val="0"/>
    <w:pPr>
      <w:widowControl/>
      <w:spacing w:line="240" w:lineRule="atLeast"/>
      <w:ind w:firstLine="640"/>
    </w:pPr>
    <w:rPr>
      <w:rFonts w:ascii="宋体" w:hAnsi="宋体" w:cs="宋体"/>
      <w:kern w:val="0"/>
      <w:sz w:val="24"/>
    </w:rPr>
  </w:style>
  <w:style w:type="paragraph" w:customStyle="1" w:styleId="113">
    <w:name w:val="WPSOffice手动目录 1"/>
    <w:qFormat/>
    <w:uiPriority w:val="0"/>
    <w:rPr>
      <w:rFonts w:ascii="Times New Roman" w:hAnsi="Times New Roman" w:eastAsia="宋体" w:cs="Times New Roman"/>
      <w:lang w:val="en-US" w:eastAsia="zh-CN" w:bidi="ar-SA"/>
    </w:rPr>
  </w:style>
  <w:style w:type="paragraph" w:customStyle="1" w:styleId="114">
    <w:name w:val="Heading 2"/>
    <w:basedOn w:val="1"/>
    <w:qFormat/>
    <w:uiPriority w:val="0"/>
    <w:pPr>
      <w:ind w:left="117"/>
      <w:outlineLvl w:val="2"/>
    </w:pPr>
    <w:rPr>
      <w:rFonts w:ascii="黑体" w:hAnsi="黑体" w:eastAsia="黑体"/>
      <w:b/>
      <w:bCs/>
      <w:sz w:val="32"/>
      <w:szCs w:val="32"/>
    </w:rPr>
  </w:style>
  <w:style w:type="paragraph" w:customStyle="1" w:styleId="115">
    <w:name w:val="List Paragraph1"/>
    <w:basedOn w:val="1"/>
    <w:qFormat/>
    <w:uiPriority w:val="0"/>
  </w:style>
  <w:style w:type="paragraph" w:customStyle="1" w:styleId="116">
    <w:name w:val="Char Char Char Char"/>
    <w:basedOn w:val="1"/>
    <w:qFormat/>
    <w:uiPriority w:val="0"/>
    <w:rPr>
      <w:rFonts w:ascii="Tahoma" w:hAnsi="Tahoma"/>
      <w:sz w:val="24"/>
      <w:szCs w:val="20"/>
    </w:rPr>
  </w:style>
  <w:style w:type="paragraph" w:customStyle="1" w:styleId="117">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8">
    <w:name w:val="pa-7"/>
    <w:basedOn w:val="1"/>
    <w:qFormat/>
    <w:uiPriority w:val="0"/>
    <w:pPr>
      <w:widowControl/>
      <w:spacing w:line="360" w:lineRule="atLeast"/>
      <w:ind w:firstLine="800"/>
    </w:pPr>
    <w:rPr>
      <w:rFonts w:ascii="宋体" w:hAnsi="宋体" w:cs="宋体"/>
      <w:kern w:val="0"/>
      <w:sz w:val="24"/>
    </w:rPr>
  </w:style>
  <w:style w:type="paragraph" w:customStyle="1" w:styleId="119">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20">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21">
    <w:name w:val="正文_0"/>
    <w:qFormat/>
    <w:uiPriority w:val="0"/>
    <w:rPr>
      <w:rFonts w:ascii="Times New Roman" w:hAnsi="Times New Roman" w:eastAsia="宋体" w:cs="Times New Roman"/>
      <w:sz w:val="21"/>
      <w:lang w:val="en-US" w:eastAsia="zh-CN" w:bidi="ar-SA"/>
    </w:rPr>
  </w:style>
  <w:style w:type="paragraph" w:customStyle="1" w:styleId="122">
    <w:name w:val="0"/>
    <w:basedOn w:val="1"/>
    <w:qFormat/>
    <w:uiPriority w:val="0"/>
    <w:pPr>
      <w:widowControl/>
      <w:snapToGrid w:val="0"/>
      <w:spacing w:line="408" w:lineRule="auto"/>
      <w:ind w:left="1"/>
      <w:textAlignment w:val="bottom"/>
    </w:pPr>
    <w:rPr>
      <w:color w:val="000000"/>
      <w:kern w:val="0"/>
      <w:szCs w:val="21"/>
    </w:rPr>
  </w:style>
  <w:style w:type="paragraph" w:customStyle="1" w:styleId="123">
    <w:name w:val="pa-55"/>
    <w:basedOn w:val="1"/>
    <w:qFormat/>
    <w:uiPriority w:val="0"/>
    <w:pPr>
      <w:widowControl/>
      <w:spacing w:line="240" w:lineRule="atLeast"/>
      <w:ind w:firstLine="420"/>
    </w:pPr>
    <w:rPr>
      <w:rFonts w:ascii="宋体" w:hAnsi="宋体" w:cs="宋体"/>
      <w:kern w:val="0"/>
      <w:sz w:val="24"/>
    </w:rPr>
  </w:style>
  <w:style w:type="paragraph" w:customStyle="1" w:styleId="124">
    <w:name w:val="pa-1"/>
    <w:basedOn w:val="1"/>
    <w:qFormat/>
    <w:uiPriority w:val="0"/>
    <w:pPr>
      <w:widowControl/>
      <w:spacing w:line="360" w:lineRule="atLeast"/>
      <w:ind w:firstLine="640"/>
    </w:pPr>
    <w:rPr>
      <w:rFonts w:ascii="宋体" w:hAnsi="宋体" w:cs="宋体"/>
      <w:kern w:val="0"/>
      <w:sz w:val="24"/>
    </w:rPr>
  </w:style>
  <w:style w:type="table" w:customStyle="1" w:styleId="125">
    <w:name w:val="Table Normal"/>
    <w:semiHidden/>
    <w:unhideWhenUsed/>
    <w:qFormat/>
    <w:uiPriority w:val="0"/>
    <w:tblPr>
      <w:tblCellMar>
        <w:top w:w="0" w:type="dxa"/>
        <w:left w:w="0" w:type="dxa"/>
        <w:bottom w:w="0" w:type="dxa"/>
        <w:right w:w="0" w:type="dxa"/>
      </w:tblCellMar>
    </w:tblPr>
  </w:style>
  <w:style w:type="paragraph" w:customStyle="1" w:styleId="126">
    <w:name w:val="Basistekst Batenburg"/>
    <w:basedOn w:val="127"/>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7">
    <w:name w:val="Zsysbasis Batenburg"/>
    <w:next w:val="126"/>
    <w:qFormat/>
    <w:uiPriority w:val="0"/>
    <w:pPr>
      <w:spacing w:line="300" w:lineRule="atLeast"/>
    </w:pPr>
    <w:rPr>
      <w:rFonts w:ascii="Calibri" w:hAnsi="Calibri" w:eastAsia="宋体" w:cs="Times New Roman"/>
      <w:sz w:val="22"/>
      <w:szCs w:val="18"/>
      <w:lang w:val="en-US" w:eastAsia="zh-CN" w:bidi="ar-SA"/>
    </w:rPr>
  </w:style>
  <w:style w:type="paragraph" w:customStyle="1" w:styleId="128">
    <w:name w:val="BodyText"/>
    <w:basedOn w:val="1"/>
    <w:qFormat/>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22279</Words>
  <Characters>23123</Characters>
  <Lines>235</Lines>
  <Paragraphs>66</Paragraphs>
  <TotalTime>11</TotalTime>
  <ScaleCrop>false</ScaleCrop>
  <LinksUpToDate>false</LinksUpToDate>
  <CharactersWithSpaces>25596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小刀</cp:lastModifiedBy>
  <cp:lastPrinted>2023-10-10T13:24:00Z</cp:lastPrinted>
  <dcterms:modified xsi:type="dcterms:W3CDTF">2023-11-06T02:43:54Z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A36695D2C29F47C2B7AD2F27E0519FD1</vt:lpwstr>
  </property>
</Properties>
</file>