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jc w:val="center"/>
        <w:rPr>
          <w:rFonts w:ascii="宋体" w:hAnsi="宋体" w:cs="宋体"/>
          <w:b/>
          <w:sz w:val="52"/>
          <w:szCs w:val="52"/>
        </w:rPr>
      </w:pPr>
      <w:bookmarkStart w:id="0" w:name="_Toc29289"/>
      <w:r>
        <w:rPr>
          <w:rFonts w:hint="eastAsia" w:ascii="宋体" w:hAnsi="宋体" w:cs="宋体"/>
          <w:b/>
          <w:sz w:val="52"/>
          <w:szCs w:val="52"/>
        </w:rPr>
        <w:t>武陟县民政局居家社区养老服务体系</w:t>
      </w:r>
    </w:p>
    <w:p>
      <w:pPr>
        <w:pStyle w:val="38"/>
        <w:jc w:val="center"/>
      </w:pPr>
      <w:r>
        <w:rPr>
          <w:rFonts w:hint="eastAsia" w:ascii="宋体" w:hAnsi="宋体" w:cs="宋体"/>
          <w:b/>
          <w:sz w:val="52"/>
          <w:szCs w:val="52"/>
        </w:rPr>
        <w:t>建设项目</w:t>
      </w:r>
    </w:p>
    <w:p>
      <w:pPr>
        <w:jc w:val="center"/>
        <w:outlineLvl w:val="0"/>
        <w:rPr>
          <w:rFonts w:ascii="黑体" w:hAnsi="黑体" w:eastAsia="黑体" w:cs="黑体"/>
          <w:b/>
          <w:sz w:val="72"/>
          <w:szCs w:val="72"/>
        </w:rPr>
      </w:pPr>
      <w:bookmarkStart w:id="1" w:name="_Toc115021824"/>
    </w:p>
    <w:p>
      <w:pPr>
        <w:jc w:val="center"/>
        <w:outlineLvl w:val="0"/>
        <w:rPr>
          <w:rFonts w:ascii="黑体" w:hAnsi="黑体" w:eastAsia="黑体" w:cs="黑体"/>
          <w:b/>
          <w:sz w:val="72"/>
          <w:szCs w:val="72"/>
        </w:rPr>
      </w:pPr>
    </w:p>
    <w:p>
      <w:pPr>
        <w:jc w:val="center"/>
        <w:outlineLvl w:val="0"/>
        <w:rPr>
          <w:rFonts w:ascii="黑体" w:hAnsi="黑体" w:eastAsia="黑体" w:cs="黑体"/>
          <w:b/>
          <w:sz w:val="72"/>
          <w:szCs w:val="72"/>
        </w:rPr>
      </w:pPr>
    </w:p>
    <w:p>
      <w:pPr>
        <w:spacing w:line="360" w:lineRule="auto"/>
        <w:jc w:val="center"/>
        <w:rPr>
          <w:rFonts w:ascii="宋体" w:hAnsi="宋体" w:cs="宋体"/>
          <w:b/>
          <w:bCs/>
          <w:sz w:val="72"/>
          <w:szCs w:val="72"/>
        </w:rPr>
      </w:pPr>
      <w:r>
        <w:rPr>
          <w:rFonts w:hint="eastAsia" w:ascii="宋体" w:hAnsi="宋体" w:cs="宋体"/>
          <w:b/>
          <w:bCs/>
          <w:sz w:val="72"/>
          <w:szCs w:val="72"/>
        </w:rPr>
        <w:t>竞争性磋商文件</w:t>
      </w:r>
      <w:bookmarkEnd w:id="0"/>
      <w:bookmarkEnd w:id="1"/>
    </w:p>
    <w:p>
      <w:pPr>
        <w:jc w:val="center"/>
        <w:rPr>
          <w:rFonts w:ascii="宋体" w:hAnsi="宋体"/>
          <w:szCs w:val="21"/>
        </w:rPr>
      </w:pPr>
      <w:r>
        <w:rPr>
          <w:rFonts w:hint="eastAsia" w:ascii="宋体" w:hAnsi="宋体" w:cs="宋体"/>
          <w:sz w:val="28"/>
          <w:szCs w:val="28"/>
        </w:rPr>
        <w:t>项目编号：2023-10-11</w:t>
      </w:r>
    </w:p>
    <w:p>
      <w:pPr>
        <w:pStyle w:val="59"/>
      </w:pPr>
    </w:p>
    <w:p>
      <w:pPr>
        <w:pStyle w:val="38"/>
        <w:rPr>
          <w:rFonts w:ascii="宋体" w:hAnsi="宋体"/>
          <w:sz w:val="28"/>
          <w:szCs w:val="24"/>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pStyle w:val="38"/>
      </w:pPr>
    </w:p>
    <w:p>
      <w:pPr>
        <w:rPr>
          <w:rFonts w:ascii="宋体" w:hAnsi="宋体" w:cs="宋体"/>
          <w:b/>
          <w:bCs/>
          <w:sz w:val="32"/>
        </w:rPr>
      </w:pPr>
    </w:p>
    <w:p>
      <w:pPr>
        <w:ind w:firstLine="1606" w:firstLineChars="500"/>
        <w:rPr>
          <w:rFonts w:ascii="宋体" w:hAnsi="宋体" w:cs="宋体"/>
          <w:b/>
          <w:bCs/>
          <w:sz w:val="32"/>
        </w:rPr>
      </w:pPr>
      <w:r>
        <w:rPr>
          <w:rFonts w:hint="eastAsia" w:ascii="宋体" w:hAnsi="宋体" w:cs="宋体"/>
          <w:b/>
          <w:bCs/>
          <w:sz w:val="32"/>
        </w:rPr>
        <w:t>采   购   人：武陟县民政局</w:t>
      </w:r>
    </w:p>
    <w:p>
      <w:pPr>
        <w:rPr>
          <w:rFonts w:ascii="宋体" w:hAnsi="宋体" w:cs="宋体"/>
          <w:b/>
          <w:bCs/>
          <w:sz w:val="44"/>
          <w:szCs w:val="32"/>
        </w:rPr>
        <w:sectPr>
          <w:footerReference r:id="rId5" w:type="first"/>
          <w:headerReference r:id="rId3" w:type="default"/>
          <w:footerReference r:id="rId4" w:type="default"/>
          <w:pgSz w:w="11906" w:h="16838"/>
          <w:pgMar w:top="1440" w:right="1134" w:bottom="1440" w:left="1474" w:header="851" w:footer="992" w:gutter="0"/>
          <w:pgNumType w:start="1"/>
          <w:cols w:space="720" w:num="1"/>
          <w:docGrid w:type="lines" w:linePitch="312" w:charSpace="0"/>
        </w:sectPr>
      </w:pPr>
      <w:r>
        <w:rPr>
          <w:rFonts w:hint="eastAsia" w:ascii="宋体" w:hAnsi="宋体" w:cs="宋体"/>
          <w:b/>
          <w:bCs/>
          <w:sz w:val="32"/>
        </w:rPr>
        <w:t xml:space="preserve">          采购代理机构：河南韶达工程咨询有限公司</w:t>
      </w:r>
    </w:p>
    <w:p>
      <w:pPr>
        <w:pStyle w:val="26"/>
        <w:tabs>
          <w:tab w:val="right" w:leader="dot" w:pos="8820"/>
        </w:tabs>
        <w:spacing w:line="360" w:lineRule="auto"/>
        <w:jc w:val="center"/>
        <w:rPr>
          <w:rFonts w:ascii="宋体" w:hAnsi="宋体" w:cs="宋体"/>
          <w:b/>
          <w:bCs/>
          <w:caps/>
          <w:sz w:val="30"/>
          <w:szCs w:val="30"/>
          <w:lang w:val="zh-CN"/>
        </w:rPr>
      </w:pPr>
      <w:r>
        <w:rPr>
          <w:rFonts w:hint="eastAsia" w:ascii="宋体" w:hAnsi="宋体" w:cs="宋体"/>
          <w:b/>
          <w:bCs/>
          <w:caps/>
          <w:sz w:val="30"/>
          <w:szCs w:val="30"/>
          <w:lang w:val="zh-CN"/>
        </w:rPr>
        <w:t>目录</w:t>
      </w:r>
    </w:p>
    <w:p>
      <w:pPr>
        <w:pStyle w:val="26"/>
        <w:tabs>
          <w:tab w:val="right" w:leader="dot" w:pos="8820"/>
        </w:tabs>
      </w:pPr>
      <w:r>
        <w:rPr>
          <w:rFonts w:hint="eastAsia" w:ascii="宋体" w:hAnsi="宋体" w:cs="宋体"/>
          <w:b/>
          <w:bCs/>
          <w:caps/>
          <w:sz w:val="24"/>
          <w:szCs w:val="24"/>
          <w:lang w:val="zh-CN"/>
        </w:rPr>
        <w:fldChar w:fldCharType="begin"/>
      </w:r>
      <w:r>
        <w:rPr>
          <w:rFonts w:hint="eastAsia" w:ascii="宋体" w:hAnsi="宋体" w:cs="宋体"/>
          <w:b/>
          <w:bCs/>
          <w:caps/>
          <w:sz w:val="24"/>
          <w:szCs w:val="24"/>
          <w:lang w:val="zh-CN"/>
        </w:rPr>
        <w:instrText xml:space="preserve">TOC \o "1-1" \h \u </w:instrText>
      </w:r>
      <w:r>
        <w:rPr>
          <w:rFonts w:hint="eastAsia" w:ascii="宋体" w:hAnsi="宋体" w:cs="宋体"/>
          <w:b/>
          <w:bCs/>
          <w:caps/>
          <w:sz w:val="24"/>
          <w:szCs w:val="24"/>
          <w:lang w:val="zh-CN"/>
        </w:rPr>
        <w:fldChar w:fldCharType="separate"/>
      </w: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_Toc28456 </w:instrText>
      </w:r>
      <w:r>
        <w:rPr>
          <w:rFonts w:hint="eastAsia" w:ascii="宋体" w:hAnsi="宋体" w:cs="宋体"/>
          <w:bCs/>
          <w:caps/>
          <w:szCs w:val="24"/>
          <w:lang w:val="zh-CN"/>
        </w:rPr>
        <w:fldChar w:fldCharType="separate"/>
      </w:r>
      <w:r>
        <w:rPr>
          <w:rFonts w:hint="eastAsia" w:ascii="宋体" w:hAnsi="宋体" w:cs="宋体"/>
          <w:bCs/>
        </w:rPr>
        <w:t xml:space="preserve">第一章 </w:t>
      </w:r>
      <w:r>
        <w:rPr>
          <w:rFonts w:hint="eastAsia" w:ascii="宋体" w:hAnsi="宋体" w:cs="宋体"/>
          <w:bCs w:val="0"/>
        </w:rPr>
        <w:t>竞争性磋商公告</w:t>
      </w:r>
      <w:r>
        <w:tab/>
      </w:r>
      <w:r>
        <w:fldChar w:fldCharType="begin"/>
      </w:r>
      <w:r>
        <w:instrText xml:space="preserve"> PAGEREF _Toc28456 \h </w:instrText>
      </w:r>
      <w:r>
        <w:fldChar w:fldCharType="separate"/>
      </w:r>
      <w:r>
        <w:t>1</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_Toc19833 </w:instrText>
      </w:r>
      <w:r>
        <w:rPr>
          <w:rFonts w:hint="eastAsia" w:ascii="宋体" w:hAnsi="宋体" w:cs="宋体"/>
          <w:bCs/>
          <w:caps/>
          <w:szCs w:val="24"/>
          <w:lang w:val="zh-CN"/>
        </w:rPr>
        <w:fldChar w:fldCharType="separate"/>
      </w:r>
      <w:r>
        <w:rPr>
          <w:rFonts w:hint="eastAsia" w:ascii="宋体" w:hAnsi="宋体" w:cs="宋体"/>
          <w:bCs/>
        </w:rPr>
        <w:t xml:space="preserve">第二章 </w:t>
      </w:r>
      <w:r>
        <w:rPr>
          <w:rFonts w:hint="eastAsia" w:ascii="宋体" w:hAnsi="宋体" w:cs="宋体"/>
        </w:rPr>
        <w:t>供应商须知</w:t>
      </w:r>
      <w:r>
        <w:tab/>
      </w:r>
      <w:r>
        <w:fldChar w:fldCharType="begin"/>
      </w:r>
      <w:r>
        <w:instrText xml:space="preserve"> PAGEREF _Toc19833 \h </w:instrText>
      </w:r>
      <w:r>
        <w:fldChar w:fldCharType="separate"/>
      </w:r>
      <w:r>
        <w:t>4</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_Toc879 </w:instrText>
      </w:r>
      <w:r>
        <w:rPr>
          <w:rFonts w:hint="eastAsia" w:ascii="宋体" w:hAnsi="宋体" w:cs="宋体"/>
          <w:bCs/>
          <w:caps/>
          <w:szCs w:val="24"/>
          <w:lang w:val="zh-CN"/>
        </w:rPr>
        <w:fldChar w:fldCharType="separate"/>
      </w:r>
      <w:r>
        <w:rPr>
          <w:rFonts w:hint="eastAsia" w:ascii="宋体" w:hAnsi="宋体" w:cs="宋体"/>
          <w:bCs/>
        </w:rPr>
        <w:t xml:space="preserve">第三章 </w:t>
      </w:r>
      <w:r>
        <w:rPr>
          <w:rFonts w:hint="eastAsia" w:ascii="宋体" w:hAnsi="宋体" w:cs="宋体"/>
        </w:rPr>
        <w:t>评审方法和评审标准</w:t>
      </w:r>
      <w:r>
        <w:tab/>
      </w:r>
      <w:r>
        <w:fldChar w:fldCharType="begin"/>
      </w:r>
      <w:r>
        <w:instrText xml:space="preserve"> PAGEREF _Toc879 \h </w:instrText>
      </w:r>
      <w:r>
        <w:fldChar w:fldCharType="separate"/>
      </w:r>
      <w:r>
        <w:t>19</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_Toc25216 </w:instrText>
      </w:r>
      <w:r>
        <w:rPr>
          <w:rFonts w:hint="eastAsia" w:ascii="宋体" w:hAnsi="宋体" w:cs="宋体"/>
          <w:bCs/>
          <w:caps/>
          <w:szCs w:val="24"/>
          <w:lang w:val="zh-CN"/>
        </w:rPr>
        <w:fldChar w:fldCharType="separate"/>
      </w:r>
      <w:r>
        <w:rPr>
          <w:rFonts w:hint="eastAsia" w:ascii="宋体" w:hAnsi="宋体" w:cs="宋体"/>
          <w:bCs/>
        </w:rPr>
        <w:t xml:space="preserve">第四章 </w:t>
      </w:r>
      <w:r>
        <w:rPr>
          <w:rFonts w:hint="eastAsia" w:ascii="宋体" w:hAnsi="宋体" w:cs="宋体"/>
        </w:rPr>
        <w:t>拟签订的合同文本</w:t>
      </w:r>
      <w:r>
        <w:tab/>
      </w:r>
      <w:r>
        <w:fldChar w:fldCharType="begin"/>
      </w:r>
      <w:r>
        <w:instrText xml:space="preserve"> PAGEREF _Toc25216 \h </w:instrText>
      </w:r>
      <w:r>
        <w:fldChar w:fldCharType="separate"/>
      </w:r>
      <w:r>
        <w:t>21</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_Toc10079 </w:instrText>
      </w:r>
      <w:r>
        <w:rPr>
          <w:rFonts w:hint="eastAsia" w:ascii="宋体" w:hAnsi="宋体" w:cs="宋体"/>
          <w:bCs/>
          <w:caps/>
          <w:szCs w:val="24"/>
          <w:lang w:val="zh-CN"/>
        </w:rPr>
        <w:fldChar w:fldCharType="separate"/>
      </w:r>
      <w:r>
        <w:rPr>
          <w:rFonts w:hint="eastAsia" w:ascii="宋体" w:hAnsi="宋体" w:cs="宋体"/>
          <w:bCs/>
        </w:rPr>
        <w:t xml:space="preserve">第五章 </w:t>
      </w:r>
      <w:r>
        <w:rPr>
          <w:rFonts w:hint="eastAsia" w:ascii="宋体" w:hAnsi="宋体" w:cs="宋体"/>
        </w:rPr>
        <w:t>采购需求</w:t>
      </w:r>
      <w:r>
        <w:tab/>
      </w:r>
      <w:r>
        <w:fldChar w:fldCharType="begin"/>
      </w:r>
      <w:r>
        <w:instrText xml:space="preserve"> PAGEREF _Toc10079 \h </w:instrText>
      </w:r>
      <w:r>
        <w:fldChar w:fldCharType="separate"/>
      </w:r>
      <w:r>
        <w:t>22</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_Toc17340 </w:instrText>
      </w:r>
      <w:r>
        <w:rPr>
          <w:rFonts w:hint="eastAsia" w:ascii="宋体" w:hAnsi="宋体" w:cs="宋体"/>
          <w:bCs/>
          <w:caps/>
          <w:szCs w:val="24"/>
          <w:lang w:val="zh-CN"/>
        </w:rPr>
        <w:fldChar w:fldCharType="separate"/>
      </w:r>
      <w:r>
        <w:rPr>
          <w:rFonts w:hint="eastAsia" w:ascii="宋体" w:hAnsi="宋体" w:cs="宋体"/>
        </w:rPr>
        <w:t>第六章 响应文件格式</w:t>
      </w:r>
      <w:r>
        <w:tab/>
      </w:r>
      <w:r>
        <w:fldChar w:fldCharType="begin"/>
      </w:r>
      <w:r>
        <w:instrText xml:space="preserve"> PAGEREF _Toc17340 \h </w:instrText>
      </w:r>
      <w:r>
        <w:fldChar w:fldCharType="separate"/>
      </w:r>
      <w:r>
        <w:t>26</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_Toc14891 </w:instrText>
      </w:r>
      <w:r>
        <w:rPr>
          <w:rFonts w:hint="eastAsia" w:ascii="宋体" w:hAnsi="宋体" w:cs="宋体"/>
          <w:bCs/>
          <w:caps/>
          <w:szCs w:val="24"/>
          <w:lang w:val="zh-CN"/>
        </w:rPr>
        <w:fldChar w:fldCharType="separate"/>
      </w:r>
      <w:r>
        <w:rPr>
          <w:rFonts w:ascii="宋体" w:hAnsi="宋体" w:cs="宋体"/>
          <w:szCs w:val="32"/>
        </w:rPr>
        <w:t xml:space="preserve">1. </w:t>
      </w:r>
      <w:r>
        <w:rPr>
          <w:rFonts w:hint="eastAsia" w:ascii="宋体" w:hAnsi="宋体" w:cs="宋体"/>
          <w:szCs w:val="32"/>
        </w:rPr>
        <w:t>磋商承诺函</w:t>
      </w:r>
      <w:r>
        <w:tab/>
      </w:r>
      <w:r>
        <w:fldChar w:fldCharType="begin"/>
      </w:r>
      <w:r>
        <w:instrText xml:space="preserve"> PAGEREF _Toc14891 \h </w:instrText>
      </w:r>
      <w:r>
        <w:fldChar w:fldCharType="separate"/>
      </w:r>
      <w:r>
        <w:t>29</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_Toc3834 </w:instrText>
      </w:r>
      <w:r>
        <w:rPr>
          <w:rFonts w:hint="eastAsia" w:ascii="宋体" w:hAnsi="宋体" w:cs="宋体"/>
          <w:bCs/>
          <w:caps/>
          <w:szCs w:val="24"/>
          <w:lang w:val="zh-CN"/>
        </w:rPr>
        <w:fldChar w:fldCharType="separate"/>
      </w:r>
      <w:r>
        <w:rPr>
          <w:rFonts w:ascii="宋体" w:hAnsi="宋体" w:cs="宋体"/>
          <w:szCs w:val="32"/>
        </w:rPr>
        <w:t xml:space="preserve">2. </w:t>
      </w:r>
      <w:r>
        <w:rPr>
          <w:rFonts w:hint="eastAsia" w:ascii="宋体" w:hAnsi="宋体" w:cs="宋体"/>
          <w:szCs w:val="32"/>
        </w:rPr>
        <w:t>承诺书</w:t>
      </w:r>
      <w:r>
        <w:tab/>
      </w:r>
      <w:r>
        <w:fldChar w:fldCharType="begin"/>
      </w:r>
      <w:r>
        <w:instrText xml:space="preserve"> PAGEREF _Toc3834 \h </w:instrText>
      </w:r>
      <w:r>
        <w:fldChar w:fldCharType="separate"/>
      </w:r>
      <w:r>
        <w:t>31</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_Toc22569 </w:instrText>
      </w:r>
      <w:r>
        <w:rPr>
          <w:rFonts w:hint="eastAsia" w:ascii="宋体" w:hAnsi="宋体" w:cs="宋体"/>
          <w:bCs/>
          <w:caps/>
          <w:szCs w:val="24"/>
          <w:lang w:val="zh-CN"/>
        </w:rPr>
        <w:fldChar w:fldCharType="separate"/>
      </w:r>
      <w:r>
        <w:rPr>
          <w:rFonts w:ascii="宋体" w:hAnsi="宋体" w:cs="宋体"/>
          <w:szCs w:val="32"/>
        </w:rPr>
        <w:t xml:space="preserve">3. </w:t>
      </w:r>
      <w:r>
        <w:rPr>
          <w:rFonts w:hint="eastAsia" w:ascii="宋体" w:hAnsi="宋体" w:cs="宋体"/>
          <w:szCs w:val="32"/>
        </w:rPr>
        <w:t>供应商基本情况表</w:t>
      </w:r>
      <w:r>
        <w:tab/>
      </w:r>
      <w:r>
        <w:fldChar w:fldCharType="begin"/>
      </w:r>
      <w:r>
        <w:instrText xml:space="preserve"> PAGEREF _Toc22569 \h </w:instrText>
      </w:r>
      <w:r>
        <w:fldChar w:fldCharType="separate"/>
      </w:r>
      <w:r>
        <w:t>32</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_Toc5618 </w:instrText>
      </w:r>
      <w:r>
        <w:rPr>
          <w:rFonts w:hint="eastAsia" w:ascii="宋体" w:hAnsi="宋体" w:cs="宋体"/>
          <w:bCs/>
          <w:caps/>
          <w:szCs w:val="24"/>
          <w:lang w:val="zh-CN"/>
        </w:rPr>
        <w:fldChar w:fldCharType="separate"/>
      </w:r>
      <w:r>
        <w:rPr>
          <w:rFonts w:ascii="宋体" w:hAnsi="宋体" w:cs="宋体"/>
          <w:szCs w:val="32"/>
        </w:rPr>
        <w:t xml:space="preserve">4. </w:t>
      </w:r>
      <w:r>
        <w:rPr>
          <w:rFonts w:hint="eastAsia" w:ascii="宋体" w:hAnsi="宋体"/>
          <w:szCs w:val="32"/>
        </w:rPr>
        <w:t>拟派驻本项目人员情况一览表</w:t>
      </w:r>
      <w:r>
        <w:tab/>
      </w:r>
      <w:r>
        <w:fldChar w:fldCharType="begin"/>
      </w:r>
      <w:r>
        <w:instrText xml:space="preserve"> PAGEREF _Toc5618 \h </w:instrText>
      </w:r>
      <w:r>
        <w:fldChar w:fldCharType="separate"/>
      </w:r>
      <w:r>
        <w:t>33</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_Toc8 </w:instrText>
      </w:r>
      <w:r>
        <w:rPr>
          <w:rFonts w:hint="eastAsia" w:ascii="宋体" w:hAnsi="宋体" w:cs="宋体"/>
          <w:bCs/>
          <w:caps/>
          <w:szCs w:val="24"/>
          <w:lang w:val="zh-CN"/>
        </w:rPr>
        <w:fldChar w:fldCharType="separate"/>
      </w:r>
      <w:r>
        <w:rPr>
          <w:rFonts w:ascii="宋体" w:hAnsi="宋体" w:cs="宋体"/>
          <w:szCs w:val="32"/>
        </w:rPr>
        <w:t xml:space="preserve">5. </w:t>
      </w:r>
      <w:r>
        <w:rPr>
          <w:rFonts w:hint="eastAsia" w:ascii="宋体" w:hAnsi="宋体" w:cs="宋体"/>
          <w:szCs w:val="32"/>
        </w:rPr>
        <w:t>第一轮报价表</w:t>
      </w:r>
      <w:r>
        <w:tab/>
      </w:r>
      <w:r>
        <w:fldChar w:fldCharType="begin"/>
      </w:r>
      <w:r>
        <w:instrText xml:space="preserve"> PAGEREF _Toc8 \h </w:instrText>
      </w:r>
      <w:r>
        <w:fldChar w:fldCharType="separate"/>
      </w:r>
      <w:r>
        <w:t>34</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_Toc18724 </w:instrText>
      </w:r>
      <w:r>
        <w:rPr>
          <w:rFonts w:hint="eastAsia" w:ascii="宋体" w:hAnsi="宋体" w:cs="宋体"/>
          <w:bCs/>
          <w:caps/>
          <w:szCs w:val="24"/>
          <w:lang w:val="zh-CN"/>
        </w:rPr>
        <w:fldChar w:fldCharType="separate"/>
      </w:r>
      <w:r>
        <w:rPr>
          <w:rFonts w:ascii="宋体" w:hAnsi="宋体" w:cs="宋体"/>
          <w:szCs w:val="32"/>
        </w:rPr>
        <w:t xml:space="preserve">6. </w:t>
      </w:r>
      <w:r>
        <w:rPr>
          <w:rFonts w:hint="eastAsia" w:ascii="宋体" w:hAnsi="宋体" w:cs="宋体"/>
          <w:szCs w:val="32"/>
        </w:rPr>
        <w:t>报价明细表</w:t>
      </w:r>
      <w:r>
        <w:tab/>
      </w:r>
      <w:r>
        <w:fldChar w:fldCharType="begin"/>
      </w:r>
      <w:r>
        <w:instrText xml:space="preserve"> PAGEREF _Toc18724 \h </w:instrText>
      </w:r>
      <w:r>
        <w:fldChar w:fldCharType="separate"/>
      </w:r>
      <w:r>
        <w:t>35</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_Toc17062 </w:instrText>
      </w:r>
      <w:r>
        <w:rPr>
          <w:rFonts w:hint="eastAsia" w:ascii="宋体" w:hAnsi="宋体" w:cs="宋体"/>
          <w:bCs/>
          <w:caps/>
          <w:szCs w:val="24"/>
          <w:lang w:val="zh-CN"/>
        </w:rPr>
        <w:fldChar w:fldCharType="separate"/>
      </w:r>
      <w:r>
        <w:rPr>
          <w:rFonts w:ascii="宋体" w:hAnsi="宋体" w:cs="宋体"/>
          <w:szCs w:val="32"/>
        </w:rPr>
        <w:t xml:space="preserve">7. </w:t>
      </w:r>
      <w:r>
        <w:rPr>
          <w:rFonts w:hint="eastAsia" w:ascii="宋体" w:hAnsi="宋体" w:cs="宋体"/>
          <w:szCs w:val="32"/>
        </w:rPr>
        <w:t>响应服务要求的承诺</w:t>
      </w:r>
      <w:r>
        <w:tab/>
      </w:r>
      <w:r>
        <w:fldChar w:fldCharType="begin"/>
      </w:r>
      <w:r>
        <w:instrText xml:space="preserve"> PAGEREF _Toc17062 \h </w:instrText>
      </w:r>
      <w:r>
        <w:fldChar w:fldCharType="separate"/>
      </w:r>
      <w:r>
        <w:t>39</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_Toc22224 </w:instrText>
      </w:r>
      <w:r>
        <w:rPr>
          <w:rFonts w:hint="eastAsia" w:ascii="宋体" w:hAnsi="宋体" w:cs="宋体"/>
          <w:bCs/>
          <w:caps/>
          <w:szCs w:val="24"/>
          <w:lang w:val="zh-CN"/>
        </w:rPr>
        <w:fldChar w:fldCharType="separate"/>
      </w:r>
      <w:r>
        <w:rPr>
          <w:rFonts w:ascii="宋体" w:hAnsi="宋体" w:cs="宋体"/>
          <w:szCs w:val="32"/>
        </w:rPr>
        <w:t xml:space="preserve">8. </w:t>
      </w:r>
      <w:r>
        <w:rPr>
          <w:rFonts w:hint="eastAsia" w:ascii="宋体" w:hAnsi="宋体" w:cs="宋体"/>
          <w:szCs w:val="32"/>
        </w:rPr>
        <w:t>商务响应表</w:t>
      </w:r>
      <w:r>
        <w:tab/>
      </w:r>
      <w:r>
        <w:fldChar w:fldCharType="begin"/>
      </w:r>
      <w:r>
        <w:instrText xml:space="preserve"> PAGEREF _Toc22224 \h </w:instrText>
      </w:r>
      <w:r>
        <w:fldChar w:fldCharType="separate"/>
      </w:r>
      <w:r>
        <w:t>40</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_Toc23224 </w:instrText>
      </w:r>
      <w:r>
        <w:rPr>
          <w:rFonts w:hint="eastAsia" w:ascii="宋体" w:hAnsi="宋体" w:cs="宋体"/>
          <w:bCs/>
          <w:caps/>
          <w:szCs w:val="24"/>
          <w:lang w:val="zh-CN"/>
        </w:rPr>
        <w:fldChar w:fldCharType="separate"/>
      </w:r>
      <w:r>
        <w:rPr>
          <w:rFonts w:ascii="宋体" w:hAnsi="宋体" w:cs="宋体"/>
          <w:szCs w:val="32"/>
        </w:rPr>
        <w:t xml:space="preserve">9. </w:t>
      </w:r>
      <w:r>
        <w:rPr>
          <w:rFonts w:hint="eastAsia" w:ascii="宋体" w:hAnsi="宋体" w:cs="宋体"/>
          <w:szCs w:val="32"/>
        </w:rPr>
        <w:t>资格证明材料</w:t>
      </w:r>
      <w:r>
        <w:tab/>
      </w:r>
      <w:r>
        <w:fldChar w:fldCharType="begin"/>
      </w:r>
      <w:r>
        <w:instrText xml:space="preserve"> PAGEREF _Toc23224 \h </w:instrText>
      </w:r>
      <w:r>
        <w:fldChar w:fldCharType="separate"/>
      </w:r>
      <w:r>
        <w:t>41</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_Toc1661 </w:instrText>
      </w:r>
      <w:r>
        <w:rPr>
          <w:rFonts w:hint="eastAsia" w:ascii="宋体" w:hAnsi="宋体" w:cs="宋体"/>
          <w:bCs/>
          <w:caps/>
          <w:szCs w:val="24"/>
          <w:lang w:val="zh-CN"/>
        </w:rPr>
        <w:fldChar w:fldCharType="separate"/>
      </w:r>
      <w:r>
        <w:rPr>
          <w:rFonts w:ascii="宋体" w:hAnsi="宋体" w:cs="宋体"/>
          <w:szCs w:val="32"/>
        </w:rPr>
        <w:t xml:space="preserve">10. </w:t>
      </w:r>
      <w:r>
        <w:rPr>
          <w:rFonts w:hint="eastAsia" w:ascii="宋体" w:hAnsi="宋体" w:cs="宋体"/>
          <w:szCs w:val="32"/>
        </w:rPr>
        <w:t>法定代表人身份证明或授权委托书</w:t>
      </w:r>
      <w:r>
        <w:tab/>
      </w:r>
      <w:r>
        <w:fldChar w:fldCharType="begin"/>
      </w:r>
      <w:r>
        <w:instrText xml:space="preserve"> PAGEREF _Toc1661 \h </w:instrText>
      </w:r>
      <w:r>
        <w:fldChar w:fldCharType="separate"/>
      </w:r>
      <w:r>
        <w:t>45</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_Toc12967 </w:instrText>
      </w:r>
      <w:r>
        <w:rPr>
          <w:rFonts w:hint="eastAsia" w:ascii="宋体" w:hAnsi="宋体" w:cs="宋体"/>
          <w:bCs/>
          <w:caps/>
          <w:szCs w:val="24"/>
          <w:lang w:val="zh-CN"/>
        </w:rPr>
        <w:fldChar w:fldCharType="separate"/>
      </w:r>
      <w:r>
        <w:rPr>
          <w:rFonts w:ascii="宋体" w:hAnsi="宋体" w:cs="宋体"/>
          <w:szCs w:val="32"/>
        </w:rPr>
        <w:t xml:space="preserve">11. </w:t>
      </w:r>
      <w:r>
        <w:rPr>
          <w:rFonts w:hint="eastAsia" w:ascii="宋体" w:hAnsi="宋体" w:cs="宋体"/>
          <w:szCs w:val="32"/>
        </w:rPr>
        <w:t>残疾人福利性单位声明函</w:t>
      </w:r>
      <w:r>
        <w:tab/>
      </w:r>
      <w:r>
        <w:fldChar w:fldCharType="begin"/>
      </w:r>
      <w:r>
        <w:instrText xml:space="preserve"> PAGEREF _Toc12967 \h </w:instrText>
      </w:r>
      <w:r>
        <w:fldChar w:fldCharType="separate"/>
      </w:r>
      <w:r>
        <w:t>47</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_Toc24042 </w:instrText>
      </w:r>
      <w:r>
        <w:rPr>
          <w:rFonts w:hint="eastAsia" w:ascii="宋体" w:hAnsi="宋体" w:cs="宋体"/>
          <w:bCs/>
          <w:caps/>
          <w:szCs w:val="24"/>
          <w:lang w:val="zh-CN"/>
        </w:rPr>
        <w:fldChar w:fldCharType="separate"/>
      </w:r>
      <w:r>
        <w:rPr>
          <w:rFonts w:ascii="宋体" w:hAnsi="宋体" w:cs="宋体"/>
          <w:szCs w:val="32"/>
        </w:rPr>
        <w:t xml:space="preserve">12. </w:t>
      </w:r>
      <w:r>
        <w:rPr>
          <w:rFonts w:hint="eastAsia" w:ascii="宋体" w:hAnsi="宋体" w:cs="宋体"/>
          <w:szCs w:val="32"/>
        </w:rPr>
        <w:t>反商业贿赂承诺书</w:t>
      </w:r>
      <w:r>
        <w:tab/>
      </w:r>
      <w:r>
        <w:fldChar w:fldCharType="begin"/>
      </w:r>
      <w:r>
        <w:instrText xml:space="preserve"> PAGEREF _Toc24042 \h </w:instrText>
      </w:r>
      <w:r>
        <w:fldChar w:fldCharType="separate"/>
      </w:r>
      <w:r>
        <w:t>48</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_Toc21065 </w:instrText>
      </w:r>
      <w:r>
        <w:rPr>
          <w:rFonts w:hint="eastAsia" w:ascii="宋体" w:hAnsi="宋体" w:cs="宋体"/>
          <w:bCs/>
          <w:caps/>
          <w:szCs w:val="24"/>
          <w:lang w:val="zh-CN"/>
        </w:rPr>
        <w:fldChar w:fldCharType="separate"/>
      </w:r>
      <w:r>
        <w:rPr>
          <w:rFonts w:ascii="宋体" w:hAnsi="宋体" w:cs="宋体"/>
          <w:szCs w:val="32"/>
        </w:rPr>
        <w:t xml:space="preserve">13. </w:t>
      </w:r>
      <w:r>
        <w:rPr>
          <w:rFonts w:hint="eastAsia" w:ascii="宋体" w:hAnsi="宋体" w:cs="宋体"/>
          <w:szCs w:val="32"/>
        </w:rPr>
        <w:t>竞争性磋商文件要求的以及供应商认为应该提供的其他材料</w:t>
      </w:r>
      <w:r>
        <w:tab/>
      </w:r>
      <w:r>
        <w:fldChar w:fldCharType="begin"/>
      </w:r>
      <w:r>
        <w:instrText xml:space="preserve"> PAGEREF _Toc21065 \h </w:instrText>
      </w:r>
      <w:r>
        <w:fldChar w:fldCharType="separate"/>
      </w:r>
      <w:r>
        <w:t>49</w:t>
      </w:r>
      <w:r>
        <w:fldChar w:fldCharType="end"/>
      </w:r>
      <w:r>
        <w:rPr>
          <w:rFonts w:hint="eastAsia" w:ascii="宋体" w:hAnsi="宋体" w:cs="宋体"/>
          <w:bCs/>
          <w:caps/>
          <w:szCs w:val="24"/>
          <w:lang w:val="zh-CN"/>
        </w:rPr>
        <w:fldChar w:fldCharType="end"/>
      </w:r>
    </w:p>
    <w:p>
      <w:pPr>
        <w:pStyle w:val="26"/>
        <w:tabs>
          <w:tab w:val="right" w:leader="dot" w:pos="8820"/>
        </w:tabs>
        <w:spacing w:line="360" w:lineRule="auto"/>
        <w:rPr>
          <w:rFonts w:ascii="宋体" w:hAnsi="宋体" w:cs="宋体"/>
          <w:b/>
          <w:bCs/>
          <w:caps/>
          <w:sz w:val="24"/>
          <w:szCs w:val="24"/>
          <w:lang w:val="zh-CN"/>
        </w:rPr>
      </w:pPr>
      <w:r>
        <w:rPr>
          <w:rFonts w:hint="eastAsia" w:ascii="宋体" w:hAnsi="宋体" w:cs="宋体"/>
          <w:bCs/>
          <w:caps/>
          <w:szCs w:val="24"/>
          <w:lang w:val="zh-CN"/>
        </w:rPr>
        <w:fldChar w:fldCharType="end"/>
      </w:r>
    </w:p>
    <w:p>
      <w:pPr>
        <w:pStyle w:val="87"/>
        <w:jc w:val="center"/>
        <w:rPr>
          <w:rFonts w:ascii="宋体" w:hAnsi="宋体" w:cs="宋体"/>
          <w:b/>
          <w:color w:val="FF0000"/>
          <w:sz w:val="28"/>
          <w:szCs w:val="28"/>
        </w:rPr>
      </w:pPr>
    </w:p>
    <w:p>
      <w:pPr>
        <w:pStyle w:val="87"/>
        <w:rPr>
          <w:rFonts w:ascii="宋体" w:hAnsi="宋体" w:cs="宋体"/>
          <w:color w:val="FF0000"/>
        </w:rPr>
      </w:pPr>
      <w:r>
        <w:rPr>
          <w:rFonts w:hint="eastAsia" w:ascii="宋体" w:hAnsi="宋体" w:cs="宋体"/>
          <w:color w:val="FF0000"/>
        </w:rPr>
        <w:t> </w:t>
      </w:r>
      <w:bookmarkStart w:id="194" w:name="_GoBack"/>
      <w:bookmarkEnd w:id="194"/>
    </w:p>
    <w:p>
      <w:pPr>
        <w:pStyle w:val="87"/>
        <w:ind w:firstLine="480" w:firstLineChars="200"/>
        <w:rPr>
          <w:rFonts w:ascii="宋体" w:hAnsi="宋体" w:cs="宋体"/>
          <w:color w:val="FF0000"/>
        </w:rPr>
      </w:pPr>
    </w:p>
    <w:p>
      <w:pPr>
        <w:rPr>
          <w:rFonts w:ascii="宋体" w:hAnsi="宋体" w:cs="宋体"/>
          <w:color w:val="FF0000"/>
        </w:rPr>
        <w:sectPr>
          <w:footerReference r:id="rId9" w:type="first"/>
          <w:headerReference r:id="rId6" w:type="default"/>
          <w:footerReference r:id="rId8" w:type="default"/>
          <w:headerReference r:id="rId7" w:type="even"/>
          <w:pgSz w:w="11906" w:h="16838"/>
          <w:pgMar w:top="1440" w:right="1286" w:bottom="1440" w:left="1800" w:header="851" w:footer="992" w:gutter="0"/>
          <w:pgNumType w:start="1"/>
          <w:cols w:space="720" w:num="1"/>
          <w:docGrid w:type="lines" w:linePitch="312" w:charSpace="0"/>
        </w:sectPr>
      </w:pPr>
    </w:p>
    <w:p>
      <w:pPr>
        <w:pStyle w:val="36"/>
        <w:numPr>
          <w:ilvl w:val="0"/>
          <w:numId w:val="1"/>
        </w:numPr>
        <w:spacing w:line="360" w:lineRule="auto"/>
        <w:ind w:firstLine="0"/>
        <w:rPr>
          <w:rFonts w:ascii="宋体" w:hAnsi="宋体" w:cs="宋体"/>
          <w:bCs w:val="0"/>
        </w:rPr>
      </w:pPr>
      <w:bookmarkStart w:id="2" w:name="_Toc28456"/>
      <w:bookmarkStart w:id="3" w:name="_Toc30568"/>
      <w:r>
        <w:rPr>
          <w:rFonts w:hint="eastAsia" w:ascii="宋体" w:hAnsi="宋体" w:cs="宋体"/>
          <w:bCs w:val="0"/>
        </w:rPr>
        <w:t>竞争性磋商公告</w:t>
      </w:r>
      <w:bookmarkEnd w:id="2"/>
      <w:bookmarkEnd w:id="3"/>
    </w:p>
    <w:p>
      <w:pPr>
        <w:spacing w:line="400" w:lineRule="exact"/>
        <w:ind w:firstLine="562" w:firstLineChars="200"/>
        <w:jc w:val="center"/>
        <w:rPr>
          <w:rFonts w:ascii="宋体" w:hAnsi="宋体" w:cs="宋体"/>
          <w:b/>
          <w:bCs/>
          <w:sz w:val="28"/>
          <w:szCs w:val="28"/>
        </w:rPr>
      </w:pPr>
    </w:p>
    <w:p>
      <w:pPr>
        <w:spacing w:line="400" w:lineRule="exact"/>
        <w:jc w:val="center"/>
        <w:rPr>
          <w:rFonts w:ascii="宋体" w:hAnsi="宋体" w:cs="宋体"/>
          <w:b/>
          <w:bCs/>
          <w:sz w:val="28"/>
          <w:szCs w:val="28"/>
        </w:rPr>
      </w:pPr>
      <w:r>
        <w:rPr>
          <w:rFonts w:hint="eastAsia" w:ascii="宋体" w:hAnsi="宋体" w:cs="宋体"/>
          <w:b/>
          <w:bCs/>
          <w:sz w:val="28"/>
          <w:szCs w:val="28"/>
        </w:rPr>
        <w:t>武陟县民政局居家社区养老服务体系建设项目竞争性磋商公告</w:t>
      </w:r>
      <w:bookmarkStart w:id="4" w:name="_Toc15614"/>
      <w:bookmarkStart w:id="5" w:name="_Toc408816341"/>
      <w:bookmarkStart w:id="6" w:name="_Toc22562"/>
      <w:bookmarkStart w:id="7" w:name="_Toc373230021"/>
      <w:bookmarkStart w:id="8" w:name="_Toc477423242"/>
      <w:bookmarkStart w:id="9" w:name="_Toc374512408"/>
    </w:p>
    <w:p>
      <w:pPr>
        <w:pStyle w:val="38"/>
      </w:pPr>
    </w:p>
    <w:p>
      <w:pPr>
        <w:spacing w:line="440" w:lineRule="exact"/>
        <w:ind w:firstLine="480" w:firstLineChars="200"/>
        <w:rPr>
          <w:rFonts w:ascii="宋体" w:hAnsi="宋体" w:cs="宋体"/>
          <w:sz w:val="24"/>
          <w:szCs w:val="24"/>
        </w:rPr>
      </w:pPr>
      <w:r>
        <w:rPr>
          <w:rFonts w:hint="eastAsia" w:ascii="宋体" w:hAnsi="宋体" w:cs="宋体"/>
          <w:sz w:val="24"/>
          <w:szCs w:val="24"/>
        </w:rPr>
        <w:t>项目概况</w:t>
      </w:r>
    </w:p>
    <w:p>
      <w:pPr>
        <w:spacing w:line="440" w:lineRule="exact"/>
        <w:ind w:firstLine="480" w:firstLineChars="200"/>
        <w:rPr>
          <w:rFonts w:ascii="宋体" w:hAnsi="宋体" w:cs="宋体"/>
          <w:sz w:val="24"/>
          <w:szCs w:val="24"/>
        </w:rPr>
      </w:pPr>
      <w:r>
        <w:rPr>
          <w:rFonts w:hint="eastAsia" w:ascii="宋体" w:hAnsi="宋体" w:cs="宋体"/>
          <w:sz w:val="24"/>
          <w:szCs w:val="24"/>
        </w:rPr>
        <w:t>武陟县民政局居家社区养老服务体系建设项目的潜在投标人应在焦作市公共资源交易中心网站获取招标文件，并于</w:t>
      </w:r>
      <w:r>
        <w:rPr>
          <w:rFonts w:hint="eastAsia" w:ascii="宋体" w:hAnsi="宋体" w:cs="宋体"/>
          <w:color w:val="FF0000"/>
          <w:sz w:val="24"/>
          <w:szCs w:val="24"/>
        </w:rPr>
        <w:t xml:space="preserve">    年  月  日09时00分</w:t>
      </w:r>
      <w:r>
        <w:rPr>
          <w:rFonts w:hint="eastAsia" w:ascii="宋体" w:hAnsi="宋体" w:cs="宋体"/>
          <w:sz w:val="24"/>
          <w:szCs w:val="24"/>
        </w:rPr>
        <w:t>（北京时间）前递交响应文件。</w:t>
      </w:r>
    </w:p>
    <w:p>
      <w:pPr>
        <w:spacing w:line="440" w:lineRule="exact"/>
        <w:ind w:firstLine="482" w:firstLineChars="200"/>
        <w:rPr>
          <w:rFonts w:ascii="宋体" w:hAnsi="宋体" w:cs="宋体"/>
          <w:b/>
          <w:bCs/>
          <w:sz w:val="24"/>
          <w:szCs w:val="24"/>
        </w:rPr>
      </w:pPr>
      <w:r>
        <w:rPr>
          <w:rFonts w:hint="eastAsia" w:ascii="宋体" w:hAnsi="宋体" w:cs="宋体"/>
          <w:b/>
          <w:bCs/>
          <w:sz w:val="24"/>
          <w:szCs w:val="24"/>
        </w:rPr>
        <w:t>一、项目基本情况</w:t>
      </w:r>
    </w:p>
    <w:p>
      <w:pPr>
        <w:spacing w:line="440" w:lineRule="exact"/>
        <w:ind w:firstLine="480" w:firstLineChars="200"/>
        <w:rPr>
          <w:rFonts w:ascii="宋体" w:hAnsi="宋体" w:cs="宋体"/>
          <w:sz w:val="24"/>
          <w:szCs w:val="24"/>
          <w:highlight w:val="yellow"/>
        </w:rPr>
      </w:pPr>
      <w:r>
        <w:rPr>
          <w:rFonts w:hint="eastAsia" w:ascii="宋体" w:hAnsi="宋体" w:cs="宋体"/>
          <w:sz w:val="24"/>
          <w:szCs w:val="24"/>
        </w:rPr>
        <w:t>1、项目编号：2023-10-11</w:t>
      </w:r>
    </w:p>
    <w:p>
      <w:pPr>
        <w:spacing w:line="440" w:lineRule="exact"/>
        <w:ind w:firstLine="480" w:firstLineChars="200"/>
        <w:rPr>
          <w:rFonts w:ascii="宋体" w:hAnsi="宋体" w:cs="宋体"/>
          <w:sz w:val="24"/>
          <w:szCs w:val="24"/>
        </w:rPr>
      </w:pPr>
      <w:r>
        <w:rPr>
          <w:rFonts w:hint="eastAsia" w:ascii="宋体" w:hAnsi="宋体" w:cs="宋体"/>
          <w:sz w:val="24"/>
          <w:szCs w:val="24"/>
        </w:rPr>
        <w:t>2、项目名称：武陟县民政局居家社区养老服务体系建设项目</w:t>
      </w:r>
    </w:p>
    <w:p>
      <w:pPr>
        <w:spacing w:line="440" w:lineRule="exact"/>
        <w:ind w:firstLine="480" w:firstLineChars="200"/>
        <w:rPr>
          <w:rFonts w:ascii="宋体" w:hAnsi="宋体" w:cs="宋体"/>
          <w:sz w:val="24"/>
          <w:szCs w:val="24"/>
        </w:rPr>
      </w:pPr>
      <w:r>
        <w:rPr>
          <w:rFonts w:hint="eastAsia" w:ascii="宋体" w:hAnsi="宋体" w:cs="宋体"/>
          <w:sz w:val="24"/>
          <w:szCs w:val="24"/>
        </w:rPr>
        <w:t>3、采购方式：竞争性磋商</w:t>
      </w:r>
    </w:p>
    <w:p>
      <w:pPr>
        <w:spacing w:line="440" w:lineRule="exact"/>
        <w:ind w:firstLine="480" w:firstLineChars="200"/>
        <w:rPr>
          <w:rFonts w:ascii="宋体" w:hAnsi="宋体" w:cs="宋体"/>
          <w:sz w:val="24"/>
          <w:szCs w:val="24"/>
        </w:rPr>
      </w:pPr>
      <w:r>
        <w:rPr>
          <w:rFonts w:hint="eastAsia" w:ascii="宋体" w:hAnsi="宋体" w:cs="宋体"/>
          <w:sz w:val="24"/>
          <w:szCs w:val="24"/>
        </w:rPr>
        <w:t>4、预算金额：500000.00元</w:t>
      </w:r>
    </w:p>
    <w:p>
      <w:pPr>
        <w:pStyle w:val="38"/>
        <w:spacing w:line="440" w:lineRule="exact"/>
      </w:pPr>
      <w:r>
        <w:rPr>
          <w:rFonts w:hint="eastAsia" w:ascii="宋体" w:hAnsi="宋体" w:cs="宋体"/>
          <w:sz w:val="24"/>
          <w:szCs w:val="24"/>
        </w:rPr>
        <w:t xml:space="preserve">      </w:t>
      </w:r>
      <w:r>
        <w:rPr>
          <w:rFonts w:hint="eastAsia" w:ascii="宋体" w:hAnsi="宋体" w:cs="宋体"/>
          <w:color w:val="0000FF"/>
          <w:sz w:val="24"/>
          <w:szCs w:val="24"/>
        </w:rPr>
        <w:t xml:space="preserve"> </w:t>
      </w:r>
      <w:r>
        <w:rPr>
          <w:rFonts w:hint="eastAsia" w:ascii="宋体" w:hAnsi="宋体" w:cs="宋体"/>
          <w:sz w:val="24"/>
          <w:szCs w:val="24"/>
        </w:rPr>
        <w:t>最高限价：495500.00元</w:t>
      </w:r>
    </w:p>
    <w:tbl>
      <w:tblPr>
        <w:tblStyle w:val="126"/>
        <w:tblpPr w:leftFromText="180" w:rightFromText="180" w:vertAnchor="text" w:horzAnchor="page" w:tblpX="1454" w:tblpY="14"/>
        <w:tblOverlap w:val="never"/>
        <w:tblW w:w="919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424"/>
        <w:gridCol w:w="3421"/>
        <w:gridCol w:w="1662"/>
        <w:gridCol w:w="20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30" w:type="dxa"/>
            <w:vAlign w:val="center"/>
          </w:tcPr>
          <w:p>
            <w:pPr>
              <w:spacing w:line="440" w:lineRule="exact"/>
              <w:jc w:val="center"/>
              <w:rPr>
                <w:rFonts w:ascii="宋体" w:hAnsi="宋体" w:cs="宋体"/>
                <w:sz w:val="24"/>
                <w:szCs w:val="24"/>
              </w:rPr>
            </w:pPr>
            <w:r>
              <w:rPr>
                <w:rFonts w:hint="eastAsia" w:ascii="宋体" w:hAnsi="宋体" w:cs="宋体"/>
                <w:spacing w:val="2"/>
                <w:sz w:val="24"/>
                <w:szCs w:val="24"/>
              </w:rPr>
              <w:t>序号</w:t>
            </w:r>
          </w:p>
        </w:tc>
        <w:tc>
          <w:tcPr>
            <w:tcW w:w="1424" w:type="dxa"/>
            <w:vAlign w:val="center"/>
          </w:tcPr>
          <w:p>
            <w:pPr>
              <w:spacing w:line="440" w:lineRule="exact"/>
              <w:jc w:val="center"/>
              <w:rPr>
                <w:rFonts w:ascii="宋体" w:hAnsi="宋体" w:cs="宋体"/>
                <w:sz w:val="24"/>
                <w:szCs w:val="24"/>
              </w:rPr>
            </w:pPr>
            <w:r>
              <w:rPr>
                <w:rFonts w:hint="eastAsia" w:ascii="宋体" w:hAnsi="宋体" w:cs="宋体"/>
                <w:spacing w:val="-4"/>
                <w:sz w:val="24"/>
                <w:szCs w:val="24"/>
              </w:rPr>
              <w:t>包</w:t>
            </w:r>
            <w:r>
              <w:rPr>
                <w:rFonts w:hint="eastAsia" w:ascii="宋体" w:hAnsi="宋体" w:cs="宋体"/>
                <w:spacing w:val="-2"/>
                <w:sz w:val="24"/>
                <w:szCs w:val="24"/>
              </w:rPr>
              <w:t>号</w:t>
            </w:r>
          </w:p>
        </w:tc>
        <w:tc>
          <w:tcPr>
            <w:tcW w:w="3421" w:type="dxa"/>
            <w:vAlign w:val="center"/>
          </w:tcPr>
          <w:p>
            <w:pPr>
              <w:spacing w:line="440" w:lineRule="exact"/>
              <w:jc w:val="center"/>
              <w:rPr>
                <w:rFonts w:ascii="宋体" w:hAnsi="宋体" w:cs="宋体"/>
                <w:sz w:val="24"/>
                <w:szCs w:val="24"/>
              </w:rPr>
            </w:pPr>
            <w:r>
              <w:rPr>
                <w:rFonts w:hint="eastAsia" w:ascii="宋体" w:hAnsi="宋体" w:cs="宋体"/>
                <w:spacing w:val="2"/>
                <w:sz w:val="24"/>
                <w:szCs w:val="24"/>
              </w:rPr>
              <w:t>包</w:t>
            </w:r>
            <w:r>
              <w:rPr>
                <w:rFonts w:hint="eastAsia" w:ascii="宋体" w:hAnsi="宋体" w:cs="宋体"/>
                <w:spacing w:val="1"/>
                <w:sz w:val="24"/>
                <w:szCs w:val="24"/>
              </w:rPr>
              <w:t>名称</w:t>
            </w:r>
          </w:p>
        </w:tc>
        <w:tc>
          <w:tcPr>
            <w:tcW w:w="1662" w:type="dxa"/>
            <w:vAlign w:val="center"/>
          </w:tcPr>
          <w:p>
            <w:pPr>
              <w:spacing w:line="440" w:lineRule="exact"/>
              <w:jc w:val="center"/>
              <w:rPr>
                <w:rFonts w:ascii="宋体" w:hAnsi="宋体" w:cs="宋体"/>
                <w:sz w:val="24"/>
                <w:szCs w:val="24"/>
              </w:rPr>
            </w:pPr>
            <w:r>
              <w:rPr>
                <w:rFonts w:hint="eastAsia" w:ascii="宋体" w:hAnsi="宋体" w:cs="宋体"/>
                <w:spacing w:val="4"/>
                <w:sz w:val="24"/>
                <w:szCs w:val="24"/>
              </w:rPr>
              <w:t>包预算(元)</w:t>
            </w:r>
          </w:p>
        </w:tc>
        <w:tc>
          <w:tcPr>
            <w:tcW w:w="2061" w:type="dxa"/>
            <w:vAlign w:val="center"/>
          </w:tcPr>
          <w:p>
            <w:pPr>
              <w:spacing w:line="440" w:lineRule="exact"/>
              <w:jc w:val="center"/>
              <w:rPr>
                <w:rFonts w:ascii="宋体" w:hAnsi="宋体" w:cs="宋体"/>
                <w:sz w:val="24"/>
                <w:szCs w:val="24"/>
              </w:rPr>
            </w:pPr>
            <w:r>
              <w:rPr>
                <w:rFonts w:hint="eastAsia" w:ascii="宋体" w:hAnsi="宋体" w:cs="宋体"/>
                <w:spacing w:val="5"/>
                <w:sz w:val="24"/>
                <w:szCs w:val="24"/>
              </w:rPr>
              <w:t>包最高限</w:t>
            </w:r>
            <w:r>
              <w:rPr>
                <w:rFonts w:hint="eastAsia" w:ascii="宋体" w:hAnsi="宋体" w:cs="宋体"/>
                <w:spacing w:val="4"/>
                <w:sz w:val="24"/>
                <w:szCs w:val="24"/>
              </w:rPr>
              <w:t>价</w:t>
            </w:r>
            <w:r>
              <w:rPr>
                <w:rFonts w:hint="eastAsia" w:ascii="宋体" w:hAnsi="宋体" w:cs="宋体"/>
                <w:spacing w:val="-11"/>
                <w:sz w:val="24"/>
                <w:szCs w:val="24"/>
              </w:rPr>
              <w:t>(</w:t>
            </w:r>
            <w:r>
              <w:rPr>
                <w:rFonts w:hint="eastAsia" w:ascii="宋体" w:hAnsi="宋体" w:cs="宋体"/>
                <w:spacing w:val="-10"/>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630" w:type="dxa"/>
            <w:vAlign w:val="center"/>
          </w:tcPr>
          <w:p>
            <w:pPr>
              <w:spacing w:line="440" w:lineRule="exact"/>
              <w:jc w:val="center"/>
              <w:rPr>
                <w:rFonts w:ascii="宋体" w:hAnsi="宋体" w:cs="宋体"/>
                <w:sz w:val="24"/>
                <w:szCs w:val="24"/>
              </w:rPr>
            </w:pPr>
            <w:r>
              <w:rPr>
                <w:rFonts w:hint="eastAsia" w:ascii="宋体" w:hAnsi="宋体" w:cs="宋体"/>
                <w:sz w:val="24"/>
                <w:szCs w:val="24"/>
              </w:rPr>
              <w:t>1</w:t>
            </w:r>
          </w:p>
        </w:tc>
        <w:tc>
          <w:tcPr>
            <w:tcW w:w="1424" w:type="dxa"/>
            <w:vAlign w:val="center"/>
          </w:tcPr>
          <w:p>
            <w:pPr>
              <w:spacing w:line="440" w:lineRule="exact"/>
              <w:jc w:val="center"/>
              <w:rPr>
                <w:rFonts w:ascii="宋体" w:hAnsi="宋体" w:cs="宋体"/>
                <w:sz w:val="24"/>
                <w:szCs w:val="24"/>
              </w:rPr>
            </w:pPr>
            <w:r>
              <w:rPr>
                <w:rFonts w:hint="eastAsia" w:ascii="宋体" w:hAnsi="宋体" w:cs="宋体"/>
                <w:sz w:val="24"/>
                <w:szCs w:val="24"/>
              </w:rPr>
              <w:t>2023-10-11</w:t>
            </w:r>
          </w:p>
        </w:tc>
        <w:tc>
          <w:tcPr>
            <w:tcW w:w="3421" w:type="dxa"/>
            <w:vAlign w:val="center"/>
          </w:tcPr>
          <w:p>
            <w:pPr>
              <w:spacing w:line="440" w:lineRule="exact"/>
              <w:jc w:val="center"/>
              <w:rPr>
                <w:rFonts w:ascii="宋体" w:hAnsi="宋体" w:cs="宋体"/>
                <w:sz w:val="24"/>
                <w:szCs w:val="24"/>
              </w:rPr>
            </w:pPr>
            <w:r>
              <w:rPr>
                <w:rFonts w:hint="eastAsia" w:ascii="宋体" w:hAnsi="宋体" w:cs="宋体"/>
                <w:sz w:val="24"/>
                <w:szCs w:val="24"/>
              </w:rPr>
              <w:t>武陟县民政局居家社区养老服务体系建设项目</w:t>
            </w:r>
          </w:p>
        </w:tc>
        <w:tc>
          <w:tcPr>
            <w:tcW w:w="1662" w:type="dxa"/>
            <w:vAlign w:val="center"/>
          </w:tcPr>
          <w:p>
            <w:pPr>
              <w:spacing w:line="440" w:lineRule="exact"/>
              <w:jc w:val="center"/>
              <w:rPr>
                <w:rFonts w:ascii="宋体" w:hAnsi="宋体" w:cs="宋体"/>
                <w:sz w:val="24"/>
                <w:szCs w:val="24"/>
              </w:rPr>
            </w:pPr>
            <w:r>
              <w:rPr>
                <w:rFonts w:hint="eastAsia" w:ascii="宋体" w:hAnsi="宋体" w:cs="宋体"/>
                <w:sz w:val="24"/>
                <w:szCs w:val="24"/>
              </w:rPr>
              <w:t>500000.00</w:t>
            </w:r>
          </w:p>
        </w:tc>
        <w:tc>
          <w:tcPr>
            <w:tcW w:w="2061" w:type="dxa"/>
            <w:vAlign w:val="center"/>
          </w:tcPr>
          <w:p>
            <w:pPr>
              <w:spacing w:line="440" w:lineRule="exact"/>
              <w:jc w:val="center"/>
              <w:rPr>
                <w:rFonts w:ascii="宋体" w:hAnsi="宋体" w:cs="宋体"/>
                <w:sz w:val="24"/>
                <w:szCs w:val="24"/>
              </w:rPr>
            </w:pPr>
            <w:r>
              <w:rPr>
                <w:rFonts w:ascii="宋体" w:hAnsi="宋体" w:cs="宋体"/>
                <w:sz w:val="24"/>
                <w:szCs w:val="24"/>
              </w:rPr>
              <w:t>495500.00元</w:t>
            </w:r>
          </w:p>
        </w:tc>
      </w:tr>
    </w:tbl>
    <w:p>
      <w:pPr>
        <w:spacing w:line="440" w:lineRule="exact"/>
        <w:ind w:firstLine="480" w:firstLineChars="200"/>
        <w:rPr>
          <w:rFonts w:ascii="宋体" w:hAnsi="宋体" w:cs="宋体"/>
          <w:sz w:val="24"/>
          <w:szCs w:val="24"/>
        </w:rPr>
      </w:pPr>
      <w:r>
        <w:rPr>
          <w:rFonts w:hint="eastAsia" w:ascii="宋体" w:hAnsi="宋体" w:cs="宋体"/>
          <w:sz w:val="24"/>
          <w:szCs w:val="24"/>
        </w:rPr>
        <w:t>5、采购需求(包括但不限于标的的名称、数量、简要技术需求或服务要求等)：武陟县民政局拟建居家社区养老服务体系，现对服务运营商进行采购。(详见《河南省政府采购网》本公告附件)。</w:t>
      </w:r>
    </w:p>
    <w:p>
      <w:pPr>
        <w:pStyle w:val="38"/>
        <w:spacing w:line="440" w:lineRule="exact"/>
        <w:ind w:firstLine="480" w:firstLineChars="200"/>
        <w:rPr>
          <w:rFonts w:ascii="宋体" w:hAnsi="宋体" w:cs="宋体"/>
          <w:sz w:val="24"/>
          <w:szCs w:val="24"/>
        </w:rPr>
      </w:pPr>
      <w:r>
        <w:rPr>
          <w:rFonts w:hint="eastAsia" w:ascii="宋体" w:hAnsi="宋体" w:cs="宋体"/>
          <w:sz w:val="24"/>
          <w:szCs w:val="24"/>
        </w:rPr>
        <w:t>6、合同履行期限：服务合同签订之日起一年</w:t>
      </w:r>
    </w:p>
    <w:p>
      <w:pPr>
        <w:spacing w:line="440" w:lineRule="exact"/>
        <w:ind w:firstLine="480" w:firstLineChars="200"/>
        <w:rPr>
          <w:rFonts w:ascii="宋体" w:hAnsi="宋体" w:cs="宋体"/>
          <w:sz w:val="24"/>
          <w:szCs w:val="24"/>
        </w:rPr>
      </w:pPr>
      <w:r>
        <w:rPr>
          <w:rFonts w:hint="eastAsia" w:ascii="宋体" w:hAnsi="宋体" w:cs="宋体"/>
          <w:sz w:val="24"/>
          <w:szCs w:val="24"/>
        </w:rPr>
        <w:t>7、本项目是否接受联合体投标：否</w:t>
      </w:r>
    </w:p>
    <w:p>
      <w:pPr>
        <w:spacing w:line="440" w:lineRule="exact"/>
        <w:ind w:firstLine="480" w:firstLineChars="200"/>
        <w:rPr>
          <w:rFonts w:ascii="宋体" w:hAnsi="宋体" w:cs="宋体"/>
          <w:sz w:val="24"/>
          <w:szCs w:val="24"/>
        </w:rPr>
      </w:pPr>
      <w:r>
        <w:rPr>
          <w:rFonts w:hint="eastAsia" w:ascii="宋体" w:hAnsi="宋体" w:cs="宋体"/>
          <w:sz w:val="24"/>
          <w:szCs w:val="24"/>
        </w:rPr>
        <w:t>8、是否接受进口产品：否</w:t>
      </w:r>
    </w:p>
    <w:p>
      <w:pPr>
        <w:spacing w:line="440" w:lineRule="exact"/>
        <w:ind w:firstLine="480" w:firstLineChars="200"/>
        <w:rPr>
          <w:rFonts w:ascii="宋体" w:hAnsi="宋体" w:cs="宋体"/>
          <w:sz w:val="24"/>
          <w:szCs w:val="24"/>
        </w:rPr>
      </w:pPr>
      <w:r>
        <w:rPr>
          <w:rFonts w:hint="eastAsia" w:ascii="宋体" w:hAnsi="宋体" w:cs="宋体"/>
          <w:sz w:val="24"/>
          <w:szCs w:val="24"/>
        </w:rPr>
        <w:t>9、是否专门面向中小企业：是</w:t>
      </w:r>
    </w:p>
    <w:p>
      <w:pPr>
        <w:spacing w:line="440" w:lineRule="exact"/>
        <w:ind w:firstLine="482" w:firstLineChars="200"/>
        <w:jc w:val="left"/>
        <w:rPr>
          <w:rFonts w:ascii="宋体" w:hAnsi="宋体" w:cs="宋体"/>
          <w:b/>
          <w:bCs/>
          <w:sz w:val="24"/>
          <w:szCs w:val="24"/>
        </w:rPr>
      </w:pPr>
      <w:r>
        <w:rPr>
          <w:rFonts w:hint="eastAsia" w:ascii="宋体" w:hAnsi="宋体" w:cs="宋体"/>
          <w:b/>
          <w:bCs/>
          <w:sz w:val="24"/>
          <w:szCs w:val="24"/>
        </w:rPr>
        <w:t>二、申请人资格要求：</w:t>
      </w:r>
    </w:p>
    <w:p>
      <w:pPr>
        <w:tabs>
          <w:tab w:val="left" w:pos="492"/>
          <w:tab w:val="left" w:pos="839"/>
        </w:tabs>
        <w:spacing w:line="440" w:lineRule="exact"/>
        <w:ind w:firstLine="480" w:firstLineChars="200"/>
        <w:rPr>
          <w:rFonts w:ascii="宋体" w:hAnsi="宋体" w:cs="宋体"/>
          <w:sz w:val="24"/>
          <w:szCs w:val="24"/>
        </w:rPr>
      </w:pPr>
      <w:r>
        <w:rPr>
          <w:rFonts w:hint="eastAsia" w:ascii="宋体" w:hAnsi="宋体" w:cs="宋体"/>
          <w:sz w:val="24"/>
          <w:szCs w:val="24"/>
        </w:rPr>
        <w:t>1、满足《中华人民共和国政府采购法》第二十二条规定；</w:t>
      </w:r>
    </w:p>
    <w:p>
      <w:pPr>
        <w:spacing w:line="440" w:lineRule="exact"/>
        <w:ind w:firstLine="480" w:firstLineChars="200"/>
        <w:rPr>
          <w:rFonts w:ascii="宋体" w:hAnsi="宋体" w:cs="宋体"/>
          <w:sz w:val="24"/>
          <w:szCs w:val="24"/>
        </w:rPr>
      </w:pPr>
      <w:r>
        <w:rPr>
          <w:rFonts w:hint="eastAsia" w:ascii="宋体" w:hAnsi="宋体" w:cs="宋体"/>
          <w:sz w:val="24"/>
          <w:szCs w:val="24"/>
        </w:rPr>
        <w:t>2、落实政府采购政策需满足的资格要求：所投货物的制造商应为中小微企业或监狱企业或残疾人福利性单位；</w:t>
      </w:r>
    </w:p>
    <w:p>
      <w:pPr>
        <w:spacing w:line="440" w:lineRule="exact"/>
        <w:ind w:firstLine="480" w:firstLineChars="200"/>
        <w:rPr>
          <w:rFonts w:ascii="宋体" w:hAnsi="宋体" w:cs="宋体"/>
          <w:sz w:val="24"/>
          <w:szCs w:val="24"/>
        </w:rPr>
      </w:pPr>
      <w:r>
        <w:rPr>
          <w:rFonts w:hint="eastAsia" w:ascii="宋体" w:hAnsi="宋体" w:cs="宋体"/>
          <w:sz w:val="24"/>
          <w:szCs w:val="24"/>
        </w:rPr>
        <w:t>3、本项目的特定资格要求：</w:t>
      </w:r>
    </w:p>
    <w:p>
      <w:pPr>
        <w:spacing w:line="440" w:lineRule="exact"/>
        <w:ind w:firstLine="480" w:firstLineChars="200"/>
        <w:rPr>
          <w:rFonts w:ascii="宋体" w:hAnsi="宋体" w:cs="宋体"/>
          <w:sz w:val="24"/>
          <w:szCs w:val="24"/>
        </w:rPr>
      </w:pPr>
      <w:r>
        <w:rPr>
          <w:rFonts w:hint="eastAsia" w:ascii="宋体" w:hAnsi="宋体" w:cs="宋体"/>
          <w:sz w:val="24"/>
          <w:szCs w:val="24"/>
        </w:rPr>
        <w:t>3.1供应商及其法定代表人、委托代理人均无行贿犯罪记录；</w:t>
      </w:r>
    </w:p>
    <w:p>
      <w:pPr>
        <w:spacing w:line="440" w:lineRule="exact"/>
        <w:ind w:firstLine="480" w:firstLineChars="200"/>
        <w:rPr>
          <w:rFonts w:ascii="宋体" w:hAnsi="宋体" w:cs="宋体"/>
          <w:sz w:val="24"/>
          <w:szCs w:val="24"/>
        </w:rPr>
      </w:pPr>
      <w:r>
        <w:rPr>
          <w:rFonts w:hint="eastAsia" w:ascii="宋体" w:hAnsi="宋体" w:cs="宋体"/>
          <w:sz w:val="24"/>
          <w:szCs w:val="24"/>
        </w:rPr>
        <w:t>3.2不得被列入失信被执行人、重大税收违法失信主体、政府采购严重违法失信行为记录名单；</w:t>
      </w:r>
    </w:p>
    <w:p>
      <w:pPr>
        <w:spacing w:line="440" w:lineRule="exact"/>
        <w:ind w:firstLine="482" w:firstLineChars="200"/>
        <w:jc w:val="left"/>
        <w:rPr>
          <w:rFonts w:ascii="宋体" w:hAnsi="宋体" w:cs="宋体"/>
          <w:b/>
          <w:bCs/>
          <w:sz w:val="24"/>
          <w:szCs w:val="24"/>
        </w:rPr>
      </w:pPr>
      <w:r>
        <w:rPr>
          <w:rFonts w:hint="eastAsia" w:ascii="宋体" w:hAnsi="宋体" w:cs="宋体"/>
          <w:b/>
          <w:bCs/>
          <w:sz w:val="24"/>
          <w:szCs w:val="24"/>
        </w:rPr>
        <w:t>三、获取采购文件</w:t>
      </w:r>
    </w:p>
    <w:p>
      <w:pPr>
        <w:numPr>
          <w:ilvl w:val="0"/>
          <w:numId w:val="2"/>
        </w:numPr>
        <w:spacing w:line="440" w:lineRule="exact"/>
        <w:ind w:firstLine="480" w:firstLineChars="200"/>
        <w:jc w:val="left"/>
        <w:rPr>
          <w:rFonts w:ascii="宋体" w:hAnsi="宋体" w:cs="宋体"/>
          <w:sz w:val="24"/>
          <w:szCs w:val="24"/>
        </w:rPr>
      </w:pPr>
      <w:r>
        <w:rPr>
          <w:rFonts w:hint="eastAsia" w:ascii="宋体" w:hAnsi="宋体" w:cs="宋体"/>
          <w:sz w:val="24"/>
          <w:szCs w:val="24"/>
        </w:rPr>
        <w:t>时间：</w:t>
      </w:r>
      <w:r>
        <w:rPr>
          <w:rFonts w:hint="eastAsia" w:ascii="宋体" w:hAnsi="宋体" w:cs="宋体"/>
          <w:color w:val="FF0000"/>
          <w:sz w:val="24"/>
          <w:szCs w:val="24"/>
        </w:rPr>
        <w:t xml:space="preserve">     年   月   日至     年   月   日</w:t>
      </w:r>
      <w:r>
        <w:rPr>
          <w:rFonts w:hint="eastAsia" w:ascii="宋体" w:hAnsi="宋体" w:cs="宋体"/>
          <w:sz w:val="24"/>
          <w:szCs w:val="24"/>
        </w:rPr>
        <w:t>，每天上午 00:00 至 12:00， 下午 12:00 至 23:59 (北京时间，法定节假日除外。)；</w:t>
      </w:r>
    </w:p>
    <w:p>
      <w:pPr>
        <w:numPr>
          <w:ilvl w:val="0"/>
          <w:numId w:val="2"/>
        </w:numPr>
        <w:spacing w:line="440" w:lineRule="exact"/>
        <w:ind w:firstLine="480" w:firstLineChars="200"/>
        <w:jc w:val="left"/>
        <w:rPr>
          <w:rFonts w:ascii="宋体" w:hAnsi="宋体" w:cs="宋体"/>
          <w:sz w:val="24"/>
          <w:szCs w:val="24"/>
          <w:shd w:val="clear" w:color="auto" w:fill="FFFF00"/>
        </w:rPr>
      </w:pPr>
      <w:r>
        <w:rPr>
          <w:rFonts w:hint="eastAsia" w:ascii="宋体" w:hAnsi="宋体" w:cs="宋体"/>
          <w:sz w:val="24"/>
          <w:szCs w:val="24"/>
        </w:rPr>
        <w:t>地点：焦作市公共资源交易中心网站；</w:t>
      </w:r>
    </w:p>
    <w:p>
      <w:pPr>
        <w:spacing w:line="440" w:lineRule="exact"/>
        <w:ind w:firstLine="480" w:firstLineChars="200"/>
        <w:rPr>
          <w:rFonts w:ascii="宋体" w:hAnsi="宋体" w:cs="宋体"/>
          <w:sz w:val="24"/>
          <w:szCs w:val="24"/>
        </w:rPr>
      </w:pPr>
      <w:r>
        <w:rPr>
          <w:rFonts w:hint="eastAsia" w:ascii="宋体" w:hAnsi="宋体" w:cs="宋体"/>
          <w:sz w:val="24"/>
          <w:szCs w:val="24"/>
        </w:rPr>
        <w:t>3.方式：本项目采用网上获取竞争性磋商文件，凡有意参加本项目磋商活动者，请登陆焦作市公共资源交易中心网站-交易平台“交易主体登录”栏目下载磋商文件；</w:t>
      </w:r>
    </w:p>
    <w:p>
      <w:pPr>
        <w:pStyle w:val="38"/>
        <w:spacing w:line="440" w:lineRule="exact"/>
        <w:ind w:firstLine="480" w:firstLineChars="200"/>
        <w:rPr>
          <w:rFonts w:ascii="宋体" w:hAnsi="宋体" w:cs="宋体"/>
          <w:sz w:val="24"/>
          <w:szCs w:val="24"/>
        </w:rPr>
      </w:pPr>
      <w:r>
        <w:rPr>
          <w:rFonts w:hint="eastAsia" w:ascii="宋体" w:hAnsi="宋体" w:cs="宋体"/>
          <w:sz w:val="24"/>
          <w:szCs w:val="24"/>
        </w:rPr>
        <w:t>4.售价：0元</w:t>
      </w:r>
    </w:p>
    <w:p>
      <w:pPr>
        <w:spacing w:line="440" w:lineRule="exact"/>
        <w:ind w:firstLine="482" w:firstLineChars="200"/>
        <w:jc w:val="left"/>
        <w:rPr>
          <w:rFonts w:ascii="宋体" w:hAnsi="宋体" w:cs="宋体"/>
          <w:b/>
          <w:bCs/>
          <w:sz w:val="24"/>
          <w:szCs w:val="24"/>
        </w:rPr>
      </w:pPr>
      <w:r>
        <w:rPr>
          <w:rFonts w:hint="eastAsia" w:ascii="宋体" w:hAnsi="宋体" w:cs="宋体"/>
          <w:b/>
          <w:bCs/>
          <w:sz w:val="24"/>
          <w:szCs w:val="24"/>
        </w:rPr>
        <w:t>四、响应文件提交：</w:t>
      </w:r>
    </w:p>
    <w:p>
      <w:pPr>
        <w:spacing w:line="440" w:lineRule="exact"/>
        <w:ind w:firstLine="480" w:firstLineChars="200"/>
        <w:rPr>
          <w:rFonts w:ascii="宋体" w:hAnsi="宋体" w:cs="宋体"/>
          <w:sz w:val="24"/>
          <w:szCs w:val="24"/>
        </w:rPr>
      </w:pPr>
      <w:r>
        <w:rPr>
          <w:rFonts w:hint="eastAsia" w:ascii="宋体" w:hAnsi="宋体" w:cs="宋体"/>
          <w:sz w:val="24"/>
          <w:szCs w:val="24"/>
        </w:rPr>
        <w:t>1.截止时间：</w:t>
      </w:r>
      <w:r>
        <w:rPr>
          <w:rFonts w:hint="eastAsia" w:ascii="宋体" w:hAnsi="宋体" w:cs="宋体"/>
          <w:color w:val="FF0000"/>
          <w:sz w:val="24"/>
          <w:szCs w:val="24"/>
        </w:rPr>
        <w:t xml:space="preserve">     年   月   日09点00分（北京时间）</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2.地点：焦作市公共资源交易中心网站。</w:t>
      </w:r>
    </w:p>
    <w:p>
      <w:pPr>
        <w:spacing w:line="440" w:lineRule="exact"/>
        <w:ind w:firstLine="482" w:firstLineChars="200"/>
        <w:jc w:val="left"/>
        <w:rPr>
          <w:rFonts w:ascii="宋体" w:hAnsi="宋体" w:cs="宋体"/>
          <w:b/>
          <w:bCs/>
          <w:sz w:val="24"/>
          <w:szCs w:val="24"/>
        </w:rPr>
      </w:pPr>
      <w:r>
        <w:rPr>
          <w:rFonts w:hint="eastAsia" w:ascii="宋体" w:hAnsi="宋体" w:cs="宋体"/>
          <w:b/>
          <w:bCs/>
          <w:sz w:val="24"/>
          <w:szCs w:val="24"/>
        </w:rPr>
        <w:t>五、响应文件开启</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1.时间：</w:t>
      </w:r>
      <w:r>
        <w:rPr>
          <w:rFonts w:hint="eastAsia" w:ascii="宋体" w:hAnsi="宋体" w:cs="宋体"/>
          <w:color w:val="FF0000"/>
          <w:sz w:val="24"/>
          <w:szCs w:val="24"/>
        </w:rPr>
        <w:t xml:space="preserve">     年   月   日09时00分</w:t>
      </w:r>
      <w:r>
        <w:rPr>
          <w:rFonts w:hint="eastAsia" w:ascii="宋体" w:hAnsi="宋体" w:cs="宋体"/>
          <w:sz w:val="24"/>
          <w:szCs w:val="24"/>
        </w:rPr>
        <w:t>（北京时间）；</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2.地点：武陟县公共资源交易中心二楼开标三厅。</w:t>
      </w:r>
    </w:p>
    <w:p>
      <w:pPr>
        <w:spacing w:line="440" w:lineRule="exact"/>
        <w:ind w:firstLine="482" w:firstLineChars="200"/>
        <w:jc w:val="left"/>
        <w:rPr>
          <w:rFonts w:ascii="宋体" w:hAnsi="宋体" w:cs="宋体"/>
          <w:b/>
          <w:bCs/>
          <w:sz w:val="24"/>
          <w:szCs w:val="24"/>
        </w:rPr>
      </w:pPr>
      <w:r>
        <w:rPr>
          <w:rFonts w:hint="eastAsia" w:ascii="宋体" w:hAnsi="宋体" w:cs="宋体"/>
          <w:b/>
          <w:bCs/>
          <w:sz w:val="24"/>
          <w:szCs w:val="24"/>
        </w:rPr>
        <w:t>六、发布公告的媒介及招标公告期限：</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本次招标公告在《河南省政府采购网》、《焦作市公共资源交易中心网》、《武陟县公共资源交易中心网》上发布。招标公告期限为三个工作日。</w:t>
      </w:r>
    </w:p>
    <w:p>
      <w:pPr>
        <w:spacing w:line="440" w:lineRule="exact"/>
        <w:ind w:firstLine="482" w:firstLineChars="200"/>
        <w:jc w:val="left"/>
        <w:rPr>
          <w:rFonts w:ascii="宋体" w:hAnsi="宋体" w:cs="宋体"/>
          <w:b/>
          <w:bCs/>
          <w:sz w:val="24"/>
          <w:szCs w:val="24"/>
        </w:rPr>
      </w:pPr>
      <w:r>
        <w:rPr>
          <w:rFonts w:hint="eastAsia" w:ascii="宋体" w:hAnsi="宋体" w:cs="宋体"/>
          <w:b/>
          <w:bCs/>
          <w:sz w:val="24"/>
          <w:szCs w:val="24"/>
        </w:rPr>
        <w:t>七、其他补充事宜：</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 xml:space="preserve">1、请各供应商提前办理 CA 数字证书，并学习电子响应性文件制作。加密的电子响应性文件须使用 CA 数字证书上传。为防止网络拥堵等不可控因素影响加密的电子响应性文件上传，请各供应商提前上传，因未能及时上传导致投标失败的责任由供应商自行承担。 </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 xml:space="preserve">2、按要求进行网上获取并下载竞争性磋商文件,凡未在规定时间内获取竞争性磋商文件者视为无效投标。 </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3、获取竞争性磋商文件后，请下载并安装最新版本投标文件制作工具，制作电子响应性文件，在响应性文件提交截止时间前，上传加密的响应性文件。供应商未在响应性文件提交截止时间前完成上传的，视为逾期送达，焦作市电子招投标交易平台将拒绝接收。</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 xml:space="preserve">4、平台统一技术服务电话为：400-998-0000，服务 QQ：4008503300, 服务时间：周一至周日 8：00-17：30（北京时间）。 </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 xml:space="preserve">5、本项目采用远程不见面交易的模式，磋商当日，供应商无需到现场参加磋商会议，应在提交响应性文件截止时间前，登录“不见面开标大厅系统”，在线准时参加磋商活动，在规定时间内进行文件解密。各潜在供应商因加密电子响应性文件未能成功上传，其投标将被拒绝。供应商需在响应文件提交截止时间后 30 分钟内完成解密，否则造成的一切后果由供应商自行负责。除电子响应性文件外，磋商时不再接受任何纸质文件、资料等。 </w:t>
      </w:r>
    </w:p>
    <w:p>
      <w:pPr>
        <w:spacing w:line="440" w:lineRule="exact"/>
        <w:ind w:firstLine="482" w:firstLineChars="200"/>
        <w:jc w:val="left"/>
        <w:rPr>
          <w:rFonts w:ascii="宋体" w:hAnsi="宋体" w:cs="宋体"/>
          <w:b/>
          <w:bCs/>
          <w:sz w:val="24"/>
          <w:szCs w:val="24"/>
        </w:rPr>
      </w:pPr>
      <w:r>
        <w:rPr>
          <w:rFonts w:hint="eastAsia" w:ascii="宋体" w:hAnsi="宋体" w:cs="宋体"/>
          <w:b/>
          <w:bCs/>
          <w:sz w:val="24"/>
          <w:szCs w:val="24"/>
        </w:rPr>
        <w:t>八、凡对本次招标提出询问，请按照以下方式联系</w:t>
      </w:r>
    </w:p>
    <w:p>
      <w:pPr>
        <w:widowControl/>
        <w:spacing w:line="440" w:lineRule="exact"/>
        <w:ind w:firstLine="480" w:firstLineChars="200"/>
        <w:jc w:val="left"/>
        <w:rPr>
          <w:rFonts w:ascii="宋体" w:hAnsi="宋体" w:cs="宋体"/>
          <w:sz w:val="24"/>
          <w:szCs w:val="24"/>
        </w:rPr>
      </w:pPr>
      <w:r>
        <w:rPr>
          <w:rFonts w:hint="eastAsia" w:ascii="宋体" w:hAnsi="宋体" w:cs="宋体"/>
          <w:sz w:val="24"/>
          <w:szCs w:val="24"/>
        </w:rPr>
        <w:t>1.采购人信息</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 xml:space="preserve">名 称：武陟县民政局        </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地 址：河南省武陟县兴华路028号</w:t>
      </w:r>
    </w:p>
    <w:p>
      <w:pPr>
        <w:pStyle w:val="38"/>
        <w:spacing w:line="440" w:lineRule="exact"/>
        <w:ind w:firstLine="480" w:firstLineChars="200"/>
        <w:rPr>
          <w:rFonts w:ascii="宋体" w:hAnsi="宋体" w:cs="宋体"/>
          <w:sz w:val="24"/>
          <w:szCs w:val="24"/>
        </w:rPr>
      </w:pPr>
      <w:r>
        <w:rPr>
          <w:rFonts w:hint="eastAsia" w:ascii="宋体" w:hAnsi="宋体" w:cs="宋体"/>
          <w:sz w:val="24"/>
          <w:szCs w:val="24"/>
        </w:rPr>
        <w:t>联系人：田橹</w:t>
      </w:r>
    </w:p>
    <w:p>
      <w:pPr>
        <w:spacing w:line="440" w:lineRule="exact"/>
        <w:ind w:firstLine="480" w:firstLineChars="200"/>
        <w:jc w:val="left"/>
        <w:rPr>
          <w:rFonts w:ascii="宋体" w:hAnsi="宋体" w:cs="宋体"/>
          <w:sz w:val="24"/>
          <w:szCs w:val="24"/>
          <w:shd w:val="clear" w:color="auto" w:fill="FFFFFF"/>
        </w:rPr>
      </w:pPr>
      <w:r>
        <w:rPr>
          <w:rFonts w:hint="eastAsia" w:ascii="宋体" w:hAnsi="宋体" w:cs="宋体"/>
          <w:sz w:val="24"/>
          <w:szCs w:val="24"/>
          <w:shd w:val="clear" w:color="auto" w:fill="FFFFFF"/>
        </w:rPr>
        <w:t>联系方式：0391-7299846</w:t>
      </w:r>
    </w:p>
    <w:p>
      <w:pPr>
        <w:spacing w:line="440" w:lineRule="exact"/>
        <w:ind w:firstLine="480" w:firstLineChars="200"/>
        <w:jc w:val="left"/>
        <w:rPr>
          <w:rFonts w:ascii="宋体" w:hAnsi="宋体" w:cs="宋体"/>
          <w:sz w:val="24"/>
          <w:szCs w:val="24"/>
        </w:rPr>
      </w:pPr>
      <w:r>
        <w:rPr>
          <w:rFonts w:hint="eastAsia" w:ascii="宋体" w:hAnsi="宋体" w:cs="宋体"/>
          <w:sz w:val="24"/>
          <w:szCs w:val="24"/>
        </w:rPr>
        <w:t>2.采购代理机构信息（如有）</w:t>
      </w:r>
    </w:p>
    <w:p>
      <w:pPr>
        <w:spacing w:line="440" w:lineRule="exact"/>
        <w:ind w:firstLine="480" w:firstLineChars="200"/>
        <w:rPr>
          <w:rFonts w:ascii="宋体" w:hAnsi="宋体" w:cs="宋体"/>
          <w:sz w:val="24"/>
          <w:szCs w:val="24"/>
        </w:rPr>
      </w:pPr>
      <w:r>
        <w:rPr>
          <w:rFonts w:hint="eastAsia" w:ascii="宋体" w:hAnsi="宋体" w:cs="宋体"/>
          <w:sz w:val="24"/>
          <w:szCs w:val="24"/>
        </w:rPr>
        <w:t xml:space="preserve">名 称：河南韶达工程咨询有限公司       </w:t>
      </w:r>
    </w:p>
    <w:p>
      <w:pPr>
        <w:spacing w:line="440" w:lineRule="exact"/>
        <w:ind w:firstLine="480" w:firstLineChars="200"/>
        <w:rPr>
          <w:rFonts w:ascii="宋体" w:hAnsi="宋体" w:cs="宋体"/>
          <w:sz w:val="24"/>
          <w:szCs w:val="24"/>
        </w:rPr>
      </w:pPr>
      <w:r>
        <w:rPr>
          <w:rFonts w:hint="eastAsia" w:ascii="宋体" w:hAnsi="宋体" w:cs="宋体"/>
          <w:sz w:val="24"/>
          <w:szCs w:val="24"/>
        </w:rPr>
        <w:t>地 址：河南省郑州市郑东新区平安大道199号（建业智慧港）E座603</w:t>
      </w:r>
    </w:p>
    <w:p>
      <w:pPr>
        <w:spacing w:line="440" w:lineRule="exact"/>
        <w:ind w:firstLine="480" w:firstLineChars="200"/>
        <w:rPr>
          <w:rFonts w:ascii="宋体" w:hAnsi="宋体" w:cs="宋体"/>
          <w:sz w:val="24"/>
          <w:szCs w:val="24"/>
        </w:rPr>
      </w:pPr>
      <w:r>
        <w:rPr>
          <w:rFonts w:hint="eastAsia" w:ascii="宋体" w:hAnsi="宋体" w:cs="宋体"/>
          <w:sz w:val="24"/>
          <w:szCs w:val="24"/>
        </w:rPr>
        <w:t>联系人：赵要恒</w:t>
      </w:r>
    </w:p>
    <w:p>
      <w:pPr>
        <w:spacing w:line="440" w:lineRule="exact"/>
        <w:ind w:firstLine="480" w:firstLineChars="200"/>
        <w:rPr>
          <w:rFonts w:ascii="宋体" w:hAnsi="宋体" w:cs="宋体"/>
          <w:sz w:val="24"/>
          <w:szCs w:val="24"/>
        </w:rPr>
      </w:pPr>
      <w:r>
        <w:rPr>
          <w:rFonts w:hint="eastAsia" w:ascii="宋体" w:hAnsi="宋体" w:cs="宋体"/>
          <w:sz w:val="24"/>
          <w:szCs w:val="24"/>
        </w:rPr>
        <w:t xml:space="preserve">联系方式：0391-7289803                    </w:t>
      </w:r>
    </w:p>
    <w:p>
      <w:pPr>
        <w:spacing w:line="440" w:lineRule="exact"/>
        <w:ind w:firstLine="480" w:firstLineChars="200"/>
        <w:rPr>
          <w:rFonts w:ascii="宋体" w:hAnsi="宋体" w:cs="宋体"/>
          <w:sz w:val="24"/>
          <w:szCs w:val="24"/>
        </w:rPr>
      </w:pPr>
      <w:r>
        <w:rPr>
          <w:rFonts w:hint="eastAsia" w:ascii="宋体" w:hAnsi="宋体" w:cs="宋体"/>
          <w:sz w:val="24"/>
          <w:szCs w:val="24"/>
        </w:rPr>
        <w:t>3.项目联系方式</w:t>
      </w:r>
    </w:p>
    <w:p>
      <w:pPr>
        <w:pStyle w:val="18"/>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项目联系人：田橹</w:t>
      </w:r>
    </w:p>
    <w:p>
      <w:pPr>
        <w:spacing w:line="440" w:lineRule="exact"/>
        <w:ind w:firstLine="480" w:firstLineChars="200"/>
        <w:rPr>
          <w:rFonts w:ascii="宋体" w:hAnsi="宋体" w:cs="宋体"/>
          <w:sz w:val="24"/>
          <w:szCs w:val="24"/>
        </w:rPr>
      </w:pPr>
      <w:r>
        <w:rPr>
          <w:rFonts w:hint="eastAsia" w:ascii="宋体" w:hAnsi="宋体" w:cs="宋体"/>
          <w:sz w:val="24"/>
          <w:szCs w:val="24"/>
        </w:rPr>
        <w:t>联系方式：0391-7299846</w:t>
      </w: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hint="eastAsia" w:ascii="宋体" w:hAnsi="宋体" w:cs="宋体"/>
          <w:sz w:val="24"/>
          <w:szCs w:val="24"/>
        </w:rPr>
      </w:pPr>
    </w:p>
    <w:p>
      <w:pPr>
        <w:pStyle w:val="38"/>
        <w:rPr>
          <w:rFonts w:hint="eastAsia"/>
        </w:rPr>
      </w:pPr>
    </w:p>
    <w:p>
      <w:pPr>
        <w:rPr>
          <w:rFonts w:hint="eastAsia"/>
        </w:rPr>
      </w:pPr>
    </w:p>
    <w:p>
      <w:pPr>
        <w:pStyle w:val="38"/>
      </w:pPr>
    </w:p>
    <w:p>
      <w:pPr>
        <w:pStyle w:val="38"/>
        <w:rPr>
          <w:rFonts w:ascii="宋体" w:hAnsi="宋体" w:cs="宋体"/>
          <w:sz w:val="24"/>
          <w:szCs w:val="24"/>
        </w:rPr>
      </w:pPr>
    </w:p>
    <w:p>
      <w:pPr>
        <w:rPr>
          <w:rFonts w:ascii="宋体" w:hAnsi="宋体" w:cs="宋体"/>
          <w:sz w:val="24"/>
          <w:szCs w:val="24"/>
        </w:rPr>
      </w:pPr>
    </w:p>
    <w:p>
      <w:pPr>
        <w:pStyle w:val="38"/>
        <w:rPr>
          <w:rFonts w:ascii="宋体" w:hAnsi="宋体" w:cs="宋体"/>
          <w:sz w:val="24"/>
          <w:szCs w:val="24"/>
        </w:rPr>
      </w:pPr>
    </w:p>
    <w:p>
      <w:pPr>
        <w:rPr>
          <w:rFonts w:ascii="宋体" w:hAnsi="宋体" w:cs="宋体"/>
          <w:sz w:val="24"/>
          <w:szCs w:val="24"/>
        </w:rPr>
      </w:pPr>
    </w:p>
    <w:p>
      <w:pPr>
        <w:pStyle w:val="38"/>
      </w:pPr>
    </w:p>
    <w:p>
      <w:pPr>
        <w:rPr>
          <w:rFonts w:ascii="宋体" w:hAnsi="宋体" w:cs="宋体"/>
          <w:sz w:val="24"/>
          <w:szCs w:val="24"/>
        </w:rPr>
      </w:pPr>
    </w:p>
    <w:p>
      <w:pPr>
        <w:pStyle w:val="38"/>
      </w:pPr>
    </w:p>
    <w:p>
      <w:pPr>
        <w:pStyle w:val="36"/>
        <w:numPr>
          <w:ilvl w:val="0"/>
          <w:numId w:val="1"/>
        </w:numPr>
        <w:spacing w:line="360" w:lineRule="auto"/>
        <w:ind w:firstLine="0"/>
        <w:rPr>
          <w:rFonts w:ascii="宋体" w:hAnsi="宋体" w:cs="宋体"/>
        </w:rPr>
      </w:pPr>
      <w:r>
        <w:rPr>
          <w:rFonts w:hint="eastAsia" w:ascii="宋体" w:hAnsi="宋体" w:cs="宋体"/>
        </w:rPr>
        <w:t xml:space="preserve"> </w:t>
      </w:r>
      <w:bookmarkStart w:id="10" w:name="_Toc19833"/>
      <w:bookmarkStart w:id="11" w:name="_Toc29694"/>
      <w:r>
        <w:rPr>
          <w:rFonts w:hint="eastAsia" w:ascii="宋体" w:hAnsi="宋体" w:cs="宋体"/>
        </w:rPr>
        <w:t>供应商须知</w:t>
      </w:r>
      <w:bookmarkEnd w:id="4"/>
      <w:bookmarkEnd w:id="10"/>
      <w:bookmarkEnd w:id="11"/>
    </w:p>
    <w:p>
      <w:pPr>
        <w:jc w:val="center"/>
        <w:rPr>
          <w:rFonts w:ascii="宋体" w:hAnsi="宋体" w:cs="宋体"/>
          <w:sz w:val="28"/>
          <w:szCs w:val="28"/>
        </w:rPr>
      </w:pPr>
      <w:r>
        <w:rPr>
          <w:rFonts w:hint="eastAsia" w:ascii="宋体" w:hAnsi="宋体" w:cs="宋体"/>
          <w:sz w:val="28"/>
          <w:szCs w:val="28"/>
        </w:rPr>
        <w:t>供应商须知前附表</w:t>
      </w:r>
    </w:p>
    <w:p>
      <w:pPr>
        <w:spacing w:line="480" w:lineRule="exact"/>
        <w:ind w:right="-420" w:rightChars="-200"/>
        <w:jc w:val="left"/>
        <w:rPr>
          <w:rFonts w:ascii="宋体" w:hAnsi="宋体" w:cs="宋体"/>
          <w:szCs w:val="21"/>
        </w:rPr>
      </w:pPr>
      <w:r>
        <w:rPr>
          <w:rFonts w:hint="eastAsia" w:ascii="宋体" w:hAnsi="宋体" w:cs="宋体"/>
          <w:kern w:val="0"/>
          <w:szCs w:val="21"/>
        </w:rPr>
        <w:t>本表是对竞争性磋商文件的具体补充和修改，如与竞争性磋商文件其他部分内容有差异，应以本表为准。</w:t>
      </w:r>
    </w:p>
    <w:tbl>
      <w:tblPr>
        <w:tblStyle w:val="39"/>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b/>
                <w:bCs/>
                <w:kern w:val="0"/>
                <w:szCs w:val="21"/>
              </w:rPr>
            </w:pPr>
            <w:r>
              <w:rPr>
                <w:rFonts w:hint="eastAsia" w:ascii="宋体" w:hAnsi="宋体" w:cs="宋体"/>
                <w:b/>
                <w:bCs/>
                <w:kern w:val="0"/>
                <w:szCs w:val="21"/>
              </w:rPr>
              <w:t>项号</w:t>
            </w:r>
          </w:p>
        </w:tc>
        <w:tc>
          <w:tcPr>
            <w:tcW w:w="2131" w:type="dxa"/>
            <w:vAlign w:val="center"/>
          </w:tcPr>
          <w:p>
            <w:pPr>
              <w:spacing w:line="460" w:lineRule="exact"/>
              <w:jc w:val="center"/>
              <w:rPr>
                <w:rFonts w:ascii="宋体" w:hAnsi="宋体" w:cs="宋体"/>
                <w:b/>
                <w:bCs/>
                <w:kern w:val="0"/>
                <w:szCs w:val="21"/>
              </w:rPr>
            </w:pPr>
            <w:r>
              <w:rPr>
                <w:rFonts w:hint="eastAsia" w:ascii="宋体" w:hAnsi="宋体" w:cs="宋体"/>
                <w:b/>
                <w:bCs/>
                <w:kern w:val="0"/>
                <w:szCs w:val="21"/>
              </w:rPr>
              <w:t>内  容</w:t>
            </w:r>
          </w:p>
        </w:tc>
        <w:tc>
          <w:tcPr>
            <w:tcW w:w="6563" w:type="dxa"/>
            <w:vAlign w:val="center"/>
          </w:tcPr>
          <w:p>
            <w:pPr>
              <w:spacing w:line="460" w:lineRule="exact"/>
              <w:jc w:val="center"/>
              <w:rPr>
                <w:rFonts w:ascii="宋体" w:hAnsi="宋体" w:cs="宋体"/>
                <w:b/>
                <w:bCs/>
                <w:kern w:val="0"/>
                <w:szCs w:val="21"/>
              </w:rPr>
            </w:pPr>
            <w:r>
              <w:rPr>
                <w:rFonts w:hint="eastAsia" w:ascii="宋体" w:hAnsi="宋体" w:cs="宋体"/>
                <w:b/>
                <w:bCs/>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1</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采购人</w:t>
            </w:r>
          </w:p>
        </w:tc>
        <w:tc>
          <w:tcPr>
            <w:tcW w:w="6563" w:type="dxa"/>
            <w:vAlign w:val="center"/>
          </w:tcPr>
          <w:p>
            <w:pPr>
              <w:spacing w:line="460" w:lineRule="exact"/>
              <w:rPr>
                <w:rFonts w:ascii="宋体" w:hAnsi="宋体" w:cs="宋体"/>
                <w:kern w:val="0"/>
                <w:szCs w:val="21"/>
              </w:rPr>
            </w:pPr>
            <w:r>
              <w:rPr>
                <w:rFonts w:hint="eastAsia" w:ascii="宋体" w:hAnsi="宋体" w:cs="宋体"/>
                <w:kern w:val="0"/>
                <w:szCs w:val="21"/>
              </w:rPr>
              <w:t>武陟县民政局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2</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采购代理机构</w:t>
            </w:r>
          </w:p>
        </w:tc>
        <w:tc>
          <w:tcPr>
            <w:tcW w:w="6563" w:type="dxa"/>
            <w:vAlign w:val="center"/>
          </w:tcPr>
          <w:p>
            <w:pPr>
              <w:spacing w:line="460" w:lineRule="exact"/>
              <w:rPr>
                <w:rFonts w:ascii="宋体" w:hAnsi="宋体" w:cs="宋体"/>
                <w:kern w:val="0"/>
                <w:szCs w:val="21"/>
              </w:rPr>
            </w:pPr>
            <w:r>
              <w:rPr>
                <w:rFonts w:hint="eastAsia" w:ascii="宋体" w:hAnsi="宋体" w:cs="宋体"/>
                <w:kern w:val="0"/>
                <w:szCs w:val="21"/>
              </w:rPr>
              <w:t>河南韶达工程咨询有限公司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3</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项目名称</w:t>
            </w:r>
          </w:p>
        </w:tc>
        <w:tc>
          <w:tcPr>
            <w:tcW w:w="6563" w:type="dxa"/>
            <w:vAlign w:val="center"/>
          </w:tcPr>
          <w:p>
            <w:pPr>
              <w:spacing w:line="460" w:lineRule="exact"/>
            </w:pPr>
            <w:r>
              <w:rPr>
                <w:rFonts w:hint="eastAsia" w:ascii="宋体" w:hAnsi="宋体" w:cs="宋体"/>
                <w:kern w:val="0"/>
                <w:szCs w:val="21"/>
              </w:rPr>
              <w:t>武陟县民政局居家社区养老服务体系建设项目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4</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资金来源</w:t>
            </w:r>
          </w:p>
        </w:tc>
        <w:tc>
          <w:tcPr>
            <w:tcW w:w="6563" w:type="dxa"/>
            <w:vAlign w:val="center"/>
          </w:tcPr>
          <w:p>
            <w:pPr>
              <w:spacing w:line="460" w:lineRule="exact"/>
              <w:rPr>
                <w:rFonts w:ascii="宋体" w:hAnsi="宋体" w:cs="宋体"/>
                <w:kern w:val="0"/>
                <w:szCs w:val="21"/>
              </w:rPr>
            </w:pPr>
            <w:r>
              <w:rPr>
                <w:rFonts w:hint="eastAsia" w:ascii="宋体" w:hAnsi="宋体" w:cs="宋体"/>
                <w:kern w:val="0"/>
                <w:szCs w:val="21"/>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5</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资金落实情况</w:t>
            </w:r>
          </w:p>
        </w:tc>
        <w:tc>
          <w:tcPr>
            <w:tcW w:w="6563" w:type="dxa"/>
            <w:vAlign w:val="center"/>
          </w:tcPr>
          <w:p>
            <w:pPr>
              <w:spacing w:line="460" w:lineRule="exact"/>
              <w:rPr>
                <w:rFonts w:ascii="宋体" w:hAnsi="宋体" w:cs="宋体"/>
                <w:kern w:val="0"/>
                <w:szCs w:val="21"/>
                <w:highlight w:val="yellow"/>
              </w:rPr>
            </w:pPr>
            <w:r>
              <w:rPr>
                <w:rFonts w:hint="eastAsia" w:ascii="宋体" w:hAnsi="宋体" w:cs="宋体"/>
                <w:kern w:val="0"/>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6</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报价范围</w:t>
            </w:r>
          </w:p>
        </w:tc>
        <w:tc>
          <w:tcPr>
            <w:tcW w:w="6563" w:type="dxa"/>
            <w:vAlign w:val="center"/>
          </w:tcPr>
          <w:p>
            <w:pPr>
              <w:spacing w:line="460" w:lineRule="exact"/>
              <w:rPr>
                <w:rFonts w:ascii="宋体" w:hAnsi="宋体" w:cs="宋体"/>
                <w:kern w:val="0"/>
                <w:szCs w:val="21"/>
              </w:rPr>
            </w:pPr>
            <w:r>
              <w:rPr>
                <w:rFonts w:hint="eastAsia" w:ascii="宋体" w:hAnsi="宋体" w:cs="宋体"/>
                <w:kern w:val="0"/>
                <w:szCs w:val="21"/>
              </w:rPr>
              <w:t xml:space="preserve">供应商所报总价应包括其履行本项目合同（如果成交）所需的所有费用，包括但不限于所投入的全部人工成本、管理费、利润和税金等。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7</w:t>
            </w:r>
          </w:p>
        </w:tc>
        <w:tc>
          <w:tcPr>
            <w:tcW w:w="2131" w:type="dxa"/>
            <w:vAlign w:val="center"/>
          </w:tcPr>
          <w:p>
            <w:pPr>
              <w:spacing w:line="460" w:lineRule="exact"/>
              <w:jc w:val="center"/>
              <w:rPr>
                <w:rFonts w:ascii="宋体" w:hAnsi="宋体" w:cs="宋体"/>
                <w:kern w:val="0"/>
                <w:szCs w:val="21"/>
              </w:rPr>
            </w:pPr>
            <w:r>
              <w:rPr>
                <w:rFonts w:hint="eastAsia" w:ascii="宋体" w:hAnsi="宋体"/>
                <w:szCs w:val="21"/>
              </w:rPr>
              <w:t>项目属性</w:t>
            </w:r>
          </w:p>
        </w:tc>
        <w:tc>
          <w:tcPr>
            <w:tcW w:w="6563" w:type="dxa"/>
            <w:vAlign w:val="center"/>
          </w:tcPr>
          <w:p>
            <w:pPr>
              <w:spacing w:line="460" w:lineRule="exact"/>
              <w:rPr>
                <w:rFonts w:ascii="宋体" w:hAnsi="宋体" w:cs="宋体"/>
                <w:kern w:val="0"/>
                <w:szCs w:val="21"/>
              </w:rPr>
            </w:pPr>
            <w:r>
              <w:rPr>
                <w:rFonts w:hint="eastAsia" w:ascii="宋体" w:hAnsi="宋体"/>
                <w:szCs w:val="21"/>
              </w:rPr>
              <w:t>货物</w:t>
            </w:r>
            <w:r>
              <w:rPr>
                <w:rFonts w:hint="eastAsia" w:hAnsi="宋体"/>
                <w:szCs w:val="21"/>
              </w:rPr>
              <w:sym w:font="Wingdings" w:char="00A8"/>
            </w:r>
            <w:r>
              <w:rPr>
                <w:rFonts w:hint="eastAsia" w:hAnsi="宋体"/>
                <w:szCs w:val="21"/>
              </w:rPr>
              <w:t xml:space="preserve">      </w:t>
            </w:r>
            <w:r>
              <w:rPr>
                <w:rFonts w:hint="eastAsia" w:ascii="宋体" w:hAnsi="宋体"/>
                <w:szCs w:val="21"/>
              </w:rPr>
              <w:t>服务</w:t>
            </w:r>
            <w:r>
              <w:rPr>
                <w:rFonts w:hint="eastAsia" w:hAnsi="宋体"/>
                <w:szCs w:val="21"/>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8</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磋商有效期</w:t>
            </w:r>
          </w:p>
        </w:tc>
        <w:tc>
          <w:tcPr>
            <w:tcW w:w="6563" w:type="dxa"/>
            <w:vAlign w:val="center"/>
          </w:tcPr>
          <w:p>
            <w:pPr>
              <w:spacing w:line="460" w:lineRule="exact"/>
              <w:rPr>
                <w:rFonts w:ascii="宋体" w:hAnsi="宋体" w:cs="宋体"/>
                <w:kern w:val="0"/>
                <w:szCs w:val="21"/>
              </w:rPr>
            </w:pPr>
            <w:r>
              <w:rPr>
                <w:rFonts w:hint="eastAsia" w:ascii="宋体" w:hAnsi="宋体" w:cs="宋体"/>
                <w:kern w:val="0"/>
                <w:szCs w:val="21"/>
              </w:rPr>
              <w:t>自响应文件提交之日起</w:t>
            </w:r>
            <w:r>
              <w:rPr>
                <w:rFonts w:hint="eastAsia" w:ascii="宋体" w:hAnsi="宋体" w:cs="宋体"/>
                <w:kern w:val="0"/>
                <w:szCs w:val="21"/>
                <w:u w:val="single"/>
              </w:rPr>
              <w:t>60</w:t>
            </w:r>
            <w:r>
              <w:rPr>
                <w:rFonts w:hint="eastAsia" w:ascii="宋体" w:hAnsi="宋体" w:cs="宋体"/>
                <w:kern w:val="0"/>
                <w:szCs w:val="21"/>
              </w:rPr>
              <w:t>日历天（有效期短于该规定期限的投标无效）。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9</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磋商保证金</w:t>
            </w:r>
          </w:p>
        </w:tc>
        <w:tc>
          <w:tcPr>
            <w:tcW w:w="6563" w:type="dxa"/>
            <w:vAlign w:val="center"/>
          </w:tcPr>
          <w:p>
            <w:pPr>
              <w:spacing w:line="400" w:lineRule="exact"/>
              <w:rPr>
                <w:rFonts w:ascii="宋体" w:hAnsi="宋体" w:cs="宋体"/>
                <w:szCs w:val="21"/>
              </w:rPr>
            </w:pPr>
            <w:r>
              <w:rPr>
                <w:rFonts w:hint="eastAsia" w:ascii="宋体" w:hAnsi="宋体" w:cs="宋体"/>
                <w:szCs w:val="21"/>
              </w:rPr>
              <w:t>1.</w:t>
            </w:r>
            <w:r>
              <w:rPr>
                <w:rFonts w:hint="eastAsia" w:ascii="宋体" w:hAnsi="宋体" w:cs="宋体"/>
                <w:kern w:val="0"/>
                <w:szCs w:val="21"/>
              </w:rPr>
              <w:t>磋商</w:t>
            </w:r>
            <w:r>
              <w:rPr>
                <w:rFonts w:hint="eastAsia" w:ascii="宋体" w:hAnsi="宋体" w:cs="宋体"/>
                <w:szCs w:val="21"/>
              </w:rPr>
              <w:t>保证金：1万元</w:t>
            </w:r>
            <w:r>
              <w:rPr>
                <w:rFonts w:hint="eastAsia" w:ascii="宋体" w:hAnsi="宋体" w:cs="宋体"/>
                <w:b/>
                <w:bCs/>
                <w:szCs w:val="21"/>
              </w:rPr>
              <w:t>（暂不缴纳）</w:t>
            </w:r>
          </w:p>
          <w:p>
            <w:pPr>
              <w:spacing w:line="400" w:lineRule="exact"/>
              <w:rPr>
                <w:rFonts w:ascii="宋体" w:hAnsi="宋体" w:cs="宋体"/>
                <w:szCs w:val="21"/>
              </w:rPr>
            </w:pPr>
            <w:r>
              <w:rPr>
                <w:rFonts w:hint="eastAsia" w:ascii="宋体" w:hAnsi="宋体" w:cs="宋体"/>
                <w:szCs w:val="21"/>
              </w:rPr>
              <w:t>2.供应商有下列情形之一的，采购人将追索</w:t>
            </w:r>
            <w:r>
              <w:rPr>
                <w:rFonts w:hint="eastAsia" w:ascii="宋体" w:hAnsi="宋体" w:cs="宋体"/>
                <w:kern w:val="0"/>
                <w:szCs w:val="21"/>
              </w:rPr>
              <w:t>磋商</w:t>
            </w:r>
            <w:r>
              <w:rPr>
                <w:rFonts w:hint="eastAsia" w:ascii="宋体" w:hAnsi="宋体" w:cs="宋体"/>
                <w:szCs w:val="21"/>
              </w:rPr>
              <w:t>保证金人民币</w:t>
            </w:r>
            <w:r>
              <w:rPr>
                <w:rFonts w:hint="eastAsia" w:ascii="宋体" w:hAnsi="宋体" w:cs="宋体"/>
                <w:b/>
                <w:bCs/>
                <w:szCs w:val="21"/>
              </w:rPr>
              <w:t>1</w:t>
            </w:r>
            <w:r>
              <w:rPr>
                <w:rFonts w:hint="eastAsia" w:ascii="宋体" w:hAnsi="宋体" w:cs="宋体"/>
                <w:b/>
                <w:bCs/>
                <w:kern w:val="0"/>
                <w:szCs w:val="21"/>
              </w:rPr>
              <w:t>万元</w:t>
            </w:r>
            <w:r>
              <w:rPr>
                <w:rFonts w:hint="eastAsia" w:ascii="宋体" w:hAnsi="宋体" w:cs="宋体"/>
                <w:szCs w:val="21"/>
              </w:rPr>
              <w:t>，</w:t>
            </w:r>
            <w:r>
              <w:rPr>
                <w:rFonts w:hint="eastAsia" w:ascii="宋体" w:hAnsi="宋体" w:cs="宋体"/>
                <w:b/>
                <w:bCs/>
                <w:szCs w:val="21"/>
              </w:rPr>
              <w:t>并予以没收</w:t>
            </w:r>
            <w:r>
              <w:rPr>
                <w:rFonts w:hint="eastAsia" w:ascii="宋体" w:hAnsi="宋体" w:cs="宋体"/>
                <w:szCs w:val="21"/>
              </w:rPr>
              <w:t>，供应商应作出相应承诺（承诺书格式见第六章响应文件格式中）：</w:t>
            </w:r>
          </w:p>
          <w:p>
            <w:pPr>
              <w:spacing w:line="400" w:lineRule="exact"/>
              <w:rPr>
                <w:rFonts w:ascii="宋体" w:hAnsi="宋体" w:cs="宋体"/>
                <w:szCs w:val="21"/>
              </w:rPr>
            </w:pPr>
            <w:r>
              <w:rPr>
                <w:rFonts w:hint="eastAsia" w:ascii="宋体" w:hAnsi="宋体" w:cs="宋体"/>
                <w:szCs w:val="21"/>
              </w:rPr>
              <w:t>（1）供应商在提交响应文件截止时间后或磋商有效期内撤回响应文件的；</w:t>
            </w:r>
          </w:p>
          <w:p>
            <w:pPr>
              <w:spacing w:line="400" w:lineRule="exact"/>
              <w:rPr>
                <w:rFonts w:ascii="宋体" w:hAnsi="宋体" w:cs="宋体"/>
                <w:szCs w:val="21"/>
              </w:rPr>
            </w:pPr>
            <w:r>
              <w:rPr>
                <w:rFonts w:hint="eastAsia" w:ascii="宋体" w:hAnsi="宋体" w:cs="宋体"/>
                <w:szCs w:val="21"/>
              </w:rPr>
              <w:t>（2）供应商在响应文件中提供虚假材料的；</w:t>
            </w:r>
          </w:p>
          <w:p>
            <w:pPr>
              <w:spacing w:line="400" w:lineRule="exact"/>
              <w:rPr>
                <w:rFonts w:ascii="宋体" w:hAnsi="宋体" w:cs="宋体"/>
                <w:szCs w:val="21"/>
              </w:rPr>
            </w:pPr>
            <w:r>
              <w:rPr>
                <w:rFonts w:hint="eastAsia" w:ascii="宋体" w:hAnsi="宋体" w:cs="宋体"/>
                <w:szCs w:val="21"/>
              </w:rPr>
              <w:t>（3）除因不可抗力或竞争性磋商文件认可的情形以外，成交供应商不与采购人签订合同的；</w:t>
            </w:r>
          </w:p>
          <w:p>
            <w:pPr>
              <w:spacing w:line="400" w:lineRule="exact"/>
              <w:rPr>
                <w:rFonts w:ascii="宋体" w:hAnsi="宋体" w:cs="宋体"/>
                <w:szCs w:val="21"/>
              </w:rPr>
            </w:pPr>
            <w:r>
              <w:rPr>
                <w:rFonts w:hint="eastAsia" w:ascii="宋体" w:hAnsi="宋体" w:cs="宋体"/>
                <w:szCs w:val="21"/>
              </w:rPr>
              <w:t>（4）供应商与采购人、其他供应商或者采购代理机构恶意串通的。</w:t>
            </w:r>
          </w:p>
          <w:p>
            <w:pPr>
              <w:spacing w:line="400" w:lineRule="exact"/>
              <w:rPr>
                <w:rFonts w:ascii="宋体" w:hAnsi="宋体" w:cs="宋体"/>
                <w:szCs w:val="21"/>
              </w:rPr>
            </w:pPr>
            <w:r>
              <w:rPr>
                <w:rFonts w:hint="eastAsia" w:ascii="宋体" w:hAnsi="宋体" w:cs="宋体"/>
                <w:szCs w:val="21"/>
              </w:rPr>
              <w:t>（5）磋商文件及相关法律法规规定的其他情形。</w:t>
            </w:r>
          </w:p>
          <w:p>
            <w:pPr>
              <w:spacing w:line="460" w:lineRule="exact"/>
              <w:rPr>
                <w:rFonts w:ascii="宋体" w:hAnsi="宋体" w:cs="宋体"/>
                <w:kern w:val="0"/>
                <w:szCs w:val="21"/>
              </w:rPr>
            </w:pPr>
            <w:r>
              <w:rPr>
                <w:rFonts w:hint="eastAsia" w:ascii="宋体" w:hAnsi="宋体" w:cs="宋体"/>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10</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磋商文件的澄清或修改</w:t>
            </w:r>
          </w:p>
        </w:tc>
        <w:tc>
          <w:tcPr>
            <w:tcW w:w="6563" w:type="dxa"/>
            <w:vAlign w:val="center"/>
          </w:tcPr>
          <w:p>
            <w:pPr>
              <w:spacing w:line="500" w:lineRule="exact"/>
              <w:ind w:firstLine="105" w:firstLineChars="50"/>
              <w:rPr>
                <w:rFonts w:ascii="宋体" w:hAnsi="宋体" w:cs="宋体"/>
                <w:szCs w:val="21"/>
              </w:rPr>
            </w:pPr>
            <w:r>
              <w:rPr>
                <w:rFonts w:hint="eastAsia" w:ascii="宋体" w:hAnsi="宋体" w:cs="宋体"/>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11</w:t>
            </w:r>
          </w:p>
        </w:tc>
        <w:tc>
          <w:tcPr>
            <w:tcW w:w="2131" w:type="dxa"/>
            <w:vAlign w:val="center"/>
          </w:tcPr>
          <w:p>
            <w:pPr>
              <w:pStyle w:val="110"/>
              <w:spacing w:before="1" w:line="440" w:lineRule="exact"/>
              <w:ind w:left="108"/>
              <w:jc w:val="center"/>
              <w:rPr>
                <w:rFonts w:ascii="宋体" w:hAnsi="宋体" w:cs="宋体"/>
                <w:szCs w:val="21"/>
              </w:rPr>
            </w:pPr>
            <w:r>
              <w:rPr>
                <w:rFonts w:hint="eastAsia" w:ascii="宋体" w:hAnsi="宋体" w:cs="宋体"/>
                <w:sz w:val="21"/>
                <w:szCs w:val="21"/>
              </w:rPr>
              <w:t>响应文件的递交</w:t>
            </w:r>
          </w:p>
        </w:tc>
        <w:tc>
          <w:tcPr>
            <w:tcW w:w="6563" w:type="dxa"/>
            <w:vAlign w:val="center"/>
          </w:tcPr>
          <w:p>
            <w:pPr>
              <w:widowControl/>
              <w:jc w:val="left"/>
            </w:pPr>
            <w:r>
              <w:rPr>
                <w:rFonts w:hint="eastAsia" w:ascii="宋体" w:hAnsi="宋体" w:cs="宋体"/>
                <w:kern w:val="0"/>
                <w:szCs w:val="21"/>
              </w:rPr>
              <w:t xml:space="preserve">1、本项目为不见面开标，加密电子响应性文件须在响应性文件提交截 止时间前通过“焦作市公共资源交易中心”网站-交易平台加密上传。除电子响应性文件外，磋商时不再接受任何纸质文件、资料等。 </w:t>
            </w:r>
          </w:p>
          <w:p>
            <w:pPr>
              <w:widowControl/>
              <w:jc w:val="left"/>
              <w:rPr>
                <w:rFonts w:ascii="宋体" w:hAnsi="宋体" w:cs="宋体"/>
                <w:kern w:val="0"/>
                <w:szCs w:val="21"/>
              </w:rPr>
            </w:pPr>
            <w:r>
              <w:rPr>
                <w:rFonts w:hint="eastAsia" w:ascii="宋体" w:hAnsi="宋体" w:cs="宋体"/>
                <w:kern w:val="0"/>
                <w:szCs w:val="21"/>
              </w:rPr>
              <w:t xml:space="preserve">2、未在响应性文件提交截止时间前完成上传加密电子响应性文件的视为逾期送达。逾期上传或未按规定方式上传加密的电子响应性文件的投标无效。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12</w:t>
            </w:r>
          </w:p>
        </w:tc>
        <w:tc>
          <w:tcPr>
            <w:tcW w:w="2131" w:type="dxa"/>
            <w:vAlign w:val="center"/>
          </w:tcPr>
          <w:p>
            <w:pPr>
              <w:jc w:val="center"/>
              <w:rPr>
                <w:rFonts w:ascii="宋体" w:hAnsi="宋体" w:cs="宋体"/>
                <w:kern w:val="0"/>
                <w:szCs w:val="21"/>
              </w:rPr>
            </w:pPr>
            <w:r>
              <w:rPr>
                <w:rFonts w:hint="eastAsia" w:ascii="宋体" w:hAnsi="宋体" w:cs="宋体"/>
                <w:kern w:val="0"/>
                <w:szCs w:val="21"/>
              </w:rPr>
              <w:t>签字或盖章要求</w:t>
            </w:r>
          </w:p>
        </w:tc>
        <w:tc>
          <w:tcPr>
            <w:tcW w:w="6563" w:type="dxa"/>
            <w:vAlign w:val="center"/>
          </w:tcPr>
          <w:p>
            <w:pPr>
              <w:spacing w:line="400" w:lineRule="exact"/>
              <w:rPr>
                <w:rFonts w:ascii="宋体" w:hAnsi="宋体" w:cs="宋体"/>
                <w:szCs w:val="21"/>
              </w:rPr>
            </w:pPr>
            <w:r>
              <w:rPr>
                <w:rFonts w:hint="eastAsia" w:ascii="宋体" w:hAnsi="宋体" w:cs="宋体"/>
                <w:szCs w:val="21"/>
              </w:rPr>
              <w:t>1.所有要求供应商加盖单位公章的地方都应加盖供应商单位的CA印章。</w:t>
            </w:r>
          </w:p>
          <w:p>
            <w:pPr>
              <w:spacing w:line="400" w:lineRule="exact"/>
              <w:rPr>
                <w:rFonts w:ascii="宋体" w:hAnsi="宋体" w:cs="宋体"/>
                <w:color w:val="000000"/>
                <w:szCs w:val="21"/>
              </w:rPr>
            </w:pPr>
            <w:r>
              <w:rPr>
                <w:rFonts w:hint="eastAsia" w:ascii="宋体" w:hAnsi="宋体" w:cs="宋体"/>
                <w:szCs w:val="21"/>
              </w:rPr>
              <w:t>2</w:t>
            </w:r>
            <w:r>
              <w:rPr>
                <w:rFonts w:hint="eastAsia" w:ascii="宋体" w:hAnsi="宋体" w:cs="宋体"/>
                <w:color w:val="000000"/>
                <w:szCs w:val="21"/>
              </w:rPr>
              <w:t>.所有要求法定代表人签字或盖章的，要求法定代表人在签字或盖章的地方上传有手写签名的扫描件或加盖法定代表人CA印章。</w:t>
            </w:r>
          </w:p>
          <w:p>
            <w:pPr>
              <w:spacing w:line="400" w:lineRule="exact"/>
              <w:rPr>
                <w:rFonts w:ascii="宋体" w:hAnsi="宋体" w:cs="宋体"/>
                <w:kern w:val="0"/>
                <w:szCs w:val="21"/>
              </w:rPr>
            </w:pPr>
            <w:r>
              <w:rPr>
                <w:rFonts w:hint="eastAsia" w:ascii="宋体" w:hAnsi="宋体" w:cs="宋体"/>
                <w:szCs w:val="21"/>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13</w:t>
            </w:r>
          </w:p>
        </w:tc>
        <w:tc>
          <w:tcPr>
            <w:tcW w:w="2131" w:type="dxa"/>
            <w:vAlign w:val="center"/>
          </w:tcPr>
          <w:p>
            <w:pPr>
              <w:spacing w:line="440" w:lineRule="exact"/>
              <w:jc w:val="center"/>
              <w:rPr>
                <w:rFonts w:ascii="宋体" w:hAnsi="宋体" w:cs="宋体"/>
                <w:kern w:val="0"/>
                <w:szCs w:val="21"/>
              </w:rPr>
            </w:pPr>
            <w:r>
              <w:rPr>
                <w:rFonts w:hint="eastAsia" w:ascii="宋体" w:hAnsi="宋体"/>
                <w:kern w:val="0"/>
                <w:szCs w:val="21"/>
              </w:rPr>
              <w:t>磋商程序</w:t>
            </w:r>
          </w:p>
        </w:tc>
        <w:tc>
          <w:tcPr>
            <w:tcW w:w="6563" w:type="dxa"/>
            <w:vAlign w:val="center"/>
          </w:tcPr>
          <w:p>
            <w:pPr>
              <w:spacing w:line="400" w:lineRule="exact"/>
              <w:rPr>
                <w:szCs w:val="21"/>
              </w:rPr>
            </w:pPr>
            <w:r>
              <w:rPr>
                <w:rFonts w:hint="eastAsia"/>
                <w:szCs w:val="21"/>
              </w:rPr>
              <w:t>（1）公布供应商；</w:t>
            </w:r>
          </w:p>
          <w:p>
            <w:pPr>
              <w:spacing w:line="400" w:lineRule="exact"/>
              <w:rPr>
                <w:szCs w:val="21"/>
              </w:rPr>
            </w:pPr>
            <w:r>
              <w:rPr>
                <w:rFonts w:hint="eastAsia"/>
                <w:szCs w:val="21"/>
              </w:rPr>
              <w:t>（2）由供应商对响应文件进行解密；</w:t>
            </w:r>
          </w:p>
          <w:p>
            <w:pPr>
              <w:spacing w:line="400" w:lineRule="exact"/>
              <w:rPr>
                <w:szCs w:val="21"/>
              </w:rPr>
            </w:pPr>
            <w:r>
              <w:rPr>
                <w:rFonts w:hint="eastAsia"/>
                <w:szCs w:val="21"/>
              </w:rPr>
              <w:t>（3）开标结束；</w:t>
            </w:r>
          </w:p>
          <w:p>
            <w:pPr>
              <w:spacing w:line="400" w:lineRule="exact"/>
              <w:rPr>
                <w:szCs w:val="21"/>
              </w:rPr>
            </w:pPr>
            <w:r>
              <w:rPr>
                <w:rFonts w:hint="eastAsia"/>
                <w:szCs w:val="21"/>
              </w:rPr>
              <w:t>（4）</w:t>
            </w:r>
            <w:r>
              <w:rPr>
                <w:rFonts w:hint="eastAsia" w:ascii="宋体" w:hAnsi="宋体"/>
                <w:kern w:val="0"/>
                <w:szCs w:val="21"/>
              </w:rPr>
              <w:t>磋商</w:t>
            </w:r>
            <w:r>
              <w:rPr>
                <w:rFonts w:hint="eastAsia"/>
                <w:szCs w:val="21"/>
              </w:rPr>
              <w:t>小组对已通过资格性、符合性审查的供应商发起二轮(最后报价)邀请。</w:t>
            </w:r>
          </w:p>
          <w:p>
            <w:pPr>
              <w:pStyle w:val="38"/>
              <w:spacing w:line="400" w:lineRule="exact"/>
              <w:rPr>
                <w:kern w:val="2"/>
                <w:szCs w:val="21"/>
              </w:rPr>
            </w:pPr>
            <w:r>
              <w:rPr>
                <w:rFonts w:hint="eastAsia"/>
                <w:kern w:val="2"/>
                <w:szCs w:val="21"/>
              </w:rPr>
              <w:t>（5）由磋商小组采用综合评分法对提交最后报价的供应商的响应文件和最后报价进行综合评分并出具评审报告。</w:t>
            </w:r>
          </w:p>
          <w:p>
            <w:pPr>
              <w:pStyle w:val="14"/>
              <w:spacing w:line="400" w:lineRule="exact"/>
              <w:ind w:firstLine="422" w:firstLineChars="200"/>
              <w:rPr>
                <w:b/>
                <w:bCs/>
                <w:kern w:val="2"/>
                <w:szCs w:val="21"/>
              </w:rPr>
            </w:pPr>
            <w:r>
              <w:rPr>
                <w:rFonts w:hint="eastAsia"/>
                <w:b/>
                <w:bCs/>
                <w:kern w:val="2"/>
                <w:szCs w:val="21"/>
              </w:rPr>
              <w:t>备注：1.</w:t>
            </w:r>
            <w:r>
              <w:rPr>
                <w:rFonts w:hint="eastAsia" w:ascii="宋体" w:hAnsi="宋体" w:cs="宋体"/>
                <w:b/>
                <w:bCs/>
                <w:szCs w:val="21"/>
              </w:rPr>
              <w:t>多包项目的，磋商会议将按包的顺序依次进行，请各供应商时刻关注焦作市不见面开标大厅系统。</w:t>
            </w:r>
          </w:p>
          <w:p>
            <w:pPr>
              <w:pStyle w:val="14"/>
              <w:spacing w:line="400" w:lineRule="exact"/>
              <w:ind w:firstLine="422" w:firstLineChars="200"/>
              <w:rPr>
                <w:rFonts w:ascii="宋体" w:hAnsi="宋体" w:cs="宋体"/>
                <w:kern w:val="2"/>
                <w:szCs w:val="21"/>
              </w:rPr>
            </w:pPr>
            <w:r>
              <w:rPr>
                <w:rFonts w:hint="eastAsia"/>
                <w:b/>
                <w:bCs/>
                <w:kern w:val="2"/>
                <w:szCs w:val="21"/>
              </w:rPr>
              <w:t>2.供应商在规定时间内需通过焦作市公共资源交易平台进行二轮报价（最后报价），未在规定时间内提交二轮报价（最后报价）的视为放弃本次磋商。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14</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磋商小组的组成</w:t>
            </w:r>
          </w:p>
        </w:tc>
        <w:tc>
          <w:tcPr>
            <w:tcW w:w="6563" w:type="dxa"/>
            <w:vAlign w:val="center"/>
          </w:tcPr>
          <w:p>
            <w:pPr>
              <w:spacing w:line="460" w:lineRule="exact"/>
              <w:rPr>
                <w:rFonts w:ascii="宋体" w:hAnsi="宋体" w:cs="宋体"/>
                <w:kern w:val="0"/>
                <w:szCs w:val="21"/>
              </w:rPr>
            </w:pPr>
            <w:r>
              <w:rPr>
                <w:rFonts w:hint="eastAsia" w:ascii="宋体" w:hAnsi="宋体" w:cs="宋体"/>
                <w:szCs w:val="21"/>
              </w:rPr>
              <w:t>由采购人代表和评审专家共3人及以上单数组成，其中评审专家人数不得少于磋商小组成员总数的2/3。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15</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踏勘现场</w:t>
            </w:r>
          </w:p>
        </w:tc>
        <w:tc>
          <w:tcPr>
            <w:tcW w:w="6563" w:type="dxa"/>
            <w:vAlign w:val="center"/>
          </w:tcPr>
          <w:p>
            <w:pPr>
              <w:spacing w:line="460" w:lineRule="exact"/>
              <w:rPr>
                <w:rFonts w:ascii="宋体" w:hAnsi="宋体" w:cs="宋体"/>
                <w:kern w:val="0"/>
                <w:szCs w:val="21"/>
              </w:rPr>
            </w:pPr>
            <w:r>
              <w:rPr>
                <w:rFonts w:hint="eastAsia" w:ascii="宋体" w:hAnsi="宋体" w:cs="宋体"/>
                <w:kern w:val="0"/>
                <w:szCs w:val="21"/>
              </w:rPr>
              <w:sym w:font="Wingdings" w:char="F0FE"/>
            </w:r>
            <w:r>
              <w:rPr>
                <w:rFonts w:hint="eastAsia" w:ascii="宋体" w:hAnsi="宋体" w:cs="宋体"/>
                <w:kern w:val="0"/>
                <w:szCs w:val="21"/>
              </w:rPr>
              <w:t>不组织，各供应商自行考察</w:t>
            </w:r>
          </w:p>
          <w:p>
            <w:pPr>
              <w:spacing w:line="460" w:lineRule="exact"/>
              <w:rPr>
                <w:rFonts w:ascii="宋体" w:hAnsi="宋体" w:cs="宋体"/>
                <w:kern w:val="0"/>
                <w:szCs w:val="21"/>
              </w:rPr>
            </w:pPr>
            <w:r>
              <w:rPr>
                <w:rFonts w:hint="eastAsia" w:ascii="宋体" w:hAnsi="宋体" w:cs="宋体"/>
                <w:kern w:val="0"/>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16</w:t>
            </w:r>
          </w:p>
        </w:tc>
        <w:tc>
          <w:tcPr>
            <w:tcW w:w="8694" w:type="dxa"/>
            <w:gridSpan w:val="2"/>
            <w:vAlign w:val="center"/>
          </w:tcPr>
          <w:p>
            <w:pPr>
              <w:tabs>
                <w:tab w:val="left" w:pos="1381"/>
              </w:tabs>
              <w:spacing w:line="460" w:lineRule="exact"/>
              <w:jc w:val="left"/>
              <w:rPr>
                <w:rFonts w:ascii="宋体" w:hAnsi="宋体" w:cs="宋体"/>
                <w:kern w:val="0"/>
                <w:szCs w:val="21"/>
                <w:highlight w:val="cyan"/>
              </w:rPr>
            </w:pPr>
            <w:r>
              <w:rPr>
                <w:rFonts w:hint="eastAsia" w:ascii="宋体" w:hAnsi="宋体" w:cs="宋体"/>
                <w:kern w:val="0"/>
                <w:szCs w:val="21"/>
              </w:rPr>
              <w:t>本项目采购的所有产品是否允许进口产品参加磋商：否（进口产品是指通过中国海关报关验放进入中国境内且产自关境外的产品。）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17</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需要落实的政府采购政策</w:t>
            </w:r>
          </w:p>
        </w:tc>
        <w:tc>
          <w:tcPr>
            <w:tcW w:w="6563" w:type="dxa"/>
            <w:vAlign w:val="center"/>
          </w:tcPr>
          <w:p>
            <w:pPr>
              <w:spacing w:line="500" w:lineRule="exact"/>
              <w:rPr>
                <w:rFonts w:ascii="宋体" w:hAnsi="宋体"/>
                <w:b/>
                <w:bCs/>
                <w:szCs w:val="21"/>
              </w:rPr>
            </w:pPr>
            <w:r>
              <w:rPr>
                <w:rFonts w:hint="eastAsia" w:ascii="宋体" w:hAnsi="宋体"/>
                <w:b/>
                <w:bCs/>
                <w:szCs w:val="21"/>
              </w:rPr>
              <w:t>（一）促进中小企业、监狱企业和残疾人福利性单位发展扶持政策</w:t>
            </w:r>
          </w:p>
          <w:p>
            <w:pPr>
              <w:spacing w:line="500" w:lineRule="exact"/>
              <w:rPr>
                <w:rFonts w:ascii="宋体" w:hAnsi="宋体"/>
                <w:bCs/>
                <w:szCs w:val="21"/>
              </w:rPr>
            </w:pPr>
            <w:r>
              <w:rPr>
                <w:rFonts w:hint="eastAsia" w:ascii="宋体" w:hAnsi="宋体"/>
                <w:b/>
                <w:bCs/>
                <w:szCs w:val="21"/>
              </w:rPr>
              <w:t>促进中小企业发展扶持政策</w:t>
            </w:r>
            <w:r>
              <w:rPr>
                <w:rFonts w:hint="eastAsia" w:ascii="宋体" w:hAnsi="宋体"/>
                <w:bCs/>
                <w:szCs w:val="21"/>
              </w:rPr>
              <w:t>：</w:t>
            </w:r>
          </w:p>
          <w:p>
            <w:pPr>
              <w:spacing w:line="500" w:lineRule="exact"/>
              <w:ind w:firstLine="420" w:firstLineChars="200"/>
              <w:rPr>
                <w:rFonts w:ascii="宋体" w:hAnsi="宋体"/>
                <w:bCs/>
                <w:szCs w:val="21"/>
              </w:rPr>
            </w:pPr>
            <w:r>
              <w:rPr>
                <w:rFonts w:hint="eastAsia" w:ascii="宋体" w:hAnsi="宋体"/>
                <w:bCs/>
                <w:szCs w:val="21"/>
              </w:rPr>
              <w:t>1.中小企业认定：</w:t>
            </w:r>
          </w:p>
          <w:p>
            <w:pPr>
              <w:spacing w:line="500" w:lineRule="exact"/>
              <w:ind w:firstLine="420" w:firstLineChars="200"/>
              <w:rPr>
                <w:rFonts w:ascii="宋体" w:hAnsi="宋体"/>
                <w:bCs/>
                <w:szCs w:val="21"/>
              </w:rPr>
            </w:pPr>
            <w:r>
              <w:rPr>
                <w:rFonts w:hint="eastAsia" w:ascii="宋体" w:hAnsi="宋体"/>
                <w:bCs/>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500" w:lineRule="exact"/>
              <w:ind w:firstLine="420" w:firstLineChars="200"/>
              <w:rPr>
                <w:rFonts w:ascii="宋体" w:hAnsi="宋体"/>
                <w:bCs/>
                <w:szCs w:val="21"/>
              </w:rPr>
            </w:pPr>
            <w:r>
              <w:rPr>
                <w:rFonts w:hint="eastAsia" w:ascii="宋体" w:hAnsi="宋体"/>
                <w:bCs/>
                <w:szCs w:val="21"/>
              </w:rPr>
              <w:t>符合中小企业划分标准的个体工商户，在政府采购活动中视同中小企业。</w:t>
            </w:r>
          </w:p>
          <w:p>
            <w:pPr>
              <w:spacing w:line="500" w:lineRule="exact"/>
              <w:ind w:firstLine="420" w:firstLineChars="200"/>
              <w:rPr>
                <w:rFonts w:ascii="宋体" w:hAnsi="宋体"/>
                <w:bCs/>
                <w:szCs w:val="21"/>
              </w:rPr>
            </w:pPr>
            <w:r>
              <w:rPr>
                <w:rFonts w:hint="eastAsia" w:ascii="宋体" w:hAnsi="宋体"/>
                <w:bCs/>
                <w:szCs w:val="21"/>
              </w:rPr>
              <w:t>中小企业划分标准见《关于印发中小企业划型标准规定的通知》（工信部联企业〔2011〕300号）</w:t>
            </w:r>
          </w:p>
          <w:p>
            <w:pPr>
              <w:spacing w:line="500" w:lineRule="exact"/>
              <w:ind w:firstLine="420" w:firstLineChars="200"/>
              <w:rPr>
                <w:rFonts w:ascii="宋体" w:hAnsi="宋体"/>
                <w:bCs/>
                <w:szCs w:val="21"/>
              </w:rPr>
            </w:pPr>
            <w:r>
              <w:rPr>
                <w:rFonts w:hint="eastAsia" w:ascii="宋体" w:hAnsi="宋体"/>
                <w:bCs/>
                <w:szCs w:val="21"/>
              </w:rPr>
              <w:t>（2）在服务采购项目中，服务由中小企业承接，即提供服务的人员为中小企业依照《中华人民共和国民法典》订立劳动合同的从业人员。</w:t>
            </w:r>
          </w:p>
          <w:p>
            <w:pPr>
              <w:spacing w:line="500" w:lineRule="exact"/>
              <w:ind w:firstLine="420" w:firstLineChars="200"/>
              <w:rPr>
                <w:rFonts w:ascii="宋体" w:hAnsi="宋体"/>
                <w:bCs/>
                <w:szCs w:val="21"/>
              </w:rPr>
            </w:pPr>
            <w:r>
              <w:rPr>
                <w:rFonts w:hint="eastAsia" w:ascii="宋体" w:hAnsi="宋体"/>
                <w:bCs/>
                <w:szCs w:val="21"/>
              </w:rPr>
              <w:t>以联合体形式参加政府采购活动，联合体各方均为中小企业的，联合体视同中小企业。其中，联合体各方均为小微企业的，联合体视同小微企业。</w:t>
            </w:r>
          </w:p>
          <w:p>
            <w:pPr>
              <w:spacing w:line="500" w:lineRule="exact"/>
              <w:ind w:firstLine="420" w:firstLineChars="200"/>
              <w:rPr>
                <w:rFonts w:ascii="宋体" w:hAnsi="宋体"/>
                <w:bCs/>
                <w:szCs w:val="21"/>
              </w:rPr>
            </w:pPr>
            <w:r>
              <w:rPr>
                <w:rFonts w:hint="eastAsia" w:ascii="宋体" w:hAnsi="宋体"/>
                <w:bCs/>
                <w:szCs w:val="21"/>
              </w:rPr>
              <w:t>供应商应当按照竞争性磋商文件的规定出具《中小企业声明函》，否则不享受相关扶持政策；</w:t>
            </w:r>
          </w:p>
          <w:p>
            <w:pPr>
              <w:spacing w:line="500" w:lineRule="exact"/>
              <w:rPr>
                <w:rFonts w:ascii="宋体" w:hAnsi="宋体"/>
                <w:bCs/>
                <w:szCs w:val="21"/>
              </w:rPr>
            </w:pPr>
            <w:r>
              <w:rPr>
                <w:rFonts w:hint="eastAsia" w:ascii="宋体" w:hAnsi="宋体"/>
                <w:bCs/>
                <w:szCs w:val="21"/>
              </w:rPr>
              <w:t>　　2.根据财库〔2014〕68号《财政部司法部关于政府采购支持监狱企业发展有关问题的通知》，监狱企业视同小微企业。提供由省级以上监狱管理局、戒毒管理局(含新疆生产建设兵团)出具的属于监狱企业的证明文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Cs w:val="21"/>
              </w:rPr>
              <w:t>件</w:t>
            </w:r>
            <w:r>
              <w:rPr>
                <w:rFonts w:hint="eastAsia" w:ascii="宋体" w:hAnsi="宋体"/>
                <w:b/>
                <w:bCs/>
                <w:color w:val="000000"/>
                <w:szCs w:val="21"/>
              </w:rPr>
              <w:t>（</w:t>
            </w:r>
            <w:r>
              <w:rPr>
                <w:rFonts w:hint="eastAsia" w:ascii="宋体" w:hAnsi="宋体"/>
                <w:b/>
                <w:bCs/>
                <w:color w:val="000000"/>
                <w:kern w:val="0"/>
                <w:szCs w:val="21"/>
              </w:rPr>
              <w:t>响应文件中附扫描件或复印件</w:t>
            </w:r>
            <w:r>
              <w:rPr>
                <w:rFonts w:hint="eastAsia" w:ascii="宋体" w:hAnsi="宋体"/>
                <w:b/>
                <w:bCs/>
                <w:color w:val="000000"/>
                <w:szCs w:val="21"/>
              </w:rPr>
              <w:t>）</w:t>
            </w:r>
            <w:r>
              <w:rPr>
                <w:rFonts w:hint="eastAsia" w:ascii="宋体" w:hAnsi="宋体"/>
                <w:bCs/>
                <w:color w:val="000000"/>
                <w:szCs w:val="21"/>
              </w:rPr>
              <w:t>，</w:t>
            </w:r>
            <w:r>
              <w:rPr>
                <w:rFonts w:hint="eastAsia" w:ascii="宋体" w:hAnsi="宋体"/>
                <w:bCs/>
                <w:szCs w:val="21"/>
              </w:rPr>
              <w:t>不再提供《中小企业声明函》，供应商出具的监狱企业证明文件如有虚假，其成交资格将被取消，并根据相关规定进行处罚。</w:t>
            </w:r>
          </w:p>
          <w:p>
            <w:pPr>
              <w:spacing w:line="440" w:lineRule="exact"/>
              <w:ind w:firstLine="424" w:firstLineChars="202"/>
              <w:jc w:val="left"/>
              <w:rPr>
                <w:rFonts w:ascii="宋体" w:hAnsi="宋体"/>
                <w:bCs/>
                <w:szCs w:val="21"/>
              </w:rPr>
            </w:pPr>
            <w:r>
              <w:rPr>
                <w:rFonts w:hint="eastAsia" w:ascii="宋体" w:hAnsi="宋体"/>
                <w:bCs/>
                <w:szCs w:val="21"/>
              </w:rPr>
              <w:t>3.根据财库〔2017〕141号《三部门联合发布关于促进残疾人就业政府采购政策的通知》残疾人福利性单位视同小型、微型企业，残疾人福利性单位在参加政府采购活动时提供《残疾人福利性单位声明函》，不再提供《中小企业声明函》，供应商在《残疾人福利性单位声明函》中的承诺如有虚假，其成交资格将被取消，并根据相关规定进行处罚。</w:t>
            </w:r>
          </w:p>
          <w:p>
            <w:pPr>
              <w:spacing w:line="500" w:lineRule="exact"/>
              <w:ind w:firstLine="422" w:firstLineChars="200"/>
              <w:rPr>
                <w:rFonts w:ascii="宋体" w:hAnsi="宋体"/>
                <w:b/>
                <w:szCs w:val="21"/>
              </w:rPr>
            </w:pPr>
            <w:r>
              <w:rPr>
                <w:rFonts w:hint="eastAsia" w:ascii="宋体" w:hAnsi="宋体"/>
                <w:b/>
                <w:szCs w:val="21"/>
              </w:rPr>
              <w:t>采购人根据供应商提供的《中小企业声明函》认定该供应商是否属于中小企业，监狱企业和残疾人福利性单位视同小型、微型企业。不属于中小企业、监狱企业或残疾人福利性单位的拒绝参与本项目磋商。</w:t>
            </w:r>
          </w:p>
          <w:p>
            <w:pPr>
              <w:spacing w:line="500" w:lineRule="exact"/>
              <w:ind w:left="420" w:leftChars="200"/>
              <w:rPr>
                <w:rFonts w:ascii="宋体" w:hAnsi="宋体"/>
                <w:b/>
                <w:bCs/>
                <w:szCs w:val="21"/>
              </w:rPr>
            </w:pPr>
            <w:r>
              <w:rPr>
                <w:rFonts w:hint="eastAsia" w:ascii="宋体" w:hAnsi="宋体"/>
                <w:b/>
                <w:bCs/>
                <w:szCs w:val="21"/>
              </w:rPr>
              <w:t>（二）节能产品、环境标志产品</w:t>
            </w:r>
          </w:p>
          <w:p>
            <w:pPr>
              <w:spacing w:line="500" w:lineRule="exact"/>
              <w:ind w:firstLine="420" w:firstLineChars="200"/>
            </w:pPr>
            <w:r>
              <w:rPr>
                <w:rFonts w:hint="eastAsia" w:ascii="宋体" w:hAnsi="宋体"/>
                <w:bCs/>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000000"/>
                <w:szCs w:val="21"/>
              </w:rPr>
              <w:t>书</w:t>
            </w:r>
            <w:r>
              <w:rPr>
                <w:rFonts w:hint="eastAsia" w:ascii="宋体" w:hAnsi="宋体"/>
                <w:b/>
                <w:bCs/>
                <w:color w:val="000000"/>
                <w:szCs w:val="21"/>
              </w:rPr>
              <w:t>（</w:t>
            </w:r>
            <w:r>
              <w:rPr>
                <w:rFonts w:hint="eastAsia" w:ascii="宋体" w:hAnsi="宋体"/>
                <w:b/>
                <w:bCs/>
                <w:color w:val="000000"/>
                <w:kern w:val="0"/>
                <w:szCs w:val="21"/>
              </w:rPr>
              <w:t>响应文件中附扫描件或复印件</w:t>
            </w:r>
            <w:r>
              <w:rPr>
                <w:rFonts w:hint="eastAsia" w:ascii="宋体" w:hAnsi="宋体"/>
                <w:b/>
                <w:bCs/>
                <w:color w:val="000000"/>
                <w:szCs w:val="21"/>
              </w:rPr>
              <w:t>）</w:t>
            </w:r>
            <w:r>
              <w:rPr>
                <w:rFonts w:hint="eastAsia" w:ascii="宋体" w:hAnsi="宋体"/>
                <w:bCs/>
                <w:color w:val="000000"/>
                <w:szCs w:val="21"/>
              </w:rPr>
              <w:t>，</w:t>
            </w:r>
            <w:r>
              <w:rPr>
                <w:rFonts w:hint="eastAsia" w:ascii="宋体" w:hAnsi="宋体"/>
                <w:bCs/>
                <w:szCs w:val="21"/>
              </w:rPr>
              <w:t>否则不予认定。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18</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履约担保</w:t>
            </w:r>
          </w:p>
        </w:tc>
        <w:tc>
          <w:tcPr>
            <w:tcW w:w="6563" w:type="dxa"/>
            <w:vAlign w:val="center"/>
          </w:tcPr>
          <w:p>
            <w:pPr>
              <w:spacing w:line="460" w:lineRule="exact"/>
              <w:jc w:val="left"/>
              <w:rPr>
                <w:rFonts w:ascii="宋体" w:hAnsi="宋体" w:cs="宋体"/>
                <w:kern w:val="0"/>
                <w:szCs w:val="21"/>
              </w:rPr>
            </w:pPr>
            <w:r>
              <w:rPr>
                <w:rFonts w:hint="eastAsia" w:ascii="宋体" w:hAnsi="宋体" w:cs="宋体"/>
                <w:kern w:val="0"/>
                <w:szCs w:val="21"/>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19</w:t>
            </w:r>
          </w:p>
        </w:tc>
        <w:tc>
          <w:tcPr>
            <w:tcW w:w="2131" w:type="dxa"/>
            <w:vAlign w:val="center"/>
          </w:tcPr>
          <w:p>
            <w:pPr>
              <w:spacing w:line="460" w:lineRule="exact"/>
              <w:jc w:val="center"/>
              <w:rPr>
                <w:rFonts w:ascii="宋体" w:hAnsi="宋体" w:cs="宋体"/>
                <w:kern w:val="0"/>
                <w:szCs w:val="21"/>
              </w:rPr>
            </w:pPr>
            <w:r>
              <w:rPr>
                <w:rFonts w:hint="eastAsia" w:ascii="宋体" w:hAnsi="宋体"/>
                <w:color w:val="000000"/>
                <w:szCs w:val="21"/>
              </w:rPr>
              <w:t>预付款</w:t>
            </w:r>
          </w:p>
        </w:tc>
        <w:tc>
          <w:tcPr>
            <w:tcW w:w="6563" w:type="dxa"/>
            <w:vAlign w:val="center"/>
          </w:tcPr>
          <w:p>
            <w:pPr>
              <w:spacing w:line="440" w:lineRule="exact"/>
              <w:ind w:firstLine="420" w:firstLineChars="200"/>
              <w:rPr>
                <w:rFonts w:ascii="宋体" w:hAnsi="宋体"/>
                <w:color w:val="000000"/>
                <w:szCs w:val="21"/>
              </w:rPr>
            </w:pPr>
            <w:r>
              <w:rPr>
                <w:rFonts w:hint="eastAsia" w:ascii="宋体" w:hAnsi="宋体"/>
                <w:color w:val="000000"/>
                <w:szCs w:val="21"/>
              </w:rPr>
              <w:t>项目执行预付款的，采购人在向成交供应商支付预付款前，成交供应商需向采购人提供预付款保函；</w:t>
            </w:r>
          </w:p>
          <w:p>
            <w:pPr>
              <w:spacing w:line="460" w:lineRule="exact"/>
              <w:ind w:firstLine="420" w:firstLineChars="200"/>
              <w:rPr>
                <w:rFonts w:ascii="宋体" w:hAnsi="宋体" w:cs="宋体"/>
                <w:kern w:val="0"/>
                <w:szCs w:val="21"/>
              </w:rPr>
            </w:pPr>
            <w:r>
              <w:rPr>
                <w:rFonts w:hint="eastAsia" w:ascii="宋体" w:hAnsi="宋体"/>
                <w:color w:val="000000"/>
                <w:szCs w:val="21"/>
              </w:rPr>
              <w:t>预付款保函的形式：</w:t>
            </w:r>
            <w:r>
              <w:rPr>
                <w:rFonts w:hint="eastAsia" w:hAnsi="宋体"/>
                <w:szCs w:val="21"/>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20</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签订合同</w:t>
            </w:r>
          </w:p>
        </w:tc>
        <w:tc>
          <w:tcPr>
            <w:tcW w:w="6563" w:type="dxa"/>
            <w:vAlign w:val="center"/>
          </w:tcPr>
          <w:p>
            <w:pPr>
              <w:spacing w:line="460" w:lineRule="exact"/>
              <w:rPr>
                <w:rFonts w:ascii="宋体" w:hAnsi="宋体" w:cs="宋体"/>
                <w:kern w:val="0"/>
                <w:szCs w:val="21"/>
              </w:rPr>
            </w:pPr>
            <w:r>
              <w:rPr>
                <w:rFonts w:hint="eastAsia" w:ascii="宋体" w:hAnsi="宋体" w:cs="宋体"/>
                <w:kern w:val="0"/>
                <w:szCs w:val="21"/>
              </w:rPr>
              <w:t>成交供应商在《成交通知书》发出后</w:t>
            </w:r>
            <w:r>
              <w:rPr>
                <w:rFonts w:hint="eastAsia" w:ascii="宋体" w:hAnsi="宋体" w:cs="宋体"/>
                <w:kern w:val="0"/>
                <w:szCs w:val="21"/>
                <w:u w:val="single"/>
              </w:rPr>
              <w:t>30</w:t>
            </w:r>
            <w:r>
              <w:rPr>
                <w:rFonts w:hint="eastAsia" w:ascii="宋体" w:hAnsi="宋体" w:cs="宋体"/>
                <w:kern w:val="0"/>
                <w:szCs w:val="21"/>
              </w:rPr>
              <w:t>日内，根据磋商文件和成交供应商的响应文件与采购人签订合同。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21</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其他必要内容</w:t>
            </w:r>
          </w:p>
        </w:tc>
        <w:tc>
          <w:tcPr>
            <w:tcW w:w="6563" w:type="dxa"/>
            <w:vAlign w:val="center"/>
          </w:tcPr>
          <w:p>
            <w:pPr>
              <w:spacing w:line="360" w:lineRule="auto"/>
              <w:ind w:firstLine="420" w:firstLineChars="200"/>
              <w:rPr>
                <w:rFonts w:ascii="宋体" w:hAnsi="宋体" w:cs="宋体"/>
                <w:kern w:val="0"/>
                <w:szCs w:val="21"/>
              </w:rPr>
            </w:pPr>
            <w:r>
              <w:rPr>
                <w:rFonts w:hint="eastAsia" w:ascii="宋体" w:hAnsi="宋体" w:cs="宋体"/>
                <w:kern w:val="0"/>
                <w:szCs w:val="21"/>
              </w:rPr>
              <w:t xml:space="preserve">1.本项目中如涉及商品包装和快递包装的，其包装需求标准应不低于《关于印发&lt;商 品包装政府采购需求标准（试行）&gt;、&lt;快递包装政府采购需求标准（试行）&gt;的通 知》（财办库〔2020〕123 号）规定的包装要求，其他包装需求详见采购文件。采购人、中标/成交人双方签订合同及验收环节，应包含上述包装要求的条款。 </w:t>
            </w:r>
          </w:p>
          <w:p>
            <w:pPr>
              <w:spacing w:line="360" w:lineRule="auto"/>
              <w:ind w:firstLine="420" w:firstLineChars="200"/>
              <w:rPr>
                <w:rFonts w:ascii="宋体" w:hAnsi="宋体" w:cs="宋体"/>
                <w:kern w:val="0"/>
                <w:szCs w:val="21"/>
              </w:rPr>
            </w:pPr>
            <w:r>
              <w:rPr>
                <w:rFonts w:hint="eastAsia" w:ascii="宋体" w:hAnsi="宋体" w:cs="宋体"/>
                <w:kern w:val="0"/>
                <w:szCs w:val="21"/>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 所投标（响应）设备或产品至少符合以下条件之一：一是已由具备资格的机构安全认证合格或安全检测符合要求；二是已获得《计算机信息系统安全专用产品销售许 可证》，且在有效期内。采购人、中标(成交)人双方签订合同及验收环节，应包含上述网络安全要求的条款。 </w:t>
            </w:r>
          </w:p>
          <w:p>
            <w:pPr>
              <w:spacing w:line="360" w:lineRule="auto"/>
              <w:ind w:firstLine="420" w:firstLineChars="200"/>
              <w:rPr>
                <w:rFonts w:ascii="宋体" w:hAnsi="宋体" w:cs="宋体"/>
                <w:kern w:val="0"/>
                <w:szCs w:val="21"/>
              </w:rPr>
            </w:pPr>
            <w:r>
              <w:rPr>
                <w:rFonts w:hint="eastAsia" w:ascii="宋体" w:hAnsi="宋体" w:cs="宋体"/>
                <w:kern w:val="0"/>
                <w:szCs w:val="21"/>
              </w:rPr>
              <w:t>3.本项目中如涉及国家强制性产品认证证书（CCC 认证证书）、电信设备进网许可证、 无线电发射设备核准证等市场准入类资质的，应严格执行国家相关法律法规的要求。采购人、中标(成交)人双方签订合同及验收环节，应包含上述市场准入类资质要求的条款。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22</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其他</w:t>
            </w:r>
          </w:p>
        </w:tc>
        <w:tc>
          <w:tcPr>
            <w:tcW w:w="6563" w:type="dxa"/>
            <w:vAlign w:val="center"/>
          </w:tcPr>
          <w:p>
            <w:pPr>
              <w:spacing w:line="360" w:lineRule="auto"/>
              <w:rPr>
                <w:rFonts w:ascii="宋体" w:hAnsi="宋体" w:cs="宋体"/>
                <w:kern w:val="0"/>
                <w:szCs w:val="21"/>
              </w:rPr>
            </w:pPr>
            <w:r>
              <w:rPr>
                <w:rFonts w:hint="eastAsia" w:ascii="宋体" w:hAnsi="宋体" w:cs="宋体"/>
                <w:kern w:val="0"/>
                <w:szCs w:val="21"/>
              </w:rPr>
              <w:t>本竞争性磋商文件解释权归采购人或其委托的采购代理机构，未尽事宜按相关法律法规执行。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szCs w:val="21"/>
              </w:rPr>
            </w:pPr>
            <w:r>
              <w:rPr>
                <w:rFonts w:hint="eastAsia" w:ascii="宋体" w:hAnsi="宋体" w:cs="宋体"/>
                <w:kern w:val="0"/>
                <w:szCs w:val="21"/>
              </w:rPr>
              <w:t>23</w:t>
            </w:r>
          </w:p>
        </w:tc>
        <w:tc>
          <w:tcPr>
            <w:tcW w:w="2131" w:type="dxa"/>
            <w:vAlign w:val="center"/>
          </w:tcPr>
          <w:p>
            <w:pPr>
              <w:spacing w:line="460" w:lineRule="exact"/>
              <w:jc w:val="center"/>
              <w:rPr>
                <w:rFonts w:ascii="宋体" w:hAnsi="宋体" w:cs="宋体"/>
                <w:kern w:val="0"/>
                <w:szCs w:val="21"/>
              </w:rPr>
            </w:pPr>
            <w:r>
              <w:rPr>
                <w:rFonts w:hint="eastAsia" w:ascii="宋体" w:hAnsi="宋体" w:cs="宋体"/>
                <w:kern w:val="0"/>
                <w:szCs w:val="21"/>
              </w:rPr>
              <w:t>采购代理机构代理</w:t>
            </w:r>
          </w:p>
          <w:p>
            <w:pPr>
              <w:spacing w:line="460" w:lineRule="exact"/>
              <w:jc w:val="center"/>
              <w:rPr>
                <w:rFonts w:ascii="宋体" w:hAnsi="宋体" w:cs="宋体"/>
                <w:kern w:val="0"/>
                <w:szCs w:val="21"/>
              </w:rPr>
            </w:pPr>
            <w:r>
              <w:rPr>
                <w:rFonts w:hint="eastAsia" w:ascii="宋体" w:hAnsi="宋体" w:cs="宋体"/>
                <w:kern w:val="0"/>
                <w:szCs w:val="21"/>
              </w:rPr>
              <w:t>服务费</w:t>
            </w:r>
          </w:p>
        </w:tc>
        <w:tc>
          <w:tcPr>
            <w:tcW w:w="6563" w:type="dxa"/>
            <w:vAlign w:val="center"/>
          </w:tcPr>
          <w:p>
            <w:pPr>
              <w:spacing w:line="360" w:lineRule="auto"/>
              <w:rPr>
                <w:rFonts w:ascii="宋体" w:hAnsi="宋体" w:cs="宋体"/>
                <w:szCs w:val="21"/>
              </w:rPr>
            </w:pPr>
            <w:r>
              <w:rPr>
                <w:rFonts w:hint="eastAsia" w:ascii="宋体" w:hAnsi="宋体" w:cs="宋体"/>
                <w:szCs w:val="21"/>
              </w:rPr>
              <w:t>本项目收取代理服务费：</w:t>
            </w:r>
          </w:p>
          <w:p>
            <w:pPr>
              <w:spacing w:line="360" w:lineRule="auto"/>
              <w:rPr>
                <w:rFonts w:ascii="宋体" w:hAnsi="宋体" w:cs="宋体"/>
                <w:color w:val="FF0000"/>
                <w:szCs w:val="21"/>
              </w:rPr>
            </w:pPr>
            <w:r>
              <w:rPr>
                <w:rFonts w:hint="eastAsia" w:ascii="宋体" w:hAnsi="宋体" w:cs="宋体"/>
                <w:szCs w:val="21"/>
              </w:rPr>
              <w:t>1.代理服务费用：收取标准见《河南省招标代理服务收费计算标准》。</w:t>
            </w:r>
          </w:p>
          <w:p>
            <w:pPr>
              <w:spacing w:line="360" w:lineRule="auto"/>
              <w:rPr>
                <w:rFonts w:ascii="宋体" w:hAnsi="宋体" w:cs="宋体"/>
                <w:szCs w:val="21"/>
              </w:rPr>
            </w:pPr>
            <w:r>
              <w:rPr>
                <w:rFonts w:hint="eastAsia" w:ascii="宋体" w:hAnsi="宋体" w:cs="宋体"/>
                <w:szCs w:val="21"/>
              </w:rPr>
              <w:t xml:space="preserve">2.支付方式：现金或转账。 </w:t>
            </w:r>
          </w:p>
          <w:p>
            <w:pPr>
              <w:spacing w:line="360" w:lineRule="auto"/>
            </w:pPr>
            <w:r>
              <w:rPr>
                <w:rFonts w:hint="eastAsia" w:ascii="宋体" w:hAnsi="宋体" w:cs="宋体"/>
                <w:szCs w:val="21"/>
              </w:rPr>
              <w:t>3.采购代理机构代理服务费由成交供应商支付。</w:t>
            </w:r>
          </w:p>
        </w:tc>
      </w:tr>
      <w:bookmarkEnd w:id="5"/>
      <w:bookmarkEnd w:id="6"/>
      <w:bookmarkEnd w:id="7"/>
      <w:bookmarkEnd w:id="8"/>
      <w:bookmarkEnd w:id="9"/>
    </w:tbl>
    <w:p>
      <w:pPr>
        <w:pStyle w:val="34"/>
        <w:spacing w:beforeAutospacing="0" w:afterAutospacing="0" w:line="360" w:lineRule="auto"/>
        <w:jc w:val="center"/>
        <w:rPr>
          <w:rStyle w:val="42"/>
          <w:sz w:val="28"/>
          <w:szCs w:val="28"/>
        </w:rPr>
      </w:pPr>
      <w:bookmarkStart w:id="12" w:name="_Toc461962050"/>
    </w:p>
    <w:p>
      <w:pPr>
        <w:pStyle w:val="34"/>
        <w:spacing w:beforeAutospacing="0" w:afterAutospacing="0" w:line="360" w:lineRule="auto"/>
        <w:jc w:val="center"/>
        <w:rPr>
          <w:rStyle w:val="42"/>
          <w:sz w:val="28"/>
          <w:szCs w:val="28"/>
        </w:rPr>
      </w:pPr>
    </w:p>
    <w:p>
      <w:pPr>
        <w:pStyle w:val="34"/>
        <w:spacing w:beforeAutospacing="0" w:afterAutospacing="0" w:line="360" w:lineRule="auto"/>
        <w:jc w:val="center"/>
        <w:rPr>
          <w:rStyle w:val="42"/>
          <w:sz w:val="28"/>
          <w:szCs w:val="28"/>
        </w:rPr>
      </w:pPr>
    </w:p>
    <w:p>
      <w:pPr>
        <w:pStyle w:val="34"/>
        <w:spacing w:beforeAutospacing="0" w:afterAutospacing="0" w:line="360" w:lineRule="auto"/>
        <w:jc w:val="center"/>
        <w:rPr>
          <w:rStyle w:val="42"/>
          <w:sz w:val="28"/>
          <w:szCs w:val="28"/>
        </w:rPr>
      </w:pPr>
    </w:p>
    <w:p>
      <w:pPr>
        <w:pStyle w:val="34"/>
        <w:spacing w:beforeAutospacing="0" w:afterAutospacing="0" w:line="360" w:lineRule="auto"/>
        <w:jc w:val="center"/>
        <w:rPr>
          <w:rStyle w:val="42"/>
          <w:sz w:val="28"/>
          <w:szCs w:val="28"/>
        </w:rPr>
      </w:pPr>
    </w:p>
    <w:p>
      <w:pPr>
        <w:pStyle w:val="34"/>
        <w:spacing w:beforeAutospacing="0" w:afterAutospacing="0" w:line="360" w:lineRule="auto"/>
        <w:jc w:val="center"/>
        <w:rPr>
          <w:rStyle w:val="42"/>
          <w:sz w:val="28"/>
          <w:szCs w:val="28"/>
        </w:rPr>
      </w:pPr>
    </w:p>
    <w:p>
      <w:pPr>
        <w:pStyle w:val="34"/>
        <w:spacing w:beforeAutospacing="0" w:afterAutospacing="0" w:line="360" w:lineRule="auto"/>
        <w:jc w:val="center"/>
        <w:rPr>
          <w:rStyle w:val="42"/>
          <w:sz w:val="28"/>
          <w:szCs w:val="28"/>
        </w:rPr>
      </w:pPr>
    </w:p>
    <w:p>
      <w:pPr>
        <w:pStyle w:val="34"/>
        <w:spacing w:beforeAutospacing="0" w:afterAutospacing="0" w:line="360" w:lineRule="auto"/>
        <w:jc w:val="center"/>
        <w:rPr>
          <w:rStyle w:val="42"/>
          <w:sz w:val="28"/>
          <w:szCs w:val="28"/>
        </w:rPr>
      </w:pPr>
    </w:p>
    <w:p>
      <w:pPr>
        <w:pStyle w:val="34"/>
        <w:spacing w:beforeAutospacing="0" w:afterAutospacing="0" w:line="360" w:lineRule="auto"/>
        <w:jc w:val="center"/>
        <w:rPr>
          <w:rStyle w:val="42"/>
          <w:sz w:val="28"/>
          <w:szCs w:val="28"/>
        </w:rPr>
      </w:pPr>
    </w:p>
    <w:p>
      <w:pPr>
        <w:pStyle w:val="34"/>
        <w:spacing w:beforeAutospacing="0" w:afterAutospacing="0" w:line="360" w:lineRule="auto"/>
        <w:jc w:val="center"/>
        <w:rPr>
          <w:rStyle w:val="42"/>
          <w:sz w:val="28"/>
          <w:szCs w:val="28"/>
        </w:rPr>
      </w:pPr>
    </w:p>
    <w:p>
      <w:pPr>
        <w:pStyle w:val="34"/>
        <w:spacing w:beforeAutospacing="0" w:afterAutospacing="0" w:line="360" w:lineRule="auto"/>
        <w:jc w:val="center"/>
        <w:rPr>
          <w:rStyle w:val="42"/>
          <w:sz w:val="28"/>
          <w:szCs w:val="28"/>
        </w:rPr>
      </w:pPr>
    </w:p>
    <w:p>
      <w:pPr>
        <w:pStyle w:val="34"/>
        <w:spacing w:beforeAutospacing="0" w:afterAutospacing="0" w:line="360" w:lineRule="auto"/>
        <w:jc w:val="center"/>
      </w:pPr>
      <w:r>
        <w:rPr>
          <w:rStyle w:val="42"/>
          <w:rFonts w:hint="eastAsia"/>
          <w:sz w:val="28"/>
          <w:szCs w:val="28"/>
        </w:rPr>
        <w:t>河南省招标代理服务收费计算标准</w:t>
      </w:r>
    </w:p>
    <w:tbl>
      <w:tblPr>
        <w:tblStyle w:val="39"/>
        <w:tblW w:w="9058" w:type="dxa"/>
        <w:jc w:val="center"/>
        <w:tblLayout w:type="autofit"/>
        <w:tblCellMar>
          <w:top w:w="0" w:type="dxa"/>
          <w:left w:w="0" w:type="dxa"/>
          <w:bottom w:w="0" w:type="dxa"/>
          <w:right w:w="0" w:type="dxa"/>
        </w:tblCellMar>
      </w:tblPr>
      <w:tblGrid>
        <w:gridCol w:w="4780"/>
        <w:gridCol w:w="1426"/>
        <w:gridCol w:w="1426"/>
        <w:gridCol w:w="1426"/>
      </w:tblGrid>
      <w:tr>
        <w:tblPrEx>
          <w:tblCellMar>
            <w:top w:w="0" w:type="dxa"/>
            <w:left w:w="0" w:type="dxa"/>
            <w:bottom w:w="0" w:type="dxa"/>
            <w:right w:w="0" w:type="dxa"/>
          </w:tblCellMar>
        </w:tblPrEx>
        <w:trPr>
          <w:trHeight w:val="1155" w:hRule="atLeast"/>
          <w:jc w:val="center"/>
        </w:trPr>
        <w:tc>
          <w:tcPr>
            <w:tcW w:w="4780" w:type="dxa"/>
            <w:tcBorders>
              <w:top w:val="single" w:color="auto" w:sz="8" w:space="0"/>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ind w:firstLine="840"/>
              <w:rPr>
                <w:sz w:val="21"/>
                <w:szCs w:val="21"/>
              </w:rPr>
            </w:pPr>
            <w:r>
              <w:rPr>
                <w:rFonts w:hint="eastAsia"/>
                <w:sz w:val="21"/>
                <w:szCs w:val="21"/>
              </w:rPr>
              <w:t>费率         项目类型</w:t>
            </w:r>
          </w:p>
          <w:p>
            <w:pPr>
              <w:pStyle w:val="34"/>
              <w:wordWrap w:val="0"/>
              <w:spacing w:beforeAutospacing="0" w:afterAutospacing="0" w:line="360" w:lineRule="auto"/>
              <w:rPr>
                <w:sz w:val="21"/>
                <w:szCs w:val="21"/>
              </w:rPr>
            </w:pPr>
            <w:r>
              <w:rPr>
                <w:rFonts w:hint="eastAsia"/>
                <w:sz w:val="21"/>
                <w:szCs w:val="21"/>
              </w:rPr>
              <w:t>预算</w:t>
            </w:r>
          </w:p>
          <w:p>
            <w:pPr>
              <w:pStyle w:val="34"/>
              <w:wordWrap w:val="0"/>
              <w:spacing w:beforeAutospacing="0" w:afterAutospacing="0" w:line="360" w:lineRule="auto"/>
              <w:rPr>
                <w:sz w:val="21"/>
                <w:szCs w:val="21"/>
              </w:rPr>
            </w:pPr>
            <w:r>
              <w:rPr>
                <w:rFonts w:hint="eastAsia"/>
                <w:sz w:val="21"/>
                <w:szCs w:val="21"/>
              </w:rPr>
              <w:t>金额（万元）</w:t>
            </w:r>
          </w:p>
        </w:tc>
        <w:tc>
          <w:tcPr>
            <w:tcW w:w="1426"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top"/>
              <w:rPr>
                <w:sz w:val="21"/>
                <w:szCs w:val="21"/>
              </w:rPr>
            </w:pPr>
            <w:r>
              <w:rPr>
                <w:rFonts w:hint="eastAsia"/>
                <w:sz w:val="21"/>
                <w:szCs w:val="21"/>
              </w:rPr>
              <w:t>工程</w:t>
            </w:r>
          </w:p>
        </w:tc>
        <w:tc>
          <w:tcPr>
            <w:tcW w:w="1426"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top"/>
              <w:rPr>
                <w:sz w:val="21"/>
                <w:szCs w:val="21"/>
              </w:rPr>
            </w:pPr>
            <w:r>
              <w:rPr>
                <w:rFonts w:hint="eastAsia"/>
                <w:sz w:val="21"/>
                <w:szCs w:val="21"/>
              </w:rPr>
              <w:t>货物</w:t>
            </w:r>
          </w:p>
        </w:tc>
        <w:tc>
          <w:tcPr>
            <w:tcW w:w="1426"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rPr>
                <w:sz w:val="21"/>
                <w:szCs w:val="21"/>
              </w:rPr>
            </w:pPr>
            <w:r>
              <w:rPr>
                <w:rFonts w:hint="eastAsia"/>
                <w:sz w:val="21"/>
                <w:szCs w:val="21"/>
              </w:rPr>
              <w:t>服务</w:t>
            </w:r>
          </w:p>
        </w:tc>
      </w:tr>
      <w:tr>
        <w:tblPrEx>
          <w:tblCellMar>
            <w:top w:w="0" w:type="dxa"/>
            <w:left w:w="0" w:type="dxa"/>
            <w:bottom w:w="0" w:type="dxa"/>
            <w:right w:w="0" w:type="dxa"/>
          </w:tblCellMar>
        </w:tblPrEx>
        <w:trPr>
          <w:trHeight w:val="489" w:hRule="atLeast"/>
          <w:jc w:val="center"/>
        </w:trPr>
        <w:tc>
          <w:tcPr>
            <w:tcW w:w="4780" w:type="dxa"/>
            <w:tcBorders>
              <w:top w:val="nil"/>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center"/>
              <w:rPr>
                <w:sz w:val="21"/>
                <w:szCs w:val="21"/>
              </w:rPr>
            </w:pPr>
            <w:r>
              <w:rPr>
                <w:rFonts w:hint="eastAsia"/>
                <w:sz w:val="21"/>
                <w:szCs w:val="21"/>
              </w:rPr>
              <w:t>100万元以下（含100万元）</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1.2%</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1.7%</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1.7%</w:t>
            </w:r>
          </w:p>
        </w:tc>
      </w:tr>
      <w:tr>
        <w:tblPrEx>
          <w:tblCellMar>
            <w:top w:w="0" w:type="dxa"/>
            <w:left w:w="0" w:type="dxa"/>
            <w:bottom w:w="0" w:type="dxa"/>
            <w:right w:w="0" w:type="dxa"/>
          </w:tblCellMar>
        </w:tblPrEx>
        <w:trPr>
          <w:trHeight w:val="489" w:hRule="atLeast"/>
          <w:jc w:val="center"/>
        </w:trPr>
        <w:tc>
          <w:tcPr>
            <w:tcW w:w="4780" w:type="dxa"/>
            <w:tcBorders>
              <w:top w:val="nil"/>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center"/>
              <w:rPr>
                <w:sz w:val="21"/>
                <w:szCs w:val="21"/>
              </w:rPr>
            </w:pPr>
            <w:r>
              <w:rPr>
                <w:rFonts w:hint="eastAsia"/>
                <w:sz w:val="21"/>
                <w:szCs w:val="21"/>
              </w:rPr>
              <w:t>100-500万元（含500万元）</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1.0%</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1.2%</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1.2%</w:t>
            </w:r>
          </w:p>
        </w:tc>
      </w:tr>
      <w:tr>
        <w:tblPrEx>
          <w:tblCellMar>
            <w:top w:w="0" w:type="dxa"/>
            <w:left w:w="0" w:type="dxa"/>
            <w:bottom w:w="0" w:type="dxa"/>
            <w:right w:w="0" w:type="dxa"/>
          </w:tblCellMar>
        </w:tblPrEx>
        <w:trPr>
          <w:trHeight w:val="637" w:hRule="atLeast"/>
          <w:jc w:val="center"/>
        </w:trPr>
        <w:tc>
          <w:tcPr>
            <w:tcW w:w="4780" w:type="dxa"/>
            <w:tcBorders>
              <w:top w:val="nil"/>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center"/>
              <w:rPr>
                <w:sz w:val="21"/>
                <w:szCs w:val="21"/>
              </w:rPr>
            </w:pPr>
            <w:r>
              <w:rPr>
                <w:rFonts w:hint="eastAsia"/>
                <w:sz w:val="21"/>
                <w:szCs w:val="21"/>
              </w:rPr>
              <w:t>500-1000万元（含1000万元）</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0.7%</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0.8%</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0.7%</w:t>
            </w:r>
          </w:p>
        </w:tc>
      </w:tr>
      <w:tr>
        <w:tblPrEx>
          <w:tblCellMar>
            <w:top w:w="0" w:type="dxa"/>
            <w:left w:w="0" w:type="dxa"/>
            <w:bottom w:w="0" w:type="dxa"/>
            <w:right w:w="0" w:type="dxa"/>
          </w:tblCellMar>
        </w:tblPrEx>
        <w:trPr>
          <w:trHeight w:val="398" w:hRule="atLeast"/>
          <w:jc w:val="center"/>
        </w:trPr>
        <w:tc>
          <w:tcPr>
            <w:tcW w:w="4780" w:type="dxa"/>
            <w:tcBorders>
              <w:top w:val="nil"/>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center"/>
              <w:rPr>
                <w:sz w:val="21"/>
                <w:szCs w:val="21"/>
              </w:rPr>
            </w:pPr>
            <w:r>
              <w:rPr>
                <w:rFonts w:hint="eastAsia"/>
                <w:sz w:val="21"/>
                <w:szCs w:val="21"/>
              </w:rPr>
              <w:t>1000-5000万元（含5000万元）</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0.4%</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0.5%</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0.4%</w:t>
            </w:r>
          </w:p>
        </w:tc>
      </w:tr>
      <w:tr>
        <w:tblPrEx>
          <w:tblCellMar>
            <w:top w:w="0" w:type="dxa"/>
            <w:left w:w="0" w:type="dxa"/>
            <w:bottom w:w="0" w:type="dxa"/>
            <w:right w:w="0" w:type="dxa"/>
          </w:tblCellMar>
        </w:tblPrEx>
        <w:trPr>
          <w:trHeight w:val="398" w:hRule="atLeast"/>
          <w:jc w:val="center"/>
        </w:trPr>
        <w:tc>
          <w:tcPr>
            <w:tcW w:w="4780" w:type="dxa"/>
            <w:tcBorders>
              <w:top w:val="nil"/>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center"/>
              <w:rPr>
                <w:sz w:val="21"/>
                <w:szCs w:val="21"/>
              </w:rPr>
            </w:pPr>
            <w:r>
              <w:rPr>
                <w:rFonts w:hint="eastAsia"/>
                <w:sz w:val="21"/>
                <w:szCs w:val="21"/>
              </w:rPr>
              <w:t>5000万元-1亿元（含1亿元）</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0.25%</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0.30%</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0.250%</w:t>
            </w:r>
          </w:p>
        </w:tc>
      </w:tr>
      <w:tr>
        <w:tblPrEx>
          <w:tblCellMar>
            <w:top w:w="0" w:type="dxa"/>
            <w:left w:w="0" w:type="dxa"/>
            <w:bottom w:w="0" w:type="dxa"/>
            <w:right w:w="0" w:type="dxa"/>
          </w:tblCellMar>
        </w:tblPrEx>
        <w:trPr>
          <w:trHeight w:val="398" w:hRule="atLeast"/>
          <w:jc w:val="center"/>
        </w:trPr>
        <w:tc>
          <w:tcPr>
            <w:tcW w:w="4780" w:type="dxa"/>
            <w:tcBorders>
              <w:top w:val="nil"/>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center"/>
              <w:rPr>
                <w:sz w:val="21"/>
                <w:szCs w:val="21"/>
              </w:rPr>
            </w:pPr>
            <w:r>
              <w:rPr>
                <w:rFonts w:hint="eastAsia"/>
                <w:sz w:val="21"/>
                <w:szCs w:val="21"/>
              </w:rPr>
              <w:t>1-5亿元（含5亿元）</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0.10%</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0.10%</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0.10%</w:t>
            </w:r>
          </w:p>
        </w:tc>
      </w:tr>
      <w:tr>
        <w:tblPrEx>
          <w:tblCellMar>
            <w:top w:w="0" w:type="dxa"/>
            <w:left w:w="0" w:type="dxa"/>
            <w:bottom w:w="0" w:type="dxa"/>
            <w:right w:w="0" w:type="dxa"/>
          </w:tblCellMar>
        </w:tblPrEx>
        <w:trPr>
          <w:trHeight w:val="398" w:hRule="atLeast"/>
          <w:jc w:val="center"/>
        </w:trPr>
        <w:tc>
          <w:tcPr>
            <w:tcW w:w="4780" w:type="dxa"/>
            <w:tcBorders>
              <w:top w:val="nil"/>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center"/>
              <w:rPr>
                <w:sz w:val="21"/>
                <w:szCs w:val="21"/>
              </w:rPr>
            </w:pPr>
            <w:r>
              <w:rPr>
                <w:rFonts w:hint="eastAsia"/>
                <w:sz w:val="21"/>
                <w:szCs w:val="21"/>
              </w:rPr>
              <w:t>5-10亿元（含10亿元）</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0.045%</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0.045%</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0.045%</w:t>
            </w:r>
          </w:p>
        </w:tc>
      </w:tr>
      <w:tr>
        <w:tblPrEx>
          <w:tblCellMar>
            <w:top w:w="0" w:type="dxa"/>
            <w:left w:w="0" w:type="dxa"/>
            <w:bottom w:w="0" w:type="dxa"/>
            <w:right w:w="0" w:type="dxa"/>
          </w:tblCellMar>
        </w:tblPrEx>
        <w:trPr>
          <w:trHeight w:val="398" w:hRule="atLeast"/>
          <w:jc w:val="center"/>
        </w:trPr>
        <w:tc>
          <w:tcPr>
            <w:tcW w:w="4780" w:type="dxa"/>
            <w:tcBorders>
              <w:top w:val="nil"/>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center"/>
              <w:rPr>
                <w:sz w:val="21"/>
                <w:szCs w:val="21"/>
              </w:rPr>
            </w:pPr>
            <w:r>
              <w:rPr>
                <w:rFonts w:hint="eastAsia"/>
                <w:sz w:val="21"/>
                <w:szCs w:val="21"/>
              </w:rPr>
              <w:t>10-50亿元（含50亿元）</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0.010%</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0.01%</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0.010%</w:t>
            </w:r>
          </w:p>
        </w:tc>
      </w:tr>
      <w:tr>
        <w:tblPrEx>
          <w:tblCellMar>
            <w:top w:w="0" w:type="dxa"/>
            <w:left w:w="0" w:type="dxa"/>
            <w:bottom w:w="0" w:type="dxa"/>
            <w:right w:w="0" w:type="dxa"/>
          </w:tblCellMar>
        </w:tblPrEx>
        <w:trPr>
          <w:trHeight w:val="398" w:hRule="atLeast"/>
          <w:jc w:val="center"/>
        </w:trPr>
        <w:tc>
          <w:tcPr>
            <w:tcW w:w="4780" w:type="dxa"/>
            <w:tcBorders>
              <w:top w:val="nil"/>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center"/>
              <w:rPr>
                <w:sz w:val="21"/>
                <w:szCs w:val="21"/>
              </w:rPr>
            </w:pPr>
            <w:r>
              <w:rPr>
                <w:rFonts w:hint="eastAsia"/>
                <w:sz w:val="21"/>
                <w:szCs w:val="21"/>
              </w:rPr>
              <w:t>50-100亿元（含100亿元）</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0.008%</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0.008%</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0.008%</w:t>
            </w:r>
          </w:p>
        </w:tc>
      </w:tr>
      <w:tr>
        <w:tblPrEx>
          <w:tblCellMar>
            <w:top w:w="0" w:type="dxa"/>
            <w:left w:w="0" w:type="dxa"/>
            <w:bottom w:w="0" w:type="dxa"/>
            <w:right w:w="0" w:type="dxa"/>
          </w:tblCellMar>
        </w:tblPrEx>
        <w:trPr>
          <w:trHeight w:val="418" w:hRule="atLeast"/>
          <w:jc w:val="center"/>
        </w:trPr>
        <w:tc>
          <w:tcPr>
            <w:tcW w:w="4780" w:type="dxa"/>
            <w:tcBorders>
              <w:top w:val="nil"/>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center"/>
              <w:rPr>
                <w:sz w:val="21"/>
                <w:szCs w:val="21"/>
              </w:rPr>
            </w:pPr>
            <w:r>
              <w:rPr>
                <w:rFonts w:hint="eastAsia"/>
                <w:sz w:val="21"/>
                <w:szCs w:val="21"/>
              </w:rPr>
              <w:t>100亿元以上</w:t>
            </w:r>
          </w:p>
        </w:tc>
        <w:tc>
          <w:tcPr>
            <w:tcW w:w="1426" w:type="dxa"/>
            <w:tcBorders>
              <w:top w:val="nil"/>
              <w:left w:val="single" w:color="auto" w:sz="8" w:space="0"/>
              <w:bottom w:val="single" w:color="auto" w:sz="8" w:space="0"/>
              <w:right w:val="single" w:color="auto" w:sz="8" w:space="0"/>
            </w:tcBorders>
            <w:tcMar>
              <w:left w:w="108" w:type="dxa"/>
              <w:right w:w="108" w:type="dxa"/>
            </w:tcMar>
            <w:vAlign w:val="center"/>
          </w:tcPr>
          <w:p>
            <w:pPr>
              <w:pStyle w:val="34"/>
              <w:wordWrap w:val="0"/>
              <w:spacing w:beforeAutospacing="0" w:afterAutospacing="0" w:line="360" w:lineRule="auto"/>
              <w:jc w:val="center"/>
              <w:textAlignment w:val="center"/>
              <w:rPr>
                <w:sz w:val="21"/>
                <w:szCs w:val="21"/>
              </w:rPr>
            </w:pPr>
            <w:r>
              <w:rPr>
                <w:rFonts w:hint="eastAsia"/>
                <w:sz w:val="21"/>
                <w:szCs w:val="21"/>
              </w:rPr>
              <w:t>0.004%</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0.004%</w:t>
            </w:r>
          </w:p>
        </w:tc>
        <w:tc>
          <w:tcPr>
            <w:tcW w:w="1426" w:type="dxa"/>
            <w:tcBorders>
              <w:top w:val="nil"/>
              <w:left w:val="single" w:color="auto" w:sz="8" w:space="0"/>
              <w:bottom w:val="single" w:color="auto" w:sz="8" w:space="0"/>
              <w:right w:val="single" w:color="auto" w:sz="8" w:space="0"/>
            </w:tcBorders>
            <w:tcMar>
              <w:left w:w="108" w:type="dxa"/>
              <w:right w:w="108" w:type="dxa"/>
            </w:tcMar>
          </w:tcPr>
          <w:p>
            <w:pPr>
              <w:pStyle w:val="34"/>
              <w:wordWrap w:val="0"/>
              <w:spacing w:beforeAutospacing="0" w:afterAutospacing="0" w:line="360" w:lineRule="auto"/>
              <w:jc w:val="center"/>
              <w:textAlignment w:val="top"/>
              <w:rPr>
                <w:sz w:val="21"/>
                <w:szCs w:val="21"/>
              </w:rPr>
            </w:pPr>
            <w:r>
              <w:rPr>
                <w:rFonts w:hint="eastAsia"/>
                <w:sz w:val="21"/>
                <w:szCs w:val="21"/>
              </w:rPr>
              <w:t>0.004%</w:t>
            </w:r>
          </w:p>
        </w:tc>
      </w:tr>
    </w:tbl>
    <w:p>
      <w:pPr>
        <w:pStyle w:val="34"/>
        <w:spacing w:beforeAutospacing="0" w:afterAutospacing="0" w:line="360" w:lineRule="auto"/>
        <w:rPr>
          <w:sz w:val="21"/>
          <w:szCs w:val="21"/>
        </w:rPr>
      </w:pPr>
      <w:r>
        <w:rPr>
          <w:rStyle w:val="42"/>
          <w:rFonts w:hint="eastAsia"/>
          <w:sz w:val="21"/>
          <w:szCs w:val="21"/>
        </w:rPr>
        <w:t>注</w:t>
      </w:r>
      <w:r>
        <w:rPr>
          <w:rFonts w:hint="eastAsia"/>
          <w:sz w:val="21"/>
          <w:szCs w:val="21"/>
        </w:rPr>
        <w:t>：</w:t>
      </w:r>
    </w:p>
    <w:p>
      <w:pPr>
        <w:pStyle w:val="34"/>
        <w:spacing w:beforeAutospacing="0" w:afterAutospacing="0" w:line="380" w:lineRule="exact"/>
        <w:rPr>
          <w:sz w:val="21"/>
          <w:szCs w:val="21"/>
        </w:rPr>
      </w:pPr>
      <w:r>
        <w:rPr>
          <w:rFonts w:hint="eastAsia"/>
          <w:sz w:val="21"/>
          <w:szCs w:val="21"/>
        </w:rPr>
        <w:t>1.招标代理服务收费按差额定率累进法计算。</w:t>
      </w:r>
    </w:p>
    <w:p>
      <w:pPr>
        <w:pStyle w:val="34"/>
        <w:spacing w:beforeAutospacing="0" w:afterAutospacing="0" w:line="380" w:lineRule="exact"/>
        <w:rPr>
          <w:sz w:val="21"/>
          <w:szCs w:val="21"/>
        </w:rPr>
      </w:pPr>
      <w:r>
        <w:rPr>
          <w:rFonts w:hint="eastAsia"/>
          <w:sz w:val="21"/>
          <w:szCs w:val="21"/>
        </w:rPr>
        <w:t>例如: 某工程招标代理业务，中标金额10000万元，招标代理服务收费计算如下:</w:t>
      </w:r>
    </w:p>
    <w:p>
      <w:pPr>
        <w:pStyle w:val="34"/>
        <w:spacing w:beforeAutospacing="0" w:afterAutospacing="0" w:line="380" w:lineRule="exact"/>
        <w:rPr>
          <w:sz w:val="21"/>
          <w:szCs w:val="21"/>
        </w:rPr>
      </w:pPr>
      <w:r>
        <w:rPr>
          <w:rFonts w:hint="eastAsia"/>
          <w:sz w:val="21"/>
          <w:szCs w:val="21"/>
        </w:rPr>
        <w:t>100万元×1.2%=1.2万元</w:t>
      </w:r>
    </w:p>
    <w:p>
      <w:pPr>
        <w:pStyle w:val="34"/>
        <w:spacing w:beforeAutospacing="0" w:afterAutospacing="0" w:line="380" w:lineRule="exact"/>
        <w:rPr>
          <w:sz w:val="21"/>
          <w:szCs w:val="21"/>
        </w:rPr>
      </w:pPr>
      <w:r>
        <w:rPr>
          <w:rFonts w:hint="eastAsia"/>
          <w:sz w:val="21"/>
          <w:szCs w:val="21"/>
        </w:rPr>
        <w:t>（500-100）万元×1.0%=4万元</w:t>
      </w:r>
    </w:p>
    <w:p>
      <w:pPr>
        <w:pStyle w:val="34"/>
        <w:spacing w:beforeAutospacing="0" w:afterAutospacing="0" w:line="380" w:lineRule="exact"/>
        <w:rPr>
          <w:sz w:val="21"/>
          <w:szCs w:val="21"/>
        </w:rPr>
      </w:pPr>
      <w:r>
        <w:rPr>
          <w:rFonts w:hint="eastAsia"/>
          <w:sz w:val="21"/>
          <w:szCs w:val="21"/>
        </w:rPr>
        <w:t>（1000-500） ×0.7%=3.5万元</w:t>
      </w:r>
    </w:p>
    <w:p>
      <w:pPr>
        <w:pStyle w:val="34"/>
        <w:spacing w:beforeAutospacing="0" w:afterAutospacing="0" w:line="380" w:lineRule="exact"/>
        <w:rPr>
          <w:sz w:val="21"/>
          <w:szCs w:val="21"/>
        </w:rPr>
      </w:pPr>
      <w:r>
        <w:rPr>
          <w:rFonts w:hint="eastAsia"/>
          <w:sz w:val="21"/>
          <w:szCs w:val="21"/>
        </w:rPr>
        <w:t>（5000-1000）×0.4%=16万元</w:t>
      </w:r>
    </w:p>
    <w:p>
      <w:pPr>
        <w:pStyle w:val="34"/>
        <w:spacing w:beforeAutospacing="0" w:afterAutospacing="0" w:line="380" w:lineRule="exact"/>
        <w:rPr>
          <w:sz w:val="21"/>
          <w:szCs w:val="21"/>
        </w:rPr>
      </w:pPr>
      <w:r>
        <w:rPr>
          <w:rFonts w:hint="eastAsia"/>
          <w:sz w:val="21"/>
          <w:szCs w:val="21"/>
        </w:rPr>
        <w:t>（10000-5000）×0.25%=12.5万元</w:t>
      </w:r>
    </w:p>
    <w:p>
      <w:pPr>
        <w:pStyle w:val="34"/>
        <w:spacing w:beforeAutospacing="0" w:afterAutospacing="0" w:line="380" w:lineRule="exact"/>
        <w:rPr>
          <w:sz w:val="21"/>
          <w:szCs w:val="21"/>
        </w:rPr>
      </w:pPr>
      <w:r>
        <w:rPr>
          <w:rFonts w:hint="eastAsia"/>
          <w:sz w:val="21"/>
          <w:szCs w:val="21"/>
        </w:rPr>
        <w:t>合计收费=1.2+4+3.5+16+12.5=37.2万元</w:t>
      </w:r>
    </w:p>
    <w:p>
      <w:pPr>
        <w:rPr>
          <w:rFonts w:ascii="宋体" w:hAnsi="宋体" w:cs="宋体"/>
          <w:b/>
          <w:sz w:val="32"/>
        </w:rPr>
      </w:pPr>
      <w:r>
        <w:rPr>
          <w:rFonts w:hint="eastAsia" w:cs="宋体"/>
          <w:kern w:val="0"/>
          <w:szCs w:val="21"/>
        </w:rPr>
        <w:t>2</w:t>
      </w:r>
      <w:r>
        <w:rPr>
          <w:rFonts w:hint="eastAsia" w:ascii="宋体" w:hAnsi="宋体" w:cs="宋体"/>
          <w:kern w:val="0"/>
          <w:szCs w:val="21"/>
        </w:rPr>
        <w:t>.</w:t>
      </w:r>
      <w:r>
        <w:rPr>
          <w:rFonts w:hint="eastAsia" w:ascii="宋体" w:hAnsi="宋体" w:cs="宋体"/>
          <w:szCs w:val="21"/>
        </w:rPr>
        <w:t>收费标准的计算基数以项目、标段（包）的中标金额为计费基数。</w:t>
      </w:r>
    </w:p>
    <w:bookmarkEnd w:id="12"/>
    <w:p>
      <w:pPr>
        <w:pStyle w:val="5"/>
        <w:spacing w:line="240" w:lineRule="auto"/>
        <w:jc w:val="center"/>
        <w:rPr>
          <w:rFonts w:ascii="宋体" w:hAnsi="宋体" w:eastAsia="宋体" w:cs="宋体"/>
        </w:rPr>
      </w:pPr>
      <w:bookmarkStart w:id="13" w:name="_Toc487805903"/>
      <w:bookmarkStart w:id="14" w:name="_Toc477423243"/>
      <w:bookmarkStart w:id="15" w:name="_Toc374512410"/>
      <w:bookmarkStart w:id="16" w:name="_Toc490161260"/>
      <w:bookmarkStart w:id="17" w:name="_Toc461962051"/>
      <w:bookmarkStart w:id="18" w:name="_Toc26492"/>
      <w:bookmarkStart w:id="19" w:name="_Toc2200"/>
      <w:bookmarkStart w:id="20" w:name="_Toc373230023"/>
    </w:p>
    <w:p>
      <w:pPr>
        <w:pStyle w:val="5"/>
        <w:spacing w:line="240" w:lineRule="auto"/>
        <w:jc w:val="center"/>
        <w:rPr>
          <w:rFonts w:ascii="宋体" w:hAnsi="宋体" w:eastAsia="宋体" w:cs="宋体"/>
        </w:rPr>
      </w:pPr>
    </w:p>
    <w:p>
      <w:pPr>
        <w:pStyle w:val="5"/>
        <w:spacing w:line="240" w:lineRule="auto"/>
        <w:jc w:val="center"/>
        <w:rPr>
          <w:rFonts w:ascii="宋体" w:hAnsi="宋体" w:eastAsia="宋体" w:cs="宋体"/>
        </w:rPr>
      </w:pPr>
    </w:p>
    <w:p>
      <w:pPr>
        <w:pStyle w:val="5"/>
        <w:spacing w:line="240" w:lineRule="auto"/>
        <w:jc w:val="center"/>
        <w:rPr>
          <w:rFonts w:ascii="宋体" w:hAnsi="宋体" w:eastAsia="宋体" w:cs="宋体"/>
        </w:rPr>
      </w:pPr>
    </w:p>
    <w:p/>
    <w:p>
      <w:pPr>
        <w:pStyle w:val="5"/>
        <w:spacing w:line="240" w:lineRule="auto"/>
        <w:jc w:val="center"/>
        <w:rPr>
          <w:rFonts w:ascii="宋体" w:hAnsi="宋体" w:eastAsia="宋体" w:cs="宋体"/>
        </w:rPr>
      </w:pPr>
      <w:r>
        <w:rPr>
          <w:rFonts w:hint="eastAsia" w:ascii="宋体" w:hAnsi="宋体" w:eastAsia="宋体" w:cs="宋体"/>
        </w:rPr>
        <w:t>一、总则</w:t>
      </w:r>
      <w:bookmarkEnd w:id="13"/>
      <w:bookmarkEnd w:id="14"/>
      <w:bookmarkEnd w:id="15"/>
      <w:bookmarkEnd w:id="16"/>
      <w:bookmarkEnd w:id="17"/>
      <w:bookmarkEnd w:id="18"/>
      <w:bookmarkEnd w:id="19"/>
      <w:bookmarkEnd w:id="20"/>
    </w:p>
    <w:p>
      <w:pPr>
        <w:numPr>
          <w:ilvl w:val="0"/>
          <w:numId w:val="3"/>
        </w:numPr>
        <w:tabs>
          <w:tab w:val="left" w:pos="424"/>
        </w:tabs>
        <w:spacing w:line="440" w:lineRule="exact"/>
        <w:rPr>
          <w:rFonts w:ascii="宋体" w:hAnsi="宋体" w:cs="宋体"/>
          <w:b/>
          <w:szCs w:val="21"/>
        </w:rPr>
      </w:pPr>
      <w:r>
        <w:rPr>
          <w:rFonts w:hint="eastAsia" w:ascii="宋体" w:hAnsi="宋体" w:cs="宋体"/>
          <w:b/>
          <w:szCs w:val="21"/>
        </w:rPr>
        <w:t>适用范围</w:t>
      </w:r>
    </w:p>
    <w:p>
      <w:pPr>
        <w:spacing w:line="440" w:lineRule="exact"/>
        <w:ind w:firstLine="375" w:firstLineChars="179"/>
        <w:rPr>
          <w:rFonts w:ascii="宋体" w:hAnsi="宋体" w:cs="宋体"/>
          <w:szCs w:val="21"/>
        </w:rPr>
      </w:pPr>
      <w:r>
        <w:rPr>
          <w:rFonts w:hint="eastAsia" w:ascii="宋体" w:hAnsi="宋体" w:cs="宋体"/>
          <w:szCs w:val="21"/>
        </w:rPr>
        <w:t>本磋商文件仅适用于竞争性磋商文件中第一章竞争性磋商公告所述的项目。</w:t>
      </w:r>
    </w:p>
    <w:p>
      <w:pPr>
        <w:numPr>
          <w:ilvl w:val="0"/>
          <w:numId w:val="3"/>
        </w:numPr>
        <w:tabs>
          <w:tab w:val="left" w:pos="424"/>
        </w:tabs>
        <w:spacing w:line="440" w:lineRule="exact"/>
        <w:rPr>
          <w:rFonts w:ascii="宋体" w:hAnsi="宋体" w:cs="宋体"/>
          <w:b/>
          <w:bCs/>
          <w:szCs w:val="21"/>
        </w:rPr>
      </w:pPr>
      <w:r>
        <w:rPr>
          <w:rFonts w:hint="eastAsia" w:ascii="宋体" w:hAnsi="宋体" w:cs="宋体"/>
          <w:b/>
          <w:szCs w:val="21"/>
        </w:rPr>
        <w:t>定义</w:t>
      </w:r>
    </w:p>
    <w:p>
      <w:pPr>
        <w:numPr>
          <w:ilvl w:val="1"/>
          <w:numId w:val="3"/>
        </w:numPr>
        <w:spacing w:line="440" w:lineRule="exact"/>
        <w:rPr>
          <w:rFonts w:ascii="宋体" w:hAnsi="宋体" w:cs="宋体"/>
          <w:szCs w:val="21"/>
        </w:rPr>
      </w:pPr>
      <w:r>
        <w:rPr>
          <w:rFonts w:hint="eastAsia" w:ascii="宋体" w:hAnsi="宋体" w:cs="宋体"/>
          <w:szCs w:val="21"/>
        </w:rPr>
        <w:t>“采购人” 见供应商须知前附表；</w:t>
      </w:r>
    </w:p>
    <w:p>
      <w:pPr>
        <w:numPr>
          <w:ilvl w:val="1"/>
          <w:numId w:val="3"/>
        </w:numPr>
        <w:spacing w:line="440" w:lineRule="exact"/>
        <w:rPr>
          <w:rFonts w:ascii="宋体" w:hAnsi="宋体" w:cs="宋体"/>
          <w:szCs w:val="21"/>
        </w:rPr>
      </w:pPr>
      <w:r>
        <w:rPr>
          <w:rFonts w:hint="eastAsia" w:ascii="宋体" w:hAnsi="宋体" w:cs="宋体"/>
          <w:szCs w:val="21"/>
        </w:rPr>
        <w:t xml:space="preserve"> “采购代理机构”见供应商须知前附表；</w:t>
      </w:r>
    </w:p>
    <w:p>
      <w:pPr>
        <w:numPr>
          <w:ilvl w:val="1"/>
          <w:numId w:val="3"/>
        </w:numPr>
        <w:spacing w:line="440" w:lineRule="exact"/>
        <w:rPr>
          <w:rFonts w:ascii="宋体" w:hAnsi="宋体" w:cs="宋体"/>
          <w:szCs w:val="21"/>
        </w:rPr>
      </w:pPr>
      <w:r>
        <w:rPr>
          <w:rFonts w:hint="eastAsia" w:ascii="宋体" w:hAnsi="宋体" w:cs="宋体"/>
          <w:szCs w:val="21"/>
        </w:rPr>
        <w:t>“供应商”是指响应磋商、参加磋商竞争的法人、其他组织或者自然人；</w:t>
      </w:r>
    </w:p>
    <w:p>
      <w:pPr>
        <w:numPr>
          <w:ilvl w:val="1"/>
          <w:numId w:val="3"/>
        </w:numPr>
        <w:spacing w:line="440" w:lineRule="exact"/>
        <w:rPr>
          <w:rFonts w:ascii="宋体" w:hAnsi="宋体" w:cs="宋体"/>
          <w:szCs w:val="21"/>
        </w:rPr>
      </w:pPr>
      <w:r>
        <w:rPr>
          <w:rFonts w:hint="eastAsia" w:ascii="宋体" w:hAnsi="宋体" w:cs="宋体"/>
          <w:szCs w:val="21"/>
        </w:rPr>
        <w:t xml:space="preserve"> “成交供应商”是指依据本竞争性磋商文件规定经评审被最终授予合同的供应商；</w:t>
      </w:r>
    </w:p>
    <w:p>
      <w:pPr>
        <w:numPr>
          <w:ilvl w:val="1"/>
          <w:numId w:val="3"/>
        </w:numPr>
        <w:spacing w:line="440" w:lineRule="exact"/>
        <w:rPr>
          <w:rFonts w:ascii="宋体" w:hAnsi="宋体" w:cs="宋体"/>
          <w:szCs w:val="21"/>
        </w:rPr>
      </w:pPr>
      <w:r>
        <w:rPr>
          <w:rFonts w:hint="eastAsia" w:ascii="宋体" w:hAnsi="宋体" w:cs="宋体"/>
          <w:szCs w:val="21"/>
        </w:rPr>
        <w:t>“质量保证期”在此期限内因设备质量问题均由供应商免费维修或更换，采购人不因此承担任何费用；</w:t>
      </w:r>
    </w:p>
    <w:p>
      <w:pPr>
        <w:numPr>
          <w:ilvl w:val="1"/>
          <w:numId w:val="3"/>
        </w:numPr>
        <w:spacing w:line="440" w:lineRule="exact"/>
        <w:rPr>
          <w:rFonts w:ascii="宋体" w:hAnsi="宋体" w:cs="宋体"/>
          <w:szCs w:val="21"/>
        </w:rPr>
      </w:pPr>
      <w:r>
        <w:rPr>
          <w:rFonts w:hint="eastAsia" w:ascii="宋体" w:hAnsi="宋体" w:cs="宋体"/>
          <w:szCs w:val="21"/>
        </w:rPr>
        <w:t>“设立登记证书”是指</w:t>
      </w:r>
      <w:r>
        <w:fldChar w:fldCharType="begin"/>
      </w:r>
      <w:r>
        <w:instrText xml:space="preserve"> HYPERLINK "https://baike.baidu.com/item/%E5%B7%A5%E5%95%86%E8%A1%8C%E6%94%BF%E7%AE%A1%E7%90%86%E6%9C%BA%E5%85%B3/2954967" \t "https://baike.baidu.com/item/%E8%90%A5%E4%B8%9A%E6%89%A7%E7%85%A7/_blank" </w:instrText>
      </w:r>
      <w:r>
        <w:fldChar w:fldCharType="separate"/>
      </w:r>
      <w:r>
        <w:rPr>
          <w:rFonts w:hint="eastAsia" w:ascii="宋体" w:hAnsi="宋体" w:cs="宋体"/>
          <w:szCs w:val="21"/>
        </w:rPr>
        <w:t>工商行政管理机关</w:t>
      </w:r>
      <w:r>
        <w:rPr>
          <w:rFonts w:hint="eastAsia" w:ascii="宋体" w:hAnsi="宋体" w:cs="宋体"/>
          <w:szCs w:val="21"/>
        </w:rPr>
        <w:fldChar w:fldCharType="end"/>
      </w:r>
      <w:r>
        <w:rPr>
          <w:rFonts w:hint="eastAsia" w:ascii="宋体" w:hAnsi="宋体" w:cs="宋体"/>
          <w:szCs w:val="21"/>
        </w:rPr>
        <w:t>或市场监督管理部门颁发的营业执照，或民政部门颁发的民办非企业单位登记证书，或司法行政机关颁发的律师事务所执业许可证等凭证；</w:t>
      </w:r>
    </w:p>
    <w:p>
      <w:pPr>
        <w:numPr>
          <w:ilvl w:val="1"/>
          <w:numId w:val="3"/>
        </w:numPr>
        <w:spacing w:line="440" w:lineRule="exact"/>
        <w:rPr>
          <w:rFonts w:ascii="宋体" w:hAnsi="宋体" w:cs="宋体"/>
          <w:szCs w:val="21"/>
        </w:rPr>
      </w:pPr>
      <w:r>
        <w:rPr>
          <w:rFonts w:hint="eastAsia" w:ascii="宋体" w:hAnsi="宋体" w:cs="宋体"/>
          <w:szCs w:val="21"/>
        </w:rPr>
        <w:t xml:space="preserve"> “法定代表人”系指“设立登记证书”上注明的法定代表人、负责人或经营者等；</w:t>
      </w:r>
    </w:p>
    <w:p>
      <w:pPr>
        <w:numPr>
          <w:ilvl w:val="1"/>
          <w:numId w:val="3"/>
        </w:numPr>
        <w:spacing w:line="440" w:lineRule="exact"/>
        <w:rPr>
          <w:rFonts w:ascii="宋体" w:hAnsi="宋体" w:cs="宋体"/>
          <w:szCs w:val="21"/>
        </w:rPr>
      </w:pPr>
      <w:r>
        <w:rPr>
          <w:rFonts w:hint="eastAsia" w:ascii="宋体" w:hAnsi="宋体" w:cs="宋体"/>
          <w:szCs w:val="21"/>
        </w:rPr>
        <w:t xml:space="preserve"> “重大违法行为”系指供应商因违法经营受到刑事处罚或者责令停业停产、吊销许可证或者执照、较大数额罚款等行政处罚；</w:t>
      </w:r>
    </w:p>
    <w:p>
      <w:pPr>
        <w:numPr>
          <w:ilvl w:val="1"/>
          <w:numId w:val="3"/>
        </w:numPr>
        <w:spacing w:line="440" w:lineRule="exact"/>
        <w:rPr>
          <w:rFonts w:ascii="宋体" w:hAnsi="宋体" w:cs="宋体"/>
          <w:szCs w:val="21"/>
        </w:rPr>
      </w:pPr>
      <w:r>
        <w:rPr>
          <w:rFonts w:hint="eastAsia" w:ascii="宋体" w:hAnsi="宋体" w:cs="宋体"/>
          <w:szCs w:val="21"/>
        </w:rPr>
        <w:t>“原公告发布媒体”是指《河南省政府采购网》、《焦作市公共资源交易中心网》、《武陟县公共资源交易中心网》。</w:t>
      </w:r>
    </w:p>
    <w:p>
      <w:pPr>
        <w:numPr>
          <w:ilvl w:val="1"/>
          <w:numId w:val="3"/>
        </w:numPr>
        <w:spacing w:line="440" w:lineRule="exact"/>
        <w:rPr>
          <w:rFonts w:ascii="宋体" w:hAnsi="宋体" w:cs="宋体"/>
          <w:szCs w:val="21"/>
        </w:rPr>
      </w:pPr>
      <w:r>
        <w:rPr>
          <w:rFonts w:hint="eastAsia" w:ascii="宋体" w:hAnsi="宋体" w:cs="宋体"/>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spacing w:line="440" w:lineRule="exact"/>
        <w:ind w:firstLine="420" w:firstLineChars="200"/>
        <w:rPr>
          <w:rFonts w:ascii="宋体" w:hAnsi="宋体" w:cs="宋体"/>
          <w:szCs w:val="21"/>
        </w:rPr>
      </w:pPr>
      <w:r>
        <w:rPr>
          <w:rFonts w:hint="eastAsia" w:ascii="宋体" w:hAnsi="宋体" w:cs="宋体"/>
          <w:szCs w:val="21"/>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3"/>
        </w:numPr>
        <w:spacing w:line="440" w:lineRule="exact"/>
        <w:rPr>
          <w:rFonts w:ascii="宋体" w:hAnsi="宋体" w:cs="宋体"/>
          <w:szCs w:val="21"/>
        </w:rPr>
      </w:pPr>
      <w:r>
        <w:rPr>
          <w:rFonts w:hint="eastAsia" w:ascii="宋体" w:hAnsi="宋体" w:cs="宋体"/>
          <w:b/>
          <w:szCs w:val="21"/>
        </w:rPr>
        <w:t>合格的供应商</w:t>
      </w:r>
    </w:p>
    <w:p>
      <w:pPr>
        <w:numPr>
          <w:ilvl w:val="1"/>
          <w:numId w:val="3"/>
        </w:numPr>
        <w:spacing w:line="440" w:lineRule="exact"/>
        <w:rPr>
          <w:rFonts w:ascii="宋体" w:hAnsi="宋体" w:cs="宋体"/>
          <w:szCs w:val="21"/>
        </w:rPr>
      </w:pPr>
      <w:r>
        <w:rPr>
          <w:rFonts w:hint="eastAsia" w:ascii="宋体" w:hAnsi="宋体" w:cs="宋体"/>
          <w:szCs w:val="21"/>
        </w:rPr>
        <w:t>符合《中华人民共和国政府采购法》第二十二条规定的条件。</w:t>
      </w:r>
    </w:p>
    <w:p>
      <w:pPr>
        <w:pStyle w:val="82"/>
        <w:spacing w:line="440" w:lineRule="exact"/>
        <w:ind w:firstLine="420" w:firstLineChars="200"/>
        <w:rPr>
          <w:sz w:val="21"/>
          <w:szCs w:val="21"/>
        </w:rPr>
      </w:pPr>
      <w:r>
        <w:rPr>
          <w:rFonts w:hint="eastAsia"/>
          <w:sz w:val="21"/>
          <w:szCs w:val="21"/>
        </w:rPr>
        <w:t>3.1.1具有有效的“设立登记证书”；</w:t>
      </w:r>
    </w:p>
    <w:p>
      <w:pPr>
        <w:pStyle w:val="82"/>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3.1.2具有依法缴纳税收的相关证明材料：</w:t>
      </w:r>
    </w:p>
    <w:p>
      <w:pPr>
        <w:pStyle w:val="82"/>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 xml:space="preserve">“依法缴纳税收的相关证明材料”是指提交响应文件截止时间前近六个月任意一个月依法缴纳税收的证明材料。依法免税的供应商，能提供相应文件证明其依法免税。 </w:t>
      </w:r>
    </w:p>
    <w:p>
      <w:pPr>
        <w:pStyle w:val="82"/>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3.1.3具有依法缴纳社会保障资金的相关证明材料：</w:t>
      </w:r>
    </w:p>
    <w:p>
      <w:pPr>
        <w:pStyle w:val="82"/>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82"/>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3.1.4具有经政府审计部门或会计事务所审计的2022年度财务审计报告（新成立企业不足一年的，提供最近一个月的财务报表。）或其基本开户银行出具的资信证明。</w:t>
      </w:r>
    </w:p>
    <w:p>
      <w:pPr>
        <w:pStyle w:val="82"/>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3.1.5具备履行合同所必需的设备和专业技术能力的证明材料；</w:t>
      </w:r>
    </w:p>
    <w:p>
      <w:pPr>
        <w:pStyle w:val="82"/>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3.1.6参加政府采购活动前3年内在经营活动中没有重大违法记录的书面声明；</w:t>
      </w:r>
    </w:p>
    <w:p>
      <w:pPr>
        <w:pStyle w:val="82"/>
        <w:spacing w:line="440" w:lineRule="exact"/>
        <w:ind w:firstLine="422" w:firstLineChars="200"/>
        <w:rPr>
          <w:b/>
          <w:bCs/>
          <w:sz w:val="21"/>
          <w:szCs w:val="21"/>
        </w:rPr>
      </w:pPr>
      <w:r>
        <w:rPr>
          <w:rFonts w:hint="eastAsia"/>
          <w:b/>
          <w:bCs/>
          <w:sz w:val="21"/>
          <w:szCs w:val="21"/>
        </w:rPr>
        <w:t>注：1.供应商在响应时，按照竞争性磋商文件规定提供《武陟县政府采购供应商资格信用承诺函》，无需再提交上述证明材料。</w:t>
      </w:r>
    </w:p>
    <w:p>
      <w:pPr>
        <w:pStyle w:val="82"/>
        <w:spacing w:line="440" w:lineRule="exact"/>
        <w:ind w:firstLine="420" w:firstLineChars="200"/>
        <w:rPr>
          <w:sz w:val="21"/>
          <w:szCs w:val="21"/>
        </w:rPr>
      </w:pPr>
      <w:r>
        <w:rPr>
          <w:rFonts w:hint="eastAsia"/>
          <w:sz w:val="21"/>
          <w:szCs w:val="21"/>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numPr>
          <w:ilvl w:val="1"/>
          <w:numId w:val="3"/>
        </w:numPr>
        <w:spacing w:line="440" w:lineRule="exact"/>
        <w:rPr>
          <w:rFonts w:ascii="宋体" w:hAnsi="宋体" w:cs="宋体"/>
          <w:szCs w:val="21"/>
        </w:rPr>
      </w:pPr>
      <w:r>
        <w:rPr>
          <w:rFonts w:hint="eastAsia" w:ascii="宋体" w:hAnsi="宋体" w:cs="宋体"/>
          <w:szCs w:val="21"/>
        </w:rPr>
        <w:t>符合本磋商文件规定的资格要求及项目要求的其它条件，并按照要求提供相关证明材料。</w:t>
      </w:r>
    </w:p>
    <w:p>
      <w:pPr>
        <w:numPr>
          <w:ilvl w:val="1"/>
          <w:numId w:val="3"/>
        </w:numPr>
        <w:spacing w:line="440" w:lineRule="exact"/>
        <w:rPr>
          <w:rFonts w:ascii="宋体" w:hAnsi="宋体" w:cs="宋体"/>
          <w:szCs w:val="21"/>
        </w:rPr>
      </w:pPr>
      <w:r>
        <w:rPr>
          <w:rFonts w:hint="eastAsia" w:ascii="宋体" w:hAnsi="宋体" w:cs="宋体"/>
          <w:szCs w:val="21"/>
        </w:rPr>
        <w:t>供应商应遵守国家法律、法规和有关政府采购的规定。</w:t>
      </w:r>
    </w:p>
    <w:p>
      <w:pPr>
        <w:numPr>
          <w:ilvl w:val="1"/>
          <w:numId w:val="3"/>
        </w:numPr>
        <w:spacing w:line="440" w:lineRule="exact"/>
        <w:rPr>
          <w:rFonts w:ascii="宋体" w:hAnsi="宋体" w:cs="宋体"/>
          <w:szCs w:val="21"/>
        </w:rPr>
      </w:pPr>
      <w:r>
        <w:rPr>
          <w:rFonts w:hint="eastAsia" w:ascii="宋体" w:hAnsi="宋体" w:cs="宋体"/>
          <w:szCs w:val="21"/>
        </w:rPr>
        <w:t>已按竞争性磋商公告要求获取竞争性磋商文件的。</w:t>
      </w:r>
    </w:p>
    <w:p>
      <w:pPr>
        <w:numPr>
          <w:ilvl w:val="1"/>
          <w:numId w:val="3"/>
        </w:numPr>
        <w:spacing w:line="440" w:lineRule="exact"/>
        <w:rPr>
          <w:rFonts w:ascii="宋体" w:hAnsi="宋体" w:cs="宋体"/>
          <w:b/>
          <w:bCs/>
          <w:szCs w:val="21"/>
        </w:rPr>
      </w:pPr>
      <w:r>
        <w:rPr>
          <w:rFonts w:hint="eastAsia" w:ascii="宋体" w:hAnsi="宋体" w:cs="宋体"/>
          <w:b/>
          <w:bCs/>
          <w:szCs w:val="21"/>
        </w:rPr>
        <w:t>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tabs>
          <w:tab w:val="left" w:pos="720"/>
          <w:tab w:val="left" w:pos="1134"/>
        </w:tabs>
        <w:spacing w:line="440" w:lineRule="exact"/>
        <w:ind w:firstLine="422" w:firstLineChars="200"/>
        <w:rPr>
          <w:rFonts w:ascii="宋体" w:hAnsi="宋体" w:cs="宋体"/>
          <w:b/>
          <w:szCs w:val="21"/>
        </w:rPr>
      </w:pPr>
      <w:r>
        <w:rPr>
          <w:rFonts w:hint="eastAsia" w:ascii="宋体" w:hAnsi="宋体" w:cs="宋体"/>
          <w:b/>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tabs>
          <w:tab w:val="left" w:pos="720"/>
          <w:tab w:val="left" w:pos="1134"/>
        </w:tabs>
        <w:spacing w:line="440" w:lineRule="exact"/>
        <w:ind w:firstLine="422" w:firstLineChars="200"/>
        <w:rPr>
          <w:rFonts w:ascii="宋体" w:hAnsi="宋体" w:cs="宋体"/>
          <w:b/>
          <w:szCs w:val="21"/>
        </w:rPr>
      </w:pPr>
      <w:r>
        <w:rPr>
          <w:rFonts w:hint="eastAsia" w:ascii="宋体" w:hAnsi="宋体" w:cs="宋体"/>
          <w:b/>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numPr>
          <w:ilvl w:val="1"/>
          <w:numId w:val="3"/>
        </w:numPr>
        <w:spacing w:line="440" w:lineRule="exact"/>
        <w:rPr>
          <w:rFonts w:ascii="宋体" w:hAnsi="宋体" w:cs="宋体"/>
          <w:szCs w:val="21"/>
        </w:rPr>
      </w:pPr>
      <w:r>
        <w:rPr>
          <w:rFonts w:hint="eastAsia" w:ascii="宋体" w:hAnsi="宋体" w:cs="宋体"/>
          <w:szCs w:val="21"/>
        </w:rPr>
        <w:t>单位负责人为同一人或者存在直接控股、管理关系的不同供应商，不得参加同一合同项下的政府采购活动。</w:t>
      </w:r>
    </w:p>
    <w:p>
      <w:pPr>
        <w:numPr>
          <w:ilvl w:val="0"/>
          <w:numId w:val="3"/>
        </w:numPr>
        <w:spacing w:line="440" w:lineRule="exact"/>
        <w:rPr>
          <w:rFonts w:ascii="宋体" w:hAnsi="宋体" w:cs="宋体"/>
          <w:szCs w:val="21"/>
        </w:rPr>
      </w:pPr>
      <w:r>
        <w:rPr>
          <w:rFonts w:hint="eastAsia" w:ascii="宋体" w:hAnsi="宋体" w:cs="宋体"/>
          <w:b/>
          <w:szCs w:val="21"/>
        </w:rPr>
        <w:t>磋商费用</w:t>
      </w:r>
    </w:p>
    <w:p>
      <w:pPr>
        <w:spacing w:line="440" w:lineRule="exact"/>
        <w:ind w:firstLine="420" w:firstLineChars="200"/>
        <w:rPr>
          <w:rFonts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pPr>
        <w:numPr>
          <w:ilvl w:val="0"/>
          <w:numId w:val="3"/>
        </w:numPr>
        <w:spacing w:line="440" w:lineRule="exact"/>
        <w:rPr>
          <w:rFonts w:ascii="宋体" w:hAnsi="宋体" w:cs="宋体"/>
          <w:b/>
          <w:szCs w:val="21"/>
        </w:rPr>
      </w:pPr>
      <w:r>
        <w:rPr>
          <w:rFonts w:hint="eastAsia" w:ascii="宋体" w:hAnsi="宋体" w:cs="宋体"/>
          <w:b/>
          <w:szCs w:val="21"/>
        </w:rPr>
        <w:t>需要落实的政府采购政策：见供应商须知前附表</w:t>
      </w:r>
    </w:p>
    <w:p>
      <w:pPr>
        <w:pStyle w:val="5"/>
        <w:spacing w:line="440" w:lineRule="exact"/>
        <w:jc w:val="center"/>
        <w:rPr>
          <w:rFonts w:ascii="宋体" w:hAnsi="宋体" w:eastAsia="宋体" w:cs="宋体"/>
          <w:sz w:val="21"/>
          <w:szCs w:val="21"/>
        </w:rPr>
      </w:pPr>
      <w:bookmarkStart w:id="21" w:name="_Toc461962052"/>
      <w:bookmarkStart w:id="22" w:name="_Toc374512411"/>
      <w:bookmarkStart w:id="23" w:name="_Toc12084"/>
      <w:bookmarkStart w:id="24" w:name="_Toc490161261"/>
      <w:bookmarkStart w:id="25" w:name="_Toc487805904"/>
      <w:bookmarkStart w:id="26" w:name="_Toc477423244"/>
      <w:bookmarkStart w:id="27" w:name="_Toc373230024"/>
      <w:bookmarkStart w:id="28" w:name="_Toc23018"/>
      <w:r>
        <w:rPr>
          <w:rFonts w:hint="eastAsia" w:ascii="宋体" w:hAnsi="宋体" w:eastAsia="宋体" w:cs="宋体"/>
          <w:sz w:val="21"/>
          <w:szCs w:val="21"/>
        </w:rPr>
        <w:t>二、磋商文件</w:t>
      </w:r>
      <w:bookmarkEnd w:id="21"/>
      <w:bookmarkEnd w:id="22"/>
      <w:bookmarkEnd w:id="23"/>
      <w:bookmarkEnd w:id="24"/>
      <w:bookmarkEnd w:id="25"/>
      <w:bookmarkEnd w:id="26"/>
      <w:bookmarkEnd w:id="27"/>
      <w:bookmarkEnd w:id="28"/>
    </w:p>
    <w:p>
      <w:pPr>
        <w:numPr>
          <w:ilvl w:val="0"/>
          <w:numId w:val="3"/>
        </w:numPr>
        <w:spacing w:line="440" w:lineRule="exact"/>
        <w:rPr>
          <w:rFonts w:ascii="宋体" w:hAnsi="宋体" w:cs="宋体"/>
          <w:b/>
          <w:szCs w:val="21"/>
        </w:rPr>
      </w:pPr>
      <w:r>
        <w:rPr>
          <w:rFonts w:hint="eastAsia" w:ascii="宋体" w:hAnsi="宋体" w:cs="宋体"/>
          <w:b/>
          <w:szCs w:val="21"/>
        </w:rPr>
        <w:t>磋商文件的组成</w:t>
      </w:r>
    </w:p>
    <w:p>
      <w:pPr>
        <w:numPr>
          <w:ilvl w:val="1"/>
          <w:numId w:val="3"/>
        </w:numPr>
        <w:spacing w:line="440" w:lineRule="exact"/>
        <w:rPr>
          <w:rFonts w:ascii="宋体" w:hAnsi="宋体" w:cs="宋体"/>
          <w:szCs w:val="21"/>
        </w:rPr>
      </w:pPr>
      <w:r>
        <w:rPr>
          <w:rFonts w:hint="eastAsia" w:ascii="宋体" w:hAnsi="宋体" w:cs="宋体"/>
          <w:szCs w:val="21"/>
        </w:rPr>
        <w:t>磋商文件包括下列内容：</w:t>
      </w:r>
    </w:p>
    <w:p>
      <w:pPr>
        <w:tabs>
          <w:tab w:val="left" w:pos="0"/>
          <w:tab w:val="left" w:pos="720"/>
          <w:tab w:val="left" w:pos="839"/>
          <w:tab w:val="left" w:pos="1134"/>
        </w:tabs>
        <w:spacing w:line="440" w:lineRule="exact"/>
        <w:ind w:firstLine="420" w:firstLineChars="200"/>
        <w:rPr>
          <w:rFonts w:ascii="宋体" w:hAnsi="宋体" w:cs="宋体"/>
          <w:bCs/>
          <w:szCs w:val="21"/>
        </w:rPr>
      </w:pPr>
      <w:r>
        <w:rPr>
          <w:rFonts w:hint="eastAsia" w:ascii="宋体" w:hAnsi="宋体" w:cs="宋体"/>
          <w:bCs/>
          <w:szCs w:val="21"/>
        </w:rPr>
        <w:t>第一章  竞争性磋商公告</w:t>
      </w:r>
    </w:p>
    <w:p>
      <w:pPr>
        <w:tabs>
          <w:tab w:val="left" w:pos="0"/>
          <w:tab w:val="left" w:pos="720"/>
          <w:tab w:val="left" w:pos="839"/>
          <w:tab w:val="left" w:pos="1134"/>
        </w:tabs>
        <w:spacing w:line="440" w:lineRule="exact"/>
        <w:ind w:firstLine="420" w:firstLineChars="200"/>
        <w:rPr>
          <w:rFonts w:ascii="宋体" w:hAnsi="宋体" w:cs="宋体"/>
          <w:bCs/>
          <w:szCs w:val="21"/>
        </w:rPr>
      </w:pPr>
      <w:r>
        <w:rPr>
          <w:rFonts w:hint="eastAsia" w:ascii="宋体" w:hAnsi="宋体" w:cs="宋体"/>
          <w:bCs/>
          <w:szCs w:val="21"/>
        </w:rPr>
        <w:t>第二章  供应商须知</w:t>
      </w:r>
    </w:p>
    <w:p>
      <w:pPr>
        <w:tabs>
          <w:tab w:val="left" w:pos="0"/>
          <w:tab w:val="left" w:pos="720"/>
          <w:tab w:val="left" w:pos="839"/>
          <w:tab w:val="left" w:pos="1134"/>
        </w:tabs>
        <w:spacing w:line="440" w:lineRule="exact"/>
        <w:ind w:firstLine="420" w:firstLineChars="200"/>
        <w:rPr>
          <w:rFonts w:ascii="宋体" w:hAnsi="宋体" w:cs="宋体"/>
          <w:bCs/>
          <w:szCs w:val="21"/>
        </w:rPr>
      </w:pPr>
      <w:r>
        <w:rPr>
          <w:rFonts w:hint="eastAsia" w:ascii="宋体" w:hAnsi="宋体" w:cs="宋体"/>
          <w:bCs/>
          <w:szCs w:val="21"/>
        </w:rPr>
        <w:t>第三章  评审方法和评审标准</w:t>
      </w:r>
    </w:p>
    <w:p>
      <w:pPr>
        <w:tabs>
          <w:tab w:val="left" w:pos="0"/>
          <w:tab w:val="left" w:pos="720"/>
          <w:tab w:val="left" w:pos="839"/>
          <w:tab w:val="left" w:pos="1134"/>
        </w:tabs>
        <w:spacing w:line="440" w:lineRule="exact"/>
        <w:ind w:firstLine="420" w:firstLineChars="200"/>
        <w:rPr>
          <w:rFonts w:ascii="宋体" w:hAnsi="宋体" w:cs="宋体"/>
          <w:bCs/>
          <w:szCs w:val="21"/>
        </w:rPr>
      </w:pPr>
      <w:r>
        <w:rPr>
          <w:rFonts w:hint="eastAsia" w:ascii="宋体" w:hAnsi="宋体" w:cs="宋体"/>
          <w:bCs/>
          <w:szCs w:val="21"/>
        </w:rPr>
        <w:t>第四章  拟签订的合同文本</w:t>
      </w:r>
    </w:p>
    <w:p>
      <w:pPr>
        <w:tabs>
          <w:tab w:val="left" w:pos="0"/>
          <w:tab w:val="left" w:pos="720"/>
          <w:tab w:val="left" w:pos="839"/>
          <w:tab w:val="left" w:pos="1134"/>
        </w:tabs>
        <w:spacing w:line="440" w:lineRule="exact"/>
        <w:ind w:firstLine="420" w:firstLineChars="200"/>
        <w:rPr>
          <w:rFonts w:ascii="宋体" w:hAnsi="宋体" w:cs="宋体"/>
          <w:bCs/>
          <w:szCs w:val="21"/>
        </w:rPr>
      </w:pPr>
      <w:r>
        <w:rPr>
          <w:rFonts w:hint="eastAsia" w:ascii="宋体" w:hAnsi="宋体" w:cs="宋体"/>
          <w:bCs/>
          <w:szCs w:val="21"/>
        </w:rPr>
        <w:t>第五章  采购需求</w:t>
      </w:r>
    </w:p>
    <w:p>
      <w:pPr>
        <w:tabs>
          <w:tab w:val="left" w:pos="0"/>
          <w:tab w:val="left" w:pos="720"/>
          <w:tab w:val="left" w:pos="839"/>
          <w:tab w:val="left" w:pos="1134"/>
        </w:tabs>
        <w:spacing w:line="440" w:lineRule="exact"/>
        <w:ind w:firstLine="420" w:firstLineChars="200"/>
        <w:rPr>
          <w:rFonts w:ascii="宋体" w:hAnsi="宋体" w:cs="宋体"/>
          <w:bCs/>
          <w:szCs w:val="21"/>
        </w:rPr>
      </w:pPr>
      <w:r>
        <w:rPr>
          <w:rFonts w:hint="eastAsia" w:ascii="宋体" w:hAnsi="宋体" w:cs="宋体"/>
          <w:bCs/>
          <w:szCs w:val="21"/>
        </w:rPr>
        <w:t>第六章  响应文件格式</w:t>
      </w:r>
    </w:p>
    <w:p>
      <w:pPr>
        <w:numPr>
          <w:ilvl w:val="1"/>
          <w:numId w:val="3"/>
        </w:numPr>
        <w:spacing w:line="440" w:lineRule="exact"/>
        <w:rPr>
          <w:rFonts w:ascii="宋体" w:hAnsi="宋体" w:cs="宋体"/>
          <w:szCs w:val="21"/>
        </w:rPr>
      </w:pPr>
      <w:r>
        <w:rPr>
          <w:rFonts w:hint="eastAsia" w:ascii="宋体" w:hAnsi="宋体" w:cs="宋体"/>
          <w:szCs w:val="21"/>
        </w:rPr>
        <w:t>除以上内容外，采购代理机构在提交响应文件截止时间前，在原公告发布媒体上发出的对磋商文件的更正、澄清或修改内容，均为磋商文件的组成部分，对采购人和供应商均起约束作用。</w:t>
      </w:r>
    </w:p>
    <w:p>
      <w:pPr>
        <w:numPr>
          <w:ilvl w:val="1"/>
          <w:numId w:val="3"/>
        </w:numPr>
        <w:spacing w:line="440" w:lineRule="exact"/>
        <w:rPr>
          <w:rFonts w:ascii="宋体" w:hAnsi="宋体" w:cs="宋体"/>
          <w:szCs w:val="21"/>
        </w:rPr>
      </w:pPr>
      <w:r>
        <w:rPr>
          <w:rFonts w:hint="eastAsia" w:ascii="宋体" w:hAnsi="宋体" w:cs="宋体"/>
          <w:szCs w:val="21"/>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3"/>
        </w:numPr>
        <w:spacing w:line="440" w:lineRule="exact"/>
        <w:rPr>
          <w:rFonts w:ascii="宋体" w:hAnsi="宋体" w:cs="宋体"/>
          <w:b/>
          <w:szCs w:val="21"/>
        </w:rPr>
      </w:pPr>
      <w:r>
        <w:rPr>
          <w:rFonts w:hint="eastAsia" w:ascii="宋体" w:hAnsi="宋体" w:cs="宋体"/>
          <w:b/>
          <w:szCs w:val="21"/>
        </w:rPr>
        <w:t>磋商文件的澄清或修改</w:t>
      </w:r>
    </w:p>
    <w:p>
      <w:pPr>
        <w:numPr>
          <w:ilvl w:val="1"/>
          <w:numId w:val="3"/>
        </w:numPr>
        <w:spacing w:line="440" w:lineRule="exact"/>
        <w:rPr>
          <w:rFonts w:ascii="宋体" w:hAnsi="宋体" w:cs="宋体"/>
          <w:szCs w:val="21"/>
        </w:rPr>
      </w:pPr>
      <w:r>
        <w:rPr>
          <w:rFonts w:hint="eastAsia" w:ascii="宋体" w:hAnsi="宋体" w:cs="宋体"/>
          <w:szCs w:val="21"/>
        </w:rPr>
        <w:t>磋商文件的澄清或修改将在原公告发布媒体上发布，磋商文件的澄清或修改内容作为磋商文件的组成部分，对采购人和供应商均具有约束作用；</w:t>
      </w:r>
    </w:p>
    <w:p>
      <w:pPr>
        <w:numPr>
          <w:ilvl w:val="1"/>
          <w:numId w:val="3"/>
        </w:numPr>
        <w:spacing w:line="440" w:lineRule="exact"/>
        <w:rPr>
          <w:rFonts w:ascii="宋体" w:hAnsi="宋体" w:cs="宋体"/>
          <w:szCs w:val="21"/>
        </w:rPr>
      </w:pPr>
      <w:r>
        <w:rPr>
          <w:rFonts w:hint="eastAsia" w:ascii="宋体" w:hAnsi="宋体" w:cs="宋体"/>
          <w:szCs w:val="21"/>
        </w:rPr>
        <w:t>磋商文件的澄清、修改、补充等在同一内容的表述不一致时，以最后发出的通知为准；</w:t>
      </w:r>
    </w:p>
    <w:p>
      <w:pPr>
        <w:numPr>
          <w:ilvl w:val="1"/>
          <w:numId w:val="3"/>
        </w:numPr>
        <w:spacing w:line="440" w:lineRule="exact"/>
        <w:rPr>
          <w:rFonts w:ascii="宋体" w:hAnsi="宋体" w:cs="宋体"/>
          <w:szCs w:val="21"/>
        </w:rPr>
      </w:pPr>
      <w:r>
        <w:rPr>
          <w:rFonts w:hint="eastAsia" w:ascii="宋体" w:hAnsi="宋体" w:cs="宋体"/>
          <w:szCs w:val="21"/>
        </w:rPr>
        <w:t>为使供应商在编制响应文件时有充分的时间对磋商文件的澄清、修改、补充等内容进行研究，采购人将酌情延长提交响应文件的截止时间，具体时间将在磋商文件的修改、补充通知中予以明确。</w:t>
      </w:r>
    </w:p>
    <w:p>
      <w:pPr>
        <w:numPr>
          <w:ilvl w:val="0"/>
          <w:numId w:val="3"/>
        </w:numPr>
        <w:spacing w:line="440" w:lineRule="exact"/>
        <w:rPr>
          <w:rFonts w:ascii="宋体" w:hAnsi="宋体" w:cs="宋体"/>
          <w:b/>
          <w:szCs w:val="21"/>
        </w:rPr>
      </w:pPr>
      <w:r>
        <w:rPr>
          <w:rFonts w:hint="eastAsia" w:ascii="宋体" w:hAnsi="宋体" w:cs="宋体"/>
          <w:b/>
          <w:szCs w:val="21"/>
        </w:rPr>
        <w:t>磋商文件的约束力</w:t>
      </w:r>
    </w:p>
    <w:p>
      <w:pPr>
        <w:numPr>
          <w:ilvl w:val="1"/>
          <w:numId w:val="3"/>
        </w:numPr>
        <w:spacing w:line="440" w:lineRule="exact"/>
        <w:rPr>
          <w:rFonts w:ascii="宋体" w:hAnsi="宋体" w:cs="宋体"/>
          <w:szCs w:val="21"/>
        </w:rPr>
      </w:pPr>
      <w:r>
        <w:rPr>
          <w:rFonts w:hint="eastAsia" w:ascii="宋体" w:hAnsi="宋体" w:cs="宋体"/>
          <w:szCs w:val="21"/>
        </w:rPr>
        <w:t>供应商一旦获取了本磋商文件并参加磋商，即被认为对本磋商文件中的所有条件和规定均无异议。</w:t>
      </w:r>
    </w:p>
    <w:p>
      <w:pPr>
        <w:numPr>
          <w:ilvl w:val="1"/>
          <w:numId w:val="3"/>
        </w:numPr>
        <w:spacing w:line="440" w:lineRule="exact"/>
        <w:rPr>
          <w:rFonts w:ascii="宋体" w:hAnsi="宋体" w:cs="宋体"/>
          <w:szCs w:val="21"/>
        </w:rPr>
      </w:pPr>
      <w:r>
        <w:rPr>
          <w:rFonts w:hint="eastAsia" w:ascii="宋体" w:hAnsi="宋体" w:cs="宋体"/>
          <w:szCs w:val="21"/>
        </w:rPr>
        <w:t xml:space="preserve">供应商如认为本磋商文件含有倾向性或排斥潜在供应商的条款而使自己的权益受到损害的，请以书面形式向采购人或采购代理机构提出，否则，将视为对本磋商文件要求无任何异议，并不得因此在响应文件提交截止时间后提出任何异议。 </w:t>
      </w:r>
    </w:p>
    <w:p>
      <w:pPr>
        <w:pStyle w:val="5"/>
        <w:numPr>
          <w:ilvl w:val="0"/>
          <w:numId w:val="4"/>
        </w:numPr>
        <w:spacing w:line="440" w:lineRule="exact"/>
        <w:jc w:val="center"/>
        <w:rPr>
          <w:rFonts w:ascii="宋体" w:hAnsi="宋体" w:eastAsia="宋体" w:cs="宋体"/>
          <w:sz w:val="21"/>
          <w:szCs w:val="21"/>
        </w:rPr>
      </w:pPr>
      <w:bookmarkStart w:id="29" w:name="_Toc373230025"/>
      <w:bookmarkStart w:id="30" w:name="_Toc477423245"/>
      <w:bookmarkStart w:id="31" w:name="_Toc490161262"/>
      <w:bookmarkStart w:id="32" w:name="_Toc26181"/>
      <w:bookmarkStart w:id="33" w:name="_Toc374512412"/>
      <w:bookmarkStart w:id="34" w:name="_Toc461962053"/>
      <w:bookmarkStart w:id="35" w:name="_Toc6048"/>
      <w:bookmarkStart w:id="36" w:name="_Toc487805905"/>
      <w:r>
        <w:rPr>
          <w:rFonts w:hint="eastAsia" w:ascii="宋体" w:hAnsi="宋体" w:eastAsia="宋体" w:cs="宋体"/>
          <w:sz w:val="21"/>
          <w:szCs w:val="21"/>
        </w:rPr>
        <w:t>响应文件的编制</w:t>
      </w:r>
      <w:bookmarkEnd w:id="29"/>
      <w:bookmarkEnd w:id="30"/>
      <w:bookmarkEnd w:id="31"/>
      <w:bookmarkEnd w:id="32"/>
      <w:bookmarkEnd w:id="33"/>
      <w:bookmarkEnd w:id="34"/>
      <w:bookmarkEnd w:id="35"/>
      <w:bookmarkEnd w:id="36"/>
    </w:p>
    <w:p>
      <w:pPr>
        <w:numPr>
          <w:ilvl w:val="0"/>
          <w:numId w:val="3"/>
        </w:numPr>
        <w:spacing w:line="440" w:lineRule="exact"/>
        <w:rPr>
          <w:rFonts w:ascii="宋体" w:hAnsi="宋体" w:cs="宋体"/>
          <w:b/>
          <w:szCs w:val="21"/>
        </w:rPr>
      </w:pPr>
      <w:r>
        <w:rPr>
          <w:rFonts w:hint="eastAsia" w:ascii="宋体" w:hAnsi="宋体" w:cs="宋体"/>
          <w:b/>
          <w:szCs w:val="21"/>
        </w:rPr>
        <w:t>要求</w:t>
      </w:r>
    </w:p>
    <w:p>
      <w:pPr>
        <w:numPr>
          <w:ilvl w:val="1"/>
          <w:numId w:val="3"/>
        </w:numPr>
        <w:spacing w:line="440" w:lineRule="exact"/>
        <w:rPr>
          <w:rFonts w:ascii="宋体" w:hAnsi="宋体" w:cs="宋体"/>
          <w:szCs w:val="21"/>
        </w:rPr>
      </w:pPr>
      <w:r>
        <w:rPr>
          <w:rFonts w:hint="eastAsia" w:ascii="宋体" w:hAnsi="宋体" w:cs="宋体"/>
          <w:szCs w:val="21"/>
        </w:rPr>
        <w:t>供应商应仔细阅读、并充分理解磋商文件的所有内容，按照磋商文件的要求编制、提交响应文件。</w:t>
      </w:r>
      <w:r>
        <w:rPr>
          <w:rFonts w:hint="eastAsia" w:ascii="宋体" w:hAnsi="宋体" w:cs="宋体"/>
          <w:szCs w:val="21"/>
        </w:rPr>
        <w:tab/>
      </w:r>
    </w:p>
    <w:p>
      <w:pPr>
        <w:numPr>
          <w:ilvl w:val="1"/>
          <w:numId w:val="3"/>
        </w:numPr>
        <w:spacing w:line="440" w:lineRule="exact"/>
        <w:rPr>
          <w:rFonts w:ascii="宋体" w:hAnsi="宋体" w:cs="宋体"/>
          <w:szCs w:val="21"/>
        </w:rPr>
      </w:pPr>
      <w:r>
        <w:rPr>
          <w:rFonts w:hint="eastAsia" w:ascii="宋体" w:hAnsi="宋体" w:cs="宋体"/>
          <w:szCs w:val="21"/>
        </w:rPr>
        <w:t>供应商与采购人、采购代理机构的任何口头协议均不影响磋商文件、响应文件的任何条款和内容。</w:t>
      </w:r>
    </w:p>
    <w:p>
      <w:pPr>
        <w:numPr>
          <w:ilvl w:val="0"/>
          <w:numId w:val="3"/>
        </w:numPr>
        <w:spacing w:line="440" w:lineRule="exact"/>
        <w:rPr>
          <w:rFonts w:ascii="宋体" w:hAnsi="宋体" w:cs="宋体"/>
          <w:b/>
          <w:szCs w:val="21"/>
        </w:rPr>
      </w:pPr>
      <w:r>
        <w:rPr>
          <w:rFonts w:hint="eastAsia" w:ascii="宋体" w:hAnsi="宋体" w:cs="宋体"/>
          <w:b/>
          <w:szCs w:val="21"/>
        </w:rPr>
        <w:t>响应文件的语言及度量衡单位</w:t>
      </w:r>
    </w:p>
    <w:p>
      <w:pPr>
        <w:numPr>
          <w:ilvl w:val="1"/>
          <w:numId w:val="3"/>
        </w:numPr>
        <w:spacing w:line="440" w:lineRule="exact"/>
        <w:rPr>
          <w:rFonts w:ascii="宋体" w:hAnsi="宋体" w:cs="宋体"/>
          <w:szCs w:val="21"/>
        </w:rPr>
      </w:pPr>
      <w:r>
        <w:rPr>
          <w:rFonts w:hint="eastAsia" w:ascii="宋体" w:hAnsi="宋体" w:cs="宋体"/>
          <w:szCs w:val="21"/>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3"/>
        </w:numPr>
        <w:spacing w:line="440" w:lineRule="exact"/>
        <w:rPr>
          <w:rFonts w:ascii="宋体" w:hAnsi="宋体" w:cs="宋体"/>
          <w:szCs w:val="21"/>
        </w:rPr>
      </w:pPr>
      <w:r>
        <w:rPr>
          <w:rFonts w:hint="eastAsia" w:ascii="宋体" w:hAnsi="宋体" w:cs="宋体"/>
          <w:szCs w:val="21"/>
        </w:rPr>
        <w:t>除相关技术规范另有规定外，响应文件使用的度量衡单位，均采用中华人民共和国法定计量单位；</w:t>
      </w:r>
    </w:p>
    <w:p>
      <w:pPr>
        <w:numPr>
          <w:ilvl w:val="1"/>
          <w:numId w:val="3"/>
        </w:numPr>
        <w:spacing w:line="440" w:lineRule="exact"/>
        <w:rPr>
          <w:rFonts w:ascii="宋体" w:hAnsi="宋体" w:cs="宋体"/>
          <w:szCs w:val="21"/>
        </w:rPr>
      </w:pPr>
      <w:r>
        <w:rPr>
          <w:rFonts w:hint="eastAsia" w:ascii="宋体" w:hAnsi="宋体" w:cs="宋体"/>
          <w:szCs w:val="21"/>
        </w:rPr>
        <w:t>本竞争性磋商文件所表述的时间均为北京时间。</w:t>
      </w:r>
    </w:p>
    <w:p>
      <w:pPr>
        <w:numPr>
          <w:ilvl w:val="0"/>
          <w:numId w:val="3"/>
        </w:numPr>
        <w:spacing w:line="440" w:lineRule="exact"/>
        <w:rPr>
          <w:rFonts w:ascii="宋体" w:hAnsi="宋体" w:cs="宋体"/>
          <w:b/>
          <w:szCs w:val="21"/>
        </w:rPr>
      </w:pPr>
      <w:r>
        <w:rPr>
          <w:rFonts w:hint="eastAsia" w:ascii="宋体" w:hAnsi="宋体" w:cs="宋体"/>
          <w:b/>
          <w:szCs w:val="21"/>
        </w:rPr>
        <w:t>响应文件的组成</w:t>
      </w:r>
    </w:p>
    <w:p>
      <w:pPr>
        <w:spacing w:line="440" w:lineRule="exact"/>
        <w:ind w:firstLine="420" w:firstLineChars="200"/>
        <w:rPr>
          <w:rFonts w:ascii="宋体" w:hAnsi="宋体" w:cs="宋体"/>
          <w:szCs w:val="21"/>
        </w:rPr>
      </w:pPr>
      <w:r>
        <w:rPr>
          <w:rFonts w:hint="eastAsia" w:ascii="宋体" w:hAnsi="宋体" w:cs="宋体"/>
          <w:szCs w:val="21"/>
        </w:rPr>
        <w:t>供应商提交的响应文件应当使用磋商文件所提供的响应文件格式，未提供格式的供应商自拟。</w:t>
      </w:r>
    </w:p>
    <w:p>
      <w:pPr>
        <w:numPr>
          <w:ilvl w:val="0"/>
          <w:numId w:val="3"/>
        </w:numPr>
        <w:spacing w:line="440" w:lineRule="exact"/>
        <w:rPr>
          <w:rFonts w:ascii="宋体" w:hAnsi="宋体" w:cs="宋体"/>
          <w:b/>
          <w:szCs w:val="21"/>
        </w:rPr>
      </w:pPr>
      <w:r>
        <w:rPr>
          <w:rFonts w:hint="eastAsia" w:ascii="宋体" w:hAnsi="宋体" w:cs="宋体"/>
          <w:b/>
          <w:szCs w:val="21"/>
        </w:rPr>
        <w:t>报价</w:t>
      </w:r>
    </w:p>
    <w:p>
      <w:pPr>
        <w:numPr>
          <w:ilvl w:val="1"/>
          <w:numId w:val="3"/>
        </w:numPr>
        <w:spacing w:line="440" w:lineRule="exact"/>
        <w:rPr>
          <w:rFonts w:ascii="宋体" w:hAnsi="宋体" w:cs="宋体"/>
          <w:szCs w:val="21"/>
        </w:rPr>
      </w:pPr>
      <w:r>
        <w:rPr>
          <w:rFonts w:hint="eastAsia" w:ascii="宋体" w:hAnsi="宋体" w:cs="宋体"/>
          <w:szCs w:val="21"/>
        </w:rPr>
        <w:t>报价范围：见投标人须知前附表。</w:t>
      </w:r>
    </w:p>
    <w:p>
      <w:pPr>
        <w:numPr>
          <w:ilvl w:val="1"/>
          <w:numId w:val="3"/>
        </w:numPr>
        <w:spacing w:line="440" w:lineRule="exact"/>
        <w:rPr>
          <w:rFonts w:ascii="宋体" w:hAnsi="宋体" w:cs="宋体"/>
          <w:szCs w:val="21"/>
        </w:rPr>
      </w:pPr>
      <w:r>
        <w:rPr>
          <w:rFonts w:hint="eastAsia" w:ascii="宋体" w:hAnsi="宋体" w:cs="宋体"/>
          <w:szCs w:val="21"/>
        </w:rPr>
        <w:t>响应性文件中的报价并非最后报价，在磋商结束后由供应商在规定时间内提交最后报价，磋商小组根据供应商的综合得分确定成交供应商，成交供应商其最后的报价为成交价。</w:t>
      </w:r>
    </w:p>
    <w:p>
      <w:pPr>
        <w:numPr>
          <w:ilvl w:val="0"/>
          <w:numId w:val="3"/>
        </w:numPr>
        <w:spacing w:line="440" w:lineRule="exact"/>
        <w:rPr>
          <w:rFonts w:ascii="宋体" w:hAnsi="宋体" w:cs="宋体"/>
          <w:b/>
          <w:szCs w:val="21"/>
        </w:rPr>
      </w:pPr>
      <w:r>
        <w:rPr>
          <w:rFonts w:hint="eastAsia" w:ascii="宋体" w:hAnsi="宋体" w:cs="宋体"/>
          <w:b/>
          <w:szCs w:val="21"/>
        </w:rPr>
        <w:t>磋商货币</w:t>
      </w:r>
    </w:p>
    <w:p>
      <w:pPr>
        <w:spacing w:line="440" w:lineRule="exact"/>
        <w:ind w:firstLine="420" w:firstLineChars="200"/>
        <w:rPr>
          <w:rFonts w:ascii="宋体" w:hAnsi="宋体" w:cs="宋体"/>
          <w:szCs w:val="21"/>
        </w:rPr>
      </w:pPr>
      <w:r>
        <w:rPr>
          <w:rFonts w:hint="eastAsia" w:ascii="宋体" w:hAnsi="宋体" w:cs="宋体"/>
          <w:szCs w:val="21"/>
        </w:rPr>
        <w:t>供应商以人民币填报所有单价或价格，合同实施时亦以人民币支付。</w:t>
      </w:r>
    </w:p>
    <w:p>
      <w:pPr>
        <w:numPr>
          <w:ilvl w:val="0"/>
          <w:numId w:val="3"/>
        </w:numPr>
        <w:spacing w:line="440" w:lineRule="exact"/>
        <w:rPr>
          <w:rFonts w:ascii="宋体" w:hAnsi="宋体" w:cs="宋体"/>
          <w:b/>
          <w:szCs w:val="21"/>
        </w:rPr>
      </w:pPr>
      <w:r>
        <w:rPr>
          <w:rFonts w:hint="eastAsia" w:ascii="宋体" w:hAnsi="宋体" w:cs="宋体"/>
          <w:b/>
          <w:szCs w:val="21"/>
        </w:rPr>
        <w:t>磋商有效期</w:t>
      </w:r>
    </w:p>
    <w:p>
      <w:pPr>
        <w:spacing w:line="440" w:lineRule="exact"/>
        <w:ind w:left="4" w:firstLine="243" w:firstLineChars="116"/>
        <w:rPr>
          <w:rFonts w:ascii="宋体" w:hAnsi="宋体" w:cs="宋体"/>
          <w:szCs w:val="21"/>
        </w:rPr>
      </w:pPr>
      <w:r>
        <w:rPr>
          <w:rFonts w:hint="eastAsia" w:ascii="宋体" w:hAnsi="宋体" w:cs="宋体"/>
          <w:szCs w:val="21"/>
        </w:rPr>
        <w:t xml:space="preserve">  磋商有效期见本须知前附表所规定的期限，在此期限内，凡符合本磋商文件要求的响应文件均保持有效；</w:t>
      </w:r>
    </w:p>
    <w:p>
      <w:pPr>
        <w:numPr>
          <w:ilvl w:val="0"/>
          <w:numId w:val="3"/>
        </w:numPr>
        <w:spacing w:line="440" w:lineRule="exact"/>
        <w:rPr>
          <w:rFonts w:ascii="宋体" w:hAnsi="宋体" w:cs="宋体"/>
          <w:b/>
          <w:szCs w:val="21"/>
        </w:rPr>
      </w:pPr>
      <w:r>
        <w:rPr>
          <w:rFonts w:hint="eastAsia" w:ascii="宋体" w:hAnsi="宋体" w:cs="宋体"/>
          <w:b/>
          <w:szCs w:val="21"/>
        </w:rPr>
        <w:t>磋商保证金:见供应商须知前附表。</w:t>
      </w:r>
    </w:p>
    <w:p>
      <w:pPr>
        <w:numPr>
          <w:ilvl w:val="0"/>
          <w:numId w:val="3"/>
        </w:numPr>
        <w:spacing w:line="440" w:lineRule="exact"/>
        <w:rPr>
          <w:rFonts w:ascii="宋体" w:hAnsi="宋体" w:cs="宋体"/>
          <w:b/>
          <w:szCs w:val="21"/>
        </w:rPr>
      </w:pPr>
      <w:r>
        <w:rPr>
          <w:rFonts w:hint="eastAsia" w:ascii="宋体" w:hAnsi="宋体" w:cs="宋体"/>
          <w:b/>
          <w:bCs/>
          <w:szCs w:val="21"/>
        </w:rPr>
        <w:t>响应文件的编制、签署、盖章</w:t>
      </w:r>
    </w:p>
    <w:p>
      <w:pPr>
        <w:numPr>
          <w:ilvl w:val="1"/>
          <w:numId w:val="3"/>
        </w:numPr>
        <w:spacing w:line="440" w:lineRule="exact"/>
        <w:rPr>
          <w:rFonts w:ascii="宋体" w:hAnsi="宋体" w:cs="宋体"/>
          <w:szCs w:val="21"/>
        </w:rPr>
      </w:pPr>
      <w:r>
        <w:rPr>
          <w:rFonts w:hint="eastAsia" w:ascii="宋体" w:hAnsi="宋体" w:cs="宋体"/>
          <w:szCs w:val="21"/>
        </w:rPr>
        <w:t>加密电子响应文件的编制</w:t>
      </w:r>
    </w:p>
    <w:p>
      <w:pPr>
        <w:spacing w:line="500" w:lineRule="exact"/>
        <w:ind w:firstLine="420" w:firstLineChars="200"/>
        <w:rPr>
          <w:rFonts w:ascii="宋体" w:hAnsi="宋体" w:cs="宋体"/>
          <w:szCs w:val="21"/>
        </w:rPr>
      </w:pPr>
      <w:r>
        <w:rPr>
          <w:rFonts w:hint="eastAsia" w:ascii="宋体" w:hAnsi="宋体" w:cs="宋体"/>
          <w:szCs w:val="21"/>
        </w:rPr>
        <w:t>16.1.1加密电子响应文件应按照统一的“电子投标文件制作工具”以及竞争性磋商文件要求进行制作编制；</w:t>
      </w:r>
    </w:p>
    <w:p>
      <w:pPr>
        <w:spacing w:line="500" w:lineRule="exact"/>
        <w:ind w:firstLine="420" w:firstLineChars="200"/>
        <w:rPr>
          <w:rFonts w:ascii="宋体" w:hAnsi="宋体" w:cs="宋体"/>
          <w:szCs w:val="21"/>
        </w:rPr>
      </w:pPr>
      <w:r>
        <w:rPr>
          <w:rFonts w:hint="eastAsia" w:ascii="宋体" w:hAnsi="宋体" w:cs="宋体"/>
          <w:szCs w:val="21"/>
        </w:rPr>
        <w:t>16.1.2加密电子响应文件各类证件须与供应商注册登记资料相一致；</w:t>
      </w:r>
    </w:p>
    <w:p>
      <w:pPr>
        <w:spacing w:line="500" w:lineRule="exact"/>
        <w:ind w:firstLine="420" w:firstLineChars="200"/>
        <w:rPr>
          <w:rFonts w:ascii="宋体" w:hAnsi="宋体" w:cs="宋体"/>
          <w:szCs w:val="21"/>
        </w:rPr>
      </w:pPr>
      <w:r>
        <w:rPr>
          <w:rFonts w:hint="eastAsia" w:ascii="宋体" w:hAnsi="宋体" w:cs="宋体"/>
          <w:szCs w:val="21"/>
        </w:rPr>
        <w:t>16.1.3</w:t>
      </w:r>
      <w:r>
        <w:rPr>
          <w:rFonts w:hint="eastAsia" w:hAnsi="宋体"/>
          <w:szCs w:val="21"/>
        </w:rPr>
        <w:t>加密电子响应文件未按本竞争性磋商文件中响应文件格式要求加盖电子签章的视为无效文件。</w:t>
      </w:r>
    </w:p>
    <w:p>
      <w:pPr>
        <w:numPr>
          <w:ilvl w:val="1"/>
          <w:numId w:val="3"/>
        </w:numPr>
        <w:spacing w:line="440" w:lineRule="exact"/>
        <w:rPr>
          <w:rFonts w:ascii="宋体" w:hAnsi="宋体" w:cs="宋体"/>
          <w:szCs w:val="21"/>
        </w:rPr>
      </w:pPr>
      <w:r>
        <w:rPr>
          <w:rFonts w:hint="eastAsia" w:ascii="宋体" w:hAnsi="宋体" w:cs="宋体"/>
          <w:szCs w:val="21"/>
        </w:rPr>
        <w:t>供应商应完整地填写竞争性磋商文件中规定的所有内容。</w:t>
      </w:r>
    </w:p>
    <w:p>
      <w:pPr>
        <w:numPr>
          <w:ilvl w:val="1"/>
          <w:numId w:val="3"/>
        </w:numPr>
        <w:spacing w:line="440" w:lineRule="exact"/>
        <w:rPr>
          <w:rFonts w:ascii="宋体" w:hAnsi="宋体" w:cs="宋体"/>
          <w:szCs w:val="21"/>
        </w:rPr>
      </w:pPr>
      <w:r>
        <w:rPr>
          <w:rFonts w:hint="eastAsia" w:ascii="宋体" w:hAnsi="宋体" w:cs="宋体"/>
          <w:szCs w:val="21"/>
        </w:rPr>
        <w:t>供应商必须保证响应文件所提供的全部资料真实可靠。</w:t>
      </w:r>
    </w:p>
    <w:p>
      <w:pPr>
        <w:numPr>
          <w:ilvl w:val="1"/>
          <w:numId w:val="3"/>
        </w:numPr>
        <w:spacing w:line="440" w:lineRule="exact"/>
        <w:rPr>
          <w:rFonts w:ascii="宋体" w:hAnsi="宋体" w:cs="宋体"/>
          <w:szCs w:val="21"/>
        </w:rPr>
      </w:pPr>
      <w:r>
        <w:rPr>
          <w:rFonts w:hint="eastAsia" w:ascii="宋体" w:hAnsi="宋体" w:cs="宋体"/>
          <w:szCs w:val="21"/>
        </w:rPr>
        <w:t>如果因为供应商响应文件填报的内容不详，或没有提供磋商文件中所要求的全部资料及数据，由此造成的后果，其责任由供应商自行承担。</w:t>
      </w:r>
    </w:p>
    <w:p>
      <w:pPr>
        <w:numPr>
          <w:ilvl w:val="1"/>
          <w:numId w:val="3"/>
        </w:numPr>
        <w:spacing w:line="440" w:lineRule="exact"/>
        <w:rPr>
          <w:rFonts w:ascii="宋体" w:hAnsi="宋体" w:cs="宋体"/>
          <w:szCs w:val="21"/>
        </w:rPr>
      </w:pPr>
      <w:r>
        <w:rPr>
          <w:rFonts w:hint="eastAsia" w:ascii="宋体" w:hAnsi="宋体" w:cs="宋体"/>
          <w:szCs w:val="21"/>
        </w:rPr>
        <w:t>本竞争性磋商文件所表述（指定）的公章是指法人（供应商）行政公章，不包括专用章，并应与电子签章保持一致。</w:t>
      </w:r>
    </w:p>
    <w:p>
      <w:pPr>
        <w:numPr>
          <w:ilvl w:val="1"/>
          <w:numId w:val="3"/>
        </w:numPr>
        <w:spacing w:line="440" w:lineRule="exact"/>
        <w:rPr>
          <w:rFonts w:ascii="宋体" w:hAnsi="宋体" w:cs="宋体"/>
          <w:szCs w:val="21"/>
        </w:rPr>
      </w:pPr>
      <w:r>
        <w:rPr>
          <w:rFonts w:hint="eastAsia" w:ascii="宋体" w:hAnsi="宋体" w:cs="宋体"/>
          <w:szCs w:val="21"/>
        </w:rPr>
        <w:t>电报、电话、传真等形式的响应概不接受。</w:t>
      </w:r>
    </w:p>
    <w:p>
      <w:pPr>
        <w:pStyle w:val="5"/>
        <w:spacing w:line="440" w:lineRule="exact"/>
        <w:jc w:val="center"/>
        <w:rPr>
          <w:rFonts w:ascii="宋体" w:hAnsi="宋体" w:eastAsia="宋体" w:cs="宋体"/>
          <w:sz w:val="21"/>
          <w:szCs w:val="21"/>
        </w:rPr>
      </w:pPr>
      <w:bookmarkStart w:id="37" w:name="_Toc477423246"/>
      <w:bookmarkStart w:id="38" w:name="_Toc461962054"/>
      <w:bookmarkStart w:id="39" w:name="_Toc490161263"/>
      <w:bookmarkStart w:id="40" w:name="_Toc374512413"/>
      <w:bookmarkStart w:id="41" w:name="_Toc10798"/>
      <w:bookmarkStart w:id="42" w:name="_Toc487805906"/>
      <w:bookmarkStart w:id="43" w:name="_Toc27919"/>
      <w:bookmarkStart w:id="44" w:name="_Toc373230026"/>
      <w:r>
        <w:rPr>
          <w:rFonts w:hint="eastAsia" w:ascii="宋体" w:hAnsi="宋体" w:eastAsia="宋体" w:cs="宋体"/>
          <w:sz w:val="21"/>
          <w:szCs w:val="21"/>
        </w:rPr>
        <w:t>四、响应文件的提交</w:t>
      </w:r>
      <w:bookmarkEnd w:id="37"/>
      <w:bookmarkEnd w:id="38"/>
      <w:bookmarkEnd w:id="39"/>
      <w:bookmarkEnd w:id="40"/>
      <w:bookmarkEnd w:id="41"/>
      <w:bookmarkEnd w:id="42"/>
      <w:bookmarkEnd w:id="43"/>
      <w:bookmarkEnd w:id="44"/>
    </w:p>
    <w:p>
      <w:pPr>
        <w:numPr>
          <w:ilvl w:val="0"/>
          <w:numId w:val="3"/>
        </w:numPr>
        <w:spacing w:line="440" w:lineRule="exact"/>
        <w:rPr>
          <w:rFonts w:ascii="宋体" w:hAnsi="宋体" w:cs="宋体"/>
          <w:szCs w:val="21"/>
        </w:rPr>
      </w:pPr>
      <w:r>
        <w:rPr>
          <w:rFonts w:hint="eastAsia" w:ascii="宋体" w:hAnsi="宋体" w:cs="宋体"/>
          <w:b/>
          <w:szCs w:val="21"/>
        </w:rPr>
        <w:t>响应文件的提交：</w:t>
      </w:r>
    </w:p>
    <w:p>
      <w:pPr>
        <w:numPr>
          <w:ilvl w:val="1"/>
          <w:numId w:val="3"/>
        </w:numPr>
        <w:spacing w:line="440" w:lineRule="exact"/>
        <w:rPr>
          <w:rFonts w:ascii="宋体" w:hAnsi="宋体" w:cs="宋体"/>
          <w:szCs w:val="21"/>
        </w:rPr>
      </w:pPr>
      <w:r>
        <w:rPr>
          <w:rFonts w:hint="eastAsia" w:ascii="宋体" w:hAnsi="宋体" w:cs="宋体"/>
          <w:szCs w:val="21"/>
        </w:rPr>
        <w:t>所有响应文件必须在本磋商文件中规定的响应文件截止时间之前提前上传响应文件，并在响应文件开启截止时间前登录不见面开标大厅，按要求解密响应文件，不能按时上传、解密者视为自动放弃磋商；</w:t>
      </w:r>
    </w:p>
    <w:p>
      <w:pPr>
        <w:numPr>
          <w:ilvl w:val="1"/>
          <w:numId w:val="3"/>
        </w:numPr>
        <w:spacing w:line="440" w:lineRule="exact"/>
        <w:rPr>
          <w:rFonts w:ascii="宋体" w:hAnsi="宋体" w:cs="宋体"/>
          <w:szCs w:val="21"/>
        </w:rPr>
      </w:pPr>
      <w:r>
        <w:rPr>
          <w:rFonts w:hint="eastAsia" w:ascii="宋体" w:hAnsi="宋体" w:cs="宋体"/>
          <w:szCs w:val="21"/>
        </w:rPr>
        <w:t>采购人拒绝接收在响应文件递交截止时间后上传的响应文件。</w:t>
      </w:r>
    </w:p>
    <w:p>
      <w:pPr>
        <w:numPr>
          <w:ilvl w:val="0"/>
          <w:numId w:val="3"/>
        </w:numPr>
        <w:spacing w:line="440" w:lineRule="exact"/>
        <w:rPr>
          <w:rFonts w:ascii="宋体" w:hAnsi="宋体" w:cs="宋体"/>
          <w:b/>
          <w:szCs w:val="21"/>
        </w:rPr>
      </w:pPr>
      <w:r>
        <w:rPr>
          <w:rFonts w:hint="eastAsia" w:ascii="宋体" w:hAnsi="宋体" w:cs="宋体"/>
          <w:b/>
          <w:szCs w:val="21"/>
        </w:rPr>
        <w:t>响应文件提交的截止时间</w:t>
      </w:r>
    </w:p>
    <w:p>
      <w:pPr>
        <w:numPr>
          <w:ilvl w:val="1"/>
          <w:numId w:val="3"/>
        </w:numPr>
        <w:spacing w:line="440" w:lineRule="exact"/>
        <w:rPr>
          <w:rFonts w:ascii="宋体" w:hAnsi="宋体" w:cs="宋体"/>
          <w:szCs w:val="21"/>
        </w:rPr>
      </w:pPr>
      <w:r>
        <w:rPr>
          <w:rFonts w:hint="eastAsia" w:ascii="宋体" w:hAnsi="宋体" w:cs="宋体"/>
          <w:szCs w:val="21"/>
        </w:rPr>
        <w:t>响应文件的递交截止时间及地点见竞争性磋商公告规定；</w:t>
      </w:r>
    </w:p>
    <w:p>
      <w:pPr>
        <w:numPr>
          <w:ilvl w:val="1"/>
          <w:numId w:val="3"/>
        </w:numPr>
        <w:spacing w:line="440" w:lineRule="exact"/>
        <w:rPr>
          <w:rFonts w:ascii="宋体" w:hAnsi="宋体" w:cs="宋体"/>
          <w:szCs w:val="21"/>
        </w:rPr>
      </w:pPr>
      <w:r>
        <w:rPr>
          <w:rFonts w:hint="eastAsia" w:ascii="宋体" w:hAnsi="宋体" w:cs="宋体"/>
          <w:szCs w:val="21"/>
        </w:rPr>
        <w:t>采购代理机构可按本须知规定以修改补充通知的方式，酌情延长递交响应文件的截止时间。</w:t>
      </w:r>
    </w:p>
    <w:p>
      <w:pPr>
        <w:numPr>
          <w:ilvl w:val="0"/>
          <w:numId w:val="3"/>
        </w:numPr>
        <w:spacing w:line="440" w:lineRule="exact"/>
        <w:rPr>
          <w:rFonts w:ascii="宋体" w:hAnsi="宋体" w:cs="宋体"/>
          <w:b/>
          <w:szCs w:val="21"/>
        </w:rPr>
      </w:pPr>
      <w:r>
        <w:rPr>
          <w:rFonts w:hint="eastAsia" w:ascii="宋体" w:hAnsi="宋体" w:cs="宋体"/>
          <w:b/>
          <w:szCs w:val="21"/>
        </w:rPr>
        <w:t>响应文件的修改与撤回</w:t>
      </w:r>
    </w:p>
    <w:p>
      <w:pPr>
        <w:numPr>
          <w:ilvl w:val="1"/>
          <w:numId w:val="3"/>
        </w:numPr>
        <w:spacing w:line="440" w:lineRule="exact"/>
        <w:rPr>
          <w:rFonts w:ascii="宋体" w:hAnsi="宋体" w:cs="宋体"/>
          <w:szCs w:val="21"/>
        </w:rPr>
      </w:pPr>
      <w:r>
        <w:rPr>
          <w:rFonts w:hint="eastAsia" w:ascii="宋体" w:hAnsi="宋体" w:cs="宋体"/>
          <w:szCs w:val="21"/>
        </w:rPr>
        <w:t>参加磋商的供应商在递交响应文件后，可以修改或撤回其响应文件，但这种修改和撤回，必须在规定的响应文件递交截止时间前；</w:t>
      </w:r>
    </w:p>
    <w:p>
      <w:pPr>
        <w:numPr>
          <w:ilvl w:val="1"/>
          <w:numId w:val="3"/>
        </w:numPr>
        <w:spacing w:line="440" w:lineRule="exact"/>
        <w:rPr>
          <w:rFonts w:ascii="宋体" w:hAnsi="宋体" w:cs="宋体"/>
          <w:szCs w:val="21"/>
        </w:rPr>
      </w:pPr>
      <w:r>
        <w:rPr>
          <w:rFonts w:hint="eastAsia" w:ascii="宋体" w:hAnsi="宋体" w:cs="宋体"/>
          <w:szCs w:val="21"/>
        </w:rPr>
        <w:t>供应商在响应文件递交截止时间前，可以对所提交的响应文件进行修改或者撤回；</w:t>
      </w:r>
    </w:p>
    <w:p>
      <w:pPr>
        <w:numPr>
          <w:ilvl w:val="1"/>
          <w:numId w:val="3"/>
        </w:numPr>
        <w:spacing w:line="440" w:lineRule="exact"/>
        <w:rPr>
          <w:rFonts w:ascii="宋体" w:hAnsi="宋体" w:cs="宋体"/>
          <w:szCs w:val="21"/>
        </w:rPr>
      </w:pPr>
      <w:r>
        <w:rPr>
          <w:rFonts w:hint="eastAsia" w:ascii="宋体" w:hAnsi="宋体" w:cs="宋体"/>
          <w:szCs w:val="21"/>
        </w:rPr>
        <w:t>供应商在响应文件递交截止时间后不得修改、撤回响应文件。</w:t>
      </w:r>
    </w:p>
    <w:p>
      <w:pPr>
        <w:pStyle w:val="5"/>
        <w:spacing w:line="440" w:lineRule="exact"/>
        <w:jc w:val="center"/>
        <w:rPr>
          <w:rFonts w:ascii="宋体" w:hAnsi="宋体" w:eastAsia="宋体" w:cs="宋体"/>
          <w:sz w:val="21"/>
          <w:szCs w:val="21"/>
        </w:rPr>
      </w:pPr>
      <w:bookmarkStart w:id="45" w:name="_Toc373230027"/>
      <w:bookmarkStart w:id="46" w:name="_Toc374512414"/>
      <w:bookmarkStart w:id="47" w:name="_Toc461962055"/>
      <w:bookmarkStart w:id="48" w:name="_Toc217235123"/>
      <w:bookmarkStart w:id="49" w:name="_Toc487805907"/>
      <w:bookmarkStart w:id="50" w:name="_Toc490161264"/>
      <w:bookmarkStart w:id="51" w:name="_Toc6236"/>
      <w:bookmarkStart w:id="52" w:name="_Toc477423247"/>
      <w:bookmarkStart w:id="53" w:name="_Toc9653"/>
      <w:r>
        <w:rPr>
          <w:rFonts w:hint="eastAsia" w:ascii="宋体" w:hAnsi="宋体" w:eastAsia="宋体" w:cs="宋体"/>
          <w:sz w:val="21"/>
          <w:szCs w:val="21"/>
        </w:rPr>
        <w:t>五、磋商</w:t>
      </w:r>
      <w:bookmarkEnd w:id="45"/>
      <w:bookmarkEnd w:id="46"/>
      <w:bookmarkEnd w:id="47"/>
      <w:bookmarkEnd w:id="48"/>
      <w:r>
        <w:rPr>
          <w:rFonts w:hint="eastAsia" w:ascii="宋体" w:hAnsi="宋体" w:eastAsia="宋体" w:cs="宋体"/>
          <w:sz w:val="21"/>
          <w:szCs w:val="21"/>
        </w:rPr>
        <w:t>和评审</w:t>
      </w:r>
      <w:bookmarkEnd w:id="49"/>
      <w:bookmarkEnd w:id="50"/>
      <w:bookmarkEnd w:id="51"/>
      <w:bookmarkEnd w:id="52"/>
      <w:bookmarkEnd w:id="53"/>
    </w:p>
    <w:p>
      <w:pPr>
        <w:numPr>
          <w:ilvl w:val="0"/>
          <w:numId w:val="3"/>
        </w:numPr>
        <w:spacing w:line="440" w:lineRule="exact"/>
        <w:rPr>
          <w:rFonts w:ascii="宋体" w:hAnsi="宋体" w:cs="宋体"/>
          <w:b/>
          <w:szCs w:val="21"/>
        </w:rPr>
      </w:pPr>
      <w:r>
        <w:rPr>
          <w:rFonts w:hint="eastAsia" w:ascii="宋体" w:hAnsi="宋体" w:cs="宋体"/>
          <w:b/>
          <w:bCs/>
          <w:szCs w:val="21"/>
        </w:rPr>
        <w:t>磋商时出现下列情况的，采购人将拒绝其响应文件</w:t>
      </w:r>
      <w:r>
        <w:rPr>
          <w:rFonts w:hint="eastAsia" w:ascii="宋体" w:hAnsi="宋体" w:cs="宋体"/>
          <w:b/>
          <w:szCs w:val="21"/>
        </w:rPr>
        <w:t>：</w:t>
      </w:r>
    </w:p>
    <w:p>
      <w:pPr>
        <w:numPr>
          <w:ilvl w:val="1"/>
          <w:numId w:val="3"/>
        </w:numPr>
        <w:spacing w:line="440" w:lineRule="exact"/>
        <w:rPr>
          <w:rFonts w:ascii="宋体" w:hAnsi="宋体" w:cs="宋体"/>
          <w:b/>
          <w:szCs w:val="21"/>
        </w:rPr>
      </w:pPr>
      <w:r>
        <w:rPr>
          <w:rFonts w:hint="eastAsia" w:ascii="宋体" w:hAnsi="宋体" w:cs="宋体"/>
          <w:szCs w:val="21"/>
        </w:rPr>
        <w:t>供应商逾期上传电子响应文件的；</w:t>
      </w:r>
    </w:p>
    <w:p>
      <w:pPr>
        <w:numPr>
          <w:ilvl w:val="1"/>
          <w:numId w:val="3"/>
        </w:numPr>
        <w:spacing w:line="440" w:lineRule="exact"/>
        <w:rPr>
          <w:rFonts w:ascii="宋体" w:hAnsi="宋体" w:cs="宋体"/>
          <w:b/>
          <w:szCs w:val="21"/>
        </w:rPr>
      </w:pPr>
      <w:r>
        <w:rPr>
          <w:rFonts w:hint="eastAsia" w:ascii="宋体" w:hAnsi="宋体" w:cs="宋体"/>
          <w:szCs w:val="21"/>
        </w:rPr>
        <w:t>供应商未按规定的时间内解密响应文件的；</w:t>
      </w:r>
    </w:p>
    <w:p>
      <w:pPr>
        <w:numPr>
          <w:ilvl w:val="0"/>
          <w:numId w:val="3"/>
        </w:numPr>
        <w:spacing w:line="440" w:lineRule="exact"/>
        <w:rPr>
          <w:rFonts w:ascii="宋体" w:hAnsi="宋体" w:cs="宋体"/>
          <w:b/>
          <w:szCs w:val="21"/>
        </w:rPr>
      </w:pPr>
      <w:r>
        <w:rPr>
          <w:rFonts w:hint="eastAsia" w:ascii="宋体" w:hAnsi="宋体" w:cs="宋体"/>
          <w:b/>
          <w:szCs w:val="21"/>
        </w:rPr>
        <w:t>磋商小组</w:t>
      </w:r>
    </w:p>
    <w:p>
      <w:pPr>
        <w:numPr>
          <w:ilvl w:val="1"/>
          <w:numId w:val="3"/>
        </w:numPr>
        <w:spacing w:line="440" w:lineRule="exact"/>
        <w:rPr>
          <w:rFonts w:ascii="宋体" w:hAnsi="宋体" w:cs="宋体"/>
          <w:szCs w:val="21"/>
        </w:rPr>
      </w:pPr>
      <w:r>
        <w:rPr>
          <w:rFonts w:hint="eastAsia" w:ascii="宋体" w:hAnsi="宋体" w:cs="宋体"/>
          <w:szCs w:val="21"/>
        </w:rPr>
        <w:t>磋商小组的组成：详见供应商须知前附表；</w:t>
      </w:r>
    </w:p>
    <w:p>
      <w:pPr>
        <w:numPr>
          <w:ilvl w:val="1"/>
          <w:numId w:val="3"/>
        </w:numPr>
        <w:spacing w:line="440" w:lineRule="exact"/>
        <w:rPr>
          <w:rFonts w:ascii="宋体" w:hAnsi="宋体" w:cs="宋体"/>
          <w:szCs w:val="21"/>
        </w:rPr>
      </w:pPr>
      <w:r>
        <w:rPr>
          <w:rFonts w:hint="eastAsia" w:ascii="宋体" w:hAnsi="宋体" w:cs="宋体"/>
          <w:szCs w:val="21"/>
        </w:rPr>
        <w:t>磋商小组负责评审工作，对响应文件进行审查和评估，并向采购人提交书面评审报告；</w:t>
      </w:r>
    </w:p>
    <w:p>
      <w:pPr>
        <w:numPr>
          <w:ilvl w:val="1"/>
          <w:numId w:val="3"/>
        </w:numPr>
        <w:spacing w:line="440" w:lineRule="exact"/>
        <w:rPr>
          <w:rFonts w:ascii="宋体" w:hAnsi="宋体" w:cs="宋体"/>
          <w:szCs w:val="21"/>
        </w:rPr>
      </w:pPr>
      <w:r>
        <w:rPr>
          <w:rFonts w:hint="eastAsia" w:ascii="宋体" w:hAnsi="宋体" w:cs="宋体"/>
          <w:szCs w:val="21"/>
        </w:rPr>
        <w:t>磋商小组所有成员应当集中与单一供应商分别进行磋商，并给予所有参加磋商的供应商平等的磋商机会。</w:t>
      </w:r>
    </w:p>
    <w:p>
      <w:pPr>
        <w:numPr>
          <w:ilvl w:val="0"/>
          <w:numId w:val="3"/>
        </w:numPr>
        <w:spacing w:line="440" w:lineRule="exact"/>
        <w:rPr>
          <w:rFonts w:ascii="宋体" w:hAnsi="宋体" w:cs="宋体"/>
          <w:b/>
          <w:szCs w:val="21"/>
        </w:rPr>
      </w:pPr>
      <w:r>
        <w:rPr>
          <w:rFonts w:hint="eastAsia" w:ascii="宋体" w:hAnsi="宋体" w:cs="宋体"/>
          <w:b/>
          <w:szCs w:val="21"/>
        </w:rPr>
        <w:t>响应文件的初步评审</w:t>
      </w:r>
    </w:p>
    <w:p>
      <w:pPr>
        <w:spacing w:line="440" w:lineRule="exact"/>
        <w:rPr>
          <w:rFonts w:ascii="宋体" w:hAnsi="宋体" w:cs="宋体"/>
          <w:szCs w:val="21"/>
        </w:rPr>
      </w:pPr>
      <w:r>
        <w:rPr>
          <w:rFonts w:hint="eastAsia" w:ascii="宋体" w:hAnsi="宋体" w:cs="宋体"/>
          <w:szCs w:val="21"/>
        </w:rPr>
        <w:t xml:space="preserve">    初步评审分为资格性审查和符合性审查。资格性审查确定供应商是否满足磋商文件规定的资格条件；符合性审查确定响应文件是否对磋商文件的实质性要求作出响应；</w:t>
      </w:r>
    </w:p>
    <w:p>
      <w:pPr>
        <w:numPr>
          <w:ilvl w:val="1"/>
          <w:numId w:val="3"/>
        </w:numPr>
        <w:spacing w:line="440" w:lineRule="exact"/>
        <w:rPr>
          <w:rFonts w:ascii="宋体" w:hAnsi="宋体" w:cs="宋体"/>
          <w:szCs w:val="21"/>
        </w:rPr>
      </w:pPr>
      <w:r>
        <w:rPr>
          <w:rFonts w:hint="eastAsia" w:ascii="宋体" w:hAnsi="宋体" w:cs="宋体"/>
          <w:szCs w:val="21"/>
        </w:rPr>
        <w:t>响应文件有下列情形之一的，其磋商视为没有通过资格性审查：</w:t>
      </w:r>
    </w:p>
    <w:p>
      <w:pPr>
        <w:spacing w:line="440" w:lineRule="exact"/>
        <w:ind w:firstLine="367" w:firstLineChars="175"/>
        <w:rPr>
          <w:rFonts w:ascii="宋体" w:hAnsi="宋体" w:cs="宋体"/>
          <w:szCs w:val="21"/>
        </w:rPr>
      </w:pPr>
      <w:r>
        <w:rPr>
          <w:rFonts w:hint="eastAsia" w:ascii="宋体" w:hAnsi="宋体" w:cs="宋体"/>
          <w:szCs w:val="21"/>
        </w:rPr>
        <w:t>第六章响应文件格式中</w:t>
      </w:r>
      <w:r>
        <w:rPr>
          <w:rFonts w:hint="eastAsia" w:ascii="宋体" w:hAnsi="宋体" w:cs="宋体"/>
          <w:b/>
          <w:szCs w:val="21"/>
        </w:rPr>
        <w:t>“资格证明材料”</w:t>
      </w:r>
      <w:r>
        <w:rPr>
          <w:rFonts w:hint="eastAsia" w:ascii="宋体" w:hAnsi="宋体" w:cs="宋体"/>
          <w:szCs w:val="21"/>
        </w:rPr>
        <w:t>要求的资格证明文件不全或不符合要求的；</w:t>
      </w:r>
    </w:p>
    <w:p>
      <w:pPr>
        <w:numPr>
          <w:ilvl w:val="1"/>
          <w:numId w:val="3"/>
        </w:numPr>
        <w:spacing w:line="440" w:lineRule="exact"/>
        <w:rPr>
          <w:rFonts w:ascii="宋体" w:hAnsi="宋体" w:cs="宋体"/>
          <w:szCs w:val="21"/>
        </w:rPr>
      </w:pPr>
      <w:r>
        <w:rPr>
          <w:rFonts w:hint="eastAsia" w:ascii="宋体" w:hAnsi="宋体" w:cs="宋体"/>
          <w:szCs w:val="21"/>
        </w:rPr>
        <w:t>响应文件有下列情形之一的，视为其没有通过符合性审查：</w:t>
      </w:r>
    </w:p>
    <w:p>
      <w:pPr>
        <w:spacing w:line="440" w:lineRule="exact"/>
        <w:ind w:firstLine="420" w:firstLineChars="200"/>
        <w:rPr>
          <w:rFonts w:ascii="宋体" w:hAnsi="宋体" w:cs="宋体"/>
          <w:szCs w:val="21"/>
        </w:rPr>
      </w:pPr>
      <w:r>
        <w:rPr>
          <w:rFonts w:hint="eastAsia" w:ascii="宋体" w:hAnsi="宋体" w:cs="宋体"/>
          <w:szCs w:val="21"/>
        </w:rPr>
        <w:t xml:space="preserve">（1）响应文件制作机器码一致的； </w:t>
      </w:r>
    </w:p>
    <w:p>
      <w:pPr>
        <w:spacing w:line="440" w:lineRule="exact"/>
        <w:ind w:firstLine="420" w:firstLineChars="200"/>
        <w:rPr>
          <w:rFonts w:ascii="宋体" w:hAnsi="宋体" w:cs="宋体"/>
          <w:szCs w:val="21"/>
        </w:rPr>
      </w:pPr>
      <w:r>
        <w:rPr>
          <w:rFonts w:hint="eastAsia" w:ascii="宋体" w:hAnsi="宋体" w:cs="宋体"/>
          <w:szCs w:val="21"/>
        </w:rPr>
        <w:t>（2）第一轮报价超过磋商文件中规定的项目最高限价的；</w:t>
      </w:r>
    </w:p>
    <w:p>
      <w:pPr>
        <w:spacing w:line="440" w:lineRule="exact"/>
        <w:ind w:firstLine="420" w:firstLineChars="200"/>
        <w:rPr>
          <w:rFonts w:ascii="宋体" w:hAnsi="宋体" w:cs="宋体"/>
          <w:szCs w:val="21"/>
        </w:rPr>
      </w:pPr>
      <w:r>
        <w:rPr>
          <w:rFonts w:hint="eastAsia" w:ascii="宋体" w:hAnsi="宋体" w:cs="宋体"/>
          <w:szCs w:val="21"/>
        </w:rPr>
        <w:t>（3）响应文件未按磋商文件要求签字、盖章的；</w:t>
      </w:r>
    </w:p>
    <w:p>
      <w:pPr>
        <w:spacing w:line="440" w:lineRule="exact"/>
        <w:ind w:firstLine="420" w:firstLineChars="200"/>
        <w:rPr>
          <w:rFonts w:ascii="宋体" w:hAnsi="宋体" w:cs="宋体"/>
          <w:szCs w:val="21"/>
        </w:rPr>
      </w:pPr>
      <w:r>
        <w:rPr>
          <w:rFonts w:hint="eastAsia" w:ascii="宋体" w:hAnsi="宋体" w:cs="宋体"/>
          <w:szCs w:val="21"/>
        </w:rPr>
        <w:t>（4）响应文件格式不符合磋商文件中响应文件格式要求的；</w:t>
      </w:r>
    </w:p>
    <w:p>
      <w:pPr>
        <w:spacing w:line="440" w:lineRule="exact"/>
        <w:ind w:firstLine="420" w:firstLineChars="200"/>
        <w:rPr>
          <w:rFonts w:ascii="宋体" w:hAnsi="宋体" w:cs="宋体"/>
          <w:szCs w:val="21"/>
        </w:rPr>
      </w:pPr>
      <w:r>
        <w:rPr>
          <w:rFonts w:hint="eastAsia" w:ascii="宋体" w:hAnsi="宋体" w:cs="宋体"/>
          <w:szCs w:val="21"/>
        </w:rPr>
        <w:t>（5）不响应磋商文件商务要求的；</w:t>
      </w:r>
    </w:p>
    <w:p>
      <w:pPr>
        <w:spacing w:line="440" w:lineRule="exact"/>
        <w:ind w:firstLine="420" w:firstLineChars="200"/>
        <w:rPr>
          <w:rFonts w:ascii="宋体" w:hAnsi="宋体" w:cs="宋体"/>
          <w:szCs w:val="21"/>
        </w:rPr>
      </w:pPr>
      <w:r>
        <w:rPr>
          <w:rFonts w:hint="eastAsia" w:ascii="宋体" w:hAnsi="宋体" w:cs="宋体"/>
          <w:szCs w:val="21"/>
        </w:rPr>
        <w:t>（6）不响应磋商文件第五章采购需求中的服务内容及要求的；</w:t>
      </w:r>
    </w:p>
    <w:p>
      <w:pPr>
        <w:spacing w:line="440" w:lineRule="exact"/>
        <w:ind w:firstLine="420" w:firstLineChars="200"/>
        <w:rPr>
          <w:rFonts w:ascii="宋体" w:hAnsi="宋体" w:cs="宋体"/>
          <w:szCs w:val="21"/>
        </w:rPr>
      </w:pPr>
      <w:r>
        <w:rPr>
          <w:rFonts w:hint="eastAsia" w:ascii="宋体" w:hAnsi="宋体" w:cs="宋体"/>
          <w:szCs w:val="21"/>
        </w:rPr>
        <w:t>（7）响应文件中出现有选择性报价的；</w:t>
      </w:r>
    </w:p>
    <w:p>
      <w:pPr>
        <w:spacing w:line="440" w:lineRule="exact"/>
        <w:ind w:firstLine="420" w:firstLineChars="200"/>
        <w:rPr>
          <w:rFonts w:ascii="宋体" w:hAnsi="宋体" w:cs="宋体"/>
          <w:szCs w:val="21"/>
        </w:rPr>
      </w:pPr>
      <w:r>
        <w:rPr>
          <w:rFonts w:hint="eastAsia" w:ascii="宋体" w:hAnsi="宋体" w:cs="宋体"/>
          <w:szCs w:val="21"/>
        </w:rPr>
        <w:t>（8）响应文件含有采购人不能接受的附加条件的；</w:t>
      </w:r>
    </w:p>
    <w:p>
      <w:pPr>
        <w:spacing w:line="440" w:lineRule="exact"/>
        <w:ind w:firstLine="420" w:firstLineChars="200"/>
        <w:rPr>
          <w:rFonts w:ascii="宋体" w:hAnsi="宋体" w:cs="宋体"/>
          <w:szCs w:val="21"/>
        </w:rPr>
      </w:pPr>
      <w:r>
        <w:rPr>
          <w:rFonts w:hint="eastAsia" w:ascii="宋体" w:hAnsi="宋体" w:cs="宋体"/>
          <w:szCs w:val="21"/>
        </w:rPr>
        <w:t>（9）法律、法规和磋商文件规定的其他无效情形。</w:t>
      </w:r>
    </w:p>
    <w:p>
      <w:pPr>
        <w:numPr>
          <w:ilvl w:val="0"/>
          <w:numId w:val="3"/>
        </w:numPr>
        <w:spacing w:line="440" w:lineRule="exact"/>
        <w:rPr>
          <w:rFonts w:ascii="宋体" w:hAnsi="宋体" w:cs="宋体"/>
          <w:b/>
          <w:szCs w:val="21"/>
        </w:rPr>
      </w:pPr>
      <w:r>
        <w:rPr>
          <w:rFonts w:hint="eastAsia" w:ascii="宋体" w:hAnsi="宋体" w:cs="宋体"/>
          <w:b/>
          <w:bCs/>
          <w:szCs w:val="21"/>
        </w:rPr>
        <w:t>响应文件有下列情形之一的为无效响应文件，采购代理机构不予受理：</w:t>
      </w:r>
    </w:p>
    <w:p>
      <w:pPr>
        <w:numPr>
          <w:ilvl w:val="1"/>
          <w:numId w:val="3"/>
        </w:numPr>
        <w:spacing w:line="440" w:lineRule="exact"/>
        <w:rPr>
          <w:rFonts w:ascii="宋体" w:hAnsi="宋体" w:cs="宋体"/>
          <w:szCs w:val="21"/>
        </w:rPr>
      </w:pPr>
      <w:r>
        <w:rPr>
          <w:rFonts w:hint="eastAsia" w:ascii="宋体" w:hAnsi="宋体" w:cs="宋体"/>
          <w:szCs w:val="21"/>
        </w:rPr>
        <w:t>逾期上传响应文件的；</w:t>
      </w:r>
    </w:p>
    <w:p>
      <w:pPr>
        <w:numPr>
          <w:ilvl w:val="1"/>
          <w:numId w:val="3"/>
        </w:numPr>
        <w:spacing w:line="440" w:lineRule="exact"/>
        <w:rPr>
          <w:rFonts w:ascii="宋体" w:hAnsi="宋体" w:cs="宋体"/>
          <w:szCs w:val="21"/>
        </w:rPr>
      </w:pPr>
      <w:r>
        <w:rPr>
          <w:rFonts w:hint="eastAsia" w:ascii="宋体" w:hAnsi="宋体" w:cs="宋体"/>
          <w:szCs w:val="21"/>
        </w:rPr>
        <w:t>在规定的响应文件递交截止时间之前，提交合格的撤回通知的；</w:t>
      </w:r>
    </w:p>
    <w:p>
      <w:pPr>
        <w:numPr>
          <w:ilvl w:val="1"/>
          <w:numId w:val="3"/>
        </w:numPr>
        <w:spacing w:line="440" w:lineRule="exact"/>
        <w:rPr>
          <w:rFonts w:ascii="宋体" w:hAnsi="宋体" w:cs="宋体"/>
          <w:szCs w:val="21"/>
        </w:rPr>
      </w:pPr>
      <w:r>
        <w:rPr>
          <w:rFonts w:hint="eastAsia" w:ascii="宋体" w:hAnsi="宋体" w:cs="宋体"/>
          <w:szCs w:val="21"/>
        </w:rPr>
        <w:t>一个供应商不止递交一套同一合同项目下响应文件的。</w:t>
      </w:r>
    </w:p>
    <w:p>
      <w:pPr>
        <w:numPr>
          <w:ilvl w:val="0"/>
          <w:numId w:val="3"/>
        </w:numPr>
        <w:spacing w:line="440" w:lineRule="exact"/>
        <w:rPr>
          <w:rFonts w:ascii="宋体" w:hAnsi="宋体" w:cs="宋体"/>
          <w:b/>
          <w:szCs w:val="21"/>
        </w:rPr>
      </w:pPr>
      <w:r>
        <w:rPr>
          <w:rFonts w:hint="eastAsia" w:ascii="宋体" w:hAnsi="宋体" w:cs="宋体"/>
          <w:b/>
          <w:szCs w:val="21"/>
        </w:rPr>
        <w:t>响应文件的澄清</w:t>
      </w:r>
    </w:p>
    <w:p>
      <w:pPr>
        <w:numPr>
          <w:ilvl w:val="1"/>
          <w:numId w:val="3"/>
        </w:numPr>
        <w:spacing w:line="440" w:lineRule="exact"/>
        <w:rPr>
          <w:rFonts w:ascii="宋体" w:hAnsi="宋体" w:cs="宋体"/>
          <w:szCs w:val="21"/>
        </w:rPr>
      </w:pPr>
      <w:r>
        <w:rPr>
          <w:rFonts w:hint="eastAsia" w:ascii="宋体" w:hAnsi="宋体" w:cs="宋体"/>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numPr>
          <w:ilvl w:val="1"/>
          <w:numId w:val="3"/>
        </w:numPr>
        <w:spacing w:line="440" w:lineRule="exact"/>
        <w:rPr>
          <w:rFonts w:ascii="宋体" w:hAnsi="宋体" w:cs="宋体"/>
          <w:szCs w:val="21"/>
        </w:rPr>
      </w:pPr>
      <w:r>
        <w:rPr>
          <w:rFonts w:hint="eastAsia" w:ascii="宋体" w:hAnsi="宋体" w:cs="宋体"/>
          <w:szCs w:val="21"/>
        </w:rPr>
        <w:t>第一轮报价出现不一致的，按照下列规定修正：</w:t>
      </w:r>
    </w:p>
    <w:p>
      <w:pPr>
        <w:numPr>
          <w:ilvl w:val="0"/>
          <w:numId w:val="5"/>
        </w:numPr>
        <w:spacing w:line="440" w:lineRule="exact"/>
        <w:rPr>
          <w:rFonts w:ascii="宋体" w:hAnsi="宋体" w:cs="宋体"/>
          <w:szCs w:val="21"/>
        </w:rPr>
      </w:pPr>
      <w:r>
        <w:rPr>
          <w:rFonts w:hint="eastAsia" w:ascii="宋体" w:hAnsi="宋体" w:cs="宋体"/>
          <w:szCs w:val="21"/>
        </w:rPr>
        <w:t>大写金额和小写金额不一致的，以大写金额为准；</w:t>
      </w:r>
    </w:p>
    <w:p>
      <w:pPr>
        <w:numPr>
          <w:ilvl w:val="0"/>
          <w:numId w:val="5"/>
        </w:numPr>
        <w:spacing w:line="440" w:lineRule="exact"/>
        <w:rPr>
          <w:rFonts w:ascii="宋体" w:hAnsi="宋体" w:cs="宋体"/>
          <w:szCs w:val="21"/>
        </w:rPr>
      </w:pPr>
      <w:r>
        <w:rPr>
          <w:rFonts w:hint="eastAsia" w:ascii="宋体" w:hAnsi="宋体" w:cs="宋体"/>
          <w:szCs w:val="21"/>
        </w:rPr>
        <w:t>单价金额小数点或者百分比有明显错位的，以总价为准；</w:t>
      </w:r>
    </w:p>
    <w:p>
      <w:pPr>
        <w:numPr>
          <w:ilvl w:val="0"/>
          <w:numId w:val="5"/>
        </w:numPr>
        <w:spacing w:line="440" w:lineRule="exact"/>
        <w:rPr>
          <w:rFonts w:ascii="宋体" w:hAnsi="宋体" w:cs="宋体"/>
          <w:szCs w:val="21"/>
        </w:rPr>
      </w:pPr>
      <w:r>
        <w:rPr>
          <w:rFonts w:hint="eastAsia" w:ascii="宋体" w:hAnsi="宋体" w:cs="宋体"/>
          <w:szCs w:val="21"/>
        </w:rPr>
        <w:t>总价金额与按单价汇总金额不一致的，以单价金额计算结果为准。</w:t>
      </w:r>
    </w:p>
    <w:p>
      <w:pPr>
        <w:spacing w:line="440" w:lineRule="exact"/>
        <w:ind w:firstLine="420" w:firstLineChars="200"/>
        <w:rPr>
          <w:rFonts w:ascii="宋体" w:hAnsi="宋体" w:cs="宋体"/>
          <w:szCs w:val="21"/>
        </w:rPr>
      </w:pPr>
      <w:r>
        <w:rPr>
          <w:rFonts w:hint="eastAsia" w:ascii="宋体" w:hAnsi="宋体" w:cs="宋体"/>
          <w:szCs w:val="21"/>
        </w:rPr>
        <w:t>同时出现两种以上不一致的，按照前款规定的顺序修正。修正后的报价经供应商确认后产生约束力，供应商不确认的，其响应文件按无效处理。</w:t>
      </w:r>
    </w:p>
    <w:p>
      <w:pPr>
        <w:numPr>
          <w:ilvl w:val="1"/>
          <w:numId w:val="3"/>
        </w:numPr>
        <w:spacing w:line="440" w:lineRule="exact"/>
        <w:rPr>
          <w:rFonts w:ascii="宋体" w:hAnsi="宋体" w:cs="宋体"/>
          <w:szCs w:val="21"/>
        </w:rPr>
      </w:pPr>
      <w:r>
        <w:rPr>
          <w:rFonts w:hint="eastAsia" w:ascii="宋体" w:hAnsi="宋体" w:cs="宋体"/>
          <w:szCs w:val="21"/>
        </w:rPr>
        <w:t>供应商的澄清、说明或者更正应当由法定代表人或其授权代表签字或者加盖公章。</w:t>
      </w:r>
    </w:p>
    <w:p>
      <w:pPr>
        <w:numPr>
          <w:ilvl w:val="1"/>
          <w:numId w:val="3"/>
        </w:numPr>
        <w:spacing w:line="440" w:lineRule="exact"/>
        <w:rPr>
          <w:rFonts w:ascii="宋体" w:hAnsi="宋体" w:cs="宋体"/>
          <w:szCs w:val="21"/>
        </w:rPr>
      </w:pPr>
      <w:r>
        <w:rPr>
          <w:rFonts w:hint="eastAsia" w:ascii="宋体" w:hAnsi="宋体" w:cs="宋体"/>
          <w:szCs w:val="21"/>
        </w:rPr>
        <w:t>供应商的澄清文件是响应文件的组成部分，取代响应文件中被澄清的部分；供应商不予澄清的，其响应文件按无效处理。</w:t>
      </w:r>
    </w:p>
    <w:p>
      <w:pPr>
        <w:numPr>
          <w:ilvl w:val="0"/>
          <w:numId w:val="3"/>
        </w:numPr>
        <w:spacing w:line="440" w:lineRule="exact"/>
        <w:rPr>
          <w:rFonts w:ascii="宋体" w:hAnsi="宋体" w:cs="宋体"/>
          <w:b/>
          <w:szCs w:val="21"/>
        </w:rPr>
      </w:pPr>
      <w:bookmarkStart w:id="54" w:name="_Toc373230028"/>
      <w:bookmarkStart w:id="55" w:name="_Toc374512415"/>
      <w:r>
        <w:rPr>
          <w:rFonts w:hint="eastAsia" w:ascii="宋体" w:hAnsi="宋体" w:cs="宋体"/>
          <w:b/>
          <w:szCs w:val="21"/>
        </w:rPr>
        <w:t>评审方法</w:t>
      </w:r>
    </w:p>
    <w:p>
      <w:pPr>
        <w:numPr>
          <w:ilvl w:val="1"/>
          <w:numId w:val="3"/>
        </w:numPr>
        <w:spacing w:line="440" w:lineRule="exact"/>
        <w:rPr>
          <w:rFonts w:ascii="宋体" w:hAnsi="宋体" w:cs="宋体"/>
          <w:szCs w:val="21"/>
        </w:rPr>
      </w:pPr>
      <w:r>
        <w:rPr>
          <w:rFonts w:hint="eastAsia" w:ascii="宋体" w:hAnsi="宋体" w:cs="宋体"/>
          <w:szCs w:val="21"/>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3"/>
        </w:numPr>
        <w:spacing w:line="440" w:lineRule="exact"/>
        <w:rPr>
          <w:rFonts w:ascii="宋体" w:hAnsi="宋体" w:cs="宋体"/>
          <w:szCs w:val="21"/>
        </w:rPr>
      </w:pPr>
      <w:r>
        <w:rPr>
          <w:rFonts w:hint="eastAsia" w:ascii="宋体" w:hAnsi="宋体" w:cs="宋体"/>
          <w:szCs w:val="21"/>
        </w:rPr>
        <w:t>对磋商文件作出的实质性变动是磋商文件的有效组成部分，磋商小组应当及时以书面形式同时通知所有参加磋商的供应商。</w:t>
      </w:r>
    </w:p>
    <w:p>
      <w:pPr>
        <w:numPr>
          <w:ilvl w:val="1"/>
          <w:numId w:val="3"/>
        </w:numPr>
        <w:spacing w:line="440" w:lineRule="exact"/>
        <w:rPr>
          <w:rFonts w:ascii="宋体" w:hAnsi="宋体" w:cs="宋体"/>
          <w:szCs w:val="21"/>
        </w:rPr>
      </w:pPr>
      <w:r>
        <w:rPr>
          <w:rFonts w:hint="eastAsia" w:ascii="宋体" w:hAnsi="宋体" w:cs="宋体"/>
          <w:szCs w:val="21"/>
        </w:rPr>
        <w:t>供应商应当按照磋商文件的变动情况和磋商小组的要求重新提交响应文件，并由其法定代表人或授权代表签字或者加盖公章。</w:t>
      </w:r>
    </w:p>
    <w:p>
      <w:pPr>
        <w:numPr>
          <w:ilvl w:val="1"/>
          <w:numId w:val="3"/>
        </w:numPr>
        <w:spacing w:line="440" w:lineRule="exact"/>
        <w:rPr>
          <w:rFonts w:ascii="宋体" w:hAnsi="宋体" w:cs="宋体"/>
          <w:szCs w:val="21"/>
        </w:rPr>
      </w:pPr>
      <w:r>
        <w:rPr>
          <w:rFonts w:hint="eastAsia" w:ascii="宋体" w:hAnsi="宋体" w:cs="宋体"/>
          <w:szCs w:val="21"/>
        </w:rPr>
        <w:t>磋商结束后，磋商小组应当要求所有实质性响应的供应商在规定时间内提交最后报价，提交最后报价的供应商不得少于3家。符合</w:t>
      </w:r>
      <w:bookmarkStart w:id="56" w:name="_Toc32423"/>
      <w:r>
        <w:rPr>
          <w:rFonts w:hint="eastAsia" w:ascii="宋体" w:hAnsi="宋体" w:cs="宋体"/>
          <w:szCs w:val="21"/>
        </w:rPr>
        <w:t>《政府采购竞争性磋商采购方式管理暂行办法</w:t>
      </w:r>
      <w:bookmarkEnd w:id="56"/>
      <w:r>
        <w:rPr>
          <w:rFonts w:hint="eastAsia" w:ascii="宋体" w:hAnsi="宋体" w:cs="宋体"/>
          <w:szCs w:val="21"/>
        </w:rPr>
        <w:t>》第三条第四项情形的，提交最后报价的供应商可以为2家</w:t>
      </w:r>
      <w:bookmarkStart w:id="57" w:name="_Toc5652"/>
      <w:r>
        <w:rPr>
          <w:rFonts w:hint="eastAsia" w:ascii="宋体" w:hAnsi="宋体" w:cs="宋体"/>
          <w:szCs w:val="21"/>
        </w:rPr>
        <w:t>或符合《财政部关于政府采购竞争性磋商采购方式管理暂行办法有关问题的补充通知</w:t>
      </w:r>
      <w:bookmarkEnd w:id="57"/>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left="4" w:firstLine="415" w:firstLineChars="198"/>
        <w:rPr>
          <w:rFonts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pPr>
        <w:numPr>
          <w:ilvl w:val="0"/>
          <w:numId w:val="3"/>
        </w:numPr>
        <w:spacing w:line="440" w:lineRule="exact"/>
        <w:rPr>
          <w:rFonts w:ascii="宋体" w:hAnsi="宋体" w:cs="宋体"/>
          <w:b/>
          <w:szCs w:val="21"/>
        </w:rPr>
      </w:pPr>
      <w:r>
        <w:rPr>
          <w:rFonts w:hint="eastAsia" w:ascii="宋体" w:hAnsi="宋体" w:cs="宋体"/>
          <w:b/>
          <w:szCs w:val="21"/>
        </w:rPr>
        <w:t xml:space="preserve"> 比较与评价</w:t>
      </w:r>
    </w:p>
    <w:p>
      <w:pPr>
        <w:numPr>
          <w:ilvl w:val="1"/>
          <w:numId w:val="3"/>
        </w:numPr>
        <w:spacing w:line="440" w:lineRule="exact"/>
        <w:rPr>
          <w:rFonts w:ascii="宋体" w:hAnsi="宋体" w:cs="宋体"/>
          <w:szCs w:val="21"/>
        </w:rPr>
      </w:pPr>
      <w:r>
        <w:rPr>
          <w:rFonts w:hint="eastAsia" w:ascii="宋体" w:hAnsi="宋体" w:cs="宋体"/>
          <w:szCs w:val="21"/>
        </w:rPr>
        <w:t>评审标准：见本文件第三章；</w:t>
      </w:r>
    </w:p>
    <w:p>
      <w:pPr>
        <w:numPr>
          <w:ilvl w:val="1"/>
          <w:numId w:val="3"/>
        </w:numPr>
        <w:spacing w:line="440" w:lineRule="exact"/>
        <w:rPr>
          <w:rFonts w:ascii="宋体" w:hAnsi="宋体" w:cs="宋体"/>
          <w:szCs w:val="21"/>
        </w:rPr>
      </w:pP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1"/>
          <w:numId w:val="3"/>
        </w:numPr>
        <w:spacing w:line="440" w:lineRule="exact"/>
        <w:rPr>
          <w:rFonts w:ascii="宋体" w:hAnsi="宋体" w:cs="宋体"/>
          <w:szCs w:val="21"/>
        </w:rPr>
      </w:pPr>
      <w:r>
        <w:rPr>
          <w:rFonts w:hint="eastAsia" w:ascii="宋体" w:hAnsi="宋体" w:cs="宋体"/>
          <w:b/>
          <w:bCs/>
          <w:szCs w:val="21"/>
        </w:rPr>
        <w:t>采购人从评审报告提出的成交候选供应商中，按照排序由高到低的原则确定成交供应商，也可以书面授权磋商小组直接确定成交供应商。</w:t>
      </w:r>
      <w:r>
        <w:rPr>
          <w:rFonts w:hint="eastAsia" w:ascii="宋体" w:hAnsi="宋体" w:cs="宋体"/>
          <w:szCs w:val="21"/>
        </w:rPr>
        <w:t xml:space="preserve"> </w:t>
      </w:r>
    </w:p>
    <w:p>
      <w:pPr>
        <w:numPr>
          <w:ilvl w:val="0"/>
          <w:numId w:val="3"/>
        </w:numPr>
        <w:spacing w:line="440" w:lineRule="exact"/>
        <w:rPr>
          <w:rFonts w:ascii="宋体" w:hAnsi="宋体" w:cs="宋体"/>
          <w:b/>
          <w:szCs w:val="21"/>
        </w:rPr>
      </w:pPr>
      <w:r>
        <w:rPr>
          <w:rFonts w:hint="eastAsia" w:ascii="宋体" w:hAnsi="宋体" w:cs="宋体"/>
          <w:b/>
          <w:szCs w:val="21"/>
        </w:rPr>
        <w:t xml:space="preserve"> 保密及其他注意事项</w:t>
      </w:r>
    </w:p>
    <w:p>
      <w:pPr>
        <w:numPr>
          <w:ilvl w:val="1"/>
          <w:numId w:val="3"/>
        </w:numPr>
        <w:spacing w:line="440" w:lineRule="exact"/>
        <w:rPr>
          <w:rFonts w:ascii="宋体" w:hAnsi="宋体" w:cs="宋体"/>
          <w:szCs w:val="21"/>
        </w:rPr>
      </w:pPr>
      <w:r>
        <w:rPr>
          <w:rFonts w:hint="eastAsia" w:ascii="宋体" w:hAnsi="宋体" w:cs="宋体"/>
          <w:szCs w:val="21"/>
        </w:rPr>
        <w:t>磋商小组将遵照评审原则，公平、公正地对待所有供应商；</w:t>
      </w:r>
    </w:p>
    <w:p>
      <w:pPr>
        <w:numPr>
          <w:ilvl w:val="1"/>
          <w:numId w:val="3"/>
        </w:numPr>
        <w:spacing w:line="440" w:lineRule="exact"/>
        <w:rPr>
          <w:rFonts w:ascii="宋体" w:hAnsi="宋体" w:cs="宋体"/>
          <w:szCs w:val="21"/>
        </w:rPr>
      </w:pPr>
      <w:r>
        <w:rPr>
          <w:rFonts w:hint="eastAsia" w:ascii="宋体" w:hAnsi="宋体" w:cs="宋体"/>
          <w:szCs w:val="21"/>
        </w:rPr>
        <w:t>在评审期间，供应商不得向磋商小组成员询问评审情况，不得进行旨在影响成交结果的活动.</w:t>
      </w:r>
    </w:p>
    <w:p>
      <w:pPr>
        <w:numPr>
          <w:ilvl w:val="0"/>
          <w:numId w:val="3"/>
        </w:numPr>
        <w:spacing w:line="440" w:lineRule="exact"/>
        <w:rPr>
          <w:rFonts w:ascii="宋体" w:hAnsi="宋体" w:cs="宋体"/>
          <w:b/>
          <w:szCs w:val="21"/>
        </w:rPr>
      </w:pPr>
      <w:r>
        <w:rPr>
          <w:rFonts w:hint="eastAsia" w:ascii="宋体" w:hAnsi="宋体" w:cs="宋体"/>
          <w:b/>
          <w:szCs w:val="21"/>
        </w:rPr>
        <w:t xml:space="preserve"> 出现下列情形之一的，采购人或者采购代理机构应当终止竞争性磋商采购活动，发布项目终止公告并说明原因，重新开展采购活动：</w:t>
      </w:r>
    </w:p>
    <w:p>
      <w:pPr>
        <w:numPr>
          <w:ilvl w:val="0"/>
          <w:numId w:val="6"/>
        </w:numPr>
        <w:spacing w:line="440" w:lineRule="exact"/>
        <w:rPr>
          <w:rFonts w:ascii="宋体" w:hAnsi="宋体" w:cs="宋体"/>
          <w:szCs w:val="21"/>
        </w:rPr>
      </w:pPr>
      <w:r>
        <w:rPr>
          <w:rFonts w:hint="eastAsia" w:ascii="宋体" w:hAnsi="宋体" w:cs="宋体"/>
          <w:szCs w:val="21"/>
        </w:rPr>
        <w:t>因情况变化，不再符合规定的竞争性磋商采购方式适用情形的；</w:t>
      </w:r>
    </w:p>
    <w:p>
      <w:pPr>
        <w:numPr>
          <w:ilvl w:val="0"/>
          <w:numId w:val="6"/>
        </w:numPr>
        <w:spacing w:line="440" w:lineRule="exact"/>
        <w:rPr>
          <w:rFonts w:ascii="宋体" w:hAnsi="宋体" w:cs="宋体"/>
          <w:szCs w:val="21"/>
        </w:rPr>
      </w:pPr>
      <w:r>
        <w:rPr>
          <w:rFonts w:hint="eastAsia" w:ascii="宋体" w:hAnsi="宋体" w:cs="宋体"/>
          <w:szCs w:val="21"/>
        </w:rPr>
        <w:t>出现影响采购公正的违法、违规行为的；</w:t>
      </w:r>
    </w:p>
    <w:p>
      <w:pPr>
        <w:numPr>
          <w:ilvl w:val="0"/>
          <w:numId w:val="6"/>
        </w:numPr>
        <w:spacing w:line="440" w:lineRule="exact"/>
        <w:rPr>
          <w:rFonts w:ascii="宋体" w:hAnsi="宋体" w:cs="宋体"/>
          <w:szCs w:val="21"/>
        </w:rPr>
      </w:pPr>
      <w:r>
        <w:rPr>
          <w:rFonts w:hint="eastAsia" w:ascii="宋体" w:hAnsi="宋体" w:cs="宋体"/>
          <w:szCs w:val="21"/>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5"/>
        <w:spacing w:line="440" w:lineRule="exact"/>
        <w:jc w:val="center"/>
        <w:rPr>
          <w:rFonts w:ascii="宋体" w:hAnsi="宋体" w:eastAsia="宋体" w:cs="宋体"/>
          <w:sz w:val="21"/>
          <w:szCs w:val="21"/>
        </w:rPr>
      </w:pPr>
      <w:r>
        <w:rPr>
          <w:rFonts w:hint="eastAsia" w:ascii="宋体" w:hAnsi="宋体" w:eastAsia="宋体" w:cs="宋体"/>
          <w:sz w:val="21"/>
          <w:szCs w:val="21"/>
        </w:rPr>
        <w:t xml:space="preserve">  </w:t>
      </w:r>
      <w:bookmarkStart w:id="58" w:name="_Toc5841"/>
      <w:bookmarkStart w:id="59" w:name="_Toc477423248"/>
      <w:bookmarkStart w:id="60" w:name="_Toc490161265"/>
      <w:bookmarkStart w:id="61" w:name="_Toc487805908"/>
      <w:bookmarkStart w:id="62" w:name="_Toc19608"/>
      <w:r>
        <w:rPr>
          <w:rFonts w:hint="eastAsia" w:ascii="宋体" w:hAnsi="宋体" w:eastAsia="宋体" w:cs="宋体"/>
          <w:sz w:val="21"/>
          <w:szCs w:val="21"/>
        </w:rPr>
        <w:t>六、成交和合同</w:t>
      </w:r>
      <w:bookmarkEnd w:id="58"/>
      <w:bookmarkEnd w:id="59"/>
      <w:bookmarkEnd w:id="60"/>
      <w:bookmarkEnd w:id="61"/>
      <w:bookmarkEnd w:id="62"/>
    </w:p>
    <w:p>
      <w:pPr>
        <w:numPr>
          <w:ilvl w:val="0"/>
          <w:numId w:val="3"/>
        </w:numPr>
        <w:spacing w:line="440" w:lineRule="exact"/>
        <w:rPr>
          <w:rFonts w:ascii="宋体" w:hAnsi="宋体" w:cs="宋体"/>
          <w:b/>
          <w:szCs w:val="21"/>
        </w:rPr>
      </w:pPr>
      <w:r>
        <w:rPr>
          <w:rFonts w:hint="eastAsia" w:ascii="宋体" w:hAnsi="宋体" w:cs="宋体"/>
          <w:b/>
          <w:szCs w:val="21"/>
        </w:rPr>
        <w:t xml:space="preserve"> 成交通知</w:t>
      </w:r>
    </w:p>
    <w:p>
      <w:pPr>
        <w:numPr>
          <w:ilvl w:val="1"/>
          <w:numId w:val="3"/>
        </w:numPr>
        <w:spacing w:line="440" w:lineRule="exact"/>
        <w:rPr>
          <w:rFonts w:ascii="宋体" w:hAnsi="宋体" w:cs="宋体"/>
          <w:szCs w:val="21"/>
        </w:rPr>
      </w:pPr>
      <w:r>
        <w:rPr>
          <w:rFonts w:hint="eastAsia" w:ascii="宋体" w:hAnsi="宋体" w:cs="宋体"/>
          <w:szCs w:val="21"/>
        </w:rPr>
        <w:t>成交供应商确定后，成交结果将在“原公告发布媒体”上进行公告。</w:t>
      </w:r>
    </w:p>
    <w:p>
      <w:pPr>
        <w:numPr>
          <w:ilvl w:val="1"/>
          <w:numId w:val="3"/>
        </w:numPr>
        <w:spacing w:line="440" w:lineRule="exact"/>
        <w:rPr>
          <w:rFonts w:ascii="宋体" w:hAnsi="宋体" w:cs="宋体"/>
          <w:szCs w:val="21"/>
        </w:rPr>
      </w:pPr>
      <w:r>
        <w:rPr>
          <w:rFonts w:hint="eastAsia" w:ascii="宋体" w:hAnsi="宋体" w:cs="宋体"/>
          <w:szCs w:val="21"/>
        </w:rPr>
        <w:t>在发布成交公告的同时向成交供应商发出成交通知书；</w:t>
      </w:r>
    </w:p>
    <w:p>
      <w:pPr>
        <w:numPr>
          <w:ilvl w:val="1"/>
          <w:numId w:val="3"/>
        </w:numPr>
        <w:spacing w:line="440" w:lineRule="exact"/>
        <w:rPr>
          <w:rFonts w:ascii="宋体" w:hAnsi="宋体" w:cs="宋体"/>
          <w:szCs w:val="21"/>
        </w:rPr>
      </w:pPr>
      <w:r>
        <w:rPr>
          <w:rFonts w:hint="eastAsia" w:ascii="宋体" w:hAnsi="宋体" w:cs="宋体"/>
          <w:szCs w:val="21"/>
        </w:rPr>
        <w:t>成交通知书将作为签订合同的依据。</w:t>
      </w:r>
    </w:p>
    <w:p>
      <w:pPr>
        <w:numPr>
          <w:ilvl w:val="1"/>
          <w:numId w:val="3"/>
        </w:numPr>
        <w:spacing w:line="440" w:lineRule="exact"/>
      </w:pPr>
      <w:r>
        <w:rPr>
          <w:rFonts w:hint="eastAsia" w:ascii="宋体" w:hAnsi="宋体" w:cs="宋体"/>
          <w:szCs w:val="21"/>
        </w:rPr>
        <w:t>履约担保（如有）：成交供应商应按磋商文件的规定在签订合同前向采购人交纳履约担保。过期不交的将取消其成交资格，另行确定成交供应商。</w:t>
      </w:r>
    </w:p>
    <w:bookmarkEnd w:id="54"/>
    <w:bookmarkEnd w:id="55"/>
    <w:p>
      <w:pPr>
        <w:numPr>
          <w:ilvl w:val="0"/>
          <w:numId w:val="3"/>
        </w:numPr>
        <w:spacing w:line="440" w:lineRule="exact"/>
        <w:rPr>
          <w:rFonts w:ascii="宋体" w:hAnsi="宋体" w:cs="宋体"/>
          <w:b/>
          <w:szCs w:val="21"/>
        </w:rPr>
      </w:pPr>
      <w:r>
        <w:rPr>
          <w:rFonts w:hint="eastAsia" w:ascii="宋体" w:hAnsi="宋体" w:cs="宋体"/>
          <w:b/>
          <w:szCs w:val="21"/>
        </w:rPr>
        <w:t xml:space="preserve"> 签订合同及合同的执行</w:t>
      </w:r>
    </w:p>
    <w:p>
      <w:pPr>
        <w:numPr>
          <w:ilvl w:val="1"/>
          <w:numId w:val="3"/>
        </w:numPr>
        <w:spacing w:line="440" w:lineRule="exact"/>
        <w:rPr>
          <w:rFonts w:ascii="宋体" w:hAnsi="宋体" w:cs="宋体"/>
          <w:szCs w:val="21"/>
        </w:rPr>
      </w:pPr>
      <w:r>
        <w:rPr>
          <w:rFonts w:hint="eastAsia" w:ascii="宋体" w:hAnsi="宋体" w:cs="宋体"/>
          <w:szCs w:val="21"/>
        </w:rPr>
        <w:t>采购人与成交供应商应当在成交通知书发出之日起30日内（供应商须知前附表另有规定者从其规定），签订政府采购合同。</w:t>
      </w:r>
    </w:p>
    <w:p>
      <w:pPr>
        <w:numPr>
          <w:ilvl w:val="1"/>
          <w:numId w:val="3"/>
        </w:numPr>
        <w:spacing w:line="440" w:lineRule="exact"/>
        <w:rPr>
          <w:rFonts w:ascii="宋体" w:hAnsi="宋体" w:cs="宋体"/>
          <w:szCs w:val="21"/>
        </w:rPr>
      </w:pPr>
      <w:r>
        <w:rPr>
          <w:rFonts w:hint="eastAsia" w:ascii="宋体" w:hAnsi="宋体" w:cs="宋体"/>
          <w:szCs w:val="21"/>
        </w:rPr>
        <w:t>磋商文件及修改文件、成交供应商的响应文件、补充或修改的文件及澄清或承诺文件等，均为双方签订合同的组成部分，并与合同一并作为本磋商所列采购项目的互补性法律文件，与合同具有同等法律效力；</w:t>
      </w:r>
    </w:p>
    <w:p>
      <w:pPr>
        <w:numPr>
          <w:ilvl w:val="1"/>
          <w:numId w:val="3"/>
        </w:numPr>
        <w:spacing w:line="440" w:lineRule="exact"/>
        <w:rPr>
          <w:rFonts w:ascii="宋体" w:hAnsi="宋体" w:cs="宋体"/>
          <w:szCs w:val="21"/>
        </w:rPr>
      </w:pPr>
      <w:r>
        <w:rPr>
          <w:rFonts w:hint="eastAsia" w:ascii="宋体" w:hAnsi="宋体" w:cs="宋体"/>
          <w:szCs w:val="21"/>
        </w:rPr>
        <w:t>成交供应商应在采购合同签订之日起七个工作日内将合同报武陟县财政综合服务中心政府采购股备案；</w:t>
      </w:r>
    </w:p>
    <w:p>
      <w:pPr>
        <w:numPr>
          <w:ilvl w:val="1"/>
          <w:numId w:val="3"/>
        </w:numPr>
        <w:spacing w:line="440" w:lineRule="exact"/>
        <w:rPr>
          <w:rFonts w:ascii="宋体" w:hAnsi="宋体" w:cs="宋体"/>
          <w:szCs w:val="21"/>
        </w:rPr>
      </w:pPr>
      <w:r>
        <w:rPr>
          <w:rFonts w:hint="eastAsia" w:ascii="宋体" w:hAnsi="宋体" w:cs="宋体"/>
          <w:szCs w:val="21"/>
        </w:rPr>
        <w:t>合同双方如违约，将按《中华人民共和国民法典》、《中华人民共和国政府采购法》及有关法律法规中的规定执行。</w:t>
      </w:r>
    </w:p>
    <w:p>
      <w:pPr>
        <w:numPr>
          <w:ilvl w:val="1"/>
          <w:numId w:val="3"/>
        </w:numPr>
        <w:spacing w:line="440" w:lineRule="exact"/>
        <w:rPr>
          <w:rFonts w:ascii="宋体" w:hAnsi="宋体" w:cs="宋体"/>
          <w:szCs w:val="21"/>
        </w:rPr>
      </w:pPr>
      <w:r>
        <w:rPr>
          <w:rFonts w:hint="eastAsia" w:ascii="宋体" w:hAnsi="宋体" w:cs="宋体"/>
          <w:szCs w:val="21"/>
        </w:rPr>
        <w:t>根据《政府采购促进中小企业发展管理办法》规定，成交供应商为小微企业的不得将合同分包给大中型企业，成交供应商为中型企业的不得将合同分包给大型企业。</w:t>
      </w:r>
    </w:p>
    <w:p>
      <w:pPr>
        <w:numPr>
          <w:ilvl w:val="0"/>
          <w:numId w:val="3"/>
        </w:numPr>
        <w:spacing w:line="440" w:lineRule="exact"/>
        <w:rPr>
          <w:rFonts w:ascii="宋体" w:hAnsi="宋体" w:cs="宋体"/>
          <w:b/>
          <w:szCs w:val="21"/>
        </w:rPr>
      </w:pPr>
      <w:r>
        <w:rPr>
          <w:rFonts w:hint="eastAsia" w:ascii="宋体" w:hAnsi="宋体" w:cs="宋体"/>
          <w:b/>
          <w:szCs w:val="21"/>
        </w:rPr>
        <w:t xml:space="preserve"> 质疑</w:t>
      </w:r>
    </w:p>
    <w:p>
      <w:pPr>
        <w:numPr>
          <w:ilvl w:val="1"/>
          <w:numId w:val="3"/>
        </w:numPr>
        <w:spacing w:line="440" w:lineRule="exact"/>
        <w:rPr>
          <w:rFonts w:ascii="宋体" w:hAnsi="宋体" w:cs="宋体"/>
          <w:szCs w:val="21"/>
        </w:rPr>
      </w:pPr>
      <w:r>
        <w:rPr>
          <w:rFonts w:hint="eastAsia" w:ascii="宋体" w:hAnsi="宋体" w:cs="宋体"/>
          <w:szCs w:val="21"/>
        </w:rPr>
        <w:t>供应商认为磋商文件、磋商过程、成交结果使自己的权益受到损害的，可以在知道或者应知其权益受到损害之日起7个工作日内，以书面形式向采购人、采购代理机构提出质疑。</w:t>
      </w:r>
    </w:p>
    <w:p>
      <w:pPr>
        <w:numPr>
          <w:ilvl w:val="1"/>
          <w:numId w:val="3"/>
        </w:numPr>
        <w:spacing w:line="440" w:lineRule="exact"/>
        <w:rPr>
          <w:rFonts w:ascii="宋体" w:hAnsi="宋体" w:cs="宋体"/>
          <w:szCs w:val="21"/>
        </w:rPr>
      </w:pPr>
      <w:r>
        <w:rPr>
          <w:rFonts w:hint="eastAsia" w:ascii="宋体" w:hAnsi="宋体" w:cs="宋体"/>
          <w:szCs w:val="21"/>
        </w:rPr>
        <w:t>供应商应在法定质疑期内一次性提出针对同一采购程序环节的质疑。</w:t>
      </w:r>
    </w:p>
    <w:p>
      <w:pPr>
        <w:numPr>
          <w:ilvl w:val="1"/>
          <w:numId w:val="3"/>
        </w:numPr>
        <w:spacing w:line="440" w:lineRule="exact"/>
        <w:rPr>
          <w:rFonts w:ascii="宋体" w:hAnsi="宋体" w:cs="宋体"/>
          <w:szCs w:val="21"/>
        </w:rPr>
      </w:pPr>
      <w:r>
        <w:rPr>
          <w:rFonts w:hint="eastAsia" w:ascii="宋体" w:hAnsi="宋体" w:cs="宋体"/>
          <w:szCs w:val="21"/>
        </w:rPr>
        <w:t>提出质疑的供应商应当是参与所质疑项目采购活动的供应商。</w:t>
      </w:r>
    </w:p>
    <w:p>
      <w:pPr>
        <w:numPr>
          <w:ilvl w:val="1"/>
          <w:numId w:val="3"/>
        </w:numPr>
        <w:spacing w:line="440" w:lineRule="exact"/>
        <w:rPr>
          <w:rFonts w:ascii="宋体" w:hAnsi="宋体" w:cs="宋体"/>
          <w:szCs w:val="21"/>
        </w:rPr>
      </w:pPr>
      <w:r>
        <w:rPr>
          <w:rFonts w:hint="eastAsia" w:ascii="宋体" w:hAnsi="宋体" w:cs="宋体"/>
          <w:szCs w:val="21"/>
        </w:rPr>
        <w:t>潜在供应商已依法获取其可质疑的磋商文件的，可以对该文件提出质疑。对磋商文件提出质疑的，应当在获取磋商文件之日起7个工作日内提出。</w:t>
      </w:r>
    </w:p>
    <w:p>
      <w:pPr>
        <w:numPr>
          <w:ilvl w:val="1"/>
          <w:numId w:val="3"/>
        </w:numPr>
        <w:spacing w:line="440" w:lineRule="exact"/>
        <w:rPr>
          <w:rFonts w:ascii="宋体" w:hAnsi="宋体" w:cs="宋体"/>
          <w:szCs w:val="21"/>
        </w:rPr>
      </w:pPr>
      <w:r>
        <w:rPr>
          <w:rFonts w:hint="eastAsia" w:ascii="宋体" w:hAnsi="宋体" w:cs="宋体"/>
          <w:szCs w:val="21"/>
        </w:rPr>
        <w:t>供应商提出质疑应当提交质疑函和必要的证明材料。</w:t>
      </w:r>
    </w:p>
    <w:p>
      <w:pPr>
        <w:numPr>
          <w:ilvl w:val="1"/>
          <w:numId w:val="3"/>
        </w:numPr>
        <w:spacing w:line="440" w:lineRule="exact"/>
        <w:rPr>
          <w:rFonts w:ascii="宋体" w:hAnsi="宋体" w:cs="宋体"/>
          <w:szCs w:val="21"/>
        </w:rPr>
      </w:pPr>
      <w:r>
        <w:rPr>
          <w:rFonts w:hint="eastAsia" w:ascii="宋体" w:hAnsi="宋体" w:cs="宋体"/>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numPr>
          <w:ilvl w:val="1"/>
          <w:numId w:val="3"/>
        </w:numPr>
        <w:spacing w:line="440" w:lineRule="exact"/>
        <w:rPr>
          <w:rFonts w:ascii="宋体" w:hAnsi="宋体" w:cs="宋体"/>
          <w:szCs w:val="21"/>
        </w:rPr>
      </w:pPr>
      <w:r>
        <w:rPr>
          <w:rFonts w:hint="eastAsia" w:ascii="宋体" w:hAnsi="宋体" w:cs="宋体"/>
          <w:szCs w:val="21"/>
        </w:rPr>
        <w:t>质疑文件格式详见《中国政府采购网》下载专区“</w:t>
      </w:r>
      <w:r>
        <w:fldChar w:fldCharType="begin"/>
      </w:r>
      <w:r>
        <w:instrText xml:space="preserve"> HYPERLINK "http://download.ccgp.gov.cn/2018/zhiyihanfanben.zip" </w:instrText>
      </w:r>
      <w:r>
        <w:fldChar w:fldCharType="separate"/>
      </w:r>
      <w:r>
        <w:rPr>
          <w:rFonts w:hint="eastAsia" w:ascii="宋体" w:hAnsi="宋体" w:cs="宋体"/>
          <w:szCs w:val="21"/>
        </w:rPr>
        <w:t>政府采购供应商质疑函范本</w:t>
      </w:r>
      <w:r>
        <w:rPr>
          <w:rFonts w:hint="eastAsia" w:ascii="宋体" w:hAnsi="宋体" w:cs="宋体"/>
          <w:szCs w:val="21"/>
        </w:rPr>
        <w:fldChar w:fldCharType="end"/>
      </w:r>
      <w:r>
        <w:rPr>
          <w:rFonts w:hint="eastAsia" w:ascii="宋体" w:hAnsi="宋体" w:cs="宋体"/>
          <w:szCs w:val="21"/>
        </w:rPr>
        <w:t>”，并附相关证明材料。否则，采购人或采购代理机构不予受理, 质疑文件及相关证明材料一式两份，采购人、采购代理机构各执一份。</w:t>
      </w:r>
    </w:p>
    <w:p>
      <w:pPr>
        <w:numPr>
          <w:ilvl w:val="1"/>
          <w:numId w:val="3"/>
        </w:numPr>
        <w:spacing w:line="440" w:lineRule="exact"/>
        <w:rPr>
          <w:rFonts w:ascii="宋体" w:hAnsi="宋体" w:cs="宋体"/>
          <w:szCs w:val="21"/>
        </w:rPr>
      </w:pPr>
      <w:r>
        <w:rPr>
          <w:rFonts w:hint="eastAsia" w:ascii="宋体" w:hAnsi="宋体" w:cs="宋体"/>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numPr>
          <w:ilvl w:val="1"/>
          <w:numId w:val="3"/>
        </w:numPr>
        <w:spacing w:line="440" w:lineRule="exact"/>
        <w:rPr>
          <w:rFonts w:ascii="宋体" w:hAnsi="宋体" w:cs="宋体"/>
          <w:szCs w:val="21"/>
        </w:rPr>
      </w:pPr>
      <w:r>
        <w:rPr>
          <w:rFonts w:hint="eastAsia" w:ascii="宋体" w:hAnsi="宋体" w:cs="宋体"/>
          <w:szCs w:val="21"/>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numPr>
          <w:ilvl w:val="1"/>
          <w:numId w:val="3"/>
        </w:numPr>
        <w:spacing w:line="440" w:lineRule="exact"/>
        <w:rPr>
          <w:rFonts w:ascii="宋体" w:hAnsi="宋体" w:cs="宋体"/>
          <w:szCs w:val="21"/>
        </w:rPr>
      </w:pPr>
      <w:r>
        <w:rPr>
          <w:rFonts w:hint="eastAsia" w:ascii="宋体" w:hAnsi="宋体" w:cs="宋体"/>
          <w:szCs w:val="21"/>
        </w:rPr>
        <w:t>质疑供应商对采购人或采购代理机构的答复不满意以及采购人或采购代理机构未在规定的时间内做出答复的，可以在答复期满后15个工作日内向同级财政部门投诉。</w:t>
      </w:r>
    </w:p>
    <w:p>
      <w:pPr>
        <w:numPr>
          <w:ilvl w:val="1"/>
          <w:numId w:val="3"/>
        </w:numPr>
        <w:spacing w:line="440" w:lineRule="exact"/>
        <w:rPr>
          <w:rFonts w:ascii="宋体" w:hAnsi="宋体" w:cs="宋体"/>
          <w:szCs w:val="21"/>
        </w:rPr>
      </w:pPr>
      <w:r>
        <w:rPr>
          <w:rFonts w:hint="eastAsia" w:ascii="宋体" w:hAnsi="宋体" w:cs="宋体"/>
          <w:szCs w:val="21"/>
        </w:rPr>
        <w:t xml:space="preserve">质疑联系事项： </w:t>
      </w:r>
    </w:p>
    <w:p>
      <w:pPr>
        <w:spacing w:line="440" w:lineRule="exact"/>
        <w:ind w:left="284"/>
        <w:rPr>
          <w:rFonts w:ascii="宋体" w:hAnsi="宋体" w:cs="宋体"/>
          <w:szCs w:val="21"/>
        </w:rPr>
      </w:pPr>
      <w:r>
        <w:rPr>
          <w:rFonts w:hint="eastAsia" w:ascii="宋体" w:hAnsi="宋体" w:cs="宋体"/>
          <w:szCs w:val="21"/>
        </w:rPr>
        <w:t>供应商应以书面方式将质疑函分别送至采购人、采购代理机构；</w:t>
      </w:r>
    </w:p>
    <w:p>
      <w:pPr>
        <w:spacing w:line="440" w:lineRule="exact"/>
        <w:ind w:left="284"/>
        <w:rPr>
          <w:rFonts w:ascii="宋体" w:hAnsi="宋体" w:cs="宋体"/>
          <w:szCs w:val="21"/>
        </w:rPr>
      </w:pPr>
      <w:r>
        <w:rPr>
          <w:rFonts w:hint="eastAsia" w:ascii="宋体" w:hAnsi="宋体" w:cs="宋体"/>
          <w:szCs w:val="21"/>
        </w:rPr>
        <w:t>采购人名称：武陟县民政局</w:t>
      </w:r>
    </w:p>
    <w:p>
      <w:pPr>
        <w:spacing w:line="440" w:lineRule="exact"/>
        <w:ind w:left="284" w:firstLine="210" w:firstLineChars="100"/>
        <w:rPr>
          <w:rFonts w:ascii="宋体" w:hAnsi="宋体" w:cs="宋体"/>
          <w:szCs w:val="21"/>
        </w:rPr>
      </w:pPr>
      <w:r>
        <w:rPr>
          <w:rFonts w:hint="eastAsia" w:ascii="宋体" w:hAnsi="宋体" w:cs="宋体"/>
          <w:szCs w:val="21"/>
        </w:rPr>
        <w:t>地点：河南省武陟县兴华路028号</w:t>
      </w:r>
    </w:p>
    <w:p>
      <w:pPr>
        <w:spacing w:line="440" w:lineRule="exact"/>
        <w:ind w:left="283" w:leftChars="135" w:firstLine="210" w:firstLineChars="100"/>
        <w:rPr>
          <w:rFonts w:ascii="宋体" w:hAnsi="宋体" w:cs="宋体"/>
          <w:szCs w:val="21"/>
        </w:rPr>
      </w:pPr>
      <w:r>
        <w:rPr>
          <w:rFonts w:hint="eastAsia" w:ascii="宋体" w:hAnsi="宋体" w:cs="宋体"/>
          <w:szCs w:val="21"/>
        </w:rPr>
        <w:t>联系人：田橹</w:t>
      </w:r>
    </w:p>
    <w:p>
      <w:pPr>
        <w:spacing w:line="440" w:lineRule="exact"/>
        <w:ind w:left="283" w:leftChars="135" w:firstLine="210" w:firstLineChars="100"/>
        <w:rPr>
          <w:rFonts w:ascii="宋体" w:hAnsi="宋体" w:cs="宋体"/>
          <w:szCs w:val="21"/>
        </w:rPr>
      </w:pPr>
      <w:r>
        <w:rPr>
          <w:rFonts w:hint="eastAsia" w:ascii="宋体" w:hAnsi="宋体" w:cs="宋体"/>
          <w:szCs w:val="21"/>
        </w:rPr>
        <w:t>联系电话：0391-7299846</w:t>
      </w:r>
    </w:p>
    <w:p>
      <w:pPr>
        <w:spacing w:line="440" w:lineRule="exact"/>
        <w:ind w:left="284"/>
        <w:rPr>
          <w:rFonts w:ascii="宋体" w:hAnsi="宋体" w:cs="宋体"/>
          <w:szCs w:val="21"/>
        </w:rPr>
      </w:pPr>
      <w:r>
        <w:rPr>
          <w:rFonts w:hint="eastAsia" w:ascii="宋体" w:hAnsi="宋体" w:cs="宋体"/>
          <w:szCs w:val="21"/>
        </w:rPr>
        <w:t>采购代理机构名称：</w:t>
      </w:r>
    </w:p>
    <w:p>
      <w:pPr>
        <w:spacing w:line="440" w:lineRule="exact"/>
        <w:ind w:left="284" w:firstLine="210" w:firstLineChars="100"/>
        <w:rPr>
          <w:rFonts w:ascii="宋体" w:hAnsi="宋体" w:cs="宋体"/>
          <w:szCs w:val="21"/>
        </w:rPr>
      </w:pPr>
      <w:r>
        <w:rPr>
          <w:rFonts w:hint="eastAsia" w:ascii="宋体" w:hAnsi="宋体" w:cs="宋体"/>
          <w:szCs w:val="21"/>
        </w:rPr>
        <w:t>地点：河南省郑州市郑东新区平安大道199号（建业智慧港）E座603</w:t>
      </w:r>
    </w:p>
    <w:p>
      <w:pPr>
        <w:spacing w:line="440" w:lineRule="exact"/>
        <w:ind w:left="284" w:firstLine="210" w:firstLineChars="100"/>
        <w:rPr>
          <w:rFonts w:ascii="宋体" w:hAnsi="宋体" w:cs="宋体"/>
          <w:szCs w:val="21"/>
        </w:rPr>
      </w:pPr>
      <w:r>
        <w:rPr>
          <w:rFonts w:hint="eastAsia" w:ascii="宋体" w:hAnsi="宋体" w:cs="宋体"/>
          <w:szCs w:val="21"/>
        </w:rPr>
        <w:t>联系人：赵要恒</w:t>
      </w:r>
    </w:p>
    <w:p>
      <w:pPr>
        <w:spacing w:line="440" w:lineRule="exact"/>
        <w:ind w:left="284" w:firstLine="210" w:firstLineChars="100"/>
        <w:rPr>
          <w:rFonts w:ascii="宋体" w:hAnsi="宋体" w:cs="宋体"/>
          <w:szCs w:val="21"/>
          <w:highlight w:val="yellow"/>
        </w:rPr>
      </w:pPr>
      <w:r>
        <w:rPr>
          <w:rFonts w:hint="eastAsia" w:ascii="宋体" w:hAnsi="宋体" w:cs="宋体"/>
          <w:szCs w:val="21"/>
        </w:rPr>
        <w:t>联系电话：19913716706</w:t>
      </w:r>
    </w:p>
    <w:p>
      <w:pPr>
        <w:numPr>
          <w:ilvl w:val="0"/>
          <w:numId w:val="3"/>
        </w:numPr>
        <w:spacing w:line="440" w:lineRule="exact"/>
        <w:jc w:val="center"/>
        <w:rPr>
          <w:rFonts w:ascii="宋体" w:hAnsi="宋体" w:cs="宋体"/>
          <w:b/>
          <w:szCs w:val="21"/>
        </w:rPr>
      </w:pPr>
      <w:r>
        <w:rPr>
          <w:rFonts w:hint="eastAsia" w:ascii="宋体" w:hAnsi="宋体" w:cs="宋体"/>
          <w:b/>
          <w:szCs w:val="21"/>
        </w:rPr>
        <w:t>河南省政府采购合同融资政策告知函</w:t>
      </w:r>
    </w:p>
    <w:p>
      <w:pPr>
        <w:spacing w:line="440" w:lineRule="exact"/>
        <w:rPr>
          <w:rFonts w:ascii="宋体" w:hAnsi="宋体" w:cs="宋体"/>
        </w:rPr>
      </w:pPr>
      <w:r>
        <w:rPr>
          <w:rFonts w:hint="eastAsia" w:ascii="宋体" w:hAnsi="宋体" w:cs="宋体"/>
        </w:rPr>
        <w:t>各供应商：</w:t>
      </w:r>
    </w:p>
    <w:p>
      <w:pPr>
        <w:spacing w:line="440" w:lineRule="exact"/>
        <w:rPr>
          <w:rFonts w:ascii="宋体" w:hAnsi="宋体" w:cs="宋体"/>
        </w:rPr>
      </w:pPr>
      <w:r>
        <w:rPr>
          <w:rFonts w:hint="eastAsia" w:ascii="宋体" w:hAnsi="宋体" w:cs="宋体"/>
        </w:rPr>
        <w:t xml:space="preserve">   欢迎贵公司参与河南省政府采购活动！</w:t>
      </w:r>
    </w:p>
    <w:p>
      <w:pPr>
        <w:spacing w:line="440" w:lineRule="exact"/>
        <w:rPr>
          <w:rFonts w:ascii="宋体" w:hAnsi="宋体" w:cs="宋体"/>
        </w:rPr>
      </w:pPr>
      <w:r>
        <w:rPr>
          <w:rFonts w:hint="eastAsia" w:ascii="宋体" w:hAnsi="宋体" w:cs="宋体"/>
        </w:rPr>
        <w:t xml:space="preserve">   政府采购合同融资是河南省财政厅支持中小微企业发展，针对参与政府采购活动的供应商融资难、融资贵问题推出的一项融资政策。贵公司若成为本次政府采购项目的成交供应商，可持政府采购合同向金融机构申请贷款，无需抵押、担保，融资机构将 依据《河南省采购合同融资工作实施方案》（豫财购[2017]10号），按照双方自愿的原则提供便捷、优惠的贷款服务。</w:t>
      </w:r>
    </w:p>
    <w:p>
      <w:pPr>
        <w:spacing w:line="440" w:lineRule="exact"/>
        <w:ind w:firstLine="420"/>
        <w:rPr>
          <w:rFonts w:ascii="宋体" w:hAnsi="宋体" w:cs="宋体"/>
        </w:rPr>
      </w:pPr>
      <w:r>
        <w:rPr>
          <w:rFonts w:hint="eastAsia" w:ascii="宋体" w:hAnsi="宋体" w:cs="宋体"/>
        </w:rPr>
        <w:t>贷款渠道和提供贷款的金融机构，可在河南省政府采购网“河南省政府采购合同融资平台”查询联系。</w:t>
      </w:r>
    </w:p>
    <w:p>
      <w:pPr>
        <w:spacing w:line="440" w:lineRule="exact"/>
        <w:ind w:firstLine="420"/>
        <w:rPr>
          <w:rFonts w:ascii="宋体" w:hAnsi="宋体" w:cs="宋体"/>
        </w:rPr>
      </w:pPr>
    </w:p>
    <w:p>
      <w:pPr>
        <w:pStyle w:val="38"/>
        <w:rPr>
          <w:rFonts w:ascii="宋体" w:hAnsi="宋体" w:cs="宋体"/>
        </w:rPr>
      </w:pPr>
    </w:p>
    <w:p>
      <w:pPr>
        <w:rPr>
          <w:rFonts w:ascii="宋体" w:hAnsi="宋体" w:cs="宋体"/>
        </w:rPr>
      </w:pPr>
    </w:p>
    <w:p>
      <w:pPr>
        <w:pStyle w:val="38"/>
        <w:rPr>
          <w:rFonts w:ascii="宋体" w:hAnsi="宋体" w:cs="宋体"/>
        </w:rPr>
      </w:pPr>
    </w:p>
    <w:p/>
    <w:p>
      <w:pPr>
        <w:rPr>
          <w:rFonts w:ascii="宋体" w:hAnsi="宋体" w:cs="宋体"/>
        </w:rPr>
      </w:pPr>
    </w:p>
    <w:p>
      <w:pPr>
        <w:pStyle w:val="38"/>
        <w:rPr>
          <w:rFonts w:ascii="宋体" w:hAnsi="宋体" w:cs="宋体"/>
        </w:rPr>
      </w:pPr>
    </w:p>
    <w:p>
      <w:pPr>
        <w:rPr>
          <w:rFonts w:ascii="宋体" w:hAnsi="宋体" w:cs="宋体"/>
        </w:rPr>
      </w:pPr>
    </w:p>
    <w:p>
      <w:pPr>
        <w:pStyle w:val="38"/>
        <w:rPr>
          <w:rFonts w:ascii="宋体" w:hAnsi="宋体" w:cs="宋体"/>
        </w:rPr>
      </w:pPr>
    </w:p>
    <w:p>
      <w:pPr>
        <w:rPr>
          <w:rFonts w:ascii="宋体" w:hAnsi="宋体" w:cs="宋体"/>
        </w:rPr>
      </w:pPr>
    </w:p>
    <w:p>
      <w:pPr>
        <w:pStyle w:val="38"/>
        <w:rPr>
          <w:rFonts w:ascii="宋体" w:hAnsi="宋体" w:cs="宋体"/>
        </w:rPr>
      </w:pPr>
    </w:p>
    <w:p/>
    <w:p>
      <w:pPr>
        <w:spacing w:line="440" w:lineRule="exact"/>
        <w:ind w:firstLine="420"/>
        <w:rPr>
          <w:rFonts w:ascii="宋体" w:hAnsi="宋体" w:cs="宋体"/>
        </w:rPr>
      </w:pPr>
    </w:p>
    <w:p>
      <w:pPr>
        <w:spacing w:line="440" w:lineRule="exact"/>
        <w:ind w:firstLine="420"/>
        <w:rPr>
          <w:rFonts w:ascii="宋体" w:hAnsi="宋体" w:cs="宋体"/>
        </w:rPr>
      </w:pPr>
    </w:p>
    <w:p>
      <w:pPr>
        <w:pStyle w:val="36"/>
        <w:numPr>
          <w:ilvl w:val="0"/>
          <w:numId w:val="1"/>
        </w:numPr>
        <w:spacing w:line="360" w:lineRule="auto"/>
        <w:ind w:firstLine="0"/>
        <w:rPr>
          <w:rFonts w:ascii="宋体" w:hAnsi="宋体" w:cs="宋体"/>
        </w:rPr>
      </w:pPr>
      <w:bookmarkStart w:id="63" w:name="_Toc11289"/>
      <w:bookmarkStart w:id="64" w:name="_Toc879"/>
      <w:bookmarkStart w:id="65" w:name="_Toc8874"/>
      <w:bookmarkStart w:id="66" w:name="_Toc477423249"/>
      <w:bookmarkStart w:id="67" w:name="_Toc374512417"/>
      <w:bookmarkStart w:id="68" w:name="_Toc373230030"/>
      <w:r>
        <w:rPr>
          <w:rFonts w:hint="eastAsia" w:ascii="宋体" w:hAnsi="宋体" w:cs="宋体"/>
        </w:rPr>
        <w:t>评审方法</w:t>
      </w:r>
      <w:bookmarkEnd w:id="63"/>
      <w:r>
        <w:rPr>
          <w:rFonts w:hint="eastAsia" w:ascii="宋体" w:hAnsi="宋体" w:cs="宋体"/>
        </w:rPr>
        <w:t>和评审标准</w:t>
      </w:r>
      <w:bookmarkEnd w:id="64"/>
      <w:bookmarkEnd w:id="65"/>
    </w:p>
    <w:p>
      <w:pPr>
        <w:spacing w:line="440" w:lineRule="exact"/>
        <w:ind w:left="284"/>
        <w:rPr>
          <w:rFonts w:ascii="宋体" w:hAnsi="宋体" w:cs="宋体"/>
          <w:b/>
          <w:bCs/>
          <w:szCs w:val="21"/>
        </w:rPr>
      </w:pPr>
      <w:r>
        <w:rPr>
          <w:rFonts w:hint="eastAsia" w:ascii="宋体" w:hAnsi="宋体" w:cs="宋体"/>
          <w:b/>
          <w:bCs/>
          <w:szCs w:val="21"/>
        </w:rPr>
        <w:t>一、评审方法</w:t>
      </w:r>
    </w:p>
    <w:p>
      <w:pPr>
        <w:spacing w:line="440" w:lineRule="exact"/>
        <w:ind w:firstLine="420" w:firstLineChars="200"/>
        <w:rPr>
          <w:rFonts w:ascii="宋体" w:hAnsi="宋体" w:cs="宋体"/>
          <w:szCs w:val="21"/>
        </w:rPr>
      </w:pPr>
      <w:r>
        <w:rPr>
          <w:rFonts w:hint="eastAsia" w:ascii="宋体" w:hAnsi="宋体" w:cs="宋体"/>
          <w:szCs w:val="21"/>
        </w:rPr>
        <w:t>（1）磋商小组将按照磋商文件的规定，只对通过初步评审的响应文件和提交最后报价的供应商，由磋商小组采用综合评分法对提交最后报价的供应商的响应文件和最后报价进行综合评分。</w:t>
      </w:r>
    </w:p>
    <w:p>
      <w:pPr>
        <w:spacing w:line="440" w:lineRule="exact"/>
        <w:ind w:firstLine="420" w:firstLineChars="200"/>
        <w:rPr>
          <w:rFonts w:ascii="宋体" w:hAnsi="宋体" w:cs="宋体"/>
          <w:szCs w:val="21"/>
        </w:rPr>
      </w:pPr>
      <w:r>
        <w:rPr>
          <w:rFonts w:hint="eastAsia" w:ascii="宋体" w:hAnsi="宋体" w:cs="宋体"/>
          <w:szCs w:val="21"/>
        </w:rPr>
        <w:t>（2）综合评分法，是指响应文件满足磋商文件全部实质性要求且按评审因素的量化指标评审得分最高的供应商为成交候选供应商的评审方法。</w:t>
      </w:r>
    </w:p>
    <w:p>
      <w:pPr>
        <w:spacing w:line="440" w:lineRule="exact"/>
        <w:ind w:firstLine="420" w:firstLineChars="200"/>
        <w:rPr>
          <w:rFonts w:ascii="宋体" w:hAnsi="宋体" w:cs="宋体"/>
          <w:szCs w:val="21"/>
        </w:rPr>
      </w:pPr>
      <w:r>
        <w:rPr>
          <w:rFonts w:hint="eastAsia" w:ascii="宋体" w:hAnsi="宋体" w:cs="宋体"/>
          <w:szCs w:val="21"/>
        </w:rPr>
        <w:t>（3）评审时，磋商小组各成员应当独立对每个有效响应的文件进行评价、打分，然后汇总每个供应商每项评分因素的得分。</w:t>
      </w:r>
    </w:p>
    <w:p>
      <w:pPr>
        <w:spacing w:line="440" w:lineRule="exact"/>
        <w:ind w:left="284"/>
        <w:rPr>
          <w:rFonts w:ascii="宋体" w:hAnsi="宋体" w:cs="宋体"/>
          <w:b/>
          <w:bCs/>
          <w:szCs w:val="21"/>
        </w:rPr>
      </w:pPr>
      <w:r>
        <w:rPr>
          <w:rFonts w:hint="eastAsia" w:ascii="宋体" w:hAnsi="宋体" w:cs="宋体"/>
          <w:b/>
          <w:bCs/>
          <w:szCs w:val="21"/>
        </w:rPr>
        <w:t>二、评审标准（评分因素共计100分）</w:t>
      </w:r>
    </w:p>
    <w:bookmarkEnd w:id="66"/>
    <w:bookmarkEnd w:id="67"/>
    <w:bookmarkEnd w:id="68"/>
    <w:tbl>
      <w:tblPr>
        <w:tblStyle w:val="39"/>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0"/>
        <w:gridCol w:w="1087"/>
        <w:gridCol w:w="1189"/>
        <w:gridCol w:w="61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850" w:type="dxa"/>
            <w:tcBorders>
              <w:top w:val="single" w:color="auto" w:sz="4" w:space="0"/>
            </w:tcBorders>
            <w:shd w:val="solid" w:color="FFFFFF" w:fill="auto"/>
            <w:tcMar>
              <w:top w:w="0" w:type="dxa"/>
              <w:left w:w="108" w:type="dxa"/>
              <w:bottom w:w="0" w:type="dxa"/>
              <w:right w:w="108" w:type="dxa"/>
            </w:tcMar>
            <w:vAlign w:val="center"/>
          </w:tcPr>
          <w:p>
            <w:pPr>
              <w:pStyle w:val="28"/>
              <w:widowControl/>
              <w:kinsoku w:val="0"/>
              <w:autoSpaceDE w:val="0"/>
              <w:autoSpaceDN w:val="0"/>
              <w:adjustRightInd w:val="0"/>
              <w:spacing w:line="360" w:lineRule="auto"/>
              <w:jc w:val="center"/>
              <w:textAlignment w:val="baseline"/>
              <w:rPr>
                <w:rFonts w:asciiTheme="minorEastAsia" w:hAnsiTheme="minorEastAsia" w:eastAsiaTheme="minorEastAsia" w:cstheme="minorEastAsia"/>
                <w:color w:val="auto"/>
                <w:sz w:val="21"/>
                <w:szCs w:val="21"/>
              </w:rPr>
            </w:pPr>
            <w:bookmarkStart w:id="69" w:name="_Toc14171"/>
            <w:bookmarkStart w:id="70" w:name="_Toc487805909"/>
            <w:r>
              <w:rPr>
                <w:rFonts w:hint="eastAsia" w:asciiTheme="minorEastAsia" w:hAnsiTheme="minorEastAsia" w:eastAsiaTheme="minorEastAsia" w:cstheme="minorEastAsia"/>
                <w:color w:val="auto"/>
                <w:spacing w:val="8"/>
                <w:sz w:val="21"/>
                <w:szCs w:val="21"/>
              </w:rPr>
              <w:t>分值构</w:t>
            </w:r>
            <w:r>
              <w:rPr>
                <w:rFonts w:hint="eastAsia" w:asciiTheme="minorEastAsia" w:hAnsiTheme="minorEastAsia" w:eastAsiaTheme="minorEastAsia" w:cstheme="minorEastAsia"/>
                <w:color w:val="auto"/>
                <w:spacing w:val="7"/>
                <w:sz w:val="21"/>
                <w:szCs w:val="21"/>
              </w:rPr>
              <w:t>成</w:t>
            </w:r>
          </w:p>
        </w:tc>
        <w:tc>
          <w:tcPr>
            <w:tcW w:w="8412" w:type="dxa"/>
            <w:gridSpan w:val="3"/>
            <w:tcBorders>
              <w:top w:val="single" w:color="auto" w:sz="4" w:space="0"/>
            </w:tcBorders>
            <w:shd w:val="solid" w:color="FFFFFF" w:fill="auto"/>
            <w:tcMar>
              <w:top w:w="0" w:type="dxa"/>
              <w:left w:w="108" w:type="dxa"/>
              <w:bottom w:w="0" w:type="dxa"/>
              <w:right w:w="108" w:type="dxa"/>
            </w:tcMar>
          </w:tcPr>
          <w:p>
            <w:pPr>
              <w:widowControl/>
              <w:kinsoku w:val="0"/>
              <w:autoSpaceDE w:val="0"/>
              <w:autoSpaceDN w:val="0"/>
              <w:adjustRightInd w:val="0"/>
              <w:snapToGrid w:val="0"/>
              <w:spacing w:line="360" w:lineRule="auto"/>
              <w:jc w:val="center"/>
              <w:textAlignment w:val="baseline"/>
              <w:rPr>
                <w:rFonts w:asciiTheme="minorEastAsia" w:hAnsiTheme="minorEastAsia" w:eastAsiaTheme="minorEastAsia" w:cstheme="minorEastAsia"/>
                <w:snapToGrid w:val="0"/>
                <w:color w:val="auto"/>
                <w:kern w:val="0"/>
                <w:szCs w:val="21"/>
              </w:rPr>
            </w:pPr>
            <w:r>
              <w:rPr>
                <w:rFonts w:hint="eastAsia" w:asciiTheme="minorEastAsia" w:hAnsiTheme="minorEastAsia" w:eastAsiaTheme="minorEastAsia" w:cstheme="minorEastAsia"/>
                <w:snapToGrid w:val="0"/>
                <w:color w:val="auto"/>
                <w:spacing w:val="4"/>
                <w:kern w:val="0"/>
                <w:szCs w:val="21"/>
              </w:rPr>
              <w:t>报</w:t>
            </w:r>
            <w:r>
              <w:rPr>
                <w:rFonts w:hint="eastAsia" w:asciiTheme="minorEastAsia" w:hAnsiTheme="minorEastAsia" w:eastAsiaTheme="minorEastAsia" w:cstheme="minorEastAsia"/>
                <w:snapToGrid w:val="0"/>
                <w:color w:val="auto"/>
                <w:spacing w:val="3"/>
                <w:kern w:val="0"/>
                <w:szCs w:val="21"/>
              </w:rPr>
              <w:t>价</w:t>
            </w:r>
            <w:r>
              <w:rPr>
                <w:rFonts w:hint="eastAsia" w:asciiTheme="minorEastAsia" w:hAnsiTheme="minorEastAsia" w:eastAsiaTheme="minorEastAsia" w:cstheme="minorEastAsia"/>
                <w:snapToGrid w:val="0"/>
                <w:color w:val="auto"/>
                <w:spacing w:val="2"/>
                <w:kern w:val="0"/>
                <w:szCs w:val="21"/>
              </w:rPr>
              <w:t>部分：10分</w:t>
            </w:r>
          </w:p>
          <w:p>
            <w:pPr>
              <w:widowControl/>
              <w:kinsoku w:val="0"/>
              <w:autoSpaceDE w:val="0"/>
              <w:autoSpaceDN w:val="0"/>
              <w:adjustRightInd w:val="0"/>
              <w:snapToGrid w:val="0"/>
              <w:spacing w:line="360" w:lineRule="auto"/>
              <w:jc w:val="center"/>
              <w:textAlignment w:val="baseline"/>
              <w:rPr>
                <w:rFonts w:asciiTheme="minorEastAsia" w:hAnsiTheme="minorEastAsia" w:eastAsiaTheme="minorEastAsia" w:cstheme="minorEastAsia"/>
                <w:color w:val="auto"/>
                <w:spacing w:val="1"/>
                <w:szCs w:val="21"/>
              </w:rPr>
            </w:pPr>
            <w:r>
              <w:rPr>
                <w:rFonts w:hint="eastAsia" w:asciiTheme="minorEastAsia" w:hAnsiTheme="minorEastAsia" w:eastAsiaTheme="minorEastAsia" w:cstheme="minorEastAsia"/>
                <w:color w:val="auto"/>
                <w:spacing w:val="2"/>
                <w:szCs w:val="21"/>
              </w:rPr>
              <w:t>商务部分：</w:t>
            </w:r>
            <w:r>
              <w:rPr>
                <w:rFonts w:hint="eastAsia" w:asciiTheme="minorEastAsia" w:hAnsiTheme="minorEastAsia" w:eastAsiaTheme="minorEastAsia" w:cstheme="minorEastAsia"/>
                <w:color w:val="auto"/>
                <w:kern w:val="0"/>
                <w:szCs w:val="21"/>
              </w:rPr>
              <w:t>3</w:t>
            </w:r>
            <w:r>
              <w:rPr>
                <w:rFonts w:hint="eastAsia" w:asciiTheme="minorEastAsia" w:hAnsiTheme="minorEastAsia" w:eastAsiaTheme="minorEastAsia" w:cstheme="minorEastAsia"/>
                <w:color w:val="auto"/>
                <w:kern w:val="0"/>
                <w:szCs w:val="21"/>
                <w:lang w:val="en-US" w:eastAsia="zh-CN"/>
              </w:rPr>
              <w:t>8</w:t>
            </w:r>
            <w:r>
              <w:rPr>
                <w:rFonts w:hint="eastAsia" w:asciiTheme="minorEastAsia" w:hAnsiTheme="minorEastAsia" w:eastAsiaTheme="minorEastAsia" w:cstheme="minorEastAsia"/>
                <w:color w:val="auto"/>
                <w:kern w:val="0"/>
                <w:szCs w:val="21"/>
              </w:rPr>
              <w:t>分</w:t>
            </w:r>
          </w:p>
          <w:p>
            <w:pPr>
              <w:widowControl/>
              <w:kinsoku w:val="0"/>
              <w:autoSpaceDE w:val="0"/>
              <w:autoSpaceDN w:val="0"/>
              <w:adjustRightInd w:val="0"/>
              <w:snapToGrid w:val="0"/>
              <w:spacing w:line="360" w:lineRule="auto"/>
              <w:jc w:val="center"/>
              <w:textAlignment w:val="baseline"/>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snapToGrid w:val="0"/>
                <w:color w:val="auto"/>
                <w:spacing w:val="3"/>
                <w:kern w:val="0"/>
                <w:szCs w:val="21"/>
              </w:rPr>
              <w:t>技</w:t>
            </w:r>
            <w:r>
              <w:rPr>
                <w:rFonts w:hint="eastAsia" w:asciiTheme="minorEastAsia" w:hAnsiTheme="minorEastAsia" w:eastAsiaTheme="minorEastAsia" w:cstheme="minorEastAsia"/>
                <w:snapToGrid w:val="0"/>
                <w:color w:val="auto"/>
                <w:spacing w:val="2"/>
                <w:kern w:val="0"/>
                <w:szCs w:val="21"/>
              </w:rPr>
              <w:t>术部分：</w:t>
            </w:r>
            <w:r>
              <w:rPr>
                <w:rFonts w:hint="eastAsia" w:asciiTheme="minorEastAsia" w:hAnsiTheme="minorEastAsia" w:eastAsiaTheme="minorEastAsia" w:cstheme="minorEastAsia"/>
                <w:color w:val="auto"/>
                <w:kern w:val="0"/>
                <w:szCs w:val="21"/>
              </w:rPr>
              <w:t>5</w:t>
            </w:r>
            <w:r>
              <w:rPr>
                <w:rFonts w:hint="eastAsia" w:asciiTheme="minorEastAsia" w:hAnsiTheme="minorEastAsia" w:eastAsiaTheme="minorEastAsia" w:cstheme="minorEastAsia"/>
                <w:color w:val="auto"/>
                <w:kern w:val="0"/>
                <w:szCs w:val="21"/>
                <w:lang w:val="en-US" w:eastAsia="zh-CN"/>
              </w:rPr>
              <w:t>2</w:t>
            </w:r>
            <w:r>
              <w:rPr>
                <w:rFonts w:hint="eastAsia" w:asciiTheme="minorEastAsia" w:hAnsiTheme="minorEastAsia" w:eastAsiaTheme="minorEastAsia" w:cstheme="minorEastAsia"/>
                <w:color w:val="auto"/>
                <w:kern w:val="0"/>
                <w:szCs w:val="21"/>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850" w:type="dxa"/>
            <w:tcBorders>
              <w:top w:val="single" w:color="auto" w:sz="4" w:space="0"/>
            </w:tcBorders>
            <w:shd w:val="solid" w:color="FFFFFF" w:fill="auto"/>
            <w:tcMar>
              <w:top w:w="0" w:type="dxa"/>
              <w:left w:w="108" w:type="dxa"/>
              <w:bottom w:w="0" w:type="dxa"/>
              <w:right w:w="108" w:type="dxa"/>
            </w:tcMar>
            <w:vAlign w:val="center"/>
          </w:tcPr>
          <w:p>
            <w:pPr>
              <w:spacing w:line="400" w:lineRule="exact"/>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条款号</w:t>
            </w:r>
          </w:p>
        </w:tc>
        <w:tc>
          <w:tcPr>
            <w:tcW w:w="1087" w:type="dxa"/>
            <w:tcBorders>
              <w:top w:val="single" w:color="auto" w:sz="4" w:space="0"/>
              <w:right w:val="single" w:color="auto" w:sz="4" w:space="0"/>
            </w:tcBorders>
            <w:shd w:val="solid" w:color="FFFFFF" w:fill="auto"/>
            <w:tcMar>
              <w:top w:w="0" w:type="dxa"/>
              <w:left w:w="108" w:type="dxa"/>
              <w:bottom w:w="0" w:type="dxa"/>
              <w:right w:w="108" w:type="dxa"/>
            </w:tcMar>
            <w:vAlign w:val="center"/>
          </w:tcPr>
          <w:p>
            <w:pPr>
              <w:spacing w:line="400" w:lineRule="exact"/>
              <w:jc w:val="center"/>
              <w:rPr>
                <w:rFonts w:asciiTheme="minorEastAsia" w:hAnsiTheme="minorEastAsia" w:eastAsiaTheme="minorEastAsia" w:cstheme="minorEastAsia"/>
                <w:b/>
                <w:bCs/>
                <w:color w:val="auto"/>
                <w:spacing w:val="1"/>
                <w:szCs w:val="21"/>
              </w:rPr>
            </w:pPr>
            <w:r>
              <w:rPr>
                <w:rFonts w:hint="eastAsia" w:asciiTheme="minorEastAsia" w:hAnsiTheme="minorEastAsia" w:eastAsiaTheme="minorEastAsia" w:cstheme="minorEastAsia"/>
                <w:b/>
                <w:bCs/>
                <w:color w:val="auto"/>
                <w:spacing w:val="1"/>
                <w:szCs w:val="21"/>
              </w:rPr>
              <w:t>评分因素</w:t>
            </w:r>
            <w:r>
              <w:rPr>
                <w:rFonts w:hint="eastAsia" w:asciiTheme="minorEastAsia" w:hAnsiTheme="minorEastAsia" w:eastAsiaTheme="minorEastAsia" w:cstheme="minorEastAsia"/>
                <w:b/>
                <w:bCs/>
                <w:color w:val="auto"/>
                <w:szCs w:val="21"/>
              </w:rPr>
              <w:t xml:space="preserve">                     </w:t>
            </w:r>
          </w:p>
        </w:tc>
        <w:tc>
          <w:tcPr>
            <w:tcW w:w="7325" w:type="dxa"/>
            <w:gridSpan w:val="2"/>
            <w:tcBorders>
              <w:top w:val="single" w:color="auto" w:sz="4" w:space="0"/>
            </w:tcBorders>
            <w:shd w:val="solid" w:color="FFFFFF" w:fill="auto"/>
            <w:tcMar>
              <w:top w:w="0" w:type="dxa"/>
              <w:left w:w="108" w:type="dxa"/>
              <w:bottom w:w="0" w:type="dxa"/>
              <w:right w:w="108" w:type="dxa"/>
            </w:tcMar>
            <w:vAlign w:val="center"/>
          </w:tcPr>
          <w:p>
            <w:pPr>
              <w:spacing w:line="400" w:lineRule="exact"/>
              <w:ind w:firstLine="422" w:firstLineChars="200"/>
              <w:jc w:val="center"/>
              <w:rPr>
                <w:rFonts w:asciiTheme="minorEastAsia" w:hAnsiTheme="minorEastAsia" w:eastAsiaTheme="minorEastAsia" w:cstheme="minorEastAsia"/>
                <w:b/>
                <w:bCs/>
                <w:color w:val="auto"/>
                <w:szCs w:val="21"/>
              </w:rPr>
            </w:pPr>
          </w:p>
          <w:p>
            <w:pPr>
              <w:spacing w:line="400" w:lineRule="exact"/>
              <w:ind w:firstLine="422" w:firstLineChars="200"/>
              <w:jc w:val="center"/>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评分标准</w:t>
            </w:r>
          </w:p>
          <w:p>
            <w:pPr>
              <w:spacing w:line="400" w:lineRule="exact"/>
              <w:jc w:val="center"/>
              <w:rPr>
                <w:rFonts w:asciiTheme="minorEastAsia" w:hAnsiTheme="minorEastAsia" w:eastAsiaTheme="minorEastAsia" w:cstheme="minorEastAsia"/>
                <w:b/>
                <w:bCs/>
                <w:color w:val="auto"/>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50" w:type="dxa"/>
            <w:tcBorders>
              <w:left w:val="single" w:color="auto" w:sz="4" w:space="0"/>
              <w:right w:val="single" w:color="auto" w:sz="4" w:space="0"/>
            </w:tcBorders>
            <w:shd w:val="solid" w:color="FFFFFF" w:fill="auto"/>
            <w:tcMar>
              <w:top w:w="0" w:type="dxa"/>
              <w:left w:w="108" w:type="dxa"/>
              <w:bottom w:w="0" w:type="dxa"/>
              <w:right w:w="108" w:type="dxa"/>
            </w:tcMar>
            <w:vAlign w:val="center"/>
          </w:tcPr>
          <w:p>
            <w:pPr>
              <w:spacing w:line="40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1</w:t>
            </w:r>
          </w:p>
        </w:tc>
        <w:tc>
          <w:tcPr>
            <w:tcW w:w="1087" w:type="dxa"/>
            <w:tcBorders>
              <w:left w:val="single" w:color="auto" w:sz="4" w:space="0"/>
            </w:tcBorders>
            <w:shd w:val="solid" w:color="FFFFFF" w:fill="auto"/>
            <w:tcMar>
              <w:top w:w="0" w:type="dxa"/>
              <w:left w:w="108" w:type="dxa"/>
              <w:bottom w:w="0" w:type="dxa"/>
              <w:right w:w="108" w:type="dxa"/>
            </w:tcMar>
            <w:vAlign w:val="center"/>
          </w:tcPr>
          <w:p>
            <w:pPr>
              <w:pStyle w:val="87"/>
              <w:spacing w:line="360" w:lineRule="auto"/>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投标报价（10分）</w:t>
            </w:r>
          </w:p>
        </w:tc>
        <w:tc>
          <w:tcPr>
            <w:tcW w:w="7325" w:type="dxa"/>
            <w:gridSpan w:val="2"/>
            <w:tcBorders>
              <w:left w:val="single" w:color="auto" w:sz="4" w:space="0"/>
            </w:tcBorders>
            <w:shd w:val="solid" w:color="FFFFFF" w:fill="auto"/>
            <w:tcMar>
              <w:top w:w="0" w:type="dxa"/>
              <w:left w:w="108" w:type="dxa"/>
              <w:bottom w:w="0" w:type="dxa"/>
              <w:right w:w="108" w:type="dxa"/>
            </w:tcMar>
          </w:tcPr>
          <w:p>
            <w:pPr>
              <w:spacing w:line="500" w:lineRule="exact"/>
              <w:ind w:firstLine="420" w:firstLineChars="200"/>
              <w:rPr>
                <w:rFonts w:asciiTheme="minorEastAsia" w:hAnsiTheme="minorEastAsia" w:eastAsiaTheme="minorEastAsia" w:cstheme="minorEastAsia"/>
                <w:color w:val="auto"/>
                <w:szCs w:val="21"/>
                <w:shd w:val="clear" w:color="auto" w:fill="FFFFFF"/>
              </w:rPr>
            </w:pPr>
            <w:r>
              <w:rPr>
                <w:rFonts w:hint="eastAsia" w:asciiTheme="minorEastAsia" w:hAnsiTheme="minorEastAsia" w:eastAsiaTheme="minorEastAsia" w:cstheme="minorEastAsia"/>
                <w:color w:val="auto"/>
                <w:szCs w:val="21"/>
                <w:shd w:val="clear" w:color="auto" w:fill="FFFFFF"/>
              </w:rPr>
              <w:t>满足磋商文件要求且最后报价最低的供应商的价格为磋商基准价，其价格分为满分。其他供应商的价格分统一按照下列公式计算：</w:t>
            </w:r>
          </w:p>
          <w:p>
            <w:pPr>
              <w:pStyle w:val="87"/>
              <w:spacing w:line="360" w:lineRule="auto"/>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磋商报价得分=（磋商基准价/最后磋商报价）×价格权值×100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385" w:hRule="atLeast"/>
          <w:jc w:val="center"/>
        </w:trPr>
        <w:tc>
          <w:tcPr>
            <w:tcW w:w="850" w:type="dxa"/>
            <w:vMerge w:val="restart"/>
            <w:tcBorders>
              <w:right w:val="single" w:color="auto" w:sz="4" w:space="0"/>
            </w:tcBorders>
            <w:shd w:val="solid" w:color="FFFFFF" w:fill="auto"/>
            <w:tcMar>
              <w:top w:w="0" w:type="dxa"/>
              <w:left w:w="108" w:type="dxa"/>
              <w:bottom w:w="0" w:type="dxa"/>
              <w:right w:w="108" w:type="dxa"/>
            </w:tcMar>
            <w:vAlign w:val="center"/>
          </w:tcPr>
          <w:p>
            <w:pPr>
              <w:spacing w:line="40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2</w:t>
            </w:r>
          </w:p>
        </w:tc>
        <w:tc>
          <w:tcPr>
            <w:tcW w:w="1087" w:type="dxa"/>
            <w:vMerge w:val="restart"/>
            <w:tcBorders>
              <w:left w:val="single" w:color="auto" w:sz="4" w:space="0"/>
            </w:tcBorders>
            <w:shd w:val="solid" w:color="FFFFFF" w:fill="auto"/>
            <w:tcMar>
              <w:top w:w="0" w:type="dxa"/>
              <w:left w:w="108" w:type="dxa"/>
              <w:bottom w:w="0" w:type="dxa"/>
              <w:right w:w="108" w:type="dxa"/>
            </w:tcMar>
            <w:vAlign w:val="center"/>
          </w:tcPr>
          <w:p>
            <w:pPr>
              <w:spacing w:line="40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商务</w:t>
            </w:r>
            <w:r>
              <w:rPr>
                <w:rFonts w:hint="eastAsia" w:asciiTheme="minorEastAsia" w:hAnsiTheme="minorEastAsia" w:eastAsiaTheme="minorEastAsia" w:cstheme="minorEastAsia"/>
                <w:color w:val="auto"/>
                <w:kern w:val="0"/>
                <w:szCs w:val="21"/>
              </w:rPr>
              <w:t>部分（3</w:t>
            </w:r>
            <w:r>
              <w:rPr>
                <w:rFonts w:hint="eastAsia" w:asciiTheme="minorEastAsia" w:hAnsiTheme="minorEastAsia" w:eastAsiaTheme="minorEastAsia" w:cstheme="minorEastAsia"/>
                <w:color w:val="auto"/>
                <w:kern w:val="0"/>
                <w:szCs w:val="21"/>
                <w:lang w:val="en-US" w:eastAsia="zh-CN"/>
              </w:rPr>
              <w:t>8</w:t>
            </w:r>
            <w:r>
              <w:rPr>
                <w:rFonts w:hint="eastAsia" w:asciiTheme="minorEastAsia" w:hAnsiTheme="minorEastAsia" w:eastAsiaTheme="minorEastAsia" w:cstheme="minorEastAsia"/>
                <w:color w:val="auto"/>
                <w:kern w:val="0"/>
                <w:szCs w:val="21"/>
              </w:rPr>
              <w:t>分）</w:t>
            </w:r>
          </w:p>
        </w:tc>
        <w:tc>
          <w:tcPr>
            <w:tcW w:w="1189" w:type="dxa"/>
            <w:tcBorders>
              <w:left w:val="single" w:color="auto" w:sz="4" w:space="0"/>
              <w:bottom w:val="single" w:color="auto" w:sz="4" w:space="0"/>
              <w:right w:val="single" w:color="auto" w:sz="4" w:space="0"/>
            </w:tcBorders>
            <w:shd w:val="solid" w:color="FFFFFF" w:fill="auto"/>
            <w:tcMar>
              <w:top w:w="0" w:type="dxa"/>
              <w:left w:w="108" w:type="dxa"/>
              <w:bottom w:w="0" w:type="dxa"/>
              <w:right w:w="108" w:type="dxa"/>
            </w:tcMar>
            <w:vAlign w:val="center"/>
          </w:tcPr>
          <w:p>
            <w:pPr>
              <w:widowControl/>
              <w:snapToGrid w:val="0"/>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企业业绩</w:t>
            </w:r>
          </w:p>
          <w:p>
            <w:pPr>
              <w:widowControl/>
              <w:snapToGrid w:val="0"/>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（9分）</w:t>
            </w:r>
          </w:p>
          <w:p>
            <w:pPr>
              <w:widowControl/>
              <w:snapToGrid w:val="0"/>
              <w:jc w:val="center"/>
              <w:textAlignment w:val="center"/>
              <w:rPr>
                <w:rFonts w:asciiTheme="minorEastAsia" w:hAnsiTheme="minorEastAsia" w:eastAsiaTheme="minorEastAsia" w:cstheme="minorEastAsia"/>
                <w:color w:val="auto"/>
                <w:szCs w:val="21"/>
              </w:rPr>
            </w:pPr>
          </w:p>
        </w:tc>
        <w:tc>
          <w:tcPr>
            <w:tcW w:w="6136" w:type="dxa"/>
            <w:tcBorders>
              <w:left w:val="single" w:color="auto" w:sz="4" w:space="0"/>
              <w:bottom w:val="single" w:color="auto" w:sz="4" w:space="0"/>
              <w:right w:val="single" w:color="auto" w:sz="4" w:space="0"/>
            </w:tcBorders>
            <w:shd w:val="solid" w:color="FFFFFF" w:fill="auto"/>
            <w:tcMar>
              <w:top w:w="0" w:type="dxa"/>
              <w:left w:w="108" w:type="dxa"/>
              <w:bottom w:w="0" w:type="dxa"/>
              <w:right w:w="108" w:type="dxa"/>
            </w:tcMar>
            <w:vAlign w:val="center"/>
          </w:tcPr>
          <w:p>
            <w:pPr>
              <w:widowControl/>
              <w:snapToGrid w:val="0"/>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供应商自2020年1月1日至今完成过类似项目业绩，每有1项得3分，最高得9分。</w:t>
            </w:r>
          </w:p>
          <w:p>
            <w:pPr>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kern w:val="0"/>
                <w:szCs w:val="21"/>
              </w:rPr>
              <w:t>（响应文件中提供中标通知书、合同、验收报告复印件或扫描件加盖供应商公章，</w:t>
            </w:r>
            <w:r>
              <w:rPr>
                <w:rFonts w:hint="eastAsia" w:asciiTheme="minorEastAsia" w:hAnsiTheme="minorEastAsia" w:eastAsiaTheme="minorEastAsia" w:cstheme="minorEastAsia"/>
                <w:b/>
                <w:bCs/>
                <w:color w:val="auto"/>
                <w:szCs w:val="21"/>
              </w:rPr>
              <w:t>未提供者或提供不全的不得分</w:t>
            </w:r>
            <w:r>
              <w:rPr>
                <w:rFonts w:hint="eastAsia" w:asciiTheme="minorEastAsia" w:hAnsiTheme="minorEastAsia" w:eastAsiaTheme="minorEastAsia" w:cstheme="minorEastAsia"/>
                <w:b/>
                <w:bCs/>
                <w:color w:val="auto"/>
                <w:kern w:val="0"/>
                <w:szCs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866" w:hRule="atLeast"/>
          <w:jc w:val="center"/>
        </w:trPr>
        <w:tc>
          <w:tcPr>
            <w:tcW w:w="850" w:type="dxa"/>
            <w:vMerge w:val="continue"/>
            <w:tcBorders>
              <w:right w:val="single" w:color="auto" w:sz="4" w:space="0"/>
            </w:tcBorders>
            <w:shd w:val="solid" w:color="FFFFFF" w:fill="auto"/>
            <w:tcMar>
              <w:top w:w="0" w:type="dxa"/>
              <w:left w:w="108" w:type="dxa"/>
              <w:bottom w:w="0" w:type="dxa"/>
              <w:right w:w="108" w:type="dxa"/>
            </w:tcMar>
            <w:vAlign w:val="center"/>
          </w:tcPr>
          <w:p>
            <w:pPr>
              <w:spacing w:line="400" w:lineRule="exact"/>
              <w:rPr>
                <w:rFonts w:asciiTheme="minorEastAsia" w:hAnsiTheme="minorEastAsia" w:eastAsiaTheme="minorEastAsia" w:cstheme="minorEastAsia"/>
                <w:color w:val="auto"/>
                <w:szCs w:val="21"/>
              </w:rPr>
            </w:pPr>
          </w:p>
        </w:tc>
        <w:tc>
          <w:tcPr>
            <w:tcW w:w="1087" w:type="dxa"/>
            <w:vMerge w:val="continue"/>
            <w:tcBorders>
              <w:left w:val="single" w:color="auto" w:sz="4" w:space="0"/>
            </w:tcBorders>
            <w:shd w:val="solid" w:color="FFFFFF" w:fill="auto"/>
            <w:tcMar>
              <w:top w:w="0" w:type="dxa"/>
              <w:left w:w="108" w:type="dxa"/>
              <w:bottom w:w="0" w:type="dxa"/>
              <w:right w:w="108" w:type="dxa"/>
            </w:tcMar>
            <w:vAlign w:val="center"/>
          </w:tcPr>
          <w:p>
            <w:pPr>
              <w:spacing w:line="400" w:lineRule="exact"/>
              <w:jc w:val="center"/>
              <w:rPr>
                <w:rFonts w:asciiTheme="minorEastAsia" w:hAnsiTheme="minorEastAsia" w:eastAsiaTheme="minorEastAsia" w:cstheme="minorEastAsia"/>
                <w:color w:val="auto"/>
                <w:szCs w:val="21"/>
              </w:rPr>
            </w:pPr>
          </w:p>
        </w:tc>
        <w:tc>
          <w:tcPr>
            <w:tcW w:w="1189" w:type="dxa"/>
            <w:tcBorders>
              <w:top w:val="single" w:color="auto" w:sz="4" w:space="0"/>
              <w:left w:val="single" w:color="auto" w:sz="4" w:space="0"/>
              <w:bottom w:val="single" w:color="auto" w:sz="4" w:space="0"/>
              <w:right w:val="single" w:color="auto" w:sz="4" w:space="0"/>
            </w:tcBorders>
            <w:shd w:val="solid" w:color="FFFFFF" w:fill="auto"/>
            <w:tcMar>
              <w:top w:w="0" w:type="dxa"/>
              <w:left w:w="108" w:type="dxa"/>
              <w:bottom w:w="0" w:type="dxa"/>
              <w:right w:w="108" w:type="dxa"/>
            </w:tcMar>
            <w:vAlign w:val="center"/>
          </w:tcPr>
          <w:p>
            <w:pPr>
              <w:widowControl/>
              <w:snapToGrid w:val="0"/>
              <w:jc w:val="center"/>
              <w:textAlignment w:val="center"/>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项目负责人业绩</w:t>
            </w:r>
          </w:p>
          <w:p>
            <w:pPr>
              <w:widowControl/>
              <w:snapToGrid w:val="0"/>
              <w:jc w:val="center"/>
              <w:textAlignment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bCs/>
                <w:color w:val="auto"/>
                <w:szCs w:val="21"/>
              </w:rPr>
              <w:t>（9分）</w:t>
            </w:r>
          </w:p>
        </w:tc>
        <w:tc>
          <w:tcPr>
            <w:tcW w:w="6136" w:type="dxa"/>
            <w:tcBorders>
              <w:top w:val="single" w:color="auto" w:sz="4" w:space="0"/>
              <w:left w:val="single" w:color="auto" w:sz="4" w:space="0"/>
              <w:bottom w:val="single" w:color="auto" w:sz="4" w:space="0"/>
              <w:right w:val="single" w:color="auto" w:sz="4" w:space="0"/>
            </w:tcBorders>
            <w:shd w:val="solid" w:color="FFFFFF" w:fill="auto"/>
            <w:tcMar>
              <w:top w:w="0" w:type="dxa"/>
              <w:left w:w="108" w:type="dxa"/>
              <w:bottom w:w="0" w:type="dxa"/>
              <w:right w:w="108" w:type="dxa"/>
            </w:tcMar>
            <w:vAlign w:val="center"/>
          </w:tcPr>
          <w:p>
            <w:pPr>
              <w:widowControl/>
              <w:snapToGrid w:val="0"/>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Cs/>
                <w:color w:val="auto"/>
                <w:szCs w:val="21"/>
              </w:rPr>
              <w:t>拟派项目负责人</w:t>
            </w:r>
            <w:r>
              <w:rPr>
                <w:rFonts w:hint="eastAsia" w:asciiTheme="minorEastAsia" w:hAnsiTheme="minorEastAsia" w:eastAsiaTheme="minorEastAsia" w:cstheme="minorEastAsia"/>
                <w:color w:val="auto"/>
                <w:kern w:val="0"/>
                <w:szCs w:val="21"/>
              </w:rPr>
              <w:t>自2020年1月1日至今完成过类似项目业绩，每有1项得3分，最高得9分。</w:t>
            </w:r>
          </w:p>
          <w:p>
            <w:pPr>
              <w:pStyle w:val="38"/>
              <w:rPr>
                <w:rFonts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zCs w:val="21"/>
              </w:rPr>
              <w:t>（响应文件中提供中标通知书、合同、验收报告复印件或扫描件以及该业绩招标人（采购人）出具的关于项目负责人的相关证明材料加盖供应商公章，未提供者或提供不全的不得分）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806" w:hRule="atLeast"/>
          <w:jc w:val="center"/>
        </w:trPr>
        <w:tc>
          <w:tcPr>
            <w:tcW w:w="850" w:type="dxa"/>
            <w:vMerge w:val="continue"/>
            <w:tcBorders>
              <w:right w:val="single" w:color="auto" w:sz="4" w:space="0"/>
            </w:tcBorders>
            <w:shd w:val="solid" w:color="FFFFFF" w:fill="auto"/>
            <w:tcMar>
              <w:top w:w="0" w:type="dxa"/>
              <w:left w:w="108" w:type="dxa"/>
              <w:bottom w:w="0" w:type="dxa"/>
              <w:right w:w="108" w:type="dxa"/>
            </w:tcMar>
            <w:vAlign w:val="center"/>
          </w:tcPr>
          <w:p>
            <w:pPr>
              <w:spacing w:line="400" w:lineRule="exact"/>
              <w:rPr>
                <w:rFonts w:asciiTheme="minorEastAsia" w:hAnsiTheme="minorEastAsia" w:eastAsiaTheme="minorEastAsia" w:cstheme="minorEastAsia"/>
                <w:color w:val="auto"/>
                <w:szCs w:val="21"/>
              </w:rPr>
            </w:pPr>
          </w:p>
        </w:tc>
        <w:tc>
          <w:tcPr>
            <w:tcW w:w="1087" w:type="dxa"/>
            <w:vMerge w:val="continue"/>
            <w:tcBorders>
              <w:left w:val="single" w:color="auto" w:sz="4" w:space="0"/>
            </w:tcBorders>
            <w:shd w:val="solid" w:color="FFFFFF" w:fill="auto"/>
            <w:tcMar>
              <w:top w:w="0" w:type="dxa"/>
              <w:left w:w="108" w:type="dxa"/>
              <w:bottom w:w="0" w:type="dxa"/>
              <w:right w:w="108" w:type="dxa"/>
            </w:tcMar>
            <w:vAlign w:val="center"/>
          </w:tcPr>
          <w:p>
            <w:pPr>
              <w:spacing w:line="400" w:lineRule="exact"/>
              <w:jc w:val="center"/>
              <w:rPr>
                <w:rFonts w:asciiTheme="minorEastAsia" w:hAnsiTheme="minorEastAsia" w:eastAsiaTheme="minorEastAsia" w:cstheme="minorEastAsia"/>
                <w:color w:val="auto"/>
                <w:szCs w:val="21"/>
              </w:rPr>
            </w:pPr>
          </w:p>
        </w:tc>
        <w:tc>
          <w:tcPr>
            <w:tcW w:w="1189" w:type="dxa"/>
            <w:tcBorders>
              <w:top w:val="single" w:color="auto" w:sz="4" w:space="0"/>
              <w:left w:val="single" w:color="auto" w:sz="4" w:space="0"/>
              <w:bottom w:val="single" w:color="auto" w:sz="4" w:space="0"/>
              <w:right w:val="single" w:color="auto" w:sz="4" w:space="0"/>
            </w:tcBorders>
            <w:shd w:val="solid" w:color="FFFFFF" w:fill="auto"/>
            <w:tcMar>
              <w:top w:w="0" w:type="dxa"/>
              <w:left w:w="108" w:type="dxa"/>
              <w:bottom w:w="0" w:type="dxa"/>
              <w:right w:w="108" w:type="dxa"/>
            </w:tcMar>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服务保障</w:t>
            </w:r>
          </w:p>
          <w:p>
            <w:pPr>
              <w:widowControl/>
              <w:snapToGrid w:val="0"/>
              <w:jc w:val="center"/>
              <w:textAlignment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kern w:val="0"/>
                <w:szCs w:val="21"/>
              </w:rPr>
              <w:t>（9分）</w:t>
            </w:r>
          </w:p>
        </w:tc>
        <w:tc>
          <w:tcPr>
            <w:tcW w:w="6136" w:type="dxa"/>
            <w:tcBorders>
              <w:top w:val="single" w:color="auto" w:sz="4" w:space="0"/>
              <w:left w:val="single" w:color="auto" w:sz="4" w:space="0"/>
              <w:bottom w:val="single" w:color="auto" w:sz="4" w:space="0"/>
              <w:right w:val="single" w:color="auto" w:sz="4" w:space="0"/>
            </w:tcBorders>
            <w:shd w:val="solid" w:color="FFFFFF" w:fill="auto"/>
            <w:tcMar>
              <w:top w:w="0" w:type="dxa"/>
              <w:left w:w="108" w:type="dxa"/>
              <w:bottom w:w="0" w:type="dxa"/>
              <w:right w:w="108" w:type="dxa"/>
            </w:tcMar>
            <w:vAlign w:val="center"/>
          </w:tcPr>
          <w:p>
            <w:pPr>
              <w:pStyle w:val="38"/>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拟派服务人员具有高级社会工作师证书或高级护工证书的每提供一个得3分，具有社会工作师证书或中级护工证书的每提供一个得2分，具有助理社会工作师证书或初级护工证书的每提供一个得1分，此项最多得9分。</w:t>
            </w:r>
          </w:p>
          <w:p>
            <w:pPr>
              <w:pStyle w:val="38"/>
              <w:rPr>
                <w:rFonts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zCs w:val="21"/>
              </w:rPr>
              <w:t>（响应文件中提供相关证明材料的复印件或扫描件加盖供应商公章，未提供者不得分）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428" w:hRule="atLeast"/>
          <w:jc w:val="center"/>
        </w:trPr>
        <w:tc>
          <w:tcPr>
            <w:tcW w:w="850" w:type="dxa"/>
            <w:vMerge w:val="continue"/>
            <w:tcBorders>
              <w:right w:val="single" w:color="auto" w:sz="4" w:space="0"/>
            </w:tcBorders>
            <w:shd w:val="solid" w:color="FFFFFF" w:fill="auto"/>
            <w:tcMar>
              <w:top w:w="0" w:type="dxa"/>
              <w:left w:w="108" w:type="dxa"/>
              <w:bottom w:w="0" w:type="dxa"/>
              <w:right w:w="108" w:type="dxa"/>
            </w:tcMar>
            <w:vAlign w:val="center"/>
          </w:tcPr>
          <w:p>
            <w:pPr>
              <w:spacing w:line="400" w:lineRule="exact"/>
              <w:rPr>
                <w:rFonts w:asciiTheme="minorEastAsia" w:hAnsiTheme="minorEastAsia" w:eastAsiaTheme="minorEastAsia" w:cstheme="minorEastAsia"/>
                <w:color w:val="auto"/>
                <w:szCs w:val="21"/>
              </w:rPr>
            </w:pPr>
          </w:p>
        </w:tc>
        <w:tc>
          <w:tcPr>
            <w:tcW w:w="1087" w:type="dxa"/>
            <w:vMerge w:val="continue"/>
            <w:tcBorders>
              <w:left w:val="single" w:color="auto" w:sz="4" w:space="0"/>
            </w:tcBorders>
            <w:shd w:val="solid" w:color="FFFFFF" w:fill="auto"/>
            <w:tcMar>
              <w:top w:w="0" w:type="dxa"/>
              <w:left w:w="108" w:type="dxa"/>
              <w:bottom w:w="0" w:type="dxa"/>
              <w:right w:w="108" w:type="dxa"/>
            </w:tcMar>
            <w:vAlign w:val="center"/>
          </w:tcPr>
          <w:p>
            <w:pPr>
              <w:spacing w:line="400" w:lineRule="exact"/>
              <w:jc w:val="center"/>
              <w:rPr>
                <w:rFonts w:asciiTheme="minorEastAsia" w:hAnsiTheme="minorEastAsia" w:eastAsiaTheme="minorEastAsia" w:cstheme="minorEastAsia"/>
                <w:color w:val="auto"/>
                <w:szCs w:val="21"/>
              </w:rPr>
            </w:pPr>
          </w:p>
        </w:tc>
        <w:tc>
          <w:tcPr>
            <w:tcW w:w="1189" w:type="dxa"/>
            <w:tcBorders>
              <w:top w:val="single" w:color="auto" w:sz="4" w:space="0"/>
              <w:left w:val="single" w:color="auto" w:sz="4" w:space="0"/>
              <w:bottom w:val="single" w:color="auto" w:sz="4" w:space="0"/>
              <w:right w:val="single" w:color="auto" w:sz="4" w:space="0"/>
            </w:tcBorders>
            <w:shd w:val="solid" w:color="FFFFFF" w:fill="auto"/>
            <w:tcMar>
              <w:top w:w="0" w:type="dxa"/>
              <w:left w:w="108" w:type="dxa"/>
              <w:bottom w:w="0" w:type="dxa"/>
              <w:right w:w="108" w:type="dxa"/>
            </w:tcMar>
            <w:vAlign w:val="center"/>
          </w:tcPr>
          <w:p>
            <w:pPr>
              <w:widowControl/>
              <w:jc w:val="center"/>
              <w:textAlignment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体系认证</w:t>
            </w:r>
          </w:p>
          <w:p>
            <w:pPr>
              <w:widowControl/>
              <w:snapToGrid w:val="0"/>
              <w:jc w:val="center"/>
              <w:textAlignment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（6分）</w:t>
            </w:r>
          </w:p>
        </w:tc>
        <w:tc>
          <w:tcPr>
            <w:tcW w:w="6136" w:type="dxa"/>
            <w:tcBorders>
              <w:top w:val="single" w:color="auto" w:sz="4" w:space="0"/>
              <w:left w:val="single" w:color="auto" w:sz="4" w:space="0"/>
              <w:bottom w:val="single" w:color="auto" w:sz="4" w:space="0"/>
              <w:right w:val="single" w:color="auto" w:sz="4" w:space="0"/>
            </w:tcBorders>
            <w:shd w:val="solid" w:color="FFFFFF" w:fill="auto"/>
            <w:tcMar>
              <w:top w:w="0" w:type="dxa"/>
              <w:left w:w="108" w:type="dxa"/>
              <w:bottom w:w="0" w:type="dxa"/>
              <w:right w:w="108" w:type="dxa"/>
            </w:tcMar>
            <w:vAlign w:val="center"/>
          </w:tcPr>
          <w:p>
            <w:pPr>
              <w:pStyle w:val="38"/>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供应商具有有效期内的“质量管理体系认证证书”、“环境管理体系认证证书”、“职业健康安全管理体系认证证书”，每提供一项得 2 分，此项最多得6分。</w:t>
            </w:r>
          </w:p>
          <w:p>
            <w:pPr>
              <w:pStyle w:val="38"/>
              <w:rPr>
                <w:rFonts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zCs w:val="21"/>
              </w:rPr>
              <w:t>（响应文件中提供相关证明材料的复印件或扫描件加盖供应商公章，未提供者不得分）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43" w:hRule="atLeast"/>
          <w:jc w:val="center"/>
        </w:trPr>
        <w:tc>
          <w:tcPr>
            <w:tcW w:w="850" w:type="dxa"/>
            <w:vMerge w:val="continue"/>
            <w:tcBorders>
              <w:right w:val="single" w:color="auto" w:sz="4" w:space="0"/>
            </w:tcBorders>
            <w:shd w:val="solid" w:color="FFFFFF" w:fill="auto"/>
            <w:tcMar>
              <w:top w:w="0" w:type="dxa"/>
              <w:left w:w="108" w:type="dxa"/>
              <w:bottom w:w="0" w:type="dxa"/>
              <w:right w:w="108" w:type="dxa"/>
            </w:tcMar>
            <w:vAlign w:val="center"/>
          </w:tcPr>
          <w:p>
            <w:pPr>
              <w:spacing w:line="400" w:lineRule="exact"/>
              <w:rPr>
                <w:rFonts w:asciiTheme="minorEastAsia" w:hAnsiTheme="minorEastAsia" w:eastAsiaTheme="minorEastAsia" w:cstheme="minorEastAsia"/>
                <w:color w:val="auto"/>
                <w:szCs w:val="21"/>
              </w:rPr>
            </w:pPr>
          </w:p>
        </w:tc>
        <w:tc>
          <w:tcPr>
            <w:tcW w:w="1087" w:type="dxa"/>
            <w:vMerge w:val="continue"/>
            <w:tcBorders>
              <w:left w:val="single" w:color="auto" w:sz="4" w:space="0"/>
            </w:tcBorders>
            <w:shd w:val="solid" w:color="FFFFFF" w:fill="auto"/>
            <w:tcMar>
              <w:top w:w="0" w:type="dxa"/>
              <w:left w:w="108" w:type="dxa"/>
              <w:bottom w:w="0" w:type="dxa"/>
              <w:right w:w="108" w:type="dxa"/>
            </w:tcMar>
            <w:vAlign w:val="center"/>
          </w:tcPr>
          <w:p>
            <w:pPr>
              <w:spacing w:line="400" w:lineRule="exact"/>
              <w:jc w:val="center"/>
              <w:rPr>
                <w:rFonts w:asciiTheme="minorEastAsia" w:hAnsiTheme="minorEastAsia" w:eastAsiaTheme="minorEastAsia" w:cstheme="minorEastAsia"/>
                <w:color w:val="auto"/>
                <w:szCs w:val="21"/>
              </w:rPr>
            </w:pPr>
          </w:p>
        </w:tc>
        <w:tc>
          <w:tcPr>
            <w:tcW w:w="1189" w:type="dxa"/>
            <w:tcBorders>
              <w:top w:val="single" w:color="auto" w:sz="4" w:space="0"/>
              <w:left w:val="single" w:color="auto" w:sz="4" w:space="0"/>
              <w:right w:val="single" w:color="auto" w:sz="4" w:space="0"/>
            </w:tcBorders>
            <w:shd w:val="solid" w:color="FFFFFF" w:fill="auto"/>
            <w:tcMar>
              <w:top w:w="0" w:type="dxa"/>
              <w:left w:w="108" w:type="dxa"/>
              <w:bottom w:w="0" w:type="dxa"/>
              <w:right w:w="108" w:type="dxa"/>
            </w:tcMar>
            <w:vAlign w:val="center"/>
          </w:tcPr>
          <w:p>
            <w:pPr>
              <w:widowControl/>
              <w:jc w:val="center"/>
              <w:textAlignment w:val="center"/>
              <w:rPr>
                <w:rFonts w:hint="eastAsia" w:ascii="宋体" w:hAnsi="宋体" w:cs="宋体"/>
                <w:color w:val="auto"/>
                <w:sz w:val="21"/>
                <w:szCs w:val="21"/>
                <w:lang w:eastAsia="zh-CN" w:bidi="ar"/>
              </w:rPr>
            </w:pPr>
            <w:r>
              <w:rPr>
                <w:rFonts w:hint="eastAsia" w:ascii="宋体" w:hAnsi="宋体" w:cs="宋体"/>
                <w:color w:val="auto"/>
                <w:sz w:val="21"/>
                <w:szCs w:val="21"/>
                <w:lang w:eastAsia="zh-CN" w:bidi="ar"/>
              </w:rPr>
              <w:t>企业实力</w:t>
            </w:r>
          </w:p>
          <w:p>
            <w:pPr>
              <w:widowControl/>
              <w:snapToGrid w:val="0"/>
              <w:jc w:val="center"/>
              <w:textAlignment w:val="center"/>
              <w:rPr>
                <w:rFonts w:hint="eastAsia" w:asciiTheme="minorEastAsia" w:hAnsiTheme="minorEastAsia" w:eastAsiaTheme="minorEastAsia" w:cstheme="minorEastAsia"/>
                <w:color w:val="auto"/>
                <w:szCs w:val="21"/>
              </w:rPr>
            </w:pPr>
            <w:r>
              <w:rPr>
                <w:rFonts w:hint="eastAsia" w:ascii="宋体" w:hAnsi="宋体" w:cs="宋体"/>
                <w:color w:val="auto"/>
                <w:sz w:val="21"/>
                <w:szCs w:val="21"/>
                <w:lang w:eastAsia="zh-CN" w:bidi="ar"/>
              </w:rPr>
              <w:t>（</w:t>
            </w:r>
            <w:r>
              <w:rPr>
                <w:rFonts w:hint="eastAsia" w:ascii="宋体" w:hAnsi="宋体" w:cs="宋体"/>
                <w:color w:val="auto"/>
                <w:sz w:val="21"/>
                <w:szCs w:val="21"/>
                <w:lang w:val="en-US" w:eastAsia="zh-CN" w:bidi="ar"/>
              </w:rPr>
              <w:t>5分</w:t>
            </w:r>
            <w:r>
              <w:rPr>
                <w:rFonts w:hint="eastAsia" w:ascii="宋体" w:hAnsi="宋体" w:cs="宋体"/>
                <w:color w:val="auto"/>
                <w:sz w:val="21"/>
                <w:szCs w:val="21"/>
                <w:lang w:eastAsia="zh-CN" w:bidi="ar"/>
              </w:rPr>
              <w:t>）</w:t>
            </w:r>
          </w:p>
        </w:tc>
        <w:tc>
          <w:tcPr>
            <w:tcW w:w="6136" w:type="dxa"/>
            <w:tcBorders>
              <w:top w:val="single" w:color="auto" w:sz="4" w:space="0"/>
              <w:left w:val="single" w:color="auto" w:sz="4" w:space="0"/>
              <w:right w:val="single" w:color="auto" w:sz="4" w:space="0"/>
            </w:tcBorders>
            <w:shd w:val="solid" w:color="FFFFFF" w:fill="auto"/>
            <w:tcMar>
              <w:top w:w="0" w:type="dxa"/>
              <w:left w:w="108" w:type="dxa"/>
              <w:bottom w:w="0" w:type="dxa"/>
              <w:right w:w="108" w:type="dxa"/>
            </w:tcMar>
            <w:vAlign w:val="center"/>
          </w:tcPr>
          <w:p>
            <w:pPr>
              <w:pStyle w:val="38"/>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rPr>
              <w:t>供应商</w:t>
            </w:r>
            <w:r>
              <w:rPr>
                <w:rFonts w:hint="eastAsia" w:ascii="宋体" w:hAnsi="宋体" w:eastAsia="宋体" w:cs="宋体"/>
                <w:b w:val="0"/>
                <w:bCs w:val="0"/>
                <w:color w:val="auto"/>
                <w:sz w:val="21"/>
                <w:szCs w:val="21"/>
                <w:lang w:val="en-US" w:eastAsia="zh-CN"/>
              </w:rPr>
              <w:t>具有居家和社区养老服务管理和服务功能的信息化系统并能与市、县（市、区）智慧养老服务平台信息共享。具备每天24小时动态管理、远程监测、呼叫应答等功能；具备线上响应辖区家庭养老床位养老服务“派单”、提供居家养老上门服务功能，具备响应24小时紧急服务需求的能力。</w:t>
            </w:r>
            <w:r>
              <w:rPr>
                <w:rFonts w:hint="eastAsia" w:ascii="宋体" w:hAnsi="宋体" w:cs="宋体"/>
                <w:b w:val="0"/>
                <w:bCs w:val="0"/>
                <w:color w:val="auto"/>
                <w:sz w:val="21"/>
                <w:szCs w:val="21"/>
                <w:highlight w:val="none"/>
                <w:lang w:val="en-US" w:eastAsia="zh-CN"/>
              </w:rPr>
              <w:t>具备记录服务过程的功能。</w:t>
            </w:r>
          </w:p>
          <w:p>
            <w:pPr>
              <w:pStyle w:val="38"/>
              <w:rPr>
                <w:rFonts w:hint="eastAsia"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highlight w:val="none"/>
              </w:rPr>
              <w:t>（响应文件中提供</w:t>
            </w:r>
            <w:r>
              <w:rPr>
                <w:rFonts w:hint="eastAsia" w:asciiTheme="minorEastAsia" w:hAnsiTheme="minorEastAsia" w:eastAsiaTheme="minorEastAsia" w:cstheme="minorEastAsia"/>
                <w:b/>
                <w:bCs/>
                <w:color w:val="auto"/>
                <w:szCs w:val="21"/>
                <w:highlight w:val="none"/>
                <w:lang w:val="en-US" w:eastAsia="zh-CN"/>
              </w:rPr>
              <w:t>系统网址和相关功能的截图</w:t>
            </w:r>
            <w:r>
              <w:rPr>
                <w:rFonts w:hint="eastAsia" w:asciiTheme="minorEastAsia" w:hAnsiTheme="minorEastAsia" w:eastAsiaTheme="minorEastAsia" w:cstheme="minorEastAsia"/>
                <w:b/>
                <w:bCs/>
                <w:color w:val="auto"/>
                <w:szCs w:val="21"/>
                <w:highlight w:val="none"/>
              </w:rPr>
              <w:t>加盖供应商公章，未提供者或提供不全的不得分）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50" w:type="dxa"/>
            <w:vMerge w:val="restart"/>
            <w:vAlign w:val="center"/>
          </w:tcPr>
          <w:p>
            <w:pPr>
              <w:spacing w:line="400" w:lineRule="exact"/>
              <w:jc w:val="lef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3</w:t>
            </w:r>
          </w:p>
        </w:tc>
        <w:tc>
          <w:tcPr>
            <w:tcW w:w="1087" w:type="dxa"/>
            <w:vMerge w:val="restart"/>
            <w:vAlign w:val="center"/>
          </w:tcPr>
          <w:p>
            <w:pPr>
              <w:spacing w:line="40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技术部分</w:t>
            </w:r>
            <w:r>
              <w:rPr>
                <w:rFonts w:hint="eastAsia" w:asciiTheme="minorEastAsia" w:hAnsiTheme="minorEastAsia" w:eastAsiaTheme="minorEastAsia" w:cstheme="minorEastAsia"/>
                <w:color w:val="auto"/>
                <w:kern w:val="0"/>
                <w:szCs w:val="21"/>
              </w:rPr>
              <w:t>（5</w:t>
            </w:r>
            <w:r>
              <w:rPr>
                <w:rFonts w:hint="eastAsia" w:asciiTheme="minorEastAsia" w:hAnsiTheme="minorEastAsia" w:eastAsiaTheme="minorEastAsia" w:cstheme="minorEastAsia"/>
                <w:color w:val="auto"/>
                <w:kern w:val="0"/>
                <w:szCs w:val="21"/>
                <w:lang w:val="en-US" w:eastAsia="zh-CN"/>
              </w:rPr>
              <w:t>2</w:t>
            </w:r>
            <w:r>
              <w:rPr>
                <w:rFonts w:hint="eastAsia" w:asciiTheme="minorEastAsia" w:hAnsiTheme="minorEastAsia" w:eastAsiaTheme="minorEastAsia" w:cstheme="minorEastAsia"/>
                <w:color w:val="auto"/>
                <w:kern w:val="0"/>
                <w:szCs w:val="21"/>
              </w:rPr>
              <w:t>分）</w:t>
            </w:r>
          </w:p>
        </w:tc>
        <w:tc>
          <w:tcPr>
            <w:tcW w:w="1189" w:type="dxa"/>
            <w:vAlign w:val="center"/>
          </w:tcPr>
          <w:p>
            <w:pPr>
              <w:jc w:val="center"/>
              <w:rPr>
                <w:rFonts w:asciiTheme="minorEastAsia" w:hAnsiTheme="minorEastAsia" w:eastAsiaTheme="minorEastAsia" w:cstheme="minorEastAsia"/>
                <w:color w:val="auto"/>
                <w:szCs w:val="21"/>
              </w:rPr>
            </w:pPr>
          </w:p>
          <w:p>
            <w:pPr>
              <w:jc w:val="center"/>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color w:val="auto"/>
                <w:szCs w:val="21"/>
              </w:rPr>
              <w:t>项目需求分析</w:t>
            </w:r>
            <w:r>
              <w:rPr>
                <w:rFonts w:hint="eastAsia" w:asciiTheme="minorEastAsia" w:hAnsiTheme="minorEastAsia" w:eastAsiaTheme="minorEastAsia" w:cstheme="minorEastAsia"/>
                <w:bCs/>
                <w:color w:val="auto"/>
                <w:szCs w:val="21"/>
              </w:rPr>
              <w:t xml:space="preserve"> </w:t>
            </w:r>
          </w:p>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kern w:val="0"/>
                <w:szCs w:val="21"/>
              </w:rPr>
              <w:t>（1</w:t>
            </w:r>
            <w:r>
              <w:rPr>
                <w:rFonts w:hint="eastAsia" w:asciiTheme="minorEastAsia" w:hAnsiTheme="minorEastAsia" w:eastAsiaTheme="minorEastAsia" w:cstheme="minorEastAsia"/>
                <w:color w:val="auto"/>
                <w:kern w:val="0"/>
                <w:szCs w:val="21"/>
                <w:lang w:val="en-US" w:eastAsia="zh-CN"/>
              </w:rPr>
              <w:t>3</w:t>
            </w:r>
            <w:r>
              <w:rPr>
                <w:rFonts w:hint="eastAsia" w:asciiTheme="minorEastAsia" w:hAnsiTheme="minorEastAsia" w:eastAsiaTheme="minorEastAsia" w:cstheme="minorEastAsia"/>
                <w:color w:val="auto"/>
                <w:kern w:val="0"/>
                <w:szCs w:val="21"/>
              </w:rPr>
              <w:t>分）</w:t>
            </w:r>
          </w:p>
        </w:tc>
        <w:tc>
          <w:tcPr>
            <w:tcW w:w="6136" w:type="dxa"/>
            <w:vAlign w:val="center"/>
          </w:tcPr>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依据项目采购需求，供应商对场地现状的理解、拟经营方式、经营理念、经营目标等进行评定。</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1、能够完全满足需求，并且方案详尽，得</w:t>
            </w:r>
            <w:r>
              <w:rPr>
                <w:rFonts w:hint="eastAsia" w:asciiTheme="minorEastAsia" w:hAnsiTheme="minorEastAsia" w:eastAsiaTheme="minorEastAsia" w:cstheme="minorEastAsia"/>
                <w:color w:val="auto"/>
                <w:kern w:val="0"/>
                <w:szCs w:val="21"/>
              </w:rPr>
              <w:t>1</w:t>
            </w:r>
            <w:r>
              <w:rPr>
                <w:rFonts w:hint="eastAsia" w:asciiTheme="minorEastAsia" w:hAnsiTheme="minorEastAsia" w:eastAsiaTheme="minorEastAsia" w:cstheme="minorEastAsia"/>
                <w:color w:val="auto"/>
                <w:kern w:val="0"/>
                <w:szCs w:val="21"/>
                <w:lang w:val="en-US" w:eastAsia="zh-CN"/>
              </w:rPr>
              <w:t>3</w:t>
            </w:r>
            <w:r>
              <w:rPr>
                <w:rFonts w:hint="eastAsia" w:asciiTheme="minorEastAsia" w:hAnsiTheme="minorEastAsia" w:eastAsiaTheme="minorEastAsia" w:cstheme="minorEastAsia"/>
                <w:color w:val="auto"/>
                <w:kern w:val="0"/>
                <w:szCs w:val="21"/>
              </w:rPr>
              <w:t>分</w:t>
            </w:r>
            <w:r>
              <w:rPr>
                <w:rFonts w:hint="eastAsia" w:asciiTheme="minorEastAsia" w:hAnsiTheme="minorEastAsia" w:eastAsiaTheme="minorEastAsia" w:cstheme="minorEastAsia"/>
                <w:color w:val="auto"/>
              </w:rPr>
              <w:t>；</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2、基本满足需求，方案基本详尽，得</w:t>
            </w:r>
            <w:r>
              <w:rPr>
                <w:rFonts w:hint="eastAsia" w:asciiTheme="minorEastAsia" w:hAnsiTheme="minorEastAsia" w:eastAsiaTheme="minorEastAsia" w:cstheme="minorEastAsia"/>
                <w:color w:val="auto"/>
                <w:kern w:val="0"/>
                <w:szCs w:val="21"/>
              </w:rPr>
              <w:t>1</w:t>
            </w:r>
            <w:r>
              <w:rPr>
                <w:rFonts w:hint="eastAsia" w:asciiTheme="minorEastAsia" w:hAnsiTheme="minorEastAsia" w:eastAsiaTheme="minorEastAsia" w:cstheme="minorEastAsia"/>
                <w:color w:val="auto"/>
                <w:kern w:val="0"/>
                <w:szCs w:val="21"/>
                <w:lang w:val="en-US" w:eastAsia="zh-CN"/>
              </w:rPr>
              <w:t>1</w:t>
            </w:r>
            <w:r>
              <w:rPr>
                <w:rFonts w:hint="eastAsia" w:asciiTheme="minorEastAsia" w:hAnsiTheme="minorEastAsia" w:eastAsiaTheme="minorEastAsia" w:cstheme="minorEastAsia"/>
                <w:color w:val="auto"/>
                <w:kern w:val="0"/>
                <w:szCs w:val="21"/>
              </w:rPr>
              <w:t>分</w:t>
            </w:r>
            <w:r>
              <w:rPr>
                <w:rFonts w:hint="eastAsia" w:asciiTheme="minorEastAsia" w:hAnsiTheme="minorEastAsia" w:eastAsiaTheme="minorEastAsia" w:cstheme="minorEastAsia"/>
                <w:color w:val="auto"/>
              </w:rPr>
              <w:t>；</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3、较为满足需求，方案较为详尽，得</w:t>
            </w:r>
            <w:r>
              <w:rPr>
                <w:rFonts w:hint="eastAsia" w:asciiTheme="minorEastAsia" w:hAnsiTheme="minorEastAsia" w:eastAsiaTheme="minorEastAsia" w:cstheme="minorEastAsia"/>
                <w:color w:val="auto"/>
                <w:kern w:val="0"/>
                <w:szCs w:val="21"/>
                <w:lang w:val="en-US" w:eastAsia="zh-CN"/>
              </w:rPr>
              <w:t>9</w:t>
            </w:r>
            <w:r>
              <w:rPr>
                <w:rFonts w:hint="eastAsia" w:asciiTheme="minorEastAsia" w:hAnsiTheme="minorEastAsia" w:eastAsiaTheme="minorEastAsia" w:cstheme="minorEastAsia"/>
                <w:color w:val="auto"/>
                <w:kern w:val="0"/>
                <w:szCs w:val="21"/>
              </w:rPr>
              <w:t>分</w:t>
            </w:r>
            <w:r>
              <w:rPr>
                <w:rFonts w:hint="eastAsia" w:asciiTheme="minorEastAsia" w:hAnsiTheme="minorEastAsia" w:eastAsiaTheme="minorEastAsia" w:cstheme="minorEastAsia"/>
                <w:color w:val="auto"/>
              </w:rPr>
              <w:t>；</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4、不满足需求，方案不够详尽，得</w:t>
            </w:r>
            <w:r>
              <w:rPr>
                <w:rFonts w:hint="eastAsia" w:asciiTheme="minorEastAsia" w:hAnsiTheme="minorEastAsia" w:eastAsiaTheme="minorEastAsia" w:cstheme="minorEastAsia"/>
                <w:color w:val="auto"/>
                <w:kern w:val="0"/>
                <w:szCs w:val="21"/>
                <w:lang w:val="en-US" w:eastAsia="zh-CN"/>
              </w:rPr>
              <w:t>7</w:t>
            </w:r>
            <w:r>
              <w:rPr>
                <w:rFonts w:hint="eastAsia" w:asciiTheme="minorEastAsia" w:hAnsiTheme="minorEastAsia" w:eastAsiaTheme="minorEastAsia" w:cstheme="minorEastAsia"/>
                <w:color w:val="auto"/>
                <w:kern w:val="0"/>
                <w:szCs w:val="21"/>
              </w:rPr>
              <w:t>分</w:t>
            </w:r>
            <w:r>
              <w:rPr>
                <w:rFonts w:hint="eastAsia" w:asciiTheme="minorEastAsia" w:hAnsiTheme="minorEastAsia" w:eastAsiaTheme="minorEastAsia" w:cstheme="minorEastAsia"/>
                <w:color w:val="auto"/>
              </w:rPr>
              <w:t>；</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850" w:type="dxa"/>
            <w:vMerge w:val="continue"/>
            <w:vAlign w:val="center"/>
          </w:tcPr>
          <w:p>
            <w:pPr>
              <w:spacing w:line="400" w:lineRule="exact"/>
              <w:ind w:firstLine="420" w:firstLineChars="200"/>
              <w:rPr>
                <w:rFonts w:asciiTheme="minorEastAsia" w:hAnsiTheme="minorEastAsia" w:eastAsiaTheme="minorEastAsia" w:cstheme="minorEastAsia"/>
                <w:color w:val="auto"/>
                <w:szCs w:val="21"/>
              </w:rPr>
            </w:pPr>
          </w:p>
        </w:tc>
        <w:tc>
          <w:tcPr>
            <w:tcW w:w="1087" w:type="dxa"/>
            <w:vMerge w:val="continue"/>
            <w:vAlign w:val="center"/>
          </w:tcPr>
          <w:p>
            <w:pPr>
              <w:spacing w:line="400" w:lineRule="exact"/>
              <w:ind w:firstLine="420" w:firstLineChars="200"/>
              <w:rPr>
                <w:rFonts w:asciiTheme="minorEastAsia" w:hAnsiTheme="minorEastAsia" w:eastAsiaTheme="minorEastAsia" w:cstheme="minorEastAsia"/>
                <w:color w:val="auto"/>
                <w:szCs w:val="21"/>
              </w:rPr>
            </w:pPr>
          </w:p>
        </w:tc>
        <w:tc>
          <w:tcPr>
            <w:tcW w:w="1189"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项目实施方案</w:t>
            </w:r>
          </w:p>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r>
              <w:rPr>
                <w:rFonts w:hint="eastAsia" w:asciiTheme="minorEastAsia" w:hAnsiTheme="minorEastAsia" w:eastAsiaTheme="minorEastAsia" w:cstheme="minorEastAsia"/>
                <w:color w:val="auto"/>
                <w:szCs w:val="21"/>
                <w:lang w:val="en-US" w:eastAsia="zh-CN"/>
              </w:rPr>
              <w:t>3</w:t>
            </w:r>
            <w:r>
              <w:rPr>
                <w:rFonts w:hint="eastAsia" w:asciiTheme="minorEastAsia" w:hAnsiTheme="minorEastAsia" w:eastAsiaTheme="minorEastAsia" w:cstheme="minorEastAsia"/>
                <w:color w:val="auto"/>
                <w:szCs w:val="21"/>
              </w:rPr>
              <w:t>分）</w:t>
            </w:r>
          </w:p>
        </w:tc>
        <w:tc>
          <w:tcPr>
            <w:tcW w:w="6136" w:type="dxa"/>
            <w:vAlign w:val="center"/>
          </w:tcPr>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Cs w:val="21"/>
              </w:rPr>
              <w:t>根据供应商提供的实施计划、进度安排、保障措施。</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1、能够完全满足需求，并且方案详尽，得1</w:t>
            </w:r>
            <w:r>
              <w:rPr>
                <w:rFonts w:hint="eastAsia" w:asciiTheme="minorEastAsia" w:hAnsiTheme="minorEastAsia" w:eastAsiaTheme="minorEastAsia" w:cstheme="minorEastAsia"/>
                <w:color w:val="auto"/>
                <w:lang w:val="en-US" w:eastAsia="zh-CN"/>
              </w:rPr>
              <w:t>3</w:t>
            </w:r>
            <w:r>
              <w:rPr>
                <w:rFonts w:hint="eastAsia" w:asciiTheme="minorEastAsia" w:hAnsiTheme="minorEastAsia" w:eastAsiaTheme="minorEastAsia" w:cstheme="minorEastAsia"/>
                <w:color w:val="auto"/>
              </w:rPr>
              <w:t>分；</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2、基本满足需求，方案基本详尽，得1</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分；</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3、较为满足需求，方案较为详尽，得</w:t>
            </w:r>
            <w:r>
              <w:rPr>
                <w:rFonts w:hint="eastAsia" w:asciiTheme="minorEastAsia" w:hAnsiTheme="minorEastAsia" w:eastAsiaTheme="minorEastAsia" w:cstheme="minorEastAsia"/>
                <w:color w:val="auto"/>
                <w:lang w:val="en-US" w:eastAsia="zh-CN"/>
              </w:rPr>
              <w:t>9</w:t>
            </w:r>
            <w:r>
              <w:rPr>
                <w:rFonts w:hint="eastAsia" w:asciiTheme="minorEastAsia" w:hAnsiTheme="minorEastAsia" w:eastAsiaTheme="minorEastAsia" w:cstheme="minorEastAsia"/>
                <w:color w:val="auto"/>
              </w:rPr>
              <w:t>分；</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4、不满足需求，方案不够详尽，得</w:t>
            </w:r>
            <w:r>
              <w:rPr>
                <w:rFonts w:hint="eastAsia" w:asciiTheme="minorEastAsia" w:hAnsiTheme="minorEastAsia" w:eastAsiaTheme="minorEastAsia" w:cstheme="minorEastAsia"/>
                <w:color w:val="auto"/>
                <w:lang w:val="en-US" w:eastAsia="zh-CN"/>
              </w:rPr>
              <w:t>7</w:t>
            </w:r>
            <w:r>
              <w:rPr>
                <w:rFonts w:hint="eastAsia" w:asciiTheme="minorEastAsia" w:hAnsiTheme="minorEastAsia" w:eastAsiaTheme="minorEastAsia" w:cstheme="minorEastAsia"/>
                <w:color w:val="auto"/>
              </w:rPr>
              <w:t>分；</w:t>
            </w:r>
          </w:p>
          <w:p>
            <w:pPr>
              <w:pStyle w:val="37"/>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t>5、未提供的不得分。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 w:hRule="atLeast"/>
          <w:jc w:val="center"/>
        </w:trPr>
        <w:tc>
          <w:tcPr>
            <w:tcW w:w="850" w:type="dxa"/>
            <w:vMerge w:val="continue"/>
            <w:vAlign w:val="center"/>
          </w:tcPr>
          <w:p>
            <w:pPr>
              <w:spacing w:line="400" w:lineRule="exact"/>
              <w:ind w:firstLine="420" w:firstLineChars="200"/>
              <w:rPr>
                <w:rFonts w:asciiTheme="minorEastAsia" w:hAnsiTheme="minorEastAsia" w:eastAsiaTheme="minorEastAsia" w:cstheme="minorEastAsia"/>
                <w:color w:val="auto"/>
                <w:szCs w:val="21"/>
              </w:rPr>
            </w:pPr>
          </w:p>
        </w:tc>
        <w:tc>
          <w:tcPr>
            <w:tcW w:w="1087" w:type="dxa"/>
            <w:vMerge w:val="continue"/>
            <w:vAlign w:val="center"/>
          </w:tcPr>
          <w:p>
            <w:pPr>
              <w:spacing w:line="400" w:lineRule="exact"/>
              <w:ind w:firstLine="420" w:firstLineChars="200"/>
              <w:rPr>
                <w:rFonts w:asciiTheme="minorEastAsia" w:hAnsiTheme="minorEastAsia" w:eastAsiaTheme="minorEastAsia" w:cstheme="minorEastAsia"/>
                <w:color w:val="auto"/>
                <w:szCs w:val="21"/>
              </w:rPr>
            </w:pPr>
          </w:p>
        </w:tc>
        <w:tc>
          <w:tcPr>
            <w:tcW w:w="1189"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管理制度及应急预案</w:t>
            </w:r>
          </w:p>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r>
              <w:rPr>
                <w:rFonts w:hint="eastAsia" w:asciiTheme="minorEastAsia" w:hAnsiTheme="minorEastAsia" w:eastAsiaTheme="minorEastAsia" w:cstheme="minorEastAsia"/>
                <w:color w:val="auto"/>
                <w:szCs w:val="21"/>
                <w:lang w:val="en-US" w:eastAsia="zh-CN"/>
              </w:rPr>
              <w:t>3</w:t>
            </w:r>
            <w:r>
              <w:rPr>
                <w:rFonts w:hint="eastAsia" w:asciiTheme="minorEastAsia" w:hAnsiTheme="minorEastAsia" w:eastAsiaTheme="minorEastAsia" w:cstheme="minorEastAsia"/>
                <w:color w:val="auto"/>
                <w:szCs w:val="21"/>
              </w:rPr>
              <w:t>分）</w:t>
            </w:r>
          </w:p>
        </w:tc>
        <w:tc>
          <w:tcPr>
            <w:tcW w:w="6136" w:type="dxa"/>
            <w:vAlign w:val="center"/>
          </w:tcPr>
          <w:p>
            <w:pPr>
              <w:snapToGrid w:val="0"/>
              <w:textAlignment w:val="baseline"/>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bCs/>
                <w:color w:val="auto"/>
                <w:szCs w:val="21"/>
              </w:rPr>
              <w:t>依据项目采购需求，供应商的管理制度，投诉处理方案、消防、 治安、水、电、气应急预案、突发事件处理方案等进行综合评定。</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1、能够完全满足需求，并且方案详尽，得1</w:t>
            </w:r>
            <w:r>
              <w:rPr>
                <w:rFonts w:hint="eastAsia" w:asciiTheme="minorEastAsia" w:hAnsiTheme="minorEastAsia" w:eastAsiaTheme="minorEastAsia" w:cstheme="minorEastAsia"/>
                <w:color w:val="auto"/>
                <w:lang w:val="en-US" w:eastAsia="zh-CN"/>
              </w:rPr>
              <w:t>3</w:t>
            </w:r>
            <w:r>
              <w:rPr>
                <w:rFonts w:hint="eastAsia" w:asciiTheme="minorEastAsia" w:hAnsiTheme="minorEastAsia" w:eastAsiaTheme="minorEastAsia" w:cstheme="minorEastAsia"/>
                <w:color w:val="auto"/>
              </w:rPr>
              <w:t>分；</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2、基本满足需求，方案基本详尽，得1</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分；</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3、较为满足需求，方案较为详尽，得</w:t>
            </w:r>
            <w:r>
              <w:rPr>
                <w:rFonts w:hint="eastAsia" w:asciiTheme="minorEastAsia" w:hAnsiTheme="minorEastAsia" w:eastAsiaTheme="minorEastAsia" w:cstheme="minorEastAsia"/>
                <w:color w:val="auto"/>
                <w:lang w:val="en-US" w:eastAsia="zh-CN"/>
              </w:rPr>
              <w:t>9</w:t>
            </w:r>
            <w:r>
              <w:rPr>
                <w:rFonts w:hint="eastAsia" w:asciiTheme="minorEastAsia" w:hAnsiTheme="minorEastAsia" w:eastAsiaTheme="minorEastAsia" w:cstheme="minorEastAsia"/>
                <w:color w:val="auto"/>
              </w:rPr>
              <w:t>分；</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4、不满足需求，方案不够详尽，得</w:t>
            </w:r>
            <w:r>
              <w:rPr>
                <w:rFonts w:hint="eastAsia" w:asciiTheme="minorEastAsia" w:hAnsiTheme="minorEastAsia" w:eastAsiaTheme="minorEastAsia" w:cstheme="minorEastAsia"/>
                <w:color w:val="auto"/>
                <w:lang w:val="en-US" w:eastAsia="zh-CN"/>
              </w:rPr>
              <w:t>7</w:t>
            </w:r>
            <w:r>
              <w:rPr>
                <w:rFonts w:hint="eastAsia" w:asciiTheme="minorEastAsia" w:hAnsiTheme="minorEastAsia" w:eastAsiaTheme="minorEastAsia" w:cstheme="minorEastAsia"/>
                <w:color w:val="auto"/>
              </w:rPr>
              <w:t>分；</w:t>
            </w:r>
          </w:p>
          <w:p>
            <w:pPr>
              <w:snapToGrid w:val="0"/>
              <w:textAlignment w:val="baseline"/>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t>5、未提供的不得分。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1" w:hRule="atLeast"/>
          <w:jc w:val="center"/>
        </w:trPr>
        <w:tc>
          <w:tcPr>
            <w:tcW w:w="850" w:type="dxa"/>
            <w:vMerge w:val="continue"/>
            <w:vAlign w:val="center"/>
          </w:tcPr>
          <w:p>
            <w:pPr>
              <w:spacing w:line="400" w:lineRule="exact"/>
              <w:ind w:firstLine="420" w:firstLineChars="200"/>
              <w:rPr>
                <w:rFonts w:asciiTheme="minorEastAsia" w:hAnsiTheme="minorEastAsia" w:eastAsiaTheme="minorEastAsia" w:cstheme="minorEastAsia"/>
                <w:color w:val="auto"/>
                <w:szCs w:val="21"/>
              </w:rPr>
            </w:pPr>
          </w:p>
        </w:tc>
        <w:tc>
          <w:tcPr>
            <w:tcW w:w="1087" w:type="dxa"/>
            <w:vMerge w:val="continue"/>
            <w:vAlign w:val="center"/>
          </w:tcPr>
          <w:p>
            <w:pPr>
              <w:spacing w:line="400" w:lineRule="exact"/>
              <w:ind w:firstLine="420" w:firstLineChars="200"/>
              <w:rPr>
                <w:rFonts w:asciiTheme="minorEastAsia" w:hAnsiTheme="minorEastAsia" w:eastAsiaTheme="minorEastAsia" w:cstheme="minorEastAsia"/>
                <w:color w:val="auto"/>
                <w:szCs w:val="21"/>
              </w:rPr>
            </w:pPr>
          </w:p>
        </w:tc>
        <w:tc>
          <w:tcPr>
            <w:tcW w:w="1189" w:type="dxa"/>
            <w:vAlign w:val="center"/>
          </w:tcPr>
          <w:p>
            <w:pPr>
              <w:snapToGrid w:val="0"/>
              <w:jc w:val="center"/>
              <w:textAlignment w:val="baseline"/>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售后服务及承诺</w:t>
            </w:r>
          </w:p>
          <w:p>
            <w:pPr>
              <w:snapToGrid w:val="0"/>
              <w:jc w:val="center"/>
              <w:textAlignment w:val="baseline"/>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r>
              <w:rPr>
                <w:rFonts w:hint="eastAsia" w:asciiTheme="minorEastAsia" w:hAnsiTheme="minorEastAsia" w:eastAsiaTheme="minorEastAsia" w:cstheme="minorEastAsia"/>
                <w:color w:val="auto"/>
                <w:szCs w:val="21"/>
                <w:lang w:val="en-US" w:eastAsia="zh-CN"/>
              </w:rPr>
              <w:t>3</w:t>
            </w:r>
            <w:r>
              <w:rPr>
                <w:rFonts w:hint="eastAsia" w:asciiTheme="minorEastAsia" w:hAnsiTheme="minorEastAsia" w:eastAsiaTheme="minorEastAsia" w:cstheme="minorEastAsia"/>
                <w:color w:val="auto"/>
                <w:szCs w:val="21"/>
              </w:rPr>
              <w:t>分）</w:t>
            </w:r>
          </w:p>
        </w:tc>
        <w:tc>
          <w:tcPr>
            <w:tcW w:w="6136" w:type="dxa"/>
            <w:vAlign w:val="center"/>
          </w:tcPr>
          <w:p>
            <w:pPr>
              <w:snapToGrid w:val="0"/>
              <w:textAlignment w:val="baseline"/>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依据供应商提供的售后服务方案、售后服务团队成员及售后服务响应情况，评委根据可行性、完整性及合理性综合评定。</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1、能够完全满足需求，并且方案详尽，得1</w:t>
            </w:r>
            <w:r>
              <w:rPr>
                <w:rFonts w:hint="eastAsia" w:asciiTheme="minorEastAsia" w:hAnsiTheme="minorEastAsia" w:eastAsiaTheme="minorEastAsia" w:cstheme="minorEastAsia"/>
                <w:color w:val="auto"/>
                <w:lang w:val="en-US" w:eastAsia="zh-CN"/>
              </w:rPr>
              <w:t>3</w:t>
            </w:r>
            <w:r>
              <w:rPr>
                <w:rFonts w:hint="eastAsia" w:asciiTheme="minorEastAsia" w:hAnsiTheme="minorEastAsia" w:eastAsiaTheme="minorEastAsia" w:cstheme="minorEastAsia"/>
                <w:color w:val="auto"/>
              </w:rPr>
              <w:t>分；</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2、基本满足需求，方案基本详尽，得1</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分；</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3、较为满足需求，方案较为详尽，得</w:t>
            </w:r>
            <w:r>
              <w:rPr>
                <w:rFonts w:hint="eastAsia" w:asciiTheme="minorEastAsia" w:hAnsiTheme="minorEastAsia" w:eastAsiaTheme="minorEastAsia" w:cstheme="minorEastAsia"/>
                <w:color w:val="auto"/>
                <w:lang w:val="en-US" w:eastAsia="zh-CN"/>
              </w:rPr>
              <w:t>9</w:t>
            </w:r>
            <w:r>
              <w:rPr>
                <w:rFonts w:hint="eastAsia" w:asciiTheme="minorEastAsia" w:hAnsiTheme="minorEastAsia" w:eastAsiaTheme="minorEastAsia" w:cstheme="minorEastAsia"/>
                <w:color w:val="auto"/>
              </w:rPr>
              <w:t>分；</w:t>
            </w:r>
          </w:p>
          <w:p>
            <w:pPr>
              <w:snapToGrid w:val="0"/>
              <w:textAlignment w:val="baseline"/>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4、不满足需求，方案不够详尽，得</w:t>
            </w:r>
            <w:r>
              <w:rPr>
                <w:rFonts w:hint="eastAsia" w:asciiTheme="minorEastAsia" w:hAnsiTheme="minorEastAsia" w:eastAsiaTheme="minorEastAsia" w:cstheme="minorEastAsia"/>
                <w:color w:val="auto"/>
                <w:lang w:val="en-US" w:eastAsia="zh-CN"/>
              </w:rPr>
              <w:t>7</w:t>
            </w:r>
            <w:r>
              <w:rPr>
                <w:rFonts w:hint="eastAsia" w:asciiTheme="minorEastAsia" w:hAnsiTheme="minorEastAsia" w:eastAsiaTheme="minorEastAsia" w:cstheme="minorEastAsia"/>
                <w:color w:val="auto"/>
              </w:rPr>
              <w:t>分；</w:t>
            </w:r>
          </w:p>
          <w:p>
            <w:pPr>
              <w:snapToGrid w:val="0"/>
              <w:textAlignment w:val="baseline"/>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t>5、未提供的不得分。</w:t>
            </w:r>
          </w:p>
        </w:tc>
      </w:tr>
    </w:tbl>
    <w:p>
      <w:pPr>
        <w:spacing w:line="440" w:lineRule="exact"/>
        <w:ind w:firstLine="420" w:firstLineChars="200"/>
        <w:rPr>
          <w:rFonts w:ascii="宋体" w:hAnsi="宋体" w:cs="宋体"/>
          <w:szCs w:val="21"/>
        </w:rPr>
      </w:pPr>
      <w:r>
        <w:rPr>
          <w:rFonts w:hint="eastAsia" w:ascii="宋体" w:hAnsi="宋体" w:cs="宋体"/>
          <w:szCs w:val="21"/>
        </w:rPr>
        <w:t>注：</w:t>
      </w:r>
      <w:r>
        <w:rPr>
          <w:rFonts w:hint="eastAsia" w:ascii="宋体" w:hAnsi="宋体" w:cs="宋体"/>
          <w:b/>
          <w:bCs/>
          <w:szCs w:val="21"/>
        </w:rPr>
        <w:t>1.评分办法中要求的证明材料均需按要求附响应文件中，否则不得分。</w:t>
      </w:r>
    </w:p>
    <w:p>
      <w:pPr>
        <w:spacing w:line="440" w:lineRule="exact"/>
        <w:ind w:firstLine="420" w:firstLineChars="200"/>
        <w:rPr>
          <w:rFonts w:ascii="宋体" w:hAnsi="宋体" w:cs="宋体"/>
          <w:szCs w:val="21"/>
        </w:rPr>
      </w:pPr>
      <w:r>
        <w:rPr>
          <w:rFonts w:hint="eastAsia" w:ascii="宋体" w:hAnsi="宋体" w:cs="宋体"/>
          <w:szCs w:val="21"/>
        </w:rPr>
        <w:t>2.评分分值及计算结果精确到小数点后二位，二位以后四舍五入。</w:t>
      </w:r>
    </w:p>
    <w:p>
      <w:pPr>
        <w:spacing w:line="440" w:lineRule="exact"/>
        <w:ind w:firstLine="420" w:firstLineChars="200"/>
        <w:rPr>
          <w:rFonts w:ascii="宋体" w:hAnsi="宋体" w:cs="宋体"/>
          <w:szCs w:val="21"/>
        </w:rPr>
      </w:pPr>
      <w:r>
        <w:rPr>
          <w:rFonts w:hint="eastAsia" w:ascii="宋体" w:hAnsi="宋体" w:cs="宋体"/>
          <w:szCs w:val="21"/>
        </w:rPr>
        <w:t>3.评审时，磋商小组各成员应当独立对每个有效响应的文件进行评价、打分，然后汇总每个供应商每项评分因素的得分，取各磋商小组各成员评分的算术平均数作为供应商的评审最后得分。</w:t>
      </w:r>
    </w:p>
    <w:p>
      <w:pPr>
        <w:spacing w:line="440" w:lineRule="exact"/>
        <w:ind w:firstLine="420" w:firstLineChars="200"/>
        <w:rPr>
          <w:rFonts w:ascii="宋体" w:hAnsi="宋体" w:cs="宋体"/>
          <w:szCs w:val="21"/>
        </w:rPr>
      </w:pPr>
      <w:r>
        <w:rPr>
          <w:rFonts w:hint="eastAsia" w:ascii="宋体" w:hAnsi="宋体" w:cs="宋体"/>
          <w:szCs w:val="21"/>
        </w:rPr>
        <w:t>4.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pStyle w:val="38"/>
        <w:rPr>
          <w:rFonts w:ascii="宋体" w:hAnsi="宋体" w:cs="宋体"/>
          <w:szCs w:val="21"/>
        </w:rPr>
      </w:pPr>
    </w:p>
    <w:bookmarkEnd w:id="69"/>
    <w:bookmarkEnd w:id="70"/>
    <w:p>
      <w:pPr>
        <w:sectPr>
          <w:footerReference r:id="rId10" w:type="default"/>
          <w:pgSz w:w="11906" w:h="16838"/>
          <w:pgMar w:top="1134" w:right="1134" w:bottom="1134" w:left="1474" w:header="851" w:footer="510" w:gutter="0"/>
          <w:pgNumType w:start="1"/>
          <w:cols w:space="720" w:num="1"/>
          <w:docGrid w:type="lines" w:linePitch="312" w:charSpace="0"/>
        </w:sectPr>
      </w:pPr>
      <w:bookmarkStart w:id="71" w:name="_Toc113459850"/>
      <w:bookmarkStart w:id="72" w:name="_Toc7461"/>
    </w:p>
    <w:p>
      <w:pPr>
        <w:pStyle w:val="36"/>
        <w:numPr>
          <w:ilvl w:val="0"/>
          <w:numId w:val="1"/>
        </w:numPr>
        <w:spacing w:line="360" w:lineRule="auto"/>
        <w:ind w:firstLine="0"/>
        <w:rPr>
          <w:rFonts w:ascii="宋体" w:hAnsi="宋体" w:cs="宋体"/>
        </w:rPr>
      </w:pPr>
      <w:bookmarkStart w:id="73" w:name="_Toc25216"/>
      <w:r>
        <w:rPr>
          <w:rFonts w:hint="eastAsia" w:ascii="宋体" w:hAnsi="宋体" w:cs="宋体"/>
        </w:rPr>
        <w:t>拟签订的合同</w:t>
      </w:r>
      <w:bookmarkStart w:id="74" w:name="_Toc373230031"/>
      <w:bookmarkStart w:id="75" w:name="_Toc218418181"/>
      <w:bookmarkStart w:id="76" w:name="_Toc214329890"/>
      <w:bookmarkStart w:id="77" w:name="_Toc374512418"/>
      <w:bookmarkStart w:id="78" w:name="_Toc153880771"/>
      <w:r>
        <w:rPr>
          <w:rFonts w:hint="eastAsia" w:ascii="宋体" w:hAnsi="宋体" w:cs="宋体"/>
        </w:rPr>
        <w:t>文本</w:t>
      </w:r>
      <w:bookmarkEnd w:id="71"/>
      <w:bookmarkEnd w:id="73"/>
    </w:p>
    <w:p>
      <w:pPr>
        <w:jc w:val="center"/>
      </w:pPr>
      <w:r>
        <w:rPr>
          <w:rFonts w:hint="eastAsia" w:ascii="宋体" w:hAnsi="宋体"/>
          <w:sz w:val="28"/>
          <w:szCs w:val="24"/>
        </w:rPr>
        <w:t>（仅供参考）</w:t>
      </w:r>
    </w:p>
    <w:p>
      <w:pPr>
        <w:autoSpaceDE w:val="0"/>
        <w:autoSpaceDN w:val="0"/>
        <w:adjustRightInd w:val="0"/>
        <w:spacing w:line="360" w:lineRule="auto"/>
        <w:rPr>
          <w:rFonts w:ascii="宋体" w:hAnsi="宋体" w:cs="宋体"/>
          <w:szCs w:val="21"/>
        </w:rPr>
      </w:pPr>
      <w:r>
        <w:rPr>
          <w:rFonts w:hint="eastAsia" w:ascii="宋体" w:hAnsi="宋体" w:cs="宋体"/>
          <w:szCs w:val="21"/>
        </w:rPr>
        <w:t>委托方：                            （以下简称甲方）</w:t>
      </w:r>
    </w:p>
    <w:p>
      <w:pPr>
        <w:autoSpaceDE w:val="0"/>
        <w:autoSpaceDN w:val="0"/>
        <w:adjustRightInd w:val="0"/>
        <w:spacing w:line="360" w:lineRule="auto"/>
        <w:rPr>
          <w:rFonts w:ascii="宋体" w:hAnsi="宋体" w:cs="宋体"/>
          <w:szCs w:val="21"/>
        </w:rPr>
      </w:pPr>
      <w:r>
        <w:rPr>
          <w:rFonts w:hint="eastAsia" w:ascii="宋体" w:hAnsi="宋体" w:cs="宋体"/>
          <w:szCs w:val="21"/>
        </w:rPr>
        <w:t>受托方：                            （以下简称乙方）</w:t>
      </w:r>
    </w:p>
    <w:p>
      <w:pPr>
        <w:autoSpaceDE w:val="0"/>
        <w:autoSpaceDN w:val="0"/>
        <w:adjustRightInd w:val="0"/>
        <w:spacing w:line="360" w:lineRule="auto"/>
        <w:rPr>
          <w:rFonts w:ascii="宋体" w:hAnsi="宋体" w:cs="宋体"/>
          <w:szCs w:val="21"/>
        </w:rPr>
      </w:pPr>
      <w:r>
        <w:rPr>
          <w:rFonts w:hint="eastAsia" w:ascii="宋体" w:hAnsi="宋体" w:cs="宋体"/>
          <w:szCs w:val="21"/>
        </w:rPr>
        <w:t>甲方为了按时、保质完成</w:t>
      </w:r>
      <w:r>
        <w:rPr>
          <w:rFonts w:hint="eastAsia" w:ascii="宋体" w:hAnsi="宋体" w:cs="宋体"/>
          <w:szCs w:val="21"/>
          <w:u w:val="single"/>
        </w:rPr>
        <w:t xml:space="preserve">                      </w:t>
      </w:r>
      <w:r>
        <w:rPr>
          <w:rFonts w:hint="eastAsia" w:ascii="宋体" w:hAnsi="宋体" w:cs="宋体"/>
          <w:szCs w:val="21"/>
        </w:rPr>
        <w:t>项目，与乙方达成以下协议：</w:t>
      </w:r>
    </w:p>
    <w:p>
      <w:pPr>
        <w:autoSpaceDE w:val="0"/>
        <w:autoSpaceDN w:val="0"/>
        <w:adjustRightInd w:val="0"/>
        <w:spacing w:line="360" w:lineRule="auto"/>
        <w:rPr>
          <w:rFonts w:ascii="宋体" w:hAnsi="宋体" w:cs="宋体"/>
          <w:szCs w:val="21"/>
        </w:rPr>
      </w:pPr>
      <w:r>
        <w:rPr>
          <w:rFonts w:hint="eastAsia" w:ascii="宋体" w:hAnsi="宋体" w:cs="宋体"/>
          <w:szCs w:val="21"/>
        </w:rPr>
        <w:t>一、甲方委托乙方完成</w:t>
      </w:r>
      <w:r>
        <w:rPr>
          <w:rFonts w:hint="eastAsia" w:ascii="宋体" w:hAnsi="宋体" w:cs="宋体"/>
          <w:szCs w:val="21"/>
          <w:u w:val="single"/>
        </w:rPr>
        <w:t xml:space="preserve">                </w:t>
      </w:r>
      <w:r>
        <w:rPr>
          <w:rFonts w:hint="eastAsia" w:ascii="宋体" w:hAnsi="宋体" w:cs="宋体"/>
          <w:szCs w:val="21"/>
        </w:rPr>
        <w:t>项目，该项目内容包括</w:t>
      </w:r>
      <w:r>
        <w:rPr>
          <w:rFonts w:hint="eastAsia" w:ascii="宋体" w:hAnsi="宋体" w:cs="宋体"/>
          <w:szCs w:val="21"/>
          <w:u w:val="single"/>
        </w:rPr>
        <w:t xml:space="preserve">                       </w:t>
      </w:r>
      <w:r>
        <w:rPr>
          <w:rFonts w:hint="eastAsia" w:ascii="宋体" w:hAnsi="宋体" w:cs="宋体"/>
          <w:szCs w:val="21"/>
        </w:rPr>
        <w:t>。</w:t>
      </w:r>
    </w:p>
    <w:p>
      <w:pPr>
        <w:autoSpaceDE w:val="0"/>
        <w:autoSpaceDN w:val="0"/>
        <w:adjustRightInd w:val="0"/>
        <w:spacing w:line="360" w:lineRule="auto"/>
        <w:rPr>
          <w:rFonts w:ascii="宋体" w:hAnsi="宋体" w:cs="宋体"/>
          <w:szCs w:val="21"/>
        </w:rPr>
      </w:pPr>
      <w:r>
        <w:rPr>
          <w:rFonts w:hint="eastAsia" w:ascii="宋体" w:hAnsi="宋体" w:cs="宋体"/>
          <w:szCs w:val="21"/>
        </w:rPr>
        <w:t>二、乙方接受委托并按国家相关法规政策要求，在</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日前完成。并保证符合国家、行业规范及采购文件的要求，达到服务要求。</w:t>
      </w:r>
    </w:p>
    <w:p>
      <w:pPr>
        <w:autoSpaceDE w:val="0"/>
        <w:autoSpaceDN w:val="0"/>
        <w:adjustRightInd w:val="0"/>
        <w:spacing w:line="360" w:lineRule="auto"/>
        <w:rPr>
          <w:rFonts w:ascii="宋体" w:hAnsi="宋体" w:cs="宋体"/>
          <w:szCs w:val="21"/>
        </w:rPr>
      </w:pPr>
      <w:r>
        <w:rPr>
          <w:rFonts w:hint="eastAsia" w:ascii="宋体" w:hAnsi="宋体" w:cs="宋体"/>
          <w:szCs w:val="21"/>
        </w:rPr>
        <w:t>三、合同总金额为人民币</w:t>
      </w:r>
      <w:r>
        <w:rPr>
          <w:rFonts w:hint="eastAsia" w:ascii="宋体" w:hAnsi="宋体" w:cs="宋体"/>
          <w:szCs w:val="21"/>
          <w:u w:val="single"/>
        </w:rPr>
        <w:t xml:space="preserve">                         </w:t>
      </w:r>
      <w:r>
        <w:rPr>
          <w:rFonts w:hint="eastAsia" w:ascii="宋体" w:hAnsi="宋体" w:cs="宋体"/>
          <w:szCs w:val="21"/>
        </w:rPr>
        <w:t>。</w:t>
      </w:r>
    </w:p>
    <w:p>
      <w:pPr>
        <w:autoSpaceDE w:val="0"/>
        <w:autoSpaceDN w:val="0"/>
        <w:adjustRightInd w:val="0"/>
        <w:spacing w:line="360" w:lineRule="auto"/>
        <w:rPr>
          <w:rFonts w:ascii="宋体" w:hAnsi="宋体" w:cs="宋体"/>
          <w:szCs w:val="21"/>
          <w:u w:val="single"/>
        </w:rPr>
      </w:pPr>
      <w:r>
        <w:rPr>
          <w:rFonts w:hint="eastAsia" w:ascii="宋体" w:hAnsi="宋体" w:cs="宋体"/>
          <w:szCs w:val="21"/>
        </w:rPr>
        <w:t>四、付款方式：</w:t>
      </w:r>
    </w:p>
    <w:p>
      <w:pPr>
        <w:spacing w:line="360" w:lineRule="auto"/>
        <w:jc w:val="left"/>
        <w:rPr>
          <w:rFonts w:ascii="宋体" w:hAnsi="宋体" w:cs="宋体"/>
          <w:szCs w:val="21"/>
        </w:rPr>
      </w:pPr>
      <w:r>
        <w:rPr>
          <w:rFonts w:hint="eastAsia" w:ascii="宋体" w:hAnsi="宋体" w:cs="宋体"/>
          <w:szCs w:val="21"/>
        </w:rPr>
        <w:t xml:space="preserve">五、合同履行期限：  </w:t>
      </w:r>
    </w:p>
    <w:p>
      <w:pPr>
        <w:spacing w:line="360" w:lineRule="auto"/>
        <w:jc w:val="left"/>
        <w:rPr>
          <w:rFonts w:ascii="宋体" w:hAnsi="宋体" w:cs="宋体"/>
          <w:szCs w:val="21"/>
        </w:rPr>
      </w:pPr>
      <w:r>
        <w:rPr>
          <w:rFonts w:hint="eastAsia" w:ascii="宋体" w:hAnsi="宋体" w:cs="宋体"/>
          <w:szCs w:val="21"/>
        </w:rPr>
        <w:t xml:space="preserve">六、服务地点：     </w:t>
      </w:r>
    </w:p>
    <w:p>
      <w:pPr>
        <w:spacing w:line="360" w:lineRule="auto"/>
        <w:jc w:val="left"/>
        <w:rPr>
          <w:rFonts w:ascii="宋体" w:hAnsi="宋体" w:cs="宋体"/>
          <w:szCs w:val="21"/>
          <w:u w:val="single"/>
        </w:rPr>
      </w:pPr>
      <w:r>
        <w:rPr>
          <w:rFonts w:hint="eastAsia" w:ascii="宋体" w:hAnsi="宋体" w:cs="宋体"/>
          <w:szCs w:val="21"/>
        </w:rPr>
        <w:t xml:space="preserve">七、采购内容：    </w:t>
      </w:r>
    </w:p>
    <w:p>
      <w:pPr>
        <w:spacing w:line="360" w:lineRule="auto"/>
        <w:jc w:val="left"/>
        <w:rPr>
          <w:rFonts w:ascii="宋体" w:hAnsi="宋体" w:cs="宋体"/>
          <w:szCs w:val="21"/>
        </w:rPr>
      </w:pPr>
      <w:r>
        <w:rPr>
          <w:rFonts w:hint="eastAsia" w:ascii="宋体" w:hAnsi="宋体" w:cs="宋体"/>
          <w:szCs w:val="21"/>
        </w:rPr>
        <w:t>八、违约责任：在执行合同期限内，任何一方因不可抗力事件造成不能履行合同时，应立即通知对方并确认同意，则合同履行期可延长，其延长期与不可抗力影响期相同。不可抗力事件延续7天及以上，双方应通过友好协商，决定是否继续履行合同事宜。甲方或乙方因单方违约给对方造成损失的，应当根据实际情况赔偿对方的损失。</w:t>
      </w:r>
    </w:p>
    <w:p>
      <w:pPr>
        <w:pStyle w:val="99"/>
        <w:spacing w:line="360" w:lineRule="auto"/>
        <w:rPr>
          <w:rFonts w:ascii="宋体" w:hAnsi="宋体" w:cs="宋体"/>
          <w:szCs w:val="21"/>
        </w:rPr>
      </w:pPr>
      <w:r>
        <w:rPr>
          <w:rFonts w:hint="eastAsia" w:ascii="宋体" w:hAnsi="宋体" w:cs="宋体"/>
          <w:szCs w:val="21"/>
        </w:rPr>
        <w:t>九、其它要求 ：</w:t>
      </w:r>
      <w:r>
        <w:rPr>
          <w:rFonts w:hint="eastAsia" w:ascii="宋体" w:hAnsi="宋体" w:cs="宋体"/>
          <w:szCs w:val="21"/>
          <w:u w:val="single"/>
        </w:rPr>
        <w:t xml:space="preserve">       </w:t>
      </w:r>
      <w:r>
        <w:rPr>
          <w:rFonts w:hint="eastAsia" w:ascii="宋体" w:hAnsi="宋体" w:cs="宋体"/>
          <w:szCs w:val="21"/>
        </w:rPr>
        <w:t>。</w:t>
      </w:r>
    </w:p>
    <w:p>
      <w:pPr>
        <w:autoSpaceDE w:val="0"/>
        <w:autoSpaceDN w:val="0"/>
        <w:adjustRightInd w:val="0"/>
        <w:spacing w:line="360" w:lineRule="auto"/>
        <w:rPr>
          <w:rFonts w:ascii="宋体" w:hAnsi="宋体" w:cs="宋体"/>
          <w:szCs w:val="21"/>
        </w:rPr>
      </w:pPr>
      <w:r>
        <w:rPr>
          <w:rFonts w:hint="eastAsia" w:ascii="宋体" w:hAnsi="宋体" w:cs="宋体"/>
          <w:szCs w:val="21"/>
        </w:rPr>
        <w:t>十、争议的解决</w:t>
      </w:r>
    </w:p>
    <w:p>
      <w:pPr>
        <w:autoSpaceDE w:val="0"/>
        <w:autoSpaceDN w:val="0"/>
        <w:adjustRightInd w:val="0"/>
        <w:spacing w:line="360" w:lineRule="auto"/>
        <w:rPr>
          <w:rFonts w:ascii="宋体" w:hAnsi="宋体" w:cs="宋体"/>
          <w:szCs w:val="21"/>
        </w:rPr>
      </w:pPr>
      <w:r>
        <w:rPr>
          <w:rFonts w:hint="eastAsia" w:ascii="宋体" w:hAnsi="宋体" w:cs="宋体"/>
          <w:szCs w:val="21"/>
        </w:rPr>
        <w:t>如双方在履行合同时发生纠纷，应协商解决；协商不成，任何一方均有权向甲方所在地人民法院诉讼解决。</w:t>
      </w:r>
    </w:p>
    <w:p>
      <w:pPr>
        <w:autoSpaceDE w:val="0"/>
        <w:autoSpaceDN w:val="0"/>
        <w:adjustRightInd w:val="0"/>
        <w:spacing w:line="360" w:lineRule="auto"/>
        <w:rPr>
          <w:rFonts w:ascii="宋体" w:hAnsi="宋体" w:cs="宋体"/>
          <w:szCs w:val="21"/>
        </w:rPr>
      </w:pPr>
      <w:r>
        <w:rPr>
          <w:rFonts w:hint="eastAsia" w:ascii="宋体" w:hAnsi="宋体" w:cs="宋体"/>
          <w:szCs w:val="21"/>
        </w:rPr>
        <w:t>十一、本合同未尽事宜，可订立补充协议。</w:t>
      </w:r>
    </w:p>
    <w:p>
      <w:pPr>
        <w:autoSpaceDE w:val="0"/>
        <w:autoSpaceDN w:val="0"/>
        <w:adjustRightInd w:val="0"/>
        <w:spacing w:line="360" w:lineRule="auto"/>
        <w:rPr>
          <w:rFonts w:ascii="宋体" w:hAnsi="宋体" w:cs="宋体"/>
          <w:szCs w:val="21"/>
        </w:rPr>
      </w:pPr>
      <w:r>
        <w:rPr>
          <w:rFonts w:hint="eastAsia" w:ascii="宋体" w:hAnsi="宋体" w:cs="宋体"/>
          <w:szCs w:val="21"/>
        </w:rPr>
        <w:t>十二、本合同一经双方法定代表人（或委托代理人）签字，并加盖公章即为生效。合同一式</w:t>
      </w:r>
      <w:r>
        <w:rPr>
          <w:rFonts w:hint="eastAsia" w:ascii="宋体" w:hAnsi="宋体" w:cs="宋体"/>
          <w:szCs w:val="21"/>
          <w:u w:val="single"/>
        </w:rPr>
        <w:t xml:space="preserve">  </w:t>
      </w:r>
      <w:r>
        <w:rPr>
          <w:rFonts w:hint="eastAsia" w:ascii="宋体" w:hAnsi="宋体" w:cs="宋体"/>
          <w:szCs w:val="21"/>
        </w:rPr>
        <w:t>份，甲乙双方各执</w:t>
      </w:r>
      <w:r>
        <w:rPr>
          <w:rFonts w:hint="eastAsia" w:ascii="宋体" w:hAnsi="宋体" w:cs="宋体"/>
          <w:szCs w:val="21"/>
          <w:u w:val="single"/>
        </w:rPr>
        <w:t xml:space="preserve">   </w:t>
      </w:r>
      <w:r>
        <w:rPr>
          <w:rFonts w:hint="eastAsia" w:ascii="宋体" w:hAnsi="宋体" w:cs="宋体"/>
          <w:szCs w:val="21"/>
        </w:rPr>
        <w:t>份、政府采购办及公共资源交易中心各执</w:t>
      </w:r>
      <w:r>
        <w:rPr>
          <w:rFonts w:hint="eastAsia" w:ascii="宋体" w:hAnsi="宋体" w:cs="宋体"/>
          <w:szCs w:val="21"/>
          <w:u w:val="single"/>
        </w:rPr>
        <w:t xml:space="preserve">   </w:t>
      </w:r>
      <w:r>
        <w:rPr>
          <w:rFonts w:hint="eastAsia" w:ascii="宋体" w:hAnsi="宋体" w:cs="宋体"/>
          <w:szCs w:val="21"/>
        </w:rPr>
        <w:t>份，效力相同。</w:t>
      </w:r>
    </w:p>
    <w:p>
      <w:pPr>
        <w:autoSpaceDE w:val="0"/>
        <w:autoSpaceDN w:val="0"/>
        <w:adjustRightInd w:val="0"/>
        <w:spacing w:line="360" w:lineRule="auto"/>
        <w:rPr>
          <w:rFonts w:ascii="宋体" w:hAnsi="宋体" w:cs="宋体"/>
          <w:szCs w:val="21"/>
        </w:rPr>
      </w:pPr>
      <w:r>
        <w:rPr>
          <w:rFonts w:hint="eastAsia" w:ascii="宋体" w:hAnsi="宋体" w:cs="宋体"/>
          <w:szCs w:val="21"/>
        </w:rPr>
        <w:t xml:space="preserve">甲方：                                             乙方： </w:t>
      </w:r>
    </w:p>
    <w:p>
      <w:pPr>
        <w:autoSpaceDE w:val="0"/>
        <w:autoSpaceDN w:val="0"/>
        <w:adjustRightInd w:val="0"/>
        <w:spacing w:line="360" w:lineRule="auto"/>
        <w:rPr>
          <w:rFonts w:ascii="宋体" w:hAnsi="宋体" w:cs="宋体"/>
          <w:szCs w:val="21"/>
        </w:rPr>
      </w:pPr>
      <w:r>
        <w:rPr>
          <w:rFonts w:hint="eastAsia" w:ascii="宋体" w:hAnsi="宋体" w:cs="宋体"/>
          <w:szCs w:val="21"/>
        </w:rPr>
        <w:t>地址：                                             地址：</w:t>
      </w:r>
    </w:p>
    <w:p>
      <w:pPr>
        <w:autoSpaceDE w:val="0"/>
        <w:autoSpaceDN w:val="0"/>
        <w:adjustRightInd w:val="0"/>
        <w:spacing w:line="360" w:lineRule="auto"/>
        <w:rPr>
          <w:rFonts w:ascii="宋体" w:hAnsi="宋体" w:cs="宋体"/>
          <w:szCs w:val="21"/>
        </w:rPr>
      </w:pPr>
      <w:r>
        <w:rPr>
          <w:rFonts w:hint="eastAsia" w:ascii="宋体" w:hAnsi="宋体" w:cs="宋体"/>
          <w:szCs w:val="21"/>
        </w:rPr>
        <w:t>法定代表人：                                       法定代表人：</w:t>
      </w:r>
    </w:p>
    <w:p>
      <w:pPr>
        <w:autoSpaceDE w:val="0"/>
        <w:autoSpaceDN w:val="0"/>
        <w:adjustRightInd w:val="0"/>
        <w:spacing w:line="360" w:lineRule="auto"/>
        <w:rPr>
          <w:rFonts w:ascii="宋体" w:hAnsi="宋体" w:cs="宋体"/>
          <w:szCs w:val="21"/>
        </w:rPr>
      </w:pPr>
      <w:r>
        <w:rPr>
          <w:rFonts w:hint="eastAsia" w:ascii="宋体" w:hAnsi="宋体" w:cs="宋体"/>
          <w:szCs w:val="21"/>
        </w:rPr>
        <w:t>委托代理人：                                       委托代理人：</w:t>
      </w:r>
    </w:p>
    <w:p>
      <w:pPr>
        <w:autoSpaceDE w:val="0"/>
        <w:autoSpaceDN w:val="0"/>
        <w:adjustRightInd w:val="0"/>
        <w:spacing w:line="360" w:lineRule="auto"/>
        <w:rPr>
          <w:rFonts w:ascii="宋体" w:hAnsi="宋体" w:cs="宋体"/>
          <w:szCs w:val="21"/>
        </w:rPr>
      </w:pPr>
      <w:r>
        <w:rPr>
          <w:rFonts w:hint="eastAsia" w:ascii="宋体" w:hAnsi="宋体" w:cs="宋体"/>
          <w:szCs w:val="21"/>
        </w:rPr>
        <w:t xml:space="preserve">电话：                                             电话： </w:t>
      </w:r>
    </w:p>
    <w:p>
      <w:pPr>
        <w:pStyle w:val="22"/>
        <w:spacing w:line="440" w:lineRule="exact"/>
        <w:rPr>
          <w:rFonts w:cs="宋体"/>
          <w:sz w:val="21"/>
          <w:szCs w:val="21"/>
        </w:rPr>
      </w:pPr>
      <w:r>
        <w:rPr>
          <w:rFonts w:hint="eastAsia" w:cs="宋体"/>
          <w:sz w:val="21"/>
          <w:szCs w:val="21"/>
        </w:rPr>
        <w:t>日期：   年   月    日                             日期：   年   月    日</w:t>
      </w:r>
    </w:p>
    <w:bookmarkEnd w:id="74"/>
    <w:bookmarkEnd w:id="75"/>
    <w:bookmarkEnd w:id="76"/>
    <w:bookmarkEnd w:id="77"/>
    <w:bookmarkEnd w:id="78"/>
    <w:p>
      <w:pPr>
        <w:pStyle w:val="36"/>
        <w:numPr>
          <w:ilvl w:val="0"/>
          <w:numId w:val="1"/>
        </w:numPr>
        <w:spacing w:line="360" w:lineRule="auto"/>
        <w:ind w:firstLine="0"/>
        <w:rPr>
          <w:rFonts w:ascii="宋体" w:hAnsi="宋体" w:cs="宋体"/>
        </w:rPr>
      </w:pPr>
      <w:bookmarkStart w:id="79" w:name="_Toc10079"/>
      <w:r>
        <w:rPr>
          <w:rFonts w:hint="eastAsia" w:ascii="宋体" w:hAnsi="宋体" w:cs="宋体"/>
        </w:rPr>
        <w:t>采购需求</w:t>
      </w:r>
      <w:bookmarkEnd w:id="72"/>
      <w:bookmarkEnd w:id="79"/>
    </w:p>
    <w:p>
      <w:pPr>
        <w:widowControl/>
        <w:adjustRightInd w:val="0"/>
        <w:spacing w:line="360" w:lineRule="auto"/>
        <w:rPr>
          <w:rFonts w:ascii="宋体" w:hAnsi="宋体"/>
          <w:b/>
          <w:kern w:val="0"/>
          <w:szCs w:val="21"/>
        </w:rPr>
      </w:pPr>
      <w:bookmarkStart w:id="80" w:name="_Toc477423251"/>
      <w:bookmarkStart w:id="81" w:name="_Toc374512420"/>
      <w:bookmarkStart w:id="82" w:name="_Toc11229"/>
      <w:bookmarkStart w:id="83" w:name="_Toc373230032"/>
      <w:bookmarkStart w:id="84" w:name="_Toc487805927"/>
      <w:bookmarkStart w:id="85" w:name="_Toc4426"/>
      <w:bookmarkStart w:id="86" w:name="_Toc20594"/>
      <w:r>
        <w:rPr>
          <w:rFonts w:hint="eastAsia" w:ascii="宋体" w:hAnsi="宋体"/>
          <w:b/>
          <w:kern w:val="0"/>
          <w:szCs w:val="21"/>
        </w:rPr>
        <w:t>一、</w:t>
      </w:r>
      <w:r>
        <w:rPr>
          <w:rFonts w:ascii="宋体" w:hAnsi="宋体"/>
          <w:b/>
          <w:kern w:val="0"/>
          <w:szCs w:val="21"/>
        </w:rPr>
        <w:t>相关说明</w:t>
      </w:r>
    </w:p>
    <w:p>
      <w:pPr>
        <w:widowControl/>
        <w:numPr>
          <w:ilvl w:val="2"/>
          <w:numId w:val="7"/>
        </w:numPr>
        <w:adjustRightInd w:val="0"/>
        <w:spacing w:line="360" w:lineRule="auto"/>
        <w:ind w:firstLine="420" w:firstLineChars="200"/>
        <w:jc w:val="left"/>
        <w:rPr>
          <w:rFonts w:ascii="宋体" w:hAnsi="宋体"/>
          <w:kern w:val="0"/>
          <w:szCs w:val="21"/>
        </w:rPr>
      </w:pPr>
      <w:r>
        <w:rPr>
          <w:rFonts w:hint="eastAsia" w:ascii="宋体" w:hAnsi="宋体"/>
          <w:kern w:val="0"/>
          <w:szCs w:val="21"/>
        </w:rPr>
        <w:t>本次采购内容如果要求的某些技术标准低于国家标准，均以最新的国家标准为准。采购技术要求中未明确的技术标准也均不得低于国家标准；</w:t>
      </w:r>
    </w:p>
    <w:p>
      <w:pPr>
        <w:widowControl/>
        <w:numPr>
          <w:ilvl w:val="2"/>
          <w:numId w:val="7"/>
        </w:numPr>
        <w:adjustRightInd w:val="0"/>
        <w:spacing w:line="360" w:lineRule="auto"/>
        <w:ind w:firstLine="420" w:firstLineChars="200"/>
        <w:jc w:val="left"/>
        <w:rPr>
          <w:rFonts w:ascii="宋体" w:hAnsi="宋体"/>
          <w:kern w:val="0"/>
          <w:szCs w:val="21"/>
        </w:rPr>
      </w:pPr>
      <w:r>
        <w:rPr>
          <w:rFonts w:ascii="宋体" w:hAnsi="宋体"/>
          <w:kern w:val="0"/>
          <w:szCs w:val="21"/>
        </w:rPr>
        <w:t>本采购项目为交钥匙项目，</w:t>
      </w:r>
      <w:r>
        <w:rPr>
          <w:rFonts w:hint="eastAsia" w:ascii="宋体" w:hAnsi="宋体"/>
          <w:kern w:val="0"/>
          <w:szCs w:val="21"/>
        </w:rPr>
        <w:t>验收合格前</w:t>
      </w:r>
      <w:r>
        <w:rPr>
          <w:rFonts w:ascii="宋体" w:hAnsi="宋体"/>
          <w:kern w:val="0"/>
          <w:szCs w:val="21"/>
        </w:rPr>
        <w:t>所需的一切费用</w:t>
      </w:r>
      <w:r>
        <w:rPr>
          <w:rFonts w:hint="eastAsia" w:ascii="宋体" w:hAnsi="宋体"/>
          <w:kern w:val="0"/>
          <w:szCs w:val="21"/>
        </w:rPr>
        <w:t>均</w:t>
      </w:r>
      <w:r>
        <w:rPr>
          <w:rFonts w:ascii="宋体" w:hAnsi="宋体"/>
          <w:kern w:val="0"/>
          <w:szCs w:val="21"/>
        </w:rPr>
        <w:t>包含在报价之中，采购人不</w:t>
      </w:r>
      <w:r>
        <w:rPr>
          <w:rFonts w:hint="eastAsia" w:ascii="宋体" w:hAnsi="宋体"/>
          <w:kern w:val="0"/>
          <w:szCs w:val="21"/>
        </w:rPr>
        <w:t>承担成交价格以外的</w:t>
      </w:r>
      <w:r>
        <w:rPr>
          <w:rFonts w:ascii="宋体" w:hAnsi="宋体"/>
          <w:kern w:val="0"/>
          <w:szCs w:val="21"/>
        </w:rPr>
        <w:t>任何费用。</w:t>
      </w:r>
    </w:p>
    <w:p>
      <w:pPr>
        <w:widowControl/>
        <w:adjustRightInd w:val="0"/>
        <w:spacing w:line="360" w:lineRule="auto"/>
        <w:rPr>
          <w:rFonts w:ascii="宋体" w:hAnsi="宋体"/>
          <w:b/>
          <w:kern w:val="0"/>
          <w:szCs w:val="21"/>
        </w:rPr>
      </w:pPr>
      <w:r>
        <w:rPr>
          <w:rFonts w:hint="eastAsia" w:ascii="宋体" w:hAnsi="宋体"/>
          <w:b/>
          <w:kern w:val="0"/>
          <w:szCs w:val="21"/>
        </w:rPr>
        <w:t xml:space="preserve">二、商务要求： </w:t>
      </w:r>
    </w:p>
    <w:p>
      <w:pPr>
        <w:numPr>
          <w:ilvl w:val="2"/>
          <w:numId w:val="0"/>
        </w:numPr>
        <w:spacing w:line="360" w:lineRule="auto"/>
        <w:ind w:firstLine="420" w:firstLineChars="200"/>
        <w:rPr>
          <w:rFonts w:ascii="宋体" w:hAnsi="宋体"/>
          <w:szCs w:val="21"/>
        </w:rPr>
      </w:pPr>
      <w:r>
        <w:rPr>
          <w:rFonts w:ascii="宋体" w:hAnsi="宋体" w:cs="宋体"/>
          <w:szCs w:val="21"/>
        </w:rPr>
        <w:t>1.</w:t>
      </w:r>
      <w:r>
        <w:rPr>
          <w:rFonts w:hint="eastAsia" w:ascii="宋体" w:hAnsi="宋体"/>
          <w:szCs w:val="21"/>
        </w:rPr>
        <w:t>合同履行期限：服务合同签订之日起一年</w:t>
      </w:r>
    </w:p>
    <w:p>
      <w:pPr>
        <w:numPr>
          <w:ilvl w:val="2"/>
          <w:numId w:val="0"/>
        </w:numPr>
        <w:spacing w:line="360" w:lineRule="auto"/>
        <w:ind w:firstLine="420" w:firstLineChars="200"/>
        <w:rPr>
          <w:rFonts w:ascii="宋体" w:hAnsi="宋体"/>
          <w:szCs w:val="21"/>
        </w:rPr>
      </w:pPr>
      <w:r>
        <w:rPr>
          <w:rFonts w:ascii="宋体" w:hAnsi="宋体" w:cs="宋体"/>
          <w:szCs w:val="21"/>
        </w:rPr>
        <w:t>2.</w:t>
      </w:r>
      <w:r>
        <w:rPr>
          <w:rFonts w:hint="eastAsia" w:ascii="宋体" w:hAnsi="宋体"/>
          <w:szCs w:val="21"/>
        </w:rPr>
        <w:t>供货（服务）地点：武陟县区域内</w:t>
      </w:r>
    </w:p>
    <w:p>
      <w:pPr>
        <w:numPr>
          <w:ilvl w:val="2"/>
          <w:numId w:val="0"/>
        </w:numPr>
        <w:spacing w:line="360" w:lineRule="auto"/>
        <w:ind w:firstLine="420" w:firstLineChars="200"/>
        <w:rPr>
          <w:rFonts w:ascii="宋体" w:hAnsi="宋体"/>
          <w:szCs w:val="21"/>
        </w:rPr>
      </w:pPr>
      <w:r>
        <w:rPr>
          <w:rFonts w:ascii="宋体" w:hAnsi="宋体" w:cs="宋体"/>
          <w:szCs w:val="21"/>
        </w:rPr>
        <w:t>3.</w:t>
      </w:r>
      <w:r>
        <w:rPr>
          <w:rFonts w:hint="eastAsia" w:ascii="宋体" w:hAnsi="宋体"/>
          <w:szCs w:val="21"/>
        </w:rPr>
        <w:t>质量标准：</w:t>
      </w:r>
      <w:r>
        <w:rPr>
          <w:rFonts w:hint="eastAsia" w:ascii="宋体" w:hAnsi="宋体" w:cs="宋体"/>
          <w:szCs w:val="21"/>
        </w:rPr>
        <w:t>符合国家、行业规范及采购文件的要求，达到服务要求。</w:t>
      </w:r>
    </w:p>
    <w:p>
      <w:pPr>
        <w:numPr>
          <w:ilvl w:val="2"/>
          <w:numId w:val="0"/>
        </w:numPr>
        <w:spacing w:line="360" w:lineRule="auto"/>
        <w:ind w:firstLine="420" w:firstLineChars="200"/>
        <w:rPr>
          <w:rFonts w:ascii="宋体" w:hAnsi="宋体"/>
          <w:szCs w:val="21"/>
        </w:rPr>
      </w:pPr>
      <w:r>
        <w:rPr>
          <w:rFonts w:ascii="宋体" w:hAnsi="宋体" w:cs="宋体"/>
          <w:szCs w:val="21"/>
        </w:rPr>
        <w:t>4.</w:t>
      </w:r>
      <w:r>
        <w:rPr>
          <w:rFonts w:hint="eastAsia" w:ascii="宋体" w:hAnsi="宋体"/>
          <w:szCs w:val="21"/>
        </w:rPr>
        <w:t>付款方式：</w:t>
      </w:r>
      <w:r>
        <w:rPr>
          <w:rFonts w:hint="eastAsia" w:ascii="宋体" w:hAnsi="宋体"/>
          <w:kern w:val="0"/>
          <w:szCs w:val="21"/>
        </w:rPr>
        <w:t>采用先服务后支付的结算原则，每季度结算一次，由民政局或第三方评估机构进行评估，根据评估结果支付上季度服务费用。</w:t>
      </w:r>
    </w:p>
    <w:p>
      <w:pPr>
        <w:pStyle w:val="38"/>
        <w:rPr>
          <w:rFonts w:ascii="宋体" w:hAnsi="宋体"/>
          <w:b/>
          <w:bCs/>
          <w:szCs w:val="21"/>
        </w:rPr>
      </w:pPr>
      <w:r>
        <w:rPr>
          <w:rFonts w:hint="eastAsia" w:ascii="宋体" w:hAnsi="宋体"/>
          <w:b/>
          <w:bCs/>
          <w:szCs w:val="21"/>
        </w:rPr>
        <w:t>三、</w:t>
      </w:r>
      <w:r>
        <w:rPr>
          <w:rFonts w:hint="eastAsia" w:ascii="宋体" w:hAnsi="宋体"/>
          <w:b/>
          <w:szCs w:val="21"/>
        </w:rPr>
        <w:t>服务内容及要求</w:t>
      </w:r>
      <w:r>
        <w:rPr>
          <w:rFonts w:hint="eastAsia" w:ascii="宋体" w:hAnsi="宋体"/>
          <w:b/>
          <w:bCs/>
          <w:szCs w:val="21"/>
        </w:rPr>
        <w:t>：</w:t>
      </w:r>
    </w:p>
    <w:p>
      <w:pPr>
        <w:widowControl/>
        <w:shd w:val="clear" w:color="auto" w:fill="FFFFFF"/>
        <w:snapToGrid w:val="0"/>
        <w:spacing w:line="360" w:lineRule="auto"/>
        <w:ind w:firstLine="420" w:firstLineChars="200"/>
        <w:jc w:val="left"/>
        <w:rPr>
          <w:rFonts w:ascii="宋体" w:hAnsi="宋体" w:cs="宋体"/>
          <w:kern w:val="0"/>
          <w:szCs w:val="16"/>
        </w:rPr>
      </w:pPr>
      <w:r>
        <w:rPr>
          <w:rFonts w:hint="eastAsia" w:ascii="宋体" w:hAnsi="宋体"/>
          <w:color w:val="000000"/>
          <w:kern w:val="0"/>
          <w:szCs w:val="21"/>
        </w:rPr>
        <w:t>所属行业：</w:t>
      </w:r>
      <w:r>
        <w:rPr>
          <w:rFonts w:hint="eastAsia" w:ascii="宋体" w:hAnsi="宋体"/>
          <w:b/>
          <w:bCs/>
          <w:color w:val="000000"/>
          <w:kern w:val="0"/>
          <w:szCs w:val="21"/>
        </w:rPr>
        <w:t>其他未列明行业</w:t>
      </w:r>
    </w:p>
    <w:p>
      <w:pPr>
        <w:widowControl/>
        <w:shd w:val="clear" w:color="auto" w:fill="FFFFFF"/>
        <w:snapToGrid w:val="0"/>
        <w:spacing w:line="360" w:lineRule="auto"/>
        <w:ind w:firstLine="420" w:firstLineChars="200"/>
        <w:jc w:val="left"/>
        <w:rPr>
          <w:rFonts w:ascii="宋体" w:hAnsi="宋体" w:cs="宋体"/>
          <w:color w:val="auto"/>
          <w:kern w:val="0"/>
          <w:szCs w:val="16"/>
          <w:highlight w:val="none"/>
        </w:rPr>
      </w:pPr>
      <w:r>
        <w:rPr>
          <w:rFonts w:hint="eastAsia" w:ascii="宋体" w:hAnsi="宋体" w:cs="宋体"/>
          <w:color w:val="auto"/>
          <w:kern w:val="0"/>
          <w:szCs w:val="21"/>
          <w:highlight w:val="none"/>
        </w:rPr>
        <w:t>服务人数：155人（实际服务人数超出155人的，超出部分</w:t>
      </w:r>
      <w:r>
        <w:rPr>
          <w:rFonts w:hint="eastAsia" w:ascii="宋体" w:hAnsi="宋体" w:cs="宋体"/>
          <w:color w:val="auto"/>
          <w:kern w:val="0"/>
          <w:szCs w:val="21"/>
          <w:highlight w:val="none"/>
          <w:lang w:val="en-US" w:eastAsia="zh-CN"/>
        </w:rPr>
        <w:t>依据《中华人民共和国政府采购法》第四十九条之规定</w:t>
      </w:r>
      <w:r>
        <w:rPr>
          <w:rFonts w:hint="eastAsia" w:ascii="宋体" w:hAnsi="宋体" w:cs="宋体"/>
          <w:color w:val="auto"/>
          <w:kern w:val="0"/>
          <w:szCs w:val="21"/>
          <w:highlight w:val="none"/>
        </w:rPr>
        <w:t>签订补充</w:t>
      </w:r>
      <w:r>
        <w:rPr>
          <w:rFonts w:hint="eastAsia" w:ascii="宋体" w:hAnsi="宋体" w:cs="宋体"/>
          <w:color w:val="auto"/>
          <w:kern w:val="0"/>
          <w:szCs w:val="21"/>
          <w:highlight w:val="none"/>
          <w:lang w:val="en-US" w:eastAsia="zh-CN"/>
        </w:rPr>
        <w:t>合同</w:t>
      </w:r>
      <w:r>
        <w:rPr>
          <w:rFonts w:hint="eastAsia" w:ascii="宋体" w:hAnsi="宋体" w:cs="宋体"/>
          <w:color w:val="auto"/>
          <w:kern w:val="0"/>
          <w:szCs w:val="21"/>
          <w:highlight w:val="none"/>
        </w:rPr>
        <w:t>。）</w:t>
      </w:r>
    </w:p>
    <w:p>
      <w:pPr>
        <w:widowControl/>
        <w:shd w:val="clear" w:color="auto" w:fill="FFFFFF"/>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编印居家社区养老宣传资料1万份（A4铜版纸不低于157G双面彩印），编印标准化管理培训手册1000本（A4每本不少于100页），并在全县各乡镇开展宣传活动；编印养老机构全岗位规范化运营记录（每套不低于18个岗位，分岗位每月印制10套，并指导养老机构全岗位开展规范化记录）。</w:t>
      </w:r>
    </w:p>
    <w:p>
      <w:pPr>
        <w:widowControl/>
        <w:shd w:val="clear" w:color="auto" w:fill="FFFFFF"/>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2.每月对全县不少于9家乡镇（街道）养老机构开展标准化运营现场培训，每次培训时长不少于60分钟，推动标准化管理、规范化运营。</w:t>
      </w:r>
    </w:p>
    <w:p>
      <w:pPr>
        <w:pStyle w:val="38"/>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3.编写制作养老机构规范化管理、标准化运营清单，并制定宣传展板（PVC材质每块不小于50CM*80CM，每套不低于20块，共9套）。</w:t>
      </w:r>
    </w:p>
    <w:p>
      <w:pPr>
        <w:widowControl/>
        <w:shd w:val="clear" w:color="auto" w:fill="FFFFFF"/>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4.对</w:t>
      </w:r>
      <w:r>
        <w:rPr>
          <w:rFonts w:hint="eastAsia" w:ascii="宋体" w:hAnsi="宋体" w:cs="宋体"/>
          <w:color w:val="auto"/>
          <w:kern w:val="0"/>
          <w:szCs w:val="21"/>
          <w:highlight w:val="none"/>
          <w:lang w:eastAsia="zh-CN"/>
        </w:rPr>
        <w:t>每位接受服务的</w:t>
      </w:r>
      <w:r>
        <w:rPr>
          <w:rFonts w:hint="eastAsia" w:ascii="宋体" w:hAnsi="宋体" w:cs="宋体"/>
          <w:color w:val="auto"/>
          <w:kern w:val="0"/>
          <w:szCs w:val="21"/>
          <w:highlight w:val="none"/>
        </w:rPr>
        <w:t>老年人进行生活能力评估和照护需求评估，明确服务方案。</w:t>
      </w:r>
    </w:p>
    <w:p>
      <w:pPr>
        <w:widowControl/>
        <w:shd w:val="clear" w:color="auto" w:fill="FFFFFF"/>
        <w:snapToGrid w:val="0"/>
        <w:spacing w:line="360" w:lineRule="auto"/>
        <w:ind w:firstLine="420" w:firstLineChars="200"/>
        <w:jc w:val="left"/>
        <w:rPr>
          <w:rFonts w:ascii="宋体" w:hAnsi="宋体" w:cs="宋体"/>
          <w:kern w:val="0"/>
          <w:szCs w:val="16"/>
        </w:rPr>
      </w:pPr>
      <w:r>
        <w:rPr>
          <w:rFonts w:hint="eastAsia" w:ascii="宋体" w:hAnsi="宋体" w:cs="宋体"/>
          <w:color w:val="auto"/>
          <w:kern w:val="0"/>
          <w:szCs w:val="21"/>
          <w:highlight w:val="none"/>
        </w:rPr>
        <w:t>5.根据服务方案开展居家养老照护服务</w:t>
      </w:r>
      <w:r>
        <w:rPr>
          <w:rFonts w:hint="eastAsia" w:ascii="宋体" w:hAnsi="宋体" w:cs="宋体"/>
          <w:color w:val="auto"/>
          <w:kern w:val="0"/>
          <w:szCs w:val="16"/>
          <w:highlight w:val="none"/>
        </w:rPr>
        <w:t>，</w:t>
      </w:r>
      <w:r>
        <w:rPr>
          <w:rFonts w:hint="eastAsia"/>
          <w:color w:val="auto"/>
          <w:kern w:val="0"/>
          <w:szCs w:val="16"/>
          <w:highlight w:val="none"/>
        </w:rPr>
        <w:t>每人每年2000元</w:t>
      </w:r>
      <w:r>
        <w:rPr>
          <w:rFonts w:hint="eastAsia" w:ascii="宋体" w:hAnsi="宋体" w:cs="宋体"/>
          <w:color w:val="auto"/>
          <w:kern w:val="0"/>
          <w:szCs w:val="21"/>
          <w:highlight w:val="none"/>
        </w:rPr>
        <w:t>的标准。</w:t>
      </w:r>
    </w:p>
    <w:p>
      <w:pPr>
        <w:widowControl/>
        <w:shd w:val="clear" w:color="auto" w:fill="FFFFFF"/>
        <w:snapToGrid w:val="0"/>
        <w:spacing w:line="360" w:lineRule="auto"/>
        <w:jc w:val="center"/>
        <w:rPr>
          <w:kern w:val="0"/>
          <w:szCs w:val="16"/>
        </w:rPr>
      </w:pPr>
      <w:r>
        <w:rPr>
          <w:rFonts w:hint="eastAsia"/>
          <w:kern w:val="0"/>
          <w:szCs w:val="16"/>
        </w:rPr>
        <w:t>居家养老</w:t>
      </w:r>
      <w:r>
        <w:rPr>
          <w:rFonts w:hint="eastAsia" w:ascii="宋体" w:hAnsi="宋体" w:cs="宋体"/>
          <w:kern w:val="0"/>
          <w:szCs w:val="16"/>
        </w:rPr>
        <w:t>照护</w:t>
      </w:r>
      <w:r>
        <w:rPr>
          <w:rFonts w:hint="eastAsia"/>
          <w:kern w:val="0"/>
          <w:szCs w:val="16"/>
        </w:rPr>
        <w:t>服务内容</w:t>
      </w:r>
    </w:p>
    <w:tbl>
      <w:tblPr>
        <w:tblStyle w:val="39"/>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1660"/>
        <w:gridCol w:w="3762"/>
        <w:gridCol w:w="1706"/>
        <w:gridCol w:w="1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序号</w:t>
            </w:r>
          </w:p>
        </w:tc>
        <w:tc>
          <w:tcPr>
            <w:tcW w:w="873" w:type="pct"/>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服务项目</w:t>
            </w:r>
          </w:p>
        </w:tc>
        <w:tc>
          <w:tcPr>
            <w:tcW w:w="1978" w:type="pct"/>
            <w:tcBorders>
              <w:top w:val="single" w:color="auto" w:sz="4" w:space="0"/>
            </w:tcBorders>
            <w:vAlign w:val="center"/>
          </w:tcPr>
          <w:p>
            <w:pPr>
              <w:spacing w:line="440" w:lineRule="exact"/>
              <w:jc w:val="center"/>
              <w:rPr>
                <w:rFonts w:ascii="宋体" w:hAnsi="宋体" w:cs="宋体"/>
                <w:b/>
                <w:bCs/>
                <w:szCs w:val="21"/>
              </w:rPr>
            </w:pPr>
            <w:r>
              <w:rPr>
                <w:rFonts w:hint="eastAsia" w:ascii="宋体" w:hAnsi="宋体" w:cs="宋体"/>
                <w:b/>
                <w:bCs/>
                <w:szCs w:val="21"/>
              </w:rPr>
              <w:t>服务内容及要求</w:t>
            </w:r>
          </w:p>
        </w:tc>
        <w:tc>
          <w:tcPr>
            <w:tcW w:w="897" w:type="pct"/>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项目服务用时</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b/>
                <w:bCs/>
                <w:szCs w:val="21"/>
              </w:rPr>
              <w:t>预算服务价格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巡视</w:t>
            </w:r>
          </w:p>
        </w:tc>
        <w:tc>
          <w:tcPr>
            <w:tcW w:w="1978" w:type="pct"/>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探视老人，查看老人居住状态</w:t>
            </w:r>
          </w:p>
        </w:tc>
        <w:tc>
          <w:tcPr>
            <w:tcW w:w="897" w:type="pct"/>
            <w:tcBorders>
              <w:top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心脑血管动脉硬化筛查</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检测老人动脉硬化情况，预防心脑血管疾病</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3</w:t>
            </w:r>
          </w:p>
        </w:tc>
        <w:tc>
          <w:tcPr>
            <w:tcW w:w="873"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测量血压</w:t>
            </w:r>
          </w:p>
        </w:tc>
        <w:tc>
          <w:tcPr>
            <w:tcW w:w="1978" w:type="pct"/>
            <w:tcBorders>
              <w:top w:val="single" w:color="auto" w:sz="4" w:space="0"/>
              <w:bottom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为老人测量并长期对心率血压进行检测。</w:t>
            </w:r>
          </w:p>
        </w:tc>
        <w:tc>
          <w:tcPr>
            <w:tcW w:w="897"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w:t>
            </w:r>
          </w:p>
        </w:tc>
        <w:tc>
          <w:tcPr>
            <w:tcW w:w="873"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心理慰藉</w:t>
            </w:r>
          </w:p>
        </w:tc>
        <w:tc>
          <w:tcPr>
            <w:tcW w:w="1978" w:type="pct"/>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提供心理疏导服务</w:t>
            </w:r>
          </w:p>
        </w:tc>
        <w:tc>
          <w:tcPr>
            <w:tcW w:w="897"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5</w:t>
            </w:r>
          </w:p>
        </w:tc>
        <w:tc>
          <w:tcPr>
            <w:tcW w:w="873"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家务整理</w:t>
            </w:r>
          </w:p>
        </w:tc>
        <w:tc>
          <w:tcPr>
            <w:tcW w:w="1978" w:type="pct"/>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1.开窗通风，保持客厅、卧室、厨卫整洁，物品摆放整齐；</w:t>
            </w:r>
            <w:r>
              <w:rPr>
                <w:rFonts w:hint="eastAsia" w:ascii="宋体" w:hAnsi="宋体" w:cs="宋体"/>
                <w:szCs w:val="21"/>
              </w:rPr>
              <w:br w:type="textWrapping"/>
            </w:r>
            <w:r>
              <w:rPr>
                <w:rFonts w:hint="eastAsia" w:ascii="宋体" w:hAnsi="宋体" w:cs="宋体"/>
                <w:szCs w:val="21"/>
              </w:rPr>
              <w:t>2.按需晾晒（棉被，厚毛毯等）、更换床上四件套；</w:t>
            </w:r>
            <w:r>
              <w:rPr>
                <w:rFonts w:hint="eastAsia" w:ascii="宋体" w:hAnsi="宋体" w:cs="宋体"/>
                <w:szCs w:val="21"/>
              </w:rPr>
              <w:br w:type="textWrapping"/>
            </w:r>
            <w:r>
              <w:rPr>
                <w:rFonts w:hint="eastAsia" w:ascii="宋体" w:hAnsi="宋体" w:cs="宋体"/>
                <w:szCs w:val="21"/>
              </w:rPr>
              <w:t>3.按老年人习惯整理床铺，保持床铺整洁。</w:t>
            </w:r>
          </w:p>
        </w:tc>
        <w:tc>
          <w:tcPr>
            <w:tcW w:w="897"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9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kern w:val="0"/>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6</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居家清洁</w:t>
            </w:r>
          </w:p>
        </w:tc>
        <w:tc>
          <w:tcPr>
            <w:tcW w:w="1978" w:type="pct"/>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1.由内而外打扫居室卫生，拖洗地面至清洁无污，并通风保持地面干燥，防止老年人滑倒；</w:t>
            </w:r>
            <w:r>
              <w:rPr>
                <w:rFonts w:hint="eastAsia" w:ascii="宋体" w:hAnsi="宋体" w:cs="宋体"/>
                <w:szCs w:val="21"/>
              </w:rPr>
              <w:br w:type="textWrapping"/>
            </w:r>
            <w:r>
              <w:rPr>
                <w:rFonts w:hint="eastAsia" w:ascii="宋体" w:hAnsi="宋体" w:cs="宋体"/>
                <w:szCs w:val="21"/>
              </w:rPr>
              <w:t>2.处理垃圾不扬尘，保持客厅、卧室、厨卫整洁；</w:t>
            </w:r>
            <w:r>
              <w:rPr>
                <w:rFonts w:hint="eastAsia" w:ascii="宋体" w:hAnsi="宋体" w:cs="宋体"/>
                <w:szCs w:val="21"/>
              </w:rPr>
              <w:br w:type="textWrapping"/>
            </w:r>
            <w:r>
              <w:rPr>
                <w:rFonts w:hint="eastAsia" w:ascii="宋体" w:hAnsi="宋体" w:cs="宋体"/>
                <w:szCs w:val="21"/>
              </w:rPr>
              <w:t>3.保持居室整洁美观、目测无灰尘、空气清新无异味；</w:t>
            </w:r>
            <w:r>
              <w:rPr>
                <w:rFonts w:hint="eastAsia" w:ascii="宋体" w:hAnsi="宋体" w:cs="宋体"/>
                <w:szCs w:val="21"/>
              </w:rPr>
              <w:br w:type="textWrapping"/>
            </w:r>
            <w:r>
              <w:rPr>
                <w:rFonts w:hint="eastAsia" w:ascii="宋体" w:hAnsi="宋体" w:cs="宋体"/>
                <w:szCs w:val="21"/>
              </w:rPr>
              <w:t>4.保洁用品应及时清洗、消毒，保持清洁及卫生；</w:t>
            </w:r>
            <w:r>
              <w:rPr>
                <w:rFonts w:hint="eastAsia" w:ascii="宋体" w:hAnsi="宋体" w:cs="宋体"/>
                <w:szCs w:val="21"/>
              </w:rPr>
              <w:br w:type="textWrapping"/>
            </w:r>
            <w:r>
              <w:rPr>
                <w:rFonts w:hint="eastAsia" w:ascii="宋体" w:hAnsi="宋体" w:cs="宋体"/>
                <w:szCs w:val="21"/>
              </w:rPr>
              <w:t>5.打扫过程中，如遇钱财等贵重物品，应提醒老年人妥善保管。</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905"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7</w:t>
            </w:r>
          </w:p>
        </w:tc>
        <w:tc>
          <w:tcPr>
            <w:tcW w:w="873"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上门理发</w:t>
            </w:r>
          </w:p>
        </w:tc>
        <w:tc>
          <w:tcPr>
            <w:tcW w:w="1978" w:type="pct"/>
            <w:tcBorders>
              <w:top w:val="single" w:color="auto" w:sz="4" w:space="0"/>
            </w:tcBorders>
            <w:vAlign w:val="center"/>
          </w:tcPr>
          <w:p>
            <w:pPr>
              <w:widowControl/>
              <w:spacing w:line="400" w:lineRule="exact"/>
              <w:jc w:val="left"/>
              <w:rPr>
                <w:rFonts w:ascii="宋体" w:hAnsi="宋体" w:cs="宋体"/>
                <w:szCs w:val="21"/>
              </w:rPr>
            </w:pPr>
            <w:r>
              <w:rPr>
                <w:rFonts w:hint="eastAsia" w:ascii="宋体" w:hAnsi="宋体" w:cs="宋体"/>
                <w:kern w:val="0"/>
                <w:szCs w:val="21"/>
              </w:rPr>
              <w:t>1.简单理发，修面、挖耳注意安全，做到老年人容貌整洁；</w:t>
            </w:r>
            <w:r>
              <w:rPr>
                <w:rFonts w:hint="eastAsia" w:ascii="宋体" w:hAnsi="宋体" w:cs="宋体"/>
                <w:kern w:val="0"/>
                <w:szCs w:val="21"/>
              </w:rPr>
              <w:br w:type="textWrapping"/>
            </w:r>
            <w:r>
              <w:rPr>
                <w:rFonts w:hint="eastAsia" w:ascii="宋体" w:hAnsi="宋体" w:cs="宋体"/>
                <w:kern w:val="0"/>
                <w:szCs w:val="21"/>
              </w:rPr>
              <w:t>2.理发人员应受过培训上岗。</w:t>
            </w:r>
          </w:p>
        </w:tc>
        <w:tc>
          <w:tcPr>
            <w:tcW w:w="897"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20-30分钟</w:t>
            </w:r>
          </w:p>
        </w:tc>
        <w:tc>
          <w:tcPr>
            <w:tcW w:w="905"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8</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洗脚、指（趾）甲修剪</w:t>
            </w:r>
          </w:p>
        </w:tc>
        <w:tc>
          <w:tcPr>
            <w:tcW w:w="1978" w:type="pct"/>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1.泡脚、洗脚，剪指（趾）甲；</w:t>
            </w:r>
            <w:r>
              <w:rPr>
                <w:rFonts w:hint="eastAsia" w:ascii="宋体" w:hAnsi="宋体" w:cs="宋体"/>
                <w:szCs w:val="21"/>
              </w:rPr>
              <w:br w:type="textWrapping"/>
            </w:r>
            <w:r>
              <w:rPr>
                <w:rFonts w:hint="eastAsia" w:ascii="宋体" w:hAnsi="宋体" w:cs="宋体"/>
                <w:szCs w:val="21"/>
              </w:rPr>
              <w:t>2.保持指（趾）甲整洁、无异味。</w:t>
            </w:r>
          </w:p>
        </w:tc>
        <w:tc>
          <w:tcPr>
            <w:tcW w:w="897"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10-30分钟</w:t>
            </w:r>
          </w:p>
        </w:tc>
        <w:tc>
          <w:tcPr>
            <w:tcW w:w="905"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9</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康复护理</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对有需求的老年人制定康复方案，在专业人员指导下进行肢体类康复训练（腰椎康复训练、关节放松训练等）。</w:t>
            </w:r>
          </w:p>
          <w:p>
            <w:pPr>
              <w:autoSpaceDE w:val="0"/>
              <w:autoSpaceDN w:val="0"/>
              <w:jc w:val="left"/>
              <w:rPr>
                <w:rFonts w:ascii="宋体" w:hAnsi="宋体" w:cs="宋体"/>
                <w:szCs w:val="21"/>
              </w:rPr>
            </w:pPr>
            <w:r>
              <w:rPr>
                <w:rFonts w:hint="eastAsia" w:ascii="宋体" w:hAnsi="宋体" w:cs="宋体"/>
                <w:szCs w:val="21"/>
              </w:rPr>
              <w:t>1.应符合老年人的生理心理特点。</w:t>
            </w:r>
            <w:r>
              <w:rPr>
                <w:rFonts w:hint="eastAsia" w:ascii="宋体" w:hAnsi="宋体" w:cs="宋体"/>
                <w:szCs w:val="21"/>
              </w:rPr>
              <w:br w:type="textWrapping"/>
            </w:r>
            <w:r>
              <w:rPr>
                <w:rFonts w:hint="eastAsia" w:ascii="宋体" w:hAnsi="宋体" w:cs="宋体"/>
                <w:szCs w:val="21"/>
              </w:rPr>
              <w:t>2.根据需要配备相应的合格理疗器具，理疗过程中应注意观察老年人的身体适应情况，防止损伤。</w:t>
            </w:r>
            <w:r>
              <w:rPr>
                <w:rFonts w:hint="eastAsia" w:ascii="宋体" w:hAnsi="宋体" w:cs="宋体"/>
                <w:szCs w:val="21"/>
              </w:rPr>
              <w:br w:type="textWrapping"/>
            </w:r>
            <w:r>
              <w:rPr>
                <w:rFonts w:hint="eastAsia" w:ascii="宋体" w:hAnsi="宋体" w:cs="宋体"/>
                <w:szCs w:val="21"/>
              </w:rPr>
              <w:t>3.专业人员采用中医传统推拿手法，对症调理，配以拔罐、刮麴等，调和脏腑气血，缓解疼痛等。</w:t>
            </w:r>
          </w:p>
        </w:tc>
        <w:tc>
          <w:tcPr>
            <w:tcW w:w="897"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30-40分钟</w:t>
            </w:r>
          </w:p>
        </w:tc>
        <w:tc>
          <w:tcPr>
            <w:tcW w:w="905"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70元/时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10</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助浴</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1.根据需要提供上门擦拭、上门洗浴等服务内容；</w:t>
            </w:r>
          </w:p>
          <w:p>
            <w:pPr>
              <w:autoSpaceDE w:val="0"/>
              <w:autoSpaceDN w:val="0"/>
              <w:jc w:val="left"/>
              <w:rPr>
                <w:rFonts w:ascii="宋体" w:hAnsi="宋体" w:cs="宋体"/>
                <w:szCs w:val="21"/>
              </w:rPr>
            </w:pPr>
            <w:r>
              <w:rPr>
                <w:rFonts w:hint="eastAsia" w:ascii="宋体" w:hAnsi="宋体" w:cs="宋体"/>
                <w:szCs w:val="21"/>
              </w:rPr>
              <w:t>2.服务人员助浴过程中，应同时有家属或监护人在场，保障老年人安全；</w:t>
            </w:r>
          </w:p>
          <w:p>
            <w:pPr>
              <w:autoSpaceDE w:val="0"/>
              <w:autoSpaceDN w:val="0"/>
              <w:jc w:val="left"/>
              <w:rPr>
                <w:rFonts w:ascii="宋体" w:hAnsi="宋体" w:cs="宋体"/>
                <w:szCs w:val="21"/>
              </w:rPr>
            </w:pPr>
            <w:r>
              <w:rPr>
                <w:rFonts w:hint="eastAsia" w:ascii="宋体" w:hAnsi="宋体" w:cs="宋体"/>
                <w:szCs w:val="21"/>
              </w:rPr>
              <w:t>3.根据气候状况和老年人居住条件，注意防寒保暖、防暑降温和浴室内通风，环境温度应调节到25℃至30℃之间；</w:t>
            </w:r>
            <w:r>
              <w:rPr>
                <w:rFonts w:hint="eastAsia" w:ascii="宋体" w:hAnsi="宋体" w:cs="宋体"/>
                <w:szCs w:val="21"/>
              </w:rPr>
              <w:br w:type="textWrapping"/>
            </w:r>
            <w:r>
              <w:rPr>
                <w:rFonts w:hint="eastAsia" w:ascii="宋体" w:hAnsi="宋体" w:cs="宋体"/>
                <w:szCs w:val="21"/>
              </w:rPr>
              <w:t>4.助浴过程中应注意观察老年人身体情况，如遇老年人身体不适，协助采取应急措施。</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30-60分钟</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11</w:t>
            </w:r>
          </w:p>
        </w:tc>
        <w:tc>
          <w:tcPr>
            <w:tcW w:w="873"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身体清洁</w:t>
            </w:r>
          </w:p>
        </w:tc>
        <w:tc>
          <w:tcPr>
            <w:tcW w:w="1978" w:type="pct"/>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协助卧床老年人进行卧位洗头及面部清洁，对不能自理老年人采用棉棒、棉球擦拭清洁口腔</w:t>
            </w:r>
          </w:p>
        </w:tc>
        <w:tc>
          <w:tcPr>
            <w:tcW w:w="897"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20-30分钟</w:t>
            </w:r>
          </w:p>
        </w:tc>
        <w:tc>
          <w:tcPr>
            <w:tcW w:w="905"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12</w:t>
            </w:r>
          </w:p>
        </w:tc>
        <w:tc>
          <w:tcPr>
            <w:tcW w:w="873"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陪同外出</w:t>
            </w:r>
          </w:p>
        </w:tc>
        <w:tc>
          <w:tcPr>
            <w:tcW w:w="1978" w:type="pct"/>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1.协助老年人在住宅小区及周边区域活动；</w:t>
            </w:r>
            <w:r>
              <w:rPr>
                <w:rFonts w:hint="eastAsia" w:ascii="宋体" w:hAnsi="宋体" w:cs="宋体"/>
                <w:kern w:val="0"/>
                <w:szCs w:val="21"/>
              </w:rPr>
              <w:br w:type="textWrapping"/>
            </w:r>
            <w:r>
              <w:rPr>
                <w:rFonts w:hint="eastAsia" w:ascii="宋体" w:hAnsi="宋体" w:cs="宋体"/>
                <w:kern w:val="0"/>
                <w:szCs w:val="21"/>
              </w:rPr>
              <w:t>2.帮助老年人正确使用助行器及其他辅助用具，并注意途中安全。</w:t>
            </w:r>
          </w:p>
        </w:tc>
        <w:tc>
          <w:tcPr>
            <w:tcW w:w="897"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905"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13</w:t>
            </w:r>
          </w:p>
        </w:tc>
        <w:tc>
          <w:tcPr>
            <w:tcW w:w="873"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代办服务</w:t>
            </w:r>
          </w:p>
        </w:tc>
        <w:tc>
          <w:tcPr>
            <w:tcW w:w="1978" w:type="pct"/>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1.代办各种手续、代缴各种费用等日常生活事务，及时办理；</w:t>
            </w:r>
            <w:r>
              <w:rPr>
                <w:rFonts w:hint="eastAsia" w:ascii="宋体" w:hAnsi="宋体" w:cs="宋体"/>
                <w:kern w:val="0"/>
                <w:szCs w:val="21"/>
              </w:rPr>
              <w:br w:type="textWrapping"/>
            </w:r>
            <w:r>
              <w:rPr>
                <w:rFonts w:hint="eastAsia" w:ascii="宋体" w:hAnsi="宋体" w:cs="宋体"/>
                <w:kern w:val="0"/>
                <w:szCs w:val="21"/>
              </w:rPr>
              <w:t>2.代办前后当面清点钱物、证件、单据等并妥善保管好。</w:t>
            </w:r>
          </w:p>
        </w:tc>
        <w:tc>
          <w:tcPr>
            <w:tcW w:w="897"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905"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30元/次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14</w:t>
            </w:r>
          </w:p>
        </w:tc>
        <w:tc>
          <w:tcPr>
            <w:tcW w:w="873"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陪同就医</w:t>
            </w:r>
          </w:p>
        </w:tc>
        <w:tc>
          <w:tcPr>
            <w:tcW w:w="1978" w:type="pct"/>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1.陪同就医主要指常见病、慢性病复诊、辅助性检查、门诊注射、换药等（就诊单位为区级以上正规医疗机构）；</w:t>
            </w:r>
            <w:r>
              <w:rPr>
                <w:rFonts w:hint="eastAsia" w:ascii="宋体" w:hAnsi="宋体" w:cs="宋体"/>
                <w:kern w:val="0"/>
                <w:szCs w:val="21"/>
              </w:rPr>
              <w:br w:type="textWrapping"/>
            </w:r>
            <w:r>
              <w:rPr>
                <w:rFonts w:hint="eastAsia" w:ascii="宋体" w:hAnsi="宋体" w:cs="宋体"/>
                <w:kern w:val="0"/>
                <w:szCs w:val="21"/>
              </w:rPr>
              <w:t>2.注意老年人途中安全，并及时向老年人家属或监护人反馈就医情况；</w:t>
            </w:r>
            <w:r>
              <w:rPr>
                <w:rFonts w:hint="eastAsia" w:ascii="宋体" w:hAnsi="宋体" w:cs="宋体"/>
                <w:kern w:val="0"/>
                <w:szCs w:val="21"/>
              </w:rPr>
              <w:br w:type="textWrapping"/>
            </w:r>
            <w:r>
              <w:rPr>
                <w:rFonts w:hint="eastAsia" w:ascii="宋体" w:hAnsi="宋体" w:cs="宋体"/>
                <w:kern w:val="0"/>
                <w:szCs w:val="21"/>
              </w:rPr>
              <w:t>3.如需代为挂号、取药等服务，应做到当面清点钱款和药物。</w:t>
            </w:r>
          </w:p>
        </w:tc>
        <w:tc>
          <w:tcPr>
            <w:tcW w:w="897"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905"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15</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医生上门诊断</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专业医生上门为老人进行诊断服务。</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16</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心电图检测</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由护士上门为老人做心电图监测，由医生查看解释结果，并下达医嘱。</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17</w:t>
            </w:r>
          </w:p>
        </w:tc>
        <w:tc>
          <w:tcPr>
            <w:tcW w:w="873"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协助就餐</w:t>
            </w:r>
          </w:p>
        </w:tc>
        <w:tc>
          <w:tcPr>
            <w:tcW w:w="1978" w:type="pct"/>
            <w:tcBorders>
              <w:top w:val="single" w:color="auto" w:sz="4" w:space="0"/>
            </w:tcBorders>
            <w:vAlign w:val="center"/>
          </w:tcPr>
          <w:p>
            <w:pPr>
              <w:widowControl/>
              <w:rPr>
                <w:rFonts w:ascii="宋体" w:hAnsi="宋体" w:cs="宋体"/>
                <w:szCs w:val="21"/>
              </w:rPr>
            </w:pPr>
            <w:r>
              <w:rPr>
                <w:rFonts w:hint="eastAsia" w:ascii="宋体" w:hAnsi="宋体" w:cs="宋体"/>
                <w:kern w:val="0"/>
                <w:szCs w:val="21"/>
              </w:rPr>
              <w:t>经口喂食，按时喂饭、喂水、喂水果、喂药</w:t>
            </w:r>
          </w:p>
        </w:tc>
        <w:tc>
          <w:tcPr>
            <w:tcW w:w="897"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15-30分钟</w:t>
            </w:r>
          </w:p>
        </w:tc>
        <w:tc>
          <w:tcPr>
            <w:tcW w:w="905"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18</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教授居家照护方法和技巧</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现场教授居家老人照护方法和技巧</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19</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洗衣服务</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1.服务人员上门为老年人洗涤衣物；</w:t>
            </w:r>
            <w:r>
              <w:rPr>
                <w:rFonts w:hint="eastAsia" w:ascii="宋体" w:hAnsi="宋体" w:cs="宋体"/>
                <w:szCs w:val="21"/>
              </w:rPr>
              <w:br w:type="textWrapping"/>
            </w:r>
            <w:r>
              <w:rPr>
                <w:rFonts w:hint="eastAsia" w:ascii="宋体" w:hAnsi="宋体" w:cs="宋体"/>
                <w:szCs w:val="21"/>
              </w:rPr>
              <w:t>2.衣物应分类进行洗涤，并做到洗净、晾晒；</w:t>
            </w:r>
            <w:r>
              <w:rPr>
                <w:rFonts w:hint="eastAsia" w:ascii="宋体" w:hAnsi="宋体" w:cs="宋体"/>
                <w:szCs w:val="21"/>
              </w:rPr>
              <w:br w:type="textWrapping"/>
            </w:r>
            <w:r>
              <w:rPr>
                <w:rFonts w:hint="eastAsia" w:ascii="宋体" w:hAnsi="宋体" w:cs="宋体"/>
                <w:szCs w:val="21"/>
              </w:rPr>
              <w:t>3.洗涤前需检查被洗衣物的性状及是否遗留贵重物品并告知老年人或家属；</w:t>
            </w:r>
            <w:r>
              <w:rPr>
                <w:rFonts w:hint="eastAsia" w:ascii="宋体" w:hAnsi="宋体" w:cs="宋体"/>
                <w:szCs w:val="21"/>
              </w:rPr>
              <w:br w:type="textWrapping"/>
            </w:r>
            <w:r>
              <w:rPr>
                <w:rFonts w:hint="eastAsia" w:ascii="宋体" w:hAnsi="宋体" w:cs="宋体"/>
                <w:szCs w:val="21"/>
              </w:rPr>
              <w:t>4.贵重衣物不在本洗涤服务范围之内；</w:t>
            </w:r>
            <w:r>
              <w:rPr>
                <w:rFonts w:hint="eastAsia" w:ascii="宋体" w:hAnsi="宋体" w:cs="宋体"/>
                <w:szCs w:val="21"/>
              </w:rPr>
              <w:br w:type="textWrapping"/>
            </w:r>
            <w:r>
              <w:rPr>
                <w:rFonts w:hint="eastAsia" w:ascii="宋体" w:hAnsi="宋体" w:cs="宋体"/>
                <w:szCs w:val="21"/>
              </w:rPr>
              <w:t>5.水洗，可洗衣物、鞋、被褥（小件）、家居布料（小件）等</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20</w:t>
            </w:r>
          </w:p>
        </w:tc>
        <w:tc>
          <w:tcPr>
            <w:tcW w:w="873"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流食制作鼻饲</w:t>
            </w:r>
          </w:p>
        </w:tc>
        <w:tc>
          <w:tcPr>
            <w:tcW w:w="1978" w:type="pct"/>
            <w:tcBorders>
              <w:top w:val="single" w:color="auto" w:sz="4" w:space="0"/>
              <w:bottom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为老年人准备流食（包括操作前后工具清洗、消毒，老人家中需备有制作流食工具）以及鼻饲。</w:t>
            </w:r>
          </w:p>
        </w:tc>
        <w:tc>
          <w:tcPr>
            <w:tcW w:w="897"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20-30分钟</w:t>
            </w:r>
          </w:p>
        </w:tc>
        <w:tc>
          <w:tcPr>
            <w:tcW w:w="905"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21</w:t>
            </w:r>
          </w:p>
        </w:tc>
        <w:tc>
          <w:tcPr>
            <w:tcW w:w="873"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失禁排泄护理</w:t>
            </w:r>
          </w:p>
        </w:tc>
        <w:tc>
          <w:tcPr>
            <w:tcW w:w="1978" w:type="pct"/>
            <w:tcBorders>
              <w:top w:val="single" w:color="auto" w:sz="4" w:space="0"/>
              <w:bottom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为大小便失禁的护理对象进行护理，保持局部皮肤的清洁，增加护理对象舒适；协助部分失能老人如厕等。</w:t>
            </w:r>
          </w:p>
        </w:tc>
        <w:tc>
          <w:tcPr>
            <w:tcW w:w="897"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905"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22</w:t>
            </w:r>
          </w:p>
        </w:tc>
        <w:tc>
          <w:tcPr>
            <w:tcW w:w="873"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褥疮压疮护理</w:t>
            </w:r>
          </w:p>
        </w:tc>
        <w:tc>
          <w:tcPr>
            <w:tcW w:w="1978" w:type="pct"/>
            <w:tcBorders>
              <w:top w:val="single" w:color="auto" w:sz="4" w:space="0"/>
              <w:bottom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对易发生压疮的护理对象采取定时翻身、气垫减压等方法预防压疮的发生。为护理对象提供心理支持及压疮护理指导。</w:t>
            </w:r>
          </w:p>
        </w:tc>
        <w:tc>
          <w:tcPr>
            <w:tcW w:w="897"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905"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23</w:t>
            </w:r>
          </w:p>
        </w:tc>
        <w:tc>
          <w:tcPr>
            <w:tcW w:w="873"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褥疮处理服务</w:t>
            </w:r>
          </w:p>
        </w:tc>
        <w:tc>
          <w:tcPr>
            <w:tcW w:w="1978" w:type="pct"/>
            <w:tcBorders>
              <w:top w:val="single" w:color="auto" w:sz="4" w:space="0"/>
              <w:bottom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专业护士上门为老人处理褥疮，医疗耗材含内。如需用药，需服务对象自行购买。</w:t>
            </w:r>
          </w:p>
        </w:tc>
        <w:tc>
          <w:tcPr>
            <w:tcW w:w="897"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24</w:t>
            </w:r>
          </w:p>
        </w:tc>
        <w:tc>
          <w:tcPr>
            <w:tcW w:w="873"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会阴护理</w:t>
            </w:r>
          </w:p>
        </w:tc>
        <w:tc>
          <w:tcPr>
            <w:tcW w:w="1978" w:type="pct"/>
            <w:tcBorders>
              <w:top w:val="single" w:color="auto" w:sz="4" w:space="0"/>
              <w:bottom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根据会阴部有无伤口、有无大小便失禁和留置尿管等，鼓励并协助护理对象完成会阴部的擦洗或冲洗。</w:t>
            </w:r>
          </w:p>
        </w:tc>
        <w:tc>
          <w:tcPr>
            <w:tcW w:w="897"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10-20分钟</w:t>
            </w:r>
          </w:p>
        </w:tc>
        <w:tc>
          <w:tcPr>
            <w:tcW w:w="905"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25</w:t>
            </w:r>
          </w:p>
        </w:tc>
        <w:tc>
          <w:tcPr>
            <w:tcW w:w="873"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皮肤外用药涂擦</w:t>
            </w:r>
          </w:p>
        </w:tc>
        <w:tc>
          <w:tcPr>
            <w:tcW w:w="1978" w:type="pct"/>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遵医嘱用棉签等蘸取药液直接涂抹护理对象在皮肤上进行治疗。</w:t>
            </w:r>
          </w:p>
        </w:tc>
        <w:tc>
          <w:tcPr>
            <w:tcW w:w="897"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905"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70元/时</w:t>
            </w:r>
          </w:p>
        </w:tc>
      </w:tr>
    </w:tbl>
    <w:p/>
    <w:p>
      <w:pPr>
        <w:widowControl/>
        <w:adjustRightInd w:val="0"/>
        <w:spacing w:line="360" w:lineRule="auto"/>
        <w:rPr>
          <w:rFonts w:ascii="宋体" w:hAnsi="宋体"/>
          <w:b/>
          <w:bCs/>
          <w:color w:val="000000"/>
          <w:kern w:val="0"/>
          <w:szCs w:val="21"/>
        </w:rPr>
      </w:pPr>
    </w:p>
    <w:p>
      <w:pPr>
        <w:widowControl/>
        <w:adjustRightInd w:val="0"/>
        <w:spacing w:line="360" w:lineRule="auto"/>
        <w:rPr>
          <w:rFonts w:ascii="宋体" w:hAnsi="宋体"/>
          <w:b/>
          <w:kern w:val="0"/>
          <w:szCs w:val="21"/>
        </w:rPr>
      </w:pPr>
    </w:p>
    <w:bookmarkEnd w:id="80"/>
    <w:bookmarkEnd w:id="81"/>
    <w:bookmarkEnd w:id="82"/>
    <w:bookmarkEnd w:id="83"/>
    <w:bookmarkEnd w:id="84"/>
    <w:bookmarkEnd w:id="85"/>
    <w:bookmarkEnd w:id="86"/>
    <w:p>
      <w:pPr>
        <w:pStyle w:val="38"/>
      </w:pPr>
    </w:p>
    <w:p/>
    <w:p>
      <w:pPr>
        <w:pStyle w:val="36"/>
        <w:spacing w:line="360" w:lineRule="auto"/>
        <w:ind w:firstLine="2891" w:firstLineChars="900"/>
        <w:jc w:val="both"/>
        <w:rPr>
          <w:rFonts w:ascii="宋体" w:hAnsi="宋体" w:cs="宋体"/>
        </w:rPr>
      </w:pPr>
    </w:p>
    <w:p>
      <w:pPr>
        <w:pStyle w:val="36"/>
        <w:spacing w:line="360" w:lineRule="auto"/>
        <w:ind w:firstLine="2891" w:firstLineChars="900"/>
        <w:jc w:val="both"/>
        <w:rPr>
          <w:rFonts w:ascii="宋体" w:hAnsi="宋体" w:cs="宋体"/>
        </w:rPr>
      </w:pPr>
    </w:p>
    <w:p>
      <w:pPr>
        <w:pStyle w:val="36"/>
        <w:spacing w:line="360" w:lineRule="auto"/>
        <w:ind w:firstLine="2891" w:firstLineChars="900"/>
        <w:jc w:val="both"/>
        <w:rPr>
          <w:rFonts w:ascii="宋体" w:hAnsi="宋体" w:cs="宋体"/>
        </w:rPr>
      </w:pPr>
    </w:p>
    <w:p>
      <w:pPr>
        <w:pStyle w:val="36"/>
        <w:spacing w:line="360" w:lineRule="auto"/>
        <w:ind w:firstLine="2891" w:firstLineChars="900"/>
        <w:jc w:val="both"/>
        <w:rPr>
          <w:rFonts w:ascii="宋体" w:hAnsi="宋体" w:cs="宋体"/>
        </w:rPr>
      </w:pPr>
    </w:p>
    <w:p>
      <w:pPr>
        <w:rPr>
          <w:rFonts w:ascii="宋体" w:hAnsi="宋体" w:cs="宋体"/>
        </w:rPr>
      </w:pPr>
    </w:p>
    <w:p>
      <w:pPr>
        <w:pStyle w:val="38"/>
        <w:rPr>
          <w:rFonts w:ascii="宋体" w:hAnsi="宋体" w:cs="宋体"/>
        </w:rPr>
      </w:pPr>
    </w:p>
    <w:p/>
    <w:p>
      <w:pPr>
        <w:pStyle w:val="36"/>
        <w:spacing w:line="360" w:lineRule="auto"/>
        <w:ind w:firstLine="2891" w:firstLineChars="900"/>
        <w:jc w:val="both"/>
        <w:rPr>
          <w:rFonts w:hint="eastAsia" w:ascii="宋体" w:hAnsi="宋体" w:cs="宋体"/>
        </w:rPr>
      </w:pPr>
    </w:p>
    <w:p/>
    <w:p>
      <w:pPr>
        <w:pStyle w:val="36"/>
        <w:spacing w:line="360" w:lineRule="auto"/>
        <w:ind w:firstLine="2891" w:firstLineChars="900"/>
        <w:jc w:val="both"/>
        <w:rPr>
          <w:rFonts w:ascii="宋体" w:hAnsi="宋体" w:cs="宋体"/>
        </w:rPr>
      </w:pPr>
    </w:p>
    <w:p>
      <w:pPr>
        <w:pStyle w:val="36"/>
        <w:spacing w:line="360" w:lineRule="auto"/>
        <w:ind w:firstLine="2891" w:firstLineChars="900"/>
        <w:jc w:val="both"/>
        <w:rPr>
          <w:rFonts w:ascii="宋体" w:hAnsi="宋体" w:cs="宋体"/>
        </w:rPr>
      </w:pPr>
    </w:p>
    <w:p/>
    <w:p>
      <w:pPr>
        <w:pStyle w:val="36"/>
        <w:spacing w:line="360" w:lineRule="auto"/>
        <w:ind w:firstLine="2891" w:firstLineChars="900"/>
        <w:jc w:val="both"/>
        <w:rPr>
          <w:rFonts w:ascii="宋体" w:hAnsi="宋体" w:cs="宋体"/>
        </w:rPr>
      </w:pPr>
      <w:bookmarkStart w:id="87" w:name="_Toc17340"/>
      <w:r>
        <w:rPr>
          <w:rFonts w:hint="eastAsia" w:ascii="宋体" w:hAnsi="宋体" w:cs="宋体"/>
        </w:rPr>
        <w:t>第六章 响应文件格式</w:t>
      </w:r>
      <w:bookmarkEnd w:id="87"/>
    </w:p>
    <w:p>
      <w:pPr>
        <w:rPr>
          <w:rFonts w:ascii="宋体" w:hAnsi="宋体" w:cs="宋体"/>
          <w:sz w:val="32"/>
          <w:szCs w:val="32"/>
        </w:rPr>
      </w:pPr>
    </w:p>
    <w:p>
      <w:pPr>
        <w:pStyle w:val="38"/>
        <w:rPr>
          <w:rFonts w:ascii="宋体" w:hAnsi="宋体" w:cs="宋体"/>
          <w:sz w:val="32"/>
          <w:szCs w:val="32"/>
        </w:rPr>
      </w:pPr>
    </w:p>
    <w:p>
      <w:pPr>
        <w:rPr>
          <w:rFonts w:ascii="宋体" w:hAnsi="宋体" w:cs="宋体"/>
          <w:sz w:val="32"/>
          <w:szCs w:val="32"/>
        </w:rPr>
      </w:pPr>
    </w:p>
    <w:p>
      <w:pPr>
        <w:pStyle w:val="38"/>
        <w:rPr>
          <w:rFonts w:ascii="宋体" w:hAnsi="宋体" w:cs="宋体"/>
          <w:sz w:val="32"/>
          <w:szCs w:val="32"/>
        </w:rPr>
      </w:pPr>
    </w:p>
    <w:p>
      <w:pPr>
        <w:rPr>
          <w:rFonts w:ascii="宋体" w:hAnsi="宋体" w:cs="宋体"/>
          <w:sz w:val="32"/>
          <w:szCs w:val="32"/>
        </w:rPr>
      </w:pPr>
    </w:p>
    <w:p>
      <w:pPr>
        <w:pStyle w:val="38"/>
        <w:rPr>
          <w:rFonts w:ascii="宋体" w:hAnsi="宋体" w:cs="宋体"/>
          <w:sz w:val="32"/>
          <w:szCs w:val="32"/>
        </w:rPr>
      </w:pPr>
    </w:p>
    <w:p>
      <w:pPr>
        <w:rPr>
          <w:rFonts w:ascii="宋体" w:hAnsi="宋体" w:cs="宋体"/>
          <w:sz w:val="32"/>
          <w:szCs w:val="32"/>
        </w:rPr>
      </w:pPr>
    </w:p>
    <w:p>
      <w:pPr>
        <w:pStyle w:val="38"/>
        <w:rPr>
          <w:rFonts w:ascii="宋体" w:hAnsi="宋体" w:cs="宋体"/>
          <w:sz w:val="32"/>
          <w:szCs w:val="32"/>
        </w:rPr>
      </w:pPr>
    </w:p>
    <w:p>
      <w:pPr>
        <w:rPr>
          <w:rFonts w:ascii="宋体" w:hAnsi="宋体" w:cs="宋体"/>
          <w:sz w:val="32"/>
          <w:szCs w:val="32"/>
        </w:rPr>
      </w:pPr>
    </w:p>
    <w:p>
      <w:pPr>
        <w:pStyle w:val="38"/>
        <w:rPr>
          <w:rFonts w:ascii="宋体" w:hAnsi="宋体" w:cs="宋体"/>
          <w:sz w:val="32"/>
          <w:szCs w:val="32"/>
        </w:rPr>
      </w:pPr>
    </w:p>
    <w:p>
      <w:pPr>
        <w:rPr>
          <w:rFonts w:ascii="宋体" w:hAnsi="宋体" w:cs="宋体"/>
          <w:sz w:val="32"/>
          <w:szCs w:val="32"/>
        </w:rPr>
      </w:pPr>
    </w:p>
    <w:p>
      <w:pPr>
        <w:sectPr>
          <w:pgSz w:w="11906" w:h="16838"/>
          <w:pgMar w:top="1134" w:right="1134" w:bottom="1134" w:left="1474" w:header="851" w:footer="510" w:gutter="0"/>
          <w:cols w:space="720" w:num="1"/>
          <w:docGrid w:type="lines" w:linePitch="312" w:charSpace="0"/>
        </w:sectPr>
      </w:pPr>
    </w:p>
    <w:p>
      <w:pPr>
        <w:pStyle w:val="38"/>
      </w:pPr>
    </w:p>
    <w:p>
      <w:pPr>
        <w:spacing w:line="460" w:lineRule="exact"/>
        <w:jc w:val="center"/>
        <w:rPr>
          <w:rFonts w:ascii="宋体" w:hAnsi="宋体" w:cs="宋体"/>
          <w:b/>
          <w:sz w:val="44"/>
          <w:szCs w:val="44"/>
          <w:u w:val="single"/>
        </w:rPr>
      </w:pPr>
      <w:r>
        <w:rPr>
          <w:rFonts w:hint="eastAsia" w:ascii="宋体" w:hAnsi="宋体" w:cs="宋体"/>
          <w:b/>
          <w:sz w:val="44"/>
          <w:szCs w:val="44"/>
        </w:rPr>
        <w:t>（项目名称）</w:t>
      </w:r>
    </w:p>
    <w:p>
      <w:pPr>
        <w:spacing w:line="460" w:lineRule="exact"/>
        <w:jc w:val="center"/>
        <w:rPr>
          <w:rFonts w:ascii="宋体" w:hAnsi="宋体" w:cs="宋体"/>
          <w:sz w:val="32"/>
        </w:rPr>
      </w:pPr>
    </w:p>
    <w:p>
      <w:pPr>
        <w:spacing w:line="460" w:lineRule="exact"/>
        <w:jc w:val="center"/>
        <w:rPr>
          <w:rFonts w:ascii="宋体" w:hAnsi="宋体" w:cs="宋体"/>
          <w:sz w:val="32"/>
        </w:rPr>
      </w:pPr>
    </w:p>
    <w:p>
      <w:pPr>
        <w:spacing w:line="460" w:lineRule="exact"/>
        <w:jc w:val="center"/>
        <w:rPr>
          <w:rFonts w:ascii="宋体" w:hAnsi="宋体" w:cs="宋体"/>
          <w:sz w:val="32"/>
        </w:rPr>
      </w:pPr>
    </w:p>
    <w:p>
      <w:pPr>
        <w:spacing w:line="460" w:lineRule="exact"/>
        <w:jc w:val="center"/>
        <w:rPr>
          <w:rFonts w:ascii="宋体" w:hAnsi="宋体" w:cs="宋体"/>
          <w:sz w:val="32"/>
        </w:rPr>
      </w:pPr>
    </w:p>
    <w:p>
      <w:pPr>
        <w:spacing w:line="460" w:lineRule="exact"/>
        <w:jc w:val="center"/>
        <w:rPr>
          <w:rFonts w:ascii="宋体" w:hAnsi="宋体" w:cs="宋体"/>
          <w:sz w:val="32"/>
        </w:rPr>
      </w:pPr>
    </w:p>
    <w:p>
      <w:pPr>
        <w:spacing w:line="480" w:lineRule="auto"/>
        <w:jc w:val="center"/>
        <w:rPr>
          <w:rFonts w:ascii="宋体" w:hAnsi="宋体" w:cs="宋体"/>
          <w:sz w:val="32"/>
        </w:rPr>
      </w:pPr>
    </w:p>
    <w:p>
      <w:pPr>
        <w:spacing w:line="480" w:lineRule="auto"/>
        <w:jc w:val="center"/>
        <w:rPr>
          <w:rFonts w:ascii="宋体" w:hAnsi="宋体" w:cs="宋体"/>
          <w:sz w:val="32"/>
        </w:rPr>
      </w:pPr>
    </w:p>
    <w:p>
      <w:pPr>
        <w:spacing w:line="480" w:lineRule="auto"/>
        <w:jc w:val="center"/>
        <w:rPr>
          <w:rFonts w:ascii="宋体" w:hAnsi="宋体" w:cs="宋体"/>
          <w:sz w:val="84"/>
          <w:szCs w:val="84"/>
        </w:rPr>
      </w:pPr>
      <w:r>
        <w:rPr>
          <w:rFonts w:hint="eastAsia" w:ascii="宋体" w:hAnsi="宋体" w:cs="宋体"/>
          <w:sz w:val="84"/>
          <w:szCs w:val="84"/>
        </w:rPr>
        <w:t>响应文件</w:t>
      </w:r>
    </w:p>
    <w:p>
      <w:pPr>
        <w:spacing w:line="480" w:lineRule="auto"/>
        <w:ind w:firstLine="2100" w:firstLineChars="750"/>
        <w:rPr>
          <w:rFonts w:ascii="宋体" w:hAnsi="宋体" w:cs="宋体"/>
          <w:sz w:val="28"/>
          <w:szCs w:val="28"/>
          <w:u w:val="single"/>
        </w:rPr>
      </w:pPr>
      <w:r>
        <w:rPr>
          <w:rFonts w:hint="eastAsia" w:ascii="宋体" w:hAnsi="宋体" w:cs="宋体"/>
          <w:sz w:val="28"/>
          <w:szCs w:val="28"/>
        </w:rPr>
        <w:t xml:space="preserve">   项目编号：</w:t>
      </w:r>
    </w:p>
    <w:p>
      <w:pPr>
        <w:spacing w:line="460" w:lineRule="exact"/>
        <w:ind w:firstLine="537" w:firstLineChars="192"/>
        <w:rPr>
          <w:rFonts w:ascii="宋体" w:hAnsi="宋体" w:cs="宋体"/>
          <w:sz w:val="28"/>
        </w:rPr>
      </w:pPr>
    </w:p>
    <w:p>
      <w:pPr>
        <w:spacing w:line="460" w:lineRule="exact"/>
        <w:ind w:firstLine="537" w:firstLineChars="192"/>
        <w:rPr>
          <w:rFonts w:ascii="宋体" w:hAnsi="宋体" w:cs="宋体"/>
          <w:sz w:val="28"/>
        </w:rPr>
      </w:pPr>
    </w:p>
    <w:p>
      <w:pPr>
        <w:spacing w:line="460" w:lineRule="exact"/>
        <w:ind w:firstLine="537" w:firstLineChars="192"/>
        <w:rPr>
          <w:rFonts w:ascii="宋体" w:hAnsi="宋体" w:cs="宋体"/>
          <w:sz w:val="28"/>
        </w:rPr>
      </w:pPr>
    </w:p>
    <w:p>
      <w:pPr>
        <w:spacing w:line="460" w:lineRule="exact"/>
        <w:ind w:firstLine="537" w:firstLineChars="192"/>
        <w:rPr>
          <w:rFonts w:ascii="宋体" w:hAnsi="宋体" w:cs="宋体"/>
          <w:sz w:val="28"/>
        </w:rPr>
      </w:pPr>
    </w:p>
    <w:p>
      <w:pPr>
        <w:spacing w:line="460" w:lineRule="exact"/>
        <w:ind w:firstLine="537" w:firstLineChars="192"/>
        <w:rPr>
          <w:rFonts w:ascii="宋体" w:hAnsi="宋体" w:cs="宋体"/>
          <w:sz w:val="28"/>
        </w:rPr>
      </w:pPr>
    </w:p>
    <w:p>
      <w:pPr>
        <w:spacing w:line="460" w:lineRule="exact"/>
        <w:rPr>
          <w:rFonts w:ascii="宋体" w:hAnsi="宋体" w:cs="宋体"/>
          <w:sz w:val="28"/>
        </w:rPr>
      </w:pPr>
    </w:p>
    <w:p>
      <w:pPr>
        <w:spacing w:line="460" w:lineRule="exact"/>
        <w:rPr>
          <w:rFonts w:ascii="宋体" w:hAnsi="宋体" w:cs="宋体"/>
          <w:sz w:val="28"/>
        </w:rPr>
      </w:pPr>
    </w:p>
    <w:p>
      <w:pPr>
        <w:spacing w:line="460" w:lineRule="exact"/>
        <w:rPr>
          <w:rFonts w:ascii="宋体" w:hAnsi="宋体" w:cs="宋体"/>
          <w:sz w:val="32"/>
        </w:rPr>
      </w:pPr>
    </w:p>
    <w:p>
      <w:pPr>
        <w:spacing w:line="480" w:lineRule="auto"/>
        <w:ind w:left="735" w:leftChars="350" w:firstLine="614" w:firstLineChars="192"/>
        <w:rPr>
          <w:rFonts w:ascii="宋体" w:hAnsi="宋体" w:cs="宋体"/>
          <w:sz w:val="32"/>
        </w:rPr>
      </w:pPr>
      <w:r>
        <w:rPr>
          <w:rFonts w:hint="eastAsia" w:ascii="宋体" w:hAnsi="宋体" w:cs="宋体"/>
          <w:sz w:val="32"/>
        </w:rPr>
        <w:t>采购人：</w:t>
      </w:r>
    </w:p>
    <w:p>
      <w:pPr>
        <w:spacing w:line="480" w:lineRule="auto"/>
        <w:ind w:left="735" w:leftChars="350" w:firstLine="614" w:firstLineChars="192"/>
        <w:rPr>
          <w:rFonts w:ascii="宋体" w:hAnsi="宋体" w:cs="宋体"/>
          <w:sz w:val="32"/>
        </w:rPr>
      </w:pPr>
      <w:r>
        <w:rPr>
          <w:rFonts w:hint="eastAsia" w:ascii="宋体" w:hAnsi="宋体" w:cs="宋体"/>
          <w:sz w:val="32"/>
        </w:rPr>
        <w:t>供应商</w:t>
      </w:r>
      <w:r>
        <w:rPr>
          <w:rFonts w:hint="eastAsia" w:ascii="宋体" w:hAnsi="宋体" w:cs="宋体"/>
          <w:sz w:val="30"/>
          <w:szCs w:val="30"/>
        </w:rPr>
        <w:t>名称</w:t>
      </w:r>
      <w:r>
        <w:rPr>
          <w:rFonts w:hint="eastAsia" w:ascii="宋体" w:hAnsi="宋体" w:cs="宋体"/>
          <w:sz w:val="32"/>
        </w:rPr>
        <w:t>（全称并加盖公章）：</w:t>
      </w:r>
    </w:p>
    <w:p>
      <w:pPr>
        <w:spacing w:line="480" w:lineRule="auto"/>
        <w:ind w:left="735" w:leftChars="350" w:firstLine="614" w:firstLineChars="192"/>
        <w:rPr>
          <w:rFonts w:ascii="宋体" w:hAnsi="宋体" w:cs="宋体"/>
          <w:sz w:val="32"/>
        </w:rPr>
      </w:pPr>
      <w:r>
        <w:rPr>
          <w:rFonts w:hint="eastAsia" w:ascii="宋体" w:hAnsi="宋体" w:cs="宋体"/>
          <w:sz w:val="32"/>
        </w:rPr>
        <w:t>法定代表人或其委托代理人：（签名或盖章）</w:t>
      </w:r>
    </w:p>
    <w:p>
      <w:pPr>
        <w:spacing w:line="460" w:lineRule="exact"/>
        <w:ind w:left="735" w:leftChars="350" w:firstLine="614" w:firstLineChars="192"/>
        <w:rPr>
          <w:rFonts w:ascii="宋体" w:hAnsi="宋体" w:cs="宋体"/>
          <w:sz w:val="32"/>
        </w:rPr>
      </w:pPr>
    </w:p>
    <w:p>
      <w:pPr>
        <w:spacing w:line="460" w:lineRule="exact"/>
        <w:rPr>
          <w:rFonts w:ascii="宋体" w:hAnsi="宋体" w:cs="宋体"/>
          <w:sz w:val="32"/>
          <w:szCs w:val="32"/>
        </w:rPr>
      </w:pPr>
    </w:p>
    <w:p>
      <w:pPr>
        <w:pStyle w:val="38"/>
      </w:pPr>
    </w:p>
    <w:p>
      <w:pPr>
        <w:pStyle w:val="38"/>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r>
        <w:rPr>
          <w:rFonts w:hint="eastAsia" w:ascii="宋体" w:hAnsi="宋体" w:cs="宋体"/>
          <w:sz w:val="32"/>
          <w:szCs w:val="32"/>
        </w:rPr>
        <w:t>目  录</w:t>
      </w: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tabs>
          <w:tab w:val="left" w:pos="3847"/>
        </w:tabs>
        <w:spacing w:line="460" w:lineRule="exact"/>
        <w:rPr>
          <w:rFonts w:hint="eastAsia" w:ascii="宋体" w:hAnsi="宋体" w:cs="宋体"/>
          <w:sz w:val="32"/>
          <w:szCs w:val="32"/>
        </w:rPr>
      </w:pPr>
      <w:r>
        <w:rPr>
          <w:rFonts w:ascii="宋体" w:hAnsi="宋体" w:cs="宋体"/>
          <w:sz w:val="32"/>
          <w:szCs w:val="32"/>
        </w:rPr>
        <w:tab/>
      </w:r>
    </w:p>
    <w:p>
      <w:pPr>
        <w:pStyle w:val="38"/>
      </w:pPr>
    </w:p>
    <w:p>
      <w:pPr>
        <w:spacing w:line="460" w:lineRule="exact"/>
        <w:jc w:val="center"/>
        <w:rPr>
          <w:rFonts w:ascii="宋体" w:hAnsi="宋体" w:cs="宋体"/>
          <w:sz w:val="32"/>
          <w:szCs w:val="32"/>
        </w:rPr>
      </w:pPr>
    </w:p>
    <w:p>
      <w:pPr>
        <w:pStyle w:val="38"/>
      </w:pPr>
    </w:p>
    <w:p>
      <w:pPr>
        <w:spacing w:line="460" w:lineRule="exact"/>
        <w:rPr>
          <w:rFonts w:ascii="宋体" w:hAnsi="宋体" w:cs="宋体"/>
          <w:sz w:val="32"/>
          <w:szCs w:val="32"/>
        </w:rPr>
      </w:pPr>
    </w:p>
    <w:p>
      <w:pPr>
        <w:pStyle w:val="38"/>
      </w:pPr>
      <w:bookmarkStart w:id="88" w:name="_Toc530584396"/>
      <w:bookmarkStart w:id="89" w:name="_Toc23451"/>
      <w:bookmarkStart w:id="90" w:name="_Toc12304"/>
      <w:bookmarkStart w:id="91" w:name="_Toc22461"/>
      <w:bookmarkStart w:id="92" w:name="_Toc26310"/>
      <w:bookmarkStart w:id="93" w:name="_Toc477423253"/>
      <w:bookmarkStart w:id="94" w:name="_Toc373230035"/>
      <w:bookmarkStart w:id="95" w:name="_Toc374512423"/>
      <w:bookmarkStart w:id="96" w:name="_Toc487805929"/>
      <w:bookmarkStart w:id="97" w:name="_Toc408816353"/>
      <w:bookmarkStart w:id="98" w:name="_Toc3023"/>
      <w:bookmarkStart w:id="99" w:name="_Toc490161460"/>
    </w:p>
    <w:p>
      <w:pPr>
        <w:pStyle w:val="4"/>
        <w:numPr>
          <w:ilvl w:val="0"/>
          <w:numId w:val="8"/>
        </w:numPr>
        <w:spacing w:line="360" w:lineRule="auto"/>
        <w:rPr>
          <w:rFonts w:ascii="宋体" w:hAnsi="宋体" w:cs="宋体"/>
          <w:sz w:val="32"/>
          <w:szCs w:val="32"/>
        </w:rPr>
      </w:pPr>
      <w:bookmarkStart w:id="100" w:name="_Toc14891"/>
      <w:r>
        <w:rPr>
          <w:rFonts w:hint="eastAsia" w:ascii="宋体" w:hAnsi="宋体" w:cs="宋体"/>
          <w:sz w:val="32"/>
          <w:szCs w:val="32"/>
        </w:rPr>
        <w:t>磋商承诺函</w:t>
      </w:r>
      <w:bookmarkEnd w:id="88"/>
      <w:bookmarkEnd w:id="89"/>
      <w:bookmarkEnd w:id="90"/>
      <w:bookmarkEnd w:id="91"/>
      <w:bookmarkEnd w:id="100"/>
    </w:p>
    <w:p>
      <w:pPr>
        <w:spacing w:line="440" w:lineRule="exact"/>
        <w:ind w:firstLine="420" w:firstLineChars="200"/>
        <w:rPr>
          <w:rFonts w:asciiTheme="minorEastAsia" w:hAnsiTheme="minorEastAsia" w:eastAsiaTheme="minorEastAsia" w:cstheme="minorEastAsia"/>
        </w:rPr>
      </w:pPr>
      <w:r>
        <w:t>我</w:t>
      </w:r>
      <w:r>
        <w:rPr>
          <w:rFonts w:hint="eastAsia" w:asciiTheme="minorEastAsia" w:hAnsiTheme="minorEastAsia" w:eastAsiaTheme="minorEastAsia" w:cstheme="minorEastAsia"/>
        </w:rPr>
        <w:t>方参与贵方组织的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项目(项目编号：</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rPr>
        <w:t xml:space="preserve">采购活动。对此，我方承诺如下： </w:t>
      </w:r>
    </w:p>
    <w:p>
      <w:pPr>
        <w:adjustRightInd w:val="0"/>
        <w:spacing w:line="440" w:lineRule="exact"/>
        <w:ind w:firstLine="420" w:firstLineChars="200"/>
        <w:jc w:val="left"/>
        <w:textAlignment w:val="baseline"/>
        <w:rPr>
          <w:rFonts w:ascii="宋体" w:hAnsi="宋体" w:cs="宋体"/>
          <w:color w:val="000000"/>
          <w:kern w:val="0"/>
          <w:szCs w:val="21"/>
        </w:rPr>
      </w:pPr>
      <w:r>
        <w:rPr>
          <w:rFonts w:hint="eastAsia" w:ascii="宋体" w:hAnsi="宋体" w:cs="宋体"/>
          <w:color w:val="000000"/>
          <w:kern w:val="0"/>
          <w:szCs w:val="21"/>
        </w:rPr>
        <w:t xml:space="preserve">1.我方完全理解并认可本项目竞争性磋商文件内容和接受由贵方对响应文件进行集中解密，发生争议时不会以对上述内容存在误解为由，行使法律上的抗辩权。 </w:t>
      </w:r>
    </w:p>
    <w:p>
      <w:pPr>
        <w:adjustRightInd w:val="0"/>
        <w:spacing w:line="440" w:lineRule="exact"/>
        <w:ind w:firstLine="420" w:firstLineChars="200"/>
        <w:jc w:val="left"/>
        <w:textAlignment w:val="baseline"/>
        <w:rPr>
          <w:rFonts w:ascii="宋体" w:hAnsi="宋体" w:cs="宋体"/>
          <w:color w:val="000000"/>
          <w:kern w:val="0"/>
          <w:szCs w:val="21"/>
        </w:rPr>
      </w:pPr>
      <w:r>
        <w:rPr>
          <w:rFonts w:hint="eastAsia" w:ascii="宋体" w:hAnsi="宋体" w:cs="宋体"/>
          <w:color w:val="000000"/>
          <w:kern w:val="0"/>
          <w:szCs w:val="21"/>
        </w:rPr>
        <w:t xml:space="preserve">2.我方对所提交的响应文件及相关资料的真实性、准确性和完整性负责，愿意向贵方提供任何与本次谈判有关的数据、技术资料和相关证明材料。 </w:t>
      </w:r>
    </w:p>
    <w:p>
      <w:pPr>
        <w:adjustRightInd w:val="0"/>
        <w:spacing w:line="440" w:lineRule="exact"/>
        <w:ind w:firstLine="420" w:firstLineChars="200"/>
        <w:jc w:val="left"/>
        <w:textAlignment w:val="baseline"/>
        <w:rPr>
          <w:rFonts w:ascii="宋体" w:hAnsi="宋体" w:cs="宋体"/>
          <w:color w:val="000000"/>
          <w:kern w:val="0"/>
          <w:szCs w:val="21"/>
        </w:rPr>
      </w:pPr>
      <w:r>
        <w:rPr>
          <w:rFonts w:hint="eastAsia" w:ascii="宋体" w:hAnsi="宋体" w:cs="宋体"/>
          <w:color w:val="000000"/>
          <w:kern w:val="0"/>
          <w:szCs w:val="21"/>
        </w:rPr>
        <w:t>3.我方针对本项目的磋商有效期为</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天，在此期间，我方在响应文件中作出的所有响应均有效，随时准备接受你方发出的成交通知书。 </w:t>
      </w:r>
    </w:p>
    <w:p>
      <w:pPr>
        <w:adjustRightInd w:val="0"/>
        <w:spacing w:line="440" w:lineRule="exact"/>
        <w:ind w:firstLine="420" w:firstLineChars="200"/>
        <w:jc w:val="left"/>
        <w:textAlignment w:val="baseline"/>
        <w:rPr>
          <w:rFonts w:ascii="宋体" w:hAnsi="宋体" w:cs="宋体"/>
          <w:color w:val="000000"/>
          <w:kern w:val="0"/>
          <w:szCs w:val="21"/>
        </w:rPr>
      </w:pPr>
      <w:r>
        <w:rPr>
          <w:rFonts w:hint="eastAsia" w:ascii="宋体" w:hAnsi="宋体" w:cs="宋体"/>
          <w:color w:val="000000"/>
          <w:kern w:val="0"/>
          <w:szCs w:val="21"/>
        </w:rPr>
        <w:t>4.完全接受和满足本项目竞争性磋商文件中的规定，如对竞争性磋商文件有异议，已经在响应文件提交截止时间前依法进行维权，不存在对竞争性磋商文件有异议的同时又参加谈判以求侥幸成交或者为实现其他非法目的的行为。</w:t>
      </w:r>
    </w:p>
    <w:p>
      <w:pPr>
        <w:adjustRightInd w:val="0"/>
        <w:spacing w:line="440" w:lineRule="exact"/>
        <w:ind w:firstLine="420" w:firstLineChars="200"/>
        <w:jc w:val="left"/>
        <w:textAlignment w:val="baseline"/>
        <w:rPr>
          <w:rFonts w:ascii="宋体" w:hAnsi="宋体" w:cs="宋体"/>
          <w:color w:val="000000"/>
          <w:kern w:val="0"/>
          <w:szCs w:val="21"/>
        </w:rPr>
      </w:pPr>
      <w:r>
        <w:rPr>
          <w:rFonts w:hint="eastAsia" w:ascii="宋体" w:hAnsi="宋体" w:cs="宋体"/>
          <w:color w:val="000000"/>
          <w:kern w:val="0"/>
          <w:szCs w:val="21"/>
        </w:rPr>
        <w:t xml:space="preserve">5.我方接受竞争性磋商文件中《合同》的全部条款，如果你方在响应文件有效期内向我方发出成交通知书，我方保证在规定的时间内按照竞争性磋商文件确定的事项与采购人签订合同，并严格履行合同规定的各项责任和义务。 </w:t>
      </w:r>
    </w:p>
    <w:p>
      <w:pPr>
        <w:adjustRightInd w:val="0"/>
        <w:spacing w:line="440" w:lineRule="exact"/>
        <w:ind w:firstLine="420" w:firstLineChars="200"/>
        <w:jc w:val="left"/>
        <w:textAlignment w:val="baseline"/>
        <w:rPr>
          <w:rFonts w:ascii="宋体" w:hAnsi="宋体" w:cs="宋体"/>
          <w:color w:val="000000"/>
          <w:kern w:val="0"/>
          <w:szCs w:val="21"/>
        </w:rPr>
      </w:pPr>
      <w:r>
        <w:rPr>
          <w:rFonts w:hint="eastAsia" w:ascii="宋体" w:hAnsi="宋体" w:cs="宋体"/>
          <w:color w:val="000000"/>
          <w:kern w:val="0"/>
          <w:szCs w:val="21"/>
        </w:rPr>
        <w:t>6.采购人若需按规定允许比例追加与合同标的相同的货物、工程或者服务的，在不改变合同其他条款的前提下，我方愿意签订补充合同，按相同或更优惠的折扣率保证供应或提供服务。</w:t>
      </w:r>
    </w:p>
    <w:p>
      <w:pPr>
        <w:adjustRightInd w:val="0"/>
        <w:spacing w:line="440" w:lineRule="exact"/>
        <w:ind w:firstLine="420" w:firstLineChars="200"/>
        <w:jc w:val="left"/>
        <w:textAlignment w:val="baseline"/>
        <w:rPr>
          <w:rFonts w:ascii="宋体" w:hAnsi="宋体" w:cs="宋体"/>
          <w:color w:val="000000"/>
          <w:kern w:val="0"/>
          <w:szCs w:val="21"/>
        </w:rPr>
      </w:pPr>
      <w:r>
        <w:rPr>
          <w:rFonts w:hint="eastAsia" w:ascii="宋体" w:hAnsi="宋体" w:cs="宋体"/>
          <w:color w:val="000000"/>
          <w:kern w:val="0"/>
          <w:szCs w:val="21"/>
        </w:rPr>
        <w:t>7.我方完全了解并接受如果在采购活动中出现违反政府采购法律法规的相关情形时，将被处以采购金额千分之五以上千分之十以下的罚款，列入不良行为记录名单，在一至三年内禁止参加政府采购活动；有违法所得的，被处没收违法所得；情节严重的，由行政管理机关吊销营业执照；构成犯罪的，被依法追究刑事责任。</w:t>
      </w:r>
    </w:p>
    <w:p>
      <w:pPr>
        <w:adjustRightInd w:val="0"/>
        <w:spacing w:line="440" w:lineRule="exact"/>
        <w:ind w:firstLine="420" w:firstLineChars="200"/>
        <w:jc w:val="left"/>
        <w:textAlignment w:val="baseline"/>
        <w:rPr>
          <w:rFonts w:ascii="宋体" w:hAnsi="宋体" w:cs="宋体"/>
          <w:color w:val="000000"/>
          <w:kern w:val="0"/>
          <w:szCs w:val="21"/>
        </w:rPr>
      </w:pPr>
      <w:r>
        <w:rPr>
          <w:rFonts w:hint="eastAsia" w:ascii="宋体" w:hAnsi="宋体" w:cs="宋体"/>
          <w:color w:val="000000"/>
          <w:kern w:val="0"/>
          <w:szCs w:val="21"/>
        </w:rPr>
        <w:t>8.参加本次采购活动，不存在与单位负责人为同一人或者存在直接控股、管理关系的其他供应商参与同一合同项下的政府采购活动的行为。    </w:t>
      </w:r>
    </w:p>
    <w:p>
      <w:pPr>
        <w:adjustRightInd w:val="0"/>
        <w:spacing w:line="440" w:lineRule="exact"/>
        <w:ind w:firstLine="420" w:firstLineChars="200"/>
        <w:jc w:val="left"/>
        <w:textAlignment w:val="baseline"/>
        <w:rPr>
          <w:rFonts w:ascii="宋体" w:hAnsi="宋体" w:cs="宋体"/>
          <w:color w:val="000000"/>
          <w:kern w:val="0"/>
          <w:szCs w:val="21"/>
        </w:rPr>
      </w:pPr>
      <w:r>
        <w:rPr>
          <w:rFonts w:hint="eastAsia" w:ascii="宋体" w:hAnsi="宋体" w:cs="宋体"/>
          <w:color w:val="000000"/>
          <w:kern w:val="0"/>
          <w:szCs w:val="21"/>
        </w:rPr>
        <w:t>9.参加本次采购活动，不存在为采购项目提供整体设计、规范编制或者项目管理、监理、检测等服务的行为。</w:t>
      </w:r>
    </w:p>
    <w:p>
      <w:pPr>
        <w:adjustRightInd w:val="0"/>
        <w:spacing w:line="440" w:lineRule="exact"/>
        <w:ind w:firstLine="420" w:firstLineChars="200"/>
        <w:jc w:val="left"/>
        <w:textAlignment w:val="baseline"/>
        <w:rPr>
          <w:rFonts w:ascii="宋体" w:hAnsi="宋体" w:cs="宋体"/>
          <w:color w:val="000000"/>
          <w:kern w:val="0"/>
          <w:szCs w:val="21"/>
        </w:rPr>
      </w:pPr>
      <w:r>
        <w:rPr>
          <w:rFonts w:hint="eastAsia" w:ascii="宋体" w:hAnsi="宋体" w:cs="宋体"/>
          <w:color w:val="000000"/>
          <w:kern w:val="0"/>
          <w:szCs w:val="21"/>
        </w:rPr>
        <w:t>10.参加本次采购活动，不存在和其他供应商在同一合同项下的采购项目中，同时委托同一个自然人、同一家庭的人员、同一单位的人员作为代理人的行为。</w:t>
      </w:r>
    </w:p>
    <w:p>
      <w:pPr>
        <w:adjustRightInd w:val="0"/>
        <w:spacing w:line="440" w:lineRule="exact"/>
        <w:ind w:firstLine="420" w:firstLineChars="200"/>
        <w:jc w:val="left"/>
        <w:textAlignment w:val="baseline"/>
        <w:rPr>
          <w:rFonts w:asciiTheme="minorEastAsia" w:hAnsiTheme="minorEastAsia" w:eastAsiaTheme="minorEastAsia" w:cstheme="minorEastAsia"/>
          <w:szCs w:val="21"/>
        </w:rPr>
      </w:pPr>
    </w:p>
    <w:p>
      <w:pPr>
        <w:widowControl/>
        <w:spacing w:line="440" w:lineRule="exact"/>
        <w:ind w:firstLine="420" w:firstLineChars="200"/>
        <w:jc w:val="left"/>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szCs w:val="21"/>
        </w:rPr>
        <w:t xml:space="preserve">如果我方违反上述承诺，或承诺内容不属实，我方愿意承担一切不利的法律后果。 </w:t>
      </w:r>
    </w:p>
    <w:p>
      <w:pPr>
        <w:widowControl/>
        <w:spacing w:line="440" w:lineRule="exact"/>
        <w:jc w:val="left"/>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szCs w:val="21"/>
        </w:rPr>
        <w:t>与本</w:t>
      </w:r>
      <w:r>
        <w:rPr>
          <w:rFonts w:hint="eastAsia" w:asciiTheme="minorEastAsia" w:hAnsiTheme="minorEastAsia" w:cstheme="minorEastAsia"/>
          <w:color w:val="000000"/>
          <w:kern w:val="0"/>
          <w:szCs w:val="21"/>
        </w:rPr>
        <w:t>谈判</w:t>
      </w:r>
      <w:r>
        <w:rPr>
          <w:rFonts w:hint="eastAsia" w:asciiTheme="minorEastAsia" w:hAnsiTheme="minorEastAsia" w:eastAsiaTheme="minorEastAsia" w:cstheme="minorEastAsia"/>
          <w:color w:val="000000"/>
          <w:kern w:val="0"/>
          <w:szCs w:val="21"/>
        </w:rPr>
        <w:t xml:space="preserve">有关的联系方式： </w:t>
      </w:r>
    </w:p>
    <w:p>
      <w:pPr>
        <w:widowControl/>
        <w:spacing w:line="440" w:lineRule="exact"/>
        <w:jc w:val="left"/>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szCs w:val="21"/>
        </w:rPr>
        <w:t xml:space="preserve">地址： </w:t>
      </w:r>
    </w:p>
    <w:p>
      <w:pPr>
        <w:widowControl/>
        <w:spacing w:line="440" w:lineRule="exact"/>
        <w:jc w:val="left"/>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szCs w:val="21"/>
        </w:rPr>
        <w:t xml:space="preserve">邮编： </w:t>
      </w:r>
    </w:p>
    <w:p>
      <w:pPr>
        <w:widowControl/>
        <w:spacing w:line="440" w:lineRule="exact"/>
        <w:jc w:val="left"/>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szCs w:val="21"/>
        </w:rPr>
        <w:t xml:space="preserve">电话： </w:t>
      </w:r>
    </w:p>
    <w:p>
      <w:pPr>
        <w:widowControl/>
        <w:spacing w:line="440" w:lineRule="exact"/>
        <w:jc w:val="left"/>
        <w:rPr>
          <w:rFonts w:asciiTheme="minorEastAsia" w:hAnsiTheme="minorEastAsia" w:eastAsiaTheme="minorEastAsia" w:cstheme="minorEastAsia"/>
        </w:rPr>
      </w:pPr>
      <w:r>
        <w:rPr>
          <w:rFonts w:hint="eastAsia" w:asciiTheme="minorEastAsia" w:hAnsiTheme="minorEastAsia" w:cstheme="minorEastAsia"/>
          <w:color w:val="000000"/>
          <w:kern w:val="0"/>
          <w:szCs w:val="21"/>
        </w:rPr>
        <w:t>供应商</w:t>
      </w:r>
      <w:r>
        <w:rPr>
          <w:rFonts w:hint="eastAsia" w:asciiTheme="minorEastAsia" w:hAnsiTheme="minorEastAsia" w:eastAsiaTheme="minorEastAsia" w:cstheme="minorEastAsia"/>
          <w:color w:val="000000"/>
          <w:kern w:val="0"/>
          <w:szCs w:val="21"/>
        </w:rPr>
        <w:t xml:space="preserve">代表姓名： </w:t>
      </w:r>
    </w:p>
    <w:p>
      <w:pPr>
        <w:widowControl/>
        <w:spacing w:line="440" w:lineRule="exact"/>
        <w:jc w:val="left"/>
        <w:rPr>
          <w:rFonts w:asciiTheme="minorEastAsia" w:hAnsiTheme="minorEastAsia" w:eastAsiaTheme="minorEastAsia" w:cstheme="minorEastAsia"/>
        </w:rPr>
      </w:pPr>
      <w:r>
        <w:rPr>
          <w:rFonts w:hint="eastAsia" w:asciiTheme="minorEastAsia" w:hAnsiTheme="minorEastAsia" w:cstheme="minorEastAsia"/>
          <w:color w:val="000000"/>
          <w:kern w:val="0"/>
          <w:szCs w:val="21"/>
        </w:rPr>
        <w:t>供应商</w:t>
      </w:r>
      <w:r>
        <w:rPr>
          <w:rFonts w:hint="eastAsia" w:asciiTheme="minorEastAsia" w:hAnsiTheme="minorEastAsia" w:eastAsiaTheme="minorEastAsia" w:cstheme="minorEastAsia"/>
          <w:color w:val="000000"/>
          <w:kern w:val="0"/>
          <w:szCs w:val="21"/>
        </w:rPr>
        <w:t xml:space="preserve">代表联系电话： </w:t>
      </w:r>
    </w:p>
    <w:p>
      <w:pPr>
        <w:widowControl/>
        <w:spacing w:line="440" w:lineRule="exact"/>
        <w:jc w:val="left"/>
        <w:rPr>
          <w:rFonts w:asciiTheme="minorEastAsia" w:hAnsiTheme="minorEastAsia" w:eastAsiaTheme="minorEastAsia" w:cstheme="minorEastAsia"/>
        </w:rPr>
      </w:pPr>
      <w:r>
        <w:rPr>
          <w:rFonts w:hint="eastAsia" w:asciiTheme="minorEastAsia" w:hAnsiTheme="minorEastAsia" w:cstheme="minorEastAsia"/>
          <w:color w:val="000000"/>
          <w:kern w:val="0"/>
          <w:szCs w:val="21"/>
        </w:rPr>
        <w:t>供应商</w:t>
      </w:r>
      <w:r>
        <w:rPr>
          <w:rFonts w:hint="eastAsia" w:asciiTheme="minorEastAsia" w:hAnsiTheme="minorEastAsia" w:eastAsiaTheme="minorEastAsia" w:cstheme="minorEastAsia"/>
          <w:color w:val="000000"/>
          <w:kern w:val="0"/>
          <w:szCs w:val="21"/>
        </w:rPr>
        <w:t xml:space="preserve">代表电子邮箱: </w:t>
      </w:r>
    </w:p>
    <w:p>
      <w:pPr>
        <w:adjustRightInd w:val="0"/>
        <w:spacing w:line="440" w:lineRule="exact"/>
        <w:ind w:firstLine="1785" w:firstLineChars="850"/>
        <w:jc w:val="left"/>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r>
        <w:rPr>
          <w:rFonts w:hint="eastAsia" w:asciiTheme="minorEastAsia" w:hAnsiTheme="minorEastAsia" w:cstheme="minorEastAsia"/>
          <w:szCs w:val="21"/>
        </w:rPr>
        <w:t>供应商</w:t>
      </w:r>
      <w:r>
        <w:rPr>
          <w:rFonts w:hint="eastAsia" w:asciiTheme="minorEastAsia" w:hAnsiTheme="minorEastAsia" w:eastAsiaTheme="minorEastAsia" w:cstheme="minorEastAsia"/>
          <w:szCs w:val="21"/>
        </w:rPr>
        <w:t xml:space="preserve">代表（签字或名章）： </w:t>
      </w:r>
    </w:p>
    <w:p>
      <w:pPr>
        <w:adjustRightInd w:val="0"/>
        <w:spacing w:line="440" w:lineRule="exact"/>
        <w:ind w:firstLine="3780" w:firstLineChars="1800"/>
        <w:jc w:val="left"/>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法定代表人（签字或名章）： </w:t>
      </w:r>
    </w:p>
    <w:p>
      <w:pPr>
        <w:adjustRightInd w:val="0"/>
        <w:spacing w:line="440" w:lineRule="exact"/>
        <w:ind w:firstLine="3780" w:firstLineChars="1800"/>
        <w:jc w:val="left"/>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供应商名称（全称并加盖公章）：</w:t>
      </w:r>
    </w:p>
    <w:p>
      <w:pPr>
        <w:adjustRightInd w:val="0"/>
        <w:spacing w:line="440" w:lineRule="exact"/>
        <w:ind w:firstLine="1785" w:firstLineChars="850"/>
        <w:jc w:val="left"/>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日     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w:t>
      </w:r>
    </w:p>
    <w:p/>
    <w:p/>
    <w:p/>
    <w:p/>
    <w:p>
      <w:r>
        <w:rPr>
          <w:rFonts w:hint="eastAsia"/>
        </w:rPr>
        <w:tab/>
      </w:r>
    </w:p>
    <w:p/>
    <w:p/>
    <w:p/>
    <w:p/>
    <w:p/>
    <w:p/>
    <w:p/>
    <w:p/>
    <w:p/>
    <w:p/>
    <w:p/>
    <w:p/>
    <w:p/>
    <w:p/>
    <w:p/>
    <w:p/>
    <w:p/>
    <w:p/>
    <w:p/>
    <w:p/>
    <w:p/>
    <w:p/>
    <w:p/>
    <w:p/>
    <w:p/>
    <w:p/>
    <w:p/>
    <w:p/>
    <w:p/>
    <w:p/>
    <w:p>
      <w:pPr>
        <w:pStyle w:val="4"/>
        <w:numPr>
          <w:ilvl w:val="0"/>
          <w:numId w:val="8"/>
        </w:numPr>
        <w:spacing w:line="360" w:lineRule="auto"/>
        <w:rPr>
          <w:rFonts w:ascii="宋体" w:hAnsi="宋体" w:cs="宋体"/>
          <w:sz w:val="32"/>
          <w:szCs w:val="32"/>
        </w:rPr>
      </w:pPr>
      <w:bookmarkStart w:id="101" w:name="_Toc13659"/>
      <w:bookmarkStart w:id="102" w:name="_Toc32512"/>
      <w:bookmarkStart w:id="103" w:name="_Toc438"/>
      <w:bookmarkStart w:id="104" w:name="_Toc3834"/>
      <w:r>
        <w:rPr>
          <w:rFonts w:hint="eastAsia" w:ascii="宋体" w:hAnsi="宋体" w:cs="宋体"/>
          <w:sz w:val="32"/>
          <w:szCs w:val="32"/>
        </w:rPr>
        <w:t>承诺书</w:t>
      </w:r>
      <w:bookmarkEnd w:id="101"/>
      <w:bookmarkEnd w:id="102"/>
      <w:bookmarkEnd w:id="103"/>
      <w:bookmarkEnd w:id="104"/>
    </w:p>
    <w:p/>
    <w:p>
      <w:pPr>
        <w:spacing w:line="400" w:lineRule="exact"/>
        <w:ind w:firstLine="480" w:firstLineChars="200"/>
        <w:rPr>
          <w:rFonts w:ascii="宋体" w:hAnsi="宋体" w:cs="宋体"/>
          <w:sz w:val="24"/>
          <w:szCs w:val="24"/>
        </w:rPr>
      </w:pPr>
      <w:r>
        <w:rPr>
          <w:rFonts w:hint="eastAsia" w:ascii="宋体" w:hAnsi="宋体" w:cs="宋体"/>
          <w:sz w:val="24"/>
          <w:szCs w:val="24"/>
        </w:rPr>
        <w:t>致（采购人）：</w:t>
      </w:r>
    </w:p>
    <w:p>
      <w:pPr>
        <w:spacing w:line="400" w:lineRule="exact"/>
        <w:ind w:firstLine="480" w:firstLineChars="200"/>
        <w:rPr>
          <w:rFonts w:ascii="宋体" w:hAnsi="宋体" w:cs="宋体"/>
          <w:sz w:val="24"/>
          <w:szCs w:val="24"/>
        </w:rPr>
      </w:pPr>
      <w:r>
        <w:rPr>
          <w:rFonts w:hint="eastAsia" w:ascii="宋体" w:hAnsi="宋体" w:cs="宋体"/>
          <w:sz w:val="24"/>
          <w:szCs w:val="24"/>
        </w:rPr>
        <w:t xml:space="preserve">  我公司作为</w:t>
      </w:r>
      <w:r>
        <w:rPr>
          <w:rFonts w:hint="eastAsia" w:ascii="宋体" w:hAnsi="宋体" w:cs="宋体"/>
          <w:sz w:val="24"/>
          <w:szCs w:val="24"/>
          <w:u w:val="single"/>
        </w:rPr>
        <w:t xml:space="preserve">         </w:t>
      </w:r>
      <w:r>
        <w:rPr>
          <w:rFonts w:hint="eastAsia" w:ascii="宋体" w:hAnsi="宋体" w:cs="宋体"/>
          <w:sz w:val="24"/>
          <w:szCs w:val="24"/>
        </w:rPr>
        <w:t>项目（项目编号：</w:t>
      </w:r>
      <w:r>
        <w:rPr>
          <w:rFonts w:hint="eastAsia" w:ascii="宋体" w:hAnsi="宋体" w:cs="宋体"/>
          <w:sz w:val="24"/>
          <w:szCs w:val="24"/>
          <w:u w:val="single"/>
        </w:rPr>
        <w:t xml:space="preserve">           </w:t>
      </w:r>
      <w:r>
        <w:rPr>
          <w:rFonts w:hint="eastAsia" w:ascii="宋体" w:hAnsi="宋体" w:cs="宋体"/>
          <w:sz w:val="24"/>
          <w:szCs w:val="24"/>
        </w:rPr>
        <w:t>）的供应商，现郑重承诺如下：</w:t>
      </w:r>
    </w:p>
    <w:p>
      <w:pPr>
        <w:spacing w:line="400" w:lineRule="exact"/>
        <w:ind w:firstLine="480" w:firstLineChars="200"/>
        <w:rPr>
          <w:rFonts w:ascii="宋体" w:hAnsi="宋体" w:cs="宋体"/>
          <w:sz w:val="24"/>
          <w:szCs w:val="24"/>
        </w:rPr>
      </w:pPr>
      <w:r>
        <w:rPr>
          <w:rFonts w:hint="eastAsia" w:ascii="宋体" w:hAnsi="宋体" w:cs="宋体"/>
          <w:sz w:val="24"/>
          <w:szCs w:val="24"/>
        </w:rPr>
        <w:t>在本次采购活动中，我公司存在下列情形之一的，自愿向采购人缴纳本竞争性磋商文件第二章供应商须知前附表中规定的磋商保证金金额，由采购人没收，因此产生的一切后果和责任由我公司承担，我公司放弃对此提出的任何异议和权利：</w:t>
      </w:r>
    </w:p>
    <w:p>
      <w:pPr>
        <w:spacing w:line="400" w:lineRule="exact"/>
        <w:rPr>
          <w:rFonts w:ascii="宋体" w:hAnsi="宋体" w:cs="宋体"/>
          <w:sz w:val="24"/>
          <w:szCs w:val="24"/>
        </w:rPr>
      </w:pPr>
      <w:r>
        <w:rPr>
          <w:rFonts w:hint="eastAsia" w:ascii="宋体" w:hAnsi="宋体" w:cs="宋体"/>
          <w:sz w:val="24"/>
          <w:szCs w:val="24"/>
        </w:rPr>
        <w:t xml:space="preserve">    （1）在提交响应文件截止时间后或</w:t>
      </w:r>
      <w:r>
        <w:rPr>
          <w:rFonts w:hint="eastAsia" w:ascii="宋体" w:hAnsi="宋体" w:cs="宋体"/>
          <w:bCs/>
          <w:sz w:val="24"/>
          <w:szCs w:val="24"/>
        </w:rPr>
        <w:t>磋商</w:t>
      </w:r>
      <w:r>
        <w:rPr>
          <w:rFonts w:hint="eastAsia" w:ascii="宋体" w:hAnsi="宋体" w:cs="宋体"/>
          <w:sz w:val="24"/>
          <w:szCs w:val="24"/>
        </w:rPr>
        <w:t>有效期内撤回响应文件的；</w:t>
      </w:r>
    </w:p>
    <w:p>
      <w:pPr>
        <w:spacing w:line="400" w:lineRule="exact"/>
        <w:rPr>
          <w:rFonts w:ascii="宋体" w:hAnsi="宋体" w:cs="宋体"/>
          <w:sz w:val="24"/>
          <w:szCs w:val="24"/>
        </w:rPr>
      </w:pPr>
      <w:r>
        <w:rPr>
          <w:rFonts w:hint="eastAsia" w:ascii="宋体" w:hAnsi="宋体" w:cs="宋体"/>
          <w:sz w:val="24"/>
          <w:szCs w:val="24"/>
        </w:rPr>
        <w:t xml:space="preserve">    （2）在响应文件中提供虚假材料的；</w:t>
      </w:r>
    </w:p>
    <w:p>
      <w:pPr>
        <w:spacing w:line="400" w:lineRule="exact"/>
        <w:rPr>
          <w:rFonts w:ascii="宋体" w:hAnsi="宋体" w:cs="宋体"/>
          <w:sz w:val="24"/>
          <w:szCs w:val="24"/>
        </w:rPr>
      </w:pPr>
      <w:r>
        <w:rPr>
          <w:rFonts w:hint="eastAsia" w:ascii="宋体" w:hAnsi="宋体" w:cs="宋体"/>
          <w:sz w:val="24"/>
          <w:szCs w:val="24"/>
        </w:rPr>
        <w:t xml:space="preserve">    （3）如我公司成交，除因不可抗力或竞争性磋商文件认可的情形以外，我公司不与采购人签订合同的；</w:t>
      </w:r>
    </w:p>
    <w:p>
      <w:pPr>
        <w:spacing w:line="400" w:lineRule="exact"/>
        <w:rPr>
          <w:rFonts w:ascii="宋体" w:hAnsi="宋体" w:cs="宋体"/>
          <w:sz w:val="24"/>
          <w:szCs w:val="24"/>
        </w:rPr>
      </w:pPr>
      <w:r>
        <w:rPr>
          <w:rFonts w:hint="eastAsia" w:ascii="宋体" w:hAnsi="宋体" w:cs="宋体"/>
          <w:sz w:val="24"/>
          <w:szCs w:val="24"/>
        </w:rPr>
        <w:t xml:space="preserve">    （4）我公司与采购人、其他供应商或者采购代理机构恶意串通的。</w:t>
      </w:r>
    </w:p>
    <w:p>
      <w:pPr>
        <w:spacing w:line="400" w:lineRule="exact"/>
        <w:ind w:firstLine="480" w:firstLineChars="200"/>
        <w:rPr>
          <w:rFonts w:ascii="宋体" w:hAnsi="宋体" w:cs="宋体"/>
          <w:sz w:val="24"/>
          <w:szCs w:val="24"/>
        </w:rPr>
      </w:pPr>
      <w:r>
        <w:rPr>
          <w:rFonts w:hint="eastAsia" w:ascii="宋体" w:hAnsi="宋体" w:cs="宋体"/>
          <w:sz w:val="24"/>
          <w:szCs w:val="24"/>
        </w:rPr>
        <w:t>（5）磋商文件及相关法律法规规定的其他情形。</w:t>
      </w:r>
    </w:p>
    <w:p>
      <w:pPr>
        <w:spacing w:line="400" w:lineRule="exact"/>
        <w:rPr>
          <w:rFonts w:ascii="宋体" w:hAnsi="宋体" w:cs="宋体"/>
          <w:sz w:val="24"/>
          <w:szCs w:val="24"/>
        </w:rPr>
      </w:pPr>
      <w:r>
        <w:rPr>
          <w:rFonts w:hint="eastAsia" w:ascii="宋体" w:hAnsi="宋体" w:cs="宋体"/>
          <w:sz w:val="24"/>
          <w:szCs w:val="24"/>
        </w:rPr>
        <w:t>特此承诺</w:t>
      </w:r>
    </w:p>
    <w:p>
      <w:pPr>
        <w:spacing w:line="400" w:lineRule="exact"/>
        <w:rPr>
          <w:rFonts w:ascii="宋体" w:hAnsi="宋体" w:cs="宋体"/>
          <w:sz w:val="24"/>
          <w:szCs w:val="24"/>
        </w:rPr>
      </w:pPr>
    </w:p>
    <w:p>
      <w:pPr>
        <w:spacing w:line="400" w:lineRule="exact"/>
        <w:rPr>
          <w:rFonts w:ascii="宋体" w:hAnsi="宋体" w:cs="宋体"/>
          <w:sz w:val="24"/>
          <w:szCs w:val="24"/>
        </w:rPr>
      </w:pPr>
    </w:p>
    <w:p>
      <w:pPr>
        <w:adjustRightInd w:val="0"/>
        <w:spacing w:line="400" w:lineRule="exact"/>
        <w:ind w:firstLine="2040" w:firstLineChars="850"/>
        <w:jc w:val="left"/>
        <w:textAlignment w:val="baseline"/>
        <w:rPr>
          <w:rFonts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ascii="宋体" w:hAnsi="宋体" w:cs="宋体"/>
          <w:sz w:val="24"/>
          <w:szCs w:val="24"/>
        </w:rPr>
      </w:pPr>
    </w:p>
    <w:p>
      <w:pPr>
        <w:adjustRightInd w:val="0"/>
        <w:spacing w:line="400" w:lineRule="exact"/>
        <w:ind w:firstLine="2040" w:firstLineChars="850"/>
        <w:jc w:val="left"/>
        <w:textAlignment w:val="baseline"/>
        <w:rPr>
          <w:rFonts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ascii="宋体" w:hAnsi="宋体" w:cs="宋体"/>
          <w:sz w:val="24"/>
          <w:szCs w:val="24"/>
        </w:rPr>
      </w:pPr>
    </w:p>
    <w:p>
      <w:pPr>
        <w:adjustRightInd w:val="0"/>
        <w:spacing w:line="400" w:lineRule="exact"/>
        <w:ind w:firstLine="2040" w:firstLineChars="850"/>
        <w:jc w:val="left"/>
        <w:textAlignment w:val="baseline"/>
        <w:rPr>
          <w:rFonts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400" w:lineRule="exact"/>
        <w:jc w:val="left"/>
        <w:textAlignment w:val="baseline"/>
        <w:rPr>
          <w:rFonts w:ascii="宋体" w:hAnsi="宋体" w:cs="宋体"/>
          <w:sz w:val="24"/>
          <w:szCs w:val="24"/>
        </w:rPr>
      </w:pPr>
    </w:p>
    <w:p>
      <w:pPr>
        <w:adjustRightInd w:val="0"/>
        <w:spacing w:line="330" w:lineRule="exact"/>
        <w:jc w:val="left"/>
        <w:textAlignment w:val="baseline"/>
        <w:rPr>
          <w:rFonts w:ascii="宋体" w:hAnsi="宋体" w:cs="宋体"/>
          <w:szCs w:val="21"/>
        </w:rPr>
      </w:pPr>
    </w:p>
    <w:p>
      <w:pPr>
        <w:adjustRightInd w:val="0"/>
        <w:spacing w:line="330" w:lineRule="exact"/>
        <w:jc w:val="left"/>
        <w:textAlignment w:val="baseline"/>
        <w:rPr>
          <w:rFonts w:ascii="宋体" w:hAnsi="宋体" w:cs="宋体"/>
          <w:szCs w:val="21"/>
        </w:rPr>
      </w:pPr>
    </w:p>
    <w:p>
      <w:pPr>
        <w:adjustRightInd w:val="0"/>
        <w:spacing w:line="330" w:lineRule="exact"/>
        <w:ind w:firstLine="1785" w:firstLineChars="850"/>
        <w:jc w:val="left"/>
        <w:textAlignment w:val="baseline"/>
        <w:rPr>
          <w:rFonts w:ascii="宋体" w:hAnsi="宋体" w:cs="宋体"/>
          <w:szCs w:val="21"/>
        </w:rPr>
      </w:pPr>
    </w:p>
    <w:p>
      <w:pPr>
        <w:adjustRightInd w:val="0"/>
        <w:spacing w:line="330" w:lineRule="exact"/>
        <w:ind w:firstLine="1785" w:firstLineChars="850"/>
        <w:jc w:val="left"/>
        <w:textAlignment w:val="baseline"/>
        <w:rPr>
          <w:rFonts w:ascii="宋体" w:hAnsi="宋体" w:cs="宋体"/>
          <w:szCs w:val="21"/>
        </w:rPr>
      </w:pPr>
    </w:p>
    <w:p>
      <w:pPr>
        <w:pStyle w:val="59"/>
      </w:pPr>
    </w:p>
    <w:p>
      <w:pPr>
        <w:pStyle w:val="59"/>
      </w:pPr>
    </w:p>
    <w:p>
      <w:pPr>
        <w:pStyle w:val="59"/>
      </w:pPr>
    </w:p>
    <w:p>
      <w:pPr>
        <w:pStyle w:val="59"/>
      </w:pPr>
    </w:p>
    <w:p>
      <w:pPr>
        <w:pStyle w:val="59"/>
      </w:pPr>
    </w:p>
    <w:p>
      <w:pPr>
        <w:adjustRightInd w:val="0"/>
        <w:spacing w:line="330" w:lineRule="exact"/>
        <w:ind w:firstLine="1785" w:firstLineChars="850"/>
        <w:jc w:val="left"/>
        <w:textAlignment w:val="baseline"/>
        <w:rPr>
          <w:rFonts w:ascii="宋体" w:hAnsi="宋体" w:cs="宋体"/>
          <w:szCs w:val="21"/>
        </w:rPr>
      </w:pPr>
    </w:p>
    <w:p>
      <w:pPr>
        <w:adjustRightInd w:val="0"/>
        <w:spacing w:line="330" w:lineRule="exact"/>
        <w:ind w:firstLine="1785" w:firstLineChars="850"/>
        <w:jc w:val="left"/>
        <w:textAlignment w:val="baseline"/>
        <w:rPr>
          <w:rFonts w:ascii="宋体" w:hAnsi="宋体" w:cs="宋体"/>
          <w:szCs w:val="21"/>
        </w:rPr>
      </w:pPr>
    </w:p>
    <w:p>
      <w:pPr>
        <w:adjustRightInd w:val="0"/>
        <w:spacing w:line="330" w:lineRule="exact"/>
        <w:ind w:firstLine="1785" w:firstLineChars="850"/>
        <w:jc w:val="left"/>
        <w:textAlignment w:val="baseline"/>
        <w:rPr>
          <w:rFonts w:ascii="宋体" w:hAnsi="宋体" w:cs="宋体"/>
          <w:szCs w:val="21"/>
        </w:rPr>
      </w:pPr>
    </w:p>
    <w:p>
      <w:pPr>
        <w:adjustRightInd w:val="0"/>
        <w:spacing w:line="330" w:lineRule="exact"/>
        <w:ind w:firstLine="1785" w:firstLineChars="850"/>
        <w:jc w:val="left"/>
        <w:textAlignment w:val="baseline"/>
        <w:rPr>
          <w:rFonts w:ascii="宋体" w:hAnsi="宋体" w:cs="宋体"/>
          <w:szCs w:val="21"/>
        </w:rPr>
      </w:pPr>
    </w:p>
    <w:bookmarkEnd w:id="92"/>
    <w:bookmarkEnd w:id="93"/>
    <w:bookmarkEnd w:id="94"/>
    <w:bookmarkEnd w:id="95"/>
    <w:bookmarkEnd w:id="96"/>
    <w:bookmarkEnd w:id="97"/>
    <w:bookmarkEnd w:id="98"/>
    <w:bookmarkEnd w:id="99"/>
    <w:p>
      <w:pPr>
        <w:pStyle w:val="4"/>
        <w:numPr>
          <w:ilvl w:val="0"/>
          <w:numId w:val="8"/>
        </w:numPr>
        <w:spacing w:line="360" w:lineRule="auto"/>
        <w:rPr>
          <w:rFonts w:ascii="宋体" w:hAnsi="宋体" w:cs="宋体"/>
          <w:sz w:val="32"/>
          <w:szCs w:val="32"/>
        </w:rPr>
      </w:pPr>
      <w:bookmarkStart w:id="105" w:name="_Toc29369"/>
      <w:bookmarkStart w:id="106" w:name="_Toc484"/>
      <w:bookmarkStart w:id="107" w:name="_Toc22569"/>
      <w:bookmarkStart w:id="108" w:name="_Toc6638"/>
      <w:bookmarkStart w:id="109" w:name="_Toc477423254"/>
      <w:bookmarkStart w:id="110" w:name="_Toc453513319"/>
      <w:bookmarkStart w:id="111" w:name="_Toc408816355"/>
      <w:bookmarkStart w:id="112" w:name="_Toc475955188"/>
      <w:bookmarkStart w:id="113" w:name="_Toc476045982"/>
      <w:bookmarkStart w:id="114" w:name="_Toc27591"/>
      <w:bookmarkStart w:id="115" w:name="_Toc364490445"/>
      <w:bookmarkStart w:id="116" w:name="_Toc374512425"/>
      <w:bookmarkStart w:id="117" w:name="_Toc373230037"/>
      <w:r>
        <w:rPr>
          <w:rFonts w:hint="eastAsia" w:ascii="宋体" w:hAnsi="宋体" w:cs="宋体"/>
          <w:sz w:val="32"/>
          <w:szCs w:val="32"/>
        </w:rPr>
        <w:t>供应商基本情况表</w:t>
      </w:r>
      <w:bookmarkEnd w:id="105"/>
      <w:bookmarkEnd w:id="106"/>
      <w:bookmarkEnd w:id="107"/>
      <w:bookmarkEnd w:id="108"/>
    </w:p>
    <w:tbl>
      <w:tblPr>
        <w:tblStyle w:val="39"/>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sz w:val="24"/>
              </w:rPr>
            </w:pPr>
            <w:r>
              <w:rPr>
                <w:rFonts w:hint="eastAsia" w:ascii="宋体" w:hAnsi="宋体" w:cs="宋体"/>
                <w:sz w:val="24"/>
              </w:rPr>
              <w:t>供应商名称</w:t>
            </w:r>
          </w:p>
        </w:tc>
        <w:tc>
          <w:tcPr>
            <w:tcW w:w="6211" w:type="dxa"/>
            <w:gridSpan w:val="9"/>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sz w:val="24"/>
              </w:rPr>
            </w:pPr>
            <w:r>
              <w:rPr>
                <w:rFonts w:hint="eastAsia" w:ascii="宋体" w:hAnsi="宋体" w:cs="宋体"/>
                <w:sz w:val="24"/>
              </w:rPr>
              <w:t>注册地址</w:t>
            </w:r>
          </w:p>
        </w:tc>
        <w:tc>
          <w:tcPr>
            <w:tcW w:w="2141" w:type="dxa"/>
            <w:gridSpan w:val="4"/>
            <w:vAlign w:val="center"/>
          </w:tcPr>
          <w:p>
            <w:pPr>
              <w:spacing w:line="360" w:lineRule="auto"/>
              <w:jc w:val="center"/>
              <w:rPr>
                <w:rFonts w:ascii="宋体" w:hAnsi="宋体" w:cs="宋体"/>
                <w:sz w:val="24"/>
              </w:rPr>
            </w:pPr>
          </w:p>
        </w:tc>
        <w:tc>
          <w:tcPr>
            <w:tcW w:w="1191" w:type="dxa"/>
            <w:gridSpan w:val="2"/>
            <w:vAlign w:val="center"/>
          </w:tcPr>
          <w:p>
            <w:pPr>
              <w:spacing w:line="360" w:lineRule="auto"/>
              <w:jc w:val="center"/>
              <w:rPr>
                <w:rFonts w:ascii="宋体" w:hAnsi="宋体" w:cs="宋体"/>
                <w:sz w:val="24"/>
              </w:rPr>
            </w:pPr>
            <w:r>
              <w:rPr>
                <w:rFonts w:hint="eastAsia" w:ascii="宋体" w:hAnsi="宋体" w:cs="宋体"/>
                <w:sz w:val="24"/>
              </w:rPr>
              <w:t>邮政编码</w:t>
            </w:r>
          </w:p>
        </w:tc>
        <w:tc>
          <w:tcPr>
            <w:tcW w:w="2879" w:type="dxa"/>
            <w:gridSpan w:val="3"/>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vAlign w:val="center"/>
          </w:tcPr>
          <w:p>
            <w:pPr>
              <w:spacing w:line="360" w:lineRule="auto"/>
              <w:jc w:val="center"/>
              <w:rPr>
                <w:rFonts w:ascii="宋体" w:hAnsi="宋体" w:cs="宋体"/>
                <w:sz w:val="24"/>
              </w:rPr>
            </w:pPr>
            <w:r>
              <w:rPr>
                <w:rFonts w:hint="eastAsia" w:ascii="宋体" w:hAnsi="宋体" w:cs="宋体"/>
                <w:sz w:val="24"/>
              </w:rPr>
              <w:t>联系方式</w:t>
            </w:r>
          </w:p>
        </w:tc>
        <w:tc>
          <w:tcPr>
            <w:tcW w:w="1036" w:type="dxa"/>
            <w:gridSpan w:val="2"/>
            <w:vAlign w:val="center"/>
          </w:tcPr>
          <w:p>
            <w:pPr>
              <w:spacing w:line="360" w:lineRule="auto"/>
              <w:jc w:val="center"/>
              <w:rPr>
                <w:rFonts w:ascii="宋体" w:hAnsi="宋体" w:cs="宋体"/>
                <w:sz w:val="24"/>
              </w:rPr>
            </w:pPr>
            <w:r>
              <w:rPr>
                <w:rFonts w:hint="eastAsia" w:ascii="宋体" w:hAnsi="宋体" w:cs="宋体"/>
                <w:sz w:val="24"/>
              </w:rPr>
              <w:t>联系人</w:t>
            </w:r>
          </w:p>
        </w:tc>
        <w:tc>
          <w:tcPr>
            <w:tcW w:w="1105" w:type="dxa"/>
            <w:gridSpan w:val="2"/>
            <w:vAlign w:val="center"/>
          </w:tcPr>
          <w:p>
            <w:pPr>
              <w:spacing w:line="360" w:lineRule="auto"/>
              <w:jc w:val="center"/>
              <w:rPr>
                <w:rFonts w:ascii="宋体" w:hAnsi="宋体" w:cs="宋体"/>
                <w:sz w:val="24"/>
              </w:rPr>
            </w:pPr>
          </w:p>
        </w:tc>
        <w:tc>
          <w:tcPr>
            <w:tcW w:w="1191" w:type="dxa"/>
            <w:gridSpan w:val="2"/>
            <w:vAlign w:val="center"/>
          </w:tcPr>
          <w:p>
            <w:pPr>
              <w:spacing w:line="360" w:lineRule="auto"/>
              <w:jc w:val="center"/>
              <w:rPr>
                <w:rFonts w:ascii="宋体" w:hAnsi="宋体" w:cs="宋体"/>
                <w:sz w:val="24"/>
              </w:rPr>
            </w:pPr>
            <w:r>
              <w:rPr>
                <w:rFonts w:hint="eastAsia" w:ascii="宋体" w:hAnsi="宋体" w:cs="宋体"/>
                <w:sz w:val="24"/>
              </w:rPr>
              <w:t>电话</w:t>
            </w:r>
          </w:p>
        </w:tc>
        <w:tc>
          <w:tcPr>
            <w:tcW w:w="2879" w:type="dxa"/>
            <w:gridSpan w:val="3"/>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sz w:val="24"/>
              </w:rPr>
            </w:pPr>
            <w:r>
              <w:rPr>
                <w:rFonts w:hint="eastAsia" w:ascii="宋体" w:hAnsi="宋体" w:cs="宋体"/>
                <w:sz w:val="24"/>
              </w:rPr>
              <w:t>设立登记证书号</w:t>
            </w:r>
          </w:p>
        </w:tc>
        <w:tc>
          <w:tcPr>
            <w:tcW w:w="6211" w:type="dxa"/>
            <w:gridSpan w:val="9"/>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sz w:val="24"/>
              </w:rPr>
            </w:pPr>
            <w:r>
              <w:rPr>
                <w:rFonts w:hint="eastAsia" w:ascii="宋体" w:hAnsi="宋体" w:cs="宋体"/>
                <w:sz w:val="24"/>
              </w:rPr>
              <w:t>法定代表人</w:t>
            </w:r>
          </w:p>
        </w:tc>
        <w:tc>
          <w:tcPr>
            <w:tcW w:w="837" w:type="dxa"/>
            <w:vAlign w:val="center"/>
          </w:tcPr>
          <w:p>
            <w:pPr>
              <w:spacing w:line="360" w:lineRule="auto"/>
              <w:jc w:val="center"/>
              <w:rPr>
                <w:rFonts w:ascii="宋体" w:hAnsi="宋体" w:cs="宋体"/>
                <w:sz w:val="24"/>
              </w:rPr>
            </w:pPr>
            <w:r>
              <w:rPr>
                <w:rFonts w:hint="eastAsia" w:ascii="宋体" w:hAnsi="宋体" w:cs="宋体"/>
                <w:sz w:val="24"/>
              </w:rPr>
              <w:t>姓名</w:t>
            </w:r>
          </w:p>
        </w:tc>
        <w:tc>
          <w:tcPr>
            <w:tcW w:w="1030" w:type="dxa"/>
            <w:gridSpan w:val="2"/>
            <w:vAlign w:val="center"/>
          </w:tcPr>
          <w:p>
            <w:pPr>
              <w:spacing w:line="360" w:lineRule="auto"/>
              <w:jc w:val="center"/>
              <w:rPr>
                <w:rFonts w:ascii="宋体" w:hAnsi="宋体" w:cs="宋体"/>
                <w:sz w:val="24"/>
              </w:rPr>
            </w:pPr>
          </w:p>
        </w:tc>
        <w:tc>
          <w:tcPr>
            <w:tcW w:w="788" w:type="dxa"/>
            <w:gridSpan w:val="2"/>
            <w:vAlign w:val="center"/>
          </w:tcPr>
          <w:p>
            <w:pPr>
              <w:spacing w:line="360" w:lineRule="auto"/>
              <w:jc w:val="center"/>
              <w:rPr>
                <w:rFonts w:ascii="宋体" w:hAnsi="宋体" w:cs="宋体"/>
                <w:sz w:val="24"/>
              </w:rPr>
            </w:pPr>
            <w:r>
              <w:rPr>
                <w:rFonts w:hint="eastAsia" w:ascii="宋体" w:hAnsi="宋体" w:cs="宋体"/>
                <w:sz w:val="24"/>
              </w:rPr>
              <w:t>职务</w:t>
            </w:r>
          </w:p>
        </w:tc>
        <w:tc>
          <w:tcPr>
            <w:tcW w:w="1440" w:type="dxa"/>
            <w:gridSpan w:val="2"/>
            <w:vAlign w:val="center"/>
          </w:tcPr>
          <w:p>
            <w:pPr>
              <w:spacing w:line="360" w:lineRule="auto"/>
              <w:jc w:val="center"/>
              <w:rPr>
                <w:rFonts w:ascii="宋体" w:hAnsi="宋体" w:cs="宋体"/>
                <w:sz w:val="24"/>
              </w:rPr>
            </w:pPr>
          </w:p>
        </w:tc>
        <w:tc>
          <w:tcPr>
            <w:tcW w:w="788" w:type="dxa"/>
            <w:vAlign w:val="center"/>
          </w:tcPr>
          <w:p>
            <w:pPr>
              <w:spacing w:line="360" w:lineRule="auto"/>
              <w:jc w:val="center"/>
              <w:rPr>
                <w:rFonts w:ascii="宋体" w:hAnsi="宋体" w:cs="宋体"/>
                <w:sz w:val="24"/>
              </w:rPr>
            </w:pPr>
            <w:r>
              <w:rPr>
                <w:rFonts w:hint="eastAsia" w:ascii="宋体" w:hAnsi="宋体" w:cs="宋体"/>
                <w:sz w:val="24"/>
              </w:rPr>
              <w:t>电话</w:t>
            </w:r>
          </w:p>
        </w:tc>
        <w:tc>
          <w:tcPr>
            <w:tcW w:w="1328"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sz w:val="24"/>
              </w:rPr>
            </w:pPr>
            <w:r>
              <w:rPr>
                <w:rFonts w:hint="eastAsia" w:ascii="宋体" w:hAnsi="宋体" w:cs="宋体"/>
                <w:sz w:val="24"/>
              </w:rPr>
              <w:t>注册资金</w:t>
            </w:r>
          </w:p>
        </w:tc>
        <w:tc>
          <w:tcPr>
            <w:tcW w:w="1867" w:type="dxa"/>
            <w:gridSpan w:val="3"/>
            <w:vAlign w:val="center"/>
          </w:tcPr>
          <w:p>
            <w:pPr>
              <w:spacing w:line="360" w:lineRule="auto"/>
              <w:jc w:val="center"/>
              <w:rPr>
                <w:rFonts w:ascii="宋体" w:hAnsi="宋体" w:cs="宋体"/>
                <w:sz w:val="24"/>
              </w:rPr>
            </w:pPr>
          </w:p>
        </w:tc>
        <w:tc>
          <w:tcPr>
            <w:tcW w:w="2228" w:type="dxa"/>
            <w:gridSpan w:val="4"/>
            <w:vAlign w:val="center"/>
          </w:tcPr>
          <w:p>
            <w:pPr>
              <w:spacing w:line="360" w:lineRule="auto"/>
              <w:jc w:val="center"/>
              <w:rPr>
                <w:rFonts w:ascii="宋体" w:hAnsi="宋体" w:cs="宋体"/>
                <w:sz w:val="24"/>
              </w:rPr>
            </w:pPr>
            <w:r>
              <w:rPr>
                <w:rFonts w:hint="eastAsia" w:ascii="宋体" w:hAnsi="宋体" w:cs="宋体"/>
                <w:sz w:val="24"/>
              </w:rPr>
              <w:t>成立时间</w:t>
            </w:r>
          </w:p>
        </w:tc>
        <w:tc>
          <w:tcPr>
            <w:tcW w:w="2116" w:type="dxa"/>
            <w:gridSpan w:val="2"/>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sz w:val="24"/>
              </w:rPr>
            </w:pPr>
            <w:r>
              <w:rPr>
                <w:rFonts w:hint="eastAsia" w:ascii="宋体" w:hAnsi="宋体" w:cs="宋体"/>
                <w:sz w:val="24"/>
              </w:rPr>
              <w:t>开户银行</w:t>
            </w:r>
          </w:p>
        </w:tc>
        <w:tc>
          <w:tcPr>
            <w:tcW w:w="1867" w:type="dxa"/>
            <w:gridSpan w:val="3"/>
            <w:vAlign w:val="center"/>
          </w:tcPr>
          <w:p>
            <w:pPr>
              <w:spacing w:line="360" w:lineRule="auto"/>
              <w:jc w:val="center"/>
              <w:rPr>
                <w:rFonts w:ascii="宋体" w:hAnsi="宋体" w:cs="宋体"/>
                <w:sz w:val="24"/>
              </w:rPr>
            </w:pPr>
          </w:p>
        </w:tc>
        <w:tc>
          <w:tcPr>
            <w:tcW w:w="2228" w:type="dxa"/>
            <w:gridSpan w:val="4"/>
            <w:vAlign w:val="center"/>
          </w:tcPr>
          <w:p>
            <w:pPr>
              <w:spacing w:line="360" w:lineRule="auto"/>
              <w:jc w:val="center"/>
              <w:rPr>
                <w:rFonts w:ascii="宋体" w:hAnsi="宋体" w:cs="宋体"/>
                <w:sz w:val="24"/>
              </w:rPr>
            </w:pPr>
            <w:r>
              <w:rPr>
                <w:rFonts w:hint="eastAsia" w:ascii="宋体" w:hAnsi="宋体" w:cs="宋体"/>
                <w:sz w:val="24"/>
              </w:rPr>
              <w:t>账号</w:t>
            </w:r>
          </w:p>
        </w:tc>
        <w:tc>
          <w:tcPr>
            <w:tcW w:w="2116" w:type="dxa"/>
            <w:gridSpan w:val="2"/>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sz w:val="24"/>
              </w:rPr>
            </w:pPr>
            <w:r>
              <w:rPr>
                <w:rFonts w:hint="eastAsia" w:ascii="宋体" w:hAnsi="宋体" w:cs="宋体"/>
                <w:sz w:val="24"/>
              </w:rPr>
              <w:t>经营范围</w:t>
            </w:r>
          </w:p>
        </w:tc>
        <w:tc>
          <w:tcPr>
            <w:tcW w:w="6211" w:type="dxa"/>
            <w:gridSpan w:val="9"/>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sz w:val="24"/>
              </w:rPr>
            </w:pPr>
            <w:r>
              <w:rPr>
                <w:rFonts w:hint="eastAsia" w:ascii="宋体" w:hAnsi="宋体" w:cs="宋体"/>
                <w:sz w:val="24"/>
              </w:rPr>
              <w:t>备注</w:t>
            </w:r>
          </w:p>
        </w:tc>
        <w:tc>
          <w:tcPr>
            <w:tcW w:w="6211" w:type="dxa"/>
            <w:gridSpan w:val="9"/>
            <w:vAlign w:val="center"/>
          </w:tcPr>
          <w:p>
            <w:pPr>
              <w:spacing w:line="360" w:lineRule="auto"/>
              <w:jc w:val="center"/>
              <w:rPr>
                <w:rFonts w:ascii="宋体" w:hAnsi="宋体" w:cs="宋体"/>
                <w:sz w:val="24"/>
              </w:rPr>
            </w:pPr>
          </w:p>
        </w:tc>
      </w:tr>
    </w:tbl>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注：供应商可根据实际情况自行添加表格内容。</w:t>
      </w:r>
    </w:p>
    <w:p>
      <w:pPr>
        <w:spacing w:line="360" w:lineRule="auto"/>
        <w:rPr>
          <w:rFonts w:ascii="宋体" w:hAnsi="宋体" w:cs="宋体"/>
          <w:sz w:val="24"/>
        </w:rPr>
      </w:pPr>
      <w:r>
        <w:rPr>
          <w:rFonts w:hint="eastAsia" w:ascii="宋体" w:hAnsi="宋体" w:cs="宋体"/>
          <w:sz w:val="24"/>
        </w:rPr>
        <w:t xml:space="preserve">                                供应商名称（全称并加盖公章）：</w:t>
      </w:r>
    </w:p>
    <w:p>
      <w:pPr>
        <w:spacing w:line="360" w:lineRule="auto"/>
        <w:rPr>
          <w:rFonts w:ascii="宋体" w:hAnsi="宋体" w:cs="宋体"/>
          <w:sz w:val="24"/>
        </w:rPr>
      </w:pPr>
      <w:r>
        <w:rPr>
          <w:rFonts w:hint="eastAsia" w:ascii="宋体" w:hAnsi="宋体" w:cs="宋体"/>
          <w:sz w:val="24"/>
        </w:rPr>
        <w:t xml:space="preserve">                                法定代表人或其委托代理人（签名或盖章）：</w:t>
      </w:r>
    </w:p>
    <w:p>
      <w:pPr>
        <w:spacing w:line="360" w:lineRule="auto"/>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sz w:val="24"/>
        </w:rPr>
      </w:pPr>
    </w:p>
    <w:p>
      <w:pPr>
        <w:rPr>
          <w:rFonts w:ascii="宋体" w:hAnsi="宋体" w:cs="宋体"/>
          <w:sz w:val="28"/>
          <w:szCs w:val="24"/>
        </w:rPr>
      </w:pPr>
    </w:p>
    <w:p>
      <w:pPr>
        <w:rPr>
          <w:rFonts w:ascii="宋体" w:hAnsi="宋体" w:cs="宋体"/>
          <w:sz w:val="28"/>
          <w:szCs w:val="24"/>
        </w:rPr>
      </w:pPr>
    </w:p>
    <w:p>
      <w:pPr>
        <w:rPr>
          <w:rFonts w:ascii="宋体" w:hAnsi="宋体" w:cs="宋体"/>
          <w:sz w:val="28"/>
          <w:szCs w:val="24"/>
        </w:rPr>
      </w:pPr>
    </w:p>
    <w:p>
      <w:pPr>
        <w:rPr>
          <w:rFonts w:ascii="宋体" w:hAnsi="宋体" w:cs="宋体"/>
          <w:sz w:val="28"/>
          <w:szCs w:val="24"/>
        </w:rPr>
      </w:pPr>
    </w:p>
    <w:p>
      <w:pPr>
        <w:rPr>
          <w:rFonts w:ascii="宋体" w:hAnsi="宋体" w:cs="宋体"/>
          <w:sz w:val="28"/>
          <w:szCs w:val="24"/>
        </w:rPr>
      </w:pPr>
    </w:p>
    <w:p>
      <w:pPr>
        <w:pStyle w:val="38"/>
        <w:rPr>
          <w:rFonts w:ascii="宋体" w:hAnsi="宋体" w:cs="宋体"/>
          <w:sz w:val="28"/>
          <w:szCs w:val="24"/>
        </w:rPr>
      </w:pPr>
    </w:p>
    <w:p/>
    <w:p>
      <w:pPr>
        <w:pStyle w:val="4"/>
        <w:numPr>
          <w:ilvl w:val="0"/>
          <w:numId w:val="8"/>
        </w:numPr>
        <w:spacing w:line="360" w:lineRule="auto"/>
        <w:rPr>
          <w:rFonts w:ascii="宋体" w:hAnsi="宋体" w:cs="宋体"/>
          <w:sz w:val="32"/>
          <w:szCs w:val="32"/>
        </w:rPr>
      </w:pPr>
      <w:bookmarkStart w:id="118" w:name="_Toc22991"/>
      <w:bookmarkStart w:id="119" w:name="_Toc5618"/>
      <w:r>
        <w:rPr>
          <w:rFonts w:hint="eastAsia" w:ascii="宋体" w:hAnsi="宋体"/>
          <w:sz w:val="32"/>
          <w:szCs w:val="32"/>
        </w:rPr>
        <w:t>拟派驻本项目人员情况一览表</w:t>
      </w:r>
      <w:bookmarkEnd w:id="118"/>
      <w:bookmarkEnd w:id="119"/>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915"/>
        <w:gridCol w:w="765"/>
        <w:gridCol w:w="705"/>
        <w:gridCol w:w="1115"/>
        <w:gridCol w:w="985"/>
        <w:gridCol w:w="1635"/>
        <w:gridCol w:w="885"/>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47" w:type="dxa"/>
            <w:vMerge w:val="restart"/>
            <w:vAlign w:val="center"/>
          </w:tcPr>
          <w:p>
            <w:pPr>
              <w:spacing w:line="360" w:lineRule="auto"/>
              <w:jc w:val="center"/>
              <w:rPr>
                <w:rFonts w:ascii="宋体" w:hAnsi="宋体"/>
                <w:sz w:val="24"/>
                <w:szCs w:val="24"/>
              </w:rPr>
            </w:pPr>
            <w:r>
              <w:rPr>
                <w:rFonts w:hint="eastAsia" w:ascii="宋体" w:hAnsi="宋体"/>
                <w:sz w:val="24"/>
                <w:szCs w:val="24"/>
              </w:rPr>
              <w:t>序号</w:t>
            </w:r>
          </w:p>
        </w:tc>
        <w:tc>
          <w:tcPr>
            <w:tcW w:w="915" w:type="dxa"/>
            <w:vMerge w:val="restart"/>
            <w:vAlign w:val="center"/>
          </w:tcPr>
          <w:p>
            <w:pPr>
              <w:spacing w:line="360" w:lineRule="auto"/>
              <w:jc w:val="center"/>
              <w:rPr>
                <w:rFonts w:ascii="宋体" w:hAnsi="宋体"/>
                <w:sz w:val="24"/>
                <w:szCs w:val="24"/>
              </w:rPr>
            </w:pPr>
            <w:r>
              <w:rPr>
                <w:rFonts w:hint="eastAsia" w:ascii="宋体" w:hAnsi="宋体"/>
                <w:sz w:val="24"/>
                <w:szCs w:val="24"/>
              </w:rPr>
              <w:t>姓名</w:t>
            </w:r>
          </w:p>
        </w:tc>
        <w:tc>
          <w:tcPr>
            <w:tcW w:w="765" w:type="dxa"/>
            <w:vMerge w:val="restart"/>
            <w:vAlign w:val="center"/>
          </w:tcPr>
          <w:p>
            <w:pPr>
              <w:spacing w:line="360" w:lineRule="auto"/>
              <w:jc w:val="center"/>
              <w:rPr>
                <w:rFonts w:ascii="宋体" w:hAnsi="宋体"/>
                <w:sz w:val="24"/>
                <w:szCs w:val="24"/>
              </w:rPr>
            </w:pPr>
            <w:r>
              <w:rPr>
                <w:rFonts w:hint="eastAsia" w:ascii="宋体" w:hAnsi="宋体"/>
                <w:sz w:val="24"/>
                <w:szCs w:val="24"/>
              </w:rPr>
              <w:t>性别</w:t>
            </w:r>
          </w:p>
        </w:tc>
        <w:tc>
          <w:tcPr>
            <w:tcW w:w="705" w:type="dxa"/>
            <w:vMerge w:val="restart"/>
            <w:vAlign w:val="center"/>
          </w:tcPr>
          <w:p>
            <w:pPr>
              <w:spacing w:line="360" w:lineRule="auto"/>
              <w:jc w:val="center"/>
              <w:rPr>
                <w:rFonts w:ascii="宋体" w:hAnsi="宋体"/>
                <w:sz w:val="24"/>
                <w:szCs w:val="24"/>
              </w:rPr>
            </w:pPr>
            <w:r>
              <w:rPr>
                <w:rFonts w:hint="eastAsia" w:ascii="宋体" w:hAnsi="宋体"/>
                <w:sz w:val="24"/>
                <w:szCs w:val="24"/>
              </w:rPr>
              <w:t>年龄</w:t>
            </w:r>
          </w:p>
        </w:tc>
        <w:tc>
          <w:tcPr>
            <w:tcW w:w="3735" w:type="dxa"/>
            <w:gridSpan w:val="3"/>
            <w:vAlign w:val="center"/>
          </w:tcPr>
          <w:p>
            <w:pPr>
              <w:spacing w:line="360" w:lineRule="auto"/>
              <w:jc w:val="center"/>
              <w:rPr>
                <w:rFonts w:ascii="宋体" w:hAnsi="宋体"/>
                <w:sz w:val="24"/>
                <w:szCs w:val="24"/>
              </w:rPr>
            </w:pPr>
            <w:r>
              <w:rPr>
                <w:rFonts w:hint="eastAsia" w:ascii="宋体" w:hAnsi="宋体"/>
                <w:sz w:val="24"/>
                <w:szCs w:val="24"/>
              </w:rPr>
              <w:t>资格证书</w:t>
            </w:r>
          </w:p>
        </w:tc>
        <w:tc>
          <w:tcPr>
            <w:tcW w:w="885" w:type="dxa"/>
            <w:vMerge w:val="restart"/>
            <w:vAlign w:val="center"/>
          </w:tcPr>
          <w:p>
            <w:pPr>
              <w:spacing w:line="360" w:lineRule="auto"/>
              <w:jc w:val="center"/>
              <w:rPr>
                <w:rFonts w:ascii="宋体" w:hAnsi="宋体"/>
                <w:sz w:val="24"/>
                <w:szCs w:val="24"/>
              </w:rPr>
            </w:pPr>
            <w:r>
              <w:rPr>
                <w:rFonts w:hint="eastAsia" w:ascii="宋体" w:hAnsi="宋体"/>
                <w:sz w:val="24"/>
                <w:szCs w:val="24"/>
              </w:rPr>
              <w:t>拟设职务</w:t>
            </w:r>
          </w:p>
        </w:tc>
        <w:tc>
          <w:tcPr>
            <w:tcW w:w="816" w:type="dxa"/>
            <w:vMerge w:val="restart"/>
            <w:vAlign w:val="center"/>
          </w:tcPr>
          <w:p>
            <w:pPr>
              <w:spacing w:line="360" w:lineRule="auto"/>
              <w:jc w:val="center"/>
              <w:rPr>
                <w:rFonts w:ascii="宋体" w:hAnsi="宋体"/>
                <w:sz w:val="24"/>
                <w:szCs w:val="24"/>
              </w:rPr>
            </w:pPr>
            <w:r>
              <w:rPr>
                <w:rFonts w:hint="eastAsia" w:ascii="宋体" w:hAnsi="宋体"/>
                <w:sz w:val="24"/>
                <w:szCs w:val="24"/>
              </w:rPr>
              <w:t>服务年限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47" w:type="dxa"/>
            <w:vMerge w:val="continue"/>
            <w:vAlign w:val="center"/>
          </w:tcPr>
          <w:p>
            <w:pPr>
              <w:spacing w:line="360" w:lineRule="auto"/>
              <w:jc w:val="center"/>
              <w:rPr>
                <w:rFonts w:ascii="宋体" w:hAnsi="宋体"/>
                <w:sz w:val="20"/>
              </w:rPr>
            </w:pPr>
          </w:p>
        </w:tc>
        <w:tc>
          <w:tcPr>
            <w:tcW w:w="915" w:type="dxa"/>
            <w:vMerge w:val="continue"/>
            <w:vAlign w:val="center"/>
          </w:tcPr>
          <w:p>
            <w:pPr>
              <w:spacing w:line="360" w:lineRule="auto"/>
              <w:jc w:val="center"/>
              <w:rPr>
                <w:rFonts w:ascii="宋体" w:hAnsi="宋体"/>
                <w:sz w:val="20"/>
              </w:rPr>
            </w:pPr>
          </w:p>
        </w:tc>
        <w:tc>
          <w:tcPr>
            <w:tcW w:w="765" w:type="dxa"/>
            <w:vMerge w:val="continue"/>
            <w:vAlign w:val="center"/>
          </w:tcPr>
          <w:p>
            <w:pPr>
              <w:spacing w:line="360" w:lineRule="auto"/>
              <w:jc w:val="center"/>
              <w:rPr>
                <w:rFonts w:ascii="宋体" w:hAnsi="宋体"/>
                <w:sz w:val="20"/>
              </w:rPr>
            </w:pPr>
          </w:p>
        </w:tc>
        <w:tc>
          <w:tcPr>
            <w:tcW w:w="705" w:type="dxa"/>
            <w:vMerge w:val="continue"/>
            <w:vAlign w:val="center"/>
          </w:tcPr>
          <w:p>
            <w:pPr>
              <w:spacing w:line="360" w:lineRule="auto"/>
              <w:jc w:val="center"/>
              <w:rPr>
                <w:rFonts w:ascii="宋体" w:hAnsi="宋体"/>
                <w:sz w:val="20"/>
              </w:rPr>
            </w:pPr>
          </w:p>
        </w:tc>
        <w:tc>
          <w:tcPr>
            <w:tcW w:w="1115" w:type="dxa"/>
            <w:vAlign w:val="center"/>
          </w:tcPr>
          <w:p>
            <w:pPr>
              <w:spacing w:line="360" w:lineRule="auto"/>
              <w:jc w:val="center"/>
              <w:rPr>
                <w:rFonts w:ascii="宋体" w:hAnsi="宋体"/>
                <w:sz w:val="24"/>
                <w:szCs w:val="24"/>
              </w:rPr>
            </w:pPr>
            <w:r>
              <w:rPr>
                <w:rFonts w:hint="eastAsia" w:ascii="宋体" w:hAnsi="宋体"/>
                <w:sz w:val="24"/>
                <w:szCs w:val="24"/>
              </w:rPr>
              <w:t>专业</w:t>
            </w:r>
          </w:p>
        </w:tc>
        <w:tc>
          <w:tcPr>
            <w:tcW w:w="985" w:type="dxa"/>
            <w:vAlign w:val="center"/>
          </w:tcPr>
          <w:p>
            <w:pPr>
              <w:spacing w:line="360" w:lineRule="auto"/>
              <w:jc w:val="center"/>
              <w:rPr>
                <w:rFonts w:ascii="宋体" w:hAnsi="宋体"/>
                <w:sz w:val="24"/>
                <w:szCs w:val="24"/>
              </w:rPr>
            </w:pPr>
            <w:r>
              <w:rPr>
                <w:rFonts w:hint="eastAsia" w:ascii="宋体" w:hAnsi="宋体"/>
                <w:sz w:val="24"/>
                <w:szCs w:val="24"/>
              </w:rPr>
              <w:t>级别</w:t>
            </w:r>
          </w:p>
        </w:tc>
        <w:tc>
          <w:tcPr>
            <w:tcW w:w="1635" w:type="dxa"/>
            <w:vAlign w:val="center"/>
          </w:tcPr>
          <w:p>
            <w:pPr>
              <w:spacing w:line="360" w:lineRule="auto"/>
              <w:jc w:val="center"/>
              <w:rPr>
                <w:rFonts w:ascii="宋体" w:hAnsi="宋体"/>
                <w:sz w:val="24"/>
                <w:szCs w:val="24"/>
              </w:rPr>
            </w:pPr>
            <w:r>
              <w:rPr>
                <w:rFonts w:hint="eastAsia" w:ascii="宋体" w:hAnsi="宋体"/>
                <w:sz w:val="24"/>
                <w:szCs w:val="24"/>
              </w:rPr>
              <w:t>证书编号</w:t>
            </w:r>
          </w:p>
        </w:tc>
        <w:tc>
          <w:tcPr>
            <w:tcW w:w="885" w:type="dxa"/>
            <w:vMerge w:val="continue"/>
            <w:vAlign w:val="center"/>
          </w:tcPr>
          <w:p>
            <w:pPr>
              <w:spacing w:line="360" w:lineRule="auto"/>
              <w:jc w:val="center"/>
              <w:rPr>
                <w:rFonts w:ascii="宋体" w:hAnsi="宋体"/>
                <w:sz w:val="20"/>
              </w:rPr>
            </w:pPr>
          </w:p>
        </w:tc>
        <w:tc>
          <w:tcPr>
            <w:tcW w:w="816" w:type="dxa"/>
            <w:vMerge w:val="continue"/>
            <w:vAlign w:val="center"/>
          </w:tcPr>
          <w:p>
            <w:pPr>
              <w:spacing w:line="360" w:lineRule="auto"/>
              <w:jc w:val="center"/>
              <w:rPr>
                <w:rFonts w:ascii="宋体" w:hAnsi="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47" w:type="dxa"/>
          </w:tcPr>
          <w:p>
            <w:pPr>
              <w:widowControl/>
              <w:adjustRightInd w:val="0"/>
              <w:spacing w:line="360" w:lineRule="auto"/>
              <w:rPr>
                <w:rFonts w:ascii="宋体" w:hAnsi="宋体"/>
                <w:szCs w:val="21"/>
              </w:rPr>
            </w:pPr>
          </w:p>
        </w:tc>
        <w:tc>
          <w:tcPr>
            <w:tcW w:w="915" w:type="dxa"/>
          </w:tcPr>
          <w:p>
            <w:pPr>
              <w:widowControl/>
              <w:adjustRightInd w:val="0"/>
              <w:spacing w:line="360" w:lineRule="auto"/>
              <w:rPr>
                <w:rFonts w:ascii="宋体" w:hAnsi="宋体"/>
                <w:szCs w:val="21"/>
              </w:rPr>
            </w:pPr>
          </w:p>
        </w:tc>
        <w:tc>
          <w:tcPr>
            <w:tcW w:w="765" w:type="dxa"/>
          </w:tcPr>
          <w:p>
            <w:pPr>
              <w:spacing w:line="360" w:lineRule="auto"/>
              <w:rPr>
                <w:rFonts w:ascii="宋体" w:hAnsi="宋体"/>
                <w:sz w:val="20"/>
              </w:rPr>
            </w:pPr>
          </w:p>
        </w:tc>
        <w:tc>
          <w:tcPr>
            <w:tcW w:w="705" w:type="dxa"/>
          </w:tcPr>
          <w:p>
            <w:pPr>
              <w:spacing w:line="360" w:lineRule="auto"/>
              <w:rPr>
                <w:rFonts w:ascii="宋体" w:hAnsi="宋体"/>
                <w:sz w:val="20"/>
              </w:rPr>
            </w:pPr>
          </w:p>
        </w:tc>
        <w:tc>
          <w:tcPr>
            <w:tcW w:w="1115" w:type="dxa"/>
          </w:tcPr>
          <w:p>
            <w:pPr>
              <w:spacing w:line="360" w:lineRule="auto"/>
              <w:rPr>
                <w:rFonts w:ascii="宋体" w:hAnsi="宋体"/>
                <w:sz w:val="20"/>
              </w:rPr>
            </w:pPr>
          </w:p>
        </w:tc>
        <w:tc>
          <w:tcPr>
            <w:tcW w:w="985" w:type="dxa"/>
          </w:tcPr>
          <w:p>
            <w:pPr>
              <w:spacing w:line="360" w:lineRule="auto"/>
              <w:rPr>
                <w:rFonts w:ascii="宋体" w:hAnsi="宋体"/>
                <w:sz w:val="20"/>
              </w:rPr>
            </w:pPr>
          </w:p>
        </w:tc>
        <w:tc>
          <w:tcPr>
            <w:tcW w:w="1635" w:type="dxa"/>
          </w:tcPr>
          <w:p>
            <w:pPr>
              <w:spacing w:line="360" w:lineRule="auto"/>
              <w:rPr>
                <w:rFonts w:ascii="宋体" w:hAnsi="宋体"/>
                <w:sz w:val="20"/>
              </w:rPr>
            </w:pPr>
          </w:p>
        </w:tc>
        <w:tc>
          <w:tcPr>
            <w:tcW w:w="885" w:type="dxa"/>
          </w:tcPr>
          <w:p>
            <w:pPr>
              <w:spacing w:line="360" w:lineRule="auto"/>
              <w:rPr>
                <w:rFonts w:ascii="宋体" w:hAnsi="宋体"/>
                <w:sz w:val="20"/>
              </w:rPr>
            </w:pPr>
          </w:p>
        </w:tc>
        <w:tc>
          <w:tcPr>
            <w:tcW w:w="816" w:type="dxa"/>
          </w:tcPr>
          <w:p>
            <w:pPr>
              <w:spacing w:line="360" w:lineRule="auto"/>
              <w:rPr>
                <w:rFonts w:ascii="宋体" w:hAnsi="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7" w:type="dxa"/>
          </w:tcPr>
          <w:p>
            <w:pPr>
              <w:widowControl/>
              <w:adjustRightInd w:val="0"/>
              <w:spacing w:line="360" w:lineRule="auto"/>
              <w:rPr>
                <w:rFonts w:ascii="宋体" w:hAnsi="宋体"/>
                <w:b/>
                <w:bCs/>
                <w:szCs w:val="21"/>
              </w:rPr>
            </w:pPr>
          </w:p>
        </w:tc>
        <w:tc>
          <w:tcPr>
            <w:tcW w:w="915" w:type="dxa"/>
          </w:tcPr>
          <w:p>
            <w:pPr>
              <w:widowControl/>
              <w:adjustRightInd w:val="0"/>
              <w:spacing w:line="360" w:lineRule="auto"/>
              <w:rPr>
                <w:rFonts w:ascii="宋体" w:hAnsi="宋体"/>
                <w:b/>
                <w:bCs/>
                <w:szCs w:val="21"/>
              </w:rPr>
            </w:pPr>
          </w:p>
        </w:tc>
        <w:tc>
          <w:tcPr>
            <w:tcW w:w="765" w:type="dxa"/>
          </w:tcPr>
          <w:p>
            <w:pPr>
              <w:spacing w:line="360" w:lineRule="auto"/>
              <w:rPr>
                <w:rFonts w:ascii="宋体" w:hAnsi="宋体"/>
                <w:b/>
                <w:bCs/>
                <w:sz w:val="20"/>
              </w:rPr>
            </w:pPr>
          </w:p>
        </w:tc>
        <w:tc>
          <w:tcPr>
            <w:tcW w:w="705" w:type="dxa"/>
          </w:tcPr>
          <w:p>
            <w:pPr>
              <w:spacing w:line="360" w:lineRule="auto"/>
              <w:rPr>
                <w:rFonts w:ascii="宋体" w:hAnsi="宋体"/>
                <w:b/>
                <w:bCs/>
                <w:sz w:val="20"/>
              </w:rPr>
            </w:pPr>
          </w:p>
        </w:tc>
        <w:tc>
          <w:tcPr>
            <w:tcW w:w="1115" w:type="dxa"/>
          </w:tcPr>
          <w:p>
            <w:pPr>
              <w:spacing w:line="360" w:lineRule="auto"/>
              <w:rPr>
                <w:rFonts w:ascii="宋体" w:hAnsi="宋体"/>
                <w:b/>
                <w:bCs/>
                <w:sz w:val="20"/>
              </w:rPr>
            </w:pPr>
          </w:p>
        </w:tc>
        <w:tc>
          <w:tcPr>
            <w:tcW w:w="985" w:type="dxa"/>
          </w:tcPr>
          <w:p>
            <w:pPr>
              <w:spacing w:line="360" w:lineRule="auto"/>
              <w:rPr>
                <w:rFonts w:ascii="宋体" w:hAnsi="宋体"/>
                <w:b/>
                <w:bCs/>
                <w:sz w:val="20"/>
              </w:rPr>
            </w:pPr>
          </w:p>
        </w:tc>
        <w:tc>
          <w:tcPr>
            <w:tcW w:w="1635" w:type="dxa"/>
          </w:tcPr>
          <w:p>
            <w:pPr>
              <w:spacing w:line="360" w:lineRule="auto"/>
              <w:rPr>
                <w:rFonts w:ascii="宋体" w:hAnsi="宋体"/>
                <w:b/>
                <w:bCs/>
                <w:sz w:val="20"/>
              </w:rPr>
            </w:pPr>
          </w:p>
        </w:tc>
        <w:tc>
          <w:tcPr>
            <w:tcW w:w="885" w:type="dxa"/>
          </w:tcPr>
          <w:p>
            <w:pPr>
              <w:spacing w:line="360" w:lineRule="auto"/>
              <w:rPr>
                <w:rFonts w:ascii="宋体" w:hAnsi="宋体"/>
                <w:b/>
                <w:bCs/>
                <w:sz w:val="20"/>
              </w:rPr>
            </w:pPr>
          </w:p>
        </w:tc>
        <w:tc>
          <w:tcPr>
            <w:tcW w:w="816" w:type="dxa"/>
          </w:tcPr>
          <w:p>
            <w:pPr>
              <w:spacing w:line="360" w:lineRule="auto"/>
              <w:rPr>
                <w:rFonts w:ascii="宋体" w:hAnsi="宋体"/>
                <w:b/>
                <w:b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7" w:type="dxa"/>
          </w:tcPr>
          <w:p>
            <w:pPr>
              <w:widowControl/>
              <w:adjustRightInd w:val="0"/>
              <w:spacing w:line="360" w:lineRule="auto"/>
              <w:rPr>
                <w:rFonts w:ascii="宋体" w:hAnsi="宋体"/>
                <w:b/>
                <w:bCs/>
                <w:szCs w:val="21"/>
              </w:rPr>
            </w:pPr>
          </w:p>
        </w:tc>
        <w:tc>
          <w:tcPr>
            <w:tcW w:w="915" w:type="dxa"/>
          </w:tcPr>
          <w:p>
            <w:pPr>
              <w:widowControl/>
              <w:adjustRightInd w:val="0"/>
              <w:spacing w:line="360" w:lineRule="auto"/>
              <w:rPr>
                <w:rFonts w:ascii="宋体" w:hAnsi="宋体"/>
                <w:b/>
                <w:bCs/>
                <w:szCs w:val="21"/>
              </w:rPr>
            </w:pPr>
          </w:p>
        </w:tc>
        <w:tc>
          <w:tcPr>
            <w:tcW w:w="765" w:type="dxa"/>
          </w:tcPr>
          <w:p>
            <w:pPr>
              <w:spacing w:line="360" w:lineRule="auto"/>
              <w:rPr>
                <w:rFonts w:ascii="宋体" w:hAnsi="宋体"/>
                <w:b/>
                <w:bCs/>
                <w:sz w:val="20"/>
              </w:rPr>
            </w:pPr>
          </w:p>
        </w:tc>
        <w:tc>
          <w:tcPr>
            <w:tcW w:w="705" w:type="dxa"/>
          </w:tcPr>
          <w:p>
            <w:pPr>
              <w:spacing w:line="360" w:lineRule="auto"/>
              <w:rPr>
                <w:rFonts w:ascii="宋体" w:hAnsi="宋体"/>
                <w:b/>
                <w:bCs/>
                <w:sz w:val="20"/>
              </w:rPr>
            </w:pPr>
          </w:p>
        </w:tc>
        <w:tc>
          <w:tcPr>
            <w:tcW w:w="1115" w:type="dxa"/>
          </w:tcPr>
          <w:p>
            <w:pPr>
              <w:spacing w:line="360" w:lineRule="auto"/>
              <w:rPr>
                <w:rFonts w:ascii="宋体" w:hAnsi="宋体"/>
                <w:b/>
                <w:bCs/>
                <w:sz w:val="20"/>
              </w:rPr>
            </w:pPr>
          </w:p>
        </w:tc>
        <w:tc>
          <w:tcPr>
            <w:tcW w:w="985" w:type="dxa"/>
          </w:tcPr>
          <w:p>
            <w:pPr>
              <w:spacing w:line="360" w:lineRule="auto"/>
              <w:rPr>
                <w:rFonts w:ascii="宋体" w:hAnsi="宋体"/>
                <w:b/>
                <w:bCs/>
                <w:sz w:val="20"/>
              </w:rPr>
            </w:pPr>
          </w:p>
        </w:tc>
        <w:tc>
          <w:tcPr>
            <w:tcW w:w="1635" w:type="dxa"/>
          </w:tcPr>
          <w:p>
            <w:pPr>
              <w:spacing w:line="360" w:lineRule="auto"/>
              <w:rPr>
                <w:rFonts w:ascii="宋体" w:hAnsi="宋体"/>
                <w:b/>
                <w:bCs/>
                <w:sz w:val="20"/>
              </w:rPr>
            </w:pPr>
          </w:p>
        </w:tc>
        <w:tc>
          <w:tcPr>
            <w:tcW w:w="885" w:type="dxa"/>
          </w:tcPr>
          <w:p>
            <w:pPr>
              <w:spacing w:line="360" w:lineRule="auto"/>
              <w:rPr>
                <w:rFonts w:ascii="宋体" w:hAnsi="宋体"/>
                <w:b/>
                <w:bCs/>
                <w:sz w:val="20"/>
              </w:rPr>
            </w:pPr>
          </w:p>
        </w:tc>
        <w:tc>
          <w:tcPr>
            <w:tcW w:w="816" w:type="dxa"/>
          </w:tcPr>
          <w:p>
            <w:pPr>
              <w:spacing w:line="360" w:lineRule="auto"/>
              <w:rPr>
                <w:rFonts w:ascii="宋体" w:hAnsi="宋体"/>
                <w:b/>
                <w:b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47" w:type="dxa"/>
          </w:tcPr>
          <w:p>
            <w:pPr>
              <w:widowControl/>
              <w:adjustRightInd w:val="0"/>
              <w:spacing w:line="360" w:lineRule="auto"/>
              <w:rPr>
                <w:rFonts w:ascii="宋体" w:hAnsi="宋体"/>
                <w:b/>
                <w:bCs/>
                <w:szCs w:val="21"/>
              </w:rPr>
            </w:pPr>
          </w:p>
        </w:tc>
        <w:tc>
          <w:tcPr>
            <w:tcW w:w="915" w:type="dxa"/>
          </w:tcPr>
          <w:p>
            <w:pPr>
              <w:widowControl/>
              <w:adjustRightInd w:val="0"/>
              <w:spacing w:line="360" w:lineRule="auto"/>
              <w:rPr>
                <w:rFonts w:ascii="宋体" w:hAnsi="宋体"/>
                <w:b/>
                <w:bCs/>
                <w:szCs w:val="21"/>
              </w:rPr>
            </w:pPr>
          </w:p>
        </w:tc>
        <w:tc>
          <w:tcPr>
            <w:tcW w:w="765" w:type="dxa"/>
          </w:tcPr>
          <w:p>
            <w:pPr>
              <w:spacing w:line="360" w:lineRule="auto"/>
              <w:rPr>
                <w:rFonts w:ascii="宋体" w:hAnsi="宋体"/>
                <w:b/>
                <w:bCs/>
                <w:sz w:val="20"/>
              </w:rPr>
            </w:pPr>
          </w:p>
        </w:tc>
        <w:tc>
          <w:tcPr>
            <w:tcW w:w="705" w:type="dxa"/>
          </w:tcPr>
          <w:p>
            <w:pPr>
              <w:spacing w:line="360" w:lineRule="auto"/>
              <w:rPr>
                <w:rFonts w:ascii="宋体" w:hAnsi="宋体"/>
                <w:b/>
                <w:bCs/>
                <w:sz w:val="20"/>
              </w:rPr>
            </w:pPr>
          </w:p>
        </w:tc>
        <w:tc>
          <w:tcPr>
            <w:tcW w:w="1115" w:type="dxa"/>
          </w:tcPr>
          <w:p>
            <w:pPr>
              <w:spacing w:line="360" w:lineRule="auto"/>
              <w:rPr>
                <w:rFonts w:ascii="宋体" w:hAnsi="宋体"/>
                <w:b/>
                <w:bCs/>
                <w:sz w:val="20"/>
              </w:rPr>
            </w:pPr>
          </w:p>
        </w:tc>
        <w:tc>
          <w:tcPr>
            <w:tcW w:w="985" w:type="dxa"/>
          </w:tcPr>
          <w:p>
            <w:pPr>
              <w:spacing w:line="360" w:lineRule="auto"/>
              <w:rPr>
                <w:rFonts w:ascii="宋体" w:hAnsi="宋体"/>
                <w:b/>
                <w:bCs/>
                <w:sz w:val="20"/>
              </w:rPr>
            </w:pPr>
          </w:p>
        </w:tc>
        <w:tc>
          <w:tcPr>
            <w:tcW w:w="1635" w:type="dxa"/>
          </w:tcPr>
          <w:p>
            <w:pPr>
              <w:spacing w:line="360" w:lineRule="auto"/>
              <w:rPr>
                <w:rFonts w:ascii="宋体" w:hAnsi="宋体"/>
                <w:b/>
                <w:bCs/>
                <w:sz w:val="20"/>
              </w:rPr>
            </w:pPr>
          </w:p>
        </w:tc>
        <w:tc>
          <w:tcPr>
            <w:tcW w:w="885" w:type="dxa"/>
          </w:tcPr>
          <w:p>
            <w:pPr>
              <w:spacing w:line="360" w:lineRule="auto"/>
              <w:rPr>
                <w:rFonts w:ascii="宋体" w:hAnsi="宋体"/>
                <w:b/>
                <w:bCs/>
                <w:sz w:val="20"/>
              </w:rPr>
            </w:pPr>
          </w:p>
        </w:tc>
        <w:tc>
          <w:tcPr>
            <w:tcW w:w="816" w:type="dxa"/>
          </w:tcPr>
          <w:p>
            <w:pPr>
              <w:spacing w:line="360" w:lineRule="auto"/>
              <w:rPr>
                <w:rFonts w:ascii="宋体" w:hAnsi="宋体"/>
                <w:b/>
                <w:b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7" w:type="dxa"/>
          </w:tcPr>
          <w:p>
            <w:pPr>
              <w:widowControl/>
              <w:adjustRightInd w:val="0"/>
              <w:spacing w:line="360" w:lineRule="auto"/>
              <w:rPr>
                <w:rFonts w:ascii="宋体" w:hAnsi="宋体"/>
                <w:b/>
                <w:bCs/>
                <w:szCs w:val="21"/>
              </w:rPr>
            </w:pPr>
          </w:p>
        </w:tc>
        <w:tc>
          <w:tcPr>
            <w:tcW w:w="915" w:type="dxa"/>
          </w:tcPr>
          <w:p>
            <w:pPr>
              <w:widowControl/>
              <w:adjustRightInd w:val="0"/>
              <w:spacing w:line="360" w:lineRule="auto"/>
              <w:rPr>
                <w:rFonts w:ascii="宋体" w:hAnsi="宋体"/>
                <w:b/>
                <w:bCs/>
                <w:szCs w:val="21"/>
              </w:rPr>
            </w:pPr>
          </w:p>
        </w:tc>
        <w:tc>
          <w:tcPr>
            <w:tcW w:w="765" w:type="dxa"/>
          </w:tcPr>
          <w:p>
            <w:pPr>
              <w:spacing w:line="360" w:lineRule="auto"/>
              <w:rPr>
                <w:rFonts w:ascii="宋体" w:hAnsi="宋体"/>
                <w:b/>
                <w:bCs/>
                <w:sz w:val="20"/>
              </w:rPr>
            </w:pPr>
          </w:p>
        </w:tc>
        <w:tc>
          <w:tcPr>
            <w:tcW w:w="705" w:type="dxa"/>
          </w:tcPr>
          <w:p>
            <w:pPr>
              <w:spacing w:line="360" w:lineRule="auto"/>
              <w:rPr>
                <w:rFonts w:ascii="宋体" w:hAnsi="宋体"/>
                <w:b/>
                <w:bCs/>
                <w:sz w:val="20"/>
              </w:rPr>
            </w:pPr>
          </w:p>
        </w:tc>
        <w:tc>
          <w:tcPr>
            <w:tcW w:w="1115" w:type="dxa"/>
          </w:tcPr>
          <w:p>
            <w:pPr>
              <w:spacing w:line="360" w:lineRule="auto"/>
              <w:rPr>
                <w:rFonts w:ascii="宋体" w:hAnsi="宋体"/>
                <w:b/>
                <w:bCs/>
                <w:sz w:val="20"/>
              </w:rPr>
            </w:pPr>
          </w:p>
        </w:tc>
        <w:tc>
          <w:tcPr>
            <w:tcW w:w="985" w:type="dxa"/>
          </w:tcPr>
          <w:p>
            <w:pPr>
              <w:spacing w:line="360" w:lineRule="auto"/>
              <w:rPr>
                <w:rFonts w:ascii="宋体" w:hAnsi="宋体"/>
                <w:b/>
                <w:bCs/>
                <w:sz w:val="20"/>
              </w:rPr>
            </w:pPr>
          </w:p>
        </w:tc>
        <w:tc>
          <w:tcPr>
            <w:tcW w:w="1635" w:type="dxa"/>
          </w:tcPr>
          <w:p>
            <w:pPr>
              <w:spacing w:line="360" w:lineRule="auto"/>
              <w:rPr>
                <w:rFonts w:ascii="宋体" w:hAnsi="宋体"/>
                <w:b/>
                <w:bCs/>
                <w:sz w:val="20"/>
              </w:rPr>
            </w:pPr>
          </w:p>
        </w:tc>
        <w:tc>
          <w:tcPr>
            <w:tcW w:w="885" w:type="dxa"/>
          </w:tcPr>
          <w:p>
            <w:pPr>
              <w:spacing w:line="360" w:lineRule="auto"/>
              <w:rPr>
                <w:rFonts w:ascii="宋体" w:hAnsi="宋体"/>
                <w:b/>
                <w:bCs/>
                <w:sz w:val="20"/>
              </w:rPr>
            </w:pPr>
          </w:p>
        </w:tc>
        <w:tc>
          <w:tcPr>
            <w:tcW w:w="816" w:type="dxa"/>
          </w:tcPr>
          <w:p>
            <w:pPr>
              <w:spacing w:line="360" w:lineRule="auto"/>
              <w:rPr>
                <w:rFonts w:ascii="宋体" w:hAnsi="宋体"/>
                <w:b/>
                <w:b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7" w:type="dxa"/>
          </w:tcPr>
          <w:p>
            <w:pPr>
              <w:widowControl/>
              <w:adjustRightInd w:val="0"/>
              <w:spacing w:line="360" w:lineRule="auto"/>
              <w:rPr>
                <w:rFonts w:ascii="宋体" w:hAnsi="宋体"/>
                <w:b/>
                <w:bCs/>
                <w:szCs w:val="21"/>
              </w:rPr>
            </w:pPr>
          </w:p>
        </w:tc>
        <w:tc>
          <w:tcPr>
            <w:tcW w:w="915" w:type="dxa"/>
          </w:tcPr>
          <w:p>
            <w:pPr>
              <w:widowControl/>
              <w:adjustRightInd w:val="0"/>
              <w:spacing w:line="360" w:lineRule="auto"/>
              <w:rPr>
                <w:rFonts w:ascii="宋体" w:hAnsi="宋体"/>
                <w:b/>
                <w:bCs/>
                <w:szCs w:val="21"/>
              </w:rPr>
            </w:pPr>
          </w:p>
        </w:tc>
        <w:tc>
          <w:tcPr>
            <w:tcW w:w="765" w:type="dxa"/>
          </w:tcPr>
          <w:p>
            <w:pPr>
              <w:spacing w:line="360" w:lineRule="auto"/>
              <w:rPr>
                <w:rFonts w:ascii="宋体" w:hAnsi="宋体"/>
                <w:b/>
                <w:bCs/>
                <w:sz w:val="20"/>
              </w:rPr>
            </w:pPr>
          </w:p>
        </w:tc>
        <w:tc>
          <w:tcPr>
            <w:tcW w:w="705" w:type="dxa"/>
          </w:tcPr>
          <w:p>
            <w:pPr>
              <w:spacing w:line="360" w:lineRule="auto"/>
              <w:rPr>
                <w:rFonts w:ascii="宋体" w:hAnsi="宋体"/>
                <w:b/>
                <w:bCs/>
                <w:sz w:val="20"/>
              </w:rPr>
            </w:pPr>
          </w:p>
        </w:tc>
        <w:tc>
          <w:tcPr>
            <w:tcW w:w="1115" w:type="dxa"/>
          </w:tcPr>
          <w:p>
            <w:pPr>
              <w:spacing w:line="360" w:lineRule="auto"/>
              <w:rPr>
                <w:rFonts w:ascii="宋体" w:hAnsi="宋体"/>
                <w:b/>
                <w:bCs/>
                <w:sz w:val="20"/>
              </w:rPr>
            </w:pPr>
          </w:p>
        </w:tc>
        <w:tc>
          <w:tcPr>
            <w:tcW w:w="985" w:type="dxa"/>
          </w:tcPr>
          <w:p>
            <w:pPr>
              <w:spacing w:line="360" w:lineRule="auto"/>
              <w:rPr>
                <w:rFonts w:ascii="宋体" w:hAnsi="宋体"/>
                <w:b/>
                <w:bCs/>
                <w:sz w:val="20"/>
              </w:rPr>
            </w:pPr>
          </w:p>
        </w:tc>
        <w:tc>
          <w:tcPr>
            <w:tcW w:w="1635" w:type="dxa"/>
          </w:tcPr>
          <w:p>
            <w:pPr>
              <w:spacing w:line="360" w:lineRule="auto"/>
              <w:rPr>
                <w:rFonts w:ascii="宋体" w:hAnsi="宋体"/>
                <w:b/>
                <w:bCs/>
                <w:sz w:val="20"/>
              </w:rPr>
            </w:pPr>
          </w:p>
        </w:tc>
        <w:tc>
          <w:tcPr>
            <w:tcW w:w="885" w:type="dxa"/>
          </w:tcPr>
          <w:p>
            <w:pPr>
              <w:spacing w:line="360" w:lineRule="auto"/>
              <w:rPr>
                <w:rFonts w:ascii="宋体" w:hAnsi="宋体"/>
                <w:b/>
                <w:bCs/>
                <w:sz w:val="20"/>
              </w:rPr>
            </w:pPr>
          </w:p>
        </w:tc>
        <w:tc>
          <w:tcPr>
            <w:tcW w:w="816" w:type="dxa"/>
          </w:tcPr>
          <w:p>
            <w:pPr>
              <w:spacing w:line="360" w:lineRule="auto"/>
              <w:rPr>
                <w:rFonts w:ascii="宋体" w:hAnsi="宋体"/>
                <w:b/>
                <w:b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7" w:type="dxa"/>
          </w:tcPr>
          <w:p>
            <w:pPr>
              <w:widowControl/>
              <w:adjustRightInd w:val="0"/>
              <w:spacing w:line="360" w:lineRule="auto"/>
              <w:rPr>
                <w:rFonts w:ascii="宋体" w:hAnsi="宋体"/>
                <w:b/>
                <w:bCs/>
                <w:szCs w:val="21"/>
              </w:rPr>
            </w:pPr>
          </w:p>
        </w:tc>
        <w:tc>
          <w:tcPr>
            <w:tcW w:w="915" w:type="dxa"/>
          </w:tcPr>
          <w:p>
            <w:pPr>
              <w:widowControl/>
              <w:adjustRightInd w:val="0"/>
              <w:spacing w:line="360" w:lineRule="auto"/>
              <w:rPr>
                <w:rFonts w:ascii="宋体" w:hAnsi="宋体"/>
                <w:b/>
                <w:bCs/>
                <w:szCs w:val="21"/>
              </w:rPr>
            </w:pPr>
          </w:p>
        </w:tc>
        <w:tc>
          <w:tcPr>
            <w:tcW w:w="765" w:type="dxa"/>
          </w:tcPr>
          <w:p>
            <w:pPr>
              <w:spacing w:line="360" w:lineRule="auto"/>
              <w:rPr>
                <w:rFonts w:ascii="宋体" w:hAnsi="宋体"/>
                <w:b/>
                <w:bCs/>
                <w:sz w:val="20"/>
              </w:rPr>
            </w:pPr>
          </w:p>
        </w:tc>
        <w:tc>
          <w:tcPr>
            <w:tcW w:w="705" w:type="dxa"/>
          </w:tcPr>
          <w:p>
            <w:pPr>
              <w:spacing w:line="360" w:lineRule="auto"/>
              <w:rPr>
                <w:rFonts w:ascii="宋体" w:hAnsi="宋体"/>
                <w:b/>
                <w:bCs/>
                <w:sz w:val="20"/>
              </w:rPr>
            </w:pPr>
          </w:p>
        </w:tc>
        <w:tc>
          <w:tcPr>
            <w:tcW w:w="1115" w:type="dxa"/>
          </w:tcPr>
          <w:p>
            <w:pPr>
              <w:spacing w:line="360" w:lineRule="auto"/>
              <w:rPr>
                <w:rFonts w:ascii="宋体" w:hAnsi="宋体"/>
                <w:b/>
                <w:bCs/>
                <w:sz w:val="20"/>
              </w:rPr>
            </w:pPr>
          </w:p>
        </w:tc>
        <w:tc>
          <w:tcPr>
            <w:tcW w:w="985" w:type="dxa"/>
          </w:tcPr>
          <w:p>
            <w:pPr>
              <w:spacing w:line="360" w:lineRule="auto"/>
              <w:rPr>
                <w:rFonts w:ascii="宋体" w:hAnsi="宋体"/>
                <w:b/>
                <w:bCs/>
                <w:sz w:val="20"/>
              </w:rPr>
            </w:pPr>
          </w:p>
        </w:tc>
        <w:tc>
          <w:tcPr>
            <w:tcW w:w="1635" w:type="dxa"/>
          </w:tcPr>
          <w:p>
            <w:pPr>
              <w:spacing w:line="360" w:lineRule="auto"/>
              <w:rPr>
                <w:rFonts w:ascii="宋体" w:hAnsi="宋体"/>
                <w:b/>
                <w:bCs/>
                <w:sz w:val="20"/>
              </w:rPr>
            </w:pPr>
          </w:p>
        </w:tc>
        <w:tc>
          <w:tcPr>
            <w:tcW w:w="885" w:type="dxa"/>
          </w:tcPr>
          <w:p>
            <w:pPr>
              <w:spacing w:line="360" w:lineRule="auto"/>
              <w:rPr>
                <w:rFonts w:ascii="宋体" w:hAnsi="宋体"/>
                <w:b/>
                <w:bCs/>
                <w:sz w:val="20"/>
              </w:rPr>
            </w:pPr>
          </w:p>
        </w:tc>
        <w:tc>
          <w:tcPr>
            <w:tcW w:w="816" w:type="dxa"/>
          </w:tcPr>
          <w:p>
            <w:pPr>
              <w:spacing w:line="360" w:lineRule="auto"/>
              <w:rPr>
                <w:rFonts w:ascii="宋体" w:hAnsi="宋体"/>
                <w:b/>
                <w:b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7" w:type="dxa"/>
          </w:tcPr>
          <w:p>
            <w:pPr>
              <w:widowControl/>
              <w:adjustRightInd w:val="0"/>
              <w:spacing w:line="360" w:lineRule="auto"/>
              <w:rPr>
                <w:rFonts w:ascii="宋体" w:hAnsi="宋体"/>
                <w:b/>
                <w:bCs/>
                <w:szCs w:val="21"/>
              </w:rPr>
            </w:pPr>
          </w:p>
        </w:tc>
        <w:tc>
          <w:tcPr>
            <w:tcW w:w="915" w:type="dxa"/>
          </w:tcPr>
          <w:p>
            <w:pPr>
              <w:widowControl/>
              <w:adjustRightInd w:val="0"/>
              <w:spacing w:line="360" w:lineRule="auto"/>
              <w:rPr>
                <w:rFonts w:ascii="宋体" w:hAnsi="宋体"/>
                <w:b/>
                <w:bCs/>
                <w:szCs w:val="21"/>
              </w:rPr>
            </w:pPr>
          </w:p>
        </w:tc>
        <w:tc>
          <w:tcPr>
            <w:tcW w:w="765" w:type="dxa"/>
          </w:tcPr>
          <w:p>
            <w:pPr>
              <w:spacing w:line="360" w:lineRule="auto"/>
              <w:rPr>
                <w:rFonts w:ascii="宋体" w:hAnsi="宋体"/>
                <w:b/>
                <w:bCs/>
                <w:sz w:val="20"/>
              </w:rPr>
            </w:pPr>
          </w:p>
        </w:tc>
        <w:tc>
          <w:tcPr>
            <w:tcW w:w="705" w:type="dxa"/>
          </w:tcPr>
          <w:p>
            <w:pPr>
              <w:spacing w:line="360" w:lineRule="auto"/>
              <w:rPr>
                <w:rFonts w:ascii="宋体" w:hAnsi="宋体"/>
                <w:b/>
                <w:bCs/>
                <w:sz w:val="20"/>
              </w:rPr>
            </w:pPr>
          </w:p>
        </w:tc>
        <w:tc>
          <w:tcPr>
            <w:tcW w:w="1115" w:type="dxa"/>
          </w:tcPr>
          <w:p>
            <w:pPr>
              <w:spacing w:line="360" w:lineRule="auto"/>
              <w:rPr>
                <w:rFonts w:ascii="宋体" w:hAnsi="宋体"/>
                <w:b/>
                <w:bCs/>
                <w:sz w:val="20"/>
              </w:rPr>
            </w:pPr>
          </w:p>
        </w:tc>
        <w:tc>
          <w:tcPr>
            <w:tcW w:w="985" w:type="dxa"/>
          </w:tcPr>
          <w:p>
            <w:pPr>
              <w:spacing w:line="360" w:lineRule="auto"/>
              <w:rPr>
                <w:rFonts w:ascii="宋体" w:hAnsi="宋体"/>
                <w:b/>
                <w:bCs/>
                <w:sz w:val="20"/>
              </w:rPr>
            </w:pPr>
          </w:p>
        </w:tc>
        <w:tc>
          <w:tcPr>
            <w:tcW w:w="1635" w:type="dxa"/>
          </w:tcPr>
          <w:p>
            <w:pPr>
              <w:spacing w:line="360" w:lineRule="auto"/>
              <w:rPr>
                <w:rFonts w:ascii="宋体" w:hAnsi="宋体"/>
                <w:b/>
                <w:bCs/>
                <w:sz w:val="20"/>
              </w:rPr>
            </w:pPr>
          </w:p>
        </w:tc>
        <w:tc>
          <w:tcPr>
            <w:tcW w:w="885" w:type="dxa"/>
          </w:tcPr>
          <w:p>
            <w:pPr>
              <w:spacing w:line="360" w:lineRule="auto"/>
              <w:rPr>
                <w:rFonts w:ascii="宋体" w:hAnsi="宋体"/>
                <w:b/>
                <w:bCs/>
                <w:sz w:val="20"/>
              </w:rPr>
            </w:pPr>
          </w:p>
        </w:tc>
        <w:tc>
          <w:tcPr>
            <w:tcW w:w="816" w:type="dxa"/>
          </w:tcPr>
          <w:p>
            <w:pPr>
              <w:spacing w:line="360" w:lineRule="auto"/>
              <w:rPr>
                <w:rFonts w:ascii="宋体" w:hAnsi="宋体"/>
                <w:b/>
                <w:b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7" w:type="dxa"/>
          </w:tcPr>
          <w:p>
            <w:pPr>
              <w:widowControl/>
              <w:adjustRightInd w:val="0"/>
              <w:spacing w:line="360" w:lineRule="auto"/>
              <w:rPr>
                <w:rFonts w:ascii="宋体" w:hAnsi="宋体"/>
                <w:b/>
                <w:bCs/>
                <w:szCs w:val="21"/>
              </w:rPr>
            </w:pPr>
          </w:p>
        </w:tc>
        <w:tc>
          <w:tcPr>
            <w:tcW w:w="915" w:type="dxa"/>
          </w:tcPr>
          <w:p>
            <w:pPr>
              <w:widowControl/>
              <w:adjustRightInd w:val="0"/>
              <w:spacing w:line="360" w:lineRule="auto"/>
              <w:rPr>
                <w:rFonts w:ascii="宋体" w:hAnsi="宋体"/>
                <w:b/>
                <w:bCs/>
                <w:szCs w:val="21"/>
              </w:rPr>
            </w:pPr>
          </w:p>
        </w:tc>
        <w:tc>
          <w:tcPr>
            <w:tcW w:w="765" w:type="dxa"/>
          </w:tcPr>
          <w:p>
            <w:pPr>
              <w:spacing w:line="360" w:lineRule="auto"/>
              <w:rPr>
                <w:rFonts w:ascii="宋体" w:hAnsi="宋体"/>
                <w:b/>
                <w:bCs/>
                <w:sz w:val="20"/>
              </w:rPr>
            </w:pPr>
          </w:p>
        </w:tc>
        <w:tc>
          <w:tcPr>
            <w:tcW w:w="705" w:type="dxa"/>
          </w:tcPr>
          <w:p>
            <w:pPr>
              <w:spacing w:line="360" w:lineRule="auto"/>
              <w:rPr>
                <w:rFonts w:ascii="宋体" w:hAnsi="宋体"/>
                <w:b/>
                <w:bCs/>
                <w:sz w:val="20"/>
              </w:rPr>
            </w:pPr>
          </w:p>
        </w:tc>
        <w:tc>
          <w:tcPr>
            <w:tcW w:w="1115" w:type="dxa"/>
          </w:tcPr>
          <w:p>
            <w:pPr>
              <w:spacing w:line="360" w:lineRule="auto"/>
              <w:rPr>
                <w:rFonts w:ascii="宋体" w:hAnsi="宋体"/>
                <w:b/>
                <w:bCs/>
                <w:sz w:val="20"/>
              </w:rPr>
            </w:pPr>
          </w:p>
        </w:tc>
        <w:tc>
          <w:tcPr>
            <w:tcW w:w="985" w:type="dxa"/>
          </w:tcPr>
          <w:p>
            <w:pPr>
              <w:spacing w:line="360" w:lineRule="auto"/>
              <w:rPr>
                <w:rFonts w:ascii="宋体" w:hAnsi="宋体"/>
                <w:b/>
                <w:bCs/>
                <w:sz w:val="20"/>
              </w:rPr>
            </w:pPr>
          </w:p>
        </w:tc>
        <w:tc>
          <w:tcPr>
            <w:tcW w:w="1635" w:type="dxa"/>
          </w:tcPr>
          <w:p>
            <w:pPr>
              <w:spacing w:line="360" w:lineRule="auto"/>
              <w:rPr>
                <w:rFonts w:ascii="宋体" w:hAnsi="宋体"/>
                <w:b/>
                <w:bCs/>
                <w:sz w:val="20"/>
              </w:rPr>
            </w:pPr>
          </w:p>
        </w:tc>
        <w:tc>
          <w:tcPr>
            <w:tcW w:w="885" w:type="dxa"/>
          </w:tcPr>
          <w:p>
            <w:pPr>
              <w:spacing w:line="360" w:lineRule="auto"/>
              <w:rPr>
                <w:rFonts w:ascii="宋体" w:hAnsi="宋体"/>
                <w:b/>
                <w:bCs/>
                <w:sz w:val="20"/>
              </w:rPr>
            </w:pPr>
          </w:p>
        </w:tc>
        <w:tc>
          <w:tcPr>
            <w:tcW w:w="816" w:type="dxa"/>
          </w:tcPr>
          <w:p>
            <w:pPr>
              <w:spacing w:line="360" w:lineRule="auto"/>
              <w:rPr>
                <w:rFonts w:ascii="宋体" w:hAnsi="宋体"/>
                <w:b/>
                <w:b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7" w:type="dxa"/>
          </w:tcPr>
          <w:p>
            <w:pPr>
              <w:widowControl/>
              <w:adjustRightInd w:val="0"/>
              <w:spacing w:line="360" w:lineRule="auto"/>
              <w:rPr>
                <w:rFonts w:ascii="宋体" w:hAnsi="宋体"/>
                <w:b/>
                <w:bCs/>
                <w:szCs w:val="21"/>
              </w:rPr>
            </w:pPr>
          </w:p>
        </w:tc>
        <w:tc>
          <w:tcPr>
            <w:tcW w:w="915" w:type="dxa"/>
          </w:tcPr>
          <w:p>
            <w:pPr>
              <w:widowControl/>
              <w:adjustRightInd w:val="0"/>
              <w:spacing w:line="360" w:lineRule="auto"/>
              <w:rPr>
                <w:rFonts w:ascii="宋体" w:hAnsi="宋体"/>
                <w:b/>
                <w:bCs/>
                <w:szCs w:val="21"/>
              </w:rPr>
            </w:pPr>
          </w:p>
        </w:tc>
        <w:tc>
          <w:tcPr>
            <w:tcW w:w="765" w:type="dxa"/>
          </w:tcPr>
          <w:p>
            <w:pPr>
              <w:spacing w:line="360" w:lineRule="auto"/>
              <w:rPr>
                <w:rFonts w:ascii="宋体" w:hAnsi="宋体"/>
                <w:b/>
                <w:bCs/>
                <w:sz w:val="20"/>
              </w:rPr>
            </w:pPr>
          </w:p>
        </w:tc>
        <w:tc>
          <w:tcPr>
            <w:tcW w:w="705" w:type="dxa"/>
          </w:tcPr>
          <w:p>
            <w:pPr>
              <w:spacing w:line="360" w:lineRule="auto"/>
              <w:rPr>
                <w:rFonts w:ascii="宋体" w:hAnsi="宋体"/>
                <w:b/>
                <w:bCs/>
                <w:sz w:val="20"/>
              </w:rPr>
            </w:pPr>
          </w:p>
        </w:tc>
        <w:tc>
          <w:tcPr>
            <w:tcW w:w="1115" w:type="dxa"/>
          </w:tcPr>
          <w:p>
            <w:pPr>
              <w:spacing w:line="360" w:lineRule="auto"/>
              <w:rPr>
                <w:rFonts w:ascii="宋体" w:hAnsi="宋体"/>
                <w:b/>
                <w:bCs/>
                <w:sz w:val="20"/>
              </w:rPr>
            </w:pPr>
          </w:p>
        </w:tc>
        <w:tc>
          <w:tcPr>
            <w:tcW w:w="985" w:type="dxa"/>
          </w:tcPr>
          <w:p>
            <w:pPr>
              <w:spacing w:line="360" w:lineRule="auto"/>
              <w:rPr>
                <w:rFonts w:ascii="宋体" w:hAnsi="宋体"/>
                <w:b/>
                <w:bCs/>
                <w:sz w:val="20"/>
              </w:rPr>
            </w:pPr>
          </w:p>
        </w:tc>
        <w:tc>
          <w:tcPr>
            <w:tcW w:w="1635" w:type="dxa"/>
          </w:tcPr>
          <w:p>
            <w:pPr>
              <w:spacing w:line="360" w:lineRule="auto"/>
              <w:rPr>
                <w:rFonts w:ascii="宋体" w:hAnsi="宋体"/>
                <w:b/>
                <w:bCs/>
                <w:sz w:val="20"/>
              </w:rPr>
            </w:pPr>
          </w:p>
        </w:tc>
        <w:tc>
          <w:tcPr>
            <w:tcW w:w="885" w:type="dxa"/>
          </w:tcPr>
          <w:p>
            <w:pPr>
              <w:spacing w:line="360" w:lineRule="auto"/>
              <w:rPr>
                <w:rFonts w:ascii="宋体" w:hAnsi="宋体"/>
                <w:b/>
                <w:bCs/>
                <w:sz w:val="20"/>
              </w:rPr>
            </w:pPr>
          </w:p>
        </w:tc>
        <w:tc>
          <w:tcPr>
            <w:tcW w:w="816" w:type="dxa"/>
          </w:tcPr>
          <w:p>
            <w:pPr>
              <w:spacing w:line="360" w:lineRule="auto"/>
              <w:rPr>
                <w:rFonts w:ascii="宋体" w:hAnsi="宋体"/>
                <w:b/>
                <w:b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7" w:type="dxa"/>
          </w:tcPr>
          <w:p>
            <w:pPr>
              <w:spacing w:line="360" w:lineRule="auto"/>
              <w:rPr>
                <w:rFonts w:ascii="宋体" w:hAnsi="宋体"/>
                <w:b/>
                <w:bCs/>
                <w:sz w:val="20"/>
              </w:rPr>
            </w:pPr>
          </w:p>
        </w:tc>
        <w:tc>
          <w:tcPr>
            <w:tcW w:w="915" w:type="dxa"/>
          </w:tcPr>
          <w:p>
            <w:pPr>
              <w:spacing w:line="360" w:lineRule="auto"/>
              <w:rPr>
                <w:rFonts w:ascii="宋体" w:hAnsi="宋体"/>
                <w:b/>
                <w:bCs/>
                <w:sz w:val="20"/>
              </w:rPr>
            </w:pPr>
          </w:p>
        </w:tc>
        <w:tc>
          <w:tcPr>
            <w:tcW w:w="765" w:type="dxa"/>
          </w:tcPr>
          <w:p>
            <w:pPr>
              <w:spacing w:line="360" w:lineRule="auto"/>
              <w:rPr>
                <w:rFonts w:ascii="宋体" w:hAnsi="宋体"/>
                <w:b/>
                <w:bCs/>
                <w:sz w:val="20"/>
              </w:rPr>
            </w:pPr>
          </w:p>
        </w:tc>
        <w:tc>
          <w:tcPr>
            <w:tcW w:w="705" w:type="dxa"/>
          </w:tcPr>
          <w:p>
            <w:pPr>
              <w:spacing w:line="360" w:lineRule="auto"/>
              <w:rPr>
                <w:rFonts w:ascii="宋体" w:hAnsi="宋体"/>
                <w:b/>
                <w:bCs/>
                <w:sz w:val="20"/>
              </w:rPr>
            </w:pPr>
          </w:p>
        </w:tc>
        <w:tc>
          <w:tcPr>
            <w:tcW w:w="1115" w:type="dxa"/>
          </w:tcPr>
          <w:p>
            <w:pPr>
              <w:spacing w:line="360" w:lineRule="auto"/>
              <w:rPr>
                <w:rFonts w:ascii="宋体" w:hAnsi="宋体"/>
                <w:b/>
                <w:bCs/>
                <w:sz w:val="20"/>
              </w:rPr>
            </w:pPr>
          </w:p>
        </w:tc>
        <w:tc>
          <w:tcPr>
            <w:tcW w:w="985" w:type="dxa"/>
          </w:tcPr>
          <w:p>
            <w:pPr>
              <w:spacing w:line="360" w:lineRule="auto"/>
              <w:rPr>
                <w:rFonts w:ascii="宋体" w:hAnsi="宋体"/>
                <w:b/>
                <w:bCs/>
                <w:sz w:val="20"/>
              </w:rPr>
            </w:pPr>
          </w:p>
        </w:tc>
        <w:tc>
          <w:tcPr>
            <w:tcW w:w="1635" w:type="dxa"/>
          </w:tcPr>
          <w:p>
            <w:pPr>
              <w:spacing w:line="360" w:lineRule="auto"/>
              <w:rPr>
                <w:rFonts w:ascii="宋体" w:hAnsi="宋体"/>
                <w:b/>
                <w:bCs/>
                <w:sz w:val="20"/>
              </w:rPr>
            </w:pPr>
          </w:p>
        </w:tc>
        <w:tc>
          <w:tcPr>
            <w:tcW w:w="885" w:type="dxa"/>
          </w:tcPr>
          <w:p>
            <w:pPr>
              <w:spacing w:line="360" w:lineRule="auto"/>
              <w:rPr>
                <w:rFonts w:ascii="宋体" w:hAnsi="宋体"/>
                <w:b/>
                <w:bCs/>
                <w:sz w:val="20"/>
              </w:rPr>
            </w:pPr>
          </w:p>
        </w:tc>
        <w:tc>
          <w:tcPr>
            <w:tcW w:w="816" w:type="dxa"/>
          </w:tcPr>
          <w:p>
            <w:pPr>
              <w:spacing w:line="360" w:lineRule="auto"/>
              <w:rPr>
                <w:rFonts w:ascii="宋体" w:hAnsi="宋体"/>
                <w:b/>
                <w:b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7" w:type="dxa"/>
          </w:tcPr>
          <w:p>
            <w:pPr>
              <w:spacing w:line="360" w:lineRule="auto"/>
              <w:rPr>
                <w:rFonts w:ascii="宋体" w:hAnsi="宋体"/>
                <w:b/>
                <w:bCs/>
                <w:sz w:val="20"/>
              </w:rPr>
            </w:pPr>
          </w:p>
        </w:tc>
        <w:tc>
          <w:tcPr>
            <w:tcW w:w="915" w:type="dxa"/>
          </w:tcPr>
          <w:p>
            <w:pPr>
              <w:spacing w:line="360" w:lineRule="auto"/>
              <w:rPr>
                <w:rFonts w:ascii="宋体" w:hAnsi="宋体"/>
                <w:b/>
                <w:bCs/>
                <w:sz w:val="20"/>
              </w:rPr>
            </w:pPr>
          </w:p>
        </w:tc>
        <w:tc>
          <w:tcPr>
            <w:tcW w:w="765" w:type="dxa"/>
          </w:tcPr>
          <w:p>
            <w:pPr>
              <w:spacing w:line="360" w:lineRule="auto"/>
              <w:rPr>
                <w:rFonts w:ascii="宋体" w:hAnsi="宋体"/>
                <w:b/>
                <w:bCs/>
                <w:sz w:val="20"/>
              </w:rPr>
            </w:pPr>
          </w:p>
        </w:tc>
        <w:tc>
          <w:tcPr>
            <w:tcW w:w="705" w:type="dxa"/>
          </w:tcPr>
          <w:p>
            <w:pPr>
              <w:spacing w:line="360" w:lineRule="auto"/>
              <w:rPr>
                <w:rFonts w:ascii="宋体" w:hAnsi="宋体"/>
                <w:b/>
                <w:bCs/>
                <w:sz w:val="20"/>
              </w:rPr>
            </w:pPr>
          </w:p>
        </w:tc>
        <w:tc>
          <w:tcPr>
            <w:tcW w:w="1115" w:type="dxa"/>
          </w:tcPr>
          <w:p>
            <w:pPr>
              <w:spacing w:line="360" w:lineRule="auto"/>
              <w:rPr>
                <w:rFonts w:ascii="宋体" w:hAnsi="宋体"/>
                <w:b/>
                <w:bCs/>
                <w:sz w:val="20"/>
              </w:rPr>
            </w:pPr>
          </w:p>
        </w:tc>
        <w:tc>
          <w:tcPr>
            <w:tcW w:w="985" w:type="dxa"/>
          </w:tcPr>
          <w:p>
            <w:pPr>
              <w:spacing w:line="360" w:lineRule="auto"/>
              <w:rPr>
                <w:rFonts w:ascii="宋体" w:hAnsi="宋体"/>
                <w:b/>
                <w:bCs/>
                <w:sz w:val="20"/>
              </w:rPr>
            </w:pPr>
          </w:p>
        </w:tc>
        <w:tc>
          <w:tcPr>
            <w:tcW w:w="1635" w:type="dxa"/>
          </w:tcPr>
          <w:p>
            <w:pPr>
              <w:spacing w:line="360" w:lineRule="auto"/>
              <w:rPr>
                <w:rFonts w:ascii="宋体" w:hAnsi="宋体"/>
                <w:b/>
                <w:bCs/>
                <w:sz w:val="20"/>
              </w:rPr>
            </w:pPr>
          </w:p>
        </w:tc>
        <w:tc>
          <w:tcPr>
            <w:tcW w:w="885" w:type="dxa"/>
          </w:tcPr>
          <w:p>
            <w:pPr>
              <w:spacing w:line="360" w:lineRule="auto"/>
              <w:rPr>
                <w:rFonts w:ascii="宋体" w:hAnsi="宋体"/>
                <w:b/>
                <w:bCs/>
                <w:sz w:val="20"/>
              </w:rPr>
            </w:pPr>
          </w:p>
        </w:tc>
        <w:tc>
          <w:tcPr>
            <w:tcW w:w="816" w:type="dxa"/>
          </w:tcPr>
          <w:p>
            <w:pPr>
              <w:spacing w:line="360" w:lineRule="auto"/>
              <w:rPr>
                <w:rFonts w:ascii="宋体" w:hAnsi="宋体"/>
                <w:b/>
                <w:bCs/>
                <w:sz w:val="20"/>
              </w:rPr>
            </w:pPr>
          </w:p>
        </w:tc>
      </w:tr>
    </w:tbl>
    <w:p>
      <w:pPr>
        <w:spacing w:line="360" w:lineRule="auto"/>
        <w:rPr>
          <w:rFonts w:ascii="宋体" w:hAnsi="宋体" w:cs="宋体"/>
          <w:szCs w:val="16"/>
        </w:rPr>
      </w:pPr>
      <w:r>
        <w:rPr>
          <w:rFonts w:hint="eastAsia" w:ascii="宋体" w:hAnsi="宋体" w:cs="宋体"/>
          <w:sz w:val="24"/>
        </w:rPr>
        <w:t>备注：本表后应附拟派驻本项目人员的身份证、资格证书等扫描件。</w:t>
      </w:r>
    </w:p>
    <w:p>
      <w:pPr>
        <w:spacing w:line="360" w:lineRule="auto"/>
        <w:rPr>
          <w:rFonts w:ascii="宋体" w:hAnsi="宋体" w:cs="宋体"/>
          <w:sz w:val="24"/>
        </w:rPr>
      </w:pPr>
    </w:p>
    <w:p>
      <w:pPr>
        <w:spacing w:line="360" w:lineRule="auto"/>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供应商名称（全称并加盖公章）：</w:t>
      </w:r>
    </w:p>
    <w:p>
      <w:pPr>
        <w:spacing w:line="360" w:lineRule="auto"/>
        <w:rPr>
          <w:rFonts w:ascii="宋体" w:hAnsi="宋体" w:cs="宋体"/>
          <w:sz w:val="24"/>
        </w:rPr>
      </w:pPr>
      <w:r>
        <w:rPr>
          <w:rFonts w:hint="eastAsia" w:ascii="宋体" w:hAnsi="宋体" w:cs="宋体"/>
          <w:sz w:val="24"/>
        </w:rPr>
        <w:t xml:space="preserve">                                法定代表人或其委托代理人（签名或盖章）：</w:t>
      </w:r>
    </w:p>
    <w:p>
      <w:pPr>
        <w:rPr>
          <w:rFonts w:ascii="宋体" w:hAnsi="宋体" w:cs="宋体"/>
          <w:sz w:val="28"/>
          <w:szCs w:val="24"/>
        </w:rPr>
        <w:sectPr>
          <w:footerReference r:id="rId11" w:type="default"/>
          <w:pgSz w:w="11906" w:h="16838"/>
          <w:pgMar w:top="1134" w:right="1134" w:bottom="1134" w:left="1474" w:header="851" w:footer="510" w:gutter="0"/>
          <w:cols w:space="720" w:num="1"/>
          <w:docGrid w:type="lines" w:linePitch="312" w:charSpace="0"/>
        </w:sectPr>
      </w:pPr>
      <w:r>
        <w:rPr>
          <w:rFonts w:hint="eastAsia" w:ascii="宋体" w:hAnsi="宋体" w:cs="宋体"/>
          <w:szCs w:val="21"/>
        </w:rPr>
        <w:t xml:space="preserve">                                                   年    月   日</w:t>
      </w:r>
    </w:p>
    <w:p>
      <w:pPr>
        <w:pStyle w:val="4"/>
        <w:numPr>
          <w:ilvl w:val="0"/>
          <w:numId w:val="8"/>
        </w:numPr>
        <w:spacing w:line="360" w:lineRule="auto"/>
        <w:rPr>
          <w:rFonts w:ascii="宋体" w:hAnsi="宋体" w:cs="宋体"/>
          <w:sz w:val="32"/>
          <w:szCs w:val="32"/>
        </w:rPr>
      </w:pPr>
      <w:bookmarkStart w:id="120" w:name="_Toc8"/>
      <w:bookmarkStart w:id="121" w:name="_Toc31769"/>
      <w:bookmarkStart w:id="122" w:name="_Toc19916"/>
      <w:bookmarkStart w:id="123" w:name="_Toc530584397"/>
      <w:bookmarkStart w:id="124" w:name="_Toc20355"/>
      <w:r>
        <w:rPr>
          <w:rFonts w:hint="eastAsia" w:ascii="宋体" w:hAnsi="宋体" w:cs="宋体"/>
          <w:sz w:val="32"/>
          <w:szCs w:val="32"/>
        </w:rPr>
        <w:t>第一轮报价表</w:t>
      </w:r>
      <w:bookmarkEnd w:id="120"/>
      <w:bookmarkEnd w:id="121"/>
      <w:bookmarkEnd w:id="122"/>
      <w:bookmarkEnd w:id="123"/>
      <w:bookmarkEnd w:id="124"/>
    </w:p>
    <w:tbl>
      <w:tblPr>
        <w:tblStyle w:val="39"/>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ascii="宋体" w:hAnsi="宋体" w:cs="宋体"/>
                <w:sz w:val="24"/>
                <w:szCs w:val="24"/>
              </w:rPr>
              <w:t>项目名称</w:t>
            </w:r>
          </w:p>
        </w:tc>
        <w:tc>
          <w:tcPr>
            <w:tcW w:w="6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vAlign w:val="center"/>
          </w:tcPr>
          <w:p>
            <w:pPr>
              <w:jc w:val="center"/>
              <w:rPr>
                <w:rFonts w:ascii="宋体" w:hAnsi="宋体" w:cs="宋体"/>
                <w:sz w:val="24"/>
                <w:szCs w:val="24"/>
              </w:rPr>
            </w:pPr>
            <w:r>
              <w:rPr>
                <w:rFonts w:hint="eastAsia" w:ascii="宋体" w:hAnsi="宋体" w:cs="宋体"/>
                <w:sz w:val="24"/>
                <w:szCs w:val="24"/>
              </w:rPr>
              <w:t>项目编号</w:t>
            </w:r>
          </w:p>
        </w:tc>
        <w:tc>
          <w:tcPr>
            <w:tcW w:w="6260" w:type="dxa"/>
            <w:tcBorders>
              <w:left w:val="single" w:color="auto" w:sz="4" w:space="0"/>
              <w:right w:val="single" w:color="auto" w:sz="4" w:space="0"/>
            </w:tcBorders>
            <w:vAlign w:val="center"/>
          </w:tcPr>
          <w:p>
            <w:pPr>
              <w:ind w:left="108"/>
              <w:jc w:val="center"/>
              <w:rPr>
                <w:rFonts w:ascii="宋体" w:hAnsi="宋体" w:cs="宋体"/>
                <w:sz w:val="24"/>
                <w:szCs w:val="24"/>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ascii="宋体" w:hAnsi="宋体" w:cs="宋体"/>
                <w:sz w:val="24"/>
                <w:szCs w:val="24"/>
              </w:rPr>
              <w:t>供应商名称</w:t>
            </w:r>
          </w:p>
        </w:tc>
        <w:tc>
          <w:tcPr>
            <w:tcW w:w="6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rPr>
            </w:pPr>
            <w:r>
              <w:rPr>
                <w:rFonts w:hint="eastAsia" w:ascii="宋体" w:hAnsi="宋体" w:cs="宋体"/>
                <w:sz w:val="24"/>
                <w:szCs w:val="24"/>
              </w:rPr>
              <w:t>总报价</w:t>
            </w:r>
          </w:p>
        </w:tc>
        <w:tc>
          <w:tcPr>
            <w:tcW w:w="6260" w:type="dxa"/>
            <w:tcBorders>
              <w:top w:val="single" w:color="auto" w:sz="4" w:space="0"/>
              <w:left w:val="single" w:color="auto" w:sz="4" w:space="0"/>
              <w:bottom w:val="single" w:color="auto" w:sz="4" w:space="0"/>
              <w:right w:val="single" w:color="auto" w:sz="4" w:space="0"/>
            </w:tcBorders>
            <w:vAlign w:val="center"/>
          </w:tcPr>
          <w:p>
            <w:pPr>
              <w:spacing w:line="360" w:lineRule="auto"/>
              <w:ind w:left="1440" w:hanging="1440" w:hangingChars="600"/>
              <w:rPr>
                <w:rFonts w:ascii="宋体" w:hAnsi="宋体" w:cs="宋体"/>
                <w:sz w:val="24"/>
                <w:szCs w:val="24"/>
              </w:rPr>
            </w:pPr>
            <w:r>
              <w:rPr>
                <w:rFonts w:hint="eastAsia" w:ascii="宋体" w:hAnsi="宋体" w:cs="宋体"/>
                <w:sz w:val="24"/>
                <w:szCs w:val="24"/>
              </w:rPr>
              <w:t>大写：                　　¥：</w:t>
            </w:r>
          </w:p>
        </w:tc>
      </w:tr>
    </w:tbl>
    <w:p>
      <w:pPr>
        <w:rPr>
          <w:rFonts w:ascii="宋体" w:hAnsi="宋体" w:cs="宋体"/>
          <w:sz w:val="28"/>
          <w:szCs w:val="24"/>
        </w:rPr>
      </w:pPr>
    </w:p>
    <w:p>
      <w:pPr>
        <w:rPr>
          <w:rFonts w:ascii="宋体" w:hAnsi="宋体" w:cs="宋体"/>
          <w:sz w:val="28"/>
          <w:szCs w:val="24"/>
        </w:rPr>
      </w:pPr>
    </w:p>
    <w:p>
      <w:pPr>
        <w:adjustRightInd w:val="0"/>
        <w:spacing w:line="400" w:lineRule="exact"/>
        <w:ind w:firstLine="420" w:firstLineChars="200"/>
        <w:jc w:val="left"/>
        <w:textAlignment w:val="baseline"/>
        <w:rPr>
          <w:rFonts w:ascii="宋体" w:hAnsi="宋体" w:cs="宋体"/>
          <w:szCs w:val="21"/>
        </w:rPr>
      </w:pPr>
    </w:p>
    <w:p>
      <w:pPr>
        <w:spacing w:line="360" w:lineRule="auto"/>
        <w:rPr>
          <w:rFonts w:ascii="宋体" w:hAnsi="宋体" w:cs="宋体"/>
          <w:sz w:val="24"/>
        </w:rPr>
      </w:pPr>
      <w:r>
        <w:rPr>
          <w:rFonts w:hint="eastAsia" w:ascii="宋体" w:hAnsi="宋体" w:cs="宋体"/>
          <w:sz w:val="24"/>
        </w:rPr>
        <w:t xml:space="preserve">                                供应商名称（全称并加盖公章）：</w:t>
      </w:r>
    </w:p>
    <w:p>
      <w:pPr>
        <w:spacing w:line="360" w:lineRule="auto"/>
        <w:rPr>
          <w:rFonts w:ascii="宋体" w:hAnsi="宋体" w:cs="宋体"/>
          <w:sz w:val="24"/>
        </w:rPr>
      </w:pPr>
      <w:r>
        <w:rPr>
          <w:rFonts w:hint="eastAsia" w:ascii="宋体" w:hAnsi="宋体" w:cs="宋体"/>
          <w:sz w:val="24"/>
        </w:rPr>
        <w:t xml:space="preserve">                                法定代表人或其委托代理人（签名或盖章）：</w:t>
      </w:r>
    </w:p>
    <w:p>
      <w:pPr>
        <w:adjustRightInd w:val="0"/>
        <w:spacing w:line="400" w:lineRule="exact"/>
        <w:ind w:firstLine="420" w:firstLineChars="200"/>
        <w:jc w:val="left"/>
        <w:textAlignment w:val="baseline"/>
        <w:rPr>
          <w:rFonts w:ascii="宋体" w:hAnsi="宋体" w:cs="宋体"/>
          <w:szCs w:val="21"/>
        </w:rPr>
      </w:pPr>
      <w:r>
        <w:rPr>
          <w:rFonts w:hint="eastAsia" w:ascii="宋体" w:hAnsi="宋体" w:cs="宋体"/>
          <w:szCs w:val="21"/>
        </w:rPr>
        <w:t xml:space="preserve">                                                   年    月   日</w:t>
      </w: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pStyle w:val="4"/>
        <w:numPr>
          <w:ilvl w:val="0"/>
          <w:numId w:val="8"/>
        </w:numPr>
        <w:spacing w:line="360" w:lineRule="auto"/>
        <w:rPr>
          <w:rFonts w:ascii="宋体" w:hAnsi="宋体" w:cs="宋体"/>
          <w:sz w:val="32"/>
          <w:szCs w:val="32"/>
        </w:rPr>
      </w:pPr>
      <w:bookmarkStart w:id="125" w:name="_Toc16334"/>
      <w:bookmarkStart w:id="126" w:name="_Toc8227"/>
      <w:bookmarkStart w:id="127" w:name="_Toc18724"/>
      <w:bookmarkStart w:id="128" w:name="_Toc23602"/>
      <w:r>
        <w:rPr>
          <w:rFonts w:hint="eastAsia" w:ascii="宋体" w:hAnsi="宋体" w:cs="宋体"/>
          <w:sz w:val="32"/>
          <w:szCs w:val="32"/>
        </w:rPr>
        <w:t>报价明细表</w:t>
      </w:r>
      <w:bookmarkEnd w:id="125"/>
      <w:bookmarkEnd w:id="126"/>
      <w:bookmarkEnd w:id="127"/>
      <w:bookmarkEnd w:id="128"/>
    </w:p>
    <w:p>
      <w:pPr>
        <w:spacing w:line="360" w:lineRule="auto"/>
        <w:ind w:firstLine="210" w:firstLineChars="100"/>
        <w:rPr>
          <w:rFonts w:ascii="宋体" w:hAnsi="宋体"/>
          <w:szCs w:val="21"/>
        </w:rPr>
      </w:pPr>
      <w:r>
        <w:rPr>
          <w:rFonts w:hint="eastAsia" w:ascii="宋体" w:hAnsi="宋体"/>
          <w:szCs w:val="21"/>
        </w:rPr>
        <w:t>项目名称：                                                项目编号：</w:t>
      </w:r>
    </w:p>
    <w:tbl>
      <w:tblPr>
        <w:tblStyle w:val="39"/>
        <w:tblW w:w="49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554"/>
        <w:gridCol w:w="5567"/>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序号</w:t>
            </w:r>
          </w:p>
        </w:tc>
        <w:tc>
          <w:tcPr>
            <w:tcW w:w="1554"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服务项目</w:t>
            </w:r>
          </w:p>
        </w:tc>
        <w:tc>
          <w:tcPr>
            <w:tcW w:w="5567"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服务内容及要求</w:t>
            </w:r>
          </w:p>
        </w:tc>
        <w:tc>
          <w:tcPr>
            <w:tcW w:w="1671"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w:t>
            </w:r>
          </w:p>
        </w:tc>
        <w:tc>
          <w:tcPr>
            <w:tcW w:w="1554"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kern w:val="0"/>
                <w:szCs w:val="16"/>
              </w:rPr>
              <w:t>宣传</w:t>
            </w:r>
          </w:p>
        </w:tc>
        <w:tc>
          <w:tcPr>
            <w:tcW w:w="5567"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kern w:val="0"/>
                <w:szCs w:val="16"/>
              </w:rPr>
              <w:t>编印居家社区养老宣传资料1万份（A4铜版纸不低于157G双面彩印），编印标准化管理培训手册1000本（A4每本不少于100页），并在全县各乡镇开展宣传活动；编印养老机构全岗位规范化运营记录（每套不低于18个岗位，分岗位每月印制10套，并指导养老机构全岗位开展规范化记录）。</w:t>
            </w:r>
          </w:p>
        </w:tc>
        <w:tc>
          <w:tcPr>
            <w:tcW w:w="1671"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w:t>
            </w:r>
          </w:p>
        </w:tc>
        <w:tc>
          <w:tcPr>
            <w:tcW w:w="1554"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kern w:val="0"/>
                <w:szCs w:val="16"/>
              </w:rPr>
              <w:t>培训</w:t>
            </w:r>
          </w:p>
        </w:tc>
        <w:tc>
          <w:tcPr>
            <w:tcW w:w="5567"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kern w:val="0"/>
                <w:szCs w:val="16"/>
              </w:rPr>
              <w:t>每月对全县不少于9家乡镇（街道）养老机构开展标准化运营现场培训，每次培训时长不少于60分钟，推动标准化管理、规范化运营。</w:t>
            </w:r>
          </w:p>
        </w:tc>
        <w:tc>
          <w:tcPr>
            <w:tcW w:w="1671"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color w:val="auto"/>
                <w:szCs w:val="21"/>
              </w:rPr>
            </w:pPr>
            <w:r>
              <w:rPr>
                <w:rFonts w:hint="eastAsia" w:ascii="宋体" w:hAnsi="宋体" w:cs="宋体"/>
                <w:color w:val="auto"/>
                <w:szCs w:val="21"/>
              </w:rPr>
              <w:t>3</w:t>
            </w:r>
          </w:p>
        </w:tc>
        <w:tc>
          <w:tcPr>
            <w:tcW w:w="1554" w:type="dxa"/>
            <w:tcBorders>
              <w:top w:val="single" w:color="auto" w:sz="4" w:space="0"/>
            </w:tcBorders>
            <w:vAlign w:val="center"/>
          </w:tcPr>
          <w:p>
            <w:pPr>
              <w:autoSpaceDE w:val="0"/>
              <w:autoSpaceDN w:val="0"/>
              <w:jc w:val="center"/>
              <w:rPr>
                <w:rFonts w:ascii="宋体" w:hAnsi="宋体" w:cs="宋体"/>
                <w:b/>
                <w:bCs/>
                <w:color w:val="auto"/>
                <w:szCs w:val="21"/>
              </w:rPr>
            </w:pPr>
            <w:r>
              <w:rPr>
                <w:rFonts w:hint="eastAsia" w:ascii="宋体" w:hAnsi="宋体" w:cs="宋体"/>
                <w:color w:val="auto"/>
                <w:szCs w:val="21"/>
              </w:rPr>
              <w:t>版面制作</w:t>
            </w:r>
          </w:p>
        </w:tc>
        <w:tc>
          <w:tcPr>
            <w:tcW w:w="5567" w:type="dxa"/>
            <w:tcBorders>
              <w:top w:val="single" w:color="auto" w:sz="4" w:space="0"/>
            </w:tcBorders>
            <w:vAlign w:val="center"/>
          </w:tcPr>
          <w:p>
            <w:pPr>
              <w:autoSpaceDE w:val="0"/>
              <w:autoSpaceDN w:val="0"/>
              <w:jc w:val="center"/>
              <w:rPr>
                <w:rFonts w:ascii="宋体" w:hAnsi="宋体" w:cs="宋体"/>
                <w:b/>
                <w:bCs/>
                <w:color w:val="auto"/>
                <w:szCs w:val="21"/>
              </w:rPr>
            </w:pPr>
            <w:r>
              <w:rPr>
                <w:rFonts w:hint="eastAsia"/>
                <w:color w:val="auto"/>
              </w:rPr>
              <w:t>编写制作养老机构规范化管理、标准化运营清单，并制定宣传展板（PVC材质每块不小于50CM*80CM，每套不低于20块，共9套）。</w:t>
            </w:r>
          </w:p>
        </w:tc>
        <w:tc>
          <w:tcPr>
            <w:tcW w:w="1671" w:type="dxa"/>
            <w:tcBorders>
              <w:top w:val="single" w:color="auto" w:sz="4" w:space="0"/>
            </w:tcBorders>
            <w:vAlign w:val="center"/>
          </w:tcPr>
          <w:p>
            <w:pPr>
              <w:autoSpaceDE w:val="0"/>
              <w:autoSpaceDN w:val="0"/>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color w:val="auto"/>
                <w:szCs w:val="21"/>
                <w:highlight w:val="none"/>
              </w:rPr>
            </w:pPr>
            <w:r>
              <w:rPr>
                <w:rFonts w:hint="eastAsia" w:ascii="宋体" w:hAnsi="宋体" w:cs="宋体"/>
                <w:color w:val="auto"/>
                <w:szCs w:val="21"/>
                <w:highlight w:val="none"/>
              </w:rPr>
              <w:t>4</w:t>
            </w:r>
          </w:p>
        </w:tc>
        <w:tc>
          <w:tcPr>
            <w:tcW w:w="1554" w:type="dxa"/>
            <w:tcBorders>
              <w:top w:val="single" w:color="auto" w:sz="4" w:space="0"/>
            </w:tcBorders>
            <w:vAlign w:val="center"/>
          </w:tcPr>
          <w:p>
            <w:pPr>
              <w:autoSpaceDE w:val="0"/>
              <w:autoSpaceDN w:val="0"/>
              <w:jc w:val="center"/>
              <w:rPr>
                <w:color w:val="auto"/>
                <w:kern w:val="0"/>
                <w:szCs w:val="16"/>
                <w:highlight w:val="none"/>
              </w:rPr>
            </w:pPr>
            <w:r>
              <w:rPr>
                <w:rFonts w:hint="eastAsia"/>
                <w:color w:val="auto"/>
                <w:kern w:val="0"/>
                <w:szCs w:val="16"/>
                <w:highlight w:val="none"/>
              </w:rPr>
              <w:t>能力评估和需求评估</w:t>
            </w:r>
          </w:p>
        </w:tc>
        <w:tc>
          <w:tcPr>
            <w:tcW w:w="5567" w:type="dxa"/>
            <w:tcBorders>
              <w:top w:val="single" w:color="auto" w:sz="4" w:space="0"/>
            </w:tcBorders>
            <w:vAlign w:val="center"/>
          </w:tcPr>
          <w:p>
            <w:pPr>
              <w:autoSpaceDE w:val="0"/>
              <w:autoSpaceDN w:val="0"/>
              <w:jc w:val="center"/>
              <w:rPr>
                <w:color w:val="auto"/>
                <w:kern w:val="0"/>
                <w:szCs w:val="16"/>
                <w:highlight w:val="none"/>
              </w:rPr>
            </w:pPr>
            <w:r>
              <w:rPr>
                <w:rFonts w:hint="eastAsia"/>
                <w:color w:val="auto"/>
                <w:kern w:val="0"/>
                <w:szCs w:val="16"/>
                <w:highlight w:val="none"/>
              </w:rPr>
              <w:t>对</w:t>
            </w:r>
            <w:r>
              <w:rPr>
                <w:rFonts w:hint="eastAsia"/>
                <w:color w:val="auto"/>
                <w:kern w:val="0"/>
                <w:szCs w:val="16"/>
                <w:highlight w:val="none"/>
                <w:lang w:eastAsia="zh-CN"/>
              </w:rPr>
              <w:t>每位接受服务的</w:t>
            </w:r>
            <w:r>
              <w:rPr>
                <w:rFonts w:hint="eastAsia"/>
                <w:color w:val="auto"/>
                <w:kern w:val="0"/>
                <w:szCs w:val="16"/>
                <w:highlight w:val="none"/>
              </w:rPr>
              <w:t>老年人进行能力评估和需求评估，明确服务方案。</w:t>
            </w:r>
          </w:p>
        </w:tc>
        <w:tc>
          <w:tcPr>
            <w:tcW w:w="1671" w:type="dxa"/>
            <w:tcBorders>
              <w:top w:val="single" w:color="auto" w:sz="4" w:space="0"/>
            </w:tcBorders>
            <w:vAlign w:val="center"/>
          </w:tcPr>
          <w:p>
            <w:pPr>
              <w:autoSpaceDE w:val="0"/>
              <w:autoSpaceDN w:val="0"/>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color w:val="auto"/>
                <w:szCs w:val="21"/>
                <w:highlight w:val="none"/>
              </w:rPr>
            </w:pPr>
            <w:r>
              <w:rPr>
                <w:rFonts w:hint="eastAsia" w:ascii="宋体" w:hAnsi="宋体" w:cs="宋体"/>
                <w:color w:val="auto"/>
                <w:szCs w:val="21"/>
                <w:highlight w:val="none"/>
              </w:rPr>
              <w:t>5</w:t>
            </w:r>
          </w:p>
        </w:tc>
        <w:tc>
          <w:tcPr>
            <w:tcW w:w="1554" w:type="dxa"/>
            <w:tcBorders>
              <w:top w:val="single" w:color="auto" w:sz="4" w:space="0"/>
            </w:tcBorders>
            <w:vAlign w:val="center"/>
          </w:tcPr>
          <w:p>
            <w:pPr>
              <w:autoSpaceDE w:val="0"/>
              <w:autoSpaceDN w:val="0"/>
              <w:jc w:val="center"/>
              <w:rPr>
                <w:rFonts w:ascii="宋体" w:hAnsi="宋体" w:cs="宋体"/>
                <w:b/>
                <w:bCs/>
                <w:color w:val="auto"/>
                <w:szCs w:val="21"/>
                <w:highlight w:val="none"/>
              </w:rPr>
            </w:pPr>
            <w:r>
              <w:rPr>
                <w:rFonts w:hint="eastAsia"/>
                <w:color w:val="auto"/>
                <w:kern w:val="0"/>
                <w:szCs w:val="16"/>
                <w:highlight w:val="none"/>
              </w:rPr>
              <w:t>居家养老</w:t>
            </w:r>
            <w:r>
              <w:rPr>
                <w:rFonts w:hint="eastAsia" w:ascii="宋体" w:hAnsi="宋体" w:cs="宋体"/>
                <w:color w:val="auto"/>
                <w:kern w:val="0"/>
                <w:szCs w:val="16"/>
                <w:highlight w:val="none"/>
              </w:rPr>
              <w:t>照护</w:t>
            </w:r>
            <w:r>
              <w:rPr>
                <w:rFonts w:hint="eastAsia"/>
                <w:color w:val="auto"/>
                <w:kern w:val="0"/>
                <w:szCs w:val="16"/>
                <w:highlight w:val="none"/>
              </w:rPr>
              <w:t>服务</w:t>
            </w:r>
          </w:p>
        </w:tc>
        <w:tc>
          <w:tcPr>
            <w:tcW w:w="5567" w:type="dxa"/>
            <w:tcBorders>
              <w:top w:val="single" w:color="auto" w:sz="4" w:space="0"/>
            </w:tcBorders>
            <w:vAlign w:val="center"/>
          </w:tcPr>
          <w:p>
            <w:pPr>
              <w:autoSpaceDE w:val="0"/>
              <w:autoSpaceDN w:val="0"/>
              <w:jc w:val="center"/>
              <w:rPr>
                <w:rFonts w:ascii="宋体" w:hAnsi="宋体" w:cs="宋体"/>
                <w:b/>
                <w:bCs/>
                <w:color w:val="auto"/>
                <w:szCs w:val="21"/>
                <w:highlight w:val="none"/>
              </w:rPr>
            </w:pPr>
            <w:r>
              <w:rPr>
                <w:rFonts w:hint="eastAsia" w:ascii="宋体" w:hAnsi="宋体" w:cs="宋体"/>
                <w:color w:val="auto"/>
                <w:kern w:val="0"/>
                <w:szCs w:val="21"/>
                <w:highlight w:val="none"/>
              </w:rPr>
              <w:t>根据服务方案开展居家养老照护服务</w:t>
            </w:r>
            <w:r>
              <w:rPr>
                <w:rFonts w:hint="eastAsia" w:ascii="宋体" w:hAnsi="宋体" w:cs="宋体"/>
                <w:color w:val="auto"/>
                <w:kern w:val="0"/>
                <w:szCs w:val="16"/>
                <w:highlight w:val="none"/>
              </w:rPr>
              <w:t>，</w:t>
            </w:r>
            <w:r>
              <w:rPr>
                <w:rFonts w:hint="eastAsia" w:ascii="宋体" w:hAnsi="宋体" w:cs="宋体"/>
                <w:color w:val="auto"/>
                <w:kern w:val="0"/>
                <w:szCs w:val="21"/>
                <w:highlight w:val="none"/>
              </w:rPr>
              <w:t>服务人数：155人，</w:t>
            </w:r>
            <w:r>
              <w:rPr>
                <w:rFonts w:hint="eastAsia"/>
                <w:color w:val="auto"/>
                <w:kern w:val="0"/>
                <w:szCs w:val="16"/>
                <w:highlight w:val="none"/>
              </w:rPr>
              <w:t>每人每年2000元</w:t>
            </w:r>
            <w:r>
              <w:rPr>
                <w:rFonts w:hint="eastAsia" w:ascii="宋体" w:hAnsi="宋体" w:cs="宋体"/>
                <w:color w:val="auto"/>
                <w:kern w:val="0"/>
                <w:szCs w:val="21"/>
                <w:highlight w:val="none"/>
              </w:rPr>
              <w:t>的标准。</w:t>
            </w:r>
            <w:r>
              <w:rPr>
                <w:rFonts w:hint="eastAsia"/>
                <w:b/>
                <w:bCs/>
                <w:color w:val="auto"/>
                <w:kern w:val="0"/>
                <w:szCs w:val="16"/>
                <w:highlight w:val="none"/>
              </w:rPr>
              <w:t>该项为不可竞争项。</w:t>
            </w:r>
            <w:r>
              <w:rPr>
                <w:rFonts w:hint="eastAsia" w:ascii="宋体" w:hAnsi="宋体" w:cs="宋体"/>
                <w:b/>
                <w:bCs/>
                <w:color w:val="auto"/>
                <w:kern w:val="0"/>
                <w:szCs w:val="21"/>
                <w:highlight w:val="none"/>
              </w:rPr>
              <w:t>（实际服务人数超出155人的，超出部分</w:t>
            </w:r>
            <w:r>
              <w:rPr>
                <w:rFonts w:hint="eastAsia" w:ascii="宋体" w:hAnsi="宋体" w:cs="宋体"/>
                <w:b/>
                <w:bCs/>
                <w:color w:val="auto"/>
                <w:kern w:val="0"/>
                <w:szCs w:val="21"/>
                <w:highlight w:val="none"/>
                <w:lang w:val="en-US" w:eastAsia="zh-CN"/>
              </w:rPr>
              <w:t>依据《中华人民共和国政府采购法》第四十九条之规定</w:t>
            </w:r>
            <w:r>
              <w:rPr>
                <w:rFonts w:hint="eastAsia" w:ascii="宋体" w:hAnsi="宋体" w:cs="宋体"/>
                <w:b/>
                <w:bCs/>
                <w:color w:val="auto"/>
                <w:kern w:val="0"/>
                <w:szCs w:val="21"/>
                <w:highlight w:val="none"/>
              </w:rPr>
              <w:t>签订补充</w:t>
            </w:r>
            <w:r>
              <w:rPr>
                <w:rFonts w:hint="eastAsia" w:ascii="宋体" w:hAnsi="宋体" w:cs="宋体"/>
                <w:b/>
                <w:bCs/>
                <w:color w:val="auto"/>
                <w:kern w:val="0"/>
                <w:szCs w:val="21"/>
                <w:highlight w:val="none"/>
                <w:lang w:val="en-US" w:eastAsia="zh-CN"/>
              </w:rPr>
              <w:t>合同</w:t>
            </w:r>
            <w:r>
              <w:rPr>
                <w:rFonts w:hint="eastAsia" w:ascii="宋体" w:hAnsi="宋体" w:cs="宋体"/>
                <w:b/>
                <w:bCs/>
                <w:color w:val="auto"/>
                <w:kern w:val="0"/>
                <w:szCs w:val="21"/>
                <w:highlight w:val="none"/>
              </w:rPr>
              <w:t>。</w:t>
            </w:r>
            <w:r>
              <w:rPr>
                <w:rFonts w:hint="eastAsia"/>
                <w:b/>
                <w:bCs/>
                <w:color w:val="auto"/>
                <w:kern w:val="0"/>
                <w:szCs w:val="16"/>
                <w:highlight w:val="none"/>
              </w:rPr>
              <w:t>须在下方</w:t>
            </w:r>
            <w:r>
              <w:rPr>
                <w:rFonts w:hint="eastAsia" w:ascii="宋体" w:hAnsi="宋体" w:cs="宋体"/>
                <w:b/>
                <w:bCs/>
                <w:color w:val="auto"/>
                <w:szCs w:val="21"/>
                <w:highlight w:val="none"/>
              </w:rPr>
              <w:t>附件中填入服务价格且服务价格不得高于第五章采购需求第三条</w:t>
            </w:r>
            <w:r>
              <w:rPr>
                <w:rFonts w:hint="eastAsia" w:ascii="宋体" w:hAnsi="宋体"/>
                <w:b/>
                <w:bCs/>
                <w:color w:val="auto"/>
                <w:kern w:val="0"/>
                <w:szCs w:val="21"/>
                <w:highlight w:val="none"/>
              </w:rPr>
              <w:t>服务内容及要求</w:t>
            </w:r>
            <w:r>
              <w:rPr>
                <w:rFonts w:hint="eastAsia" w:ascii="宋体" w:hAnsi="宋体" w:cs="宋体"/>
                <w:b/>
                <w:bCs/>
                <w:color w:val="auto"/>
                <w:szCs w:val="21"/>
                <w:highlight w:val="none"/>
              </w:rPr>
              <w:t>中所列预算服务价格。</w:t>
            </w:r>
            <w:r>
              <w:rPr>
                <w:rFonts w:hint="eastAsia"/>
                <w:b/>
                <w:bCs/>
                <w:color w:val="auto"/>
                <w:kern w:val="0"/>
                <w:szCs w:val="16"/>
                <w:highlight w:val="none"/>
              </w:rPr>
              <w:t>）</w:t>
            </w:r>
          </w:p>
        </w:tc>
        <w:tc>
          <w:tcPr>
            <w:tcW w:w="1671" w:type="dxa"/>
            <w:tcBorders>
              <w:top w:val="single" w:color="auto" w:sz="4" w:space="0"/>
            </w:tcBorders>
            <w:vAlign w:val="center"/>
          </w:tcPr>
          <w:p>
            <w:pPr>
              <w:autoSpaceDE w:val="0"/>
              <w:autoSpaceDN w:val="0"/>
              <w:jc w:val="center"/>
              <w:rPr>
                <w:rFonts w:ascii="宋体" w:hAnsi="宋体" w:cs="宋体"/>
                <w:color w:val="auto"/>
                <w:szCs w:val="21"/>
                <w:highlight w:val="none"/>
              </w:rPr>
            </w:pPr>
            <w:r>
              <w:rPr>
                <w:rFonts w:hint="eastAsia" w:ascii="宋体" w:hAnsi="宋体" w:cs="宋体"/>
                <w:color w:val="auto"/>
                <w:szCs w:val="21"/>
                <w:highlight w:val="none"/>
              </w:rPr>
              <w:t>310000.00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9425" w:type="dxa"/>
            <w:gridSpan w:val="4"/>
            <w:vAlign w:val="center"/>
          </w:tcPr>
          <w:p>
            <w:pPr>
              <w:autoSpaceDE w:val="0"/>
              <w:autoSpaceDN w:val="0"/>
              <w:jc w:val="left"/>
              <w:rPr>
                <w:rFonts w:ascii="宋体" w:hAnsi="宋体" w:cs="宋体"/>
                <w:color w:val="0000FF"/>
                <w:szCs w:val="21"/>
              </w:rPr>
            </w:pPr>
            <w:r>
              <w:rPr>
                <w:rFonts w:hint="eastAsia" w:ascii="宋体" w:hAnsi="宋体" w:cs="宋体"/>
                <w:szCs w:val="21"/>
              </w:rPr>
              <w:t>总报价（大写）：                               （小写）：</w:t>
            </w:r>
          </w:p>
        </w:tc>
      </w:tr>
    </w:tbl>
    <w:p>
      <w:pPr>
        <w:spacing w:line="360" w:lineRule="auto"/>
        <w:ind w:firstLine="482" w:firstLineChars="200"/>
        <w:rPr>
          <w:rFonts w:ascii="宋体" w:hAnsi="宋体" w:cs="宋体"/>
          <w:b/>
          <w:bCs/>
          <w:sz w:val="24"/>
          <w:szCs w:val="24"/>
        </w:rPr>
      </w:pPr>
      <w:r>
        <w:rPr>
          <w:rFonts w:hint="eastAsia" w:ascii="宋体" w:hAnsi="宋体" w:cs="宋体"/>
          <w:b/>
          <w:bCs/>
          <w:sz w:val="24"/>
          <w:szCs w:val="24"/>
        </w:rPr>
        <w:t>附件：</w:t>
      </w:r>
    </w:p>
    <w:tbl>
      <w:tblPr>
        <w:tblStyle w:val="39"/>
        <w:tblW w:w="49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629"/>
        <w:gridCol w:w="3834"/>
        <w:gridCol w:w="1540"/>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序号</w:t>
            </w:r>
          </w:p>
        </w:tc>
        <w:tc>
          <w:tcPr>
            <w:tcW w:w="1629"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服务项目</w:t>
            </w:r>
          </w:p>
        </w:tc>
        <w:tc>
          <w:tcPr>
            <w:tcW w:w="3834" w:type="dxa"/>
            <w:tcBorders>
              <w:top w:val="single" w:color="auto" w:sz="4" w:space="0"/>
            </w:tcBorders>
            <w:vAlign w:val="center"/>
          </w:tcPr>
          <w:p>
            <w:pPr>
              <w:spacing w:line="440" w:lineRule="exact"/>
              <w:jc w:val="center"/>
              <w:rPr>
                <w:rFonts w:ascii="宋体" w:hAnsi="宋体" w:cs="宋体"/>
                <w:b/>
                <w:bCs/>
                <w:color w:val="FF0000"/>
                <w:szCs w:val="21"/>
              </w:rPr>
            </w:pPr>
            <w:r>
              <w:rPr>
                <w:rFonts w:hint="eastAsia" w:ascii="宋体" w:hAnsi="宋体" w:cs="宋体"/>
                <w:b/>
                <w:bCs/>
                <w:szCs w:val="21"/>
              </w:rPr>
              <w:t>服务内容及要求</w:t>
            </w:r>
          </w:p>
        </w:tc>
        <w:tc>
          <w:tcPr>
            <w:tcW w:w="1540" w:type="dxa"/>
            <w:tcBorders>
              <w:top w:val="single" w:color="auto" w:sz="4" w:space="0"/>
            </w:tcBorders>
            <w:vAlign w:val="center"/>
          </w:tcPr>
          <w:p>
            <w:pPr>
              <w:autoSpaceDE w:val="0"/>
              <w:autoSpaceDN w:val="0"/>
              <w:jc w:val="center"/>
              <w:rPr>
                <w:rFonts w:ascii="宋体" w:hAnsi="宋体" w:cs="宋体"/>
                <w:b/>
                <w:bCs/>
                <w:color w:val="FF0000"/>
                <w:szCs w:val="21"/>
              </w:rPr>
            </w:pPr>
            <w:r>
              <w:rPr>
                <w:rFonts w:hint="eastAsia" w:ascii="宋体" w:hAnsi="宋体" w:cs="宋体"/>
                <w:b/>
                <w:bCs/>
                <w:szCs w:val="21"/>
              </w:rPr>
              <w:t>项目服务用时</w:t>
            </w:r>
          </w:p>
        </w:tc>
        <w:tc>
          <w:tcPr>
            <w:tcW w:w="178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b/>
                <w:bCs/>
                <w:szCs w:val="21"/>
              </w:rPr>
              <w:t>服务价格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巡视</w:t>
            </w:r>
          </w:p>
        </w:tc>
        <w:tc>
          <w:tcPr>
            <w:tcW w:w="3834" w:type="dxa"/>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探视老人，查看老人居住状态</w:t>
            </w:r>
          </w:p>
        </w:tc>
        <w:tc>
          <w:tcPr>
            <w:tcW w:w="1540" w:type="dxa"/>
            <w:tcBorders>
              <w:top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心脑血管动脉硬化筛查</w:t>
            </w:r>
          </w:p>
        </w:tc>
        <w:tc>
          <w:tcPr>
            <w:tcW w:w="3834" w:type="dxa"/>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检测老人动脉硬化情况，预防心脑血管疾病</w:t>
            </w:r>
          </w:p>
        </w:tc>
        <w:tc>
          <w:tcPr>
            <w:tcW w:w="1540"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3</w:t>
            </w:r>
          </w:p>
        </w:tc>
        <w:tc>
          <w:tcPr>
            <w:tcW w:w="1629" w:type="dxa"/>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测量血压</w:t>
            </w:r>
          </w:p>
        </w:tc>
        <w:tc>
          <w:tcPr>
            <w:tcW w:w="3834" w:type="dxa"/>
            <w:tcBorders>
              <w:top w:val="single" w:color="auto" w:sz="4" w:space="0"/>
              <w:bottom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为老人测量并长期对心率血压进行检测。</w:t>
            </w:r>
          </w:p>
        </w:tc>
        <w:tc>
          <w:tcPr>
            <w:tcW w:w="1540" w:type="dxa"/>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tcBorders>
              <w:top w:val="single" w:color="auto" w:sz="4" w:space="0"/>
              <w:bottom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w:t>
            </w:r>
          </w:p>
        </w:tc>
        <w:tc>
          <w:tcPr>
            <w:tcW w:w="162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心理慰藉</w:t>
            </w:r>
          </w:p>
        </w:tc>
        <w:tc>
          <w:tcPr>
            <w:tcW w:w="3834" w:type="dxa"/>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提供心理疏导服务</w:t>
            </w:r>
          </w:p>
        </w:tc>
        <w:tc>
          <w:tcPr>
            <w:tcW w:w="15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5</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家务整理</w:t>
            </w:r>
          </w:p>
        </w:tc>
        <w:tc>
          <w:tcPr>
            <w:tcW w:w="3834" w:type="dxa"/>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1.开窗通风，保持客厅、卧室、厨卫整洁，物品摆放整齐；</w:t>
            </w:r>
            <w:r>
              <w:rPr>
                <w:rFonts w:hint="eastAsia" w:ascii="宋体" w:hAnsi="宋体" w:cs="宋体"/>
                <w:szCs w:val="21"/>
              </w:rPr>
              <w:br w:type="textWrapping"/>
            </w:r>
            <w:r>
              <w:rPr>
                <w:rFonts w:hint="eastAsia" w:ascii="宋体" w:hAnsi="宋体" w:cs="宋体"/>
                <w:szCs w:val="21"/>
              </w:rPr>
              <w:t>2.按需晾晒（棉被，厚毛毯等）、更换床上四件套；</w:t>
            </w:r>
            <w:r>
              <w:rPr>
                <w:rFonts w:hint="eastAsia" w:ascii="宋体" w:hAnsi="宋体" w:cs="宋体"/>
                <w:szCs w:val="21"/>
              </w:rPr>
              <w:br w:type="textWrapping"/>
            </w:r>
            <w:r>
              <w:rPr>
                <w:rFonts w:hint="eastAsia" w:ascii="宋体" w:hAnsi="宋体" w:cs="宋体"/>
                <w:szCs w:val="21"/>
              </w:rPr>
              <w:t>3.按老年人习惯整理床铺，保持床铺整洁。</w:t>
            </w:r>
          </w:p>
        </w:tc>
        <w:tc>
          <w:tcPr>
            <w:tcW w:w="1540"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6</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居家清洁</w:t>
            </w:r>
          </w:p>
        </w:tc>
        <w:tc>
          <w:tcPr>
            <w:tcW w:w="3834" w:type="dxa"/>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1.由内而外打扫居室卫生，拖洗地面至清洁无污，并通风保持地面干燥，防止老年人滑倒；</w:t>
            </w:r>
            <w:r>
              <w:rPr>
                <w:rFonts w:hint="eastAsia" w:ascii="宋体" w:hAnsi="宋体" w:cs="宋体"/>
                <w:szCs w:val="21"/>
              </w:rPr>
              <w:br w:type="textWrapping"/>
            </w:r>
            <w:r>
              <w:rPr>
                <w:rFonts w:hint="eastAsia" w:ascii="宋体" w:hAnsi="宋体" w:cs="宋体"/>
                <w:szCs w:val="21"/>
              </w:rPr>
              <w:t>2.处理垃圾不扬尘，保持客厅、卧室、厨卫整洁；</w:t>
            </w:r>
            <w:r>
              <w:rPr>
                <w:rFonts w:hint="eastAsia" w:ascii="宋体" w:hAnsi="宋体" w:cs="宋体"/>
                <w:szCs w:val="21"/>
              </w:rPr>
              <w:br w:type="textWrapping"/>
            </w:r>
            <w:r>
              <w:rPr>
                <w:rFonts w:hint="eastAsia" w:ascii="宋体" w:hAnsi="宋体" w:cs="宋体"/>
                <w:szCs w:val="21"/>
              </w:rPr>
              <w:t>3.保持居室整洁美观、目测无灰尘、空气清新无异味；</w:t>
            </w:r>
            <w:r>
              <w:rPr>
                <w:rFonts w:hint="eastAsia" w:ascii="宋体" w:hAnsi="宋体" w:cs="宋体"/>
                <w:szCs w:val="21"/>
              </w:rPr>
              <w:br w:type="textWrapping"/>
            </w:r>
            <w:r>
              <w:rPr>
                <w:rFonts w:hint="eastAsia" w:ascii="宋体" w:hAnsi="宋体" w:cs="宋体"/>
                <w:szCs w:val="21"/>
              </w:rPr>
              <w:t>4.保洁用品应及时清洗、消毒，保持清洁及卫生；</w:t>
            </w:r>
            <w:r>
              <w:rPr>
                <w:rFonts w:hint="eastAsia" w:ascii="宋体" w:hAnsi="宋体" w:cs="宋体"/>
                <w:szCs w:val="21"/>
              </w:rPr>
              <w:br w:type="textWrapping"/>
            </w:r>
            <w:r>
              <w:rPr>
                <w:rFonts w:hint="eastAsia" w:ascii="宋体" w:hAnsi="宋体" w:cs="宋体"/>
                <w:szCs w:val="21"/>
              </w:rPr>
              <w:t>5.打扫过程中，如遇钱财等贵重物品，应提醒老年人妥善保管。</w:t>
            </w:r>
          </w:p>
        </w:tc>
        <w:tc>
          <w:tcPr>
            <w:tcW w:w="1540"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7</w:t>
            </w:r>
          </w:p>
        </w:tc>
        <w:tc>
          <w:tcPr>
            <w:tcW w:w="1629" w:type="dxa"/>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上门理发</w:t>
            </w:r>
          </w:p>
        </w:tc>
        <w:tc>
          <w:tcPr>
            <w:tcW w:w="3834" w:type="dxa"/>
            <w:tcBorders>
              <w:top w:val="single" w:color="auto" w:sz="4" w:space="0"/>
            </w:tcBorders>
            <w:vAlign w:val="center"/>
          </w:tcPr>
          <w:p>
            <w:pPr>
              <w:widowControl/>
              <w:spacing w:line="400" w:lineRule="exact"/>
              <w:jc w:val="left"/>
              <w:rPr>
                <w:rFonts w:ascii="宋体" w:hAnsi="宋体" w:cs="宋体"/>
                <w:szCs w:val="21"/>
              </w:rPr>
            </w:pPr>
            <w:r>
              <w:rPr>
                <w:rFonts w:hint="eastAsia" w:ascii="宋体" w:hAnsi="宋体" w:cs="宋体"/>
                <w:kern w:val="0"/>
                <w:szCs w:val="21"/>
              </w:rPr>
              <w:t>1.简单理发，修面、挖耳注意安全，做到老年人容貌整洁；</w:t>
            </w:r>
            <w:r>
              <w:rPr>
                <w:rFonts w:hint="eastAsia" w:ascii="宋体" w:hAnsi="宋体" w:cs="宋体"/>
                <w:kern w:val="0"/>
                <w:szCs w:val="21"/>
              </w:rPr>
              <w:br w:type="textWrapping"/>
            </w:r>
            <w:r>
              <w:rPr>
                <w:rFonts w:hint="eastAsia" w:ascii="宋体" w:hAnsi="宋体" w:cs="宋体"/>
                <w:kern w:val="0"/>
                <w:szCs w:val="21"/>
              </w:rPr>
              <w:t>2.理发人员应受过培训上岗。</w:t>
            </w:r>
          </w:p>
        </w:tc>
        <w:tc>
          <w:tcPr>
            <w:tcW w:w="1540" w:type="dxa"/>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20-30分钟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8</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洗脚、指（趾）甲修剪</w:t>
            </w:r>
          </w:p>
        </w:tc>
        <w:tc>
          <w:tcPr>
            <w:tcW w:w="3834" w:type="dxa"/>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1.泡脚、洗脚，剪指（趾）甲；</w:t>
            </w:r>
            <w:r>
              <w:rPr>
                <w:rFonts w:hint="eastAsia" w:ascii="宋体" w:hAnsi="宋体" w:cs="宋体"/>
                <w:szCs w:val="21"/>
              </w:rPr>
              <w:br w:type="textWrapping"/>
            </w:r>
            <w:r>
              <w:rPr>
                <w:rFonts w:hint="eastAsia" w:ascii="宋体" w:hAnsi="宋体" w:cs="宋体"/>
                <w:szCs w:val="21"/>
              </w:rPr>
              <w:t>2.保持指（趾）甲整洁、无异味。</w:t>
            </w:r>
          </w:p>
        </w:tc>
        <w:tc>
          <w:tcPr>
            <w:tcW w:w="1540" w:type="dxa"/>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10-30分钟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9</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康复护理</w:t>
            </w:r>
          </w:p>
        </w:tc>
        <w:tc>
          <w:tcPr>
            <w:tcW w:w="3834" w:type="dxa"/>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对有需求的老年人制定康复方案，在专业人员指导下进行肢体类康复训练（腰椎康复训练、关节放松训练等）。</w:t>
            </w:r>
          </w:p>
          <w:p>
            <w:pPr>
              <w:autoSpaceDE w:val="0"/>
              <w:autoSpaceDN w:val="0"/>
              <w:jc w:val="left"/>
              <w:rPr>
                <w:rFonts w:ascii="宋体" w:hAnsi="宋体" w:cs="宋体"/>
                <w:szCs w:val="21"/>
              </w:rPr>
            </w:pPr>
            <w:r>
              <w:rPr>
                <w:rFonts w:hint="eastAsia" w:ascii="宋体" w:hAnsi="宋体" w:cs="宋体"/>
                <w:szCs w:val="21"/>
              </w:rPr>
              <w:t>1.应符合老年人的生理心理特点。</w:t>
            </w:r>
            <w:r>
              <w:rPr>
                <w:rFonts w:hint="eastAsia" w:ascii="宋体" w:hAnsi="宋体" w:cs="宋体"/>
                <w:szCs w:val="21"/>
              </w:rPr>
              <w:br w:type="textWrapping"/>
            </w:r>
            <w:r>
              <w:rPr>
                <w:rFonts w:hint="eastAsia" w:ascii="宋体" w:hAnsi="宋体" w:cs="宋体"/>
                <w:szCs w:val="21"/>
              </w:rPr>
              <w:t>2.根据需要配备相应的合格理疗器具，理疗过程中应注意观察老年人的身体适应情况，防止损伤。</w:t>
            </w:r>
            <w:r>
              <w:rPr>
                <w:rFonts w:hint="eastAsia" w:ascii="宋体" w:hAnsi="宋体" w:cs="宋体"/>
                <w:szCs w:val="21"/>
              </w:rPr>
              <w:br w:type="textWrapping"/>
            </w:r>
            <w:r>
              <w:rPr>
                <w:rFonts w:hint="eastAsia" w:ascii="宋体" w:hAnsi="宋体" w:cs="宋体"/>
                <w:szCs w:val="21"/>
              </w:rPr>
              <w:t>3.专业人员采用中医传统推拿手法，对症调理，配以拔罐、刮麴等，调和脏腑气血，缓解疼痛等。</w:t>
            </w:r>
          </w:p>
        </w:tc>
        <w:tc>
          <w:tcPr>
            <w:tcW w:w="1540" w:type="dxa"/>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30-40分钟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10</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助浴</w:t>
            </w:r>
          </w:p>
        </w:tc>
        <w:tc>
          <w:tcPr>
            <w:tcW w:w="3834" w:type="dxa"/>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1.根据需要提供上门擦拭、上门洗浴等服务内容；</w:t>
            </w:r>
          </w:p>
          <w:p>
            <w:pPr>
              <w:autoSpaceDE w:val="0"/>
              <w:autoSpaceDN w:val="0"/>
              <w:jc w:val="left"/>
              <w:rPr>
                <w:rFonts w:ascii="宋体" w:hAnsi="宋体" w:cs="宋体"/>
                <w:szCs w:val="21"/>
              </w:rPr>
            </w:pPr>
            <w:r>
              <w:rPr>
                <w:rFonts w:hint="eastAsia" w:ascii="宋体" w:hAnsi="宋体" w:cs="宋体"/>
                <w:szCs w:val="21"/>
              </w:rPr>
              <w:t>2.服务人员助浴过程中，应同时有家属或监护人在场，保障老年人安全；</w:t>
            </w:r>
          </w:p>
          <w:p>
            <w:pPr>
              <w:autoSpaceDE w:val="0"/>
              <w:autoSpaceDN w:val="0"/>
              <w:jc w:val="left"/>
              <w:rPr>
                <w:rFonts w:ascii="宋体" w:hAnsi="宋体" w:cs="宋体"/>
                <w:szCs w:val="21"/>
              </w:rPr>
            </w:pPr>
            <w:r>
              <w:rPr>
                <w:rFonts w:hint="eastAsia" w:ascii="宋体" w:hAnsi="宋体" w:cs="宋体"/>
                <w:szCs w:val="21"/>
              </w:rPr>
              <w:t>3.根据气候状况和老年人居住条件，注意防寒保暖、防暑降温和浴室内通风，环境温度应调节到25℃至30℃之间；</w:t>
            </w:r>
            <w:r>
              <w:rPr>
                <w:rFonts w:hint="eastAsia" w:ascii="宋体" w:hAnsi="宋体" w:cs="宋体"/>
                <w:szCs w:val="21"/>
              </w:rPr>
              <w:br w:type="textWrapping"/>
            </w:r>
            <w:r>
              <w:rPr>
                <w:rFonts w:hint="eastAsia" w:ascii="宋体" w:hAnsi="宋体" w:cs="宋体"/>
                <w:szCs w:val="21"/>
              </w:rPr>
              <w:t>4.助浴过程中应注意观察老年人身体情况，如遇老年人身体不适，协助采取应急措施。</w:t>
            </w:r>
          </w:p>
        </w:tc>
        <w:tc>
          <w:tcPr>
            <w:tcW w:w="1540"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30-60分钟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11</w:t>
            </w:r>
          </w:p>
        </w:tc>
        <w:tc>
          <w:tcPr>
            <w:tcW w:w="1629"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身体清洁</w:t>
            </w:r>
          </w:p>
        </w:tc>
        <w:tc>
          <w:tcPr>
            <w:tcW w:w="3834" w:type="dxa"/>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协助卧床老年人进行卧位洗头及面部清洁，对不能自理老年人采用棉棒、棉球擦拭清洁口腔</w:t>
            </w:r>
          </w:p>
        </w:tc>
        <w:tc>
          <w:tcPr>
            <w:tcW w:w="1540"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20-30分钟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12</w:t>
            </w:r>
          </w:p>
        </w:tc>
        <w:tc>
          <w:tcPr>
            <w:tcW w:w="1629"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陪同外出</w:t>
            </w:r>
          </w:p>
        </w:tc>
        <w:tc>
          <w:tcPr>
            <w:tcW w:w="3834" w:type="dxa"/>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1.协助老年人在住宅小区及周边区域活动；</w:t>
            </w:r>
            <w:r>
              <w:rPr>
                <w:rFonts w:hint="eastAsia" w:ascii="宋体" w:hAnsi="宋体" w:cs="宋体"/>
                <w:kern w:val="0"/>
                <w:szCs w:val="21"/>
              </w:rPr>
              <w:br w:type="textWrapping"/>
            </w:r>
            <w:r>
              <w:rPr>
                <w:rFonts w:hint="eastAsia" w:ascii="宋体" w:hAnsi="宋体" w:cs="宋体"/>
                <w:kern w:val="0"/>
                <w:szCs w:val="21"/>
              </w:rPr>
              <w:t>2.帮助老年人正确使用助行器及其他辅助用具，并注意途中安全。</w:t>
            </w:r>
          </w:p>
        </w:tc>
        <w:tc>
          <w:tcPr>
            <w:tcW w:w="1540"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13</w:t>
            </w:r>
          </w:p>
        </w:tc>
        <w:tc>
          <w:tcPr>
            <w:tcW w:w="1629"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代办服务</w:t>
            </w:r>
          </w:p>
        </w:tc>
        <w:tc>
          <w:tcPr>
            <w:tcW w:w="3834" w:type="dxa"/>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1.代办各种手续、代缴各种费用等日常生活事务，及时办理；</w:t>
            </w:r>
            <w:r>
              <w:rPr>
                <w:rFonts w:hint="eastAsia" w:ascii="宋体" w:hAnsi="宋体" w:cs="宋体"/>
                <w:kern w:val="0"/>
                <w:szCs w:val="21"/>
              </w:rPr>
              <w:br w:type="textWrapping"/>
            </w:r>
            <w:r>
              <w:rPr>
                <w:rFonts w:hint="eastAsia" w:ascii="宋体" w:hAnsi="宋体" w:cs="宋体"/>
                <w:kern w:val="0"/>
                <w:szCs w:val="21"/>
              </w:rPr>
              <w:t>2.代办前后当面清点钱物、证件、单据等并妥善保管好。</w:t>
            </w:r>
          </w:p>
        </w:tc>
        <w:tc>
          <w:tcPr>
            <w:tcW w:w="1540"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14</w:t>
            </w:r>
          </w:p>
        </w:tc>
        <w:tc>
          <w:tcPr>
            <w:tcW w:w="1629"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陪同就医</w:t>
            </w:r>
          </w:p>
        </w:tc>
        <w:tc>
          <w:tcPr>
            <w:tcW w:w="3834" w:type="dxa"/>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1.陪同就医主要指常见病、慢性病复诊、辅助性检查、门诊注射、换药等（就诊单位为区级以上正规医疗机构）；</w:t>
            </w:r>
            <w:r>
              <w:rPr>
                <w:rFonts w:hint="eastAsia" w:ascii="宋体" w:hAnsi="宋体" w:cs="宋体"/>
                <w:kern w:val="0"/>
                <w:szCs w:val="21"/>
              </w:rPr>
              <w:br w:type="textWrapping"/>
            </w:r>
            <w:r>
              <w:rPr>
                <w:rFonts w:hint="eastAsia" w:ascii="宋体" w:hAnsi="宋体" w:cs="宋体"/>
                <w:kern w:val="0"/>
                <w:szCs w:val="21"/>
              </w:rPr>
              <w:t>2.注意老年人途中安全，并及时向老年人家属或监护人反馈就医情况；</w:t>
            </w:r>
            <w:r>
              <w:rPr>
                <w:rFonts w:hint="eastAsia" w:ascii="宋体" w:hAnsi="宋体" w:cs="宋体"/>
                <w:kern w:val="0"/>
                <w:szCs w:val="21"/>
              </w:rPr>
              <w:br w:type="textWrapping"/>
            </w:r>
            <w:r>
              <w:rPr>
                <w:rFonts w:hint="eastAsia" w:ascii="宋体" w:hAnsi="宋体" w:cs="宋体"/>
                <w:kern w:val="0"/>
                <w:szCs w:val="21"/>
              </w:rPr>
              <w:t>3.如需代为挂号、取药等服务，应做到当面清点钱款和药物。</w:t>
            </w:r>
          </w:p>
        </w:tc>
        <w:tc>
          <w:tcPr>
            <w:tcW w:w="1540"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15</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医生上门诊断</w:t>
            </w:r>
          </w:p>
        </w:tc>
        <w:tc>
          <w:tcPr>
            <w:tcW w:w="3834" w:type="dxa"/>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专业医生上门为老人进行诊断服务。</w:t>
            </w:r>
          </w:p>
        </w:tc>
        <w:tc>
          <w:tcPr>
            <w:tcW w:w="1540"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16</w:t>
            </w:r>
          </w:p>
        </w:tc>
        <w:tc>
          <w:tcPr>
            <w:tcW w:w="1629" w:type="dxa"/>
            <w:vAlign w:val="center"/>
          </w:tcPr>
          <w:p>
            <w:pPr>
              <w:autoSpaceDE w:val="0"/>
              <w:autoSpaceDN w:val="0"/>
              <w:jc w:val="center"/>
              <w:rPr>
                <w:rFonts w:ascii="宋体" w:hAnsi="宋体" w:cs="宋体"/>
                <w:szCs w:val="21"/>
              </w:rPr>
            </w:pPr>
            <w:r>
              <w:rPr>
                <w:rFonts w:hint="eastAsia" w:ascii="宋体" w:hAnsi="宋体" w:cs="宋体"/>
                <w:szCs w:val="21"/>
              </w:rPr>
              <w:t>心电图检测</w:t>
            </w:r>
          </w:p>
        </w:tc>
        <w:tc>
          <w:tcPr>
            <w:tcW w:w="3834" w:type="dxa"/>
            <w:vAlign w:val="center"/>
          </w:tcPr>
          <w:p>
            <w:pPr>
              <w:autoSpaceDE w:val="0"/>
              <w:autoSpaceDN w:val="0"/>
              <w:jc w:val="left"/>
              <w:rPr>
                <w:rFonts w:ascii="宋体" w:hAnsi="宋体" w:cs="宋体"/>
                <w:szCs w:val="21"/>
              </w:rPr>
            </w:pPr>
            <w:r>
              <w:rPr>
                <w:rFonts w:hint="eastAsia" w:ascii="宋体" w:hAnsi="宋体" w:cs="宋体"/>
                <w:szCs w:val="21"/>
              </w:rPr>
              <w:t>由护士上门为老人做心电图监测，由医生查看解释结果，并下达医嘱。</w:t>
            </w:r>
          </w:p>
        </w:tc>
        <w:tc>
          <w:tcPr>
            <w:tcW w:w="1540" w:type="dxa"/>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17</w:t>
            </w:r>
          </w:p>
        </w:tc>
        <w:tc>
          <w:tcPr>
            <w:tcW w:w="1629" w:type="dxa"/>
            <w:vAlign w:val="center"/>
          </w:tcPr>
          <w:p>
            <w:pPr>
              <w:widowControl/>
              <w:jc w:val="center"/>
              <w:rPr>
                <w:rFonts w:ascii="宋体" w:hAnsi="宋体" w:cs="宋体"/>
                <w:szCs w:val="21"/>
              </w:rPr>
            </w:pPr>
            <w:r>
              <w:rPr>
                <w:rFonts w:hint="eastAsia" w:ascii="宋体" w:hAnsi="宋体" w:cs="宋体"/>
                <w:kern w:val="0"/>
                <w:szCs w:val="21"/>
              </w:rPr>
              <w:t>协助就餐</w:t>
            </w:r>
          </w:p>
        </w:tc>
        <w:tc>
          <w:tcPr>
            <w:tcW w:w="3834" w:type="dxa"/>
            <w:vAlign w:val="center"/>
          </w:tcPr>
          <w:p>
            <w:pPr>
              <w:widowControl/>
              <w:rPr>
                <w:rFonts w:ascii="宋体" w:hAnsi="宋体" w:cs="宋体"/>
                <w:szCs w:val="21"/>
              </w:rPr>
            </w:pPr>
            <w:r>
              <w:rPr>
                <w:rFonts w:hint="eastAsia" w:ascii="宋体" w:hAnsi="宋体" w:cs="宋体"/>
                <w:kern w:val="0"/>
                <w:szCs w:val="21"/>
              </w:rPr>
              <w:t>经口喂食，按时喂饭、喂水、喂水果、喂药</w:t>
            </w:r>
          </w:p>
        </w:tc>
        <w:tc>
          <w:tcPr>
            <w:tcW w:w="1540" w:type="dxa"/>
            <w:vAlign w:val="center"/>
          </w:tcPr>
          <w:p>
            <w:pPr>
              <w:widowControl/>
              <w:jc w:val="center"/>
              <w:rPr>
                <w:rFonts w:ascii="宋体" w:hAnsi="宋体" w:cs="宋体"/>
                <w:szCs w:val="21"/>
              </w:rPr>
            </w:pPr>
            <w:r>
              <w:rPr>
                <w:rFonts w:hint="eastAsia" w:ascii="宋体" w:hAnsi="宋体" w:cs="宋体"/>
                <w:kern w:val="0"/>
                <w:szCs w:val="21"/>
              </w:rPr>
              <w:t>15-30分钟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18</w:t>
            </w:r>
          </w:p>
        </w:tc>
        <w:tc>
          <w:tcPr>
            <w:tcW w:w="1629" w:type="dxa"/>
            <w:vAlign w:val="center"/>
          </w:tcPr>
          <w:p>
            <w:pPr>
              <w:autoSpaceDE w:val="0"/>
              <w:autoSpaceDN w:val="0"/>
              <w:jc w:val="center"/>
              <w:rPr>
                <w:rFonts w:ascii="宋体" w:hAnsi="宋体" w:cs="宋体"/>
                <w:szCs w:val="21"/>
              </w:rPr>
            </w:pPr>
            <w:r>
              <w:rPr>
                <w:rFonts w:hint="eastAsia" w:ascii="宋体" w:hAnsi="宋体" w:cs="宋体"/>
                <w:szCs w:val="21"/>
              </w:rPr>
              <w:t>教授居家照护方法和技巧</w:t>
            </w:r>
          </w:p>
        </w:tc>
        <w:tc>
          <w:tcPr>
            <w:tcW w:w="3834" w:type="dxa"/>
            <w:vAlign w:val="center"/>
          </w:tcPr>
          <w:p>
            <w:pPr>
              <w:autoSpaceDE w:val="0"/>
              <w:autoSpaceDN w:val="0"/>
              <w:jc w:val="left"/>
              <w:rPr>
                <w:rFonts w:ascii="宋体" w:hAnsi="宋体" w:cs="宋体"/>
                <w:szCs w:val="21"/>
              </w:rPr>
            </w:pPr>
            <w:r>
              <w:rPr>
                <w:rFonts w:hint="eastAsia" w:ascii="宋体" w:hAnsi="宋体" w:cs="宋体"/>
                <w:szCs w:val="21"/>
              </w:rPr>
              <w:t>现场教授居家老人照护方法和技巧</w:t>
            </w:r>
          </w:p>
        </w:tc>
        <w:tc>
          <w:tcPr>
            <w:tcW w:w="1540" w:type="dxa"/>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19</w:t>
            </w:r>
          </w:p>
        </w:tc>
        <w:tc>
          <w:tcPr>
            <w:tcW w:w="1629" w:type="dxa"/>
            <w:vAlign w:val="center"/>
          </w:tcPr>
          <w:p>
            <w:pPr>
              <w:autoSpaceDE w:val="0"/>
              <w:autoSpaceDN w:val="0"/>
              <w:jc w:val="center"/>
              <w:rPr>
                <w:rFonts w:ascii="宋体" w:hAnsi="宋体" w:cs="宋体"/>
                <w:szCs w:val="21"/>
              </w:rPr>
            </w:pPr>
            <w:r>
              <w:rPr>
                <w:rFonts w:hint="eastAsia" w:ascii="宋体" w:hAnsi="宋体" w:cs="宋体"/>
                <w:szCs w:val="21"/>
              </w:rPr>
              <w:t>洗衣服务</w:t>
            </w:r>
          </w:p>
        </w:tc>
        <w:tc>
          <w:tcPr>
            <w:tcW w:w="3834" w:type="dxa"/>
            <w:vAlign w:val="center"/>
          </w:tcPr>
          <w:p>
            <w:pPr>
              <w:autoSpaceDE w:val="0"/>
              <w:autoSpaceDN w:val="0"/>
              <w:jc w:val="left"/>
              <w:rPr>
                <w:rFonts w:ascii="宋体" w:hAnsi="宋体" w:cs="宋体"/>
                <w:szCs w:val="21"/>
              </w:rPr>
            </w:pPr>
            <w:r>
              <w:rPr>
                <w:rFonts w:hint="eastAsia" w:ascii="宋体" w:hAnsi="宋体" w:cs="宋体"/>
                <w:szCs w:val="21"/>
              </w:rPr>
              <w:t>1.服务人员上门为老年人洗涤衣物；</w:t>
            </w:r>
            <w:r>
              <w:rPr>
                <w:rFonts w:hint="eastAsia" w:ascii="宋体" w:hAnsi="宋体" w:cs="宋体"/>
                <w:szCs w:val="21"/>
              </w:rPr>
              <w:br w:type="textWrapping"/>
            </w:r>
            <w:r>
              <w:rPr>
                <w:rFonts w:hint="eastAsia" w:ascii="宋体" w:hAnsi="宋体" w:cs="宋体"/>
                <w:szCs w:val="21"/>
              </w:rPr>
              <w:t>2.衣物应分类进行洗涤，并做到洗净、晾晒；</w:t>
            </w:r>
            <w:r>
              <w:rPr>
                <w:rFonts w:hint="eastAsia" w:ascii="宋体" w:hAnsi="宋体" w:cs="宋体"/>
                <w:szCs w:val="21"/>
              </w:rPr>
              <w:br w:type="textWrapping"/>
            </w:r>
            <w:r>
              <w:rPr>
                <w:rFonts w:hint="eastAsia" w:ascii="宋体" w:hAnsi="宋体" w:cs="宋体"/>
                <w:szCs w:val="21"/>
              </w:rPr>
              <w:t>3.洗涤前需检查被洗衣物的性状及是否遗留贵重物品并告知老年人或家属；</w:t>
            </w:r>
            <w:r>
              <w:rPr>
                <w:rFonts w:hint="eastAsia" w:ascii="宋体" w:hAnsi="宋体" w:cs="宋体"/>
                <w:szCs w:val="21"/>
              </w:rPr>
              <w:br w:type="textWrapping"/>
            </w:r>
            <w:r>
              <w:rPr>
                <w:rFonts w:hint="eastAsia" w:ascii="宋体" w:hAnsi="宋体" w:cs="宋体"/>
                <w:szCs w:val="21"/>
              </w:rPr>
              <w:t>4.贵重衣物不在本洗涤服务范围之内；</w:t>
            </w:r>
            <w:r>
              <w:rPr>
                <w:rFonts w:hint="eastAsia" w:ascii="宋体" w:hAnsi="宋体" w:cs="宋体"/>
                <w:szCs w:val="21"/>
              </w:rPr>
              <w:br w:type="textWrapping"/>
            </w:r>
            <w:r>
              <w:rPr>
                <w:rFonts w:hint="eastAsia" w:ascii="宋体" w:hAnsi="宋体" w:cs="宋体"/>
                <w:szCs w:val="21"/>
              </w:rPr>
              <w:t>5.水洗，可洗衣物、鞋、被褥（小件）、家居布料（小件）等</w:t>
            </w:r>
          </w:p>
        </w:tc>
        <w:tc>
          <w:tcPr>
            <w:tcW w:w="1540" w:type="dxa"/>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20</w:t>
            </w:r>
          </w:p>
        </w:tc>
        <w:tc>
          <w:tcPr>
            <w:tcW w:w="1629" w:type="dxa"/>
            <w:vAlign w:val="center"/>
          </w:tcPr>
          <w:p>
            <w:pPr>
              <w:widowControl/>
              <w:jc w:val="center"/>
              <w:rPr>
                <w:rFonts w:ascii="宋体" w:hAnsi="宋体" w:cs="宋体"/>
                <w:kern w:val="0"/>
                <w:szCs w:val="21"/>
              </w:rPr>
            </w:pPr>
            <w:r>
              <w:rPr>
                <w:rFonts w:hint="eastAsia" w:ascii="宋体" w:hAnsi="宋体" w:cs="宋体"/>
                <w:kern w:val="0"/>
                <w:szCs w:val="21"/>
              </w:rPr>
              <w:t>流食制作鼻饲</w:t>
            </w:r>
          </w:p>
        </w:tc>
        <w:tc>
          <w:tcPr>
            <w:tcW w:w="3834" w:type="dxa"/>
            <w:vAlign w:val="center"/>
          </w:tcPr>
          <w:p>
            <w:pPr>
              <w:widowControl/>
              <w:spacing w:line="400" w:lineRule="exact"/>
              <w:jc w:val="left"/>
              <w:rPr>
                <w:rFonts w:ascii="宋体" w:hAnsi="宋体" w:cs="宋体"/>
                <w:kern w:val="0"/>
                <w:szCs w:val="21"/>
              </w:rPr>
            </w:pPr>
            <w:r>
              <w:rPr>
                <w:rFonts w:hint="eastAsia" w:ascii="宋体" w:hAnsi="宋体" w:cs="宋体"/>
                <w:kern w:val="0"/>
                <w:szCs w:val="21"/>
              </w:rPr>
              <w:t>为老年人准备流食（包括操作前后工具清洗、消毒，老人家中需备有制作流食工具）以及鼻饲。</w:t>
            </w:r>
          </w:p>
        </w:tc>
        <w:tc>
          <w:tcPr>
            <w:tcW w:w="1540" w:type="dxa"/>
            <w:vAlign w:val="center"/>
          </w:tcPr>
          <w:p>
            <w:pPr>
              <w:widowControl/>
              <w:jc w:val="center"/>
              <w:rPr>
                <w:rFonts w:ascii="宋体" w:hAnsi="宋体" w:cs="宋体"/>
                <w:kern w:val="0"/>
                <w:szCs w:val="21"/>
              </w:rPr>
            </w:pPr>
            <w:r>
              <w:rPr>
                <w:rFonts w:hint="eastAsia" w:ascii="宋体" w:hAnsi="宋体" w:cs="宋体"/>
                <w:kern w:val="0"/>
                <w:szCs w:val="21"/>
              </w:rPr>
              <w:t>20-30分钟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21</w:t>
            </w:r>
          </w:p>
        </w:tc>
        <w:tc>
          <w:tcPr>
            <w:tcW w:w="1629" w:type="dxa"/>
            <w:vAlign w:val="center"/>
          </w:tcPr>
          <w:p>
            <w:pPr>
              <w:widowControl/>
              <w:jc w:val="center"/>
              <w:rPr>
                <w:rFonts w:ascii="宋体" w:hAnsi="宋体" w:cs="宋体"/>
                <w:kern w:val="0"/>
                <w:szCs w:val="21"/>
              </w:rPr>
            </w:pPr>
            <w:r>
              <w:rPr>
                <w:rFonts w:hint="eastAsia" w:ascii="宋体" w:hAnsi="宋体" w:cs="宋体"/>
                <w:kern w:val="0"/>
                <w:szCs w:val="21"/>
              </w:rPr>
              <w:t>失禁排泄护理</w:t>
            </w:r>
          </w:p>
        </w:tc>
        <w:tc>
          <w:tcPr>
            <w:tcW w:w="3834" w:type="dxa"/>
            <w:vAlign w:val="center"/>
          </w:tcPr>
          <w:p>
            <w:pPr>
              <w:widowControl/>
              <w:spacing w:line="400" w:lineRule="exact"/>
              <w:jc w:val="left"/>
              <w:rPr>
                <w:rFonts w:ascii="宋体" w:hAnsi="宋体" w:cs="宋体"/>
                <w:kern w:val="0"/>
                <w:szCs w:val="21"/>
              </w:rPr>
            </w:pPr>
            <w:r>
              <w:rPr>
                <w:rFonts w:hint="eastAsia" w:ascii="宋体" w:hAnsi="宋体" w:cs="宋体"/>
                <w:kern w:val="0"/>
                <w:szCs w:val="21"/>
              </w:rPr>
              <w:t>为大小便失禁的护理对象进行护理，保持局部皮肤的清洁，增加护理对象舒适；协助部分失能老人如厕等。</w:t>
            </w:r>
          </w:p>
        </w:tc>
        <w:tc>
          <w:tcPr>
            <w:tcW w:w="1540" w:type="dxa"/>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22</w:t>
            </w:r>
          </w:p>
        </w:tc>
        <w:tc>
          <w:tcPr>
            <w:tcW w:w="1629" w:type="dxa"/>
            <w:vAlign w:val="center"/>
          </w:tcPr>
          <w:p>
            <w:pPr>
              <w:widowControl/>
              <w:jc w:val="center"/>
              <w:rPr>
                <w:rFonts w:ascii="宋体" w:hAnsi="宋体" w:cs="宋体"/>
                <w:kern w:val="0"/>
                <w:szCs w:val="21"/>
              </w:rPr>
            </w:pPr>
            <w:r>
              <w:rPr>
                <w:rFonts w:hint="eastAsia" w:ascii="宋体" w:hAnsi="宋体" w:cs="宋体"/>
                <w:kern w:val="0"/>
                <w:szCs w:val="21"/>
              </w:rPr>
              <w:t>褥疮压疮护理</w:t>
            </w:r>
          </w:p>
        </w:tc>
        <w:tc>
          <w:tcPr>
            <w:tcW w:w="3834" w:type="dxa"/>
            <w:vAlign w:val="center"/>
          </w:tcPr>
          <w:p>
            <w:pPr>
              <w:widowControl/>
              <w:spacing w:line="400" w:lineRule="exact"/>
              <w:jc w:val="left"/>
              <w:rPr>
                <w:rFonts w:ascii="宋体" w:hAnsi="宋体" w:cs="宋体"/>
                <w:kern w:val="0"/>
                <w:szCs w:val="21"/>
              </w:rPr>
            </w:pPr>
            <w:r>
              <w:rPr>
                <w:rFonts w:hint="eastAsia" w:ascii="宋体" w:hAnsi="宋体" w:cs="宋体"/>
                <w:kern w:val="0"/>
                <w:szCs w:val="21"/>
              </w:rPr>
              <w:t>对易发生压疮的护理对象采取定时翻身、气垫减压等方法预防压疮的发生。为护理对象提供心理支持及压疮护理指导。</w:t>
            </w:r>
          </w:p>
        </w:tc>
        <w:tc>
          <w:tcPr>
            <w:tcW w:w="1540" w:type="dxa"/>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23</w:t>
            </w:r>
          </w:p>
        </w:tc>
        <w:tc>
          <w:tcPr>
            <w:tcW w:w="1629" w:type="dxa"/>
            <w:vAlign w:val="center"/>
          </w:tcPr>
          <w:p>
            <w:pPr>
              <w:autoSpaceDE w:val="0"/>
              <w:autoSpaceDN w:val="0"/>
              <w:jc w:val="center"/>
              <w:rPr>
                <w:rFonts w:ascii="宋体" w:hAnsi="宋体" w:cs="宋体"/>
                <w:szCs w:val="21"/>
              </w:rPr>
            </w:pPr>
            <w:r>
              <w:rPr>
                <w:rFonts w:hint="eastAsia" w:ascii="宋体" w:hAnsi="宋体" w:cs="宋体"/>
                <w:szCs w:val="21"/>
              </w:rPr>
              <w:t>褥疮处理服务</w:t>
            </w:r>
          </w:p>
        </w:tc>
        <w:tc>
          <w:tcPr>
            <w:tcW w:w="3834" w:type="dxa"/>
            <w:vAlign w:val="center"/>
          </w:tcPr>
          <w:p>
            <w:pPr>
              <w:autoSpaceDE w:val="0"/>
              <w:autoSpaceDN w:val="0"/>
              <w:jc w:val="left"/>
              <w:rPr>
                <w:rFonts w:ascii="宋体" w:hAnsi="宋体" w:cs="宋体"/>
                <w:szCs w:val="21"/>
              </w:rPr>
            </w:pPr>
            <w:r>
              <w:rPr>
                <w:rFonts w:hint="eastAsia" w:ascii="宋体" w:hAnsi="宋体" w:cs="宋体"/>
                <w:szCs w:val="21"/>
              </w:rPr>
              <w:t>专业护士上门为老人处理褥疮，医疗耗材含内。如需用药，需服务对象自行购买。</w:t>
            </w:r>
          </w:p>
        </w:tc>
        <w:tc>
          <w:tcPr>
            <w:tcW w:w="1540" w:type="dxa"/>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24</w:t>
            </w:r>
          </w:p>
        </w:tc>
        <w:tc>
          <w:tcPr>
            <w:tcW w:w="1629" w:type="dxa"/>
            <w:vAlign w:val="center"/>
          </w:tcPr>
          <w:p>
            <w:pPr>
              <w:widowControl/>
              <w:jc w:val="center"/>
              <w:rPr>
                <w:rFonts w:ascii="宋体" w:hAnsi="宋体" w:cs="宋体"/>
                <w:kern w:val="0"/>
                <w:szCs w:val="21"/>
              </w:rPr>
            </w:pPr>
            <w:r>
              <w:rPr>
                <w:rFonts w:hint="eastAsia" w:ascii="宋体" w:hAnsi="宋体" w:cs="宋体"/>
                <w:kern w:val="0"/>
                <w:szCs w:val="21"/>
              </w:rPr>
              <w:t>会阴护理</w:t>
            </w:r>
          </w:p>
        </w:tc>
        <w:tc>
          <w:tcPr>
            <w:tcW w:w="3834" w:type="dxa"/>
            <w:vAlign w:val="center"/>
          </w:tcPr>
          <w:p>
            <w:pPr>
              <w:widowControl/>
              <w:spacing w:line="400" w:lineRule="exact"/>
              <w:jc w:val="left"/>
              <w:rPr>
                <w:rFonts w:ascii="宋体" w:hAnsi="宋体" w:cs="宋体"/>
                <w:kern w:val="0"/>
                <w:szCs w:val="21"/>
              </w:rPr>
            </w:pPr>
            <w:r>
              <w:rPr>
                <w:rFonts w:hint="eastAsia" w:ascii="宋体" w:hAnsi="宋体" w:cs="宋体"/>
                <w:kern w:val="0"/>
                <w:szCs w:val="21"/>
              </w:rPr>
              <w:t>根据会阴部有无伤口、有无大小便失禁和留置尿管等，鼓励并协助护理对象完成会阴部的擦洗或冲洗。</w:t>
            </w:r>
          </w:p>
        </w:tc>
        <w:tc>
          <w:tcPr>
            <w:tcW w:w="1540" w:type="dxa"/>
            <w:vAlign w:val="center"/>
          </w:tcPr>
          <w:p>
            <w:pPr>
              <w:widowControl/>
              <w:jc w:val="center"/>
              <w:rPr>
                <w:rFonts w:ascii="宋体" w:hAnsi="宋体" w:cs="宋体"/>
                <w:kern w:val="0"/>
                <w:szCs w:val="21"/>
              </w:rPr>
            </w:pPr>
            <w:r>
              <w:rPr>
                <w:rFonts w:hint="eastAsia" w:ascii="宋体" w:hAnsi="宋体" w:cs="宋体"/>
                <w:kern w:val="0"/>
                <w:szCs w:val="21"/>
              </w:rPr>
              <w:t>10-20分钟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25</w:t>
            </w:r>
          </w:p>
        </w:tc>
        <w:tc>
          <w:tcPr>
            <w:tcW w:w="1629" w:type="dxa"/>
            <w:vAlign w:val="center"/>
          </w:tcPr>
          <w:p>
            <w:pPr>
              <w:widowControl/>
              <w:jc w:val="center"/>
              <w:rPr>
                <w:rFonts w:ascii="宋体" w:hAnsi="宋体" w:cs="宋体"/>
                <w:kern w:val="0"/>
                <w:szCs w:val="21"/>
              </w:rPr>
            </w:pPr>
            <w:r>
              <w:rPr>
                <w:rFonts w:hint="eastAsia" w:ascii="宋体" w:hAnsi="宋体" w:cs="宋体"/>
                <w:kern w:val="0"/>
                <w:szCs w:val="21"/>
              </w:rPr>
              <w:t>皮肤外用药涂擦</w:t>
            </w:r>
          </w:p>
        </w:tc>
        <w:tc>
          <w:tcPr>
            <w:tcW w:w="3834" w:type="dxa"/>
            <w:vAlign w:val="center"/>
          </w:tcPr>
          <w:p>
            <w:pPr>
              <w:widowControl/>
              <w:spacing w:line="400" w:lineRule="exact"/>
              <w:jc w:val="left"/>
              <w:rPr>
                <w:rFonts w:ascii="宋体" w:hAnsi="宋体" w:cs="宋体"/>
                <w:kern w:val="0"/>
                <w:szCs w:val="21"/>
              </w:rPr>
            </w:pPr>
            <w:r>
              <w:rPr>
                <w:rFonts w:hint="eastAsia" w:ascii="宋体" w:hAnsi="宋体" w:cs="宋体"/>
                <w:kern w:val="0"/>
                <w:szCs w:val="21"/>
              </w:rPr>
              <w:t>遵医嘱用棉签等蘸取药液直接涂抹护理对象在皮肤上进行治疗。</w:t>
            </w:r>
          </w:p>
        </w:tc>
        <w:tc>
          <w:tcPr>
            <w:tcW w:w="1540" w:type="dxa"/>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1789" w:type="dxa"/>
            <w:vAlign w:val="center"/>
          </w:tcPr>
          <w:p>
            <w:pPr>
              <w:autoSpaceDE w:val="0"/>
              <w:autoSpaceDN w:val="0"/>
              <w:jc w:val="center"/>
              <w:rPr>
                <w:rFonts w:ascii="宋体" w:hAnsi="宋体" w:cs="宋体"/>
                <w:szCs w:val="21"/>
              </w:rPr>
            </w:pPr>
          </w:p>
        </w:tc>
      </w:tr>
    </w:tbl>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beforeLines="50" w:afterLines="50" w:line="480" w:lineRule="auto"/>
        <w:jc w:val="right"/>
        <w:rPr>
          <w:rFonts w:ascii="宋体" w:hAnsi="宋体"/>
          <w:sz w:val="24"/>
          <w:szCs w:val="24"/>
        </w:rPr>
      </w:pPr>
      <w:r>
        <w:rPr>
          <w:rFonts w:hint="eastAsia" w:ascii="宋体" w:hAnsi="宋体"/>
          <w:sz w:val="24"/>
          <w:szCs w:val="24"/>
        </w:rPr>
        <w:t>供应商名称（全称并加盖公章）：</w:t>
      </w:r>
    </w:p>
    <w:p>
      <w:pPr>
        <w:spacing w:beforeLines="50" w:afterLines="50" w:line="480" w:lineRule="auto"/>
        <w:jc w:val="right"/>
        <w:rPr>
          <w:rFonts w:ascii="宋体" w:hAnsi="宋体"/>
          <w:sz w:val="24"/>
          <w:szCs w:val="24"/>
        </w:rPr>
      </w:pPr>
      <w:r>
        <w:rPr>
          <w:rFonts w:hint="eastAsia" w:ascii="宋体" w:hAnsi="宋体"/>
          <w:sz w:val="24"/>
          <w:szCs w:val="24"/>
        </w:rPr>
        <w:t xml:space="preserve"> 法定代表人或其委托代理人（签名或盖章）：</w:t>
      </w:r>
    </w:p>
    <w:p>
      <w:pPr>
        <w:spacing w:beforeLines="50" w:afterLines="50" w:line="480" w:lineRule="auto"/>
        <w:jc w:val="right"/>
        <w:rPr>
          <w:rFonts w:ascii="宋体" w:hAnsi="宋体"/>
          <w:szCs w:val="21"/>
        </w:rPr>
      </w:pPr>
      <w:r>
        <w:rPr>
          <w:rFonts w:hint="eastAsia" w:ascii="宋体" w:hAnsi="宋体"/>
          <w:sz w:val="24"/>
          <w:szCs w:val="24"/>
        </w:rPr>
        <w:t xml:space="preserve">                                               年   月   日</w:t>
      </w:r>
      <w:r>
        <w:rPr>
          <w:rFonts w:hint="eastAsia" w:ascii="宋体" w:hAnsi="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 xml:space="preserve">                   </w:t>
      </w:r>
    </w:p>
    <w:p>
      <w:pPr>
        <w:spacing w:line="360" w:lineRule="auto"/>
        <w:ind w:firstLine="420" w:firstLineChars="200"/>
        <w:rPr>
          <w:rFonts w:ascii="宋体" w:hAnsi="宋体" w:cs="宋体"/>
          <w:szCs w:val="21"/>
        </w:rPr>
      </w:pPr>
    </w:p>
    <w:p>
      <w:pPr>
        <w:pStyle w:val="38"/>
        <w:rPr>
          <w:rFonts w:ascii="宋体" w:hAnsi="宋体" w:cs="宋体"/>
          <w:szCs w:val="21"/>
        </w:rPr>
      </w:pPr>
    </w:p>
    <w:p>
      <w:pPr>
        <w:rPr>
          <w:rFonts w:ascii="宋体" w:hAnsi="宋体" w:cs="宋体"/>
          <w:szCs w:val="21"/>
        </w:rPr>
      </w:pPr>
    </w:p>
    <w:p>
      <w:pPr>
        <w:pStyle w:val="38"/>
        <w:rPr>
          <w:rFonts w:ascii="宋体" w:hAnsi="宋体" w:cs="宋体"/>
          <w:szCs w:val="21"/>
        </w:rPr>
      </w:pPr>
    </w:p>
    <w:p>
      <w:pPr>
        <w:rPr>
          <w:rFonts w:ascii="宋体" w:hAnsi="宋体" w:cs="宋体"/>
          <w:szCs w:val="21"/>
        </w:rPr>
      </w:pPr>
    </w:p>
    <w:p>
      <w:pPr>
        <w:pStyle w:val="38"/>
      </w:pPr>
    </w:p>
    <w:p>
      <w:pPr>
        <w:spacing w:line="360" w:lineRule="auto"/>
        <w:ind w:firstLine="420" w:firstLineChars="200"/>
        <w:rPr>
          <w:rFonts w:hint="eastAsia" w:ascii="宋体" w:hAnsi="宋体" w:cs="宋体"/>
          <w:szCs w:val="21"/>
        </w:rPr>
      </w:pPr>
    </w:p>
    <w:p>
      <w:pPr>
        <w:pStyle w:val="38"/>
      </w:pPr>
    </w:p>
    <w:p>
      <w:pPr>
        <w:spacing w:line="360" w:lineRule="auto"/>
        <w:ind w:firstLine="420" w:firstLineChars="200"/>
        <w:rPr>
          <w:rFonts w:ascii="宋体" w:hAnsi="宋体" w:cs="宋体"/>
          <w:szCs w:val="21"/>
        </w:rPr>
      </w:pPr>
      <w:r>
        <w:rPr>
          <w:rFonts w:hint="eastAsia" w:ascii="宋体" w:hAnsi="宋体" w:cs="宋体"/>
          <w:szCs w:val="21"/>
        </w:rPr>
        <w:t xml:space="preserve">    </w:t>
      </w:r>
    </w:p>
    <w:p>
      <w:pPr>
        <w:pStyle w:val="4"/>
        <w:numPr>
          <w:ilvl w:val="0"/>
          <w:numId w:val="8"/>
        </w:numPr>
        <w:spacing w:line="360" w:lineRule="auto"/>
        <w:rPr>
          <w:rFonts w:ascii="宋体" w:hAnsi="宋体" w:cs="宋体"/>
          <w:sz w:val="32"/>
          <w:szCs w:val="32"/>
        </w:rPr>
      </w:pPr>
      <w:bookmarkStart w:id="129" w:name="_Toc5819"/>
      <w:bookmarkStart w:id="130" w:name="_Toc17062"/>
      <w:bookmarkStart w:id="131" w:name="_Toc15225"/>
      <w:r>
        <w:rPr>
          <w:rFonts w:hint="eastAsia" w:ascii="宋体" w:hAnsi="宋体" w:cs="宋体"/>
          <w:sz w:val="32"/>
          <w:szCs w:val="32"/>
        </w:rPr>
        <w:t>响应服务要求的承诺</w:t>
      </w:r>
      <w:bookmarkEnd w:id="129"/>
      <w:bookmarkEnd w:id="130"/>
    </w:p>
    <w:bookmarkEnd w:id="131"/>
    <w:p>
      <w:pPr>
        <w:adjustRightInd w:val="0"/>
        <w:spacing w:line="400" w:lineRule="exact"/>
        <w:ind w:firstLine="480" w:firstLineChars="200"/>
        <w:jc w:val="left"/>
        <w:textAlignment w:val="baseline"/>
        <w:rPr>
          <w:rFonts w:ascii="宋体" w:hAnsi="宋体" w:cs="宋体"/>
          <w:sz w:val="24"/>
          <w:szCs w:val="24"/>
        </w:rPr>
      </w:pPr>
      <w:r>
        <w:rPr>
          <w:rFonts w:hint="eastAsia" w:ascii="宋体" w:hAnsi="宋体" w:cs="宋体"/>
          <w:sz w:val="24"/>
          <w:szCs w:val="24"/>
        </w:rPr>
        <w:t>致（采购人及采购代理机构）：</w:t>
      </w:r>
    </w:p>
    <w:p>
      <w:pPr>
        <w:adjustRightInd w:val="0"/>
        <w:spacing w:line="400" w:lineRule="exact"/>
        <w:ind w:firstLine="480" w:firstLineChars="200"/>
        <w:jc w:val="left"/>
        <w:textAlignment w:val="baseline"/>
        <w:rPr>
          <w:rFonts w:ascii="宋体" w:hAnsi="宋体" w:cs="宋体"/>
          <w:sz w:val="24"/>
          <w:szCs w:val="24"/>
        </w:rPr>
      </w:pPr>
    </w:p>
    <w:p>
      <w:pPr>
        <w:widowControl/>
        <w:adjustRightInd w:val="0"/>
        <w:spacing w:line="360" w:lineRule="auto"/>
        <w:rPr>
          <w:rFonts w:ascii="宋体" w:hAnsi="宋体" w:cs="宋体"/>
          <w:color w:val="000000"/>
          <w:szCs w:val="21"/>
        </w:rPr>
      </w:pPr>
      <w:r>
        <w:rPr>
          <w:rFonts w:hint="eastAsia" w:ascii="宋体" w:hAnsi="宋体" w:cs="宋体"/>
          <w:sz w:val="24"/>
          <w:szCs w:val="24"/>
        </w:rPr>
        <w:t xml:space="preserve">    本公司（或单位）响应“武陟县民政局居家社区养老服务体系建设项目”磋商文件第五章采购需求中第三条的</w:t>
      </w:r>
      <w:r>
        <w:rPr>
          <w:rFonts w:hint="eastAsia"/>
          <w:sz w:val="24"/>
          <w:szCs w:val="24"/>
        </w:rPr>
        <w:t>服务内容及要求，特此承诺</w:t>
      </w:r>
      <w:r>
        <w:rPr>
          <w:rFonts w:hint="eastAsia" w:ascii="宋体" w:hAnsi="宋体" w:cs="宋体"/>
          <w:sz w:val="24"/>
          <w:szCs w:val="24"/>
        </w:rPr>
        <w:t>。</w:t>
      </w:r>
    </w:p>
    <w:p>
      <w:pPr>
        <w:rPr>
          <w:rFonts w:ascii="宋体" w:hAnsi="宋体" w:cs="宋体"/>
          <w:color w:val="000000"/>
          <w:szCs w:val="21"/>
        </w:rPr>
      </w:pPr>
    </w:p>
    <w:p>
      <w:pPr>
        <w:adjustRightInd w:val="0"/>
        <w:snapToGrid w:val="0"/>
        <w:ind w:right="210" w:rightChars="100" w:firstLine="210" w:firstLineChars="100"/>
        <w:rPr>
          <w:rFonts w:ascii="宋体" w:hAnsi="宋体" w:cs="宋体"/>
        </w:rPr>
      </w:pPr>
    </w:p>
    <w:p>
      <w:pPr>
        <w:spacing w:line="360" w:lineRule="auto"/>
        <w:rPr>
          <w:rFonts w:ascii="宋体" w:hAnsi="宋体" w:cs="宋体"/>
          <w:sz w:val="24"/>
        </w:rPr>
      </w:pPr>
      <w:r>
        <w:rPr>
          <w:rFonts w:hint="eastAsia" w:ascii="宋体" w:hAnsi="宋体" w:cs="宋体"/>
          <w:sz w:val="24"/>
        </w:rPr>
        <w:t xml:space="preserve">                                供应商名称（全称并加盖公章）：</w:t>
      </w:r>
    </w:p>
    <w:p>
      <w:pPr>
        <w:spacing w:line="360" w:lineRule="auto"/>
        <w:rPr>
          <w:rFonts w:ascii="宋体" w:hAnsi="宋体" w:cs="宋体"/>
          <w:sz w:val="24"/>
        </w:rPr>
      </w:pPr>
      <w:r>
        <w:rPr>
          <w:rFonts w:hint="eastAsia" w:ascii="宋体" w:hAnsi="宋体" w:cs="宋体"/>
          <w:sz w:val="24"/>
        </w:rPr>
        <w:t xml:space="preserve">                                法定代表人或其委托代理人（签名或盖章）：</w:t>
      </w:r>
    </w:p>
    <w:p>
      <w:pPr>
        <w:spacing w:line="360" w:lineRule="auto"/>
        <w:ind w:firstLine="420" w:firstLineChars="200"/>
        <w:rPr>
          <w:rFonts w:ascii="宋体" w:hAnsi="宋体" w:cs="宋体"/>
          <w:szCs w:val="21"/>
        </w:rPr>
      </w:pP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 xml:space="preserve">   </w:t>
      </w:r>
    </w:p>
    <w:p>
      <w:pPr>
        <w:adjustRightInd w:val="0"/>
        <w:snapToGrid w:val="0"/>
        <w:ind w:right="210" w:rightChars="100" w:firstLine="6720" w:firstLineChars="3200"/>
        <w:rPr>
          <w:rFonts w:ascii="宋体" w:hAnsi="宋体" w:cs="宋体"/>
        </w:rPr>
      </w:pPr>
      <w:r>
        <w:rPr>
          <w:rFonts w:hint="eastAsia" w:ascii="宋体" w:hAnsi="宋体" w:cs="宋体"/>
          <w:szCs w:val="21"/>
        </w:rPr>
        <w:t xml:space="preserve"> 年  月  日</w:t>
      </w:r>
    </w:p>
    <w:p>
      <w:pPr>
        <w:adjustRightInd w:val="0"/>
        <w:snapToGrid w:val="0"/>
        <w:ind w:right="210" w:rightChars="100" w:firstLine="210" w:firstLineChars="100"/>
        <w:rPr>
          <w:rFonts w:ascii="宋体" w:hAnsi="宋体" w:cs="宋体"/>
        </w:rPr>
      </w:pPr>
    </w:p>
    <w:p>
      <w:pPr>
        <w:adjustRightInd w:val="0"/>
        <w:snapToGrid w:val="0"/>
        <w:ind w:right="210" w:rightChars="100" w:firstLine="210" w:firstLineChars="100"/>
        <w:rPr>
          <w:rFonts w:ascii="宋体" w:hAnsi="宋体" w:cs="宋体"/>
        </w:rPr>
      </w:pPr>
      <w:r>
        <w:rPr>
          <w:rFonts w:hint="eastAsia" w:ascii="宋体" w:hAnsi="宋体" w:cs="宋体"/>
        </w:rPr>
        <w:t xml:space="preserve">                                        </w:t>
      </w:r>
    </w:p>
    <w:p>
      <w:pPr>
        <w:ind w:firstLine="735" w:firstLineChars="350"/>
        <w:jc w:val="left"/>
        <w:rPr>
          <w:rFonts w:ascii="宋体" w:hAnsi="宋体" w:cs="宋体"/>
        </w:rPr>
      </w:pPr>
      <w:r>
        <w:rPr>
          <w:rFonts w:hint="eastAsia" w:ascii="宋体" w:hAnsi="宋体" w:cs="宋体"/>
        </w:rPr>
        <w:t xml:space="preserve">                                       </w:t>
      </w:r>
    </w:p>
    <w:p>
      <w:pPr>
        <w:jc w:val="left"/>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pStyle w:val="38"/>
        <w:rPr>
          <w:rFonts w:ascii="宋体" w:hAnsi="宋体" w:cs="宋体"/>
        </w:rPr>
      </w:pPr>
    </w:p>
    <w:p/>
    <w:p>
      <w:pPr>
        <w:pStyle w:val="4"/>
        <w:numPr>
          <w:ilvl w:val="0"/>
          <w:numId w:val="8"/>
        </w:numPr>
        <w:spacing w:line="360" w:lineRule="auto"/>
        <w:rPr>
          <w:rFonts w:ascii="宋体" w:hAnsi="宋体" w:cs="宋体"/>
          <w:sz w:val="32"/>
          <w:szCs w:val="32"/>
        </w:rPr>
      </w:pPr>
      <w:bookmarkStart w:id="132" w:name="_Toc22224"/>
      <w:bookmarkStart w:id="133" w:name="_Toc24554"/>
      <w:bookmarkStart w:id="134" w:name="_Toc31901"/>
      <w:r>
        <w:rPr>
          <w:rFonts w:hint="eastAsia" w:ascii="宋体" w:hAnsi="宋体" w:cs="宋体"/>
          <w:sz w:val="32"/>
          <w:szCs w:val="32"/>
        </w:rPr>
        <w:t>商务响应表</w:t>
      </w:r>
      <w:bookmarkEnd w:id="132"/>
      <w:bookmarkEnd w:id="133"/>
      <w:bookmarkEnd w:id="134"/>
    </w:p>
    <w:p>
      <w:pPr>
        <w:spacing w:line="360" w:lineRule="auto"/>
        <w:ind w:firstLine="420" w:firstLineChars="200"/>
        <w:rPr>
          <w:rFonts w:ascii="宋体" w:hAnsi="宋体" w:cs="宋体"/>
          <w:szCs w:val="21"/>
        </w:rPr>
      </w:pPr>
      <w:r>
        <w:rPr>
          <w:rFonts w:hint="eastAsia" w:ascii="宋体" w:hAnsi="宋体" w:cs="宋体"/>
          <w:szCs w:val="21"/>
        </w:rPr>
        <w:t>项目名称：                                        项目编号：</w:t>
      </w:r>
    </w:p>
    <w:tbl>
      <w:tblPr>
        <w:tblStyle w:val="39"/>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szCs w:val="21"/>
              </w:rPr>
            </w:pPr>
            <w:r>
              <w:rPr>
                <w:rFonts w:hint="eastAsia" w:ascii="宋体" w:hAnsi="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szCs w:val="21"/>
              </w:rPr>
            </w:pPr>
            <w:r>
              <w:rPr>
                <w:rFonts w:hint="eastAsia" w:ascii="宋体" w:hAnsi="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szCs w:val="21"/>
              </w:rPr>
            </w:pPr>
            <w:r>
              <w:rPr>
                <w:rFonts w:hint="eastAsia" w:ascii="宋体" w:hAnsi="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szCs w:val="21"/>
              </w:rPr>
            </w:pPr>
            <w:r>
              <w:rPr>
                <w:rFonts w:hint="eastAsia" w:ascii="宋体" w:hAnsi="宋体" w:cs="宋体"/>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szCs w:val="21"/>
              </w:rPr>
            </w:pPr>
          </w:p>
        </w:tc>
        <w:tc>
          <w:tcPr>
            <w:tcW w:w="270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126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302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szCs w:val="21"/>
              </w:rPr>
            </w:pPr>
            <w:r>
              <w:rPr>
                <w:rFonts w:hint="eastAsia" w:ascii="宋体" w:hAnsi="宋体" w:cs="宋体"/>
                <w:szCs w:val="21"/>
              </w:rPr>
              <w:t>…</w:t>
            </w: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szCs w:val="21"/>
              </w:rPr>
            </w:pPr>
          </w:p>
        </w:tc>
      </w:tr>
    </w:tbl>
    <w:p>
      <w:pPr>
        <w:rPr>
          <w:rFonts w:ascii="宋体" w:hAnsi="宋体" w:cs="宋体"/>
          <w:color w:val="000000"/>
          <w:szCs w:val="21"/>
        </w:rPr>
      </w:pPr>
      <w:r>
        <w:rPr>
          <w:rFonts w:hint="eastAsia" w:ascii="宋体" w:hAnsi="宋体" w:cs="宋体"/>
          <w:color w:val="000000"/>
          <w:szCs w:val="21"/>
        </w:rPr>
        <w:t>注：1.</w:t>
      </w:r>
      <w:r>
        <w:rPr>
          <w:rFonts w:hint="eastAsia" w:ascii="宋体" w:hAnsi="宋体" w:cs="宋体"/>
          <w:szCs w:val="21"/>
        </w:rPr>
        <w:t>供应商</w:t>
      </w:r>
      <w:r>
        <w:rPr>
          <w:rFonts w:hint="eastAsia" w:ascii="宋体" w:hAnsi="宋体" w:cs="宋体"/>
          <w:color w:val="000000"/>
          <w:szCs w:val="21"/>
        </w:rPr>
        <w:t>可根据实际情况自行添加表格内容；</w:t>
      </w:r>
    </w:p>
    <w:p>
      <w:pPr>
        <w:ind w:firstLine="420" w:firstLineChars="200"/>
        <w:rPr>
          <w:rFonts w:ascii="宋体" w:hAnsi="宋体" w:cs="宋体"/>
          <w:color w:val="000000"/>
          <w:szCs w:val="21"/>
        </w:rPr>
      </w:pPr>
      <w:r>
        <w:rPr>
          <w:rFonts w:hint="eastAsia" w:ascii="宋体" w:hAnsi="宋体" w:cs="宋体"/>
          <w:szCs w:val="21"/>
        </w:rPr>
        <w:t>2.供应商</w:t>
      </w:r>
      <w:r>
        <w:rPr>
          <w:rFonts w:hint="eastAsia" w:ascii="宋体" w:hAnsi="宋体" w:cs="宋体"/>
          <w:color w:val="000000"/>
          <w:szCs w:val="21"/>
        </w:rPr>
        <w:t>必须完全响应并按上表逐条填写竞争性磋商文件商务要求，否则按无效文件处理。</w:t>
      </w:r>
    </w:p>
    <w:p>
      <w:pPr>
        <w:ind w:firstLine="420" w:firstLineChars="200"/>
        <w:rPr>
          <w:rFonts w:ascii="宋体" w:hAnsi="宋体" w:cs="宋体"/>
          <w:color w:val="000000"/>
          <w:szCs w:val="21"/>
        </w:rPr>
      </w:pPr>
      <w:r>
        <w:rPr>
          <w:rFonts w:hint="eastAsia" w:ascii="宋体" w:hAnsi="宋体" w:cs="宋体"/>
          <w:color w:val="000000"/>
          <w:szCs w:val="21"/>
        </w:rPr>
        <w:t>3.商务要求包括：磋商文件</w:t>
      </w:r>
      <w:r>
        <w:rPr>
          <w:rFonts w:hint="eastAsia" w:ascii="宋体" w:hAnsi="宋体" w:cs="宋体"/>
          <w:b/>
          <w:bCs/>
          <w:szCs w:val="21"/>
        </w:rPr>
        <w:t>第五章中的“商务要求”中</w:t>
      </w:r>
      <w:r>
        <w:rPr>
          <w:rFonts w:hint="eastAsia" w:ascii="宋体" w:hAnsi="宋体" w:cs="宋体"/>
          <w:szCs w:val="21"/>
        </w:rPr>
        <w:t>的</w:t>
      </w:r>
      <w:r>
        <w:rPr>
          <w:rFonts w:hint="eastAsia" w:ascii="宋体" w:hAnsi="宋体" w:cs="宋体"/>
          <w:color w:val="000000"/>
          <w:szCs w:val="21"/>
        </w:rPr>
        <w:t>内容。</w:t>
      </w:r>
    </w:p>
    <w:p>
      <w:pPr>
        <w:spacing w:line="360" w:lineRule="auto"/>
        <w:rPr>
          <w:rFonts w:ascii="宋体" w:hAnsi="宋体" w:cs="宋体"/>
          <w:color w:val="000000"/>
          <w:szCs w:val="21"/>
        </w:rPr>
      </w:pPr>
    </w:p>
    <w:p>
      <w:pPr>
        <w:spacing w:line="360" w:lineRule="auto"/>
        <w:rPr>
          <w:rFonts w:ascii="宋体" w:hAnsi="宋体" w:cs="宋体"/>
          <w:sz w:val="24"/>
        </w:rPr>
      </w:pPr>
      <w:r>
        <w:rPr>
          <w:rFonts w:hint="eastAsia" w:ascii="宋体" w:hAnsi="宋体" w:cs="宋体"/>
          <w:sz w:val="24"/>
        </w:rPr>
        <w:t xml:space="preserve">                                供应商名称（全称并加盖公章）：</w:t>
      </w:r>
    </w:p>
    <w:p>
      <w:pPr>
        <w:spacing w:line="360" w:lineRule="auto"/>
        <w:rPr>
          <w:rFonts w:ascii="宋体" w:hAnsi="宋体" w:cs="宋体"/>
          <w:sz w:val="24"/>
        </w:rPr>
      </w:pPr>
      <w:r>
        <w:rPr>
          <w:rFonts w:hint="eastAsia" w:ascii="宋体" w:hAnsi="宋体" w:cs="宋体"/>
          <w:sz w:val="24"/>
        </w:rPr>
        <w:t xml:space="preserve">                                法定代表人或其委托代理人（签名或盖章）：</w:t>
      </w:r>
    </w:p>
    <w:p>
      <w:pPr>
        <w:spacing w:line="360" w:lineRule="auto"/>
        <w:ind w:firstLine="420" w:firstLineChars="200"/>
        <w:rPr>
          <w:rFonts w:ascii="宋体" w:hAnsi="宋体" w:cs="宋体"/>
          <w:szCs w:val="21"/>
        </w:rPr>
      </w:pP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 xml:space="preserve">   </w:t>
      </w:r>
    </w:p>
    <w:p>
      <w:pPr>
        <w:pStyle w:val="38"/>
        <w:rPr>
          <w:rFonts w:ascii="宋体" w:hAnsi="宋体" w:cs="宋体"/>
          <w:szCs w:val="21"/>
        </w:rPr>
      </w:pPr>
    </w:p>
    <w:p>
      <w:pPr>
        <w:rPr>
          <w:rFonts w:ascii="宋体" w:hAnsi="宋体" w:cs="宋体"/>
          <w:szCs w:val="21"/>
        </w:rPr>
      </w:pPr>
    </w:p>
    <w:p>
      <w:pPr>
        <w:pStyle w:val="38"/>
        <w:rPr>
          <w:rFonts w:ascii="宋体" w:hAnsi="宋体" w:cs="宋体"/>
          <w:szCs w:val="21"/>
        </w:rPr>
      </w:pPr>
    </w:p>
    <w:p/>
    <w:p>
      <w:pPr>
        <w:spacing w:line="360" w:lineRule="auto"/>
        <w:ind w:firstLine="420" w:firstLineChars="200"/>
        <w:jc w:val="right"/>
        <w:rPr>
          <w:rFonts w:hint="eastAsia" w:ascii="宋体" w:hAnsi="宋体" w:cs="宋体"/>
          <w:szCs w:val="21"/>
        </w:rPr>
      </w:pPr>
      <w:r>
        <w:rPr>
          <w:rFonts w:hint="eastAsia" w:ascii="宋体" w:hAnsi="宋体" w:cs="宋体"/>
          <w:szCs w:val="21"/>
        </w:rPr>
        <w:t xml:space="preserve"> 年  月  日</w:t>
      </w:r>
    </w:p>
    <w:p>
      <w:pPr>
        <w:pStyle w:val="38"/>
      </w:pPr>
    </w:p>
    <w:bookmarkEnd w:id="109"/>
    <w:bookmarkEnd w:id="110"/>
    <w:bookmarkEnd w:id="111"/>
    <w:bookmarkEnd w:id="112"/>
    <w:bookmarkEnd w:id="113"/>
    <w:bookmarkEnd w:id="114"/>
    <w:bookmarkEnd w:id="115"/>
    <w:p>
      <w:pPr>
        <w:pStyle w:val="4"/>
        <w:numPr>
          <w:ilvl w:val="0"/>
          <w:numId w:val="8"/>
        </w:numPr>
        <w:spacing w:line="360" w:lineRule="auto"/>
        <w:rPr>
          <w:rFonts w:ascii="宋体" w:hAnsi="宋体" w:cs="宋体"/>
          <w:sz w:val="32"/>
          <w:szCs w:val="32"/>
        </w:rPr>
      </w:pPr>
      <w:bookmarkStart w:id="135" w:name="18.4.4_信息采集费用概算明细表"/>
      <w:bookmarkEnd w:id="135"/>
      <w:bookmarkStart w:id="136" w:name="_bookmark278"/>
      <w:bookmarkEnd w:id="136"/>
      <w:bookmarkStart w:id="137" w:name="_Toc23224"/>
      <w:bookmarkStart w:id="138" w:name="_Toc8927"/>
      <w:bookmarkStart w:id="139" w:name="_Toc6508"/>
      <w:r>
        <w:rPr>
          <w:rFonts w:hint="eastAsia" w:ascii="宋体" w:hAnsi="宋体" w:cs="宋体"/>
          <w:sz w:val="32"/>
          <w:szCs w:val="32"/>
        </w:rPr>
        <w:t>资格证明材料</w:t>
      </w:r>
      <w:bookmarkEnd w:id="137"/>
      <w:bookmarkEnd w:id="138"/>
      <w:bookmarkEnd w:id="139"/>
    </w:p>
    <w:p>
      <w:pPr>
        <w:numPr>
          <w:ilvl w:val="0"/>
          <w:numId w:val="9"/>
        </w:numPr>
        <w:spacing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武陟县政府采购供应商资格信用承诺函（详见格式）；</w:t>
      </w:r>
    </w:p>
    <w:p>
      <w:pPr>
        <w:numPr>
          <w:ilvl w:val="0"/>
          <w:numId w:val="9"/>
        </w:numPr>
        <w:spacing w:line="360" w:lineRule="auto"/>
        <w:ind w:firstLine="480" w:firstLineChars="200"/>
        <w:jc w:val="left"/>
        <w:rPr>
          <w:rFonts w:asciiTheme="minorEastAsia" w:hAnsiTheme="minorEastAsia" w:eastAsiaTheme="minorEastAsia" w:cstheme="minorEastAsia"/>
          <w:sz w:val="24"/>
          <w:szCs w:val="24"/>
          <w:shd w:val="clear" w:color="auto" w:fill="FFFF00"/>
        </w:rPr>
      </w:pPr>
      <w:r>
        <w:rPr>
          <w:rFonts w:hint="eastAsia" w:asciiTheme="minorEastAsia" w:hAnsiTheme="minorEastAsia" w:eastAsiaTheme="minorEastAsia" w:cstheme="minorEastAsia"/>
          <w:sz w:val="24"/>
          <w:szCs w:val="24"/>
        </w:rPr>
        <w:t>提供中小企业声明函(详见格式)；</w:t>
      </w:r>
    </w:p>
    <w:p>
      <w:pPr>
        <w:numPr>
          <w:ilvl w:val="0"/>
          <w:numId w:val="9"/>
        </w:numPr>
        <w:spacing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供应商及其法定代表人、委托代理人均无行贿犯罪记录（提供无行贿犯罪记录承诺书，详见格式）；</w:t>
      </w:r>
    </w:p>
    <w:p>
      <w:pPr>
        <w:numPr>
          <w:ilvl w:val="0"/>
          <w:numId w:val="9"/>
        </w:numPr>
        <w:spacing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不得被列入失信被执行人、重大税收违法失信主体、政府采购严重违法失信行为记录名单（以采购人、采购代理机构在响应文件提交截止时间当日的查询结果为准，该条资料响应文件中无需提供）；</w:t>
      </w:r>
    </w:p>
    <w:p>
      <w:pPr>
        <w:numPr>
          <w:ilvl w:val="0"/>
          <w:numId w:val="0"/>
        </w:numPr>
        <w:spacing w:line="360" w:lineRule="auto"/>
        <w:jc w:val="left"/>
        <w:rPr>
          <w:rFonts w:asciiTheme="minorEastAsia" w:hAnsiTheme="minorEastAsia" w:eastAsiaTheme="minorEastAsia" w:cstheme="minorEastAsia"/>
          <w:color w:val="0905BB"/>
        </w:rPr>
      </w:pPr>
    </w:p>
    <w:p>
      <w:pPr>
        <w:spacing w:line="360" w:lineRule="auto"/>
        <w:jc w:val="left"/>
        <w:rPr>
          <w:rFonts w:asciiTheme="minorEastAsia" w:hAnsiTheme="minorEastAsia" w:eastAsiaTheme="minorEastAsia" w:cstheme="minorEastAsia"/>
        </w:rPr>
      </w:pPr>
    </w:p>
    <w:p>
      <w:pPr>
        <w:spacing w:line="360" w:lineRule="auto"/>
        <w:ind w:firstLine="480" w:firstLineChars="200"/>
        <w:rPr>
          <w:rFonts w:ascii="宋体" w:hAnsi="宋体" w:cs="宋体"/>
          <w:sz w:val="24"/>
          <w:szCs w:val="24"/>
        </w:rPr>
      </w:pPr>
    </w:p>
    <w:p>
      <w:pPr>
        <w:pStyle w:val="54"/>
      </w:pPr>
    </w:p>
    <w:p>
      <w:pPr>
        <w:spacing w:line="460" w:lineRule="exact"/>
        <w:ind w:firstLine="482" w:firstLineChars="200"/>
        <w:jc w:val="left"/>
        <w:rPr>
          <w:rFonts w:ascii="宋体" w:hAnsi="宋体" w:cs="宋体"/>
          <w:b/>
          <w:sz w:val="24"/>
          <w:szCs w:val="24"/>
        </w:rPr>
      </w:pPr>
    </w:p>
    <w:p>
      <w:pPr>
        <w:spacing w:line="460" w:lineRule="exact"/>
        <w:ind w:firstLine="482" w:firstLineChars="200"/>
        <w:jc w:val="left"/>
        <w:rPr>
          <w:rFonts w:ascii="宋体" w:hAnsi="宋体" w:cs="宋体"/>
          <w:b/>
          <w:sz w:val="24"/>
          <w:szCs w:val="24"/>
        </w:rPr>
      </w:pPr>
    </w:p>
    <w:p>
      <w:pPr>
        <w:spacing w:line="460" w:lineRule="exact"/>
        <w:ind w:firstLine="482" w:firstLineChars="200"/>
        <w:jc w:val="left"/>
        <w:rPr>
          <w:rFonts w:ascii="宋体" w:hAnsi="宋体" w:cs="宋体"/>
          <w:b/>
          <w:sz w:val="24"/>
          <w:szCs w:val="24"/>
        </w:rPr>
      </w:pPr>
    </w:p>
    <w:p>
      <w:pPr>
        <w:spacing w:line="460" w:lineRule="exact"/>
        <w:ind w:firstLine="482" w:firstLineChars="200"/>
        <w:jc w:val="left"/>
        <w:rPr>
          <w:rFonts w:ascii="宋体" w:hAnsi="宋体" w:cs="宋体"/>
          <w:b/>
          <w:sz w:val="24"/>
          <w:szCs w:val="24"/>
        </w:rPr>
      </w:pPr>
    </w:p>
    <w:p>
      <w:pPr>
        <w:spacing w:line="460" w:lineRule="exact"/>
        <w:ind w:firstLine="482" w:firstLineChars="200"/>
        <w:jc w:val="left"/>
        <w:rPr>
          <w:rFonts w:ascii="宋体" w:hAnsi="宋体" w:cs="宋体"/>
          <w:b/>
          <w:sz w:val="24"/>
          <w:szCs w:val="24"/>
        </w:rPr>
      </w:pPr>
    </w:p>
    <w:p>
      <w:pPr>
        <w:spacing w:line="460" w:lineRule="exact"/>
        <w:ind w:firstLine="482" w:firstLineChars="200"/>
        <w:jc w:val="left"/>
        <w:rPr>
          <w:rFonts w:ascii="宋体" w:hAnsi="宋体" w:cs="宋体"/>
          <w:b/>
          <w:sz w:val="24"/>
          <w:szCs w:val="24"/>
        </w:rPr>
      </w:pPr>
    </w:p>
    <w:p>
      <w:pPr>
        <w:spacing w:line="460" w:lineRule="exact"/>
        <w:ind w:firstLine="482" w:firstLineChars="200"/>
        <w:jc w:val="left"/>
        <w:rPr>
          <w:rFonts w:ascii="宋体" w:hAnsi="宋体" w:cs="宋体"/>
          <w:b/>
          <w:sz w:val="24"/>
          <w:szCs w:val="24"/>
        </w:rPr>
      </w:pPr>
    </w:p>
    <w:p>
      <w:pPr>
        <w:pStyle w:val="38"/>
        <w:rPr>
          <w:rFonts w:ascii="宋体" w:hAnsi="宋体" w:cs="宋体"/>
          <w:b/>
          <w:sz w:val="24"/>
          <w:szCs w:val="24"/>
        </w:rPr>
      </w:pPr>
    </w:p>
    <w:p>
      <w:pPr>
        <w:rPr>
          <w:rFonts w:ascii="宋体" w:hAnsi="宋体" w:cs="宋体"/>
          <w:b/>
          <w:sz w:val="24"/>
          <w:szCs w:val="24"/>
        </w:rPr>
      </w:pPr>
    </w:p>
    <w:p>
      <w:pPr>
        <w:pStyle w:val="38"/>
        <w:rPr>
          <w:rFonts w:ascii="宋体" w:hAnsi="宋体" w:cs="宋体"/>
          <w:b/>
          <w:sz w:val="24"/>
          <w:szCs w:val="24"/>
        </w:rPr>
      </w:pPr>
    </w:p>
    <w:p>
      <w:pPr>
        <w:rPr>
          <w:rFonts w:ascii="宋体" w:hAnsi="宋体" w:cs="宋体"/>
          <w:b/>
          <w:sz w:val="24"/>
          <w:szCs w:val="24"/>
        </w:rPr>
      </w:pPr>
    </w:p>
    <w:p>
      <w:pPr>
        <w:pStyle w:val="38"/>
        <w:rPr>
          <w:rFonts w:ascii="宋体" w:hAnsi="宋体" w:cs="宋体"/>
          <w:b/>
          <w:sz w:val="24"/>
          <w:szCs w:val="24"/>
        </w:rPr>
      </w:pPr>
    </w:p>
    <w:p>
      <w:pPr>
        <w:rPr>
          <w:rFonts w:ascii="宋体" w:hAnsi="宋体" w:cs="宋体"/>
          <w:b/>
          <w:sz w:val="24"/>
          <w:szCs w:val="24"/>
        </w:rPr>
      </w:pPr>
    </w:p>
    <w:p>
      <w:pPr>
        <w:pStyle w:val="2"/>
        <w:rPr>
          <w:rFonts w:ascii="宋体" w:hAnsi="宋体" w:cs="宋体"/>
          <w:b/>
          <w:sz w:val="24"/>
          <w:szCs w:val="24"/>
        </w:rPr>
      </w:pPr>
    </w:p>
    <w:p>
      <w:pPr>
        <w:pStyle w:val="3"/>
        <w:rPr>
          <w:rFonts w:ascii="宋体" w:hAnsi="宋体" w:cs="宋体"/>
          <w:b/>
          <w:sz w:val="24"/>
          <w:szCs w:val="24"/>
        </w:rPr>
      </w:pPr>
    </w:p>
    <w:p>
      <w:pPr>
        <w:pStyle w:val="3"/>
        <w:rPr>
          <w:rFonts w:ascii="宋体" w:hAnsi="宋体" w:cs="宋体"/>
          <w:b/>
          <w:sz w:val="24"/>
          <w:szCs w:val="24"/>
        </w:rPr>
      </w:pPr>
    </w:p>
    <w:p>
      <w:pPr>
        <w:rPr>
          <w:rFonts w:ascii="宋体" w:hAnsi="宋体" w:cs="宋体"/>
          <w:b/>
          <w:sz w:val="24"/>
          <w:szCs w:val="24"/>
        </w:rPr>
      </w:pPr>
    </w:p>
    <w:p>
      <w:pPr>
        <w:pStyle w:val="38"/>
        <w:rPr>
          <w:rFonts w:ascii="宋体" w:hAnsi="宋体" w:cs="宋体"/>
          <w:b/>
          <w:sz w:val="24"/>
          <w:szCs w:val="24"/>
        </w:rPr>
      </w:pPr>
    </w:p>
    <w:p/>
    <w:p>
      <w:pPr>
        <w:spacing w:line="460" w:lineRule="exact"/>
        <w:ind w:firstLine="482" w:firstLineChars="200"/>
        <w:jc w:val="left"/>
        <w:rPr>
          <w:rFonts w:ascii="宋体" w:hAnsi="宋体" w:cs="宋体"/>
          <w:b/>
          <w:sz w:val="24"/>
          <w:szCs w:val="24"/>
        </w:rPr>
      </w:pPr>
    </w:p>
    <w:p>
      <w:pPr>
        <w:tabs>
          <w:tab w:val="center" w:pos="4649"/>
        </w:tabs>
        <w:jc w:val="center"/>
        <w:rPr>
          <w:b/>
          <w:sz w:val="28"/>
        </w:rPr>
      </w:pPr>
      <w:bookmarkStart w:id="140" w:name="_Toc8011"/>
      <w:bookmarkStart w:id="141" w:name="_Toc31392"/>
      <w:bookmarkStart w:id="142" w:name="_Toc114940421"/>
      <w:r>
        <w:rPr>
          <w:rFonts w:hint="eastAsia"/>
          <w:b/>
          <w:sz w:val="28"/>
        </w:rPr>
        <w:t>武陟县政府采购供应商资格信用承诺函</w:t>
      </w:r>
      <w:bookmarkEnd w:id="140"/>
      <w:r>
        <w:rPr>
          <w:rFonts w:hint="eastAsia"/>
          <w:b/>
          <w:sz w:val="28"/>
        </w:rPr>
        <w:t xml:space="preserve">    </w:t>
      </w:r>
    </w:p>
    <w:p>
      <w:pPr>
        <w:widowControl/>
        <w:kinsoku w:val="0"/>
        <w:autoSpaceDE w:val="0"/>
        <w:autoSpaceDN w:val="0"/>
        <w:adjustRightInd w:val="0"/>
        <w:snapToGrid w:val="0"/>
        <w:spacing w:line="560" w:lineRule="exact"/>
        <w:jc w:val="center"/>
        <w:textAlignment w:val="baseline"/>
        <w:rPr>
          <w:rFonts w:ascii="宋体" w:hAnsi="宋体" w:cs="宋体"/>
          <w:sz w:val="32"/>
          <w:szCs w:val="32"/>
        </w:rPr>
      </w:pPr>
      <w:r>
        <w:rPr>
          <w:rFonts w:hint="eastAsia" w:ascii="宋体" w:hAnsi="宋体" w:cs="宋体"/>
          <w:sz w:val="32"/>
          <w:szCs w:val="32"/>
        </w:rPr>
        <w:t xml:space="preserve">                                                                          </w:t>
      </w:r>
    </w:p>
    <w:p>
      <w:pPr>
        <w:widowControl/>
        <w:kinsoku w:val="0"/>
        <w:autoSpaceDE w:val="0"/>
        <w:autoSpaceDN w:val="0"/>
        <w:adjustRightInd w:val="0"/>
        <w:snapToGrid w:val="0"/>
        <w:spacing w:before="143" w:line="500" w:lineRule="exact"/>
        <w:textAlignment w:val="baseline"/>
        <w:rPr>
          <w:rFonts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（采购人）</w:t>
      </w:r>
      <w:r>
        <w:rPr>
          <w:rFonts w:hint="eastAsia" w:ascii="宋体" w:hAnsi="宋体" w:cs="宋体"/>
          <w:sz w:val="24"/>
          <w:szCs w:val="24"/>
        </w:rPr>
        <w:t>：</w:t>
      </w:r>
    </w:p>
    <w:p>
      <w:pPr>
        <w:widowControl/>
        <w:kinsoku w:val="0"/>
        <w:autoSpaceDE w:val="0"/>
        <w:autoSpaceDN w:val="0"/>
        <w:adjustRightInd w:val="0"/>
        <w:snapToGrid w:val="0"/>
        <w:spacing w:line="500" w:lineRule="exact"/>
        <w:jc w:val="left"/>
        <w:textAlignment w:val="baseline"/>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ascii="宋体" w:hAnsi="宋体" w:cs="宋体"/>
          <w:sz w:val="24"/>
          <w:szCs w:val="24"/>
        </w:rPr>
      </w:pPr>
      <w:r>
        <w:rPr>
          <w:rFonts w:hint="eastAsia" w:ascii="宋体" w:hAnsi="宋体" w:cs="宋体"/>
          <w:sz w:val="24"/>
          <w:szCs w:val="24"/>
        </w:rPr>
        <w:t>统一社会信用代码：</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ascii="宋体" w:hAnsi="宋体" w:cs="宋体"/>
          <w:sz w:val="24"/>
          <w:szCs w:val="24"/>
        </w:rPr>
      </w:pPr>
      <w:r>
        <w:rPr>
          <w:rFonts w:hint="eastAsia" w:ascii="宋体" w:hAnsi="宋体" w:cs="宋体"/>
          <w:sz w:val="24"/>
          <w:szCs w:val="24"/>
        </w:rPr>
        <w:t>供应商地址：</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sz w:val="24"/>
          <w:szCs w:val="24"/>
        </w:rPr>
      </w:pPr>
      <w:r>
        <w:rPr>
          <w:rFonts w:hint="eastAsia" w:ascii="宋体" w:hAnsi="宋体" w:cs="宋体"/>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sz w:val="24"/>
          <w:szCs w:val="24"/>
        </w:rPr>
      </w:pPr>
      <w:r>
        <w:rPr>
          <w:rFonts w:hint="eastAsia" w:ascii="宋体" w:hAnsi="宋体" w:cs="宋体"/>
          <w:sz w:val="24"/>
          <w:szCs w:val="24"/>
        </w:rPr>
        <w:t>1.我单位具有符合磋商文件资格要求独立承担民事责任的能力。</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sz w:val="24"/>
          <w:szCs w:val="24"/>
        </w:rPr>
      </w:pPr>
      <w:r>
        <w:rPr>
          <w:rFonts w:hint="eastAsia" w:ascii="宋体" w:hAnsi="宋体" w:cs="宋体"/>
          <w:sz w:val="24"/>
          <w:szCs w:val="24"/>
        </w:rPr>
        <w:t>2.我单位具有符合磋商文件资格要求的财务状况报告。</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sz w:val="24"/>
          <w:szCs w:val="24"/>
        </w:rPr>
      </w:pPr>
      <w:r>
        <w:rPr>
          <w:rFonts w:hint="eastAsia" w:ascii="宋体" w:hAnsi="宋体" w:cs="宋体"/>
          <w:sz w:val="24"/>
          <w:szCs w:val="24"/>
        </w:rPr>
        <w:t>3.我单位具有符合磋商文件资格要求的依法缴纳税收和社会保障记录的良好记录。</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sz w:val="24"/>
          <w:szCs w:val="24"/>
        </w:rPr>
      </w:pPr>
      <w:r>
        <w:rPr>
          <w:rFonts w:hint="eastAsia" w:ascii="宋体" w:hAnsi="宋体" w:cs="宋体"/>
          <w:sz w:val="24"/>
          <w:szCs w:val="24"/>
        </w:rPr>
        <w:t>4.我单位具有符合磋商文件资格要求履行合同所必需的设备和专业技术能力。</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sz w:val="24"/>
          <w:szCs w:val="24"/>
        </w:rPr>
      </w:pPr>
      <w:r>
        <w:rPr>
          <w:rFonts w:hint="eastAsia" w:ascii="宋体" w:hAnsi="宋体" w:cs="宋体"/>
          <w:sz w:val="24"/>
          <w:szCs w:val="24"/>
        </w:rPr>
        <w:t>5.参加政府采购活动前三年内，在经营活动中没有重大违法记录。</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sz w:val="24"/>
          <w:szCs w:val="24"/>
        </w:rPr>
      </w:pPr>
      <w:r>
        <w:rPr>
          <w:rFonts w:hint="eastAsia" w:ascii="宋体" w:hAnsi="宋体" w:cs="宋体"/>
          <w:sz w:val="24"/>
          <w:szCs w:val="24"/>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ascii="宋体" w:hAnsi="宋体" w:cs="宋体"/>
          <w:sz w:val="24"/>
          <w:szCs w:val="24"/>
        </w:rPr>
      </w:pPr>
    </w:p>
    <w:p>
      <w:pPr>
        <w:widowControl/>
        <w:kinsoku w:val="0"/>
        <w:autoSpaceDE w:val="0"/>
        <w:autoSpaceDN w:val="0"/>
        <w:adjustRightInd w:val="0"/>
        <w:snapToGrid w:val="0"/>
        <w:spacing w:line="500" w:lineRule="exact"/>
        <w:jc w:val="left"/>
        <w:textAlignment w:val="baseline"/>
        <w:rPr>
          <w:rFonts w:ascii="宋体" w:hAnsi="宋体" w:cs="宋体"/>
          <w:sz w:val="24"/>
          <w:szCs w:val="24"/>
        </w:rPr>
      </w:pPr>
    </w:p>
    <w:p>
      <w:pPr>
        <w:widowControl/>
        <w:kinsoku w:val="0"/>
        <w:autoSpaceDE w:val="0"/>
        <w:autoSpaceDN w:val="0"/>
        <w:adjustRightInd w:val="0"/>
        <w:snapToGrid w:val="0"/>
        <w:spacing w:line="500" w:lineRule="exact"/>
        <w:ind w:firstLine="3600" w:firstLineChars="1500"/>
        <w:jc w:val="left"/>
        <w:textAlignment w:val="baseline"/>
        <w:rPr>
          <w:rFonts w:ascii="宋体" w:hAnsi="宋体" w:cs="宋体"/>
          <w:sz w:val="24"/>
          <w:szCs w:val="24"/>
        </w:rPr>
      </w:pPr>
      <w:r>
        <w:rPr>
          <w:rFonts w:hint="eastAsia" w:ascii="宋体" w:hAnsi="宋体" w:cs="宋体"/>
          <w:sz w:val="24"/>
          <w:szCs w:val="24"/>
        </w:rPr>
        <w:t>承诺供应商（全称并加盖公章）：</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ind w:firstLine="3600" w:firstLineChars="1500"/>
        <w:jc w:val="left"/>
        <w:textAlignment w:val="baseline"/>
        <w:rPr>
          <w:rFonts w:ascii="宋体" w:hAnsi="宋体" w:cs="宋体"/>
          <w:sz w:val="24"/>
          <w:szCs w:val="24"/>
        </w:rPr>
      </w:pPr>
      <w:r>
        <w:rPr>
          <w:rFonts w:hint="eastAsia" w:ascii="宋体" w:hAnsi="宋体" w:cs="宋体"/>
          <w:sz w:val="24"/>
          <w:szCs w:val="24"/>
        </w:rPr>
        <w:t>法定代表人或授权代表(签字或签章)：</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3600" w:firstLineChars="1500"/>
        <w:jc w:val="left"/>
        <w:textAlignment w:val="baseline"/>
        <w:rPr>
          <w:rFonts w:ascii="宋体" w:hAnsi="宋体" w:cs="宋体"/>
          <w:sz w:val="24"/>
          <w:szCs w:val="24"/>
        </w:rPr>
      </w:pPr>
      <w:r>
        <w:rPr>
          <w:rFonts w:hint="eastAsia" w:ascii="宋体" w:hAnsi="宋体" w:cs="宋体"/>
          <w:sz w:val="24"/>
          <w:szCs w:val="24"/>
        </w:rPr>
        <w:t>日期：     年    月    日</w:t>
      </w:r>
    </w:p>
    <w:p>
      <w:pPr>
        <w:widowControl/>
        <w:kinsoku w:val="0"/>
        <w:autoSpaceDE w:val="0"/>
        <w:autoSpaceDN w:val="0"/>
        <w:adjustRightInd w:val="0"/>
        <w:snapToGrid w:val="0"/>
        <w:spacing w:line="440" w:lineRule="exact"/>
        <w:jc w:val="left"/>
        <w:textAlignment w:val="baseline"/>
        <w:rPr>
          <w:rFonts w:ascii="宋体" w:hAnsi="宋体" w:cs="宋体"/>
          <w:szCs w:val="21"/>
        </w:rPr>
      </w:pPr>
    </w:p>
    <w:p>
      <w:pPr>
        <w:widowControl/>
        <w:kinsoku w:val="0"/>
        <w:autoSpaceDE w:val="0"/>
        <w:autoSpaceDN w:val="0"/>
        <w:adjustRightInd w:val="0"/>
        <w:snapToGrid w:val="0"/>
        <w:spacing w:line="440" w:lineRule="exact"/>
        <w:jc w:val="left"/>
        <w:textAlignment w:val="baseline"/>
        <w:rPr>
          <w:rFonts w:ascii="宋体" w:hAnsi="宋体" w:cs="宋体"/>
          <w:szCs w:val="21"/>
        </w:rPr>
      </w:pPr>
    </w:p>
    <w:p>
      <w:pPr>
        <w:widowControl/>
        <w:kinsoku w:val="0"/>
        <w:autoSpaceDE w:val="0"/>
        <w:autoSpaceDN w:val="0"/>
        <w:adjustRightInd w:val="0"/>
        <w:snapToGrid w:val="0"/>
        <w:spacing w:line="440" w:lineRule="exact"/>
        <w:jc w:val="left"/>
        <w:textAlignment w:val="baseline"/>
        <w:rPr>
          <w:rFonts w:ascii="宋体" w:hAnsi="宋体" w:cs="宋体"/>
          <w:b/>
          <w:bCs/>
          <w:szCs w:val="21"/>
        </w:rPr>
      </w:pPr>
      <w:r>
        <w:rPr>
          <w:rFonts w:hint="eastAsia" w:ascii="宋体" w:hAnsi="宋体" w:cs="宋体"/>
          <w:b/>
          <w:bCs/>
          <w:szCs w:val="21"/>
        </w:rPr>
        <w:t>注：1.供应商须在响应文件中按此模板提供承诺函，未提供视为未实质性响应响应文件要求，按无效投标处理。</w:t>
      </w:r>
    </w:p>
    <w:p>
      <w:pPr>
        <w:widowControl/>
        <w:kinsoku w:val="0"/>
        <w:autoSpaceDE w:val="0"/>
        <w:autoSpaceDN w:val="0"/>
        <w:adjustRightInd w:val="0"/>
        <w:snapToGrid w:val="0"/>
        <w:spacing w:line="440" w:lineRule="exact"/>
        <w:jc w:val="left"/>
        <w:textAlignment w:val="baseline"/>
        <w:rPr>
          <w:rFonts w:ascii="宋体" w:hAnsi="宋体" w:cs="宋体"/>
          <w:b/>
          <w:bCs/>
          <w:szCs w:val="21"/>
        </w:rPr>
      </w:pPr>
      <w:r>
        <w:rPr>
          <w:rFonts w:hint="eastAsia" w:ascii="宋体" w:hAnsi="宋体" w:cs="宋体"/>
          <w:b/>
          <w:bCs/>
          <w:szCs w:val="21"/>
        </w:rPr>
        <w:t>2.供应商的法定代表人（其他组织的为负责人）或者授权代表的签字或盖章应真实、有效，如由授权代表签字或盖章的，应提供 “法定代表人授权书”。</w:t>
      </w:r>
    </w:p>
    <w:p>
      <w:pPr>
        <w:spacing w:line="360" w:lineRule="auto"/>
        <w:rPr>
          <w:b/>
          <w:sz w:val="28"/>
        </w:rPr>
      </w:pPr>
    </w:p>
    <w:p>
      <w:pPr>
        <w:tabs>
          <w:tab w:val="center" w:pos="4649"/>
        </w:tabs>
        <w:jc w:val="center"/>
      </w:pPr>
      <w:r>
        <w:rPr>
          <w:rFonts w:hint="eastAsia"/>
          <w:b/>
          <w:sz w:val="28"/>
        </w:rPr>
        <w:t>无行贿犯罪记录承诺书</w:t>
      </w:r>
      <w:bookmarkEnd w:id="141"/>
      <w:bookmarkEnd w:id="142"/>
    </w:p>
    <w:p>
      <w:pPr>
        <w:spacing w:afterLines="100" w:line="440" w:lineRule="exact"/>
        <w:rPr>
          <w:rFonts w:ascii="宋体" w:hAnsi="宋体" w:cs="宋体"/>
          <w:position w:val="-7"/>
          <w:szCs w:val="21"/>
        </w:rPr>
      </w:pPr>
    </w:p>
    <w:p>
      <w:pPr>
        <w:spacing w:beforeLines="50" w:afterLines="50" w:line="480" w:lineRule="auto"/>
        <w:rPr>
          <w:rFonts w:ascii="宋体" w:hAnsi="宋体" w:cs="宋体"/>
          <w:sz w:val="24"/>
          <w:szCs w:val="24"/>
        </w:rPr>
      </w:pPr>
      <w:r>
        <w:rPr>
          <w:rFonts w:hint="eastAsia" w:ascii="宋体" w:hAnsi="宋体" w:cs="宋体"/>
          <w:sz w:val="24"/>
          <w:szCs w:val="24"/>
        </w:rPr>
        <w:t>致：（采购人）</w:t>
      </w:r>
    </w:p>
    <w:p>
      <w:pPr>
        <w:spacing w:line="440" w:lineRule="exact"/>
        <w:ind w:firstLine="480" w:firstLineChars="200"/>
        <w:rPr>
          <w:rFonts w:ascii="宋体" w:hAnsi="宋体" w:cs="宋体"/>
          <w:color w:val="000000"/>
          <w:sz w:val="24"/>
          <w:szCs w:val="24"/>
          <w:shd w:val="clear" w:color="auto" w:fill="FFFFFF"/>
        </w:rPr>
      </w:pPr>
      <w:r>
        <w:rPr>
          <w:rFonts w:hint="eastAsia" w:ascii="宋体" w:hAnsi="宋体" w:cs="宋体"/>
          <w:sz w:val="24"/>
          <w:szCs w:val="24"/>
        </w:rPr>
        <w:t>我方在此声明，我方在</w:t>
      </w:r>
      <w:r>
        <w:rPr>
          <w:rFonts w:hint="eastAsia" w:ascii="宋体" w:hAnsi="宋体" w:cs="宋体"/>
          <w:sz w:val="24"/>
          <w:szCs w:val="24"/>
          <w:u w:val="single"/>
        </w:rPr>
        <w:t xml:space="preserve">                  </w:t>
      </w:r>
      <w:r>
        <w:rPr>
          <w:rFonts w:hint="eastAsia" w:ascii="宋体" w:hAnsi="宋体" w:cs="宋体"/>
          <w:sz w:val="24"/>
          <w:szCs w:val="24"/>
        </w:rPr>
        <w:t>（项目名称）采购过程中所涉及的</w:t>
      </w:r>
      <w:r>
        <w:rPr>
          <w:rFonts w:hint="eastAsia" w:ascii="宋体" w:hAnsi="宋体" w:cs="宋体"/>
          <w:color w:val="000000"/>
          <w:sz w:val="24"/>
          <w:szCs w:val="24"/>
          <w:shd w:val="clear" w:color="auto" w:fill="FFFFFF"/>
        </w:rPr>
        <w:t>包括法人、法定代表人、委托代理人均无行贿犯罪记录。</w:t>
      </w:r>
    </w:p>
    <w:p>
      <w:pPr>
        <w:spacing w:line="440" w:lineRule="exact"/>
        <w:ind w:firstLine="480" w:firstLineChars="200"/>
        <w:rPr>
          <w:rFonts w:ascii="宋体" w:hAnsi="宋体" w:cs="宋体"/>
          <w:sz w:val="24"/>
          <w:szCs w:val="24"/>
        </w:rPr>
      </w:pPr>
      <w:r>
        <w:rPr>
          <w:rFonts w:hint="eastAsia" w:ascii="宋体" w:hAnsi="宋体" w:cs="宋体"/>
          <w:sz w:val="24"/>
          <w:szCs w:val="24"/>
        </w:rPr>
        <w:t>我方保证上述信息的真实和准确，并愿意承担因我方就此弄虚作假所引起的一切法律后果。</w:t>
      </w: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p>
    <w:p>
      <w:pPr>
        <w:spacing w:line="440" w:lineRule="exact"/>
        <w:ind w:firstLine="480" w:firstLineChars="200"/>
        <w:rPr>
          <w:rFonts w:ascii="宋体" w:hAnsi="宋体" w:cs="宋体"/>
          <w:sz w:val="24"/>
          <w:szCs w:val="24"/>
        </w:rPr>
      </w:pPr>
      <w:r>
        <w:rPr>
          <w:rFonts w:hint="eastAsia" w:ascii="宋体" w:hAnsi="宋体" w:cs="宋体"/>
          <w:sz w:val="24"/>
          <w:szCs w:val="24"/>
        </w:rPr>
        <w:t>特此承诺</w:t>
      </w:r>
    </w:p>
    <w:p>
      <w:pPr>
        <w:spacing w:line="440" w:lineRule="exact"/>
        <w:ind w:firstLine="480" w:firstLineChars="200"/>
        <w:rPr>
          <w:rFonts w:ascii="宋体" w:hAnsi="宋体" w:cs="宋体"/>
          <w:sz w:val="24"/>
          <w:szCs w:val="24"/>
        </w:rPr>
      </w:pPr>
    </w:p>
    <w:p>
      <w:pPr>
        <w:jc w:val="left"/>
        <w:rPr>
          <w:rFonts w:ascii="宋体" w:hAnsi="宋体" w:cs="宋体"/>
          <w:sz w:val="24"/>
          <w:szCs w:val="24"/>
        </w:rPr>
      </w:pPr>
    </w:p>
    <w:p>
      <w:pPr>
        <w:jc w:val="left"/>
        <w:rPr>
          <w:rFonts w:ascii="宋体" w:hAnsi="宋体" w:cs="宋体"/>
          <w:sz w:val="24"/>
          <w:szCs w:val="24"/>
        </w:rPr>
      </w:pPr>
    </w:p>
    <w:p>
      <w:pPr>
        <w:jc w:val="left"/>
        <w:rPr>
          <w:rFonts w:ascii="宋体" w:hAnsi="宋体" w:cs="宋体"/>
          <w:sz w:val="24"/>
          <w:szCs w:val="24"/>
        </w:rPr>
      </w:pPr>
    </w:p>
    <w:p>
      <w:pPr>
        <w:jc w:val="left"/>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 xml:space="preserve">                                供应商名称（全称并加盖公章）：</w:t>
      </w:r>
    </w:p>
    <w:p>
      <w:pPr>
        <w:spacing w:line="360" w:lineRule="auto"/>
        <w:rPr>
          <w:rFonts w:ascii="宋体" w:hAnsi="宋体" w:cs="宋体"/>
          <w:sz w:val="24"/>
          <w:szCs w:val="24"/>
        </w:rPr>
      </w:pPr>
      <w:r>
        <w:rPr>
          <w:rFonts w:hint="eastAsia" w:ascii="宋体" w:hAnsi="宋体" w:cs="宋体"/>
          <w:sz w:val="24"/>
          <w:szCs w:val="24"/>
        </w:rPr>
        <w:t xml:space="preserve">                                法定代表人或其委托代理人（签名或盖章）：</w:t>
      </w:r>
    </w:p>
    <w:p>
      <w:pPr>
        <w:spacing w:line="440" w:lineRule="exact"/>
        <w:jc w:val="right"/>
        <w:rPr>
          <w:rFonts w:ascii="宋体" w:hAnsi="宋体" w:cs="宋体"/>
          <w:sz w:val="24"/>
          <w:szCs w:val="24"/>
        </w:rPr>
      </w:pPr>
    </w:p>
    <w:p>
      <w:pPr>
        <w:spacing w:line="440" w:lineRule="exact"/>
        <w:jc w:val="right"/>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pStyle w:val="5"/>
        <w:jc w:val="center"/>
        <w:rPr>
          <w:rFonts w:ascii="宋体" w:hAnsi="宋体" w:eastAsia="宋体" w:cs="宋体"/>
          <w:sz w:val="28"/>
          <w:szCs w:val="28"/>
        </w:rPr>
      </w:pPr>
    </w:p>
    <w:p>
      <w:pPr>
        <w:pStyle w:val="5"/>
        <w:jc w:val="center"/>
        <w:rPr>
          <w:rFonts w:ascii="宋体" w:hAnsi="宋体" w:eastAsia="宋体" w:cs="宋体"/>
          <w:sz w:val="28"/>
          <w:szCs w:val="28"/>
        </w:rPr>
      </w:pPr>
    </w:p>
    <w:p>
      <w:pPr>
        <w:pStyle w:val="34"/>
        <w:spacing w:beforeAutospacing="0" w:afterAutospacing="0"/>
        <w:ind w:right="560"/>
        <w:jc w:val="center"/>
        <w:rPr>
          <w:b/>
          <w:bCs/>
          <w:sz w:val="32"/>
          <w:szCs w:val="32"/>
        </w:rPr>
      </w:pPr>
    </w:p>
    <w:p>
      <w:pPr>
        <w:pStyle w:val="34"/>
        <w:spacing w:beforeAutospacing="0" w:afterAutospacing="0"/>
        <w:ind w:right="560"/>
        <w:jc w:val="center"/>
        <w:rPr>
          <w:b/>
          <w:bCs/>
          <w:sz w:val="32"/>
          <w:szCs w:val="32"/>
        </w:rPr>
      </w:pPr>
    </w:p>
    <w:p>
      <w:pPr>
        <w:pStyle w:val="34"/>
        <w:spacing w:beforeAutospacing="0" w:afterAutospacing="0"/>
        <w:ind w:right="560"/>
        <w:jc w:val="center"/>
        <w:rPr>
          <w:b/>
          <w:bCs/>
          <w:sz w:val="32"/>
          <w:szCs w:val="32"/>
        </w:rPr>
      </w:pPr>
    </w:p>
    <w:p>
      <w:pPr>
        <w:pStyle w:val="34"/>
        <w:spacing w:beforeAutospacing="0" w:afterAutospacing="0"/>
        <w:ind w:right="560"/>
        <w:jc w:val="center"/>
        <w:rPr>
          <w:b/>
          <w:bCs/>
          <w:sz w:val="32"/>
          <w:szCs w:val="32"/>
        </w:rPr>
      </w:pPr>
    </w:p>
    <w:p>
      <w:pPr>
        <w:pStyle w:val="34"/>
        <w:spacing w:beforeAutospacing="0" w:afterAutospacing="0"/>
        <w:ind w:right="560"/>
        <w:jc w:val="center"/>
        <w:rPr>
          <w:b/>
          <w:bCs/>
          <w:sz w:val="32"/>
          <w:szCs w:val="32"/>
        </w:rPr>
      </w:pPr>
    </w:p>
    <w:p>
      <w:pPr>
        <w:pStyle w:val="34"/>
        <w:spacing w:beforeAutospacing="0" w:afterAutospacing="0"/>
        <w:ind w:right="560"/>
        <w:jc w:val="center"/>
        <w:rPr>
          <w:b/>
          <w:bCs/>
          <w:sz w:val="32"/>
          <w:szCs w:val="32"/>
        </w:rPr>
      </w:pPr>
    </w:p>
    <w:p>
      <w:pPr>
        <w:widowControl/>
        <w:spacing w:line="580" w:lineRule="atLeast"/>
        <w:jc w:val="center"/>
        <w:rPr>
          <w:rFonts w:ascii="宋体" w:hAnsi="宋体" w:cs="宋体"/>
          <w:b/>
          <w:bCs/>
          <w:sz w:val="32"/>
          <w:szCs w:val="32"/>
        </w:rPr>
      </w:pPr>
      <w:r>
        <w:rPr>
          <w:rFonts w:hint="eastAsia" w:ascii="宋体" w:hAnsi="宋体" w:cs="宋体"/>
          <w:b/>
          <w:bCs/>
          <w:sz w:val="32"/>
          <w:szCs w:val="32"/>
        </w:rPr>
        <w:t>中小企业声明函（服务）</w:t>
      </w:r>
    </w:p>
    <w:p>
      <w:pPr>
        <w:widowControl/>
        <w:spacing w:line="580" w:lineRule="atLeast"/>
        <w:ind w:firstLine="420" w:firstLineChars="200"/>
        <w:rPr>
          <w:rFonts w:ascii="宋体" w:hAnsi="宋体" w:cs="宋体"/>
        </w:rPr>
      </w:pPr>
      <w:r>
        <w:rPr>
          <w:rFonts w:hint="eastAsia" w:ascii="宋体" w:hAnsi="宋体" w:cs="宋体"/>
        </w:rPr>
        <w:t>本公司（联合体）郑重声明，根据《政府采购促进中小企业发展管理办法》 (财库（2020) 46号）的规定，本公司（联合体）参加</w:t>
      </w:r>
      <w:r>
        <w:rPr>
          <w:rFonts w:hint="eastAsia" w:ascii="宋体" w:hAnsi="宋体" w:cs="宋体"/>
          <w:u w:val="single"/>
        </w:rPr>
        <w:t>（单位名称）</w:t>
      </w:r>
      <w:r>
        <w:rPr>
          <w:rFonts w:hint="eastAsia" w:ascii="宋体" w:hAnsi="宋体" w:cs="宋体"/>
        </w:rPr>
        <w:t>的</w:t>
      </w:r>
      <w:r>
        <w:rPr>
          <w:rFonts w:hint="eastAsia" w:ascii="宋体" w:hAnsi="宋体" w:cs="宋体"/>
          <w:u w:val="single"/>
        </w:rPr>
        <w:t>（项目名称）</w:t>
      </w:r>
      <w:r>
        <w:rPr>
          <w:rFonts w:hint="eastAsia" w:ascii="宋体" w:hAnsi="宋体" w:cs="宋体"/>
        </w:rPr>
        <w:t>采购活动，工程的施工单位全部为符合政策要求的中小企业（或者：服务全部由符合政策要求的中小企业承接）。相关企业（含联合体中的中小企业、签订分包意向协议的中小企业）的具体情况如下：</w:t>
      </w:r>
    </w:p>
    <w:p>
      <w:pPr>
        <w:widowControl/>
        <w:spacing w:line="580" w:lineRule="atLeast"/>
        <w:ind w:firstLine="420" w:firstLineChars="200"/>
        <w:rPr>
          <w:rFonts w:ascii="宋体" w:hAnsi="宋体" w:cs="宋体"/>
        </w:rPr>
      </w:pPr>
      <w:r>
        <w:rPr>
          <w:rFonts w:hint="eastAsia" w:ascii="宋体" w:hAnsi="宋体" w:cs="宋体"/>
          <w:u w:val="single"/>
        </w:rPr>
        <w:t>武陟县民政局居家社区养老服务体系建设项目</w:t>
      </w:r>
      <w:r>
        <w:rPr>
          <w:rFonts w:hint="eastAsia" w:ascii="宋体" w:hAnsi="宋体" w:cs="宋体"/>
        </w:rPr>
        <w:t>，属于</w:t>
      </w:r>
      <w:r>
        <w:rPr>
          <w:rFonts w:hint="eastAsia" w:ascii="宋体" w:hAnsi="宋体" w:cs="宋体"/>
          <w:u w:val="single"/>
        </w:rPr>
        <w:t>其他未列明行业</w:t>
      </w:r>
      <w:r>
        <w:rPr>
          <w:rFonts w:hint="eastAsia" w:ascii="宋体" w:hAnsi="宋体" w:cs="宋体"/>
        </w:rPr>
        <w:t>；承建（承接）企业为</w:t>
      </w:r>
      <w:r>
        <w:rPr>
          <w:rFonts w:hint="eastAsia" w:ascii="宋体" w:hAnsi="宋体" w:cs="宋体"/>
          <w:u w:val="single"/>
        </w:rPr>
        <w:t>（企业名称）</w:t>
      </w:r>
      <w:r>
        <w:rPr>
          <w:rFonts w:hint="eastAsia" w:ascii="宋体" w:hAnsi="宋体" w:cs="宋体"/>
        </w:rPr>
        <w:t>， 从业人员＿人，营业收入为＿万元，资产总额为＿万元， 属于</w:t>
      </w:r>
      <w:r>
        <w:rPr>
          <w:rFonts w:hint="eastAsia" w:ascii="宋体" w:hAnsi="宋体" w:cs="宋体"/>
          <w:u w:val="single"/>
        </w:rPr>
        <w:t>（中型企业、小型企业、微型企业）</w:t>
      </w:r>
      <w:r>
        <w:rPr>
          <w:rFonts w:hint="eastAsia" w:ascii="宋体" w:hAnsi="宋体" w:cs="宋体"/>
        </w:rPr>
        <w:t>；</w:t>
      </w:r>
    </w:p>
    <w:p>
      <w:pPr>
        <w:widowControl/>
        <w:spacing w:line="580" w:lineRule="atLeast"/>
        <w:ind w:firstLine="420" w:firstLineChars="200"/>
        <w:rPr>
          <w:rFonts w:ascii="宋体" w:hAnsi="宋体" w:cs="宋体"/>
        </w:rPr>
      </w:pPr>
      <w:r>
        <w:rPr>
          <w:rFonts w:hint="eastAsia" w:ascii="宋体" w:hAnsi="宋体" w:cs="宋体"/>
        </w:rPr>
        <w:t>以上企业，不属于大企业的分支机构，不存在控股股东为大企业的情形，也不存在与大企业的负责人为同一人的情形。</w:t>
      </w:r>
    </w:p>
    <w:p>
      <w:pPr>
        <w:widowControl/>
        <w:spacing w:line="580" w:lineRule="atLeast"/>
        <w:ind w:firstLine="420" w:firstLineChars="200"/>
        <w:rPr>
          <w:rFonts w:ascii="宋体" w:hAnsi="宋体" w:cs="宋体"/>
        </w:rPr>
      </w:pPr>
      <w:r>
        <w:rPr>
          <w:rFonts w:hint="eastAsia" w:ascii="宋体" w:hAnsi="宋体" w:cs="宋体"/>
        </w:rPr>
        <w:t>本企业对上述声明内容的真实性负责。如有虚假，将依法承担相应责任。</w:t>
      </w:r>
    </w:p>
    <w:p>
      <w:pPr>
        <w:widowControl/>
        <w:spacing w:line="580" w:lineRule="atLeast"/>
        <w:jc w:val="center"/>
        <w:rPr>
          <w:rFonts w:ascii="宋体" w:hAnsi="宋体" w:cs="宋体"/>
        </w:rPr>
      </w:pPr>
      <w:r>
        <w:rPr>
          <w:rFonts w:hint="eastAsia" w:ascii="宋体" w:hAnsi="宋体" w:cs="宋体"/>
        </w:rPr>
        <w:t xml:space="preserve">              企业名称（盖章）：</w:t>
      </w:r>
    </w:p>
    <w:p>
      <w:pPr>
        <w:pStyle w:val="38"/>
        <w:ind w:firstLine="4410" w:firstLineChars="2100"/>
      </w:pPr>
      <w:r>
        <w:rPr>
          <w:rFonts w:hint="eastAsia" w:ascii="宋体" w:hAnsi="宋体" w:cs="宋体"/>
        </w:rPr>
        <w:t>日期：</w:t>
      </w:r>
    </w:p>
    <w:p>
      <w:pPr>
        <w:pStyle w:val="38"/>
        <w:rPr>
          <w:rFonts w:ascii="宋体" w:hAnsi="宋体" w:cs="宋体"/>
        </w:rPr>
      </w:pPr>
    </w:p>
    <w:p>
      <w:pPr>
        <w:rPr>
          <w:rFonts w:ascii="宋体" w:hAnsi="宋体" w:cs="宋体"/>
        </w:rPr>
      </w:pPr>
    </w:p>
    <w:p>
      <w:pPr>
        <w:pStyle w:val="38"/>
        <w:rPr>
          <w:rFonts w:ascii="宋体" w:hAnsi="宋体" w:cs="宋体"/>
        </w:rPr>
      </w:pPr>
    </w:p>
    <w:p>
      <w:pPr>
        <w:spacing w:line="360" w:lineRule="auto"/>
        <w:rPr>
          <w:rFonts w:ascii="宋体" w:hAnsi="宋体" w:cs="宋体"/>
          <w:b/>
          <w:szCs w:val="21"/>
        </w:rPr>
      </w:pPr>
      <w:r>
        <w:rPr>
          <w:rFonts w:hint="eastAsia" w:ascii="宋体" w:hAnsi="宋体" w:cs="宋体"/>
          <w:b/>
          <w:szCs w:val="21"/>
        </w:rPr>
        <w:t>注：1.从业人员、营业收入、资产总额填报上一年度数据，无上一年度数据的新成立企业可不填报；</w:t>
      </w:r>
    </w:p>
    <w:p>
      <w:pPr>
        <w:pStyle w:val="38"/>
        <w:spacing w:line="360" w:lineRule="auto"/>
        <w:ind w:firstLine="422" w:firstLineChars="200"/>
        <w:rPr>
          <w:rFonts w:ascii="宋体" w:hAnsi="宋体" w:cs="宋体"/>
          <w:b/>
          <w:kern w:val="2"/>
          <w:szCs w:val="21"/>
        </w:rPr>
      </w:pPr>
      <w:r>
        <w:rPr>
          <w:rFonts w:hint="eastAsia" w:ascii="宋体" w:hAnsi="宋体" w:cs="宋体"/>
          <w:b/>
          <w:kern w:val="2"/>
          <w:szCs w:val="21"/>
        </w:rPr>
        <w:t>2.不符合《政府采购促进中小企业发展管理办法》规定的可不填写、不递交该声明；</w:t>
      </w:r>
    </w:p>
    <w:p>
      <w:pPr>
        <w:spacing w:line="360" w:lineRule="auto"/>
        <w:ind w:firstLine="422" w:firstLineChars="200"/>
        <w:rPr>
          <w:rFonts w:ascii="宋体" w:hAnsi="宋体" w:cs="宋体"/>
          <w:b/>
          <w:szCs w:val="21"/>
        </w:rPr>
      </w:pPr>
      <w:r>
        <w:rPr>
          <w:rFonts w:hint="eastAsia" w:ascii="宋体" w:hAnsi="宋体" w:cs="宋体"/>
          <w:b/>
          <w:szCs w:val="21"/>
        </w:rPr>
        <w:t>3.本“注”的文字，仅为告知，不作为文件格式要求。</w:t>
      </w:r>
    </w:p>
    <w:p/>
    <w:p>
      <w:pPr>
        <w:pStyle w:val="34"/>
        <w:spacing w:beforeAutospacing="0" w:afterAutospacing="0"/>
        <w:ind w:right="560"/>
        <w:jc w:val="both"/>
        <w:rPr>
          <w:b/>
          <w:bCs/>
          <w:sz w:val="32"/>
          <w:szCs w:val="32"/>
        </w:rPr>
      </w:pPr>
    </w:p>
    <w:p>
      <w:pPr>
        <w:pStyle w:val="34"/>
        <w:spacing w:beforeAutospacing="0" w:afterAutospacing="0"/>
        <w:ind w:right="560"/>
        <w:jc w:val="both"/>
        <w:rPr>
          <w:b/>
          <w:bCs/>
          <w:sz w:val="32"/>
          <w:szCs w:val="32"/>
        </w:rPr>
      </w:pPr>
    </w:p>
    <w:p>
      <w:pPr>
        <w:pStyle w:val="34"/>
        <w:spacing w:beforeAutospacing="0" w:afterAutospacing="0"/>
        <w:ind w:right="560"/>
        <w:jc w:val="both"/>
        <w:rPr>
          <w:b/>
          <w:bCs/>
          <w:sz w:val="32"/>
          <w:szCs w:val="32"/>
        </w:rPr>
      </w:pPr>
    </w:p>
    <w:p>
      <w:pPr>
        <w:pStyle w:val="34"/>
        <w:spacing w:beforeAutospacing="0" w:afterAutospacing="0"/>
        <w:ind w:right="560"/>
        <w:jc w:val="both"/>
        <w:rPr>
          <w:b/>
          <w:bCs/>
          <w:sz w:val="32"/>
          <w:szCs w:val="32"/>
        </w:rPr>
      </w:pPr>
    </w:p>
    <w:p>
      <w:pPr>
        <w:pStyle w:val="34"/>
        <w:spacing w:beforeAutospacing="0" w:afterAutospacing="0"/>
        <w:ind w:right="560"/>
        <w:jc w:val="both"/>
        <w:rPr>
          <w:b/>
          <w:bCs/>
          <w:sz w:val="32"/>
          <w:szCs w:val="32"/>
        </w:rPr>
      </w:pPr>
    </w:p>
    <w:p>
      <w:pPr>
        <w:pStyle w:val="34"/>
        <w:spacing w:beforeAutospacing="0" w:afterAutospacing="0"/>
        <w:ind w:right="560"/>
        <w:jc w:val="both"/>
        <w:rPr>
          <w:b/>
          <w:bCs/>
          <w:sz w:val="32"/>
          <w:szCs w:val="32"/>
        </w:rPr>
      </w:pPr>
    </w:p>
    <w:bookmarkEnd w:id="116"/>
    <w:bookmarkEnd w:id="117"/>
    <w:p>
      <w:pPr>
        <w:pStyle w:val="4"/>
        <w:numPr>
          <w:ilvl w:val="0"/>
          <w:numId w:val="8"/>
        </w:numPr>
        <w:spacing w:line="360" w:lineRule="auto"/>
        <w:rPr>
          <w:rFonts w:ascii="宋体" w:hAnsi="宋体" w:cs="宋体"/>
          <w:sz w:val="32"/>
          <w:szCs w:val="32"/>
        </w:rPr>
      </w:pPr>
      <w:bookmarkStart w:id="143" w:name="_Toc15846"/>
      <w:bookmarkStart w:id="144" w:name="_Toc487805932"/>
      <w:bookmarkStart w:id="145" w:name="_Toc406663316"/>
      <w:bookmarkStart w:id="146" w:name="_Toc490161471"/>
      <w:bookmarkStart w:id="147" w:name="_Toc5506"/>
      <w:bookmarkStart w:id="148" w:name="_Toc1661"/>
      <w:bookmarkStart w:id="149" w:name="_Toc477423256"/>
      <w:bookmarkStart w:id="150" w:name="_Toc23619"/>
      <w:bookmarkStart w:id="151" w:name="_Toc428525390"/>
      <w:bookmarkStart w:id="152" w:name="_Toc428454062"/>
      <w:bookmarkStart w:id="153" w:name="_Toc364490446"/>
      <w:bookmarkStart w:id="154" w:name="_Toc214329904"/>
      <w:bookmarkStart w:id="155" w:name="_Toc373230045"/>
      <w:bookmarkStart w:id="156" w:name="_Toc408816356"/>
      <w:bookmarkStart w:id="157" w:name="_Toc25878"/>
      <w:bookmarkStart w:id="158" w:name="_Toc374512433"/>
      <w:r>
        <w:rPr>
          <w:rFonts w:hint="eastAsia" w:ascii="宋体" w:hAnsi="宋体" w:cs="宋体"/>
          <w:sz w:val="32"/>
          <w:szCs w:val="32"/>
        </w:rPr>
        <w:t>法定代表人身份证明或授权委托书</w:t>
      </w:r>
      <w:bookmarkEnd w:id="143"/>
      <w:bookmarkEnd w:id="144"/>
      <w:bookmarkEnd w:id="145"/>
      <w:bookmarkEnd w:id="146"/>
      <w:bookmarkEnd w:id="147"/>
      <w:bookmarkEnd w:id="148"/>
      <w:bookmarkEnd w:id="149"/>
      <w:bookmarkEnd w:id="150"/>
      <w:bookmarkEnd w:id="151"/>
      <w:bookmarkEnd w:id="152"/>
    </w:p>
    <w:p>
      <w:pPr>
        <w:spacing w:line="460" w:lineRule="exact"/>
        <w:jc w:val="center"/>
        <w:rPr>
          <w:rFonts w:ascii="宋体" w:hAnsi="宋体" w:cs="宋体"/>
          <w:b/>
          <w:sz w:val="24"/>
          <w:szCs w:val="24"/>
        </w:rPr>
      </w:pPr>
      <w:r>
        <w:rPr>
          <w:rFonts w:hint="eastAsia" w:ascii="宋体" w:hAnsi="宋体" w:cs="宋体"/>
          <w:b/>
          <w:sz w:val="24"/>
          <w:szCs w:val="24"/>
        </w:rPr>
        <w:t>法定代表人身份证明</w:t>
      </w:r>
    </w:p>
    <w:p>
      <w:pPr>
        <w:pStyle w:val="59"/>
        <w:rPr>
          <w:rFonts w:ascii="宋体" w:hAnsi="宋体" w:cs="宋体"/>
        </w:rPr>
      </w:pPr>
    </w:p>
    <w:p>
      <w:pPr>
        <w:spacing w:line="460" w:lineRule="exact"/>
        <w:rPr>
          <w:rFonts w:ascii="宋体" w:hAnsi="宋体" w:cs="宋体"/>
          <w:sz w:val="24"/>
          <w:szCs w:val="24"/>
        </w:rPr>
      </w:pPr>
    </w:p>
    <w:p>
      <w:pPr>
        <w:spacing w:line="460" w:lineRule="exact"/>
        <w:ind w:firstLine="480" w:firstLineChars="2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spacing w:line="460" w:lineRule="exact"/>
        <w:ind w:firstLine="480" w:firstLineChars="200"/>
        <w:rPr>
          <w:rFonts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pPr>
        <w:spacing w:line="460" w:lineRule="exact"/>
        <w:ind w:firstLine="480" w:firstLineChars="200"/>
        <w:rPr>
          <w:rFonts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（供应商名称）</w:t>
      </w:r>
      <w:r>
        <w:rPr>
          <w:rFonts w:hint="eastAsia" w:ascii="宋体" w:hAnsi="宋体" w:cs="宋体"/>
          <w:sz w:val="24"/>
        </w:rPr>
        <w:t>设立登记证书号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_______________的法定代表人。</w:t>
      </w:r>
    </w:p>
    <w:p>
      <w:pPr>
        <w:spacing w:line="460" w:lineRule="exact"/>
        <w:ind w:firstLine="960" w:firstLineChars="400"/>
        <w:rPr>
          <w:rFonts w:ascii="宋体" w:hAnsi="宋体" w:cs="宋体"/>
          <w:sz w:val="24"/>
          <w:szCs w:val="24"/>
        </w:rPr>
      </w:pPr>
      <w:r>
        <w:rPr>
          <w:rFonts w:hint="eastAsia" w:ascii="宋体" w:hAnsi="宋体" w:cs="宋体"/>
          <w:sz w:val="24"/>
          <w:szCs w:val="24"/>
        </w:rPr>
        <w:t>特此证明。</w:t>
      </w:r>
    </w:p>
    <w:p>
      <w:pPr>
        <w:spacing w:line="460" w:lineRule="exact"/>
        <w:ind w:firstLine="480" w:firstLineChars="200"/>
        <w:rPr>
          <w:rFonts w:ascii="宋体" w:hAnsi="宋体" w:cs="宋体"/>
          <w:sz w:val="24"/>
          <w:szCs w:val="24"/>
        </w:rPr>
      </w:pPr>
    </w:p>
    <w:p>
      <w:pPr>
        <w:spacing w:line="460" w:lineRule="exact"/>
        <w:ind w:firstLine="480" w:firstLineChars="200"/>
        <w:rPr>
          <w:rFonts w:ascii="宋体" w:hAnsi="宋体" w:cs="宋体"/>
          <w:sz w:val="24"/>
          <w:szCs w:val="24"/>
        </w:rPr>
      </w:pPr>
    </w:p>
    <w:p>
      <w:pPr>
        <w:spacing w:line="360" w:lineRule="auto"/>
        <w:jc w:val="center"/>
        <w:rPr>
          <w:rFonts w:ascii="宋体" w:hAnsi="宋体" w:cs="宋体"/>
          <w:sz w:val="24"/>
        </w:rPr>
      </w:pPr>
      <w:r>
        <w:rPr>
          <w:rFonts w:hint="eastAsia" w:ascii="宋体" w:hAnsi="宋体" w:cs="宋体"/>
          <w:sz w:val="24"/>
        </w:rPr>
        <w:t>供应商名称（全称并加盖公章）：</w:t>
      </w:r>
    </w:p>
    <w:p>
      <w:pPr>
        <w:spacing w:line="360" w:lineRule="auto"/>
        <w:ind w:firstLine="4515" w:firstLineChars="2150"/>
        <w:rPr>
          <w:rFonts w:ascii="宋体" w:hAnsi="宋体" w:cs="宋体"/>
          <w:szCs w:val="21"/>
          <w:u w:val="single"/>
        </w:rPr>
      </w:pPr>
    </w:p>
    <w:p>
      <w:pPr>
        <w:spacing w:line="360" w:lineRule="auto"/>
        <w:ind w:firstLine="4725" w:firstLineChars="225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360" w:lineRule="auto"/>
        <w:jc w:val="center"/>
        <w:rPr>
          <w:rFonts w:ascii="宋体" w:hAnsi="宋体" w:cs="宋体"/>
          <w:b/>
          <w:szCs w:val="21"/>
        </w:rPr>
      </w:pPr>
    </w:p>
    <w:p>
      <w:pPr>
        <w:spacing w:line="360" w:lineRule="auto"/>
        <w:jc w:val="center"/>
        <w:rPr>
          <w:rFonts w:ascii="宋体" w:hAnsi="宋体" w:cs="宋体"/>
          <w:b/>
          <w:szCs w:val="21"/>
        </w:rPr>
      </w:pPr>
    </w:p>
    <w:p>
      <w:pPr>
        <w:spacing w:line="360" w:lineRule="auto"/>
        <w:rPr>
          <w:rFonts w:ascii="宋体" w:hAnsi="宋体" w:cs="宋体"/>
          <w:b/>
          <w:bCs/>
          <w:szCs w:val="21"/>
        </w:rPr>
      </w:pPr>
      <w:r>
        <w:rPr>
          <w:rFonts w:hint="eastAsia" w:ascii="宋体" w:hAnsi="宋体" w:cs="宋体"/>
          <w:b/>
          <w:bCs/>
          <w:szCs w:val="21"/>
        </w:rPr>
        <w:t>注：附法定代表人身份证（正反两面）复印件。</w:t>
      </w:r>
    </w:p>
    <w:p>
      <w:pPr>
        <w:spacing w:line="360" w:lineRule="auto"/>
        <w:jc w:val="center"/>
        <w:rPr>
          <w:rFonts w:ascii="宋体" w:hAnsi="宋体" w:cs="宋体"/>
          <w:b/>
          <w:szCs w:val="21"/>
        </w:rPr>
      </w:pPr>
    </w:p>
    <w:p>
      <w:pPr>
        <w:spacing w:line="460" w:lineRule="exact"/>
        <w:jc w:val="center"/>
        <w:rPr>
          <w:rFonts w:ascii="宋体" w:hAnsi="宋体" w:cs="宋体"/>
          <w:b/>
          <w:sz w:val="24"/>
          <w:szCs w:val="24"/>
        </w:rPr>
      </w:pPr>
    </w:p>
    <w:p>
      <w:pPr>
        <w:spacing w:line="460" w:lineRule="exact"/>
        <w:jc w:val="center"/>
        <w:rPr>
          <w:rFonts w:ascii="宋体" w:hAnsi="宋体" w:cs="宋体"/>
          <w:b/>
          <w:sz w:val="24"/>
          <w:szCs w:val="24"/>
        </w:rPr>
      </w:pPr>
    </w:p>
    <w:p>
      <w:pPr>
        <w:spacing w:line="460" w:lineRule="exact"/>
        <w:jc w:val="center"/>
        <w:rPr>
          <w:rFonts w:ascii="宋体" w:hAnsi="宋体" w:cs="宋体"/>
          <w:b/>
          <w:sz w:val="24"/>
          <w:szCs w:val="24"/>
        </w:rPr>
      </w:pPr>
    </w:p>
    <w:p>
      <w:pPr>
        <w:spacing w:line="460" w:lineRule="exact"/>
        <w:jc w:val="center"/>
        <w:rPr>
          <w:rFonts w:ascii="宋体" w:hAnsi="宋体" w:cs="宋体"/>
          <w:b/>
          <w:sz w:val="24"/>
          <w:szCs w:val="24"/>
        </w:rPr>
      </w:pPr>
    </w:p>
    <w:p>
      <w:pPr>
        <w:spacing w:line="460" w:lineRule="exact"/>
        <w:jc w:val="center"/>
        <w:rPr>
          <w:rFonts w:ascii="宋体" w:hAnsi="宋体" w:cs="宋体"/>
          <w:b/>
          <w:sz w:val="24"/>
          <w:szCs w:val="24"/>
        </w:rPr>
      </w:pPr>
    </w:p>
    <w:p>
      <w:pPr>
        <w:spacing w:line="460" w:lineRule="exact"/>
        <w:jc w:val="center"/>
        <w:rPr>
          <w:rFonts w:ascii="宋体" w:hAnsi="宋体" w:cs="宋体"/>
          <w:b/>
          <w:sz w:val="24"/>
          <w:szCs w:val="24"/>
        </w:rPr>
      </w:pPr>
    </w:p>
    <w:p>
      <w:pPr>
        <w:spacing w:line="460" w:lineRule="exact"/>
        <w:jc w:val="center"/>
        <w:rPr>
          <w:rFonts w:ascii="宋体" w:hAnsi="宋体" w:cs="宋体"/>
          <w:b/>
          <w:sz w:val="24"/>
          <w:szCs w:val="24"/>
        </w:rPr>
      </w:pPr>
    </w:p>
    <w:p>
      <w:pPr>
        <w:spacing w:line="460" w:lineRule="exact"/>
        <w:jc w:val="center"/>
        <w:rPr>
          <w:rFonts w:ascii="宋体" w:hAnsi="宋体" w:cs="宋体"/>
          <w:b/>
          <w:sz w:val="24"/>
          <w:szCs w:val="24"/>
        </w:rPr>
      </w:pPr>
      <w:r>
        <w:rPr>
          <w:rFonts w:hint="eastAsia" w:ascii="宋体" w:hAnsi="宋体" w:cs="宋体"/>
          <w:b/>
          <w:sz w:val="24"/>
          <w:szCs w:val="24"/>
        </w:rPr>
        <w:t>授权委托书</w:t>
      </w:r>
    </w:p>
    <w:p>
      <w:pPr>
        <w:spacing w:line="460" w:lineRule="exact"/>
        <w:jc w:val="center"/>
        <w:rPr>
          <w:rFonts w:ascii="宋体" w:hAnsi="宋体" w:cs="宋体"/>
          <w:sz w:val="24"/>
          <w:szCs w:val="24"/>
        </w:rPr>
      </w:pPr>
    </w:p>
    <w:p>
      <w:pPr>
        <w:wordWrap w:val="0"/>
        <w:spacing w:line="360" w:lineRule="auto"/>
        <w:ind w:left="420" w:leftChars="200" w:firstLine="420" w:firstLineChars="200"/>
        <w:jc w:val="left"/>
        <w:rPr>
          <w:rFonts w:ascii="宋体" w:hAnsi="宋体" w:cs="宋体"/>
          <w:szCs w:val="21"/>
        </w:rPr>
      </w:pPr>
      <w:bookmarkStart w:id="159" w:name="_Toc15453"/>
      <w:bookmarkStart w:id="160" w:name="_Toc487805933"/>
      <w:bookmarkStart w:id="161" w:name="_Toc477423257"/>
      <w:bookmarkStart w:id="162" w:name="_Toc476045985"/>
      <w:bookmarkStart w:id="163" w:name="_Toc475955191"/>
      <w:bookmarkStart w:id="164" w:name="_Toc490161472"/>
      <w:bookmarkStart w:id="165" w:name="_Toc428454066"/>
      <w:bookmarkStart w:id="166" w:name="_Toc428525391"/>
      <w:r>
        <w:rPr>
          <w:rFonts w:hint="eastAsia" w:ascii="宋体" w:hAnsi="宋体" w:cs="宋体"/>
          <w:szCs w:val="21"/>
        </w:rPr>
        <w:t>本授权委托声明：我</w:t>
      </w:r>
      <w:r>
        <w:rPr>
          <w:rFonts w:hint="eastAsia" w:ascii="宋体" w:hAnsi="宋体" w:cs="宋体"/>
          <w:szCs w:val="21"/>
          <w:u w:val="single"/>
        </w:rPr>
        <w:t>　　     　</w:t>
      </w:r>
      <w:r>
        <w:rPr>
          <w:rFonts w:hint="eastAsia" w:ascii="宋体" w:hAnsi="宋体" w:cs="宋体"/>
          <w:szCs w:val="21"/>
        </w:rPr>
        <w:t>（姓名）系</w:t>
      </w:r>
      <w:r>
        <w:rPr>
          <w:rFonts w:hint="eastAsia" w:ascii="宋体" w:hAnsi="宋体" w:cs="宋体"/>
          <w:szCs w:val="21"/>
          <w:u w:val="single"/>
        </w:rPr>
        <w:t xml:space="preserve">　            </w:t>
      </w:r>
      <w:r>
        <w:rPr>
          <w:rFonts w:hint="eastAsia" w:ascii="宋体" w:hAnsi="宋体" w:cs="宋体"/>
          <w:szCs w:val="21"/>
        </w:rPr>
        <w:t>（供应商名称）的法定代表人，现授权委托</w:t>
      </w:r>
      <w:r>
        <w:rPr>
          <w:rFonts w:hint="eastAsia" w:ascii="宋体" w:hAnsi="宋体" w:cs="宋体"/>
          <w:szCs w:val="21"/>
          <w:u w:val="single"/>
        </w:rPr>
        <w:t xml:space="preserve">           </w:t>
      </w:r>
      <w:r>
        <w:rPr>
          <w:rFonts w:hint="eastAsia" w:ascii="宋体" w:hAnsi="宋体" w:cs="宋体"/>
          <w:szCs w:val="21"/>
        </w:rPr>
        <w:t>（单位名称）的</w:t>
      </w:r>
      <w:r>
        <w:rPr>
          <w:rFonts w:hint="eastAsia" w:ascii="宋体" w:hAnsi="宋体" w:cs="宋体"/>
          <w:szCs w:val="21"/>
          <w:u w:val="single"/>
        </w:rPr>
        <w:t xml:space="preserve">　　     </w:t>
      </w:r>
      <w:r>
        <w:rPr>
          <w:rFonts w:hint="eastAsia" w:ascii="宋体" w:hAnsi="宋体" w:cs="宋体"/>
          <w:szCs w:val="21"/>
        </w:rPr>
        <w:t>（姓名）为我单位代理人，以本单位的名义参加</w:t>
      </w:r>
      <w:r>
        <w:rPr>
          <w:rFonts w:hint="eastAsia" w:ascii="宋体" w:hAnsi="宋体" w:cs="宋体"/>
          <w:szCs w:val="21"/>
          <w:u w:val="single"/>
        </w:rPr>
        <w:t xml:space="preserve">           </w:t>
      </w:r>
      <w:r>
        <w:rPr>
          <w:rFonts w:hint="eastAsia" w:ascii="宋体" w:hAnsi="宋体" w:cs="宋体"/>
          <w:szCs w:val="21"/>
        </w:rPr>
        <w:t>（项目名称）（项目编号：</w:t>
      </w:r>
      <w:r>
        <w:rPr>
          <w:rFonts w:hint="eastAsia" w:ascii="宋体" w:hAnsi="宋体" w:cs="宋体"/>
          <w:szCs w:val="21"/>
          <w:u w:val="single"/>
        </w:rPr>
        <w:t xml:space="preserve">        </w:t>
      </w:r>
      <w:r>
        <w:rPr>
          <w:rFonts w:hint="eastAsia" w:ascii="宋体" w:hAnsi="宋体" w:cs="宋体"/>
          <w:szCs w:val="21"/>
        </w:rPr>
        <w:t>）的采购活动。代理人在谈判、评审、合同谈判过程中所签署的一切文件和处理与之有关的一切事务，我均予以承认。</w:t>
      </w:r>
    </w:p>
    <w:p>
      <w:pPr>
        <w:wordWrap w:val="0"/>
        <w:spacing w:line="360" w:lineRule="auto"/>
        <w:ind w:firstLine="840" w:firstLineChars="400"/>
        <w:rPr>
          <w:rFonts w:ascii="宋体" w:hAnsi="宋体" w:cs="宋体"/>
          <w:szCs w:val="21"/>
        </w:rPr>
      </w:pPr>
      <w:r>
        <w:rPr>
          <w:rFonts w:hint="eastAsia" w:ascii="宋体" w:hAnsi="宋体" w:cs="宋体"/>
          <w:szCs w:val="21"/>
        </w:rPr>
        <w:t>代理人无转委托权，特此声明。</w:t>
      </w:r>
    </w:p>
    <w:p>
      <w:pPr>
        <w:spacing w:line="360" w:lineRule="auto"/>
        <w:ind w:firstLine="352" w:firstLineChars="168"/>
        <w:rPr>
          <w:rFonts w:ascii="宋体" w:hAnsi="宋体" w:cs="宋体"/>
          <w:szCs w:val="21"/>
        </w:rPr>
      </w:pPr>
    </w:p>
    <w:p>
      <w:pPr>
        <w:spacing w:line="360" w:lineRule="auto"/>
        <w:rPr>
          <w:rFonts w:ascii="宋体" w:hAnsi="宋体" w:cs="宋体"/>
          <w:szCs w:val="21"/>
        </w:rPr>
      </w:pPr>
    </w:p>
    <w:p>
      <w:pPr>
        <w:spacing w:line="360" w:lineRule="auto"/>
        <w:jc w:val="center"/>
        <w:rPr>
          <w:rFonts w:ascii="宋体" w:hAnsi="宋体" w:cs="宋体"/>
          <w:szCs w:val="21"/>
        </w:rPr>
      </w:pPr>
      <w:r>
        <w:rPr>
          <w:rFonts w:hint="eastAsia" w:ascii="宋体" w:hAnsi="宋体" w:cs="宋体"/>
          <w:szCs w:val="21"/>
        </w:rPr>
        <w:t>供应商名称（全称并加盖公章）：</w:t>
      </w:r>
    </w:p>
    <w:p>
      <w:pPr>
        <w:spacing w:line="360" w:lineRule="auto"/>
        <w:rPr>
          <w:rFonts w:ascii="宋体" w:hAnsi="宋体" w:cs="宋体"/>
          <w:szCs w:val="21"/>
          <w:u w:val="single"/>
        </w:rPr>
      </w:pPr>
      <w:r>
        <w:rPr>
          <w:rFonts w:hint="eastAsia" w:ascii="宋体" w:hAnsi="宋体" w:cs="宋体"/>
          <w:szCs w:val="21"/>
        </w:rPr>
        <w:t xml:space="preserve">                             法定代表人（签名或盖章）：</w:t>
      </w:r>
    </w:p>
    <w:p>
      <w:pPr>
        <w:spacing w:line="360" w:lineRule="auto"/>
        <w:rPr>
          <w:rFonts w:ascii="宋体" w:hAnsi="宋体" w:cs="宋体"/>
          <w:szCs w:val="21"/>
          <w:u w:val="single"/>
        </w:rPr>
      </w:pPr>
      <w:r>
        <w:rPr>
          <w:rFonts w:hint="eastAsia" w:ascii="宋体" w:hAnsi="宋体" w:cs="宋体"/>
          <w:szCs w:val="21"/>
        </w:rPr>
        <w:t xml:space="preserve">                             委托代理人（签名或盖章）：</w:t>
      </w:r>
    </w:p>
    <w:p>
      <w:pPr>
        <w:spacing w:line="360" w:lineRule="auto"/>
        <w:ind w:firstLine="4830" w:firstLineChars="2300"/>
        <w:rPr>
          <w:rFonts w:ascii="宋体" w:hAnsi="宋体" w:cs="宋体"/>
          <w:szCs w:val="21"/>
        </w:rPr>
      </w:pPr>
      <w:r>
        <w:rPr>
          <w:rFonts w:hint="eastAsia" w:ascii="宋体" w:hAnsi="宋体" w:cs="宋体"/>
          <w:szCs w:val="21"/>
        </w:rPr>
        <w:t>日      期：</w:t>
      </w:r>
      <w:r>
        <w:rPr>
          <w:rFonts w:hint="eastAsia" w:ascii="宋体" w:hAnsi="宋体" w:cs="宋体"/>
          <w:szCs w:val="21"/>
          <w:u w:val="single"/>
        </w:rPr>
        <w:t>　　</w:t>
      </w:r>
      <w:r>
        <w:rPr>
          <w:rFonts w:hint="eastAsia" w:ascii="宋体" w:hAnsi="宋体" w:cs="宋体"/>
          <w:szCs w:val="21"/>
        </w:rPr>
        <w:t>年</w:t>
      </w:r>
      <w:r>
        <w:rPr>
          <w:rFonts w:hint="eastAsia" w:ascii="宋体" w:hAnsi="宋体" w:cs="宋体"/>
          <w:szCs w:val="21"/>
          <w:u w:val="single"/>
        </w:rPr>
        <w:t>　　</w:t>
      </w:r>
      <w:r>
        <w:rPr>
          <w:rFonts w:hint="eastAsia" w:ascii="宋体" w:hAnsi="宋体" w:cs="宋体"/>
          <w:szCs w:val="21"/>
        </w:rPr>
        <w:t>月</w:t>
      </w:r>
      <w:r>
        <w:rPr>
          <w:rFonts w:hint="eastAsia" w:ascii="宋体" w:hAnsi="宋体" w:cs="宋体"/>
          <w:szCs w:val="21"/>
          <w:u w:val="single"/>
        </w:rPr>
        <w:t>　　</w:t>
      </w:r>
      <w:r>
        <w:rPr>
          <w:rFonts w:hint="eastAsia" w:ascii="宋体" w:hAnsi="宋体" w:cs="宋体"/>
          <w:szCs w:val="21"/>
        </w:rPr>
        <w:t>日</w:t>
      </w:r>
    </w:p>
    <w:p>
      <w:pPr>
        <w:spacing w:line="360" w:lineRule="auto"/>
        <w:ind w:firstLine="562" w:firstLineChars="268"/>
        <w:rPr>
          <w:rFonts w:ascii="宋体" w:hAnsi="宋体" w:cs="宋体"/>
          <w:szCs w:val="21"/>
        </w:rPr>
      </w:pPr>
    </w:p>
    <w:p>
      <w:pPr>
        <w:spacing w:line="360" w:lineRule="auto"/>
        <w:ind w:firstLine="422" w:firstLineChars="200"/>
        <w:jc w:val="left"/>
        <w:rPr>
          <w:rFonts w:ascii="宋体" w:hAnsi="宋体" w:cs="宋体"/>
          <w:szCs w:val="21"/>
        </w:rPr>
      </w:pPr>
      <w:r>
        <w:rPr>
          <w:rFonts w:hint="eastAsia" w:ascii="宋体" w:hAnsi="宋体" w:cs="宋体"/>
          <w:b/>
          <w:bCs/>
          <w:szCs w:val="21"/>
        </w:rPr>
        <w:t>注： 1.附委托代理人身份证（正反两面）复印件</w:t>
      </w:r>
    </w:p>
    <w:p>
      <w:pPr>
        <w:pStyle w:val="87"/>
        <w:ind w:firstLine="964" w:firstLineChars="400"/>
        <w:rPr>
          <w:rFonts w:ascii="宋体" w:hAnsi="宋体" w:cs="宋体"/>
        </w:rPr>
        <w:sectPr>
          <w:headerReference r:id="rId13" w:type="first"/>
          <w:footerReference r:id="rId15" w:type="first"/>
          <w:headerReference r:id="rId12" w:type="default"/>
          <w:footerReference r:id="rId14" w:type="default"/>
          <w:type w:val="nextColumn"/>
          <w:pgSz w:w="11906" w:h="16838"/>
          <w:pgMar w:top="1440" w:right="1134" w:bottom="1440" w:left="1474" w:header="851" w:footer="992" w:gutter="0"/>
          <w:cols w:space="720" w:num="1"/>
          <w:titlePg/>
          <w:docGrid w:type="lines" w:linePitch="312" w:charSpace="0"/>
        </w:sectPr>
      </w:pPr>
      <w:r>
        <w:rPr>
          <w:rFonts w:hint="eastAsia" w:ascii="宋体" w:hAnsi="宋体" w:cs="宋体"/>
          <w:b/>
        </w:rPr>
        <w:t>2.如是法定代表人参加磋商的，可不提供</w:t>
      </w:r>
      <w:bookmarkEnd w:id="159"/>
      <w:bookmarkEnd w:id="160"/>
      <w:bookmarkEnd w:id="161"/>
      <w:bookmarkEnd w:id="162"/>
      <w:bookmarkEnd w:id="163"/>
      <w:bookmarkEnd w:id="164"/>
      <w:bookmarkStart w:id="167" w:name="_Toc487805935"/>
      <w:bookmarkStart w:id="168" w:name="_Toc477423259"/>
      <w:bookmarkStart w:id="169" w:name="_Toc17258"/>
      <w:bookmarkStart w:id="170" w:name="_Toc490161474"/>
      <w:r>
        <w:rPr>
          <w:rFonts w:hint="eastAsia" w:ascii="宋体" w:hAnsi="宋体" w:cs="宋体"/>
          <w:b/>
        </w:rPr>
        <w:t>此项。</w:t>
      </w:r>
    </w:p>
    <w:p>
      <w:pPr>
        <w:pStyle w:val="4"/>
        <w:numPr>
          <w:ilvl w:val="0"/>
          <w:numId w:val="8"/>
        </w:numPr>
        <w:spacing w:line="360" w:lineRule="auto"/>
        <w:rPr>
          <w:rFonts w:ascii="宋体" w:hAnsi="宋体" w:cs="宋体"/>
          <w:sz w:val="32"/>
          <w:szCs w:val="32"/>
        </w:rPr>
      </w:pPr>
      <w:bookmarkStart w:id="171" w:name="_Toc12027"/>
      <w:bookmarkStart w:id="172" w:name="_Toc5526"/>
      <w:bookmarkStart w:id="173" w:name="_Toc12967"/>
      <w:bookmarkStart w:id="174" w:name="_Toc529865893"/>
      <w:r>
        <w:rPr>
          <w:rFonts w:hint="eastAsia" w:ascii="宋体" w:hAnsi="宋体" w:cs="宋体"/>
          <w:sz w:val="32"/>
          <w:szCs w:val="32"/>
        </w:rPr>
        <w:t>残疾人福利性单位声明函</w:t>
      </w:r>
      <w:bookmarkEnd w:id="171"/>
      <w:bookmarkEnd w:id="172"/>
      <w:bookmarkEnd w:id="173"/>
      <w:bookmarkEnd w:id="174"/>
    </w:p>
    <w:p>
      <w:pPr>
        <w:spacing w:line="588" w:lineRule="exact"/>
        <w:rPr>
          <w:rFonts w:ascii="宋体" w:hAnsi="宋体" w:cs="宋体"/>
          <w:b/>
          <w:spacing w:val="6"/>
          <w:sz w:val="30"/>
          <w:szCs w:val="30"/>
        </w:rPr>
      </w:pPr>
    </w:p>
    <w:p>
      <w:pPr>
        <w:spacing w:line="588" w:lineRule="exact"/>
        <w:ind w:firstLine="504" w:firstLineChars="200"/>
        <w:rPr>
          <w:rFonts w:ascii="宋体" w:hAnsi="宋体" w:cs="宋体"/>
          <w:spacing w:val="6"/>
          <w:sz w:val="24"/>
          <w:szCs w:val="24"/>
        </w:rPr>
      </w:pP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pPr>
        <w:spacing w:line="588" w:lineRule="exact"/>
        <w:ind w:firstLine="504" w:firstLineChars="200"/>
        <w:rPr>
          <w:rFonts w:ascii="宋体" w:hAnsi="宋体" w:cs="宋体"/>
          <w:spacing w:val="6"/>
          <w:sz w:val="24"/>
          <w:szCs w:val="24"/>
        </w:rPr>
      </w:pPr>
    </w:p>
    <w:p>
      <w:pPr>
        <w:spacing w:line="588" w:lineRule="exact"/>
        <w:ind w:firstLine="504" w:firstLineChars="200"/>
        <w:rPr>
          <w:rFonts w:ascii="宋体" w:hAnsi="宋体" w:cs="宋体"/>
          <w:spacing w:val="6"/>
          <w:sz w:val="24"/>
          <w:szCs w:val="24"/>
        </w:rPr>
      </w:pPr>
    </w:p>
    <w:p>
      <w:pPr>
        <w:tabs>
          <w:tab w:val="left" w:pos="4860"/>
        </w:tabs>
        <w:spacing w:line="588" w:lineRule="exact"/>
        <w:ind w:right="1560" w:firstLine="504" w:firstLineChars="200"/>
        <w:jc w:val="right"/>
        <w:rPr>
          <w:rFonts w:ascii="宋体" w:hAnsi="宋体" w:cs="宋体"/>
          <w:spacing w:val="6"/>
          <w:sz w:val="24"/>
          <w:szCs w:val="24"/>
        </w:rPr>
      </w:pPr>
      <w:r>
        <w:rPr>
          <w:rFonts w:hint="eastAsia" w:ascii="宋体" w:hAnsi="宋体" w:cs="宋体"/>
          <w:spacing w:val="6"/>
          <w:sz w:val="24"/>
          <w:szCs w:val="24"/>
        </w:rPr>
        <w:t xml:space="preserve">               单位名称（盖章）：</w:t>
      </w:r>
    </w:p>
    <w:p>
      <w:pPr>
        <w:tabs>
          <w:tab w:val="left" w:pos="4860"/>
        </w:tabs>
        <w:spacing w:line="588" w:lineRule="exact"/>
        <w:ind w:right="1560" w:firstLine="504" w:firstLineChars="200"/>
        <w:jc w:val="right"/>
        <w:rPr>
          <w:rFonts w:ascii="宋体" w:hAnsi="宋体" w:cs="宋体"/>
          <w:spacing w:val="6"/>
          <w:sz w:val="24"/>
          <w:szCs w:val="24"/>
        </w:rPr>
      </w:pPr>
      <w:r>
        <w:rPr>
          <w:rFonts w:hint="eastAsia" w:ascii="宋体" w:hAnsi="宋体" w:cs="宋体"/>
          <w:spacing w:val="6"/>
          <w:sz w:val="24"/>
          <w:szCs w:val="24"/>
        </w:rPr>
        <w:t xml:space="preserve">       日  期：</w:t>
      </w:r>
    </w:p>
    <w:p>
      <w:pPr>
        <w:spacing w:line="360" w:lineRule="auto"/>
        <w:rPr>
          <w:rFonts w:ascii="宋体" w:hAnsi="宋体" w:cs="宋体"/>
          <w:b/>
          <w:bCs/>
          <w:sz w:val="24"/>
          <w:szCs w:val="24"/>
        </w:rPr>
      </w:pPr>
      <w:r>
        <w:rPr>
          <w:rFonts w:hint="eastAsia" w:ascii="宋体" w:hAnsi="宋体" w:cs="宋体"/>
          <w:sz w:val="24"/>
          <w:szCs w:val="24"/>
        </w:rPr>
        <w:t>说明：</w:t>
      </w:r>
      <w:r>
        <w:rPr>
          <w:rFonts w:hint="eastAsia" w:ascii="宋体" w:hAnsi="宋体" w:cs="宋体"/>
          <w:b/>
          <w:bCs/>
          <w:sz w:val="24"/>
          <w:szCs w:val="24"/>
        </w:rPr>
        <w:t>非残疾人福利性单位无需填写、递交该声明。</w:t>
      </w:r>
    </w:p>
    <w:p>
      <w:pPr>
        <w:widowControl/>
        <w:spacing w:line="580" w:lineRule="atLeast"/>
        <w:rPr>
          <w:rFonts w:ascii="宋体" w:hAnsi="宋体" w:cs="宋体"/>
          <w:sz w:val="24"/>
          <w:szCs w:val="24"/>
        </w:rPr>
      </w:pPr>
    </w:p>
    <w:p>
      <w:pPr>
        <w:widowControl/>
        <w:spacing w:line="580" w:lineRule="atLeast"/>
        <w:rPr>
          <w:rFonts w:ascii="宋体" w:hAnsi="宋体" w:cs="宋体"/>
          <w:sz w:val="24"/>
          <w:szCs w:val="24"/>
        </w:rPr>
      </w:pPr>
    </w:p>
    <w:p>
      <w:pPr>
        <w:widowControl/>
        <w:spacing w:line="580" w:lineRule="atLeast"/>
        <w:rPr>
          <w:rFonts w:ascii="宋体" w:hAnsi="宋体" w:cs="宋体"/>
          <w:sz w:val="24"/>
          <w:szCs w:val="24"/>
        </w:rPr>
      </w:pPr>
    </w:p>
    <w:p>
      <w:pPr>
        <w:widowControl/>
        <w:spacing w:line="580" w:lineRule="atLeast"/>
        <w:rPr>
          <w:rFonts w:ascii="宋体" w:hAnsi="宋体" w:cs="宋体"/>
          <w:sz w:val="24"/>
          <w:szCs w:val="24"/>
        </w:rPr>
      </w:pPr>
    </w:p>
    <w:p>
      <w:pPr>
        <w:pStyle w:val="38"/>
      </w:pPr>
    </w:p>
    <w:p>
      <w:pPr>
        <w:widowControl/>
        <w:spacing w:line="580" w:lineRule="atLeast"/>
        <w:rPr>
          <w:rFonts w:ascii="宋体" w:hAnsi="宋体" w:cs="宋体"/>
          <w:sz w:val="24"/>
          <w:szCs w:val="24"/>
        </w:rPr>
      </w:pPr>
    </w:p>
    <w:p>
      <w:pPr>
        <w:widowControl/>
        <w:spacing w:line="580" w:lineRule="atLeast"/>
        <w:rPr>
          <w:rFonts w:ascii="宋体" w:hAnsi="宋体" w:cs="宋体"/>
          <w:sz w:val="24"/>
          <w:szCs w:val="24"/>
        </w:rPr>
      </w:pPr>
    </w:p>
    <w:p>
      <w:pPr>
        <w:pStyle w:val="2"/>
      </w:pPr>
    </w:p>
    <w:p>
      <w:pPr>
        <w:widowControl/>
        <w:spacing w:line="580" w:lineRule="atLeast"/>
        <w:rPr>
          <w:rFonts w:ascii="宋体" w:hAnsi="宋体" w:cs="宋体"/>
          <w:sz w:val="24"/>
          <w:szCs w:val="24"/>
        </w:rPr>
      </w:pPr>
    </w:p>
    <w:p>
      <w:pPr>
        <w:widowControl/>
        <w:spacing w:line="580" w:lineRule="atLeast"/>
        <w:rPr>
          <w:rFonts w:ascii="宋体" w:hAnsi="宋体" w:cs="宋体"/>
          <w:sz w:val="24"/>
          <w:szCs w:val="24"/>
        </w:rPr>
      </w:pPr>
    </w:p>
    <w:p>
      <w:pPr>
        <w:pStyle w:val="22"/>
        <w:rPr>
          <w:rFonts w:cs="宋体"/>
        </w:rPr>
      </w:pPr>
    </w:p>
    <w:bookmarkEnd w:id="167"/>
    <w:bookmarkEnd w:id="168"/>
    <w:bookmarkEnd w:id="169"/>
    <w:bookmarkEnd w:id="170"/>
    <w:p>
      <w:pPr>
        <w:pStyle w:val="4"/>
        <w:numPr>
          <w:ilvl w:val="0"/>
          <w:numId w:val="8"/>
        </w:numPr>
        <w:spacing w:line="360" w:lineRule="auto"/>
        <w:rPr>
          <w:rFonts w:ascii="宋体" w:hAnsi="宋体" w:cs="宋体"/>
          <w:sz w:val="32"/>
          <w:szCs w:val="32"/>
        </w:rPr>
      </w:pPr>
      <w:bookmarkStart w:id="175" w:name="_Toc24042"/>
      <w:bookmarkStart w:id="176" w:name="_Toc490161475"/>
      <w:bookmarkStart w:id="177" w:name="_Toc1654"/>
      <w:bookmarkStart w:id="178" w:name="_Toc477423260"/>
      <w:bookmarkStart w:id="179" w:name="_Toc7213"/>
      <w:bookmarkStart w:id="180" w:name="_Toc19062"/>
      <w:bookmarkStart w:id="181" w:name="_Toc487805936"/>
      <w:r>
        <w:rPr>
          <w:rFonts w:hint="eastAsia" w:ascii="宋体" w:hAnsi="宋体" w:cs="宋体"/>
          <w:sz w:val="32"/>
          <w:szCs w:val="32"/>
        </w:rPr>
        <w:t>反商业贿赂承诺书</w:t>
      </w:r>
      <w:bookmarkEnd w:id="175"/>
      <w:bookmarkEnd w:id="176"/>
      <w:bookmarkEnd w:id="177"/>
      <w:bookmarkEnd w:id="178"/>
      <w:bookmarkEnd w:id="179"/>
      <w:bookmarkEnd w:id="180"/>
      <w:bookmarkEnd w:id="181"/>
    </w:p>
    <w:p>
      <w:pPr>
        <w:spacing w:line="460" w:lineRule="exact"/>
        <w:rPr>
          <w:rFonts w:ascii="宋体" w:hAnsi="宋体" w:cs="宋体"/>
          <w:sz w:val="24"/>
          <w:szCs w:val="24"/>
        </w:rPr>
      </w:pPr>
      <w:r>
        <w:rPr>
          <w:rFonts w:hint="eastAsia" w:ascii="宋体" w:hAnsi="宋体" w:cs="宋体"/>
          <w:sz w:val="24"/>
          <w:szCs w:val="24"/>
        </w:rPr>
        <w:t>我公司承诺：</w:t>
      </w:r>
    </w:p>
    <w:p>
      <w:pPr>
        <w:spacing w:line="460" w:lineRule="exact"/>
        <w:ind w:firstLine="480" w:firstLineChars="200"/>
        <w:rPr>
          <w:rFonts w:ascii="宋体" w:hAnsi="宋体" w:cs="宋体"/>
          <w:sz w:val="24"/>
          <w:szCs w:val="24"/>
        </w:rPr>
      </w:pPr>
      <w:r>
        <w:rPr>
          <w:rFonts w:hint="eastAsia" w:ascii="宋体" w:hAnsi="宋体" w:cs="宋体"/>
          <w:sz w:val="24"/>
          <w:szCs w:val="24"/>
        </w:rPr>
        <w:t>在本次磋商活动中，我公司保证做到：</w:t>
      </w:r>
    </w:p>
    <w:p>
      <w:pPr>
        <w:spacing w:line="460" w:lineRule="exact"/>
        <w:ind w:firstLine="480" w:firstLineChars="200"/>
        <w:rPr>
          <w:rFonts w:ascii="宋体" w:hAnsi="宋体" w:cs="宋体"/>
          <w:sz w:val="24"/>
          <w:szCs w:val="24"/>
        </w:rPr>
      </w:pPr>
      <w:r>
        <w:rPr>
          <w:rFonts w:hint="eastAsia" w:ascii="宋体" w:hAnsi="宋体" w:cs="宋体"/>
          <w:sz w:val="24"/>
          <w:szCs w:val="24"/>
        </w:rPr>
        <w:t>一、公平竞争参加本次采购活动。</w:t>
      </w:r>
    </w:p>
    <w:p>
      <w:pPr>
        <w:spacing w:line="460" w:lineRule="exact"/>
        <w:ind w:firstLine="480" w:firstLineChars="200"/>
        <w:rPr>
          <w:rFonts w:ascii="宋体" w:hAnsi="宋体" w:cs="宋体"/>
          <w:sz w:val="24"/>
          <w:szCs w:val="24"/>
        </w:rPr>
      </w:pPr>
      <w:r>
        <w:rPr>
          <w:rFonts w:hint="eastAsia" w:ascii="宋体" w:hAnsi="宋体" w:cs="宋体"/>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460" w:lineRule="exact"/>
        <w:ind w:firstLine="480" w:firstLineChars="200"/>
        <w:rPr>
          <w:rFonts w:ascii="宋体" w:hAnsi="宋体" w:cs="宋体"/>
          <w:sz w:val="24"/>
          <w:szCs w:val="24"/>
        </w:rPr>
      </w:pPr>
      <w:r>
        <w:rPr>
          <w:rFonts w:hint="eastAsia" w:ascii="宋体" w:hAnsi="宋体" w:cs="宋体"/>
          <w:sz w:val="24"/>
          <w:szCs w:val="24"/>
        </w:rPr>
        <w:t>三、若出现上述行为，我公司及参与磋商的工作人员愿意接受按照国家法律法规等有关规定给予的处罚。</w:t>
      </w:r>
    </w:p>
    <w:p>
      <w:pPr>
        <w:spacing w:line="460" w:lineRule="exact"/>
        <w:rPr>
          <w:rFonts w:ascii="宋体" w:hAnsi="宋体" w:cs="宋体"/>
          <w:sz w:val="24"/>
          <w:szCs w:val="24"/>
        </w:rPr>
      </w:pPr>
    </w:p>
    <w:bookmarkEnd w:id="153"/>
    <w:bookmarkEnd w:id="154"/>
    <w:bookmarkEnd w:id="155"/>
    <w:bookmarkEnd w:id="156"/>
    <w:bookmarkEnd w:id="157"/>
    <w:bookmarkEnd w:id="158"/>
    <w:bookmarkEnd w:id="165"/>
    <w:bookmarkEnd w:id="166"/>
    <w:p>
      <w:pPr>
        <w:spacing w:line="460" w:lineRule="exact"/>
        <w:rPr>
          <w:rFonts w:ascii="宋体" w:hAnsi="宋体" w:cs="宋体"/>
          <w:sz w:val="24"/>
          <w:szCs w:val="24"/>
        </w:rPr>
      </w:pPr>
      <w:bookmarkStart w:id="182" w:name="_Toc19463"/>
      <w:bookmarkStart w:id="183" w:name="_Toc406663323"/>
      <w:bookmarkStart w:id="184" w:name="_Toc364962592"/>
      <w:bookmarkStart w:id="185" w:name="_Toc19579"/>
      <w:bookmarkStart w:id="186" w:name="_Toc477423265"/>
      <w:bookmarkStart w:id="187" w:name="_Toc476045994"/>
      <w:bookmarkStart w:id="188" w:name="_Toc475955200"/>
      <w:bookmarkStart w:id="189" w:name="_Toc18166"/>
      <w:bookmarkStart w:id="190" w:name="_Toc490161482"/>
      <w:bookmarkStart w:id="191" w:name="_Toc450037734"/>
      <w:bookmarkStart w:id="192" w:name="_Toc365712853"/>
    </w:p>
    <w:p>
      <w:pPr>
        <w:spacing w:line="460" w:lineRule="exact"/>
        <w:rPr>
          <w:rFonts w:ascii="宋体" w:hAnsi="宋体" w:cs="宋体"/>
          <w:sz w:val="24"/>
          <w:szCs w:val="24"/>
        </w:rPr>
      </w:pPr>
    </w:p>
    <w:p>
      <w:pPr>
        <w:spacing w:line="460" w:lineRule="exact"/>
        <w:jc w:val="center"/>
        <w:rPr>
          <w:rFonts w:ascii="宋体" w:hAnsi="宋体" w:cs="宋体"/>
          <w:sz w:val="24"/>
          <w:szCs w:val="24"/>
        </w:rPr>
      </w:pPr>
      <w:r>
        <w:rPr>
          <w:rFonts w:hint="eastAsia" w:ascii="宋体" w:hAnsi="宋体" w:cs="宋体"/>
          <w:sz w:val="24"/>
          <w:szCs w:val="24"/>
        </w:rPr>
        <w:t xml:space="preserve">                         供应商名称（全称并加盖公章）： </w:t>
      </w:r>
    </w:p>
    <w:p>
      <w:pPr>
        <w:spacing w:line="460" w:lineRule="exact"/>
        <w:jc w:val="center"/>
        <w:rPr>
          <w:rFonts w:ascii="宋体" w:hAnsi="宋体" w:cs="宋体"/>
          <w:sz w:val="24"/>
          <w:szCs w:val="24"/>
        </w:rPr>
      </w:pPr>
      <w:r>
        <w:rPr>
          <w:rFonts w:hint="eastAsia" w:ascii="宋体" w:hAnsi="宋体" w:cs="宋体"/>
          <w:sz w:val="24"/>
          <w:szCs w:val="24"/>
        </w:rPr>
        <w:t xml:space="preserve">                           供应商法定代表人（签名或盖章）：</w:t>
      </w:r>
    </w:p>
    <w:p>
      <w:pPr>
        <w:spacing w:line="460" w:lineRule="exact"/>
        <w:jc w:val="center"/>
        <w:rPr>
          <w:rFonts w:ascii="宋体" w:hAnsi="宋体" w:cs="宋体"/>
          <w:sz w:val="24"/>
          <w:szCs w:val="24"/>
        </w:rPr>
      </w:pPr>
      <w:r>
        <w:rPr>
          <w:rFonts w:hint="eastAsia" w:ascii="宋体" w:hAnsi="宋体" w:cs="宋体"/>
          <w:sz w:val="24"/>
          <w:szCs w:val="24"/>
        </w:rPr>
        <w:t xml:space="preserve">                     委托代理人（签名或盖章）：</w:t>
      </w:r>
    </w:p>
    <w:p>
      <w:pPr>
        <w:spacing w:line="460" w:lineRule="exact"/>
        <w:jc w:val="center"/>
        <w:rPr>
          <w:rFonts w:ascii="宋体" w:hAnsi="宋体" w:cs="宋体"/>
          <w:sz w:val="24"/>
          <w:szCs w:val="24"/>
        </w:rPr>
      </w:pPr>
    </w:p>
    <w:p>
      <w:pPr>
        <w:spacing w:line="460" w:lineRule="exact"/>
        <w:jc w:val="center"/>
        <w:rPr>
          <w:rFonts w:ascii="宋体" w:hAnsi="宋体" w:cs="宋体"/>
          <w:sz w:val="24"/>
          <w:szCs w:val="24"/>
        </w:rPr>
      </w:pPr>
      <w:r>
        <w:rPr>
          <w:rFonts w:hint="eastAsia" w:ascii="宋体" w:hAnsi="宋体" w:cs="宋体"/>
          <w:sz w:val="24"/>
          <w:szCs w:val="24"/>
        </w:rPr>
        <w:t xml:space="preserve">                                   </w:t>
      </w:r>
    </w:p>
    <w:p>
      <w:pPr>
        <w:spacing w:line="460" w:lineRule="exact"/>
        <w:jc w:val="center"/>
        <w:rPr>
          <w:rFonts w:ascii="宋体" w:hAnsi="宋体" w:cs="宋体"/>
          <w:sz w:val="24"/>
          <w:szCs w:val="24"/>
        </w:rPr>
      </w:pPr>
      <w:r>
        <w:rPr>
          <w:rFonts w:hint="eastAsia" w:ascii="宋体" w:hAnsi="宋体" w:cs="宋体"/>
          <w:sz w:val="24"/>
          <w:szCs w:val="24"/>
        </w:rPr>
        <w:t xml:space="preserve">                                         年   月   日</w:t>
      </w:r>
    </w:p>
    <w:p>
      <w:pPr>
        <w:spacing w:line="460" w:lineRule="exact"/>
        <w:rPr>
          <w:rFonts w:ascii="宋体" w:hAnsi="宋体" w:cs="宋体"/>
          <w:sz w:val="24"/>
          <w:szCs w:val="24"/>
        </w:rPr>
      </w:pPr>
    </w:p>
    <w:p>
      <w:pPr>
        <w:spacing w:line="460" w:lineRule="exact"/>
        <w:rPr>
          <w:rFonts w:ascii="宋体" w:hAnsi="宋体" w:cs="宋体"/>
          <w:sz w:val="24"/>
          <w:szCs w:val="24"/>
        </w:rPr>
      </w:pPr>
    </w:p>
    <w:p>
      <w:pPr>
        <w:spacing w:line="460" w:lineRule="exact"/>
        <w:rPr>
          <w:rFonts w:ascii="宋体" w:hAnsi="宋体" w:cs="宋体"/>
          <w:sz w:val="24"/>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spacing w:line="460" w:lineRule="exact"/>
        <w:rPr>
          <w:rFonts w:ascii="宋体" w:hAnsi="宋体" w:cs="宋体"/>
          <w:sz w:val="24"/>
          <w:szCs w:val="24"/>
        </w:rPr>
      </w:pPr>
    </w:p>
    <w:p>
      <w:pPr>
        <w:spacing w:line="460" w:lineRule="exact"/>
        <w:rPr>
          <w:rFonts w:ascii="宋体" w:hAnsi="宋体" w:cs="宋体"/>
          <w:sz w:val="24"/>
          <w:szCs w:val="24"/>
        </w:rPr>
      </w:pPr>
    </w:p>
    <w:p>
      <w:pPr>
        <w:pStyle w:val="4"/>
        <w:numPr>
          <w:ilvl w:val="0"/>
          <w:numId w:val="8"/>
        </w:numPr>
        <w:spacing w:line="360" w:lineRule="auto"/>
        <w:rPr>
          <w:rFonts w:ascii="宋体" w:hAnsi="宋体" w:cs="宋体"/>
          <w:sz w:val="32"/>
          <w:szCs w:val="32"/>
        </w:rPr>
      </w:pPr>
      <w:bookmarkStart w:id="193" w:name="_Toc21065"/>
      <w:r>
        <w:rPr>
          <w:rFonts w:hint="eastAsia" w:ascii="宋体" w:hAnsi="宋体" w:cs="宋体"/>
          <w:sz w:val="32"/>
          <w:szCs w:val="32"/>
        </w:rPr>
        <w:t>竞争性磋商文件要求的以及供应商认为应该提供的其他材料</w:t>
      </w:r>
      <w:bookmarkEnd w:id="182"/>
      <w:bookmarkEnd w:id="183"/>
      <w:bookmarkEnd w:id="184"/>
      <w:bookmarkEnd w:id="185"/>
      <w:bookmarkEnd w:id="186"/>
      <w:bookmarkEnd w:id="187"/>
      <w:bookmarkEnd w:id="188"/>
      <w:bookmarkEnd w:id="189"/>
      <w:bookmarkEnd w:id="190"/>
      <w:bookmarkEnd w:id="191"/>
      <w:bookmarkEnd w:id="192"/>
      <w:bookmarkEnd w:id="193"/>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22"/>
        <w:rPr>
          <w:rFonts w:cs="宋体"/>
          <w:sz w:val="28"/>
          <w:szCs w:val="24"/>
        </w:rPr>
      </w:pPr>
    </w:p>
    <w:p>
      <w:pPr>
        <w:pStyle w:val="5"/>
        <w:spacing w:line="400" w:lineRule="exact"/>
        <w:jc w:val="center"/>
        <w:rPr>
          <w:rFonts w:ascii="宋体" w:hAnsi="宋体" w:eastAsia="宋体" w:cs="宋体"/>
          <w:sz w:val="28"/>
          <w:szCs w:val="28"/>
        </w:rPr>
      </w:pPr>
      <w:r>
        <w:rPr>
          <w:rFonts w:hint="eastAsia" w:ascii="宋体" w:hAnsi="宋体" w:eastAsia="宋体" w:cs="宋体"/>
          <w:sz w:val="28"/>
          <w:szCs w:val="28"/>
        </w:rPr>
        <w:t>第二轮报价表</w:t>
      </w:r>
    </w:p>
    <w:p/>
    <w:p>
      <w:pPr>
        <w:spacing w:line="360" w:lineRule="auto"/>
        <w:ind w:firstLine="210" w:firstLineChars="100"/>
        <w:rPr>
          <w:rFonts w:ascii="宋体" w:hAnsi="宋体"/>
          <w:szCs w:val="21"/>
        </w:rPr>
      </w:pPr>
      <w:r>
        <w:rPr>
          <w:rFonts w:hint="eastAsia" w:ascii="宋体" w:hAnsi="宋体"/>
          <w:szCs w:val="21"/>
        </w:rPr>
        <w:t>项目名称：                                                项目编号：</w:t>
      </w:r>
    </w:p>
    <w:tbl>
      <w:tblPr>
        <w:tblStyle w:val="39"/>
        <w:tblW w:w="49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578"/>
        <w:gridCol w:w="5653"/>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序号</w:t>
            </w:r>
          </w:p>
        </w:tc>
        <w:tc>
          <w:tcPr>
            <w:tcW w:w="1554"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服务项目</w:t>
            </w:r>
          </w:p>
        </w:tc>
        <w:tc>
          <w:tcPr>
            <w:tcW w:w="5567"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服务内容及要求</w:t>
            </w:r>
          </w:p>
        </w:tc>
        <w:tc>
          <w:tcPr>
            <w:tcW w:w="1671"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w:t>
            </w:r>
          </w:p>
        </w:tc>
        <w:tc>
          <w:tcPr>
            <w:tcW w:w="1554"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kern w:val="0"/>
                <w:szCs w:val="16"/>
              </w:rPr>
              <w:t>宣传</w:t>
            </w:r>
          </w:p>
        </w:tc>
        <w:tc>
          <w:tcPr>
            <w:tcW w:w="5567"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kern w:val="0"/>
                <w:szCs w:val="16"/>
              </w:rPr>
              <w:t>编印居家社区养老宣传资料1万份（A4铜版纸不低于157G双面彩印），编印标准化管理培训手册1000本（A4每本不少于100页），并在全县各乡镇开展宣传活动；编印养老机构全岗位规范化运营记录（每套不低于18个岗位，分岗位每月印制10套，并指导养老机构全岗位开展规范化记录）。</w:t>
            </w:r>
          </w:p>
        </w:tc>
        <w:tc>
          <w:tcPr>
            <w:tcW w:w="1671"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w:t>
            </w:r>
          </w:p>
        </w:tc>
        <w:tc>
          <w:tcPr>
            <w:tcW w:w="1554"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kern w:val="0"/>
                <w:szCs w:val="16"/>
              </w:rPr>
              <w:t>培训</w:t>
            </w:r>
          </w:p>
        </w:tc>
        <w:tc>
          <w:tcPr>
            <w:tcW w:w="5567"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kern w:val="0"/>
                <w:szCs w:val="16"/>
              </w:rPr>
              <w:t>每月对全县不少于9家乡镇（街道）养老机构开展标准化运营现场培训，每次培训时长不少于60分钟，推动标准化管理、规范化运营。</w:t>
            </w:r>
          </w:p>
        </w:tc>
        <w:tc>
          <w:tcPr>
            <w:tcW w:w="1671"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3</w:t>
            </w:r>
          </w:p>
        </w:tc>
        <w:tc>
          <w:tcPr>
            <w:tcW w:w="1554"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szCs w:val="21"/>
              </w:rPr>
              <w:t>版面制作</w:t>
            </w:r>
          </w:p>
        </w:tc>
        <w:tc>
          <w:tcPr>
            <w:tcW w:w="5567" w:type="dxa"/>
            <w:tcBorders>
              <w:top w:val="single" w:color="auto" w:sz="4" w:space="0"/>
            </w:tcBorders>
            <w:vAlign w:val="center"/>
          </w:tcPr>
          <w:p>
            <w:pPr>
              <w:autoSpaceDE w:val="0"/>
              <w:autoSpaceDN w:val="0"/>
              <w:jc w:val="center"/>
              <w:rPr>
                <w:rFonts w:ascii="宋体" w:hAnsi="宋体" w:cs="宋体"/>
                <w:b/>
                <w:bCs/>
                <w:szCs w:val="21"/>
              </w:rPr>
            </w:pPr>
            <w:r>
              <w:rPr>
                <w:rFonts w:hint="eastAsia"/>
              </w:rPr>
              <w:t>编写制作养老机构规范化管理、标准化运营清单，并制定宣传展板（PVC材质每块不小于50CM*80CM，每套不低于20块，共9套）。</w:t>
            </w:r>
          </w:p>
        </w:tc>
        <w:tc>
          <w:tcPr>
            <w:tcW w:w="1671"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color w:val="auto"/>
                <w:szCs w:val="21"/>
              </w:rPr>
            </w:pPr>
            <w:r>
              <w:rPr>
                <w:rFonts w:hint="eastAsia" w:ascii="宋体" w:hAnsi="宋体" w:cs="宋体"/>
                <w:color w:val="auto"/>
                <w:szCs w:val="21"/>
              </w:rPr>
              <w:t>4</w:t>
            </w:r>
          </w:p>
        </w:tc>
        <w:tc>
          <w:tcPr>
            <w:tcW w:w="1554" w:type="dxa"/>
            <w:tcBorders>
              <w:top w:val="single" w:color="auto" w:sz="4" w:space="0"/>
            </w:tcBorders>
            <w:vAlign w:val="center"/>
          </w:tcPr>
          <w:p>
            <w:pPr>
              <w:autoSpaceDE w:val="0"/>
              <w:autoSpaceDN w:val="0"/>
              <w:jc w:val="center"/>
              <w:rPr>
                <w:color w:val="auto"/>
                <w:kern w:val="0"/>
                <w:szCs w:val="16"/>
              </w:rPr>
            </w:pPr>
            <w:r>
              <w:rPr>
                <w:rFonts w:hint="eastAsia"/>
                <w:color w:val="auto"/>
                <w:kern w:val="0"/>
                <w:szCs w:val="16"/>
                <w:highlight w:val="none"/>
              </w:rPr>
              <w:t>能力评估和需求评估</w:t>
            </w:r>
          </w:p>
        </w:tc>
        <w:tc>
          <w:tcPr>
            <w:tcW w:w="5567" w:type="dxa"/>
            <w:tcBorders>
              <w:top w:val="single" w:color="auto" w:sz="4" w:space="0"/>
            </w:tcBorders>
            <w:vAlign w:val="center"/>
          </w:tcPr>
          <w:p>
            <w:pPr>
              <w:autoSpaceDE w:val="0"/>
              <w:autoSpaceDN w:val="0"/>
              <w:jc w:val="center"/>
              <w:rPr>
                <w:color w:val="auto"/>
                <w:kern w:val="0"/>
                <w:szCs w:val="16"/>
              </w:rPr>
            </w:pPr>
            <w:r>
              <w:rPr>
                <w:rFonts w:hint="eastAsia"/>
                <w:color w:val="auto"/>
                <w:kern w:val="0"/>
                <w:szCs w:val="16"/>
                <w:highlight w:val="none"/>
              </w:rPr>
              <w:t>对</w:t>
            </w:r>
            <w:r>
              <w:rPr>
                <w:rFonts w:hint="eastAsia"/>
                <w:color w:val="auto"/>
                <w:kern w:val="0"/>
                <w:szCs w:val="16"/>
                <w:highlight w:val="none"/>
                <w:lang w:eastAsia="zh-CN"/>
              </w:rPr>
              <w:t>每位接受服务的</w:t>
            </w:r>
            <w:r>
              <w:rPr>
                <w:rFonts w:hint="eastAsia"/>
                <w:color w:val="auto"/>
                <w:kern w:val="0"/>
                <w:szCs w:val="16"/>
                <w:highlight w:val="none"/>
              </w:rPr>
              <w:t>老年人进行能力评估和需求评估，明确服务方案。</w:t>
            </w:r>
          </w:p>
        </w:tc>
        <w:tc>
          <w:tcPr>
            <w:tcW w:w="1671" w:type="dxa"/>
            <w:tcBorders>
              <w:top w:val="single" w:color="auto" w:sz="4" w:space="0"/>
            </w:tcBorders>
            <w:vAlign w:val="center"/>
          </w:tcPr>
          <w:p>
            <w:pPr>
              <w:autoSpaceDE w:val="0"/>
              <w:autoSpaceDN w:val="0"/>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color w:val="auto"/>
                <w:szCs w:val="21"/>
              </w:rPr>
            </w:pPr>
            <w:r>
              <w:rPr>
                <w:rFonts w:hint="eastAsia" w:ascii="宋体" w:hAnsi="宋体" w:cs="宋体"/>
                <w:color w:val="auto"/>
                <w:szCs w:val="21"/>
              </w:rPr>
              <w:t>5</w:t>
            </w:r>
          </w:p>
        </w:tc>
        <w:tc>
          <w:tcPr>
            <w:tcW w:w="1554" w:type="dxa"/>
            <w:tcBorders>
              <w:top w:val="single" w:color="auto" w:sz="4" w:space="0"/>
            </w:tcBorders>
            <w:vAlign w:val="center"/>
          </w:tcPr>
          <w:p>
            <w:pPr>
              <w:autoSpaceDE w:val="0"/>
              <w:autoSpaceDN w:val="0"/>
              <w:jc w:val="center"/>
              <w:rPr>
                <w:rFonts w:ascii="宋体" w:hAnsi="宋体" w:cs="宋体"/>
                <w:b/>
                <w:bCs/>
                <w:color w:val="auto"/>
                <w:szCs w:val="21"/>
              </w:rPr>
            </w:pPr>
            <w:r>
              <w:rPr>
                <w:rFonts w:hint="eastAsia"/>
                <w:color w:val="auto"/>
                <w:kern w:val="0"/>
                <w:szCs w:val="16"/>
                <w:highlight w:val="none"/>
              </w:rPr>
              <w:t>居家养老</w:t>
            </w:r>
            <w:r>
              <w:rPr>
                <w:rFonts w:hint="eastAsia" w:ascii="宋体" w:hAnsi="宋体" w:cs="宋体"/>
                <w:color w:val="auto"/>
                <w:kern w:val="0"/>
                <w:szCs w:val="16"/>
                <w:highlight w:val="none"/>
              </w:rPr>
              <w:t>照护</w:t>
            </w:r>
            <w:r>
              <w:rPr>
                <w:rFonts w:hint="eastAsia"/>
                <w:color w:val="auto"/>
                <w:kern w:val="0"/>
                <w:szCs w:val="16"/>
                <w:highlight w:val="none"/>
              </w:rPr>
              <w:t>服务</w:t>
            </w:r>
          </w:p>
        </w:tc>
        <w:tc>
          <w:tcPr>
            <w:tcW w:w="5567" w:type="dxa"/>
            <w:tcBorders>
              <w:top w:val="single" w:color="auto" w:sz="4" w:space="0"/>
            </w:tcBorders>
            <w:vAlign w:val="center"/>
          </w:tcPr>
          <w:p>
            <w:pPr>
              <w:autoSpaceDE w:val="0"/>
              <w:autoSpaceDN w:val="0"/>
              <w:jc w:val="center"/>
              <w:rPr>
                <w:rFonts w:ascii="宋体" w:hAnsi="宋体" w:cs="宋体"/>
                <w:b/>
                <w:bCs/>
                <w:color w:val="auto"/>
                <w:szCs w:val="21"/>
              </w:rPr>
            </w:pPr>
            <w:r>
              <w:rPr>
                <w:rFonts w:hint="eastAsia" w:ascii="宋体" w:hAnsi="宋体" w:cs="宋体"/>
                <w:color w:val="auto"/>
                <w:kern w:val="0"/>
                <w:szCs w:val="21"/>
                <w:highlight w:val="none"/>
              </w:rPr>
              <w:t>根据服务方案开展居家养老照护服务</w:t>
            </w:r>
            <w:r>
              <w:rPr>
                <w:rFonts w:hint="eastAsia" w:ascii="宋体" w:hAnsi="宋体" w:cs="宋体"/>
                <w:color w:val="auto"/>
                <w:kern w:val="0"/>
                <w:szCs w:val="16"/>
                <w:highlight w:val="none"/>
              </w:rPr>
              <w:t>，</w:t>
            </w:r>
            <w:r>
              <w:rPr>
                <w:rFonts w:hint="eastAsia" w:ascii="宋体" w:hAnsi="宋体" w:cs="宋体"/>
                <w:color w:val="auto"/>
                <w:kern w:val="0"/>
                <w:szCs w:val="21"/>
                <w:highlight w:val="none"/>
              </w:rPr>
              <w:t>服务人数：155人，</w:t>
            </w:r>
            <w:r>
              <w:rPr>
                <w:rFonts w:hint="eastAsia"/>
                <w:color w:val="auto"/>
                <w:kern w:val="0"/>
                <w:szCs w:val="16"/>
                <w:highlight w:val="none"/>
              </w:rPr>
              <w:t>每人每年2000元</w:t>
            </w:r>
            <w:r>
              <w:rPr>
                <w:rFonts w:hint="eastAsia" w:ascii="宋体" w:hAnsi="宋体" w:cs="宋体"/>
                <w:color w:val="auto"/>
                <w:kern w:val="0"/>
                <w:szCs w:val="21"/>
                <w:highlight w:val="none"/>
              </w:rPr>
              <w:t>的标准。</w:t>
            </w:r>
            <w:r>
              <w:rPr>
                <w:rFonts w:hint="eastAsia"/>
                <w:b/>
                <w:bCs/>
                <w:color w:val="auto"/>
                <w:kern w:val="0"/>
                <w:szCs w:val="16"/>
                <w:highlight w:val="none"/>
              </w:rPr>
              <w:t>该项为不可竞争项。</w:t>
            </w:r>
            <w:r>
              <w:rPr>
                <w:rFonts w:hint="eastAsia" w:ascii="宋体" w:hAnsi="宋体" w:cs="宋体"/>
                <w:b/>
                <w:bCs/>
                <w:color w:val="auto"/>
                <w:kern w:val="0"/>
                <w:szCs w:val="21"/>
                <w:highlight w:val="none"/>
              </w:rPr>
              <w:t>（实际服务人数超出155人的，超出部分</w:t>
            </w:r>
            <w:r>
              <w:rPr>
                <w:rFonts w:hint="eastAsia" w:ascii="宋体" w:hAnsi="宋体" w:cs="宋体"/>
                <w:b/>
                <w:bCs/>
                <w:color w:val="auto"/>
                <w:kern w:val="0"/>
                <w:szCs w:val="21"/>
                <w:highlight w:val="none"/>
                <w:lang w:val="en-US" w:eastAsia="zh-CN"/>
              </w:rPr>
              <w:t>依据《中华人民共和国政府采购法》第四十九条之规定</w:t>
            </w:r>
            <w:r>
              <w:rPr>
                <w:rFonts w:hint="eastAsia" w:ascii="宋体" w:hAnsi="宋体" w:cs="宋体"/>
                <w:b/>
                <w:bCs/>
                <w:color w:val="auto"/>
                <w:kern w:val="0"/>
                <w:szCs w:val="21"/>
                <w:highlight w:val="none"/>
              </w:rPr>
              <w:t>签订补充</w:t>
            </w:r>
            <w:r>
              <w:rPr>
                <w:rFonts w:hint="eastAsia" w:ascii="宋体" w:hAnsi="宋体" w:cs="宋体"/>
                <w:b/>
                <w:bCs/>
                <w:color w:val="auto"/>
                <w:kern w:val="0"/>
                <w:szCs w:val="21"/>
                <w:highlight w:val="none"/>
                <w:lang w:val="en-US" w:eastAsia="zh-CN"/>
              </w:rPr>
              <w:t>合同</w:t>
            </w:r>
            <w:r>
              <w:rPr>
                <w:rFonts w:hint="eastAsia" w:ascii="宋体" w:hAnsi="宋体" w:cs="宋体"/>
                <w:b/>
                <w:bCs/>
                <w:color w:val="auto"/>
                <w:kern w:val="0"/>
                <w:szCs w:val="21"/>
                <w:highlight w:val="none"/>
              </w:rPr>
              <w:t>。</w:t>
            </w:r>
            <w:r>
              <w:rPr>
                <w:rFonts w:hint="eastAsia"/>
                <w:b/>
                <w:bCs/>
                <w:color w:val="auto"/>
                <w:kern w:val="0"/>
                <w:szCs w:val="16"/>
                <w:highlight w:val="none"/>
              </w:rPr>
              <w:t>须在下方</w:t>
            </w:r>
            <w:r>
              <w:rPr>
                <w:rFonts w:hint="eastAsia" w:ascii="宋体" w:hAnsi="宋体" w:cs="宋体"/>
                <w:b/>
                <w:bCs/>
                <w:color w:val="auto"/>
                <w:szCs w:val="21"/>
                <w:highlight w:val="none"/>
              </w:rPr>
              <w:t>附件中填入服务价格且服务价格不得高于第五章采购需求第三条</w:t>
            </w:r>
            <w:r>
              <w:rPr>
                <w:rFonts w:hint="eastAsia" w:ascii="宋体" w:hAnsi="宋体"/>
                <w:b/>
                <w:bCs/>
                <w:color w:val="auto"/>
                <w:kern w:val="0"/>
                <w:szCs w:val="21"/>
                <w:highlight w:val="none"/>
              </w:rPr>
              <w:t>服务内容及要求</w:t>
            </w:r>
            <w:r>
              <w:rPr>
                <w:rFonts w:hint="eastAsia" w:ascii="宋体" w:hAnsi="宋体" w:cs="宋体"/>
                <w:b/>
                <w:bCs/>
                <w:color w:val="auto"/>
                <w:szCs w:val="21"/>
                <w:highlight w:val="none"/>
              </w:rPr>
              <w:t>中所列预算服务价格。</w:t>
            </w:r>
            <w:r>
              <w:rPr>
                <w:rFonts w:hint="eastAsia"/>
                <w:b/>
                <w:bCs/>
                <w:color w:val="auto"/>
                <w:kern w:val="0"/>
                <w:szCs w:val="16"/>
                <w:highlight w:val="none"/>
              </w:rPr>
              <w:t>）</w:t>
            </w:r>
          </w:p>
        </w:tc>
        <w:tc>
          <w:tcPr>
            <w:tcW w:w="1671" w:type="dxa"/>
            <w:tcBorders>
              <w:top w:val="single" w:color="auto" w:sz="4" w:space="0"/>
            </w:tcBorders>
            <w:vAlign w:val="center"/>
          </w:tcPr>
          <w:p>
            <w:pPr>
              <w:autoSpaceDE w:val="0"/>
              <w:autoSpaceDN w:val="0"/>
              <w:jc w:val="center"/>
              <w:rPr>
                <w:rFonts w:ascii="宋体" w:hAnsi="宋体" w:cs="宋体"/>
                <w:color w:val="auto"/>
                <w:szCs w:val="21"/>
              </w:rPr>
            </w:pPr>
            <w:r>
              <w:rPr>
                <w:rFonts w:hint="eastAsia" w:ascii="宋体" w:hAnsi="宋体" w:cs="宋体"/>
                <w:color w:val="auto"/>
                <w:szCs w:val="21"/>
              </w:rPr>
              <w:t>310000.00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9425" w:type="dxa"/>
            <w:gridSpan w:val="4"/>
            <w:vAlign w:val="center"/>
          </w:tcPr>
          <w:p>
            <w:pPr>
              <w:autoSpaceDE w:val="0"/>
              <w:autoSpaceDN w:val="0"/>
              <w:jc w:val="left"/>
              <w:rPr>
                <w:rFonts w:ascii="宋体" w:hAnsi="宋体" w:cs="宋体"/>
                <w:color w:val="0000FF"/>
                <w:szCs w:val="21"/>
              </w:rPr>
            </w:pPr>
            <w:r>
              <w:rPr>
                <w:rFonts w:hint="eastAsia" w:ascii="宋体" w:hAnsi="宋体" w:cs="宋体"/>
                <w:szCs w:val="21"/>
              </w:rPr>
              <w:t>总报价（大写）：                               （小写）：</w:t>
            </w:r>
          </w:p>
        </w:tc>
      </w:tr>
    </w:tbl>
    <w:p>
      <w:pPr>
        <w:spacing w:line="360" w:lineRule="auto"/>
        <w:ind w:firstLine="480" w:firstLineChars="200"/>
        <w:rPr>
          <w:rFonts w:ascii="宋体" w:hAnsi="宋体" w:cs="宋体"/>
          <w:b/>
          <w:bCs/>
          <w:sz w:val="24"/>
          <w:szCs w:val="24"/>
        </w:rPr>
      </w:pPr>
      <w:r>
        <w:rPr>
          <w:rFonts w:hint="eastAsia" w:ascii="宋体" w:hAnsi="宋体" w:cs="宋体"/>
          <w:b/>
          <w:bCs/>
          <w:sz w:val="24"/>
          <w:szCs w:val="24"/>
        </w:rPr>
        <w:t>附件：</w:t>
      </w:r>
    </w:p>
    <w:tbl>
      <w:tblPr>
        <w:tblStyle w:val="39"/>
        <w:tblW w:w="49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654"/>
        <w:gridCol w:w="3893"/>
        <w:gridCol w:w="1564"/>
        <w:gridCol w:w="1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33"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序号</w:t>
            </w:r>
          </w:p>
        </w:tc>
        <w:tc>
          <w:tcPr>
            <w:tcW w:w="1629" w:type="dxa"/>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服务项目</w:t>
            </w:r>
          </w:p>
        </w:tc>
        <w:tc>
          <w:tcPr>
            <w:tcW w:w="3834" w:type="dxa"/>
            <w:tcBorders>
              <w:top w:val="single" w:color="auto" w:sz="4" w:space="0"/>
            </w:tcBorders>
            <w:vAlign w:val="center"/>
          </w:tcPr>
          <w:p>
            <w:pPr>
              <w:spacing w:line="440" w:lineRule="exact"/>
              <w:jc w:val="center"/>
              <w:rPr>
                <w:rFonts w:ascii="宋体" w:hAnsi="宋体" w:cs="宋体"/>
                <w:b/>
                <w:bCs/>
                <w:color w:val="FF0000"/>
                <w:szCs w:val="21"/>
              </w:rPr>
            </w:pPr>
            <w:r>
              <w:rPr>
                <w:rFonts w:hint="eastAsia" w:ascii="宋体" w:hAnsi="宋体" w:cs="宋体"/>
                <w:b/>
                <w:bCs/>
                <w:szCs w:val="21"/>
              </w:rPr>
              <w:t>服务内容及要求</w:t>
            </w:r>
          </w:p>
        </w:tc>
        <w:tc>
          <w:tcPr>
            <w:tcW w:w="1540" w:type="dxa"/>
            <w:tcBorders>
              <w:top w:val="single" w:color="auto" w:sz="4" w:space="0"/>
            </w:tcBorders>
            <w:vAlign w:val="center"/>
          </w:tcPr>
          <w:p>
            <w:pPr>
              <w:autoSpaceDE w:val="0"/>
              <w:autoSpaceDN w:val="0"/>
              <w:jc w:val="center"/>
              <w:rPr>
                <w:rFonts w:ascii="宋体" w:hAnsi="宋体" w:cs="宋体"/>
                <w:b/>
                <w:bCs/>
                <w:color w:val="FF0000"/>
                <w:szCs w:val="21"/>
              </w:rPr>
            </w:pPr>
            <w:r>
              <w:rPr>
                <w:rFonts w:hint="eastAsia" w:ascii="宋体" w:hAnsi="宋体" w:cs="宋体"/>
                <w:b/>
                <w:bCs/>
                <w:szCs w:val="21"/>
              </w:rPr>
              <w:t>项目服务用时</w:t>
            </w:r>
          </w:p>
        </w:tc>
        <w:tc>
          <w:tcPr>
            <w:tcW w:w="178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b/>
                <w:bCs/>
                <w:szCs w:val="21"/>
              </w:rPr>
              <w:t>服务价格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巡视</w:t>
            </w:r>
          </w:p>
        </w:tc>
        <w:tc>
          <w:tcPr>
            <w:tcW w:w="3834" w:type="dxa"/>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探视老人，查看老人居住状态</w:t>
            </w:r>
          </w:p>
        </w:tc>
        <w:tc>
          <w:tcPr>
            <w:tcW w:w="1540" w:type="dxa"/>
            <w:tcBorders>
              <w:top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心脑血管动脉硬化筛查</w:t>
            </w:r>
          </w:p>
        </w:tc>
        <w:tc>
          <w:tcPr>
            <w:tcW w:w="3834" w:type="dxa"/>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检测老人动脉硬化情况，预防心脑血管疾病</w:t>
            </w:r>
          </w:p>
        </w:tc>
        <w:tc>
          <w:tcPr>
            <w:tcW w:w="1540"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3</w:t>
            </w:r>
          </w:p>
        </w:tc>
        <w:tc>
          <w:tcPr>
            <w:tcW w:w="1629" w:type="dxa"/>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测量血压</w:t>
            </w:r>
          </w:p>
        </w:tc>
        <w:tc>
          <w:tcPr>
            <w:tcW w:w="3834" w:type="dxa"/>
            <w:tcBorders>
              <w:top w:val="single" w:color="auto" w:sz="4" w:space="0"/>
              <w:bottom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为老人测量并长期对心率血压进行检测。</w:t>
            </w:r>
          </w:p>
        </w:tc>
        <w:tc>
          <w:tcPr>
            <w:tcW w:w="1540" w:type="dxa"/>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tcBorders>
              <w:top w:val="single" w:color="auto" w:sz="4" w:space="0"/>
              <w:bottom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w:t>
            </w:r>
          </w:p>
        </w:tc>
        <w:tc>
          <w:tcPr>
            <w:tcW w:w="162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心理慰藉</w:t>
            </w:r>
          </w:p>
        </w:tc>
        <w:tc>
          <w:tcPr>
            <w:tcW w:w="3834" w:type="dxa"/>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提供心理疏导服务</w:t>
            </w:r>
          </w:p>
        </w:tc>
        <w:tc>
          <w:tcPr>
            <w:tcW w:w="154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5</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家务整理</w:t>
            </w:r>
          </w:p>
        </w:tc>
        <w:tc>
          <w:tcPr>
            <w:tcW w:w="3834" w:type="dxa"/>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1.开窗通风，保持客厅、卧室、厨卫整洁，物品摆放整齐；</w:t>
            </w:r>
            <w:r>
              <w:rPr>
                <w:rFonts w:hint="eastAsia" w:ascii="宋体" w:hAnsi="宋体" w:cs="宋体"/>
                <w:szCs w:val="21"/>
              </w:rPr>
              <w:br w:type="textWrapping"/>
            </w:r>
            <w:r>
              <w:rPr>
                <w:rFonts w:hint="eastAsia" w:ascii="宋体" w:hAnsi="宋体" w:cs="宋体"/>
                <w:szCs w:val="21"/>
              </w:rPr>
              <w:t>2.按需晾晒（棉被，厚毛毯等）、更换床上四件套；</w:t>
            </w:r>
            <w:r>
              <w:rPr>
                <w:rFonts w:hint="eastAsia" w:ascii="宋体" w:hAnsi="宋体" w:cs="宋体"/>
                <w:szCs w:val="21"/>
              </w:rPr>
              <w:br w:type="textWrapping"/>
            </w:r>
            <w:r>
              <w:rPr>
                <w:rFonts w:hint="eastAsia" w:ascii="宋体" w:hAnsi="宋体" w:cs="宋体"/>
                <w:szCs w:val="21"/>
              </w:rPr>
              <w:t>3.按老年人习惯整理床铺，保持床铺整洁。</w:t>
            </w:r>
          </w:p>
        </w:tc>
        <w:tc>
          <w:tcPr>
            <w:tcW w:w="1540"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6</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居家清洁</w:t>
            </w:r>
          </w:p>
        </w:tc>
        <w:tc>
          <w:tcPr>
            <w:tcW w:w="3834" w:type="dxa"/>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1.由内而外打扫居室卫生，拖洗地面至清洁无污，并通风保持地面干燥，防止老年人滑倒；</w:t>
            </w:r>
            <w:r>
              <w:rPr>
                <w:rFonts w:hint="eastAsia" w:ascii="宋体" w:hAnsi="宋体" w:cs="宋体"/>
                <w:szCs w:val="21"/>
              </w:rPr>
              <w:br w:type="textWrapping"/>
            </w:r>
            <w:r>
              <w:rPr>
                <w:rFonts w:hint="eastAsia" w:ascii="宋体" w:hAnsi="宋体" w:cs="宋体"/>
                <w:szCs w:val="21"/>
              </w:rPr>
              <w:t>2.处理垃圾不扬尘，保持客厅、卧室、厨卫整洁；</w:t>
            </w:r>
            <w:r>
              <w:rPr>
                <w:rFonts w:hint="eastAsia" w:ascii="宋体" w:hAnsi="宋体" w:cs="宋体"/>
                <w:szCs w:val="21"/>
              </w:rPr>
              <w:br w:type="textWrapping"/>
            </w:r>
            <w:r>
              <w:rPr>
                <w:rFonts w:hint="eastAsia" w:ascii="宋体" w:hAnsi="宋体" w:cs="宋体"/>
                <w:szCs w:val="21"/>
              </w:rPr>
              <w:t>3.保持居室整洁美观、目测无灰尘、空气清新无异味；</w:t>
            </w:r>
            <w:r>
              <w:rPr>
                <w:rFonts w:hint="eastAsia" w:ascii="宋体" w:hAnsi="宋体" w:cs="宋体"/>
                <w:szCs w:val="21"/>
              </w:rPr>
              <w:br w:type="textWrapping"/>
            </w:r>
            <w:r>
              <w:rPr>
                <w:rFonts w:hint="eastAsia" w:ascii="宋体" w:hAnsi="宋体" w:cs="宋体"/>
                <w:szCs w:val="21"/>
              </w:rPr>
              <w:t>4.保洁用品应及时清洗、消毒，保持清洁及卫生；</w:t>
            </w:r>
            <w:r>
              <w:rPr>
                <w:rFonts w:hint="eastAsia" w:ascii="宋体" w:hAnsi="宋体" w:cs="宋体"/>
                <w:szCs w:val="21"/>
              </w:rPr>
              <w:br w:type="textWrapping"/>
            </w:r>
            <w:r>
              <w:rPr>
                <w:rFonts w:hint="eastAsia" w:ascii="宋体" w:hAnsi="宋体" w:cs="宋体"/>
                <w:szCs w:val="21"/>
              </w:rPr>
              <w:t>5.打扫过程中，如遇钱财等贵重物品，应提醒老年人妥善保管。</w:t>
            </w:r>
          </w:p>
        </w:tc>
        <w:tc>
          <w:tcPr>
            <w:tcW w:w="1540"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7</w:t>
            </w:r>
          </w:p>
        </w:tc>
        <w:tc>
          <w:tcPr>
            <w:tcW w:w="1629" w:type="dxa"/>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上门理发</w:t>
            </w:r>
          </w:p>
        </w:tc>
        <w:tc>
          <w:tcPr>
            <w:tcW w:w="3834" w:type="dxa"/>
            <w:tcBorders>
              <w:top w:val="single" w:color="auto" w:sz="4" w:space="0"/>
            </w:tcBorders>
            <w:vAlign w:val="center"/>
          </w:tcPr>
          <w:p>
            <w:pPr>
              <w:widowControl/>
              <w:spacing w:line="400" w:lineRule="exact"/>
              <w:jc w:val="left"/>
              <w:rPr>
                <w:rFonts w:ascii="宋体" w:hAnsi="宋体" w:cs="宋体"/>
                <w:szCs w:val="21"/>
              </w:rPr>
            </w:pPr>
            <w:r>
              <w:rPr>
                <w:rFonts w:hint="eastAsia" w:ascii="宋体" w:hAnsi="宋体" w:cs="宋体"/>
                <w:kern w:val="0"/>
                <w:szCs w:val="21"/>
              </w:rPr>
              <w:t>1.简单理发，修面、挖耳注意安全，做到老年人容貌整洁；</w:t>
            </w:r>
            <w:r>
              <w:rPr>
                <w:rFonts w:hint="eastAsia" w:ascii="宋体" w:hAnsi="宋体" w:cs="宋体"/>
                <w:kern w:val="0"/>
                <w:szCs w:val="21"/>
              </w:rPr>
              <w:br w:type="textWrapping"/>
            </w:r>
            <w:r>
              <w:rPr>
                <w:rFonts w:hint="eastAsia" w:ascii="宋体" w:hAnsi="宋体" w:cs="宋体"/>
                <w:kern w:val="0"/>
                <w:szCs w:val="21"/>
              </w:rPr>
              <w:t>2.理发人员应受过培训上岗。</w:t>
            </w:r>
          </w:p>
        </w:tc>
        <w:tc>
          <w:tcPr>
            <w:tcW w:w="1540" w:type="dxa"/>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20-30分钟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8</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洗脚、指（趾）甲修剪</w:t>
            </w:r>
          </w:p>
        </w:tc>
        <w:tc>
          <w:tcPr>
            <w:tcW w:w="3834" w:type="dxa"/>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1.泡脚、洗脚，剪指（趾）甲；</w:t>
            </w:r>
            <w:r>
              <w:rPr>
                <w:rFonts w:hint="eastAsia" w:ascii="宋体" w:hAnsi="宋体" w:cs="宋体"/>
                <w:szCs w:val="21"/>
              </w:rPr>
              <w:br w:type="textWrapping"/>
            </w:r>
            <w:r>
              <w:rPr>
                <w:rFonts w:hint="eastAsia" w:ascii="宋体" w:hAnsi="宋体" w:cs="宋体"/>
                <w:szCs w:val="21"/>
              </w:rPr>
              <w:t>2.保持指（趾）甲整洁、无异味。</w:t>
            </w:r>
          </w:p>
        </w:tc>
        <w:tc>
          <w:tcPr>
            <w:tcW w:w="1540" w:type="dxa"/>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10-30分钟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9</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康复护理</w:t>
            </w:r>
          </w:p>
        </w:tc>
        <w:tc>
          <w:tcPr>
            <w:tcW w:w="3834" w:type="dxa"/>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对有需求的老年人制定康复方案，在专业人员指导下进行肢体类康复训练（腰椎康复训练、关节放松训练等）。</w:t>
            </w:r>
          </w:p>
          <w:p>
            <w:pPr>
              <w:autoSpaceDE w:val="0"/>
              <w:autoSpaceDN w:val="0"/>
              <w:jc w:val="left"/>
              <w:rPr>
                <w:rFonts w:ascii="宋体" w:hAnsi="宋体" w:cs="宋体"/>
                <w:szCs w:val="21"/>
              </w:rPr>
            </w:pPr>
            <w:r>
              <w:rPr>
                <w:rFonts w:hint="eastAsia" w:ascii="宋体" w:hAnsi="宋体" w:cs="宋体"/>
                <w:szCs w:val="21"/>
              </w:rPr>
              <w:t>1.应符合老年人的生理心理特点。</w:t>
            </w:r>
            <w:r>
              <w:rPr>
                <w:rFonts w:hint="eastAsia" w:ascii="宋体" w:hAnsi="宋体" w:cs="宋体"/>
                <w:szCs w:val="21"/>
              </w:rPr>
              <w:br w:type="textWrapping"/>
            </w:r>
            <w:r>
              <w:rPr>
                <w:rFonts w:hint="eastAsia" w:ascii="宋体" w:hAnsi="宋体" w:cs="宋体"/>
                <w:szCs w:val="21"/>
              </w:rPr>
              <w:t>2.根据需要配备相应的合格理疗器具，理疗过程中应注意观察老年人的身体适应情况，防止损伤。</w:t>
            </w:r>
            <w:r>
              <w:rPr>
                <w:rFonts w:hint="eastAsia" w:ascii="宋体" w:hAnsi="宋体" w:cs="宋体"/>
                <w:szCs w:val="21"/>
              </w:rPr>
              <w:br w:type="textWrapping"/>
            </w:r>
            <w:r>
              <w:rPr>
                <w:rFonts w:hint="eastAsia" w:ascii="宋体" w:hAnsi="宋体" w:cs="宋体"/>
                <w:szCs w:val="21"/>
              </w:rPr>
              <w:t>3.专业人员采用中医传统推拿手法，对症调理，配以拔罐、刮麴等，调和脏腑气血，缓解疼痛等。</w:t>
            </w:r>
          </w:p>
        </w:tc>
        <w:tc>
          <w:tcPr>
            <w:tcW w:w="1540" w:type="dxa"/>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30-40分钟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10</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助浴</w:t>
            </w:r>
          </w:p>
        </w:tc>
        <w:tc>
          <w:tcPr>
            <w:tcW w:w="3834" w:type="dxa"/>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1.根据需要提供上门擦拭、上门洗浴等服务内容；</w:t>
            </w:r>
          </w:p>
          <w:p>
            <w:pPr>
              <w:autoSpaceDE w:val="0"/>
              <w:autoSpaceDN w:val="0"/>
              <w:jc w:val="left"/>
              <w:rPr>
                <w:rFonts w:ascii="宋体" w:hAnsi="宋体" w:cs="宋体"/>
                <w:szCs w:val="21"/>
              </w:rPr>
            </w:pPr>
            <w:r>
              <w:rPr>
                <w:rFonts w:hint="eastAsia" w:ascii="宋体" w:hAnsi="宋体" w:cs="宋体"/>
                <w:szCs w:val="21"/>
              </w:rPr>
              <w:t>2.服务人员助浴过程中，应同时有家属或监护人在场，保障老年人安全；</w:t>
            </w:r>
          </w:p>
          <w:p>
            <w:pPr>
              <w:autoSpaceDE w:val="0"/>
              <w:autoSpaceDN w:val="0"/>
              <w:jc w:val="left"/>
              <w:rPr>
                <w:rFonts w:ascii="宋体" w:hAnsi="宋体" w:cs="宋体"/>
                <w:szCs w:val="21"/>
              </w:rPr>
            </w:pPr>
            <w:r>
              <w:rPr>
                <w:rFonts w:hint="eastAsia" w:ascii="宋体" w:hAnsi="宋体" w:cs="宋体"/>
                <w:szCs w:val="21"/>
              </w:rPr>
              <w:t>3.根据气候状况和老年人居住条件，注意防寒保暖、防暑降温和浴室内通风，环境温度应调节到25℃至30℃之间；</w:t>
            </w:r>
            <w:r>
              <w:rPr>
                <w:rFonts w:hint="eastAsia" w:ascii="宋体" w:hAnsi="宋体" w:cs="宋体"/>
                <w:szCs w:val="21"/>
              </w:rPr>
              <w:br w:type="textWrapping"/>
            </w:r>
            <w:r>
              <w:rPr>
                <w:rFonts w:hint="eastAsia" w:ascii="宋体" w:hAnsi="宋体" w:cs="宋体"/>
                <w:szCs w:val="21"/>
              </w:rPr>
              <w:t>4.助浴过程中应注意观察老年人身体情况，如遇老年人身体不适，协助采取应急措施。</w:t>
            </w:r>
          </w:p>
        </w:tc>
        <w:tc>
          <w:tcPr>
            <w:tcW w:w="1540"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30-60分钟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11</w:t>
            </w:r>
          </w:p>
        </w:tc>
        <w:tc>
          <w:tcPr>
            <w:tcW w:w="1629"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身体清洁</w:t>
            </w:r>
          </w:p>
        </w:tc>
        <w:tc>
          <w:tcPr>
            <w:tcW w:w="3834" w:type="dxa"/>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协助卧床老年人进行卧位洗头及面部清洁，对不能自理老年人采用棉棒、棉球擦拭清洁口腔</w:t>
            </w:r>
          </w:p>
        </w:tc>
        <w:tc>
          <w:tcPr>
            <w:tcW w:w="1540"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20-30分钟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12</w:t>
            </w:r>
          </w:p>
        </w:tc>
        <w:tc>
          <w:tcPr>
            <w:tcW w:w="1629"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陪同外出</w:t>
            </w:r>
          </w:p>
        </w:tc>
        <w:tc>
          <w:tcPr>
            <w:tcW w:w="3834" w:type="dxa"/>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1.协助老年人在住宅小区及周边区域活动；</w:t>
            </w:r>
            <w:r>
              <w:rPr>
                <w:rFonts w:hint="eastAsia" w:ascii="宋体" w:hAnsi="宋体" w:cs="宋体"/>
                <w:kern w:val="0"/>
                <w:szCs w:val="21"/>
              </w:rPr>
              <w:br w:type="textWrapping"/>
            </w:r>
            <w:r>
              <w:rPr>
                <w:rFonts w:hint="eastAsia" w:ascii="宋体" w:hAnsi="宋体" w:cs="宋体"/>
                <w:kern w:val="0"/>
                <w:szCs w:val="21"/>
              </w:rPr>
              <w:t>2.帮助老年人正确使用助行器及其他辅助用具，并注意途中安全。</w:t>
            </w:r>
          </w:p>
        </w:tc>
        <w:tc>
          <w:tcPr>
            <w:tcW w:w="1540"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13</w:t>
            </w:r>
          </w:p>
        </w:tc>
        <w:tc>
          <w:tcPr>
            <w:tcW w:w="1629"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代办服务</w:t>
            </w:r>
          </w:p>
        </w:tc>
        <w:tc>
          <w:tcPr>
            <w:tcW w:w="3834" w:type="dxa"/>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1.代办各种手续、代缴各种费用等日常生活事务，及时办理；</w:t>
            </w:r>
            <w:r>
              <w:rPr>
                <w:rFonts w:hint="eastAsia" w:ascii="宋体" w:hAnsi="宋体" w:cs="宋体"/>
                <w:kern w:val="0"/>
                <w:szCs w:val="21"/>
              </w:rPr>
              <w:br w:type="textWrapping"/>
            </w:r>
            <w:r>
              <w:rPr>
                <w:rFonts w:hint="eastAsia" w:ascii="宋体" w:hAnsi="宋体" w:cs="宋体"/>
                <w:kern w:val="0"/>
                <w:szCs w:val="21"/>
              </w:rPr>
              <w:t>2.代办前后当面清点钱物、证件、单据等并妥善保管好。</w:t>
            </w:r>
          </w:p>
        </w:tc>
        <w:tc>
          <w:tcPr>
            <w:tcW w:w="1540"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14</w:t>
            </w:r>
          </w:p>
        </w:tc>
        <w:tc>
          <w:tcPr>
            <w:tcW w:w="1629"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陪同就医</w:t>
            </w:r>
          </w:p>
        </w:tc>
        <w:tc>
          <w:tcPr>
            <w:tcW w:w="3834" w:type="dxa"/>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1.陪同就医主要指常见病、慢性病复诊、辅助性检查、门诊注射、换药等（就诊单位为区级以上正规医疗机构）；</w:t>
            </w:r>
            <w:r>
              <w:rPr>
                <w:rFonts w:hint="eastAsia" w:ascii="宋体" w:hAnsi="宋体" w:cs="宋体"/>
                <w:kern w:val="0"/>
                <w:szCs w:val="21"/>
              </w:rPr>
              <w:br w:type="textWrapping"/>
            </w:r>
            <w:r>
              <w:rPr>
                <w:rFonts w:hint="eastAsia" w:ascii="宋体" w:hAnsi="宋体" w:cs="宋体"/>
                <w:kern w:val="0"/>
                <w:szCs w:val="21"/>
              </w:rPr>
              <w:t>2.注意老年人途中安全，并及时向老年人家属或监护人反馈就医情况；</w:t>
            </w:r>
            <w:r>
              <w:rPr>
                <w:rFonts w:hint="eastAsia" w:ascii="宋体" w:hAnsi="宋体" w:cs="宋体"/>
                <w:kern w:val="0"/>
                <w:szCs w:val="21"/>
              </w:rPr>
              <w:br w:type="textWrapping"/>
            </w:r>
            <w:r>
              <w:rPr>
                <w:rFonts w:hint="eastAsia" w:ascii="宋体" w:hAnsi="宋体" w:cs="宋体"/>
                <w:kern w:val="0"/>
                <w:szCs w:val="21"/>
              </w:rPr>
              <w:t>3.如需代为挂号、取药等服务，应做到当面清点钱款和药物。</w:t>
            </w:r>
          </w:p>
        </w:tc>
        <w:tc>
          <w:tcPr>
            <w:tcW w:w="1540" w:type="dxa"/>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15</w:t>
            </w:r>
          </w:p>
        </w:tc>
        <w:tc>
          <w:tcPr>
            <w:tcW w:w="1629"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医生上门诊断</w:t>
            </w:r>
          </w:p>
        </w:tc>
        <w:tc>
          <w:tcPr>
            <w:tcW w:w="3834" w:type="dxa"/>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专业医生上门为老人进行诊断服务。</w:t>
            </w:r>
          </w:p>
        </w:tc>
        <w:tc>
          <w:tcPr>
            <w:tcW w:w="1540" w:type="dxa"/>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tcBorders>
              <w:top w:val="single" w:color="auto" w:sz="4" w:space="0"/>
            </w:tcBorders>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16</w:t>
            </w:r>
          </w:p>
        </w:tc>
        <w:tc>
          <w:tcPr>
            <w:tcW w:w="1629" w:type="dxa"/>
            <w:vAlign w:val="center"/>
          </w:tcPr>
          <w:p>
            <w:pPr>
              <w:autoSpaceDE w:val="0"/>
              <w:autoSpaceDN w:val="0"/>
              <w:jc w:val="center"/>
              <w:rPr>
                <w:rFonts w:ascii="宋体" w:hAnsi="宋体" w:cs="宋体"/>
                <w:szCs w:val="21"/>
              </w:rPr>
            </w:pPr>
            <w:r>
              <w:rPr>
                <w:rFonts w:hint="eastAsia" w:ascii="宋体" w:hAnsi="宋体" w:cs="宋体"/>
                <w:szCs w:val="21"/>
              </w:rPr>
              <w:t>心电图检测</w:t>
            </w:r>
          </w:p>
        </w:tc>
        <w:tc>
          <w:tcPr>
            <w:tcW w:w="3834" w:type="dxa"/>
            <w:vAlign w:val="center"/>
          </w:tcPr>
          <w:p>
            <w:pPr>
              <w:autoSpaceDE w:val="0"/>
              <w:autoSpaceDN w:val="0"/>
              <w:jc w:val="left"/>
              <w:rPr>
                <w:rFonts w:ascii="宋体" w:hAnsi="宋体" w:cs="宋体"/>
                <w:szCs w:val="21"/>
              </w:rPr>
            </w:pPr>
            <w:r>
              <w:rPr>
                <w:rFonts w:hint="eastAsia" w:ascii="宋体" w:hAnsi="宋体" w:cs="宋体"/>
                <w:szCs w:val="21"/>
              </w:rPr>
              <w:t>由护士上门为老人做心电图监测，由医生查看解释结果，并下达医嘱。</w:t>
            </w:r>
          </w:p>
        </w:tc>
        <w:tc>
          <w:tcPr>
            <w:tcW w:w="1540" w:type="dxa"/>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17</w:t>
            </w:r>
          </w:p>
        </w:tc>
        <w:tc>
          <w:tcPr>
            <w:tcW w:w="1629" w:type="dxa"/>
            <w:vAlign w:val="center"/>
          </w:tcPr>
          <w:p>
            <w:pPr>
              <w:widowControl/>
              <w:jc w:val="center"/>
              <w:rPr>
                <w:rFonts w:ascii="宋体" w:hAnsi="宋体" w:cs="宋体"/>
                <w:szCs w:val="21"/>
              </w:rPr>
            </w:pPr>
            <w:r>
              <w:rPr>
                <w:rFonts w:hint="eastAsia" w:ascii="宋体" w:hAnsi="宋体" w:cs="宋体"/>
                <w:kern w:val="0"/>
                <w:szCs w:val="21"/>
              </w:rPr>
              <w:t>协助就餐</w:t>
            </w:r>
          </w:p>
        </w:tc>
        <w:tc>
          <w:tcPr>
            <w:tcW w:w="3834" w:type="dxa"/>
            <w:vAlign w:val="center"/>
          </w:tcPr>
          <w:p>
            <w:pPr>
              <w:widowControl/>
              <w:rPr>
                <w:rFonts w:ascii="宋体" w:hAnsi="宋体" w:cs="宋体"/>
                <w:szCs w:val="21"/>
              </w:rPr>
            </w:pPr>
            <w:r>
              <w:rPr>
                <w:rFonts w:hint="eastAsia" w:ascii="宋体" w:hAnsi="宋体" w:cs="宋体"/>
                <w:kern w:val="0"/>
                <w:szCs w:val="21"/>
              </w:rPr>
              <w:t>经口喂食，按时喂饭、喂水、喂水果、喂药</w:t>
            </w:r>
          </w:p>
        </w:tc>
        <w:tc>
          <w:tcPr>
            <w:tcW w:w="1540" w:type="dxa"/>
            <w:vAlign w:val="center"/>
          </w:tcPr>
          <w:p>
            <w:pPr>
              <w:widowControl/>
              <w:jc w:val="center"/>
              <w:rPr>
                <w:rFonts w:ascii="宋体" w:hAnsi="宋体" w:cs="宋体"/>
                <w:szCs w:val="21"/>
              </w:rPr>
            </w:pPr>
            <w:r>
              <w:rPr>
                <w:rFonts w:hint="eastAsia" w:ascii="宋体" w:hAnsi="宋体" w:cs="宋体"/>
                <w:kern w:val="0"/>
                <w:szCs w:val="21"/>
              </w:rPr>
              <w:t>15-30分钟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18</w:t>
            </w:r>
          </w:p>
        </w:tc>
        <w:tc>
          <w:tcPr>
            <w:tcW w:w="1629" w:type="dxa"/>
            <w:vAlign w:val="center"/>
          </w:tcPr>
          <w:p>
            <w:pPr>
              <w:autoSpaceDE w:val="0"/>
              <w:autoSpaceDN w:val="0"/>
              <w:jc w:val="center"/>
              <w:rPr>
                <w:rFonts w:ascii="宋体" w:hAnsi="宋体" w:cs="宋体"/>
                <w:szCs w:val="21"/>
              </w:rPr>
            </w:pPr>
            <w:r>
              <w:rPr>
                <w:rFonts w:hint="eastAsia" w:ascii="宋体" w:hAnsi="宋体" w:cs="宋体"/>
                <w:szCs w:val="21"/>
              </w:rPr>
              <w:t>教授居家照护方法和技巧</w:t>
            </w:r>
          </w:p>
        </w:tc>
        <w:tc>
          <w:tcPr>
            <w:tcW w:w="3834" w:type="dxa"/>
            <w:vAlign w:val="center"/>
          </w:tcPr>
          <w:p>
            <w:pPr>
              <w:autoSpaceDE w:val="0"/>
              <w:autoSpaceDN w:val="0"/>
              <w:jc w:val="left"/>
              <w:rPr>
                <w:rFonts w:ascii="宋体" w:hAnsi="宋体" w:cs="宋体"/>
                <w:szCs w:val="21"/>
              </w:rPr>
            </w:pPr>
            <w:r>
              <w:rPr>
                <w:rFonts w:hint="eastAsia" w:ascii="宋体" w:hAnsi="宋体" w:cs="宋体"/>
                <w:szCs w:val="21"/>
              </w:rPr>
              <w:t>现场教授居家老人照护方法和技巧</w:t>
            </w:r>
          </w:p>
        </w:tc>
        <w:tc>
          <w:tcPr>
            <w:tcW w:w="1540" w:type="dxa"/>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19</w:t>
            </w:r>
          </w:p>
        </w:tc>
        <w:tc>
          <w:tcPr>
            <w:tcW w:w="1629" w:type="dxa"/>
            <w:vAlign w:val="center"/>
          </w:tcPr>
          <w:p>
            <w:pPr>
              <w:autoSpaceDE w:val="0"/>
              <w:autoSpaceDN w:val="0"/>
              <w:jc w:val="center"/>
              <w:rPr>
                <w:rFonts w:ascii="宋体" w:hAnsi="宋体" w:cs="宋体"/>
                <w:szCs w:val="21"/>
              </w:rPr>
            </w:pPr>
            <w:r>
              <w:rPr>
                <w:rFonts w:hint="eastAsia" w:ascii="宋体" w:hAnsi="宋体" w:cs="宋体"/>
                <w:szCs w:val="21"/>
              </w:rPr>
              <w:t>洗衣服务</w:t>
            </w:r>
          </w:p>
        </w:tc>
        <w:tc>
          <w:tcPr>
            <w:tcW w:w="3834" w:type="dxa"/>
            <w:vAlign w:val="center"/>
          </w:tcPr>
          <w:p>
            <w:pPr>
              <w:autoSpaceDE w:val="0"/>
              <w:autoSpaceDN w:val="0"/>
              <w:jc w:val="left"/>
              <w:rPr>
                <w:rFonts w:ascii="宋体" w:hAnsi="宋体" w:cs="宋体"/>
                <w:szCs w:val="21"/>
              </w:rPr>
            </w:pPr>
            <w:r>
              <w:rPr>
                <w:rFonts w:hint="eastAsia" w:ascii="宋体" w:hAnsi="宋体" w:cs="宋体"/>
                <w:szCs w:val="21"/>
              </w:rPr>
              <w:t>1.服务人员上门为老年人洗涤衣物；</w:t>
            </w:r>
            <w:r>
              <w:rPr>
                <w:rFonts w:hint="eastAsia" w:ascii="宋体" w:hAnsi="宋体" w:cs="宋体"/>
                <w:szCs w:val="21"/>
              </w:rPr>
              <w:br w:type="textWrapping"/>
            </w:r>
            <w:r>
              <w:rPr>
                <w:rFonts w:hint="eastAsia" w:ascii="宋体" w:hAnsi="宋体" w:cs="宋体"/>
                <w:szCs w:val="21"/>
              </w:rPr>
              <w:t>2.衣物应分类进行洗涤，并做到洗净、晾晒；</w:t>
            </w:r>
            <w:r>
              <w:rPr>
                <w:rFonts w:hint="eastAsia" w:ascii="宋体" w:hAnsi="宋体" w:cs="宋体"/>
                <w:szCs w:val="21"/>
              </w:rPr>
              <w:br w:type="textWrapping"/>
            </w:r>
            <w:r>
              <w:rPr>
                <w:rFonts w:hint="eastAsia" w:ascii="宋体" w:hAnsi="宋体" w:cs="宋体"/>
                <w:szCs w:val="21"/>
              </w:rPr>
              <w:t>3.洗涤前需检查被洗衣物的性状及是否遗留贵重物品并告知老年人或家属；</w:t>
            </w:r>
            <w:r>
              <w:rPr>
                <w:rFonts w:hint="eastAsia" w:ascii="宋体" w:hAnsi="宋体" w:cs="宋体"/>
                <w:szCs w:val="21"/>
              </w:rPr>
              <w:br w:type="textWrapping"/>
            </w:r>
            <w:r>
              <w:rPr>
                <w:rFonts w:hint="eastAsia" w:ascii="宋体" w:hAnsi="宋体" w:cs="宋体"/>
                <w:szCs w:val="21"/>
              </w:rPr>
              <w:t>4.贵重衣物不在本洗涤服务范围之内；</w:t>
            </w:r>
            <w:r>
              <w:rPr>
                <w:rFonts w:hint="eastAsia" w:ascii="宋体" w:hAnsi="宋体" w:cs="宋体"/>
                <w:szCs w:val="21"/>
              </w:rPr>
              <w:br w:type="textWrapping"/>
            </w:r>
            <w:r>
              <w:rPr>
                <w:rFonts w:hint="eastAsia" w:ascii="宋体" w:hAnsi="宋体" w:cs="宋体"/>
                <w:szCs w:val="21"/>
              </w:rPr>
              <w:t>5.水洗，可洗衣物、鞋、被褥（小件）、家居布料（小件）等</w:t>
            </w:r>
          </w:p>
        </w:tc>
        <w:tc>
          <w:tcPr>
            <w:tcW w:w="1540" w:type="dxa"/>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20</w:t>
            </w:r>
          </w:p>
        </w:tc>
        <w:tc>
          <w:tcPr>
            <w:tcW w:w="1629" w:type="dxa"/>
            <w:vAlign w:val="center"/>
          </w:tcPr>
          <w:p>
            <w:pPr>
              <w:widowControl/>
              <w:jc w:val="center"/>
              <w:rPr>
                <w:rFonts w:ascii="宋体" w:hAnsi="宋体" w:cs="宋体"/>
                <w:kern w:val="0"/>
                <w:szCs w:val="21"/>
              </w:rPr>
            </w:pPr>
            <w:r>
              <w:rPr>
                <w:rFonts w:hint="eastAsia" w:ascii="宋体" w:hAnsi="宋体" w:cs="宋体"/>
                <w:kern w:val="0"/>
                <w:szCs w:val="21"/>
              </w:rPr>
              <w:t>流食制作鼻饲</w:t>
            </w:r>
          </w:p>
        </w:tc>
        <w:tc>
          <w:tcPr>
            <w:tcW w:w="3834" w:type="dxa"/>
            <w:vAlign w:val="center"/>
          </w:tcPr>
          <w:p>
            <w:pPr>
              <w:widowControl/>
              <w:spacing w:line="400" w:lineRule="exact"/>
              <w:jc w:val="left"/>
              <w:rPr>
                <w:rFonts w:ascii="宋体" w:hAnsi="宋体" w:cs="宋体"/>
                <w:kern w:val="0"/>
                <w:szCs w:val="21"/>
              </w:rPr>
            </w:pPr>
            <w:r>
              <w:rPr>
                <w:rFonts w:hint="eastAsia" w:ascii="宋体" w:hAnsi="宋体" w:cs="宋体"/>
                <w:kern w:val="0"/>
                <w:szCs w:val="21"/>
              </w:rPr>
              <w:t>为老年人准备流食（包括操作前后工具清洗、消毒，老人家中需备有制作流食工具）以及鼻饲。</w:t>
            </w:r>
          </w:p>
        </w:tc>
        <w:tc>
          <w:tcPr>
            <w:tcW w:w="1540" w:type="dxa"/>
            <w:vAlign w:val="center"/>
          </w:tcPr>
          <w:p>
            <w:pPr>
              <w:widowControl/>
              <w:jc w:val="center"/>
              <w:rPr>
                <w:rFonts w:ascii="宋体" w:hAnsi="宋体" w:cs="宋体"/>
                <w:kern w:val="0"/>
                <w:szCs w:val="21"/>
              </w:rPr>
            </w:pPr>
            <w:r>
              <w:rPr>
                <w:rFonts w:hint="eastAsia" w:ascii="宋体" w:hAnsi="宋体" w:cs="宋体"/>
                <w:kern w:val="0"/>
                <w:szCs w:val="21"/>
              </w:rPr>
              <w:t>20-30分钟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21</w:t>
            </w:r>
          </w:p>
        </w:tc>
        <w:tc>
          <w:tcPr>
            <w:tcW w:w="1629" w:type="dxa"/>
            <w:vAlign w:val="center"/>
          </w:tcPr>
          <w:p>
            <w:pPr>
              <w:widowControl/>
              <w:jc w:val="center"/>
              <w:rPr>
                <w:rFonts w:ascii="宋体" w:hAnsi="宋体" w:cs="宋体"/>
                <w:kern w:val="0"/>
                <w:szCs w:val="21"/>
              </w:rPr>
            </w:pPr>
            <w:r>
              <w:rPr>
                <w:rFonts w:hint="eastAsia" w:ascii="宋体" w:hAnsi="宋体" w:cs="宋体"/>
                <w:kern w:val="0"/>
                <w:szCs w:val="21"/>
              </w:rPr>
              <w:t>失禁排泄护理</w:t>
            </w:r>
          </w:p>
        </w:tc>
        <w:tc>
          <w:tcPr>
            <w:tcW w:w="3834" w:type="dxa"/>
            <w:vAlign w:val="center"/>
          </w:tcPr>
          <w:p>
            <w:pPr>
              <w:widowControl/>
              <w:spacing w:line="400" w:lineRule="exact"/>
              <w:jc w:val="left"/>
              <w:rPr>
                <w:rFonts w:ascii="宋体" w:hAnsi="宋体" w:cs="宋体"/>
                <w:kern w:val="0"/>
                <w:szCs w:val="21"/>
              </w:rPr>
            </w:pPr>
            <w:r>
              <w:rPr>
                <w:rFonts w:hint="eastAsia" w:ascii="宋体" w:hAnsi="宋体" w:cs="宋体"/>
                <w:kern w:val="0"/>
                <w:szCs w:val="21"/>
              </w:rPr>
              <w:t>为大小便失禁的护理对象进行护理，保持局部皮肤的清洁，增加护理对象舒适；协助部分失能老人如厕等。</w:t>
            </w:r>
          </w:p>
        </w:tc>
        <w:tc>
          <w:tcPr>
            <w:tcW w:w="1540" w:type="dxa"/>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22</w:t>
            </w:r>
          </w:p>
        </w:tc>
        <w:tc>
          <w:tcPr>
            <w:tcW w:w="1629" w:type="dxa"/>
            <w:vAlign w:val="center"/>
          </w:tcPr>
          <w:p>
            <w:pPr>
              <w:widowControl/>
              <w:jc w:val="center"/>
              <w:rPr>
                <w:rFonts w:ascii="宋体" w:hAnsi="宋体" w:cs="宋体"/>
                <w:kern w:val="0"/>
                <w:szCs w:val="21"/>
              </w:rPr>
            </w:pPr>
            <w:r>
              <w:rPr>
                <w:rFonts w:hint="eastAsia" w:ascii="宋体" w:hAnsi="宋体" w:cs="宋体"/>
                <w:kern w:val="0"/>
                <w:szCs w:val="21"/>
              </w:rPr>
              <w:t>褥疮压疮护理</w:t>
            </w:r>
          </w:p>
        </w:tc>
        <w:tc>
          <w:tcPr>
            <w:tcW w:w="3834" w:type="dxa"/>
            <w:vAlign w:val="center"/>
          </w:tcPr>
          <w:p>
            <w:pPr>
              <w:widowControl/>
              <w:spacing w:line="400" w:lineRule="exact"/>
              <w:jc w:val="left"/>
              <w:rPr>
                <w:rFonts w:ascii="宋体" w:hAnsi="宋体" w:cs="宋体"/>
                <w:kern w:val="0"/>
                <w:szCs w:val="21"/>
              </w:rPr>
            </w:pPr>
            <w:r>
              <w:rPr>
                <w:rFonts w:hint="eastAsia" w:ascii="宋体" w:hAnsi="宋体" w:cs="宋体"/>
                <w:kern w:val="0"/>
                <w:szCs w:val="21"/>
              </w:rPr>
              <w:t>对易发生压疮的护理对象采取定时翻身、气垫减压等方法预防压疮的发生。为护理对象提供心理支持及压疮护理指导。</w:t>
            </w:r>
          </w:p>
        </w:tc>
        <w:tc>
          <w:tcPr>
            <w:tcW w:w="1540" w:type="dxa"/>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23</w:t>
            </w:r>
          </w:p>
        </w:tc>
        <w:tc>
          <w:tcPr>
            <w:tcW w:w="1629" w:type="dxa"/>
            <w:vAlign w:val="center"/>
          </w:tcPr>
          <w:p>
            <w:pPr>
              <w:autoSpaceDE w:val="0"/>
              <w:autoSpaceDN w:val="0"/>
              <w:jc w:val="center"/>
              <w:rPr>
                <w:rFonts w:ascii="宋体" w:hAnsi="宋体" w:cs="宋体"/>
                <w:szCs w:val="21"/>
              </w:rPr>
            </w:pPr>
            <w:r>
              <w:rPr>
                <w:rFonts w:hint="eastAsia" w:ascii="宋体" w:hAnsi="宋体" w:cs="宋体"/>
                <w:szCs w:val="21"/>
              </w:rPr>
              <w:t>褥疮处理服务</w:t>
            </w:r>
          </w:p>
        </w:tc>
        <w:tc>
          <w:tcPr>
            <w:tcW w:w="3834" w:type="dxa"/>
            <w:vAlign w:val="center"/>
          </w:tcPr>
          <w:p>
            <w:pPr>
              <w:autoSpaceDE w:val="0"/>
              <w:autoSpaceDN w:val="0"/>
              <w:jc w:val="left"/>
              <w:rPr>
                <w:rFonts w:ascii="宋体" w:hAnsi="宋体" w:cs="宋体"/>
                <w:szCs w:val="21"/>
              </w:rPr>
            </w:pPr>
            <w:r>
              <w:rPr>
                <w:rFonts w:hint="eastAsia" w:ascii="宋体" w:hAnsi="宋体" w:cs="宋体"/>
                <w:szCs w:val="21"/>
              </w:rPr>
              <w:t>专业护士上门为老人处理褥疮，医疗耗材含内。如需用药，需服务对象自行购买。</w:t>
            </w:r>
          </w:p>
        </w:tc>
        <w:tc>
          <w:tcPr>
            <w:tcW w:w="1540" w:type="dxa"/>
            <w:vAlign w:val="center"/>
          </w:tcPr>
          <w:p>
            <w:pPr>
              <w:autoSpaceDE w:val="0"/>
              <w:autoSpaceDN w:val="0"/>
              <w:jc w:val="center"/>
              <w:rPr>
                <w:rFonts w:ascii="宋体" w:hAnsi="宋体" w:cs="宋体"/>
                <w:szCs w:val="21"/>
              </w:rPr>
            </w:pPr>
            <w:r>
              <w:rPr>
                <w:rFonts w:hint="eastAsia" w:ascii="宋体" w:hAnsi="宋体" w:cs="宋体"/>
                <w:szCs w:val="21"/>
              </w:rPr>
              <w:t>/</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24</w:t>
            </w:r>
          </w:p>
        </w:tc>
        <w:tc>
          <w:tcPr>
            <w:tcW w:w="1629" w:type="dxa"/>
            <w:vAlign w:val="center"/>
          </w:tcPr>
          <w:p>
            <w:pPr>
              <w:widowControl/>
              <w:jc w:val="center"/>
              <w:rPr>
                <w:rFonts w:ascii="宋体" w:hAnsi="宋体" w:cs="宋体"/>
                <w:kern w:val="0"/>
                <w:szCs w:val="21"/>
              </w:rPr>
            </w:pPr>
            <w:r>
              <w:rPr>
                <w:rFonts w:hint="eastAsia" w:ascii="宋体" w:hAnsi="宋体" w:cs="宋体"/>
                <w:kern w:val="0"/>
                <w:szCs w:val="21"/>
              </w:rPr>
              <w:t>会阴护理</w:t>
            </w:r>
          </w:p>
        </w:tc>
        <w:tc>
          <w:tcPr>
            <w:tcW w:w="3834" w:type="dxa"/>
            <w:vAlign w:val="center"/>
          </w:tcPr>
          <w:p>
            <w:pPr>
              <w:widowControl/>
              <w:spacing w:line="400" w:lineRule="exact"/>
              <w:jc w:val="left"/>
              <w:rPr>
                <w:rFonts w:ascii="宋体" w:hAnsi="宋体" w:cs="宋体"/>
                <w:kern w:val="0"/>
                <w:szCs w:val="21"/>
              </w:rPr>
            </w:pPr>
            <w:r>
              <w:rPr>
                <w:rFonts w:hint="eastAsia" w:ascii="宋体" w:hAnsi="宋体" w:cs="宋体"/>
                <w:kern w:val="0"/>
                <w:szCs w:val="21"/>
              </w:rPr>
              <w:t>根据会阴部有无伤口、有无大小便失禁和留置尿管等，鼓励并协助护理对象完成会阴部的擦洗或冲洗。</w:t>
            </w:r>
          </w:p>
        </w:tc>
        <w:tc>
          <w:tcPr>
            <w:tcW w:w="1540" w:type="dxa"/>
            <w:vAlign w:val="center"/>
          </w:tcPr>
          <w:p>
            <w:pPr>
              <w:widowControl/>
              <w:jc w:val="center"/>
              <w:rPr>
                <w:rFonts w:ascii="宋体" w:hAnsi="宋体" w:cs="宋体"/>
                <w:kern w:val="0"/>
                <w:szCs w:val="21"/>
              </w:rPr>
            </w:pPr>
            <w:r>
              <w:rPr>
                <w:rFonts w:hint="eastAsia" w:ascii="宋体" w:hAnsi="宋体" w:cs="宋体"/>
                <w:kern w:val="0"/>
                <w:szCs w:val="21"/>
              </w:rPr>
              <w:t>10-20分钟</w:t>
            </w:r>
          </w:p>
        </w:tc>
        <w:tc>
          <w:tcPr>
            <w:tcW w:w="1789" w:type="dxa"/>
            <w:vAlign w:val="center"/>
          </w:tcPr>
          <w:p>
            <w:pPr>
              <w:autoSpaceDE w:val="0"/>
              <w:autoSpaceDN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3" w:type="dxa"/>
            <w:vAlign w:val="center"/>
          </w:tcPr>
          <w:p>
            <w:pPr>
              <w:autoSpaceDE w:val="0"/>
              <w:autoSpaceDN w:val="0"/>
              <w:jc w:val="center"/>
              <w:rPr>
                <w:rFonts w:ascii="宋体" w:hAnsi="宋体" w:cs="宋体"/>
                <w:szCs w:val="21"/>
              </w:rPr>
            </w:pPr>
            <w:r>
              <w:rPr>
                <w:rFonts w:hint="eastAsia" w:ascii="宋体" w:hAnsi="宋体" w:cs="宋体"/>
                <w:szCs w:val="21"/>
              </w:rPr>
              <w:t>25</w:t>
            </w:r>
          </w:p>
        </w:tc>
        <w:tc>
          <w:tcPr>
            <w:tcW w:w="1629" w:type="dxa"/>
            <w:vAlign w:val="center"/>
          </w:tcPr>
          <w:p>
            <w:pPr>
              <w:widowControl/>
              <w:jc w:val="center"/>
              <w:rPr>
                <w:rFonts w:ascii="宋体" w:hAnsi="宋体" w:cs="宋体"/>
                <w:kern w:val="0"/>
                <w:szCs w:val="21"/>
              </w:rPr>
            </w:pPr>
            <w:r>
              <w:rPr>
                <w:rFonts w:hint="eastAsia" w:ascii="宋体" w:hAnsi="宋体" w:cs="宋体"/>
                <w:kern w:val="0"/>
                <w:szCs w:val="21"/>
              </w:rPr>
              <w:t>皮肤外用药涂擦</w:t>
            </w:r>
          </w:p>
        </w:tc>
        <w:tc>
          <w:tcPr>
            <w:tcW w:w="3834" w:type="dxa"/>
            <w:vAlign w:val="center"/>
          </w:tcPr>
          <w:p>
            <w:pPr>
              <w:widowControl/>
              <w:spacing w:line="400" w:lineRule="exact"/>
              <w:jc w:val="left"/>
              <w:rPr>
                <w:rFonts w:ascii="宋体" w:hAnsi="宋体" w:cs="宋体"/>
                <w:kern w:val="0"/>
                <w:szCs w:val="21"/>
              </w:rPr>
            </w:pPr>
            <w:r>
              <w:rPr>
                <w:rFonts w:hint="eastAsia" w:ascii="宋体" w:hAnsi="宋体" w:cs="宋体"/>
                <w:kern w:val="0"/>
                <w:szCs w:val="21"/>
              </w:rPr>
              <w:t>遵医嘱用棉签等蘸取药液直接涂抹护理对象在皮肤上进行治疗。</w:t>
            </w:r>
          </w:p>
        </w:tc>
        <w:tc>
          <w:tcPr>
            <w:tcW w:w="1540" w:type="dxa"/>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1789" w:type="dxa"/>
            <w:vAlign w:val="center"/>
          </w:tcPr>
          <w:p>
            <w:pPr>
              <w:autoSpaceDE w:val="0"/>
              <w:autoSpaceDN w:val="0"/>
              <w:jc w:val="center"/>
              <w:rPr>
                <w:rFonts w:ascii="宋体" w:hAnsi="宋体" w:cs="宋体"/>
                <w:szCs w:val="21"/>
              </w:rPr>
            </w:pPr>
          </w:p>
        </w:tc>
      </w:tr>
    </w:tbl>
    <w:p>
      <w:pPr>
        <w:spacing w:beforeLines="50" w:afterLines="50" w:line="480" w:lineRule="auto"/>
        <w:jc w:val="right"/>
        <w:rPr>
          <w:rFonts w:ascii="宋体" w:hAnsi="宋体"/>
          <w:sz w:val="24"/>
          <w:szCs w:val="24"/>
        </w:rPr>
      </w:pPr>
      <w:r>
        <w:rPr>
          <w:rFonts w:hint="eastAsia" w:ascii="宋体" w:hAnsi="宋体"/>
          <w:color w:val="0000FF"/>
          <w:szCs w:val="21"/>
        </w:rPr>
        <w:t xml:space="preserve"> </w:t>
      </w:r>
      <w:r>
        <w:rPr>
          <w:rFonts w:hint="eastAsia" w:ascii="宋体" w:hAnsi="宋体"/>
          <w:sz w:val="24"/>
          <w:szCs w:val="24"/>
        </w:rPr>
        <w:t>供应商名称（全称并加盖公章）：</w:t>
      </w:r>
    </w:p>
    <w:p>
      <w:pPr>
        <w:spacing w:beforeLines="50" w:afterLines="50" w:line="480" w:lineRule="auto"/>
        <w:jc w:val="right"/>
        <w:rPr>
          <w:rFonts w:ascii="宋体" w:hAnsi="宋体"/>
          <w:sz w:val="24"/>
          <w:szCs w:val="24"/>
        </w:rPr>
      </w:pPr>
      <w:r>
        <w:rPr>
          <w:rFonts w:hint="eastAsia" w:ascii="宋体" w:hAnsi="宋体"/>
          <w:sz w:val="24"/>
          <w:szCs w:val="24"/>
        </w:rPr>
        <w:t xml:space="preserve"> 法定代表人或其委托代理人（签名或盖章）：</w:t>
      </w:r>
    </w:p>
    <w:p>
      <w:pPr>
        <w:spacing w:beforeLines="50" w:afterLines="50" w:line="480" w:lineRule="auto"/>
        <w:jc w:val="right"/>
        <w:rPr>
          <w:rFonts w:ascii="宋体" w:hAnsi="宋体"/>
          <w:szCs w:val="21"/>
        </w:rPr>
      </w:pPr>
      <w:r>
        <w:rPr>
          <w:rFonts w:hint="eastAsia" w:ascii="宋体" w:hAnsi="宋体"/>
          <w:sz w:val="24"/>
          <w:szCs w:val="24"/>
        </w:rPr>
        <w:t xml:space="preserve">                                               年   月   日</w:t>
      </w:r>
      <w:r>
        <w:rPr>
          <w:rFonts w:hint="eastAsia" w:ascii="宋体" w:hAnsi="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 xml:space="preserve">                   </w:t>
      </w:r>
    </w:p>
    <w:p>
      <w:pPr>
        <w:spacing w:line="440" w:lineRule="exact"/>
        <w:ind w:left="420"/>
        <w:rPr>
          <w:b/>
          <w:bCs/>
          <w:szCs w:val="21"/>
        </w:rPr>
      </w:pPr>
    </w:p>
    <w:p>
      <w:pPr>
        <w:spacing w:line="440" w:lineRule="exact"/>
        <w:ind w:left="420"/>
        <w:rPr>
          <w:b/>
          <w:bCs/>
          <w:szCs w:val="21"/>
        </w:rPr>
      </w:pPr>
    </w:p>
    <w:p>
      <w:pPr>
        <w:spacing w:line="440" w:lineRule="exact"/>
        <w:ind w:left="420"/>
        <w:rPr>
          <w:b/>
          <w:bCs/>
          <w:szCs w:val="21"/>
        </w:rPr>
      </w:pPr>
    </w:p>
    <w:p>
      <w:pPr>
        <w:spacing w:line="440" w:lineRule="exact"/>
        <w:ind w:left="420"/>
        <w:rPr>
          <w:b/>
          <w:bCs/>
          <w:szCs w:val="21"/>
        </w:rPr>
      </w:pPr>
      <w:r>
        <w:rPr>
          <w:rFonts w:hint="eastAsia"/>
          <w:b/>
          <w:bCs/>
          <w:szCs w:val="21"/>
        </w:rPr>
        <w:t>注：1.</w:t>
      </w:r>
      <w:r>
        <w:rPr>
          <w:rFonts w:hint="eastAsia"/>
          <w:b/>
          <w:bCs/>
          <w:color w:val="FF0000"/>
          <w:szCs w:val="21"/>
        </w:rPr>
        <w:t>本表不能装在响应文件内</w:t>
      </w:r>
      <w:r>
        <w:rPr>
          <w:rFonts w:hint="eastAsia"/>
          <w:b/>
          <w:bCs/>
          <w:szCs w:val="21"/>
        </w:rPr>
        <w:t>，应单独制作并在二次报价时作为附件（PDF格式）上传。磋商小组对已通过资格性、符合性审查的供应商发起二轮（最后报价）邀请后，</w:t>
      </w:r>
      <w:r>
        <w:rPr>
          <w:rFonts w:hint="eastAsia"/>
          <w:b/>
          <w:bCs/>
        </w:rPr>
        <w:t>供应商在规定时间内通过焦作市公共资源交易平台进行二轮报价（最后报价），未在规定时间内提交二轮报价（最后报价）的视为放弃本次磋商</w:t>
      </w:r>
      <w:r>
        <w:rPr>
          <w:rFonts w:hint="eastAsia"/>
          <w:b/>
          <w:bCs/>
          <w:szCs w:val="21"/>
        </w:rPr>
        <w:t xml:space="preserve">。  </w:t>
      </w:r>
    </w:p>
    <w:p>
      <w:pPr>
        <w:spacing w:line="440" w:lineRule="exact"/>
        <w:ind w:left="420" w:firstLine="420" w:firstLineChars="200"/>
        <w:rPr>
          <w:rFonts w:ascii="宋体" w:hAnsi="宋体" w:cs="宋体"/>
          <w:b/>
          <w:bCs/>
          <w:szCs w:val="21"/>
        </w:rPr>
      </w:pPr>
      <w:r>
        <w:rPr>
          <w:rFonts w:hint="eastAsia"/>
          <w:b/>
          <w:bCs/>
          <w:szCs w:val="21"/>
        </w:rPr>
        <w:t>2.</w:t>
      </w:r>
      <w:r>
        <w:rPr>
          <w:rFonts w:ascii="宋体" w:hAnsi="宋体" w:cs="宋体"/>
          <w:b/>
          <w:bCs/>
          <w:szCs w:val="21"/>
        </w:rPr>
        <w:t>报价出现不一致的，按照下列规定修正：</w:t>
      </w:r>
    </w:p>
    <w:p>
      <w:pPr>
        <w:spacing w:line="440" w:lineRule="exact"/>
        <w:ind w:firstLine="420" w:firstLineChars="200"/>
        <w:rPr>
          <w:rFonts w:ascii="宋体" w:hAnsi="宋体" w:cs="宋体"/>
          <w:b/>
          <w:bCs/>
          <w:szCs w:val="21"/>
        </w:rPr>
      </w:pPr>
      <w:r>
        <w:rPr>
          <w:rFonts w:ascii="宋体" w:hAnsi="宋体" w:cs="宋体"/>
          <w:b/>
          <w:bCs/>
          <w:szCs w:val="21"/>
        </w:rPr>
        <w:t>（</w:t>
      </w:r>
      <w:r>
        <w:rPr>
          <w:rFonts w:hint="eastAsia" w:ascii="宋体" w:hAnsi="宋体" w:cs="宋体"/>
          <w:b/>
          <w:bCs/>
          <w:szCs w:val="21"/>
        </w:rPr>
        <w:t>1</w:t>
      </w:r>
      <w:r>
        <w:rPr>
          <w:rFonts w:ascii="宋体" w:hAnsi="宋体" w:cs="宋体"/>
          <w:b/>
          <w:bCs/>
          <w:szCs w:val="21"/>
        </w:rPr>
        <w:t>）</w:t>
      </w:r>
      <w:r>
        <w:rPr>
          <w:rFonts w:hint="eastAsia" w:ascii="宋体" w:hAnsi="宋体" w:cs="宋体"/>
          <w:b/>
          <w:bCs/>
          <w:szCs w:val="21"/>
        </w:rPr>
        <w:t>本表总报价和电子投标系统表二轮报价表中的总报价不一致的，以本表为准；</w:t>
      </w:r>
    </w:p>
    <w:p>
      <w:pPr>
        <w:spacing w:line="440" w:lineRule="exact"/>
        <w:ind w:firstLine="420" w:firstLineChars="200"/>
        <w:rPr>
          <w:rFonts w:ascii="宋体" w:hAnsi="宋体" w:cs="宋体"/>
          <w:b/>
          <w:bCs/>
          <w:szCs w:val="21"/>
        </w:rPr>
      </w:pPr>
      <w:r>
        <w:rPr>
          <w:rFonts w:hint="eastAsia" w:ascii="宋体" w:hAnsi="宋体" w:cs="宋体"/>
          <w:b/>
          <w:bCs/>
          <w:szCs w:val="21"/>
        </w:rPr>
        <w:t>（2）</w:t>
      </w:r>
      <w:r>
        <w:rPr>
          <w:rFonts w:ascii="宋体" w:hAnsi="宋体" w:cs="宋体"/>
          <w:b/>
          <w:bCs/>
          <w:szCs w:val="21"/>
        </w:rPr>
        <w:t>大写金额和小写金额不一致的，以大写金额为准；</w:t>
      </w:r>
    </w:p>
    <w:p>
      <w:pPr>
        <w:spacing w:line="440" w:lineRule="exact"/>
        <w:ind w:left="420"/>
        <w:rPr>
          <w:rFonts w:ascii="宋体" w:hAnsi="宋体" w:cs="宋体"/>
          <w:b/>
          <w:bCs/>
          <w:szCs w:val="21"/>
        </w:rPr>
      </w:pPr>
      <w:r>
        <w:rPr>
          <w:rFonts w:ascii="宋体" w:hAnsi="宋体" w:cs="宋体"/>
          <w:b/>
          <w:bCs/>
          <w:szCs w:val="21"/>
        </w:rPr>
        <w:t>（</w:t>
      </w:r>
      <w:r>
        <w:rPr>
          <w:rFonts w:hint="eastAsia" w:ascii="宋体" w:hAnsi="宋体" w:cs="宋体"/>
          <w:b/>
          <w:bCs/>
          <w:szCs w:val="21"/>
        </w:rPr>
        <w:t>3</w:t>
      </w:r>
      <w:r>
        <w:rPr>
          <w:rFonts w:ascii="宋体" w:hAnsi="宋体" w:cs="宋体"/>
          <w:b/>
          <w:bCs/>
          <w:szCs w:val="21"/>
        </w:rPr>
        <w:t>）单价金额小数点或者百分比有明显错位的，以总价为准；</w:t>
      </w:r>
    </w:p>
    <w:p>
      <w:pPr>
        <w:spacing w:line="440" w:lineRule="exact"/>
        <w:ind w:left="420"/>
        <w:rPr>
          <w:rFonts w:ascii="宋体" w:hAnsi="宋体" w:cs="宋体"/>
          <w:b/>
          <w:bCs/>
          <w:szCs w:val="21"/>
        </w:rPr>
      </w:pPr>
      <w:r>
        <w:rPr>
          <w:rFonts w:ascii="宋体" w:hAnsi="宋体" w:cs="宋体"/>
          <w:b/>
          <w:bCs/>
          <w:szCs w:val="21"/>
        </w:rPr>
        <w:t>（</w:t>
      </w:r>
      <w:r>
        <w:rPr>
          <w:rFonts w:hint="eastAsia" w:ascii="宋体" w:hAnsi="宋体" w:cs="宋体"/>
          <w:b/>
          <w:bCs/>
          <w:szCs w:val="21"/>
        </w:rPr>
        <w:t>4</w:t>
      </w:r>
      <w:r>
        <w:rPr>
          <w:rFonts w:ascii="宋体" w:hAnsi="宋体" w:cs="宋体"/>
          <w:b/>
          <w:bCs/>
          <w:szCs w:val="21"/>
        </w:rPr>
        <w:t>）总价金额与按单价汇总金额不一致的，以单价金额计算结果为准。</w:t>
      </w:r>
    </w:p>
    <w:p>
      <w:pPr>
        <w:spacing w:line="440" w:lineRule="exact"/>
        <w:ind w:firstLine="424" w:firstLineChars="202"/>
        <w:rPr>
          <w:rFonts w:cs="宋体"/>
          <w:sz w:val="28"/>
          <w:szCs w:val="24"/>
        </w:rPr>
      </w:pPr>
      <w:r>
        <w:rPr>
          <w:rFonts w:ascii="宋体" w:hAnsi="宋体" w:cs="宋体"/>
          <w:b/>
          <w:bCs/>
          <w:szCs w:val="21"/>
        </w:rPr>
        <w:t>同时出现两种以上不一致的，按照前款规定的顺序修正。</w:t>
      </w:r>
    </w:p>
    <w:sectPr>
      <w:headerReference r:id="rId17" w:type="first"/>
      <w:footerReference r:id="rId19" w:type="first"/>
      <w:headerReference r:id="rId16" w:type="default"/>
      <w:footerReference r:id="rId18" w:type="default"/>
      <w:type w:val="nextColumn"/>
      <w:pgSz w:w="11906" w:h="16838"/>
      <w:pgMar w:top="1440" w:right="1230" w:bottom="1440" w:left="1230" w:header="851" w:footer="760"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monospace">
    <w:altName w:val="微软雅黑"/>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0000000000000000000"/>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Bph2NT2gEAALQ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3"/>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1RQSOc0BAACnAwAADgAAAAAAAAABACAAAAAeAQAAZHJzL2Uy&#10;b0RvYy54bWxQSwUGAAAAAAYABgBZAQAAXQUAAAAA&#10;">
              <v:fill on="f" focussize="0,0"/>
              <v:stroke on="f"/>
              <v:imagedata o:title=""/>
              <o:lock v:ext="edit" aspectratio="f"/>
              <v:textbox inset="0mm,0mm,0mm,0mm" style="mso-fit-shape-to-text:t;">
                <w:txbxContent>
                  <w:p>
                    <w:pPr>
                      <w:pStyle w:val="23"/>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p>
  <w:p>
    <w:pPr>
      <w:pStyle w:val="2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rFonts w:hint="eastAsia"/>
        <w:lang w:val="zh-CN"/>
      </w:rPr>
      <w:t>第</w:t>
    </w:r>
    <w:r>
      <w:rPr>
        <w:lang w:val="zh-CN"/>
      </w:rPr>
      <w:t xml:space="preserve"> </w:t>
    </w:r>
    <w:r>
      <w:fldChar w:fldCharType="begin"/>
    </w:r>
    <w:r>
      <w:instrText xml:space="preserve">PAGE</w:instrText>
    </w:r>
    <w:r>
      <w:fldChar w:fldCharType="separate"/>
    </w:r>
    <w:r>
      <w:t>34</w:t>
    </w:r>
    <w:r>
      <w:fldChar w:fldCharType="end"/>
    </w:r>
    <w:r>
      <w:rPr>
        <w:rFonts w:hint="eastAsia"/>
      </w:rPr>
      <w:t>页</w:t>
    </w:r>
  </w:p>
  <w:p>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B42YvD2gEAALQ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r>
                      <w:rPr>
                        <w:rFonts w:hint="eastAsia"/>
                      </w:rPr>
                      <w:t xml:space="preserve"> 页</w:t>
                    </w:r>
                  </w:p>
                </w:txbxContent>
              </v:textbox>
            </v:shape>
          </w:pict>
        </mc:Fallback>
      </mc:AlternateContent>
    </w:r>
  </w:p>
  <w:p>
    <w:pPr>
      <w:pStyle w:val="23"/>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43</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B2ay4p2gEAALQ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43</w:t>
                    </w:r>
                    <w:r>
                      <w:rPr>
                        <w:rFonts w:hint="eastAsia"/>
                      </w:rPr>
                      <w:fldChar w:fldCharType="end"/>
                    </w:r>
                    <w:r>
                      <w:rPr>
                        <w:rFonts w:hint="eastAsia"/>
                      </w:rPr>
                      <w:t xml:space="preserve"> 页</w:t>
                    </w:r>
                  </w:p>
                </w:txbxContent>
              </v:textbox>
            </v:shape>
          </w:pict>
        </mc:Fallback>
      </mc:AlternateContent>
    </w:r>
  </w:p>
  <w:p>
    <w:pPr>
      <w:pStyle w:val="23"/>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CBSeI12gEAALU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47</w:t>
                    </w:r>
                    <w:r>
                      <w:rPr>
                        <w:rFonts w:hint="eastAsia"/>
                      </w:rPr>
                      <w:fldChar w:fldCharType="end"/>
                    </w:r>
                    <w:r>
                      <w:rPr>
                        <w:rFonts w:hint="eastAsia"/>
                      </w:rPr>
                      <w:t xml:space="preserve"> 页</w:t>
                    </w:r>
                  </w:p>
                </w:txbxContent>
              </v:textbox>
            </v:shape>
          </w:pict>
        </mc:Fallback>
      </mc:AlternateContent>
    </w:r>
    <w:r>
      <w:rPr>
        <w:rFonts w:hint="eastAsia"/>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GmCS9MAAAAFAQAADwAAAAAAAAABACAA&#10;AAAiAAAAZHJzL2Rvd25yZXYueG1sUEsBAhQAFAAAAAgAh07iQM9EthDZAQAAtQMAAA4AAAAAAAAA&#10;AQAgAAAAIgEAAGRycy9lMm9Eb2MueG1sUEsFBgAAAAAGAAYAWQEAAG0FAAAAAA==&#10;">
              <v:fill on="f" focussize="0,0"/>
              <v:stroke on="f" weight="1.25pt"/>
              <v:imagedata o:title=""/>
              <o:lock v:ext="edit" aspectratio="f"/>
              <v:textbox inset="0mm,0mm,0mm,0mm" style="mso-fit-shape-to-text:t;">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r>
                      <w:rPr>
                        <w:rFonts w:hint="eastAsia"/>
                      </w:rP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54</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Anijd22gEAALQ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54</w:t>
                    </w:r>
                    <w:r>
                      <w:rPr>
                        <w:rFonts w:hint="eastAsia"/>
                      </w:rPr>
                      <w:fldChar w:fldCharType="end"/>
                    </w:r>
                    <w:r>
                      <w:rPr>
                        <w:rFonts w:hint="eastAsia"/>
                      </w:rPr>
                      <w:t xml:space="preserve"> 页</w:t>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A1469"/>
    <w:multiLevelType w:val="singleLevel"/>
    <w:tmpl w:val="938A1469"/>
    <w:lvl w:ilvl="0" w:tentative="0">
      <w:start w:val="1"/>
      <w:numFmt w:val="decimal"/>
      <w:lvlText w:val="%1."/>
      <w:lvlJc w:val="left"/>
      <w:pPr>
        <w:tabs>
          <w:tab w:val="left" w:pos="312"/>
        </w:tabs>
      </w:pPr>
    </w:lvl>
  </w:abstractNum>
  <w:abstractNum w:abstractNumId="1">
    <w:nsid w:val="9EDF6615"/>
    <w:multiLevelType w:val="singleLevel"/>
    <w:tmpl w:val="9EDF6615"/>
    <w:lvl w:ilvl="0" w:tentative="0">
      <w:start w:val="3"/>
      <w:numFmt w:val="chineseCounting"/>
      <w:suff w:val="nothing"/>
      <w:lvlText w:val="%1、"/>
      <w:lvlJc w:val="left"/>
      <w:rPr>
        <w:rFonts w:hint="eastAsia"/>
      </w:rPr>
    </w:lvl>
  </w:abstractNum>
  <w:abstractNum w:abstractNumId="2">
    <w:nsid w:val="FC78CB60"/>
    <w:multiLevelType w:val="multilevel"/>
    <w:tmpl w:val="FC78CB60"/>
    <w:lvl w:ilvl="0" w:tentative="0">
      <w:start w:val="1"/>
      <w:numFmt w:val="decimal"/>
      <w:lvlText w:val="%1."/>
      <w:lvlJc w:val="left"/>
      <w:pPr>
        <w:ind w:left="284" w:hanging="284"/>
      </w:pPr>
      <w:rPr>
        <w:rFonts w:hint="default" w:ascii="宋体" w:hAnsi="宋体" w:eastAsia="宋体"/>
        <w:b/>
      </w:rPr>
    </w:lvl>
    <w:lvl w:ilvl="1" w:tentative="0">
      <w:start w:val="1"/>
      <w:numFmt w:val="decimal"/>
      <w:suff w:val="space"/>
      <w:lvlText w:val="%1.%2"/>
      <w:lvlJc w:val="left"/>
      <w:pPr>
        <w:ind w:left="0" w:firstLine="425"/>
      </w:pPr>
      <w:rPr>
        <w:rFonts w:hint="default" w:ascii="宋体" w:hAnsi="宋体" w:eastAsia="宋体"/>
        <w:b w:val="0"/>
        <w:color w:val="auto"/>
      </w:rPr>
    </w:lvl>
    <w:lvl w:ilvl="2" w:tentative="0">
      <w:start w:val="1"/>
      <w:numFmt w:val="decimal"/>
      <w:suff w:val="nothing"/>
      <w:lvlText w:val="%1.%2.%3"/>
      <w:lvlJc w:val="left"/>
      <w:pPr>
        <w:tabs>
          <w:tab w:val="left" w:pos="420"/>
        </w:tabs>
        <w:ind w:left="0" w:firstLine="0"/>
      </w:pPr>
      <w:rPr>
        <w:rFonts w:hint="default"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00000009"/>
    <w:multiLevelType w:val="singleLevel"/>
    <w:tmpl w:val="00000009"/>
    <w:lvl w:ilvl="0" w:tentative="0">
      <w:start w:val="1"/>
      <w:numFmt w:val="chineseCounting"/>
      <w:suff w:val="nothing"/>
      <w:lvlText w:val="（%1）"/>
      <w:lvlJc w:val="left"/>
      <w:pPr>
        <w:ind w:left="0" w:firstLine="420"/>
      </w:pPr>
      <w:rPr>
        <w:rFonts w:hint="eastAsia"/>
      </w:rPr>
    </w:lvl>
  </w:abstractNum>
  <w:abstractNum w:abstractNumId="4">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00001B"/>
    <w:multiLevelType w:val="singleLevel"/>
    <w:tmpl w:val="0000001B"/>
    <w:lvl w:ilvl="0" w:tentative="0">
      <w:start w:val="1"/>
      <w:numFmt w:val="decimal"/>
      <w:suff w:val="nothing"/>
      <w:lvlText w:val="%1."/>
      <w:lvlJc w:val="left"/>
    </w:lvl>
  </w:abstractNum>
  <w:abstractNum w:abstractNumId="7">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
  </w:num>
  <w:num w:numId="2">
    <w:abstractNumId w:val="8"/>
  </w:num>
  <w:num w:numId="3">
    <w:abstractNumId w:val="2"/>
  </w:num>
  <w:num w:numId="4">
    <w:abstractNumId w:val="1"/>
  </w:num>
  <w:num w:numId="5">
    <w:abstractNumId w:val="5"/>
  </w:num>
  <w:num w:numId="6">
    <w:abstractNumId w:val="3"/>
  </w:num>
  <w:num w:numId="7">
    <w:abstractNumId w:val="7"/>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hZGM0ZmQ5NGMwNjVjOTg3MDlmZTNlMzA5MmZhYjYifQ=="/>
    <w:docVar w:name="KSO_WPS_MARK_KEY" w:val="bbbe849f-7322-4c8d-9d97-d1ed96eae2e0"/>
  </w:docVars>
  <w:rsids>
    <w:rsidRoot w:val="00172A27"/>
    <w:rsid w:val="00076597"/>
    <w:rsid w:val="0009075B"/>
    <w:rsid w:val="00091C2F"/>
    <w:rsid w:val="00095EB7"/>
    <w:rsid w:val="001237C2"/>
    <w:rsid w:val="00126EE1"/>
    <w:rsid w:val="00164823"/>
    <w:rsid w:val="00172A27"/>
    <w:rsid w:val="001866F9"/>
    <w:rsid w:val="001A3B82"/>
    <w:rsid w:val="001D0658"/>
    <w:rsid w:val="00263425"/>
    <w:rsid w:val="0027791F"/>
    <w:rsid w:val="0028627D"/>
    <w:rsid w:val="002D1DEB"/>
    <w:rsid w:val="002E45BD"/>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95070"/>
    <w:rsid w:val="017460A8"/>
    <w:rsid w:val="01BD7A4F"/>
    <w:rsid w:val="01F62F61"/>
    <w:rsid w:val="0200793B"/>
    <w:rsid w:val="022D22A4"/>
    <w:rsid w:val="02B250DA"/>
    <w:rsid w:val="02B32C00"/>
    <w:rsid w:val="02EB23E7"/>
    <w:rsid w:val="02F964C1"/>
    <w:rsid w:val="030F6088"/>
    <w:rsid w:val="03555A65"/>
    <w:rsid w:val="036566EB"/>
    <w:rsid w:val="03830824"/>
    <w:rsid w:val="03EF1DEA"/>
    <w:rsid w:val="04323463"/>
    <w:rsid w:val="04562E58"/>
    <w:rsid w:val="04644C52"/>
    <w:rsid w:val="046E2D62"/>
    <w:rsid w:val="04E57AC0"/>
    <w:rsid w:val="04EC22B8"/>
    <w:rsid w:val="051017B6"/>
    <w:rsid w:val="05130FB5"/>
    <w:rsid w:val="0536281A"/>
    <w:rsid w:val="053C0C8A"/>
    <w:rsid w:val="05465E75"/>
    <w:rsid w:val="05932DEC"/>
    <w:rsid w:val="05B93485"/>
    <w:rsid w:val="05C71142"/>
    <w:rsid w:val="05D821BC"/>
    <w:rsid w:val="05D830A9"/>
    <w:rsid w:val="064365F2"/>
    <w:rsid w:val="064E27D6"/>
    <w:rsid w:val="066514D0"/>
    <w:rsid w:val="067726AC"/>
    <w:rsid w:val="06C8536A"/>
    <w:rsid w:val="07414C7E"/>
    <w:rsid w:val="074D3623"/>
    <w:rsid w:val="07AF7E3A"/>
    <w:rsid w:val="07E560A1"/>
    <w:rsid w:val="07EB6D02"/>
    <w:rsid w:val="07FC3AF7"/>
    <w:rsid w:val="08420CAE"/>
    <w:rsid w:val="086C7AD9"/>
    <w:rsid w:val="087E3197"/>
    <w:rsid w:val="08C94A81"/>
    <w:rsid w:val="08E753B1"/>
    <w:rsid w:val="09032B5D"/>
    <w:rsid w:val="091B1C08"/>
    <w:rsid w:val="091C32AD"/>
    <w:rsid w:val="095876F5"/>
    <w:rsid w:val="097B48D7"/>
    <w:rsid w:val="097F55EA"/>
    <w:rsid w:val="09831C8A"/>
    <w:rsid w:val="099C7A81"/>
    <w:rsid w:val="09B3321A"/>
    <w:rsid w:val="09B94F9F"/>
    <w:rsid w:val="09BB7A3D"/>
    <w:rsid w:val="09D41DD9"/>
    <w:rsid w:val="09EB0ED1"/>
    <w:rsid w:val="0A0013DF"/>
    <w:rsid w:val="0A0E27AD"/>
    <w:rsid w:val="0A23066B"/>
    <w:rsid w:val="0A326B00"/>
    <w:rsid w:val="0A3B45BE"/>
    <w:rsid w:val="0A455AAA"/>
    <w:rsid w:val="0A496AA6"/>
    <w:rsid w:val="0A526DA6"/>
    <w:rsid w:val="0A7D7D7B"/>
    <w:rsid w:val="0AB55D93"/>
    <w:rsid w:val="0ABA2D7D"/>
    <w:rsid w:val="0AF52007"/>
    <w:rsid w:val="0AFD0EBC"/>
    <w:rsid w:val="0B0C55A3"/>
    <w:rsid w:val="0B4A5E65"/>
    <w:rsid w:val="0B6A792F"/>
    <w:rsid w:val="0BB26A70"/>
    <w:rsid w:val="0BB27EF8"/>
    <w:rsid w:val="0BC67500"/>
    <w:rsid w:val="0C195E4B"/>
    <w:rsid w:val="0C2506CA"/>
    <w:rsid w:val="0C6A432F"/>
    <w:rsid w:val="0CE55CFE"/>
    <w:rsid w:val="0D111CE0"/>
    <w:rsid w:val="0D32353D"/>
    <w:rsid w:val="0D7D4536"/>
    <w:rsid w:val="0DAF0B93"/>
    <w:rsid w:val="0DF612D3"/>
    <w:rsid w:val="0E031C4F"/>
    <w:rsid w:val="0E0620AA"/>
    <w:rsid w:val="0E552513"/>
    <w:rsid w:val="0E5C239D"/>
    <w:rsid w:val="0E63197E"/>
    <w:rsid w:val="0F044A03"/>
    <w:rsid w:val="0F1B6A2C"/>
    <w:rsid w:val="0F223D21"/>
    <w:rsid w:val="0F2F360E"/>
    <w:rsid w:val="0F3A297B"/>
    <w:rsid w:val="0F5372FC"/>
    <w:rsid w:val="0F6C35CE"/>
    <w:rsid w:val="0FBD0C1A"/>
    <w:rsid w:val="0FC30926"/>
    <w:rsid w:val="0FF07241"/>
    <w:rsid w:val="1022110A"/>
    <w:rsid w:val="103939A5"/>
    <w:rsid w:val="104135F9"/>
    <w:rsid w:val="10437371"/>
    <w:rsid w:val="105703DF"/>
    <w:rsid w:val="10AA4C25"/>
    <w:rsid w:val="10F845FF"/>
    <w:rsid w:val="112706F4"/>
    <w:rsid w:val="113263C3"/>
    <w:rsid w:val="11457848"/>
    <w:rsid w:val="115815BB"/>
    <w:rsid w:val="115D4462"/>
    <w:rsid w:val="115F08E1"/>
    <w:rsid w:val="117417AC"/>
    <w:rsid w:val="117B4B6D"/>
    <w:rsid w:val="118F65E6"/>
    <w:rsid w:val="11F3777D"/>
    <w:rsid w:val="128D141F"/>
    <w:rsid w:val="12920EF5"/>
    <w:rsid w:val="12A871D7"/>
    <w:rsid w:val="135B70C7"/>
    <w:rsid w:val="13710699"/>
    <w:rsid w:val="13D44784"/>
    <w:rsid w:val="143304C3"/>
    <w:rsid w:val="143C2A55"/>
    <w:rsid w:val="14411E19"/>
    <w:rsid w:val="147D78A9"/>
    <w:rsid w:val="147E15D3"/>
    <w:rsid w:val="14902DA1"/>
    <w:rsid w:val="14AB1989"/>
    <w:rsid w:val="14B922F8"/>
    <w:rsid w:val="14E209EA"/>
    <w:rsid w:val="14E8498B"/>
    <w:rsid w:val="15030FCE"/>
    <w:rsid w:val="15086DDB"/>
    <w:rsid w:val="151B6B0E"/>
    <w:rsid w:val="152754B3"/>
    <w:rsid w:val="15416DE1"/>
    <w:rsid w:val="15595889"/>
    <w:rsid w:val="156C736A"/>
    <w:rsid w:val="15826DAB"/>
    <w:rsid w:val="158703BA"/>
    <w:rsid w:val="15927A8F"/>
    <w:rsid w:val="1594241D"/>
    <w:rsid w:val="15A25EFE"/>
    <w:rsid w:val="15F2599B"/>
    <w:rsid w:val="15F80BFE"/>
    <w:rsid w:val="161F0EEC"/>
    <w:rsid w:val="16286B1E"/>
    <w:rsid w:val="16420C4F"/>
    <w:rsid w:val="16486627"/>
    <w:rsid w:val="16502CDA"/>
    <w:rsid w:val="16557669"/>
    <w:rsid w:val="16BA216A"/>
    <w:rsid w:val="16C72E02"/>
    <w:rsid w:val="16E66CA8"/>
    <w:rsid w:val="17033CFE"/>
    <w:rsid w:val="170B4961"/>
    <w:rsid w:val="172612B9"/>
    <w:rsid w:val="17714319"/>
    <w:rsid w:val="179901BE"/>
    <w:rsid w:val="17A96653"/>
    <w:rsid w:val="17B46264"/>
    <w:rsid w:val="17F51340"/>
    <w:rsid w:val="18177ED1"/>
    <w:rsid w:val="18673E19"/>
    <w:rsid w:val="18837C5C"/>
    <w:rsid w:val="188A3311"/>
    <w:rsid w:val="18C354F3"/>
    <w:rsid w:val="190B3991"/>
    <w:rsid w:val="19267830"/>
    <w:rsid w:val="19355CC5"/>
    <w:rsid w:val="19362169"/>
    <w:rsid w:val="19397563"/>
    <w:rsid w:val="193D01D8"/>
    <w:rsid w:val="19587403"/>
    <w:rsid w:val="199B0BC1"/>
    <w:rsid w:val="19C93D85"/>
    <w:rsid w:val="1A0A0E60"/>
    <w:rsid w:val="1A0B7134"/>
    <w:rsid w:val="1A2279A0"/>
    <w:rsid w:val="1A241393"/>
    <w:rsid w:val="1A393BF0"/>
    <w:rsid w:val="1A66082C"/>
    <w:rsid w:val="1AA67A69"/>
    <w:rsid w:val="1AE55376"/>
    <w:rsid w:val="1B0C692E"/>
    <w:rsid w:val="1B207DEB"/>
    <w:rsid w:val="1BBE6686"/>
    <w:rsid w:val="1BC33A5C"/>
    <w:rsid w:val="1C24274C"/>
    <w:rsid w:val="1C395ACC"/>
    <w:rsid w:val="1C5260F7"/>
    <w:rsid w:val="1C626DD1"/>
    <w:rsid w:val="1C654B13"/>
    <w:rsid w:val="1D210BFD"/>
    <w:rsid w:val="1D2B3667"/>
    <w:rsid w:val="1D4B5AB7"/>
    <w:rsid w:val="1D540C49"/>
    <w:rsid w:val="1D617689"/>
    <w:rsid w:val="1D8D377B"/>
    <w:rsid w:val="1DB655BE"/>
    <w:rsid w:val="1DD1296B"/>
    <w:rsid w:val="1DED3012"/>
    <w:rsid w:val="1E206E52"/>
    <w:rsid w:val="1E3173A3"/>
    <w:rsid w:val="1E766E25"/>
    <w:rsid w:val="1E8B407E"/>
    <w:rsid w:val="1E8E4B6A"/>
    <w:rsid w:val="1E9C5287"/>
    <w:rsid w:val="1EDD2E3F"/>
    <w:rsid w:val="1F0D396C"/>
    <w:rsid w:val="1F1F062E"/>
    <w:rsid w:val="1F226CEB"/>
    <w:rsid w:val="1F312BF1"/>
    <w:rsid w:val="1F490E82"/>
    <w:rsid w:val="1F6129AD"/>
    <w:rsid w:val="1F925C1F"/>
    <w:rsid w:val="1F971487"/>
    <w:rsid w:val="1FCC2F8A"/>
    <w:rsid w:val="1FE01993"/>
    <w:rsid w:val="1FEA5EA1"/>
    <w:rsid w:val="203C7A5B"/>
    <w:rsid w:val="20602C7A"/>
    <w:rsid w:val="20C148C6"/>
    <w:rsid w:val="20E26732"/>
    <w:rsid w:val="215C2350"/>
    <w:rsid w:val="217952E8"/>
    <w:rsid w:val="21C34257"/>
    <w:rsid w:val="21CB5418"/>
    <w:rsid w:val="21F4496F"/>
    <w:rsid w:val="221950B9"/>
    <w:rsid w:val="222D7E81"/>
    <w:rsid w:val="22433DD5"/>
    <w:rsid w:val="22821F7B"/>
    <w:rsid w:val="22A40E2A"/>
    <w:rsid w:val="22CB4C39"/>
    <w:rsid w:val="22DA1DB7"/>
    <w:rsid w:val="22E55B06"/>
    <w:rsid w:val="22F52960"/>
    <w:rsid w:val="22FA2B18"/>
    <w:rsid w:val="23211167"/>
    <w:rsid w:val="23250B58"/>
    <w:rsid w:val="23447230"/>
    <w:rsid w:val="23616034"/>
    <w:rsid w:val="23647A1C"/>
    <w:rsid w:val="23706277"/>
    <w:rsid w:val="2382348F"/>
    <w:rsid w:val="23B73C18"/>
    <w:rsid w:val="247B58A0"/>
    <w:rsid w:val="24803679"/>
    <w:rsid w:val="24855D52"/>
    <w:rsid w:val="248F6BD1"/>
    <w:rsid w:val="24B108F5"/>
    <w:rsid w:val="24D81875"/>
    <w:rsid w:val="24E24F53"/>
    <w:rsid w:val="24E94533"/>
    <w:rsid w:val="250F386E"/>
    <w:rsid w:val="25356324"/>
    <w:rsid w:val="253B22C4"/>
    <w:rsid w:val="25706CBA"/>
    <w:rsid w:val="25900E53"/>
    <w:rsid w:val="25AE3087"/>
    <w:rsid w:val="25B85CB3"/>
    <w:rsid w:val="26011794"/>
    <w:rsid w:val="26094761"/>
    <w:rsid w:val="26751DF6"/>
    <w:rsid w:val="26A92FFB"/>
    <w:rsid w:val="26C02369"/>
    <w:rsid w:val="26CB02AF"/>
    <w:rsid w:val="26DD1E76"/>
    <w:rsid w:val="27145658"/>
    <w:rsid w:val="27283ECE"/>
    <w:rsid w:val="27286E69"/>
    <w:rsid w:val="2733425E"/>
    <w:rsid w:val="27441EF5"/>
    <w:rsid w:val="27E6053F"/>
    <w:rsid w:val="28016BEB"/>
    <w:rsid w:val="280264C3"/>
    <w:rsid w:val="280726C2"/>
    <w:rsid w:val="280808DD"/>
    <w:rsid w:val="280E153D"/>
    <w:rsid w:val="285F68BA"/>
    <w:rsid w:val="2863671A"/>
    <w:rsid w:val="288B136F"/>
    <w:rsid w:val="28AB7D51"/>
    <w:rsid w:val="28B01ACD"/>
    <w:rsid w:val="28DE4AA3"/>
    <w:rsid w:val="28E15521"/>
    <w:rsid w:val="28FE4325"/>
    <w:rsid w:val="29026462"/>
    <w:rsid w:val="291E02EB"/>
    <w:rsid w:val="29731ED1"/>
    <w:rsid w:val="29787C34"/>
    <w:rsid w:val="2984058B"/>
    <w:rsid w:val="29BB0FD5"/>
    <w:rsid w:val="29C56BF1"/>
    <w:rsid w:val="29DC499B"/>
    <w:rsid w:val="29DD4F4B"/>
    <w:rsid w:val="2A2D4EC2"/>
    <w:rsid w:val="2A3A138D"/>
    <w:rsid w:val="2A573CED"/>
    <w:rsid w:val="2A7523C5"/>
    <w:rsid w:val="2A8D770F"/>
    <w:rsid w:val="2A9E7B6E"/>
    <w:rsid w:val="2AC84BEB"/>
    <w:rsid w:val="2ADF3CE2"/>
    <w:rsid w:val="2AF2558A"/>
    <w:rsid w:val="2B193346"/>
    <w:rsid w:val="2B260516"/>
    <w:rsid w:val="2B2B560D"/>
    <w:rsid w:val="2B6B095B"/>
    <w:rsid w:val="2B963F88"/>
    <w:rsid w:val="2BC57C52"/>
    <w:rsid w:val="2BF11F1F"/>
    <w:rsid w:val="2C003885"/>
    <w:rsid w:val="2C2E3173"/>
    <w:rsid w:val="2C526E91"/>
    <w:rsid w:val="2C867239"/>
    <w:rsid w:val="2CD930DF"/>
    <w:rsid w:val="2D524754"/>
    <w:rsid w:val="2D573CA4"/>
    <w:rsid w:val="2D9E61E0"/>
    <w:rsid w:val="2DE53D06"/>
    <w:rsid w:val="2E0C4DEE"/>
    <w:rsid w:val="2E291D46"/>
    <w:rsid w:val="2E4D7E0F"/>
    <w:rsid w:val="2E71113D"/>
    <w:rsid w:val="2EF35FAE"/>
    <w:rsid w:val="2EF7784D"/>
    <w:rsid w:val="2F227824"/>
    <w:rsid w:val="2F4440CA"/>
    <w:rsid w:val="2F49150D"/>
    <w:rsid w:val="2F542EF1"/>
    <w:rsid w:val="2F5C1DA5"/>
    <w:rsid w:val="2F653786"/>
    <w:rsid w:val="302B7E84"/>
    <w:rsid w:val="3043740F"/>
    <w:rsid w:val="304C5976"/>
    <w:rsid w:val="30660E93"/>
    <w:rsid w:val="30C73495"/>
    <w:rsid w:val="30DF11B1"/>
    <w:rsid w:val="30EB38AE"/>
    <w:rsid w:val="319F3B14"/>
    <w:rsid w:val="3200110E"/>
    <w:rsid w:val="32450C5C"/>
    <w:rsid w:val="328518BA"/>
    <w:rsid w:val="32B855C8"/>
    <w:rsid w:val="32D700C1"/>
    <w:rsid w:val="331570B9"/>
    <w:rsid w:val="332B6F4B"/>
    <w:rsid w:val="33A36954"/>
    <w:rsid w:val="33B71CA0"/>
    <w:rsid w:val="33C148CD"/>
    <w:rsid w:val="33E84297"/>
    <w:rsid w:val="33F85841"/>
    <w:rsid w:val="3402116D"/>
    <w:rsid w:val="340257AD"/>
    <w:rsid w:val="34034EE6"/>
    <w:rsid w:val="3417273F"/>
    <w:rsid w:val="342033A2"/>
    <w:rsid w:val="343B467F"/>
    <w:rsid w:val="347600C7"/>
    <w:rsid w:val="34EB1BA9"/>
    <w:rsid w:val="34FF3EF1"/>
    <w:rsid w:val="35216B3A"/>
    <w:rsid w:val="353D01A2"/>
    <w:rsid w:val="3542559A"/>
    <w:rsid w:val="357240D1"/>
    <w:rsid w:val="35E46F67"/>
    <w:rsid w:val="36172D69"/>
    <w:rsid w:val="3621378E"/>
    <w:rsid w:val="36252EF1"/>
    <w:rsid w:val="36392432"/>
    <w:rsid w:val="365A2ACD"/>
    <w:rsid w:val="36CA1CEB"/>
    <w:rsid w:val="36F34D9D"/>
    <w:rsid w:val="37215DAE"/>
    <w:rsid w:val="37385662"/>
    <w:rsid w:val="374401BC"/>
    <w:rsid w:val="37621F23"/>
    <w:rsid w:val="3768578B"/>
    <w:rsid w:val="376F6900"/>
    <w:rsid w:val="377834F5"/>
    <w:rsid w:val="379B4086"/>
    <w:rsid w:val="37AA6032"/>
    <w:rsid w:val="37B228E9"/>
    <w:rsid w:val="37C54090"/>
    <w:rsid w:val="380D0DD1"/>
    <w:rsid w:val="384E0062"/>
    <w:rsid w:val="386677F1"/>
    <w:rsid w:val="38706B58"/>
    <w:rsid w:val="387A22ED"/>
    <w:rsid w:val="390E705C"/>
    <w:rsid w:val="39404C40"/>
    <w:rsid w:val="395922F3"/>
    <w:rsid w:val="395A7356"/>
    <w:rsid w:val="3962445C"/>
    <w:rsid w:val="39893797"/>
    <w:rsid w:val="39A1607B"/>
    <w:rsid w:val="3A1D743F"/>
    <w:rsid w:val="3A534510"/>
    <w:rsid w:val="3A6B4003"/>
    <w:rsid w:val="3A924EA9"/>
    <w:rsid w:val="3AB331C1"/>
    <w:rsid w:val="3AD06540"/>
    <w:rsid w:val="3ADF038D"/>
    <w:rsid w:val="3AE37655"/>
    <w:rsid w:val="3B223EA3"/>
    <w:rsid w:val="3B68689B"/>
    <w:rsid w:val="3B845814"/>
    <w:rsid w:val="3B9D79CE"/>
    <w:rsid w:val="3BCC3E0F"/>
    <w:rsid w:val="3BD718F9"/>
    <w:rsid w:val="3C2A559E"/>
    <w:rsid w:val="3C4B567C"/>
    <w:rsid w:val="3C545E01"/>
    <w:rsid w:val="3C7626F9"/>
    <w:rsid w:val="3C7D2064"/>
    <w:rsid w:val="3C8666B4"/>
    <w:rsid w:val="3CAF5C0A"/>
    <w:rsid w:val="3D51730D"/>
    <w:rsid w:val="3D5F865C"/>
    <w:rsid w:val="3D8250CD"/>
    <w:rsid w:val="3D83546E"/>
    <w:rsid w:val="3DB35286"/>
    <w:rsid w:val="3E114C4C"/>
    <w:rsid w:val="3E2D328B"/>
    <w:rsid w:val="3E655A64"/>
    <w:rsid w:val="3E895FE7"/>
    <w:rsid w:val="3E8A4C21"/>
    <w:rsid w:val="3E9958B1"/>
    <w:rsid w:val="3EC50A89"/>
    <w:rsid w:val="3EC82FB3"/>
    <w:rsid w:val="3EE045C9"/>
    <w:rsid w:val="3EE719AC"/>
    <w:rsid w:val="3EEA2F2A"/>
    <w:rsid w:val="3F406FEE"/>
    <w:rsid w:val="3F6833D1"/>
    <w:rsid w:val="3F941354"/>
    <w:rsid w:val="3FAE708C"/>
    <w:rsid w:val="3FB7CD4D"/>
    <w:rsid w:val="3FDA1030"/>
    <w:rsid w:val="3FF12C3A"/>
    <w:rsid w:val="400A54C8"/>
    <w:rsid w:val="40386761"/>
    <w:rsid w:val="409725E8"/>
    <w:rsid w:val="40A215BE"/>
    <w:rsid w:val="40C050F3"/>
    <w:rsid w:val="40EA7319"/>
    <w:rsid w:val="40FA4E7B"/>
    <w:rsid w:val="411424C6"/>
    <w:rsid w:val="41201CCA"/>
    <w:rsid w:val="41271358"/>
    <w:rsid w:val="415D3E87"/>
    <w:rsid w:val="417B430D"/>
    <w:rsid w:val="41D028AB"/>
    <w:rsid w:val="41DF489C"/>
    <w:rsid w:val="41E41EB2"/>
    <w:rsid w:val="42106AA5"/>
    <w:rsid w:val="42442C17"/>
    <w:rsid w:val="425816DC"/>
    <w:rsid w:val="426E40F0"/>
    <w:rsid w:val="42762427"/>
    <w:rsid w:val="43184112"/>
    <w:rsid w:val="433A6291"/>
    <w:rsid w:val="433E1A96"/>
    <w:rsid w:val="434E0A89"/>
    <w:rsid w:val="43664B49"/>
    <w:rsid w:val="43D917BF"/>
    <w:rsid w:val="44007745"/>
    <w:rsid w:val="4412230A"/>
    <w:rsid w:val="44390EDF"/>
    <w:rsid w:val="44623562"/>
    <w:rsid w:val="447514E8"/>
    <w:rsid w:val="447F1515"/>
    <w:rsid w:val="44971580"/>
    <w:rsid w:val="449D27EC"/>
    <w:rsid w:val="44A07CD1"/>
    <w:rsid w:val="4519546F"/>
    <w:rsid w:val="45291D8C"/>
    <w:rsid w:val="455A7069"/>
    <w:rsid w:val="4589726A"/>
    <w:rsid w:val="45A8769B"/>
    <w:rsid w:val="45CD5A14"/>
    <w:rsid w:val="45CF2E79"/>
    <w:rsid w:val="45DB1070"/>
    <w:rsid w:val="46113492"/>
    <w:rsid w:val="4622484A"/>
    <w:rsid w:val="46265A4F"/>
    <w:rsid w:val="463C0496"/>
    <w:rsid w:val="464C3F11"/>
    <w:rsid w:val="46BA3E8B"/>
    <w:rsid w:val="46DD7083"/>
    <w:rsid w:val="47525B10"/>
    <w:rsid w:val="478F0B12"/>
    <w:rsid w:val="47BC567F"/>
    <w:rsid w:val="47E46F5C"/>
    <w:rsid w:val="47FB61A8"/>
    <w:rsid w:val="480056D8"/>
    <w:rsid w:val="48374480"/>
    <w:rsid w:val="483F277D"/>
    <w:rsid w:val="485C5FCE"/>
    <w:rsid w:val="488E2B78"/>
    <w:rsid w:val="48B40105"/>
    <w:rsid w:val="48BD345D"/>
    <w:rsid w:val="48BD7E57"/>
    <w:rsid w:val="48DF1625"/>
    <w:rsid w:val="48F92F5B"/>
    <w:rsid w:val="48FB2CF7"/>
    <w:rsid w:val="49107A31"/>
    <w:rsid w:val="492744AC"/>
    <w:rsid w:val="49372EB2"/>
    <w:rsid w:val="493C25D4"/>
    <w:rsid w:val="494D658F"/>
    <w:rsid w:val="494E5146"/>
    <w:rsid w:val="49BE748D"/>
    <w:rsid w:val="49FB621D"/>
    <w:rsid w:val="4A011398"/>
    <w:rsid w:val="4A05080D"/>
    <w:rsid w:val="4A091ED0"/>
    <w:rsid w:val="4A7D10F6"/>
    <w:rsid w:val="4ABF170F"/>
    <w:rsid w:val="4B243594"/>
    <w:rsid w:val="4B52754A"/>
    <w:rsid w:val="4B6F5345"/>
    <w:rsid w:val="4B7D1BFE"/>
    <w:rsid w:val="4B8F7BC6"/>
    <w:rsid w:val="4BBA394F"/>
    <w:rsid w:val="4BFD6A13"/>
    <w:rsid w:val="4C2757BD"/>
    <w:rsid w:val="4C3C07ED"/>
    <w:rsid w:val="4C7B4A9E"/>
    <w:rsid w:val="4CC7434F"/>
    <w:rsid w:val="4CD945DE"/>
    <w:rsid w:val="4D03307E"/>
    <w:rsid w:val="4D91713A"/>
    <w:rsid w:val="4DD21759"/>
    <w:rsid w:val="4DF72F6D"/>
    <w:rsid w:val="4E0A47AA"/>
    <w:rsid w:val="4E2F0959"/>
    <w:rsid w:val="4E847CBD"/>
    <w:rsid w:val="4E8D30CF"/>
    <w:rsid w:val="4E8E2ED5"/>
    <w:rsid w:val="4ED70257"/>
    <w:rsid w:val="4EF243B2"/>
    <w:rsid w:val="4F3A0C9E"/>
    <w:rsid w:val="4F873249"/>
    <w:rsid w:val="4FEB08B0"/>
    <w:rsid w:val="4FFF2A28"/>
    <w:rsid w:val="500951DA"/>
    <w:rsid w:val="501A1D50"/>
    <w:rsid w:val="502D711A"/>
    <w:rsid w:val="503075AA"/>
    <w:rsid w:val="50410780"/>
    <w:rsid w:val="504D156B"/>
    <w:rsid w:val="50524154"/>
    <w:rsid w:val="50BE7306"/>
    <w:rsid w:val="5112712D"/>
    <w:rsid w:val="5119144D"/>
    <w:rsid w:val="513A1AEF"/>
    <w:rsid w:val="51B750E9"/>
    <w:rsid w:val="51BB2E7F"/>
    <w:rsid w:val="5217598C"/>
    <w:rsid w:val="521D69F0"/>
    <w:rsid w:val="522C218B"/>
    <w:rsid w:val="523429E2"/>
    <w:rsid w:val="524C5D58"/>
    <w:rsid w:val="529E11CC"/>
    <w:rsid w:val="530C3041"/>
    <w:rsid w:val="531E71EE"/>
    <w:rsid w:val="5360493A"/>
    <w:rsid w:val="53652785"/>
    <w:rsid w:val="538F24EB"/>
    <w:rsid w:val="5394300C"/>
    <w:rsid w:val="53981F52"/>
    <w:rsid w:val="53A24582"/>
    <w:rsid w:val="53A5521A"/>
    <w:rsid w:val="53BA6155"/>
    <w:rsid w:val="541D3002"/>
    <w:rsid w:val="5454544A"/>
    <w:rsid w:val="54974F18"/>
    <w:rsid w:val="55055AD7"/>
    <w:rsid w:val="55180399"/>
    <w:rsid w:val="55805F3E"/>
    <w:rsid w:val="559A2BCB"/>
    <w:rsid w:val="55A97243"/>
    <w:rsid w:val="55AB30F3"/>
    <w:rsid w:val="55DA73FC"/>
    <w:rsid w:val="55DD516C"/>
    <w:rsid w:val="562A20EE"/>
    <w:rsid w:val="5685572F"/>
    <w:rsid w:val="568764C8"/>
    <w:rsid w:val="568B6949"/>
    <w:rsid w:val="56EF512A"/>
    <w:rsid w:val="56F633DE"/>
    <w:rsid w:val="570010E5"/>
    <w:rsid w:val="570109B9"/>
    <w:rsid w:val="5726041F"/>
    <w:rsid w:val="57460AC2"/>
    <w:rsid w:val="579D4B86"/>
    <w:rsid w:val="57D11760"/>
    <w:rsid w:val="57ED3822"/>
    <w:rsid w:val="581326DD"/>
    <w:rsid w:val="583E0FCC"/>
    <w:rsid w:val="588071E3"/>
    <w:rsid w:val="58B01756"/>
    <w:rsid w:val="58D97369"/>
    <w:rsid w:val="59446509"/>
    <w:rsid w:val="594C53EE"/>
    <w:rsid w:val="59834C5E"/>
    <w:rsid w:val="598F6750"/>
    <w:rsid w:val="59A8341F"/>
    <w:rsid w:val="59B537F0"/>
    <w:rsid w:val="59C503C4"/>
    <w:rsid w:val="5A1F7AD4"/>
    <w:rsid w:val="5A3F7093"/>
    <w:rsid w:val="5AC468CD"/>
    <w:rsid w:val="5AE71154"/>
    <w:rsid w:val="5B0729AE"/>
    <w:rsid w:val="5B0942E0"/>
    <w:rsid w:val="5B1566C6"/>
    <w:rsid w:val="5B157129"/>
    <w:rsid w:val="5B1935A9"/>
    <w:rsid w:val="5B215ACE"/>
    <w:rsid w:val="5B7025B1"/>
    <w:rsid w:val="5B8624B1"/>
    <w:rsid w:val="5B9D0EAC"/>
    <w:rsid w:val="5BA30C60"/>
    <w:rsid w:val="5BD26DC8"/>
    <w:rsid w:val="5BE014E5"/>
    <w:rsid w:val="5C2C4F12"/>
    <w:rsid w:val="5C2E04A2"/>
    <w:rsid w:val="5C6A5252"/>
    <w:rsid w:val="5C806824"/>
    <w:rsid w:val="5C9D4F74"/>
    <w:rsid w:val="5CB00EB7"/>
    <w:rsid w:val="5CC34005"/>
    <w:rsid w:val="5CD21182"/>
    <w:rsid w:val="5CFB2799"/>
    <w:rsid w:val="5CFC10D2"/>
    <w:rsid w:val="5D156F6C"/>
    <w:rsid w:val="5D384925"/>
    <w:rsid w:val="5D7B1E4D"/>
    <w:rsid w:val="5DB744C7"/>
    <w:rsid w:val="5DD0153B"/>
    <w:rsid w:val="5E0A4982"/>
    <w:rsid w:val="5E3C1BCE"/>
    <w:rsid w:val="5E3F564C"/>
    <w:rsid w:val="5E4E07C9"/>
    <w:rsid w:val="5E682CE6"/>
    <w:rsid w:val="5EE45C2E"/>
    <w:rsid w:val="5F3FA6D8"/>
    <w:rsid w:val="5FB3249C"/>
    <w:rsid w:val="5FBEAE70"/>
    <w:rsid w:val="5FE11ED3"/>
    <w:rsid w:val="602816AC"/>
    <w:rsid w:val="6079112D"/>
    <w:rsid w:val="608E20E7"/>
    <w:rsid w:val="60942A5D"/>
    <w:rsid w:val="609B1E7E"/>
    <w:rsid w:val="60B46A9C"/>
    <w:rsid w:val="6155520D"/>
    <w:rsid w:val="615D7134"/>
    <w:rsid w:val="6189617B"/>
    <w:rsid w:val="619244A7"/>
    <w:rsid w:val="61E6537B"/>
    <w:rsid w:val="62632F8F"/>
    <w:rsid w:val="629D6E17"/>
    <w:rsid w:val="62D96C8E"/>
    <w:rsid w:val="630533C6"/>
    <w:rsid w:val="634174F0"/>
    <w:rsid w:val="6371143E"/>
    <w:rsid w:val="6396158E"/>
    <w:rsid w:val="6397045F"/>
    <w:rsid w:val="63B76FCF"/>
    <w:rsid w:val="63BA7BAA"/>
    <w:rsid w:val="63BF5E84"/>
    <w:rsid w:val="63C870C0"/>
    <w:rsid w:val="63CB2219"/>
    <w:rsid w:val="63F5294F"/>
    <w:rsid w:val="64774C22"/>
    <w:rsid w:val="64E35BA2"/>
    <w:rsid w:val="64E42046"/>
    <w:rsid w:val="64EA1700"/>
    <w:rsid w:val="651D4188"/>
    <w:rsid w:val="652F4185"/>
    <w:rsid w:val="6530119C"/>
    <w:rsid w:val="65353E6F"/>
    <w:rsid w:val="65546448"/>
    <w:rsid w:val="65766A16"/>
    <w:rsid w:val="658729D1"/>
    <w:rsid w:val="65901886"/>
    <w:rsid w:val="65953E0C"/>
    <w:rsid w:val="665C34CD"/>
    <w:rsid w:val="666D296A"/>
    <w:rsid w:val="66A17AC3"/>
    <w:rsid w:val="66B62179"/>
    <w:rsid w:val="66DB3E09"/>
    <w:rsid w:val="670E33AA"/>
    <w:rsid w:val="672111DD"/>
    <w:rsid w:val="67584625"/>
    <w:rsid w:val="675B5B1B"/>
    <w:rsid w:val="67884E65"/>
    <w:rsid w:val="6796339F"/>
    <w:rsid w:val="679A5B4D"/>
    <w:rsid w:val="679D472E"/>
    <w:rsid w:val="67A63223"/>
    <w:rsid w:val="67C84888"/>
    <w:rsid w:val="67CD72E8"/>
    <w:rsid w:val="681B5FA2"/>
    <w:rsid w:val="683C3F47"/>
    <w:rsid w:val="685A68BE"/>
    <w:rsid w:val="68727968"/>
    <w:rsid w:val="68A35D74"/>
    <w:rsid w:val="690802CD"/>
    <w:rsid w:val="69605006"/>
    <w:rsid w:val="696812DA"/>
    <w:rsid w:val="69796E11"/>
    <w:rsid w:val="69A73B89"/>
    <w:rsid w:val="6A181E8D"/>
    <w:rsid w:val="6A325601"/>
    <w:rsid w:val="6A3B177D"/>
    <w:rsid w:val="6A3B3D8A"/>
    <w:rsid w:val="6A5657ED"/>
    <w:rsid w:val="6A616079"/>
    <w:rsid w:val="6A617C95"/>
    <w:rsid w:val="6A640D8F"/>
    <w:rsid w:val="6A753740"/>
    <w:rsid w:val="6AB37DC4"/>
    <w:rsid w:val="6AEC6501"/>
    <w:rsid w:val="6B116D78"/>
    <w:rsid w:val="6B20545A"/>
    <w:rsid w:val="6B2111D2"/>
    <w:rsid w:val="6B301415"/>
    <w:rsid w:val="6B3428F7"/>
    <w:rsid w:val="6B620166"/>
    <w:rsid w:val="6B65611A"/>
    <w:rsid w:val="6B7415B6"/>
    <w:rsid w:val="6B8579B3"/>
    <w:rsid w:val="6B99375A"/>
    <w:rsid w:val="6BA8544F"/>
    <w:rsid w:val="6BF730D7"/>
    <w:rsid w:val="6C1D07EE"/>
    <w:rsid w:val="6C565104"/>
    <w:rsid w:val="6C602FC1"/>
    <w:rsid w:val="6CD02EB0"/>
    <w:rsid w:val="6CD24E7A"/>
    <w:rsid w:val="6D3C22F3"/>
    <w:rsid w:val="6D8B27CF"/>
    <w:rsid w:val="6E263E89"/>
    <w:rsid w:val="6E47692C"/>
    <w:rsid w:val="6E6164B5"/>
    <w:rsid w:val="6E62222D"/>
    <w:rsid w:val="6E7361E8"/>
    <w:rsid w:val="6EB44070"/>
    <w:rsid w:val="6EB92620"/>
    <w:rsid w:val="6EE8439B"/>
    <w:rsid w:val="6EEB648C"/>
    <w:rsid w:val="6EF1592B"/>
    <w:rsid w:val="6F3112FC"/>
    <w:rsid w:val="6F394D3C"/>
    <w:rsid w:val="6F3D38C2"/>
    <w:rsid w:val="6F4D6A39"/>
    <w:rsid w:val="6F7E4E45"/>
    <w:rsid w:val="6FB36BC5"/>
    <w:rsid w:val="6FD24C25"/>
    <w:rsid w:val="6FF6546C"/>
    <w:rsid w:val="7000682B"/>
    <w:rsid w:val="70010C88"/>
    <w:rsid w:val="700F0B54"/>
    <w:rsid w:val="70426C52"/>
    <w:rsid w:val="70983CE4"/>
    <w:rsid w:val="70DC62C7"/>
    <w:rsid w:val="712263AB"/>
    <w:rsid w:val="71376F72"/>
    <w:rsid w:val="7145658E"/>
    <w:rsid w:val="715220E5"/>
    <w:rsid w:val="718B37D7"/>
    <w:rsid w:val="71E04ECC"/>
    <w:rsid w:val="72313A8F"/>
    <w:rsid w:val="72381B7C"/>
    <w:rsid w:val="726437BB"/>
    <w:rsid w:val="726A127D"/>
    <w:rsid w:val="728E35F1"/>
    <w:rsid w:val="729B7ABC"/>
    <w:rsid w:val="72B8088B"/>
    <w:rsid w:val="732A7F5C"/>
    <w:rsid w:val="734A4D94"/>
    <w:rsid w:val="734B2FC2"/>
    <w:rsid w:val="7378018E"/>
    <w:rsid w:val="73890E04"/>
    <w:rsid w:val="7395275D"/>
    <w:rsid w:val="73AD6CEC"/>
    <w:rsid w:val="73C03C7E"/>
    <w:rsid w:val="73C91FB4"/>
    <w:rsid w:val="73DE5EB2"/>
    <w:rsid w:val="73ED63CB"/>
    <w:rsid w:val="740F250F"/>
    <w:rsid w:val="74365CEE"/>
    <w:rsid w:val="743E1047"/>
    <w:rsid w:val="744228E5"/>
    <w:rsid w:val="746601C4"/>
    <w:rsid w:val="74780BAC"/>
    <w:rsid w:val="749F723D"/>
    <w:rsid w:val="74A7099A"/>
    <w:rsid w:val="74D177C5"/>
    <w:rsid w:val="74E9081C"/>
    <w:rsid w:val="751C3136"/>
    <w:rsid w:val="75257396"/>
    <w:rsid w:val="754206C3"/>
    <w:rsid w:val="754B12D3"/>
    <w:rsid w:val="75941572"/>
    <w:rsid w:val="75F220E9"/>
    <w:rsid w:val="76256605"/>
    <w:rsid w:val="76371099"/>
    <w:rsid w:val="765E4228"/>
    <w:rsid w:val="7693567A"/>
    <w:rsid w:val="76B444B1"/>
    <w:rsid w:val="76EE28B0"/>
    <w:rsid w:val="7718515B"/>
    <w:rsid w:val="775B7B9D"/>
    <w:rsid w:val="778036C3"/>
    <w:rsid w:val="77A6276C"/>
    <w:rsid w:val="77DD178E"/>
    <w:rsid w:val="781E1591"/>
    <w:rsid w:val="78342545"/>
    <w:rsid w:val="784E0C98"/>
    <w:rsid w:val="78647DA9"/>
    <w:rsid w:val="7889049B"/>
    <w:rsid w:val="788A4695"/>
    <w:rsid w:val="78A77D5C"/>
    <w:rsid w:val="78B44DDC"/>
    <w:rsid w:val="78ED57C7"/>
    <w:rsid w:val="790F4D60"/>
    <w:rsid w:val="791800B8"/>
    <w:rsid w:val="79354FFF"/>
    <w:rsid w:val="7941364C"/>
    <w:rsid w:val="794B2AAD"/>
    <w:rsid w:val="794D6A8B"/>
    <w:rsid w:val="79534C4C"/>
    <w:rsid w:val="7984574E"/>
    <w:rsid w:val="79C8388C"/>
    <w:rsid w:val="79D3028B"/>
    <w:rsid w:val="79E104AA"/>
    <w:rsid w:val="79EB517C"/>
    <w:rsid w:val="79EC750C"/>
    <w:rsid w:val="7A0A5C53"/>
    <w:rsid w:val="7A0E0CCB"/>
    <w:rsid w:val="7A61783D"/>
    <w:rsid w:val="7A7237F8"/>
    <w:rsid w:val="7A740891"/>
    <w:rsid w:val="7A9609AA"/>
    <w:rsid w:val="7A9F1809"/>
    <w:rsid w:val="7AA80846"/>
    <w:rsid w:val="7AB570B4"/>
    <w:rsid w:val="7AB931D5"/>
    <w:rsid w:val="7AEA15E0"/>
    <w:rsid w:val="7AF17F97"/>
    <w:rsid w:val="7AF55786"/>
    <w:rsid w:val="7B0F1047"/>
    <w:rsid w:val="7B4C6D88"/>
    <w:rsid w:val="7B707D38"/>
    <w:rsid w:val="7B9207F6"/>
    <w:rsid w:val="7BB265A2"/>
    <w:rsid w:val="7BB65001"/>
    <w:rsid w:val="7BDC361F"/>
    <w:rsid w:val="7BEE0A55"/>
    <w:rsid w:val="7C083123"/>
    <w:rsid w:val="7C4F5666"/>
    <w:rsid w:val="7C5036C5"/>
    <w:rsid w:val="7C5F74F0"/>
    <w:rsid w:val="7C6F4E89"/>
    <w:rsid w:val="7CAB04C7"/>
    <w:rsid w:val="7CAB71AA"/>
    <w:rsid w:val="7CDE5E54"/>
    <w:rsid w:val="7CDF5EAD"/>
    <w:rsid w:val="7CF94903"/>
    <w:rsid w:val="7D252DA4"/>
    <w:rsid w:val="7D6041D6"/>
    <w:rsid w:val="7D697134"/>
    <w:rsid w:val="7DCC76C3"/>
    <w:rsid w:val="7DD7769F"/>
    <w:rsid w:val="7DFB04BA"/>
    <w:rsid w:val="7E0E1A8A"/>
    <w:rsid w:val="7E300756"/>
    <w:rsid w:val="7E682F48"/>
    <w:rsid w:val="7E6A6EBA"/>
    <w:rsid w:val="7E7A45CB"/>
    <w:rsid w:val="7E845EE8"/>
    <w:rsid w:val="7EE16B53"/>
    <w:rsid w:val="7EFDE422"/>
    <w:rsid w:val="7F0562FB"/>
    <w:rsid w:val="7F0A03FD"/>
    <w:rsid w:val="7F855D7C"/>
    <w:rsid w:val="7FD67122"/>
    <w:rsid w:val="7FF072AE"/>
    <w:rsid w:val="ABFF4E85"/>
    <w:rsid w:val="C3D305BA"/>
    <w:rsid w:val="DEBF2406"/>
    <w:rsid w:val="F72F3BA4"/>
    <w:rsid w:val="FBFCE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line="578" w:lineRule="auto"/>
      <w:jc w:val="center"/>
      <w:outlineLvl w:val="0"/>
    </w:pPr>
    <w:rPr>
      <w:b/>
      <w:bCs/>
      <w:kern w:val="44"/>
      <w:sz w:val="44"/>
      <w:szCs w:val="44"/>
    </w:rPr>
  </w:style>
  <w:style w:type="paragraph" w:styleId="5">
    <w:name w:val="heading 2"/>
    <w:basedOn w:val="1"/>
    <w:next w:val="1"/>
    <w:link w:val="61"/>
    <w:qFormat/>
    <w:uiPriority w:val="0"/>
    <w:pPr>
      <w:keepNext/>
      <w:keepLines/>
      <w:spacing w:line="416" w:lineRule="auto"/>
      <w:outlineLvl w:val="1"/>
    </w:pPr>
    <w:rPr>
      <w:rFonts w:ascii="Arial" w:hAnsi="Arial" w:eastAsia="黑体"/>
      <w:b/>
      <w:bCs/>
      <w:sz w:val="32"/>
      <w:szCs w:val="32"/>
    </w:rPr>
  </w:style>
  <w:style w:type="paragraph" w:styleId="6">
    <w:name w:val="heading 3"/>
    <w:basedOn w:val="1"/>
    <w:next w:val="1"/>
    <w:link w:val="62"/>
    <w:qFormat/>
    <w:uiPriority w:val="0"/>
    <w:pPr>
      <w:keepNext/>
      <w:keepLines/>
      <w:spacing w:line="416" w:lineRule="auto"/>
      <w:outlineLvl w:val="2"/>
    </w:pPr>
    <w:rPr>
      <w:rFonts w:ascii="宋体" w:hAnsi="宋体" w:eastAsia="幼圆"/>
      <w:b/>
      <w:bCs/>
      <w:sz w:val="32"/>
      <w:szCs w:val="32"/>
    </w:rPr>
  </w:style>
  <w:style w:type="paragraph" w:styleId="7">
    <w:name w:val="heading 4"/>
    <w:basedOn w:val="1"/>
    <w:next w:val="1"/>
    <w:qFormat/>
    <w:uiPriority w:val="0"/>
    <w:pPr>
      <w:keepNext/>
      <w:keepLines/>
      <w:spacing w:line="376" w:lineRule="auto"/>
      <w:outlineLvl w:val="3"/>
    </w:pPr>
    <w:rPr>
      <w:rFonts w:ascii="Cambria" w:hAnsi="Cambria"/>
      <w:b/>
      <w:bCs/>
      <w:sz w:val="28"/>
      <w:szCs w:val="2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line="480" w:lineRule="auto"/>
    </w:pPr>
  </w:style>
  <w:style w:type="paragraph" w:styleId="8">
    <w:name w:val="toc 7"/>
    <w:basedOn w:val="1"/>
    <w:next w:val="1"/>
    <w:qFormat/>
    <w:uiPriority w:val="0"/>
    <w:pPr>
      <w:ind w:left="2520" w:leftChars="1200"/>
    </w:pPr>
  </w:style>
  <w:style w:type="paragraph" w:styleId="9">
    <w:name w:val="Normal Indent"/>
    <w:basedOn w:val="1"/>
    <w:link w:val="63"/>
    <w:qFormat/>
    <w:uiPriority w:val="0"/>
    <w:pPr>
      <w:autoSpaceDE w:val="0"/>
      <w:autoSpaceDN w:val="0"/>
      <w:adjustRightInd w:val="0"/>
      <w:ind w:firstLine="420"/>
      <w:jc w:val="left"/>
    </w:pPr>
    <w:rPr>
      <w:rFonts w:ascii="宋体"/>
      <w:kern w:val="0"/>
      <w:sz w:val="24"/>
    </w:rPr>
  </w:style>
  <w:style w:type="paragraph" w:styleId="10">
    <w:name w:val="index 5"/>
    <w:basedOn w:val="1"/>
    <w:next w:val="1"/>
    <w:qFormat/>
    <w:uiPriority w:val="0"/>
    <w:pPr>
      <w:ind w:left="800" w:leftChars="800"/>
    </w:pPr>
    <w:rPr>
      <w:szCs w:val="24"/>
    </w:rPr>
  </w:style>
  <w:style w:type="paragraph" w:styleId="11">
    <w:name w:val="Document Map"/>
    <w:basedOn w:val="1"/>
    <w:qFormat/>
    <w:uiPriority w:val="0"/>
    <w:pPr>
      <w:shd w:val="clear" w:color="auto" w:fill="000080"/>
    </w:pPr>
  </w:style>
  <w:style w:type="paragraph" w:styleId="12">
    <w:name w:val="annotation text"/>
    <w:basedOn w:val="1"/>
    <w:qFormat/>
    <w:uiPriority w:val="0"/>
    <w:pPr>
      <w:jc w:val="left"/>
    </w:pPr>
  </w:style>
  <w:style w:type="paragraph" w:styleId="13">
    <w:name w:val="Body Text 3"/>
    <w:basedOn w:val="1"/>
    <w:qFormat/>
    <w:uiPriority w:val="0"/>
    <w:rPr>
      <w:rFonts w:eastAsia="楷体_GB2312"/>
      <w:sz w:val="28"/>
    </w:rPr>
  </w:style>
  <w:style w:type="paragraph" w:styleId="14">
    <w:name w:val="Body Text Indent"/>
    <w:basedOn w:val="1"/>
    <w:link w:val="60"/>
    <w:qFormat/>
    <w:uiPriority w:val="0"/>
    <w:rPr>
      <w:kern w:val="0"/>
    </w:rPr>
  </w:style>
  <w:style w:type="paragraph" w:styleId="15">
    <w:name w:val="Block Text"/>
    <w:basedOn w:val="1"/>
    <w:unhideWhenUsed/>
    <w:qFormat/>
    <w:uiPriority w:val="99"/>
    <w:pPr>
      <w:spacing w:after="120"/>
      <w:ind w:left="1440" w:leftChars="700" w:right="1440" w:rightChars="700"/>
    </w:pPr>
  </w:style>
  <w:style w:type="paragraph" w:styleId="16">
    <w:name w:val="toc 5"/>
    <w:basedOn w:val="1"/>
    <w:next w:val="1"/>
    <w:qFormat/>
    <w:uiPriority w:val="0"/>
    <w:pPr>
      <w:ind w:left="1680" w:leftChars="800"/>
    </w:pPr>
  </w:style>
  <w:style w:type="paragraph" w:styleId="17">
    <w:name w:val="toc 3"/>
    <w:basedOn w:val="1"/>
    <w:next w:val="1"/>
    <w:qFormat/>
    <w:uiPriority w:val="0"/>
    <w:pPr>
      <w:ind w:left="840" w:leftChars="400"/>
    </w:pPr>
  </w:style>
  <w:style w:type="paragraph" w:styleId="18">
    <w:name w:val="Plain Text"/>
    <w:basedOn w:val="1"/>
    <w:next w:val="2"/>
    <w:link w:val="64"/>
    <w:qFormat/>
    <w:uiPriority w:val="0"/>
    <w:rPr>
      <w:rFonts w:hAnsi="Courier New" w:eastAsia="幼圆"/>
      <w:kern w:val="0"/>
    </w:rPr>
  </w:style>
  <w:style w:type="paragraph" w:styleId="19">
    <w:name w:val="toc 8"/>
    <w:basedOn w:val="1"/>
    <w:next w:val="1"/>
    <w:qFormat/>
    <w:uiPriority w:val="0"/>
    <w:pPr>
      <w:ind w:left="2940" w:leftChars="1400"/>
    </w:pPr>
  </w:style>
  <w:style w:type="paragraph" w:styleId="20">
    <w:name w:val="Date"/>
    <w:basedOn w:val="1"/>
    <w:next w:val="1"/>
    <w:qFormat/>
    <w:uiPriority w:val="0"/>
    <w:pPr>
      <w:ind w:left="100" w:leftChars="2500"/>
    </w:pPr>
    <w:rPr>
      <w:rFonts w:ascii="宋体" w:hAnsi="宋体"/>
      <w:sz w:val="28"/>
    </w:rPr>
  </w:style>
  <w:style w:type="paragraph" w:styleId="21">
    <w:name w:val="Body Text Indent 2"/>
    <w:basedOn w:val="1"/>
    <w:qFormat/>
    <w:uiPriority w:val="0"/>
    <w:pPr>
      <w:ind w:firstLine="405" w:firstLineChars="193"/>
    </w:pPr>
    <w:rPr>
      <w:rFonts w:ascii="宋体" w:hAnsi="宋体"/>
    </w:rPr>
  </w:style>
  <w:style w:type="paragraph" w:styleId="22">
    <w:name w:val="Balloon Text"/>
    <w:basedOn w:val="1"/>
    <w:link w:val="65"/>
    <w:qFormat/>
    <w:uiPriority w:val="0"/>
    <w:rPr>
      <w:rFonts w:ascii="宋体" w:hAnsi="宋体"/>
      <w:sz w:val="18"/>
      <w:szCs w:val="18"/>
    </w:rPr>
  </w:style>
  <w:style w:type="paragraph" w:styleId="23">
    <w:name w:val="footer"/>
    <w:basedOn w:val="1"/>
    <w:qFormat/>
    <w:uiPriority w:val="0"/>
    <w:pPr>
      <w:tabs>
        <w:tab w:val="center" w:pos="4153"/>
        <w:tab w:val="right" w:pos="8306"/>
      </w:tabs>
      <w:snapToGrid w:val="0"/>
      <w:jc w:val="left"/>
    </w:pPr>
    <w:rPr>
      <w:rFonts w:ascii="宋体" w:hAnsi="宋体"/>
      <w:sz w:val="18"/>
      <w:szCs w:val="18"/>
    </w:rPr>
  </w:style>
  <w:style w:type="paragraph" w:styleId="24">
    <w:name w:val="envelope return"/>
    <w:basedOn w:val="1"/>
    <w:qFormat/>
    <w:uiPriority w:val="0"/>
    <w:pPr>
      <w:snapToGrid w:val="0"/>
    </w:pPr>
    <w:rPr>
      <w:rFonts w:ascii="Arial" w:hAnsi="Arial"/>
    </w:rPr>
  </w:style>
  <w:style w:type="paragraph" w:styleId="25">
    <w:name w:val="header"/>
    <w:basedOn w:val="1"/>
    <w:next w:val="23"/>
    <w:qFormat/>
    <w:uiPriority w:val="0"/>
    <w:pPr>
      <w:pBdr>
        <w:bottom w:val="single" w:color="auto" w:sz="6" w:space="1"/>
      </w:pBdr>
      <w:tabs>
        <w:tab w:val="center" w:pos="4153"/>
        <w:tab w:val="right" w:pos="8306"/>
      </w:tabs>
      <w:snapToGrid w:val="0"/>
      <w:jc w:val="center"/>
    </w:pPr>
    <w:rPr>
      <w:rFonts w:ascii="宋体" w:hAnsi="宋体"/>
      <w:sz w:val="18"/>
      <w:szCs w:val="18"/>
    </w:rPr>
  </w:style>
  <w:style w:type="paragraph" w:styleId="26">
    <w:name w:val="toc 1"/>
    <w:basedOn w:val="1"/>
    <w:next w:val="1"/>
    <w:qFormat/>
    <w:uiPriority w:val="39"/>
  </w:style>
  <w:style w:type="paragraph" w:styleId="27">
    <w:name w:val="toc 4"/>
    <w:basedOn w:val="1"/>
    <w:next w:val="1"/>
    <w:qFormat/>
    <w:uiPriority w:val="0"/>
    <w:pPr>
      <w:ind w:left="1260" w:leftChars="600"/>
    </w:pPr>
  </w:style>
  <w:style w:type="paragraph" w:styleId="28">
    <w:name w:val="footnote text"/>
    <w:basedOn w:val="1"/>
    <w:next w:val="10"/>
    <w:qFormat/>
    <w:uiPriority w:val="0"/>
    <w:pPr>
      <w:tabs>
        <w:tab w:val="left" w:pos="502"/>
      </w:tabs>
      <w:snapToGrid w:val="0"/>
    </w:pPr>
    <w:rPr>
      <w:sz w:val="18"/>
      <w:szCs w:val="18"/>
    </w:rPr>
  </w:style>
  <w:style w:type="paragraph" w:styleId="29">
    <w:name w:val="toc 6"/>
    <w:basedOn w:val="1"/>
    <w:next w:val="1"/>
    <w:qFormat/>
    <w:uiPriority w:val="0"/>
    <w:pPr>
      <w:ind w:left="2100" w:leftChars="1000"/>
    </w:pPr>
  </w:style>
  <w:style w:type="paragraph" w:styleId="30">
    <w:name w:val="Body Text Indent 3"/>
    <w:basedOn w:val="1"/>
    <w:qFormat/>
    <w:uiPriority w:val="0"/>
    <w:pPr>
      <w:ind w:firstLine="420" w:firstLineChars="200"/>
    </w:pPr>
    <w:rPr>
      <w:rFonts w:ascii="宋体" w:hAnsi="宋体"/>
    </w:rPr>
  </w:style>
  <w:style w:type="paragraph" w:styleId="31">
    <w:name w:val="toc 2"/>
    <w:basedOn w:val="1"/>
    <w:next w:val="1"/>
    <w:qFormat/>
    <w:uiPriority w:val="0"/>
    <w:pPr>
      <w:ind w:left="420" w:leftChars="200"/>
    </w:pPr>
  </w:style>
  <w:style w:type="paragraph" w:styleId="32">
    <w:name w:val="toc 9"/>
    <w:basedOn w:val="1"/>
    <w:next w:val="1"/>
    <w:qFormat/>
    <w:uiPriority w:val="0"/>
    <w:pPr>
      <w:ind w:left="3360" w:leftChars="1600"/>
    </w:pPr>
  </w:style>
  <w:style w:type="paragraph" w:styleId="33">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rPr>
  </w:style>
  <w:style w:type="paragraph" w:styleId="34">
    <w:name w:val="Normal (Web)"/>
    <w:basedOn w:val="1"/>
    <w:qFormat/>
    <w:uiPriority w:val="0"/>
    <w:pPr>
      <w:widowControl/>
      <w:spacing w:beforeAutospacing="1" w:afterAutospacing="1"/>
      <w:jc w:val="left"/>
    </w:pPr>
    <w:rPr>
      <w:rFonts w:ascii="宋体" w:hAnsi="宋体" w:cs="宋体"/>
      <w:kern w:val="0"/>
      <w:sz w:val="24"/>
    </w:rPr>
  </w:style>
  <w:style w:type="paragraph" w:styleId="35">
    <w:name w:val="index 1"/>
    <w:basedOn w:val="1"/>
    <w:next w:val="1"/>
    <w:qFormat/>
    <w:uiPriority w:val="0"/>
  </w:style>
  <w:style w:type="paragraph" w:styleId="36">
    <w:name w:val="Title"/>
    <w:basedOn w:val="1"/>
    <w:next w:val="1"/>
    <w:qFormat/>
    <w:uiPriority w:val="0"/>
    <w:pPr>
      <w:jc w:val="center"/>
      <w:outlineLvl w:val="0"/>
    </w:pPr>
    <w:rPr>
      <w:rFonts w:ascii="Arial" w:hAnsi="Arial" w:cs="Arial"/>
      <w:b/>
      <w:bCs/>
      <w:sz w:val="32"/>
      <w:szCs w:val="32"/>
    </w:rPr>
  </w:style>
  <w:style w:type="paragraph" w:styleId="37">
    <w:name w:val="Body Text First Indent"/>
    <w:basedOn w:val="2"/>
    <w:next w:val="38"/>
    <w:qFormat/>
    <w:uiPriority w:val="0"/>
  </w:style>
  <w:style w:type="paragraph" w:styleId="38">
    <w:name w:val="Body Text First Indent 2"/>
    <w:basedOn w:val="14"/>
    <w:next w:val="1"/>
    <w:qFormat/>
    <w:uiPriority w:val="0"/>
  </w:style>
  <w:style w:type="table" w:styleId="40">
    <w:name w:val="Table Grid"/>
    <w:basedOn w:val="3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uiPriority w:val="0"/>
    <w:rPr>
      <w:b/>
      <w:bCs/>
    </w:rPr>
  </w:style>
  <w:style w:type="character" w:styleId="43">
    <w:name w:val="page number"/>
    <w:qFormat/>
    <w:uiPriority w:val="0"/>
    <w:rPr>
      <w:lang w:val="en-US" w:eastAsia="zh-CN" w:bidi="ar-SA"/>
    </w:rPr>
  </w:style>
  <w:style w:type="character" w:styleId="44">
    <w:name w:val="FollowedHyperlink"/>
    <w:qFormat/>
    <w:uiPriority w:val="0"/>
    <w:rPr>
      <w:rFonts w:ascii="宋体" w:hAnsi="宋体" w:eastAsia="宋体"/>
      <w:color w:val="333333"/>
      <w:kern w:val="2"/>
      <w:sz w:val="18"/>
      <w:szCs w:val="18"/>
      <w:u w:val="none"/>
      <w:lang w:val="en-US" w:eastAsia="zh-CN" w:bidi="ar-SA"/>
    </w:rPr>
  </w:style>
  <w:style w:type="character" w:styleId="45">
    <w:name w:val="HTML Definition"/>
    <w:qFormat/>
    <w:uiPriority w:val="0"/>
    <w:rPr>
      <w:lang w:val="en-US" w:eastAsia="zh-CN" w:bidi="ar-SA"/>
    </w:rPr>
  </w:style>
  <w:style w:type="character" w:styleId="46">
    <w:name w:val="HTML Typewriter"/>
    <w:qFormat/>
    <w:uiPriority w:val="0"/>
    <w:rPr>
      <w:rFonts w:hint="default" w:ascii="monospace" w:hAnsi="monospace" w:eastAsia="monospace" w:cs="monospace"/>
      <w:sz w:val="20"/>
      <w:lang w:val="en-US" w:eastAsia="zh-CN" w:bidi="ar-SA"/>
    </w:rPr>
  </w:style>
  <w:style w:type="character" w:styleId="47">
    <w:name w:val="HTML Acronym"/>
    <w:qFormat/>
    <w:uiPriority w:val="0"/>
    <w:rPr>
      <w:lang w:val="en-US" w:eastAsia="zh-CN" w:bidi="ar-SA"/>
    </w:rPr>
  </w:style>
  <w:style w:type="character" w:styleId="48">
    <w:name w:val="HTML Variable"/>
    <w:qFormat/>
    <w:uiPriority w:val="0"/>
    <w:rPr>
      <w:lang w:val="en-US" w:eastAsia="zh-CN" w:bidi="ar-SA"/>
    </w:rPr>
  </w:style>
  <w:style w:type="character" w:styleId="49">
    <w:name w:val="Hyperlink"/>
    <w:qFormat/>
    <w:uiPriority w:val="99"/>
    <w:rPr>
      <w:rFonts w:ascii="宋体" w:hAnsi="宋体" w:eastAsia="宋体"/>
      <w:color w:val="0000FF"/>
      <w:kern w:val="2"/>
      <w:sz w:val="28"/>
      <w:szCs w:val="24"/>
      <w:u w:val="single"/>
      <w:lang w:val="en-US" w:eastAsia="zh-CN" w:bidi="ar-SA"/>
    </w:rPr>
  </w:style>
  <w:style w:type="character" w:styleId="50">
    <w:name w:val="HTML Code"/>
    <w:qFormat/>
    <w:uiPriority w:val="0"/>
    <w:rPr>
      <w:rFonts w:ascii="monospace" w:hAnsi="monospace" w:eastAsia="monospace" w:cs="monospace"/>
      <w:sz w:val="20"/>
      <w:lang w:val="en-US" w:eastAsia="zh-CN" w:bidi="ar-SA"/>
    </w:rPr>
  </w:style>
  <w:style w:type="character" w:styleId="51">
    <w:name w:val="HTML Cite"/>
    <w:qFormat/>
    <w:uiPriority w:val="0"/>
    <w:rPr>
      <w:lang w:val="en-US" w:eastAsia="zh-CN" w:bidi="ar-SA"/>
    </w:rPr>
  </w:style>
  <w:style w:type="character" w:styleId="52">
    <w:name w:val="HTML Keyboard"/>
    <w:qFormat/>
    <w:uiPriority w:val="0"/>
    <w:rPr>
      <w:rFonts w:hint="default" w:ascii="monospace" w:hAnsi="monospace" w:eastAsia="monospace" w:cs="monospace"/>
      <w:sz w:val="20"/>
      <w:lang w:val="en-US" w:eastAsia="zh-CN" w:bidi="ar-SA"/>
    </w:rPr>
  </w:style>
  <w:style w:type="character" w:styleId="53">
    <w:name w:val="HTML Sample"/>
    <w:qFormat/>
    <w:uiPriority w:val="0"/>
    <w:rPr>
      <w:rFonts w:hint="default" w:ascii="monospace" w:hAnsi="monospace" w:eastAsia="monospace" w:cs="monospace"/>
      <w:lang w:val="en-US" w:eastAsia="zh-CN" w:bidi="ar-SA"/>
    </w:rPr>
  </w:style>
  <w:style w:type="paragraph" w:customStyle="1" w:styleId="5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5">
    <w:name w:val="Char Char10 Char Char Char Char"/>
    <w:basedOn w:val="1"/>
    <w:next w:val="56"/>
    <w:qFormat/>
    <w:uiPriority w:val="0"/>
  </w:style>
  <w:style w:type="paragraph" w:customStyle="1" w:styleId="56">
    <w:name w:val="xl87"/>
    <w:basedOn w:val="1"/>
    <w:next w:val="57"/>
    <w:qFormat/>
    <w:uiPriority w:val="0"/>
    <w:pPr>
      <w:widowControl/>
      <w:shd w:val="clear" w:color="FFFFFF" w:fill="FFFFFF"/>
      <w:jc w:val="right"/>
    </w:pPr>
    <w:rPr>
      <w:rFonts w:ascii="宋体"/>
      <w:sz w:val="24"/>
    </w:rPr>
  </w:style>
  <w:style w:type="paragraph" w:customStyle="1" w:styleId="57">
    <w:name w:val="xl72"/>
    <w:basedOn w:val="1"/>
    <w:next w:val="20"/>
    <w:qFormat/>
    <w:uiPriority w:val="0"/>
    <w:pPr>
      <w:widowControl/>
      <w:shd w:val="clear" w:color="FFFFFF" w:fill="FFFFFF"/>
      <w:jc w:val="right"/>
    </w:pPr>
    <w:rPr>
      <w:rFonts w:ascii="宋体"/>
      <w:sz w:val="24"/>
    </w:rPr>
  </w:style>
  <w:style w:type="paragraph" w:customStyle="1" w:styleId="58">
    <w:name w:val="表格文字"/>
    <w:basedOn w:val="1"/>
    <w:next w:val="2"/>
    <w:qFormat/>
    <w:uiPriority w:val="0"/>
    <w:pPr>
      <w:adjustRightInd w:val="0"/>
      <w:spacing w:line="420" w:lineRule="atLeast"/>
      <w:jc w:val="left"/>
      <w:textAlignment w:val="baseline"/>
    </w:pPr>
    <w:rPr>
      <w:kern w:val="0"/>
    </w:rPr>
  </w:style>
  <w:style w:type="paragraph" w:customStyle="1" w:styleId="59">
    <w:name w:val="No Spacing1"/>
    <w:basedOn w:val="1"/>
    <w:qFormat/>
    <w:uiPriority w:val="0"/>
    <w:pPr>
      <w:spacing w:line="400" w:lineRule="exact"/>
    </w:pPr>
    <w:rPr>
      <w:rFonts w:ascii="Calibri" w:hAnsi="Calibri" w:cs="黑体"/>
      <w:sz w:val="24"/>
    </w:rPr>
  </w:style>
  <w:style w:type="character" w:customStyle="1" w:styleId="60">
    <w:name w:val="正文文本缩进 Char"/>
    <w:link w:val="14"/>
    <w:qFormat/>
    <w:uiPriority w:val="0"/>
    <w:rPr>
      <w:sz w:val="21"/>
      <w:lang w:val="en-US" w:eastAsia="zh-CN" w:bidi="ar-SA"/>
    </w:rPr>
  </w:style>
  <w:style w:type="character" w:customStyle="1" w:styleId="61">
    <w:name w:val="标题 2 Char"/>
    <w:link w:val="5"/>
    <w:qFormat/>
    <w:uiPriority w:val="0"/>
    <w:rPr>
      <w:rFonts w:ascii="Arial" w:hAnsi="Arial" w:eastAsia="黑体"/>
      <w:b/>
      <w:bCs/>
      <w:kern w:val="2"/>
      <w:sz w:val="32"/>
      <w:szCs w:val="32"/>
      <w:lang w:val="en-US" w:eastAsia="zh-CN" w:bidi="ar-SA"/>
    </w:rPr>
  </w:style>
  <w:style w:type="character" w:customStyle="1" w:styleId="62">
    <w:name w:val="标题 3 Char"/>
    <w:link w:val="6"/>
    <w:qFormat/>
    <w:uiPriority w:val="0"/>
    <w:rPr>
      <w:rFonts w:ascii="宋体" w:hAnsi="宋体" w:eastAsia="幼圆"/>
      <w:b/>
      <w:bCs/>
      <w:kern w:val="2"/>
      <w:sz w:val="32"/>
      <w:szCs w:val="32"/>
      <w:lang w:val="en-US" w:eastAsia="zh-CN" w:bidi="ar-SA"/>
    </w:rPr>
  </w:style>
  <w:style w:type="character" w:customStyle="1" w:styleId="63">
    <w:name w:val="正文缩进 Char"/>
    <w:link w:val="9"/>
    <w:qFormat/>
    <w:uiPriority w:val="0"/>
    <w:rPr>
      <w:rFonts w:ascii="宋体"/>
      <w:sz w:val="24"/>
    </w:rPr>
  </w:style>
  <w:style w:type="character" w:customStyle="1" w:styleId="64">
    <w:name w:val="纯文本 Char"/>
    <w:link w:val="18"/>
    <w:qFormat/>
    <w:uiPriority w:val="0"/>
    <w:rPr>
      <w:rFonts w:hAnsi="Courier New" w:eastAsia="幼圆"/>
      <w:sz w:val="21"/>
      <w:lang w:val="en-US" w:eastAsia="zh-CN" w:bidi="ar-SA"/>
    </w:rPr>
  </w:style>
  <w:style w:type="character" w:customStyle="1" w:styleId="65">
    <w:name w:val="批注框文本 Char"/>
    <w:link w:val="22"/>
    <w:qFormat/>
    <w:uiPriority w:val="0"/>
    <w:rPr>
      <w:rFonts w:ascii="宋体" w:hAnsi="宋体" w:eastAsia="宋体"/>
      <w:kern w:val="2"/>
      <w:sz w:val="18"/>
      <w:szCs w:val="18"/>
      <w:lang w:val="en-US" w:eastAsia="zh-CN" w:bidi="ar-SA"/>
    </w:rPr>
  </w:style>
  <w:style w:type="character" w:customStyle="1" w:styleId="66">
    <w:name w:val="页眉 Char Char"/>
    <w:qFormat/>
    <w:uiPriority w:val="0"/>
    <w:rPr>
      <w:rFonts w:ascii="宋体" w:hAnsi="宋体" w:eastAsia="宋体"/>
      <w:kern w:val="2"/>
      <w:sz w:val="18"/>
      <w:szCs w:val="18"/>
      <w:lang w:val="en-US" w:eastAsia="zh-CN" w:bidi="ar-SA"/>
    </w:rPr>
  </w:style>
  <w:style w:type="character" w:customStyle="1" w:styleId="67">
    <w:name w:val="页脚 Char Char"/>
    <w:qFormat/>
    <w:uiPriority w:val="0"/>
    <w:rPr>
      <w:rFonts w:ascii="宋体" w:hAnsi="宋体" w:eastAsia="宋体"/>
      <w:kern w:val="2"/>
      <w:sz w:val="18"/>
      <w:szCs w:val="18"/>
      <w:lang w:val="en-US" w:eastAsia="zh-CN" w:bidi="ar-SA"/>
    </w:rPr>
  </w:style>
  <w:style w:type="character" w:customStyle="1" w:styleId="68">
    <w:name w:val="ca-21"/>
    <w:qFormat/>
    <w:uiPriority w:val="0"/>
    <w:rPr>
      <w:rFonts w:hint="eastAsia" w:ascii="仿宋_GB2312" w:eastAsia="仿宋_GB2312"/>
      <w:sz w:val="32"/>
      <w:szCs w:val="32"/>
    </w:rPr>
  </w:style>
  <w:style w:type="character" w:customStyle="1" w:styleId="69">
    <w:name w:val="ca-31"/>
    <w:qFormat/>
    <w:uiPriority w:val="0"/>
    <w:rPr>
      <w:rFonts w:hint="eastAsia" w:ascii="仿宋_GB2312" w:eastAsia="仿宋_GB2312"/>
      <w:b/>
      <w:bCs/>
      <w:spacing w:val="-20"/>
      <w:sz w:val="32"/>
      <w:szCs w:val="32"/>
    </w:rPr>
  </w:style>
  <w:style w:type="character" w:customStyle="1" w:styleId="70">
    <w:name w:val="UserStyle_17"/>
    <w:qFormat/>
    <w:uiPriority w:val="0"/>
    <w:rPr>
      <w:rFonts w:ascii="Times New Roman" w:hAnsi="Times New Roman" w:eastAsia="宋体" w:cs="Times New Roman"/>
      <w:kern w:val="2"/>
      <w:sz w:val="21"/>
      <w:szCs w:val="24"/>
      <w:lang w:val="en-US" w:eastAsia="zh-CN" w:bidi="ar-SA"/>
    </w:rPr>
  </w:style>
  <w:style w:type="character" w:customStyle="1" w:styleId="71">
    <w:name w:val="ca-11"/>
    <w:qFormat/>
    <w:uiPriority w:val="0"/>
    <w:rPr>
      <w:rFonts w:hint="default" w:ascii="Times New Roman" w:hAnsi="Times New Roman" w:cs="Times New Roman"/>
      <w:sz w:val="32"/>
      <w:szCs w:val="32"/>
    </w:rPr>
  </w:style>
  <w:style w:type="character" w:customStyle="1" w:styleId="72">
    <w:name w:val="font11"/>
    <w:qFormat/>
    <w:uiPriority w:val="0"/>
    <w:rPr>
      <w:rFonts w:hint="eastAsia" w:ascii="宋体" w:hAnsi="宋体" w:eastAsia="宋体" w:cs="宋体"/>
      <w:color w:val="000000"/>
      <w:sz w:val="20"/>
      <w:szCs w:val="20"/>
      <w:u w:val="none"/>
    </w:rPr>
  </w:style>
  <w:style w:type="character" w:customStyle="1" w:styleId="73">
    <w:name w:val="Char Char Char"/>
    <w:qFormat/>
    <w:uiPriority w:val="0"/>
    <w:rPr>
      <w:rFonts w:ascii="Arial" w:hAnsi="Arial" w:eastAsia="黑体"/>
      <w:b/>
      <w:bCs/>
      <w:kern w:val="2"/>
      <w:sz w:val="32"/>
      <w:szCs w:val="32"/>
      <w:lang w:val="en-US" w:eastAsia="zh-CN" w:bidi="ar-SA"/>
    </w:rPr>
  </w:style>
  <w:style w:type="character" w:customStyle="1" w:styleId="74">
    <w:name w:val="ca-121"/>
    <w:qFormat/>
    <w:uiPriority w:val="0"/>
    <w:rPr>
      <w:rFonts w:hint="eastAsia" w:ascii="仿宋_GB2312" w:eastAsia="仿宋_GB2312"/>
      <w:color w:val="000000"/>
      <w:sz w:val="21"/>
      <w:szCs w:val="21"/>
    </w:rPr>
  </w:style>
  <w:style w:type="paragraph" w:customStyle="1" w:styleId="75">
    <w:name w:val="样式 正文文字 + 小四 段后: 0 磅 行距: 1.5 倍行距"/>
    <w:basedOn w:val="2"/>
    <w:qFormat/>
    <w:uiPriority w:val="0"/>
    <w:pPr>
      <w:spacing w:line="360" w:lineRule="auto"/>
      <w:ind w:firstLine="480" w:firstLineChars="200"/>
    </w:pPr>
    <w:rPr>
      <w:rFonts w:cs="宋体"/>
      <w:sz w:val="24"/>
    </w:rPr>
  </w:style>
  <w:style w:type="paragraph" w:customStyle="1" w:styleId="76">
    <w:name w:val="pa-58"/>
    <w:basedOn w:val="1"/>
    <w:qFormat/>
    <w:uiPriority w:val="0"/>
    <w:pPr>
      <w:widowControl/>
      <w:spacing w:line="240" w:lineRule="atLeast"/>
      <w:ind w:firstLine="460"/>
    </w:pPr>
    <w:rPr>
      <w:rFonts w:ascii="宋体" w:hAnsi="宋体" w:cs="宋体"/>
      <w:kern w:val="0"/>
      <w:sz w:val="24"/>
    </w:rPr>
  </w:style>
  <w:style w:type="paragraph" w:customStyle="1" w:styleId="77">
    <w:name w:val="xl26"/>
    <w:basedOn w:val="1"/>
    <w:qFormat/>
    <w:uiPriority w:val="0"/>
    <w:pPr>
      <w:widowControl/>
      <w:spacing w:beforeAutospacing="1" w:afterAutospacing="1"/>
      <w:jc w:val="left"/>
    </w:pPr>
    <w:rPr>
      <w:rFonts w:hint="eastAsia" w:ascii="仿宋_GB2312" w:hAnsi="宋体" w:eastAsia="仿宋_GB2312"/>
      <w:kern w:val="0"/>
      <w:sz w:val="32"/>
      <w:szCs w:val="32"/>
    </w:rPr>
  </w:style>
  <w:style w:type="paragraph" w:customStyle="1" w:styleId="78">
    <w:name w:val="普通(网站)1"/>
    <w:basedOn w:val="1"/>
    <w:qFormat/>
    <w:uiPriority w:val="0"/>
    <w:pPr>
      <w:widowControl/>
      <w:spacing w:beforeAutospacing="1" w:afterAutospacing="1"/>
      <w:jc w:val="left"/>
    </w:pPr>
    <w:rPr>
      <w:rFonts w:ascii="宋体" w:hAnsi="宋体" w:cs="宋体"/>
      <w:kern w:val="0"/>
      <w:sz w:val="24"/>
      <w:szCs w:val="24"/>
    </w:rPr>
  </w:style>
  <w:style w:type="paragraph" w:customStyle="1" w:styleId="79">
    <w:name w:val="pa-6"/>
    <w:basedOn w:val="1"/>
    <w:qFormat/>
    <w:uiPriority w:val="0"/>
    <w:pPr>
      <w:widowControl/>
      <w:spacing w:line="360" w:lineRule="atLeast"/>
    </w:pPr>
    <w:rPr>
      <w:rFonts w:ascii="宋体" w:hAnsi="宋体" w:cs="宋体"/>
      <w:kern w:val="0"/>
      <w:sz w:val="24"/>
    </w:rPr>
  </w:style>
  <w:style w:type="paragraph" w:customStyle="1" w:styleId="80">
    <w:name w:val="pa-2"/>
    <w:basedOn w:val="1"/>
    <w:qFormat/>
    <w:uiPriority w:val="0"/>
    <w:pPr>
      <w:widowControl/>
      <w:spacing w:line="360" w:lineRule="atLeast"/>
    </w:pPr>
    <w:rPr>
      <w:rFonts w:ascii="宋体" w:hAnsi="宋体" w:cs="宋体"/>
      <w:kern w:val="0"/>
      <w:sz w:val="24"/>
    </w:rPr>
  </w:style>
  <w:style w:type="paragraph" w:customStyle="1" w:styleId="81">
    <w:name w:val="Heading 1"/>
    <w:basedOn w:val="1"/>
    <w:qFormat/>
    <w:uiPriority w:val="0"/>
    <w:pPr>
      <w:outlineLvl w:val="1"/>
    </w:pPr>
    <w:rPr>
      <w:rFonts w:ascii="黑体" w:hAnsi="黑体" w:eastAsia="黑体"/>
      <w:b/>
      <w:bCs/>
      <w:sz w:val="44"/>
      <w:szCs w:val="44"/>
    </w:rPr>
  </w:style>
  <w:style w:type="paragraph" w:customStyle="1" w:styleId="82">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83">
    <w:name w:val="正文（首行缩进一字）"/>
    <w:basedOn w:val="1"/>
    <w:qFormat/>
    <w:uiPriority w:val="0"/>
  </w:style>
  <w:style w:type="paragraph" w:customStyle="1" w:styleId="84">
    <w:name w:val="pa-53"/>
    <w:basedOn w:val="1"/>
    <w:qFormat/>
    <w:uiPriority w:val="0"/>
    <w:pPr>
      <w:widowControl/>
      <w:spacing w:line="240" w:lineRule="atLeast"/>
    </w:pPr>
    <w:rPr>
      <w:rFonts w:ascii="宋体" w:hAnsi="宋体" w:cs="宋体"/>
      <w:kern w:val="0"/>
      <w:sz w:val="24"/>
    </w:rPr>
  </w:style>
  <w:style w:type="paragraph" w:customStyle="1" w:styleId="85">
    <w:name w:val="列出段落1"/>
    <w:basedOn w:val="1"/>
    <w:qFormat/>
    <w:uiPriority w:val="0"/>
    <w:pPr>
      <w:ind w:firstLine="420" w:firstLineChars="200"/>
    </w:pPr>
  </w:style>
  <w:style w:type="paragraph" w:customStyle="1" w:styleId="86">
    <w:name w:val="标题 11"/>
    <w:basedOn w:val="1"/>
    <w:qFormat/>
    <w:uiPriority w:val="0"/>
    <w:pPr>
      <w:jc w:val="left"/>
      <w:outlineLvl w:val="1"/>
    </w:pPr>
    <w:rPr>
      <w:rFonts w:ascii="黑体" w:hAnsi="黑体" w:eastAsia="黑体"/>
      <w:b/>
      <w:bCs/>
      <w:kern w:val="0"/>
      <w:sz w:val="44"/>
      <w:szCs w:val="44"/>
      <w:lang w:eastAsia="en-US"/>
    </w:rPr>
  </w:style>
  <w:style w:type="paragraph" w:customStyle="1" w:styleId="87">
    <w:name w:val="无间隔1"/>
    <w:basedOn w:val="1"/>
    <w:qFormat/>
    <w:uiPriority w:val="0"/>
    <w:pPr>
      <w:spacing w:line="400" w:lineRule="exact"/>
    </w:pPr>
    <w:rPr>
      <w:sz w:val="24"/>
    </w:rPr>
  </w:style>
  <w:style w:type="paragraph" w:customStyle="1" w:styleId="88">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89">
    <w:name w:val="目录 31"/>
    <w:basedOn w:val="1"/>
    <w:qFormat/>
    <w:uiPriority w:val="0"/>
    <w:pPr>
      <w:ind w:left="330"/>
      <w:jc w:val="left"/>
    </w:pPr>
    <w:rPr>
      <w:rFonts w:ascii="宋体" w:hAnsi="宋体"/>
      <w:b/>
      <w:bCs/>
      <w:kern w:val="0"/>
      <w:sz w:val="20"/>
      <w:lang w:eastAsia="en-US"/>
    </w:rPr>
  </w:style>
  <w:style w:type="paragraph" w:customStyle="1" w:styleId="90">
    <w:name w:val="标题 21"/>
    <w:basedOn w:val="1"/>
    <w:qFormat/>
    <w:uiPriority w:val="0"/>
    <w:pPr>
      <w:ind w:left="117"/>
      <w:jc w:val="left"/>
      <w:outlineLvl w:val="2"/>
    </w:pPr>
    <w:rPr>
      <w:rFonts w:ascii="黑体" w:hAnsi="黑体" w:eastAsia="黑体"/>
      <w:b/>
      <w:bCs/>
      <w:kern w:val="0"/>
      <w:sz w:val="32"/>
      <w:szCs w:val="32"/>
      <w:lang w:eastAsia="en-US"/>
    </w:rPr>
  </w:style>
  <w:style w:type="paragraph" w:customStyle="1" w:styleId="91">
    <w:name w:val="pa-62"/>
    <w:basedOn w:val="1"/>
    <w:qFormat/>
    <w:uiPriority w:val="0"/>
    <w:pPr>
      <w:widowControl/>
      <w:spacing w:line="240" w:lineRule="atLeast"/>
    </w:pPr>
    <w:rPr>
      <w:rFonts w:ascii="宋体" w:hAnsi="宋体" w:cs="宋体"/>
      <w:kern w:val="0"/>
      <w:sz w:val="24"/>
    </w:rPr>
  </w:style>
  <w:style w:type="paragraph" w:customStyle="1" w:styleId="92">
    <w:name w:val="_Style 80"/>
    <w:qFormat/>
    <w:uiPriority w:val="0"/>
    <w:rPr>
      <w:rFonts w:ascii="Times New Roman" w:hAnsi="Times New Roman" w:eastAsia="宋体" w:cs="Times New Roman"/>
      <w:kern w:val="2"/>
      <w:sz w:val="21"/>
      <w:lang w:val="en-US" w:eastAsia="zh-CN" w:bidi="ar-SA"/>
    </w:rPr>
  </w:style>
  <w:style w:type="paragraph" w:customStyle="1" w:styleId="93">
    <w:name w:val="p0"/>
    <w:basedOn w:val="1"/>
    <w:qFormat/>
    <w:uiPriority w:val="0"/>
    <w:pPr>
      <w:widowControl/>
    </w:pPr>
    <w:rPr>
      <w:kern w:val="0"/>
      <w:szCs w:val="21"/>
    </w:rPr>
  </w:style>
  <w:style w:type="paragraph" w:customStyle="1" w:styleId="94">
    <w:name w:val="彩色列表1"/>
    <w:basedOn w:val="1"/>
    <w:qFormat/>
    <w:uiPriority w:val="0"/>
    <w:pPr>
      <w:jc w:val="left"/>
    </w:pPr>
    <w:rPr>
      <w:rFonts w:ascii="Calibri" w:hAnsi="Calibri"/>
      <w:kern w:val="0"/>
      <w:sz w:val="22"/>
      <w:szCs w:val="22"/>
      <w:lang w:eastAsia="en-US"/>
    </w:rPr>
  </w:style>
  <w:style w:type="paragraph" w:customStyle="1" w:styleId="95">
    <w:name w:val="目录 51"/>
    <w:basedOn w:val="1"/>
    <w:qFormat/>
    <w:uiPriority w:val="0"/>
    <w:pPr>
      <w:ind w:left="540"/>
      <w:jc w:val="left"/>
    </w:pPr>
    <w:rPr>
      <w:rFonts w:ascii="黑体" w:hAnsi="黑体" w:eastAsia="黑体"/>
      <w:b/>
      <w:bCs/>
      <w:i/>
      <w:kern w:val="0"/>
      <w:sz w:val="22"/>
      <w:szCs w:val="22"/>
      <w:lang w:eastAsia="en-US"/>
    </w:rPr>
  </w:style>
  <w:style w:type="paragraph" w:customStyle="1" w:styleId="96">
    <w:name w:val="目录 11"/>
    <w:basedOn w:val="1"/>
    <w:qFormat/>
    <w:uiPriority w:val="0"/>
    <w:pPr>
      <w:jc w:val="left"/>
    </w:pPr>
    <w:rPr>
      <w:rFonts w:ascii="黑体" w:hAnsi="黑体" w:eastAsia="黑体"/>
      <w:b/>
      <w:bCs/>
      <w:kern w:val="0"/>
      <w:sz w:val="20"/>
      <w:lang w:eastAsia="en-US"/>
    </w:rPr>
  </w:style>
  <w:style w:type="paragraph" w:customStyle="1" w:styleId="97">
    <w:name w:val="目录 21"/>
    <w:basedOn w:val="1"/>
    <w:qFormat/>
    <w:uiPriority w:val="0"/>
    <w:pPr>
      <w:ind w:left="126"/>
      <w:jc w:val="left"/>
    </w:pPr>
    <w:rPr>
      <w:rFonts w:ascii="宋体" w:hAnsi="宋体"/>
      <w:b/>
      <w:bCs/>
      <w:kern w:val="0"/>
      <w:sz w:val="20"/>
      <w:lang w:eastAsia="en-US"/>
    </w:rPr>
  </w:style>
  <w:style w:type="paragraph" w:customStyle="1" w:styleId="98">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styleId="99">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01">
    <w:name w:val="pa-56"/>
    <w:basedOn w:val="1"/>
    <w:qFormat/>
    <w:uiPriority w:val="0"/>
    <w:pPr>
      <w:widowControl/>
      <w:spacing w:line="240" w:lineRule="atLeast"/>
    </w:pPr>
    <w:rPr>
      <w:rFonts w:ascii="宋体" w:hAnsi="宋体" w:cs="宋体"/>
      <w:kern w:val="0"/>
      <w:sz w:val="24"/>
    </w:rPr>
  </w:style>
  <w:style w:type="paragraph" w:customStyle="1" w:styleId="102">
    <w:name w:val="Char Char Char1"/>
    <w:basedOn w:val="1"/>
    <w:qFormat/>
    <w:uiPriority w:val="0"/>
    <w:rPr>
      <w:rFonts w:ascii="Tahoma" w:hAnsi="Tahoma"/>
      <w:sz w:val="24"/>
    </w:rPr>
  </w:style>
  <w:style w:type="paragraph" w:customStyle="1" w:styleId="103">
    <w:name w:val="pa-4"/>
    <w:basedOn w:val="1"/>
    <w:qFormat/>
    <w:uiPriority w:val="0"/>
    <w:pPr>
      <w:widowControl/>
      <w:spacing w:line="360" w:lineRule="atLeast"/>
      <w:ind w:firstLine="960"/>
    </w:pPr>
    <w:rPr>
      <w:rFonts w:ascii="宋体" w:hAnsi="宋体" w:cs="宋体"/>
      <w:kern w:val="0"/>
      <w:sz w:val="24"/>
    </w:rPr>
  </w:style>
  <w:style w:type="paragraph" w:customStyle="1" w:styleId="104">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05">
    <w:name w:val="目录 41"/>
    <w:basedOn w:val="1"/>
    <w:qFormat/>
    <w:uiPriority w:val="0"/>
    <w:pPr>
      <w:ind w:left="540"/>
      <w:jc w:val="left"/>
    </w:pPr>
    <w:rPr>
      <w:rFonts w:ascii="黑体" w:hAnsi="黑体" w:eastAsia="黑体"/>
      <w:i/>
      <w:kern w:val="0"/>
      <w:szCs w:val="21"/>
      <w:lang w:eastAsia="en-US"/>
    </w:rPr>
  </w:style>
  <w:style w:type="paragraph" w:customStyle="1" w:styleId="106">
    <w:name w:val="_Style 2"/>
    <w:basedOn w:val="1"/>
    <w:qFormat/>
    <w:uiPriority w:val="0"/>
    <w:pPr>
      <w:ind w:firstLine="420" w:firstLineChars="200"/>
    </w:pPr>
    <w:rPr>
      <w:kern w:val="0"/>
      <w:sz w:val="20"/>
      <w:szCs w:val="24"/>
    </w:rPr>
  </w:style>
  <w:style w:type="paragraph" w:customStyle="1" w:styleId="107">
    <w:name w:val="彩色底纹 - 强调文字颜色 61"/>
    <w:basedOn w:val="4"/>
    <w:next w:val="1"/>
    <w:qFormat/>
    <w:uiPriority w:val="0"/>
    <w:pPr>
      <w:widowControl/>
      <w:spacing w:line="276" w:lineRule="auto"/>
      <w:jc w:val="left"/>
      <w:outlineLvl w:val="9"/>
    </w:pPr>
    <w:rPr>
      <w:rFonts w:ascii="Cambria" w:hAnsi="Cambria"/>
      <w:color w:val="365F91"/>
      <w:kern w:val="0"/>
      <w:sz w:val="28"/>
      <w:szCs w:val="28"/>
    </w:rPr>
  </w:style>
  <w:style w:type="paragraph" w:customStyle="1" w:styleId="108">
    <w:name w:val="样式2"/>
    <w:basedOn w:val="5"/>
    <w:qFormat/>
    <w:uiPriority w:val="0"/>
    <w:pPr>
      <w:spacing w:line="413" w:lineRule="auto"/>
      <w:jc w:val="left"/>
    </w:pPr>
    <w:rPr>
      <w:rFonts w:ascii="华文中宋" w:hAnsi="华文中宋" w:eastAsia="宋体"/>
      <w:bCs w:val="0"/>
      <w:color w:val="000000"/>
      <w:szCs w:val="20"/>
    </w:rPr>
  </w:style>
  <w:style w:type="paragraph" w:customStyle="1" w:styleId="109">
    <w:name w:val="pa-57"/>
    <w:basedOn w:val="1"/>
    <w:qFormat/>
    <w:uiPriority w:val="0"/>
    <w:pPr>
      <w:widowControl/>
      <w:spacing w:line="240" w:lineRule="atLeast"/>
      <w:ind w:firstLine="480"/>
    </w:pPr>
    <w:rPr>
      <w:rFonts w:ascii="宋体" w:hAnsi="宋体" w:cs="宋体"/>
      <w:kern w:val="0"/>
      <w:sz w:val="24"/>
    </w:rPr>
  </w:style>
  <w:style w:type="paragraph" w:customStyle="1" w:styleId="110">
    <w:name w:val="Table Paragraph"/>
    <w:basedOn w:val="1"/>
    <w:qFormat/>
    <w:uiPriority w:val="0"/>
    <w:pPr>
      <w:jc w:val="left"/>
    </w:pPr>
    <w:rPr>
      <w:rFonts w:ascii="Calibri" w:hAnsi="Calibri"/>
      <w:kern w:val="0"/>
      <w:sz w:val="22"/>
      <w:szCs w:val="22"/>
      <w:lang w:eastAsia="en-US"/>
    </w:rPr>
  </w:style>
  <w:style w:type="paragraph" w:styleId="111">
    <w:name w:val="List Paragraph"/>
    <w:basedOn w:val="1"/>
    <w:qFormat/>
    <w:uiPriority w:val="34"/>
    <w:pPr>
      <w:ind w:firstLine="420" w:firstLineChars="200"/>
    </w:pPr>
    <w:rPr>
      <w:rFonts w:ascii="Calibri" w:hAnsi="Calibri"/>
      <w:szCs w:val="22"/>
    </w:rPr>
  </w:style>
  <w:style w:type="paragraph" w:customStyle="1" w:styleId="112">
    <w:name w:val="标题 31"/>
    <w:basedOn w:val="1"/>
    <w:qFormat/>
    <w:uiPriority w:val="0"/>
    <w:pPr>
      <w:ind w:left="828"/>
      <w:jc w:val="left"/>
      <w:outlineLvl w:val="3"/>
    </w:pPr>
    <w:rPr>
      <w:rFonts w:ascii="宋体" w:hAnsi="宋体"/>
      <w:b/>
      <w:bCs/>
      <w:kern w:val="0"/>
      <w:sz w:val="24"/>
      <w:szCs w:val="24"/>
      <w:lang w:eastAsia="en-US"/>
    </w:rPr>
  </w:style>
  <w:style w:type="paragraph" w:customStyle="1" w:styleId="113">
    <w:name w:val="pa-59"/>
    <w:basedOn w:val="1"/>
    <w:qFormat/>
    <w:uiPriority w:val="0"/>
    <w:pPr>
      <w:widowControl/>
      <w:spacing w:line="240" w:lineRule="atLeast"/>
      <w:ind w:firstLine="640"/>
    </w:pPr>
    <w:rPr>
      <w:rFonts w:ascii="宋体" w:hAnsi="宋体" w:cs="宋体"/>
      <w:kern w:val="0"/>
      <w:sz w:val="24"/>
    </w:rPr>
  </w:style>
  <w:style w:type="paragraph" w:customStyle="1" w:styleId="114">
    <w:name w:val="WPSOffice手动目录 1"/>
    <w:qFormat/>
    <w:uiPriority w:val="0"/>
    <w:rPr>
      <w:rFonts w:ascii="Times New Roman" w:hAnsi="Times New Roman" w:eastAsia="宋体" w:cs="Times New Roman"/>
      <w:lang w:val="en-US" w:eastAsia="zh-CN" w:bidi="ar-SA"/>
    </w:rPr>
  </w:style>
  <w:style w:type="paragraph" w:customStyle="1" w:styleId="115">
    <w:name w:val="Heading 2"/>
    <w:basedOn w:val="1"/>
    <w:qFormat/>
    <w:uiPriority w:val="0"/>
    <w:pPr>
      <w:ind w:left="117"/>
      <w:outlineLvl w:val="2"/>
    </w:pPr>
    <w:rPr>
      <w:rFonts w:ascii="黑体" w:hAnsi="黑体" w:eastAsia="黑体"/>
      <w:b/>
      <w:bCs/>
      <w:sz w:val="32"/>
      <w:szCs w:val="32"/>
    </w:rPr>
  </w:style>
  <w:style w:type="paragraph" w:customStyle="1" w:styleId="116">
    <w:name w:val="List Paragraph1"/>
    <w:basedOn w:val="1"/>
    <w:qFormat/>
    <w:uiPriority w:val="0"/>
  </w:style>
  <w:style w:type="paragraph" w:customStyle="1" w:styleId="117">
    <w:name w:val="Char Char Char Char"/>
    <w:basedOn w:val="1"/>
    <w:qFormat/>
    <w:uiPriority w:val="0"/>
    <w:rPr>
      <w:rFonts w:ascii="Tahoma" w:hAnsi="Tahoma"/>
      <w:sz w:val="24"/>
    </w:rPr>
  </w:style>
  <w:style w:type="paragraph" w:customStyle="1" w:styleId="118">
    <w:name w:val="Char"/>
    <w:basedOn w:val="1"/>
    <w:qFormat/>
    <w:uiPriority w:val="0"/>
    <w:pPr>
      <w:widowControl/>
      <w:spacing w:line="240" w:lineRule="exact"/>
      <w:jc w:val="left"/>
    </w:pPr>
    <w:rPr>
      <w:rFonts w:ascii="Verdana" w:hAnsi="Verdana" w:eastAsia="楷体_GB2312"/>
      <w:b/>
      <w:i/>
      <w:iCs/>
      <w:color w:val="000000"/>
      <w:kern w:val="0"/>
      <w:sz w:val="20"/>
      <w:lang w:eastAsia="en-US"/>
    </w:rPr>
  </w:style>
  <w:style w:type="paragraph" w:customStyle="1" w:styleId="119">
    <w:name w:val="pa-7"/>
    <w:basedOn w:val="1"/>
    <w:qFormat/>
    <w:uiPriority w:val="0"/>
    <w:pPr>
      <w:widowControl/>
      <w:spacing w:line="360" w:lineRule="atLeast"/>
      <w:ind w:firstLine="800"/>
    </w:pPr>
    <w:rPr>
      <w:rFonts w:ascii="宋体" w:hAnsi="宋体" w:cs="宋体"/>
      <w:kern w:val="0"/>
      <w:sz w:val="24"/>
    </w:rPr>
  </w:style>
  <w:style w:type="paragraph" w:customStyle="1" w:styleId="120">
    <w:name w:val="Heading 3"/>
    <w:basedOn w:val="1"/>
    <w:qFormat/>
    <w:uiPriority w:val="0"/>
    <w:pPr>
      <w:ind w:left="828"/>
      <w:outlineLvl w:val="3"/>
    </w:pPr>
    <w:rPr>
      <w:rFonts w:ascii="宋体" w:hAnsi="宋体"/>
      <w:b/>
      <w:bCs/>
      <w:sz w:val="24"/>
      <w:szCs w:val="24"/>
    </w:rPr>
  </w:style>
  <w:style w:type="paragraph" w:customStyle="1" w:styleId="121">
    <w:name w:val="Char1"/>
    <w:basedOn w:val="1"/>
    <w:qFormat/>
    <w:uiPriority w:val="0"/>
    <w:pPr>
      <w:ind w:left="567" w:hanging="283"/>
    </w:pPr>
    <w:rPr>
      <w:rFonts w:ascii="宋体" w:hAnsi="宋体"/>
      <w:sz w:val="28"/>
      <w:szCs w:val="24"/>
    </w:rPr>
  </w:style>
  <w:style w:type="paragraph" w:customStyle="1" w:styleId="122">
    <w:name w:val="正文_0"/>
    <w:qFormat/>
    <w:uiPriority w:val="0"/>
    <w:rPr>
      <w:rFonts w:ascii="Times New Roman" w:hAnsi="Times New Roman" w:eastAsia="宋体" w:cs="Times New Roman"/>
      <w:sz w:val="21"/>
      <w:lang w:val="en-US" w:eastAsia="zh-CN" w:bidi="ar-SA"/>
    </w:rPr>
  </w:style>
  <w:style w:type="paragraph" w:customStyle="1" w:styleId="123">
    <w:name w:val="0"/>
    <w:basedOn w:val="1"/>
    <w:qFormat/>
    <w:uiPriority w:val="0"/>
    <w:pPr>
      <w:widowControl/>
      <w:snapToGrid w:val="0"/>
      <w:spacing w:line="408" w:lineRule="auto"/>
      <w:ind w:left="1"/>
      <w:textAlignment w:val="bottom"/>
    </w:pPr>
    <w:rPr>
      <w:color w:val="000000"/>
      <w:kern w:val="0"/>
      <w:szCs w:val="21"/>
    </w:rPr>
  </w:style>
  <w:style w:type="paragraph" w:customStyle="1" w:styleId="124">
    <w:name w:val="pa-55"/>
    <w:basedOn w:val="1"/>
    <w:qFormat/>
    <w:uiPriority w:val="0"/>
    <w:pPr>
      <w:widowControl/>
      <w:spacing w:line="240" w:lineRule="atLeast"/>
      <w:ind w:firstLine="420"/>
    </w:pPr>
    <w:rPr>
      <w:rFonts w:ascii="宋体" w:hAnsi="宋体" w:cs="宋体"/>
      <w:kern w:val="0"/>
      <w:sz w:val="24"/>
    </w:rPr>
  </w:style>
  <w:style w:type="paragraph" w:customStyle="1" w:styleId="125">
    <w:name w:val="pa-1"/>
    <w:basedOn w:val="1"/>
    <w:qFormat/>
    <w:uiPriority w:val="0"/>
    <w:pPr>
      <w:widowControl/>
      <w:spacing w:line="360" w:lineRule="atLeast"/>
      <w:ind w:firstLine="640"/>
    </w:pPr>
    <w:rPr>
      <w:rFonts w:ascii="宋体" w:hAnsi="宋体" w:cs="宋体"/>
      <w:kern w:val="0"/>
      <w:sz w:val="24"/>
    </w:rPr>
  </w:style>
  <w:style w:type="table" w:customStyle="1" w:styleId="126">
    <w:name w:val="Table Normal"/>
    <w:semiHidden/>
    <w:unhideWhenUsed/>
    <w:qFormat/>
    <w:uiPriority w:val="0"/>
    <w:tblPr>
      <w:tblCellMar>
        <w:top w:w="0" w:type="dxa"/>
        <w:left w:w="0" w:type="dxa"/>
        <w:bottom w:w="0" w:type="dxa"/>
        <w:right w:w="0" w:type="dxa"/>
      </w:tblCellMar>
    </w:tblPr>
  </w:style>
  <w:style w:type="paragraph" w:customStyle="1" w:styleId="127">
    <w:name w:val="Basistekst Batenburg"/>
    <w:basedOn w:val="128"/>
    <w:qFormat/>
    <w:uiPriority w:val="0"/>
  </w:style>
  <w:style w:type="paragraph" w:customStyle="1" w:styleId="128">
    <w:name w:val="Zsysbasis Batenburg"/>
    <w:next w:val="127"/>
    <w:qFormat/>
    <w:uiPriority w:val="0"/>
    <w:pPr>
      <w:spacing w:line="300" w:lineRule="atLeast"/>
    </w:pPr>
    <w:rPr>
      <w:rFonts w:ascii="Calibri" w:hAnsi="Calibri" w:eastAsia="宋体" w:cs="Times New Roman"/>
      <w:sz w:val="22"/>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26641</Words>
  <Characters>7290</Characters>
  <Lines>60</Lines>
  <Paragraphs>67</Paragraphs>
  <TotalTime>1</TotalTime>
  <ScaleCrop>false</ScaleCrop>
  <LinksUpToDate>false</LinksUpToDate>
  <CharactersWithSpaces>33864</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2019-03-12T04:08:00Z</dcterms:created>
  <dc:creator>Agent_1</dc:creator>
  <cp:lastModifiedBy>百分百好戏</cp:lastModifiedBy>
  <cp:lastPrinted>2023-12-01T14:11:00Z</cp:lastPrinted>
  <dcterms:modified xsi:type="dcterms:W3CDTF">2023-12-04T05:46:39Z</dcterms:modified>
  <dc:title>工程施工招标</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B19F18D53C345B2312326D656297ED41_43</vt:lpwstr>
  </property>
</Properties>
</file>