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7"/>
        <w:jc w:val="center"/>
        <w:outlineLvl w:val="0"/>
        <w:rPr>
          <w:rFonts w:hint="eastAsia"/>
        </w:rPr>
      </w:pPr>
      <w:bookmarkStart w:id="0" w:name="_Toc26086"/>
      <w:bookmarkStart w:id="1" w:name="_Toc29289"/>
      <w:bookmarkStart w:id="208" w:name="_GoBack"/>
      <w:bookmarkEnd w:id="208"/>
      <w:r>
        <w:rPr>
          <w:rFonts w:hint="eastAsia" w:ascii="宋体" w:hAnsi="宋体" w:eastAsia="宋体" w:cs="宋体"/>
          <w:b/>
          <w:sz w:val="44"/>
          <w:szCs w:val="44"/>
          <w:lang w:val="en-US" w:eastAsia="zh-CN"/>
        </w:rPr>
        <w:t>武陟县林业发展服务中心武陟县省级森林城市建设规划编制项目</w:t>
      </w:r>
      <w:bookmarkEnd w:id="0"/>
    </w:p>
    <w:p>
      <w:pPr>
        <w:jc w:val="center"/>
        <w:outlineLvl w:val="9"/>
        <w:rPr>
          <w:rFonts w:hint="eastAsia" w:ascii="黑体" w:hAnsi="黑体" w:eastAsia="黑体" w:cs="黑体"/>
          <w:b/>
          <w:sz w:val="72"/>
          <w:szCs w:val="72"/>
        </w:rPr>
      </w:pPr>
      <w:bookmarkStart w:id="2" w:name="_Toc115021824"/>
    </w:p>
    <w:p>
      <w:pPr>
        <w:jc w:val="center"/>
        <w:outlineLvl w:val="9"/>
        <w:rPr>
          <w:rFonts w:hint="eastAsia" w:ascii="黑体" w:hAnsi="黑体" w:eastAsia="黑体" w:cs="黑体"/>
          <w:b/>
          <w:sz w:val="72"/>
          <w:szCs w:val="72"/>
        </w:rPr>
      </w:pPr>
    </w:p>
    <w:p>
      <w:pPr>
        <w:jc w:val="center"/>
        <w:outlineLvl w:val="9"/>
        <w:rPr>
          <w:rFonts w:hint="eastAsia" w:ascii="黑体" w:hAnsi="黑体" w:eastAsia="黑体" w:cs="黑体"/>
          <w:b/>
          <w:sz w:val="72"/>
          <w:szCs w:val="72"/>
        </w:rPr>
      </w:pPr>
    </w:p>
    <w:p>
      <w:pPr>
        <w:spacing w:line="360" w:lineRule="auto"/>
        <w:jc w:val="center"/>
        <w:outlineLvl w:val="0"/>
        <w:rPr>
          <w:rFonts w:hint="eastAsia" w:ascii="宋体" w:hAnsi="宋体" w:cs="宋体"/>
          <w:b/>
          <w:bCs/>
          <w:sz w:val="72"/>
          <w:szCs w:val="72"/>
        </w:rPr>
      </w:pPr>
      <w:bookmarkStart w:id="3" w:name="_Toc6115"/>
      <w:r>
        <w:rPr>
          <w:rFonts w:hint="eastAsia" w:ascii="宋体" w:hAnsi="宋体" w:cs="宋体"/>
          <w:b/>
          <w:bCs/>
          <w:sz w:val="72"/>
          <w:szCs w:val="72"/>
        </w:rPr>
        <w:t>竞争性磋商文件</w:t>
      </w:r>
      <w:bookmarkEnd w:id="1"/>
      <w:bookmarkEnd w:id="2"/>
      <w:bookmarkEnd w:id="3"/>
    </w:p>
    <w:p>
      <w:pPr>
        <w:jc w:val="center"/>
        <w:rPr>
          <w:rFonts w:hint="default" w:ascii="宋体" w:hAnsi="宋体" w:eastAsia="宋体"/>
          <w:szCs w:val="21"/>
          <w:lang w:val="en-US" w:eastAsia="zh-CN"/>
        </w:rPr>
      </w:pPr>
      <w:r>
        <w:rPr>
          <w:rFonts w:hint="eastAsia" w:ascii="宋体" w:hAnsi="宋体" w:cs="宋体"/>
          <w:b/>
          <w:bCs/>
          <w:sz w:val="28"/>
          <w:szCs w:val="28"/>
        </w:rPr>
        <w:t>项目编号：</w:t>
      </w:r>
      <w:r>
        <w:rPr>
          <w:rFonts w:hint="eastAsia" w:ascii="宋体" w:hAnsi="宋体" w:eastAsia="宋体" w:cs="宋体"/>
          <w:b/>
          <w:bCs/>
          <w:color w:val="auto"/>
          <w:sz w:val="28"/>
          <w:szCs w:val="28"/>
          <w:highlight w:val="none"/>
          <w:lang w:val="en-US" w:eastAsia="zh-CN"/>
        </w:rPr>
        <w:t>2023-12-</w:t>
      </w:r>
      <w:r>
        <w:rPr>
          <w:rFonts w:hint="eastAsia" w:ascii="宋体" w:hAnsi="宋体" w:cs="宋体"/>
          <w:b/>
          <w:bCs/>
          <w:color w:val="auto"/>
          <w:sz w:val="28"/>
          <w:szCs w:val="28"/>
          <w:highlight w:val="none"/>
          <w:lang w:val="en-US" w:eastAsia="zh-CN"/>
        </w:rPr>
        <w:t>31</w:t>
      </w:r>
    </w:p>
    <w:p>
      <w:pPr>
        <w:pStyle w:val="57"/>
        <w:rPr>
          <w:rFonts w:hint="eastAsia"/>
          <w:lang w:eastAsia="zh-CN"/>
        </w:rPr>
      </w:pPr>
    </w:p>
    <w:p>
      <w:pPr>
        <w:pStyle w:val="37"/>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33"/>
        <w:bidi w:val="0"/>
        <w:rPr>
          <w:rFonts w:hint="eastAsia"/>
        </w:rPr>
      </w:pPr>
    </w:p>
    <w:p>
      <w:pPr>
        <w:pStyle w:val="33"/>
        <w:bidi w:val="0"/>
        <w:rPr>
          <w:rFonts w:hint="eastAsia"/>
        </w:rPr>
      </w:pPr>
    </w:p>
    <w:p>
      <w:pPr>
        <w:pStyle w:val="33"/>
        <w:bidi w:val="0"/>
        <w:rPr>
          <w:rFonts w:hint="eastAsia"/>
        </w:rPr>
      </w:pPr>
    </w:p>
    <w:p>
      <w:pPr>
        <w:pStyle w:val="37"/>
        <w:rPr>
          <w:rFonts w:hint="eastAsia"/>
        </w:rPr>
      </w:pPr>
    </w:p>
    <w:p>
      <w:pPr>
        <w:jc w:val="center"/>
        <w:rPr>
          <w:rFonts w:hint="eastAsia" w:ascii="宋体" w:hAnsi="宋体" w:cs="宋体"/>
          <w:b/>
          <w:bCs/>
          <w:sz w:val="32"/>
        </w:rPr>
      </w:pPr>
    </w:p>
    <w:p>
      <w:pPr>
        <w:jc w:val="center"/>
        <w:outlineLvl w:val="0"/>
        <w:rPr>
          <w:rFonts w:hint="eastAsia" w:ascii="宋体" w:hAnsi="宋体" w:cs="宋体"/>
          <w:b/>
          <w:bCs/>
          <w:sz w:val="32"/>
        </w:rPr>
      </w:pPr>
      <w:bookmarkStart w:id="4" w:name="_Toc17037"/>
      <w:r>
        <w:rPr>
          <w:rFonts w:hint="eastAsia" w:ascii="宋体" w:hAnsi="宋体" w:cs="宋体"/>
          <w:b/>
          <w:bCs/>
          <w:sz w:val="32"/>
        </w:rPr>
        <w:t>采 购 人：</w:t>
      </w:r>
      <w:r>
        <w:rPr>
          <w:rFonts w:hint="eastAsia" w:ascii="宋体" w:hAnsi="宋体" w:cs="宋体"/>
          <w:b/>
          <w:bCs/>
          <w:sz w:val="32"/>
          <w:lang w:val="en-US" w:eastAsia="zh-CN"/>
        </w:rPr>
        <w:t>武陟县林业发展服务中心</w:t>
      </w:r>
      <w:bookmarkEnd w:id="4"/>
    </w:p>
    <w:p>
      <w:pPr>
        <w:jc w:val="center"/>
        <w:outlineLvl w:val="0"/>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bookmarkStart w:id="5" w:name="_Toc2847"/>
      <w:r>
        <w:rPr>
          <w:rFonts w:hint="eastAsia" w:ascii="宋体" w:hAnsi="宋体" w:cs="宋体"/>
          <w:b/>
          <w:bCs/>
          <w:sz w:val="32"/>
        </w:rPr>
        <w:t>采购代理机构：</w:t>
      </w:r>
      <w:r>
        <w:rPr>
          <w:rFonts w:hint="eastAsia" w:ascii="宋体" w:hAnsi="宋体" w:cs="宋体"/>
          <w:b/>
          <w:bCs/>
          <w:sz w:val="32"/>
          <w:lang w:val="en-US" w:eastAsia="zh-CN"/>
        </w:rPr>
        <w:t>中科天一工程管理有限公司</w:t>
      </w:r>
      <w:bookmarkEnd w:id="5"/>
    </w:p>
    <w:p>
      <w:pPr>
        <w:pStyle w:val="25"/>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目录</w:t>
      </w:r>
    </w:p>
    <w:p>
      <w:pPr>
        <w:pStyle w:val="25"/>
        <w:tabs>
          <w:tab w:val="right" w:leader="dot" w:pos="8820"/>
        </w:tabs>
        <w:rPr>
          <w:rFonts w:hint="eastAsia" w:ascii="宋体" w:hAnsi="宋体" w:cs="宋体"/>
          <w:b/>
          <w:bCs/>
          <w:caps/>
          <w:sz w:val="24"/>
          <w:szCs w:val="24"/>
          <w:lang w:val="zh-CN"/>
        </w:rPr>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p>
    <w:sdt>
      <w:sdtPr>
        <w:rPr>
          <w:rFonts w:ascii="宋体" w:hAnsi="宋体" w:eastAsia="宋体" w:cs="Times New Roman"/>
          <w:kern w:val="2"/>
          <w:sz w:val="21"/>
          <w:lang w:val="en-US" w:eastAsia="zh-CN" w:bidi="ar-SA"/>
        </w:rPr>
        <w:id w:val="147473853"/>
        <w15:color w:val="DBDBDB"/>
        <w:docPartObj>
          <w:docPartGallery w:val="Table of Contents"/>
          <w:docPartUnique/>
        </w:docPartObj>
      </w:sdtPr>
      <w:sdtEndPr>
        <w:rPr>
          <w:rFonts w:ascii="Times New Roman" w:hAnsi="Times New Roman" w:eastAsia="宋体" w:cs="Times New Roman"/>
          <w:kern w:val="2"/>
          <w:sz w:val="21"/>
          <w:lang w:val="en-US" w:eastAsia="zh-CN" w:bidi="ar-SA"/>
        </w:rPr>
      </w:sdtEndPr>
      <w:sdtContent>
        <w:p>
          <w:pPr>
            <w:spacing w:before="0" w:beforeLines="0" w:after="0" w:afterLines="0" w:line="240" w:lineRule="auto"/>
            <w:ind w:left="0" w:leftChars="0" w:right="0" w:rightChars="0" w:firstLine="0" w:firstLineChars="0"/>
            <w:jc w:val="center"/>
          </w:pPr>
        </w:p>
        <w:p>
          <w:pPr>
            <w:pStyle w:val="112"/>
            <w:tabs>
              <w:tab w:val="right" w:leader="dot" w:pos="8820"/>
            </w:tabs>
          </w:pPr>
          <w:r>
            <w:fldChar w:fldCharType="begin"/>
          </w:r>
          <w:r>
            <w:instrText xml:space="preserve">TOC \o "1-1" \h \u </w:instrText>
          </w:r>
          <w:r>
            <w:fldChar w:fldCharType="separate"/>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_Toc30824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 xml:space="preserve">第一章 </w:t>
          </w:r>
          <w:r>
            <w:rPr>
              <w:rFonts w:hint="eastAsia" w:asciiTheme="minorEastAsia" w:hAnsiTheme="minorEastAsia" w:eastAsiaTheme="minorEastAsia" w:cstheme="minorEastAsia"/>
              <w:bCs w:val="0"/>
              <w:sz w:val="24"/>
              <w:szCs w:val="24"/>
            </w:rPr>
            <w:t>竞争性磋商公告</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_Toc30824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_Toc14720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 xml:space="preserve">第二章 </w:t>
          </w:r>
          <w:r>
            <w:rPr>
              <w:rFonts w:hint="eastAsia" w:asciiTheme="minorEastAsia" w:hAnsiTheme="minorEastAsia" w:eastAsiaTheme="minorEastAsia" w:cstheme="minorEastAsia"/>
              <w:sz w:val="24"/>
              <w:szCs w:val="24"/>
            </w:rPr>
            <w:t>供应商须知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_Toc14720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_Toc396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 xml:space="preserve">第三章 </w:t>
          </w:r>
          <w:r>
            <w:rPr>
              <w:rFonts w:hint="eastAsia" w:asciiTheme="minorEastAsia" w:hAnsiTheme="minorEastAsia" w:eastAsiaTheme="minorEastAsia" w:cstheme="minorEastAsia"/>
              <w:sz w:val="24"/>
              <w:szCs w:val="24"/>
            </w:rPr>
            <w:t>评审方法和评审标准</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_Toc396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18</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_Toc21723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 xml:space="preserve">第四章 </w:t>
          </w:r>
          <w:r>
            <w:rPr>
              <w:rFonts w:hint="eastAsia" w:asciiTheme="minorEastAsia" w:hAnsiTheme="minorEastAsia" w:eastAsiaTheme="minorEastAsia" w:cstheme="minorEastAsia"/>
              <w:sz w:val="24"/>
              <w:szCs w:val="24"/>
            </w:rPr>
            <w:t>拟签订的合同文本</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_Toc21723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_Toc12361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bCs/>
              <w:sz w:val="24"/>
              <w:szCs w:val="24"/>
            </w:rPr>
            <w:t xml:space="preserve">第五章 </w:t>
          </w:r>
          <w:r>
            <w:rPr>
              <w:rFonts w:hint="eastAsia" w:asciiTheme="minorEastAsia" w:hAnsiTheme="minorEastAsia" w:eastAsiaTheme="minorEastAsia" w:cstheme="minorEastAsia"/>
              <w:sz w:val="24"/>
              <w:szCs w:val="24"/>
            </w:rPr>
            <w:t>采购需求</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_Toc12361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_Toc22240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第六章 响应文件格式</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_Toc22240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27</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_Toc19873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1. 磋商承诺函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_Toc19873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29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_Toc10814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2. 承诺书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_Toc10814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_Toc4216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3. 供应商基本情况表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_Toc4216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_Toc28043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4. 第一轮报价表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_Toc28043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_Toc23364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5. 商务响应表</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_Toc23364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34</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_Toc9906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6. 资格证明材料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_Toc9906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35</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_Toc23626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7. 法定代表人身份证明或授权委托书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_Toc23626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39</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_Toc13001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8. 残疾人福利性单位声明函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_Toc13001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_Toc19624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9. 反商业贿赂承诺书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_Toc19624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42</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pPr>
            <w:pStyle w:val="112"/>
            <w:keepNext w:val="0"/>
            <w:keepLines w:val="0"/>
            <w:pageBreakBefore w:val="0"/>
            <w:widowControl/>
            <w:tabs>
              <w:tab w:val="right" w:leader="dot" w:pos="8820"/>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\l _Toc23913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44"/>
            </w:rPr>
            <w:t>10. 竞争性磋商文件要求的以及供应商认为应该提供的其他材料</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PAGEREF _Toc23913 \h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43</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fldChar w:fldCharType="end"/>
          </w:r>
        </w:p>
        <w:p>
          <w:r>
            <w:fldChar w:fldCharType="end"/>
          </w:r>
        </w:p>
      </w:sdtContent>
    </w:sdt>
    <w:p>
      <w:pPr>
        <w:pStyle w:val="25"/>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Cs w:val="24"/>
          <w:lang w:val="zh-CN"/>
        </w:rPr>
        <w:fldChar w:fldCharType="end"/>
      </w:r>
    </w:p>
    <w:p>
      <w:pPr>
        <w:pStyle w:val="85"/>
        <w:jc w:val="center"/>
        <w:rPr>
          <w:rFonts w:hint="eastAsia" w:ascii="宋体" w:hAnsi="宋体" w:cs="宋体"/>
          <w:b/>
          <w:color w:val="FF0000"/>
          <w:sz w:val="28"/>
          <w:szCs w:val="28"/>
        </w:rPr>
      </w:pPr>
    </w:p>
    <w:p>
      <w:pPr>
        <w:pStyle w:val="85"/>
        <w:jc w:val="center"/>
        <w:rPr>
          <w:rFonts w:hint="eastAsia" w:ascii="宋体" w:hAnsi="宋体" w:cs="宋体"/>
          <w:b/>
          <w:color w:val="FF0000"/>
          <w:sz w:val="28"/>
          <w:szCs w:val="28"/>
        </w:rPr>
      </w:pPr>
    </w:p>
    <w:p>
      <w:pPr>
        <w:pStyle w:val="85"/>
        <w:rPr>
          <w:rFonts w:hint="eastAsia" w:ascii="宋体" w:hAnsi="宋体" w:cs="宋体"/>
          <w:color w:val="FF0000"/>
        </w:rPr>
      </w:pPr>
      <w:r>
        <w:rPr>
          <w:rFonts w:hint="eastAsia" w:ascii="宋体" w:hAnsi="宋体" w:cs="宋体"/>
          <w:color w:val="FF0000"/>
        </w:rPr>
        <w:t> </w:t>
      </w:r>
    </w:p>
    <w:p>
      <w:pPr>
        <w:pStyle w:val="85"/>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5"/>
        <w:numPr>
          <w:ilvl w:val="0"/>
          <w:numId w:val="1"/>
        </w:numPr>
        <w:spacing w:before="0" w:after="0" w:line="360" w:lineRule="auto"/>
        <w:ind w:firstLine="0"/>
        <w:rPr>
          <w:rFonts w:hint="eastAsia" w:ascii="宋体" w:hAnsi="宋体" w:cs="宋体"/>
          <w:bCs w:val="0"/>
        </w:rPr>
      </w:pPr>
      <w:bookmarkStart w:id="6" w:name="_Toc30824"/>
      <w:bookmarkStart w:id="7" w:name="_Toc7320"/>
      <w:bookmarkStart w:id="8" w:name="_Toc30568"/>
      <w:r>
        <w:rPr>
          <w:rFonts w:hint="eastAsia" w:ascii="宋体" w:hAnsi="宋体" w:cs="宋体"/>
          <w:bCs w:val="0"/>
        </w:rPr>
        <w:t>竞争性磋商公告</w:t>
      </w:r>
      <w:bookmarkEnd w:id="6"/>
      <w:bookmarkEnd w:id="7"/>
      <w:bookmarkEnd w:id="8"/>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bookmarkStart w:id="9" w:name="_Toc15614"/>
      <w:bookmarkStart w:id="10" w:name="_Toc408816341"/>
      <w:bookmarkStart w:id="11" w:name="_Toc374512408"/>
      <w:bookmarkStart w:id="12" w:name="_Toc477423242"/>
      <w:bookmarkStart w:id="13" w:name="_Toc22562"/>
      <w:bookmarkStart w:id="14" w:name="_Toc373230021"/>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武陟县林业发展服务中心武陟县省级森林城市建设规划编制项目的潜在投标人应在焦作市公共资源交易中心网站获取招标文件，并</w:t>
      </w:r>
      <w:r>
        <w:rPr>
          <w:rFonts w:hint="eastAsia" w:ascii="宋体" w:hAnsi="宋体" w:eastAsia="宋体" w:cs="宋体"/>
          <w:color w:val="auto"/>
          <w:sz w:val="24"/>
          <w:szCs w:val="24"/>
          <w:lang w:val="en-US" w:eastAsia="zh-CN"/>
        </w:rPr>
        <w:t>于202</w:t>
      </w:r>
      <w:r>
        <w:rPr>
          <w:rFonts w:hint="eastAsia" w:ascii="宋体" w:hAnsi="宋体" w:cs="宋体"/>
          <w:color w:val="auto"/>
          <w:sz w:val="24"/>
          <w:szCs w:val="24"/>
          <w:lang w:val="en-US" w:eastAsia="zh-CN"/>
        </w:rPr>
        <w:t>4</w:t>
      </w:r>
      <w:r>
        <w:rPr>
          <w:rFonts w:hint="eastAsia" w:ascii="宋体" w:hAnsi="宋体" w:eastAsia="宋体" w:cs="宋体"/>
          <w:color w:val="auto"/>
          <w:sz w:val="24"/>
          <w:szCs w:val="24"/>
          <w:lang w:val="en-US" w:eastAsia="zh-CN"/>
        </w:rPr>
        <w:t>年</w:t>
      </w:r>
      <w:r>
        <w:rPr>
          <w:rFonts w:hint="eastAsia" w:ascii="宋体" w:hAnsi="宋体" w:cs="宋体"/>
          <w:color w:val="auto"/>
          <w:sz w:val="24"/>
          <w:szCs w:val="24"/>
          <w:lang w:val="en-US" w:eastAsia="zh-CN"/>
        </w:rPr>
        <w:t>1</w:t>
      </w:r>
      <w:r>
        <w:rPr>
          <w:rFonts w:hint="eastAsia" w:ascii="宋体" w:hAnsi="宋体" w:eastAsia="宋体" w:cs="宋体"/>
          <w:color w:val="auto"/>
          <w:sz w:val="24"/>
          <w:szCs w:val="24"/>
          <w:lang w:val="en-US" w:eastAsia="zh-CN"/>
        </w:rPr>
        <w:t>月</w:t>
      </w:r>
      <w:r>
        <w:rPr>
          <w:rFonts w:hint="eastAsia" w:ascii="宋体" w:hAnsi="宋体" w:cs="宋体"/>
          <w:color w:val="auto"/>
          <w:sz w:val="24"/>
          <w:szCs w:val="24"/>
          <w:lang w:val="en-US" w:eastAsia="zh-CN"/>
        </w:rPr>
        <w:t>25</w:t>
      </w:r>
      <w:r>
        <w:rPr>
          <w:rFonts w:hint="eastAsia" w:ascii="宋体" w:hAnsi="宋体" w:eastAsia="宋体" w:cs="宋体"/>
          <w:color w:val="auto"/>
          <w:sz w:val="24"/>
          <w:szCs w:val="24"/>
          <w:lang w:val="en-US" w:eastAsia="zh-CN"/>
        </w:rPr>
        <w:t>日09时00分（北</w:t>
      </w:r>
      <w:r>
        <w:rPr>
          <w:rFonts w:hint="eastAsia" w:ascii="宋体" w:hAnsi="宋体" w:eastAsia="宋体" w:cs="宋体"/>
          <w:sz w:val="24"/>
          <w:szCs w:val="24"/>
          <w:lang w:val="en-US" w:eastAsia="zh-CN"/>
        </w:rPr>
        <w:t>京时间）前递交响应文件。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目编号：</w:t>
      </w:r>
      <w:r>
        <w:rPr>
          <w:rFonts w:hint="eastAsia" w:ascii="宋体" w:hAnsi="宋体" w:eastAsia="宋体" w:cs="宋体"/>
          <w:sz w:val="24"/>
          <w:szCs w:val="24"/>
          <w:lang w:val="en-US" w:eastAsia="zh-CN"/>
        </w:rPr>
        <w:t>2023-12-31</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s="宋体"/>
          <w:sz w:val="24"/>
          <w:szCs w:val="24"/>
          <w:lang w:val="en-US" w:eastAsia="zh-CN"/>
        </w:rPr>
        <w:t>武陟县林业发展服务中心武陟县省级森林城市建设规划编制项目</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采购方式：竞争性</w:t>
      </w:r>
      <w:r>
        <w:rPr>
          <w:rFonts w:hint="eastAsia" w:ascii="宋体" w:hAnsi="宋体" w:eastAsia="宋体" w:cs="宋体"/>
          <w:sz w:val="24"/>
          <w:szCs w:val="24"/>
          <w:lang w:val="en-US" w:eastAsia="zh-CN"/>
        </w:rPr>
        <w:t>磋商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预算金额：</w:t>
      </w:r>
      <w:r>
        <w:rPr>
          <w:rFonts w:hint="eastAsia" w:ascii="宋体" w:hAnsi="宋体" w:eastAsia="宋体" w:cs="宋体"/>
          <w:sz w:val="24"/>
          <w:szCs w:val="24"/>
          <w:lang w:val="en-US" w:eastAsia="zh-CN"/>
        </w:rPr>
        <w:t>900000元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 xml:space="preserve">   最高限价：900000元</w:t>
      </w:r>
    </w:p>
    <w:tbl>
      <w:tblPr>
        <w:tblStyle w:val="124"/>
        <w:tblpPr w:leftFromText="180" w:rightFromText="180" w:vertAnchor="text" w:horzAnchor="page" w:tblpX="1454" w:tblpY="14"/>
        <w:tblOverlap w:val="never"/>
        <w:tblW w:w="907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4"/>
        <w:gridCol w:w="1508"/>
        <w:gridCol w:w="2480"/>
        <w:gridCol w:w="975"/>
        <w:gridCol w:w="1065"/>
        <w:gridCol w:w="1470"/>
        <w:gridCol w:w="11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8" w:hRule="atLeast"/>
        </w:trPr>
        <w:tc>
          <w:tcPr>
            <w:tcW w:w="4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150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w:t>
            </w:r>
            <w:r>
              <w:rPr>
                <w:rFonts w:hint="eastAsia" w:ascii="宋体" w:hAnsi="宋体" w:eastAsia="宋体" w:cs="宋体"/>
                <w:spacing w:val="-2"/>
                <w:sz w:val="24"/>
                <w:szCs w:val="24"/>
              </w:rPr>
              <w:t>号</w:t>
            </w:r>
          </w:p>
        </w:tc>
        <w:tc>
          <w:tcPr>
            <w:tcW w:w="248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包</w:t>
            </w:r>
            <w:r>
              <w:rPr>
                <w:rFonts w:hint="eastAsia" w:ascii="宋体" w:hAnsi="宋体" w:eastAsia="宋体" w:cs="宋体"/>
                <w:spacing w:val="1"/>
                <w:sz w:val="24"/>
                <w:szCs w:val="24"/>
              </w:rPr>
              <w:t>名称</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包预算(元)</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5"/>
                <w:sz w:val="24"/>
                <w:szCs w:val="24"/>
              </w:rPr>
              <w:t>包最高限</w:t>
            </w:r>
            <w:r>
              <w:rPr>
                <w:rFonts w:hint="eastAsia" w:ascii="宋体" w:hAnsi="宋体" w:eastAsia="宋体" w:cs="宋体"/>
                <w:spacing w:val="4"/>
                <w:sz w:val="24"/>
                <w:szCs w:val="24"/>
              </w:rPr>
              <w:t>价</w:t>
            </w:r>
            <w:r>
              <w:rPr>
                <w:rFonts w:hint="eastAsia" w:ascii="宋体" w:hAnsi="宋体" w:eastAsia="宋体" w:cs="宋体"/>
                <w:spacing w:val="-11"/>
                <w:sz w:val="24"/>
                <w:szCs w:val="24"/>
              </w:rPr>
              <w:t>(</w:t>
            </w:r>
            <w:r>
              <w:rPr>
                <w:rFonts w:hint="eastAsia" w:ascii="宋体" w:hAnsi="宋体" w:eastAsia="宋体" w:cs="宋体"/>
                <w:spacing w:val="-10"/>
                <w:sz w:val="24"/>
                <w:szCs w:val="24"/>
              </w:rPr>
              <w:t>元)</w:t>
            </w:r>
          </w:p>
        </w:tc>
        <w:tc>
          <w:tcPr>
            <w:tcW w:w="14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是否专门面向中小企业</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pacing w:val="5"/>
                <w:sz w:val="24"/>
                <w:szCs w:val="24"/>
                <w:highlight w:val="none"/>
              </w:rPr>
            </w:pPr>
            <w:r>
              <w:rPr>
                <w:rFonts w:hint="eastAsia" w:ascii="宋体" w:hAnsi="宋体" w:eastAsia="宋体" w:cs="宋体"/>
                <w:spacing w:val="5"/>
                <w:sz w:val="24"/>
                <w:szCs w:val="24"/>
                <w:highlight w:val="none"/>
              </w:rPr>
              <w:t>采购预留金额（元）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3" w:hRule="atLeast"/>
        </w:trPr>
        <w:tc>
          <w:tcPr>
            <w:tcW w:w="4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50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default" w:ascii="宋体" w:hAnsi="宋体" w:eastAsia="宋体" w:cs="宋体"/>
                <w:sz w:val="24"/>
                <w:szCs w:val="24"/>
                <w:lang w:val="en-US"/>
              </w:rPr>
            </w:pPr>
            <w:r>
              <w:rPr>
                <w:rFonts w:hint="eastAsia" w:ascii="宋体" w:hAnsi="宋体" w:eastAsia="宋体" w:cs="宋体"/>
                <w:sz w:val="24"/>
                <w:szCs w:val="24"/>
                <w:lang w:val="en-US" w:eastAsia="zh-CN"/>
              </w:rPr>
              <w:t>2023-12-</w:t>
            </w:r>
            <w:r>
              <w:rPr>
                <w:rFonts w:hint="eastAsia" w:ascii="宋体" w:hAnsi="宋体" w:cs="宋体"/>
                <w:sz w:val="24"/>
                <w:szCs w:val="24"/>
                <w:lang w:val="en-US" w:eastAsia="zh-CN"/>
              </w:rPr>
              <w:t>31-1</w:t>
            </w:r>
          </w:p>
        </w:tc>
        <w:tc>
          <w:tcPr>
            <w:tcW w:w="248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武陟县林业发展服务中心武陟县省级森林城市建设规划编制项目</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900000</w:t>
            </w:r>
          </w:p>
        </w:tc>
        <w:tc>
          <w:tcPr>
            <w:tcW w:w="106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lang w:val="en-US"/>
              </w:rPr>
            </w:pPr>
            <w:r>
              <w:rPr>
                <w:rFonts w:hint="eastAsia" w:ascii="宋体" w:hAnsi="宋体" w:eastAsia="宋体" w:cs="宋体"/>
                <w:sz w:val="24"/>
                <w:szCs w:val="24"/>
                <w:lang w:val="en-US" w:eastAsia="zh-CN"/>
              </w:rPr>
              <w:t>900000</w:t>
            </w:r>
          </w:p>
        </w:tc>
        <w:tc>
          <w:tcPr>
            <w:tcW w:w="147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是</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900000</w:t>
            </w:r>
          </w:p>
        </w:tc>
      </w:tr>
    </w:tbl>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采购需求(包括但不限于标的的名称、数量、简要技术需求或服务要求等)</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80" w:firstLineChars="200"/>
        <w:textAlignment w:val="auto"/>
        <w:rPr>
          <w:rFonts w:hint="eastAsia" w:ascii="宋体" w:hAnsi="宋体" w:eastAsia="宋体" w:cs="宋体"/>
          <w:sz w:val="24"/>
          <w:szCs w:val="24"/>
          <w:lang w:val="en-US" w:eastAsia="zh-CN"/>
        </w:rPr>
      </w:pPr>
      <w:r>
        <w:rPr>
          <w:rFonts w:hint="eastAsia" w:ascii="新宋体" w:hAnsi="新宋体" w:eastAsia="新宋体" w:cs="新宋体"/>
          <w:sz w:val="24"/>
          <w:szCs w:val="24"/>
        </w:rPr>
        <w:t>依据河南省森林城市创建要求对照</w:t>
      </w:r>
      <w:r>
        <w:rPr>
          <w:rFonts w:hint="eastAsia" w:ascii="新宋体" w:hAnsi="新宋体" w:eastAsia="新宋体" w:cs="新宋体"/>
          <w:sz w:val="24"/>
          <w:szCs w:val="24"/>
          <w:lang w:val="en-US" w:eastAsia="zh-CN"/>
        </w:rPr>
        <w:t>武陟</w:t>
      </w:r>
      <w:r>
        <w:rPr>
          <w:rFonts w:hint="eastAsia" w:ascii="新宋体" w:hAnsi="新宋体" w:eastAsia="新宋体" w:cs="新宋体"/>
          <w:sz w:val="24"/>
          <w:szCs w:val="24"/>
        </w:rPr>
        <w:t>县森林城市评价指标，对城市森林生态体系建设、城市森林产业体系建设、城市森林生态文化体系建设、城市森林支撑体系建设、规划投资及效益评价、规划保障等方面内容进行编制武陟县省级森林城市建设规划编制工作</w:t>
      </w:r>
      <w:r>
        <w:rPr>
          <w:rFonts w:hint="eastAsia" w:ascii="宋体" w:hAnsi="宋体" w:eastAsia="宋体" w:cs="宋体"/>
          <w:sz w:val="24"/>
          <w:szCs w:val="24"/>
          <w:lang w:val="en-US" w:eastAsia="zh-CN"/>
        </w:rPr>
        <w:t>(详见《河南省政府采购网》本公告附件)。</w:t>
      </w:r>
    </w:p>
    <w:p>
      <w:pPr>
        <w:pStyle w:val="37"/>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eastAsia="宋体" w:cs="宋体"/>
          <w:sz w:val="24"/>
          <w:szCs w:val="24"/>
          <w:lang w:val="en-US" w:eastAsia="zh-CN"/>
        </w:rPr>
        <w:t>自合同签订后50日历天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7、本项目是否接</w:t>
      </w:r>
      <w:r>
        <w:rPr>
          <w:rFonts w:hint="eastAsia" w:ascii="宋体" w:hAnsi="宋体" w:eastAsia="宋体" w:cs="宋体"/>
          <w:color w:val="auto"/>
          <w:sz w:val="24"/>
          <w:szCs w:val="24"/>
          <w:lang w:val="en-US" w:eastAsia="zh-CN"/>
        </w:rPr>
        <w:t>受联合体投标：否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9、是否专门面向中小企业：是</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申请人资格要求：</w:t>
      </w:r>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满足《中华人民共和国政府采购法》第二十二条规定；</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落实政府采购政策需满足的资格要求：</w:t>
      </w:r>
      <w:r>
        <w:rPr>
          <w:rFonts w:hint="eastAsia" w:ascii="宋体" w:hAnsi="宋体" w:eastAsia="宋体" w:cs="宋体"/>
          <w:sz w:val="24"/>
          <w:szCs w:val="24"/>
          <w:highlight w:val="none"/>
          <w:lang w:val="en-US" w:eastAsia="zh-CN"/>
        </w:rPr>
        <w:t>所承接服务的供应商应为中小</w:t>
      </w:r>
      <w:r>
        <w:rPr>
          <w:rFonts w:hint="eastAsia" w:ascii="宋体" w:hAnsi="宋体" w:eastAsia="宋体" w:cs="宋体"/>
          <w:sz w:val="24"/>
          <w:szCs w:val="24"/>
          <w:lang w:val="en-US" w:eastAsia="zh-CN"/>
        </w:rPr>
        <w:t>微企业或监狱企业或残疾人福利性单位；</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本项目的特定资格要求：</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3.1供应商及其法定代表人、委托代理人均无行贿犯罪记录；</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2</w:t>
      </w:r>
      <w:r>
        <w:rPr>
          <w:rFonts w:hint="eastAsia" w:ascii="宋体" w:hAnsi="宋体" w:eastAsia="宋体" w:cs="宋体"/>
          <w:sz w:val="24"/>
          <w:szCs w:val="24"/>
        </w:rPr>
        <w:t>不得被列入失信被执行人、重大税收违法失信主体、政府采购严重违法失信行为记录名单。</w:t>
      </w:r>
    </w:p>
    <w:p>
      <w:pPr>
        <w:pStyle w:val="2"/>
        <w:rPr>
          <w:rFonts w:hint="eastAsia"/>
          <w:lang w:val="en-US"/>
        </w:rPr>
      </w:pPr>
      <w:r>
        <w:rPr>
          <w:rFonts w:hint="eastAsia" w:ascii="宋体" w:hAnsi="宋体" w:eastAsia="宋体" w:cs="宋体"/>
          <w:lang w:val="en-US"/>
        </w:rPr>
        <w:t>3.</w:t>
      </w:r>
      <w:r>
        <w:rPr>
          <w:rFonts w:hint="eastAsia" w:ascii="宋体" w:hAnsi="宋体" w:eastAsia="宋体" w:cs="宋体"/>
          <w:lang w:val="en-US" w:eastAsia="zh-CN"/>
        </w:rPr>
        <w:t>3供应商应具</w:t>
      </w:r>
      <w:r>
        <w:rPr>
          <w:rFonts w:hint="eastAsia"/>
          <w:lang w:val="en-US" w:eastAsia="zh-CN"/>
        </w:rPr>
        <w:t>有林业调查规划设计丙级及以上资质，拟派项目负责人具有林业相关专业中级及以上技术职称。</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获取</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文件</w:t>
      </w:r>
    </w:p>
    <w:p>
      <w:pPr>
        <w:keepNext w:val="0"/>
        <w:keepLines w:val="0"/>
        <w:pageBreakBefore w:val="0"/>
        <w:numPr>
          <w:ilvl w:val="0"/>
          <w:numId w:val="3"/>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sz w:val="24"/>
          <w:szCs w:val="24"/>
        </w:rPr>
        <w:t>时间</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202</w:t>
      </w: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年</w:t>
      </w: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cs="宋体"/>
          <w:color w:val="auto"/>
          <w:sz w:val="24"/>
          <w:szCs w:val="24"/>
          <w:lang w:val="en-US" w:eastAsia="zh-CN"/>
        </w:rPr>
        <w:t>15</w:t>
      </w:r>
      <w:r>
        <w:rPr>
          <w:rFonts w:hint="eastAsia" w:ascii="宋体" w:hAnsi="宋体" w:eastAsia="宋体" w:cs="宋体"/>
          <w:color w:val="auto"/>
          <w:sz w:val="24"/>
          <w:szCs w:val="24"/>
        </w:rPr>
        <w:t>日至</w:t>
      </w:r>
      <w:r>
        <w:rPr>
          <w:rFonts w:hint="eastAsia" w:ascii="宋体" w:hAnsi="宋体" w:eastAsia="宋体" w:cs="宋体"/>
          <w:color w:val="auto"/>
          <w:sz w:val="24"/>
          <w:szCs w:val="24"/>
          <w:lang w:val="en-US" w:eastAsia="zh-CN"/>
        </w:rPr>
        <w:t>202</w:t>
      </w:r>
      <w:r>
        <w:rPr>
          <w:rFonts w:hint="eastAsia" w:ascii="宋体" w:hAnsi="宋体" w:cs="宋体"/>
          <w:color w:val="auto"/>
          <w:sz w:val="24"/>
          <w:szCs w:val="24"/>
          <w:lang w:val="en-US" w:eastAsia="zh-CN"/>
        </w:rPr>
        <w:t>4</w:t>
      </w:r>
      <w:r>
        <w:rPr>
          <w:rFonts w:hint="eastAsia" w:ascii="宋体" w:hAnsi="宋体" w:eastAsia="宋体" w:cs="宋体"/>
          <w:color w:val="auto"/>
          <w:sz w:val="24"/>
          <w:szCs w:val="24"/>
        </w:rPr>
        <w:t>年</w:t>
      </w:r>
      <w:r>
        <w:rPr>
          <w:rFonts w:hint="eastAsia" w:ascii="宋体" w:hAnsi="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cs="宋体"/>
          <w:color w:val="auto"/>
          <w:sz w:val="24"/>
          <w:szCs w:val="24"/>
          <w:lang w:val="en-US" w:eastAsia="zh-CN"/>
        </w:rPr>
        <w:t>19</w:t>
      </w:r>
      <w:r>
        <w:rPr>
          <w:rFonts w:hint="eastAsia" w:ascii="宋体" w:hAnsi="宋体" w:eastAsia="宋体" w:cs="宋体"/>
          <w:color w:val="auto"/>
          <w:sz w:val="24"/>
          <w:szCs w:val="24"/>
        </w:rPr>
        <w:t>日，每天上午 0</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:00 至 12:00， 下午 12:00 至 23:</w:t>
      </w:r>
      <w:r>
        <w:rPr>
          <w:rFonts w:hint="eastAsia" w:ascii="宋体" w:hAnsi="宋体" w:eastAsia="宋体" w:cs="宋体"/>
          <w:color w:val="auto"/>
          <w:sz w:val="24"/>
          <w:szCs w:val="24"/>
          <w:lang w:val="en-US" w:eastAsia="zh-CN"/>
        </w:rPr>
        <w:t>59</w:t>
      </w:r>
      <w:r>
        <w:rPr>
          <w:rFonts w:hint="eastAsia" w:ascii="宋体" w:hAnsi="宋体" w:eastAsia="宋体" w:cs="宋体"/>
          <w:color w:val="auto"/>
          <w:sz w:val="24"/>
          <w:szCs w:val="24"/>
        </w:rPr>
        <w:t xml:space="preserve"> (北京时间，法定节假日除外。)</w:t>
      </w:r>
      <w:r>
        <w:rPr>
          <w:rFonts w:hint="eastAsia" w:ascii="宋体" w:hAnsi="宋体" w:eastAsia="宋体" w:cs="宋体"/>
          <w:color w:val="auto"/>
          <w:sz w:val="24"/>
          <w:szCs w:val="24"/>
          <w:lang w:eastAsia="zh-CN"/>
        </w:rPr>
        <w:t>；</w:t>
      </w:r>
    </w:p>
    <w:p>
      <w:pPr>
        <w:keepNext w:val="0"/>
        <w:keepLines w:val="0"/>
        <w:pageBreakBefore w:val="0"/>
        <w:numPr>
          <w:ilvl w:val="0"/>
          <w:numId w:val="3"/>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shd w:val="clear" w:color="auto" w:fill="FFFF00"/>
        </w:rPr>
      </w:pPr>
      <w:r>
        <w:rPr>
          <w:rFonts w:hint="eastAsia" w:ascii="宋体" w:hAnsi="宋体" w:eastAsia="宋体" w:cs="宋体"/>
          <w:color w:val="auto"/>
          <w:sz w:val="24"/>
          <w:szCs w:val="24"/>
        </w:rPr>
        <w:t>地点：焦作市公共资源交易中心网站</w:t>
      </w:r>
      <w:r>
        <w:rPr>
          <w:rFonts w:hint="eastAsia" w:ascii="宋体" w:hAnsi="宋体" w:eastAsia="宋体" w:cs="宋体"/>
          <w:color w:val="auto"/>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方式：本项目采用网上获取</w:t>
      </w:r>
      <w:r>
        <w:rPr>
          <w:rFonts w:hint="eastAsia" w:ascii="宋体" w:hAnsi="宋体" w:eastAsia="宋体" w:cs="宋体"/>
          <w:color w:val="auto"/>
          <w:sz w:val="24"/>
          <w:szCs w:val="24"/>
          <w:lang w:eastAsia="zh-CN"/>
        </w:rPr>
        <w:t>竞争性</w:t>
      </w:r>
      <w:r>
        <w:rPr>
          <w:rFonts w:hint="eastAsia" w:ascii="宋体" w:hAnsi="宋体" w:cs="宋体"/>
          <w:color w:val="auto"/>
          <w:sz w:val="24"/>
          <w:szCs w:val="24"/>
          <w:lang w:val="en-US" w:eastAsia="zh-CN"/>
        </w:rPr>
        <w:t>磋商</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，凡有意参加本项目</w:t>
      </w:r>
      <w:r>
        <w:rPr>
          <w:rFonts w:hint="eastAsia" w:ascii="宋体" w:hAnsi="宋体" w:eastAsia="宋体" w:cs="宋体"/>
          <w:color w:val="auto"/>
          <w:sz w:val="24"/>
          <w:szCs w:val="24"/>
          <w:lang w:val="en-US" w:eastAsia="zh-CN"/>
        </w:rPr>
        <w:t>磋商</w:t>
      </w:r>
      <w:r>
        <w:rPr>
          <w:rFonts w:hint="eastAsia" w:ascii="宋体" w:hAnsi="宋体" w:eastAsia="宋体" w:cs="宋体"/>
          <w:color w:val="auto"/>
          <w:sz w:val="24"/>
          <w:szCs w:val="24"/>
        </w:rPr>
        <w:t>活动者，请登陆焦作市公共资源交易中心网站</w:t>
      </w:r>
      <w:r>
        <w:rPr>
          <w:rFonts w:hint="eastAsia" w:ascii="宋体" w:hAnsi="宋体" w:eastAsia="宋体" w:cs="宋体"/>
          <w:color w:val="auto"/>
          <w:sz w:val="24"/>
          <w:szCs w:val="24"/>
          <w:lang w:val="en-US" w:eastAsia="zh-CN"/>
        </w:rPr>
        <w:t>-交易平台“交易主体登录”栏目下载磋商文件</w:t>
      </w:r>
      <w:r>
        <w:rPr>
          <w:rFonts w:hint="eastAsia" w:ascii="宋体" w:hAnsi="宋体" w:eastAsia="宋体" w:cs="宋体"/>
          <w:color w:val="auto"/>
          <w:sz w:val="24"/>
          <w:szCs w:val="24"/>
          <w:lang w:eastAsia="zh-CN"/>
        </w:rPr>
        <w:t>；</w:t>
      </w:r>
    </w:p>
    <w:p>
      <w:pPr>
        <w:pStyle w:val="37"/>
        <w:keepNext w:val="0"/>
        <w:keepLines w:val="0"/>
        <w:pageBreakBefore w:val="0"/>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四、响应文件提交</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val="en-US" w:eastAsia="zh-CN"/>
        </w:rPr>
        <w:t>截止</w:t>
      </w:r>
      <w:r>
        <w:rPr>
          <w:rFonts w:hint="eastAsia" w:ascii="宋体" w:hAnsi="宋体" w:eastAsia="宋体" w:cs="宋体"/>
          <w:color w:val="auto"/>
          <w:sz w:val="24"/>
          <w:szCs w:val="24"/>
        </w:rPr>
        <w:t>时间：</w:t>
      </w:r>
      <w:r>
        <w:rPr>
          <w:rFonts w:hint="eastAsia" w:ascii="宋体" w:hAnsi="宋体" w:eastAsia="宋体" w:cs="宋体"/>
          <w:color w:val="auto"/>
          <w:sz w:val="24"/>
          <w:szCs w:val="24"/>
          <w:u w:val="none"/>
          <w:lang w:val="en-US" w:eastAsia="zh-CN"/>
        </w:rPr>
        <w:t>202</w:t>
      </w:r>
      <w:r>
        <w:rPr>
          <w:rFonts w:hint="eastAsia" w:ascii="宋体" w:hAnsi="宋体" w:cs="宋体"/>
          <w:color w:val="auto"/>
          <w:sz w:val="24"/>
          <w:szCs w:val="24"/>
          <w:u w:val="none"/>
          <w:lang w:val="en-US" w:eastAsia="zh-CN"/>
        </w:rPr>
        <w:t>4</w:t>
      </w:r>
      <w:r>
        <w:rPr>
          <w:rFonts w:hint="eastAsia" w:ascii="宋体" w:hAnsi="宋体" w:eastAsia="宋体" w:cs="宋体"/>
          <w:color w:val="auto"/>
          <w:sz w:val="24"/>
          <w:szCs w:val="24"/>
        </w:rPr>
        <w:t>年</w:t>
      </w:r>
      <w:r>
        <w:rPr>
          <w:rFonts w:hint="eastAsia" w:ascii="宋体" w:hAnsi="宋体" w:cs="宋体"/>
          <w:color w:val="auto"/>
          <w:sz w:val="24"/>
          <w:szCs w:val="24"/>
          <w:u w:val="none"/>
          <w:lang w:val="en-US" w:eastAsia="zh-CN"/>
        </w:rPr>
        <w:t>1</w:t>
      </w:r>
      <w:r>
        <w:rPr>
          <w:rFonts w:hint="eastAsia" w:ascii="宋体" w:hAnsi="宋体" w:eastAsia="宋体" w:cs="宋体"/>
          <w:color w:val="auto"/>
          <w:sz w:val="24"/>
          <w:szCs w:val="24"/>
        </w:rPr>
        <w:t>月</w:t>
      </w:r>
      <w:r>
        <w:rPr>
          <w:rFonts w:hint="eastAsia" w:ascii="宋体" w:hAnsi="宋体" w:cs="宋体"/>
          <w:color w:val="auto"/>
          <w:sz w:val="24"/>
          <w:szCs w:val="24"/>
          <w:u w:val="none"/>
          <w:lang w:val="en-US" w:eastAsia="zh-CN"/>
        </w:rPr>
        <w:t>25</w:t>
      </w:r>
      <w:r>
        <w:rPr>
          <w:rFonts w:hint="eastAsia" w:ascii="宋体" w:hAnsi="宋体" w:eastAsia="宋体" w:cs="宋体"/>
          <w:color w:val="auto"/>
          <w:sz w:val="24"/>
          <w:szCs w:val="24"/>
        </w:rPr>
        <w:t>日</w:t>
      </w:r>
      <w:r>
        <w:rPr>
          <w:rFonts w:hint="eastAsia" w:ascii="宋体" w:hAnsi="宋体" w:eastAsia="宋体" w:cs="宋体"/>
          <w:color w:val="auto"/>
          <w:sz w:val="24"/>
          <w:szCs w:val="24"/>
          <w:u w:val="none"/>
        </w:rPr>
        <w:t>09</w:t>
      </w:r>
      <w:r>
        <w:rPr>
          <w:rFonts w:hint="eastAsia" w:ascii="宋体" w:hAnsi="宋体" w:eastAsia="宋体" w:cs="宋体"/>
          <w:color w:val="auto"/>
          <w:sz w:val="24"/>
          <w:szCs w:val="24"/>
        </w:rPr>
        <w:t>点</w:t>
      </w:r>
      <w:r>
        <w:rPr>
          <w:rFonts w:hint="eastAsia" w:ascii="宋体" w:hAnsi="宋体" w:eastAsia="宋体" w:cs="宋体"/>
          <w:color w:val="auto"/>
          <w:sz w:val="24"/>
          <w:szCs w:val="24"/>
          <w:u w:val="none"/>
        </w:rPr>
        <w:t>00</w:t>
      </w:r>
      <w:r>
        <w:rPr>
          <w:rFonts w:hint="eastAsia" w:ascii="宋体" w:hAnsi="宋体" w:eastAsia="宋体" w:cs="宋体"/>
          <w:color w:val="auto"/>
          <w:sz w:val="24"/>
          <w:szCs w:val="24"/>
        </w:rPr>
        <w:t>分（北京时间）</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五、响应文件</w:t>
      </w:r>
      <w:r>
        <w:rPr>
          <w:rFonts w:hint="eastAsia" w:ascii="宋体" w:hAnsi="宋体" w:eastAsia="宋体" w:cs="宋体"/>
          <w:b/>
          <w:bCs/>
          <w:color w:val="auto"/>
          <w:sz w:val="24"/>
          <w:szCs w:val="24"/>
        </w:rPr>
        <w:t>开启</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1.时间：</w:t>
      </w:r>
      <w:r>
        <w:rPr>
          <w:rFonts w:hint="eastAsia" w:ascii="宋体" w:hAnsi="宋体" w:eastAsia="宋体" w:cs="宋体"/>
          <w:color w:val="auto"/>
          <w:sz w:val="24"/>
          <w:szCs w:val="24"/>
          <w:u w:val="none"/>
          <w:lang w:val="en-US" w:eastAsia="zh-CN"/>
        </w:rPr>
        <w:t>202</w:t>
      </w:r>
      <w:r>
        <w:rPr>
          <w:rFonts w:hint="eastAsia" w:ascii="宋体" w:hAnsi="宋体" w:cs="宋体"/>
          <w:color w:val="auto"/>
          <w:sz w:val="24"/>
          <w:szCs w:val="24"/>
          <w:u w:val="none"/>
          <w:lang w:val="en-US" w:eastAsia="zh-CN"/>
        </w:rPr>
        <w:t>4</w:t>
      </w:r>
      <w:r>
        <w:rPr>
          <w:rFonts w:hint="eastAsia" w:ascii="宋体" w:hAnsi="宋体" w:eastAsia="宋体" w:cs="宋体"/>
          <w:color w:val="auto"/>
          <w:sz w:val="24"/>
          <w:szCs w:val="24"/>
        </w:rPr>
        <w:t>年</w:t>
      </w:r>
      <w:r>
        <w:rPr>
          <w:rFonts w:hint="eastAsia" w:ascii="宋体" w:hAnsi="宋体" w:cs="宋体"/>
          <w:color w:val="auto"/>
          <w:sz w:val="24"/>
          <w:szCs w:val="24"/>
          <w:u w:val="none"/>
          <w:lang w:val="en-US" w:eastAsia="zh-CN"/>
        </w:rPr>
        <w:t>1</w:t>
      </w:r>
      <w:r>
        <w:rPr>
          <w:rFonts w:hint="eastAsia" w:ascii="宋体" w:hAnsi="宋体" w:eastAsia="宋体" w:cs="宋体"/>
          <w:color w:val="auto"/>
          <w:sz w:val="24"/>
          <w:szCs w:val="24"/>
        </w:rPr>
        <w:t>月</w:t>
      </w:r>
      <w:r>
        <w:rPr>
          <w:rFonts w:hint="eastAsia" w:ascii="宋体" w:hAnsi="宋体" w:cs="宋体"/>
          <w:color w:val="auto"/>
          <w:sz w:val="24"/>
          <w:szCs w:val="24"/>
          <w:u w:val="none"/>
          <w:lang w:val="en-US" w:eastAsia="zh-CN"/>
        </w:rPr>
        <w:t>25</w:t>
      </w:r>
      <w:r>
        <w:rPr>
          <w:rFonts w:hint="eastAsia" w:ascii="宋体" w:hAnsi="宋体" w:eastAsia="宋体" w:cs="宋体"/>
          <w:color w:val="auto"/>
          <w:sz w:val="24"/>
          <w:szCs w:val="24"/>
        </w:rPr>
        <w:t>日09时00分（北京时间）；</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2.地点：武陟县公共资源交易中心二楼开标</w:t>
      </w:r>
      <w:r>
        <w:rPr>
          <w:rFonts w:hint="eastAsia" w:ascii="宋体" w:hAnsi="宋体" w:cs="宋体"/>
          <w:color w:val="auto"/>
          <w:sz w:val="24"/>
          <w:szCs w:val="24"/>
          <w:u w:val="none"/>
          <w:lang w:val="en-US" w:eastAsia="zh-CN"/>
        </w:rPr>
        <w:t>三</w:t>
      </w:r>
      <w:r>
        <w:rPr>
          <w:rFonts w:hint="eastAsia" w:ascii="宋体" w:hAnsi="宋体" w:eastAsia="宋体" w:cs="宋体"/>
          <w:color w:val="auto"/>
          <w:sz w:val="24"/>
          <w:szCs w:val="24"/>
        </w:rPr>
        <w:t>厅。</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六、发布</w:t>
      </w:r>
      <w:r>
        <w:rPr>
          <w:rFonts w:hint="eastAsia" w:ascii="宋体" w:hAnsi="宋体" w:eastAsia="宋体" w:cs="宋体"/>
          <w:b/>
          <w:bCs/>
          <w:color w:val="auto"/>
          <w:sz w:val="24"/>
          <w:szCs w:val="24"/>
        </w:rPr>
        <w:t>公告</w:t>
      </w:r>
      <w:r>
        <w:rPr>
          <w:rFonts w:hint="eastAsia" w:ascii="宋体" w:hAnsi="宋体" w:eastAsia="宋体" w:cs="宋体"/>
          <w:b/>
          <w:bCs/>
          <w:color w:val="auto"/>
          <w:sz w:val="24"/>
          <w:szCs w:val="24"/>
          <w:lang w:eastAsia="zh-CN"/>
        </w:rPr>
        <w:t>的媒介及招标公告</w:t>
      </w:r>
      <w:r>
        <w:rPr>
          <w:rFonts w:hint="eastAsia" w:ascii="宋体" w:hAnsi="宋体" w:eastAsia="宋体" w:cs="宋体"/>
          <w:b/>
          <w:bCs/>
          <w:color w:val="auto"/>
          <w:sz w:val="24"/>
          <w:szCs w:val="24"/>
        </w:rPr>
        <w:t>期限</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本次招标公告在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上发布。招标公告期限为三</w:t>
      </w:r>
      <w:r>
        <w:rPr>
          <w:rFonts w:hint="eastAsia" w:ascii="宋体" w:hAnsi="宋体" w:eastAsia="宋体" w:cs="宋体"/>
          <w:sz w:val="24"/>
          <w:szCs w:val="24"/>
        </w:rPr>
        <w:t>个工作日。</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其他补充事宜</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lang w:val="en-US" w:eastAsia="zh-CN"/>
        </w:rPr>
        <w:t>1</w:t>
      </w:r>
      <w:r>
        <w:rPr>
          <w:rFonts w:hint="eastAsia" w:ascii="宋体" w:hAnsi="宋体" w:eastAsia="宋体" w:cs="宋体"/>
          <w:sz w:val="24"/>
          <w:szCs w:val="24"/>
          <w:lang w:val="en-US" w:eastAsia="zh-CN"/>
        </w:rPr>
        <w:t xml:space="preserve">、请各供应商提前办理 CA 数字证书，并学习电子响应性文件制作。加密的电子响应性文件须使用 CA 数字证书上传。为防止网络拥堵等不可控因素影响加密的电子响应性文件上传，请各供应商提前上传，因未能及时上传导致投标失败的责任由供应商自行承担。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2、按要求进行网上获取并下载竞争性磋商文件,凡未在规定时间内获取竞争性磋商文件者视为无效投标。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获取竞争性磋商文件后，请下载并安装最新版本投标文件制作工具，制作电子响应性文件，在响应性文件提交截止时间前，上传加密的响应性文件。供应商未在响应性文件提交截止时间前完成上传的，视为逾期送达，焦作市电子招投标交易平台将拒绝接收。</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4、平台统一技术服务电话为：400-998-0000，服务 QQ：4008503300, 服务时间：周一至周日 8：00-17：30（北京时间）。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5、本项目采用远程不见面交易的模式，磋商当日，供应商无需到现场参加磋商会议，应在提交响应性文件截止时间前，登录“不见面开标大厅系统”，在线准时参加磋商活动，在规定时间内进行文件解密。各潜在供应商因加密电子响应性文件未能成功上传，其投标将被拒绝。供应商需在响应文件提交截止时间后 30 分钟内完成解密，否则造成的一切后果由供应商自行负责。除电子响应性文件外，磋商时不再接受任何纸质文件、资料等。 </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八、凡对本次招标提出询问，请按照以下方式联系</w:t>
      </w:r>
    </w:p>
    <w:p>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名称：</w:t>
      </w:r>
      <w:r>
        <w:rPr>
          <w:rFonts w:hint="eastAsia" w:ascii="宋体" w:hAnsi="宋体" w:eastAsia="宋体" w:cs="宋体"/>
          <w:sz w:val="24"/>
          <w:szCs w:val="24"/>
          <w:lang w:val="en-US" w:eastAsia="zh-CN"/>
        </w:rPr>
        <w:t>武陟县林业发展服务中心</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地址：武陟县黄河大道78</w:t>
      </w:r>
      <w:r>
        <w:rPr>
          <w:rFonts w:hint="eastAsia" w:ascii="宋体" w:hAnsi="宋体" w:eastAsia="宋体" w:cs="宋体"/>
          <w:sz w:val="24"/>
          <w:szCs w:val="24"/>
          <w:highlight w:val="none"/>
          <w:lang w:val="en-US" w:eastAsia="zh-CN"/>
        </w:rPr>
        <w:t>号</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eastAsia="宋体" w:cs="宋体"/>
          <w:sz w:val="24"/>
          <w:szCs w:val="24"/>
          <w:highlight w:val="none"/>
          <w:lang w:val="en-US" w:eastAsia="zh-CN"/>
        </w:rPr>
        <w:t>杨延林</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联系方式：13849507350</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2.采购代理机构信息</w:t>
      </w:r>
      <w:r>
        <w:rPr>
          <w:rFonts w:hint="eastAsia" w:ascii="宋体" w:hAnsi="宋体" w:eastAsia="宋体" w:cs="宋体"/>
          <w:sz w:val="24"/>
          <w:szCs w:val="24"/>
          <w:lang w:eastAsia="zh-CN"/>
        </w:rPr>
        <w:t>（如有）</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名称：</w:t>
      </w:r>
      <w:r>
        <w:rPr>
          <w:rFonts w:hint="eastAsia" w:ascii="宋体" w:hAnsi="宋体" w:eastAsia="宋体" w:cs="宋体"/>
          <w:sz w:val="24"/>
          <w:szCs w:val="24"/>
          <w:lang w:val="en-US" w:eastAsia="zh-CN"/>
        </w:rPr>
        <w:t>中科天一工程管理有限公司</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地址：</w:t>
      </w:r>
      <w:r>
        <w:rPr>
          <w:rFonts w:hint="eastAsia" w:ascii="宋体" w:hAnsi="宋体" w:eastAsia="宋体" w:cs="宋体"/>
          <w:sz w:val="24"/>
          <w:szCs w:val="24"/>
          <w:lang w:val="en-US" w:eastAsia="zh-CN"/>
        </w:rPr>
        <w:t>郑州市高新技术产业开发区盛鼎科技园8楼</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eastAsia="宋体" w:cs="宋体"/>
          <w:sz w:val="24"/>
          <w:szCs w:val="24"/>
          <w:highlight w:val="none"/>
          <w:lang w:val="en-US" w:eastAsia="zh-CN"/>
        </w:rPr>
        <w:t>王洪飞</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13"/>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eastAsia="宋体" w:cs="宋体"/>
          <w:sz w:val="24"/>
          <w:szCs w:val="24"/>
          <w:highlight w:val="none"/>
          <w:lang w:val="en-US" w:eastAsia="zh-CN"/>
        </w:rPr>
        <w:t>杨延林</w:t>
      </w:r>
    </w:p>
    <w:p>
      <w:pPr>
        <w:ind w:firstLine="480" w:firstLineChars="200"/>
      </w:pPr>
      <w:r>
        <w:rPr>
          <w:rFonts w:hint="eastAsia" w:ascii="宋体" w:hAnsi="宋体" w:eastAsia="宋体" w:cs="宋体"/>
          <w:sz w:val="24"/>
          <w:szCs w:val="24"/>
        </w:rPr>
        <w:t>电话：</w:t>
      </w:r>
      <w:r>
        <w:rPr>
          <w:rFonts w:hint="eastAsia" w:ascii="宋体" w:hAnsi="宋体" w:eastAsia="宋体" w:cs="宋体"/>
          <w:sz w:val="24"/>
          <w:szCs w:val="24"/>
          <w:shd w:val="clear" w:color="auto" w:fill="FFFFFF"/>
        </w:rPr>
        <w:t>13849507350</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br w:type="page"/>
      </w:r>
    </w:p>
    <w:p>
      <w:pPr>
        <w:pStyle w:val="35"/>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5" w:name="_Toc29694"/>
      <w:bookmarkStart w:id="16" w:name="_Toc14720"/>
      <w:bookmarkStart w:id="17" w:name="_Toc15530"/>
      <w:r>
        <w:rPr>
          <w:rFonts w:hint="eastAsia" w:ascii="宋体" w:hAnsi="宋体" w:cs="宋体"/>
        </w:rPr>
        <w:t>供应商须知</w:t>
      </w:r>
      <w:bookmarkEnd w:id="9"/>
      <w:bookmarkEnd w:id="15"/>
      <w:bookmarkEnd w:id="16"/>
      <w:bookmarkEnd w:id="17"/>
    </w:p>
    <w:p>
      <w:pPr>
        <w:jc w:val="center"/>
        <w:rPr>
          <w:rFonts w:hint="eastAsia" w:ascii="宋体" w:hAnsi="宋体" w:cs="宋体"/>
          <w:b/>
          <w:bCs/>
          <w:sz w:val="24"/>
          <w:szCs w:val="24"/>
        </w:rPr>
      </w:pPr>
      <w:r>
        <w:rPr>
          <w:rFonts w:hint="eastAsia" w:ascii="宋体" w:hAnsi="宋体" w:cs="宋体"/>
          <w:b/>
          <w:bCs/>
          <w:sz w:val="24"/>
          <w:szCs w:val="24"/>
        </w:rPr>
        <w:t>供应商须知前附表</w:t>
      </w:r>
    </w:p>
    <w:p>
      <w:pPr>
        <w:spacing w:line="480" w:lineRule="exact"/>
        <w:ind w:right="-420" w:rightChars="-200"/>
        <w:jc w:val="left"/>
        <w:rPr>
          <w:rFonts w:hint="eastAsia" w:ascii="宋体" w:hAnsi="宋体" w:eastAsia="宋体" w:cs="宋体"/>
          <w:sz w:val="24"/>
          <w:szCs w:val="24"/>
        </w:rPr>
      </w:pPr>
      <w:r>
        <w:rPr>
          <w:rFonts w:hint="eastAsia" w:ascii="宋体" w:hAnsi="宋体" w:eastAsia="宋体" w:cs="宋体"/>
          <w:kern w:val="0"/>
          <w:sz w:val="24"/>
          <w:szCs w:val="24"/>
        </w:rPr>
        <w:t>本表是对竞争性磋商文件的具体补充和修改，如与竞争性磋商文件其他部分内容有差异，应以本表为准。</w:t>
      </w:r>
    </w:p>
    <w:tbl>
      <w:tblPr>
        <w:tblStyle w:val="38"/>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项号</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内  容</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采购人</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lang w:eastAsia="zh-CN"/>
              </w:rPr>
            </w:pPr>
            <w:r>
              <w:rPr>
                <w:rFonts w:hint="eastAsia" w:ascii="宋体" w:hAnsi="宋体" w:eastAsia="宋体" w:cs="宋体"/>
                <w:color w:val="auto"/>
                <w:kern w:val="0"/>
                <w:sz w:val="24"/>
                <w:szCs w:val="24"/>
                <w:lang w:val="en-US" w:eastAsia="zh-CN"/>
              </w:rPr>
              <w:t>武陟县林业发展服务中心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采购代理机构</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color w:val="auto"/>
                <w:kern w:val="0"/>
                <w:sz w:val="24"/>
                <w:szCs w:val="24"/>
                <w:lang w:val="en-US" w:eastAsia="zh-CN"/>
              </w:rPr>
              <w:t>中科天一工程管理有限公司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项目名称</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sz w:val="24"/>
                <w:szCs w:val="24"/>
                <w:lang w:eastAsia="zh-CN"/>
              </w:rPr>
            </w:pPr>
            <w:r>
              <w:rPr>
                <w:rFonts w:hint="eastAsia" w:ascii="宋体" w:hAnsi="宋体" w:eastAsia="宋体" w:cs="宋体"/>
                <w:kern w:val="0"/>
                <w:sz w:val="24"/>
                <w:szCs w:val="24"/>
                <w:lang w:val="en-US" w:eastAsia="zh-CN"/>
              </w:rPr>
              <w:t>武陟县林业发展服务中心武陟县省级森林城市建设规划编制项目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4</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资金来源</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本级财政资金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5</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资金落实情况</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highlight w:val="yellow"/>
              </w:rPr>
            </w:pPr>
            <w:r>
              <w:rPr>
                <w:rFonts w:hint="eastAsia" w:ascii="宋体" w:hAnsi="宋体" w:eastAsia="宋体" w:cs="宋体"/>
                <w:sz w:val="24"/>
                <w:szCs w:val="24"/>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报价范围</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供应商所报总价应包括其履行本项目合同（如果成交）所需的所有费用，包括但不限于所投入的全部人工成本、管理费、利润和税金等。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7</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sz w:val="24"/>
                <w:szCs w:val="24"/>
              </w:rPr>
              <w:t>项目属性</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color w:val="auto"/>
                <w:sz w:val="24"/>
                <w:szCs w:val="24"/>
              </w:rPr>
              <w:t>货物</w:t>
            </w:r>
            <w:r>
              <w:rPr>
                <w:rFonts w:hint="eastAsia" w:ascii="宋体" w:hAnsi="宋体" w:eastAsia="宋体" w:cs="宋体"/>
                <w:color w:val="auto"/>
                <w:sz w:val="24"/>
                <w:szCs w:val="24"/>
              </w:rPr>
              <w:sym w:font="Wingdings" w:char="00A8"/>
            </w:r>
            <w:r>
              <w:rPr>
                <w:rFonts w:hint="eastAsia" w:ascii="宋体" w:hAnsi="宋体" w:eastAsia="宋体" w:cs="宋体"/>
                <w:color w:val="auto"/>
                <w:sz w:val="24"/>
                <w:szCs w:val="24"/>
              </w:rPr>
              <w:t xml:space="preserve">      服务</w:t>
            </w:r>
            <w:r>
              <w:rPr>
                <w:rFonts w:hint="eastAsia" w:ascii="宋体" w:hAnsi="宋体" w:eastAsia="宋体" w:cs="宋体"/>
                <w:color w:val="auto"/>
                <w:sz w:val="24"/>
                <w:szCs w:val="24"/>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8</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磋商有效期</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highlight w:val="none"/>
              </w:rPr>
              <w:t>自响应文件提交之日起</w:t>
            </w:r>
            <w:r>
              <w:rPr>
                <w:rFonts w:hint="eastAsia" w:ascii="宋体" w:hAnsi="宋体" w:eastAsia="宋体" w:cs="宋体"/>
                <w:kern w:val="0"/>
                <w:sz w:val="24"/>
                <w:szCs w:val="24"/>
                <w:highlight w:val="none"/>
                <w:u w:val="single"/>
              </w:rPr>
              <w:t>60</w:t>
            </w:r>
            <w:r>
              <w:rPr>
                <w:rFonts w:hint="eastAsia" w:ascii="宋体" w:hAnsi="宋体" w:eastAsia="宋体" w:cs="宋体"/>
                <w:kern w:val="0"/>
                <w:sz w:val="24"/>
                <w:szCs w:val="24"/>
                <w:highlight w:val="none"/>
              </w:rPr>
              <w:t>日历天</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有效期短于该规定期限的投标无效）</w:t>
            </w:r>
            <w:r>
              <w:rPr>
                <w:rFonts w:hint="eastAsia" w:ascii="宋体" w:hAnsi="宋体" w:eastAsia="宋体" w:cs="宋体"/>
                <w:kern w:val="0"/>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9</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磋商保证金</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磋商</w:t>
            </w:r>
            <w:r>
              <w:rPr>
                <w:rFonts w:hint="eastAsia" w:ascii="宋体" w:hAnsi="宋体" w:eastAsia="宋体" w:cs="宋体"/>
                <w:sz w:val="24"/>
                <w:szCs w:val="24"/>
              </w:rPr>
              <w:t>保证金：</w:t>
            </w:r>
            <w:r>
              <w:rPr>
                <w:rFonts w:hint="eastAsia" w:ascii="宋体" w:hAnsi="宋体" w:eastAsia="宋体" w:cs="宋体"/>
                <w:b/>
                <w:bCs/>
                <w:color w:val="auto"/>
                <w:sz w:val="24"/>
                <w:szCs w:val="24"/>
                <w:lang w:val="en-US" w:eastAsia="zh-CN"/>
              </w:rPr>
              <w:t>1.5</w:t>
            </w:r>
            <w:r>
              <w:rPr>
                <w:rFonts w:hint="eastAsia" w:ascii="宋体" w:hAnsi="宋体" w:eastAsia="宋体" w:cs="宋体"/>
                <w:b/>
                <w:bCs/>
                <w:color w:val="auto"/>
                <w:sz w:val="24"/>
                <w:szCs w:val="24"/>
              </w:rPr>
              <w:t>万元</w:t>
            </w:r>
            <w:r>
              <w:rPr>
                <w:rFonts w:hint="eastAsia" w:ascii="宋体" w:hAnsi="宋体" w:eastAsia="宋体" w:cs="宋体"/>
                <w:b/>
                <w:bCs/>
                <w:sz w:val="24"/>
                <w:szCs w:val="24"/>
              </w:rPr>
              <w:t>（暂不缴纳）</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2.供应商有下列情形之一的，采购人将追索</w:t>
            </w:r>
            <w:r>
              <w:rPr>
                <w:rFonts w:hint="eastAsia" w:ascii="宋体" w:hAnsi="宋体" w:eastAsia="宋体" w:cs="宋体"/>
                <w:kern w:val="0"/>
                <w:sz w:val="24"/>
                <w:szCs w:val="24"/>
              </w:rPr>
              <w:t>磋商</w:t>
            </w:r>
            <w:r>
              <w:rPr>
                <w:rFonts w:hint="eastAsia" w:ascii="宋体" w:hAnsi="宋体" w:eastAsia="宋体" w:cs="宋体"/>
                <w:sz w:val="24"/>
                <w:szCs w:val="24"/>
              </w:rPr>
              <w:t>保证金人民币</w:t>
            </w:r>
            <w:r>
              <w:rPr>
                <w:rFonts w:hint="eastAsia" w:ascii="宋体" w:hAnsi="宋体" w:eastAsia="宋体" w:cs="宋体"/>
                <w:b/>
                <w:bCs/>
                <w:color w:val="auto"/>
                <w:sz w:val="24"/>
                <w:szCs w:val="24"/>
                <w:lang w:val="en-US" w:eastAsia="zh-CN"/>
              </w:rPr>
              <w:t>1.5</w:t>
            </w:r>
            <w:r>
              <w:rPr>
                <w:rFonts w:hint="eastAsia" w:ascii="宋体" w:hAnsi="宋体" w:eastAsia="宋体" w:cs="宋体"/>
                <w:b/>
                <w:bCs/>
                <w:color w:val="auto"/>
                <w:sz w:val="24"/>
                <w:szCs w:val="24"/>
              </w:rPr>
              <w:t>万元</w:t>
            </w:r>
            <w:r>
              <w:rPr>
                <w:rFonts w:hint="eastAsia" w:ascii="宋体" w:hAnsi="宋体" w:eastAsia="宋体" w:cs="宋体"/>
                <w:sz w:val="24"/>
                <w:szCs w:val="24"/>
              </w:rPr>
              <w:t>，</w:t>
            </w:r>
            <w:r>
              <w:rPr>
                <w:rFonts w:hint="eastAsia" w:ascii="宋体" w:hAnsi="宋体" w:eastAsia="宋体" w:cs="宋体"/>
                <w:b/>
                <w:bCs/>
                <w:sz w:val="24"/>
                <w:szCs w:val="24"/>
              </w:rPr>
              <w:t>并予以没收</w:t>
            </w:r>
            <w:r>
              <w:rPr>
                <w:rFonts w:hint="eastAsia" w:ascii="宋体" w:hAnsi="宋体" w:eastAsia="宋体" w:cs="宋体"/>
                <w:sz w:val="24"/>
                <w:szCs w:val="24"/>
              </w:rPr>
              <w:t>，供应商应作出相应承诺（承诺书格式见第六章响应文件格式中）：</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（1）供应商在提交响应文件截止时间后或磋商有效期内撤回响应文件的；</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（2）供应商在响应文件中提供虚假材料的；</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（3）除因不可抗力或竞争性磋商文件认可的情形以外，成交供应商不与采购人签订合同的；</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（4）供应商与采购人、其他供应商或者采购代理机构恶意串通的。</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）磋商文件及相关法律法规规定的其他情形</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410" w:lineRule="exact"/>
              <w:ind w:left="0" w:leftChars="0"/>
              <w:textAlignment w:val="auto"/>
              <w:rPr>
                <w:rFonts w:hint="eastAsia" w:ascii="宋体" w:hAnsi="宋体" w:eastAsia="宋体" w:cs="宋体"/>
                <w:kern w:val="0"/>
                <w:sz w:val="24"/>
                <w:szCs w:val="24"/>
              </w:rPr>
            </w:pPr>
            <w:r>
              <w:rPr>
                <w:rFonts w:hint="eastAsia" w:ascii="宋体" w:hAnsi="宋体" w:eastAsia="宋体" w:cs="宋体"/>
                <w:sz w:val="24"/>
                <w:szCs w:val="24"/>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10</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磋商文件的澄清或修改</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firstLine="120" w:firstLineChars="50"/>
              <w:textAlignment w:val="auto"/>
              <w:rPr>
                <w:rFonts w:hint="eastAsia" w:ascii="宋体" w:hAnsi="宋体" w:eastAsia="宋体" w:cs="宋体"/>
                <w:sz w:val="24"/>
                <w:szCs w:val="24"/>
              </w:rPr>
            </w:pPr>
            <w:r>
              <w:rPr>
                <w:rFonts w:hint="eastAsia" w:ascii="宋体" w:hAnsi="宋体" w:eastAsia="宋体" w:cs="宋体"/>
                <w:sz w:val="24"/>
                <w:szCs w:val="24"/>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eastAsia="宋体" w:cs="宋体"/>
                <w:color w:val="auto"/>
                <w:sz w:val="24"/>
                <w:szCs w:val="24"/>
              </w:rPr>
              <w:t>至少5日</w:t>
            </w:r>
            <w:r>
              <w:rPr>
                <w:rFonts w:hint="eastAsia" w:ascii="宋体" w:hAnsi="宋体" w:eastAsia="宋体" w:cs="宋体"/>
                <w:sz w:val="24"/>
                <w:szCs w:val="24"/>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11</w:t>
            </w:r>
          </w:p>
        </w:tc>
        <w:tc>
          <w:tcPr>
            <w:tcW w:w="2131" w:type="dxa"/>
            <w:noWrap w:val="0"/>
            <w:vAlign w:val="center"/>
          </w:tcPr>
          <w:p>
            <w:pPr>
              <w:pStyle w:val="108"/>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响应文件的递交</w:t>
            </w:r>
          </w:p>
        </w:tc>
        <w:tc>
          <w:tcPr>
            <w:tcW w:w="6563"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1、本项目为不见面开标，加密电子响应性文件须在响应性文件提交截 止时间前通过“</w:t>
            </w:r>
            <w:r>
              <w:rPr>
                <w:rFonts w:hint="eastAsia" w:ascii="宋体" w:hAnsi="宋体" w:eastAsia="宋体" w:cs="宋体"/>
                <w:color w:val="auto"/>
                <w:kern w:val="0"/>
                <w:sz w:val="24"/>
                <w:szCs w:val="24"/>
                <w:highlight w:val="none"/>
                <w:lang w:val="en-US" w:eastAsia="zh-CN" w:bidi="ar"/>
              </w:rPr>
              <w:t>焦作</w:t>
            </w:r>
            <w:r>
              <w:rPr>
                <w:rFonts w:hint="eastAsia" w:ascii="宋体" w:hAnsi="宋体" w:eastAsia="宋体" w:cs="宋体"/>
                <w:color w:val="auto"/>
                <w:kern w:val="0"/>
                <w:sz w:val="24"/>
                <w:szCs w:val="24"/>
                <w:lang w:val="en-US" w:eastAsia="zh-CN" w:bidi="ar"/>
              </w:rPr>
              <w:t xml:space="preserve">市公共资源交易中心”网站-交易平台加密上传。除电子响应性文件外，磋商时不再接受任何纸质文件、资料等。 </w:t>
            </w:r>
          </w:p>
          <w:p>
            <w:pPr>
              <w:keepNext w:val="0"/>
              <w:keepLines w:val="0"/>
              <w:pageBreakBefore w:val="0"/>
              <w:widowControl/>
              <w:suppressLineNumbers w:val="0"/>
              <w:kinsoku/>
              <w:wordWrap/>
              <w:overflowPunct/>
              <w:topLinePunct w:val="0"/>
              <w:autoSpaceDE/>
              <w:autoSpaceDN/>
              <w:bidi w:val="0"/>
              <w:adjustRightInd/>
              <w:snapToGrid/>
              <w:spacing w:line="440" w:lineRule="exact"/>
              <w:ind w:left="0" w:leftChars="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bidi="ar"/>
              </w:rPr>
              <w:t xml:space="preserve">2、未在响应性文件提交截止时间前完成上传加密电子响应性文件的视为逾期送达。逾期上传或未按规定方式上传加密的电子响应性文件的投标无效。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12</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签字或盖章要求</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1.所有要求供应商加盖单位公章的地方都应加盖供应商单位的CA印章。</w:t>
            </w:r>
          </w:p>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color w:val="000000"/>
                <w:sz w:val="24"/>
                <w:szCs w:val="24"/>
              </w:rPr>
            </w:pPr>
            <w:r>
              <w:rPr>
                <w:rFonts w:hint="eastAsia" w:ascii="宋体" w:hAnsi="宋体" w:eastAsia="宋体" w:cs="宋体"/>
                <w:sz w:val="24"/>
                <w:szCs w:val="24"/>
              </w:rPr>
              <w:t>2</w:t>
            </w:r>
            <w:r>
              <w:rPr>
                <w:rFonts w:hint="eastAsia" w:ascii="宋体" w:hAnsi="宋体" w:eastAsia="宋体" w:cs="宋体"/>
                <w:color w:val="000000"/>
                <w:sz w:val="24"/>
                <w:szCs w:val="24"/>
              </w:rPr>
              <w:t>.所有要求法定代表人签字或盖章的，要求法定代表人在签字或盖章的地方上传有手写签名的扫描件或加盖法定代表人CA印章。</w:t>
            </w:r>
          </w:p>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sz w:val="24"/>
                <w:szCs w:val="24"/>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13</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磋商程序</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公布供应商；</w:t>
            </w:r>
          </w:p>
          <w:p>
            <w:pPr>
              <w:keepNext w:val="0"/>
              <w:keepLines w:val="0"/>
              <w:pageBreakBefore w:val="0"/>
              <w:widowControl w:val="0"/>
              <w:kinsoku/>
              <w:wordWrap/>
              <w:overflowPunct/>
              <w:topLinePunct w:val="0"/>
              <w:autoSpaceDE/>
              <w:autoSpaceDN/>
              <w:bidi w:val="0"/>
              <w:adjustRightInd/>
              <w:snapToGrid/>
              <w:spacing w:line="40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（2）由供应商对响应文件进行解密；</w:t>
            </w:r>
          </w:p>
          <w:p>
            <w:pPr>
              <w:keepNext w:val="0"/>
              <w:keepLines w:val="0"/>
              <w:pageBreakBefore w:val="0"/>
              <w:widowControl w:val="0"/>
              <w:kinsoku/>
              <w:wordWrap/>
              <w:overflowPunct/>
              <w:topLinePunct w:val="0"/>
              <w:autoSpaceDE/>
              <w:autoSpaceDN/>
              <w:bidi w:val="0"/>
              <w:adjustRightInd/>
              <w:snapToGrid/>
              <w:spacing w:line="40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）开标结束；</w:t>
            </w:r>
          </w:p>
          <w:p>
            <w:pPr>
              <w:keepNext w:val="0"/>
              <w:keepLines w:val="0"/>
              <w:pageBreakBefore w:val="0"/>
              <w:widowControl w:val="0"/>
              <w:kinsoku/>
              <w:wordWrap/>
              <w:overflowPunct/>
              <w:topLinePunct w:val="0"/>
              <w:autoSpaceDE/>
              <w:autoSpaceDN/>
              <w:bidi w:val="0"/>
              <w:adjustRightInd/>
              <w:snapToGrid/>
              <w:spacing w:line="40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w:t>
            </w:r>
            <w:r>
              <w:rPr>
                <w:rFonts w:hint="eastAsia" w:ascii="宋体" w:hAnsi="宋体" w:eastAsia="宋体" w:cs="宋体"/>
                <w:kern w:val="0"/>
                <w:sz w:val="24"/>
                <w:szCs w:val="24"/>
              </w:rPr>
              <w:t>磋商</w:t>
            </w:r>
            <w:r>
              <w:rPr>
                <w:rFonts w:hint="eastAsia" w:ascii="宋体" w:hAnsi="宋体" w:eastAsia="宋体" w:cs="宋体"/>
                <w:sz w:val="24"/>
                <w:szCs w:val="24"/>
              </w:rPr>
              <w:t>小组对已通过资格性、符合性审查的供应商发起二轮(最后报价)邀请。</w:t>
            </w:r>
          </w:p>
          <w:p>
            <w:pPr>
              <w:pStyle w:val="37"/>
              <w:keepNext w:val="0"/>
              <w:keepLines w:val="0"/>
              <w:pageBreakBefore w:val="0"/>
              <w:widowControl w:val="0"/>
              <w:kinsoku/>
              <w:wordWrap/>
              <w:overflowPunct/>
              <w:topLinePunct w:val="0"/>
              <w:autoSpaceDE/>
              <w:autoSpaceDN/>
              <w:bidi w:val="0"/>
              <w:adjustRightInd/>
              <w:snapToGrid/>
              <w:spacing w:after="0" w:afterLines="0" w:line="400" w:lineRule="exact"/>
              <w:ind w:left="0" w:leftChars="0"/>
              <w:textAlignment w:val="auto"/>
              <w:rPr>
                <w:rFonts w:hint="eastAsia" w:ascii="宋体" w:hAnsi="宋体" w:eastAsia="宋体" w:cs="宋体"/>
                <w:kern w:val="2"/>
                <w:sz w:val="24"/>
                <w:szCs w:val="24"/>
              </w:rPr>
            </w:pP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5</w:t>
            </w:r>
            <w:r>
              <w:rPr>
                <w:rFonts w:hint="eastAsia" w:ascii="宋体" w:hAnsi="宋体" w:eastAsia="宋体" w:cs="宋体"/>
                <w:kern w:val="2"/>
                <w:sz w:val="24"/>
                <w:szCs w:val="24"/>
              </w:rPr>
              <w:t>）由磋商小组采用综合评分法对提交最后报价的供应商的响应文件和最后报价进行综合评分并出具评审报告。</w:t>
            </w:r>
          </w:p>
          <w:p>
            <w:pPr>
              <w:pStyle w:val="14"/>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textAlignment w:val="auto"/>
              <w:rPr>
                <w:rFonts w:hint="eastAsia" w:ascii="宋体" w:hAnsi="宋体" w:eastAsia="宋体" w:cs="宋体"/>
                <w:b/>
                <w:bCs/>
                <w:kern w:val="2"/>
                <w:sz w:val="24"/>
                <w:szCs w:val="24"/>
              </w:rPr>
            </w:pPr>
            <w:r>
              <w:rPr>
                <w:rFonts w:hint="eastAsia" w:ascii="宋体" w:hAnsi="宋体" w:eastAsia="宋体" w:cs="宋体"/>
                <w:b/>
                <w:bCs/>
                <w:kern w:val="2"/>
                <w:sz w:val="24"/>
                <w:szCs w:val="24"/>
              </w:rPr>
              <w:t>备注：1.</w:t>
            </w:r>
            <w:r>
              <w:rPr>
                <w:rFonts w:hint="eastAsia" w:ascii="宋体" w:hAnsi="宋体" w:eastAsia="宋体" w:cs="宋体"/>
                <w:b/>
                <w:bCs/>
                <w:kern w:val="0"/>
                <w:sz w:val="24"/>
                <w:szCs w:val="24"/>
                <w:lang w:eastAsia="zh-CN"/>
              </w:rPr>
              <w:t>多包项目的，磋商会议将按包的顺序依次进行，请各供应商时刻关注焦作市不见面开标大厅系统。</w:t>
            </w:r>
          </w:p>
          <w:p>
            <w:pPr>
              <w:pStyle w:val="14"/>
              <w:keepNext w:val="0"/>
              <w:keepLines w:val="0"/>
              <w:pageBreakBefore w:val="0"/>
              <w:widowControl w:val="0"/>
              <w:kinsoku/>
              <w:wordWrap/>
              <w:overflowPunct/>
              <w:topLinePunct w:val="0"/>
              <w:autoSpaceDE/>
              <w:autoSpaceDN/>
              <w:bidi w:val="0"/>
              <w:adjustRightInd/>
              <w:snapToGrid/>
              <w:spacing w:line="400" w:lineRule="exact"/>
              <w:ind w:left="0" w:leftChars="0" w:firstLine="482" w:firstLineChars="200"/>
              <w:textAlignment w:val="auto"/>
              <w:rPr>
                <w:rFonts w:hint="eastAsia" w:ascii="宋体" w:hAnsi="宋体" w:eastAsia="宋体" w:cs="宋体"/>
                <w:kern w:val="2"/>
                <w:sz w:val="24"/>
                <w:szCs w:val="24"/>
              </w:rPr>
            </w:pPr>
            <w:r>
              <w:rPr>
                <w:rFonts w:hint="eastAsia" w:ascii="宋体" w:hAnsi="宋体" w:eastAsia="宋体" w:cs="宋体"/>
                <w:b/>
                <w:bCs/>
                <w:kern w:val="2"/>
                <w:sz w:val="24"/>
                <w:szCs w:val="24"/>
                <w:lang w:val="en-US" w:eastAsia="zh-CN"/>
              </w:rPr>
              <w:t>2.</w:t>
            </w:r>
            <w:r>
              <w:rPr>
                <w:rFonts w:hint="eastAsia" w:ascii="宋体" w:hAnsi="宋体" w:eastAsia="宋体" w:cs="宋体"/>
                <w:b/>
                <w:bCs/>
                <w:kern w:val="2"/>
                <w:sz w:val="24"/>
                <w:szCs w:val="24"/>
              </w:rPr>
              <w:t>供应商在规定时间内需通过焦作市公共资源交易平台进行二轮报价（最后报价），</w:t>
            </w:r>
            <w:r>
              <w:rPr>
                <w:rFonts w:hint="eastAsia" w:ascii="宋体" w:hAnsi="宋体" w:eastAsia="宋体" w:cs="宋体"/>
                <w:b/>
                <w:bCs/>
                <w:kern w:val="2"/>
                <w:sz w:val="24"/>
                <w:szCs w:val="24"/>
                <w:highlight w:val="none"/>
              </w:rPr>
              <w:t>未在规定时间内提交二轮报价（最后报价）的视为放弃本次磋商。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14</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磋商小组的组成</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sz w:val="24"/>
                <w:szCs w:val="24"/>
              </w:rPr>
              <w:t>由采购人代表和评审专家共3人及以上单数组成，其中评审专家人数不得少于磋商小组成员总数的2/3。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5</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踏勘现场</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sym w:font="Wingdings" w:char="F0FE"/>
            </w:r>
            <w:r>
              <w:rPr>
                <w:rFonts w:hint="eastAsia" w:ascii="宋体" w:hAnsi="宋体" w:eastAsia="宋体" w:cs="宋体"/>
                <w:kern w:val="0"/>
                <w:sz w:val="24"/>
                <w:szCs w:val="24"/>
              </w:rPr>
              <w:t>不组织，各供应商自行考察</w:t>
            </w:r>
          </w:p>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6</w:t>
            </w:r>
          </w:p>
        </w:tc>
        <w:tc>
          <w:tcPr>
            <w:tcW w:w="8694" w:type="dxa"/>
            <w:gridSpan w:val="2"/>
            <w:noWrap w:val="0"/>
            <w:vAlign w:val="center"/>
          </w:tcPr>
          <w:p>
            <w:pPr>
              <w:keepNext w:val="0"/>
              <w:keepLines w:val="0"/>
              <w:pageBreakBefore w:val="0"/>
              <w:tabs>
                <w:tab w:val="left" w:pos="1381"/>
              </w:tabs>
              <w:kinsoku/>
              <w:wordWrap/>
              <w:overflowPunct/>
              <w:topLinePunct w:val="0"/>
              <w:autoSpaceDE/>
              <w:autoSpaceDN/>
              <w:bidi w:val="0"/>
              <w:adjustRightInd/>
              <w:snapToGrid/>
              <w:spacing w:line="440" w:lineRule="exact"/>
              <w:ind w:left="0" w:leftChars="0"/>
              <w:jc w:val="left"/>
              <w:textAlignment w:val="auto"/>
              <w:rPr>
                <w:rFonts w:hint="eastAsia" w:ascii="宋体" w:hAnsi="宋体" w:eastAsia="宋体" w:cs="宋体"/>
                <w:kern w:val="0"/>
                <w:sz w:val="24"/>
                <w:szCs w:val="24"/>
                <w:highlight w:val="cyan"/>
              </w:rPr>
            </w:pPr>
            <w:r>
              <w:rPr>
                <w:rFonts w:hint="eastAsia" w:ascii="宋体" w:hAnsi="宋体" w:eastAsia="宋体" w:cs="宋体"/>
                <w:kern w:val="0"/>
                <w:sz w:val="24"/>
                <w:szCs w:val="24"/>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7</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需要落实的政府采购政策</w:t>
            </w:r>
          </w:p>
        </w:tc>
        <w:tc>
          <w:tcPr>
            <w:tcW w:w="6563" w:type="dxa"/>
            <w:noWrap w:val="0"/>
            <w:vAlign w:val="center"/>
          </w:tcPr>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bCs/>
                <w:color w:val="auto"/>
                <w:sz w:val="24"/>
                <w:szCs w:val="24"/>
              </w:rPr>
            </w:pPr>
            <w:r>
              <w:rPr>
                <w:rFonts w:hint="eastAsia" w:ascii="宋体" w:hAnsi="宋体" w:eastAsia="宋体" w:cs="宋体"/>
                <w:b/>
                <w:bCs/>
                <w:sz w:val="24"/>
                <w:szCs w:val="24"/>
                <w:lang w:eastAsia="zh-CN"/>
              </w:rPr>
              <w:t>（一）</w:t>
            </w:r>
            <w:r>
              <w:rPr>
                <w:rFonts w:hint="eastAsia" w:ascii="宋体" w:hAnsi="宋体" w:eastAsia="宋体" w:cs="宋体"/>
                <w:b/>
                <w:bCs/>
                <w:sz w:val="24"/>
                <w:szCs w:val="24"/>
              </w:rPr>
              <w:t>促进中小企业、监狱企业和残疾人福利性单位发展扶持政策</w:t>
            </w:r>
            <w:r>
              <w:rPr>
                <w:rFonts w:hint="eastAsia" w:ascii="宋体" w:hAnsi="宋体" w:eastAsia="宋体" w:cs="宋体"/>
                <w:b/>
                <w:bCs/>
                <w:color w:val="auto"/>
                <w:sz w:val="24"/>
                <w:szCs w:val="24"/>
              </w:rPr>
              <w:t>促进中小企业发展扶持政策</w:t>
            </w:r>
            <w:r>
              <w:rPr>
                <w:rFonts w:hint="eastAsia" w:ascii="宋体" w:hAnsi="宋体" w:eastAsia="宋体" w:cs="宋体"/>
                <w:bCs/>
                <w:color w:val="auto"/>
                <w:sz w:val="24"/>
                <w:szCs w:val="24"/>
              </w:rPr>
              <w:t>：</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1.</w:t>
            </w:r>
            <w:r>
              <w:rPr>
                <w:rFonts w:hint="eastAsia" w:ascii="宋体" w:hAnsi="宋体" w:eastAsia="宋体" w:cs="宋体"/>
                <w:b w:val="0"/>
                <w:bCs/>
                <w:color w:val="auto"/>
                <w:sz w:val="24"/>
                <w:szCs w:val="24"/>
              </w:rPr>
              <w:t>中小企业认定：</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在服务采购项目中，服务由中小企业承接，即提供服务的人员为中小企业依照《中华人民共和国</w:t>
            </w:r>
            <w:r>
              <w:rPr>
                <w:rFonts w:hint="eastAsia" w:ascii="宋体" w:hAnsi="宋体" w:eastAsia="宋体" w:cs="宋体"/>
                <w:bCs/>
                <w:color w:val="auto"/>
                <w:sz w:val="24"/>
                <w:szCs w:val="24"/>
                <w:lang w:val="en-US" w:eastAsia="zh-CN"/>
              </w:rPr>
              <w:t>民</w:t>
            </w:r>
            <w:r>
              <w:rPr>
                <w:rFonts w:hint="eastAsia" w:ascii="宋体" w:hAnsi="宋体" w:eastAsia="宋体" w:cs="宋体"/>
                <w:bCs/>
                <w:color w:val="auto"/>
                <w:sz w:val="24"/>
                <w:szCs w:val="24"/>
              </w:rPr>
              <w:t>法</w:t>
            </w:r>
            <w:r>
              <w:rPr>
                <w:rFonts w:hint="eastAsia" w:ascii="宋体" w:hAnsi="宋体" w:eastAsia="宋体" w:cs="宋体"/>
                <w:bCs/>
                <w:color w:val="auto"/>
                <w:sz w:val="24"/>
                <w:szCs w:val="24"/>
                <w:lang w:val="en-US" w:eastAsia="zh-CN"/>
              </w:rPr>
              <w:t>典</w:t>
            </w:r>
            <w:r>
              <w:rPr>
                <w:rFonts w:hint="eastAsia" w:ascii="宋体" w:hAnsi="宋体" w:eastAsia="宋体" w:cs="宋体"/>
                <w:bCs/>
                <w:color w:val="auto"/>
                <w:sz w:val="24"/>
                <w:szCs w:val="24"/>
              </w:rPr>
              <w:t>》订立劳动合同的从业人员。</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eastAsia="zh-CN"/>
              </w:rPr>
              <w:t>供应商应当按照竞争性磋商文件的规定出具《</w:t>
            </w:r>
            <w:r>
              <w:rPr>
                <w:rFonts w:hint="eastAsia" w:ascii="宋体" w:hAnsi="宋体" w:eastAsia="宋体" w:cs="宋体"/>
                <w:bCs/>
                <w:color w:val="auto"/>
                <w:sz w:val="24"/>
                <w:szCs w:val="24"/>
              </w:rPr>
              <w:t>中小企业声明函</w:t>
            </w:r>
            <w:r>
              <w:rPr>
                <w:rFonts w:hint="eastAsia" w:ascii="宋体" w:hAnsi="宋体" w:eastAsia="宋体" w:cs="宋体"/>
                <w:bCs/>
                <w:color w:val="auto"/>
                <w:sz w:val="24"/>
                <w:szCs w:val="24"/>
                <w:lang w:eastAsia="zh-CN"/>
              </w:rPr>
              <w:t>》，否则不享受相关扶持政策</w:t>
            </w:r>
            <w:r>
              <w:rPr>
                <w:rFonts w:hint="eastAsia" w:ascii="宋体" w:hAnsi="宋体" w:eastAsia="宋体" w:cs="宋体"/>
                <w:bCs/>
                <w:color w:val="auto"/>
                <w:sz w:val="24"/>
                <w:szCs w:val="24"/>
              </w:rPr>
              <w:t>；</w:t>
            </w:r>
          </w:p>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bCs/>
                <w:sz w:val="24"/>
                <w:szCs w:val="24"/>
              </w:rPr>
            </w:pPr>
            <w:r>
              <w:rPr>
                <w:rFonts w:hint="eastAsia" w:ascii="宋体" w:hAnsi="宋体" w:eastAsia="宋体" w:cs="宋体"/>
                <w:bCs/>
                <w:sz w:val="24"/>
                <w:szCs w:val="24"/>
              </w:rPr>
              <w:t>　　</w:t>
            </w:r>
            <w:r>
              <w:rPr>
                <w:rFonts w:hint="eastAsia" w:ascii="宋体" w:hAnsi="宋体" w:eastAsia="宋体" w:cs="宋体"/>
                <w:bCs/>
                <w:sz w:val="24"/>
                <w:szCs w:val="24"/>
                <w:lang w:val="en-US" w:eastAsia="zh-CN"/>
              </w:rPr>
              <w:t>2</w:t>
            </w:r>
            <w:r>
              <w:rPr>
                <w:rFonts w:hint="eastAsia" w:ascii="宋体" w:hAnsi="宋体" w:eastAsia="宋体" w:cs="宋体"/>
                <w:bCs/>
                <w:sz w:val="24"/>
                <w:szCs w:val="24"/>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eastAsia="宋体" w:cs="宋体"/>
                <w:bCs/>
                <w:color w:val="000000"/>
                <w:sz w:val="24"/>
                <w:szCs w:val="24"/>
              </w:rPr>
              <w:t>件</w:t>
            </w:r>
            <w:r>
              <w:rPr>
                <w:rFonts w:hint="eastAsia" w:ascii="宋体" w:hAnsi="宋体" w:eastAsia="宋体" w:cs="宋体"/>
                <w:b/>
                <w:bCs/>
                <w:color w:val="000000"/>
                <w:sz w:val="24"/>
                <w:szCs w:val="24"/>
              </w:rPr>
              <w:t>（</w:t>
            </w:r>
            <w:r>
              <w:rPr>
                <w:rFonts w:hint="eastAsia" w:ascii="宋体" w:hAnsi="宋体" w:eastAsia="宋体" w:cs="宋体"/>
                <w:b/>
                <w:bCs/>
                <w:color w:val="000000"/>
                <w:kern w:val="0"/>
                <w:sz w:val="24"/>
                <w:szCs w:val="24"/>
                <w:lang w:eastAsia="zh-CN"/>
              </w:rPr>
              <w:t>响应</w:t>
            </w:r>
            <w:r>
              <w:rPr>
                <w:rFonts w:hint="eastAsia" w:ascii="宋体" w:hAnsi="宋体" w:eastAsia="宋体" w:cs="宋体"/>
                <w:b/>
                <w:bCs/>
                <w:color w:val="000000"/>
                <w:kern w:val="0"/>
                <w:sz w:val="24"/>
                <w:szCs w:val="24"/>
              </w:rPr>
              <w:t>文件中附扫描件</w:t>
            </w:r>
            <w:r>
              <w:rPr>
                <w:rFonts w:hint="eastAsia" w:ascii="宋体" w:hAnsi="宋体" w:eastAsia="宋体" w:cs="宋体"/>
                <w:b/>
                <w:bCs/>
                <w:color w:val="000000"/>
                <w:kern w:val="0"/>
                <w:sz w:val="24"/>
                <w:szCs w:val="24"/>
                <w:lang w:eastAsia="zh-CN"/>
              </w:rPr>
              <w:t>或复印件</w:t>
            </w:r>
            <w:r>
              <w:rPr>
                <w:rFonts w:hint="eastAsia" w:ascii="宋体" w:hAnsi="宋体" w:eastAsia="宋体" w:cs="宋体"/>
                <w:b/>
                <w:bCs/>
                <w:color w:val="000000"/>
                <w:sz w:val="24"/>
                <w:szCs w:val="24"/>
              </w:rPr>
              <w:t>）</w:t>
            </w:r>
            <w:r>
              <w:rPr>
                <w:rFonts w:hint="eastAsia" w:ascii="宋体" w:hAnsi="宋体" w:eastAsia="宋体" w:cs="宋体"/>
                <w:bCs/>
                <w:color w:val="000000"/>
                <w:sz w:val="24"/>
                <w:szCs w:val="24"/>
              </w:rPr>
              <w:t>，</w:t>
            </w:r>
            <w:r>
              <w:rPr>
                <w:rFonts w:hint="eastAsia" w:ascii="宋体" w:hAnsi="宋体" w:eastAsia="宋体" w:cs="宋体"/>
                <w:bCs/>
                <w:sz w:val="24"/>
                <w:szCs w:val="24"/>
              </w:rPr>
              <w:t>不再提供《中小企业声明函》，</w:t>
            </w:r>
            <w:r>
              <w:rPr>
                <w:rFonts w:hint="eastAsia" w:ascii="宋体" w:hAnsi="宋体" w:eastAsia="宋体" w:cs="宋体"/>
                <w:bCs/>
                <w:sz w:val="24"/>
                <w:szCs w:val="24"/>
                <w:lang w:eastAsia="zh-CN"/>
              </w:rPr>
              <w:t>供应商</w:t>
            </w:r>
            <w:r>
              <w:rPr>
                <w:rFonts w:hint="eastAsia" w:ascii="宋体" w:hAnsi="宋体" w:eastAsia="宋体" w:cs="宋体"/>
                <w:bCs/>
                <w:sz w:val="24"/>
                <w:szCs w:val="24"/>
              </w:rPr>
              <w:t>出具的监狱企业证明文件如有虚假，其成交资格将被取消，并根据相关规定进行处罚。</w:t>
            </w:r>
          </w:p>
          <w:p>
            <w:pPr>
              <w:keepNext w:val="0"/>
              <w:keepLines w:val="0"/>
              <w:pageBreakBefore w:val="0"/>
              <w:kinsoku/>
              <w:wordWrap/>
              <w:overflowPunct/>
              <w:topLinePunct w:val="0"/>
              <w:autoSpaceDE/>
              <w:autoSpaceDN/>
              <w:bidi w:val="0"/>
              <w:adjustRightInd/>
              <w:snapToGrid/>
              <w:spacing w:line="440" w:lineRule="exact"/>
              <w:ind w:left="0" w:leftChars="0" w:firstLine="484" w:firstLineChars="202"/>
              <w:jc w:val="left"/>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3</w:t>
            </w:r>
            <w:r>
              <w:rPr>
                <w:rFonts w:hint="eastAsia" w:ascii="宋体" w:hAnsi="宋体" w:eastAsia="宋体" w:cs="宋体"/>
                <w:bCs/>
                <w:sz w:val="24"/>
                <w:szCs w:val="24"/>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eastAsia="宋体" w:cs="宋体"/>
                <w:bCs/>
                <w:sz w:val="24"/>
                <w:szCs w:val="24"/>
                <w:lang w:eastAsia="zh-CN"/>
              </w:rPr>
              <w:t>供应商</w:t>
            </w:r>
            <w:r>
              <w:rPr>
                <w:rFonts w:hint="eastAsia" w:ascii="宋体" w:hAnsi="宋体" w:eastAsia="宋体" w:cs="宋体"/>
                <w:bCs/>
                <w:sz w:val="24"/>
                <w:szCs w:val="24"/>
              </w:rPr>
              <w:t>在《残疾人福利性单位声明函》中的承诺如有虚假，其成交资格将被取消，并根据相关规定进行处罚。</w:t>
            </w:r>
          </w:p>
          <w:p>
            <w:pPr>
              <w:keepNext w:val="0"/>
              <w:keepLines w:val="0"/>
              <w:pageBreakBefore w:val="0"/>
              <w:kinsoku/>
              <w:wordWrap/>
              <w:overflowPunct/>
              <w:topLinePunct w:val="0"/>
              <w:autoSpaceDE/>
              <w:autoSpaceDN/>
              <w:bidi w:val="0"/>
              <w:adjustRightInd/>
              <w:snapToGrid/>
              <w:spacing w:line="440" w:lineRule="exact"/>
              <w:ind w:left="0" w:leftChars="0" w:firstLine="487" w:firstLineChars="202"/>
              <w:jc w:val="left"/>
              <w:textAlignment w:val="auto"/>
              <w:rPr>
                <w:rFonts w:hint="eastAsia" w:ascii="宋体" w:hAnsi="宋体" w:eastAsia="宋体" w:cs="宋体"/>
                <w:color w:val="auto"/>
                <w:sz w:val="24"/>
                <w:szCs w:val="24"/>
                <w:lang w:eastAsia="zh-CN"/>
              </w:rPr>
            </w:pPr>
            <w:r>
              <w:rPr>
                <w:rFonts w:hint="eastAsia" w:ascii="宋体" w:hAnsi="宋体" w:eastAsia="宋体" w:cs="宋体"/>
                <w:b/>
                <w:bCs w:val="0"/>
                <w:sz w:val="24"/>
                <w:szCs w:val="24"/>
                <w:lang w:eastAsia="zh-CN"/>
              </w:rPr>
              <w:t>采购人根据供应商提供的《</w:t>
            </w:r>
            <w:r>
              <w:rPr>
                <w:rFonts w:hint="eastAsia" w:ascii="宋体" w:hAnsi="宋体" w:eastAsia="宋体" w:cs="宋体"/>
                <w:b/>
                <w:bCs w:val="0"/>
                <w:sz w:val="24"/>
                <w:szCs w:val="24"/>
              </w:rPr>
              <w:t>中小企业声明函</w:t>
            </w:r>
            <w:r>
              <w:rPr>
                <w:rFonts w:hint="eastAsia" w:ascii="宋体" w:hAnsi="宋体" w:eastAsia="宋体" w:cs="宋体"/>
                <w:b/>
                <w:bCs w:val="0"/>
                <w:sz w:val="24"/>
                <w:szCs w:val="24"/>
                <w:lang w:eastAsia="zh-CN"/>
              </w:rPr>
              <w:t>》认定该供应商是否属于中小企业，监狱企业和残疾人福利性单位视同小型、微型企业。不属于中小企业、监狱企业或残疾人福利性单位的拒绝参与本项目磋商。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18</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履约担保</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left"/>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19</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color w:val="000000"/>
                <w:sz w:val="24"/>
                <w:szCs w:val="24"/>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项目执行预付款的，采购人在向成交供应商支付预付款前，成交供应商需向采购人提供预付款保函；</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4"/>
                <w:szCs w:val="24"/>
              </w:rPr>
            </w:pPr>
            <w:r>
              <w:rPr>
                <w:rFonts w:hint="eastAsia" w:ascii="宋体" w:hAnsi="宋体" w:eastAsia="宋体" w:cs="宋体"/>
                <w:color w:val="000000"/>
                <w:sz w:val="24"/>
                <w:szCs w:val="24"/>
                <w:lang w:eastAsia="zh-CN"/>
              </w:rPr>
              <w:t>预付款保函的形式：</w:t>
            </w:r>
            <w:r>
              <w:rPr>
                <w:rFonts w:hint="eastAsia" w:ascii="宋体" w:hAnsi="宋体" w:eastAsia="宋体" w:cs="宋体"/>
                <w:color w:val="auto"/>
                <w:sz w:val="24"/>
                <w:szCs w:val="24"/>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签订合同</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t>成交供应商在《成交通知书》发出</w:t>
            </w:r>
            <w:r>
              <w:rPr>
                <w:rFonts w:hint="eastAsia" w:ascii="宋体" w:hAnsi="宋体" w:eastAsia="宋体" w:cs="宋体"/>
                <w:kern w:val="0"/>
                <w:sz w:val="24"/>
                <w:szCs w:val="24"/>
                <w:highlight w:val="none"/>
              </w:rPr>
              <w:t>后</w:t>
            </w:r>
            <w:r>
              <w:rPr>
                <w:rFonts w:hint="eastAsia" w:ascii="宋体" w:hAnsi="宋体" w:eastAsia="宋体" w:cs="宋体"/>
                <w:kern w:val="0"/>
                <w:sz w:val="24"/>
                <w:szCs w:val="24"/>
                <w:highlight w:val="none"/>
                <w:u w:val="single"/>
              </w:rPr>
              <w:t>30</w:t>
            </w:r>
            <w:r>
              <w:rPr>
                <w:rFonts w:hint="eastAsia" w:ascii="宋体" w:hAnsi="宋体" w:eastAsia="宋体" w:cs="宋体"/>
                <w:kern w:val="0"/>
                <w:sz w:val="24"/>
                <w:szCs w:val="24"/>
                <w:highlight w:val="none"/>
              </w:rPr>
              <w:t>日内，</w:t>
            </w:r>
            <w:r>
              <w:rPr>
                <w:rFonts w:hint="eastAsia" w:ascii="宋体" w:hAnsi="宋体" w:eastAsia="宋体" w:cs="宋体"/>
                <w:kern w:val="0"/>
                <w:sz w:val="24"/>
                <w:szCs w:val="24"/>
              </w:rPr>
              <w:t>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r>
              <w:rPr>
                <w:rFonts w:hint="eastAsia" w:ascii="宋体" w:hAnsi="宋体" w:cs="宋体"/>
                <w:kern w:val="0"/>
                <w:sz w:val="24"/>
                <w:szCs w:val="24"/>
                <w:lang w:val="en-US" w:eastAsia="zh-CN"/>
              </w:rPr>
              <w:t>1</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其他</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kern w:val="0"/>
                <w:sz w:val="24"/>
                <w:szCs w:val="24"/>
              </w:rPr>
            </w:pPr>
            <w:r>
              <w:rPr>
                <w:rFonts w:hint="eastAsia" w:ascii="宋体" w:hAnsi="宋体" w:eastAsia="宋体" w:cs="宋体"/>
                <w:kern w:val="0"/>
                <w:sz w:val="24"/>
                <w:szCs w:val="24"/>
              </w:rPr>
              <w:t>本竞争性磋商文件解释权归采购人或其委托的采购代理机构</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未尽事宜按相关法律法规执行。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r>
              <w:rPr>
                <w:rFonts w:hint="eastAsia" w:ascii="宋体" w:hAnsi="宋体" w:cs="宋体"/>
                <w:kern w:val="0"/>
                <w:sz w:val="24"/>
                <w:szCs w:val="24"/>
                <w:lang w:val="en-US" w:eastAsia="zh-CN"/>
              </w:rPr>
              <w:t>2</w:t>
            </w:r>
          </w:p>
        </w:tc>
        <w:tc>
          <w:tcPr>
            <w:tcW w:w="2131"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采购代理机构代理服务费</w:t>
            </w:r>
          </w:p>
        </w:tc>
        <w:tc>
          <w:tcPr>
            <w:tcW w:w="6563" w:type="dxa"/>
            <w:noWrap w:val="0"/>
            <w:vAlign w:val="center"/>
          </w:tcPr>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sz w:val="24"/>
                <w:szCs w:val="24"/>
              </w:rPr>
            </w:pPr>
            <w:r>
              <w:rPr>
                <w:rFonts w:hint="eastAsia" w:ascii="宋体" w:hAnsi="宋体" w:eastAsia="宋体" w:cs="宋体"/>
                <w:sz w:val="24"/>
                <w:szCs w:val="24"/>
              </w:rPr>
              <w:t>本项目收取代理服务费：</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代理服务费用</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本项目代理费按照豫招协【2023】002号文《河南省招标代理服务收费指导意见》标准计取；</w:t>
            </w:r>
          </w:p>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支付方式：</w:t>
            </w:r>
            <w:r>
              <w:rPr>
                <w:rFonts w:hint="eastAsia" w:ascii="宋体" w:hAnsi="宋体" w:eastAsia="宋体" w:cs="宋体"/>
                <w:sz w:val="24"/>
                <w:szCs w:val="24"/>
                <w:lang w:val="en-US" w:eastAsia="zh-CN"/>
              </w:rPr>
              <w:t>转账或现金；</w:t>
            </w:r>
          </w:p>
          <w:p>
            <w:pPr>
              <w:keepNext w:val="0"/>
              <w:keepLines w:val="0"/>
              <w:pageBreakBefore w:val="0"/>
              <w:kinsoku/>
              <w:wordWrap/>
              <w:overflowPunct/>
              <w:topLinePunct w:val="0"/>
              <w:autoSpaceDE/>
              <w:autoSpaceDN/>
              <w:bidi w:val="0"/>
              <w:adjustRightInd/>
              <w:snapToGrid/>
              <w:spacing w:line="440" w:lineRule="exact"/>
              <w:ind w:left="0" w:leftChars="0"/>
              <w:textAlignment w:val="auto"/>
              <w:rPr>
                <w:rFonts w:hint="eastAsia" w:ascii="宋体" w:hAnsi="宋体" w:eastAsia="宋体" w:cs="宋体"/>
                <w:sz w:val="24"/>
                <w:szCs w:val="24"/>
                <w:lang w:eastAsia="zh-CN"/>
              </w:rPr>
            </w:pPr>
            <w:r>
              <w:rPr>
                <w:rFonts w:hint="eastAsia" w:ascii="宋体" w:hAnsi="宋体" w:eastAsia="宋体" w:cs="宋体"/>
                <w:sz w:val="24"/>
                <w:szCs w:val="24"/>
              </w:rPr>
              <w:t>3.采购代理机构代理服务费由</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支付。</w:t>
            </w:r>
          </w:p>
        </w:tc>
      </w:tr>
      <w:bookmarkEnd w:id="10"/>
      <w:bookmarkEnd w:id="11"/>
      <w:bookmarkEnd w:id="12"/>
      <w:bookmarkEnd w:id="13"/>
      <w:bookmarkEnd w:id="14"/>
    </w:tbl>
    <w:p>
      <w:pPr>
        <w:rPr>
          <w:rFonts w:hint="eastAsia" w:ascii="宋体" w:hAnsi="宋体" w:eastAsia="宋体" w:cs="宋体"/>
          <w:b/>
          <w:sz w:val="32"/>
          <w:lang w:eastAsia="zh-CN"/>
        </w:rPr>
      </w:pPr>
      <w:bookmarkStart w:id="18" w:name="_Toc461962050"/>
    </w:p>
    <w:p>
      <w:pPr>
        <w:rPr>
          <w:rFonts w:hint="eastAsia" w:ascii="宋体" w:hAnsi="宋体" w:eastAsia="宋体" w:cs="宋体"/>
          <w:b/>
          <w:sz w:val="32"/>
          <w:lang w:eastAsia="zh-CN"/>
        </w:rPr>
      </w:pPr>
      <w:r>
        <w:rPr>
          <w:rFonts w:hint="eastAsia" w:ascii="宋体" w:hAnsi="宋体" w:eastAsia="宋体" w:cs="宋体"/>
          <w:b/>
          <w:sz w:val="32"/>
          <w:lang w:eastAsia="zh-CN"/>
        </w:rPr>
        <w:drawing>
          <wp:inline distT="0" distB="0" distL="114300" distR="114300">
            <wp:extent cx="5901690" cy="4261485"/>
            <wp:effectExtent l="0" t="0" r="0" b="0"/>
            <wp:docPr id="1" name="图片 1" descr="62e10b5b2cee6948850d8afb4454e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2e10b5b2cee6948850d8afb4454e04"/>
                    <pic:cNvPicPr>
                      <a:picLocks noChangeAspect="1"/>
                    </pic:cNvPicPr>
                  </pic:nvPicPr>
                  <pic:blipFill>
                    <a:blip r:embed="rId22"/>
                    <a:srcRect b="33164"/>
                    <a:stretch>
                      <a:fillRect/>
                    </a:stretch>
                  </pic:blipFill>
                  <pic:spPr>
                    <a:xfrm>
                      <a:off x="0" y="0"/>
                      <a:ext cx="5901690" cy="4261485"/>
                    </a:xfrm>
                    <a:prstGeom prst="rect">
                      <a:avLst/>
                    </a:prstGeom>
                  </pic:spPr>
                </pic:pic>
              </a:graphicData>
            </a:graphic>
          </wp:inline>
        </w:drawing>
      </w:r>
    </w:p>
    <w:p>
      <w:pPr>
        <w:pStyle w:val="2"/>
        <w:rPr>
          <w:rFonts w:hint="eastAsia" w:ascii="宋体" w:hAnsi="宋体" w:eastAsia="宋体" w:cs="宋体"/>
          <w:b/>
          <w:sz w:val="32"/>
          <w:lang w:eastAsia="zh-CN"/>
        </w:rPr>
      </w:pPr>
      <w:r>
        <w:rPr>
          <w:rFonts w:hint="eastAsia" w:ascii="宋体" w:hAnsi="宋体" w:eastAsia="宋体" w:cs="宋体"/>
          <w:b/>
          <w:sz w:val="32"/>
          <w:lang w:eastAsia="zh-CN"/>
        </w:rPr>
        <w:drawing>
          <wp:inline distT="0" distB="0" distL="114300" distR="114300">
            <wp:extent cx="5903595" cy="4161155"/>
            <wp:effectExtent l="0" t="0" r="1905" b="4445"/>
            <wp:docPr id="12" name="图片 1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片1"/>
                    <pic:cNvPicPr>
                      <a:picLocks noChangeAspect="1"/>
                    </pic:cNvPicPr>
                  </pic:nvPicPr>
                  <pic:blipFill>
                    <a:blip r:embed="rId23"/>
                    <a:stretch>
                      <a:fillRect/>
                    </a:stretch>
                  </pic:blipFill>
                  <pic:spPr>
                    <a:xfrm>
                      <a:off x="0" y="0"/>
                      <a:ext cx="5903595" cy="4161155"/>
                    </a:xfrm>
                    <a:prstGeom prst="rect">
                      <a:avLst/>
                    </a:prstGeom>
                  </pic:spPr>
                </pic:pic>
              </a:graphicData>
            </a:graphic>
          </wp:inline>
        </w:drawing>
      </w:r>
    </w:p>
    <w:p>
      <w:pPr>
        <w:pStyle w:val="2"/>
        <w:rPr>
          <w:rFonts w:hint="eastAsia" w:ascii="宋体" w:hAnsi="宋体" w:eastAsia="宋体" w:cs="宋体"/>
          <w:b/>
          <w:sz w:val="32"/>
          <w:lang w:eastAsia="zh-CN"/>
        </w:rPr>
      </w:pPr>
    </w:p>
    <w:p>
      <w:pPr>
        <w:pStyle w:val="2"/>
        <w:rPr>
          <w:rFonts w:hint="eastAsia" w:ascii="宋体" w:hAnsi="宋体" w:eastAsia="宋体" w:cs="宋体"/>
          <w:b/>
          <w:sz w:val="32"/>
          <w:lang w:eastAsia="zh-CN"/>
        </w:rPr>
      </w:pPr>
    </w:p>
    <w:bookmarkEnd w:id="18"/>
    <w:p>
      <w:pPr>
        <w:rPr>
          <w:rFonts w:hint="eastAsia" w:ascii="宋体" w:hAnsi="宋体" w:eastAsia="宋体" w:cs="宋体"/>
        </w:rPr>
      </w:pPr>
      <w:bookmarkStart w:id="19" w:name="_Toc374512410"/>
      <w:bookmarkStart w:id="20" w:name="_Toc26492"/>
      <w:bookmarkStart w:id="21" w:name="_Toc490161260"/>
      <w:bookmarkStart w:id="22" w:name="_Toc2200"/>
      <w:bookmarkStart w:id="23" w:name="_Toc487805903"/>
      <w:bookmarkStart w:id="24" w:name="_Toc461962051"/>
      <w:bookmarkStart w:id="25" w:name="_Toc373230023"/>
      <w:bookmarkStart w:id="26" w:name="_Toc477423243"/>
      <w:r>
        <w:rPr>
          <w:rFonts w:hint="eastAsia" w:ascii="宋体" w:hAnsi="宋体" w:eastAsia="宋体" w:cs="宋体"/>
        </w:rPr>
        <w:br w:type="page"/>
      </w:r>
    </w:p>
    <w:p>
      <w:pPr>
        <w:pStyle w:val="4"/>
        <w:spacing w:before="0" w:after="0" w:line="240" w:lineRule="auto"/>
        <w:jc w:val="center"/>
        <w:rPr>
          <w:rFonts w:hint="eastAsia" w:ascii="宋体" w:hAnsi="宋体" w:eastAsia="宋体" w:cs="宋体"/>
          <w:sz w:val="28"/>
          <w:szCs w:val="28"/>
        </w:rPr>
      </w:pPr>
      <w:r>
        <w:rPr>
          <w:rFonts w:hint="eastAsia" w:ascii="宋体" w:hAnsi="宋体" w:eastAsia="宋体" w:cs="宋体"/>
          <w:sz w:val="28"/>
          <w:szCs w:val="28"/>
        </w:rPr>
        <w:t>一、总则</w:t>
      </w:r>
      <w:bookmarkEnd w:id="19"/>
      <w:bookmarkEnd w:id="20"/>
      <w:bookmarkEnd w:id="21"/>
      <w:bookmarkEnd w:id="22"/>
      <w:bookmarkEnd w:id="23"/>
      <w:bookmarkEnd w:id="24"/>
      <w:bookmarkEnd w:id="25"/>
      <w:bookmarkEnd w:id="26"/>
    </w:p>
    <w:p>
      <w:pPr>
        <w:numPr>
          <w:ilvl w:val="0"/>
          <w:numId w:val="5"/>
        </w:numPr>
        <w:tabs>
          <w:tab w:val="left" w:pos="424"/>
        </w:tabs>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适用范围</w:t>
      </w:r>
    </w:p>
    <w:p>
      <w:pPr>
        <w:spacing w:line="440" w:lineRule="exact"/>
        <w:ind w:firstLine="429" w:firstLineChars="179"/>
        <w:rPr>
          <w:rFonts w:hint="eastAsia" w:ascii="宋体" w:hAnsi="宋体" w:cs="宋体"/>
          <w:sz w:val="24"/>
          <w:szCs w:val="24"/>
        </w:rPr>
      </w:pPr>
      <w:r>
        <w:rPr>
          <w:rFonts w:hint="eastAsia" w:ascii="宋体" w:hAnsi="宋体" w:cs="宋体"/>
          <w:sz w:val="24"/>
          <w:szCs w:val="24"/>
        </w:rPr>
        <w:t>本磋商文件仅适用于竞争性磋商</w:t>
      </w:r>
      <w:r>
        <w:rPr>
          <w:rFonts w:hint="eastAsia" w:ascii="宋体" w:hAnsi="宋体" w:cs="宋体"/>
          <w:sz w:val="24"/>
          <w:szCs w:val="24"/>
          <w:lang w:eastAsia="zh-CN"/>
        </w:rPr>
        <w:t>文件中第一章竞争性磋商公告</w:t>
      </w:r>
      <w:r>
        <w:rPr>
          <w:rFonts w:hint="eastAsia" w:ascii="宋体" w:hAnsi="宋体" w:cs="宋体"/>
          <w:sz w:val="24"/>
          <w:szCs w:val="24"/>
        </w:rPr>
        <w:t>所述的项目。</w:t>
      </w:r>
    </w:p>
    <w:p>
      <w:pPr>
        <w:numPr>
          <w:ilvl w:val="0"/>
          <w:numId w:val="5"/>
        </w:numPr>
        <w:tabs>
          <w:tab w:val="left" w:pos="424"/>
        </w:tabs>
        <w:spacing w:line="440" w:lineRule="exact"/>
        <w:ind w:left="284" w:leftChars="0" w:hanging="284" w:firstLineChars="0"/>
        <w:rPr>
          <w:rFonts w:hint="eastAsia" w:ascii="宋体" w:hAnsi="宋体" w:cs="宋体"/>
          <w:b/>
          <w:bCs/>
          <w:sz w:val="24"/>
          <w:szCs w:val="24"/>
        </w:rPr>
      </w:pPr>
      <w:r>
        <w:rPr>
          <w:rFonts w:hint="eastAsia" w:ascii="宋体" w:hAnsi="宋体" w:cs="宋体"/>
          <w:b/>
          <w:sz w:val="24"/>
          <w:szCs w:val="24"/>
        </w:rPr>
        <w:t>定义</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“采购人” 见供应商须知前附表；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“采购代理机构”见供应商须知前附表；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“供应商”是指响应磋商、参加磋商竞争的法人、其他组织或者自然人</w:t>
      </w:r>
      <w:r>
        <w:rPr>
          <w:rFonts w:hint="eastAsia" w:ascii="宋体" w:hAnsi="宋体" w:cs="宋体"/>
          <w:sz w:val="24"/>
          <w:szCs w:val="24"/>
          <w:lang w:eastAsia="zh-CN"/>
        </w:rPr>
        <w:t>；</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“成交供应商”是指依据本竞争性磋商文件规定经评审被最终授予合同的供应商</w:t>
      </w:r>
      <w:r>
        <w:rPr>
          <w:rFonts w:hint="eastAsia" w:ascii="宋体" w:hAnsi="宋体" w:cs="宋体"/>
          <w:sz w:val="24"/>
          <w:szCs w:val="24"/>
          <w:lang w:eastAsia="zh-CN"/>
        </w:rPr>
        <w:t>；</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“设立登记证书”是指</w:t>
      </w:r>
      <w:r>
        <w:rPr>
          <w:rFonts w:hint="eastAsia" w:ascii="宋体" w:hAnsi="宋体" w:cs="宋体"/>
          <w:sz w:val="24"/>
          <w:szCs w:val="24"/>
        </w:rPr>
        <w:fldChar w:fldCharType="begin"/>
      </w:r>
      <w:r>
        <w:rPr>
          <w:rFonts w:hint="eastAsia" w:ascii="宋体" w:hAnsi="宋体" w:cs="宋体"/>
          <w:sz w:val="24"/>
          <w:szCs w:val="24"/>
        </w:rPr>
        <w:instrText xml:space="preserve"> HYPERLINK "https://baike.baidu.com/item/%E5%B7%A5%E5%95%86%E8%A1%8C%E6%94%BF%E7%AE%A1%E7%90%86%E6%9C%BA%E5%85%B3/2954967" \t "https://baike.baidu.com/item/%E8%90%A5%E4%B8%9A%E6%89%A7%E7%85%A7/_blank" </w:instrText>
      </w:r>
      <w:r>
        <w:rPr>
          <w:rFonts w:hint="eastAsia" w:ascii="宋体" w:hAnsi="宋体" w:cs="宋体"/>
          <w:sz w:val="24"/>
          <w:szCs w:val="24"/>
        </w:rPr>
        <w:fldChar w:fldCharType="separate"/>
      </w:r>
      <w:r>
        <w:rPr>
          <w:rFonts w:hint="eastAsia" w:ascii="宋体" w:hAnsi="宋体" w:cs="宋体"/>
          <w:sz w:val="24"/>
          <w:szCs w:val="24"/>
        </w:rPr>
        <w:t>工商行政管理机关</w:t>
      </w:r>
      <w:r>
        <w:rPr>
          <w:rFonts w:hint="eastAsia" w:ascii="宋体" w:hAnsi="宋体" w:cs="宋体"/>
          <w:sz w:val="24"/>
          <w:szCs w:val="24"/>
        </w:rPr>
        <w:fldChar w:fldCharType="end"/>
      </w:r>
      <w:r>
        <w:rPr>
          <w:rFonts w:hint="eastAsia" w:ascii="宋体" w:hAnsi="宋体" w:cs="宋体"/>
          <w:sz w:val="24"/>
          <w:szCs w:val="24"/>
        </w:rPr>
        <w:t>或市场监督管理部门颁发的营业执照，或民政部门颁发的民办非企业单位登记证书，或司法行政机关颁发的律师事务所执业许可证等凭证；</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“法定代表人”系指“设立登记证书”上注明的法定代表人、负责人或经营者等</w:t>
      </w:r>
      <w:r>
        <w:rPr>
          <w:rFonts w:hint="eastAsia" w:ascii="宋体" w:hAnsi="宋体" w:cs="宋体"/>
          <w:sz w:val="24"/>
          <w:szCs w:val="24"/>
          <w:lang w:eastAsia="zh-CN"/>
        </w:rPr>
        <w:t>；</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“重大违法行为”系指供应商因违法经营受到刑事处罚或者责令停业停产、吊销许可证或者执照、较大数额罚款等行政处罚；</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“原公告发布媒体”是指《河南省政府采购网》、《焦作市公共资源交易中心网》、《武陟县公共资源交易中心网》</w:t>
      </w:r>
      <w:r>
        <w:rPr>
          <w:rFonts w:hint="eastAsia" w:ascii="宋体" w:hAnsi="宋体" w:cs="宋体"/>
          <w:sz w:val="24"/>
          <w:szCs w:val="24"/>
          <w:lang w:eastAsia="zh-CN"/>
        </w:rPr>
        <w:t>。</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5"/>
        </w:numPr>
        <w:spacing w:line="440" w:lineRule="exact"/>
        <w:ind w:left="284" w:leftChars="0" w:hanging="284" w:firstLineChars="0"/>
        <w:rPr>
          <w:rFonts w:hint="eastAsia" w:ascii="宋体" w:hAnsi="宋体" w:cs="宋体"/>
          <w:sz w:val="24"/>
          <w:szCs w:val="24"/>
        </w:rPr>
      </w:pPr>
      <w:r>
        <w:rPr>
          <w:rFonts w:hint="eastAsia" w:ascii="宋体" w:hAnsi="宋体" w:cs="宋体"/>
          <w:b/>
          <w:sz w:val="24"/>
          <w:szCs w:val="24"/>
        </w:rPr>
        <w:t>合格的供应商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符合《中华人民共和国政府采购法》第二十二条规定的条件。</w:t>
      </w:r>
    </w:p>
    <w:p>
      <w:pPr>
        <w:pStyle w:val="80"/>
        <w:spacing w:line="440" w:lineRule="exact"/>
        <w:ind w:firstLine="480" w:firstLineChars="200"/>
        <w:rPr>
          <w:rFonts w:hint="eastAsia"/>
          <w:sz w:val="24"/>
          <w:szCs w:val="24"/>
        </w:rPr>
      </w:pPr>
      <w:r>
        <w:rPr>
          <w:rFonts w:hint="eastAsia"/>
          <w:sz w:val="24"/>
          <w:szCs w:val="24"/>
        </w:rPr>
        <w:t>3.1.1具有有效的“设立登记证书”；</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3.1.2具有依法缴纳税收的相关证明材料：</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 xml:space="preserve">“依法缴纳税收的相关证明材料”是指提交响应文件截止时间前近六个月任意一个月依法缴纳税收的证明材料。依法免税的供应商，能提供相应文件证明其依法免税。 </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3.1.3具有依法缴纳社会保障资金的相关证明材料：</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3.1.4具有经政府审计部门或会计事务所审计的202</w:t>
      </w:r>
      <w:r>
        <w:rPr>
          <w:rFonts w:hint="eastAsia" w:hAnsi="宋体" w:cs="宋体"/>
          <w:bCs/>
          <w:color w:val="auto"/>
          <w:kern w:val="2"/>
          <w:sz w:val="24"/>
          <w:szCs w:val="24"/>
          <w:lang w:val="en-US" w:eastAsia="zh-CN"/>
        </w:rPr>
        <w:t>2</w:t>
      </w:r>
      <w:r>
        <w:rPr>
          <w:rFonts w:hint="eastAsia" w:hAnsi="宋体" w:cs="宋体"/>
          <w:bCs/>
          <w:color w:val="auto"/>
          <w:kern w:val="2"/>
          <w:sz w:val="24"/>
          <w:szCs w:val="24"/>
        </w:rPr>
        <w:t>年度财务审计报告（新成立企业不足一年的，提供最近一个月的财务报表。）或其基本开户银行出具的资信证明。</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3.1.5具备履行合同所必需的设备和专业技术能力的证明材料；</w:t>
      </w:r>
    </w:p>
    <w:p>
      <w:pPr>
        <w:pStyle w:val="80"/>
        <w:spacing w:line="440" w:lineRule="exact"/>
        <w:ind w:firstLine="480" w:firstLineChars="200"/>
        <w:rPr>
          <w:rFonts w:hint="eastAsia" w:hAnsi="宋体" w:cs="宋体"/>
          <w:bCs/>
          <w:color w:val="auto"/>
          <w:kern w:val="2"/>
          <w:sz w:val="24"/>
          <w:szCs w:val="24"/>
        </w:rPr>
      </w:pPr>
      <w:r>
        <w:rPr>
          <w:rFonts w:hint="eastAsia" w:hAnsi="宋体" w:cs="宋体"/>
          <w:bCs/>
          <w:color w:val="auto"/>
          <w:kern w:val="2"/>
          <w:sz w:val="24"/>
          <w:szCs w:val="24"/>
        </w:rPr>
        <w:t>3.1.6参加政府采购活动前3年内在经营活动中没有重大违法记录的书面声明；</w:t>
      </w:r>
    </w:p>
    <w:p>
      <w:pPr>
        <w:pStyle w:val="80"/>
        <w:spacing w:line="440" w:lineRule="exact"/>
        <w:ind w:firstLine="482" w:firstLineChars="200"/>
        <w:rPr>
          <w:rFonts w:hint="eastAsia"/>
          <w:b/>
          <w:bCs/>
          <w:sz w:val="24"/>
          <w:szCs w:val="24"/>
        </w:rPr>
      </w:pPr>
      <w:r>
        <w:rPr>
          <w:rFonts w:hint="eastAsia"/>
          <w:b/>
          <w:bCs/>
          <w:sz w:val="24"/>
          <w:szCs w:val="24"/>
        </w:rPr>
        <w:t>注：1.供应商在响应时，按照竞争性磋商文件规定提供《武陟县政府采购供应商资格信用承诺函》，无需再提交上述证明材料。</w:t>
      </w:r>
    </w:p>
    <w:p>
      <w:pPr>
        <w:pStyle w:val="80"/>
        <w:spacing w:line="440" w:lineRule="exact"/>
        <w:ind w:firstLine="480" w:firstLineChars="200"/>
        <w:rPr>
          <w:rFonts w:hint="eastAsia"/>
          <w:sz w:val="24"/>
          <w:szCs w:val="24"/>
        </w:rPr>
      </w:pPr>
      <w:r>
        <w:rPr>
          <w:rFonts w:hint="eastAsia"/>
          <w:sz w:val="24"/>
          <w:szCs w:val="24"/>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符合本磋商文件规定的资格要求及项目要求的其它条件，并按照要求提供相关证明材料。</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供应商应遵守国家法律、法规和有关政府采购的规定。</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已按竞争性磋商公告要求获取竞争性磋商文件的。</w:t>
      </w:r>
    </w:p>
    <w:p>
      <w:pPr>
        <w:numPr>
          <w:ilvl w:val="1"/>
          <w:numId w:val="5"/>
        </w:numPr>
        <w:spacing w:line="440" w:lineRule="exact"/>
        <w:ind w:left="0" w:leftChars="0" w:firstLine="425" w:firstLineChars="0"/>
        <w:rPr>
          <w:rFonts w:hint="eastAsia" w:ascii="宋体" w:hAnsi="宋体" w:cs="宋体"/>
          <w:b/>
          <w:bCs/>
          <w:sz w:val="24"/>
          <w:szCs w:val="24"/>
        </w:rPr>
      </w:pPr>
      <w:r>
        <w:rPr>
          <w:rFonts w:hint="eastAsia" w:ascii="宋体" w:hAnsi="宋体" w:cs="宋体"/>
          <w:b/>
          <w:bCs/>
          <w:sz w:val="24"/>
          <w:szCs w:val="24"/>
        </w:rPr>
        <w:t>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82" w:firstLineChars="200"/>
        <w:rPr>
          <w:rFonts w:hint="eastAsia" w:ascii="宋体" w:hAnsi="宋体" w:cs="宋体"/>
          <w:b/>
          <w:sz w:val="24"/>
          <w:szCs w:val="24"/>
        </w:rPr>
      </w:pPr>
      <w:r>
        <w:rPr>
          <w:rFonts w:hint="eastAsia" w:ascii="宋体" w:hAnsi="宋体" w:cs="宋体"/>
          <w:b/>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82" w:firstLineChars="200"/>
        <w:rPr>
          <w:rFonts w:hint="eastAsia" w:ascii="宋体" w:hAnsi="宋体" w:cs="宋体"/>
          <w:b/>
          <w:sz w:val="24"/>
          <w:szCs w:val="24"/>
        </w:rPr>
      </w:pPr>
      <w:r>
        <w:rPr>
          <w:rFonts w:hint="eastAsia" w:ascii="宋体" w:hAnsi="宋体" w:cs="宋体"/>
          <w:b/>
          <w:sz w:val="24"/>
          <w:szCs w:val="24"/>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numPr>
          <w:ilvl w:val="1"/>
          <w:numId w:val="5"/>
        </w:numPr>
        <w:spacing w:line="440" w:lineRule="exact"/>
        <w:ind w:left="0" w:leftChars="0" w:firstLine="425" w:firstLineChars="0"/>
        <w:rPr>
          <w:rFonts w:hint="eastAsia" w:ascii="宋体" w:hAnsi="宋体" w:cs="宋体"/>
          <w:b/>
          <w:bCs/>
          <w:color w:val="FF0000"/>
          <w:sz w:val="24"/>
          <w:szCs w:val="24"/>
          <w:highlight w:val="none"/>
        </w:rPr>
      </w:pPr>
      <w:r>
        <w:rPr>
          <w:rFonts w:hint="eastAsia" w:ascii="宋体" w:hAnsi="宋体" w:cs="宋体"/>
          <w:b w:val="0"/>
          <w:bCs w:val="0"/>
          <w:sz w:val="24"/>
          <w:szCs w:val="24"/>
          <w:highlight w:val="none"/>
        </w:rPr>
        <w:t>单位负责人为同一人或者存在直接控股、管理关系的不同供应商，不得参加同一合同项下的政府采购活动。</w:t>
      </w:r>
    </w:p>
    <w:p>
      <w:pPr>
        <w:numPr>
          <w:ilvl w:val="0"/>
          <w:numId w:val="5"/>
        </w:numPr>
        <w:spacing w:line="440" w:lineRule="exact"/>
        <w:ind w:left="284" w:leftChars="0" w:hanging="284" w:firstLineChars="0"/>
        <w:rPr>
          <w:rFonts w:hint="eastAsia" w:ascii="宋体" w:hAnsi="宋体" w:cs="宋体"/>
          <w:sz w:val="24"/>
          <w:szCs w:val="24"/>
        </w:rPr>
      </w:pPr>
      <w:r>
        <w:rPr>
          <w:rFonts w:hint="eastAsia" w:ascii="宋体" w:hAnsi="宋体" w:cs="宋体"/>
          <w:b/>
          <w:sz w:val="24"/>
          <w:szCs w:val="24"/>
        </w:rPr>
        <w:t>磋商费用</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供应商应承担所有与准备和参加磋商有关的费用。不论磋商结果如何，采购代理机构、采购人均无义务和责任承担这些费用。</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需要落实的政府采购政策：见供应商须知前附表</w:t>
      </w:r>
    </w:p>
    <w:p>
      <w:pPr>
        <w:pStyle w:val="4"/>
        <w:spacing w:line="440" w:lineRule="exact"/>
        <w:jc w:val="center"/>
        <w:rPr>
          <w:rFonts w:hint="eastAsia" w:ascii="宋体" w:hAnsi="宋体" w:eastAsia="宋体" w:cs="宋体"/>
          <w:sz w:val="28"/>
          <w:szCs w:val="28"/>
        </w:rPr>
      </w:pPr>
      <w:bookmarkStart w:id="27" w:name="_Toc487805904"/>
      <w:bookmarkStart w:id="28" w:name="_Toc12084"/>
      <w:bookmarkStart w:id="29" w:name="_Toc477423244"/>
      <w:bookmarkStart w:id="30" w:name="_Toc490161261"/>
      <w:bookmarkStart w:id="31" w:name="_Toc461962052"/>
      <w:bookmarkStart w:id="32" w:name="_Toc23018"/>
      <w:bookmarkStart w:id="33" w:name="_Toc374512411"/>
      <w:bookmarkStart w:id="34" w:name="_Toc373230024"/>
      <w:r>
        <w:rPr>
          <w:rFonts w:hint="eastAsia" w:ascii="宋体" w:hAnsi="宋体" w:eastAsia="宋体" w:cs="宋体"/>
          <w:sz w:val="28"/>
          <w:szCs w:val="28"/>
        </w:rPr>
        <w:t>二、磋商文件</w:t>
      </w:r>
      <w:bookmarkEnd w:id="27"/>
      <w:bookmarkEnd w:id="28"/>
      <w:bookmarkEnd w:id="29"/>
      <w:bookmarkEnd w:id="30"/>
      <w:bookmarkEnd w:id="31"/>
      <w:bookmarkEnd w:id="32"/>
      <w:bookmarkEnd w:id="33"/>
      <w:bookmarkEnd w:id="34"/>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磋商文件的组成</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磋商文件包括下列内容：</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第一章</w:t>
      </w:r>
      <w:r>
        <w:rPr>
          <w:rFonts w:hint="eastAsia" w:ascii="宋体" w:hAnsi="宋体" w:cs="宋体"/>
          <w:bCs/>
          <w:sz w:val="24"/>
          <w:szCs w:val="24"/>
          <w:lang w:val="en-US" w:eastAsia="zh-CN"/>
        </w:rPr>
        <w:t xml:space="preserve">  </w:t>
      </w:r>
      <w:r>
        <w:rPr>
          <w:rFonts w:hint="eastAsia" w:ascii="宋体" w:hAnsi="宋体" w:cs="宋体"/>
          <w:bCs/>
          <w:sz w:val="24"/>
          <w:szCs w:val="24"/>
        </w:rPr>
        <w:t>竞争性磋商公告</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第二章</w:t>
      </w:r>
      <w:r>
        <w:rPr>
          <w:rFonts w:hint="eastAsia" w:ascii="宋体" w:hAnsi="宋体" w:cs="宋体"/>
          <w:bCs/>
          <w:sz w:val="24"/>
          <w:szCs w:val="24"/>
          <w:lang w:val="en-US" w:eastAsia="zh-CN"/>
        </w:rPr>
        <w:t xml:space="preserve">  </w:t>
      </w:r>
      <w:r>
        <w:rPr>
          <w:rFonts w:hint="eastAsia" w:ascii="宋体" w:hAnsi="宋体" w:cs="宋体"/>
          <w:bCs/>
          <w:sz w:val="24"/>
          <w:szCs w:val="24"/>
        </w:rPr>
        <w:t>供应商须知</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第三章</w:t>
      </w:r>
      <w:r>
        <w:rPr>
          <w:rFonts w:hint="eastAsia" w:ascii="宋体" w:hAnsi="宋体" w:cs="宋体"/>
          <w:bCs/>
          <w:sz w:val="24"/>
          <w:szCs w:val="24"/>
          <w:lang w:val="en-US" w:eastAsia="zh-CN"/>
        </w:rPr>
        <w:t xml:space="preserve">  </w:t>
      </w:r>
      <w:r>
        <w:rPr>
          <w:rFonts w:hint="eastAsia" w:ascii="宋体" w:hAnsi="宋体" w:cs="宋体"/>
          <w:bCs/>
          <w:sz w:val="24"/>
          <w:szCs w:val="24"/>
        </w:rPr>
        <w:t>评审方法和评审标准</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第四章</w:t>
      </w:r>
      <w:r>
        <w:rPr>
          <w:rFonts w:hint="eastAsia" w:ascii="宋体" w:hAnsi="宋体" w:cs="宋体"/>
          <w:bCs/>
          <w:sz w:val="24"/>
          <w:szCs w:val="24"/>
          <w:lang w:val="en-US" w:eastAsia="zh-CN"/>
        </w:rPr>
        <w:t xml:space="preserve">  </w:t>
      </w:r>
      <w:r>
        <w:rPr>
          <w:rFonts w:hint="eastAsia" w:ascii="宋体" w:hAnsi="宋体" w:cs="宋体"/>
          <w:bCs/>
          <w:sz w:val="24"/>
          <w:szCs w:val="24"/>
        </w:rPr>
        <w:t>拟签订的合同文本</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第五章</w:t>
      </w:r>
      <w:r>
        <w:rPr>
          <w:rFonts w:hint="eastAsia" w:ascii="宋体" w:hAnsi="宋体" w:cs="宋体"/>
          <w:bCs/>
          <w:sz w:val="24"/>
          <w:szCs w:val="24"/>
          <w:lang w:val="en-US" w:eastAsia="zh-CN"/>
        </w:rPr>
        <w:t xml:space="preserve">  </w:t>
      </w:r>
      <w:r>
        <w:rPr>
          <w:rFonts w:hint="eastAsia" w:ascii="宋体" w:hAnsi="宋体" w:cs="宋体"/>
          <w:bCs/>
          <w:sz w:val="24"/>
          <w:szCs w:val="24"/>
        </w:rPr>
        <w:t>采购需求</w:t>
      </w:r>
    </w:p>
    <w:p>
      <w:pPr>
        <w:tabs>
          <w:tab w:val="left" w:pos="0"/>
          <w:tab w:val="left" w:pos="720"/>
          <w:tab w:val="left" w:pos="839"/>
          <w:tab w:val="left" w:pos="1134"/>
        </w:tabs>
        <w:spacing w:line="440" w:lineRule="exact"/>
        <w:ind w:firstLine="480" w:firstLineChars="200"/>
        <w:rPr>
          <w:rFonts w:hint="eastAsia" w:ascii="宋体" w:hAnsi="宋体" w:cs="宋体"/>
          <w:bCs/>
          <w:sz w:val="24"/>
          <w:szCs w:val="24"/>
        </w:rPr>
      </w:pPr>
      <w:r>
        <w:rPr>
          <w:rFonts w:hint="eastAsia" w:ascii="宋体" w:hAnsi="宋体" w:cs="宋体"/>
          <w:bCs/>
          <w:sz w:val="24"/>
          <w:szCs w:val="24"/>
        </w:rPr>
        <w:t>第六章</w:t>
      </w:r>
      <w:r>
        <w:rPr>
          <w:rFonts w:hint="eastAsia" w:ascii="宋体" w:hAnsi="宋体" w:cs="宋体"/>
          <w:bCs/>
          <w:sz w:val="24"/>
          <w:szCs w:val="24"/>
          <w:lang w:val="en-US" w:eastAsia="zh-CN"/>
        </w:rPr>
        <w:t xml:space="preserve">  </w:t>
      </w:r>
      <w:r>
        <w:rPr>
          <w:rFonts w:hint="eastAsia" w:ascii="宋体" w:hAnsi="宋体" w:cs="宋体"/>
          <w:bCs/>
          <w:sz w:val="24"/>
          <w:szCs w:val="24"/>
        </w:rPr>
        <w:t>响应文件格式</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除以上内容外，采购代理机构在提交响应文件截止时间前，在原公告发布媒体上发出的对磋商文件的更正、澄清或修改内容，均为磋商文件的组成部分，对采购人和供应商均起约束作用。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磋商文件的澄清或修改</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磋商文件的澄清或修改将在原公告发布媒体上发布，磋商文件的澄清或修改内容作为磋商文件的组成部分，对采购人和供应商均具有约束作用；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磋商文件的澄清、修改、补充等在同一内容的表述不一致时，以最后发出的通知为准；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5"/>
        </w:numPr>
        <w:spacing w:line="440" w:lineRule="exact"/>
        <w:ind w:left="284" w:leftChars="0" w:hanging="284" w:firstLineChars="0"/>
        <w:rPr>
          <w:rFonts w:ascii="宋体" w:hAnsi="宋体" w:cs="宋体"/>
          <w:b/>
          <w:sz w:val="24"/>
          <w:szCs w:val="24"/>
        </w:rPr>
      </w:pPr>
      <w:r>
        <w:rPr>
          <w:rFonts w:hint="eastAsia" w:ascii="宋体" w:hAnsi="宋体" w:cs="宋体"/>
          <w:b/>
          <w:sz w:val="24"/>
          <w:szCs w:val="24"/>
        </w:rPr>
        <w:t>磋商文件的约束力</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供应商一旦获取了本磋商文件并参加磋商，即被认为对本磋商文件中的所有条件和规定均无异议。</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lang w:val="en-US" w:eastAsia="zh-CN"/>
        </w:rPr>
        <w:t>供应商如认为本</w:t>
      </w:r>
      <w:r>
        <w:rPr>
          <w:rFonts w:hint="eastAsia" w:ascii="宋体" w:hAnsi="宋体" w:cs="宋体"/>
          <w:sz w:val="24"/>
          <w:szCs w:val="24"/>
        </w:rPr>
        <w:t>磋商</w:t>
      </w:r>
      <w:r>
        <w:rPr>
          <w:rFonts w:hint="eastAsia" w:ascii="宋体" w:hAnsi="宋体" w:cs="宋体"/>
          <w:sz w:val="24"/>
          <w:szCs w:val="24"/>
          <w:lang w:val="en-US" w:eastAsia="zh-CN"/>
        </w:rPr>
        <w:t>文件含有倾向性或排斥潜在供应商的条款而使自己的权益受到损害的，请以书面形式向采购人或采购代理机构提出，否则，将视为对本磋商文件要求无任何异议，并不得因此在响应文件提交截</w:t>
      </w:r>
      <w:r>
        <w:rPr>
          <w:rFonts w:hint="eastAsia" w:ascii="宋体" w:hAnsi="宋体" w:cs="宋体"/>
          <w:sz w:val="24"/>
          <w:szCs w:val="24"/>
        </w:rPr>
        <w:t>止时间</w:t>
      </w:r>
      <w:r>
        <w:rPr>
          <w:rFonts w:hint="eastAsia" w:ascii="宋体" w:hAnsi="宋体" w:cs="宋体"/>
          <w:sz w:val="24"/>
          <w:szCs w:val="24"/>
          <w:lang w:val="en-US" w:eastAsia="zh-CN"/>
        </w:rPr>
        <w:t>后提出任何异议。</w:t>
      </w:r>
    </w:p>
    <w:p>
      <w:pPr>
        <w:pStyle w:val="4"/>
        <w:numPr>
          <w:ilvl w:val="0"/>
          <w:numId w:val="6"/>
        </w:numPr>
        <w:spacing w:line="440" w:lineRule="exact"/>
        <w:jc w:val="center"/>
        <w:rPr>
          <w:rFonts w:hint="eastAsia" w:ascii="宋体" w:hAnsi="宋体" w:eastAsia="宋体" w:cs="宋体"/>
          <w:sz w:val="28"/>
          <w:szCs w:val="28"/>
        </w:rPr>
      </w:pPr>
      <w:bookmarkStart w:id="35" w:name="_Toc490161262"/>
      <w:bookmarkStart w:id="36" w:name="_Toc461962053"/>
      <w:bookmarkStart w:id="37" w:name="_Toc477423245"/>
      <w:bookmarkStart w:id="38" w:name="_Toc373230025"/>
      <w:bookmarkStart w:id="39" w:name="_Toc6048"/>
      <w:bookmarkStart w:id="40" w:name="_Toc374512412"/>
      <w:bookmarkStart w:id="41" w:name="_Toc487805905"/>
      <w:bookmarkStart w:id="42" w:name="_Toc26181"/>
      <w:r>
        <w:rPr>
          <w:rFonts w:hint="eastAsia" w:ascii="宋体" w:hAnsi="宋体" w:eastAsia="宋体" w:cs="宋体"/>
          <w:sz w:val="28"/>
          <w:szCs w:val="28"/>
        </w:rPr>
        <w:t>响应文件的编制</w:t>
      </w:r>
      <w:bookmarkEnd w:id="35"/>
      <w:bookmarkEnd w:id="36"/>
      <w:bookmarkEnd w:id="37"/>
      <w:bookmarkEnd w:id="38"/>
      <w:bookmarkEnd w:id="39"/>
      <w:bookmarkEnd w:id="40"/>
      <w:bookmarkEnd w:id="41"/>
      <w:bookmarkEnd w:id="42"/>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要求</w:t>
      </w:r>
    </w:p>
    <w:p>
      <w:pPr>
        <w:numPr>
          <w:ilvl w:val="1"/>
          <w:numId w:val="5"/>
        </w:numPr>
        <w:spacing w:line="440" w:lineRule="exact"/>
        <w:ind w:left="0" w:leftChars="0" w:firstLine="425" w:firstLineChars="0"/>
        <w:rPr>
          <w:rFonts w:hint="eastAsia" w:ascii="宋体" w:hAnsi="宋体" w:cs="宋体"/>
          <w:sz w:val="24"/>
          <w:szCs w:val="24"/>
          <w:lang w:eastAsia="zh-CN"/>
        </w:rPr>
      </w:pPr>
      <w:r>
        <w:rPr>
          <w:rFonts w:hint="eastAsia" w:ascii="宋体" w:hAnsi="宋体" w:cs="宋体"/>
          <w:sz w:val="24"/>
          <w:szCs w:val="24"/>
        </w:rPr>
        <w:t>供应商应仔细阅读、并充分理解磋商文件的所有内容，按照磋商文件的要求编制、提交响应文件。</w:t>
      </w:r>
      <w:r>
        <w:rPr>
          <w:rFonts w:hint="eastAsia" w:ascii="宋体" w:hAnsi="宋体" w:cs="宋体"/>
          <w:sz w:val="24"/>
          <w:szCs w:val="24"/>
          <w:lang w:eastAsia="zh-CN"/>
        </w:rPr>
        <w:tab/>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供应商与采购人、采购代理机构的任何口头协议均不影响磋商文件、响应文件的任何条款和内容。</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响应文件的语言及度量衡单位</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除相关技术规范另有规定外，响应文件使用的度量衡单位，均采用中华人民共和国法定计量单位；</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本竞争性磋商文件所表述的时间均为北京时间。</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响应文件的组成</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供应商提交的响应文件应当使用磋商文件所提供的响应文件格式，未提供格式的供应商自拟。</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报价</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报价范围：见投标人须知前附表。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响应性文件中的报价并非最后报价，在磋商结束后由供应商在规定时间内提交最后报价，磋商小组根据供应商的综合得分确定成交供应商，成交供应商其最后的报价为成交价。</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磋商货币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供应商以人民币填报所有单价或价格，合同实施时亦以人民币支付。</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磋商有效期</w:t>
      </w:r>
    </w:p>
    <w:p>
      <w:pPr>
        <w:spacing w:line="440" w:lineRule="exact"/>
        <w:ind w:left="4" w:firstLine="278" w:firstLineChars="116"/>
        <w:rPr>
          <w:rFonts w:hint="eastAsia" w:ascii="宋体" w:hAnsi="宋体" w:cs="宋体"/>
          <w:sz w:val="24"/>
          <w:szCs w:val="24"/>
        </w:rPr>
      </w:pPr>
      <w:r>
        <w:rPr>
          <w:rFonts w:hint="eastAsia" w:ascii="宋体" w:hAnsi="宋体" w:cs="宋体"/>
          <w:sz w:val="24"/>
          <w:szCs w:val="24"/>
        </w:rPr>
        <w:t>磋商有效期见本须知前附表所规定的期限，在此期限内，凡符合本磋商文件要求的响应文件均保持有效；</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磋商保证金:见供应商须知前附表。</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bCs/>
          <w:sz w:val="24"/>
          <w:szCs w:val="24"/>
        </w:rPr>
        <w:t>响应文件的编制、签署、盖章</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加密电子响应文件的编制</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16.1.1加密电子响应文件应按照统一的“电子投标文件制作工具”以及竞争性磋商文件要求进行制作编制；</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16.1.2加密电子响应文件各类证件须与供应商注册登记资料相一致；</w:t>
      </w:r>
    </w:p>
    <w:p>
      <w:pPr>
        <w:spacing w:line="500" w:lineRule="exact"/>
        <w:ind w:firstLine="480" w:firstLineChars="200"/>
        <w:rPr>
          <w:rFonts w:hint="eastAsia" w:ascii="宋体" w:hAnsi="宋体" w:cs="宋体"/>
          <w:sz w:val="24"/>
          <w:szCs w:val="24"/>
        </w:rPr>
      </w:pPr>
      <w:r>
        <w:rPr>
          <w:rFonts w:hint="eastAsia" w:ascii="宋体" w:hAnsi="宋体" w:cs="宋体"/>
          <w:sz w:val="24"/>
          <w:szCs w:val="24"/>
        </w:rPr>
        <w:t>16.1.3</w:t>
      </w:r>
      <w:r>
        <w:rPr>
          <w:rFonts w:hint="eastAsia" w:hAnsi="宋体"/>
          <w:sz w:val="24"/>
          <w:szCs w:val="24"/>
        </w:rPr>
        <w:t>加密电子响应文件未按本竞争性磋商文件中响应文件格式要求加盖电子签章的视为无效文件。</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供应商应完整地填写竞争性磋商文件中规定的所有内容。</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供应商必须保证响应文件所提供的全部资料真实可靠。</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如果因为供应商响应文件填报的内容不详，或没有提供磋商文件中所要求的全部资料及数据，由此造成的后果，其责任由供应商自行承担。</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本竞争性磋商文件所表述（指定）的公章是指法人（供应商）行政公章，不包括专用章，并应与电子签章保持一致。</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电报、电话、传真等形式的响应概不接受。</w:t>
      </w:r>
    </w:p>
    <w:p>
      <w:pPr>
        <w:pStyle w:val="4"/>
        <w:spacing w:line="440" w:lineRule="exact"/>
        <w:jc w:val="center"/>
        <w:rPr>
          <w:rFonts w:hint="eastAsia" w:ascii="宋体" w:hAnsi="宋体" w:eastAsia="宋体" w:cs="宋体"/>
          <w:sz w:val="28"/>
          <w:szCs w:val="28"/>
        </w:rPr>
      </w:pPr>
      <w:bookmarkStart w:id="43" w:name="_Toc373230026"/>
      <w:bookmarkStart w:id="44" w:name="_Toc487805906"/>
      <w:bookmarkStart w:id="45" w:name="_Toc374512413"/>
      <w:bookmarkStart w:id="46" w:name="_Toc461962054"/>
      <w:bookmarkStart w:id="47" w:name="_Toc27919"/>
      <w:bookmarkStart w:id="48" w:name="_Toc10798"/>
      <w:bookmarkStart w:id="49" w:name="_Toc477423246"/>
      <w:bookmarkStart w:id="50" w:name="_Toc490161263"/>
      <w:r>
        <w:rPr>
          <w:rFonts w:hint="eastAsia" w:ascii="宋体" w:hAnsi="宋体" w:eastAsia="宋体" w:cs="宋体"/>
          <w:sz w:val="28"/>
          <w:szCs w:val="28"/>
        </w:rPr>
        <w:t>四、响应文件的提交</w:t>
      </w:r>
      <w:bookmarkEnd w:id="43"/>
      <w:bookmarkEnd w:id="44"/>
      <w:bookmarkEnd w:id="45"/>
      <w:bookmarkEnd w:id="46"/>
      <w:bookmarkEnd w:id="47"/>
      <w:bookmarkEnd w:id="48"/>
      <w:bookmarkEnd w:id="49"/>
      <w:bookmarkEnd w:id="50"/>
    </w:p>
    <w:p>
      <w:pPr>
        <w:numPr>
          <w:ilvl w:val="0"/>
          <w:numId w:val="5"/>
        </w:numPr>
        <w:spacing w:line="440" w:lineRule="exact"/>
        <w:ind w:left="284" w:leftChars="0" w:hanging="284" w:firstLineChars="0"/>
        <w:rPr>
          <w:rFonts w:hint="eastAsia" w:ascii="宋体" w:hAnsi="宋体" w:cs="宋体"/>
          <w:sz w:val="24"/>
          <w:szCs w:val="24"/>
        </w:rPr>
      </w:pPr>
      <w:r>
        <w:rPr>
          <w:rFonts w:hint="eastAsia" w:ascii="宋体" w:hAnsi="宋体" w:cs="宋体"/>
          <w:b/>
          <w:sz w:val="24"/>
          <w:szCs w:val="24"/>
        </w:rPr>
        <w:t>响应文件的提交：</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所有响应文件必须在本磋商文件中规定的响应文件截止时间之前提前上传响应文件，并在响应文件开启截止时间前登录不见面开标大厅，按要求解密响应文件，不能按时上传、解密者视为自动放弃磋商；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采购人拒绝接收在响应文件递交截止时间后上传的响应文件。</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响应文件提交的截止时间</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响应文件的递交截止时间及地点见竞争性磋商公告规定；</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采购代理机构可按本须知规定以修改补充通知的方式，酌情延长递交响应文件的截止时间。</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响应文件的修改与撤回</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参加磋商的供应商在递交响应文件后，可以修改或撤回其响应文件，但这种修改和撤回，必须在规定的响应文件递交截止时间前；</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供应商在响应文件递交截止时间前，可以对所提交的响应文件进行修改或者撤回；</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供应商在响应文件递交截止时间后不得修改、撤回响应文件。</w:t>
      </w:r>
    </w:p>
    <w:p>
      <w:pPr>
        <w:pStyle w:val="4"/>
        <w:spacing w:line="440" w:lineRule="exact"/>
        <w:jc w:val="center"/>
        <w:rPr>
          <w:rFonts w:hint="eastAsia" w:ascii="宋体" w:hAnsi="宋体" w:eastAsia="宋体" w:cs="宋体"/>
          <w:sz w:val="28"/>
          <w:szCs w:val="28"/>
        </w:rPr>
      </w:pPr>
      <w:bookmarkStart w:id="51" w:name="_Toc461962055"/>
      <w:bookmarkStart w:id="52" w:name="_Toc374512414"/>
      <w:bookmarkStart w:id="53" w:name="_Toc373230027"/>
      <w:bookmarkStart w:id="54" w:name="_Toc217235123"/>
      <w:bookmarkStart w:id="55" w:name="_Toc6236"/>
      <w:bookmarkStart w:id="56" w:name="_Toc9653"/>
      <w:bookmarkStart w:id="57" w:name="_Toc477423247"/>
      <w:bookmarkStart w:id="58" w:name="_Toc487805907"/>
      <w:bookmarkStart w:id="59" w:name="_Toc490161264"/>
      <w:r>
        <w:rPr>
          <w:rFonts w:hint="eastAsia" w:ascii="宋体" w:hAnsi="宋体" w:eastAsia="宋体" w:cs="宋体"/>
          <w:sz w:val="28"/>
          <w:szCs w:val="28"/>
        </w:rPr>
        <w:t>五、磋商</w:t>
      </w:r>
      <w:bookmarkEnd w:id="51"/>
      <w:bookmarkEnd w:id="52"/>
      <w:bookmarkEnd w:id="53"/>
      <w:bookmarkEnd w:id="54"/>
      <w:r>
        <w:rPr>
          <w:rFonts w:hint="eastAsia" w:ascii="宋体" w:hAnsi="宋体" w:eastAsia="宋体" w:cs="宋体"/>
          <w:sz w:val="28"/>
          <w:szCs w:val="28"/>
        </w:rPr>
        <w:t>和评审</w:t>
      </w:r>
      <w:bookmarkEnd w:id="55"/>
      <w:bookmarkEnd w:id="56"/>
      <w:bookmarkEnd w:id="57"/>
      <w:bookmarkEnd w:id="58"/>
      <w:bookmarkEnd w:id="59"/>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bCs/>
          <w:sz w:val="24"/>
          <w:szCs w:val="24"/>
        </w:rPr>
        <w:t>磋商时出现下列情况的，采购人将拒绝其响应文件</w:t>
      </w:r>
      <w:r>
        <w:rPr>
          <w:rFonts w:hint="eastAsia" w:ascii="宋体" w:hAnsi="宋体" w:cs="宋体"/>
          <w:b/>
          <w:sz w:val="24"/>
          <w:szCs w:val="24"/>
        </w:rPr>
        <w:t>：</w:t>
      </w:r>
    </w:p>
    <w:p>
      <w:pPr>
        <w:numPr>
          <w:ilvl w:val="1"/>
          <w:numId w:val="5"/>
        </w:numPr>
        <w:spacing w:line="440" w:lineRule="exact"/>
        <w:ind w:left="0" w:leftChars="0" w:firstLine="425" w:firstLineChars="0"/>
        <w:rPr>
          <w:rFonts w:hint="eastAsia" w:ascii="宋体" w:hAnsi="宋体" w:cs="宋体"/>
          <w:b/>
          <w:sz w:val="24"/>
          <w:szCs w:val="24"/>
        </w:rPr>
      </w:pPr>
      <w:r>
        <w:rPr>
          <w:rFonts w:hint="eastAsia" w:ascii="宋体" w:hAnsi="宋体" w:cs="宋体"/>
          <w:sz w:val="24"/>
          <w:szCs w:val="24"/>
        </w:rPr>
        <w:t>供应商逾期上传电子响应文件的；</w:t>
      </w:r>
    </w:p>
    <w:p>
      <w:pPr>
        <w:numPr>
          <w:ilvl w:val="1"/>
          <w:numId w:val="5"/>
        </w:numPr>
        <w:spacing w:line="440" w:lineRule="exact"/>
        <w:ind w:left="0" w:leftChars="0" w:firstLine="425" w:firstLineChars="0"/>
        <w:rPr>
          <w:rFonts w:hint="eastAsia" w:ascii="宋体" w:hAnsi="宋体" w:cs="宋体"/>
          <w:b/>
          <w:sz w:val="24"/>
          <w:szCs w:val="24"/>
        </w:rPr>
      </w:pPr>
      <w:r>
        <w:rPr>
          <w:rFonts w:hint="eastAsia" w:ascii="宋体" w:hAnsi="宋体" w:cs="宋体"/>
          <w:sz w:val="24"/>
          <w:szCs w:val="24"/>
        </w:rPr>
        <w:t>供应商未按规定的时间内解密响应文件的；</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磋商小组</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w:t>
      </w:r>
      <w:r>
        <w:rPr>
          <w:rFonts w:hint="eastAsia" w:ascii="宋体" w:hAnsi="宋体" w:cs="宋体"/>
          <w:sz w:val="24"/>
          <w:szCs w:val="24"/>
          <w:lang w:eastAsia="zh-CN"/>
        </w:rPr>
        <w:t>的组成：详见供应商须知前附表；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磋商小组负责评审工作，对响应文件进行审查和评估，并向采购人提交书面评审报告</w:t>
      </w:r>
      <w:r>
        <w:rPr>
          <w:rFonts w:hint="eastAsia" w:ascii="宋体" w:hAnsi="宋体" w:cs="宋体"/>
          <w:sz w:val="24"/>
          <w:szCs w:val="24"/>
          <w:lang w:eastAsia="zh-CN"/>
        </w:rPr>
        <w:t>；</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磋商小组所有成员应当集中与单一供应商分别进行磋商，并给予所有参加磋商的供应商平等的磋商机会。</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响应文件的初步评审</w:t>
      </w:r>
    </w:p>
    <w:p>
      <w:pPr>
        <w:spacing w:line="440" w:lineRule="exact"/>
        <w:rPr>
          <w:rFonts w:hint="eastAsia" w:ascii="宋体" w:hAnsi="宋体" w:cs="宋体"/>
          <w:sz w:val="24"/>
          <w:szCs w:val="24"/>
        </w:rPr>
      </w:pPr>
      <w:r>
        <w:rPr>
          <w:rFonts w:hint="eastAsia" w:ascii="宋体" w:hAnsi="宋体" w:cs="宋体"/>
          <w:sz w:val="24"/>
          <w:szCs w:val="24"/>
        </w:rPr>
        <w:t>初步评审分为资格性审查和符合性审查。资格性审查确定供应商是否满足磋商文件规定的资格条件；符合性审查确定响应文件是否对磋商文件的实质性要求作出响应；</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响应文件有下列情形之一的，其磋商视为没有通过资格性审查：</w:t>
      </w:r>
    </w:p>
    <w:p>
      <w:pPr>
        <w:spacing w:line="440" w:lineRule="exact"/>
        <w:ind w:firstLine="420" w:firstLineChars="175"/>
        <w:rPr>
          <w:rFonts w:hint="eastAsia" w:ascii="宋体" w:hAnsi="宋体" w:cs="宋体"/>
          <w:sz w:val="24"/>
          <w:szCs w:val="24"/>
        </w:rPr>
      </w:pPr>
      <w:r>
        <w:rPr>
          <w:rFonts w:hint="eastAsia" w:ascii="宋体" w:hAnsi="宋体" w:cs="宋体"/>
          <w:sz w:val="24"/>
          <w:szCs w:val="24"/>
        </w:rPr>
        <w:t>第六章响应文件格式中</w:t>
      </w:r>
      <w:r>
        <w:rPr>
          <w:rFonts w:hint="eastAsia" w:ascii="宋体" w:hAnsi="宋体" w:cs="宋体"/>
          <w:b/>
          <w:sz w:val="24"/>
          <w:szCs w:val="24"/>
        </w:rPr>
        <w:t>“资格证明材料”</w:t>
      </w:r>
      <w:r>
        <w:rPr>
          <w:rFonts w:hint="eastAsia" w:ascii="宋体" w:hAnsi="宋体" w:cs="宋体"/>
          <w:sz w:val="24"/>
          <w:szCs w:val="24"/>
        </w:rPr>
        <w:t>要求的资格证明文件不全或不符合要求的；</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响应</w:t>
      </w:r>
      <w:r>
        <w:rPr>
          <w:rFonts w:hint="eastAsia" w:ascii="宋体" w:hAnsi="宋体" w:eastAsia="宋体" w:cs="宋体"/>
          <w:color w:val="auto"/>
          <w:sz w:val="24"/>
          <w:szCs w:val="24"/>
          <w:lang w:val="en-US" w:eastAsia="zh-CN"/>
        </w:rPr>
        <w:t>文件制作机器码一致的；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第一轮报价超过磋商文件中规定的</w:t>
      </w:r>
      <w:r>
        <w:rPr>
          <w:rFonts w:hint="eastAsia" w:ascii="宋体" w:hAnsi="宋体" w:eastAsia="宋体" w:cs="宋体"/>
          <w:color w:val="auto"/>
          <w:sz w:val="24"/>
          <w:szCs w:val="24"/>
        </w:rPr>
        <w:t>项目</w:t>
      </w:r>
      <w:r>
        <w:rPr>
          <w:rFonts w:hint="eastAsia" w:ascii="宋体" w:hAnsi="宋体" w:eastAsia="宋体" w:cs="宋体"/>
          <w:b/>
          <w:bCs/>
          <w:color w:val="auto"/>
          <w:sz w:val="24"/>
          <w:szCs w:val="24"/>
          <w:lang w:eastAsia="zh-CN"/>
        </w:rPr>
        <w:t>最高限价</w:t>
      </w:r>
      <w:r>
        <w:rPr>
          <w:rFonts w:hint="eastAsia" w:ascii="宋体" w:hAnsi="宋体" w:eastAsia="宋体" w:cs="宋体"/>
          <w:color w:val="auto"/>
          <w:sz w:val="24"/>
          <w:szCs w:val="24"/>
        </w:rPr>
        <w:t>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cs="宋体"/>
          <w:sz w:val="24"/>
          <w:szCs w:val="24"/>
          <w:lang w:val="en-US" w:eastAsia="zh-CN"/>
        </w:rPr>
        <w:t>6</w:t>
      </w:r>
      <w:r>
        <w:rPr>
          <w:rFonts w:hint="eastAsia" w:ascii="宋体" w:hAnsi="宋体" w:eastAsia="宋体" w:cs="宋体"/>
          <w:sz w:val="24"/>
          <w:szCs w:val="24"/>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8</w:t>
      </w:r>
      <w:r>
        <w:rPr>
          <w:rFonts w:hint="eastAsia" w:ascii="宋体" w:hAnsi="宋体" w:eastAsia="宋体" w:cs="宋体"/>
          <w:sz w:val="24"/>
          <w:szCs w:val="24"/>
          <w:lang w:eastAsia="zh-CN"/>
        </w:rPr>
        <w:t>）</w:t>
      </w:r>
      <w:r>
        <w:rPr>
          <w:rFonts w:hint="eastAsia" w:ascii="宋体" w:hAnsi="宋体" w:eastAsia="宋体" w:cs="宋体"/>
          <w:sz w:val="24"/>
          <w:szCs w:val="24"/>
        </w:rPr>
        <w:t>法律、法规和磋商文件规定的其他无效情形。</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bCs/>
          <w:sz w:val="24"/>
          <w:szCs w:val="24"/>
        </w:rPr>
        <w:t>响应文件有下列情形之一的为无效响应文件，采购代理机构不予受理：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逾期上传响应文件的；</w:t>
      </w:r>
    </w:p>
    <w:p>
      <w:pPr>
        <w:numPr>
          <w:ilvl w:val="1"/>
          <w:numId w:val="5"/>
        </w:numPr>
        <w:spacing w:line="440" w:lineRule="exact"/>
        <w:ind w:left="0" w:leftChars="0" w:firstLine="425" w:firstLineChars="0"/>
        <w:rPr>
          <w:rFonts w:hint="eastAsia" w:ascii="宋体" w:hAnsi="宋体" w:cs="宋体"/>
          <w:sz w:val="24"/>
          <w:szCs w:val="24"/>
          <w:highlight w:val="none"/>
        </w:rPr>
      </w:pPr>
      <w:r>
        <w:rPr>
          <w:rFonts w:hint="eastAsia" w:ascii="宋体" w:hAnsi="宋体" w:cs="宋体"/>
          <w:sz w:val="24"/>
          <w:szCs w:val="24"/>
          <w:highlight w:val="none"/>
        </w:rPr>
        <w:t>在规定的响应文件递交截止时间之前，提交合格的撤回通知的；</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一个供应商不止递交一套同一合同项</w:t>
      </w:r>
      <w:r>
        <w:rPr>
          <w:rFonts w:hint="eastAsia" w:ascii="宋体" w:hAnsi="宋体" w:cs="宋体"/>
          <w:sz w:val="24"/>
          <w:szCs w:val="24"/>
          <w:lang w:eastAsia="zh-CN"/>
        </w:rPr>
        <w:t>目</w:t>
      </w:r>
      <w:r>
        <w:rPr>
          <w:rFonts w:hint="eastAsia" w:ascii="宋体" w:hAnsi="宋体" w:cs="宋体"/>
          <w:sz w:val="24"/>
          <w:szCs w:val="24"/>
        </w:rPr>
        <w:t>下响应文件的。</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响应文件的澄清</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color w:val="auto"/>
          <w:sz w:val="24"/>
          <w:szCs w:val="24"/>
          <w:lang w:eastAsia="zh-CN"/>
        </w:rPr>
        <w:t>第一轮</w:t>
      </w:r>
      <w:r>
        <w:rPr>
          <w:rFonts w:hint="eastAsia" w:ascii="宋体" w:hAnsi="宋体" w:cs="宋体"/>
          <w:color w:val="auto"/>
          <w:sz w:val="24"/>
          <w:szCs w:val="24"/>
        </w:rPr>
        <w:t>报价出现</w:t>
      </w:r>
      <w:r>
        <w:rPr>
          <w:rFonts w:hint="eastAsia" w:ascii="宋体" w:hAnsi="宋体" w:cs="宋体"/>
          <w:sz w:val="24"/>
          <w:szCs w:val="24"/>
        </w:rPr>
        <w:t>不一致的，按照下列规定修正：</w:t>
      </w:r>
    </w:p>
    <w:p>
      <w:pPr>
        <w:numPr>
          <w:ilvl w:val="0"/>
          <w:numId w:val="7"/>
        </w:numPr>
        <w:spacing w:line="440" w:lineRule="exact"/>
        <w:rPr>
          <w:rFonts w:hint="eastAsia" w:ascii="宋体" w:hAnsi="宋体" w:cs="宋体"/>
          <w:sz w:val="24"/>
          <w:szCs w:val="24"/>
        </w:rPr>
      </w:pPr>
      <w:r>
        <w:rPr>
          <w:rFonts w:hint="eastAsia" w:ascii="宋体" w:hAnsi="宋体" w:cs="宋体"/>
          <w:sz w:val="24"/>
          <w:szCs w:val="24"/>
        </w:rPr>
        <w:t>大写金额和小写金额不一致的，以大写金额为准；</w:t>
      </w:r>
    </w:p>
    <w:p>
      <w:pPr>
        <w:numPr>
          <w:ilvl w:val="0"/>
          <w:numId w:val="7"/>
        </w:numPr>
        <w:spacing w:line="440" w:lineRule="exact"/>
        <w:rPr>
          <w:rFonts w:hint="eastAsia" w:ascii="宋体" w:hAnsi="宋体" w:cs="宋体"/>
          <w:sz w:val="24"/>
          <w:szCs w:val="24"/>
        </w:rPr>
      </w:pPr>
      <w:r>
        <w:rPr>
          <w:rFonts w:hint="eastAsia" w:ascii="宋体" w:hAnsi="宋体" w:cs="宋体"/>
          <w:sz w:val="24"/>
          <w:szCs w:val="24"/>
        </w:rPr>
        <w:t>单价金额小数点或者百分比有明显错位的，以总价为准；</w:t>
      </w:r>
    </w:p>
    <w:p>
      <w:pPr>
        <w:numPr>
          <w:ilvl w:val="0"/>
          <w:numId w:val="7"/>
        </w:numPr>
        <w:spacing w:line="440" w:lineRule="exact"/>
        <w:rPr>
          <w:rFonts w:hint="eastAsia" w:ascii="宋体" w:hAnsi="宋体" w:cs="宋体"/>
          <w:sz w:val="24"/>
          <w:szCs w:val="24"/>
        </w:rPr>
      </w:pPr>
      <w:r>
        <w:rPr>
          <w:rFonts w:hint="eastAsia" w:ascii="宋体" w:hAnsi="宋体" w:cs="宋体"/>
          <w:sz w:val="24"/>
          <w:szCs w:val="24"/>
        </w:rPr>
        <w:t>总价金额与按单价汇总金额不一致的，以单价金额计算结果为准。</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同时出现两种以上不一致的，按照前款规定的顺序修正。修正后的报价经供应商确认后产生约束力，供应商不确认的，其响应文件按无效处理。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供应商的澄清、说明或者更正应当由法定代表人或其授权代表签字或者加盖公章。</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供应商的澄清文件是响应文件的组成部分，取代响应文件中被澄清的部分；供应商不予澄清的，其响应文件按无效处理。</w:t>
      </w:r>
    </w:p>
    <w:p>
      <w:pPr>
        <w:numPr>
          <w:ilvl w:val="0"/>
          <w:numId w:val="5"/>
        </w:numPr>
        <w:spacing w:line="440" w:lineRule="exact"/>
        <w:ind w:left="284" w:leftChars="0" w:hanging="284" w:firstLineChars="0"/>
        <w:rPr>
          <w:rFonts w:hint="eastAsia" w:ascii="宋体" w:hAnsi="宋体" w:cs="宋体"/>
          <w:b/>
          <w:sz w:val="24"/>
          <w:szCs w:val="24"/>
        </w:rPr>
      </w:pPr>
      <w:bookmarkStart w:id="60" w:name="_Toc374512415"/>
      <w:bookmarkStart w:id="61" w:name="_Toc373230028"/>
      <w:r>
        <w:rPr>
          <w:rFonts w:hint="eastAsia" w:ascii="宋体" w:hAnsi="宋体" w:cs="宋体"/>
          <w:b/>
          <w:sz w:val="24"/>
          <w:szCs w:val="24"/>
        </w:rPr>
        <w:t>评审方法</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对磋商文件作出的实质性变动是磋商文件的有效组成部分，磋商小组应当及时以书面形式同时通知所有参加磋商的供应商。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供应商应当按照磋商文件的变动情况和磋商小组的要求重新提交响应文件，并由其法定代表人或授权代表签字或者加盖公章。</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磋商结束后，磋商小组应当要求所有实质性响应的供应商在规定时间内提交最后报价，提交最后报价的供应商不得少于3家。符合</w:t>
      </w:r>
      <w:bookmarkStart w:id="62" w:name="_Toc32423"/>
      <w:r>
        <w:rPr>
          <w:rFonts w:hint="eastAsia" w:ascii="宋体" w:hAnsi="宋体" w:cs="宋体"/>
          <w:sz w:val="24"/>
          <w:szCs w:val="24"/>
        </w:rPr>
        <w:t>《政府采购竞争性磋商采购方式管理暂行办法</w:t>
      </w:r>
      <w:bookmarkEnd w:id="62"/>
      <w:r>
        <w:rPr>
          <w:rFonts w:hint="eastAsia" w:ascii="宋体" w:hAnsi="宋体" w:cs="宋体"/>
          <w:sz w:val="24"/>
          <w:szCs w:val="24"/>
        </w:rPr>
        <w:t>》第三条第四项情形的，提交最后报价的供应商可以为2家</w:t>
      </w:r>
      <w:bookmarkStart w:id="63" w:name="_Toc5652"/>
      <w:r>
        <w:rPr>
          <w:rFonts w:hint="eastAsia" w:ascii="宋体" w:hAnsi="宋体" w:cs="宋体"/>
          <w:sz w:val="24"/>
          <w:szCs w:val="24"/>
        </w:rPr>
        <w:t>或符合《财政部关于政府采购竞争性磋商采购方式管理暂行办法有关问题的补充通知</w:t>
      </w:r>
      <w:bookmarkEnd w:id="63"/>
      <w:r>
        <w:rPr>
          <w:rFonts w:hint="eastAsia" w:ascii="宋体" w:hAnsi="宋体" w:cs="宋体"/>
          <w:sz w:val="24"/>
          <w:szCs w:val="24"/>
        </w:rPr>
        <w:t>》，采用竞争性磋商采购方式采购的政府购买服务项目（含政府和社会资本合作项目），在采购过程中符合要求的供应商（社会资本）只有2家的，竞争性磋商采购活动可以继续进行。最后报价是供应商响应文件的有效组成部分。</w:t>
      </w:r>
    </w:p>
    <w:p>
      <w:pPr>
        <w:spacing w:line="440" w:lineRule="exact"/>
        <w:ind w:left="4" w:firstLine="475" w:firstLineChars="198"/>
        <w:rPr>
          <w:rFonts w:hint="eastAsia" w:ascii="宋体" w:hAnsi="宋体" w:cs="宋体"/>
          <w:sz w:val="24"/>
          <w:szCs w:val="24"/>
        </w:rPr>
      </w:pPr>
      <w:r>
        <w:rPr>
          <w:rFonts w:hint="eastAsia" w:ascii="宋体" w:hAnsi="宋体" w:cs="宋体"/>
          <w:sz w:val="24"/>
          <w:szCs w:val="24"/>
        </w:rPr>
        <w:t>经磋商确定最终采购需求和提交最后报价的供应商后，由磋商小组采用综合评分法对提交最后报价的供应商的响应文件和最后报价进行综合评分。</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比较与评价</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评审标准：见本文件第三章；</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b/>
          <w:bCs/>
          <w:sz w:val="24"/>
          <w:szCs w:val="24"/>
        </w:rPr>
        <w:t>采购人从评审报告提出的成交候选供应商中，按照排序由高到低的原则确定成交供应商，也可以书面授权磋商小组直接确定成交供应商。</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保密及其他注意事项</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磋商小组将遵照评审原则，公平、公正地对待所有供应商；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在评审期间，供应商不得向磋商小组成员询问评审情况，不得进行旨在影响成交结果的活动.</w:t>
      </w:r>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出现下列情形之一的，采购人或者采购代理机构应当终止竞争性磋商采购活动，发布项目终止公告并说明原因，重新开展采购活动：</w:t>
      </w:r>
    </w:p>
    <w:p>
      <w:pPr>
        <w:numPr>
          <w:ilvl w:val="0"/>
          <w:numId w:val="8"/>
        </w:numPr>
        <w:spacing w:line="440" w:lineRule="exact"/>
        <w:rPr>
          <w:rFonts w:hint="eastAsia" w:ascii="宋体" w:hAnsi="宋体" w:cs="宋体"/>
          <w:sz w:val="24"/>
          <w:szCs w:val="24"/>
        </w:rPr>
      </w:pPr>
      <w:r>
        <w:rPr>
          <w:rFonts w:hint="eastAsia" w:ascii="宋体" w:hAnsi="宋体" w:cs="宋体"/>
          <w:sz w:val="24"/>
          <w:szCs w:val="24"/>
        </w:rPr>
        <w:t>因情况变化，不再符合规定的竞争性磋商采购方式适用情形的；</w:t>
      </w:r>
    </w:p>
    <w:p>
      <w:pPr>
        <w:numPr>
          <w:ilvl w:val="0"/>
          <w:numId w:val="8"/>
        </w:numPr>
        <w:spacing w:line="440" w:lineRule="exact"/>
        <w:rPr>
          <w:rFonts w:hint="eastAsia" w:ascii="宋体" w:hAnsi="宋体" w:cs="宋体"/>
          <w:sz w:val="24"/>
          <w:szCs w:val="24"/>
        </w:rPr>
      </w:pPr>
      <w:r>
        <w:rPr>
          <w:rFonts w:hint="eastAsia" w:ascii="宋体" w:hAnsi="宋体" w:cs="宋体"/>
          <w:sz w:val="24"/>
          <w:szCs w:val="24"/>
        </w:rPr>
        <w:t>出现影响采购公正的违法、违规行为的；</w:t>
      </w:r>
    </w:p>
    <w:p>
      <w:pPr>
        <w:numPr>
          <w:ilvl w:val="0"/>
          <w:numId w:val="8"/>
        </w:numPr>
        <w:spacing w:line="440" w:lineRule="exact"/>
        <w:rPr>
          <w:rFonts w:hint="eastAsia" w:ascii="宋体" w:hAnsi="宋体" w:cs="宋体"/>
          <w:sz w:val="24"/>
          <w:szCs w:val="24"/>
        </w:rPr>
      </w:pPr>
      <w:r>
        <w:rPr>
          <w:rFonts w:hint="eastAsia" w:ascii="宋体" w:hAnsi="宋体" w:cs="宋体"/>
          <w:sz w:val="24"/>
          <w:szCs w:val="24"/>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4"/>
        <w:spacing w:line="440" w:lineRule="exact"/>
        <w:jc w:val="center"/>
        <w:rPr>
          <w:rFonts w:hint="eastAsia" w:ascii="宋体" w:hAnsi="宋体" w:eastAsia="宋体" w:cs="宋体"/>
          <w:sz w:val="28"/>
          <w:szCs w:val="28"/>
        </w:rPr>
      </w:pPr>
      <w:bookmarkStart w:id="64" w:name="_Toc490161265"/>
      <w:bookmarkStart w:id="65" w:name="_Toc477423248"/>
      <w:bookmarkStart w:id="66" w:name="_Toc5841"/>
      <w:bookmarkStart w:id="67" w:name="_Toc487805908"/>
      <w:bookmarkStart w:id="68" w:name="_Toc19608"/>
      <w:r>
        <w:rPr>
          <w:rFonts w:hint="eastAsia" w:ascii="宋体" w:hAnsi="宋体" w:eastAsia="宋体" w:cs="宋体"/>
          <w:sz w:val="28"/>
          <w:szCs w:val="28"/>
        </w:rPr>
        <w:t>六、成交和合同</w:t>
      </w:r>
      <w:bookmarkEnd w:id="64"/>
      <w:bookmarkEnd w:id="65"/>
      <w:bookmarkEnd w:id="66"/>
      <w:bookmarkEnd w:id="67"/>
      <w:bookmarkEnd w:id="68"/>
    </w:p>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成交通知</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成交供应商确定后，成交结果将在“原公告发布媒体”上进行公告。</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在发布成交公告的同时向成交供应商发出成交通知书；</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成交通知书将作为签订合同的依据。</w:t>
      </w:r>
    </w:p>
    <w:p>
      <w:pPr>
        <w:numPr>
          <w:ilvl w:val="1"/>
          <w:numId w:val="5"/>
        </w:numPr>
        <w:spacing w:line="440" w:lineRule="exact"/>
        <w:ind w:left="0" w:leftChars="0" w:firstLine="425" w:firstLineChars="0"/>
        <w:rPr>
          <w:rFonts w:hint="eastAsia"/>
          <w:sz w:val="24"/>
          <w:szCs w:val="24"/>
        </w:rPr>
      </w:pPr>
      <w:r>
        <w:rPr>
          <w:rFonts w:hint="eastAsia" w:ascii="宋体" w:hAnsi="宋体" w:cs="宋体"/>
          <w:sz w:val="24"/>
          <w:szCs w:val="24"/>
        </w:rPr>
        <w:t>履约担保（如有）：成交供应商应按磋商文件的规定在签订合同前向采购人交纳履约担保。过期不交的将取消其成交资格，另行确定成交供应商。</w:t>
      </w:r>
    </w:p>
    <w:bookmarkEnd w:id="60"/>
    <w:bookmarkEnd w:id="61"/>
    <w:p>
      <w:pPr>
        <w:numPr>
          <w:ilvl w:val="0"/>
          <w:numId w:val="5"/>
        </w:numPr>
        <w:spacing w:line="440" w:lineRule="exact"/>
        <w:ind w:left="284" w:leftChars="0" w:hanging="284" w:firstLineChars="0"/>
        <w:rPr>
          <w:rFonts w:hint="eastAsia" w:ascii="宋体" w:hAnsi="宋体" w:cs="宋体"/>
          <w:b/>
          <w:sz w:val="24"/>
          <w:szCs w:val="24"/>
        </w:rPr>
      </w:pPr>
      <w:r>
        <w:rPr>
          <w:rFonts w:hint="eastAsia" w:ascii="宋体" w:hAnsi="宋体" w:cs="宋体"/>
          <w:b/>
          <w:sz w:val="24"/>
          <w:szCs w:val="24"/>
        </w:rPr>
        <w:t>签订合同及合同的执行</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采购人与成交供应商应当在成交通知书发出之日起30日内（供应商须知前附表另有规定者从其规定），签订政府采购合同。</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磋商文件及修改文件、成交供应商的响应文件、补充或修改的文件及澄清或承诺文件等，均为双方签订合同的组成部分，并与合同一并作为本磋商所列采购项目的互补性法律文件，与合同具有同等法律效力；</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成交供应商应在采购合同签订之日起</w:t>
      </w:r>
      <w:r>
        <w:rPr>
          <w:rFonts w:hint="eastAsia" w:ascii="宋体" w:hAnsi="宋体" w:cs="宋体"/>
          <w:sz w:val="24"/>
          <w:szCs w:val="24"/>
          <w:lang w:eastAsia="zh-CN"/>
        </w:rPr>
        <w:t>七</w:t>
      </w:r>
      <w:r>
        <w:rPr>
          <w:rFonts w:hint="eastAsia" w:ascii="宋体" w:hAnsi="宋体" w:cs="宋体"/>
          <w:sz w:val="24"/>
          <w:szCs w:val="24"/>
        </w:rPr>
        <w:t>个工作日内将合同报武陟县</w:t>
      </w:r>
      <w:r>
        <w:rPr>
          <w:rFonts w:hint="eastAsia" w:ascii="宋体" w:hAnsi="宋体" w:cs="宋体"/>
          <w:sz w:val="24"/>
          <w:szCs w:val="24"/>
          <w:lang w:eastAsia="zh-CN"/>
        </w:rPr>
        <w:t>财政综合服务中心</w:t>
      </w:r>
      <w:r>
        <w:rPr>
          <w:rFonts w:hint="eastAsia" w:ascii="宋体" w:hAnsi="宋体" w:cs="宋体"/>
          <w:sz w:val="24"/>
          <w:szCs w:val="24"/>
        </w:rPr>
        <w:t>政府采购</w:t>
      </w:r>
      <w:r>
        <w:rPr>
          <w:rFonts w:hint="eastAsia" w:ascii="宋体" w:hAnsi="宋体" w:cs="宋体"/>
          <w:sz w:val="24"/>
          <w:szCs w:val="24"/>
          <w:lang w:eastAsia="zh-CN"/>
        </w:rPr>
        <w:t>股</w:t>
      </w:r>
      <w:r>
        <w:rPr>
          <w:rFonts w:hint="eastAsia" w:ascii="宋体" w:hAnsi="宋体" w:cs="宋体"/>
          <w:sz w:val="24"/>
          <w:szCs w:val="24"/>
        </w:rPr>
        <w:t>备案；</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合同双方如违约，将按《中华人民共和国民法典》、《中华人民共和国政府采购法》及有关法律法规中的规定执行。</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根据《政府采购促进中小企业发展管理办法》规定，成交供应商为小微企业的不得将合同分包给大中型企业，成交供应商为中型企业的不得将合同分包给大型企业。</w:t>
      </w:r>
    </w:p>
    <w:p>
      <w:pPr>
        <w:numPr>
          <w:ilvl w:val="0"/>
          <w:numId w:val="5"/>
        </w:numPr>
        <w:spacing w:line="440" w:lineRule="exact"/>
        <w:ind w:left="284" w:leftChars="0" w:hanging="284" w:firstLineChars="0"/>
        <w:rPr>
          <w:rFonts w:hint="eastAsia" w:ascii="宋体" w:hAnsi="宋体" w:cs="宋体"/>
          <w:b w:val="0"/>
          <w:bCs/>
          <w:sz w:val="24"/>
          <w:szCs w:val="24"/>
        </w:rPr>
      </w:pPr>
      <w:r>
        <w:rPr>
          <w:rFonts w:hint="eastAsia" w:ascii="宋体" w:hAnsi="宋体" w:cs="宋体"/>
          <w:b w:val="0"/>
          <w:bCs/>
          <w:sz w:val="24"/>
          <w:szCs w:val="24"/>
        </w:rPr>
        <w:t>质疑</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供应商认为磋商文件、磋商过程、成交结果使自己的权益受到损害的，可以在知道或者应知其权益受到损害之日起7个工作日内，以书面形式向采购人、采购代理机构提出质疑。</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供应商应在法定质疑期内一次性提出针对同一采购程序环节的质疑。</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提出质疑的供应商应当是参与所质疑项目采购活动的供应商。</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潜在供应商已依法获取其可质疑的磋商文件的，可以对该文件提出质疑。对磋商文件提出质疑的，应当在获取磋商文件之日起7个工作日内提出。</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供应商提出质疑应当提交质疑函和必要的证明材料。</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质疑文件格式详见《中国政府采购网》下载专区“</w:t>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HYPERLINK"http://download.ccgp.gov.cn/2018/zhiyihanfanben.zip"</w:instrText>
      </w:r>
      <w:r>
        <w:rPr>
          <w:rFonts w:hint="eastAsia" w:ascii="宋体" w:hAnsi="宋体" w:cs="宋体"/>
          <w:color w:val="auto"/>
          <w:sz w:val="24"/>
          <w:szCs w:val="24"/>
        </w:rPr>
        <w:fldChar w:fldCharType="separate"/>
      </w:r>
      <w:r>
        <w:rPr>
          <w:rFonts w:hint="eastAsia" w:ascii="宋体" w:hAnsi="宋体" w:cs="宋体"/>
          <w:color w:val="auto"/>
          <w:sz w:val="24"/>
          <w:szCs w:val="24"/>
        </w:rPr>
        <w:t>政府采购供应商质疑函范本</w:t>
      </w:r>
      <w:r>
        <w:rPr>
          <w:rFonts w:hint="eastAsia" w:ascii="宋体" w:hAnsi="宋体" w:cs="宋体"/>
          <w:color w:val="auto"/>
          <w:sz w:val="24"/>
          <w:szCs w:val="24"/>
        </w:rPr>
        <w:fldChar w:fldCharType="end"/>
      </w:r>
      <w:r>
        <w:rPr>
          <w:rFonts w:hint="eastAsia" w:ascii="宋体" w:hAnsi="宋体" w:cs="宋体"/>
          <w:color w:val="auto"/>
          <w:sz w:val="24"/>
          <w:szCs w:val="24"/>
        </w:rPr>
        <w:t>”，并附相关证明材料。否则，采购人或采购代理机构不予受理,质疑文件及相关证明材料一式</w:t>
      </w:r>
      <w:r>
        <w:rPr>
          <w:rFonts w:hint="eastAsia" w:ascii="宋体" w:hAnsi="宋体" w:cs="宋体"/>
          <w:color w:val="auto"/>
          <w:sz w:val="24"/>
          <w:szCs w:val="24"/>
          <w:lang w:eastAsia="zh-CN"/>
        </w:rPr>
        <w:t>两</w:t>
      </w:r>
      <w:r>
        <w:rPr>
          <w:rFonts w:hint="eastAsia" w:ascii="宋体" w:hAnsi="宋体" w:cs="宋体"/>
          <w:color w:val="auto"/>
          <w:sz w:val="24"/>
          <w:szCs w:val="24"/>
        </w:rPr>
        <w:t>份，采购</w:t>
      </w:r>
      <w:r>
        <w:rPr>
          <w:rFonts w:hint="eastAsia" w:ascii="宋体" w:hAnsi="宋体" w:cs="宋体"/>
          <w:sz w:val="24"/>
          <w:szCs w:val="24"/>
        </w:rPr>
        <w:t>人、采购代理机构各执一份。</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质疑供应商对采购人或采购代理机构的答复不满意以及采购人或采购代理机构未在规定的时间内做出答复的，可以在答复期满后15个工作日内向同级财政部门投诉。</w:t>
      </w:r>
    </w:p>
    <w:p>
      <w:pPr>
        <w:numPr>
          <w:ilvl w:val="1"/>
          <w:numId w:val="5"/>
        </w:numPr>
        <w:spacing w:line="440" w:lineRule="exact"/>
        <w:ind w:left="0" w:leftChars="0" w:firstLine="425" w:firstLineChars="0"/>
        <w:rPr>
          <w:rFonts w:hint="eastAsia" w:ascii="宋体" w:hAnsi="宋体" w:cs="宋体"/>
          <w:sz w:val="24"/>
          <w:szCs w:val="24"/>
        </w:rPr>
      </w:pPr>
      <w:r>
        <w:rPr>
          <w:rFonts w:hint="eastAsia" w:ascii="宋体" w:hAnsi="宋体" w:cs="宋体"/>
          <w:sz w:val="24"/>
          <w:szCs w:val="24"/>
        </w:rPr>
        <w:t>质疑联系事项：</w:t>
      </w:r>
    </w:p>
    <w:p>
      <w:pPr>
        <w:spacing w:line="440" w:lineRule="exact"/>
        <w:ind w:left="284"/>
        <w:rPr>
          <w:rFonts w:hint="eastAsia" w:ascii="宋体" w:hAnsi="宋体" w:cs="宋体"/>
          <w:sz w:val="24"/>
          <w:szCs w:val="24"/>
        </w:rPr>
      </w:pPr>
      <w:r>
        <w:rPr>
          <w:rFonts w:hint="eastAsia" w:ascii="宋体" w:hAnsi="宋体" w:cs="宋体"/>
          <w:sz w:val="24"/>
          <w:szCs w:val="24"/>
        </w:rPr>
        <w:t>供应商应以书面方式将质疑函分别送至采购人、采购代理机构；</w:t>
      </w:r>
    </w:p>
    <w:p>
      <w:pPr>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采购人名称：</w:t>
      </w:r>
      <w:r>
        <w:rPr>
          <w:rFonts w:hint="eastAsia" w:ascii="宋体" w:hAnsi="宋体" w:eastAsia="宋体" w:cs="宋体"/>
          <w:sz w:val="24"/>
          <w:szCs w:val="24"/>
          <w:lang w:val="en-US" w:eastAsia="zh-CN"/>
        </w:rPr>
        <w:t>武陟县林业发展服务中心</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联系人：</w:t>
      </w:r>
      <w:r>
        <w:rPr>
          <w:rFonts w:hint="eastAsia" w:ascii="宋体" w:hAnsi="宋体" w:eastAsia="宋体" w:cs="宋体"/>
          <w:b w:val="0"/>
          <w:bCs w:val="0"/>
          <w:color w:val="auto"/>
          <w:sz w:val="24"/>
          <w:szCs w:val="24"/>
          <w:lang w:val="en-US" w:eastAsia="zh-CN"/>
        </w:rPr>
        <w:t>杨延林</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联系电话：13849507350</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联系地址：武陟县黄河大道78</w:t>
      </w:r>
      <w:r>
        <w:rPr>
          <w:rFonts w:hint="eastAsia" w:ascii="宋体" w:hAnsi="宋体" w:eastAsia="宋体" w:cs="宋体"/>
          <w:b w:val="0"/>
          <w:bCs w:val="0"/>
          <w:color w:val="auto"/>
          <w:sz w:val="24"/>
          <w:szCs w:val="24"/>
          <w:lang w:val="en-US" w:eastAsia="zh-CN"/>
        </w:rPr>
        <w:t>号</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采购代理机构：</w:t>
      </w:r>
      <w:r>
        <w:rPr>
          <w:rFonts w:hint="eastAsia" w:ascii="宋体" w:hAnsi="宋体" w:eastAsia="宋体" w:cs="宋体"/>
          <w:b w:val="0"/>
          <w:bCs w:val="0"/>
          <w:color w:val="auto"/>
          <w:sz w:val="24"/>
          <w:szCs w:val="24"/>
          <w:lang w:val="en-US" w:eastAsia="zh-CN"/>
        </w:rPr>
        <w:t>中科天一工程管理有限公司</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联系人：</w:t>
      </w:r>
      <w:r>
        <w:rPr>
          <w:rFonts w:hint="eastAsia" w:ascii="宋体" w:hAnsi="宋体" w:eastAsia="宋体" w:cs="宋体"/>
          <w:b w:val="0"/>
          <w:bCs w:val="0"/>
          <w:color w:val="auto"/>
          <w:sz w:val="24"/>
          <w:szCs w:val="24"/>
          <w:lang w:val="en-US" w:eastAsia="zh-CN"/>
        </w:rPr>
        <w:t>王洪飞</w:t>
      </w:r>
    </w:p>
    <w:p>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default" w:ascii="宋体" w:hAnsi="宋体" w:eastAsia="宋体" w:cs="宋体"/>
          <w:b w:val="0"/>
          <w:bCs w:val="0"/>
          <w:color w:val="auto"/>
          <w:sz w:val="24"/>
          <w:szCs w:val="24"/>
          <w:highlight w:val="none"/>
          <w:lang w:val="en-US"/>
        </w:rPr>
      </w:pPr>
      <w:r>
        <w:rPr>
          <w:rFonts w:hint="eastAsia" w:ascii="宋体" w:hAnsi="宋体" w:eastAsia="宋体" w:cs="宋体"/>
          <w:b w:val="0"/>
          <w:bCs w:val="0"/>
          <w:color w:val="auto"/>
          <w:sz w:val="24"/>
          <w:szCs w:val="24"/>
        </w:rPr>
        <w:t>联系电话</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17537103005</w:t>
      </w:r>
    </w:p>
    <w:p>
      <w:pPr>
        <w:spacing w:line="440" w:lineRule="exact"/>
        <w:ind w:left="284" w:firstLine="240" w:firstLineChars="100"/>
        <w:rPr>
          <w:rFonts w:hint="eastAsia" w:ascii="宋体" w:hAnsi="宋体" w:cs="宋体"/>
          <w:b/>
          <w:bCs/>
          <w:color w:val="FF0000"/>
          <w:sz w:val="24"/>
          <w:szCs w:val="24"/>
          <w:highlight w:val="yellow"/>
          <w:lang w:eastAsia="zh-CN"/>
        </w:rPr>
      </w:pPr>
      <w:r>
        <w:rPr>
          <w:rFonts w:hint="eastAsia" w:ascii="宋体" w:hAnsi="宋体" w:eastAsia="宋体" w:cs="宋体"/>
          <w:b w:val="0"/>
          <w:bCs w:val="0"/>
          <w:color w:val="auto"/>
          <w:sz w:val="24"/>
          <w:szCs w:val="24"/>
        </w:rPr>
        <w:t>联系地址：</w:t>
      </w:r>
      <w:r>
        <w:rPr>
          <w:rFonts w:hint="eastAsia" w:ascii="宋体" w:hAnsi="宋体" w:eastAsia="宋体" w:cs="宋体"/>
          <w:b w:val="0"/>
          <w:bCs w:val="0"/>
          <w:color w:val="auto"/>
          <w:sz w:val="24"/>
          <w:szCs w:val="24"/>
          <w:lang w:val="en-US" w:eastAsia="zh-CN"/>
        </w:rPr>
        <w:t>郑州市高新技术产业开发区盛鼎科技园8楼</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284" w:leftChars="0" w:hanging="284" w:firstLineChars="0"/>
        <w:textAlignment w:val="auto"/>
        <w:rPr>
          <w:rFonts w:hint="eastAsia" w:ascii="宋体" w:hAnsi="宋体" w:eastAsia="宋体" w:cs="宋体"/>
          <w:b/>
          <w:sz w:val="24"/>
          <w:szCs w:val="24"/>
        </w:rPr>
      </w:pPr>
      <w:r>
        <w:rPr>
          <w:rFonts w:hint="eastAsia" w:ascii="宋体" w:hAnsi="宋体" w:eastAsia="宋体" w:cs="宋体"/>
          <w:b/>
          <w:sz w:val="24"/>
          <w:szCs w:val="24"/>
        </w:rPr>
        <w:t>河南省政府采购合同融资政策告知函</w:t>
      </w:r>
    </w:p>
    <w:p>
      <w:pPr>
        <w:spacing w:line="440" w:lineRule="exact"/>
        <w:rPr>
          <w:rFonts w:hint="eastAsia" w:ascii="宋体" w:hAnsi="宋体" w:cs="宋体"/>
          <w:sz w:val="24"/>
          <w:szCs w:val="24"/>
        </w:rPr>
      </w:pPr>
      <w:r>
        <w:rPr>
          <w:rFonts w:hint="eastAsia" w:ascii="宋体" w:hAnsi="宋体" w:cs="宋体"/>
          <w:sz w:val="24"/>
          <w:szCs w:val="24"/>
        </w:rPr>
        <w:t>各供应商：</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欢迎贵公司参与河南省政府采购活动！</w:t>
      </w:r>
    </w:p>
    <w:p>
      <w:pPr>
        <w:spacing w:line="440" w:lineRule="exact"/>
        <w:rPr>
          <w:rFonts w:hint="eastAsia" w:ascii="宋体" w:hAnsi="宋体" w:cs="宋体"/>
          <w:sz w:val="24"/>
          <w:szCs w:val="24"/>
        </w:rPr>
      </w:pPr>
      <w:r>
        <w:rPr>
          <w:rFonts w:hint="eastAsia" w:ascii="宋体" w:hAnsi="宋体" w:cs="宋体"/>
          <w:sz w:val="24"/>
          <w:szCs w:val="24"/>
        </w:rPr>
        <w:t>政府采购合同融资是河南省财政厅支持中小微企业发展，针对参与政府采购活动的供应商融资难、融资贵问题推出的一项融资政策。贵公司若成为本次政府采购项目的成交供应商，可持政府采购合同向金融机构申请贷款，无需抵押、担保，融资机构将依据《河南省采购合同融资工作实施方案》（豫财购[2017]10号），按照双方自愿的原则提供便捷、优惠的贷款服务。</w:t>
      </w:r>
    </w:p>
    <w:p>
      <w:pPr>
        <w:spacing w:line="440" w:lineRule="exact"/>
        <w:ind w:firstLine="420"/>
        <w:rPr>
          <w:rFonts w:hint="eastAsia" w:ascii="宋体" w:hAnsi="宋体" w:cs="宋体"/>
          <w:sz w:val="24"/>
          <w:szCs w:val="24"/>
        </w:rPr>
      </w:pPr>
      <w:r>
        <w:rPr>
          <w:rFonts w:hint="eastAsia" w:ascii="宋体" w:hAnsi="宋体" w:cs="宋体"/>
          <w:sz w:val="24"/>
          <w:szCs w:val="24"/>
        </w:rPr>
        <w:t>贷款渠道和提供贷款的金融机构，可在河南省政府采购网“河南省政府采购合同融资平台”查询联系。</w:t>
      </w:r>
    </w:p>
    <w:p>
      <w:pPr>
        <w:rPr>
          <w:rFonts w:hint="eastAsia" w:ascii="宋体" w:hAnsi="宋体" w:cs="宋体"/>
        </w:rPr>
      </w:pPr>
      <w:bookmarkStart w:id="69" w:name="_Toc11289"/>
      <w:bookmarkStart w:id="70" w:name="_Toc8874"/>
      <w:bookmarkStart w:id="71" w:name="_Toc3621"/>
      <w:bookmarkStart w:id="72" w:name="_Toc477423249"/>
      <w:bookmarkStart w:id="73" w:name="_Toc374512417"/>
      <w:bookmarkStart w:id="74" w:name="_Toc373230030"/>
      <w:r>
        <w:rPr>
          <w:rFonts w:hint="eastAsia" w:ascii="宋体" w:hAnsi="宋体" w:cs="宋体"/>
        </w:rPr>
        <w:br w:type="page"/>
      </w:r>
    </w:p>
    <w:p>
      <w:pPr>
        <w:pStyle w:val="35"/>
        <w:numPr>
          <w:ilvl w:val="0"/>
          <w:numId w:val="1"/>
        </w:numPr>
        <w:spacing w:before="0" w:after="0" w:line="360" w:lineRule="auto"/>
        <w:ind w:firstLine="0"/>
        <w:rPr>
          <w:rFonts w:hint="eastAsia" w:ascii="宋体" w:hAnsi="宋体" w:cs="宋体"/>
        </w:rPr>
      </w:pPr>
      <w:bookmarkStart w:id="75" w:name="_Toc396"/>
      <w:r>
        <w:rPr>
          <w:rFonts w:hint="eastAsia" w:ascii="宋体" w:hAnsi="宋体" w:cs="宋体"/>
        </w:rPr>
        <w:t>评审方法</w:t>
      </w:r>
      <w:bookmarkEnd w:id="69"/>
      <w:r>
        <w:rPr>
          <w:rFonts w:hint="eastAsia" w:ascii="宋体" w:hAnsi="宋体" w:cs="宋体"/>
        </w:rPr>
        <w:t>和评审标准</w:t>
      </w:r>
      <w:bookmarkEnd w:id="70"/>
      <w:bookmarkEnd w:id="71"/>
      <w:bookmarkEnd w:id="75"/>
    </w:p>
    <w:p>
      <w:pPr>
        <w:spacing w:line="440" w:lineRule="exact"/>
        <w:ind w:left="284"/>
        <w:rPr>
          <w:rFonts w:hint="eastAsia" w:ascii="宋体" w:hAnsi="宋体" w:cs="宋体"/>
          <w:b/>
          <w:bCs/>
          <w:sz w:val="24"/>
          <w:szCs w:val="24"/>
        </w:rPr>
      </w:pPr>
      <w:r>
        <w:rPr>
          <w:rFonts w:hint="eastAsia" w:ascii="宋体" w:hAnsi="宋体" w:cs="宋体"/>
          <w:b/>
          <w:bCs/>
          <w:sz w:val="24"/>
          <w:szCs w:val="24"/>
          <w:lang w:eastAsia="zh-CN"/>
        </w:rPr>
        <w:t>一、评审</w:t>
      </w:r>
      <w:r>
        <w:rPr>
          <w:rFonts w:hint="eastAsia" w:ascii="宋体" w:hAnsi="宋体" w:cs="宋体"/>
          <w:b/>
          <w:bCs/>
          <w:sz w:val="24"/>
          <w:szCs w:val="24"/>
        </w:rPr>
        <w:t>方法</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1</w:t>
      </w:r>
      <w:r>
        <w:rPr>
          <w:rFonts w:hint="eastAsia" w:ascii="宋体" w:hAnsi="宋体" w:cs="宋体"/>
          <w:sz w:val="24"/>
          <w:szCs w:val="24"/>
          <w:lang w:eastAsia="zh-CN"/>
        </w:rPr>
        <w:t>）</w:t>
      </w:r>
      <w:r>
        <w:rPr>
          <w:rFonts w:hint="eastAsia" w:ascii="宋体" w:hAnsi="宋体" w:cs="宋体"/>
          <w:sz w:val="24"/>
          <w:szCs w:val="24"/>
        </w:rPr>
        <w:t>磋商小组将按照磋商文件的规定，只对通过初步评审的响应文件和提交最后报价的供应商，由磋商小组采用综合评分法对提交最后报价的供应商的响应文件和最后报价进行综合评分。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2</w:t>
      </w:r>
      <w:r>
        <w:rPr>
          <w:rFonts w:hint="eastAsia" w:ascii="宋体" w:hAnsi="宋体" w:cs="宋体"/>
          <w:sz w:val="24"/>
          <w:szCs w:val="24"/>
          <w:lang w:eastAsia="zh-CN"/>
        </w:rPr>
        <w:t>）</w:t>
      </w:r>
      <w:r>
        <w:rPr>
          <w:rFonts w:hint="eastAsia" w:ascii="宋体" w:hAnsi="宋体" w:cs="宋体"/>
          <w:sz w:val="24"/>
          <w:szCs w:val="24"/>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rPr>
        <w:t>3</w:t>
      </w:r>
      <w:r>
        <w:rPr>
          <w:rFonts w:hint="eastAsia" w:ascii="宋体" w:hAnsi="宋体" w:cs="宋体"/>
          <w:sz w:val="24"/>
          <w:szCs w:val="24"/>
          <w:lang w:eastAsia="zh-CN"/>
        </w:rPr>
        <w:t>）</w:t>
      </w:r>
      <w:r>
        <w:rPr>
          <w:rFonts w:hint="eastAsia" w:ascii="宋体" w:hAnsi="宋体" w:cs="宋体"/>
          <w:sz w:val="24"/>
          <w:szCs w:val="24"/>
        </w:rPr>
        <w:t>评审时，磋商小组各成员应当独立对每个有效响应的文件进行评价、打分，然后汇总每个供应商每项评分因素的得分。</w:t>
      </w:r>
    </w:p>
    <w:p>
      <w:pPr>
        <w:pStyle w:val="85"/>
        <w:spacing w:line="500" w:lineRule="exact"/>
        <w:ind w:firstLine="504" w:firstLineChars="200"/>
        <w:rPr>
          <w:rFonts w:hint="eastAsia" w:ascii="宋体" w:hAnsi="宋体"/>
          <w:bCs/>
          <w:spacing w:val="6"/>
          <w:sz w:val="24"/>
          <w:szCs w:val="24"/>
          <w:lang w:val="en-US" w:eastAsia="zh-CN"/>
        </w:rPr>
      </w:pPr>
      <w:r>
        <w:rPr>
          <w:rFonts w:hint="eastAsia" w:ascii="宋体" w:hAnsi="宋体"/>
          <w:bCs/>
          <w:spacing w:val="6"/>
          <w:sz w:val="24"/>
          <w:szCs w:val="24"/>
        </w:rPr>
        <w:t>注：</w:t>
      </w:r>
      <w:r>
        <w:rPr>
          <w:rFonts w:hint="eastAsia" w:ascii="宋体" w:hAnsi="宋体"/>
          <w:bCs/>
          <w:spacing w:val="6"/>
          <w:sz w:val="24"/>
          <w:szCs w:val="24"/>
          <w:lang w:val="en-US" w:eastAsia="zh-CN"/>
        </w:rPr>
        <w:t>1.</w:t>
      </w:r>
      <w:r>
        <w:rPr>
          <w:rFonts w:hint="eastAsia" w:ascii="宋体" w:hAnsi="宋体"/>
          <w:bCs/>
          <w:spacing w:val="6"/>
          <w:sz w:val="24"/>
          <w:szCs w:val="24"/>
        </w:rPr>
        <w:t>小型和微型企业、监狱企业和残疾人福利性单位产品的认定见第</w:t>
      </w:r>
      <w:r>
        <w:rPr>
          <w:rFonts w:hint="eastAsia" w:ascii="宋体" w:hAnsi="宋体"/>
          <w:bCs/>
          <w:spacing w:val="6"/>
          <w:sz w:val="24"/>
          <w:szCs w:val="24"/>
          <w:lang w:eastAsia="zh-CN"/>
        </w:rPr>
        <w:t>二</w:t>
      </w:r>
      <w:r>
        <w:rPr>
          <w:rFonts w:hint="eastAsia" w:ascii="宋体" w:hAnsi="宋体"/>
          <w:bCs/>
          <w:spacing w:val="6"/>
          <w:sz w:val="24"/>
          <w:szCs w:val="24"/>
        </w:rPr>
        <w:t>章供应商须知前附表</w:t>
      </w:r>
      <w:r>
        <w:rPr>
          <w:rFonts w:hint="eastAsia" w:ascii="宋体" w:hAnsi="宋体"/>
          <w:bCs/>
          <w:spacing w:val="6"/>
          <w:sz w:val="24"/>
          <w:szCs w:val="24"/>
          <w:lang w:val="en-US" w:eastAsia="zh-CN"/>
        </w:rPr>
        <w:t>；</w:t>
      </w:r>
    </w:p>
    <w:p>
      <w:pPr>
        <w:spacing w:line="440" w:lineRule="exact"/>
        <w:ind w:left="284"/>
        <w:rPr>
          <w:rFonts w:hint="eastAsia" w:ascii="宋体" w:hAnsi="宋体" w:cs="宋体"/>
          <w:b/>
          <w:bCs/>
          <w:sz w:val="24"/>
          <w:szCs w:val="24"/>
          <w:lang w:eastAsia="zh-CN"/>
        </w:rPr>
      </w:pPr>
      <w:r>
        <w:rPr>
          <w:rFonts w:hint="eastAsia" w:ascii="宋体" w:hAnsi="宋体" w:cs="宋体"/>
          <w:b/>
          <w:bCs/>
          <w:sz w:val="24"/>
          <w:szCs w:val="24"/>
          <w:lang w:eastAsia="zh-CN"/>
        </w:rPr>
        <w:t>二、评审标准（评分因素共计</w:t>
      </w:r>
      <w:r>
        <w:rPr>
          <w:rFonts w:hint="eastAsia" w:ascii="宋体" w:hAnsi="宋体" w:cs="宋体"/>
          <w:b/>
          <w:bCs/>
          <w:sz w:val="24"/>
          <w:szCs w:val="24"/>
          <w:lang w:val="en-US" w:eastAsia="zh-CN"/>
        </w:rPr>
        <w:t>100分</w:t>
      </w:r>
      <w:r>
        <w:rPr>
          <w:rFonts w:hint="eastAsia" w:ascii="宋体" w:hAnsi="宋体" w:cs="宋体"/>
          <w:b/>
          <w:bCs/>
          <w:sz w:val="24"/>
          <w:szCs w:val="24"/>
          <w:lang w:eastAsia="zh-CN"/>
        </w:rPr>
        <w:t>）</w:t>
      </w:r>
    </w:p>
    <w:bookmarkEnd w:id="72"/>
    <w:bookmarkEnd w:id="73"/>
    <w:bookmarkEnd w:id="74"/>
    <w:tbl>
      <w:tblPr>
        <w:tblStyle w:val="38"/>
        <w:tblW w:w="9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842"/>
        <w:gridCol w:w="1527"/>
        <w:gridCol w:w="5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047" w:type="dxa"/>
            <w:noWrap w:val="0"/>
            <w:vAlign w:val="top"/>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bookmarkStart w:id="76" w:name="_Toc14171"/>
            <w:bookmarkStart w:id="77" w:name="_Toc487805909"/>
            <w:r>
              <w:rPr>
                <w:rFonts w:hint="eastAsia" w:asciiTheme="minorEastAsia" w:hAnsiTheme="minorEastAsia" w:eastAsiaTheme="minorEastAsia" w:cstheme="minorEastAsia"/>
                <w:b/>
                <w:bCs/>
                <w:sz w:val="24"/>
                <w:szCs w:val="24"/>
              </w:rPr>
              <w:t>条款号</w:t>
            </w:r>
          </w:p>
        </w:tc>
        <w:tc>
          <w:tcPr>
            <w:tcW w:w="1842" w:type="dxa"/>
            <w:noWrap w:val="0"/>
            <w:vAlign w:val="top"/>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b/>
                <w:bCs/>
                <w:spacing w:val="1"/>
                <w:sz w:val="24"/>
                <w:szCs w:val="24"/>
              </w:rPr>
              <w:t>评分因素</w:t>
            </w:r>
          </w:p>
        </w:tc>
        <w:tc>
          <w:tcPr>
            <w:tcW w:w="6550" w:type="dxa"/>
            <w:gridSpan w:val="2"/>
            <w:noWrap w:val="0"/>
            <w:vAlign w:val="top"/>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b/>
                <w:bCs/>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047" w:type="dxa"/>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sz w:val="24"/>
                <w:szCs w:val="24"/>
              </w:rPr>
              <w:t>1</w:t>
            </w:r>
          </w:p>
        </w:tc>
        <w:tc>
          <w:tcPr>
            <w:tcW w:w="1842" w:type="dxa"/>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bCs/>
                <w:spacing w:val="6"/>
                <w:sz w:val="24"/>
                <w:szCs w:val="24"/>
                <w:lang w:val="en-US" w:eastAsia="zh-CN"/>
              </w:rPr>
              <w:t xml:space="preserve">分值构成 </w:t>
            </w:r>
          </w:p>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bCs/>
                <w:spacing w:val="6"/>
                <w:sz w:val="24"/>
                <w:szCs w:val="24"/>
                <w:lang w:val="en-US" w:eastAsia="zh-CN"/>
              </w:rPr>
              <w:t xml:space="preserve">(总分100分) </w:t>
            </w:r>
          </w:p>
        </w:tc>
        <w:tc>
          <w:tcPr>
            <w:tcW w:w="6550" w:type="dxa"/>
            <w:gridSpan w:val="2"/>
            <w:noWrap w:val="0"/>
            <w:vAlign w:val="top"/>
          </w:tcPr>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spacing w:val="6"/>
                <w:sz w:val="24"/>
                <w:szCs w:val="24"/>
                <w:lang w:val="en-US" w:eastAsia="zh-CN"/>
              </w:rPr>
            </w:pPr>
            <w:r>
              <w:rPr>
                <w:rFonts w:hint="eastAsia" w:asciiTheme="minorEastAsia" w:hAnsiTheme="minorEastAsia" w:eastAsiaTheme="minorEastAsia" w:cstheme="minorEastAsia"/>
                <w:bCs/>
                <w:spacing w:val="6"/>
                <w:sz w:val="24"/>
                <w:szCs w:val="24"/>
                <w:lang w:val="en-US" w:eastAsia="zh-CN"/>
              </w:rPr>
              <w:t>报价分：15分；</w:t>
            </w:r>
          </w:p>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spacing w:val="6"/>
                <w:sz w:val="24"/>
                <w:szCs w:val="24"/>
                <w:lang w:val="en-US" w:eastAsia="zh-CN"/>
              </w:rPr>
            </w:pPr>
            <w:r>
              <w:rPr>
                <w:rFonts w:hint="eastAsia" w:asciiTheme="minorEastAsia" w:hAnsiTheme="minorEastAsia" w:eastAsiaTheme="minorEastAsia" w:cstheme="minorEastAsia"/>
                <w:bCs/>
                <w:spacing w:val="6"/>
                <w:sz w:val="24"/>
                <w:szCs w:val="24"/>
                <w:lang w:val="en-US" w:eastAsia="zh-CN"/>
              </w:rPr>
              <w:t>技术分：55分；</w:t>
            </w:r>
          </w:p>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bCs/>
                <w:spacing w:val="6"/>
                <w:sz w:val="24"/>
                <w:szCs w:val="24"/>
              </w:rPr>
            </w:pPr>
            <w:r>
              <w:rPr>
                <w:rFonts w:hint="eastAsia" w:asciiTheme="minorEastAsia" w:hAnsiTheme="minorEastAsia" w:eastAsiaTheme="minorEastAsia" w:cstheme="minorEastAsia"/>
                <w:bCs/>
                <w:spacing w:val="6"/>
                <w:sz w:val="24"/>
                <w:szCs w:val="24"/>
                <w:lang w:val="en-US" w:eastAsia="zh-CN"/>
              </w:rPr>
              <w:t xml:space="preserve">商务分：30分；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1047" w:type="dxa"/>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p>
        </w:tc>
        <w:tc>
          <w:tcPr>
            <w:tcW w:w="1842" w:type="dxa"/>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Cs/>
                <w:spacing w:val="6"/>
                <w:kern w:val="2"/>
                <w:sz w:val="24"/>
                <w:szCs w:val="24"/>
                <w:lang w:val="en-US" w:eastAsia="zh-CN" w:bidi="ar-SA"/>
              </w:rPr>
            </w:pPr>
            <w:r>
              <w:rPr>
                <w:rFonts w:hint="eastAsia" w:asciiTheme="minorEastAsia" w:hAnsiTheme="minorEastAsia" w:eastAsiaTheme="minorEastAsia" w:cstheme="minorEastAsia"/>
                <w:sz w:val="24"/>
                <w:szCs w:val="24"/>
              </w:rPr>
              <w:t>报价（</w:t>
            </w: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分）</w:t>
            </w:r>
          </w:p>
        </w:tc>
        <w:tc>
          <w:tcPr>
            <w:tcW w:w="6550"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i w:val="0"/>
                <w:iCs w:val="0"/>
                <w:caps w:val="0"/>
                <w:color w:val="2B2B2B"/>
                <w:spacing w:val="0"/>
                <w:sz w:val="24"/>
                <w:szCs w:val="24"/>
                <w:shd w:val="clear" w:fill="FFFFFF"/>
              </w:rPr>
            </w:pPr>
            <w:r>
              <w:rPr>
                <w:rFonts w:hint="eastAsia" w:asciiTheme="minorEastAsia" w:hAnsiTheme="minorEastAsia" w:eastAsiaTheme="minorEastAsia" w:cstheme="minorEastAsia"/>
                <w:i w:val="0"/>
                <w:iCs w:val="0"/>
                <w:caps w:val="0"/>
                <w:color w:val="2B2B2B"/>
                <w:spacing w:val="0"/>
                <w:sz w:val="24"/>
                <w:szCs w:val="24"/>
                <w:shd w:val="clear" w:fill="FFFFFF"/>
              </w:rPr>
              <w:t>满足磋商文件要求且最后报价最低的供应商的价格为磋商基准价，其价格分为满分。其他供应商的价格分统一按照下列公式计算：</w:t>
            </w:r>
          </w:p>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bCs/>
                <w:spacing w:val="6"/>
                <w:kern w:val="2"/>
                <w:sz w:val="24"/>
                <w:szCs w:val="24"/>
                <w:lang w:val="en-US" w:eastAsia="zh-CN" w:bidi="ar-SA"/>
              </w:rPr>
            </w:pPr>
            <w:r>
              <w:rPr>
                <w:rFonts w:hint="eastAsia" w:asciiTheme="minorEastAsia" w:hAnsiTheme="minorEastAsia" w:eastAsiaTheme="minorEastAsia" w:cstheme="minorEastAsia"/>
                <w:i w:val="0"/>
                <w:iCs w:val="0"/>
                <w:caps w:val="0"/>
                <w:color w:val="2B2B2B"/>
                <w:spacing w:val="0"/>
                <w:sz w:val="24"/>
                <w:szCs w:val="24"/>
                <w:shd w:val="clear" w:fill="FFFFFF"/>
              </w:rPr>
              <w:t>磋商报价得分=（磋商基准价/最后磋商报价）×</w:t>
            </w:r>
            <w:r>
              <w:rPr>
                <w:rFonts w:hint="eastAsia" w:asciiTheme="minorEastAsia" w:hAnsiTheme="minorEastAsia" w:eastAsiaTheme="minorEastAsia" w:cstheme="minorEastAsia"/>
                <w:i w:val="0"/>
                <w:iCs w:val="0"/>
                <w:caps w:val="0"/>
                <w:color w:val="2B2B2B"/>
                <w:spacing w:val="0"/>
                <w:sz w:val="24"/>
                <w:szCs w:val="24"/>
                <w:shd w:val="clear" w:fill="FFFFFF"/>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restart"/>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1842" w:type="dxa"/>
            <w:vMerge w:val="restart"/>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技术分</w:t>
            </w:r>
          </w:p>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55分</w:t>
            </w: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项目解读</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sz w:val="24"/>
                <w:szCs w:val="24"/>
              </w:rPr>
            </w:pPr>
            <w:r>
              <w:rPr>
                <w:rFonts w:hint="eastAsia" w:ascii="宋体" w:hAnsi="宋体" w:eastAsia="宋体" w:cs="宋体"/>
                <w:color w:val="auto"/>
                <w:sz w:val="24"/>
                <w:szCs w:val="24"/>
                <w:highlight w:val="none"/>
                <w:lang w:val="en-US" w:eastAsia="zh-CN"/>
              </w:rPr>
              <w:t>（9分）</w:t>
            </w:r>
          </w:p>
        </w:tc>
        <w:tc>
          <w:tcPr>
            <w:tcW w:w="5023"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default" w:asciiTheme="minorEastAsia" w:hAnsiTheme="minorEastAsia" w:eastAsiaTheme="minorEastAsia" w:cstheme="minorEastAsia"/>
                <w:sz w:val="24"/>
                <w:szCs w:val="24"/>
                <w:lang w:val="en-US"/>
              </w:rPr>
            </w:pPr>
            <w:r>
              <w:rPr>
                <w:rFonts w:hint="eastAsia" w:ascii="宋体" w:hAnsi="宋体" w:eastAsia="宋体" w:cs="宋体"/>
                <w:color w:val="auto"/>
                <w:sz w:val="24"/>
                <w:szCs w:val="24"/>
                <w:highlight w:val="none"/>
                <w:lang w:val="en-US" w:eastAsia="zh-CN"/>
              </w:rPr>
              <w:t>对项目背景及项目特征的解读，对现状问题及发展诉求分析，对项目的目标任务定位清晰、把握到位的得9分：目标任务定位一般、把握一般的得5分，目标任务定位模糊、把握差的得2分，缺项不得分。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规划和研究方法</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color w:val="000000"/>
                <w:kern w:val="0"/>
                <w:sz w:val="24"/>
                <w:szCs w:val="24"/>
                <w:lang w:val="en-US" w:eastAsia="zh-CN" w:bidi="ar"/>
              </w:rPr>
            </w:pPr>
            <w:r>
              <w:rPr>
                <w:rFonts w:hint="eastAsia" w:ascii="宋体" w:hAnsi="宋体" w:eastAsia="宋体" w:cs="宋体"/>
                <w:color w:val="auto"/>
                <w:sz w:val="24"/>
                <w:szCs w:val="24"/>
                <w:highlight w:val="none"/>
                <w:lang w:val="en-US" w:eastAsia="zh-CN"/>
              </w:rPr>
              <w:t>（6分）</w:t>
            </w:r>
          </w:p>
        </w:tc>
        <w:tc>
          <w:tcPr>
            <w:tcW w:w="5023"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hint="eastAsia" w:asciiTheme="minorEastAsia" w:hAnsiTheme="minorEastAsia" w:eastAsiaTheme="minorEastAsia" w:cstheme="minorEastAsia"/>
                <w:sz w:val="24"/>
                <w:szCs w:val="24"/>
                <w:shd w:val="clear" w:fill="FFFF00"/>
                <w:lang w:eastAsia="zh-CN"/>
              </w:rPr>
            </w:pPr>
            <w:r>
              <w:rPr>
                <w:rFonts w:hint="eastAsia" w:ascii="宋体" w:hAnsi="宋体" w:eastAsia="宋体" w:cs="宋体"/>
                <w:color w:val="auto"/>
                <w:sz w:val="24"/>
                <w:szCs w:val="24"/>
                <w:highlight w:val="none"/>
                <w:lang w:val="en-US" w:eastAsia="zh-CN"/>
              </w:rPr>
              <w:t>对项目规划思路或规划大纲评审，研究方法合理可行，研究技术路线思路清晰完整的得6分，研究方法一般，研究技术路线思路清晰但不完整的得4分，研究方法差，研究技术路线思路不清晰的得2分，缺项不得分。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sz w:val="24"/>
                <w:szCs w:val="24"/>
                <w:shd w:val="clear" w:fill="FFFF00"/>
                <w:lang w:eastAsia="zh-CN"/>
              </w:rPr>
            </w:pPr>
            <w:r>
              <w:rPr>
                <w:rFonts w:hint="eastAsia" w:ascii="宋体" w:hAnsi="宋体" w:eastAsia="宋体" w:cs="宋体"/>
                <w:color w:val="auto"/>
                <w:sz w:val="24"/>
                <w:szCs w:val="24"/>
                <w:highlight w:val="none"/>
                <w:lang w:val="en-US" w:eastAsia="zh-CN"/>
              </w:rPr>
              <w:t>内容实用性（9分）</w:t>
            </w:r>
          </w:p>
        </w:tc>
        <w:tc>
          <w:tcPr>
            <w:tcW w:w="5023" w:type="dxa"/>
            <w:noWrap w:val="0"/>
            <w:vAlign w:val="center"/>
          </w:tcPr>
          <w:p>
            <w:pPr>
              <w:keepNext w:val="0"/>
              <w:keepLines w:val="0"/>
              <w:pageBreakBefore w:val="0"/>
              <w:widowControl w:val="0"/>
              <w:kinsoku/>
              <w:wordWrap/>
              <w:overflowPunct/>
              <w:topLinePunct w:val="0"/>
              <w:bidi w:val="0"/>
              <w:snapToGrid/>
              <w:spacing w:line="460" w:lineRule="exact"/>
              <w:jc w:val="left"/>
              <w:textAlignment w:val="auto"/>
              <w:rPr>
                <w:rFonts w:hint="default" w:asciiTheme="minorEastAsia" w:hAnsiTheme="minorEastAsia" w:eastAsiaTheme="minorEastAsia" w:cstheme="minorEastAsia"/>
                <w:sz w:val="24"/>
                <w:szCs w:val="24"/>
                <w:shd w:val="clear" w:fill="FFFF00"/>
                <w:lang w:val="en-US" w:eastAsia="zh-CN"/>
              </w:rPr>
            </w:pPr>
            <w:r>
              <w:rPr>
                <w:rFonts w:hint="eastAsia" w:ascii="宋体" w:hAnsi="宋体" w:eastAsia="宋体" w:cs="宋体"/>
                <w:color w:val="auto"/>
                <w:sz w:val="24"/>
                <w:szCs w:val="24"/>
                <w:highlight w:val="none"/>
                <w:lang w:val="en-US" w:eastAsia="zh-CN"/>
              </w:rPr>
              <w:t>研究内容层次分明、重点明确、内容完整、切合项目需求，项目实施引导具有实操性和实用性分析，分档进行打分：内容完整实用的得9分，内容一般较实用得5分，内容差，不实用得2分；缺项不得分。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重点、难点分析</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color w:val="000000"/>
                <w:kern w:val="0"/>
                <w:sz w:val="24"/>
                <w:szCs w:val="24"/>
                <w:lang w:val="en-US" w:eastAsia="zh-CN" w:bidi="ar"/>
              </w:rPr>
            </w:pPr>
            <w:r>
              <w:rPr>
                <w:rFonts w:hint="eastAsia" w:ascii="宋体" w:hAnsi="宋体" w:eastAsia="宋体" w:cs="宋体"/>
                <w:color w:val="auto"/>
                <w:sz w:val="24"/>
                <w:szCs w:val="24"/>
                <w:highlight w:val="none"/>
                <w:lang w:val="en-US" w:eastAsia="zh-CN"/>
              </w:rPr>
              <w:t>（10分）</w:t>
            </w:r>
          </w:p>
        </w:tc>
        <w:tc>
          <w:tcPr>
            <w:tcW w:w="5023" w:type="dxa"/>
            <w:noWrap w:val="0"/>
            <w:vAlign w:val="center"/>
          </w:tcPr>
          <w:p>
            <w:pPr>
              <w:keepNext w:val="0"/>
              <w:keepLines w:val="0"/>
              <w:pageBreakBefore w:val="0"/>
              <w:widowControl w:val="0"/>
              <w:kinsoku/>
              <w:wordWrap/>
              <w:overflowPunct/>
              <w:topLinePunct w:val="0"/>
              <w:bidi w:val="0"/>
              <w:snapToGrid/>
              <w:spacing w:line="460" w:lineRule="exact"/>
              <w:jc w:val="left"/>
              <w:textAlignment w:val="auto"/>
              <w:rPr>
                <w:rFonts w:hint="eastAsia" w:asciiTheme="minorEastAsia" w:hAnsiTheme="minorEastAsia" w:eastAsiaTheme="minorEastAsia" w:cstheme="minorEastAsia"/>
                <w:sz w:val="24"/>
                <w:szCs w:val="24"/>
                <w:shd w:val="clear" w:fill="FFFF00"/>
                <w:lang w:eastAsia="zh-CN"/>
              </w:rPr>
            </w:pPr>
            <w:r>
              <w:rPr>
                <w:rFonts w:hint="eastAsia" w:ascii="宋体" w:hAnsi="宋体" w:eastAsia="宋体" w:cs="宋体"/>
                <w:color w:val="auto"/>
                <w:spacing w:val="-10"/>
                <w:sz w:val="24"/>
                <w:szCs w:val="24"/>
                <w:highlight w:val="none"/>
                <w:lang w:val="en-US" w:eastAsia="zh-CN"/>
              </w:rPr>
              <w:t>投标人分析本项目重点难点，并针对项目重点难点做出应对措施。对项目重点难点工作内容分析，合理准确、对策可行的得10分，较合理但仍有不足、对策一般的得6分，不合理的得2分；</w:t>
            </w:r>
            <w:r>
              <w:rPr>
                <w:rFonts w:hint="eastAsia" w:ascii="宋体" w:hAnsi="宋体" w:eastAsia="宋体" w:cs="宋体"/>
                <w:color w:val="auto"/>
                <w:sz w:val="24"/>
                <w:szCs w:val="24"/>
                <w:highlight w:val="none"/>
                <w:lang w:val="en-US" w:eastAsia="zh-CN"/>
              </w:rPr>
              <w:t>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措施</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sz w:val="24"/>
                <w:szCs w:val="24"/>
                <w:shd w:val="clear" w:fill="FFFF00"/>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6分</w:t>
            </w:r>
            <w:r>
              <w:rPr>
                <w:rFonts w:hint="eastAsia" w:ascii="宋体" w:hAnsi="宋体" w:eastAsia="宋体" w:cs="宋体"/>
                <w:color w:val="auto"/>
                <w:sz w:val="24"/>
                <w:szCs w:val="24"/>
                <w:highlight w:val="none"/>
                <w:lang w:eastAsia="zh-CN"/>
              </w:rPr>
              <w:t>）</w:t>
            </w:r>
          </w:p>
        </w:tc>
        <w:tc>
          <w:tcPr>
            <w:tcW w:w="5023"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Theme="minorEastAsia" w:hAnsiTheme="minorEastAsia" w:eastAsiaTheme="minorEastAsia" w:cstheme="minorEastAsia"/>
                <w:sz w:val="24"/>
                <w:szCs w:val="24"/>
                <w:shd w:val="clear" w:fill="FFFF00"/>
                <w:lang w:eastAsia="zh-CN"/>
              </w:rPr>
            </w:pPr>
            <w:r>
              <w:rPr>
                <w:rFonts w:hint="eastAsia" w:ascii="宋体" w:hAnsi="宋体" w:eastAsia="宋体" w:cs="宋体"/>
                <w:color w:val="auto"/>
                <w:kern w:val="0"/>
                <w:sz w:val="24"/>
                <w:highlight w:val="none"/>
                <w:lang w:val="en-US" w:eastAsia="zh-CN"/>
              </w:rPr>
              <w:t>投标人从项目</w:t>
            </w:r>
            <w:r>
              <w:rPr>
                <w:rFonts w:hint="eastAsia" w:ascii="宋体" w:hAnsi="宋体" w:eastAsia="宋体" w:cs="宋体"/>
                <w:color w:val="auto"/>
                <w:kern w:val="0"/>
                <w:sz w:val="24"/>
                <w:highlight w:val="none"/>
              </w:rPr>
              <w:t>管理组织、质量目标分解</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质量控制</w:t>
            </w:r>
            <w:r>
              <w:rPr>
                <w:rFonts w:hint="eastAsia" w:ascii="宋体" w:hAnsi="宋体" w:eastAsia="宋体" w:cs="宋体"/>
                <w:color w:val="auto"/>
                <w:kern w:val="0"/>
                <w:sz w:val="24"/>
                <w:highlight w:val="none"/>
                <w:lang w:val="en-US" w:eastAsia="zh-CN"/>
              </w:rPr>
              <w:t>方案三个方面对项目质提</w:t>
            </w:r>
            <w:r>
              <w:rPr>
                <w:rFonts w:hint="eastAsia" w:ascii="宋体" w:hAnsi="宋体" w:eastAsia="宋体" w:cs="宋体"/>
                <w:color w:val="auto"/>
                <w:kern w:val="0"/>
                <w:sz w:val="24"/>
                <w:highlight w:val="none"/>
              </w:rPr>
              <w:t>出</w:t>
            </w:r>
            <w:r>
              <w:rPr>
                <w:rFonts w:hint="eastAsia" w:ascii="宋体" w:hAnsi="宋体" w:eastAsia="宋体" w:cs="宋体"/>
                <w:color w:val="auto"/>
                <w:kern w:val="0"/>
                <w:sz w:val="24"/>
                <w:highlight w:val="none"/>
                <w:lang w:val="en-US" w:eastAsia="zh-CN"/>
              </w:rPr>
              <w:t>质量保证</w:t>
            </w:r>
            <w:r>
              <w:rPr>
                <w:rFonts w:hint="eastAsia" w:ascii="宋体" w:hAnsi="宋体" w:eastAsia="宋体" w:cs="宋体"/>
                <w:color w:val="auto"/>
                <w:kern w:val="0"/>
                <w:sz w:val="24"/>
                <w:highlight w:val="none"/>
              </w:rPr>
              <w:t>措施</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内容详尽完整的</w:t>
            </w:r>
            <w:r>
              <w:rPr>
                <w:rFonts w:hint="eastAsia" w:ascii="宋体" w:hAnsi="宋体" w:eastAsia="宋体" w:cs="宋体"/>
                <w:color w:val="auto"/>
                <w:sz w:val="24"/>
                <w:szCs w:val="24"/>
                <w:highlight w:val="none"/>
                <w:lang w:val="en-US" w:eastAsia="zh-CN"/>
              </w:rPr>
              <w:t>得6分，内容一般的得3分，内容不完整较差的得1分；缺项不得分。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进度安排</w:t>
            </w:r>
          </w:p>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sz w:val="24"/>
                <w:szCs w:val="24"/>
                <w:shd w:val="clear" w:fill="FFFF00"/>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6分</w:t>
            </w:r>
            <w:r>
              <w:rPr>
                <w:rFonts w:hint="eastAsia" w:ascii="宋体" w:hAnsi="宋体" w:eastAsia="宋体" w:cs="宋体"/>
                <w:color w:val="auto"/>
                <w:sz w:val="24"/>
                <w:szCs w:val="24"/>
                <w:highlight w:val="none"/>
                <w:lang w:eastAsia="zh-CN"/>
              </w:rPr>
              <w:t>）</w:t>
            </w:r>
          </w:p>
        </w:tc>
        <w:tc>
          <w:tcPr>
            <w:tcW w:w="5023"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default" w:asciiTheme="minorEastAsia" w:hAnsiTheme="minorEastAsia" w:eastAsiaTheme="minorEastAsia" w:cstheme="minorEastAsia"/>
                <w:sz w:val="24"/>
                <w:szCs w:val="24"/>
                <w:shd w:val="clear" w:fill="FFFF00"/>
                <w:lang w:val="en-US" w:eastAsia="zh-CN"/>
              </w:rPr>
            </w:pPr>
            <w:r>
              <w:rPr>
                <w:rFonts w:hint="eastAsia" w:ascii="宋体" w:hAnsi="宋体" w:eastAsia="宋体" w:cs="宋体"/>
                <w:color w:val="auto"/>
                <w:kern w:val="0"/>
                <w:sz w:val="24"/>
                <w:highlight w:val="none"/>
                <w:lang w:val="en-US" w:eastAsia="zh-CN"/>
              </w:rPr>
              <w:t>投标人从</w:t>
            </w:r>
            <w:r>
              <w:rPr>
                <w:rFonts w:hint="eastAsia" w:ascii="宋体" w:hAnsi="宋体" w:eastAsia="宋体" w:cs="宋体"/>
                <w:color w:val="auto"/>
                <w:kern w:val="0"/>
                <w:sz w:val="24"/>
                <w:highlight w:val="none"/>
              </w:rPr>
              <w:t>进度计划节点</w:t>
            </w:r>
            <w:r>
              <w:rPr>
                <w:rFonts w:hint="eastAsia" w:ascii="宋体" w:hAnsi="宋体" w:eastAsia="宋体" w:cs="宋体"/>
                <w:color w:val="auto"/>
                <w:kern w:val="0"/>
                <w:sz w:val="24"/>
                <w:highlight w:val="none"/>
                <w:lang w:val="en-US" w:eastAsia="zh-CN"/>
              </w:rPr>
              <w:t>安排、后续服务方案2个方面制定项目进度措施。详细可行的</w:t>
            </w:r>
            <w:r>
              <w:rPr>
                <w:rFonts w:hint="eastAsia" w:ascii="宋体" w:hAnsi="宋体" w:eastAsia="宋体" w:cs="宋体"/>
                <w:sz w:val="24"/>
                <w:szCs w:val="24"/>
                <w:highlight w:val="none"/>
                <w:lang w:val="en-US" w:eastAsia="zh-CN"/>
              </w:rPr>
              <w:t>得6分，进度安排一般得4分，安排较差的得2分，缺项不得分。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hint="eastAsia" w:asciiTheme="minorEastAsia" w:hAnsiTheme="minorEastAsia" w:eastAsiaTheme="minorEastAsia" w:cstheme="minorEastAsia"/>
                <w:b w:val="0"/>
                <w:bCs w:val="0"/>
                <w:sz w:val="24"/>
                <w:szCs w:val="24"/>
                <w:shd w:val="clear" w:fill="FFFF00"/>
                <w:lang w:eastAsia="zh-CN"/>
              </w:rPr>
            </w:pPr>
            <w:r>
              <w:rPr>
                <w:rFonts w:hint="eastAsia" w:ascii="宋体" w:hAnsi="宋体" w:eastAsia="宋体" w:cs="宋体"/>
                <w:color w:val="auto"/>
                <w:sz w:val="24"/>
                <w:szCs w:val="24"/>
                <w:highlight w:val="none"/>
                <w:lang w:eastAsia="zh-CN"/>
              </w:rPr>
              <w:t>困难因素的分析和对策（</w:t>
            </w:r>
            <w:r>
              <w:rPr>
                <w:rFonts w:hint="eastAsia" w:ascii="宋体" w:hAnsi="宋体" w:eastAsia="宋体" w:cs="宋体"/>
                <w:color w:val="auto"/>
                <w:sz w:val="24"/>
                <w:szCs w:val="24"/>
                <w:highlight w:val="none"/>
                <w:lang w:val="en-US" w:eastAsia="zh-CN"/>
              </w:rPr>
              <w:t>9分</w:t>
            </w:r>
            <w:r>
              <w:rPr>
                <w:rFonts w:hint="eastAsia" w:ascii="宋体" w:hAnsi="宋体" w:eastAsia="宋体" w:cs="宋体"/>
                <w:color w:val="auto"/>
                <w:sz w:val="24"/>
                <w:szCs w:val="24"/>
                <w:highlight w:val="none"/>
                <w:lang w:eastAsia="zh-CN"/>
              </w:rPr>
              <w:t>）</w:t>
            </w:r>
          </w:p>
        </w:tc>
        <w:tc>
          <w:tcPr>
            <w:tcW w:w="5023" w:type="dxa"/>
            <w:noWrap w:val="0"/>
            <w:vAlign w:val="top"/>
          </w:tcPr>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hint="eastAsia" w:asciiTheme="minorEastAsia" w:hAnsiTheme="minorEastAsia" w:eastAsiaTheme="minorEastAsia" w:cstheme="minorEastAsia"/>
                <w:sz w:val="24"/>
                <w:szCs w:val="24"/>
                <w:shd w:val="clear" w:fill="FFFF00"/>
                <w:lang w:eastAsia="zh-CN"/>
              </w:rPr>
            </w:pPr>
            <w:r>
              <w:rPr>
                <w:rFonts w:hint="eastAsia" w:ascii="宋体" w:hAnsi="宋体" w:eastAsia="宋体" w:cs="宋体"/>
                <w:color w:val="auto"/>
                <w:kern w:val="0"/>
                <w:sz w:val="24"/>
                <w:highlight w:val="none"/>
                <w:lang w:val="en-US" w:eastAsia="zh-CN"/>
              </w:rPr>
              <w:t>投标人要</w:t>
            </w:r>
            <w:r>
              <w:rPr>
                <w:rFonts w:hint="eastAsia" w:ascii="宋体" w:hAnsi="宋体" w:eastAsia="宋体" w:cs="宋体"/>
                <w:color w:val="auto"/>
                <w:kern w:val="0"/>
                <w:sz w:val="24"/>
                <w:highlight w:val="none"/>
              </w:rPr>
              <w:t>分析本项目重点难点，并针对项目重点难点做出应对措施。对项目重点难点工作内容分析合理准确、对策可行,完全符合采购人需求的，得</w:t>
            </w:r>
            <w:r>
              <w:rPr>
                <w:rFonts w:hint="eastAsia" w:ascii="宋体" w:hAnsi="宋体" w:eastAsia="宋体" w:cs="宋体"/>
                <w:color w:val="auto"/>
                <w:kern w:val="0"/>
                <w:sz w:val="24"/>
                <w:highlight w:val="none"/>
                <w:lang w:val="en-US" w:eastAsia="zh-CN"/>
              </w:rPr>
              <w:t>9</w:t>
            </w:r>
            <w:r>
              <w:rPr>
                <w:rFonts w:hint="eastAsia" w:ascii="宋体" w:hAnsi="宋体" w:eastAsia="宋体" w:cs="宋体"/>
                <w:color w:val="auto"/>
                <w:kern w:val="0"/>
                <w:sz w:val="24"/>
                <w:highlight w:val="none"/>
              </w:rPr>
              <w:t>分；重点难点分析基本完整，也能够满足采购人需求的，得5分；其他不得分。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restart"/>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p>
        </w:tc>
        <w:tc>
          <w:tcPr>
            <w:tcW w:w="1842" w:type="dxa"/>
            <w:vMerge w:val="restart"/>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商务分 </w:t>
            </w:r>
          </w:p>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30分 </w:t>
            </w:r>
          </w:p>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widowControl/>
              <w:suppressLineNumbers w:val="0"/>
              <w:jc w:val="center"/>
              <w:rPr>
                <w:rFonts w:hint="eastAsia" w:asciiTheme="minorEastAsia" w:hAnsiTheme="minorEastAsia" w:eastAsiaTheme="minorEastAsia" w:cstheme="minorEastAsia"/>
                <w:b w:val="0"/>
                <w:bCs w:val="0"/>
                <w:color w:val="000000"/>
                <w:kern w:val="0"/>
                <w:sz w:val="24"/>
                <w:szCs w:val="24"/>
                <w:lang w:val="en-US" w:eastAsia="zh-CN" w:bidi="ar"/>
              </w:rPr>
            </w:pPr>
            <w:r>
              <w:rPr>
                <w:rFonts w:hint="eastAsia" w:asciiTheme="minorEastAsia" w:hAnsiTheme="minorEastAsia" w:eastAsiaTheme="minorEastAsia" w:cstheme="minorEastAsia"/>
                <w:b w:val="0"/>
                <w:bCs w:val="0"/>
                <w:color w:val="000000"/>
                <w:kern w:val="0"/>
                <w:sz w:val="24"/>
                <w:szCs w:val="24"/>
                <w:lang w:val="en-US" w:eastAsia="zh-CN" w:bidi="ar"/>
              </w:rPr>
              <w:t>企业业绩</w:t>
            </w:r>
          </w:p>
          <w:p>
            <w:pPr>
              <w:keepNext w:val="0"/>
              <w:keepLines w:val="0"/>
              <w:widowControl/>
              <w:suppressLineNumbers w:val="0"/>
              <w:jc w:val="center"/>
              <w:rPr>
                <w:rFonts w:hint="eastAsia" w:asciiTheme="minorEastAsia" w:hAnsiTheme="minorEastAsia" w:eastAsiaTheme="minorEastAsia" w:cstheme="minorEastAsia"/>
                <w:b w:val="0"/>
                <w:bCs w:val="0"/>
                <w:sz w:val="24"/>
                <w:szCs w:val="24"/>
                <w:shd w:val="clear" w:fill="FFFF00"/>
                <w:lang w:eastAsia="zh-CN"/>
              </w:rPr>
            </w:pPr>
            <w:r>
              <w:rPr>
                <w:rFonts w:hint="eastAsia" w:asciiTheme="minorEastAsia" w:hAnsiTheme="minorEastAsia" w:eastAsiaTheme="minorEastAsia" w:cstheme="minorEastAsia"/>
                <w:b w:val="0"/>
                <w:bCs w:val="0"/>
                <w:color w:val="000000"/>
                <w:kern w:val="0"/>
                <w:sz w:val="24"/>
                <w:szCs w:val="24"/>
                <w:lang w:val="en-US" w:eastAsia="zh-CN" w:bidi="ar"/>
              </w:rPr>
              <w:t>（15分）</w:t>
            </w:r>
          </w:p>
        </w:tc>
        <w:tc>
          <w:tcPr>
            <w:tcW w:w="5023" w:type="dxa"/>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shd w:val="clear" w:fill="FFFF00"/>
                <w:lang w:eastAsia="zh-CN"/>
              </w:rPr>
            </w:pPr>
            <w:r>
              <w:rPr>
                <w:rFonts w:hint="eastAsia" w:asciiTheme="minorEastAsia" w:hAnsiTheme="minorEastAsia" w:eastAsiaTheme="minorEastAsia" w:cstheme="minorEastAsia"/>
                <w:b w:val="0"/>
                <w:bCs w:val="0"/>
                <w:color w:val="000000"/>
                <w:kern w:val="0"/>
                <w:sz w:val="24"/>
                <w:szCs w:val="24"/>
                <w:lang w:val="en-US" w:eastAsia="zh-CN" w:bidi="ar"/>
              </w:rPr>
              <w:t>2020年以来，已完成的</w:t>
            </w:r>
            <w:r>
              <w:rPr>
                <w:rFonts w:hint="eastAsia" w:asciiTheme="minorEastAsia" w:hAnsiTheme="minorEastAsia" w:eastAsiaTheme="minorEastAsia" w:cstheme="minorEastAsia"/>
                <w:b w:val="0"/>
                <w:bCs w:val="0"/>
                <w:color w:val="000000"/>
                <w:kern w:val="0"/>
                <w:sz w:val="24"/>
                <w:szCs w:val="24"/>
                <w:highlight w:val="none"/>
                <w:lang w:val="en-US" w:eastAsia="zh-CN" w:bidi="ar"/>
              </w:rPr>
              <w:t>类似</w:t>
            </w:r>
            <w:r>
              <w:rPr>
                <w:rFonts w:hint="eastAsia" w:asciiTheme="minorEastAsia" w:hAnsiTheme="minorEastAsia" w:eastAsiaTheme="minorEastAsia" w:cstheme="minorEastAsia"/>
                <w:b w:val="0"/>
                <w:bCs w:val="0"/>
                <w:color w:val="000000"/>
                <w:kern w:val="0"/>
                <w:sz w:val="24"/>
                <w:szCs w:val="24"/>
                <w:lang w:val="en-US" w:eastAsia="zh-CN" w:bidi="ar"/>
              </w:rPr>
              <w:t>业绩，每提供一份业绩得3分，最多得15分。业绩需同时提供合同、中标通知书及网站查询中标页面，时间以合同为准，附清晰可辨的扫描件，未提供不得分；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widowControl/>
              <w:suppressLineNumbers w:val="0"/>
              <w:jc w:val="center"/>
              <w:rPr>
                <w:rFonts w:hint="eastAsia" w:asciiTheme="minorEastAsia" w:hAnsiTheme="minorEastAsia" w:eastAsiaTheme="minorEastAsia" w:cstheme="minorEastAsia"/>
                <w:b w:val="0"/>
                <w:bCs w:val="0"/>
                <w:color w:val="000000"/>
                <w:kern w:val="0"/>
                <w:sz w:val="24"/>
                <w:szCs w:val="24"/>
                <w:highlight w:val="none"/>
                <w:lang w:val="en-US" w:eastAsia="zh-CN" w:bidi="ar"/>
              </w:rPr>
            </w:pPr>
            <w:r>
              <w:rPr>
                <w:rFonts w:hint="eastAsia" w:asciiTheme="minorEastAsia" w:hAnsiTheme="minorEastAsia" w:eastAsiaTheme="minorEastAsia" w:cstheme="minorEastAsia"/>
                <w:b w:val="0"/>
                <w:bCs w:val="0"/>
                <w:color w:val="000000"/>
                <w:kern w:val="0"/>
                <w:sz w:val="24"/>
                <w:szCs w:val="24"/>
                <w:highlight w:val="none"/>
                <w:lang w:val="en-US" w:eastAsia="zh-CN" w:bidi="ar"/>
              </w:rPr>
              <w:t>人员配备</w:t>
            </w:r>
          </w:p>
          <w:p>
            <w:pPr>
              <w:keepNext w:val="0"/>
              <w:keepLines w:val="0"/>
              <w:widowControl/>
              <w:suppressLineNumbers w:val="0"/>
              <w:jc w:val="center"/>
              <w:rPr>
                <w:rFonts w:hint="default" w:asciiTheme="minorEastAsia" w:hAnsiTheme="minorEastAsia" w:eastAsiaTheme="minorEastAsia" w:cstheme="minorEastAsia"/>
                <w:b w:val="0"/>
                <w:bCs w:val="0"/>
                <w:color w:val="000000"/>
                <w:kern w:val="0"/>
                <w:sz w:val="24"/>
                <w:szCs w:val="24"/>
                <w:highlight w:val="green"/>
                <w:lang w:val="en-US" w:eastAsia="zh-CN" w:bidi="ar"/>
              </w:rPr>
            </w:pPr>
            <w:r>
              <w:rPr>
                <w:rFonts w:hint="eastAsia" w:asciiTheme="minorEastAsia" w:hAnsiTheme="minorEastAsia" w:eastAsiaTheme="minorEastAsia" w:cstheme="minorEastAsia"/>
                <w:b w:val="0"/>
                <w:bCs w:val="0"/>
                <w:color w:val="000000"/>
                <w:kern w:val="0"/>
                <w:sz w:val="24"/>
                <w:szCs w:val="24"/>
                <w:highlight w:val="none"/>
                <w:lang w:val="en-US" w:eastAsia="zh-CN" w:bidi="ar"/>
              </w:rPr>
              <w:t>（4分）</w:t>
            </w:r>
          </w:p>
        </w:tc>
        <w:tc>
          <w:tcPr>
            <w:tcW w:w="5023" w:type="dxa"/>
            <w:noWrap w:val="0"/>
            <w:vAlign w:val="center"/>
          </w:tcPr>
          <w:p>
            <w:pPr>
              <w:pStyle w:val="85"/>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cs="宋体"/>
                <w:sz w:val="24"/>
                <w:szCs w:val="24"/>
                <w:highlight w:val="none"/>
                <w:lang w:val="en-US" w:eastAsia="zh-CN"/>
              </w:rPr>
            </w:pPr>
            <w:r>
              <w:rPr>
                <w:rFonts w:hint="eastAsia" w:ascii="宋体" w:hAnsi="宋体" w:cs="宋体"/>
                <w:kern w:val="2"/>
                <w:sz w:val="24"/>
                <w:szCs w:val="24"/>
                <w:lang w:val="en-US" w:eastAsia="zh-CN" w:bidi="ar-SA"/>
              </w:rPr>
              <w:t>1</w:t>
            </w:r>
            <w:r>
              <w:rPr>
                <w:rFonts w:hint="default" w:ascii="宋体" w:hAnsi="宋体" w:eastAsia="宋体" w:cs="宋体"/>
                <w:kern w:val="2"/>
                <w:sz w:val="24"/>
                <w:szCs w:val="24"/>
                <w:lang w:val="en-US" w:eastAsia="zh-CN" w:bidi="ar-SA"/>
              </w:rPr>
              <w:t>.</w:t>
            </w:r>
            <w:r>
              <w:rPr>
                <w:rFonts w:hint="eastAsia" w:asciiTheme="minorEastAsia" w:hAnsiTheme="minorEastAsia" w:eastAsiaTheme="minorEastAsia" w:cstheme="minorEastAsia"/>
                <w:b w:val="0"/>
                <w:bCs w:val="0"/>
                <w:color w:val="000000"/>
                <w:kern w:val="0"/>
                <w:sz w:val="24"/>
                <w:szCs w:val="24"/>
                <w:highlight w:val="none"/>
                <w:lang w:val="en-US" w:eastAsia="zh-CN" w:bidi="ar"/>
              </w:rPr>
              <w:t>供应商拟派人员除项目负责人外，每有一人</w:t>
            </w:r>
            <w:r>
              <w:rPr>
                <w:rFonts w:hint="eastAsia" w:asciiTheme="minorEastAsia" w:hAnsiTheme="minorEastAsia" w:eastAsiaTheme="minorEastAsia" w:cstheme="minorEastAsia"/>
                <w:b w:val="0"/>
                <w:bCs w:val="0"/>
                <w:color w:val="000000"/>
                <w:kern w:val="0"/>
                <w:sz w:val="24"/>
                <w:szCs w:val="24"/>
                <w:lang w:val="en-US" w:eastAsia="zh-CN" w:bidi="ar"/>
              </w:rPr>
              <w:t>具有高级及以上的职称的得2分，最多得4分。</w:t>
            </w:r>
            <w:r>
              <w:rPr>
                <w:rFonts w:hint="eastAsia" w:asciiTheme="minorEastAsia" w:hAnsiTheme="minorEastAsia" w:eastAsiaTheme="minorEastAsia" w:cstheme="minorEastAsia"/>
                <w:b/>
                <w:bCs/>
                <w:color w:val="000000"/>
                <w:kern w:val="0"/>
                <w:sz w:val="24"/>
                <w:szCs w:val="24"/>
                <w:lang w:val="en-US" w:eastAsia="zh-CN" w:bidi="ar"/>
              </w:rPr>
              <w:t>注：响应文件附劳动合同及证书扫描件。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47"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lang w:val="en-US" w:eastAsia="zh-CN"/>
              </w:rPr>
            </w:pPr>
          </w:p>
        </w:tc>
        <w:tc>
          <w:tcPr>
            <w:tcW w:w="1842" w:type="dxa"/>
            <w:vMerge w:val="continue"/>
            <w:noWrap w:val="0"/>
            <w:vAlign w:val="center"/>
          </w:tcPr>
          <w:p>
            <w:pPr>
              <w:pStyle w:val="8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rPr>
            </w:pPr>
          </w:p>
        </w:tc>
        <w:tc>
          <w:tcPr>
            <w:tcW w:w="1527" w:type="dxa"/>
            <w:noWrap w:val="0"/>
            <w:vAlign w:val="center"/>
          </w:tcPr>
          <w:p>
            <w:pPr>
              <w:keepNext w:val="0"/>
              <w:keepLines w:val="0"/>
              <w:widowControl/>
              <w:suppressLineNumbers w:val="0"/>
              <w:jc w:val="center"/>
              <w:rPr>
                <w:rFonts w:hint="eastAsia" w:asciiTheme="minorEastAsia" w:hAnsiTheme="minorEastAsia" w:eastAsiaTheme="minorEastAsia" w:cstheme="minorEastAsia"/>
                <w:b w:val="0"/>
                <w:bCs w:val="0"/>
                <w:color w:val="000000"/>
                <w:kern w:val="0"/>
                <w:sz w:val="24"/>
                <w:szCs w:val="24"/>
                <w:lang w:val="en-US" w:eastAsia="zh-CN" w:bidi="ar"/>
              </w:rPr>
            </w:pPr>
            <w:r>
              <w:rPr>
                <w:rFonts w:hint="eastAsia" w:asciiTheme="minorEastAsia" w:hAnsiTheme="minorEastAsia" w:eastAsiaTheme="minorEastAsia" w:cstheme="minorEastAsia"/>
                <w:b w:val="0"/>
                <w:bCs w:val="0"/>
                <w:color w:val="000000"/>
                <w:kern w:val="0"/>
                <w:sz w:val="24"/>
                <w:szCs w:val="24"/>
                <w:lang w:val="en-US" w:eastAsia="zh-CN" w:bidi="ar"/>
              </w:rPr>
              <w:t>服务承诺</w:t>
            </w:r>
          </w:p>
          <w:p>
            <w:pPr>
              <w:keepNext w:val="0"/>
              <w:keepLines w:val="0"/>
              <w:widowControl/>
              <w:suppressLineNumbers w:val="0"/>
              <w:jc w:val="center"/>
              <w:rPr>
                <w:rFonts w:hint="eastAsia" w:asciiTheme="minorEastAsia" w:hAnsiTheme="minorEastAsia" w:eastAsiaTheme="minorEastAsia" w:cstheme="minorEastAsia"/>
                <w:b w:val="0"/>
                <w:bCs w:val="0"/>
                <w:sz w:val="24"/>
                <w:szCs w:val="24"/>
                <w:shd w:val="clear" w:fill="FFFF00"/>
                <w:lang w:eastAsia="zh-CN"/>
              </w:rPr>
            </w:pPr>
            <w:r>
              <w:rPr>
                <w:rFonts w:hint="eastAsia" w:asciiTheme="minorEastAsia" w:hAnsiTheme="minorEastAsia" w:eastAsiaTheme="minorEastAsia" w:cstheme="minorEastAsia"/>
                <w:b w:val="0"/>
                <w:bCs w:val="0"/>
                <w:color w:val="000000"/>
                <w:kern w:val="0"/>
                <w:sz w:val="24"/>
                <w:szCs w:val="24"/>
                <w:lang w:val="en-US" w:eastAsia="zh-CN" w:bidi="ar"/>
              </w:rPr>
              <w:t>（11分）</w:t>
            </w:r>
          </w:p>
        </w:tc>
        <w:tc>
          <w:tcPr>
            <w:tcW w:w="5023" w:type="dxa"/>
            <w:noWrap w:val="0"/>
            <w:vAlign w:val="center"/>
          </w:tcPr>
          <w:p>
            <w:pPr>
              <w:pStyle w:val="108"/>
              <w:keepNext w:val="0"/>
              <w:keepLines w:val="0"/>
              <w:pageBreakBefore w:val="0"/>
              <w:kinsoku/>
              <w:wordWrap/>
              <w:overflowPunct/>
              <w:topLinePunct w:val="0"/>
              <w:bidi w:val="0"/>
              <w:snapToGrid/>
              <w:spacing w:line="460" w:lineRule="exact"/>
              <w:ind w:left="0" w:right="0"/>
              <w:jc w:val="left"/>
              <w:textAlignment w:val="auto"/>
              <w:rPr>
                <w:rFonts w:hint="eastAsia"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val="en-US"/>
              </w:rPr>
              <w:t>承诺在招标人规定的期限内完成的，并有具体的措施</w:t>
            </w:r>
            <w:r>
              <w:rPr>
                <w:rFonts w:hint="eastAsia" w:ascii="宋体" w:hAnsi="宋体" w:cs="宋体"/>
                <w:sz w:val="24"/>
                <w:szCs w:val="24"/>
                <w:highlight w:val="none"/>
                <w:lang w:val="en-US" w:eastAsia="zh-CN"/>
              </w:rPr>
              <w:t>的，承诺详尽得5分，承诺措施一般的得3分，承诺空泛无具体措施的得1分，缺项得0分。</w:t>
            </w:r>
          </w:p>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cs="宋体"/>
                <w:sz w:val="24"/>
                <w:szCs w:val="24"/>
                <w:highlight w:val="none"/>
                <w:lang w:val="en-US" w:eastAsia="zh-CN"/>
              </w:rPr>
            </w:pPr>
            <w:r>
              <w:rPr>
                <w:rFonts w:hint="eastAsia" w:ascii="宋体" w:hAnsi="宋体" w:eastAsia="宋体" w:cs="宋体"/>
                <w:sz w:val="24"/>
                <w:szCs w:val="24"/>
                <w:highlight w:val="none"/>
                <w:lang w:val="en-US"/>
              </w:rPr>
              <w:t>2、承诺在项目进行过程中与招标人积极配合、为招标人排忧解难</w:t>
            </w:r>
            <w:r>
              <w:rPr>
                <w:rFonts w:hint="eastAsia" w:ascii="宋体" w:hAnsi="宋体" w:cs="宋体"/>
                <w:sz w:val="24"/>
                <w:szCs w:val="24"/>
                <w:highlight w:val="none"/>
                <w:lang w:val="en-US" w:eastAsia="zh-CN"/>
              </w:rPr>
              <w:t>并具有具体措施，承诺详尽得的得4分，承诺一般的得2分，承诺空泛无具体措施的的1分，缺项得0分；</w:t>
            </w:r>
          </w:p>
          <w:p>
            <w:pPr>
              <w:pStyle w:val="85"/>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shd w:val="clear" w:fill="FFFF00"/>
                <w:lang w:val="en-US" w:eastAsia="zh-CN"/>
              </w:rPr>
            </w:pPr>
            <w:r>
              <w:rPr>
                <w:rFonts w:hint="eastAsia" w:ascii="宋体" w:hAnsi="宋体" w:cs="宋体"/>
                <w:sz w:val="24"/>
                <w:szCs w:val="24"/>
                <w:highlight w:val="none"/>
                <w:lang w:val="en-US" w:eastAsia="zh-CN"/>
              </w:rPr>
              <w:t>3、承诺</w:t>
            </w:r>
            <w:r>
              <w:rPr>
                <w:rFonts w:hint="eastAsia" w:ascii="宋体" w:hAnsi="宋体" w:eastAsia="宋体" w:cs="宋体"/>
                <w:sz w:val="24"/>
                <w:szCs w:val="24"/>
                <w:highlight w:val="none"/>
                <w:lang w:val="en-US"/>
              </w:rPr>
              <w:t>服从招标人安排，按时保质保量完成设计任务</w:t>
            </w:r>
            <w:r>
              <w:rPr>
                <w:rFonts w:hint="eastAsia" w:ascii="宋体" w:hAnsi="宋体" w:cs="宋体"/>
                <w:sz w:val="24"/>
                <w:szCs w:val="24"/>
                <w:highlight w:val="none"/>
                <w:lang w:val="en-US" w:eastAsia="zh-CN"/>
              </w:rPr>
              <w:t>的得2分，不承诺不得分。</w:t>
            </w:r>
          </w:p>
        </w:tc>
      </w:tr>
    </w:tbl>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rPr>
        <w:t>注：</w:t>
      </w:r>
      <w:r>
        <w:rPr>
          <w:rFonts w:hint="eastAsia" w:ascii="宋体" w:hAnsi="宋体" w:cs="宋体"/>
          <w:b/>
          <w:bCs/>
          <w:sz w:val="24"/>
          <w:szCs w:val="24"/>
          <w:lang w:val="en-US" w:eastAsia="zh-CN"/>
        </w:rPr>
        <w:t>1.</w:t>
      </w:r>
      <w:r>
        <w:rPr>
          <w:rFonts w:hint="eastAsia" w:ascii="宋体" w:hAnsi="宋体" w:cs="宋体"/>
          <w:b/>
          <w:bCs/>
          <w:sz w:val="24"/>
          <w:szCs w:val="24"/>
        </w:rPr>
        <w:t>评分办法中要求的证明材料均需按要求附响应文件中，否则不得分。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评审时，磋商小组各成员应当独立对每个有效响应的文件进行评价、打分，然后汇总每个供应商每项评分因素的得分，取各磋商小组各成员评分的算术平均数作为供应商的评审最后得分。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pStyle w:val="37"/>
        <w:rPr>
          <w:rFonts w:hint="eastAsia" w:ascii="宋体" w:hAnsi="宋体" w:cs="宋体"/>
          <w:szCs w:val="21"/>
        </w:rPr>
      </w:pPr>
    </w:p>
    <w:bookmarkEnd w:id="76"/>
    <w:bookmarkEnd w:id="77"/>
    <w:p>
      <w:pPr>
        <w:rPr>
          <w:rFonts w:hint="eastAsia"/>
        </w:rPr>
        <w:sectPr>
          <w:footerReference r:id="rId10" w:type="default"/>
          <w:pgSz w:w="11906" w:h="16838"/>
          <w:pgMar w:top="1134" w:right="1134" w:bottom="1134" w:left="1474" w:header="851" w:footer="510" w:gutter="0"/>
          <w:pgNumType w:start="1"/>
          <w:cols w:space="720" w:num="1"/>
          <w:docGrid w:type="lines" w:linePitch="312" w:charSpace="0"/>
        </w:sectPr>
      </w:pPr>
      <w:bookmarkStart w:id="78" w:name="_Toc113459850"/>
      <w:bookmarkStart w:id="79" w:name="_Toc7461"/>
    </w:p>
    <w:p>
      <w:pPr>
        <w:pStyle w:val="35"/>
        <w:numPr>
          <w:ilvl w:val="0"/>
          <w:numId w:val="1"/>
        </w:numPr>
        <w:spacing w:before="0" w:after="0" w:line="360" w:lineRule="auto"/>
        <w:ind w:firstLine="0"/>
        <w:rPr>
          <w:rFonts w:hint="eastAsia" w:ascii="宋体" w:hAnsi="宋体" w:cs="宋体"/>
        </w:rPr>
      </w:pPr>
      <w:bookmarkStart w:id="80" w:name="_Toc15626"/>
      <w:bookmarkStart w:id="81" w:name="_Toc21723"/>
      <w:r>
        <w:rPr>
          <w:rFonts w:hint="eastAsia" w:ascii="宋体" w:hAnsi="宋体" w:cs="宋体"/>
        </w:rPr>
        <w:t>拟签订的合同</w:t>
      </w:r>
      <w:bookmarkStart w:id="82" w:name="_Toc373230031"/>
      <w:bookmarkStart w:id="83" w:name="_Toc153880771"/>
      <w:bookmarkStart w:id="84" w:name="_Toc374512418"/>
      <w:bookmarkStart w:id="85" w:name="_Toc218418181"/>
      <w:bookmarkStart w:id="86" w:name="_Toc214329890"/>
      <w:r>
        <w:rPr>
          <w:rFonts w:hint="eastAsia" w:ascii="宋体" w:hAnsi="宋体" w:cs="宋体"/>
        </w:rPr>
        <w:t>文本</w:t>
      </w:r>
      <w:bookmarkEnd w:id="78"/>
      <w:bookmarkEnd w:id="80"/>
      <w:bookmarkEnd w:id="81"/>
    </w:p>
    <w:p>
      <w:pPr>
        <w:jc w:val="center"/>
        <w:rPr>
          <w:rFonts w:ascii="宋体" w:hAnsi="宋体"/>
          <w:b/>
          <w:color w:val="000000"/>
          <w:sz w:val="32"/>
          <w:szCs w:val="32"/>
        </w:rPr>
      </w:pPr>
    </w:p>
    <w:p>
      <w:pPr>
        <w:spacing w:line="360" w:lineRule="auto"/>
        <w:jc w:val="center"/>
        <w:rPr>
          <w:rFonts w:ascii="宋体" w:hAnsi="宋体"/>
          <w:b/>
          <w:color w:val="000000"/>
          <w:sz w:val="24"/>
          <w:szCs w:val="24"/>
        </w:rPr>
      </w:pPr>
    </w:p>
    <w:p>
      <w:pPr>
        <w:spacing w:line="360" w:lineRule="auto"/>
        <w:jc w:val="center"/>
        <w:rPr>
          <w:rFonts w:ascii="宋体" w:hAnsi="宋体"/>
          <w:b/>
          <w:color w:val="000000"/>
          <w:sz w:val="24"/>
          <w:szCs w:val="24"/>
        </w:rPr>
      </w:pPr>
    </w:p>
    <w:p>
      <w:pPr>
        <w:spacing w:line="360" w:lineRule="auto"/>
        <w:jc w:val="center"/>
        <w:rPr>
          <w:rFonts w:ascii="宋体" w:hAnsi="宋体"/>
          <w:b/>
          <w:color w:val="000000"/>
          <w:sz w:val="24"/>
          <w:szCs w:val="24"/>
        </w:rPr>
      </w:pPr>
    </w:p>
    <w:p>
      <w:pPr>
        <w:spacing w:line="360" w:lineRule="auto"/>
        <w:jc w:val="center"/>
        <w:rPr>
          <w:rFonts w:ascii="宋体" w:hAnsi="宋体"/>
          <w:b/>
          <w:color w:val="000000"/>
          <w:sz w:val="24"/>
          <w:szCs w:val="24"/>
        </w:rPr>
      </w:pPr>
    </w:p>
    <w:p>
      <w:pPr>
        <w:spacing w:line="360" w:lineRule="auto"/>
        <w:jc w:val="center"/>
        <w:rPr>
          <w:rFonts w:hint="eastAsia" w:ascii="宋体" w:hAnsi="宋体"/>
          <w:b/>
          <w:color w:val="000000"/>
          <w:sz w:val="24"/>
          <w:szCs w:val="24"/>
        </w:rPr>
      </w:pPr>
    </w:p>
    <w:p>
      <w:pPr>
        <w:spacing w:line="360" w:lineRule="auto"/>
        <w:jc w:val="center"/>
        <w:rPr>
          <w:rFonts w:hint="eastAsia" w:ascii="宋体" w:hAnsi="宋体"/>
          <w:b/>
          <w:color w:val="000000"/>
          <w:sz w:val="24"/>
          <w:szCs w:val="24"/>
        </w:rPr>
      </w:pPr>
    </w:p>
    <w:p>
      <w:pPr>
        <w:spacing w:line="360" w:lineRule="auto"/>
        <w:jc w:val="center"/>
        <w:rPr>
          <w:rFonts w:hint="eastAsia" w:ascii="宋体" w:hAnsi="宋体"/>
          <w:b/>
          <w:color w:val="000000"/>
          <w:sz w:val="32"/>
          <w:szCs w:val="32"/>
        </w:rPr>
      </w:pPr>
      <w:r>
        <w:rPr>
          <w:rFonts w:hint="eastAsia" w:ascii="宋体" w:hAnsi="宋体"/>
          <w:b/>
          <w:color w:val="000000"/>
          <w:sz w:val="32"/>
          <w:szCs w:val="32"/>
        </w:rPr>
        <w:t>技 术 咨 询 合 同</w:t>
      </w:r>
    </w:p>
    <w:p>
      <w:pPr>
        <w:spacing w:line="360" w:lineRule="auto"/>
        <w:rPr>
          <w:rFonts w:hint="eastAsia" w:ascii="宋体" w:hAnsi="宋体"/>
          <w:color w:val="000000"/>
          <w:sz w:val="28"/>
          <w:szCs w:val="28"/>
        </w:rPr>
      </w:pPr>
    </w:p>
    <w:p>
      <w:pPr>
        <w:spacing w:line="360" w:lineRule="auto"/>
        <w:ind w:firstLine="970" w:firstLineChars="345"/>
        <w:rPr>
          <w:rFonts w:hint="eastAsia" w:ascii="宋体" w:hAnsi="宋体"/>
          <w:b/>
          <w:color w:val="000000"/>
          <w:sz w:val="28"/>
          <w:szCs w:val="28"/>
        </w:rPr>
      </w:pPr>
    </w:p>
    <w:p>
      <w:pPr>
        <w:spacing w:line="360" w:lineRule="auto"/>
        <w:ind w:firstLine="970" w:firstLineChars="345"/>
        <w:rPr>
          <w:rFonts w:hint="eastAsia" w:ascii="宋体" w:hAnsi="宋体"/>
          <w:b/>
          <w:color w:val="000000"/>
          <w:sz w:val="28"/>
          <w:szCs w:val="28"/>
        </w:rPr>
      </w:pPr>
    </w:p>
    <w:p>
      <w:pPr>
        <w:spacing w:line="360" w:lineRule="auto"/>
        <w:rPr>
          <w:rFonts w:ascii="宋体" w:hAnsi="宋体"/>
          <w:b/>
          <w:color w:val="000000"/>
          <w:sz w:val="28"/>
          <w:szCs w:val="28"/>
        </w:rPr>
      </w:pPr>
    </w:p>
    <w:p>
      <w:pPr>
        <w:spacing w:line="360" w:lineRule="auto"/>
        <w:rPr>
          <w:rFonts w:hint="eastAsia" w:ascii="宋体" w:hAnsi="宋体"/>
          <w:b/>
          <w:color w:val="000000"/>
          <w:sz w:val="28"/>
          <w:szCs w:val="28"/>
        </w:rPr>
      </w:pPr>
    </w:p>
    <w:p>
      <w:pPr>
        <w:spacing w:line="360" w:lineRule="auto"/>
        <w:ind w:left="2849" w:leftChars="152" w:hanging="2530" w:hangingChars="900"/>
        <w:jc w:val="left"/>
        <w:rPr>
          <w:rFonts w:hint="eastAsia" w:ascii="宋体" w:hAnsi="宋体"/>
          <w:b/>
          <w:color w:val="000000"/>
          <w:sz w:val="28"/>
          <w:szCs w:val="28"/>
        </w:rPr>
      </w:pPr>
      <w:r>
        <w:rPr>
          <w:rFonts w:hint="eastAsia" w:ascii="宋体" w:hAnsi="宋体"/>
          <w:b/>
          <w:color w:val="000000"/>
          <w:sz w:val="28"/>
          <w:szCs w:val="28"/>
        </w:rPr>
        <w:t xml:space="preserve">项  目  名  称： </w:t>
      </w:r>
    </w:p>
    <w:p>
      <w:pPr>
        <w:spacing w:line="360" w:lineRule="auto"/>
        <w:ind w:firstLine="281" w:firstLineChars="100"/>
        <w:rPr>
          <w:rFonts w:ascii="宋体" w:hAnsi="宋体"/>
          <w:b/>
          <w:color w:val="000000"/>
          <w:sz w:val="28"/>
          <w:szCs w:val="28"/>
        </w:rPr>
      </w:pPr>
      <w:r>
        <w:rPr>
          <w:rFonts w:hint="eastAsia" w:ascii="宋体" w:hAnsi="宋体"/>
          <w:b/>
          <w:color w:val="000000"/>
          <w:sz w:val="28"/>
          <w:szCs w:val="28"/>
        </w:rPr>
        <w:t>合  同  编  号：</w:t>
      </w:r>
      <w:r>
        <w:rPr>
          <w:rFonts w:ascii="宋体" w:hAnsi="宋体"/>
          <w:b/>
          <w:color w:val="000000"/>
          <w:sz w:val="28"/>
          <w:szCs w:val="28"/>
        </w:rPr>
        <w:t xml:space="preserve"> </w:t>
      </w:r>
    </w:p>
    <w:p>
      <w:pPr>
        <w:spacing w:line="360" w:lineRule="auto"/>
        <w:ind w:firstLine="281" w:firstLineChars="100"/>
        <w:rPr>
          <w:rFonts w:hint="eastAsia" w:ascii="宋体" w:hAnsi="宋体"/>
          <w:color w:val="000000"/>
          <w:sz w:val="28"/>
          <w:szCs w:val="28"/>
        </w:rPr>
      </w:pPr>
      <w:r>
        <w:rPr>
          <w:rFonts w:hint="eastAsia" w:ascii="宋体" w:hAnsi="宋体"/>
          <w:b/>
          <w:color w:val="000000"/>
          <w:sz w:val="28"/>
          <w:szCs w:val="28"/>
        </w:rPr>
        <w:t xml:space="preserve">委  托  单  位： </w:t>
      </w:r>
    </w:p>
    <w:p>
      <w:pPr>
        <w:spacing w:line="360" w:lineRule="auto"/>
        <w:ind w:firstLine="281" w:firstLineChars="100"/>
        <w:rPr>
          <w:rFonts w:hint="eastAsia" w:ascii="宋体" w:hAnsi="宋体"/>
          <w:color w:val="000000"/>
          <w:sz w:val="28"/>
          <w:szCs w:val="28"/>
        </w:rPr>
      </w:pPr>
      <w:r>
        <w:rPr>
          <w:rFonts w:hint="eastAsia" w:ascii="宋体" w:hAnsi="宋体"/>
          <w:b/>
          <w:color w:val="000000"/>
          <w:sz w:val="28"/>
          <w:szCs w:val="28"/>
        </w:rPr>
        <w:t xml:space="preserve">承  担  单  位： </w:t>
      </w:r>
    </w:p>
    <w:p>
      <w:pPr>
        <w:spacing w:line="360" w:lineRule="auto"/>
        <w:ind w:firstLine="281" w:firstLineChars="100"/>
        <w:rPr>
          <w:rFonts w:ascii="宋体" w:hAnsi="宋体"/>
          <w:color w:val="000000"/>
          <w:sz w:val="28"/>
          <w:szCs w:val="28"/>
        </w:rPr>
      </w:pPr>
      <w:r>
        <w:rPr>
          <w:rFonts w:hint="eastAsia" w:ascii="宋体" w:hAnsi="宋体"/>
          <w:b/>
          <w:color w:val="000000"/>
          <w:sz w:val="28"/>
          <w:szCs w:val="28"/>
        </w:rPr>
        <w:t>签  订  日  期：</w:t>
      </w:r>
      <w:r>
        <w:rPr>
          <w:rFonts w:ascii="宋体" w:hAnsi="宋体"/>
          <w:b/>
          <w:color w:val="000000"/>
          <w:sz w:val="28"/>
          <w:szCs w:val="28"/>
        </w:rPr>
        <w:t xml:space="preserve"> </w:t>
      </w:r>
    </w:p>
    <w:p>
      <w:pPr>
        <w:spacing w:line="360" w:lineRule="auto"/>
        <w:ind w:firstLine="281" w:firstLineChars="100"/>
        <w:rPr>
          <w:rFonts w:ascii="宋体" w:hAnsi="宋体"/>
          <w:b/>
          <w:color w:val="000000"/>
          <w:sz w:val="24"/>
          <w:szCs w:val="24"/>
        </w:rPr>
        <w:sectPr>
          <w:footerReference r:id="rId11" w:type="default"/>
          <w:pgSz w:w="11906" w:h="16838"/>
          <w:pgMar w:top="1440" w:right="1418" w:bottom="1440" w:left="1418" w:header="851" w:footer="992" w:gutter="0"/>
          <w:cols w:space="720" w:num="1"/>
          <w:titlePg/>
          <w:docGrid w:type="lines" w:linePitch="312" w:charSpace="0"/>
        </w:sectPr>
      </w:pPr>
      <w:r>
        <w:rPr>
          <w:rFonts w:hint="eastAsia" w:ascii="宋体" w:hAnsi="宋体"/>
          <w:b/>
          <w:color w:val="000000"/>
          <w:sz w:val="28"/>
          <w:szCs w:val="28"/>
        </w:rPr>
        <w:t xml:space="preserve">签  定  地  点： </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委托单位(甲方)：  </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承担单位(乙方)：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（甲方）委托</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公司，对《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项目》（以下简称规划）进行招标采购（编号：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日在</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公共资源交易中心，经采取</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的方式，经评标委员会评审选定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（乙方）为中标单位。按照《中华人民共和国民法典》、《中华人民共和国政府采购法》和相关法律规定，以及磋商文件要求，经甲乙双方协商一致，签订本合同。</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b/>
          <w:color w:val="000000"/>
          <w:sz w:val="24"/>
          <w:szCs w:val="24"/>
        </w:rPr>
        <w:t xml:space="preserve"> 第一条 本合同依据下列法规、文件签订</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 《中华人民共和国民法典》、《中华人民共和国森林法》等。</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  国家及地方有关建设工程勘察设计、调查规划设计管理法规和规章。</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第二条 本合同项目名称、委托单位、服务范围、技术要求、技术咨询费及其支付进度、支付方式</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2.1  </w:t>
      </w:r>
      <w:r>
        <w:rPr>
          <w:rFonts w:hint="eastAsia" w:ascii="宋体" w:hAnsi="宋体" w:eastAsia="宋体" w:cs="宋体"/>
          <w:b/>
          <w:color w:val="000000"/>
          <w:sz w:val="24"/>
          <w:szCs w:val="24"/>
        </w:rPr>
        <w:t>项目名称：</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2.2  </w:t>
      </w:r>
      <w:r>
        <w:rPr>
          <w:rFonts w:hint="eastAsia" w:ascii="宋体" w:hAnsi="宋体" w:eastAsia="宋体" w:cs="宋体"/>
          <w:b/>
          <w:color w:val="000000"/>
          <w:sz w:val="24"/>
          <w:szCs w:val="24"/>
        </w:rPr>
        <w:t>委托单位：</w:t>
      </w:r>
      <w:r>
        <w:rPr>
          <w:rFonts w:hint="eastAsia" w:ascii="宋体" w:hAnsi="宋体" w:eastAsia="宋体" w:cs="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2.3  </w:t>
      </w:r>
      <w:r>
        <w:rPr>
          <w:rFonts w:hint="eastAsia" w:ascii="宋体" w:hAnsi="宋体" w:eastAsia="宋体" w:cs="宋体"/>
          <w:b/>
          <w:color w:val="000000"/>
          <w:sz w:val="24"/>
          <w:szCs w:val="24"/>
        </w:rPr>
        <w:t>服务范围：</w:t>
      </w:r>
      <w:r>
        <w:rPr>
          <w:rFonts w:hint="eastAsia" w:ascii="宋体" w:hAnsi="宋体" w:eastAsia="宋体" w:cs="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2.3  </w:t>
      </w:r>
      <w:r>
        <w:rPr>
          <w:rFonts w:hint="eastAsia" w:ascii="宋体" w:hAnsi="宋体" w:eastAsia="宋体" w:cs="宋体"/>
          <w:b/>
          <w:color w:val="000000"/>
          <w:sz w:val="24"/>
          <w:szCs w:val="24"/>
        </w:rPr>
        <w:t>技术要求：</w:t>
      </w:r>
      <w:r>
        <w:rPr>
          <w:rFonts w:hint="eastAsia" w:ascii="宋体" w:hAnsi="宋体" w:eastAsia="宋体" w:cs="宋体"/>
          <w:bCs/>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2.4  </w:t>
      </w:r>
      <w:r>
        <w:rPr>
          <w:rFonts w:hint="eastAsia" w:ascii="宋体" w:hAnsi="宋体" w:eastAsia="宋体" w:cs="宋体"/>
          <w:b/>
          <w:color w:val="000000"/>
          <w:sz w:val="24"/>
          <w:szCs w:val="24"/>
        </w:rPr>
        <w:t>技术咨询费：中标金额</w:t>
      </w:r>
      <w:r>
        <w:rPr>
          <w:rFonts w:hint="eastAsia" w:ascii="宋体" w:hAnsi="宋体" w:eastAsia="宋体" w:cs="宋体"/>
          <w:color w:val="000000"/>
          <w:sz w:val="24"/>
          <w:szCs w:val="24"/>
        </w:rPr>
        <w:t>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2.5  </w:t>
      </w:r>
      <w:r>
        <w:rPr>
          <w:rFonts w:hint="eastAsia" w:ascii="宋体" w:hAnsi="宋体" w:eastAsia="宋体" w:cs="宋体"/>
          <w:b/>
          <w:color w:val="000000"/>
          <w:sz w:val="24"/>
          <w:szCs w:val="24"/>
        </w:rPr>
        <w:t>支付进度：</w:t>
      </w:r>
      <w:r>
        <w:rPr>
          <w:rFonts w:hint="eastAsia" w:ascii="宋体" w:hAnsi="宋体" w:eastAsia="宋体" w:cs="宋体"/>
          <w:bCs/>
          <w:color w:val="000000"/>
          <w:sz w:val="24"/>
          <w:szCs w:val="24"/>
        </w:rPr>
        <w:t>①</w:t>
      </w:r>
      <w:r>
        <w:rPr>
          <w:rFonts w:hint="eastAsia" w:ascii="宋体" w:hAnsi="宋体" w:eastAsia="宋体" w:cs="宋体"/>
          <w:color w:val="000000"/>
          <w:sz w:val="24"/>
          <w:szCs w:val="24"/>
        </w:rPr>
        <w:t>双方签订合同后15个工作日内，甲方向乙方支付合同总额的</w:t>
      </w:r>
      <w:r>
        <w:rPr>
          <w:rFonts w:hint="eastAsia" w:ascii="宋体" w:hAnsi="宋体" w:eastAsia="宋体" w:cs="宋体"/>
          <w:color w:val="000000"/>
          <w:sz w:val="24"/>
          <w:szCs w:val="24"/>
          <w:u w:val="single"/>
        </w:rPr>
        <w:t>50%</w:t>
      </w:r>
      <w:r>
        <w:rPr>
          <w:rFonts w:hint="eastAsia" w:ascii="宋体" w:hAnsi="宋体" w:eastAsia="宋体" w:cs="宋体"/>
          <w:color w:val="000000"/>
          <w:sz w:val="24"/>
          <w:szCs w:val="24"/>
        </w:rPr>
        <w:t>，计：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）；②规划通过河南省林业局专项评审后15个工作日内，甲方向乙方支付合同总额的</w:t>
      </w:r>
      <w:r>
        <w:rPr>
          <w:rFonts w:hint="eastAsia" w:ascii="宋体" w:hAnsi="宋体" w:eastAsia="宋体" w:cs="宋体"/>
          <w:color w:val="000000"/>
          <w:sz w:val="24"/>
          <w:szCs w:val="24"/>
          <w:u w:val="single"/>
        </w:rPr>
        <w:t>50%</w:t>
      </w:r>
      <w:r>
        <w:rPr>
          <w:rFonts w:hint="eastAsia" w:ascii="宋体" w:hAnsi="宋体" w:eastAsia="宋体" w:cs="宋体"/>
          <w:color w:val="000000"/>
          <w:sz w:val="24"/>
          <w:szCs w:val="24"/>
        </w:rPr>
        <w:t>，计：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2.6  </w:t>
      </w:r>
      <w:r>
        <w:rPr>
          <w:rFonts w:hint="eastAsia" w:ascii="宋体" w:hAnsi="宋体" w:eastAsia="宋体" w:cs="宋体"/>
          <w:b/>
          <w:bCs/>
          <w:color w:val="000000"/>
          <w:sz w:val="24"/>
          <w:szCs w:val="24"/>
        </w:rPr>
        <w:t>支付方式：</w:t>
      </w:r>
      <w:r>
        <w:rPr>
          <w:rFonts w:hint="eastAsia" w:ascii="宋体" w:hAnsi="宋体" w:eastAsia="宋体" w:cs="宋体"/>
          <w:color w:val="000000"/>
          <w:sz w:val="24"/>
          <w:szCs w:val="24"/>
        </w:rPr>
        <w:t>银行转账至乙方账户。乙方按甲方要求开具增值税发票，并不代表已收到甲方款项，实际以银行收款凭证为准。</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第三条 乙方应向甲方交付的技术咨询成果名称、份数、服务期限、质量标准、成果验收</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3.1 提交成果名称、份数</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乙方向甲方提供：</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规划》纸质版捌份，电子版壹份。</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3.2 服务期限</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甲乙双方签订合同，乙方在收到甲方提供项目开展的必备资料后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日历天内，提交《</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规划》初稿，待甲方提出反馈意见后，乙方在</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日历天内修改完善并提交评审稿。待规划通过评审修改完善后提交正式稿。在此期间，乙方应积极配合甲方做好河南省林业局的专项评审工作。</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3.3 质量标准</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乙方提交成果应达到国家有关技术标准、规范的规定。</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3.4 成果验收</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规划》通过河南省林业局组织的专项评审。</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第四条 双方责任</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4.1 甲方责任 </w:t>
      </w:r>
      <w:r>
        <w:rPr>
          <w:rFonts w:hint="eastAsia" w:ascii="宋体" w:hAnsi="宋体" w:eastAsia="宋体" w:cs="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4.1.1甲方应在是商定的时间内向乙方提供必要的资料并对提供的时间、进度与资料的可靠性负责。</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4.1.2 按规定如期付给乙方技术咨询费。</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4.1.3 在技术人员进入现场作业或配合施工时，甲方应负责专人对接，提供工作与交通等便利条件。</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4.1.4 由于甲方原因致使本项目延缓或终止，甲方均应按项目进度向乙方支付相应的技术咨询费。</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4.1.5 对于乙方交付的技术咨询成果，经林业主管部门专项评审后，若修改内容超出原定咨询任务范围，甲方需要乙方继续承担服务时，应按实际工作量向乙方另付服务费，具体数额双方协商签订补充协议。</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4.1.6 维护乙方的技术咨询成果，未经同意不得擅自修改和转让给第三方或用于本合同外的项目。</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4.2 乙方责任</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4.2.1乙方开展技术咨询工作，必须符合国家有关法律、法规、政策，符合有关林业工程咨询项目的规程、规范，并达到应有的深度。</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4.2.2 按规定的日期提交技术咨询成果，并确保对其质量全面负责。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4.2.3 乙方对技术咨询文件中出现的不足和欠缺负责修改和补充。</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4.2.4 乙方交付的项目技术咨询成果，经林业主管部门专项评审后，对不超出原定咨询任务范围内的必要调整负责进行补充完善。</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4.2.5 乙方不得向第三者扩散、转让甲方提交的涉及项目秘密的技术经济资料，并遵守保密法相关规定。</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第五条 违约责任</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5.1 甲方不履行合同时，无权要求返还首付款；乙方不履行合同时，返还首付款，并承担违约责任。</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5.2由于甲方变更计划、提供资料不准确，未按时间提供技术咨询必要的资料和工作条件而造成的乙方工作返工、窝工或修改咨询文件，造成乙方交付技术咨询文件的日期延期，乙方不承担违约责任，应照收原技术咨询费。另外，甲方应按乙方实际消耗的工作量增付费用。</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5.3 甲方应按合同规定日期付款，乙方应按规定时间交付技术咨询成果，若一方违约，则违约方应按合同额的5%向守约方支付违约金。</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5.4 因故终止合同，须经双方协商同意，未经双方同意，合同仍继续生效，未征得对方同意单方终止合同的一方，须承担经济责任。</w:t>
      </w:r>
    </w:p>
    <w:p>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第六条 其他</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6.1甲、乙双方工作人员在工作期间，必须遵守劳动安全规定。若发生意外人身事故，各方人员双方各自负责。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6.2由于不可抗力因素导致合同无法履行时，双方可另行协商解决。</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6.3本合同发生争议，双方当事人应及时协商解决。若协商不成，可申请当地仲裁委员会仲裁或向人民法院起诉。</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6.4本合同一式陆份，甲、乙双方各叁份。</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6.5本合同经双方法定代表签章后生效，并不受法人变更影响。</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6.6本合同附件为本合同约定内容，与本合同具有同等效力。</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6.7本合同未尽事宜，双方可签订补充协议，补充协议与本合同具有同等法律效力。</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甲方名称：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法定代表/委托人签字：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电话：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地址：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日期：       年       月      日</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乙方名称：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法定代表/委托人签字：</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电话：</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地址：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日期：       年       月      日</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开户银行：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户    名： </w:t>
      </w:r>
    </w:p>
    <w:p>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银行帐号： </w:t>
      </w:r>
    </w:p>
    <w:bookmarkEnd w:id="82"/>
    <w:bookmarkEnd w:id="83"/>
    <w:bookmarkEnd w:id="84"/>
    <w:bookmarkEnd w:id="85"/>
    <w:bookmarkEnd w:id="86"/>
    <w:p>
      <w:pPr>
        <w:pStyle w:val="35"/>
        <w:numPr>
          <w:ilvl w:val="0"/>
          <w:numId w:val="1"/>
        </w:numPr>
        <w:spacing w:before="0" w:after="0" w:line="360" w:lineRule="auto"/>
        <w:ind w:firstLine="0"/>
        <w:rPr>
          <w:rFonts w:hint="eastAsia" w:ascii="宋体" w:hAnsi="宋体" w:cs="宋体"/>
        </w:rPr>
      </w:pPr>
      <w:bookmarkStart w:id="87" w:name="_Toc23819"/>
      <w:bookmarkStart w:id="88" w:name="_Toc12361"/>
      <w:r>
        <w:rPr>
          <w:rFonts w:hint="eastAsia" w:ascii="宋体" w:hAnsi="宋体" w:cs="宋体"/>
        </w:rPr>
        <w:t>采购需求</w:t>
      </w:r>
      <w:bookmarkEnd w:id="79"/>
      <w:bookmarkEnd w:id="87"/>
      <w:bookmarkEnd w:id="88"/>
    </w:p>
    <w:p>
      <w:pPr>
        <w:widowControl/>
        <w:adjustRightInd w:val="0"/>
        <w:spacing w:line="360" w:lineRule="auto"/>
        <w:rPr>
          <w:rFonts w:hint="eastAsia" w:ascii="宋体" w:hAnsi="宋体" w:eastAsia="宋体" w:cs="宋体"/>
          <w:b/>
          <w:kern w:val="0"/>
          <w:sz w:val="24"/>
          <w:szCs w:val="24"/>
        </w:rPr>
      </w:pPr>
      <w:bookmarkStart w:id="89" w:name="_Toc477423251"/>
      <w:bookmarkStart w:id="90" w:name="_Toc4426"/>
      <w:bookmarkStart w:id="91" w:name="_Toc373230032"/>
      <w:bookmarkStart w:id="92" w:name="_Toc20594"/>
      <w:bookmarkStart w:id="93" w:name="_Toc11229"/>
      <w:bookmarkStart w:id="94" w:name="_Toc374512420"/>
      <w:bookmarkStart w:id="95" w:name="_Toc487805927"/>
      <w:r>
        <w:rPr>
          <w:rFonts w:hint="eastAsia" w:ascii="宋体" w:hAnsi="宋体" w:eastAsia="宋体" w:cs="宋体"/>
          <w:b/>
          <w:sz w:val="24"/>
          <w:szCs w:val="24"/>
        </w:rPr>
        <w:t>一、</w:t>
      </w:r>
      <w:r>
        <w:rPr>
          <w:rFonts w:hint="eastAsia" w:ascii="宋体" w:hAnsi="宋体" w:eastAsia="宋体" w:cs="宋体"/>
          <w:b/>
          <w:kern w:val="0"/>
          <w:sz w:val="24"/>
          <w:szCs w:val="24"/>
        </w:rPr>
        <w:t>相关说明</w:t>
      </w:r>
    </w:p>
    <w:p>
      <w:pPr>
        <w:widowControl/>
        <w:numPr>
          <w:ilvl w:val="2"/>
          <w:numId w:val="0"/>
        </w:numPr>
        <w:adjustRightInd w:val="0"/>
        <w:spacing w:line="360" w:lineRule="auto"/>
        <w:ind w:left="0" w:leftChars="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SA"/>
        </w:rPr>
        <w:t>1.</w:t>
      </w:r>
      <w:r>
        <w:rPr>
          <w:rFonts w:hint="eastAsia" w:ascii="宋体" w:hAnsi="宋体" w:eastAsia="宋体" w:cs="宋体"/>
          <w:kern w:val="0"/>
          <w:sz w:val="24"/>
          <w:szCs w:val="24"/>
        </w:rPr>
        <w:t>本次采购内容如果要求的某些技术标准低于国家标准，均以最新的国家标准为准。</w:t>
      </w:r>
      <w:r>
        <w:rPr>
          <w:rFonts w:hint="eastAsia" w:ascii="宋体" w:hAnsi="宋体" w:eastAsia="宋体" w:cs="宋体"/>
          <w:kern w:val="0"/>
          <w:sz w:val="24"/>
          <w:szCs w:val="24"/>
          <w:lang w:eastAsia="zh-CN"/>
        </w:rPr>
        <w:t>采购</w:t>
      </w:r>
      <w:r>
        <w:rPr>
          <w:rFonts w:hint="eastAsia" w:ascii="宋体" w:hAnsi="宋体" w:eastAsia="宋体" w:cs="宋体"/>
          <w:kern w:val="0"/>
          <w:sz w:val="24"/>
          <w:szCs w:val="24"/>
        </w:rPr>
        <w:t>技术要求中未明确的技术标准也均不得低于国家标准；</w:t>
      </w:r>
    </w:p>
    <w:p>
      <w:pPr>
        <w:widowControl/>
        <w:numPr>
          <w:ilvl w:val="2"/>
          <w:numId w:val="0"/>
        </w:numPr>
        <w:adjustRightInd w:val="0"/>
        <w:spacing w:line="360" w:lineRule="auto"/>
        <w:ind w:left="0" w:leftChars="0"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SA"/>
        </w:rPr>
        <w:t>2.</w:t>
      </w:r>
      <w:r>
        <w:rPr>
          <w:rFonts w:hint="eastAsia" w:ascii="宋体" w:hAnsi="宋体" w:eastAsia="宋体" w:cs="宋体"/>
          <w:kern w:val="0"/>
          <w:sz w:val="24"/>
          <w:szCs w:val="24"/>
        </w:rPr>
        <w:t>本采购项目为交钥匙项目，验收合格前所需的一切费用均包含在报价之中，采购人不承担成交价格以外的任何费用。</w:t>
      </w:r>
    </w:p>
    <w:p>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商务要求</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1.</w:t>
      </w:r>
      <w:r>
        <w:rPr>
          <w:rFonts w:hint="eastAsia" w:ascii="宋体" w:hAnsi="宋体" w:eastAsia="宋体" w:cs="宋体"/>
          <w:color w:val="auto"/>
          <w:sz w:val="24"/>
          <w:szCs w:val="24"/>
        </w:rPr>
        <w:t>合同履行期限：</w:t>
      </w:r>
      <w:r>
        <w:rPr>
          <w:rFonts w:hint="eastAsia" w:ascii="宋体" w:hAnsi="宋体" w:eastAsia="宋体" w:cs="宋体"/>
          <w:sz w:val="24"/>
          <w:szCs w:val="24"/>
          <w:lang w:val="en-US" w:eastAsia="zh-CN"/>
        </w:rPr>
        <w:t>自合同签订后50日历天</w:t>
      </w:r>
    </w:p>
    <w:p>
      <w:pPr>
        <w:numPr>
          <w:ilvl w:val="2"/>
          <w:numId w:val="0"/>
        </w:numPr>
        <w:spacing w:line="360" w:lineRule="auto"/>
        <w:ind w:left="0" w:leftChars="0"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kern w:val="2"/>
          <w:sz w:val="24"/>
          <w:szCs w:val="24"/>
          <w:lang w:val="en-US" w:eastAsia="zh-CN" w:bidi="ar-SA"/>
        </w:rPr>
        <w:t>2.</w:t>
      </w:r>
      <w:r>
        <w:rPr>
          <w:rFonts w:hint="eastAsia" w:ascii="宋体" w:hAnsi="宋体" w:eastAsia="宋体" w:cs="宋体"/>
          <w:color w:val="auto"/>
          <w:sz w:val="24"/>
          <w:szCs w:val="24"/>
        </w:rPr>
        <w:t>供货</w:t>
      </w:r>
      <w:r>
        <w:rPr>
          <w:rFonts w:hint="eastAsia" w:ascii="宋体" w:hAnsi="宋体" w:eastAsia="宋体" w:cs="宋体"/>
          <w:color w:val="auto"/>
          <w:sz w:val="24"/>
          <w:szCs w:val="24"/>
          <w:lang w:eastAsia="zh-CN"/>
        </w:rPr>
        <w:t>（服务）</w:t>
      </w:r>
      <w:r>
        <w:rPr>
          <w:rFonts w:hint="eastAsia" w:ascii="宋体" w:hAnsi="宋体" w:eastAsia="宋体" w:cs="宋体"/>
          <w:color w:val="auto"/>
          <w:sz w:val="24"/>
          <w:szCs w:val="24"/>
        </w:rPr>
        <w:t>地点：</w:t>
      </w:r>
      <w:r>
        <w:rPr>
          <w:rFonts w:hint="eastAsia" w:ascii="宋体" w:hAnsi="宋体" w:eastAsia="宋体" w:cs="宋体"/>
          <w:color w:val="auto"/>
          <w:sz w:val="24"/>
          <w:szCs w:val="24"/>
          <w:lang w:val="en-US" w:eastAsia="zh-CN"/>
        </w:rPr>
        <w:t>武陟县</w:t>
      </w:r>
    </w:p>
    <w:p>
      <w:pPr>
        <w:numPr>
          <w:ilvl w:val="2"/>
          <w:numId w:val="0"/>
        </w:numPr>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kern w:val="2"/>
          <w:sz w:val="24"/>
          <w:szCs w:val="24"/>
          <w:lang w:val="en-US" w:eastAsia="zh-CN" w:bidi="ar-SA"/>
        </w:rPr>
        <w:t>3.</w:t>
      </w:r>
      <w:r>
        <w:rPr>
          <w:rFonts w:hint="eastAsia" w:ascii="宋体" w:hAnsi="宋体" w:eastAsia="宋体" w:cs="宋体"/>
          <w:color w:val="auto"/>
          <w:sz w:val="24"/>
          <w:szCs w:val="24"/>
          <w:lang w:val="en-US" w:eastAsia="zh-CN"/>
        </w:rPr>
        <w:t>服务</w:t>
      </w:r>
      <w:r>
        <w:rPr>
          <w:rFonts w:hint="eastAsia" w:ascii="宋体" w:hAnsi="宋体" w:cs="宋体"/>
          <w:color w:val="auto"/>
          <w:sz w:val="24"/>
          <w:szCs w:val="24"/>
          <w:lang w:val="en-US" w:eastAsia="zh-CN"/>
        </w:rPr>
        <w:t>标准</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合格并符合国家相关标准</w:t>
      </w:r>
    </w:p>
    <w:p>
      <w:pPr>
        <w:pStyle w:val="3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yellow"/>
        </w:rPr>
      </w:pPr>
      <w:r>
        <w:rPr>
          <w:rFonts w:hint="eastAsia" w:ascii="宋体" w:hAnsi="宋体" w:cs="宋体"/>
          <w:color w:val="auto"/>
          <w:kern w:val="2"/>
          <w:sz w:val="24"/>
          <w:szCs w:val="24"/>
          <w:lang w:val="en-US" w:eastAsia="zh-CN" w:bidi="ar-SA"/>
        </w:rPr>
        <w:t>4</w:t>
      </w:r>
      <w:r>
        <w:rPr>
          <w:rFonts w:hint="eastAsia" w:ascii="宋体" w:hAnsi="宋体" w:eastAsia="宋体" w:cs="宋体"/>
          <w:color w:val="auto"/>
          <w:kern w:val="2"/>
          <w:sz w:val="24"/>
          <w:szCs w:val="24"/>
          <w:lang w:val="en-US" w:eastAsia="zh-CN" w:bidi="ar-SA"/>
        </w:rPr>
        <w:t>.</w:t>
      </w:r>
      <w:r>
        <w:rPr>
          <w:rFonts w:hint="eastAsia" w:ascii="宋体" w:hAnsi="宋体" w:eastAsia="宋体" w:cs="宋体"/>
          <w:color w:val="auto"/>
          <w:sz w:val="24"/>
          <w:szCs w:val="24"/>
        </w:rPr>
        <w:t>付款方式：</w:t>
      </w:r>
      <w:r>
        <w:rPr>
          <w:rFonts w:hint="eastAsia" w:ascii="宋体" w:hAnsi="宋体" w:eastAsia="宋体" w:cs="宋体"/>
          <w:color w:val="auto"/>
          <w:sz w:val="24"/>
          <w:szCs w:val="24"/>
          <w:lang w:val="en-US" w:eastAsia="zh-CN"/>
        </w:rPr>
        <w:t>①</w:t>
      </w:r>
      <w:r>
        <w:rPr>
          <w:rFonts w:hint="eastAsia" w:ascii="宋体" w:hAnsi="宋体" w:eastAsia="宋体" w:cs="宋体"/>
          <w:color w:val="auto"/>
          <w:sz w:val="24"/>
          <w:szCs w:val="24"/>
        </w:rPr>
        <w:t>、规划方案</w:t>
      </w:r>
      <w:r>
        <w:rPr>
          <w:rFonts w:hint="eastAsia" w:ascii="宋体" w:hAnsi="宋体" w:eastAsia="宋体" w:cs="宋体"/>
          <w:color w:val="auto"/>
          <w:sz w:val="24"/>
          <w:szCs w:val="24"/>
          <w:lang w:val="en-US" w:eastAsia="zh-CN"/>
        </w:rPr>
        <w:t>编制初稿完成</w:t>
      </w:r>
      <w:r>
        <w:rPr>
          <w:rFonts w:hint="eastAsia" w:ascii="宋体" w:hAnsi="宋体" w:eastAsia="宋体" w:cs="宋体"/>
          <w:color w:val="auto"/>
          <w:sz w:val="24"/>
          <w:szCs w:val="24"/>
        </w:rPr>
        <w:t>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十五个工作日内，</w:t>
      </w:r>
      <w:r>
        <w:rPr>
          <w:rFonts w:hint="eastAsia" w:ascii="宋体" w:hAnsi="宋体" w:eastAsia="宋体" w:cs="宋体"/>
          <w:color w:val="auto"/>
          <w:sz w:val="24"/>
          <w:szCs w:val="24"/>
        </w:rPr>
        <w:t>甲方支付给乙方</w:t>
      </w:r>
      <w:r>
        <w:rPr>
          <w:rFonts w:hint="eastAsia" w:ascii="宋体" w:hAnsi="宋体" w:eastAsia="宋体" w:cs="宋体"/>
          <w:color w:val="auto"/>
          <w:sz w:val="24"/>
          <w:szCs w:val="24"/>
          <w:lang w:val="en-US" w:eastAsia="zh-CN"/>
        </w:rPr>
        <w:t>总</w:t>
      </w:r>
      <w:r>
        <w:rPr>
          <w:rFonts w:hint="eastAsia" w:ascii="宋体" w:hAnsi="宋体" w:eastAsia="宋体" w:cs="宋体"/>
          <w:color w:val="auto"/>
          <w:sz w:val="24"/>
          <w:szCs w:val="24"/>
        </w:rPr>
        <w:t>合同价款的</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0%；</w:t>
      </w:r>
      <w:r>
        <w:rPr>
          <w:rFonts w:hint="eastAsia" w:ascii="宋体" w:hAnsi="宋体" w:eastAsia="宋体" w:cs="宋体"/>
          <w:color w:val="auto"/>
          <w:sz w:val="24"/>
          <w:szCs w:val="24"/>
          <w:lang w:val="en-US" w:eastAsia="zh-CN"/>
        </w:rPr>
        <w:t>②</w:t>
      </w:r>
      <w:r>
        <w:rPr>
          <w:rFonts w:hint="eastAsia" w:ascii="宋体" w:hAnsi="宋体" w:eastAsia="宋体" w:cs="宋体"/>
          <w:color w:val="auto"/>
          <w:sz w:val="24"/>
          <w:szCs w:val="24"/>
        </w:rPr>
        <w:t>、规划方案通过河南省林业局评审，成果交付甲方后十五个工作日内，甲方支付给乙方</w:t>
      </w:r>
      <w:r>
        <w:rPr>
          <w:rFonts w:hint="eastAsia" w:ascii="宋体" w:hAnsi="宋体" w:eastAsia="宋体" w:cs="宋体"/>
          <w:color w:val="auto"/>
          <w:sz w:val="24"/>
          <w:szCs w:val="24"/>
          <w:lang w:val="en-US" w:eastAsia="zh-CN"/>
        </w:rPr>
        <w:t>总</w:t>
      </w:r>
      <w:r>
        <w:rPr>
          <w:rFonts w:hint="eastAsia" w:ascii="宋体" w:hAnsi="宋体" w:eastAsia="宋体" w:cs="宋体"/>
          <w:color w:val="auto"/>
          <w:sz w:val="24"/>
          <w:szCs w:val="24"/>
        </w:rPr>
        <w:t>合同价款的</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0%</w:t>
      </w:r>
      <w:r>
        <w:rPr>
          <w:rFonts w:hint="eastAsia" w:ascii="宋体" w:hAnsi="宋体" w:eastAsia="宋体" w:cs="宋体"/>
          <w:color w:val="auto"/>
          <w:sz w:val="24"/>
          <w:szCs w:val="24"/>
          <w:lang w:eastAsia="zh-CN"/>
        </w:rPr>
        <w:t>；</w:t>
      </w:r>
    </w:p>
    <w:p>
      <w:pPr>
        <w:pStyle w:val="37"/>
        <w:rPr>
          <w:rFonts w:hint="eastAsia" w:ascii="宋体" w:hAnsi="宋体" w:eastAsia="宋体" w:cs="宋体"/>
          <w:b/>
          <w:bCs/>
          <w:kern w:val="0"/>
          <w:sz w:val="24"/>
          <w:szCs w:val="24"/>
          <w:lang w:eastAsia="zh-CN" w:bidi="ar"/>
        </w:rPr>
      </w:pPr>
      <w:r>
        <w:rPr>
          <w:rFonts w:hint="eastAsia" w:ascii="宋体" w:hAnsi="宋体" w:eastAsia="宋体" w:cs="宋体"/>
          <w:b/>
          <w:bCs/>
          <w:kern w:val="0"/>
          <w:sz w:val="24"/>
          <w:szCs w:val="24"/>
          <w:lang w:eastAsia="zh-CN" w:bidi="ar"/>
        </w:rPr>
        <w:t>三、</w:t>
      </w:r>
      <w:r>
        <w:rPr>
          <w:rFonts w:hint="eastAsia" w:ascii="宋体" w:hAnsi="宋体" w:cs="宋体"/>
          <w:b/>
          <w:bCs/>
          <w:kern w:val="0"/>
          <w:sz w:val="24"/>
          <w:szCs w:val="24"/>
          <w:lang w:val="en-US" w:eastAsia="zh-CN" w:bidi="ar"/>
        </w:rPr>
        <w:t>采购内容及</w:t>
      </w:r>
      <w:r>
        <w:rPr>
          <w:rFonts w:hint="eastAsia" w:ascii="宋体" w:hAnsi="宋体" w:cs="宋体"/>
          <w:b/>
          <w:sz w:val="24"/>
          <w:szCs w:val="24"/>
          <w:lang w:val="en-US" w:eastAsia="zh-CN"/>
        </w:rPr>
        <w:t>其他要求</w:t>
      </w:r>
      <w:r>
        <w:rPr>
          <w:rFonts w:hint="eastAsia" w:ascii="宋体" w:hAnsi="宋体" w:eastAsia="宋体" w:cs="宋体"/>
          <w:b/>
          <w:bCs/>
          <w:kern w:val="0"/>
          <w:sz w:val="24"/>
          <w:szCs w:val="24"/>
          <w:lang w:eastAsia="zh-CN" w:bidi="ar"/>
        </w:rPr>
        <w:t>：</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en-US" w:eastAsia="zh-CN"/>
        </w:rPr>
        <w:t>采购内容：</w:t>
      </w:r>
      <w:r>
        <w:rPr>
          <w:rFonts w:hint="eastAsia" w:ascii="新宋体" w:hAnsi="新宋体" w:eastAsia="新宋体" w:cs="新宋体"/>
          <w:sz w:val="24"/>
          <w:szCs w:val="24"/>
        </w:rPr>
        <w:t>依据河南省森林城市创建要求对照</w:t>
      </w:r>
      <w:r>
        <w:rPr>
          <w:rFonts w:hint="eastAsia" w:ascii="新宋体" w:hAnsi="新宋体" w:eastAsia="新宋体" w:cs="新宋体"/>
          <w:sz w:val="24"/>
          <w:szCs w:val="24"/>
          <w:lang w:val="en-US" w:eastAsia="zh-CN"/>
        </w:rPr>
        <w:t>武陟</w:t>
      </w:r>
      <w:r>
        <w:rPr>
          <w:rFonts w:hint="eastAsia" w:ascii="新宋体" w:hAnsi="新宋体" w:eastAsia="新宋体" w:cs="新宋体"/>
          <w:sz w:val="24"/>
          <w:szCs w:val="24"/>
        </w:rPr>
        <w:t>县森林城市评价指标，对城市森林生态体系建设、城市森林产业体系建设、城市森林生态文化体系建设、城市森林支撑体系建设、规划投资及效益评价、规划保障等方面内容进行编制武陟县省级森林城市建设规划编制工作。</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2.采购需求：</w:t>
      </w:r>
    </w:p>
    <w:p>
      <w:pPr>
        <w:keepNext w:val="0"/>
        <w:keepLines w:val="0"/>
        <w:pageBreakBefore w:val="0"/>
        <w:widowControl w:val="0"/>
        <w:kinsoku/>
        <w:wordWrap/>
        <w:overflowPunct/>
        <w:topLinePunct w:val="0"/>
        <w:autoSpaceDE/>
        <w:autoSpaceDN/>
        <w:bidi w:val="0"/>
        <w:adjustRightInd/>
        <w:snapToGrid/>
        <w:spacing w:line="360" w:lineRule="auto"/>
        <w:ind w:firstLine="484" w:firstLineChars="202"/>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2.1.</w:t>
      </w:r>
      <w:r>
        <w:rPr>
          <w:rFonts w:hint="eastAsia" w:ascii="新宋体" w:hAnsi="新宋体" w:eastAsia="新宋体" w:cs="新宋体"/>
          <w:sz w:val="24"/>
          <w:szCs w:val="24"/>
        </w:rPr>
        <w:t>对照森林城市评价指标，对城市森林生态体系建设、城市森林产业体系建设、城市森林生态文化体系建设、城市森林支撑体系建设、规划投资及效益评价、规划保障等方面内容进行编制</w:t>
      </w:r>
      <w:r>
        <w:rPr>
          <w:rFonts w:hint="eastAsia" w:ascii="新宋体" w:hAnsi="新宋体" w:eastAsia="新宋体" w:cs="新宋体"/>
          <w:sz w:val="24"/>
          <w:szCs w:val="24"/>
          <w:lang w:val="en-US" w:eastAsia="zh-CN"/>
        </w:rPr>
        <w:t>武陟</w:t>
      </w:r>
      <w:r>
        <w:rPr>
          <w:rFonts w:hint="eastAsia" w:ascii="新宋体" w:hAnsi="新宋体" w:eastAsia="新宋体" w:cs="新宋体"/>
          <w:sz w:val="24"/>
          <w:szCs w:val="24"/>
        </w:rPr>
        <w:t>县省级森林城市建设规划。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新宋体" w:hAnsi="新宋体" w:eastAsia="新宋体" w:cs="新宋体"/>
          <w:sz w:val="24"/>
          <w:szCs w:val="24"/>
          <w:lang w:val="en-US" w:eastAsia="zh-CN"/>
        </w:rPr>
        <w:t>2.</w:t>
      </w:r>
      <w:r>
        <w:rPr>
          <w:rFonts w:hint="eastAsia" w:ascii="新宋体" w:hAnsi="新宋体" w:eastAsia="新宋体" w:cs="新宋体"/>
          <w:sz w:val="24"/>
          <w:szCs w:val="24"/>
        </w:rPr>
        <w:t>2</w:t>
      </w:r>
      <w:r>
        <w:rPr>
          <w:rFonts w:hint="eastAsia" w:ascii="宋体" w:hAnsi="宋体" w:eastAsia="宋体" w:cs="宋体"/>
          <w:sz w:val="24"/>
          <w:szCs w:val="24"/>
          <w:highlight w:val="none"/>
        </w:rPr>
        <w:t>.提供武陟县创建省级森林城市建设过程技术指导工作。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3.其他要求</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新宋体"/>
          <w:sz w:val="24"/>
          <w:szCs w:val="24"/>
        </w:rPr>
      </w:pPr>
      <w:r>
        <w:rPr>
          <w:rFonts w:hint="eastAsia" w:ascii="宋体" w:hAnsi="宋体" w:cs="宋体"/>
          <w:color w:val="auto"/>
          <w:kern w:val="2"/>
          <w:sz w:val="24"/>
          <w:szCs w:val="24"/>
          <w:lang w:val="en-US" w:eastAsia="zh-CN" w:bidi="ar-SA"/>
        </w:rPr>
        <w:t>3.</w:t>
      </w:r>
      <w:r>
        <w:rPr>
          <w:rFonts w:hint="eastAsia" w:ascii="宋体" w:hAnsi="宋体" w:eastAsia="宋体" w:cs="宋体"/>
          <w:color w:val="auto"/>
          <w:kern w:val="2"/>
          <w:sz w:val="24"/>
          <w:szCs w:val="24"/>
          <w:lang w:val="en-US" w:eastAsia="zh-CN" w:bidi="ar-SA"/>
        </w:rPr>
        <w:t>1.</w:t>
      </w:r>
      <w:r>
        <w:rPr>
          <w:rFonts w:hint="eastAsia" w:ascii="新宋体" w:hAnsi="新宋体" w:eastAsia="新宋体" w:cs="新宋体"/>
          <w:sz w:val="24"/>
          <w:szCs w:val="24"/>
        </w:rPr>
        <w:t>规划文本</w:t>
      </w:r>
      <w:r>
        <w:rPr>
          <w:rFonts w:hint="eastAsia" w:ascii="新宋体" w:hAnsi="新宋体" w:eastAsia="新宋体" w:cs="新宋体"/>
          <w:sz w:val="24"/>
          <w:szCs w:val="24"/>
          <w:lang w:eastAsia="zh-CN"/>
        </w:rPr>
        <w:t>：</w:t>
      </w:r>
      <w:r>
        <w:rPr>
          <w:rFonts w:hint="eastAsia" w:ascii="新宋体" w:hAnsi="新宋体" w:eastAsia="新宋体" w:cs="新宋体"/>
          <w:sz w:val="24"/>
          <w:szCs w:val="24"/>
        </w:rPr>
        <w:t>主要包括森林城市建设现状与分析、城市森林建设规划布局</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3.2</w:t>
      </w:r>
      <w:r>
        <w:rPr>
          <w:rFonts w:hint="eastAsia" w:ascii="新宋体" w:hAnsi="新宋体" w:eastAsia="新宋体" w:cs="新宋体"/>
          <w:sz w:val="24"/>
          <w:szCs w:val="24"/>
        </w:rPr>
        <w:t>.规划附图</w:t>
      </w:r>
      <w:r>
        <w:rPr>
          <w:rFonts w:hint="eastAsia" w:ascii="新宋体" w:hAnsi="新宋体" w:eastAsia="新宋体" w:cs="新宋体"/>
          <w:sz w:val="24"/>
          <w:szCs w:val="24"/>
          <w:lang w:eastAsia="zh-CN"/>
        </w:rPr>
        <w:t>：</w:t>
      </w:r>
      <w:r>
        <w:rPr>
          <w:rFonts w:hint="eastAsia" w:ascii="新宋体" w:hAnsi="新宋体" w:eastAsia="新宋体" w:cs="新宋体"/>
          <w:sz w:val="24"/>
          <w:szCs w:val="24"/>
        </w:rPr>
        <w:t>包括区域位置图、城市综合现状图、森林城市建设现状图、森林城市建设规划总图、公园及城市广场绿化规划图、居住区及单位庭院绿化率规划图、城市道路绿化规划图、郊区村庄绿化布局图等</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新宋体" w:hAnsi="新宋体" w:eastAsia="新宋体" w:cs="新宋体"/>
          <w:sz w:val="24"/>
          <w:szCs w:val="24"/>
          <w:lang w:eastAsia="zh-CN"/>
        </w:rPr>
      </w:pPr>
      <w:r>
        <w:rPr>
          <w:rFonts w:hint="eastAsia" w:ascii="新宋体" w:hAnsi="新宋体" w:eastAsia="新宋体" w:cs="新宋体"/>
          <w:sz w:val="24"/>
          <w:szCs w:val="24"/>
          <w:lang w:val="en-US" w:eastAsia="zh-CN"/>
        </w:rPr>
        <w:t>3.3</w:t>
      </w:r>
      <w:r>
        <w:rPr>
          <w:rFonts w:hint="eastAsia" w:ascii="新宋体" w:hAnsi="新宋体" w:eastAsia="新宋体" w:cs="新宋体"/>
          <w:sz w:val="24"/>
          <w:szCs w:val="24"/>
        </w:rPr>
        <w:t>.规划附件</w:t>
      </w:r>
      <w:r>
        <w:rPr>
          <w:rFonts w:hint="eastAsia" w:ascii="新宋体" w:hAnsi="新宋体" w:eastAsia="新宋体" w:cs="新宋体"/>
          <w:sz w:val="24"/>
          <w:szCs w:val="24"/>
          <w:lang w:eastAsia="zh-CN"/>
        </w:rPr>
        <w:t>：</w:t>
      </w:r>
      <w:r>
        <w:rPr>
          <w:rFonts w:hint="eastAsia" w:ascii="新宋体" w:hAnsi="新宋体" w:eastAsia="新宋体" w:cs="新宋体"/>
          <w:sz w:val="24"/>
          <w:szCs w:val="24"/>
        </w:rPr>
        <w:t>包括专家评审意见、有关文件和证明材料等</w:t>
      </w:r>
      <w:r>
        <w:rPr>
          <w:rFonts w:hint="eastAsia" w:ascii="新宋体" w:hAnsi="新宋体" w:eastAsia="新宋体" w:cs="新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lang w:val="en-US" w:eastAsia="zh-CN" w:bidi="ar-SA"/>
        </w:rPr>
      </w:pPr>
      <w:r>
        <w:rPr>
          <w:rFonts w:hint="eastAsia" w:ascii="新宋体" w:hAnsi="新宋体" w:eastAsia="新宋体" w:cs="新宋体"/>
          <w:sz w:val="24"/>
          <w:szCs w:val="24"/>
          <w:lang w:val="en-US" w:eastAsia="zh-CN"/>
        </w:rPr>
        <w:t>3.4.</w:t>
      </w:r>
      <w:r>
        <w:rPr>
          <w:rFonts w:hint="eastAsia" w:ascii="新宋体" w:hAnsi="新宋体" w:eastAsia="新宋体" w:cs="新宋体"/>
          <w:sz w:val="24"/>
          <w:szCs w:val="24"/>
        </w:rPr>
        <w:t>验收要求</w:t>
      </w:r>
      <w:r>
        <w:rPr>
          <w:rFonts w:hint="eastAsia" w:ascii="新宋体" w:hAnsi="新宋体" w:eastAsia="新宋体" w:cs="新宋体"/>
          <w:sz w:val="24"/>
          <w:szCs w:val="24"/>
          <w:lang w:eastAsia="zh-CN"/>
        </w:rPr>
        <w:t>：</w:t>
      </w:r>
      <w:r>
        <w:rPr>
          <w:rFonts w:hint="eastAsia" w:ascii="宋体" w:hAnsi="宋体" w:eastAsia="宋体" w:cs="宋体"/>
          <w:color w:val="auto"/>
          <w:kern w:val="2"/>
          <w:sz w:val="24"/>
          <w:szCs w:val="24"/>
          <w:lang w:val="en-US" w:eastAsia="zh-CN" w:bidi="ar-SA"/>
        </w:rPr>
        <w:t>规划成果通过河南省林业局组织的专项评审。</w:t>
      </w:r>
      <w:bookmarkEnd w:id="89"/>
      <w:bookmarkEnd w:id="90"/>
      <w:bookmarkEnd w:id="91"/>
      <w:bookmarkEnd w:id="92"/>
      <w:bookmarkEnd w:id="93"/>
      <w:bookmarkEnd w:id="94"/>
      <w:bookmarkEnd w:id="95"/>
      <w:bookmarkStart w:id="96" w:name="_Toc29422"/>
    </w:p>
    <w:p>
      <w:pP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br w:type="page"/>
      </w:r>
    </w:p>
    <w:p>
      <w:pPr>
        <w:pStyle w:val="35"/>
        <w:spacing w:before="0" w:after="0" w:line="360" w:lineRule="auto"/>
        <w:ind w:firstLine="2891" w:firstLineChars="900"/>
        <w:jc w:val="both"/>
        <w:rPr>
          <w:rFonts w:hint="eastAsia" w:ascii="宋体" w:hAnsi="宋体" w:cs="宋体"/>
        </w:rPr>
      </w:pPr>
      <w:bookmarkStart w:id="97" w:name="_Toc22240"/>
      <w:r>
        <w:rPr>
          <w:rFonts w:hint="eastAsia" w:ascii="宋体" w:hAnsi="宋体" w:cs="宋体"/>
        </w:rPr>
        <w:t>第六章 响应文件格式</w:t>
      </w:r>
      <w:bookmarkEnd w:id="96"/>
      <w:bookmarkEnd w:id="97"/>
    </w:p>
    <w:p>
      <w:pPr>
        <w:pStyle w:val="37"/>
        <w:rPr>
          <w:rFonts w:hint="eastAsia" w:ascii="宋体" w:hAnsi="宋体" w:cs="宋体"/>
          <w:sz w:val="32"/>
          <w:szCs w:val="32"/>
        </w:rPr>
      </w:pPr>
    </w:p>
    <w:p>
      <w:pPr>
        <w:spacing w:line="460" w:lineRule="exact"/>
        <w:jc w:val="center"/>
        <w:rPr>
          <w:rFonts w:hint="eastAsia" w:ascii="宋体" w:hAnsi="宋体" w:cs="宋体"/>
          <w:b/>
          <w:sz w:val="44"/>
          <w:szCs w:val="44"/>
          <w:u w:val="single"/>
        </w:rPr>
      </w:pP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37"/>
        <w:rPr>
          <w:rFonts w:hint="eastAsia"/>
        </w:rPr>
      </w:pPr>
    </w:p>
    <w:p>
      <w:pPr>
        <w:pStyle w:val="37"/>
        <w:rPr>
          <w:rFonts w:hint="eastAsia"/>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37"/>
        <w:rPr>
          <w:rFonts w:hint="eastAsia"/>
        </w:rPr>
      </w:pPr>
    </w:p>
    <w:p>
      <w:pPr>
        <w:spacing w:line="460" w:lineRule="exact"/>
        <w:rPr>
          <w:rFonts w:hint="eastAsia" w:ascii="宋体" w:hAnsi="宋体" w:cs="宋体"/>
          <w:sz w:val="32"/>
          <w:szCs w:val="32"/>
        </w:rPr>
      </w:pPr>
    </w:p>
    <w:p>
      <w:pPr>
        <w:pStyle w:val="37"/>
        <w:rPr>
          <w:rFonts w:hint="eastAsia"/>
        </w:rPr>
      </w:pPr>
      <w:bookmarkStart w:id="98" w:name="_Toc12304"/>
      <w:bookmarkStart w:id="99" w:name="_Toc530584396"/>
      <w:bookmarkStart w:id="100" w:name="_Toc23451"/>
      <w:bookmarkStart w:id="101" w:name="_Toc22461"/>
      <w:bookmarkStart w:id="102" w:name="_Toc490161460"/>
      <w:bookmarkStart w:id="103" w:name="_Toc408816353"/>
      <w:bookmarkStart w:id="104" w:name="_Toc374512423"/>
      <w:bookmarkStart w:id="105" w:name="_Toc3023"/>
      <w:bookmarkStart w:id="106" w:name="_Toc477423253"/>
      <w:bookmarkStart w:id="107" w:name="_Toc487805929"/>
      <w:bookmarkStart w:id="108" w:name="_Toc373230035"/>
      <w:bookmarkStart w:id="109" w:name="_Toc26310"/>
    </w:p>
    <w:p>
      <w:pPr>
        <w:pStyle w:val="3"/>
        <w:numPr>
          <w:ilvl w:val="0"/>
          <w:numId w:val="9"/>
        </w:numPr>
        <w:spacing w:before="0" w:after="0" w:line="360" w:lineRule="auto"/>
        <w:rPr>
          <w:rFonts w:hint="eastAsia" w:ascii="宋体" w:hAnsi="宋体" w:cs="宋体"/>
          <w:sz w:val="32"/>
          <w:szCs w:val="32"/>
        </w:rPr>
      </w:pPr>
      <w:bookmarkStart w:id="110" w:name="_Toc7109"/>
      <w:bookmarkStart w:id="111" w:name="_Toc19873"/>
      <w:r>
        <w:rPr>
          <w:rFonts w:hint="eastAsia" w:ascii="宋体" w:hAnsi="宋体" w:cs="宋体"/>
          <w:sz w:val="32"/>
          <w:szCs w:val="32"/>
        </w:rPr>
        <w:t>磋商承诺函</w:t>
      </w:r>
      <w:bookmarkEnd w:id="98"/>
      <w:bookmarkEnd w:id="99"/>
      <w:bookmarkEnd w:id="100"/>
      <w:bookmarkEnd w:id="101"/>
      <w:bookmarkEnd w:id="110"/>
      <w:bookmarkEnd w:id="111"/>
    </w:p>
    <w:p>
      <w:pPr>
        <w:keepNext w:val="0"/>
        <w:keepLines w:val="0"/>
        <w:pageBreakBefore w:val="0"/>
        <w:kinsoku/>
        <w:wordWrap/>
        <w:overflowPunct/>
        <w:topLinePunct w:val="0"/>
        <w:autoSpaceDE/>
        <w:autoSpaceDN/>
        <w:bidi w:val="0"/>
        <w:snapToGrid/>
        <w:spacing w:line="440" w:lineRule="exact"/>
        <w:ind w:firstLine="480" w:firstLineChars="200"/>
        <w:rPr>
          <w:rFonts w:hint="eastAsia" w:asciiTheme="minorEastAsia" w:hAnsiTheme="minorEastAsia" w:eastAsiaTheme="minorEastAsia" w:cstheme="minorEastAsia"/>
          <w:sz w:val="24"/>
          <w:szCs w:val="22"/>
        </w:rPr>
      </w:pPr>
      <w:r>
        <w:rPr>
          <w:sz w:val="24"/>
          <w:szCs w:val="22"/>
          <w:lang w:val="en-US" w:eastAsia="zh-CN"/>
        </w:rPr>
        <w:t>我</w:t>
      </w:r>
      <w:r>
        <w:rPr>
          <w:rFonts w:hint="eastAsia" w:asciiTheme="minorEastAsia" w:hAnsiTheme="minorEastAsia" w:eastAsiaTheme="minorEastAsia" w:cstheme="minorEastAsia"/>
          <w:sz w:val="24"/>
          <w:szCs w:val="22"/>
          <w:lang w:val="en-US" w:eastAsia="zh-CN"/>
        </w:rPr>
        <w:t>方参与贵方组织的</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项目</w:t>
      </w:r>
      <w:r>
        <w:rPr>
          <w:rFonts w:hint="eastAsia" w:asciiTheme="minorEastAsia" w:hAnsiTheme="minorEastAsia" w:eastAsiaTheme="minorEastAsia" w:cstheme="minorEastAsia"/>
          <w:sz w:val="24"/>
          <w:szCs w:val="24"/>
          <w:highlight w:val="none"/>
          <w:u w:val="none"/>
          <w:lang w:val="en-US" w:eastAsia="zh-CN"/>
        </w:rPr>
        <w:t>(</w:t>
      </w:r>
      <w:r>
        <w:rPr>
          <w:rFonts w:hint="eastAsia" w:asciiTheme="minorEastAsia" w:hAnsiTheme="minorEastAsia" w:eastAsiaTheme="minorEastAsia" w:cstheme="minorEastAsia"/>
          <w:sz w:val="24"/>
          <w:szCs w:val="24"/>
          <w:lang w:eastAsia="zh-CN"/>
        </w:rPr>
        <w:t>项目</w:t>
      </w:r>
      <w:r>
        <w:rPr>
          <w:rFonts w:hint="eastAsia" w:asciiTheme="minorEastAsia" w:hAnsiTheme="minorEastAsia" w:eastAsiaTheme="minorEastAsia" w:cstheme="minorEastAsia"/>
          <w:sz w:val="24"/>
          <w:szCs w:val="24"/>
        </w:rPr>
        <w:t>编号：</w:t>
      </w:r>
      <w:r>
        <w:rPr>
          <w:rFonts w:hint="eastAsia" w:asciiTheme="minorEastAsia" w:hAnsiTheme="minorEastAsia" w:eastAsiaTheme="minorEastAsia" w:cstheme="minorEastAsia"/>
          <w:color w:val="auto"/>
          <w:sz w:val="24"/>
          <w:szCs w:val="24"/>
          <w:u w:val="single"/>
          <w:lang w:val="en-US" w:eastAsia="zh-CN"/>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2"/>
          <w:lang w:val="en-US" w:eastAsia="zh-CN"/>
        </w:rPr>
        <w:t xml:space="preserve">采购活动。对此，我方承诺如下：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1.我方完全理解并认可本项目竞争性磋商文件内容和接受由贵方对响应文件进行集中解密，发生争议时不会以对上述内容存在误解为由，行使法律上的抗辩权。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2.我方对所提交的响应文件及相关资料的真实性、准确性和完整性负责，愿意向贵方提供任何与本次</w:t>
      </w:r>
      <w:r>
        <w:rPr>
          <w:rFonts w:hint="eastAsia" w:ascii="宋体" w:hAnsi="宋体" w:cs="宋体"/>
          <w:color w:val="000000"/>
          <w:kern w:val="0"/>
          <w:sz w:val="24"/>
          <w:szCs w:val="24"/>
          <w:lang w:val="en-US" w:eastAsia="zh-CN" w:bidi="ar"/>
        </w:rPr>
        <w:t>磋商</w:t>
      </w:r>
      <w:r>
        <w:rPr>
          <w:rFonts w:hint="eastAsia" w:ascii="宋体" w:hAnsi="宋体" w:eastAsia="宋体" w:cs="宋体"/>
          <w:color w:val="000000"/>
          <w:kern w:val="0"/>
          <w:sz w:val="24"/>
          <w:szCs w:val="24"/>
          <w:lang w:val="en-US" w:eastAsia="zh-CN" w:bidi="ar"/>
        </w:rPr>
        <w:t xml:space="preserve">有关的数据、技术资料和相关证明材料。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3.我方针对本项目的磋商有效期为</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天，在此期间，我方在响应文件中作出的所有响应均有效，随时准备接受你方发出的成交通知书。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4.完全接受和满足本项目竞争性磋商文件中的规定，如对竞争性磋商文件有异议，已经在响应文件提交截止时间前依法进行维权，不存在对竞争性磋商文件有异议的同时又参加</w:t>
      </w:r>
      <w:r>
        <w:rPr>
          <w:rFonts w:hint="eastAsia" w:ascii="宋体" w:hAnsi="宋体" w:cs="宋体"/>
          <w:color w:val="000000"/>
          <w:kern w:val="0"/>
          <w:sz w:val="24"/>
          <w:szCs w:val="24"/>
          <w:lang w:val="en-US" w:eastAsia="zh-CN" w:bidi="ar"/>
        </w:rPr>
        <w:t>磋商</w:t>
      </w:r>
      <w:r>
        <w:rPr>
          <w:rFonts w:hint="eastAsia" w:ascii="宋体" w:hAnsi="宋体" w:eastAsia="宋体" w:cs="宋体"/>
          <w:color w:val="000000"/>
          <w:kern w:val="0"/>
          <w:sz w:val="24"/>
          <w:szCs w:val="24"/>
          <w:lang w:val="en-US" w:eastAsia="zh-CN" w:bidi="ar"/>
        </w:rPr>
        <w:t>以求侥幸成交或者为实现其他非法目的的行为。</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5.我方接受竞争性磋商文件中《合同》的全部条款，如果你方在响应文件有效期内向我方发出成交通知书，我方保证在规定的时间内按照竞争性磋商文件确定的事项与采购人签订合同，并严格履行合同规定的各项责任和义务。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6.采购人若需按规定允许比例追加与合同标的相同的货物、工程或者服务的，在不改变合同其他条款的前提下，我方愿意签订补充合同，按相同或更优惠的折扣率保证供应或提供服务。</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8.参加本次采购活动，不存在与单位负责人为同一人或者存在直接控股、管理关系的其他供应商参与同一合同项下的政府采购活动的行为。    </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9.参加本次采购活动，不存在为采购项目提供整体设计、规范编制或者项目管理、监理、检测等服务的行为。</w:t>
      </w:r>
    </w:p>
    <w:p>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10.参加本次采购活动，不存在和其他供应商在同一合同项下的采购项目中，同时委托同一个自然人、同一家庭的人员、同一单位的人员作为代理人的行为。</w:t>
      </w:r>
    </w:p>
    <w:p>
      <w:pPr>
        <w:keepNext w:val="0"/>
        <w:keepLines w:val="0"/>
        <w:pageBreakBefore w:val="0"/>
        <w:numPr>
          <w:ilvl w:val="0"/>
          <w:numId w:val="0"/>
        </w:numPr>
        <w:kinsoku/>
        <w:wordWrap/>
        <w:overflowPunct/>
        <w:topLinePunct w:val="0"/>
        <w:autoSpaceDE/>
        <w:autoSpaceDN/>
        <w:bidi w:val="0"/>
        <w:adjustRightInd w:val="0"/>
        <w:snapToGrid/>
        <w:spacing w:line="440" w:lineRule="exact"/>
        <w:ind w:firstLine="480" w:firstLineChars="200"/>
        <w:jc w:val="left"/>
        <w:textAlignment w:val="baseline"/>
        <w:rPr>
          <w:rFonts w:hint="eastAsia" w:asciiTheme="minorEastAsia" w:hAnsiTheme="minorEastAsia" w:eastAsiaTheme="minorEastAsia" w:cstheme="minorEastAsia"/>
          <w:sz w:val="24"/>
          <w:szCs w:val="24"/>
        </w:rPr>
      </w:pPr>
    </w:p>
    <w:p>
      <w:pPr>
        <w:keepNext w:val="0"/>
        <w:keepLines w:val="0"/>
        <w:pageBreakBefore w:val="0"/>
        <w:widowControl/>
        <w:suppressLineNumbers w:val="0"/>
        <w:kinsoku/>
        <w:wordWrap/>
        <w:overflowPunct/>
        <w:topLinePunct w:val="0"/>
        <w:autoSpaceDE/>
        <w:autoSpaceDN/>
        <w:bidi w:val="0"/>
        <w:snapToGrid/>
        <w:spacing w:line="440" w:lineRule="exact"/>
        <w:ind w:firstLine="480" w:firstLineChars="200"/>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color w:val="000000"/>
          <w:kern w:val="0"/>
          <w:sz w:val="24"/>
          <w:szCs w:val="24"/>
          <w:lang w:val="en-US" w:eastAsia="zh-CN" w:bidi="ar"/>
        </w:rPr>
        <w:t xml:space="preserve">如果我方违反上述承诺，或承诺内容不属实，我方愿意承担一切不利的法律后果。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color w:val="000000"/>
          <w:kern w:val="0"/>
          <w:sz w:val="24"/>
          <w:szCs w:val="24"/>
          <w:lang w:val="en-US" w:eastAsia="zh-CN" w:bidi="ar"/>
        </w:rPr>
        <w:t>与本</w:t>
      </w:r>
      <w:r>
        <w:rPr>
          <w:rFonts w:hint="eastAsia" w:asciiTheme="minorEastAsia" w:hAnsiTheme="minorEastAsia" w:cstheme="minorEastAsia"/>
          <w:color w:val="000000"/>
          <w:kern w:val="0"/>
          <w:sz w:val="24"/>
          <w:szCs w:val="24"/>
          <w:lang w:val="en-US" w:eastAsia="zh-CN" w:bidi="ar"/>
        </w:rPr>
        <w:t>磋商</w:t>
      </w:r>
      <w:r>
        <w:rPr>
          <w:rFonts w:hint="eastAsia" w:asciiTheme="minorEastAsia" w:hAnsiTheme="minorEastAsia" w:eastAsiaTheme="minorEastAsia" w:cstheme="minorEastAsia"/>
          <w:color w:val="000000"/>
          <w:kern w:val="0"/>
          <w:sz w:val="24"/>
          <w:szCs w:val="24"/>
          <w:lang w:val="en-US" w:eastAsia="zh-CN" w:bidi="ar"/>
        </w:rPr>
        <w:t xml:space="preserve">有关的联系方式：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color w:val="000000"/>
          <w:kern w:val="0"/>
          <w:sz w:val="24"/>
          <w:szCs w:val="24"/>
          <w:lang w:val="en-US" w:eastAsia="zh-CN" w:bidi="ar"/>
        </w:rPr>
        <w:t xml:space="preserve">地址：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color w:val="000000"/>
          <w:kern w:val="0"/>
          <w:sz w:val="24"/>
          <w:szCs w:val="24"/>
          <w:lang w:val="en-US" w:eastAsia="zh-CN" w:bidi="ar"/>
        </w:rPr>
        <w:t xml:space="preserve">邮编：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color w:val="000000"/>
          <w:kern w:val="0"/>
          <w:sz w:val="24"/>
          <w:szCs w:val="24"/>
          <w:lang w:val="en-US" w:eastAsia="zh-CN" w:bidi="ar"/>
        </w:rPr>
        <w:t xml:space="preserve">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cstheme="minorEastAsia"/>
          <w:color w:val="000000"/>
          <w:kern w:val="0"/>
          <w:sz w:val="24"/>
          <w:szCs w:val="24"/>
          <w:lang w:val="en-US" w:eastAsia="zh-CN" w:bidi="ar"/>
        </w:rPr>
        <w:t>供应商</w:t>
      </w:r>
      <w:r>
        <w:rPr>
          <w:rFonts w:hint="eastAsia" w:asciiTheme="minorEastAsia" w:hAnsiTheme="minorEastAsia" w:eastAsiaTheme="minorEastAsia" w:cstheme="minorEastAsia"/>
          <w:color w:val="000000"/>
          <w:kern w:val="0"/>
          <w:sz w:val="24"/>
          <w:szCs w:val="24"/>
          <w:lang w:val="en-US" w:eastAsia="zh-CN" w:bidi="ar"/>
        </w:rPr>
        <w:t xml:space="preserve">代表姓名：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cstheme="minorEastAsia"/>
          <w:color w:val="000000"/>
          <w:kern w:val="0"/>
          <w:sz w:val="24"/>
          <w:szCs w:val="24"/>
          <w:lang w:val="en-US" w:eastAsia="zh-CN" w:bidi="ar"/>
        </w:rPr>
        <w:t>供应商</w:t>
      </w:r>
      <w:r>
        <w:rPr>
          <w:rFonts w:hint="eastAsia" w:asciiTheme="minorEastAsia" w:hAnsiTheme="minorEastAsia" w:eastAsiaTheme="minorEastAsia" w:cstheme="minorEastAsia"/>
          <w:color w:val="000000"/>
          <w:kern w:val="0"/>
          <w:sz w:val="24"/>
          <w:szCs w:val="24"/>
          <w:lang w:val="en-US" w:eastAsia="zh-CN" w:bidi="ar"/>
        </w:rPr>
        <w:t xml:space="preserve">代表联系电话：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sz w:val="24"/>
          <w:szCs w:val="22"/>
        </w:rPr>
      </w:pPr>
      <w:r>
        <w:rPr>
          <w:rFonts w:hint="eastAsia" w:asciiTheme="minorEastAsia" w:hAnsiTheme="minorEastAsia" w:cstheme="minorEastAsia"/>
          <w:color w:val="000000"/>
          <w:kern w:val="0"/>
          <w:sz w:val="24"/>
          <w:szCs w:val="24"/>
          <w:lang w:val="en-US" w:eastAsia="zh-CN" w:bidi="ar"/>
        </w:rPr>
        <w:t>供应商</w:t>
      </w:r>
      <w:r>
        <w:rPr>
          <w:rFonts w:hint="eastAsia" w:asciiTheme="minorEastAsia" w:hAnsiTheme="minorEastAsia" w:eastAsiaTheme="minorEastAsia" w:cstheme="minorEastAsia"/>
          <w:color w:val="000000"/>
          <w:kern w:val="0"/>
          <w:sz w:val="24"/>
          <w:szCs w:val="24"/>
          <w:lang w:val="en-US" w:eastAsia="zh-CN" w:bidi="ar"/>
        </w:rPr>
        <w:t xml:space="preserve">代表电子邮箱: </w:t>
      </w:r>
    </w:p>
    <w:p>
      <w:pPr>
        <w:keepNext w:val="0"/>
        <w:keepLines w:val="0"/>
        <w:pageBreakBefore w:val="0"/>
        <w:kinsoku/>
        <w:wordWrap/>
        <w:overflowPunct/>
        <w:topLinePunct w:val="0"/>
        <w:autoSpaceDE/>
        <w:autoSpaceDN/>
        <w:bidi w:val="0"/>
        <w:adjustRightInd w:val="0"/>
        <w:snapToGrid/>
        <w:spacing w:line="440" w:lineRule="exact"/>
        <w:ind w:firstLine="2040" w:firstLineChars="85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cstheme="minorEastAsia"/>
          <w:sz w:val="24"/>
          <w:szCs w:val="24"/>
          <w:lang w:val="en-US" w:eastAsia="zh-CN"/>
        </w:rPr>
        <w:t>供应商</w:t>
      </w:r>
      <w:r>
        <w:rPr>
          <w:rFonts w:hint="eastAsia" w:asciiTheme="minorEastAsia" w:hAnsiTheme="minorEastAsia" w:eastAsiaTheme="minorEastAsia" w:cstheme="minorEastAsia"/>
          <w:sz w:val="24"/>
          <w:szCs w:val="24"/>
          <w:lang w:val="en-US" w:eastAsia="zh-CN"/>
        </w:rPr>
        <w:t xml:space="preserve">代表（签字或名章）： </w:t>
      </w:r>
    </w:p>
    <w:p>
      <w:pPr>
        <w:keepNext w:val="0"/>
        <w:keepLines w:val="0"/>
        <w:pageBreakBefore w:val="0"/>
        <w:kinsoku/>
        <w:wordWrap/>
        <w:overflowPunct/>
        <w:topLinePunct w:val="0"/>
        <w:autoSpaceDE/>
        <w:autoSpaceDN/>
        <w:bidi w:val="0"/>
        <w:adjustRightInd w:val="0"/>
        <w:snapToGrid/>
        <w:spacing w:line="440" w:lineRule="exact"/>
        <w:ind w:firstLine="4320" w:firstLineChars="18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法定代表人（签字或名章）： </w:t>
      </w:r>
    </w:p>
    <w:p>
      <w:pPr>
        <w:keepNext w:val="0"/>
        <w:keepLines w:val="0"/>
        <w:pageBreakBefore w:val="0"/>
        <w:kinsoku/>
        <w:wordWrap/>
        <w:overflowPunct/>
        <w:topLinePunct w:val="0"/>
        <w:autoSpaceDE/>
        <w:autoSpaceDN/>
        <w:bidi w:val="0"/>
        <w:adjustRightInd w:val="0"/>
        <w:snapToGrid/>
        <w:spacing w:line="440" w:lineRule="exact"/>
        <w:ind w:firstLine="4320" w:firstLineChars="18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供应商名称（全称并加盖公章）：</w:t>
      </w:r>
    </w:p>
    <w:p>
      <w:pPr>
        <w:keepNext w:val="0"/>
        <w:keepLines w:val="0"/>
        <w:pageBreakBefore w:val="0"/>
        <w:kinsoku/>
        <w:wordWrap/>
        <w:overflowPunct/>
        <w:topLinePunct w:val="0"/>
        <w:autoSpaceDE/>
        <w:autoSpaceDN/>
        <w:bidi w:val="0"/>
        <w:adjustRightInd w:val="0"/>
        <w:snapToGrid/>
        <w:spacing w:line="440" w:lineRule="exact"/>
        <w:ind w:firstLine="2040" w:firstLineChars="85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lang w:eastAsia="zh-CN"/>
        </w:rPr>
      </w:pPr>
      <w:r>
        <w:rPr>
          <w:rFonts w:hint="eastAsia"/>
          <w:lang w:eastAsia="zh-CN"/>
        </w:rPr>
        <w:tab/>
      </w: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rPr>
      </w:pPr>
    </w:p>
    <w:p>
      <w:pPr>
        <w:pStyle w:val="3"/>
        <w:numPr>
          <w:ilvl w:val="0"/>
          <w:numId w:val="9"/>
        </w:numPr>
        <w:spacing w:before="0" w:after="0" w:line="360" w:lineRule="auto"/>
        <w:rPr>
          <w:rFonts w:hint="eastAsia" w:ascii="宋体" w:hAnsi="宋体" w:cs="宋体"/>
          <w:sz w:val="32"/>
          <w:szCs w:val="32"/>
        </w:rPr>
      </w:pPr>
      <w:bookmarkStart w:id="112" w:name="_Toc32512"/>
      <w:bookmarkStart w:id="113" w:name="_Toc15663"/>
      <w:bookmarkStart w:id="114" w:name="_Toc13659"/>
      <w:bookmarkStart w:id="115" w:name="_Toc438"/>
      <w:bookmarkStart w:id="116" w:name="_Toc10814"/>
      <w:r>
        <w:rPr>
          <w:rFonts w:hint="eastAsia" w:ascii="宋体" w:hAnsi="宋体" w:cs="宋体"/>
          <w:sz w:val="32"/>
          <w:szCs w:val="32"/>
        </w:rPr>
        <w:t>承诺书</w:t>
      </w:r>
      <w:bookmarkEnd w:id="112"/>
      <w:bookmarkEnd w:id="113"/>
      <w:bookmarkEnd w:id="114"/>
      <w:bookmarkEnd w:id="115"/>
      <w:bookmarkEnd w:id="116"/>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ind w:firstLine="480" w:firstLineChars="20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5</w:t>
      </w:r>
      <w:r>
        <w:rPr>
          <w:rFonts w:hint="eastAsia" w:ascii="宋体" w:hAnsi="宋体" w:cs="宋体"/>
          <w:sz w:val="24"/>
          <w:szCs w:val="24"/>
          <w:lang w:eastAsia="zh-CN"/>
        </w:rPr>
        <w:t>）磋商文件及相关法律法规规定的其他情形</w:t>
      </w:r>
      <w:r>
        <w:rPr>
          <w:rFonts w:hint="eastAsia" w:ascii="宋体" w:hAnsi="宋体" w:cs="宋体"/>
          <w:sz w:val="24"/>
          <w:szCs w:val="24"/>
        </w:rPr>
        <w:t>。</w:t>
      </w: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7"/>
        <w:rPr>
          <w:rFonts w:hint="eastAsia"/>
        </w:rPr>
      </w:pPr>
    </w:p>
    <w:p>
      <w:pPr>
        <w:pStyle w:val="57"/>
        <w:rPr>
          <w:rFonts w:hint="eastAsia"/>
        </w:rPr>
      </w:pPr>
    </w:p>
    <w:p>
      <w:pPr>
        <w:pStyle w:val="57"/>
        <w:rPr>
          <w:rFonts w:hint="eastAsia"/>
        </w:rPr>
      </w:pPr>
    </w:p>
    <w:p>
      <w:pPr>
        <w:pStyle w:val="57"/>
        <w:rPr>
          <w:rFonts w:hint="eastAsia"/>
        </w:rPr>
      </w:pPr>
    </w:p>
    <w:p>
      <w:pPr>
        <w:pStyle w:val="57"/>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102"/>
    <w:bookmarkEnd w:id="103"/>
    <w:bookmarkEnd w:id="104"/>
    <w:bookmarkEnd w:id="105"/>
    <w:bookmarkEnd w:id="106"/>
    <w:bookmarkEnd w:id="107"/>
    <w:bookmarkEnd w:id="108"/>
    <w:bookmarkEnd w:id="109"/>
    <w:p>
      <w:pPr>
        <w:pStyle w:val="3"/>
        <w:numPr>
          <w:ilvl w:val="0"/>
          <w:numId w:val="9"/>
        </w:numPr>
        <w:spacing w:before="0" w:after="0" w:line="360" w:lineRule="auto"/>
        <w:rPr>
          <w:rFonts w:hint="eastAsia" w:ascii="宋体" w:hAnsi="宋体" w:cs="宋体"/>
          <w:sz w:val="32"/>
          <w:szCs w:val="32"/>
        </w:rPr>
      </w:pPr>
      <w:bookmarkStart w:id="117" w:name="_Toc484"/>
      <w:bookmarkStart w:id="118" w:name="_Toc4216"/>
      <w:bookmarkStart w:id="119" w:name="_Toc29369"/>
      <w:bookmarkStart w:id="120" w:name="_Toc6638"/>
      <w:bookmarkStart w:id="121" w:name="_Toc13008"/>
      <w:bookmarkStart w:id="122" w:name="_Toc408816355"/>
      <w:bookmarkStart w:id="123" w:name="_Toc475955188"/>
      <w:bookmarkStart w:id="124" w:name="_Toc476045982"/>
      <w:bookmarkStart w:id="125" w:name="_Toc27591"/>
      <w:bookmarkStart w:id="126" w:name="_Toc453513319"/>
      <w:bookmarkStart w:id="127" w:name="_Toc477423254"/>
      <w:bookmarkStart w:id="128" w:name="_Toc364490445"/>
      <w:bookmarkStart w:id="129" w:name="_Toc373230037"/>
      <w:bookmarkStart w:id="130" w:name="_Toc374512425"/>
      <w:r>
        <w:rPr>
          <w:rFonts w:hint="eastAsia" w:ascii="宋体" w:hAnsi="宋体" w:cs="宋体"/>
          <w:sz w:val="32"/>
          <w:szCs w:val="32"/>
        </w:rPr>
        <w:t>供应商基本情况表</w:t>
      </w:r>
      <w:bookmarkEnd w:id="117"/>
      <w:bookmarkEnd w:id="118"/>
      <w:bookmarkEnd w:id="119"/>
      <w:bookmarkEnd w:id="120"/>
      <w:bookmarkEnd w:id="121"/>
    </w:p>
    <w:tbl>
      <w:tblPr>
        <w:tblStyle w:val="38"/>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2"/>
        <w:gridCol w:w="822"/>
        <w:gridCol w:w="196"/>
        <w:gridCol w:w="816"/>
        <w:gridCol w:w="271"/>
        <w:gridCol w:w="503"/>
        <w:gridCol w:w="667"/>
        <w:gridCol w:w="748"/>
        <w:gridCol w:w="774"/>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107"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05" w:type="dxa"/>
            <w:gridSpan w:val="4"/>
            <w:noWrap w:val="0"/>
            <w:vAlign w:val="center"/>
          </w:tcPr>
          <w:p>
            <w:pPr>
              <w:spacing w:line="360" w:lineRule="auto"/>
              <w:jc w:val="center"/>
              <w:rPr>
                <w:rFonts w:hint="eastAsia" w:ascii="宋体" w:hAnsi="宋体" w:cs="宋体"/>
                <w:sz w:val="24"/>
              </w:rPr>
            </w:pPr>
          </w:p>
        </w:tc>
        <w:tc>
          <w:tcPr>
            <w:tcW w:w="1170"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32"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1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087" w:type="dxa"/>
            <w:gridSpan w:val="2"/>
            <w:noWrap w:val="0"/>
            <w:vAlign w:val="center"/>
          </w:tcPr>
          <w:p>
            <w:pPr>
              <w:spacing w:line="360" w:lineRule="auto"/>
              <w:jc w:val="center"/>
              <w:rPr>
                <w:rFonts w:hint="eastAsia" w:ascii="宋体" w:hAnsi="宋体" w:cs="宋体"/>
                <w:sz w:val="24"/>
              </w:rPr>
            </w:pPr>
          </w:p>
        </w:tc>
        <w:tc>
          <w:tcPr>
            <w:tcW w:w="1170"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32"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设立登记证书</w:t>
            </w:r>
            <w:r>
              <w:rPr>
                <w:rFonts w:hint="eastAsia" w:ascii="宋体" w:hAnsi="宋体" w:cs="宋体"/>
                <w:sz w:val="24"/>
                <w:lang w:eastAsia="zh-CN"/>
              </w:rPr>
              <w:t>号</w:t>
            </w:r>
          </w:p>
        </w:tc>
        <w:tc>
          <w:tcPr>
            <w:tcW w:w="6107"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22"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12" w:type="dxa"/>
            <w:gridSpan w:val="2"/>
            <w:noWrap w:val="0"/>
            <w:vAlign w:val="center"/>
          </w:tcPr>
          <w:p>
            <w:pPr>
              <w:spacing w:line="360" w:lineRule="auto"/>
              <w:jc w:val="center"/>
              <w:rPr>
                <w:rFonts w:hint="eastAsia" w:ascii="宋体" w:hAnsi="宋体" w:cs="宋体"/>
                <w:sz w:val="24"/>
              </w:rPr>
            </w:pPr>
          </w:p>
        </w:tc>
        <w:tc>
          <w:tcPr>
            <w:tcW w:w="774"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15" w:type="dxa"/>
            <w:gridSpan w:val="2"/>
            <w:noWrap w:val="0"/>
            <w:vAlign w:val="center"/>
          </w:tcPr>
          <w:p>
            <w:pPr>
              <w:spacing w:line="360" w:lineRule="auto"/>
              <w:jc w:val="center"/>
              <w:rPr>
                <w:rFonts w:hint="eastAsia" w:ascii="宋体" w:hAnsi="宋体" w:cs="宋体"/>
                <w:sz w:val="24"/>
              </w:rPr>
            </w:pPr>
          </w:p>
        </w:tc>
        <w:tc>
          <w:tcPr>
            <w:tcW w:w="774"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10"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34" w:type="dxa"/>
            <w:gridSpan w:val="3"/>
            <w:noWrap w:val="0"/>
            <w:vAlign w:val="center"/>
          </w:tcPr>
          <w:p>
            <w:pPr>
              <w:spacing w:line="360" w:lineRule="auto"/>
              <w:jc w:val="center"/>
              <w:rPr>
                <w:rFonts w:hint="eastAsia" w:ascii="宋体" w:hAnsi="宋体" w:cs="宋体"/>
                <w:sz w:val="24"/>
              </w:rPr>
            </w:pPr>
          </w:p>
        </w:tc>
        <w:tc>
          <w:tcPr>
            <w:tcW w:w="2189"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084"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34" w:type="dxa"/>
            <w:gridSpan w:val="3"/>
            <w:noWrap w:val="0"/>
            <w:vAlign w:val="center"/>
          </w:tcPr>
          <w:p>
            <w:pPr>
              <w:spacing w:line="360" w:lineRule="auto"/>
              <w:jc w:val="center"/>
              <w:rPr>
                <w:rFonts w:hint="eastAsia" w:ascii="宋体" w:hAnsi="宋体" w:cs="宋体"/>
                <w:sz w:val="24"/>
              </w:rPr>
            </w:pPr>
          </w:p>
        </w:tc>
        <w:tc>
          <w:tcPr>
            <w:tcW w:w="2189"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084"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107"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exact"/>
          <w:jc w:val="center"/>
        </w:trPr>
        <w:tc>
          <w:tcPr>
            <w:tcW w:w="2152"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107"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ind w:firstLine="480" w:firstLineChars="200"/>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2" w:type="default"/>
          <w:pgSz w:w="11906" w:h="16838"/>
          <w:pgMar w:top="1134" w:right="1134" w:bottom="1134" w:left="1474" w:header="851" w:footer="510" w:gutter="0"/>
          <w:cols w:space="720" w:num="1"/>
          <w:docGrid w:type="lines" w:linePitch="312" w:charSpace="0"/>
        </w:sectPr>
      </w:pPr>
    </w:p>
    <w:p>
      <w:pPr>
        <w:pStyle w:val="3"/>
        <w:numPr>
          <w:ilvl w:val="0"/>
          <w:numId w:val="9"/>
        </w:numPr>
        <w:spacing w:before="0" w:after="0" w:line="360" w:lineRule="auto"/>
        <w:rPr>
          <w:rFonts w:hint="eastAsia" w:ascii="宋体" w:hAnsi="宋体" w:cs="宋体"/>
          <w:sz w:val="32"/>
          <w:szCs w:val="32"/>
        </w:rPr>
      </w:pPr>
      <w:bookmarkStart w:id="131" w:name="_Toc19916"/>
      <w:bookmarkStart w:id="132" w:name="_Toc31547"/>
      <w:bookmarkStart w:id="133" w:name="_Toc31769"/>
      <w:bookmarkStart w:id="134" w:name="_Toc530584397"/>
      <w:bookmarkStart w:id="135" w:name="_Toc20355"/>
      <w:bookmarkStart w:id="136" w:name="_Toc28043"/>
      <w:r>
        <w:rPr>
          <w:rFonts w:hint="eastAsia" w:ascii="宋体" w:hAnsi="宋体" w:cs="宋体"/>
          <w:sz w:val="32"/>
          <w:szCs w:val="32"/>
        </w:rPr>
        <w:t>第一轮报价表</w:t>
      </w:r>
      <w:bookmarkEnd w:id="131"/>
      <w:bookmarkEnd w:id="132"/>
      <w:bookmarkEnd w:id="133"/>
      <w:bookmarkEnd w:id="134"/>
      <w:bookmarkEnd w:id="135"/>
      <w:bookmarkEnd w:id="136"/>
    </w:p>
    <w:p>
      <w:pPr>
        <w:rPr>
          <w:rFonts w:hint="eastAsia"/>
        </w:rPr>
      </w:pPr>
    </w:p>
    <w:tbl>
      <w:tblPr>
        <w:tblStyle w:val="38"/>
        <w:tblW w:w="0" w:type="auto"/>
        <w:jc w:val="center"/>
        <w:tblLayout w:type="fixed"/>
        <w:tblCellMar>
          <w:top w:w="0" w:type="dxa"/>
          <w:left w:w="108" w:type="dxa"/>
          <w:bottom w:w="0" w:type="dxa"/>
          <w:right w:w="108" w:type="dxa"/>
        </w:tblCellMar>
      </w:tblPr>
      <w:tblGrid>
        <w:gridCol w:w="2325"/>
        <w:gridCol w:w="6014"/>
      </w:tblGrid>
      <w:tr>
        <w:tblPrEx>
          <w:tblCellMar>
            <w:top w:w="0" w:type="dxa"/>
            <w:left w:w="108" w:type="dxa"/>
            <w:bottom w:w="0" w:type="dxa"/>
            <w:right w:w="108" w:type="dxa"/>
          </w:tblCellMar>
        </w:tblPrEx>
        <w:trPr>
          <w:trHeight w:val="1241" w:hRule="atLeast"/>
          <w:jc w:val="center"/>
        </w:trPr>
        <w:tc>
          <w:tcPr>
            <w:tcW w:w="23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0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p>
        </w:tc>
      </w:tr>
      <w:tr>
        <w:tblPrEx>
          <w:tblCellMar>
            <w:top w:w="0" w:type="dxa"/>
            <w:left w:w="108" w:type="dxa"/>
            <w:bottom w:w="0" w:type="dxa"/>
            <w:right w:w="108" w:type="dxa"/>
          </w:tblCellMar>
        </w:tblPrEx>
        <w:trPr>
          <w:cantSplit/>
          <w:trHeight w:val="1257" w:hRule="atLeast"/>
          <w:jc w:val="center"/>
        </w:trPr>
        <w:tc>
          <w:tcPr>
            <w:tcW w:w="2325" w:type="dxa"/>
            <w:tcBorders>
              <w:left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lang w:eastAsia="zh-CN"/>
              </w:rPr>
              <w:t>项目</w:t>
            </w:r>
            <w:r>
              <w:rPr>
                <w:rFonts w:hint="eastAsia" w:ascii="宋体" w:hAnsi="宋体" w:cs="宋体"/>
                <w:sz w:val="24"/>
                <w:szCs w:val="24"/>
              </w:rPr>
              <w:t>编号</w:t>
            </w:r>
          </w:p>
        </w:tc>
        <w:tc>
          <w:tcPr>
            <w:tcW w:w="6014" w:type="dxa"/>
            <w:tcBorders>
              <w:left w:val="single" w:color="auto" w:sz="4" w:space="0"/>
              <w:right w:val="single" w:color="auto" w:sz="4" w:space="0"/>
            </w:tcBorders>
            <w:noWrap w:val="0"/>
            <w:vAlign w:val="center"/>
          </w:tcPr>
          <w:p>
            <w:pPr>
              <w:ind w:left="108"/>
              <w:jc w:val="center"/>
              <w:rPr>
                <w:rFonts w:hint="eastAsia" w:ascii="宋体" w:hAnsi="宋体" w:eastAsia="宋体" w:cs="宋体"/>
                <w:sz w:val="24"/>
                <w:szCs w:val="24"/>
                <w:lang w:eastAsia="zh-CN"/>
              </w:rPr>
            </w:pPr>
          </w:p>
        </w:tc>
      </w:tr>
      <w:tr>
        <w:tblPrEx>
          <w:tblCellMar>
            <w:top w:w="0" w:type="dxa"/>
            <w:left w:w="108" w:type="dxa"/>
            <w:bottom w:w="0" w:type="dxa"/>
            <w:right w:w="108" w:type="dxa"/>
          </w:tblCellMar>
        </w:tblPrEx>
        <w:trPr>
          <w:cantSplit/>
          <w:trHeight w:val="1246" w:hRule="atLeast"/>
          <w:jc w:val="center"/>
        </w:trPr>
        <w:tc>
          <w:tcPr>
            <w:tcW w:w="23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0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1276" w:hRule="atLeast"/>
          <w:jc w:val="center"/>
        </w:trPr>
        <w:tc>
          <w:tcPr>
            <w:tcW w:w="23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总报价</w:t>
            </w:r>
          </w:p>
        </w:tc>
        <w:tc>
          <w:tcPr>
            <w:tcW w:w="6014"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r>
              <w:rPr>
                <w:rFonts w:hint="eastAsia" w:ascii="宋体" w:hAnsi="宋体" w:cs="宋体"/>
                <w:sz w:val="24"/>
                <w:szCs w:val="24"/>
              </w:rPr>
              <w:t>大写：                　　¥：</w:t>
            </w:r>
          </w:p>
        </w:tc>
      </w:tr>
      <w:tr>
        <w:tblPrEx>
          <w:tblCellMar>
            <w:top w:w="0" w:type="dxa"/>
            <w:left w:w="108" w:type="dxa"/>
            <w:bottom w:w="0" w:type="dxa"/>
            <w:right w:w="108" w:type="dxa"/>
          </w:tblCellMar>
        </w:tblPrEx>
        <w:trPr>
          <w:cantSplit/>
          <w:trHeight w:val="1276" w:hRule="atLeast"/>
          <w:jc w:val="center"/>
        </w:trPr>
        <w:tc>
          <w:tcPr>
            <w:tcW w:w="23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合同履约期限</w:t>
            </w:r>
          </w:p>
        </w:tc>
        <w:tc>
          <w:tcPr>
            <w:tcW w:w="6014"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p>
        </w:tc>
      </w:tr>
      <w:tr>
        <w:tblPrEx>
          <w:tblCellMar>
            <w:top w:w="0" w:type="dxa"/>
            <w:left w:w="108" w:type="dxa"/>
            <w:bottom w:w="0" w:type="dxa"/>
            <w:right w:w="108" w:type="dxa"/>
          </w:tblCellMar>
        </w:tblPrEx>
        <w:trPr>
          <w:cantSplit/>
          <w:trHeight w:val="1276" w:hRule="atLeast"/>
          <w:jc w:val="center"/>
        </w:trPr>
        <w:tc>
          <w:tcPr>
            <w:tcW w:w="23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服务标准</w:t>
            </w:r>
          </w:p>
        </w:tc>
        <w:tc>
          <w:tcPr>
            <w:tcW w:w="6014"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p>
        </w:tc>
      </w:tr>
    </w:tbl>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w:t>
      </w:r>
      <w:r>
        <w:rPr>
          <w:rFonts w:hint="eastAsia" w:ascii="宋体" w:hAnsi="宋体" w:cs="宋体"/>
          <w:sz w:val="24"/>
          <w:szCs w:val="24"/>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56"/>
        <w:rPr>
          <w:rFonts w:hint="eastAsia" w:ascii="宋体" w:hAnsi="宋体" w:cs="宋体"/>
        </w:rPr>
      </w:pPr>
      <w:bookmarkStart w:id="137" w:name="_Toc11308"/>
      <w:bookmarkStart w:id="138" w:name="_Toc15225"/>
      <w:bookmarkStart w:id="139" w:name="_Toc30567"/>
    </w:p>
    <w:bookmarkEnd w:id="137"/>
    <w:bookmarkEnd w:id="138"/>
    <w:bookmarkEnd w:id="139"/>
    <w:p>
      <w:pPr>
        <w:pStyle w:val="3"/>
        <w:numPr>
          <w:ilvl w:val="0"/>
          <w:numId w:val="9"/>
        </w:numPr>
        <w:spacing w:before="0" w:after="0" w:line="360" w:lineRule="auto"/>
        <w:rPr>
          <w:rFonts w:hint="eastAsia" w:ascii="宋体" w:hAnsi="宋体" w:cs="宋体"/>
          <w:sz w:val="32"/>
          <w:szCs w:val="32"/>
        </w:rPr>
      </w:pPr>
      <w:bookmarkStart w:id="140" w:name="_Toc31901"/>
      <w:bookmarkStart w:id="141" w:name="_Toc23364"/>
      <w:bookmarkStart w:id="142" w:name="_Toc1864"/>
      <w:bookmarkStart w:id="143" w:name="_Toc24554"/>
      <w:r>
        <w:rPr>
          <w:rFonts w:hint="eastAsia" w:ascii="宋体" w:hAnsi="宋体" w:cs="宋体"/>
          <w:sz w:val="32"/>
          <w:szCs w:val="32"/>
        </w:rPr>
        <w:t>商务响应表</w:t>
      </w:r>
      <w:bookmarkEnd w:id="140"/>
      <w:bookmarkEnd w:id="141"/>
      <w:bookmarkEnd w:id="142"/>
      <w:bookmarkEnd w:id="143"/>
    </w:p>
    <w:p>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项目名称：                                        </w:t>
      </w:r>
      <w:r>
        <w:rPr>
          <w:rFonts w:hint="eastAsia" w:ascii="宋体" w:hAnsi="宋体" w:cs="宋体"/>
          <w:sz w:val="24"/>
          <w:szCs w:val="24"/>
          <w:lang w:eastAsia="zh-CN"/>
        </w:rPr>
        <w:t>项目编号</w:t>
      </w:r>
      <w:r>
        <w:rPr>
          <w:rFonts w:hint="eastAsia" w:ascii="宋体" w:hAnsi="宋体" w:cs="宋体"/>
          <w:sz w:val="24"/>
          <w:szCs w:val="24"/>
        </w:rPr>
        <w:t>：</w:t>
      </w:r>
    </w:p>
    <w:tbl>
      <w:tblPr>
        <w:tblStyle w:val="38"/>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 w:val="24"/>
                <w:szCs w:val="24"/>
              </w:rPr>
            </w:pPr>
            <w:r>
              <w:rPr>
                <w:rFonts w:hint="eastAsia" w:ascii="宋体" w:hAnsi="宋体" w:cs="宋体"/>
                <w:sz w:val="24"/>
                <w:szCs w:val="24"/>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 w:val="24"/>
                <w:szCs w:val="24"/>
              </w:rPr>
            </w:pPr>
            <w:r>
              <w:rPr>
                <w:rFonts w:hint="eastAsia" w:ascii="宋体" w:hAnsi="宋体" w:cs="宋体"/>
                <w:sz w:val="24"/>
                <w:szCs w:val="24"/>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 w:val="24"/>
                <w:szCs w:val="24"/>
              </w:rPr>
            </w:pPr>
            <w:r>
              <w:rPr>
                <w:rFonts w:hint="eastAsia" w:ascii="宋体" w:hAnsi="宋体" w:cs="宋体"/>
                <w:sz w:val="24"/>
                <w:szCs w:val="24"/>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 w:val="24"/>
                <w:szCs w:val="24"/>
              </w:rPr>
            </w:pPr>
            <w:r>
              <w:rPr>
                <w:rFonts w:hint="eastAsia" w:ascii="宋体" w:hAnsi="宋体" w:cs="宋体"/>
                <w:sz w:val="24"/>
                <w:szCs w:val="24"/>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 w:val="24"/>
                <w:szCs w:val="24"/>
              </w:rPr>
            </w:pPr>
            <w:r>
              <w:rPr>
                <w:rFonts w:hint="eastAsia" w:ascii="宋体" w:hAnsi="宋体" w:cs="宋体"/>
                <w:sz w:val="24"/>
                <w:szCs w:val="24"/>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 w:val="24"/>
                <w:szCs w:val="24"/>
              </w:rPr>
            </w:pPr>
          </w:p>
        </w:tc>
      </w:tr>
    </w:tbl>
    <w:p>
      <w:pPr>
        <w:rPr>
          <w:rFonts w:hint="eastAsia" w:ascii="宋体" w:hAnsi="宋体" w:cs="宋体"/>
          <w:color w:val="000000"/>
          <w:sz w:val="24"/>
          <w:szCs w:val="24"/>
        </w:rPr>
      </w:pPr>
      <w:r>
        <w:rPr>
          <w:rFonts w:hint="eastAsia" w:ascii="宋体" w:hAnsi="宋体" w:cs="宋体"/>
          <w:color w:val="000000"/>
          <w:sz w:val="24"/>
          <w:szCs w:val="24"/>
        </w:rPr>
        <w:t>注：1.</w:t>
      </w:r>
      <w:r>
        <w:rPr>
          <w:rFonts w:hint="eastAsia" w:ascii="宋体" w:hAnsi="宋体" w:cs="宋体"/>
          <w:sz w:val="24"/>
          <w:szCs w:val="24"/>
        </w:rPr>
        <w:t>供应商</w:t>
      </w:r>
      <w:r>
        <w:rPr>
          <w:rFonts w:hint="eastAsia" w:ascii="宋体" w:hAnsi="宋体" w:cs="宋体"/>
          <w:color w:val="000000"/>
          <w:sz w:val="24"/>
          <w:szCs w:val="24"/>
        </w:rPr>
        <w:t>可根据实际情况自行添加表格内容；</w:t>
      </w:r>
    </w:p>
    <w:p>
      <w:pPr>
        <w:ind w:firstLine="480" w:firstLineChars="200"/>
        <w:rPr>
          <w:rFonts w:hint="eastAsia" w:ascii="宋体" w:hAnsi="宋体" w:cs="宋体"/>
          <w:color w:val="000000"/>
          <w:sz w:val="24"/>
          <w:szCs w:val="24"/>
        </w:rPr>
      </w:pPr>
      <w:r>
        <w:rPr>
          <w:rFonts w:hint="eastAsia" w:ascii="宋体" w:hAnsi="宋体" w:cs="宋体"/>
          <w:sz w:val="24"/>
          <w:szCs w:val="24"/>
        </w:rPr>
        <w:t>2.供应商</w:t>
      </w:r>
      <w:r>
        <w:rPr>
          <w:rFonts w:hint="eastAsia" w:ascii="宋体" w:hAnsi="宋体" w:cs="宋体"/>
          <w:color w:val="000000"/>
          <w:sz w:val="24"/>
          <w:szCs w:val="24"/>
        </w:rPr>
        <w:t>必须完全响应并按上表逐条填写竞争性磋商文件商务要求，否则按无效文件处理。</w:t>
      </w:r>
    </w:p>
    <w:p>
      <w:pPr>
        <w:ind w:firstLine="480"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3.商务要求包括：磋商文件</w:t>
      </w:r>
      <w:r>
        <w:rPr>
          <w:rFonts w:hint="eastAsia" w:ascii="宋体" w:hAnsi="宋体" w:cs="宋体"/>
          <w:b/>
          <w:bCs/>
          <w:sz w:val="24"/>
          <w:szCs w:val="24"/>
          <w:highlight w:val="none"/>
        </w:rPr>
        <w:t>第五章中的“商务要求”中</w:t>
      </w:r>
      <w:r>
        <w:rPr>
          <w:rFonts w:hint="eastAsia" w:ascii="宋体" w:hAnsi="宋体" w:cs="宋体"/>
          <w:sz w:val="24"/>
          <w:szCs w:val="24"/>
          <w:highlight w:val="none"/>
        </w:rPr>
        <w:t>的</w:t>
      </w:r>
      <w:r>
        <w:rPr>
          <w:rFonts w:hint="eastAsia" w:ascii="宋体" w:hAnsi="宋体" w:cs="宋体"/>
          <w:color w:val="000000"/>
          <w:sz w:val="24"/>
          <w:szCs w:val="24"/>
          <w:highlight w:val="none"/>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rPr>
          <w:rFonts w:hint="eastAsia"/>
        </w:rPr>
      </w:pPr>
      <w:r>
        <w:rPr>
          <w:rFonts w:hint="eastAsia" w:ascii="宋体" w:hAnsi="宋体" w:cs="宋体"/>
          <w:szCs w:val="21"/>
        </w:rPr>
        <w:t xml:space="preserve"> </w:t>
      </w:r>
    </w:p>
    <w:p>
      <w:pPr>
        <w:spacing w:line="360" w:lineRule="auto"/>
        <w:ind w:firstLine="480" w:firstLineChars="200"/>
        <w:jc w:val="right"/>
        <w:rPr>
          <w:rFonts w:hint="eastAsia" w:ascii="宋体" w:hAnsi="宋体" w:cs="宋体"/>
          <w:sz w:val="24"/>
          <w:szCs w:val="24"/>
        </w:rPr>
      </w:pPr>
      <w:r>
        <w:rPr>
          <w:rFonts w:hint="eastAsia" w:ascii="宋体" w:hAnsi="宋体" w:cs="宋体"/>
          <w:sz w:val="24"/>
          <w:szCs w:val="24"/>
        </w:rPr>
        <w:t xml:space="preserve"> 年  月  日</w:t>
      </w:r>
    </w:p>
    <w:bookmarkEnd w:id="122"/>
    <w:bookmarkEnd w:id="123"/>
    <w:bookmarkEnd w:id="124"/>
    <w:bookmarkEnd w:id="125"/>
    <w:bookmarkEnd w:id="126"/>
    <w:bookmarkEnd w:id="127"/>
    <w:bookmarkEnd w:id="128"/>
    <w:p>
      <w:pPr>
        <w:rPr>
          <w:rFonts w:hint="eastAsia" w:ascii="宋体" w:hAnsi="宋体" w:cs="宋体"/>
          <w:sz w:val="32"/>
          <w:szCs w:val="32"/>
        </w:rPr>
      </w:pPr>
      <w:bookmarkStart w:id="144" w:name="18.4.4_信息采集费用概算明细表"/>
      <w:bookmarkEnd w:id="144"/>
      <w:bookmarkStart w:id="145" w:name="_bookmark278"/>
      <w:bookmarkEnd w:id="145"/>
      <w:bookmarkStart w:id="146" w:name="_Toc6508"/>
      <w:bookmarkStart w:id="147" w:name="_Toc2497"/>
      <w:bookmarkStart w:id="148" w:name="_Toc8927"/>
      <w:r>
        <w:rPr>
          <w:rFonts w:hint="eastAsia" w:ascii="宋体" w:hAnsi="宋体" w:cs="宋体"/>
          <w:sz w:val="32"/>
          <w:szCs w:val="32"/>
        </w:rPr>
        <w:br w:type="page"/>
      </w:r>
    </w:p>
    <w:p>
      <w:pPr>
        <w:pStyle w:val="3"/>
        <w:numPr>
          <w:ilvl w:val="0"/>
          <w:numId w:val="9"/>
        </w:numPr>
        <w:spacing w:before="0" w:after="0" w:line="360" w:lineRule="auto"/>
        <w:rPr>
          <w:rFonts w:hint="eastAsia" w:ascii="宋体" w:hAnsi="宋体" w:cs="宋体"/>
          <w:sz w:val="32"/>
          <w:szCs w:val="32"/>
        </w:rPr>
      </w:pPr>
      <w:bookmarkStart w:id="149" w:name="_Toc9906"/>
      <w:r>
        <w:rPr>
          <w:rFonts w:hint="eastAsia" w:ascii="宋体" w:hAnsi="宋体" w:cs="宋体"/>
          <w:sz w:val="32"/>
          <w:szCs w:val="32"/>
        </w:rPr>
        <w:t>资格证明材料</w:t>
      </w:r>
      <w:bookmarkEnd w:id="146"/>
      <w:bookmarkEnd w:id="147"/>
      <w:bookmarkEnd w:id="148"/>
      <w:bookmarkEnd w:id="149"/>
    </w:p>
    <w:p>
      <w:pPr>
        <w:spacing w:line="360" w:lineRule="auto"/>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1.</w:t>
      </w:r>
      <w:r>
        <w:rPr>
          <w:rFonts w:hint="eastAsia" w:ascii="宋体" w:hAnsi="宋体" w:cs="宋体"/>
          <w:sz w:val="24"/>
          <w:szCs w:val="24"/>
          <w:lang w:eastAsia="zh-CN"/>
        </w:rPr>
        <w:t>武陟县政府采购供应商资格信用承诺函（详见格式）。</w:t>
      </w:r>
    </w:p>
    <w:p>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w:t>
      </w:r>
      <w:r>
        <w:rPr>
          <w:rFonts w:hint="eastAsia" w:ascii="宋体" w:hAnsi="宋体" w:cs="宋体"/>
          <w:sz w:val="24"/>
          <w:szCs w:val="24"/>
        </w:rPr>
        <w:t>提供中小企业声明函（详见格式）</w:t>
      </w:r>
      <w:r>
        <w:rPr>
          <w:rFonts w:hint="eastAsia" w:ascii="宋体" w:hAnsi="宋体" w:cs="宋体"/>
          <w:sz w:val="24"/>
          <w:szCs w:val="24"/>
          <w:lang w:eastAsia="zh-CN"/>
        </w:rPr>
        <w:t>；</w:t>
      </w:r>
    </w:p>
    <w:p>
      <w:p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w:t>
      </w:r>
      <w:r>
        <w:rPr>
          <w:rFonts w:hint="eastAsia" w:ascii="宋体" w:hAnsi="宋体" w:cs="宋体"/>
          <w:sz w:val="24"/>
          <w:szCs w:val="24"/>
        </w:rPr>
        <w:t>供应商及其法定代表人、委托代理人均无行贿犯罪记录（提供无行贿犯罪记录承诺书，详见格式）</w:t>
      </w:r>
    </w:p>
    <w:p>
      <w:p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不得被列入失信被执行人、重大税收违法失信主体、政府采购严重违法失信行为记</w:t>
      </w:r>
      <w:r>
        <w:rPr>
          <w:rFonts w:hint="eastAsia" w:ascii="宋体" w:hAnsi="宋体" w:eastAsia="宋体" w:cs="宋体"/>
          <w:sz w:val="24"/>
          <w:szCs w:val="24"/>
        </w:rPr>
        <w:t>录名单（以采购人、采购代理机构在响应文件提交截止时间当日的查询结果为准，该条资料响应文件中无需提供）；</w:t>
      </w:r>
    </w:p>
    <w:p>
      <w:pPr>
        <w:pStyle w:val="2"/>
        <w:rPr>
          <w:rFonts w:hint="default"/>
          <w:lang w:val="en-US"/>
        </w:rPr>
      </w:pPr>
      <w:r>
        <w:rPr>
          <w:rFonts w:hint="eastAsia" w:ascii="宋体" w:hAnsi="宋体" w:eastAsia="宋体" w:cs="宋体"/>
          <w:lang w:val="en-US" w:eastAsia="zh-CN"/>
        </w:rPr>
        <w:t>5.供应商应具有林业调查规划设计丙级及以上资质，拟派项目负责人具有林业相关专业中级及以上技术职称。</w:t>
      </w:r>
    </w:p>
    <w:p>
      <w:pPr>
        <w:spacing w:line="360" w:lineRule="auto"/>
        <w:ind w:firstLine="480" w:firstLineChars="200"/>
        <w:rPr>
          <w:rFonts w:hint="eastAsia" w:ascii="宋体" w:hAnsi="宋体" w:cs="宋体"/>
          <w:sz w:val="24"/>
          <w:szCs w:val="24"/>
        </w:rPr>
      </w:pPr>
    </w:p>
    <w:p>
      <w:pPr>
        <w:pStyle w:val="52"/>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rPr>
          <w:rFonts w:hint="eastAsia"/>
          <w:b/>
          <w:sz w:val="28"/>
        </w:rPr>
      </w:pPr>
      <w:bookmarkStart w:id="150" w:name="_Toc8011"/>
      <w:bookmarkStart w:id="151" w:name="_Toc114940421"/>
      <w:bookmarkStart w:id="152" w:name="_Toc31392"/>
      <w:r>
        <w:rPr>
          <w:rFonts w:hint="eastAsia"/>
          <w:b/>
          <w:sz w:val="28"/>
        </w:rPr>
        <w:br w:type="page"/>
      </w:r>
    </w:p>
    <w:p>
      <w:pPr>
        <w:tabs>
          <w:tab w:val="center" w:pos="4649"/>
        </w:tabs>
        <w:jc w:val="center"/>
        <w:rPr>
          <w:rFonts w:hint="eastAsia"/>
          <w:b/>
          <w:sz w:val="28"/>
        </w:rPr>
      </w:pPr>
      <w:r>
        <w:rPr>
          <w:rFonts w:hint="eastAsia"/>
          <w:b/>
          <w:sz w:val="28"/>
        </w:rPr>
        <w:t>武陟县政府采购供应商资格信用承诺函</w:t>
      </w:r>
      <w:bookmarkEnd w:id="150"/>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 w:val="24"/>
          <w:szCs w:val="24"/>
        </w:rPr>
      </w:pPr>
      <w:r>
        <w:rPr>
          <w:rFonts w:hint="eastAsia" w:ascii="宋体" w:hAnsi="宋体" w:cs="宋体"/>
          <w:b/>
          <w:bCs/>
          <w:sz w:val="24"/>
          <w:szCs w:val="24"/>
        </w:rPr>
        <w:t>注：1.供应商须在响应文件中按此模板提供承诺函，未提供视为未实质性响应</w:t>
      </w:r>
      <w:r>
        <w:rPr>
          <w:rFonts w:hint="eastAsia" w:ascii="宋体" w:hAnsi="宋体" w:cs="宋体"/>
          <w:b/>
          <w:bCs/>
          <w:sz w:val="24"/>
          <w:szCs w:val="24"/>
          <w:lang w:val="en-US" w:eastAsia="zh-CN"/>
        </w:rPr>
        <w:t>磋商</w:t>
      </w:r>
      <w:r>
        <w:rPr>
          <w:rFonts w:hint="eastAsia" w:ascii="宋体" w:hAnsi="宋体" w:cs="宋体"/>
          <w:b/>
          <w:bCs/>
          <w:sz w:val="24"/>
          <w:szCs w:val="24"/>
        </w:rPr>
        <w:t>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 w:val="24"/>
          <w:szCs w:val="24"/>
        </w:rPr>
      </w:pPr>
      <w:r>
        <w:rPr>
          <w:rFonts w:hint="eastAsia" w:ascii="宋体" w:hAnsi="宋体" w:cs="宋体"/>
          <w:b/>
          <w:bCs/>
          <w:sz w:val="24"/>
          <w:szCs w:val="24"/>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51"/>
      <w:bookmarkEnd w:id="152"/>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4"/>
        <w:jc w:val="center"/>
        <w:outlineLvl w:val="9"/>
        <w:rPr>
          <w:rFonts w:hint="eastAsia" w:ascii="宋体" w:hAnsi="宋体" w:eastAsia="宋体" w:cs="宋体"/>
          <w:sz w:val="28"/>
          <w:szCs w:val="28"/>
        </w:rPr>
      </w:pPr>
    </w:p>
    <w:p>
      <w:pPr>
        <w:pStyle w:val="4"/>
        <w:jc w:val="center"/>
        <w:outlineLvl w:val="9"/>
        <w:rPr>
          <w:rFonts w:hint="eastAsia" w:ascii="宋体" w:hAnsi="宋体" w:eastAsia="宋体" w:cs="宋体"/>
          <w:sz w:val="28"/>
          <w:szCs w:val="28"/>
        </w:rPr>
      </w:pPr>
    </w:p>
    <w:p>
      <w:pPr>
        <w:pStyle w:val="33"/>
        <w:spacing w:before="0" w:beforeAutospacing="0" w:after="0" w:afterAutospacing="0"/>
        <w:ind w:right="560"/>
        <w:jc w:val="center"/>
        <w:rPr>
          <w:rFonts w:hint="eastAsia"/>
          <w:b/>
          <w:bCs/>
          <w:sz w:val="32"/>
          <w:szCs w:val="32"/>
        </w:rPr>
      </w:pPr>
    </w:p>
    <w:p>
      <w:pPr>
        <w:pStyle w:val="33"/>
        <w:spacing w:before="0" w:beforeAutospacing="0" w:after="0" w:afterAutospacing="0"/>
        <w:ind w:right="560"/>
        <w:jc w:val="center"/>
        <w:rPr>
          <w:rFonts w:hint="eastAsia"/>
          <w:b/>
          <w:bCs/>
          <w:sz w:val="32"/>
          <w:szCs w:val="32"/>
        </w:rPr>
      </w:pPr>
    </w:p>
    <w:p>
      <w:pPr>
        <w:pStyle w:val="33"/>
        <w:spacing w:before="0" w:beforeAutospacing="0" w:after="0" w:afterAutospacing="0"/>
        <w:ind w:right="560"/>
        <w:jc w:val="center"/>
        <w:rPr>
          <w:rFonts w:hint="eastAsia"/>
          <w:b/>
          <w:bCs/>
          <w:sz w:val="32"/>
          <w:szCs w:val="32"/>
        </w:rPr>
      </w:pPr>
    </w:p>
    <w:p>
      <w:pPr>
        <w:pStyle w:val="33"/>
        <w:ind w:right="560"/>
        <w:jc w:val="both"/>
        <w:rPr>
          <w:rFonts w:hint="eastAsia"/>
          <w:b/>
          <w:kern w:val="44"/>
          <w:sz w:val="32"/>
          <w:szCs w:val="32"/>
        </w:rPr>
      </w:pPr>
    </w:p>
    <w:p>
      <w:pPr>
        <w:widowControl/>
        <w:spacing w:line="580" w:lineRule="atLeast"/>
        <w:jc w:val="center"/>
        <w:rPr>
          <w:rFonts w:hint="eastAsia" w:ascii="宋体" w:hAnsi="宋体" w:cs="宋体"/>
          <w:b/>
          <w:bCs/>
          <w:sz w:val="28"/>
          <w:szCs w:val="28"/>
        </w:rPr>
      </w:pPr>
      <w:r>
        <w:rPr>
          <w:rFonts w:hint="eastAsia" w:ascii="宋体" w:hAnsi="宋体" w:cs="宋体"/>
          <w:b/>
          <w:bCs/>
          <w:sz w:val="28"/>
          <w:szCs w:val="28"/>
        </w:rPr>
        <w:t>中小企业声明函（服务）</w:t>
      </w:r>
    </w:p>
    <w:p>
      <w:pPr>
        <w:widowControl/>
        <w:spacing w:line="580" w:lineRule="atLeast"/>
        <w:ind w:firstLine="480" w:firstLineChars="200"/>
        <w:rPr>
          <w:rFonts w:hint="eastAsia" w:ascii="宋体" w:hAnsi="宋体" w:cs="宋体"/>
          <w:sz w:val="24"/>
          <w:szCs w:val="22"/>
        </w:rPr>
      </w:pPr>
      <w:r>
        <w:rPr>
          <w:rFonts w:hint="eastAsia" w:ascii="宋体" w:hAnsi="宋体" w:cs="宋体"/>
          <w:sz w:val="24"/>
          <w:szCs w:val="22"/>
        </w:rPr>
        <w:t>本公司（联合体）郑重声明，根据《政府采购促进中小企业发展管理办法》 (财库（2020) 46号）的规定，本公司（联合体）参加</w:t>
      </w:r>
      <w:r>
        <w:rPr>
          <w:rFonts w:hint="eastAsia" w:ascii="宋体" w:hAnsi="宋体" w:cs="宋体"/>
          <w:sz w:val="24"/>
          <w:szCs w:val="22"/>
          <w:u w:val="single"/>
        </w:rPr>
        <w:t>（单位名称）</w:t>
      </w:r>
      <w:r>
        <w:rPr>
          <w:rFonts w:hint="eastAsia" w:ascii="宋体" w:hAnsi="宋体" w:cs="宋体"/>
          <w:sz w:val="24"/>
          <w:szCs w:val="22"/>
        </w:rPr>
        <w:t>的</w:t>
      </w:r>
      <w:r>
        <w:rPr>
          <w:rFonts w:hint="eastAsia" w:ascii="宋体" w:hAnsi="宋体" w:cs="宋体"/>
          <w:sz w:val="24"/>
          <w:szCs w:val="22"/>
          <w:u w:val="single"/>
        </w:rPr>
        <w:t>（项目名称）</w:t>
      </w:r>
      <w:r>
        <w:rPr>
          <w:rFonts w:hint="eastAsia" w:ascii="宋体" w:hAnsi="宋体" w:cs="宋体"/>
          <w:sz w:val="24"/>
          <w:szCs w:val="22"/>
        </w:rPr>
        <w:t>采购活动，服务全部由符合政策要求的中小企业承接。相关企业（含联合体中的中小企业、签订分包意向协议的中小企业）的具体情况如下：</w:t>
      </w:r>
    </w:p>
    <w:p>
      <w:pPr>
        <w:widowControl/>
        <w:spacing w:line="580" w:lineRule="atLeast"/>
        <w:ind w:firstLine="480" w:firstLineChars="200"/>
        <w:rPr>
          <w:rFonts w:hint="eastAsia" w:ascii="宋体" w:hAnsi="宋体" w:cs="宋体"/>
          <w:sz w:val="24"/>
          <w:szCs w:val="22"/>
        </w:rPr>
      </w:pPr>
      <w:r>
        <w:rPr>
          <w:rFonts w:hint="eastAsia" w:ascii="宋体" w:hAnsi="宋体" w:cs="宋体"/>
          <w:sz w:val="24"/>
          <w:szCs w:val="22"/>
        </w:rPr>
        <w:t>1.</w:t>
      </w:r>
      <w:r>
        <w:rPr>
          <w:rFonts w:hint="eastAsia" w:ascii="宋体" w:hAnsi="宋体" w:cs="宋体"/>
          <w:sz w:val="24"/>
          <w:szCs w:val="22"/>
          <w:u w:val="single"/>
          <w:lang w:val="en-US" w:eastAsia="zh-CN"/>
        </w:rPr>
        <w:t>武陟县林业发展服务中心武陟县省级森林城市建设规划编制项目</w:t>
      </w:r>
      <w:r>
        <w:rPr>
          <w:rFonts w:hint="eastAsia" w:ascii="宋体" w:hAnsi="宋体" w:cs="宋体"/>
          <w:sz w:val="24"/>
          <w:szCs w:val="22"/>
        </w:rPr>
        <w:t>，属于</w:t>
      </w:r>
      <w:r>
        <w:rPr>
          <w:rFonts w:hint="eastAsia" w:ascii="宋体" w:hAnsi="宋体" w:cs="宋体"/>
          <w:sz w:val="24"/>
          <w:szCs w:val="22"/>
          <w:u w:val="single"/>
          <w:lang w:val="en-US" w:eastAsia="zh-CN"/>
        </w:rPr>
        <w:t>其他未列明行业</w:t>
      </w:r>
      <w:r>
        <w:rPr>
          <w:rFonts w:hint="eastAsia" w:ascii="宋体" w:hAnsi="宋体" w:cs="宋体"/>
          <w:sz w:val="24"/>
          <w:szCs w:val="22"/>
        </w:rPr>
        <w:t>；承建（承接）企业为</w:t>
      </w:r>
      <w:r>
        <w:rPr>
          <w:rFonts w:hint="eastAsia" w:ascii="宋体" w:hAnsi="宋体" w:cs="宋体"/>
          <w:sz w:val="24"/>
          <w:szCs w:val="22"/>
          <w:u w:val="single"/>
        </w:rPr>
        <w:t>（企业名称）</w:t>
      </w:r>
      <w:r>
        <w:rPr>
          <w:rFonts w:hint="eastAsia" w:ascii="宋体" w:hAnsi="宋体" w:cs="宋体"/>
          <w:sz w:val="24"/>
          <w:szCs w:val="22"/>
        </w:rPr>
        <w:t>， 从业人员＿人，营业收入为＿万元，资产总额为＿万元， 属于</w:t>
      </w:r>
      <w:r>
        <w:rPr>
          <w:rFonts w:hint="eastAsia" w:ascii="宋体" w:hAnsi="宋体" w:cs="宋体"/>
          <w:sz w:val="24"/>
          <w:szCs w:val="22"/>
          <w:u w:val="single"/>
        </w:rPr>
        <w:t>（中型企业、小型企业、微型企业）</w:t>
      </w:r>
      <w:r>
        <w:rPr>
          <w:rFonts w:hint="eastAsia" w:ascii="宋体" w:hAnsi="宋体" w:cs="宋体"/>
          <w:sz w:val="24"/>
          <w:szCs w:val="22"/>
        </w:rPr>
        <w:t>；</w:t>
      </w:r>
    </w:p>
    <w:p>
      <w:pPr>
        <w:widowControl/>
        <w:spacing w:line="580" w:lineRule="atLeast"/>
        <w:ind w:firstLine="480" w:firstLineChars="200"/>
        <w:rPr>
          <w:rFonts w:hint="eastAsia" w:ascii="宋体" w:hAnsi="宋体" w:cs="宋体"/>
          <w:sz w:val="24"/>
          <w:szCs w:val="22"/>
        </w:rPr>
      </w:pPr>
      <w:r>
        <w:rPr>
          <w:rFonts w:hint="eastAsia" w:ascii="宋体" w:hAnsi="宋体" w:cs="宋体"/>
          <w:sz w:val="24"/>
          <w:szCs w:val="22"/>
        </w:rPr>
        <w:t>以上企业，不属于大企业的分支机构，不存在控股股东为大企业的情形，也不存在与大企业的负责人为同一人的情形。</w:t>
      </w:r>
    </w:p>
    <w:p>
      <w:pPr>
        <w:widowControl/>
        <w:spacing w:line="580" w:lineRule="atLeast"/>
        <w:ind w:firstLine="480" w:firstLineChars="200"/>
        <w:rPr>
          <w:rFonts w:hint="eastAsia" w:ascii="宋体" w:hAnsi="宋体" w:cs="宋体"/>
          <w:sz w:val="24"/>
          <w:szCs w:val="22"/>
        </w:rPr>
      </w:pPr>
      <w:r>
        <w:rPr>
          <w:rFonts w:hint="eastAsia" w:ascii="宋体" w:hAnsi="宋体" w:cs="宋体"/>
          <w:sz w:val="24"/>
          <w:szCs w:val="22"/>
        </w:rPr>
        <w:t>本企业对上述声明内容的真实性负责。如有虚假，将依法承担相应责任。</w:t>
      </w:r>
    </w:p>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sz w:val="24"/>
          <w:szCs w:val="22"/>
        </w:rPr>
      </w:pPr>
      <w:r>
        <w:rPr>
          <w:rFonts w:hint="eastAsia" w:ascii="宋体" w:hAnsi="宋体" w:cs="宋体"/>
          <w:sz w:val="24"/>
          <w:szCs w:val="22"/>
          <w:lang w:val="en-US" w:eastAsia="zh-CN"/>
        </w:rPr>
        <w:t xml:space="preserve">              </w:t>
      </w:r>
      <w:r>
        <w:rPr>
          <w:rFonts w:hint="eastAsia" w:ascii="宋体" w:hAnsi="宋体" w:cs="宋体"/>
          <w:sz w:val="24"/>
          <w:szCs w:val="22"/>
        </w:rPr>
        <w:t>企业名称（盖章）：</w:t>
      </w:r>
    </w:p>
    <w:p>
      <w:pPr>
        <w:pStyle w:val="37"/>
        <w:keepNext w:val="0"/>
        <w:keepLines w:val="0"/>
        <w:pageBreakBefore w:val="0"/>
        <w:kinsoku/>
        <w:wordWrap/>
        <w:overflowPunct/>
        <w:topLinePunct w:val="0"/>
        <w:autoSpaceDE/>
        <w:autoSpaceDN/>
        <w:bidi w:val="0"/>
        <w:adjustRightInd/>
        <w:snapToGrid/>
        <w:spacing w:after="0" w:afterLines="0" w:line="360" w:lineRule="auto"/>
        <w:ind w:firstLine="5040" w:firstLineChars="2100"/>
        <w:textAlignment w:val="auto"/>
        <w:rPr>
          <w:rFonts w:hint="eastAsia" w:eastAsia="宋体"/>
          <w:sz w:val="24"/>
          <w:szCs w:val="22"/>
          <w:lang w:eastAsia="zh-CN"/>
        </w:rPr>
      </w:pPr>
      <w:r>
        <w:rPr>
          <w:rFonts w:hint="eastAsia" w:ascii="宋体" w:hAnsi="宋体" w:cs="宋体"/>
          <w:sz w:val="24"/>
          <w:szCs w:val="22"/>
          <w:lang w:eastAsia="zh-CN"/>
        </w:rPr>
        <w:t>日期：</w:t>
      </w:r>
    </w:p>
    <w:p>
      <w:pPr>
        <w:pStyle w:val="37"/>
        <w:rPr>
          <w:rFonts w:hint="eastAsia" w:ascii="宋体" w:hAnsi="宋体" w:cs="宋体"/>
          <w:sz w:val="24"/>
          <w:szCs w:val="22"/>
        </w:rPr>
      </w:pPr>
    </w:p>
    <w:p>
      <w:pPr>
        <w:keepNext w:val="0"/>
        <w:keepLines w:val="0"/>
        <w:pageBreakBefore w:val="0"/>
        <w:widowControl w:val="0"/>
        <w:kinsoku/>
        <w:wordWrap/>
        <w:overflowPunct/>
        <w:topLinePunct w:val="0"/>
        <w:autoSpaceDE/>
        <w:autoSpaceDN/>
        <w:bidi w:val="0"/>
        <w:adjustRightInd/>
        <w:snapToGrid/>
        <w:spacing w:line="360" w:lineRule="auto"/>
        <w:ind w:left="482" w:hanging="482" w:hangingChars="200"/>
        <w:textAlignment w:val="auto"/>
        <w:rPr>
          <w:rFonts w:hint="eastAsia" w:ascii="宋体" w:hAnsi="宋体" w:cs="宋体"/>
          <w:b/>
          <w:sz w:val="24"/>
          <w:szCs w:val="24"/>
          <w:lang w:val="en-US" w:eastAsia="zh-CN"/>
        </w:rPr>
      </w:pPr>
      <w:r>
        <w:rPr>
          <w:rFonts w:hint="eastAsia" w:ascii="宋体" w:hAnsi="宋体" w:cs="宋体"/>
          <w:b/>
          <w:sz w:val="24"/>
          <w:szCs w:val="24"/>
          <w:lang w:eastAsia="zh-CN"/>
        </w:rPr>
        <w:t>注</w:t>
      </w:r>
      <w:r>
        <w:rPr>
          <w:rFonts w:hint="eastAsia" w:ascii="宋体" w:hAnsi="宋体" w:cs="宋体"/>
          <w:b/>
          <w:sz w:val="24"/>
          <w:szCs w:val="24"/>
        </w:rPr>
        <w:t>：</w:t>
      </w:r>
      <w:r>
        <w:rPr>
          <w:rFonts w:hint="eastAsia" w:ascii="宋体" w:hAnsi="宋体" w:cs="宋体"/>
          <w:b/>
          <w:sz w:val="24"/>
          <w:szCs w:val="24"/>
          <w:lang w:val="en-US" w:eastAsia="zh-CN"/>
        </w:rPr>
        <w:t>1.从业人员、营业收入、资产总额填报上一年度数据，无上一年度数据的新成立企业可不填报；</w:t>
      </w:r>
    </w:p>
    <w:p>
      <w:pPr>
        <w:pStyle w:val="3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82" w:firstLineChars="200"/>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2.不符合《政府采购促进中小企业发展管理办法》规定的可不填写、不递交该声明；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kern w:val="2"/>
          <w:sz w:val="24"/>
          <w:szCs w:val="24"/>
          <w:lang w:val="en-US" w:eastAsia="zh-CN" w:bidi="ar-SA"/>
        </w:rPr>
        <w:sectPr>
          <w:headerReference r:id="rId14" w:type="first"/>
          <w:footerReference r:id="rId16" w:type="first"/>
          <w:headerReference r:id="rId13" w:type="default"/>
          <w:footerReference r:id="rId15"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eastAsia="宋体" w:cs="宋体"/>
          <w:b/>
          <w:kern w:val="2"/>
          <w:sz w:val="24"/>
          <w:szCs w:val="24"/>
          <w:lang w:val="en-US" w:eastAsia="zh-CN" w:bidi="ar-SA"/>
        </w:rPr>
        <w:t>3.本“注”的文字，仅为告知，不作为文件格式要求。</w:t>
      </w:r>
    </w:p>
    <w:p>
      <w:pPr>
        <w:widowControl/>
        <w:spacing w:line="580" w:lineRule="atLeast"/>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采购需求响应承诺书</w:t>
      </w: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lang w:val="en-US" w:eastAsia="zh-CN"/>
        </w:rPr>
        <w:t>磋商过程中，已完全了解并接受第五章采购需求中的所有要求及内容，我方承诺完全响应并能满足采购需求，</w:t>
      </w:r>
      <w:r>
        <w:rPr>
          <w:rFonts w:hint="eastAsia" w:ascii="宋体" w:hAnsi="宋体" w:cs="宋体"/>
          <w:sz w:val="24"/>
          <w:szCs w:val="24"/>
        </w:rPr>
        <w:t>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4"/>
        <w:jc w:val="center"/>
        <w:outlineLvl w:val="9"/>
        <w:rPr>
          <w:rFonts w:hint="eastAsia" w:ascii="宋体" w:hAnsi="宋体" w:eastAsia="宋体" w:cs="宋体"/>
          <w:sz w:val="28"/>
          <w:szCs w:val="28"/>
        </w:rPr>
      </w:pPr>
    </w:p>
    <w:p>
      <w:pPr>
        <w:pStyle w:val="2"/>
        <w:rPr>
          <w:rFonts w:hint="eastAsia"/>
          <w:lang w:val="en-US" w:eastAsia="zh-CN"/>
        </w:rPr>
        <w:sectPr>
          <w:pgSz w:w="11906" w:h="16838"/>
          <w:pgMar w:top="1440" w:right="1134" w:bottom="1440" w:left="1474" w:header="851" w:footer="992" w:gutter="0"/>
          <w:cols w:space="720" w:num="1"/>
          <w:titlePg/>
          <w:docGrid w:type="lines" w:linePitch="312" w:charSpace="0"/>
        </w:sectPr>
      </w:pPr>
    </w:p>
    <w:bookmarkEnd w:id="129"/>
    <w:bookmarkEnd w:id="130"/>
    <w:p>
      <w:pPr>
        <w:pStyle w:val="3"/>
        <w:numPr>
          <w:ilvl w:val="0"/>
          <w:numId w:val="9"/>
        </w:numPr>
        <w:spacing w:before="0" w:after="0" w:line="360" w:lineRule="auto"/>
        <w:rPr>
          <w:rFonts w:hint="eastAsia" w:ascii="宋体" w:hAnsi="宋体" w:cs="宋体"/>
          <w:sz w:val="32"/>
          <w:szCs w:val="32"/>
        </w:rPr>
      </w:pPr>
      <w:bookmarkStart w:id="153" w:name="_Toc23626"/>
      <w:bookmarkStart w:id="154" w:name="_Toc477423256"/>
      <w:bookmarkStart w:id="155" w:name="_Toc406663316"/>
      <w:bookmarkStart w:id="156" w:name="_Toc5506"/>
      <w:bookmarkStart w:id="157" w:name="_Toc23619"/>
      <w:bookmarkStart w:id="158" w:name="_Toc428525390"/>
      <w:bookmarkStart w:id="159" w:name="_Toc490161471"/>
      <w:bookmarkStart w:id="160" w:name="_Toc487805932"/>
      <w:bookmarkStart w:id="161" w:name="_Toc428454062"/>
      <w:bookmarkStart w:id="162" w:name="_Toc20773"/>
      <w:bookmarkStart w:id="163" w:name="_Toc15846"/>
      <w:bookmarkStart w:id="164" w:name="_Toc373230045"/>
      <w:bookmarkStart w:id="165" w:name="_Toc408816356"/>
      <w:bookmarkStart w:id="166" w:name="_Toc25878"/>
      <w:bookmarkStart w:id="167" w:name="_Toc214329904"/>
      <w:bookmarkStart w:id="168" w:name="_Toc364490446"/>
      <w:bookmarkStart w:id="169" w:name="_Toc374512433"/>
      <w:r>
        <w:rPr>
          <w:rFonts w:hint="eastAsia" w:ascii="宋体" w:hAnsi="宋体" w:cs="宋体"/>
          <w:sz w:val="32"/>
          <w:szCs w:val="32"/>
        </w:rPr>
        <w:t>法定代表人身份证明或授权委托书</w:t>
      </w:r>
      <w:bookmarkEnd w:id="153"/>
      <w:bookmarkEnd w:id="154"/>
      <w:bookmarkEnd w:id="155"/>
      <w:bookmarkEnd w:id="156"/>
      <w:bookmarkEnd w:id="157"/>
      <w:bookmarkEnd w:id="158"/>
      <w:bookmarkEnd w:id="159"/>
      <w:bookmarkEnd w:id="160"/>
      <w:bookmarkEnd w:id="161"/>
      <w:bookmarkEnd w:id="162"/>
      <w:bookmarkEnd w:id="163"/>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7"/>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（供应商名称）</w:t>
      </w:r>
      <w:r>
        <w:rPr>
          <w:rFonts w:hint="eastAsia" w:ascii="宋体" w:hAnsi="宋体" w:cs="宋体"/>
          <w:sz w:val="24"/>
        </w:rPr>
        <w:t>设立登记证书</w:t>
      </w:r>
      <w:r>
        <w:rPr>
          <w:rFonts w:hint="eastAsia" w:ascii="宋体" w:hAnsi="宋体" w:cs="宋体"/>
          <w:sz w:val="24"/>
          <w:lang w:eastAsia="zh-CN"/>
        </w:rPr>
        <w:t>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 w:val="24"/>
          <w:szCs w:val="24"/>
        </w:rPr>
      </w:pPr>
      <w:r>
        <w:rPr>
          <w:rFonts w:hint="eastAsia" w:ascii="宋体" w:hAnsi="宋体" w:cs="宋体"/>
          <w:b/>
          <w:bCs/>
          <w:sz w:val="24"/>
          <w:szCs w:val="24"/>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8"/>
          <w:szCs w:val="28"/>
        </w:rPr>
      </w:pPr>
      <w:r>
        <w:rPr>
          <w:rFonts w:hint="eastAsia" w:ascii="宋体" w:hAnsi="宋体" w:cs="宋体"/>
          <w:b/>
          <w:sz w:val="28"/>
          <w:szCs w:val="28"/>
        </w:rPr>
        <w:t>授权委托书</w:t>
      </w:r>
    </w:p>
    <w:p>
      <w:pPr>
        <w:spacing w:line="460" w:lineRule="exact"/>
        <w:jc w:val="center"/>
        <w:rPr>
          <w:rFonts w:hint="eastAsia" w:ascii="宋体" w:hAnsi="宋体" w:cs="宋体"/>
          <w:sz w:val="24"/>
          <w:szCs w:val="24"/>
        </w:rPr>
      </w:pPr>
    </w:p>
    <w:p>
      <w:pPr>
        <w:keepNext w:val="0"/>
        <w:keepLines w:val="0"/>
        <w:pageBreakBefore w:val="0"/>
        <w:widowControl w:val="0"/>
        <w:kinsoku/>
        <w:wordWrap w:val="0"/>
        <w:overflowPunct/>
        <w:topLinePunct w:val="0"/>
        <w:autoSpaceDE/>
        <w:autoSpaceDN/>
        <w:bidi w:val="0"/>
        <w:adjustRightInd/>
        <w:snapToGrid/>
        <w:spacing w:line="360" w:lineRule="auto"/>
        <w:ind w:left="420" w:leftChars="200" w:firstLine="480" w:firstLineChars="200"/>
        <w:jc w:val="left"/>
        <w:textAlignment w:val="auto"/>
        <w:rPr>
          <w:rFonts w:hint="eastAsia" w:ascii="宋体" w:hAnsi="宋体" w:cs="宋体"/>
          <w:sz w:val="24"/>
          <w:szCs w:val="24"/>
        </w:rPr>
      </w:pPr>
      <w:bookmarkStart w:id="170" w:name="_Toc475955191"/>
      <w:bookmarkStart w:id="171" w:name="_Toc15453"/>
      <w:bookmarkStart w:id="172" w:name="_Toc487805933"/>
      <w:bookmarkStart w:id="173" w:name="_Toc490161472"/>
      <w:bookmarkStart w:id="174" w:name="_Toc476045985"/>
      <w:bookmarkStart w:id="175" w:name="_Toc477423257"/>
      <w:bookmarkStart w:id="176" w:name="_Toc428454066"/>
      <w:bookmarkStart w:id="177" w:name="_Toc428525391"/>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rPr>
        <w:t>（供应商名称）的法定代表人，现授权委托</w:t>
      </w:r>
      <w:r>
        <w:rPr>
          <w:rFonts w:hint="eastAsia" w:ascii="宋体" w:hAnsi="宋体" w:cs="宋体"/>
          <w:sz w:val="24"/>
          <w:szCs w:val="24"/>
          <w:u w:val="single"/>
          <w:lang w:val="en-US" w:eastAsia="zh-CN"/>
        </w:rPr>
        <w:t xml:space="preserve">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rPr>
        <w:t>（姓名）为我单位代理人，以本单位的名义参加</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（项目名称）</w:t>
      </w:r>
      <w:r>
        <w:rPr>
          <w:rFonts w:hint="eastAsia" w:ascii="宋体" w:hAnsi="宋体" w:cs="宋体"/>
          <w:sz w:val="24"/>
          <w:szCs w:val="24"/>
        </w:rPr>
        <w:t>（</w:t>
      </w:r>
      <w:r>
        <w:rPr>
          <w:rFonts w:hint="eastAsia" w:ascii="宋体" w:hAnsi="宋体" w:cs="宋体"/>
          <w:sz w:val="24"/>
          <w:szCs w:val="24"/>
          <w:lang w:eastAsia="zh-CN"/>
        </w:rPr>
        <w:t>项目</w:t>
      </w:r>
      <w:r>
        <w:rPr>
          <w:rFonts w:hint="eastAsia" w:ascii="宋体" w:hAnsi="宋体" w:cs="宋体"/>
          <w:sz w:val="24"/>
          <w:szCs w:val="24"/>
        </w:rPr>
        <w:t>编号：</w:t>
      </w:r>
      <w:r>
        <w:rPr>
          <w:rFonts w:hint="eastAsia" w:ascii="宋体" w:hAnsi="宋体" w:cs="宋体"/>
          <w:color w:val="auto"/>
          <w:sz w:val="24"/>
          <w:szCs w:val="24"/>
          <w:u w:val="single"/>
          <w:lang w:val="en-US" w:eastAsia="zh-CN"/>
        </w:rPr>
        <w:t xml:space="preserve">        </w:t>
      </w:r>
      <w:r>
        <w:rPr>
          <w:rFonts w:hint="eastAsia" w:ascii="宋体" w:hAnsi="宋体" w:cs="宋体"/>
          <w:sz w:val="24"/>
          <w:szCs w:val="24"/>
        </w:rPr>
        <w:t>）的采购活动。代理人在</w:t>
      </w:r>
      <w:r>
        <w:rPr>
          <w:rFonts w:hint="eastAsia" w:ascii="宋体" w:hAnsi="宋体" w:cs="宋体"/>
          <w:sz w:val="24"/>
          <w:szCs w:val="24"/>
          <w:lang w:val="en-US" w:eastAsia="zh-CN"/>
        </w:rPr>
        <w:t>磋商</w:t>
      </w:r>
      <w:r>
        <w:rPr>
          <w:rFonts w:hint="eastAsia" w:ascii="宋体" w:hAnsi="宋体" w:cs="宋体"/>
          <w:sz w:val="24"/>
          <w:szCs w:val="24"/>
        </w:rPr>
        <w:t>、评审、合同谈判过程中所签署的一切文件和处理与之有关的一切事务，我均予以承认。</w:t>
      </w:r>
    </w:p>
    <w:p>
      <w:pPr>
        <w:keepNext w:val="0"/>
        <w:keepLines w:val="0"/>
        <w:pageBreakBefore w:val="0"/>
        <w:widowControl w:val="0"/>
        <w:kinsoku/>
        <w:wordWrap w:val="0"/>
        <w:overflowPunct/>
        <w:topLinePunct w:val="0"/>
        <w:autoSpaceDE/>
        <w:autoSpaceDN/>
        <w:bidi w:val="0"/>
        <w:adjustRightInd/>
        <w:snapToGrid/>
        <w:spacing w:line="360" w:lineRule="auto"/>
        <w:ind w:firstLine="960" w:firstLineChars="400"/>
        <w:textAlignment w:val="auto"/>
        <w:rPr>
          <w:rFonts w:hint="eastAsia" w:ascii="宋体" w:hAnsi="宋体" w:cs="宋体"/>
          <w:sz w:val="24"/>
          <w:szCs w:val="24"/>
        </w:rPr>
      </w:pPr>
      <w:r>
        <w:rPr>
          <w:rFonts w:hint="eastAsia" w:ascii="宋体" w:hAnsi="宋体" w:cs="宋体"/>
          <w:sz w:val="24"/>
          <w:szCs w:val="24"/>
        </w:rPr>
        <w:t>代理人无转委托权，特此声明。</w:t>
      </w:r>
    </w:p>
    <w:p>
      <w:pPr>
        <w:spacing w:line="360" w:lineRule="auto"/>
        <w:ind w:firstLine="403" w:firstLineChars="168"/>
        <w:rPr>
          <w:rFonts w:hint="eastAsia" w:ascii="宋体" w:hAnsi="宋体" w:cs="宋体"/>
          <w:sz w:val="24"/>
          <w:szCs w:val="24"/>
        </w:rPr>
      </w:pPr>
    </w:p>
    <w:p>
      <w:pPr>
        <w:spacing w:line="360" w:lineRule="auto"/>
        <w:rPr>
          <w:rFonts w:hint="eastAsia" w:ascii="宋体" w:hAnsi="宋体" w:cs="宋体"/>
          <w:sz w:val="24"/>
          <w:szCs w:val="24"/>
        </w:rPr>
      </w:pPr>
    </w:p>
    <w:p>
      <w:pPr>
        <w:spacing w:line="360" w:lineRule="auto"/>
        <w:jc w:val="center"/>
        <w:rPr>
          <w:rFonts w:hint="eastAsia" w:ascii="宋体" w:hAnsi="宋体" w:cs="宋体"/>
          <w:sz w:val="24"/>
          <w:szCs w:val="24"/>
        </w:rPr>
      </w:pPr>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5"/>
        <w:ind w:firstLine="964" w:firstLineChars="400"/>
        <w:rPr>
          <w:rFonts w:hint="eastAsia" w:ascii="宋体" w:hAnsi="宋体" w:cs="宋体"/>
        </w:rPr>
        <w:sectPr>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70"/>
      <w:bookmarkEnd w:id="171"/>
      <w:bookmarkEnd w:id="172"/>
      <w:bookmarkEnd w:id="173"/>
      <w:bookmarkEnd w:id="174"/>
      <w:bookmarkEnd w:id="175"/>
      <w:bookmarkStart w:id="178" w:name="_Toc477423259"/>
      <w:bookmarkStart w:id="179" w:name="_Toc490161474"/>
      <w:bookmarkStart w:id="180" w:name="_Toc17258"/>
      <w:bookmarkStart w:id="181" w:name="_Toc487805935"/>
      <w:r>
        <w:rPr>
          <w:rFonts w:hint="eastAsia" w:ascii="宋体" w:hAnsi="宋体" w:cs="宋体"/>
          <w:b/>
        </w:rPr>
        <w:t>此项。</w:t>
      </w:r>
    </w:p>
    <w:p>
      <w:pPr>
        <w:pStyle w:val="3"/>
        <w:numPr>
          <w:ilvl w:val="0"/>
          <w:numId w:val="9"/>
        </w:numPr>
        <w:spacing w:before="0" w:after="0" w:line="360" w:lineRule="auto"/>
        <w:rPr>
          <w:rFonts w:hint="eastAsia" w:ascii="宋体" w:hAnsi="宋体" w:cs="宋体"/>
          <w:sz w:val="32"/>
          <w:szCs w:val="32"/>
        </w:rPr>
      </w:pPr>
      <w:bookmarkStart w:id="182" w:name="_Toc2"/>
      <w:bookmarkStart w:id="183" w:name="_Toc529865893"/>
      <w:bookmarkStart w:id="184" w:name="_Toc5526"/>
      <w:bookmarkStart w:id="185" w:name="_Toc13001"/>
      <w:bookmarkStart w:id="186" w:name="_Toc12027"/>
      <w:r>
        <w:rPr>
          <w:rFonts w:hint="eastAsia" w:ascii="宋体" w:hAnsi="宋体" w:cs="宋体"/>
          <w:sz w:val="32"/>
          <w:szCs w:val="32"/>
        </w:rPr>
        <w:t>残疾人福利性单位声明函</w:t>
      </w:r>
      <w:bookmarkEnd w:id="182"/>
      <w:bookmarkEnd w:id="183"/>
      <w:bookmarkEnd w:id="184"/>
      <w:bookmarkEnd w:id="185"/>
      <w:bookmarkEnd w:id="186"/>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37"/>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22"/>
        <w:rPr>
          <w:rFonts w:hint="eastAsia" w:cs="宋体"/>
        </w:rPr>
      </w:pPr>
    </w:p>
    <w:bookmarkEnd w:id="178"/>
    <w:bookmarkEnd w:id="179"/>
    <w:bookmarkEnd w:id="180"/>
    <w:bookmarkEnd w:id="181"/>
    <w:p>
      <w:pPr>
        <w:pStyle w:val="3"/>
        <w:numPr>
          <w:ilvl w:val="0"/>
          <w:numId w:val="9"/>
        </w:numPr>
        <w:spacing w:before="0" w:after="0" w:line="360" w:lineRule="auto"/>
        <w:rPr>
          <w:rFonts w:hint="eastAsia" w:ascii="宋体" w:hAnsi="宋体" w:cs="宋体"/>
          <w:sz w:val="32"/>
          <w:szCs w:val="32"/>
        </w:rPr>
      </w:pPr>
      <w:bookmarkStart w:id="187" w:name="_Toc487805936"/>
      <w:bookmarkStart w:id="188" w:name="_Toc20485"/>
      <w:bookmarkStart w:id="189" w:name="_Toc19062"/>
      <w:bookmarkStart w:id="190" w:name="_Toc477423260"/>
      <w:bookmarkStart w:id="191" w:name="_Toc1654"/>
      <w:bookmarkStart w:id="192" w:name="_Toc19624"/>
      <w:bookmarkStart w:id="193" w:name="_Toc7213"/>
      <w:bookmarkStart w:id="194" w:name="_Toc490161475"/>
      <w:r>
        <w:rPr>
          <w:rFonts w:hint="eastAsia" w:ascii="宋体" w:hAnsi="宋体" w:cs="宋体"/>
          <w:sz w:val="32"/>
          <w:szCs w:val="32"/>
        </w:rPr>
        <w:t>反商业贿赂承诺书</w:t>
      </w:r>
      <w:bookmarkEnd w:id="187"/>
      <w:bookmarkEnd w:id="188"/>
      <w:bookmarkEnd w:id="189"/>
      <w:bookmarkEnd w:id="190"/>
      <w:bookmarkEnd w:id="191"/>
      <w:bookmarkEnd w:id="192"/>
      <w:bookmarkEnd w:id="193"/>
      <w:bookmarkEnd w:id="194"/>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64"/>
    <w:bookmarkEnd w:id="165"/>
    <w:bookmarkEnd w:id="166"/>
    <w:bookmarkEnd w:id="167"/>
    <w:bookmarkEnd w:id="168"/>
    <w:bookmarkEnd w:id="169"/>
    <w:bookmarkEnd w:id="176"/>
    <w:bookmarkEnd w:id="177"/>
    <w:p>
      <w:pPr>
        <w:spacing w:line="460" w:lineRule="exact"/>
        <w:rPr>
          <w:rFonts w:hint="eastAsia" w:ascii="宋体" w:hAnsi="宋体" w:cs="宋体"/>
          <w:sz w:val="24"/>
          <w:szCs w:val="24"/>
        </w:rPr>
      </w:pPr>
      <w:bookmarkStart w:id="195" w:name="_Toc490161482"/>
      <w:bookmarkStart w:id="196" w:name="_Toc450037734"/>
      <w:bookmarkStart w:id="197" w:name="_Toc365712853"/>
      <w:bookmarkStart w:id="198" w:name="_Toc406663323"/>
      <w:bookmarkStart w:id="199" w:name="_Toc19463"/>
      <w:bookmarkStart w:id="200" w:name="_Toc18166"/>
      <w:bookmarkStart w:id="201" w:name="_Toc475955200"/>
      <w:bookmarkStart w:id="202" w:name="_Toc364962592"/>
      <w:bookmarkStart w:id="203" w:name="_Toc477423265"/>
      <w:bookmarkStart w:id="204" w:name="_Toc476045994"/>
      <w:bookmarkStart w:id="205" w:name="_Toc19579"/>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3"/>
        <w:numPr>
          <w:ilvl w:val="0"/>
          <w:numId w:val="9"/>
        </w:numPr>
        <w:spacing w:before="0" w:after="0" w:line="360" w:lineRule="auto"/>
        <w:rPr>
          <w:rFonts w:hint="eastAsia" w:ascii="宋体" w:hAnsi="宋体" w:cs="宋体"/>
          <w:sz w:val="32"/>
          <w:szCs w:val="32"/>
        </w:rPr>
      </w:pPr>
      <w:bookmarkStart w:id="206" w:name="_Toc23913"/>
      <w:bookmarkStart w:id="207" w:name="_Toc18203"/>
      <w:r>
        <w:rPr>
          <w:rFonts w:hint="eastAsia" w:ascii="宋体" w:hAnsi="宋体" w:cs="宋体"/>
          <w:sz w:val="32"/>
          <w:szCs w:val="32"/>
        </w:rPr>
        <w:t>竞争性磋商文件要求的以及供应商认为应该提供的其他材料</w:t>
      </w:r>
      <w:bookmarkEnd w:id="195"/>
      <w:bookmarkEnd w:id="196"/>
      <w:bookmarkEnd w:id="197"/>
      <w:bookmarkEnd w:id="198"/>
      <w:bookmarkEnd w:id="199"/>
      <w:bookmarkEnd w:id="200"/>
      <w:bookmarkEnd w:id="201"/>
      <w:bookmarkEnd w:id="202"/>
      <w:bookmarkEnd w:id="203"/>
      <w:bookmarkEnd w:id="204"/>
      <w:bookmarkEnd w:id="205"/>
      <w:bookmarkEnd w:id="206"/>
      <w:bookmarkEnd w:id="207"/>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22"/>
        <w:rPr>
          <w:rFonts w:hint="eastAsia" w:cs="宋体"/>
          <w:sz w:val="28"/>
          <w:szCs w:val="24"/>
        </w:rPr>
      </w:pPr>
    </w:p>
    <w:p>
      <w:pPr>
        <w:pStyle w:val="4"/>
        <w:spacing w:before="0" w:after="0" w:line="400" w:lineRule="exact"/>
        <w:jc w:val="center"/>
        <w:rPr>
          <w:rFonts w:hint="eastAsia" w:ascii="宋体" w:hAnsi="宋体" w:eastAsia="宋体" w:cs="宋体"/>
          <w:sz w:val="32"/>
          <w:szCs w:val="32"/>
        </w:rPr>
      </w:pPr>
      <w:r>
        <w:rPr>
          <w:rFonts w:hint="eastAsia" w:ascii="宋体" w:hAnsi="宋体" w:eastAsia="宋体" w:cs="宋体"/>
          <w:sz w:val="32"/>
          <w:szCs w:val="32"/>
        </w:rPr>
        <w:t>第二轮报价表</w:t>
      </w:r>
    </w:p>
    <w:p>
      <w:pPr>
        <w:rPr>
          <w:rFonts w:hint="eastAsia"/>
        </w:rPr>
      </w:pPr>
    </w:p>
    <w:p>
      <w:pPr>
        <w:spacing w:line="360" w:lineRule="auto"/>
        <w:ind w:firstLine="480" w:firstLineChars="200"/>
        <w:rPr>
          <w:rFonts w:hint="eastAsia" w:ascii="宋体" w:hAnsi="宋体" w:cs="宋体"/>
          <w:color w:val="FF0000"/>
          <w:sz w:val="24"/>
          <w:szCs w:val="24"/>
        </w:rPr>
      </w:pPr>
      <w:r>
        <w:rPr>
          <w:rFonts w:hint="eastAsia" w:ascii="宋体" w:hAnsi="宋体" w:cs="宋体"/>
          <w:sz w:val="24"/>
          <w:szCs w:val="24"/>
        </w:rPr>
        <w:t>项目名称：                                    项目编号：</w:t>
      </w:r>
    </w:p>
    <w:tbl>
      <w:tblPr>
        <w:tblStyle w:val="38"/>
        <w:tblW w:w="0" w:type="auto"/>
        <w:jc w:val="center"/>
        <w:tblLayout w:type="fixed"/>
        <w:tblCellMar>
          <w:top w:w="0" w:type="dxa"/>
          <w:left w:w="108" w:type="dxa"/>
          <w:bottom w:w="0" w:type="dxa"/>
          <w:right w:w="108" w:type="dxa"/>
        </w:tblCellMar>
      </w:tblPr>
      <w:tblGrid>
        <w:gridCol w:w="2330"/>
        <w:gridCol w:w="6029"/>
      </w:tblGrid>
      <w:tr>
        <w:tblPrEx>
          <w:tblCellMar>
            <w:top w:w="0" w:type="dxa"/>
            <w:left w:w="108" w:type="dxa"/>
            <w:bottom w:w="0" w:type="dxa"/>
            <w:right w:w="108" w:type="dxa"/>
          </w:tblCellMar>
        </w:tblPrEx>
        <w:trPr>
          <w:trHeight w:val="918" w:hRule="atLeast"/>
          <w:jc w:val="center"/>
        </w:trPr>
        <w:tc>
          <w:tcPr>
            <w:tcW w:w="23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02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p>
        </w:tc>
      </w:tr>
      <w:tr>
        <w:tblPrEx>
          <w:tblCellMar>
            <w:top w:w="0" w:type="dxa"/>
            <w:left w:w="108" w:type="dxa"/>
            <w:bottom w:w="0" w:type="dxa"/>
            <w:right w:w="108" w:type="dxa"/>
          </w:tblCellMar>
        </w:tblPrEx>
        <w:trPr>
          <w:cantSplit/>
          <w:trHeight w:val="929" w:hRule="atLeast"/>
          <w:jc w:val="center"/>
        </w:trPr>
        <w:tc>
          <w:tcPr>
            <w:tcW w:w="2330" w:type="dxa"/>
            <w:tcBorders>
              <w:left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lang w:eastAsia="zh-CN"/>
              </w:rPr>
              <w:t>项目</w:t>
            </w:r>
            <w:r>
              <w:rPr>
                <w:rFonts w:hint="eastAsia" w:ascii="宋体" w:hAnsi="宋体" w:cs="宋体"/>
                <w:sz w:val="24"/>
                <w:szCs w:val="24"/>
              </w:rPr>
              <w:t>编号</w:t>
            </w:r>
          </w:p>
        </w:tc>
        <w:tc>
          <w:tcPr>
            <w:tcW w:w="6029" w:type="dxa"/>
            <w:tcBorders>
              <w:left w:val="single" w:color="auto" w:sz="4" w:space="0"/>
              <w:right w:val="single" w:color="auto" w:sz="4" w:space="0"/>
            </w:tcBorders>
            <w:noWrap w:val="0"/>
            <w:vAlign w:val="center"/>
          </w:tcPr>
          <w:p>
            <w:pPr>
              <w:ind w:left="108"/>
              <w:jc w:val="center"/>
              <w:rPr>
                <w:rFonts w:hint="eastAsia" w:ascii="宋体" w:hAnsi="宋体" w:eastAsia="宋体" w:cs="宋体"/>
                <w:sz w:val="24"/>
                <w:szCs w:val="24"/>
                <w:lang w:eastAsia="zh-CN"/>
              </w:rPr>
            </w:pPr>
          </w:p>
        </w:tc>
      </w:tr>
      <w:tr>
        <w:tblPrEx>
          <w:tblCellMar>
            <w:top w:w="0" w:type="dxa"/>
            <w:left w:w="108" w:type="dxa"/>
            <w:bottom w:w="0" w:type="dxa"/>
            <w:right w:w="108" w:type="dxa"/>
          </w:tblCellMar>
        </w:tblPrEx>
        <w:trPr>
          <w:cantSplit/>
          <w:trHeight w:val="921" w:hRule="atLeast"/>
          <w:jc w:val="center"/>
        </w:trPr>
        <w:tc>
          <w:tcPr>
            <w:tcW w:w="23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02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43" w:hRule="atLeast"/>
          <w:jc w:val="center"/>
        </w:trPr>
        <w:tc>
          <w:tcPr>
            <w:tcW w:w="23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总报价</w:t>
            </w:r>
          </w:p>
        </w:tc>
        <w:tc>
          <w:tcPr>
            <w:tcW w:w="6029"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r>
              <w:rPr>
                <w:rFonts w:hint="eastAsia" w:ascii="宋体" w:hAnsi="宋体" w:cs="宋体"/>
                <w:sz w:val="24"/>
                <w:szCs w:val="24"/>
              </w:rPr>
              <w:t>大写：                　　¥：</w:t>
            </w:r>
          </w:p>
        </w:tc>
      </w:tr>
      <w:tr>
        <w:tblPrEx>
          <w:tblCellMar>
            <w:top w:w="0" w:type="dxa"/>
            <w:left w:w="108" w:type="dxa"/>
            <w:bottom w:w="0" w:type="dxa"/>
            <w:right w:w="108" w:type="dxa"/>
          </w:tblCellMar>
        </w:tblPrEx>
        <w:trPr>
          <w:cantSplit/>
          <w:trHeight w:val="943" w:hRule="atLeast"/>
          <w:jc w:val="center"/>
        </w:trPr>
        <w:tc>
          <w:tcPr>
            <w:tcW w:w="23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合同履约期限</w:t>
            </w:r>
          </w:p>
        </w:tc>
        <w:tc>
          <w:tcPr>
            <w:tcW w:w="6029"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p>
        </w:tc>
      </w:tr>
      <w:tr>
        <w:tblPrEx>
          <w:tblCellMar>
            <w:top w:w="0" w:type="dxa"/>
            <w:left w:w="108" w:type="dxa"/>
            <w:bottom w:w="0" w:type="dxa"/>
            <w:right w:w="108" w:type="dxa"/>
          </w:tblCellMar>
        </w:tblPrEx>
        <w:trPr>
          <w:cantSplit/>
          <w:trHeight w:val="951" w:hRule="atLeast"/>
          <w:jc w:val="center"/>
        </w:trPr>
        <w:tc>
          <w:tcPr>
            <w:tcW w:w="23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cs="宋体"/>
                <w:sz w:val="24"/>
                <w:szCs w:val="24"/>
                <w:lang w:val="en-US" w:eastAsia="zh-CN"/>
              </w:rPr>
            </w:pPr>
            <w:r>
              <w:rPr>
                <w:rFonts w:hint="eastAsia" w:ascii="宋体" w:hAnsi="宋体" w:cs="宋体"/>
                <w:sz w:val="24"/>
                <w:szCs w:val="24"/>
                <w:lang w:val="en-US" w:eastAsia="zh-CN"/>
              </w:rPr>
              <w:t>服务标准</w:t>
            </w:r>
          </w:p>
        </w:tc>
        <w:tc>
          <w:tcPr>
            <w:tcW w:w="6029" w:type="dxa"/>
            <w:tcBorders>
              <w:top w:val="single" w:color="auto" w:sz="4" w:space="0"/>
              <w:left w:val="single" w:color="auto" w:sz="4" w:space="0"/>
              <w:bottom w:val="single" w:color="auto" w:sz="4" w:space="0"/>
              <w:right w:val="single" w:color="auto" w:sz="4" w:space="0"/>
            </w:tcBorders>
            <w:noWrap w:val="0"/>
            <w:vAlign w:val="center"/>
          </w:tcPr>
          <w:p>
            <w:pPr>
              <w:ind w:left="1260" w:hanging="1440" w:hangingChars="600"/>
              <w:rPr>
                <w:rFonts w:hint="eastAsia" w:ascii="宋体" w:hAnsi="宋体" w:cs="宋体"/>
                <w:sz w:val="24"/>
                <w:szCs w:val="24"/>
              </w:rPr>
            </w:pPr>
          </w:p>
        </w:tc>
      </w:tr>
    </w:tbl>
    <w:p>
      <w:pPr>
        <w:rPr>
          <w:rFonts w:hint="eastAsia"/>
          <w:sz w:val="22"/>
          <w:szCs w:val="21"/>
        </w:rPr>
      </w:pPr>
    </w:p>
    <w:p>
      <w:pPr>
        <w:rPr>
          <w:rFonts w:hint="eastAsia"/>
          <w:sz w:val="22"/>
          <w:szCs w:val="21"/>
        </w:rPr>
      </w:pPr>
    </w:p>
    <w:p>
      <w:pPr>
        <w:spacing w:line="360" w:lineRule="auto"/>
        <w:rPr>
          <w:rFonts w:hint="eastAsia" w:ascii="宋体" w:hAnsi="宋体" w:cs="宋体"/>
          <w:sz w:val="24"/>
          <w:szCs w:val="24"/>
        </w:rPr>
      </w:pPr>
      <w:r>
        <w:rPr>
          <w:rFonts w:hint="eastAsia" w:ascii="宋体" w:hAnsi="宋体" w:cs="宋体"/>
          <w:sz w:val="28"/>
          <w:szCs w:val="21"/>
        </w:rPr>
        <w:t xml:space="preserve">                              </w:t>
      </w: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rPr>
          <w:rFonts w:hint="eastAsia" w:ascii="宋体" w:hAnsi="宋体" w:cs="宋体"/>
          <w:sz w:val="24"/>
          <w:szCs w:val="24"/>
        </w:rPr>
      </w:pPr>
      <w:r>
        <w:rPr>
          <w:rFonts w:hint="eastAsia" w:ascii="宋体" w:hAnsi="宋体" w:cs="宋体"/>
          <w:sz w:val="24"/>
          <w:szCs w:val="24"/>
        </w:rPr>
        <w:t xml:space="preserve">                                                   年    月   日</w:t>
      </w:r>
    </w:p>
    <w:p>
      <w:pPr>
        <w:pStyle w:val="22"/>
        <w:rPr>
          <w:rFonts w:hint="eastAsia" w:cs="宋体"/>
          <w:sz w:val="32"/>
          <w:szCs w:val="28"/>
        </w:rPr>
      </w:pP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注：1.</w:t>
      </w:r>
      <w:r>
        <w:rPr>
          <w:rFonts w:hint="eastAsia" w:ascii="宋体" w:hAnsi="宋体" w:eastAsia="宋体" w:cs="宋体"/>
          <w:b/>
          <w:bCs/>
          <w:color w:val="FF0000"/>
          <w:sz w:val="24"/>
          <w:szCs w:val="24"/>
        </w:rPr>
        <w:t>本表不能装在响应文件内</w:t>
      </w:r>
      <w:r>
        <w:rPr>
          <w:rFonts w:hint="eastAsia" w:ascii="宋体" w:hAnsi="宋体" w:eastAsia="宋体" w:cs="宋体"/>
          <w:b/>
          <w:bCs/>
          <w:sz w:val="24"/>
          <w:szCs w:val="24"/>
        </w:rPr>
        <w:t>，应单独制作并在二次报价时作为附件（PDF格式）上传。磋商小组对已通过资格性、符合性审查的供应商发起二轮（最后报价）邀请后，</w:t>
      </w:r>
      <w:r>
        <w:rPr>
          <w:rFonts w:hint="eastAsia" w:ascii="宋体" w:hAnsi="宋体" w:eastAsia="宋体" w:cs="宋体"/>
          <w:b/>
          <w:bCs/>
          <w:sz w:val="24"/>
          <w:szCs w:val="22"/>
        </w:rPr>
        <w:t>供应商在规定时间内通过焦作市公共资源交易平台进行二轮报价（最后报价），未在规定时间内提交二轮报价（最后报价）的视为放弃本次磋商</w:t>
      </w:r>
      <w:r>
        <w:rPr>
          <w:rFonts w:hint="eastAsia" w:ascii="宋体" w:hAnsi="宋体" w:eastAsia="宋体" w:cs="宋体"/>
          <w:b/>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2.报价出现不一致的，按照下列规定修正：</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（1）</w:t>
      </w:r>
      <w:r>
        <w:rPr>
          <w:rFonts w:hint="eastAsia" w:ascii="宋体" w:hAnsi="宋体" w:eastAsia="宋体" w:cs="宋体"/>
          <w:b/>
          <w:bCs/>
          <w:color w:val="auto"/>
          <w:sz w:val="24"/>
          <w:szCs w:val="24"/>
        </w:rPr>
        <w:t>本表总报价和电子投标系统表</w:t>
      </w:r>
      <w:r>
        <w:rPr>
          <w:rFonts w:hint="eastAsia" w:ascii="宋体" w:hAnsi="宋体" w:eastAsia="宋体" w:cs="宋体"/>
          <w:b/>
          <w:bCs/>
          <w:color w:val="auto"/>
          <w:sz w:val="24"/>
          <w:szCs w:val="24"/>
          <w:lang w:eastAsia="zh-CN"/>
        </w:rPr>
        <w:t>二轮报价表中</w:t>
      </w:r>
      <w:r>
        <w:rPr>
          <w:rFonts w:hint="eastAsia" w:ascii="宋体" w:hAnsi="宋体" w:eastAsia="宋体" w:cs="宋体"/>
          <w:b/>
          <w:bCs/>
          <w:color w:val="auto"/>
          <w:sz w:val="24"/>
          <w:szCs w:val="24"/>
        </w:rPr>
        <w:t>的总报价不一致的，以本表为准；</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（2）大写金额和小写金额不一致的，以大写金额为准；</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（3）单价金额小数点或者百分比有明显错位的，以总价为准；</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（4）总价金额与按单价汇总金额不一致的，以单价金额计算结果为准</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cs="宋体"/>
          <w:sz w:val="32"/>
          <w:szCs w:val="28"/>
        </w:rPr>
      </w:pPr>
      <w:r>
        <w:rPr>
          <w:rFonts w:hint="eastAsia" w:ascii="宋体" w:hAnsi="宋体" w:eastAsia="宋体" w:cs="宋体"/>
          <w:b/>
          <w:bCs/>
          <w:sz w:val="24"/>
          <w:szCs w:val="24"/>
        </w:rPr>
        <w:t>同时出现两种以上不一致的，按照前款规定的顺序修正。</w:t>
      </w:r>
    </w:p>
    <w:sectPr>
      <w:headerReference r:id="rId18" w:type="first"/>
      <w:footerReference r:id="rId20" w:type="first"/>
      <w:headerReference r:id="rId17" w:type="default"/>
      <w:footerReference r:id="rId19"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auto"/>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649"/>
        <w:tab w:val="clear" w:pos="4153"/>
      </w:tabs>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3"/>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3"/>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3"/>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fldChar w:fldCharType="begin"/>
    </w:r>
    <w:r>
      <w:instrText xml:space="preserve">PAGE   \* MERGEFORMAT</w:instrText>
    </w:r>
    <w:r>
      <w:fldChar w:fldCharType="separate"/>
    </w:r>
    <w:r>
      <w:rPr>
        <w:lang w:val="zh-CN"/>
      </w:rPr>
      <w:t>22</w:t>
    </w:r>
    <w:r>
      <w:fldChar w:fldCharType="end"/>
    </w:r>
  </w:p>
  <w:p>
    <w:pPr>
      <w:pStyle w:val="2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3"/>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649"/>
        <w:tab w:val="clear" w:pos="4153"/>
      </w:tabs>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3"/>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DF6615"/>
    <w:multiLevelType w:val="singleLevel"/>
    <w:tmpl w:val="9EDF6615"/>
    <w:lvl w:ilvl="0" w:tentative="0">
      <w:start w:val="3"/>
      <w:numFmt w:val="chineseCounting"/>
      <w:suff w:val="nothing"/>
      <w:lvlText w:val="%1、"/>
      <w:lvlJc w:val="left"/>
      <w:rPr>
        <w:rFonts w:hint="eastAsia"/>
      </w:rPr>
    </w:lvl>
  </w:abstractNum>
  <w:abstractNum w:abstractNumId="1">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2">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3">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000001B"/>
    <w:multiLevelType w:val="singleLevel"/>
    <w:tmpl w:val="0000001B"/>
    <w:lvl w:ilvl="0" w:tentative="0">
      <w:start w:val="1"/>
      <w:numFmt w:val="decimal"/>
      <w:suff w:val="nothing"/>
      <w:lvlText w:val="%1."/>
      <w:lvlJc w:val="left"/>
      <w:rPr>
        <w:rFonts w:hint="default"/>
        <w:sz w:val="32"/>
        <w:szCs w:val="32"/>
      </w:rPr>
    </w:lvl>
  </w:abstractNum>
  <w:abstractNum w:abstractNumId="5">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428BD1CC"/>
    <w:multiLevelType w:val="multilevel"/>
    <w:tmpl w:val="428BD1CC"/>
    <w:lvl w:ilvl="0" w:tentative="0">
      <w:start w:val="1"/>
      <w:numFmt w:val="decimal"/>
      <w:lvlText w:val="%1."/>
      <w:lvlJc w:val="left"/>
      <w:pPr>
        <w:ind w:left="284" w:hanging="284"/>
      </w:pPr>
      <w:rPr>
        <w:rFonts w:hint="default" w:ascii="宋体" w:hAnsi="宋体" w:eastAsia="宋体"/>
        <w:b/>
      </w:rPr>
    </w:lvl>
    <w:lvl w:ilvl="1" w:tentative="0">
      <w:start w:val="1"/>
      <w:numFmt w:val="decimal"/>
      <w:suff w:val="space"/>
      <w:lvlText w:val="%1.%2"/>
      <w:lvlJc w:val="left"/>
      <w:pPr>
        <w:ind w:left="0" w:leftChars="0" w:firstLine="425" w:firstLineChars="0"/>
      </w:pPr>
      <w:rPr>
        <w:rFonts w:hint="default" w:ascii="宋体" w:hAnsi="宋体" w:eastAsia="宋体"/>
        <w:b w:val="0"/>
        <w:color w:val="auto"/>
        <w:sz w:val="24"/>
        <w:szCs w:val="24"/>
      </w:rPr>
    </w:lvl>
    <w:lvl w:ilvl="2" w:tentative="0">
      <w:start w:val="1"/>
      <w:numFmt w:val="decimal"/>
      <w:suff w:val="nothing"/>
      <w:lvlText w:val="%1.%2.%3"/>
      <w:lvlJc w:val="left"/>
      <w:pPr>
        <w:tabs>
          <w:tab w:val="left" w:pos="420"/>
        </w:tabs>
        <w:ind w:left="0" w:leftChars="0" w:firstLine="0" w:firstLineChars="0"/>
      </w:pPr>
      <w:rPr>
        <w:rFonts w:hint="default"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7">
    <w:nsid w:val="511B12F6"/>
    <w:multiLevelType w:val="singleLevel"/>
    <w:tmpl w:val="511B12F6"/>
    <w:lvl w:ilvl="0" w:tentative="0">
      <w:start w:val="7"/>
      <w:numFmt w:val="chineseCounting"/>
      <w:suff w:val="nothing"/>
      <w:lvlText w:val="%1、"/>
      <w:lvlJc w:val="left"/>
      <w:rPr>
        <w:rFonts w:hint="eastAsia"/>
      </w:rPr>
    </w:lvl>
  </w:abstractNum>
  <w:abstractNum w:abstractNumId="8">
    <w:nsid w:val="6D7CE4B6"/>
    <w:multiLevelType w:val="singleLevel"/>
    <w:tmpl w:val="6D7CE4B6"/>
    <w:lvl w:ilvl="0" w:tentative="0">
      <w:start w:val="5"/>
      <w:numFmt w:val="decimal"/>
      <w:suff w:val="nothing"/>
      <w:lvlText w:val="%1、"/>
      <w:lvlJc w:val="left"/>
    </w:lvl>
  </w:abstractNum>
  <w:num w:numId="1">
    <w:abstractNumId w:val="2"/>
  </w:num>
  <w:num w:numId="2">
    <w:abstractNumId w:val="8"/>
  </w:num>
  <w:num w:numId="3">
    <w:abstractNumId w:val="5"/>
  </w:num>
  <w:num w:numId="4">
    <w:abstractNumId w:val="7"/>
  </w:num>
  <w:num w:numId="5">
    <w:abstractNumId w:val="6"/>
  </w:num>
  <w:num w:numId="6">
    <w:abstractNumId w:val="0"/>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B250DA"/>
    <w:rsid w:val="02B32C00"/>
    <w:rsid w:val="02E940D8"/>
    <w:rsid w:val="02EB23E7"/>
    <w:rsid w:val="02F964C1"/>
    <w:rsid w:val="030F6088"/>
    <w:rsid w:val="03555A65"/>
    <w:rsid w:val="036566EB"/>
    <w:rsid w:val="03830824"/>
    <w:rsid w:val="03EF1DEA"/>
    <w:rsid w:val="04323463"/>
    <w:rsid w:val="04562E58"/>
    <w:rsid w:val="04644C52"/>
    <w:rsid w:val="046E2D62"/>
    <w:rsid w:val="048444D5"/>
    <w:rsid w:val="04E57AC0"/>
    <w:rsid w:val="04EC22B8"/>
    <w:rsid w:val="051017B6"/>
    <w:rsid w:val="05130FB5"/>
    <w:rsid w:val="0536281A"/>
    <w:rsid w:val="053C0C8A"/>
    <w:rsid w:val="05465E75"/>
    <w:rsid w:val="05932DEC"/>
    <w:rsid w:val="05B93485"/>
    <w:rsid w:val="05C71142"/>
    <w:rsid w:val="05D821BC"/>
    <w:rsid w:val="05D830A9"/>
    <w:rsid w:val="064365F2"/>
    <w:rsid w:val="064E27D6"/>
    <w:rsid w:val="066514D0"/>
    <w:rsid w:val="067726AC"/>
    <w:rsid w:val="06C8536A"/>
    <w:rsid w:val="07414C7E"/>
    <w:rsid w:val="074D3623"/>
    <w:rsid w:val="07AF7E3A"/>
    <w:rsid w:val="07E560A1"/>
    <w:rsid w:val="07EB6D02"/>
    <w:rsid w:val="07FC3AF7"/>
    <w:rsid w:val="08420CAE"/>
    <w:rsid w:val="086C7AD9"/>
    <w:rsid w:val="087E3197"/>
    <w:rsid w:val="08C94A81"/>
    <w:rsid w:val="08E753B1"/>
    <w:rsid w:val="09032B5D"/>
    <w:rsid w:val="091B1C08"/>
    <w:rsid w:val="091C32AD"/>
    <w:rsid w:val="095876F5"/>
    <w:rsid w:val="097B48D7"/>
    <w:rsid w:val="097F55EA"/>
    <w:rsid w:val="09831C8A"/>
    <w:rsid w:val="099C7A81"/>
    <w:rsid w:val="09B3321A"/>
    <w:rsid w:val="09B94F9F"/>
    <w:rsid w:val="09BB7A3D"/>
    <w:rsid w:val="09D41DD9"/>
    <w:rsid w:val="09EB0ED1"/>
    <w:rsid w:val="0A0013DF"/>
    <w:rsid w:val="0A0E27AD"/>
    <w:rsid w:val="0A23066B"/>
    <w:rsid w:val="0A455AAA"/>
    <w:rsid w:val="0A496AA6"/>
    <w:rsid w:val="0A526DA6"/>
    <w:rsid w:val="0A7D7D7B"/>
    <w:rsid w:val="0AB55D93"/>
    <w:rsid w:val="0ABA2D7D"/>
    <w:rsid w:val="0AF52007"/>
    <w:rsid w:val="0AFD0EBC"/>
    <w:rsid w:val="0B0C55A3"/>
    <w:rsid w:val="0B4A5E65"/>
    <w:rsid w:val="0B6A792F"/>
    <w:rsid w:val="0BB26A70"/>
    <w:rsid w:val="0BB27EF8"/>
    <w:rsid w:val="0BC67500"/>
    <w:rsid w:val="0C195E4B"/>
    <w:rsid w:val="0C2506CA"/>
    <w:rsid w:val="0C6A432F"/>
    <w:rsid w:val="0CE55CFE"/>
    <w:rsid w:val="0D111CE0"/>
    <w:rsid w:val="0D32353D"/>
    <w:rsid w:val="0D7D4536"/>
    <w:rsid w:val="0DAF0B93"/>
    <w:rsid w:val="0DF612D3"/>
    <w:rsid w:val="0E031C4F"/>
    <w:rsid w:val="0E0620AA"/>
    <w:rsid w:val="0E552513"/>
    <w:rsid w:val="0E5C239D"/>
    <w:rsid w:val="0E63197E"/>
    <w:rsid w:val="0E804F6A"/>
    <w:rsid w:val="0EAF355B"/>
    <w:rsid w:val="0F044A03"/>
    <w:rsid w:val="0F1B6A2C"/>
    <w:rsid w:val="0F223D21"/>
    <w:rsid w:val="0F2F360E"/>
    <w:rsid w:val="0F3A297B"/>
    <w:rsid w:val="0F5372FC"/>
    <w:rsid w:val="0F6C35CE"/>
    <w:rsid w:val="0FBD0C1A"/>
    <w:rsid w:val="0FC30926"/>
    <w:rsid w:val="0FCE4B78"/>
    <w:rsid w:val="0FF07241"/>
    <w:rsid w:val="1022110A"/>
    <w:rsid w:val="103939A5"/>
    <w:rsid w:val="104135F9"/>
    <w:rsid w:val="10437371"/>
    <w:rsid w:val="105703DF"/>
    <w:rsid w:val="10F845FF"/>
    <w:rsid w:val="1101791C"/>
    <w:rsid w:val="112706F4"/>
    <w:rsid w:val="113263C3"/>
    <w:rsid w:val="11457848"/>
    <w:rsid w:val="115815BB"/>
    <w:rsid w:val="115D4462"/>
    <w:rsid w:val="115F08E1"/>
    <w:rsid w:val="117417AC"/>
    <w:rsid w:val="117B4B6D"/>
    <w:rsid w:val="118F65E6"/>
    <w:rsid w:val="11F3777D"/>
    <w:rsid w:val="128D141F"/>
    <w:rsid w:val="12920EF5"/>
    <w:rsid w:val="12A871D7"/>
    <w:rsid w:val="1332742F"/>
    <w:rsid w:val="135B70C7"/>
    <w:rsid w:val="13710699"/>
    <w:rsid w:val="13D44784"/>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A25EFE"/>
    <w:rsid w:val="15F2599B"/>
    <w:rsid w:val="15F80BFE"/>
    <w:rsid w:val="161F0EEC"/>
    <w:rsid w:val="16286B1E"/>
    <w:rsid w:val="16420C4F"/>
    <w:rsid w:val="16486627"/>
    <w:rsid w:val="16502CDA"/>
    <w:rsid w:val="16557669"/>
    <w:rsid w:val="16797057"/>
    <w:rsid w:val="16BA216A"/>
    <w:rsid w:val="16C72E02"/>
    <w:rsid w:val="16E66CA8"/>
    <w:rsid w:val="17033CFE"/>
    <w:rsid w:val="170B4961"/>
    <w:rsid w:val="172612B9"/>
    <w:rsid w:val="17714319"/>
    <w:rsid w:val="179901BE"/>
    <w:rsid w:val="17A96653"/>
    <w:rsid w:val="17B46264"/>
    <w:rsid w:val="17F51340"/>
    <w:rsid w:val="18177ED1"/>
    <w:rsid w:val="185070DC"/>
    <w:rsid w:val="18673E19"/>
    <w:rsid w:val="18837C5C"/>
    <w:rsid w:val="188A3311"/>
    <w:rsid w:val="18C354F3"/>
    <w:rsid w:val="190B3991"/>
    <w:rsid w:val="19267830"/>
    <w:rsid w:val="192C4FE5"/>
    <w:rsid w:val="19355CC5"/>
    <w:rsid w:val="19362169"/>
    <w:rsid w:val="19397563"/>
    <w:rsid w:val="193D01D8"/>
    <w:rsid w:val="19587403"/>
    <w:rsid w:val="199B0BC1"/>
    <w:rsid w:val="19C93D85"/>
    <w:rsid w:val="1A0A0E60"/>
    <w:rsid w:val="1A0B7134"/>
    <w:rsid w:val="1A2279A0"/>
    <w:rsid w:val="1A241393"/>
    <w:rsid w:val="1A393BF0"/>
    <w:rsid w:val="1A66082C"/>
    <w:rsid w:val="1AA67A69"/>
    <w:rsid w:val="1AE31AEC"/>
    <w:rsid w:val="1AE55376"/>
    <w:rsid w:val="1B0C692E"/>
    <w:rsid w:val="1BBE6686"/>
    <w:rsid w:val="1BC33A5C"/>
    <w:rsid w:val="1C24274C"/>
    <w:rsid w:val="1C395ACC"/>
    <w:rsid w:val="1C5260F7"/>
    <w:rsid w:val="1C626DD1"/>
    <w:rsid w:val="1C654B13"/>
    <w:rsid w:val="1D210BFD"/>
    <w:rsid w:val="1D2B3667"/>
    <w:rsid w:val="1D4B5AB7"/>
    <w:rsid w:val="1D540C49"/>
    <w:rsid w:val="1D617689"/>
    <w:rsid w:val="1D8D377B"/>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E01993"/>
    <w:rsid w:val="1FEA5EA1"/>
    <w:rsid w:val="200F5B69"/>
    <w:rsid w:val="203C7A5B"/>
    <w:rsid w:val="20602C7A"/>
    <w:rsid w:val="20C148C6"/>
    <w:rsid w:val="20E26732"/>
    <w:rsid w:val="215C2350"/>
    <w:rsid w:val="217952E8"/>
    <w:rsid w:val="21C34257"/>
    <w:rsid w:val="21CB5418"/>
    <w:rsid w:val="21F4496F"/>
    <w:rsid w:val="221950B9"/>
    <w:rsid w:val="222D7E81"/>
    <w:rsid w:val="22433DD5"/>
    <w:rsid w:val="22821F7B"/>
    <w:rsid w:val="22A40E2A"/>
    <w:rsid w:val="22CB4C39"/>
    <w:rsid w:val="22DA1DB7"/>
    <w:rsid w:val="22E55B06"/>
    <w:rsid w:val="22F52960"/>
    <w:rsid w:val="22FA2B18"/>
    <w:rsid w:val="23211167"/>
    <w:rsid w:val="23250B58"/>
    <w:rsid w:val="23447230"/>
    <w:rsid w:val="23616034"/>
    <w:rsid w:val="23647A1C"/>
    <w:rsid w:val="23706277"/>
    <w:rsid w:val="2382348F"/>
    <w:rsid w:val="23B73C18"/>
    <w:rsid w:val="247B58A0"/>
    <w:rsid w:val="24855D52"/>
    <w:rsid w:val="248F6BD1"/>
    <w:rsid w:val="24B108F5"/>
    <w:rsid w:val="24D81875"/>
    <w:rsid w:val="24E24F53"/>
    <w:rsid w:val="24E94533"/>
    <w:rsid w:val="250F386E"/>
    <w:rsid w:val="25356324"/>
    <w:rsid w:val="253B22C4"/>
    <w:rsid w:val="25706CBA"/>
    <w:rsid w:val="25900E53"/>
    <w:rsid w:val="25AE3087"/>
    <w:rsid w:val="25B85CB3"/>
    <w:rsid w:val="26011794"/>
    <w:rsid w:val="26094761"/>
    <w:rsid w:val="26751DF6"/>
    <w:rsid w:val="26A92FFB"/>
    <w:rsid w:val="26C02369"/>
    <w:rsid w:val="26CB02AF"/>
    <w:rsid w:val="26DD1E76"/>
    <w:rsid w:val="27145658"/>
    <w:rsid w:val="27283ECE"/>
    <w:rsid w:val="27286E69"/>
    <w:rsid w:val="2733425E"/>
    <w:rsid w:val="27441EF5"/>
    <w:rsid w:val="27E6053F"/>
    <w:rsid w:val="28016BEB"/>
    <w:rsid w:val="280264C3"/>
    <w:rsid w:val="280726C2"/>
    <w:rsid w:val="280E153D"/>
    <w:rsid w:val="285F68BA"/>
    <w:rsid w:val="2863671A"/>
    <w:rsid w:val="288B136F"/>
    <w:rsid w:val="28AB7D51"/>
    <w:rsid w:val="28B01ACD"/>
    <w:rsid w:val="28DE4AA3"/>
    <w:rsid w:val="28E15521"/>
    <w:rsid w:val="28FE4325"/>
    <w:rsid w:val="29026462"/>
    <w:rsid w:val="291E02EB"/>
    <w:rsid w:val="29731ED1"/>
    <w:rsid w:val="29787C34"/>
    <w:rsid w:val="2984058B"/>
    <w:rsid w:val="29BB0FD5"/>
    <w:rsid w:val="29C56BF1"/>
    <w:rsid w:val="29D7148C"/>
    <w:rsid w:val="29DC499B"/>
    <w:rsid w:val="29DD4F4B"/>
    <w:rsid w:val="2A2D4EC2"/>
    <w:rsid w:val="2A3A138D"/>
    <w:rsid w:val="2A573CED"/>
    <w:rsid w:val="2A7523C5"/>
    <w:rsid w:val="2A8D770F"/>
    <w:rsid w:val="2A9E7B6E"/>
    <w:rsid w:val="2AC84BEB"/>
    <w:rsid w:val="2ADF3CE2"/>
    <w:rsid w:val="2AF2558A"/>
    <w:rsid w:val="2B193346"/>
    <w:rsid w:val="2B260516"/>
    <w:rsid w:val="2B2B560D"/>
    <w:rsid w:val="2B6B095B"/>
    <w:rsid w:val="2BC57C52"/>
    <w:rsid w:val="2BF11F1F"/>
    <w:rsid w:val="2C003885"/>
    <w:rsid w:val="2C2E3173"/>
    <w:rsid w:val="2C526E91"/>
    <w:rsid w:val="2C867239"/>
    <w:rsid w:val="2CD930DF"/>
    <w:rsid w:val="2D524754"/>
    <w:rsid w:val="2D573CA4"/>
    <w:rsid w:val="2D9E61E0"/>
    <w:rsid w:val="2DE53D06"/>
    <w:rsid w:val="2E0C4DEE"/>
    <w:rsid w:val="2E291D46"/>
    <w:rsid w:val="2E4D7E0F"/>
    <w:rsid w:val="2E71113D"/>
    <w:rsid w:val="2EF35FAE"/>
    <w:rsid w:val="2EF7784D"/>
    <w:rsid w:val="2F227824"/>
    <w:rsid w:val="2F4440CA"/>
    <w:rsid w:val="2F49150D"/>
    <w:rsid w:val="2F542EF1"/>
    <w:rsid w:val="2F5C1DA5"/>
    <w:rsid w:val="2F653786"/>
    <w:rsid w:val="302B7E84"/>
    <w:rsid w:val="3043740F"/>
    <w:rsid w:val="304C5976"/>
    <w:rsid w:val="30660E93"/>
    <w:rsid w:val="30C73495"/>
    <w:rsid w:val="30D617B5"/>
    <w:rsid w:val="30DF11B1"/>
    <w:rsid w:val="30EB38AE"/>
    <w:rsid w:val="319F3B14"/>
    <w:rsid w:val="3200110E"/>
    <w:rsid w:val="32450C5C"/>
    <w:rsid w:val="328518BA"/>
    <w:rsid w:val="32B855C8"/>
    <w:rsid w:val="32D700C1"/>
    <w:rsid w:val="331570B9"/>
    <w:rsid w:val="332B6F4B"/>
    <w:rsid w:val="33A36954"/>
    <w:rsid w:val="33B71CA0"/>
    <w:rsid w:val="33C148CD"/>
    <w:rsid w:val="33E84297"/>
    <w:rsid w:val="33F85841"/>
    <w:rsid w:val="3402116D"/>
    <w:rsid w:val="340257AD"/>
    <w:rsid w:val="34034EE6"/>
    <w:rsid w:val="3417273F"/>
    <w:rsid w:val="342033A2"/>
    <w:rsid w:val="343B467F"/>
    <w:rsid w:val="347600C7"/>
    <w:rsid w:val="34FF3EF1"/>
    <w:rsid w:val="35216B3A"/>
    <w:rsid w:val="353D01A2"/>
    <w:rsid w:val="3542559A"/>
    <w:rsid w:val="357240D1"/>
    <w:rsid w:val="35E46F67"/>
    <w:rsid w:val="36172D69"/>
    <w:rsid w:val="3621378E"/>
    <w:rsid w:val="36252EF1"/>
    <w:rsid w:val="36392432"/>
    <w:rsid w:val="365A2ACD"/>
    <w:rsid w:val="36CA1CEB"/>
    <w:rsid w:val="36F34D9D"/>
    <w:rsid w:val="37215DAE"/>
    <w:rsid w:val="37385662"/>
    <w:rsid w:val="374401BC"/>
    <w:rsid w:val="37621F23"/>
    <w:rsid w:val="3768578B"/>
    <w:rsid w:val="376F6900"/>
    <w:rsid w:val="377834F5"/>
    <w:rsid w:val="379B4086"/>
    <w:rsid w:val="37AA6032"/>
    <w:rsid w:val="37C54090"/>
    <w:rsid w:val="384E0062"/>
    <w:rsid w:val="386677F1"/>
    <w:rsid w:val="38706B58"/>
    <w:rsid w:val="387A22ED"/>
    <w:rsid w:val="390E705C"/>
    <w:rsid w:val="39404C40"/>
    <w:rsid w:val="395922F3"/>
    <w:rsid w:val="395A7356"/>
    <w:rsid w:val="3962445C"/>
    <w:rsid w:val="39893797"/>
    <w:rsid w:val="399F06E5"/>
    <w:rsid w:val="39A1607B"/>
    <w:rsid w:val="39CE209E"/>
    <w:rsid w:val="3A1D743F"/>
    <w:rsid w:val="3A534510"/>
    <w:rsid w:val="3A6B4003"/>
    <w:rsid w:val="3A924EA9"/>
    <w:rsid w:val="3AB331C1"/>
    <w:rsid w:val="3AD06540"/>
    <w:rsid w:val="3ADF038D"/>
    <w:rsid w:val="3AE37655"/>
    <w:rsid w:val="3B223EA3"/>
    <w:rsid w:val="3B540B0A"/>
    <w:rsid w:val="3B68689B"/>
    <w:rsid w:val="3B845814"/>
    <w:rsid w:val="3B9D79CE"/>
    <w:rsid w:val="3BCC3E0F"/>
    <w:rsid w:val="3C2A559E"/>
    <w:rsid w:val="3C4B567C"/>
    <w:rsid w:val="3C545E01"/>
    <w:rsid w:val="3C7626F9"/>
    <w:rsid w:val="3C7D2064"/>
    <w:rsid w:val="3C8666B4"/>
    <w:rsid w:val="3CAF5C0A"/>
    <w:rsid w:val="3D51730D"/>
    <w:rsid w:val="3D8250CD"/>
    <w:rsid w:val="3D83546E"/>
    <w:rsid w:val="3DB35286"/>
    <w:rsid w:val="3E114C4C"/>
    <w:rsid w:val="3E2D328B"/>
    <w:rsid w:val="3E655A64"/>
    <w:rsid w:val="3E895FE7"/>
    <w:rsid w:val="3E8A4C21"/>
    <w:rsid w:val="3E9958B1"/>
    <w:rsid w:val="3EC50A89"/>
    <w:rsid w:val="3EC82FB3"/>
    <w:rsid w:val="3EE045C9"/>
    <w:rsid w:val="3EE719AC"/>
    <w:rsid w:val="3EEA2F2A"/>
    <w:rsid w:val="3F406FEE"/>
    <w:rsid w:val="3F6833D1"/>
    <w:rsid w:val="3F941354"/>
    <w:rsid w:val="3FAE708C"/>
    <w:rsid w:val="3FDA1030"/>
    <w:rsid w:val="3FF12C3A"/>
    <w:rsid w:val="400A54C8"/>
    <w:rsid w:val="40386761"/>
    <w:rsid w:val="40854466"/>
    <w:rsid w:val="409725E8"/>
    <w:rsid w:val="40A215BE"/>
    <w:rsid w:val="40C050F3"/>
    <w:rsid w:val="40FA4E7B"/>
    <w:rsid w:val="411424C6"/>
    <w:rsid w:val="41201CCA"/>
    <w:rsid w:val="41271358"/>
    <w:rsid w:val="415D3E87"/>
    <w:rsid w:val="417B430D"/>
    <w:rsid w:val="41D028AB"/>
    <w:rsid w:val="41DF489C"/>
    <w:rsid w:val="41E41EB2"/>
    <w:rsid w:val="42106AA5"/>
    <w:rsid w:val="42442C17"/>
    <w:rsid w:val="425816DC"/>
    <w:rsid w:val="426E40F0"/>
    <w:rsid w:val="42762427"/>
    <w:rsid w:val="43184112"/>
    <w:rsid w:val="433E1A96"/>
    <w:rsid w:val="43664B49"/>
    <w:rsid w:val="43D917BF"/>
    <w:rsid w:val="4412230A"/>
    <w:rsid w:val="44390EDF"/>
    <w:rsid w:val="44623562"/>
    <w:rsid w:val="447514E8"/>
    <w:rsid w:val="447F1515"/>
    <w:rsid w:val="44971580"/>
    <w:rsid w:val="449D27EC"/>
    <w:rsid w:val="44A07CD1"/>
    <w:rsid w:val="4519546F"/>
    <w:rsid w:val="45291D8C"/>
    <w:rsid w:val="452F4F77"/>
    <w:rsid w:val="4589726A"/>
    <w:rsid w:val="45A8769B"/>
    <w:rsid w:val="45CD5A14"/>
    <w:rsid w:val="45CF2E79"/>
    <w:rsid w:val="45DB1070"/>
    <w:rsid w:val="46113492"/>
    <w:rsid w:val="4622484A"/>
    <w:rsid w:val="46265A4F"/>
    <w:rsid w:val="463C0496"/>
    <w:rsid w:val="464C3F11"/>
    <w:rsid w:val="46BA3E8B"/>
    <w:rsid w:val="47525B10"/>
    <w:rsid w:val="478F0B12"/>
    <w:rsid w:val="47BC567F"/>
    <w:rsid w:val="47E46F5C"/>
    <w:rsid w:val="47FB61A8"/>
    <w:rsid w:val="480056D8"/>
    <w:rsid w:val="48374480"/>
    <w:rsid w:val="483F277D"/>
    <w:rsid w:val="488E2B78"/>
    <w:rsid w:val="48B40105"/>
    <w:rsid w:val="48BD345D"/>
    <w:rsid w:val="48DF1625"/>
    <w:rsid w:val="48F92F5B"/>
    <w:rsid w:val="48FB2CF7"/>
    <w:rsid w:val="49107A31"/>
    <w:rsid w:val="49372EB2"/>
    <w:rsid w:val="493C25D4"/>
    <w:rsid w:val="494D658F"/>
    <w:rsid w:val="494E5146"/>
    <w:rsid w:val="49BE748D"/>
    <w:rsid w:val="49FB621D"/>
    <w:rsid w:val="4A011398"/>
    <w:rsid w:val="4A05080D"/>
    <w:rsid w:val="4A091ED0"/>
    <w:rsid w:val="4A7D10F6"/>
    <w:rsid w:val="4ABF170F"/>
    <w:rsid w:val="4B243594"/>
    <w:rsid w:val="4B52754A"/>
    <w:rsid w:val="4B6F5345"/>
    <w:rsid w:val="4B8F7BC6"/>
    <w:rsid w:val="4BBA394F"/>
    <w:rsid w:val="4BFD6A13"/>
    <w:rsid w:val="4C2757BD"/>
    <w:rsid w:val="4C3C07ED"/>
    <w:rsid w:val="4C7B4A9E"/>
    <w:rsid w:val="4CC7434F"/>
    <w:rsid w:val="4CD945DE"/>
    <w:rsid w:val="4D03307E"/>
    <w:rsid w:val="4D91713A"/>
    <w:rsid w:val="4DD21759"/>
    <w:rsid w:val="4DF72F6D"/>
    <w:rsid w:val="4E0A47AA"/>
    <w:rsid w:val="4E2F0959"/>
    <w:rsid w:val="4E847CBD"/>
    <w:rsid w:val="4E8E2ED5"/>
    <w:rsid w:val="4ED70257"/>
    <w:rsid w:val="4EE601B2"/>
    <w:rsid w:val="4EF243B2"/>
    <w:rsid w:val="4F3A0C9E"/>
    <w:rsid w:val="4F873249"/>
    <w:rsid w:val="4FEB08B0"/>
    <w:rsid w:val="500951DA"/>
    <w:rsid w:val="501A1D50"/>
    <w:rsid w:val="502D711A"/>
    <w:rsid w:val="503075AA"/>
    <w:rsid w:val="50410780"/>
    <w:rsid w:val="504D156B"/>
    <w:rsid w:val="50524154"/>
    <w:rsid w:val="50BE7306"/>
    <w:rsid w:val="5112712D"/>
    <w:rsid w:val="5119144D"/>
    <w:rsid w:val="513A1AEF"/>
    <w:rsid w:val="51B750E9"/>
    <w:rsid w:val="51BB2E7F"/>
    <w:rsid w:val="5217598C"/>
    <w:rsid w:val="521D69F0"/>
    <w:rsid w:val="522C218B"/>
    <w:rsid w:val="523429E2"/>
    <w:rsid w:val="524C5D58"/>
    <w:rsid w:val="529E11CC"/>
    <w:rsid w:val="530C3041"/>
    <w:rsid w:val="531E71EE"/>
    <w:rsid w:val="5360493A"/>
    <w:rsid w:val="53652785"/>
    <w:rsid w:val="538F24EB"/>
    <w:rsid w:val="5394300C"/>
    <w:rsid w:val="53981F52"/>
    <w:rsid w:val="53A24582"/>
    <w:rsid w:val="53A5521A"/>
    <w:rsid w:val="53BA6155"/>
    <w:rsid w:val="541D3002"/>
    <w:rsid w:val="5454544A"/>
    <w:rsid w:val="54974F18"/>
    <w:rsid w:val="55055AD7"/>
    <w:rsid w:val="55180399"/>
    <w:rsid w:val="55805F3E"/>
    <w:rsid w:val="559A2BCB"/>
    <w:rsid w:val="55A97243"/>
    <w:rsid w:val="55AB30F3"/>
    <w:rsid w:val="55DA73FC"/>
    <w:rsid w:val="55DD516C"/>
    <w:rsid w:val="562A20EE"/>
    <w:rsid w:val="5685572F"/>
    <w:rsid w:val="568764C8"/>
    <w:rsid w:val="568B6949"/>
    <w:rsid w:val="56EF512A"/>
    <w:rsid w:val="56F633DE"/>
    <w:rsid w:val="570010E5"/>
    <w:rsid w:val="570109B9"/>
    <w:rsid w:val="5726041F"/>
    <w:rsid w:val="57460AC2"/>
    <w:rsid w:val="579D4B86"/>
    <w:rsid w:val="57ED3822"/>
    <w:rsid w:val="581326DD"/>
    <w:rsid w:val="583E0FCC"/>
    <w:rsid w:val="588071E3"/>
    <w:rsid w:val="58D97369"/>
    <w:rsid w:val="59446509"/>
    <w:rsid w:val="594C53EE"/>
    <w:rsid w:val="59834C5E"/>
    <w:rsid w:val="598F6750"/>
    <w:rsid w:val="59A8341F"/>
    <w:rsid w:val="59B537F0"/>
    <w:rsid w:val="59C503C4"/>
    <w:rsid w:val="5A1F7AD4"/>
    <w:rsid w:val="5A3F7093"/>
    <w:rsid w:val="5AC468CD"/>
    <w:rsid w:val="5AE71154"/>
    <w:rsid w:val="5B0729AE"/>
    <w:rsid w:val="5B0942E0"/>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B00EB7"/>
    <w:rsid w:val="5CC34005"/>
    <w:rsid w:val="5CD21182"/>
    <w:rsid w:val="5CFB2799"/>
    <w:rsid w:val="5CFC10D2"/>
    <w:rsid w:val="5D156F6C"/>
    <w:rsid w:val="5D384925"/>
    <w:rsid w:val="5D7B1E4D"/>
    <w:rsid w:val="5DB744C7"/>
    <w:rsid w:val="5DD0153B"/>
    <w:rsid w:val="5E0A4982"/>
    <w:rsid w:val="5E3C1BCE"/>
    <w:rsid w:val="5E3F564C"/>
    <w:rsid w:val="5E4E07C9"/>
    <w:rsid w:val="5E682CE6"/>
    <w:rsid w:val="5EE45C2E"/>
    <w:rsid w:val="5FB3249C"/>
    <w:rsid w:val="5FE11ED3"/>
    <w:rsid w:val="602816AC"/>
    <w:rsid w:val="605E6E98"/>
    <w:rsid w:val="6079112D"/>
    <w:rsid w:val="608E20E7"/>
    <w:rsid w:val="60942A5D"/>
    <w:rsid w:val="609B1E7E"/>
    <w:rsid w:val="60B46A9C"/>
    <w:rsid w:val="6155520D"/>
    <w:rsid w:val="615D7134"/>
    <w:rsid w:val="6188241C"/>
    <w:rsid w:val="6189617B"/>
    <w:rsid w:val="619244A7"/>
    <w:rsid w:val="61E6537B"/>
    <w:rsid w:val="62632F8F"/>
    <w:rsid w:val="629D6E17"/>
    <w:rsid w:val="62D96C8E"/>
    <w:rsid w:val="630533C6"/>
    <w:rsid w:val="634174F0"/>
    <w:rsid w:val="6371143E"/>
    <w:rsid w:val="6396158E"/>
    <w:rsid w:val="6397045F"/>
    <w:rsid w:val="63B76FCF"/>
    <w:rsid w:val="63BA7BAA"/>
    <w:rsid w:val="63BF5E84"/>
    <w:rsid w:val="63C870C0"/>
    <w:rsid w:val="63CB2219"/>
    <w:rsid w:val="63F5294F"/>
    <w:rsid w:val="64774C22"/>
    <w:rsid w:val="64E35BA2"/>
    <w:rsid w:val="64E42046"/>
    <w:rsid w:val="64EA1700"/>
    <w:rsid w:val="651D4188"/>
    <w:rsid w:val="652F4185"/>
    <w:rsid w:val="6530119C"/>
    <w:rsid w:val="65353E6F"/>
    <w:rsid w:val="65546448"/>
    <w:rsid w:val="65766A16"/>
    <w:rsid w:val="658729D1"/>
    <w:rsid w:val="65901886"/>
    <w:rsid w:val="65953E0C"/>
    <w:rsid w:val="665C34CD"/>
    <w:rsid w:val="666D296A"/>
    <w:rsid w:val="66A17AC3"/>
    <w:rsid w:val="66B62179"/>
    <w:rsid w:val="66DB3E09"/>
    <w:rsid w:val="670E33AA"/>
    <w:rsid w:val="672111DD"/>
    <w:rsid w:val="67584625"/>
    <w:rsid w:val="675B5B1B"/>
    <w:rsid w:val="67884E65"/>
    <w:rsid w:val="6796339F"/>
    <w:rsid w:val="679A5B4D"/>
    <w:rsid w:val="679D472E"/>
    <w:rsid w:val="67A63223"/>
    <w:rsid w:val="67C84888"/>
    <w:rsid w:val="67CD72E8"/>
    <w:rsid w:val="681B5FA2"/>
    <w:rsid w:val="683C3F47"/>
    <w:rsid w:val="685A68BE"/>
    <w:rsid w:val="68727968"/>
    <w:rsid w:val="68A35D74"/>
    <w:rsid w:val="690802CD"/>
    <w:rsid w:val="69605006"/>
    <w:rsid w:val="696812DA"/>
    <w:rsid w:val="69796E11"/>
    <w:rsid w:val="69A73B89"/>
    <w:rsid w:val="6A181E8D"/>
    <w:rsid w:val="6A325601"/>
    <w:rsid w:val="6A3B177D"/>
    <w:rsid w:val="6A3B3D8A"/>
    <w:rsid w:val="6A5657ED"/>
    <w:rsid w:val="6A616079"/>
    <w:rsid w:val="6A617C95"/>
    <w:rsid w:val="6A640D8F"/>
    <w:rsid w:val="6A753740"/>
    <w:rsid w:val="6AB37DC4"/>
    <w:rsid w:val="6AEC6501"/>
    <w:rsid w:val="6B116D78"/>
    <w:rsid w:val="6B20545A"/>
    <w:rsid w:val="6B2111D2"/>
    <w:rsid w:val="6B301415"/>
    <w:rsid w:val="6B3428F7"/>
    <w:rsid w:val="6B620166"/>
    <w:rsid w:val="6B65611A"/>
    <w:rsid w:val="6B7415B6"/>
    <w:rsid w:val="6B99375A"/>
    <w:rsid w:val="6BA8544F"/>
    <w:rsid w:val="6BF730D7"/>
    <w:rsid w:val="6C1D07EE"/>
    <w:rsid w:val="6C494E84"/>
    <w:rsid w:val="6C565104"/>
    <w:rsid w:val="6C602FC1"/>
    <w:rsid w:val="6CD02EB0"/>
    <w:rsid w:val="6CD24E7A"/>
    <w:rsid w:val="6D3C22F3"/>
    <w:rsid w:val="6D8B27CF"/>
    <w:rsid w:val="6E263E89"/>
    <w:rsid w:val="6E47692C"/>
    <w:rsid w:val="6E6164B5"/>
    <w:rsid w:val="6E62222D"/>
    <w:rsid w:val="6E7361E8"/>
    <w:rsid w:val="6EB44070"/>
    <w:rsid w:val="6EB92620"/>
    <w:rsid w:val="6EE8439B"/>
    <w:rsid w:val="6EEB648C"/>
    <w:rsid w:val="6EF1592B"/>
    <w:rsid w:val="6F3112FC"/>
    <w:rsid w:val="6F394D3C"/>
    <w:rsid w:val="6F3D38C2"/>
    <w:rsid w:val="6F4D6A39"/>
    <w:rsid w:val="6F7E4E45"/>
    <w:rsid w:val="6FB36BC5"/>
    <w:rsid w:val="6FD24C25"/>
    <w:rsid w:val="6FF6546C"/>
    <w:rsid w:val="7000682B"/>
    <w:rsid w:val="70010C88"/>
    <w:rsid w:val="700F0B54"/>
    <w:rsid w:val="70426C52"/>
    <w:rsid w:val="70983CE4"/>
    <w:rsid w:val="70DC62C7"/>
    <w:rsid w:val="712263AB"/>
    <w:rsid w:val="71376F72"/>
    <w:rsid w:val="7145658E"/>
    <w:rsid w:val="715220E5"/>
    <w:rsid w:val="718B37D7"/>
    <w:rsid w:val="71E04ECC"/>
    <w:rsid w:val="72313A8F"/>
    <w:rsid w:val="72381B7C"/>
    <w:rsid w:val="726437BB"/>
    <w:rsid w:val="726A127D"/>
    <w:rsid w:val="728E35F1"/>
    <w:rsid w:val="729B7ABC"/>
    <w:rsid w:val="72B8088B"/>
    <w:rsid w:val="734A4D94"/>
    <w:rsid w:val="734B2FC2"/>
    <w:rsid w:val="7378018E"/>
    <w:rsid w:val="73890E04"/>
    <w:rsid w:val="7395275D"/>
    <w:rsid w:val="73AD6CEC"/>
    <w:rsid w:val="73C03C7E"/>
    <w:rsid w:val="73C91FB4"/>
    <w:rsid w:val="73DE5EB2"/>
    <w:rsid w:val="73ED63CB"/>
    <w:rsid w:val="740F250F"/>
    <w:rsid w:val="74365CEE"/>
    <w:rsid w:val="743E1047"/>
    <w:rsid w:val="744228E5"/>
    <w:rsid w:val="746601C4"/>
    <w:rsid w:val="74780BAC"/>
    <w:rsid w:val="749F723D"/>
    <w:rsid w:val="74A7099A"/>
    <w:rsid w:val="74D177C5"/>
    <w:rsid w:val="74E9081C"/>
    <w:rsid w:val="751678CE"/>
    <w:rsid w:val="751C3136"/>
    <w:rsid w:val="75257396"/>
    <w:rsid w:val="754206C3"/>
    <w:rsid w:val="754B12D3"/>
    <w:rsid w:val="75941572"/>
    <w:rsid w:val="75D61321"/>
    <w:rsid w:val="75F220E9"/>
    <w:rsid w:val="76256605"/>
    <w:rsid w:val="76371099"/>
    <w:rsid w:val="765E4228"/>
    <w:rsid w:val="7693567A"/>
    <w:rsid w:val="76EE28B0"/>
    <w:rsid w:val="7718515B"/>
    <w:rsid w:val="775B7B9D"/>
    <w:rsid w:val="778036C3"/>
    <w:rsid w:val="77A6276C"/>
    <w:rsid w:val="77DD178E"/>
    <w:rsid w:val="781E1591"/>
    <w:rsid w:val="78342545"/>
    <w:rsid w:val="784E0C98"/>
    <w:rsid w:val="78647DA9"/>
    <w:rsid w:val="7889049B"/>
    <w:rsid w:val="788A4695"/>
    <w:rsid w:val="78A77D5C"/>
    <w:rsid w:val="78B44DDC"/>
    <w:rsid w:val="78ED57C7"/>
    <w:rsid w:val="790F4D60"/>
    <w:rsid w:val="791800B8"/>
    <w:rsid w:val="79354FFF"/>
    <w:rsid w:val="7941364C"/>
    <w:rsid w:val="794B2AAD"/>
    <w:rsid w:val="794D6A8B"/>
    <w:rsid w:val="79534C4C"/>
    <w:rsid w:val="7984574E"/>
    <w:rsid w:val="79C8388C"/>
    <w:rsid w:val="79D3028B"/>
    <w:rsid w:val="79E104AA"/>
    <w:rsid w:val="79EB517C"/>
    <w:rsid w:val="79EC750C"/>
    <w:rsid w:val="7A0A5C53"/>
    <w:rsid w:val="7A0E0CCB"/>
    <w:rsid w:val="7A61783D"/>
    <w:rsid w:val="7A7237F8"/>
    <w:rsid w:val="7A740891"/>
    <w:rsid w:val="7A9609AA"/>
    <w:rsid w:val="7A9F1809"/>
    <w:rsid w:val="7AA80846"/>
    <w:rsid w:val="7AB570B4"/>
    <w:rsid w:val="7AB931D5"/>
    <w:rsid w:val="7AEA15E0"/>
    <w:rsid w:val="7AF17F97"/>
    <w:rsid w:val="7AF55786"/>
    <w:rsid w:val="7B0F1047"/>
    <w:rsid w:val="7B4C6D88"/>
    <w:rsid w:val="7B707D38"/>
    <w:rsid w:val="7BB265A2"/>
    <w:rsid w:val="7BB65001"/>
    <w:rsid w:val="7BDC361F"/>
    <w:rsid w:val="7C083123"/>
    <w:rsid w:val="7C4F5666"/>
    <w:rsid w:val="7C5036C5"/>
    <w:rsid w:val="7C5F74F0"/>
    <w:rsid w:val="7C6F4E89"/>
    <w:rsid w:val="7CAB04C7"/>
    <w:rsid w:val="7CAB71AA"/>
    <w:rsid w:val="7CDE5E54"/>
    <w:rsid w:val="7CDF5EAD"/>
    <w:rsid w:val="7CF94903"/>
    <w:rsid w:val="7D252DA4"/>
    <w:rsid w:val="7D6041D6"/>
    <w:rsid w:val="7D697134"/>
    <w:rsid w:val="7DCC76C3"/>
    <w:rsid w:val="7DCD6B6E"/>
    <w:rsid w:val="7DFB04BA"/>
    <w:rsid w:val="7E0E1A8A"/>
    <w:rsid w:val="7E300756"/>
    <w:rsid w:val="7E682F48"/>
    <w:rsid w:val="7E6A6EBA"/>
    <w:rsid w:val="7E7A45CB"/>
    <w:rsid w:val="7E845EE8"/>
    <w:rsid w:val="7F0562FB"/>
    <w:rsid w:val="7F0A03FD"/>
    <w:rsid w:val="7F1C3C4F"/>
    <w:rsid w:val="7F855D7C"/>
    <w:rsid w:val="7FD67122"/>
    <w:rsid w:val="7FF072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0"/>
    <w:pPr>
      <w:keepNext/>
      <w:keepLines/>
      <w:spacing w:before="500" w:beforeLines="0" w:after="500" w:afterLines="0" w:line="578" w:lineRule="auto"/>
      <w:jc w:val="center"/>
      <w:outlineLvl w:val="0"/>
    </w:pPr>
    <w:rPr>
      <w:b/>
      <w:bCs/>
      <w:kern w:val="44"/>
      <w:sz w:val="44"/>
      <w:szCs w:val="44"/>
    </w:rPr>
  </w:style>
  <w:style w:type="paragraph" w:styleId="4">
    <w:name w:val="heading 2"/>
    <w:basedOn w:val="1"/>
    <w:next w:val="1"/>
    <w:link w:val="59"/>
    <w:autoRedefine/>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link w:val="60"/>
    <w:autoRedefine/>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6">
    <w:name w:val="heading 4"/>
    <w:basedOn w:val="1"/>
    <w:next w:val="1"/>
    <w:autoRedefine/>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40">
    <w:name w:val="Default Paragraph Font"/>
    <w:autoRedefine/>
    <w:qFormat/>
    <w:uiPriority w:val="0"/>
    <w:rPr>
      <w:rFonts w:ascii="宋体" w:hAnsi="宋体" w:eastAsia="宋体"/>
      <w:kern w:val="2"/>
      <w:sz w:val="28"/>
      <w:szCs w:val="24"/>
      <w:lang w:val="en-US" w:eastAsia="zh-CN" w:bidi="ar-SA"/>
    </w:rPr>
  </w:style>
  <w:style w:type="table" w:default="1" w:styleId="38">
    <w:name w:val="Normal Table"/>
    <w:autoRedefine/>
    <w:semiHidden/>
    <w:qFormat/>
    <w:uiPriority w:val="0"/>
    <w:tblPr>
      <w:tblCellMar>
        <w:top w:w="0" w:type="dxa"/>
        <w:left w:w="108" w:type="dxa"/>
        <w:bottom w:w="0" w:type="dxa"/>
        <w:right w:w="108" w:type="dxa"/>
      </w:tblCellMar>
    </w:tblPr>
  </w:style>
  <w:style w:type="paragraph" w:customStyle="1" w:styleId="2">
    <w:name w:val="正文格式"/>
    <w:basedOn w:val="1"/>
    <w:autoRedefine/>
    <w:qFormat/>
    <w:uiPriority w:val="99"/>
    <w:pPr>
      <w:widowControl/>
      <w:adjustRightInd w:val="0"/>
      <w:snapToGrid w:val="0"/>
      <w:spacing w:line="400" w:lineRule="atLeast"/>
      <w:ind w:firstLine="482"/>
      <w:textAlignment w:val="baseline"/>
    </w:pPr>
    <w:rPr>
      <w:kern w:val="0"/>
      <w:sz w:val="24"/>
      <w:szCs w:val="22"/>
    </w:rPr>
  </w:style>
  <w:style w:type="paragraph" w:styleId="7">
    <w:name w:val="toc 7"/>
    <w:basedOn w:val="1"/>
    <w:next w:val="1"/>
    <w:autoRedefine/>
    <w:qFormat/>
    <w:uiPriority w:val="0"/>
    <w:pPr>
      <w:ind w:left="2520" w:leftChars="1200"/>
    </w:pPr>
  </w:style>
  <w:style w:type="paragraph" w:styleId="8">
    <w:name w:val="Normal Indent"/>
    <w:basedOn w:val="1"/>
    <w:link w:val="61"/>
    <w:autoRedefine/>
    <w:qFormat/>
    <w:uiPriority w:val="0"/>
    <w:pPr>
      <w:autoSpaceDE w:val="0"/>
      <w:autoSpaceDN w:val="0"/>
      <w:adjustRightInd w:val="0"/>
      <w:ind w:firstLine="420"/>
      <w:jc w:val="left"/>
    </w:pPr>
    <w:rPr>
      <w:rFonts w:ascii="宋体"/>
      <w:kern w:val="0"/>
      <w:sz w:val="24"/>
    </w:rPr>
  </w:style>
  <w:style w:type="paragraph" w:styleId="9">
    <w:name w:val="Document Map"/>
    <w:basedOn w:val="1"/>
    <w:autoRedefine/>
    <w:qFormat/>
    <w:uiPriority w:val="0"/>
    <w:pPr>
      <w:shd w:val="clear" w:color="auto" w:fill="000080"/>
    </w:pPr>
  </w:style>
  <w:style w:type="paragraph" w:styleId="10">
    <w:name w:val="annotation text"/>
    <w:basedOn w:val="1"/>
    <w:autoRedefine/>
    <w:qFormat/>
    <w:uiPriority w:val="0"/>
    <w:pPr>
      <w:jc w:val="left"/>
    </w:pPr>
  </w:style>
  <w:style w:type="paragraph" w:styleId="11">
    <w:name w:val="Body Text 3"/>
    <w:basedOn w:val="1"/>
    <w:autoRedefine/>
    <w:qFormat/>
    <w:uiPriority w:val="0"/>
    <w:rPr>
      <w:rFonts w:eastAsia="楷体_GB2312"/>
      <w:sz w:val="28"/>
    </w:rPr>
  </w:style>
  <w:style w:type="paragraph" w:styleId="12">
    <w:name w:val="Body Text"/>
    <w:basedOn w:val="1"/>
    <w:next w:val="13"/>
    <w:autoRedefine/>
    <w:qFormat/>
    <w:uiPriority w:val="0"/>
    <w:pPr>
      <w:spacing w:after="120" w:afterLines="0"/>
    </w:pPr>
  </w:style>
  <w:style w:type="paragraph" w:styleId="13">
    <w:name w:val="Plain Text"/>
    <w:basedOn w:val="1"/>
    <w:next w:val="12"/>
    <w:link w:val="62"/>
    <w:autoRedefine/>
    <w:qFormat/>
    <w:uiPriority w:val="0"/>
    <w:rPr>
      <w:rFonts w:hAnsi="Courier New" w:eastAsia="幼圆"/>
      <w:kern w:val="0"/>
    </w:rPr>
  </w:style>
  <w:style w:type="paragraph" w:styleId="14">
    <w:name w:val="Body Text Indent"/>
    <w:basedOn w:val="1"/>
    <w:next w:val="15"/>
    <w:link w:val="58"/>
    <w:autoRedefine/>
    <w:qFormat/>
    <w:uiPriority w:val="0"/>
    <w:rPr>
      <w:kern w:val="0"/>
    </w:rPr>
  </w:style>
  <w:style w:type="paragraph" w:styleId="15">
    <w:name w:val="envelope return"/>
    <w:basedOn w:val="1"/>
    <w:autoRedefine/>
    <w:qFormat/>
    <w:uiPriority w:val="0"/>
    <w:pPr>
      <w:snapToGrid w:val="0"/>
    </w:pPr>
    <w:rPr>
      <w:rFonts w:ascii="Arial" w:hAnsi="Arial"/>
    </w:rPr>
  </w:style>
  <w:style w:type="paragraph" w:styleId="16">
    <w:name w:val="Block Text"/>
    <w:basedOn w:val="1"/>
    <w:autoRedefine/>
    <w:unhideWhenUsed/>
    <w:qFormat/>
    <w:uiPriority w:val="99"/>
    <w:pPr>
      <w:spacing w:after="120"/>
      <w:ind w:left="1440" w:leftChars="700" w:right="1440" w:rightChars="700"/>
    </w:pPr>
  </w:style>
  <w:style w:type="paragraph" w:styleId="17">
    <w:name w:val="toc 5"/>
    <w:basedOn w:val="1"/>
    <w:next w:val="1"/>
    <w:autoRedefine/>
    <w:qFormat/>
    <w:uiPriority w:val="0"/>
    <w:pPr>
      <w:ind w:left="1680" w:leftChars="800"/>
    </w:pPr>
  </w:style>
  <w:style w:type="paragraph" w:styleId="18">
    <w:name w:val="toc 3"/>
    <w:basedOn w:val="1"/>
    <w:next w:val="1"/>
    <w:autoRedefine/>
    <w:qFormat/>
    <w:uiPriority w:val="0"/>
    <w:pPr>
      <w:ind w:left="840" w:leftChars="400"/>
    </w:pPr>
  </w:style>
  <w:style w:type="paragraph" w:styleId="19">
    <w:name w:val="toc 8"/>
    <w:basedOn w:val="1"/>
    <w:next w:val="1"/>
    <w:autoRedefine/>
    <w:qFormat/>
    <w:uiPriority w:val="0"/>
    <w:pPr>
      <w:ind w:left="2940" w:leftChars="1400"/>
    </w:pPr>
  </w:style>
  <w:style w:type="paragraph" w:styleId="20">
    <w:name w:val="Date"/>
    <w:basedOn w:val="1"/>
    <w:next w:val="1"/>
    <w:autoRedefine/>
    <w:qFormat/>
    <w:uiPriority w:val="0"/>
    <w:pPr>
      <w:ind w:left="100" w:leftChars="2500"/>
    </w:pPr>
    <w:rPr>
      <w:rFonts w:ascii="宋体" w:hAnsi="宋体"/>
      <w:sz w:val="28"/>
    </w:rPr>
  </w:style>
  <w:style w:type="paragraph" w:styleId="21">
    <w:name w:val="Body Text Indent 2"/>
    <w:basedOn w:val="1"/>
    <w:autoRedefine/>
    <w:qFormat/>
    <w:uiPriority w:val="0"/>
    <w:pPr>
      <w:ind w:firstLine="405" w:firstLineChars="193"/>
    </w:pPr>
    <w:rPr>
      <w:rFonts w:ascii="宋体" w:hAnsi="宋体"/>
    </w:rPr>
  </w:style>
  <w:style w:type="paragraph" w:styleId="22">
    <w:name w:val="Balloon Text"/>
    <w:basedOn w:val="1"/>
    <w:link w:val="63"/>
    <w:autoRedefine/>
    <w:qFormat/>
    <w:uiPriority w:val="0"/>
    <w:rPr>
      <w:rFonts w:ascii="宋体" w:hAnsi="宋体"/>
      <w:sz w:val="18"/>
      <w:szCs w:val="18"/>
    </w:rPr>
  </w:style>
  <w:style w:type="paragraph" w:styleId="23">
    <w:name w:val="footer"/>
    <w:basedOn w:val="1"/>
    <w:autoRedefine/>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4">
    <w:name w:val="header"/>
    <w:basedOn w:val="1"/>
    <w:next w:val="23"/>
    <w:autoRedefine/>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5">
    <w:name w:val="toc 1"/>
    <w:basedOn w:val="1"/>
    <w:next w:val="1"/>
    <w:autoRedefine/>
    <w:qFormat/>
    <w:uiPriority w:val="39"/>
  </w:style>
  <w:style w:type="paragraph" w:styleId="26">
    <w:name w:val="toc 4"/>
    <w:basedOn w:val="1"/>
    <w:next w:val="1"/>
    <w:autoRedefine/>
    <w:qFormat/>
    <w:uiPriority w:val="0"/>
    <w:pPr>
      <w:ind w:left="1260" w:leftChars="600"/>
    </w:pPr>
  </w:style>
  <w:style w:type="paragraph" w:styleId="27">
    <w:name w:val="toc 6"/>
    <w:basedOn w:val="1"/>
    <w:next w:val="1"/>
    <w:autoRedefine/>
    <w:qFormat/>
    <w:uiPriority w:val="0"/>
    <w:pPr>
      <w:ind w:left="2100" w:leftChars="1000"/>
    </w:pPr>
  </w:style>
  <w:style w:type="paragraph" w:styleId="28">
    <w:name w:val="Body Text Indent 3"/>
    <w:basedOn w:val="1"/>
    <w:autoRedefine/>
    <w:qFormat/>
    <w:uiPriority w:val="0"/>
    <w:pPr>
      <w:ind w:firstLine="420" w:firstLineChars="200"/>
    </w:pPr>
    <w:rPr>
      <w:rFonts w:ascii="宋体" w:hAnsi="宋体"/>
    </w:rPr>
  </w:style>
  <w:style w:type="paragraph" w:styleId="29">
    <w:name w:val="toc 2"/>
    <w:basedOn w:val="1"/>
    <w:next w:val="1"/>
    <w:autoRedefine/>
    <w:qFormat/>
    <w:uiPriority w:val="0"/>
    <w:pPr>
      <w:ind w:left="420" w:leftChars="200"/>
    </w:pPr>
  </w:style>
  <w:style w:type="paragraph" w:styleId="30">
    <w:name w:val="toc 9"/>
    <w:basedOn w:val="1"/>
    <w:next w:val="1"/>
    <w:autoRedefine/>
    <w:qFormat/>
    <w:uiPriority w:val="0"/>
    <w:pPr>
      <w:ind w:left="3360" w:leftChars="1600"/>
    </w:pPr>
  </w:style>
  <w:style w:type="paragraph" w:styleId="31">
    <w:name w:val="Body Text 2"/>
    <w:basedOn w:val="1"/>
    <w:autoRedefine/>
    <w:qFormat/>
    <w:uiPriority w:val="0"/>
    <w:pPr>
      <w:spacing w:after="120" w:afterLines="0" w:line="480" w:lineRule="auto"/>
    </w:pPr>
  </w:style>
  <w:style w:type="paragraph" w:styleId="32">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33">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paragraph" w:styleId="34">
    <w:name w:val="index 1"/>
    <w:basedOn w:val="1"/>
    <w:next w:val="1"/>
    <w:autoRedefine/>
    <w:qFormat/>
    <w:uiPriority w:val="0"/>
    <w:rPr>
      <w:szCs w:val="20"/>
    </w:rPr>
  </w:style>
  <w:style w:type="paragraph" w:styleId="35">
    <w:name w:val="Title"/>
    <w:basedOn w:val="1"/>
    <w:next w:val="1"/>
    <w:autoRedefine/>
    <w:qFormat/>
    <w:uiPriority w:val="0"/>
    <w:pPr>
      <w:spacing w:before="240" w:beforeLines="0" w:after="60" w:afterLines="0"/>
      <w:jc w:val="center"/>
      <w:outlineLvl w:val="0"/>
    </w:pPr>
    <w:rPr>
      <w:rFonts w:ascii="Arial" w:hAnsi="Arial" w:eastAsia="宋体" w:cs="Arial"/>
      <w:b/>
      <w:bCs/>
      <w:sz w:val="32"/>
      <w:szCs w:val="32"/>
    </w:rPr>
  </w:style>
  <w:style w:type="paragraph" w:styleId="36">
    <w:name w:val="Body Text First Indent"/>
    <w:basedOn w:val="12"/>
    <w:next w:val="37"/>
    <w:autoRedefine/>
    <w:qFormat/>
    <w:uiPriority w:val="0"/>
  </w:style>
  <w:style w:type="paragraph" w:styleId="37">
    <w:name w:val="Body Text First Indent 2"/>
    <w:basedOn w:val="14"/>
    <w:next w:val="1"/>
    <w:autoRedefine/>
    <w:qFormat/>
    <w:uiPriority w:val="0"/>
    <w:pPr>
      <w:numPr>
        <w:ilvl w:val="0"/>
        <w:numId w:val="0"/>
      </w:numPr>
      <w:spacing w:after="120" w:afterLines="0"/>
    </w:pPr>
  </w:style>
  <w:style w:type="table" w:styleId="39">
    <w:name w:val="Table Grid"/>
    <w:basedOn w:val="3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autoRedefine/>
    <w:qFormat/>
    <w:uiPriority w:val="0"/>
    <w:rPr>
      <w:lang w:val="en-US" w:eastAsia="zh-CN" w:bidi="ar-SA"/>
    </w:rPr>
  </w:style>
  <w:style w:type="character" w:styleId="42">
    <w:name w:val="FollowedHyperlink"/>
    <w:autoRedefine/>
    <w:qFormat/>
    <w:uiPriority w:val="0"/>
    <w:rPr>
      <w:rFonts w:ascii="宋体" w:hAnsi="宋体" w:eastAsia="宋体"/>
      <w:color w:val="333333"/>
      <w:kern w:val="2"/>
      <w:sz w:val="18"/>
      <w:szCs w:val="18"/>
      <w:u w:val="none"/>
      <w:lang w:val="en-US" w:eastAsia="zh-CN" w:bidi="ar-SA"/>
    </w:rPr>
  </w:style>
  <w:style w:type="character" w:styleId="43">
    <w:name w:val="HTML Definition"/>
    <w:autoRedefine/>
    <w:qFormat/>
    <w:uiPriority w:val="0"/>
    <w:rPr>
      <w:lang w:val="en-US" w:eastAsia="zh-CN" w:bidi="ar-SA"/>
    </w:rPr>
  </w:style>
  <w:style w:type="character" w:styleId="44">
    <w:name w:val="HTML Typewriter"/>
    <w:autoRedefine/>
    <w:qFormat/>
    <w:uiPriority w:val="0"/>
    <w:rPr>
      <w:rFonts w:hint="default" w:ascii="monospace" w:hAnsi="monospace" w:eastAsia="monospace" w:cs="monospace"/>
      <w:sz w:val="20"/>
      <w:lang w:val="en-US" w:eastAsia="zh-CN" w:bidi="ar-SA"/>
    </w:rPr>
  </w:style>
  <w:style w:type="character" w:styleId="45">
    <w:name w:val="HTML Acronym"/>
    <w:autoRedefine/>
    <w:qFormat/>
    <w:uiPriority w:val="0"/>
    <w:rPr>
      <w:lang w:val="en-US" w:eastAsia="zh-CN" w:bidi="ar-SA"/>
    </w:rPr>
  </w:style>
  <w:style w:type="character" w:styleId="46">
    <w:name w:val="HTML Variable"/>
    <w:autoRedefine/>
    <w:qFormat/>
    <w:uiPriority w:val="0"/>
    <w:rPr>
      <w:lang w:val="en-US" w:eastAsia="zh-CN" w:bidi="ar-SA"/>
    </w:rPr>
  </w:style>
  <w:style w:type="character" w:styleId="47">
    <w:name w:val="Hyperlink"/>
    <w:autoRedefine/>
    <w:qFormat/>
    <w:uiPriority w:val="99"/>
    <w:rPr>
      <w:rFonts w:ascii="宋体" w:hAnsi="宋体" w:eastAsia="宋体"/>
      <w:color w:val="0000FF"/>
      <w:kern w:val="2"/>
      <w:sz w:val="28"/>
      <w:szCs w:val="24"/>
      <w:u w:val="single"/>
      <w:lang w:val="en-US" w:eastAsia="zh-CN" w:bidi="ar-SA"/>
    </w:rPr>
  </w:style>
  <w:style w:type="character" w:styleId="48">
    <w:name w:val="HTML Code"/>
    <w:autoRedefine/>
    <w:qFormat/>
    <w:uiPriority w:val="0"/>
    <w:rPr>
      <w:rFonts w:ascii="monospace" w:hAnsi="monospace" w:eastAsia="monospace" w:cs="monospace"/>
      <w:sz w:val="20"/>
      <w:lang w:val="en-US" w:eastAsia="zh-CN" w:bidi="ar-SA"/>
    </w:rPr>
  </w:style>
  <w:style w:type="character" w:styleId="49">
    <w:name w:val="HTML Cite"/>
    <w:autoRedefine/>
    <w:qFormat/>
    <w:uiPriority w:val="0"/>
    <w:rPr>
      <w:lang w:val="en-US" w:eastAsia="zh-CN" w:bidi="ar-SA"/>
    </w:rPr>
  </w:style>
  <w:style w:type="character" w:styleId="50">
    <w:name w:val="HTML Keyboard"/>
    <w:autoRedefine/>
    <w:qFormat/>
    <w:uiPriority w:val="0"/>
    <w:rPr>
      <w:rFonts w:hint="default" w:ascii="monospace" w:hAnsi="monospace" w:eastAsia="monospace" w:cs="monospace"/>
      <w:sz w:val="20"/>
      <w:lang w:val="en-US" w:eastAsia="zh-CN" w:bidi="ar-SA"/>
    </w:rPr>
  </w:style>
  <w:style w:type="character" w:styleId="51">
    <w:name w:val="HTML Sample"/>
    <w:autoRedefine/>
    <w:qFormat/>
    <w:uiPriority w:val="0"/>
    <w:rPr>
      <w:rFonts w:hint="default" w:ascii="monospace" w:hAnsi="monospace" w:eastAsia="monospace" w:cs="monospace"/>
      <w:lang w:val="en-US" w:eastAsia="zh-CN" w:bidi="ar-SA"/>
    </w:rPr>
  </w:style>
  <w:style w:type="paragraph" w:customStyle="1" w:styleId="52">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3">
    <w:name w:val="Char Char10 Char Char Char Char"/>
    <w:basedOn w:val="1"/>
    <w:next w:val="54"/>
    <w:autoRedefine/>
    <w:qFormat/>
    <w:uiPriority w:val="0"/>
  </w:style>
  <w:style w:type="paragraph" w:customStyle="1" w:styleId="54">
    <w:name w:val="xl87"/>
    <w:basedOn w:val="1"/>
    <w:next w:val="55"/>
    <w:autoRedefine/>
    <w:qFormat/>
    <w:uiPriority w:val="0"/>
    <w:pPr>
      <w:widowControl/>
      <w:shd w:val="clear" w:color="FFFFFF" w:fill="FFFFFF"/>
      <w:spacing w:before="280" w:beforeLines="0" w:after="280" w:afterLines="0"/>
      <w:jc w:val="right"/>
    </w:pPr>
    <w:rPr>
      <w:rFonts w:ascii="宋体"/>
      <w:sz w:val="24"/>
    </w:rPr>
  </w:style>
  <w:style w:type="paragraph" w:customStyle="1" w:styleId="55">
    <w:name w:val="xl72"/>
    <w:basedOn w:val="1"/>
    <w:next w:val="20"/>
    <w:autoRedefine/>
    <w:qFormat/>
    <w:uiPriority w:val="0"/>
    <w:pPr>
      <w:widowControl/>
      <w:shd w:val="clear" w:color="FFFFFF" w:fill="FFFFFF"/>
      <w:spacing w:before="280" w:beforeLines="0" w:after="280" w:afterLines="0"/>
      <w:jc w:val="right"/>
    </w:pPr>
    <w:rPr>
      <w:rFonts w:ascii="宋体"/>
      <w:sz w:val="24"/>
    </w:rPr>
  </w:style>
  <w:style w:type="paragraph" w:customStyle="1" w:styleId="56">
    <w:name w:val="表格文字"/>
    <w:basedOn w:val="1"/>
    <w:next w:val="12"/>
    <w:autoRedefine/>
    <w:qFormat/>
    <w:uiPriority w:val="0"/>
    <w:pPr>
      <w:adjustRightInd w:val="0"/>
      <w:spacing w:line="420" w:lineRule="atLeast"/>
      <w:jc w:val="left"/>
      <w:textAlignment w:val="baseline"/>
    </w:pPr>
    <w:rPr>
      <w:kern w:val="0"/>
      <w:szCs w:val="20"/>
    </w:rPr>
  </w:style>
  <w:style w:type="paragraph" w:customStyle="1" w:styleId="57">
    <w:name w:val="No Spacing1"/>
    <w:basedOn w:val="1"/>
    <w:autoRedefine/>
    <w:qFormat/>
    <w:uiPriority w:val="0"/>
    <w:pPr>
      <w:spacing w:after="0" w:afterLines="0" w:line="400" w:lineRule="exact"/>
    </w:pPr>
    <w:rPr>
      <w:rFonts w:ascii="Calibri" w:hAnsi="Calibri" w:eastAsia="宋体" w:cs="黑体"/>
      <w:sz w:val="24"/>
      <w:lang w:val="en-US" w:eastAsia="zh-CN" w:bidi="ar-SA"/>
    </w:rPr>
  </w:style>
  <w:style w:type="character" w:customStyle="1" w:styleId="58">
    <w:name w:val="正文文本缩进 Char"/>
    <w:link w:val="14"/>
    <w:autoRedefine/>
    <w:qFormat/>
    <w:uiPriority w:val="0"/>
    <w:rPr>
      <w:sz w:val="21"/>
      <w:lang w:val="en-US" w:eastAsia="zh-CN" w:bidi="ar-SA"/>
    </w:rPr>
  </w:style>
  <w:style w:type="character" w:customStyle="1" w:styleId="59">
    <w:name w:val="标题 2 Char"/>
    <w:link w:val="4"/>
    <w:autoRedefine/>
    <w:qFormat/>
    <w:uiPriority w:val="0"/>
    <w:rPr>
      <w:rFonts w:ascii="Arial" w:hAnsi="Arial" w:eastAsia="黑体"/>
      <w:b/>
      <w:bCs/>
      <w:kern w:val="2"/>
      <w:sz w:val="32"/>
      <w:szCs w:val="32"/>
      <w:lang w:val="en-US" w:eastAsia="zh-CN" w:bidi="ar-SA"/>
    </w:rPr>
  </w:style>
  <w:style w:type="character" w:customStyle="1" w:styleId="60">
    <w:name w:val="标题 3 Char"/>
    <w:link w:val="5"/>
    <w:autoRedefine/>
    <w:qFormat/>
    <w:uiPriority w:val="0"/>
    <w:rPr>
      <w:rFonts w:ascii="宋体" w:hAnsi="宋体" w:eastAsia="幼圆"/>
      <w:b/>
      <w:bCs/>
      <w:kern w:val="2"/>
      <w:sz w:val="32"/>
      <w:szCs w:val="32"/>
      <w:lang w:val="en-US" w:eastAsia="zh-CN" w:bidi="ar-SA"/>
    </w:rPr>
  </w:style>
  <w:style w:type="character" w:customStyle="1" w:styleId="61">
    <w:name w:val="正文缩进 Char"/>
    <w:link w:val="8"/>
    <w:autoRedefine/>
    <w:qFormat/>
    <w:uiPriority w:val="0"/>
    <w:rPr>
      <w:rFonts w:ascii="宋体"/>
      <w:sz w:val="24"/>
    </w:rPr>
  </w:style>
  <w:style w:type="character" w:customStyle="1" w:styleId="62">
    <w:name w:val="纯文本 Char"/>
    <w:link w:val="13"/>
    <w:autoRedefine/>
    <w:qFormat/>
    <w:uiPriority w:val="0"/>
    <w:rPr>
      <w:rFonts w:hAnsi="Courier New" w:eastAsia="幼圆"/>
      <w:sz w:val="21"/>
      <w:lang w:val="en-US" w:eastAsia="zh-CN" w:bidi="ar-SA"/>
    </w:rPr>
  </w:style>
  <w:style w:type="character" w:customStyle="1" w:styleId="63">
    <w:name w:val="批注框文本 Char"/>
    <w:link w:val="22"/>
    <w:autoRedefine/>
    <w:qFormat/>
    <w:uiPriority w:val="0"/>
    <w:rPr>
      <w:rFonts w:ascii="宋体" w:hAnsi="宋体" w:eastAsia="宋体"/>
      <w:kern w:val="2"/>
      <w:sz w:val="18"/>
      <w:szCs w:val="18"/>
      <w:lang w:val="en-US" w:eastAsia="zh-CN" w:bidi="ar-SA"/>
    </w:rPr>
  </w:style>
  <w:style w:type="character" w:customStyle="1" w:styleId="64">
    <w:name w:val="页眉 Char Char"/>
    <w:autoRedefine/>
    <w:qFormat/>
    <w:uiPriority w:val="0"/>
    <w:rPr>
      <w:rFonts w:ascii="宋体" w:hAnsi="宋体" w:eastAsia="宋体"/>
      <w:kern w:val="2"/>
      <w:sz w:val="18"/>
      <w:szCs w:val="18"/>
      <w:lang w:val="en-US" w:eastAsia="zh-CN" w:bidi="ar-SA"/>
    </w:rPr>
  </w:style>
  <w:style w:type="character" w:customStyle="1" w:styleId="65">
    <w:name w:val="页脚 Char Char"/>
    <w:autoRedefine/>
    <w:qFormat/>
    <w:uiPriority w:val="0"/>
    <w:rPr>
      <w:rFonts w:ascii="宋体" w:hAnsi="宋体" w:eastAsia="宋体"/>
      <w:kern w:val="2"/>
      <w:sz w:val="18"/>
      <w:szCs w:val="18"/>
      <w:lang w:val="en-US" w:eastAsia="zh-CN" w:bidi="ar-SA"/>
    </w:rPr>
  </w:style>
  <w:style w:type="character" w:customStyle="1" w:styleId="66">
    <w:name w:val="ca-21"/>
    <w:autoRedefine/>
    <w:qFormat/>
    <w:uiPriority w:val="0"/>
    <w:rPr>
      <w:rFonts w:hint="eastAsia" w:ascii="仿宋_GB2312" w:eastAsia="仿宋_GB2312"/>
      <w:sz w:val="32"/>
      <w:szCs w:val="32"/>
    </w:rPr>
  </w:style>
  <w:style w:type="character" w:customStyle="1" w:styleId="67">
    <w:name w:val="ca-31"/>
    <w:autoRedefine/>
    <w:qFormat/>
    <w:uiPriority w:val="0"/>
    <w:rPr>
      <w:rFonts w:hint="eastAsia" w:ascii="仿宋_GB2312" w:eastAsia="仿宋_GB2312"/>
      <w:b/>
      <w:bCs/>
      <w:spacing w:val="-20"/>
      <w:sz w:val="32"/>
      <w:szCs w:val="32"/>
    </w:rPr>
  </w:style>
  <w:style w:type="character" w:customStyle="1" w:styleId="68">
    <w:name w:val="UserStyle_17"/>
    <w:autoRedefine/>
    <w:qFormat/>
    <w:uiPriority w:val="0"/>
    <w:rPr>
      <w:rFonts w:ascii="Times New Roman" w:hAnsi="Times New Roman" w:eastAsia="宋体" w:cs="Times New Roman"/>
      <w:kern w:val="2"/>
      <w:sz w:val="21"/>
      <w:szCs w:val="24"/>
      <w:lang w:val="en-US" w:eastAsia="zh-CN" w:bidi="ar-SA"/>
    </w:rPr>
  </w:style>
  <w:style w:type="character" w:customStyle="1" w:styleId="69">
    <w:name w:val="ca-11"/>
    <w:autoRedefine/>
    <w:qFormat/>
    <w:uiPriority w:val="0"/>
    <w:rPr>
      <w:rFonts w:hint="default" w:ascii="Times New Roman" w:hAnsi="Times New Roman" w:cs="Times New Roman"/>
      <w:sz w:val="32"/>
      <w:szCs w:val="32"/>
    </w:rPr>
  </w:style>
  <w:style w:type="character" w:customStyle="1" w:styleId="70">
    <w:name w:val="font11"/>
    <w:autoRedefine/>
    <w:qFormat/>
    <w:uiPriority w:val="0"/>
    <w:rPr>
      <w:rFonts w:hint="eastAsia" w:ascii="宋体" w:hAnsi="宋体" w:eastAsia="宋体" w:cs="宋体"/>
      <w:color w:val="000000"/>
      <w:sz w:val="20"/>
      <w:szCs w:val="20"/>
      <w:u w:val="none"/>
    </w:rPr>
  </w:style>
  <w:style w:type="character" w:customStyle="1" w:styleId="71">
    <w:name w:val="Char Char Char"/>
    <w:autoRedefine/>
    <w:qFormat/>
    <w:uiPriority w:val="0"/>
    <w:rPr>
      <w:rFonts w:ascii="Arial" w:hAnsi="Arial" w:eastAsia="黑体"/>
      <w:b/>
      <w:bCs/>
      <w:kern w:val="2"/>
      <w:sz w:val="32"/>
      <w:szCs w:val="32"/>
      <w:lang w:val="en-US" w:eastAsia="zh-CN" w:bidi="ar-SA"/>
    </w:rPr>
  </w:style>
  <w:style w:type="character" w:customStyle="1" w:styleId="72">
    <w:name w:val="ca-121"/>
    <w:autoRedefine/>
    <w:qFormat/>
    <w:uiPriority w:val="0"/>
    <w:rPr>
      <w:rFonts w:hint="eastAsia" w:ascii="仿宋_GB2312" w:eastAsia="仿宋_GB2312"/>
      <w:color w:val="000000"/>
      <w:sz w:val="21"/>
      <w:szCs w:val="21"/>
    </w:rPr>
  </w:style>
  <w:style w:type="paragraph" w:customStyle="1" w:styleId="73">
    <w:name w:val="样式 正文文字 + 小四 段后: 0 磅 行距: 1.5 倍行距"/>
    <w:basedOn w:val="12"/>
    <w:autoRedefine/>
    <w:qFormat/>
    <w:uiPriority w:val="0"/>
    <w:pPr>
      <w:spacing w:after="0" w:afterLines="0" w:line="360" w:lineRule="auto"/>
      <w:ind w:firstLine="480" w:firstLineChars="200"/>
    </w:pPr>
    <w:rPr>
      <w:rFonts w:cs="宋体"/>
      <w:sz w:val="24"/>
      <w:szCs w:val="20"/>
    </w:rPr>
  </w:style>
  <w:style w:type="paragraph" w:customStyle="1" w:styleId="74">
    <w:name w:val="pa-58"/>
    <w:basedOn w:val="1"/>
    <w:autoRedefine/>
    <w:qFormat/>
    <w:uiPriority w:val="0"/>
    <w:pPr>
      <w:widowControl/>
      <w:spacing w:line="240" w:lineRule="atLeast"/>
      <w:ind w:firstLine="460"/>
    </w:pPr>
    <w:rPr>
      <w:rFonts w:ascii="宋体" w:hAnsi="宋体" w:cs="宋体"/>
      <w:kern w:val="0"/>
      <w:sz w:val="24"/>
    </w:rPr>
  </w:style>
  <w:style w:type="paragraph" w:customStyle="1" w:styleId="75">
    <w:name w:val="xl26"/>
    <w:basedOn w:val="1"/>
    <w:autoRedefine/>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6">
    <w:name w:val="普通(网站)1"/>
    <w:basedOn w:val="1"/>
    <w:autoRedefine/>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7">
    <w:name w:val="pa-6"/>
    <w:basedOn w:val="1"/>
    <w:autoRedefine/>
    <w:qFormat/>
    <w:uiPriority w:val="0"/>
    <w:pPr>
      <w:widowControl/>
      <w:spacing w:line="360" w:lineRule="atLeast"/>
    </w:pPr>
    <w:rPr>
      <w:rFonts w:ascii="宋体" w:hAnsi="宋体" w:cs="宋体"/>
      <w:kern w:val="0"/>
      <w:sz w:val="24"/>
    </w:rPr>
  </w:style>
  <w:style w:type="paragraph" w:customStyle="1" w:styleId="78">
    <w:name w:val="pa-2"/>
    <w:basedOn w:val="1"/>
    <w:autoRedefine/>
    <w:qFormat/>
    <w:uiPriority w:val="0"/>
    <w:pPr>
      <w:widowControl/>
      <w:spacing w:line="360" w:lineRule="atLeast"/>
    </w:pPr>
    <w:rPr>
      <w:rFonts w:ascii="宋体" w:hAnsi="宋体" w:cs="宋体"/>
      <w:kern w:val="0"/>
      <w:sz w:val="24"/>
    </w:rPr>
  </w:style>
  <w:style w:type="paragraph" w:customStyle="1" w:styleId="79">
    <w:name w:val="Heading 1"/>
    <w:basedOn w:val="1"/>
    <w:autoRedefine/>
    <w:qFormat/>
    <w:uiPriority w:val="0"/>
    <w:pPr>
      <w:outlineLvl w:val="1"/>
    </w:pPr>
    <w:rPr>
      <w:rFonts w:ascii="黑体" w:hAnsi="黑体" w:eastAsia="黑体"/>
      <w:b/>
      <w:bCs/>
      <w:sz w:val="44"/>
      <w:szCs w:val="44"/>
    </w:rPr>
  </w:style>
  <w:style w:type="paragraph" w:customStyle="1" w:styleId="80">
    <w:name w:val="UserStyle_0"/>
    <w:autoRedefine/>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1">
    <w:name w:val="正文（首行缩进一字）"/>
    <w:basedOn w:val="1"/>
    <w:autoRedefine/>
    <w:qFormat/>
    <w:uiPriority w:val="0"/>
  </w:style>
  <w:style w:type="paragraph" w:customStyle="1" w:styleId="82">
    <w:name w:val="pa-53"/>
    <w:basedOn w:val="1"/>
    <w:autoRedefine/>
    <w:qFormat/>
    <w:uiPriority w:val="0"/>
    <w:pPr>
      <w:widowControl/>
      <w:spacing w:line="240" w:lineRule="atLeast"/>
    </w:pPr>
    <w:rPr>
      <w:rFonts w:ascii="宋体" w:hAnsi="宋体" w:cs="宋体"/>
      <w:kern w:val="0"/>
      <w:sz w:val="24"/>
    </w:rPr>
  </w:style>
  <w:style w:type="paragraph" w:customStyle="1" w:styleId="83">
    <w:name w:val="列出段落1"/>
    <w:basedOn w:val="1"/>
    <w:autoRedefine/>
    <w:qFormat/>
    <w:uiPriority w:val="0"/>
    <w:pPr>
      <w:ind w:firstLine="420" w:firstLineChars="200"/>
    </w:pPr>
    <w:rPr>
      <w:rFonts w:ascii="Times New Roman" w:hAnsi="Times New Roman" w:eastAsia="宋体" w:cs="Times New Roman"/>
    </w:rPr>
  </w:style>
  <w:style w:type="paragraph" w:customStyle="1" w:styleId="84">
    <w:name w:val="标题 11"/>
    <w:basedOn w:val="1"/>
    <w:autoRedefine/>
    <w:qFormat/>
    <w:uiPriority w:val="0"/>
    <w:pPr>
      <w:jc w:val="left"/>
      <w:outlineLvl w:val="1"/>
    </w:pPr>
    <w:rPr>
      <w:rFonts w:ascii="黑体" w:hAnsi="黑体" w:eastAsia="黑体" w:cs="Times New Roman"/>
      <w:b/>
      <w:bCs/>
      <w:kern w:val="0"/>
      <w:sz w:val="44"/>
      <w:szCs w:val="44"/>
      <w:lang w:eastAsia="en-US"/>
    </w:rPr>
  </w:style>
  <w:style w:type="paragraph" w:customStyle="1" w:styleId="85">
    <w:name w:val="无间隔1"/>
    <w:basedOn w:val="1"/>
    <w:autoRedefine/>
    <w:qFormat/>
    <w:uiPriority w:val="0"/>
    <w:pPr>
      <w:spacing w:line="400" w:lineRule="exact"/>
    </w:pPr>
    <w:rPr>
      <w:rFonts w:eastAsia="宋体"/>
      <w:sz w:val="24"/>
    </w:rPr>
  </w:style>
  <w:style w:type="paragraph" w:customStyle="1" w:styleId="86">
    <w:name w:val="TOC Heading1"/>
    <w:next w:val="1"/>
    <w:autoRedefine/>
    <w:qFormat/>
    <w:uiPriority w:val="0"/>
    <w:pPr>
      <w:wordWrap w:val="0"/>
    </w:pPr>
    <w:rPr>
      <w:rFonts w:ascii="Calibri" w:hAnsi="Calibri" w:eastAsia="宋体" w:cs="Times New Roman"/>
      <w:sz w:val="32"/>
      <w:szCs w:val="22"/>
      <w:lang w:val="en-US" w:eastAsia="zh-CN" w:bidi="ar-SA"/>
    </w:rPr>
  </w:style>
  <w:style w:type="paragraph" w:customStyle="1" w:styleId="87">
    <w:name w:val="目录 31"/>
    <w:basedOn w:val="1"/>
    <w:autoRedefine/>
    <w:qFormat/>
    <w:uiPriority w:val="0"/>
    <w:pPr>
      <w:spacing w:before="35" w:beforeLines="0"/>
      <w:ind w:left="330"/>
      <w:jc w:val="left"/>
    </w:pPr>
    <w:rPr>
      <w:rFonts w:ascii="宋体" w:hAnsi="宋体" w:cs="Times New Roman"/>
      <w:b/>
      <w:bCs/>
      <w:kern w:val="0"/>
      <w:sz w:val="20"/>
      <w:lang w:eastAsia="en-US"/>
    </w:rPr>
  </w:style>
  <w:style w:type="paragraph" w:customStyle="1" w:styleId="88">
    <w:name w:val="标题 21"/>
    <w:basedOn w:val="1"/>
    <w:autoRedefine/>
    <w:qFormat/>
    <w:uiPriority w:val="0"/>
    <w:pPr>
      <w:ind w:left="117"/>
      <w:jc w:val="left"/>
      <w:outlineLvl w:val="2"/>
    </w:pPr>
    <w:rPr>
      <w:rFonts w:ascii="黑体" w:hAnsi="黑体" w:eastAsia="黑体" w:cs="Times New Roman"/>
      <w:b/>
      <w:bCs/>
      <w:kern w:val="0"/>
      <w:sz w:val="32"/>
      <w:szCs w:val="32"/>
      <w:lang w:eastAsia="en-US"/>
    </w:rPr>
  </w:style>
  <w:style w:type="paragraph" w:customStyle="1" w:styleId="89">
    <w:name w:val="pa-62"/>
    <w:basedOn w:val="1"/>
    <w:autoRedefine/>
    <w:qFormat/>
    <w:uiPriority w:val="0"/>
    <w:pPr>
      <w:widowControl/>
      <w:spacing w:line="240" w:lineRule="atLeast"/>
    </w:pPr>
    <w:rPr>
      <w:rFonts w:ascii="宋体" w:hAnsi="宋体" w:cs="宋体"/>
      <w:kern w:val="0"/>
      <w:sz w:val="24"/>
    </w:rPr>
  </w:style>
  <w:style w:type="paragraph" w:customStyle="1" w:styleId="90">
    <w:name w:val="_Style 80"/>
    <w:autoRedefine/>
    <w:qFormat/>
    <w:uiPriority w:val="0"/>
    <w:rPr>
      <w:rFonts w:ascii="Times New Roman" w:hAnsi="Times New Roman" w:eastAsia="宋体" w:cs="Times New Roman"/>
      <w:kern w:val="2"/>
      <w:sz w:val="21"/>
      <w:lang w:val="en-US" w:eastAsia="zh-CN" w:bidi="ar-SA"/>
    </w:rPr>
  </w:style>
  <w:style w:type="paragraph" w:customStyle="1" w:styleId="91">
    <w:name w:val="p0"/>
    <w:basedOn w:val="1"/>
    <w:autoRedefine/>
    <w:qFormat/>
    <w:uiPriority w:val="0"/>
    <w:pPr>
      <w:widowControl/>
    </w:pPr>
    <w:rPr>
      <w:kern w:val="0"/>
      <w:szCs w:val="21"/>
    </w:rPr>
  </w:style>
  <w:style w:type="paragraph" w:customStyle="1" w:styleId="92">
    <w:name w:val="彩色列表1"/>
    <w:basedOn w:val="1"/>
    <w:autoRedefine/>
    <w:qFormat/>
    <w:uiPriority w:val="0"/>
    <w:pPr>
      <w:jc w:val="left"/>
    </w:pPr>
    <w:rPr>
      <w:rFonts w:ascii="Calibri" w:hAnsi="Calibri" w:eastAsia="宋体" w:cs="Times New Roman"/>
      <w:kern w:val="0"/>
      <w:sz w:val="22"/>
      <w:szCs w:val="22"/>
      <w:lang w:eastAsia="en-US"/>
    </w:rPr>
  </w:style>
  <w:style w:type="paragraph" w:customStyle="1" w:styleId="93">
    <w:name w:val="目录 51"/>
    <w:basedOn w:val="1"/>
    <w:autoRedefine/>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4">
    <w:name w:val="目录 11"/>
    <w:basedOn w:val="1"/>
    <w:autoRedefine/>
    <w:qFormat/>
    <w:uiPriority w:val="0"/>
    <w:pPr>
      <w:spacing w:before="155" w:beforeLines="0"/>
      <w:jc w:val="left"/>
    </w:pPr>
    <w:rPr>
      <w:rFonts w:ascii="黑体" w:hAnsi="黑体" w:eastAsia="黑体" w:cs="Times New Roman"/>
      <w:b/>
      <w:bCs/>
      <w:kern w:val="0"/>
      <w:sz w:val="20"/>
      <w:lang w:eastAsia="en-US"/>
    </w:rPr>
  </w:style>
  <w:style w:type="paragraph" w:customStyle="1" w:styleId="95">
    <w:name w:val="目录 21"/>
    <w:basedOn w:val="1"/>
    <w:autoRedefine/>
    <w:qFormat/>
    <w:uiPriority w:val="0"/>
    <w:pPr>
      <w:spacing w:before="35" w:beforeLines="0"/>
      <w:ind w:left="126"/>
      <w:jc w:val="left"/>
    </w:pPr>
    <w:rPr>
      <w:rFonts w:ascii="宋体" w:hAnsi="宋体" w:cs="Times New Roman"/>
      <w:b/>
      <w:bCs/>
      <w:kern w:val="0"/>
      <w:sz w:val="20"/>
      <w:lang w:eastAsia="en-US"/>
    </w:rPr>
  </w:style>
  <w:style w:type="paragraph" w:customStyle="1" w:styleId="96">
    <w:name w:val="样式1"/>
    <w:basedOn w:val="1"/>
    <w:autoRedefine/>
    <w:qFormat/>
    <w:uiPriority w:val="0"/>
    <w:pPr>
      <w:tabs>
        <w:tab w:val="left" w:pos="709"/>
      </w:tabs>
      <w:adjustRightInd w:val="0"/>
      <w:ind w:left="709" w:hanging="709"/>
      <w:textAlignment w:val="baseline"/>
    </w:pPr>
    <w:rPr>
      <w:rFonts w:ascii="宋体" w:hAnsi="宋体"/>
      <w:kern w:val="0"/>
      <w:szCs w:val="24"/>
    </w:rPr>
  </w:style>
  <w:style w:type="paragraph" w:styleId="97">
    <w:name w:val="No Spacing"/>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8">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9">
    <w:name w:val="pa-56"/>
    <w:basedOn w:val="1"/>
    <w:autoRedefine/>
    <w:qFormat/>
    <w:uiPriority w:val="0"/>
    <w:pPr>
      <w:widowControl/>
      <w:spacing w:line="240" w:lineRule="atLeast"/>
    </w:pPr>
    <w:rPr>
      <w:rFonts w:ascii="宋体" w:hAnsi="宋体" w:cs="宋体"/>
      <w:kern w:val="0"/>
      <w:sz w:val="24"/>
    </w:rPr>
  </w:style>
  <w:style w:type="paragraph" w:customStyle="1" w:styleId="100">
    <w:name w:val=" Char Char Char"/>
    <w:basedOn w:val="1"/>
    <w:autoRedefine/>
    <w:qFormat/>
    <w:uiPriority w:val="0"/>
    <w:rPr>
      <w:rFonts w:ascii="Tahoma" w:hAnsi="Tahoma"/>
      <w:sz w:val="24"/>
      <w:szCs w:val="20"/>
    </w:rPr>
  </w:style>
  <w:style w:type="paragraph" w:customStyle="1" w:styleId="101">
    <w:name w:val="pa-4"/>
    <w:basedOn w:val="1"/>
    <w:autoRedefine/>
    <w:qFormat/>
    <w:uiPriority w:val="0"/>
    <w:pPr>
      <w:widowControl/>
      <w:spacing w:line="360" w:lineRule="atLeast"/>
      <w:ind w:firstLine="960"/>
    </w:pPr>
    <w:rPr>
      <w:rFonts w:ascii="宋体" w:hAnsi="宋体" w:cs="宋体"/>
      <w:kern w:val="0"/>
      <w:sz w:val="24"/>
    </w:rPr>
  </w:style>
  <w:style w:type="paragraph" w:customStyle="1" w:styleId="102">
    <w:name w:val="UserStyle_35"/>
    <w:autoRedefine/>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3">
    <w:name w:val="目录 41"/>
    <w:basedOn w:val="1"/>
    <w:autoRedefine/>
    <w:qFormat/>
    <w:uiPriority w:val="0"/>
    <w:pPr>
      <w:spacing w:before="23" w:beforeLines="0"/>
      <w:ind w:left="540"/>
      <w:jc w:val="left"/>
    </w:pPr>
    <w:rPr>
      <w:rFonts w:ascii="黑体" w:hAnsi="黑体" w:eastAsia="黑体" w:cs="Times New Roman"/>
      <w:i/>
      <w:kern w:val="0"/>
      <w:szCs w:val="21"/>
      <w:lang w:eastAsia="en-US"/>
    </w:rPr>
  </w:style>
  <w:style w:type="paragraph" w:customStyle="1" w:styleId="104">
    <w:name w:val="_Style 2"/>
    <w:basedOn w:val="1"/>
    <w:autoRedefine/>
    <w:qFormat/>
    <w:uiPriority w:val="0"/>
    <w:pPr>
      <w:ind w:firstLine="420" w:firstLineChars="200"/>
    </w:pPr>
    <w:rPr>
      <w:kern w:val="0"/>
      <w:sz w:val="20"/>
      <w:szCs w:val="24"/>
    </w:rPr>
  </w:style>
  <w:style w:type="paragraph" w:customStyle="1" w:styleId="105">
    <w:name w:val="彩色底纹 - 强调文字颜色 61"/>
    <w:basedOn w:val="3"/>
    <w:next w:val="1"/>
    <w:autoRedefine/>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6">
    <w:name w:val="样式2"/>
    <w:basedOn w:val="4"/>
    <w:autoRedefine/>
    <w:qFormat/>
    <w:uiPriority w:val="0"/>
    <w:pPr>
      <w:spacing w:line="413" w:lineRule="auto"/>
      <w:jc w:val="left"/>
    </w:pPr>
    <w:rPr>
      <w:rFonts w:ascii="华文中宋" w:hAnsi="华文中宋" w:eastAsia="宋体"/>
      <w:bCs w:val="0"/>
      <w:color w:val="000000"/>
      <w:szCs w:val="20"/>
    </w:rPr>
  </w:style>
  <w:style w:type="paragraph" w:customStyle="1" w:styleId="107">
    <w:name w:val="pa-57"/>
    <w:basedOn w:val="1"/>
    <w:autoRedefine/>
    <w:qFormat/>
    <w:uiPriority w:val="0"/>
    <w:pPr>
      <w:widowControl/>
      <w:spacing w:line="240" w:lineRule="atLeast"/>
      <w:ind w:firstLine="480"/>
    </w:pPr>
    <w:rPr>
      <w:rFonts w:ascii="宋体" w:hAnsi="宋体" w:cs="宋体"/>
      <w:kern w:val="0"/>
      <w:sz w:val="24"/>
    </w:rPr>
  </w:style>
  <w:style w:type="paragraph" w:customStyle="1" w:styleId="108">
    <w:name w:val="Table Paragraph"/>
    <w:basedOn w:val="1"/>
    <w:autoRedefine/>
    <w:qFormat/>
    <w:uiPriority w:val="0"/>
    <w:pPr>
      <w:jc w:val="left"/>
    </w:pPr>
    <w:rPr>
      <w:rFonts w:ascii="Calibri" w:hAnsi="Calibri" w:eastAsia="宋体" w:cs="Times New Roman"/>
      <w:kern w:val="0"/>
      <w:sz w:val="22"/>
      <w:szCs w:val="22"/>
      <w:lang w:eastAsia="en-US"/>
    </w:rPr>
  </w:style>
  <w:style w:type="paragraph" w:styleId="109">
    <w:name w:val="List Paragraph"/>
    <w:basedOn w:val="1"/>
    <w:autoRedefine/>
    <w:qFormat/>
    <w:uiPriority w:val="34"/>
    <w:pPr>
      <w:ind w:firstLine="420" w:firstLineChars="200"/>
    </w:pPr>
    <w:rPr>
      <w:rFonts w:ascii="Calibri" w:hAnsi="Calibri"/>
      <w:szCs w:val="22"/>
    </w:rPr>
  </w:style>
  <w:style w:type="paragraph" w:customStyle="1" w:styleId="110">
    <w:name w:val="标题 31"/>
    <w:basedOn w:val="1"/>
    <w:autoRedefine/>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1">
    <w:name w:val="pa-59"/>
    <w:basedOn w:val="1"/>
    <w:autoRedefine/>
    <w:qFormat/>
    <w:uiPriority w:val="0"/>
    <w:pPr>
      <w:widowControl/>
      <w:spacing w:line="240" w:lineRule="atLeast"/>
      <w:ind w:firstLine="640"/>
    </w:pPr>
    <w:rPr>
      <w:rFonts w:ascii="宋体" w:hAnsi="宋体" w:cs="宋体"/>
      <w:kern w:val="0"/>
      <w:sz w:val="24"/>
    </w:rPr>
  </w:style>
  <w:style w:type="paragraph" w:customStyle="1" w:styleId="112">
    <w:name w:val="WPSOffice手动目录 1"/>
    <w:autoRedefine/>
    <w:qFormat/>
    <w:uiPriority w:val="0"/>
    <w:rPr>
      <w:rFonts w:ascii="Times New Roman" w:hAnsi="Times New Roman" w:eastAsia="宋体" w:cs="Times New Roman"/>
      <w:lang w:val="en-US" w:eastAsia="zh-CN" w:bidi="ar-SA"/>
    </w:rPr>
  </w:style>
  <w:style w:type="paragraph" w:customStyle="1" w:styleId="113">
    <w:name w:val="Heading 2"/>
    <w:basedOn w:val="1"/>
    <w:autoRedefine/>
    <w:qFormat/>
    <w:uiPriority w:val="0"/>
    <w:pPr>
      <w:ind w:left="117"/>
      <w:outlineLvl w:val="2"/>
    </w:pPr>
    <w:rPr>
      <w:rFonts w:ascii="黑体" w:hAnsi="黑体" w:eastAsia="黑体"/>
      <w:b/>
      <w:bCs/>
      <w:sz w:val="32"/>
      <w:szCs w:val="32"/>
    </w:rPr>
  </w:style>
  <w:style w:type="paragraph" w:customStyle="1" w:styleId="114">
    <w:name w:val="List Paragraph1"/>
    <w:basedOn w:val="1"/>
    <w:autoRedefine/>
    <w:qFormat/>
    <w:uiPriority w:val="0"/>
  </w:style>
  <w:style w:type="paragraph" w:customStyle="1" w:styleId="115">
    <w:name w:val="Char Char Char Char"/>
    <w:basedOn w:val="1"/>
    <w:autoRedefine/>
    <w:qFormat/>
    <w:uiPriority w:val="0"/>
    <w:rPr>
      <w:rFonts w:ascii="Tahoma" w:hAnsi="Tahoma"/>
      <w:sz w:val="24"/>
      <w:szCs w:val="20"/>
    </w:rPr>
  </w:style>
  <w:style w:type="paragraph" w:customStyle="1" w:styleId="116">
    <w:name w:val="Char"/>
    <w:basedOn w:val="1"/>
    <w:autoRedefine/>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7">
    <w:name w:val="pa-7"/>
    <w:basedOn w:val="1"/>
    <w:autoRedefine/>
    <w:qFormat/>
    <w:uiPriority w:val="0"/>
    <w:pPr>
      <w:widowControl/>
      <w:spacing w:line="360" w:lineRule="atLeast"/>
      <w:ind w:firstLine="800"/>
    </w:pPr>
    <w:rPr>
      <w:rFonts w:ascii="宋体" w:hAnsi="宋体" w:cs="宋体"/>
      <w:kern w:val="0"/>
      <w:sz w:val="24"/>
    </w:rPr>
  </w:style>
  <w:style w:type="paragraph" w:customStyle="1" w:styleId="118">
    <w:name w:val="Heading 3"/>
    <w:basedOn w:val="1"/>
    <w:autoRedefine/>
    <w:qFormat/>
    <w:uiPriority w:val="0"/>
    <w:pPr>
      <w:spacing w:before="35" w:beforeLines="0"/>
      <w:ind w:left="828"/>
      <w:outlineLvl w:val="3"/>
    </w:pPr>
    <w:rPr>
      <w:rFonts w:ascii="宋体" w:hAnsi="宋体" w:eastAsia="宋体"/>
      <w:b/>
      <w:bCs/>
      <w:sz w:val="24"/>
      <w:szCs w:val="24"/>
    </w:rPr>
  </w:style>
  <w:style w:type="paragraph" w:customStyle="1" w:styleId="119">
    <w:name w:val=" Char"/>
    <w:basedOn w:val="1"/>
    <w:autoRedefine/>
    <w:qFormat/>
    <w:uiPriority w:val="0"/>
    <w:pPr>
      <w:ind w:left="567" w:hanging="283"/>
    </w:pPr>
    <w:rPr>
      <w:rFonts w:ascii="宋体" w:hAnsi="宋体" w:eastAsia="宋体"/>
      <w:kern w:val="2"/>
      <w:sz w:val="28"/>
      <w:szCs w:val="24"/>
      <w:lang w:val="en-US" w:eastAsia="zh-CN" w:bidi="ar-SA"/>
    </w:rPr>
  </w:style>
  <w:style w:type="paragraph" w:customStyle="1" w:styleId="120">
    <w:name w:val="正文_0"/>
    <w:autoRedefine/>
    <w:qFormat/>
    <w:uiPriority w:val="0"/>
    <w:rPr>
      <w:rFonts w:ascii="Times New Roman" w:hAnsi="Times New Roman" w:eastAsia="宋体" w:cs="Times New Roman"/>
      <w:sz w:val="21"/>
      <w:lang w:val="en-US" w:eastAsia="zh-CN" w:bidi="ar-SA"/>
    </w:rPr>
  </w:style>
  <w:style w:type="paragraph" w:customStyle="1" w:styleId="121">
    <w:name w:val="0"/>
    <w:basedOn w:val="1"/>
    <w:autoRedefine/>
    <w:qFormat/>
    <w:uiPriority w:val="0"/>
    <w:pPr>
      <w:widowControl/>
      <w:snapToGrid w:val="0"/>
      <w:spacing w:line="408" w:lineRule="auto"/>
      <w:ind w:left="1"/>
      <w:textAlignment w:val="bottom"/>
    </w:pPr>
    <w:rPr>
      <w:color w:val="000000"/>
      <w:kern w:val="0"/>
      <w:szCs w:val="21"/>
    </w:rPr>
  </w:style>
  <w:style w:type="paragraph" w:customStyle="1" w:styleId="122">
    <w:name w:val="pa-55"/>
    <w:basedOn w:val="1"/>
    <w:autoRedefine/>
    <w:qFormat/>
    <w:uiPriority w:val="0"/>
    <w:pPr>
      <w:widowControl/>
      <w:spacing w:line="240" w:lineRule="atLeast"/>
      <w:ind w:firstLine="420"/>
    </w:pPr>
    <w:rPr>
      <w:rFonts w:ascii="宋体" w:hAnsi="宋体" w:cs="宋体"/>
      <w:kern w:val="0"/>
      <w:sz w:val="24"/>
    </w:rPr>
  </w:style>
  <w:style w:type="paragraph" w:customStyle="1" w:styleId="123">
    <w:name w:val="pa-1"/>
    <w:basedOn w:val="1"/>
    <w:autoRedefine/>
    <w:qFormat/>
    <w:uiPriority w:val="0"/>
    <w:pPr>
      <w:widowControl/>
      <w:spacing w:line="360" w:lineRule="atLeast"/>
      <w:ind w:firstLine="640"/>
    </w:pPr>
    <w:rPr>
      <w:rFonts w:ascii="宋体" w:hAnsi="宋体" w:cs="宋体"/>
      <w:kern w:val="0"/>
      <w:sz w:val="24"/>
    </w:rPr>
  </w:style>
  <w:style w:type="table" w:customStyle="1" w:styleId="124">
    <w:name w:val="Table Normal"/>
    <w:autoRedefine/>
    <w:semiHidden/>
    <w:unhideWhenUsed/>
    <w:qFormat/>
    <w:uiPriority w:val="0"/>
    <w:tblPr>
      <w:tblCellMar>
        <w:top w:w="0" w:type="dxa"/>
        <w:left w:w="0" w:type="dxa"/>
        <w:bottom w:w="0" w:type="dxa"/>
        <w:right w:w="0" w:type="dxa"/>
      </w:tblCellMar>
    </w:tblPr>
  </w:style>
  <w:style w:type="paragraph" w:customStyle="1" w:styleId="125">
    <w:name w:val="Basistekst Batenburg"/>
    <w:basedOn w:val="126"/>
    <w:autoRedefine/>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6">
    <w:name w:val="Zsysbasis Batenburg"/>
    <w:next w:val="125"/>
    <w:autoRedefine/>
    <w:qFormat/>
    <w:uiPriority w:val="0"/>
    <w:pPr>
      <w:spacing w:line="300" w:lineRule="atLeast"/>
    </w:pPr>
    <w:rPr>
      <w:rFonts w:ascii="Calibri" w:hAnsi="Calibri" w:eastAsia="宋体" w:cs="Times New Roman"/>
      <w:sz w:val="22"/>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2.png"/><Relationship Id="rId22" Type="http://schemas.openxmlformats.org/officeDocument/2006/relationships/image" Target="media/image1.png"/><Relationship Id="rId21" Type="http://schemas.openxmlformats.org/officeDocument/2006/relationships/theme" Target="theme/theme1.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59</Pages>
  <Words>27962</Words>
  <Characters>29112</Characters>
  <Lines>235</Lines>
  <Paragraphs>66</Paragraphs>
  <TotalTime>20</TotalTime>
  <ScaleCrop>false</ScaleCrop>
  <LinksUpToDate>false</LinksUpToDate>
  <CharactersWithSpaces>32561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啐啐念，有时候挺好</cp:lastModifiedBy>
  <cp:lastPrinted>2023-12-21T02:21:00Z</cp:lastPrinted>
  <dcterms:modified xsi:type="dcterms:W3CDTF">2024-01-12T03:08:43Z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3BCFF569605B4E4EAC52B2C09932BA98_13</vt:lpwstr>
  </property>
</Properties>
</file>