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bidi w:val="0"/>
        <w:rPr>
          <w:rFonts w:hint="eastAsia"/>
          <w:sz w:val="44"/>
          <w:szCs w:val="44"/>
          <w:lang w:eastAsia="zh-CN"/>
        </w:rPr>
      </w:pPr>
      <w:bookmarkStart w:id="0" w:name="_Toc1158"/>
      <w:bookmarkStart w:id="1" w:name="_Toc6174"/>
      <w:bookmarkStart w:id="2" w:name="_Toc28083"/>
      <w:bookmarkStart w:id="3" w:name="_Toc29289"/>
      <w:r>
        <w:rPr>
          <w:rFonts w:hint="eastAsia"/>
          <w:sz w:val="44"/>
          <w:szCs w:val="44"/>
          <w:lang w:eastAsia="zh-CN"/>
        </w:rPr>
        <w:t>武陟县</w:t>
      </w:r>
      <w:r>
        <w:rPr>
          <w:rFonts w:hint="eastAsia"/>
          <w:sz w:val="44"/>
          <w:szCs w:val="44"/>
          <w:lang w:val="en-US" w:eastAsia="zh-CN"/>
        </w:rPr>
        <w:t>水利局</w:t>
      </w:r>
      <w:r>
        <w:rPr>
          <w:rFonts w:hint="eastAsia"/>
          <w:sz w:val="44"/>
          <w:szCs w:val="44"/>
          <w:lang w:eastAsia="zh-CN"/>
        </w:rPr>
        <w:t>武陟县2023年度农业水价</w:t>
      </w:r>
      <w:bookmarkEnd w:id="0"/>
      <w:bookmarkEnd w:id="1"/>
    </w:p>
    <w:p>
      <w:pPr>
        <w:pStyle w:val="35"/>
        <w:bidi w:val="0"/>
        <w:rPr>
          <w:rFonts w:hint="eastAsia"/>
          <w:lang w:eastAsia="zh-CN"/>
        </w:rPr>
      </w:pPr>
      <w:bookmarkStart w:id="4" w:name="_Toc5581"/>
      <w:bookmarkStart w:id="5" w:name="_Toc26154"/>
      <w:r>
        <w:rPr>
          <w:rFonts w:hint="eastAsia"/>
          <w:sz w:val="44"/>
          <w:szCs w:val="44"/>
          <w:lang w:eastAsia="zh-CN"/>
        </w:rPr>
        <w:t>综合</w:t>
      </w:r>
      <w:bookmarkEnd w:id="2"/>
      <w:bookmarkStart w:id="6" w:name="_Toc3993"/>
      <w:r>
        <w:rPr>
          <w:rFonts w:hint="eastAsia"/>
          <w:sz w:val="44"/>
          <w:szCs w:val="44"/>
          <w:lang w:eastAsia="zh-CN"/>
        </w:rPr>
        <w:t>改革项目</w:t>
      </w:r>
      <w:bookmarkEnd w:id="4"/>
      <w:bookmarkEnd w:id="5"/>
      <w:bookmarkEnd w:id="6"/>
      <w:r>
        <w:rPr>
          <w:rFonts w:hint="eastAsia"/>
          <w:lang w:eastAsia="zh-CN"/>
        </w:rPr>
        <w:t xml:space="preserve"> </w:t>
      </w:r>
    </w:p>
    <w:p>
      <w:pPr>
        <w:pStyle w:val="37"/>
        <w:jc w:val="center"/>
        <w:rPr>
          <w:rFonts w:hint="eastAsia"/>
        </w:rPr>
      </w:pPr>
    </w:p>
    <w:p>
      <w:pPr>
        <w:jc w:val="center"/>
        <w:outlineLvl w:val="0"/>
        <w:rPr>
          <w:rFonts w:hint="eastAsia" w:ascii="黑体" w:hAnsi="黑体" w:eastAsia="黑体" w:cs="黑体"/>
          <w:b/>
          <w:sz w:val="72"/>
          <w:szCs w:val="72"/>
        </w:rPr>
      </w:pPr>
      <w:bookmarkStart w:id="7" w:name="_Toc115021824"/>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3"/>
      <w:bookmarkEnd w:id="7"/>
    </w:p>
    <w:p>
      <w:pPr>
        <w:jc w:val="center"/>
        <w:rPr>
          <w:rFonts w:hint="eastAsia" w:ascii="宋体" w:hAnsi="宋体" w:cs="宋体"/>
          <w:sz w:val="28"/>
          <w:szCs w:val="28"/>
          <w:lang w:eastAsia="zh-CN"/>
        </w:rPr>
      </w:pPr>
      <w:r>
        <w:rPr>
          <w:rFonts w:hint="eastAsia" w:ascii="宋体" w:hAnsi="宋体" w:cs="宋体"/>
          <w:sz w:val="28"/>
          <w:szCs w:val="28"/>
        </w:rPr>
        <w:t>项目编号：</w:t>
      </w:r>
      <w:r>
        <w:rPr>
          <w:rFonts w:hint="eastAsia" w:ascii="宋体" w:hAnsi="宋体" w:cs="宋体"/>
          <w:sz w:val="28"/>
          <w:szCs w:val="28"/>
          <w:lang w:val="en-US" w:eastAsia="zh-CN"/>
        </w:rPr>
        <w:t>2024-01-25</w:t>
      </w:r>
    </w:p>
    <w:p>
      <w:pPr>
        <w:pStyle w:val="2"/>
        <w:rPr>
          <w:rFonts w:hint="eastAsia"/>
          <w:lang w:eastAsia="zh-CN"/>
        </w:rPr>
      </w:pPr>
    </w:p>
    <w:p>
      <w:pPr>
        <w:pStyle w:val="37"/>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eastAsia="宋体" w:cs="宋体"/>
          <w:b/>
          <w:bCs/>
          <w:sz w:val="32"/>
          <w:lang w:eastAsia="zh-CN"/>
        </w:rPr>
        <w:t>武陟县</w:t>
      </w:r>
      <w:r>
        <w:rPr>
          <w:rFonts w:hint="eastAsia" w:ascii="宋体" w:hAnsi="宋体" w:eastAsia="宋体" w:cs="宋体"/>
          <w:b/>
          <w:bCs/>
          <w:sz w:val="32"/>
          <w:lang w:val="en-US" w:eastAsia="zh-CN"/>
        </w:rPr>
        <w:t>水利局</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eastAsia="宋体" w:cs="宋体"/>
          <w:b/>
          <w:bCs/>
          <w:sz w:val="32"/>
          <w:lang w:val="en-US" w:eastAsia="zh-CN"/>
        </w:rPr>
        <w:t>河南汇征工程</w:t>
      </w:r>
      <w:r>
        <w:rPr>
          <w:rFonts w:hint="eastAsia" w:ascii="宋体" w:hAnsi="宋体" w:eastAsia="宋体" w:cs="宋体"/>
          <w:b/>
          <w:bCs/>
          <w:sz w:val="32"/>
          <w:lang w:eastAsia="zh-CN"/>
        </w:rPr>
        <w:t>管理有限公司</w:t>
      </w:r>
      <w:r>
        <w:rPr>
          <w:rFonts w:hint="eastAsia" w:ascii="宋体" w:hAnsi="宋体" w:cs="宋体"/>
          <w:b/>
          <w:bCs/>
          <w:sz w:val="32"/>
          <w:lang w:eastAsia="zh-CN"/>
        </w:rPr>
        <w:t xml:space="preserve"> </w:t>
      </w:r>
    </w:p>
    <w:p>
      <w:pPr>
        <w:pStyle w:val="26"/>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w:t>
      </w:r>
      <w:r>
        <w:rPr>
          <w:rFonts w:hint="eastAsia" w:ascii="宋体" w:hAnsi="宋体" w:cs="宋体"/>
          <w:b/>
          <w:bCs/>
          <w:caps/>
          <w:sz w:val="30"/>
          <w:szCs w:val="30"/>
          <w:lang w:val="en-US" w:eastAsia="zh-CN"/>
        </w:rPr>
        <w:t xml:space="preserve"> </w:t>
      </w:r>
      <w:r>
        <w:rPr>
          <w:rFonts w:hint="eastAsia" w:ascii="宋体" w:hAnsi="宋体" w:cs="宋体"/>
          <w:b/>
          <w:bCs/>
          <w:caps/>
          <w:sz w:val="30"/>
          <w:szCs w:val="30"/>
          <w:lang w:val="zh-CN"/>
        </w:rPr>
        <w:t>录</w:t>
      </w:r>
    </w:p>
    <w:p>
      <w:pPr>
        <w:pStyle w:val="26"/>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_Toc12712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_Toc12712 \h </w:instrText>
      </w:r>
      <w:r>
        <w:fldChar w:fldCharType="separate"/>
      </w:r>
      <w:r>
        <w:t>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_Toc13993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_Toc13993 \h </w:instrText>
      </w:r>
      <w:r>
        <w:fldChar w:fldCharType="separate"/>
      </w:r>
      <w:r>
        <w:t>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_Toc2742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_Toc2742 \h </w:instrText>
      </w:r>
      <w:r>
        <w:fldChar w:fldCharType="separate"/>
      </w:r>
      <w:r>
        <w:t>19</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_Toc20277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_Toc20277 \h </w:instrText>
      </w:r>
      <w:r>
        <w:fldChar w:fldCharType="separate"/>
      </w:r>
      <w:r>
        <w:t>21</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_Toc14453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_Toc14453 \h </w:instrText>
      </w:r>
      <w:r>
        <w:fldChar w:fldCharType="separate"/>
      </w:r>
      <w:r>
        <w:t>24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_Toc11885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_Toc11885 \h </w:instrText>
      </w:r>
      <w:r>
        <w:fldChar w:fldCharType="separate"/>
      </w:r>
      <w:r>
        <w:t>27</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_Toc30088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fldChar w:fldCharType="begin"/>
      </w:r>
      <w:r>
        <w:instrText xml:space="preserve"> PAGEREF _Toc30088 \h </w:instrText>
      </w:r>
      <w:r>
        <w:fldChar w:fldCharType="separate"/>
      </w:r>
      <w:r>
        <w:t>30</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_Toc10911 </w:instrText>
      </w:r>
      <w:r>
        <w:rPr>
          <w:rFonts w:hint="eastAsia" w:ascii="宋体" w:hAnsi="宋体" w:cs="宋体"/>
          <w:bCs/>
          <w:caps/>
          <w:szCs w:val="24"/>
          <w:lang w:val="zh-CN"/>
        </w:rPr>
        <w:fldChar w:fldCharType="separate"/>
      </w:r>
      <w:r>
        <w:rPr>
          <w:rFonts w:hint="eastAsia" w:ascii="宋体" w:hAnsi="宋体" w:cs="宋体"/>
          <w:szCs w:val="32"/>
        </w:rPr>
        <w:t>2. 承诺书</w:t>
      </w:r>
      <w:r>
        <w:tab/>
      </w:r>
      <w:r>
        <w:fldChar w:fldCharType="begin"/>
      </w:r>
      <w:r>
        <w:instrText xml:space="preserve"> PAGEREF _Toc10911 \h </w:instrText>
      </w:r>
      <w:r>
        <w:fldChar w:fldCharType="separate"/>
      </w:r>
      <w:r>
        <w:t>32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_Toc7123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_Toc7123 \h </w:instrText>
      </w:r>
      <w:r>
        <w:fldChar w:fldCharType="separate"/>
      </w:r>
      <w:r>
        <w:t>33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_Toc18368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_Toc18368 \h </w:instrText>
      </w:r>
      <w:r>
        <w:fldChar w:fldCharType="separate"/>
      </w:r>
      <w:r>
        <w:t>34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_Toc29326 </w:instrText>
      </w:r>
      <w:r>
        <w:rPr>
          <w:rFonts w:hint="eastAsia" w:ascii="宋体" w:hAnsi="宋体" w:cs="宋体"/>
          <w:bCs/>
          <w:caps/>
          <w:szCs w:val="24"/>
          <w:lang w:val="zh-CN"/>
        </w:rPr>
        <w:fldChar w:fldCharType="separate"/>
      </w:r>
      <w:r>
        <w:rPr>
          <w:rFonts w:hint="eastAsia" w:ascii="宋体" w:hAnsi="宋体" w:cs="宋体"/>
          <w:szCs w:val="32"/>
        </w:rPr>
        <w:t>5. 报价明细表</w:t>
      </w:r>
      <w:r>
        <w:tab/>
      </w:r>
      <w:r>
        <w:fldChar w:fldCharType="begin"/>
      </w:r>
      <w:r>
        <w:instrText xml:space="preserve"> PAGEREF _Toc29326 \h </w:instrText>
      </w:r>
      <w:r>
        <w:fldChar w:fldCharType="separate"/>
      </w:r>
      <w:r>
        <w:t>35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_Toc7898 </w:instrText>
      </w:r>
      <w:r>
        <w:rPr>
          <w:rFonts w:hint="eastAsia" w:ascii="宋体" w:hAnsi="宋体" w:cs="宋体"/>
          <w:bCs/>
          <w:caps/>
          <w:szCs w:val="24"/>
          <w:lang w:val="zh-CN"/>
        </w:rPr>
        <w:fldChar w:fldCharType="separate"/>
      </w:r>
      <w:r>
        <w:rPr>
          <w:rFonts w:hint="eastAsia" w:ascii="宋体" w:hAnsi="宋体" w:cs="宋体"/>
          <w:szCs w:val="32"/>
        </w:rPr>
        <w:t>6. 技术响应表</w:t>
      </w:r>
      <w:r>
        <w:tab/>
      </w:r>
      <w:r>
        <w:fldChar w:fldCharType="begin"/>
      </w:r>
      <w:r>
        <w:instrText xml:space="preserve"> PAGEREF _Toc7898 \h </w:instrText>
      </w:r>
      <w:r>
        <w:fldChar w:fldCharType="separate"/>
      </w:r>
      <w:r>
        <w:t>36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_Toc10884 </w:instrText>
      </w:r>
      <w:r>
        <w:rPr>
          <w:rFonts w:hint="eastAsia" w:ascii="宋体" w:hAnsi="宋体" w:cs="宋体"/>
          <w:bCs/>
          <w:caps/>
          <w:szCs w:val="24"/>
          <w:lang w:val="zh-CN"/>
        </w:rPr>
        <w:fldChar w:fldCharType="separate"/>
      </w:r>
      <w:r>
        <w:rPr>
          <w:rFonts w:hint="eastAsia" w:ascii="宋体" w:hAnsi="宋体" w:cs="宋体"/>
          <w:szCs w:val="32"/>
        </w:rPr>
        <w:t>7. 商务响应表</w:t>
      </w:r>
      <w:r>
        <w:tab/>
      </w:r>
      <w:r>
        <w:fldChar w:fldCharType="begin"/>
      </w:r>
      <w:r>
        <w:instrText xml:space="preserve"> PAGEREF _Toc10884 \h </w:instrText>
      </w:r>
      <w:r>
        <w:fldChar w:fldCharType="separate"/>
      </w:r>
      <w:r>
        <w:t>37</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_Toc20938 </w:instrText>
      </w:r>
      <w:r>
        <w:rPr>
          <w:rFonts w:hint="eastAsia" w:ascii="宋体" w:hAnsi="宋体" w:cs="宋体"/>
          <w:bCs/>
          <w:caps/>
          <w:szCs w:val="24"/>
          <w:lang w:val="zh-CN"/>
        </w:rPr>
        <w:fldChar w:fldCharType="separate"/>
      </w:r>
      <w:r>
        <w:rPr>
          <w:rFonts w:hint="eastAsia" w:ascii="宋体" w:hAnsi="宋体" w:cs="宋体"/>
          <w:szCs w:val="32"/>
        </w:rPr>
        <w:t>8. 资格证明材料</w:t>
      </w:r>
      <w:r>
        <w:tab/>
      </w:r>
      <w:r>
        <w:fldChar w:fldCharType="begin"/>
      </w:r>
      <w:r>
        <w:instrText xml:space="preserve"> PAGEREF _Toc20938 \h </w:instrText>
      </w:r>
      <w:r>
        <w:fldChar w:fldCharType="separate"/>
      </w:r>
      <w:r>
        <w:t>38</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_Toc18775 </w:instrText>
      </w:r>
      <w:r>
        <w:rPr>
          <w:rFonts w:hint="eastAsia" w:ascii="宋体" w:hAnsi="宋体" w:cs="宋体"/>
          <w:bCs/>
          <w:caps/>
          <w:szCs w:val="24"/>
          <w:lang w:val="zh-CN"/>
        </w:rPr>
        <w:fldChar w:fldCharType="separate"/>
      </w:r>
      <w:r>
        <w:rPr>
          <w:rFonts w:hint="eastAsia" w:ascii="宋体" w:hAnsi="宋体" w:cs="宋体"/>
          <w:szCs w:val="32"/>
        </w:rPr>
        <w:t>9. 法定代表人身份证明或授权委托书</w:t>
      </w:r>
      <w:r>
        <w:tab/>
      </w:r>
      <w:r>
        <w:fldChar w:fldCharType="begin"/>
      </w:r>
      <w:r>
        <w:instrText xml:space="preserve"> PAGEREF _Toc18775 \h </w:instrText>
      </w:r>
      <w:r>
        <w:fldChar w:fldCharType="separate"/>
      </w:r>
      <w:r>
        <w:t>42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_Toc30207 </w:instrText>
      </w:r>
      <w:r>
        <w:rPr>
          <w:rFonts w:hint="eastAsia" w:ascii="宋体" w:hAnsi="宋体" w:cs="宋体"/>
          <w:bCs/>
          <w:caps/>
          <w:szCs w:val="24"/>
          <w:lang w:val="zh-CN"/>
        </w:rPr>
        <w:fldChar w:fldCharType="separate"/>
      </w:r>
      <w:r>
        <w:rPr>
          <w:rFonts w:hint="eastAsia" w:ascii="宋体" w:hAnsi="宋体" w:cs="宋体"/>
          <w:szCs w:val="32"/>
        </w:rPr>
        <w:t>10. 残疾人福利性单位声明函</w:t>
      </w:r>
      <w:r>
        <w:tab/>
      </w:r>
      <w:r>
        <w:fldChar w:fldCharType="begin"/>
      </w:r>
      <w:r>
        <w:instrText xml:space="preserve"> PAGEREF _Toc30207 \h </w:instrText>
      </w:r>
      <w:r>
        <w:fldChar w:fldCharType="separate"/>
      </w:r>
      <w:r>
        <w:t>44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_Toc25545 </w:instrText>
      </w:r>
      <w:r>
        <w:rPr>
          <w:rFonts w:hint="eastAsia" w:ascii="宋体" w:hAnsi="宋体" w:cs="宋体"/>
          <w:bCs/>
          <w:caps/>
          <w:szCs w:val="24"/>
          <w:lang w:val="zh-CN"/>
        </w:rPr>
        <w:fldChar w:fldCharType="separate"/>
      </w:r>
      <w:r>
        <w:rPr>
          <w:rFonts w:hint="eastAsia" w:ascii="宋体" w:hAnsi="宋体" w:cs="宋体"/>
          <w:szCs w:val="32"/>
        </w:rPr>
        <w:t>11. 反商业贿赂承诺书</w:t>
      </w:r>
      <w:r>
        <w:tab/>
      </w:r>
      <w:r>
        <w:fldChar w:fldCharType="begin"/>
      </w:r>
      <w:r>
        <w:instrText xml:space="preserve"> PAGEREF _Toc25545 \h </w:instrText>
      </w:r>
      <w:r>
        <w:fldChar w:fldCharType="separate"/>
      </w:r>
      <w:r>
        <w:t>45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_Toc30232 </w:instrText>
      </w:r>
      <w:r>
        <w:rPr>
          <w:rFonts w:hint="eastAsia" w:ascii="宋体" w:hAnsi="宋体" w:cs="宋体"/>
          <w:bCs/>
          <w:caps/>
          <w:szCs w:val="24"/>
          <w:lang w:val="zh-CN"/>
        </w:rPr>
        <w:fldChar w:fldCharType="separate"/>
      </w:r>
      <w:r>
        <w:rPr>
          <w:rFonts w:hint="eastAsia" w:ascii="宋体" w:hAnsi="宋体" w:cs="宋体"/>
          <w:szCs w:val="32"/>
        </w:rPr>
        <w:t>12. 竞争性磋商文件要求的以及供应商认为应该提供的其他材料</w:t>
      </w:r>
      <w:r>
        <w:tab/>
      </w:r>
      <w:r>
        <w:fldChar w:fldCharType="begin"/>
      </w:r>
      <w:r>
        <w:instrText xml:space="preserve"> PAGEREF _Toc30232 \h </w:instrText>
      </w:r>
      <w:r>
        <w:fldChar w:fldCharType="separate"/>
      </w:r>
      <w:r>
        <w:t>46</w:t>
      </w:r>
      <w:r>
        <w:fldChar w:fldCharType="end"/>
      </w:r>
      <w:r>
        <w:rPr>
          <w:rFonts w:hint="eastAsia" w:ascii="宋体" w:hAnsi="宋体" w:cs="宋体"/>
          <w:bCs/>
          <w:caps/>
          <w:szCs w:val="24"/>
          <w:lang w:val="zh-CN"/>
        </w:rPr>
        <w:fldChar w:fldCharType="end"/>
      </w:r>
    </w:p>
    <w:p>
      <w:pPr>
        <w:pStyle w:val="26"/>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84"/>
        <w:jc w:val="center"/>
        <w:rPr>
          <w:rFonts w:hint="eastAsia" w:ascii="宋体" w:hAnsi="宋体" w:cs="宋体"/>
          <w:b/>
          <w:color w:val="FF0000"/>
          <w:sz w:val="28"/>
          <w:szCs w:val="28"/>
        </w:rPr>
      </w:pPr>
    </w:p>
    <w:p>
      <w:pPr>
        <w:pStyle w:val="84"/>
        <w:rPr>
          <w:rFonts w:hint="eastAsia" w:ascii="宋体" w:hAnsi="宋体" w:cs="宋体"/>
          <w:color w:val="FF0000"/>
        </w:rPr>
      </w:pPr>
      <w:r>
        <w:rPr>
          <w:rFonts w:hint="eastAsia" w:ascii="宋体" w:hAnsi="宋体" w:cs="宋体"/>
          <w:color w:val="FF0000"/>
        </w:rPr>
        <w:t> </w:t>
      </w:r>
    </w:p>
    <w:p>
      <w:pPr>
        <w:pStyle w:val="84"/>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bCs w:val="0"/>
        </w:rPr>
      </w:pPr>
      <w:bookmarkStart w:id="8" w:name="_Toc30568"/>
      <w:bookmarkStart w:id="9" w:name="_Toc12712"/>
      <w:r>
        <w:rPr>
          <w:rFonts w:hint="eastAsia" w:ascii="宋体" w:hAnsi="宋体" w:cs="宋体"/>
          <w:bCs w:val="0"/>
        </w:rPr>
        <w:t>竞争性磋</w:t>
      </w:r>
      <w:bookmarkStart w:id="221" w:name="_GoBack"/>
      <w:bookmarkEnd w:id="221"/>
      <w:r>
        <w:rPr>
          <w:rFonts w:hint="eastAsia" w:ascii="宋体" w:hAnsi="宋体" w:cs="宋体"/>
          <w:bCs w:val="0"/>
        </w:rPr>
        <w:t>商公告</w:t>
      </w:r>
      <w:bookmarkEnd w:id="8"/>
      <w:bookmarkEnd w:id="9"/>
    </w:p>
    <w:p>
      <w:pPr>
        <w:spacing w:line="400" w:lineRule="exact"/>
        <w:ind w:firstLine="562" w:firstLineChars="200"/>
        <w:jc w:val="center"/>
        <w:rPr>
          <w:rFonts w:hint="eastAsia" w:ascii="宋体" w:hAnsi="宋体" w:cs="宋体"/>
          <w:b/>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jc w:val="center"/>
        <w:textAlignment w:val="auto"/>
        <w:rPr>
          <w:rFonts w:hint="eastAsia" w:ascii="宋体" w:hAnsi="宋体" w:eastAsia="宋体" w:cs="宋体"/>
          <w:b/>
          <w:bCs/>
          <w:sz w:val="28"/>
          <w:szCs w:val="28"/>
          <w:highlight w:val="none"/>
          <w:u w:val="none"/>
          <w:lang w:eastAsia="zh-CN"/>
        </w:rPr>
      </w:pPr>
      <w:r>
        <w:rPr>
          <w:rFonts w:hint="eastAsia" w:ascii="宋体" w:hAnsi="宋体" w:eastAsia="宋体" w:cs="宋体"/>
          <w:b/>
          <w:bCs/>
          <w:sz w:val="28"/>
          <w:szCs w:val="28"/>
          <w:highlight w:val="none"/>
          <w:u w:val="none"/>
          <w:lang w:eastAsia="zh-CN"/>
        </w:rPr>
        <w:t>武陟县</w:t>
      </w:r>
      <w:r>
        <w:rPr>
          <w:rFonts w:hint="eastAsia" w:ascii="宋体" w:hAnsi="宋体" w:eastAsia="宋体" w:cs="宋体"/>
          <w:b/>
          <w:bCs/>
          <w:sz w:val="28"/>
          <w:szCs w:val="28"/>
          <w:highlight w:val="none"/>
          <w:u w:val="none"/>
          <w:lang w:val="en-US" w:eastAsia="zh-CN"/>
        </w:rPr>
        <w:t>水利局</w:t>
      </w:r>
      <w:r>
        <w:rPr>
          <w:rFonts w:hint="eastAsia" w:ascii="宋体" w:hAnsi="宋体" w:eastAsia="宋体" w:cs="宋体"/>
          <w:b/>
          <w:bCs/>
          <w:sz w:val="28"/>
          <w:szCs w:val="28"/>
          <w:highlight w:val="none"/>
          <w:u w:val="none"/>
          <w:lang w:eastAsia="zh-CN"/>
        </w:rPr>
        <w:t>武陟县2023年度农业水价综合</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jc w:val="center"/>
        <w:textAlignment w:val="auto"/>
        <w:rPr>
          <w:rFonts w:hint="eastAsia" w:ascii="宋体" w:hAnsi="宋体" w:eastAsia="宋体" w:cs="宋体"/>
          <w:b/>
          <w:bCs/>
          <w:sz w:val="28"/>
          <w:szCs w:val="28"/>
          <w:highlight w:val="none"/>
          <w:u w:val="none"/>
          <w:lang w:eastAsia="zh-CN"/>
        </w:rPr>
      </w:pPr>
      <w:r>
        <w:rPr>
          <w:rFonts w:hint="eastAsia" w:ascii="宋体" w:hAnsi="宋体" w:eastAsia="宋体" w:cs="宋体"/>
          <w:b/>
          <w:bCs/>
          <w:sz w:val="28"/>
          <w:szCs w:val="28"/>
          <w:highlight w:val="none"/>
          <w:u w:val="none"/>
          <w:lang w:eastAsia="zh-CN"/>
        </w:rPr>
        <w:t>改革项目竞争性磋商公告</w:t>
      </w:r>
      <w:bookmarkStart w:id="10" w:name="_Toc15614"/>
      <w:bookmarkStart w:id="11" w:name="_Toc477423242"/>
      <w:bookmarkStart w:id="12" w:name="_Toc408816341"/>
      <w:bookmarkStart w:id="13" w:name="_Toc22562"/>
      <w:bookmarkStart w:id="14" w:name="_Toc374512408"/>
      <w:bookmarkStart w:id="15" w:name="_Toc373230021"/>
    </w:p>
    <w:p>
      <w:pPr>
        <w:pStyle w:val="37"/>
        <w:rPr>
          <w:rFonts w:hint="eastAsia"/>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u w:val="none"/>
          <w:lang w:eastAsia="zh-CN"/>
        </w:rPr>
        <w:t>武陟县</w:t>
      </w:r>
      <w:r>
        <w:rPr>
          <w:rFonts w:hint="eastAsia" w:ascii="宋体" w:hAnsi="宋体" w:eastAsia="宋体" w:cs="宋体"/>
          <w:sz w:val="24"/>
          <w:szCs w:val="24"/>
          <w:highlight w:val="none"/>
          <w:u w:val="none"/>
          <w:lang w:val="en-US" w:eastAsia="zh-CN"/>
        </w:rPr>
        <w:t>水利局</w:t>
      </w:r>
      <w:r>
        <w:rPr>
          <w:rFonts w:hint="eastAsia" w:ascii="宋体" w:hAnsi="宋体" w:eastAsia="宋体" w:cs="宋体"/>
          <w:sz w:val="24"/>
          <w:szCs w:val="24"/>
          <w:highlight w:val="none"/>
          <w:u w:val="none"/>
          <w:lang w:eastAsia="zh-CN"/>
        </w:rPr>
        <w:t>武陟县2023年度农业水价综合改革项目</w:t>
      </w:r>
      <w:r>
        <w:rPr>
          <w:rFonts w:hint="eastAsia" w:ascii="宋体" w:hAnsi="宋体" w:eastAsia="宋体" w:cs="宋体"/>
          <w:sz w:val="24"/>
          <w:szCs w:val="24"/>
          <w:u w:val="none"/>
          <w:lang w:val="en-US" w:eastAsia="zh-CN"/>
        </w:rPr>
        <w:t>的</w:t>
      </w:r>
      <w:r>
        <w:rPr>
          <w:rFonts w:hint="eastAsia" w:ascii="宋体" w:hAnsi="宋体" w:eastAsia="宋体" w:cs="宋体"/>
          <w:sz w:val="24"/>
          <w:szCs w:val="24"/>
          <w:lang w:val="en-US" w:eastAsia="zh-CN"/>
        </w:rPr>
        <w:t>潜在</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应在焦作市公共资源交易中心网站获取</w:t>
      </w:r>
      <w:r>
        <w:rPr>
          <w:rFonts w:hint="eastAsia" w:ascii="宋体" w:hAnsi="宋体" w:cs="宋体"/>
          <w:sz w:val="24"/>
          <w:szCs w:val="24"/>
          <w:lang w:val="en-US" w:eastAsia="zh-CN"/>
        </w:rPr>
        <w:t>招标文件，并于2024年2月19日09时00分（北京时间</w:t>
      </w:r>
      <w:r>
        <w:rPr>
          <w:rFonts w:hint="eastAsia" w:ascii="宋体" w:hAnsi="宋体" w:eastAsia="宋体" w:cs="宋体"/>
          <w:sz w:val="24"/>
          <w:szCs w:val="24"/>
          <w:lang w:val="en-US" w:eastAsia="zh-CN"/>
        </w:rPr>
        <w:t>）前递交响应文件。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cs="宋体"/>
          <w:sz w:val="24"/>
          <w:szCs w:val="24"/>
          <w:highlight w:val="none"/>
          <w:lang w:val="en-US" w:eastAsia="zh-CN"/>
        </w:rPr>
        <w:t>2024-01-25</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eastAsia="zh-CN"/>
        </w:rPr>
        <w:t>武陟县</w:t>
      </w:r>
      <w:r>
        <w:rPr>
          <w:rFonts w:hint="eastAsia" w:ascii="宋体" w:hAnsi="宋体" w:eastAsia="宋体" w:cs="宋体"/>
          <w:sz w:val="24"/>
          <w:szCs w:val="24"/>
          <w:lang w:val="en-US" w:eastAsia="zh-CN"/>
        </w:rPr>
        <w:t>水利局</w:t>
      </w:r>
      <w:r>
        <w:rPr>
          <w:rFonts w:hint="eastAsia" w:ascii="宋体" w:hAnsi="宋体" w:eastAsia="宋体" w:cs="宋体"/>
          <w:sz w:val="24"/>
          <w:szCs w:val="24"/>
          <w:lang w:eastAsia="zh-CN"/>
        </w:rPr>
        <w:t xml:space="preserve">武陟县2023年度农业水价综合改革项目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预算</w:t>
      </w:r>
      <w:r>
        <w:rPr>
          <w:rFonts w:hint="eastAsia" w:ascii="宋体" w:hAnsi="宋体" w:eastAsia="宋体" w:cs="宋体"/>
          <w:color w:val="auto"/>
          <w:sz w:val="24"/>
          <w:szCs w:val="24"/>
        </w:rPr>
        <w:t>金额：</w:t>
      </w:r>
      <w:r>
        <w:rPr>
          <w:rFonts w:hint="eastAsia" w:ascii="宋体" w:hAnsi="宋体" w:eastAsia="宋体" w:cs="宋体"/>
          <w:color w:val="auto"/>
          <w:sz w:val="24"/>
          <w:szCs w:val="24"/>
          <w:lang w:val="en-US" w:eastAsia="zh-CN"/>
        </w:rPr>
        <w:t>118</w:t>
      </w:r>
      <w:r>
        <w:rPr>
          <w:rFonts w:hint="eastAsia" w:ascii="宋体" w:hAnsi="宋体" w:cs="宋体"/>
          <w:color w:val="auto"/>
          <w:sz w:val="24"/>
          <w:szCs w:val="24"/>
          <w:lang w:val="en-US" w:eastAsia="zh-CN"/>
        </w:rPr>
        <w:t>0000.00</w:t>
      </w:r>
      <w:r>
        <w:rPr>
          <w:rFonts w:hint="eastAsia" w:ascii="宋体" w:hAnsi="宋体" w:eastAsia="宋体" w:cs="宋体"/>
          <w:color w:val="auto"/>
          <w:sz w:val="24"/>
          <w:szCs w:val="24"/>
          <w:lang w:val="en-US" w:eastAsia="zh-CN"/>
        </w:rPr>
        <w:t>元</w:t>
      </w:r>
    </w:p>
    <w:p>
      <w:pPr>
        <w:pStyle w:val="37"/>
        <w:keepNext w:val="0"/>
        <w:keepLines w:val="0"/>
        <w:pageBreakBefore w:val="0"/>
        <w:kinsoku/>
        <w:wordWrap/>
        <w:overflowPunct/>
        <w:topLinePunct w:val="0"/>
        <w:autoSpaceDE/>
        <w:autoSpaceDN/>
        <w:bidi w:val="0"/>
        <w:adjustRightInd/>
        <w:snapToGrid/>
        <w:spacing w:line="440" w:lineRule="exact"/>
        <w:textAlignment w:val="auto"/>
        <w:rPr>
          <w:rFonts w:hint="default"/>
          <w:color w:val="auto"/>
          <w:lang w:val="en-US"/>
        </w:rPr>
      </w:pPr>
      <w:r>
        <w:rPr>
          <w:rFonts w:hint="eastAsia" w:ascii="宋体" w:hAnsi="宋体" w:cs="宋体"/>
          <w:color w:val="auto"/>
          <w:sz w:val="24"/>
          <w:szCs w:val="24"/>
          <w:lang w:val="en-US" w:eastAsia="zh-CN"/>
        </w:rPr>
        <w:t xml:space="preserve">       最高限价：1084500.00元</w:t>
      </w:r>
    </w:p>
    <w:tbl>
      <w:tblPr>
        <w:tblStyle w:val="123"/>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3421"/>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序号</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包</w:t>
            </w:r>
            <w:r>
              <w:rPr>
                <w:rFonts w:hint="eastAsia" w:ascii="宋体" w:hAnsi="宋体" w:eastAsia="宋体" w:cs="宋体"/>
                <w:color w:val="auto"/>
                <w:spacing w:val="-2"/>
                <w:sz w:val="24"/>
                <w:szCs w:val="24"/>
              </w:rPr>
              <w:t>号</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包</w:t>
            </w:r>
            <w:r>
              <w:rPr>
                <w:rFonts w:hint="eastAsia" w:ascii="宋体" w:hAnsi="宋体" w:eastAsia="宋体" w:cs="宋体"/>
                <w:color w:val="auto"/>
                <w:spacing w:val="1"/>
                <w:sz w:val="24"/>
                <w:szCs w:val="24"/>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pacing w:val="5"/>
                <w:sz w:val="24"/>
                <w:szCs w:val="24"/>
              </w:rPr>
              <w:t>包最高限</w:t>
            </w:r>
            <w:r>
              <w:rPr>
                <w:rFonts w:hint="eastAsia" w:ascii="宋体" w:hAnsi="宋体" w:eastAsia="宋体" w:cs="宋体"/>
                <w:color w:val="auto"/>
                <w:spacing w:val="4"/>
                <w:sz w:val="24"/>
                <w:szCs w:val="24"/>
              </w:rPr>
              <w:t>价</w:t>
            </w:r>
            <w:r>
              <w:rPr>
                <w:rFonts w:hint="eastAsia" w:ascii="宋体" w:hAnsi="宋体" w:eastAsia="宋体" w:cs="宋体"/>
                <w:color w:val="auto"/>
                <w:spacing w:val="-11"/>
                <w:sz w:val="24"/>
                <w:szCs w:val="24"/>
              </w:rPr>
              <w:t>(</w:t>
            </w:r>
            <w:r>
              <w:rPr>
                <w:rFonts w:hint="eastAsia" w:ascii="宋体" w:hAnsi="宋体" w:eastAsia="宋体" w:cs="宋体"/>
                <w:color w:val="auto"/>
                <w:spacing w:val="-10"/>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2024-01-25</w:t>
            </w:r>
          </w:p>
        </w:tc>
        <w:tc>
          <w:tcPr>
            <w:tcW w:w="3421" w:type="dxa"/>
            <w:vAlign w:val="center"/>
          </w:tcPr>
          <w:p>
            <w:pPr>
              <w:jc w:val="both"/>
              <w:outlineLvl w:val="0"/>
              <w:rPr>
                <w:rFonts w:hint="eastAsia" w:ascii="宋体" w:hAnsi="宋体" w:eastAsia="宋体" w:cs="宋体"/>
                <w:color w:val="auto"/>
                <w:sz w:val="24"/>
                <w:szCs w:val="24"/>
                <w:highlight w:val="none"/>
              </w:rPr>
            </w:pPr>
            <w:bookmarkStart w:id="16" w:name="_Toc28202"/>
            <w:bookmarkStart w:id="17" w:name="_Toc1812"/>
            <w:bookmarkStart w:id="18" w:name="_Toc12887"/>
            <w:bookmarkStart w:id="19" w:name="_Toc24755"/>
            <w:r>
              <w:rPr>
                <w:rFonts w:hint="eastAsia" w:ascii="宋体" w:hAnsi="宋体" w:eastAsia="宋体" w:cs="宋体"/>
                <w:color w:val="auto"/>
                <w:sz w:val="24"/>
                <w:szCs w:val="24"/>
                <w:highlight w:val="none"/>
                <w:lang w:eastAsia="zh-CN"/>
              </w:rPr>
              <w:t>武陟县</w:t>
            </w:r>
            <w:r>
              <w:rPr>
                <w:rFonts w:hint="eastAsia" w:ascii="宋体" w:hAnsi="宋体" w:eastAsia="宋体" w:cs="宋体"/>
                <w:color w:val="auto"/>
                <w:sz w:val="24"/>
                <w:szCs w:val="24"/>
                <w:highlight w:val="none"/>
                <w:lang w:val="en-US" w:eastAsia="zh-CN"/>
              </w:rPr>
              <w:t>水利局</w:t>
            </w:r>
            <w:r>
              <w:rPr>
                <w:rFonts w:hint="eastAsia" w:ascii="宋体" w:hAnsi="宋体" w:eastAsia="宋体" w:cs="宋体"/>
                <w:color w:val="auto"/>
                <w:sz w:val="24"/>
                <w:szCs w:val="24"/>
                <w:highlight w:val="none"/>
                <w:lang w:eastAsia="zh-CN"/>
              </w:rPr>
              <w:t>武陟县2023年度农业水价综合改革项目</w:t>
            </w:r>
            <w:bookmarkEnd w:id="16"/>
            <w:bookmarkEnd w:id="17"/>
            <w:bookmarkEnd w:id="18"/>
            <w:bookmarkEnd w:id="19"/>
            <w:r>
              <w:rPr>
                <w:rFonts w:hint="eastAsia" w:ascii="宋体" w:hAnsi="宋体" w:eastAsia="宋体" w:cs="宋体"/>
                <w:color w:val="auto"/>
                <w:sz w:val="24"/>
                <w:szCs w:val="24"/>
                <w:highlight w:val="none"/>
                <w:lang w:eastAsia="zh-CN"/>
              </w:rPr>
              <w:t xml:space="preserve"> </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1180000.00</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color w:val="auto"/>
                <w:sz w:val="24"/>
                <w:szCs w:val="24"/>
                <w:lang w:val="en-US"/>
              </w:rPr>
            </w:pPr>
            <w:r>
              <w:rPr>
                <w:rFonts w:hint="eastAsia" w:ascii="宋体" w:hAnsi="宋体" w:cs="宋体"/>
                <w:color w:val="auto"/>
                <w:sz w:val="24"/>
                <w:szCs w:val="24"/>
                <w:lang w:val="en-US" w:eastAsia="zh-CN"/>
              </w:rPr>
              <w:t>1084500.00</w:t>
            </w:r>
          </w:p>
        </w:tc>
      </w:tr>
    </w:tbl>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shd w:val="clear" w:fill="FFFF00"/>
          <w:lang w:val="en-US" w:eastAsia="zh-CN"/>
        </w:rPr>
      </w:pPr>
      <w:r>
        <w:rPr>
          <w:rFonts w:hint="eastAsia" w:ascii="宋体" w:hAnsi="宋体" w:eastAsia="宋体" w:cs="宋体"/>
          <w:sz w:val="24"/>
          <w:szCs w:val="24"/>
        </w:rPr>
        <w:t>采购需求(包括但不限于标的的名称、数量、简要技术需求或服务要求等)</w:t>
      </w:r>
      <w:r>
        <w:rPr>
          <w:rFonts w:hint="eastAsia" w:ascii="宋体" w:hAnsi="宋体" w:cs="宋体"/>
          <w:sz w:val="24"/>
          <w:szCs w:val="24"/>
          <w:lang w:eastAsia="zh-CN"/>
        </w:rPr>
        <w:t>：</w:t>
      </w:r>
      <w:r>
        <w:rPr>
          <w:rFonts w:hint="eastAsia" w:ascii="宋体" w:hAnsi="宋体" w:cs="宋体"/>
          <w:color w:val="auto"/>
          <w:sz w:val="24"/>
          <w:szCs w:val="24"/>
          <w:highlight w:val="none"/>
          <w:lang w:eastAsia="zh-CN"/>
        </w:rPr>
        <w:t>宣传牌20套，条幅72条，宣传栏6套，卷盘式自走喷灌机12套、潜水泵200QJ32-52-7.5kw型30台，潜水泵200QJ20-65-7.5kw型40台，水电双计量设施50套、玻璃钢井房50套等。</w:t>
      </w:r>
      <w:r>
        <w:rPr>
          <w:rFonts w:hint="eastAsia" w:ascii="宋体" w:hAnsi="宋体" w:eastAsia="宋体" w:cs="宋体"/>
          <w:sz w:val="24"/>
          <w:szCs w:val="24"/>
          <w:lang w:val="en-US" w:eastAsia="zh-CN"/>
        </w:rPr>
        <w:t>(详见《河南省政府采购网》本公告附件)。</w:t>
      </w:r>
    </w:p>
    <w:p>
      <w:pPr>
        <w:pStyle w:val="37"/>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cs="宋体"/>
          <w:sz w:val="24"/>
          <w:szCs w:val="24"/>
          <w:highlight w:val="none"/>
          <w:lang w:val="en-US" w:eastAsia="zh-CN"/>
        </w:rPr>
        <w:t>30</w:t>
      </w:r>
      <w:r>
        <w:rPr>
          <w:rFonts w:hint="eastAsia" w:ascii="宋体" w:hAnsi="宋体" w:cs="宋体"/>
          <w:sz w:val="24"/>
          <w:szCs w:val="24"/>
          <w:highlight w:val="none"/>
        </w:rPr>
        <w:t>日历天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7、本项目是否接受联合体</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w:t>
      </w:r>
      <w:r>
        <w:rPr>
          <w:rFonts w:hint="eastAsia" w:ascii="宋体" w:hAnsi="宋体" w:eastAsia="宋体" w:cs="宋体"/>
          <w:color w:val="auto"/>
          <w:sz w:val="24"/>
          <w:szCs w:val="24"/>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8、是否接受进口产品：</w:t>
      </w:r>
      <w:r>
        <w:rPr>
          <w:rFonts w:hint="eastAsia" w:ascii="宋体" w:hAnsi="宋体" w:eastAsia="宋体" w:cs="宋体"/>
          <w:color w:val="auto"/>
          <w:sz w:val="24"/>
          <w:szCs w:val="24"/>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9、是否专门面向</w:t>
      </w:r>
      <w:r>
        <w:rPr>
          <w:rFonts w:hint="eastAsia" w:ascii="宋体" w:hAnsi="宋体" w:eastAsia="宋体" w:cs="宋体"/>
          <w:sz w:val="24"/>
          <w:szCs w:val="24"/>
          <w:highlight w:val="none"/>
          <w:lang w:val="en-US" w:eastAsia="zh-CN"/>
        </w:rPr>
        <w:t>中小企业</w:t>
      </w:r>
      <w:r>
        <w:rPr>
          <w:rFonts w:hint="eastAsia" w:ascii="宋体" w:hAnsi="宋体" w:eastAsia="宋体" w:cs="宋体"/>
          <w:sz w:val="24"/>
          <w:szCs w:val="24"/>
          <w:lang w:val="en-US" w:eastAsia="zh-CN"/>
        </w:rPr>
        <w:t>：</w:t>
      </w:r>
      <w:r>
        <w:rPr>
          <w:rFonts w:hint="eastAsia" w:ascii="宋体" w:hAnsi="宋体" w:eastAsia="宋体" w:cs="宋体"/>
          <w:color w:val="auto"/>
          <w:sz w:val="24"/>
          <w:szCs w:val="24"/>
          <w:lang w:val="en-US" w:eastAsia="zh-CN"/>
        </w:rPr>
        <w:t>是</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满足《中华人民共和国政</w:t>
      </w:r>
      <w:r>
        <w:rPr>
          <w:rFonts w:hint="eastAsia" w:ascii="宋体" w:hAnsi="宋体" w:eastAsia="宋体" w:cs="宋体"/>
          <w:sz w:val="24"/>
          <w:szCs w:val="24"/>
        </w:rPr>
        <w:t>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rPr>
        <w:t>落实政府采购政策需满足的资格要求：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highlight w:val="none"/>
          <w:lang w:val="en-US" w:eastAsia="zh-CN"/>
        </w:rPr>
        <w:t>2.1</w:t>
      </w:r>
      <w:r>
        <w:rPr>
          <w:rFonts w:hint="eastAsia" w:ascii="宋体" w:hAnsi="宋体" w:cs="宋体"/>
          <w:sz w:val="24"/>
          <w:szCs w:val="24"/>
          <w:lang w:val="en-US" w:eastAsia="zh-CN"/>
        </w:rPr>
        <w:t>所投货物的制造商应为中小微企业或监狱企业或残疾人福利性单位；</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本项目的特定资格要求：</w:t>
      </w:r>
    </w:p>
    <w:p>
      <w:pPr>
        <w:keepNext w:val="0"/>
        <w:keepLines w:val="0"/>
        <w:pageBreakBefore w:val="0"/>
        <w:widowControl w:val="0"/>
        <w:numPr>
          <w:ilvl w:val="0"/>
          <w:numId w:val="0"/>
        </w:numPr>
        <w:tabs>
          <w:tab w:val="left" w:pos="492"/>
          <w:tab w:val="left" w:pos="839"/>
        </w:tabs>
        <w:kinsoku/>
        <w:wordWrap/>
        <w:overflowPunct/>
        <w:topLinePunct w:val="0"/>
        <w:autoSpaceDE/>
        <w:autoSpaceDN/>
        <w:bidi w:val="0"/>
        <w:adjustRightInd/>
        <w:snapToGrid/>
        <w:spacing w:line="400" w:lineRule="exact"/>
        <w:ind w:left="420" w:leftChars="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.1</w:t>
      </w:r>
      <w:r>
        <w:rPr>
          <w:rFonts w:hint="eastAsia" w:ascii="宋体" w:hAnsi="宋体" w:cs="宋体"/>
          <w:color w:val="auto"/>
          <w:sz w:val="24"/>
          <w:szCs w:val="24"/>
          <w:highlight w:val="none"/>
          <w:lang w:val="en-US" w:eastAsia="zh-CN"/>
        </w:rPr>
        <w:t>资质要求：供应商须具备水利工程专业承包三级及以上资质，具备有效期内的安全生产许可证副本；</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3.2</w:t>
      </w:r>
      <w:r>
        <w:rPr>
          <w:rFonts w:hint="eastAsia" w:ascii="宋体" w:hAnsi="宋体" w:eastAsia="宋体" w:cs="宋体"/>
          <w:sz w:val="24"/>
          <w:szCs w:val="24"/>
        </w:rPr>
        <w:t>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3.3</w:t>
      </w:r>
      <w:r>
        <w:rPr>
          <w:rFonts w:hint="eastAsia" w:ascii="宋体" w:hAnsi="宋体" w:eastAsia="宋体" w:cs="宋体"/>
          <w:sz w:val="24"/>
          <w:szCs w:val="24"/>
        </w:rPr>
        <w:t>经中国人民银行备案的第三方征信机构出具的有效期内的信用报告，信用等级达到A级及以上，并提供出具该信用报告的第三方征信机构在中国人民银行备案的证明材料；</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3.4</w:t>
      </w:r>
      <w:r>
        <w:rPr>
          <w:rFonts w:hint="eastAsia" w:ascii="宋体" w:hAnsi="宋体" w:eastAsia="宋体" w:cs="宋体"/>
          <w:sz w:val="24"/>
          <w:szCs w:val="24"/>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numPr>
          <w:ilvl w:val="0"/>
          <w:numId w:val="3"/>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shd w:val="clear" w:color="auto" w:fill="FFFF00"/>
        </w:rPr>
      </w:pPr>
      <w:r>
        <w:rPr>
          <w:rFonts w:hint="eastAsia" w:ascii="宋体" w:hAnsi="宋体" w:eastAsia="宋体" w:cs="宋体"/>
          <w:sz w:val="24"/>
          <w:szCs w:val="24"/>
        </w:rPr>
        <w:t>时间</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2024</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29</w:t>
      </w:r>
      <w:r>
        <w:rPr>
          <w:rFonts w:hint="eastAsia" w:ascii="宋体" w:hAnsi="宋体" w:eastAsia="宋体" w:cs="宋体"/>
          <w:color w:val="auto"/>
          <w:sz w:val="24"/>
          <w:szCs w:val="24"/>
        </w:rPr>
        <w:t>日至</w:t>
      </w:r>
      <w:r>
        <w:rPr>
          <w:rFonts w:hint="eastAsia" w:ascii="宋体" w:hAnsi="宋体" w:cs="宋体"/>
          <w:color w:val="auto"/>
          <w:sz w:val="24"/>
          <w:szCs w:val="24"/>
          <w:lang w:val="en-US" w:eastAsia="zh-CN"/>
        </w:rPr>
        <w:t>2024</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日，每天上午 0</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:00 至 12:00， 下午 12:00 至 23:</w:t>
      </w:r>
      <w:r>
        <w:rPr>
          <w:rFonts w:hint="eastAsia" w:ascii="宋体" w:hAnsi="宋体" w:cs="宋体"/>
          <w:color w:val="auto"/>
          <w:sz w:val="24"/>
          <w:szCs w:val="24"/>
          <w:lang w:val="en-US" w:eastAsia="zh-CN"/>
        </w:rPr>
        <w:t>59</w:t>
      </w:r>
      <w:r>
        <w:rPr>
          <w:rFonts w:hint="eastAsia" w:ascii="宋体" w:hAnsi="宋体" w:eastAsia="宋体" w:cs="宋体"/>
          <w:color w:val="auto"/>
          <w:sz w:val="24"/>
          <w:szCs w:val="24"/>
        </w:rPr>
        <w:t xml:space="preserve"> (北京时间，法定节假日除外。)</w:t>
      </w:r>
      <w:r>
        <w:rPr>
          <w:rFonts w:hint="eastAsia" w:ascii="宋体" w:hAnsi="宋体" w:cs="宋体"/>
          <w:color w:val="auto"/>
          <w:sz w:val="24"/>
          <w:szCs w:val="24"/>
          <w:lang w:eastAsia="zh-CN"/>
        </w:rPr>
        <w:t>；</w:t>
      </w:r>
    </w:p>
    <w:p>
      <w:pPr>
        <w:keepNext w:val="0"/>
        <w:keepLines w:val="0"/>
        <w:pageBreakBefore w:val="0"/>
        <w:numPr>
          <w:ilvl w:val="0"/>
          <w:numId w:val="3"/>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shd w:val="clear" w:color="auto" w:fill="FFFF00"/>
        </w:rPr>
      </w:pPr>
      <w:r>
        <w:rPr>
          <w:rFonts w:hint="eastAsia" w:ascii="宋体" w:hAnsi="宋体" w:eastAsia="宋体" w:cs="宋体"/>
          <w:color w:val="auto"/>
          <w:sz w:val="24"/>
          <w:szCs w:val="24"/>
        </w:rPr>
        <w:t>地点：焦作市公共资源交易中心网站</w:t>
      </w:r>
      <w:r>
        <w:rPr>
          <w:rFonts w:hint="eastAsia" w:ascii="宋体" w:hAnsi="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方式：本项目采用网上获取</w:t>
      </w:r>
      <w:r>
        <w:rPr>
          <w:rFonts w:hint="eastAsia" w:ascii="宋体" w:hAnsi="宋体" w:cs="宋体"/>
          <w:color w:val="auto"/>
          <w:sz w:val="24"/>
          <w:szCs w:val="24"/>
          <w:lang w:eastAsia="zh-CN"/>
        </w:rPr>
        <w:t>竞争性</w:t>
      </w:r>
      <w:r>
        <w:rPr>
          <w:rFonts w:hint="eastAsia" w:ascii="宋体" w:hAnsi="宋体" w:eastAsia="宋体" w:cs="宋体"/>
          <w:color w:val="auto"/>
          <w:sz w:val="24"/>
          <w:szCs w:val="24"/>
        </w:rPr>
        <w:t>磋商文件，凡有意参加本项目磋商活动者，请登陆焦作市公共资源交易中心网站</w:t>
      </w:r>
      <w:r>
        <w:rPr>
          <w:rFonts w:hint="eastAsia" w:ascii="宋体" w:hAnsi="宋体" w:eastAsia="宋体" w:cs="宋体"/>
          <w:color w:val="auto"/>
          <w:sz w:val="24"/>
          <w:szCs w:val="24"/>
          <w:lang w:val="en-US" w:eastAsia="zh-CN"/>
        </w:rPr>
        <w:t>-交易平台“交易主体登录”栏目下载磋商文件</w:t>
      </w:r>
      <w:r>
        <w:rPr>
          <w:rFonts w:hint="eastAsia" w:ascii="宋体" w:hAnsi="宋体" w:cs="宋体"/>
          <w:color w:val="auto"/>
          <w:sz w:val="24"/>
          <w:szCs w:val="24"/>
          <w:lang w:eastAsia="zh-CN"/>
        </w:rPr>
        <w:t>；</w:t>
      </w:r>
    </w:p>
    <w:p>
      <w:pPr>
        <w:pStyle w:val="37"/>
        <w:keepNext w:val="0"/>
        <w:keepLines w:val="0"/>
        <w:pageBreakBefore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w:t>
      </w:r>
      <w:r>
        <w:rPr>
          <w:rFonts w:hint="eastAsia" w:ascii="宋体" w:hAnsi="宋体" w:cs="宋体"/>
          <w:b/>
          <w:bCs/>
          <w:color w:val="auto"/>
          <w:sz w:val="24"/>
          <w:szCs w:val="24"/>
          <w:lang w:eastAsia="zh-CN"/>
        </w:rPr>
        <w:t>响应</w:t>
      </w:r>
      <w:r>
        <w:rPr>
          <w:rFonts w:hint="eastAsia" w:ascii="宋体" w:hAnsi="宋体" w:eastAsia="宋体" w:cs="宋体"/>
          <w:b/>
          <w:bCs/>
          <w:color w:val="auto"/>
          <w:sz w:val="24"/>
          <w:szCs w:val="24"/>
          <w:lang w:eastAsia="zh-CN"/>
        </w:rPr>
        <w:t>文件提交：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1.截止时间：</w:t>
      </w:r>
      <w:r>
        <w:rPr>
          <w:rFonts w:hint="eastAsia" w:ascii="宋体" w:hAnsi="宋体" w:cs="宋体"/>
          <w:color w:val="auto"/>
          <w:sz w:val="24"/>
          <w:szCs w:val="24"/>
          <w:u w:val="none"/>
          <w:lang w:val="en-US" w:eastAsia="zh-CN"/>
        </w:rPr>
        <w:t>2024</w:t>
      </w:r>
      <w:r>
        <w:rPr>
          <w:rFonts w:hint="eastAsia" w:ascii="宋体" w:hAnsi="宋体" w:eastAsia="宋体" w:cs="宋体"/>
          <w:color w:val="auto"/>
          <w:sz w:val="24"/>
          <w:szCs w:val="24"/>
        </w:rPr>
        <w:t>年</w:t>
      </w:r>
      <w:r>
        <w:rPr>
          <w:rFonts w:hint="eastAsia" w:ascii="宋体" w:hAnsi="宋体" w:cs="宋体"/>
          <w:color w:val="auto"/>
          <w:sz w:val="24"/>
          <w:szCs w:val="24"/>
          <w:u w:val="none"/>
          <w:lang w:val="en-US" w:eastAsia="zh-CN"/>
        </w:rPr>
        <w:t>2</w:t>
      </w:r>
      <w:r>
        <w:rPr>
          <w:rFonts w:hint="eastAsia" w:ascii="宋体" w:hAnsi="宋体" w:eastAsia="宋体" w:cs="宋体"/>
          <w:color w:val="auto"/>
          <w:sz w:val="24"/>
          <w:szCs w:val="24"/>
        </w:rPr>
        <w:t>月</w:t>
      </w:r>
      <w:r>
        <w:rPr>
          <w:rFonts w:hint="eastAsia" w:ascii="宋体" w:hAnsi="宋体" w:cs="宋体"/>
          <w:color w:val="auto"/>
          <w:sz w:val="24"/>
          <w:szCs w:val="24"/>
          <w:u w:val="none"/>
          <w:lang w:val="en-US" w:eastAsia="zh-CN"/>
        </w:rPr>
        <w:t>19</w:t>
      </w:r>
      <w:r>
        <w:rPr>
          <w:rFonts w:hint="eastAsia" w:ascii="宋体" w:hAnsi="宋体" w:eastAsia="宋体" w:cs="宋体"/>
          <w:color w:val="auto"/>
          <w:sz w:val="24"/>
          <w:szCs w:val="24"/>
        </w:rPr>
        <w:t>日</w:t>
      </w:r>
      <w:r>
        <w:rPr>
          <w:rFonts w:hint="eastAsia" w:ascii="宋体" w:hAnsi="宋体" w:eastAsia="宋体" w:cs="宋体"/>
          <w:color w:val="auto"/>
          <w:sz w:val="24"/>
          <w:szCs w:val="24"/>
          <w:u w:val="none"/>
        </w:rPr>
        <w:t>09</w:t>
      </w:r>
      <w:r>
        <w:rPr>
          <w:rFonts w:hint="eastAsia" w:ascii="宋体" w:hAnsi="宋体" w:eastAsia="宋体" w:cs="宋体"/>
          <w:color w:val="auto"/>
          <w:sz w:val="24"/>
          <w:szCs w:val="24"/>
        </w:rPr>
        <w:t>点</w:t>
      </w:r>
      <w:r>
        <w:rPr>
          <w:rFonts w:hint="eastAsia" w:ascii="宋体" w:hAnsi="宋体" w:eastAsia="宋体" w:cs="宋体"/>
          <w:color w:val="auto"/>
          <w:sz w:val="24"/>
          <w:szCs w:val="24"/>
          <w:u w:val="none"/>
        </w:rPr>
        <w:t>00</w:t>
      </w:r>
      <w:r>
        <w:rPr>
          <w:rFonts w:hint="eastAsia" w:ascii="宋体" w:hAnsi="宋体" w:eastAsia="宋体" w:cs="宋体"/>
          <w:color w:val="auto"/>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五、响应文件</w:t>
      </w:r>
      <w:r>
        <w:rPr>
          <w:rFonts w:hint="eastAsia" w:ascii="宋体" w:hAnsi="宋体" w:eastAsia="宋体" w:cs="宋体"/>
          <w:b/>
          <w:bCs/>
          <w:color w:val="auto"/>
          <w:sz w:val="24"/>
          <w:szCs w:val="24"/>
        </w:rPr>
        <w:t>开启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rPr>
        <w:t>1.时间：</w:t>
      </w:r>
      <w:r>
        <w:rPr>
          <w:rFonts w:hint="eastAsia" w:ascii="宋体" w:hAnsi="宋体" w:cs="宋体"/>
          <w:color w:val="auto"/>
          <w:sz w:val="24"/>
          <w:szCs w:val="24"/>
          <w:u w:val="none"/>
          <w:lang w:val="en-US" w:eastAsia="zh-CN"/>
        </w:rPr>
        <w:t>2024</w:t>
      </w:r>
      <w:r>
        <w:rPr>
          <w:rFonts w:hint="eastAsia" w:ascii="宋体" w:hAnsi="宋体" w:eastAsia="宋体" w:cs="宋体"/>
          <w:color w:val="auto"/>
          <w:sz w:val="24"/>
          <w:szCs w:val="24"/>
        </w:rPr>
        <w:t>年</w:t>
      </w:r>
      <w:r>
        <w:rPr>
          <w:rFonts w:hint="eastAsia" w:ascii="宋体" w:hAnsi="宋体" w:cs="宋体"/>
          <w:color w:val="auto"/>
          <w:sz w:val="24"/>
          <w:szCs w:val="24"/>
          <w:u w:val="none"/>
          <w:lang w:val="en-US" w:eastAsia="zh-CN"/>
        </w:rPr>
        <w:t>2</w:t>
      </w:r>
      <w:r>
        <w:rPr>
          <w:rFonts w:hint="eastAsia" w:ascii="宋体" w:hAnsi="宋体" w:eastAsia="宋体" w:cs="宋体"/>
          <w:color w:val="auto"/>
          <w:sz w:val="24"/>
          <w:szCs w:val="24"/>
        </w:rPr>
        <w:t>月</w:t>
      </w:r>
      <w:r>
        <w:rPr>
          <w:rFonts w:hint="eastAsia" w:ascii="宋体" w:hAnsi="宋体" w:cs="宋体"/>
          <w:color w:val="auto"/>
          <w:sz w:val="24"/>
          <w:szCs w:val="24"/>
          <w:u w:val="none"/>
          <w:lang w:val="en-US" w:eastAsia="zh-CN"/>
        </w:rPr>
        <w:t>19</w:t>
      </w:r>
      <w:r>
        <w:rPr>
          <w:rFonts w:hint="eastAsia" w:ascii="宋体" w:hAnsi="宋体" w:eastAsia="宋体" w:cs="宋体"/>
          <w:color w:val="auto"/>
          <w:sz w:val="24"/>
          <w:szCs w:val="24"/>
        </w:rPr>
        <w:t>日09时00分（北京时间</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2.地点：武陟县公共资源交易中心二楼开标</w:t>
      </w:r>
      <w:r>
        <w:rPr>
          <w:rFonts w:hint="eastAsia" w:ascii="宋体" w:hAnsi="宋体" w:eastAsia="宋体" w:cs="宋体"/>
          <w:sz w:val="24"/>
          <w:szCs w:val="24"/>
          <w:lang w:val="en-US" w:eastAsia="zh-CN"/>
        </w:rPr>
        <w:t>三</w:t>
      </w:r>
      <w:r>
        <w:rPr>
          <w:rFonts w:hint="eastAsia" w:ascii="宋体" w:hAnsi="宋体" w:eastAsia="宋体" w:cs="宋体"/>
          <w:sz w:val="24"/>
          <w:szCs w:val="24"/>
        </w:rPr>
        <w:t>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w:t>
      </w:r>
      <w:r>
        <w:rPr>
          <w:rFonts w:hint="eastAsia" w:ascii="宋体" w:hAnsi="宋体" w:cs="宋体"/>
          <w:b/>
          <w:bCs/>
          <w:sz w:val="24"/>
          <w:szCs w:val="24"/>
          <w:lang w:eastAsia="zh-CN"/>
        </w:rPr>
        <w:t>招标</w:t>
      </w:r>
      <w:r>
        <w:rPr>
          <w:rFonts w:hint="eastAsia" w:ascii="宋体" w:hAnsi="宋体" w:eastAsia="宋体" w:cs="宋体"/>
          <w:b/>
          <w:bCs/>
          <w:sz w:val="24"/>
          <w:szCs w:val="24"/>
          <w:lang w:eastAsia="zh-CN"/>
        </w:rPr>
        <w:t>公告</w:t>
      </w:r>
      <w:r>
        <w:rPr>
          <w:rFonts w:hint="eastAsia" w:ascii="宋体" w:hAnsi="宋体" w:eastAsia="宋体" w:cs="宋体"/>
          <w:b/>
          <w:bCs/>
          <w:sz w:val="24"/>
          <w:szCs w:val="24"/>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w:t>
      </w:r>
      <w:r>
        <w:rPr>
          <w:rFonts w:hint="eastAsia" w:ascii="宋体" w:hAnsi="宋体" w:cs="宋体"/>
          <w:sz w:val="24"/>
          <w:szCs w:val="24"/>
          <w:lang w:eastAsia="zh-CN"/>
        </w:rPr>
        <w:t>招标</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w:t>
      </w:r>
      <w:r>
        <w:rPr>
          <w:rFonts w:hint="eastAsia" w:ascii="宋体" w:hAnsi="宋体" w:cs="宋体"/>
          <w:sz w:val="24"/>
          <w:szCs w:val="24"/>
          <w:lang w:eastAsia="zh-CN"/>
        </w:rPr>
        <w:t>。招标</w:t>
      </w:r>
      <w:r>
        <w:rPr>
          <w:rFonts w:hint="eastAsia" w:ascii="宋体" w:hAnsi="宋体" w:eastAsia="宋体" w:cs="宋体"/>
          <w:sz w:val="24"/>
          <w:szCs w:val="24"/>
          <w:lang w:eastAsia="zh-CN"/>
        </w:rPr>
        <w:t>公告期限为</w:t>
      </w:r>
      <w:r>
        <w:rPr>
          <w:rFonts w:hint="eastAsia" w:ascii="宋体" w:hAnsi="宋体" w:cs="宋体"/>
          <w:sz w:val="24"/>
          <w:szCs w:val="24"/>
          <w:lang w:eastAsia="zh-CN"/>
        </w:rPr>
        <w:t>三</w:t>
      </w:r>
      <w:r>
        <w:rPr>
          <w:rFonts w:hint="eastAsia" w:ascii="宋体" w:hAnsi="宋体" w:eastAsia="宋体" w:cs="宋体"/>
          <w:sz w:val="24"/>
          <w:szCs w:val="24"/>
        </w:rPr>
        <w:t>个工作日。</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七、</w:t>
      </w:r>
      <w:r>
        <w:rPr>
          <w:rFonts w:hint="eastAsia" w:ascii="宋体" w:hAnsi="宋体" w:eastAsia="宋体" w:cs="宋体"/>
          <w:b/>
          <w:bCs/>
          <w:sz w:val="24"/>
          <w:szCs w:val="24"/>
          <w:lang w:eastAsia="zh-CN"/>
        </w:rPr>
        <w:t>其他补充事宜：</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 xml:space="preserve">、请各供应商提前办理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2、按要求进行网上获取并下载竞争性磋商文件,凡未在规定时间内获取竞争性磋商文件者视为无效投标。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分钟内完成解密，否则造成的一切后果由供应商自行负责。除电子响应性文件外，磋商时不再接受任何纸质文件、资料等。 </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w:t>
      </w:r>
      <w:r>
        <w:rPr>
          <w:rFonts w:hint="eastAsia" w:ascii="宋体" w:hAnsi="宋体" w:cs="宋体"/>
          <w:b/>
          <w:bCs/>
          <w:sz w:val="24"/>
          <w:szCs w:val="24"/>
          <w:lang w:eastAsia="zh-CN"/>
        </w:rPr>
        <w:t>招标</w:t>
      </w:r>
      <w:r>
        <w:rPr>
          <w:rFonts w:hint="eastAsia" w:ascii="宋体" w:hAnsi="宋体" w:eastAsia="宋体" w:cs="宋体"/>
          <w:b/>
          <w:bCs/>
          <w:sz w:val="24"/>
          <w:szCs w:val="24"/>
        </w:rPr>
        <w:t>提出询问，请按</w:t>
      </w:r>
      <w:r>
        <w:rPr>
          <w:rFonts w:hint="eastAsia" w:ascii="宋体" w:hAnsi="宋体" w:cs="宋体"/>
          <w:b/>
          <w:bCs/>
          <w:sz w:val="24"/>
          <w:szCs w:val="24"/>
          <w:lang w:eastAsia="zh-CN"/>
        </w:rPr>
        <w:t>照</w:t>
      </w:r>
      <w:r>
        <w:rPr>
          <w:rFonts w:hint="eastAsia" w:ascii="宋体" w:hAnsi="宋体" w:eastAsia="宋体" w:cs="宋体"/>
          <w:b/>
          <w:bCs/>
          <w:sz w:val="24"/>
          <w:szCs w:val="24"/>
        </w:rPr>
        <w:t>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eastAsia="zh-CN"/>
        </w:rPr>
        <w:t>武陟县水利局</w:t>
      </w:r>
      <w:r>
        <w:rPr>
          <w:rFonts w:hint="eastAsia" w:ascii="宋体" w:hAnsi="宋体" w:cs="宋体"/>
          <w:sz w:val="24"/>
          <w:szCs w:val="24"/>
        </w:rPr>
        <w:t xml:space="preserve"> </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ascii="宋体" w:hAnsi="宋体" w:cs="宋体"/>
          <w:sz w:val="24"/>
          <w:szCs w:val="24"/>
          <w:shd w:val="clear" w:color="auto" w:fill="FFFFFF"/>
        </w:rPr>
        <w:t>武陟县</w:t>
      </w:r>
      <w:r>
        <w:rPr>
          <w:rFonts w:hint="eastAsia" w:ascii="宋体" w:hAnsi="宋体" w:cs="宋体"/>
          <w:sz w:val="24"/>
          <w:szCs w:val="24"/>
          <w:shd w:val="clear" w:color="auto" w:fill="FFFFFF"/>
          <w:lang w:val="en-US" w:eastAsia="zh-CN"/>
        </w:rPr>
        <w:t>红旗路</w:t>
      </w:r>
      <w:r>
        <w:rPr>
          <w:rFonts w:hint="eastAsia" w:ascii="宋体" w:hAnsi="宋体" w:cs="宋体"/>
          <w:sz w:val="24"/>
          <w:szCs w:val="24"/>
        </w:rPr>
        <w:t>　</w:t>
      </w:r>
    </w:p>
    <w:p>
      <w:pPr>
        <w:pStyle w:val="37"/>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default"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联系人：</w:t>
      </w:r>
      <w:r>
        <w:rPr>
          <w:rFonts w:hint="eastAsia" w:ascii="宋体" w:hAnsi="宋体" w:cs="宋体"/>
          <w:kern w:val="2"/>
          <w:sz w:val="24"/>
          <w:szCs w:val="24"/>
          <w:shd w:val="clear" w:color="auto" w:fill="FFFFFF"/>
          <w:lang w:val="en-US" w:eastAsia="zh-CN" w:bidi="ar-SA"/>
        </w:rPr>
        <w:t>张敏</w:t>
      </w:r>
    </w:p>
    <w:p>
      <w:pPr>
        <w:spacing w:line="400" w:lineRule="exact"/>
        <w:ind w:firstLine="480" w:firstLineChars="200"/>
        <w:jc w:val="left"/>
        <w:rPr>
          <w:rFonts w:hint="eastAsia" w:ascii="宋体" w:hAnsi="宋体" w:cs="宋体"/>
          <w:sz w:val="24"/>
          <w:szCs w:val="24"/>
          <w:highlight w:val="none"/>
          <w:shd w:val="clear" w:color="auto" w:fill="FFFFFF"/>
          <w:lang w:val="en-US" w:eastAsia="zh-CN"/>
        </w:rPr>
      </w:pPr>
      <w:r>
        <w:rPr>
          <w:rFonts w:hint="eastAsia" w:ascii="宋体" w:hAnsi="宋体" w:eastAsia="宋体" w:cs="宋体"/>
          <w:sz w:val="24"/>
          <w:szCs w:val="24"/>
          <w:shd w:val="clear" w:color="auto" w:fill="FFFFFF"/>
        </w:rPr>
        <w:t>联系方式：</w:t>
      </w:r>
      <w:r>
        <w:rPr>
          <w:rFonts w:hint="eastAsia" w:ascii="宋体" w:hAnsi="宋体" w:cs="宋体"/>
          <w:sz w:val="24"/>
          <w:szCs w:val="24"/>
          <w:highlight w:val="none"/>
          <w:shd w:val="clear" w:color="auto" w:fill="FFFFFF"/>
          <w:lang w:val="en-US" w:eastAsia="zh-CN"/>
        </w:rPr>
        <w:t>0391-7296255</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2.采购代理机构信息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val="en-US" w:eastAsia="zh-CN"/>
        </w:rPr>
        <w:t>河南汇征工程管理有限公司</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cs="宋体"/>
          <w:sz w:val="24"/>
          <w:szCs w:val="24"/>
          <w:lang w:val="en-US" w:eastAsia="zh-CN"/>
        </w:rPr>
        <w:t>河南省郑州市中原区汝河路82号院1号楼办公楼1楼西</w:t>
      </w:r>
      <w:r>
        <w:rPr>
          <w:rFonts w:hint="eastAsia" w:ascii="宋体" w:hAnsi="宋体" w:cs="宋体"/>
          <w:sz w:val="24"/>
          <w:szCs w:val="24"/>
        </w:rPr>
        <w:t xml:space="preserve">   </w:t>
      </w:r>
    </w:p>
    <w:p>
      <w:pPr>
        <w:pStyle w:val="19"/>
        <w:spacing w:line="40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联系人：</w:t>
      </w:r>
      <w:r>
        <w:rPr>
          <w:rFonts w:hint="eastAsia" w:ascii="宋体" w:hAnsi="宋体" w:eastAsia="宋体" w:cs="宋体"/>
          <w:sz w:val="24"/>
          <w:szCs w:val="24"/>
          <w:highlight w:val="none"/>
          <w:lang w:val="en-US" w:eastAsia="zh-CN"/>
        </w:rPr>
        <w:t>刘京玉</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19"/>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项目联系人：</w:t>
      </w:r>
      <w:r>
        <w:rPr>
          <w:rFonts w:hint="eastAsia" w:ascii="宋体" w:hAnsi="宋体" w:eastAsia="宋体" w:cs="宋体"/>
          <w:sz w:val="24"/>
          <w:szCs w:val="24"/>
          <w:highlight w:val="none"/>
          <w:lang w:val="en-US" w:eastAsia="zh-CN"/>
        </w:rPr>
        <w:t>刘京玉</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eastAsia="zh-CN"/>
        </w:rPr>
        <w:t>联系方式</w:t>
      </w:r>
      <w:r>
        <w:rPr>
          <w:rFonts w:hint="eastAsia" w:ascii="宋体" w:hAnsi="宋体" w:eastAsia="宋体" w:cs="宋体"/>
          <w:sz w:val="24"/>
          <w:szCs w:val="24"/>
        </w:rPr>
        <w:t>：</w:t>
      </w:r>
      <w:r>
        <w:rPr>
          <w:rFonts w:hint="eastAsia" w:ascii="宋体" w:hAnsi="宋体" w:cs="宋体"/>
          <w:sz w:val="24"/>
          <w:szCs w:val="24"/>
          <w:lang w:val="en-US" w:eastAsia="zh-CN"/>
        </w:rPr>
        <w:t>18839105539</w:t>
      </w:r>
    </w:p>
    <w:p>
      <w:pPr>
        <w:rPr>
          <w:rFonts w:hint="default" w:ascii="宋体" w:hAnsi="宋体" w:eastAsia="宋体" w:cs="宋体"/>
          <w:sz w:val="24"/>
          <w:szCs w:val="24"/>
          <w:u w:val="single"/>
          <w:lang w:val="en-US" w:eastAsia="zh-CN"/>
        </w:rPr>
      </w:pPr>
      <w:r>
        <w:rPr>
          <w:rFonts w:hint="eastAsia" w:ascii="宋体" w:hAnsi="宋体" w:cs="宋体"/>
          <w:sz w:val="24"/>
          <w:szCs w:val="24"/>
          <w:lang w:val="en-US" w:eastAsia="zh-CN"/>
        </w:rPr>
        <w:br w:type="page"/>
      </w:r>
    </w:p>
    <w:p>
      <w:pPr>
        <w:pStyle w:val="35"/>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20" w:name="_Toc29694"/>
      <w:bookmarkStart w:id="21" w:name="_Toc13993"/>
      <w:r>
        <w:rPr>
          <w:rFonts w:hint="eastAsia" w:ascii="宋体" w:hAnsi="宋体" w:cs="宋体"/>
        </w:rPr>
        <w:t>供应商须知</w:t>
      </w:r>
      <w:bookmarkEnd w:id="10"/>
      <w:bookmarkEnd w:id="20"/>
      <w:bookmarkEnd w:id="21"/>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8"/>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eastAsia" w:ascii="宋体" w:hAnsi="宋体" w:eastAsia="宋体" w:cs="宋体"/>
                <w:kern w:val="0"/>
                <w:szCs w:val="21"/>
                <w:highlight w:val="magenta"/>
                <w:lang w:eastAsia="zh-CN"/>
              </w:rPr>
            </w:pPr>
            <w:r>
              <w:rPr>
                <w:rFonts w:hint="eastAsia" w:ascii="宋体" w:hAnsi="宋体" w:eastAsia="宋体" w:cs="宋体"/>
                <w:sz w:val="21"/>
                <w:szCs w:val="21"/>
                <w:highlight w:val="none"/>
                <w:lang w:val="en-US" w:eastAsia="zh-CN"/>
              </w:rPr>
              <w:t>武陟县水利局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rPr>
                <w:rFonts w:hint="eastAsia" w:ascii="宋体" w:hAnsi="宋体" w:cs="宋体"/>
                <w:kern w:val="0"/>
                <w:szCs w:val="21"/>
                <w:highlight w:val="none"/>
              </w:rPr>
            </w:pPr>
            <w:r>
              <w:rPr>
                <w:rFonts w:hint="eastAsia" w:ascii="宋体" w:hAnsi="宋体" w:eastAsia="宋体" w:cs="宋体"/>
                <w:sz w:val="21"/>
                <w:szCs w:val="21"/>
                <w:highlight w:val="none"/>
                <w:lang w:val="en-US" w:eastAsia="zh-CN"/>
              </w:rPr>
              <w:t>河南汇征工程管理有限公司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项目名称</w:t>
            </w:r>
          </w:p>
        </w:tc>
        <w:tc>
          <w:tcPr>
            <w:tcW w:w="6563" w:type="dxa"/>
            <w:noWrap w:val="0"/>
            <w:vAlign w:val="center"/>
          </w:tcPr>
          <w:p>
            <w:pPr>
              <w:rPr>
                <w:rFonts w:hint="eastAsia"/>
                <w:highlight w:val="none"/>
                <w:lang w:eastAsia="zh-CN"/>
              </w:rPr>
            </w:pPr>
            <w:r>
              <w:rPr>
                <w:rFonts w:hint="eastAsia" w:ascii="宋体" w:hAnsi="宋体" w:eastAsia="宋体" w:cs="宋体"/>
                <w:sz w:val="21"/>
                <w:szCs w:val="21"/>
                <w:highlight w:val="none"/>
                <w:lang w:val="en-US" w:eastAsia="zh-CN"/>
              </w:rPr>
              <w:t>武陟县水利局武陟县2023年度农业水价综合改革项目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default" w:ascii="宋体" w:hAnsi="宋体" w:eastAsia="宋体" w:cs="宋体"/>
                <w:kern w:val="0"/>
                <w:szCs w:val="21"/>
                <w:highlight w:val="none"/>
                <w:lang w:val="en-US" w:eastAsia="zh-CN"/>
              </w:rPr>
            </w:pPr>
            <w:r>
              <w:rPr>
                <w:rFonts w:hint="eastAsia" w:ascii="宋体" w:hAnsi="宋体" w:eastAsia="宋体" w:cs="宋体"/>
                <w:sz w:val="21"/>
                <w:szCs w:val="21"/>
                <w:highlight w:val="none"/>
                <w:lang w:val="en-US" w:eastAsia="zh-CN"/>
              </w:rPr>
              <w:t>中央及省级资金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eastAsia="宋体" w:cs="宋体"/>
                <w:sz w:val="21"/>
                <w:szCs w:val="21"/>
                <w:highlight w:val="none"/>
                <w:lang w:val="en-US" w:eastAsia="zh-CN"/>
              </w:rPr>
              <w:t xml:space="preserve">已落实  </w:t>
            </w:r>
            <w:r>
              <w:rPr>
                <w:rFonts w:hint="eastAsia" w:ascii="宋体" w:hAnsi="宋体" w:cs="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2131" w:type="dxa"/>
            <w:noWrap w:val="0"/>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报价范围</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s="宋体"/>
                <w:color w:val="auto"/>
                <w:kern w:val="0"/>
                <w:szCs w:val="21"/>
                <w:lang w:val="en-US" w:eastAsia="zh-CN"/>
              </w:rPr>
              <w:t xml:space="preserve">供应商所报总价应包括其履行本项目合同（如果成交）所需的所有费用，包括但不限于所投入的全部人工成本、管理费、利润和税金等。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olor w:val="auto"/>
                <w:szCs w:val="21"/>
              </w:rPr>
              <w:t>项目属性</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olor w:val="auto"/>
                <w:szCs w:val="21"/>
              </w:rPr>
              <w:t>货物</w:t>
            </w:r>
            <w:r>
              <w:rPr>
                <w:rFonts w:hint="eastAsia" w:hAnsi="宋体"/>
                <w:color w:val="auto"/>
                <w:szCs w:val="21"/>
              </w:rPr>
              <w:sym w:font="Wingdings" w:char="00FE"/>
            </w:r>
            <w:r>
              <w:rPr>
                <w:rFonts w:hint="eastAsia" w:hAnsi="宋体"/>
                <w:color w:val="auto"/>
                <w:szCs w:val="21"/>
              </w:rPr>
              <w:t xml:space="preserve">      </w:t>
            </w:r>
            <w:r>
              <w:rPr>
                <w:rFonts w:hint="eastAsia" w:ascii="宋体" w:hAnsi="宋体"/>
                <w:color w:val="auto"/>
                <w:szCs w:val="21"/>
              </w:rPr>
              <w:t>服务</w:t>
            </w:r>
            <w:r>
              <w:rPr>
                <w:rFonts w:hint="eastAsia" w:hAnsi="宋体"/>
                <w:color w:val="auto"/>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磋商有效期</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s="宋体"/>
                <w:color w:val="auto"/>
                <w:kern w:val="0"/>
                <w:szCs w:val="21"/>
              </w:rPr>
              <w:t>自响应文件提交之日起</w:t>
            </w:r>
            <w:r>
              <w:rPr>
                <w:rFonts w:hint="eastAsia" w:ascii="宋体" w:hAnsi="宋体" w:cs="宋体"/>
                <w:color w:val="auto"/>
                <w:kern w:val="0"/>
                <w:szCs w:val="21"/>
                <w:u w:val="single"/>
              </w:rPr>
              <w:t>60</w:t>
            </w:r>
            <w:r>
              <w:rPr>
                <w:rFonts w:hint="eastAsia" w:ascii="宋体" w:hAnsi="宋体" w:cs="宋体"/>
                <w:color w:val="auto"/>
                <w:kern w:val="0"/>
                <w:szCs w:val="21"/>
              </w:rPr>
              <w:t>日历天</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有效期短于该规定期限的投标无效）</w:t>
            </w:r>
            <w:r>
              <w:rPr>
                <w:rFonts w:hint="eastAsia" w:ascii="宋体" w:hAnsi="宋体" w:cs="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szCs w:val="21"/>
                <w:lang w:val="en-US" w:eastAsia="zh-CN"/>
              </w:rPr>
              <w:t>2</w:t>
            </w:r>
            <w:r>
              <w:rPr>
                <w:rFonts w:hint="eastAsia" w:ascii="宋体" w:hAnsi="宋体" w:cs="宋体"/>
                <w:szCs w:val="21"/>
                <w:lang w:eastAsia="zh-CN"/>
              </w:rPr>
              <w:t>万</w:t>
            </w:r>
            <w:r>
              <w:rPr>
                <w:rFonts w:hint="eastAsia" w:ascii="宋体" w:hAnsi="宋体" w:cs="宋体"/>
                <w:szCs w:val="21"/>
              </w:rPr>
              <w:t>元</w:t>
            </w:r>
            <w:r>
              <w:rPr>
                <w:rFonts w:hint="eastAsia" w:ascii="宋体" w:hAnsi="宋体" w:cs="宋体"/>
                <w:b/>
                <w:bCs/>
                <w:szCs w:val="21"/>
              </w:rPr>
              <w:t>（暂不缴纳）</w:t>
            </w:r>
          </w:p>
          <w:p>
            <w:pPr>
              <w:spacing w:line="400" w:lineRule="exact"/>
              <w:rPr>
                <w:rFonts w:hint="eastAsia" w:ascii="宋体" w:hAnsi="宋体" w:cs="宋体"/>
                <w:szCs w:val="21"/>
              </w:rPr>
            </w:pPr>
            <w:r>
              <w:rPr>
                <w:rFonts w:hint="eastAsia" w:ascii="宋体" w:hAnsi="宋体" w:cs="宋体"/>
                <w:szCs w:val="21"/>
              </w:rPr>
              <w:t>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szCs w:val="21"/>
                <w:lang w:val="en-US" w:eastAsia="zh-CN"/>
              </w:rPr>
              <w:t>2</w:t>
            </w:r>
            <w:r>
              <w:rPr>
                <w:rFonts w:hint="eastAsia" w:ascii="宋体" w:hAnsi="宋体" w:cs="宋体"/>
                <w:szCs w:val="21"/>
                <w:lang w:eastAsia="zh-CN"/>
              </w:rPr>
              <w:t>万元</w:t>
            </w:r>
            <w:r>
              <w:rPr>
                <w:rFonts w:hint="eastAsia" w:ascii="宋体" w:hAnsi="宋体" w:cs="宋体"/>
                <w:szCs w:val="21"/>
              </w:rPr>
              <w:t>，</w:t>
            </w:r>
            <w:r>
              <w:rPr>
                <w:rFonts w:hint="eastAsia" w:ascii="宋体" w:hAnsi="宋体" w:cs="宋体"/>
                <w:b/>
                <w:bCs/>
                <w:szCs w:val="21"/>
              </w:rPr>
              <w:t>并予以没收</w:t>
            </w:r>
            <w:r>
              <w:rPr>
                <w:rFonts w:hint="eastAsia" w:ascii="宋体" w:hAnsi="宋体" w:cs="宋体"/>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00" w:lineRule="exact"/>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5</w:t>
            </w:r>
            <w:r>
              <w:rPr>
                <w:rFonts w:hint="eastAsia" w:ascii="宋体" w:hAnsi="宋体" w:cs="宋体"/>
                <w:szCs w:val="21"/>
                <w:lang w:eastAsia="zh-CN"/>
              </w:rPr>
              <w:t>）磋商文件及相关法律法规规定的其他情形</w:t>
            </w:r>
            <w:r>
              <w:rPr>
                <w:rFonts w:hint="eastAsia" w:ascii="宋体" w:hAnsi="宋体" w:cs="宋体"/>
                <w:szCs w:val="21"/>
              </w:rPr>
              <w:t>。</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7"/>
              <w:spacing w:before="1" w:line="440" w:lineRule="exact"/>
              <w:ind w:left="108"/>
              <w:jc w:val="center"/>
              <w:rPr>
                <w:rFonts w:hint="eastAsia" w:ascii="宋体" w:hAnsi="宋体" w:cs="宋体"/>
                <w:color w:val="auto"/>
                <w:kern w:val="0"/>
                <w:szCs w:val="21"/>
              </w:rPr>
            </w:pPr>
            <w:r>
              <w:rPr>
                <w:rFonts w:hint="eastAsia" w:ascii="宋体" w:hAnsi="宋体" w:cs="宋体"/>
                <w:color w:val="auto"/>
                <w:sz w:val="21"/>
                <w:szCs w:val="21"/>
              </w:rPr>
              <w:t>响应文件的递交</w:t>
            </w:r>
          </w:p>
        </w:tc>
        <w:tc>
          <w:tcPr>
            <w:tcW w:w="6563" w:type="dxa"/>
            <w:noWrap w:val="0"/>
            <w:vAlign w:val="center"/>
          </w:tcPr>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 xml:space="preserve">1、本项目为不见面开标，加密电子响应性文件须在响应性文件提交截 止时间前通过“焦作市公共资源交易中心”网站-交易平台加密上传。除电子响应性文件外，磋商时不再接受任何纸质文件、资料等。 </w:t>
            </w:r>
          </w:p>
          <w:p>
            <w:pPr>
              <w:keepNext w:val="0"/>
              <w:keepLines w:val="0"/>
              <w:widowControl/>
              <w:suppressLineNumbers w:val="0"/>
              <w:jc w:val="left"/>
              <w:rPr>
                <w:rFonts w:hint="eastAsia" w:ascii="宋体" w:hAnsi="宋体" w:cs="宋体"/>
                <w:color w:val="auto"/>
                <w:kern w:val="0"/>
                <w:szCs w:val="21"/>
              </w:rPr>
            </w:pPr>
            <w:r>
              <w:rPr>
                <w:rFonts w:hint="eastAsia" w:ascii="宋体" w:hAnsi="宋体" w:eastAsia="宋体" w:cs="宋体"/>
                <w:color w:val="auto"/>
                <w:kern w:val="0"/>
                <w:sz w:val="21"/>
                <w:szCs w:val="21"/>
                <w:lang w:val="en-US" w:eastAsia="zh-CN" w:bidi="ar"/>
              </w:rPr>
              <w:t>2、未在响应性文件提交截止时间前完成上传加密电子响应性文件的视为逾期送达。逾期上传或未按规定方式上传加密的电子响应性文件</w:t>
            </w:r>
            <w:r>
              <w:rPr>
                <w:rFonts w:hint="eastAsia" w:ascii="宋体" w:hAnsi="宋体" w:cs="宋体"/>
                <w:color w:val="auto"/>
                <w:kern w:val="0"/>
                <w:sz w:val="21"/>
                <w:szCs w:val="21"/>
                <w:lang w:val="en-US" w:eastAsia="zh-CN" w:bidi="ar"/>
              </w:rPr>
              <w:t>的</w:t>
            </w:r>
            <w:r>
              <w:rPr>
                <w:rFonts w:hint="eastAsia" w:ascii="宋体" w:hAnsi="宋体" w:eastAsia="宋体" w:cs="宋体"/>
                <w:color w:val="auto"/>
                <w:kern w:val="0"/>
                <w:sz w:val="21"/>
                <w:szCs w:val="21"/>
                <w:lang w:val="en-US" w:eastAsia="zh-CN" w:bidi="ar"/>
              </w:rPr>
              <w:t xml:space="preserve">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37"/>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）由磋商小组采用综合评分法对提交最后报价的供应商的响应文件和最后报价进行综合评分并出具评审报告。</w:t>
            </w:r>
          </w:p>
          <w:p>
            <w:pPr>
              <w:pStyle w:val="14"/>
              <w:spacing w:line="400" w:lineRule="exact"/>
              <w:ind w:firstLine="422" w:firstLineChars="200"/>
              <w:rPr>
                <w:rFonts w:hint="eastAsia"/>
                <w:b/>
                <w:bCs/>
                <w:kern w:val="2"/>
                <w:szCs w:val="21"/>
              </w:rPr>
            </w:pPr>
            <w:r>
              <w:rPr>
                <w:rFonts w:hint="eastAsia"/>
                <w:b/>
                <w:bCs/>
                <w:kern w:val="2"/>
                <w:szCs w:val="21"/>
              </w:rPr>
              <w:t>备注：1.</w:t>
            </w:r>
            <w:r>
              <w:rPr>
                <w:rFonts w:hint="eastAsia" w:ascii="宋体" w:hAnsi="宋体" w:eastAsia="宋体" w:cs="宋体"/>
                <w:b/>
                <w:bCs/>
                <w:kern w:val="0"/>
                <w:sz w:val="21"/>
                <w:szCs w:val="21"/>
                <w:lang w:eastAsia="zh-CN"/>
              </w:rPr>
              <w:t>多包项目的，</w:t>
            </w:r>
            <w:r>
              <w:rPr>
                <w:rFonts w:hint="eastAsia" w:ascii="宋体" w:hAnsi="宋体" w:cs="宋体"/>
                <w:b/>
                <w:bCs/>
                <w:kern w:val="0"/>
                <w:sz w:val="21"/>
                <w:szCs w:val="21"/>
                <w:lang w:eastAsia="zh-CN"/>
              </w:rPr>
              <w:t>磋商</w:t>
            </w:r>
            <w:r>
              <w:rPr>
                <w:rFonts w:hint="eastAsia" w:ascii="宋体" w:hAnsi="宋体" w:eastAsia="宋体" w:cs="宋体"/>
                <w:b/>
                <w:bCs/>
                <w:kern w:val="0"/>
                <w:sz w:val="21"/>
                <w:szCs w:val="21"/>
                <w:lang w:eastAsia="zh-CN"/>
              </w:rPr>
              <w:t>会议将按包的顺序依次进行，请各</w:t>
            </w:r>
            <w:r>
              <w:rPr>
                <w:rFonts w:hint="eastAsia" w:ascii="宋体" w:hAnsi="宋体" w:cs="宋体"/>
                <w:b/>
                <w:bCs/>
                <w:kern w:val="0"/>
                <w:sz w:val="21"/>
                <w:szCs w:val="21"/>
                <w:lang w:eastAsia="zh-CN"/>
              </w:rPr>
              <w:t>供应商</w:t>
            </w:r>
            <w:r>
              <w:rPr>
                <w:rFonts w:hint="eastAsia" w:ascii="宋体" w:hAnsi="宋体" w:eastAsia="宋体" w:cs="宋体"/>
                <w:b/>
                <w:bCs/>
                <w:kern w:val="0"/>
                <w:sz w:val="21"/>
                <w:szCs w:val="21"/>
                <w:lang w:eastAsia="zh-CN"/>
              </w:rPr>
              <w:t>时刻关注焦作市不见面开标大厅系统。</w:t>
            </w:r>
          </w:p>
          <w:p>
            <w:pPr>
              <w:pStyle w:val="14"/>
              <w:spacing w:line="400" w:lineRule="exact"/>
              <w:ind w:firstLine="422" w:firstLineChars="200"/>
              <w:rPr>
                <w:rFonts w:hint="eastAsia" w:ascii="宋体" w:hAnsi="宋体" w:cs="宋体"/>
                <w:kern w:val="2"/>
                <w:szCs w:val="21"/>
              </w:rPr>
            </w:pPr>
            <w:r>
              <w:rPr>
                <w:rFonts w:hint="eastAsia"/>
                <w:b/>
                <w:bCs/>
                <w:kern w:val="2"/>
                <w:szCs w:val="21"/>
                <w:lang w:val="en-US" w:eastAsia="zh-CN"/>
              </w:rPr>
              <w:t>2.</w:t>
            </w:r>
            <w:r>
              <w:rPr>
                <w:rFonts w:hint="eastAsia"/>
                <w:b/>
                <w:bCs/>
                <w:kern w:val="2"/>
                <w:szCs w:val="21"/>
              </w:rPr>
              <w:t>供应商在规定时间内需通过焦作市公共资源交易平台进行二轮报价（最后报价），未在规定时间内提交二轮报价（最后报价）的视为放弃本次磋商。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14</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磋商小组的组成</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rPr>
              <w:t>由采购人代表和评审专家共3人及以上单数组成，其中评审专家人数不得少于磋商小组成员总数的2/3。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6</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在货物采购项目中，货物由中小企业制造，即货物由中小企业生产且使用该中小企业商号或者注册商标；</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供应商提供的货物既有中小企业制造货物，也有大型企业制造货物的，不享受本竞争性磋商文件规定的中小企业扶持政策。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供应商应当按照竞争性磋商文件的规定出具《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440" w:lineRule="exact"/>
              <w:ind w:firstLine="424" w:firstLineChars="202"/>
              <w:jc w:val="left"/>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是否属于中小企业，监狱企业和残疾人福利性单位视同小型、微型企业。不属于中小企业、监狱企业或残疾人福利性单位的拒绝参与本项目</w:t>
            </w:r>
            <w:r>
              <w:rPr>
                <w:rFonts w:hint="eastAsia" w:ascii="宋体" w:hAnsi="宋体"/>
                <w:b/>
                <w:bCs w:val="0"/>
                <w:sz w:val="21"/>
                <w:szCs w:val="21"/>
                <w:lang w:eastAsia="zh-CN"/>
              </w:rPr>
              <w:t>磋商</w:t>
            </w:r>
            <w:r>
              <w:rPr>
                <w:rFonts w:hint="eastAsia" w:ascii="宋体" w:hAnsi="宋体" w:eastAsia="宋体"/>
                <w:b/>
                <w:bCs w:val="0"/>
                <w:sz w:val="21"/>
                <w:szCs w:val="21"/>
                <w:lang w:eastAsia="zh-CN"/>
              </w:rPr>
              <w:t>。</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eastAsia="宋体"/>
                <w:color w:val="auto"/>
                <w:lang w:eastAsia="zh-CN"/>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sz w:val="21"/>
                <w:szCs w:val="21"/>
                <w:lang w:eastAsia="zh-CN"/>
              </w:rPr>
            </w:pPr>
            <w:r>
              <w:rPr>
                <w:rFonts w:hint="eastAsia" w:ascii="宋体" w:hAnsi="宋体"/>
                <w:bCs/>
                <w:sz w:val="21"/>
                <w:szCs w:val="21"/>
                <w:lang w:eastAsia="zh-CN"/>
              </w:rPr>
              <w:t>项目执行预付款的，采购人在向成交供应商支付预付款前，成交供应商需向采购人提供预付款保函；</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default" w:ascii="宋体" w:hAnsi="宋体" w:cs="宋体"/>
                <w:kern w:val="0"/>
                <w:szCs w:val="21"/>
                <w:lang w:val="en-US"/>
              </w:rPr>
            </w:pPr>
            <w:r>
              <w:rPr>
                <w:rFonts w:hint="eastAsia" w:ascii="宋体" w:hAnsi="宋体"/>
                <w:bCs/>
                <w:sz w:val="21"/>
                <w:szCs w:val="21"/>
                <w:lang w:eastAsia="zh-CN"/>
              </w:rPr>
              <w:t>预付款保函的形式：</w:t>
            </w:r>
            <w:r>
              <w:rPr>
                <w:rFonts w:hint="eastAsia" w:ascii="宋体" w:hAnsi="宋体"/>
                <w:bCs/>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其他必要内容</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1.本项目中如涉及商品包装和快递包装的，其包装需求标准应不低于《关于印发&lt;商 品包装政府采购需求标准（试行）&gt;、&lt;快递包装政府采购需求标准（试行）&gt;的通 知》（财办库〔2020〕123 号）规定的包装要求，</w:t>
            </w:r>
            <w:r>
              <w:rPr>
                <w:rFonts w:hint="eastAsia" w:ascii="宋体" w:hAnsi="宋体" w:cs="宋体"/>
                <w:color w:val="auto"/>
                <w:kern w:val="0"/>
                <w:szCs w:val="21"/>
                <w:lang w:val="en-US" w:eastAsia="zh-CN"/>
              </w:rPr>
              <w:t>其他包装需求详见采购文件</w:t>
            </w:r>
            <w:r>
              <w:rPr>
                <w:rFonts w:hint="eastAsia" w:ascii="宋体" w:hAnsi="宋体" w:cs="宋体"/>
                <w:kern w:val="0"/>
                <w:szCs w:val="21"/>
                <w:lang w:val="en-US" w:eastAsia="zh-CN"/>
              </w:rPr>
              <w:t xml:space="preserve">。采购人、中标/成交人双方签订合同及验收环节，应包含上述包装要求的条款。 </w:t>
            </w:r>
          </w:p>
          <w:p>
            <w:pPr>
              <w:spacing w:line="360" w:lineRule="auto"/>
              <w:ind w:firstLine="420" w:firstLineChars="200"/>
              <w:rPr>
                <w:rFonts w:hint="eastAsia" w:ascii="宋体" w:hAnsi="宋体" w:cs="宋体"/>
                <w:kern w:val="0"/>
                <w:szCs w:val="21"/>
                <w:lang w:val="en-US" w:eastAsia="zh-CN"/>
              </w:rPr>
            </w:pPr>
            <w:r>
              <w:rPr>
                <w:rFonts w:hint="eastAsia" w:ascii="宋体" w:hAnsi="宋体" w:cs="宋体"/>
                <w:kern w:val="0"/>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rPr>
                <w:rFonts w:hint="eastAsia" w:ascii="宋体" w:hAnsi="宋体" w:cs="宋体"/>
                <w:kern w:val="0"/>
                <w:szCs w:val="21"/>
              </w:rPr>
            </w:pPr>
            <w:r>
              <w:rPr>
                <w:rFonts w:hint="eastAsia" w:ascii="宋体" w:hAnsi="宋体" w:cs="宋体"/>
                <w:kern w:val="0"/>
                <w:szCs w:val="21"/>
              </w:rPr>
              <w:t>本竞争性磋商文件解释权归采购人或其委托的采购代理机构</w:t>
            </w:r>
            <w:r>
              <w:rPr>
                <w:rFonts w:hint="eastAsia" w:ascii="宋体" w:hAnsi="宋体" w:cs="宋体"/>
                <w:kern w:val="0"/>
                <w:szCs w:val="21"/>
                <w:lang w:eastAsia="zh-CN"/>
              </w:rPr>
              <w:t>，</w:t>
            </w:r>
            <w:r>
              <w:rPr>
                <w:rFonts w:hint="eastAsia" w:ascii="宋体" w:hAnsi="宋体" w:cs="宋体"/>
                <w:kern w:val="0"/>
                <w:szCs w:val="21"/>
              </w:rPr>
              <w:t>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w:t>
            </w:r>
          </w:p>
          <w:p>
            <w:pPr>
              <w:spacing w:line="460" w:lineRule="exact"/>
              <w:jc w:val="center"/>
              <w:rPr>
                <w:rFonts w:hint="eastAsia" w:ascii="宋体" w:hAnsi="宋体" w:cs="宋体"/>
                <w:kern w:val="0"/>
                <w:szCs w:val="21"/>
              </w:rPr>
            </w:pPr>
            <w:r>
              <w:rPr>
                <w:rFonts w:hint="eastAsia" w:ascii="宋体" w:hAnsi="宋体" w:cs="宋体"/>
                <w:kern w:val="0"/>
                <w:szCs w:val="21"/>
              </w:rPr>
              <w:t>服务费</w:t>
            </w:r>
          </w:p>
        </w:tc>
        <w:tc>
          <w:tcPr>
            <w:tcW w:w="6563" w:type="dxa"/>
            <w:noWrap w:val="0"/>
            <w:vAlign w:val="center"/>
          </w:tcPr>
          <w:p>
            <w:pPr>
              <w:spacing w:line="360" w:lineRule="auto"/>
              <w:rPr>
                <w:rFonts w:hint="eastAsia" w:ascii="宋体" w:hAnsi="宋体" w:cs="宋体"/>
                <w:color w:val="auto"/>
                <w:szCs w:val="21"/>
              </w:rPr>
            </w:pPr>
            <w:r>
              <w:rPr>
                <w:rFonts w:hint="eastAsia" w:ascii="宋体" w:hAnsi="宋体" w:cs="宋体"/>
                <w:color w:val="auto"/>
                <w:szCs w:val="21"/>
              </w:rPr>
              <w:t>本项目收取代理服务费：</w:t>
            </w:r>
          </w:p>
          <w:p>
            <w:pPr>
              <w:spacing w:line="360" w:lineRule="auto"/>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rPr>
              <w:t>代理服务费用</w:t>
            </w:r>
            <w:r>
              <w:rPr>
                <w:rFonts w:hint="eastAsia" w:ascii="宋体" w:hAnsi="宋体" w:cs="宋体"/>
                <w:color w:val="auto"/>
                <w:szCs w:val="21"/>
                <w:lang w:eastAsia="zh-CN"/>
              </w:rPr>
              <w:t>：</w:t>
            </w:r>
            <w:r>
              <w:rPr>
                <w:rFonts w:hint="eastAsia" w:ascii="宋体" w:hAnsi="宋体" w:cs="宋体"/>
                <w:color w:val="auto"/>
                <w:szCs w:val="21"/>
                <w:lang w:val="en-US" w:eastAsia="zh-CN"/>
              </w:rPr>
              <w:t>招标代理服务费由中标人现金或者转账的形式向招标代理机构一次性支付，招标代理服务费金额以中标金额为基数，参照河南省招标投标协会豫招协【2023】002号文件计算</w:t>
            </w:r>
            <w:r>
              <w:rPr>
                <w:rFonts w:hint="eastAsia" w:ascii="宋体" w:hAnsi="宋体" w:cs="宋体"/>
                <w:color w:val="auto"/>
                <w:szCs w:val="21"/>
              </w:rPr>
              <w:t>。</w:t>
            </w:r>
          </w:p>
          <w:p>
            <w:pPr>
              <w:spacing w:line="360" w:lineRule="auto"/>
              <w:rPr>
                <w:rFonts w:hint="eastAsia" w:ascii="宋体" w:hAnsi="宋体" w:cs="宋体"/>
                <w:color w:val="auto"/>
                <w:szCs w:val="21"/>
                <w:lang w:val="en-US" w:eastAsia="zh-CN"/>
              </w:rPr>
            </w:pPr>
            <w:r>
              <w:rPr>
                <w:rFonts w:hint="eastAsia" w:ascii="宋体" w:hAnsi="宋体" w:cs="宋体"/>
                <w:color w:val="auto"/>
                <w:szCs w:val="21"/>
                <w:lang w:val="en-US" w:eastAsia="zh-CN"/>
              </w:rPr>
              <w:t>2.</w:t>
            </w:r>
            <w:r>
              <w:rPr>
                <w:rFonts w:hint="eastAsia" w:ascii="宋体" w:hAnsi="宋体" w:cs="宋体"/>
                <w:color w:val="auto"/>
                <w:szCs w:val="21"/>
              </w:rPr>
              <w:t>支付方式：现金或转账。</w:t>
            </w:r>
            <w:r>
              <w:rPr>
                <w:rFonts w:hint="eastAsia" w:ascii="宋体" w:hAnsi="宋体" w:cs="宋体"/>
                <w:color w:val="auto"/>
                <w:szCs w:val="21"/>
                <w:lang w:val="en-US" w:eastAsia="zh-CN"/>
              </w:rPr>
              <w:t xml:space="preserve"> </w:t>
            </w:r>
          </w:p>
          <w:p>
            <w:pPr>
              <w:spacing w:line="360" w:lineRule="auto"/>
              <w:rPr>
                <w:rFonts w:hint="eastAsia" w:eastAsia="宋体"/>
                <w:lang w:eastAsia="zh-CN"/>
              </w:rPr>
            </w:pPr>
            <w:r>
              <w:rPr>
                <w:rFonts w:hint="eastAsia" w:ascii="宋体" w:hAnsi="宋体" w:cs="宋体"/>
                <w:color w:val="auto"/>
                <w:szCs w:val="21"/>
              </w:rPr>
              <w:t>3.采购代理机构代理服务费由</w:t>
            </w:r>
            <w:r>
              <w:rPr>
                <w:rFonts w:hint="eastAsia" w:ascii="宋体" w:hAnsi="宋体" w:cs="宋体"/>
                <w:color w:val="auto"/>
                <w:szCs w:val="21"/>
                <w:lang w:val="en-US" w:eastAsia="zh-CN"/>
              </w:rPr>
              <w:t>成交供应商</w:t>
            </w:r>
            <w:r>
              <w:rPr>
                <w:rFonts w:hint="eastAsia" w:ascii="宋体" w:hAnsi="宋体" w:cs="宋体"/>
                <w:color w:val="auto"/>
                <w:szCs w:val="21"/>
              </w:rPr>
              <w:t>支付</w:t>
            </w:r>
            <w:r>
              <w:rPr>
                <w:rFonts w:hint="eastAsia" w:ascii="宋体" w:hAnsi="宋体" w:cs="宋体"/>
                <w:szCs w:val="21"/>
              </w:rPr>
              <w:t>。</w:t>
            </w:r>
          </w:p>
        </w:tc>
      </w:tr>
      <w:bookmarkEnd w:id="11"/>
      <w:bookmarkEnd w:id="12"/>
      <w:bookmarkEnd w:id="13"/>
      <w:bookmarkEnd w:id="14"/>
      <w:bookmarkEnd w:id="15"/>
    </w:tbl>
    <w:p>
      <w:pPr>
        <w:rPr>
          <w:rFonts w:hint="eastAsia" w:ascii="宋体" w:hAnsi="宋体" w:cs="宋体"/>
          <w:b/>
          <w:sz w:val="32"/>
        </w:rPr>
      </w:pPr>
      <w:bookmarkStart w:id="22" w:name="_Toc461962050"/>
    </w:p>
    <w:bookmarkEnd w:id="22"/>
    <w:p>
      <w:pPr>
        <w:pStyle w:val="4"/>
        <w:spacing w:before="0" w:after="0" w:line="240" w:lineRule="auto"/>
        <w:jc w:val="center"/>
        <w:rPr>
          <w:rFonts w:hint="eastAsia" w:ascii="宋体" w:hAnsi="宋体" w:eastAsia="宋体" w:cs="宋体"/>
        </w:rPr>
      </w:pPr>
      <w:bookmarkStart w:id="23" w:name="_Toc373230023"/>
      <w:bookmarkStart w:id="24" w:name="_Toc461962051"/>
      <w:bookmarkStart w:id="25" w:name="_Toc26492"/>
      <w:bookmarkStart w:id="26" w:name="_Toc487805903"/>
      <w:bookmarkStart w:id="27" w:name="_Toc374512410"/>
      <w:bookmarkStart w:id="28" w:name="_Toc2200"/>
      <w:bookmarkStart w:id="29" w:name="_Toc490161260"/>
      <w:bookmarkStart w:id="30" w:name="_Toc477423243"/>
      <w:r>
        <w:rPr>
          <w:rFonts w:hint="eastAsia" w:ascii="宋体" w:hAnsi="宋体" w:eastAsia="宋体" w:cs="宋体"/>
        </w:rPr>
        <w:t>一、总则</w:t>
      </w:r>
      <w:bookmarkEnd w:id="23"/>
      <w:bookmarkEnd w:id="24"/>
      <w:bookmarkEnd w:id="25"/>
      <w:bookmarkEnd w:id="26"/>
      <w:bookmarkEnd w:id="27"/>
      <w:bookmarkEnd w:id="28"/>
      <w:bookmarkEnd w:id="29"/>
      <w:bookmarkEnd w:id="30"/>
    </w:p>
    <w:p>
      <w:pPr>
        <w:numPr>
          <w:ilvl w:val="0"/>
          <w:numId w:val="4"/>
        </w:numPr>
        <w:tabs>
          <w:tab w:val="left" w:pos="424"/>
        </w:tabs>
        <w:spacing w:line="440" w:lineRule="exact"/>
        <w:ind w:left="284" w:leftChars="0" w:hanging="284" w:firstLineChars="0"/>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本磋商文件仅适用于竞争性磋商</w:t>
      </w:r>
      <w:r>
        <w:rPr>
          <w:rFonts w:hint="eastAsia" w:ascii="宋体" w:hAnsi="宋体" w:cs="宋体"/>
          <w:szCs w:val="21"/>
          <w:lang w:eastAsia="zh-CN"/>
        </w:rPr>
        <w:t>文件中第一章竞争性磋商公告</w:t>
      </w:r>
      <w:r>
        <w:rPr>
          <w:rFonts w:hint="eastAsia" w:ascii="宋体" w:hAnsi="宋体" w:cs="宋体"/>
          <w:szCs w:val="21"/>
        </w:rPr>
        <w:t>所述的项目。</w:t>
      </w:r>
    </w:p>
    <w:p>
      <w:pPr>
        <w:numPr>
          <w:ilvl w:val="0"/>
          <w:numId w:val="4"/>
        </w:numPr>
        <w:tabs>
          <w:tab w:val="left" w:pos="424"/>
        </w:tabs>
        <w:spacing w:line="440" w:lineRule="exact"/>
        <w:ind w:left="284" w:leftChars="0" w:hanging="284" w:firstLineChars="0"/>
        <w:rPr>
          <w:rFonts w:hint="eastAsia" w:ascii="宋体" w:hAnsi="宋体" w:cs="宋体"/>
          <w:b/>
          <w:bCs/>
          <w:szCs w:val="21"/>
        </w:rPr>
      </w:pPr>
      <w:r>
        <w:rPr>
          <w:rFonts w:hint="eastAsia" w:ascii="宋体" w:hAnsi="宋体" w:cs="宋体"/>
          <w:b/>
          <w:szCs w:val="21"/>
        </w:rPr>
        <w:t>定义</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 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“供应商”是指响应磋商、参加磋商竞争的法人、其他组织或者自然人</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合格的供应商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符合《中华人民共和国政府采购法》第二十二条规定的条件。</w:t>
      </w:r>
    </w:p>
    <w:p>
      <w:pPr>
        <w:pStyle w:val="79"/>
        <w:spacing w:line="440" w:lineRule="exact"/>
        <w:ind w:firstLine="420" w:firstLineChars="200"/>
        <w:rPr>
          <w:rFonts w:hint="eastAsia"/>
          <w:sz w:val="21"/>
          <w:szCs w:val="21"/>
        </w:rPr>
      </w:pPr>
      <w:r>
        <w:rPr>
          <w:rFonts w:hint="eastAsia"/>
          <w:sz w:val="21"/>
          <w:szCs w:val="21"/>
        </w:rPr>
        <w:t>3.1.1具有有效的“设立登记证书”；</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w:t>
      </w:r>
      <w:r>
        <w:rPr>
          <w:rFonts w:hint="eastAsia" w:hAnsi="宋体" w:cs="宋体"/>
          <w:bCs/>
          <w:color w:val="auto"/>
          <w:kern w:val="2"/>
          <w:sz w:val="21"/>
          <w:szCs w:val="21"/>
          <w:lang w:val="en-US" w:eastAsia="zh-CN"/>
        </w:rPr>
        <w:t>2</w:t>
      </w:r>
      <w:r>
        <w:rPr>
          <w:rFonts w:hint="eastAsia" w:hAnsi="宋体" w:cs="宋体"/>
          <w:bCs/>
          <w:color w:val="auto"/>
          <w:kern w:val="2"/>
          <w:sz w:val="21"/>
          <w:szCs w:val="21"/>
        </w:rPr>
        <w:t>年度财务审计报告（新成立企业不足一年的，提供最近一个月的财务报表。）或其基本开户银行出具的资信证明。</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9"/>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9"/>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符合本磋商文件规定的资格要求及项目要求的其它条件，并按照要求提供相关证明材料。</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供应商应遵守国家法律、法规和有关政府采购的规定。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已按竞争性磋商公告要求获取竞争性磋商文件的。</w:t>
      </w:r>
    </w:p>
    <w:p>
      <w:pPr>
        <w:numPr>
          <w:ilvl w:val="1"/>
          <w:numId w:val="4"/>
        </w:numPr>
        <w:spacing w:line="440" w:lineRule="exact"/>
        <w:ind w:left="0" w:leftChars="0" w:firstLine="425" w:firstLineChars="0"/>
        <w:rPr>
          <w:rFonts w:hint="eastAsia" w:ascii="宋体" w:hAnsi="宋体" w:cs="宋体"/>
          <w:b/>
          <w:bCs/>
          <w:szCs w:val="21"/>
        </w:rPr>
      </w:pPr>
      <w:r>
        <w:rPr>
          <w:rFonts w:hint="eastAsia" w:ascii="宋体" w:hAnsi="宋体" w:cs="宋体"/>
          <w:b/>
          <w:bCs/>
          <w:szCs w:val="21"/>
        </w:rPr>
        <w:t>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numPr>
          <w:ilvl w:val="1"/>
          <w:numId w:val="4"/>
        </w:numPr>
        <w:spacing w:line="440" w:lineRule="exact"/>
        <w:ind w:left="0" w:leftChars="0" w:firstLine="425" w:firstLineChars="0"/>
        <w:rPr>
          <w:rFonts w:hint="eastAsia" w:ascii="宋体" w:hAnsi="宋体" w:cs="宋体"/>
          <w:b w:val="0"/>
          <w:bCs w:val="0"/>
          <w:szCs w:val="21"/>
        </w:rPr>
      </w:pPr>
      <w:r>
        <w:rPr>
          <w:rFonts w:hint="eastAsia" w:ascii="宋体" w:hAnsi="宋体" w:cs="宋体"/>
          <w:b w:val="0"/>
          <w:bCs w:val="0"/>
          <w:szCs w:val="21"/>
        </w:rPr>
        <w:t>单位负责人为同一人或者存在直接控股、管理关系的不同供应商，不得参加同一合同项下的政府采购活动。</w:t>
      </w:r>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需要落实的政府采购政策：见供应商须知前附表</w:t>
      </w:r>
    </w:p>
    <w:p>
      <w:pPr>
        <w:pStyle w:val="4"/>
        <w:spacing w:line="440" w:lineRule="exact"/>
        <w:jc w:val="center"/>
        <w:rPr>
          <w:rFonts w:hint="eastAsia" w:ascii="宋体" w:hAnsi="宋体" w:eastAsia="宋体" w:cs="宋体"/>
          <w:sz w:val="21"/>
          <w:szCs w:val="21"/>
        </w:rPr>
      </w:pPr>
      <w:bookmarkStart w:id="31" w:name="_Toc490161261"/>
      <w:bookmarkStart w:id="32" w:name="_Toc23018"/>
      <w:bookmarkStart w:id="33" w:name="_Toc461962052"/>
      <w:bookmarkStart w:id="34" w:name="_Toc374512411"/>
      <w:bookmarkStart w:id="35" w:name="_Toc12084"/>
      <w:bookmarkStart w:id="36" w:name="_Toc373230024"/>
      <w:bookmarkStart w:id="37" w:name="_Toc477423244"/>
      <w:bookmarkStart w:id="38" w:name="_Toc487805904"/>
      <w:r>
        <w:rPr>
          <w:rFonts w:hint="eastAsia" w:ascii="宋体" w:hAnsi="宋体" w:eastAsia="宋体" w:cs="宋体"/>
          <w:sz w:val="21"/>
          <w:szCs w:val="21"/>
        </w:rPr>
        <w:t>二、磋商文件</w:t>
      </w:r>
      <w:bookmarkEnd w:id="31"/>
      <w:bookmarkEnd w:id="32"/>
      <w:bookmarkEnd w:id="33"/>
      <w:bookmarkEnd w:id="34"/>
      <w:bookmarkEnd w:id="35"/>
      <w:bookmarkEnd w:id="36"/>
      <w:bookmarkEnd w:id="37"/>
      <w:bookmarkEnd w:id="38"/>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磋商文件的组成</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磋商文件的澄清或修改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ind w:left="284" w:leftChars="0" w:hanging="284" w:firstLineChars="0"/>
        <w:rPr>
          <w:rFonts w:ascii="宋体" w:hAnsi="宋体" w:cs="宋体"/>
          <w:b/>
          <w:szCs w:val="21"/>
        </w:rPr>
      </w:pPr>
      <w:r>
        <w:rPr>
          <w:rFonts w:hint="eastAsia" w:ascii="宋体" w:hAnsi="宋体" w:cs="宋体"/>
          <w:b/>
          <w:szCs w:val="21"/>
        </w:rPr>
        <w:t>磋商文件的约束力</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供应商一旦获取了本磋商文件并参加磋商，即被认为对本磋商文件中的所有条件和规定均无异议。</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lang w:val="en-US" w:eastAsia="zh-CN"/>
        </w:rPr>
        <w:t>供应商如认为本</w:t>
      </w:r>
      <w:r>
        <w:rPr>
          <w:rFonts w:hint="eastAsia" w:ascii="宋体" w:hAnsi="宋体" w:cs="宋体"/>
          <w:szCs w:val="21"/>
        </w:rPr>
        <w:t>磋商</w:t>
      </w:r>
      <w:r>
        <w:rPr>
          <w:rFonts w:hint="eastAsia" w:ascii="宋体" w:hAnsi="宋体" w:cs="宋体"/>
          <w:szCs w:val="21"/>
          <w:lang w:val="en-US" w:eastAsia="zh-CN"/>
        </w:rPr>
        <w:t>文件含有倾向性或排斥潜在供应商的条款而使自己的权益受到损害的，请以书面形式向采购人或采购代理机构提出，否则，将视为对本磋商文件要求无任何异议，并不得因此在响应文件提交截</w:t>
      </w:r>
      <w:r>
        <w:rPr>
          <w:rFonts w:hint="eastAsia" w:ascii="宋体" w:hAnsi="宋体" w:cs="宋体"/>
          <w:szCs w:val="21"/>
        </w:rPr>
        <w:t>止时间</w:t>
      </w:r>
      <w:r>
        <w:rPr>
          <w:rFonts w:hint="eastAsia" w:ascii="宋体" w:hAnsi="宋体" w:cs="宋体"/>
          <w:szCs w:val="21"/>
          <w:lang w:val="en-US" w:eastAsia="zh-CN"/>
        </w:rPr>
        <w:t xml:space="preserve">后提出任何异议。 </w:t>
      </w:r>
    </w:p>
    <w:p>
      <w:pPr>
        <w:pStyle w:val="4"/>
        <w:numPr>
          <w:ilvl w:val="0"/>
          <w:numId w:val="5"/>
        </w:numPr>
        <w:spacing w:line="440" w:lineRule="exact"/>
        <w:jc w:val="center"/>
        <w:rPr>
          <w:rFonts w:hint="eastAsia" w:ascii="宋体" w:hAnsi="宋体" w:eastAsia="宋体" w:cs="宋体"/>
          <w:sz w:val="21"/>
          <w:szCs w:val="21"/>
        </w:rPr>
      </w:pPr>
      <w:bookmarkStart w:id="39" w:name="_Toc373230025"/>
      <w:bookmarkStart w:id="40" w:name="_Toc461962053"/>
      <w:bookmarkStart w:id="41" w:name="_Toc477423245"/>
      <w:bookmarkStart w:id="42" w:name="_Toc26181"/>
      <w:bookmarkStart w:id="43" w:name="_Toc6048"/>
      <w:bookmarkStart w:id="44" w:name="_Toc487805905"/>
      <w:bookmarkStart w:id="45" w:name="_Toc374512412"/>
      <w:bookmarkStart w:id="46" w:name="_Toc490161262"/>
      <w:r>
        <w:rPr>
          <w:rFonts w:hint="eastAsia" w:ascii="宋体" w:hAnsi="宋体" w:eastAsia="宋体" w:cs="宋体"/>
          <w:sz w:val="21"/>
          <w:szCs w:val="21"/>
        </w:rPr>
        <w:t>响应文件的编制</w:t>
      </w:r>
      <w:bookmarkEnd w:id="39"/>
      <w:bookmarkEnd w:id="40"/>
      <w:bookmarkEnd w:id="41"/>
      <w:bookmarkEnd w:id="42"/>
      <w:bookmarkEnd w:id="43"/>
      <w:bookmarkEnd w:id="44"/>
      <w:bookmarkEnd w:id="45"/>
      <w:bookmarkEnd w:id="46"/>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要求</w:t>
      </w:r>
    </w:p>
    <w:p>
      <w:pPr>
        <w:numPr>
          <w:ilvl w:val="1"/>
          <w:numId w:val="4"/>
        </w:numPr>
        <w:spacing w:line="440" w:lineRule="exact"/>
        <w:ind w:left="0" w:leftChars="0" w:firstLine="425" w:firstLineChars="0"/>
        <w:rPr>
          <w:rFonts w:hint="eastAsia" w:ascii="宋体" w:hAnsi="宋体" w:cs="宋体"/>
          <w:szCs w:val="21"/>
          <w:lang w:eastAsia="zh-CN"/>
        </w:rPr>
      </w:pPr>
      <w:r>
        <w:rPr>
          <w:rFonts w:hint="eastAsia" w:ascii="宋体" w:hAnsi="宋体" w:cs="宋体"/>
          <w:szCs w:val="21"/>
        </w:rPr>
        <w:t>供应商应仔细阅读、并充分理解磋商文件的所有内容，按照磋商文件的要求编制、提交响应文件。</w:t>
      </w:r>
      <w:r>
        <w:rPr>
          <w:rFonts w:hint="eastAsia" w:ascii="宋体" w:hAnsi="宋体" w:cs="宋体"/>
          <w:szCs w:val="21"/>
          <w:lang w:eastAsia="zh-CN"/>
        </w:rPr>
        <w:tab/>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供应商与采购人、采购代理机构的任何口头协议均不影响磋商文件、响应文件的任何条款和内容。</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响应文件的组成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报价</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报价范围：见投标人须知前附表。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磋商货币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响应文件的编制、签署、盖章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16.1.3</w:t>
      </w:r>
      <w:r>
        <w:rPr>
          <w:rFonts w:hint="eastAsia" w:hAnsi="宋体"/>
          <w:szCs w:val="21"/>
        </w:rPr>
        <w:t>加密电子响应文件未按本竞争性磋商文件中响应文件格式要求加盖电子签章的视为无效文件。</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供应商应完整地填写竞争性磋商文件中规定的所有内容。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供应商必须保证响应文件所提供的全部资料真实可靠。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如果因为供应商响应文件填报的内容不详，或没有提供磋商文件中所要求的全部资料及数据，由此造成的后果，其责任由供应商自行承担。</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本竞争性磋商文件所表述（指定）的公章是指法人（供应商）行政公章，不包括专用章，并应与电子签章保持一致。</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电报、电话、传真等形式的响应概不接受。</w:t>
      </w:r>
    </w:p>
    <w:p>
      <w:pPr>
        <w:pStyle w:val="4"/>
        <w:spacing w:line="440" w:lineRule="exact"/>
        <w:jc w:val="center"/>
        <w:rPr>
          <w:rFonts w:hint="eastAsia" w:ascii="宋体" w:hAnsi="宋体" w:eastAsia="宋体" w:cs="宋体"/>
          <w:sz w:val="21"/>
          <w:szCs w:val="21"/>
        </w:rPr>
      </w:pPr>
      <w:bookmarkStart w:id="47" w:name="_Toc373230026"/>
      <w:bookmarkStart w:id="48" w:name="_Toc487805906"/>
      <w:bookmarkStart w:id="49" w:name="_Toc461962054"/>
      <w:bookmarkStart w:id="50" w:name="_Toc477423246"/>
      <w:bookmarkStart w:id="51" w:name="_Toc10798"/>
      <w:bookmarkStart w:id="52" w:name="_Toc490161263"/>
      <w:bookmarkStart w:id="53" w:name="_Toc374512413"/>
      <w:bookmarkStart w:id="54" w:name="_Toc27919"/>
      <w:r>
        <w:rPr>
          <w:rFonts w:hint="eastAsia" w:ascii="宋体" w:hAnsi="宋体" w:eastAsia="宋体" w:cs="宋体"/>
          <w:sz w:val="21"/>
          <w:szCs w:val="21"/>
        </w:rPr>
        <w:t>四、响应文件的提交</w:t>
      </w:r>
      <w:bookmarkEnd w:id="47"/>
      <w:bookmarkEnd w:id="48"/>
      <w:bookmarkEnd w:id="49"/>
      <w:bookmarkEnd w:id="50"/>
      <w:bookmarkEnd w:id="51"/>
      <w:bookmarkEnd w:id="52"/>
      <w:bookmarkEnd w:id="53"/>
      <w:bookmarkEnd w:id="54"/>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响应文件的提交：</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所有响应文件必须在本磋商文件中规定的响应文件截止时间之前提前上传响应文件，并在响应文件开启截止时间前登录不见面开标大厅，按要求解密响应文件，不能按时上传、解密者视为自动放弃磋商；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采购人拒绝接收在响应文件递交截止时间后上传的响应文件。</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供应商在响应文件递交截止时间后不得修改、撤回响应文件。</w:t>
      </w:r>
    </w:p>
    <w:p>
      <w:pPr>
        <w:pStyle w:val="4"/>
        <w:spacing w:line="440" w:lineRule="exact"/>
        <w:jc w:val="center"/>
        <w:rPr>
          <w:rFonts w:hint="eastAsia" w:ascii="宋体" w:hAnsi="宋体" w:eastAsia="宋体" w:cs="宋体"/>
          <w:sz w:val="21"/>
          <w:szCs w:val="21"/>
        </w:rPr>
      </w:pPr>
      <w:bookmarkStart w:id="55" w:name="_Toc461962055"/>
      <w:bookmarkStart w:id="56" w:name="_Toc373230027"/>
      <w:bookmarkStart w:id="57" w:name="_Toc217235123"/>
      <w:bookmarkStart w:id="58" w:name="_Toc374512414"/>
      <w:bookmarkStart w:id="59" w:name="_Toc487805907"/>
      <w:bookmarkStart w:id="60" w:name="_Toc490161264"/>
      <w:bookmarkStart w:id="61" w:name="_Toc9653"/>
      <w:bookmarkStart w:id="62" w:name="_Toc6236"/>
      <w:bookmarkStart w:id="63" w:name="_Toc477423247"/>
      <w:r>
        <w:rPr>
          <w:rFonts w:hint="eastAsia" w:ascii="宋体" w:hAnsi="宋体" w:eastAsia="宋体" w:cs="宋体"/>
          <w:sz w:val="21"/>
          <w:szCs w:val="21"/>
        </w:rPr>
        <w:t>五、磋商</w:t>
      </w:r>
      <w:bookmarkEnd w:id="55"/>
      <w:bookmarkEnd w:id="56"/>
      <w:bookmarkEnd w:id="57"/>
      <w:bookmarkEnd w:id="58"/>
      <w:r>
        <w:rPr>
          <w:rFonts w:hint="eastAsia" w:ascii="宋体" w:hAnsi="宋体" w:eastAsia="宋体" w:cs="宋体"/>
          <w:sz w:val="21"/>
          <w:szCs w:val="21"/>
        </w:rPr>
        <w:t>和评审</w:t>
      </w:r>
      <w:bookmarkEnd w:id="59"/>
      <w:bookmarkEnd w:id="60"/>
      <w:bookmarkEnd w:id="61"/>
      <w:bookmarkEnd w:id="62"/>
      <w:bookmarkEnd w:id="63"/>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w:t>
      </w:r>
      <w:r>
        <w:rPr>
          <w:rFonts w:hint="eastAsia" w:ascii="宋体" w:hAnsi="宋体" w:cs="宋体"/>
          <w:szCs w:val="21"/>
          <w:lang w:eastAsia="zh-CN"/>
        </w:rPr>
        <w:t>的组成：详见供应商须知前附表；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第六章响应文件格式中“资格证明材料”要求的资格证明文件不全或不符合要求的；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cs="宋体"/>
          <w:color w:val="auto"/>
          <w:szCs w:val="21"/>
          <w:lang w:val="en-US" w:eastAsia="zh-CN"/>
        </w:rPr>
        <w:t>响应</w:t>
      </w:r>
      <w:r>
        <w:rPr>
          <w:rFonts w:hint="eastAsia" w:ascii="宋体" w:hAnsi="宋体" w:eastAsia="宋体" w:cs="宋体"/>
          <w:color w:val="auto"/>
          <w:szCs w:val="21"/>
          <w:lang w:val="en-US" w:eastAsia="zh-CN"/>
        </w:rPr>
        <w:t xml:space="preserve">文件制作机器码一致的；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w:t>
      </w:r>
      <w:r>
        <w:rPr>
          <w:rFonts w:hint="eastAsia" w:ascii="宋体" w:hAnsi="宋体" w:eastAsia="宋体" w:cs="宋体"/>
          <w:szCs w:val="21"/>
          <w:lang w:eastAsia="zh-CN"/>
        </w:rPr>
        <w:t>最高限价</w:t>
      </w:r>
      <w:r>
        <w:rPr>
          <w:rFonts w:hint="eastAsia" w:ascii="宋体" w:hAnsi="宋体" w:eastAsia="宋体" w:cs="宋体"/>
          <w:szCs w:val="21"/>
        </w:rPr>
        <w:t>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5</w:t>
      </w:r>
      <w:r>
        <w:rPr>
          <w:rFonts w:hint="eastAsia" w:ascii="宋体" w:hAnsi="宋体" w:eastAsia="宋体" w:cs="宋体"/>
          <w:color w:val="auto"/>
          <w:szCs w:val="21"/>
          <w:lang w:eastAsia="zh-CN"/>
        </w:rPr>
        <w:t>）</w:t>
      </w:r>
      <w:r>
        <w:rPr>
          <w:rFonts w:hint="eastAsia" w:ascii="宋体" w:hAnsi="宋体" w:eastAsia="宋体" w:cs="宋体"/>
          <w:color w:val="auto"/>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逾期上传响应文件的；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在规定的响应文件递交截止时间之前，提交合格的撤回通知的；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color w:val="auto"/>
          <w:szCs w:val="21"/>
          <w:lang w:eastAsia="zh-CN"/>
        </w:rPr>
        <w:t>第一轮</w:t>
      </w:r>
      <w:r>
        <w:rPr>
          <w:rFonts w:hint="eastAsia" w:ascii="宋体" w:hAnsi="宋体" w:cs="宋体"/>
          <w:color w:val="auto"/>
          <w:szCs w:val="21"/>
        </w:rPr>
        <w:t>报价出现</w:t>
      </w:r>
      <w:r>
        <w:rPr>
          <w:rFonts w:hint="eastAsia" w:ascii="宋体" w:hAnsi="宋体" w:cs="宋体"/>
          <w:szCs w:val="21"/>
        </w:rPr>
        <w:t>不一致的，按照下列规定修正：</w:t>
      </w:r>
    </w:p>
    <w:p>
      <w:pPr>
        <w:numPr>
          <w:ilvl w:val="0"/>
          <w:numId w:val="6"/>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6"/>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6"/>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ind w:left="284" w:leftChars="0" w:hanging="284" w:firstLineChars="0"/>
        <w:rPr>
          <w:rFonts w:hint="eastAsia" w:ascii="宋体" w:hAnsi="宋体" w:cs="宋体"/>
          <w:b/>
          <w:szCs w:val="21"/>
        </w:rPr>
      </w:pPr>
      <w:bookmarkStart w:id="64" w:name="_Toc373230028"/>
      <w:bookmarkStart w:id="65" w:name="_Toc374512415"/>
      <w:r>
        <w:rPr>
          <w:rFonts w:hint="eastAsia" w:ascii="宋体" w:hAnsi="宋体" w:cs="宋体"/>
          <w:b/>
          <w:szCs w:val="21"/>
        </w:rPr>
        <w:t>评审方法</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66" w:name="_Toc32423"/>
      <w:r>
        <w:rPr>
          <w:rFonts w:hint="eastAsia" w:ascii="宋体" w:hAnsi="宋体" w:cs="宋体"/>
          <w:szCs w:val="21"/>
        </w:rPr>
        <w:t>《政府采购竞争性磋商采购方式管理暂行办法</w:t>
      </w:r>
      <w:bookmarkEnd w:id="66"/>
      <w:r>
        <w:rPr>
          <w:rFonts w:hint="eastAsia" w:ascii="宋体" w:hAnsi="宋体" w:cs="宋体"/>
          <w:szCs w:val="21"/>
        </w:rPr>
        <w:t>》第三条第四项情形的，提交最后报价的供应商可以为2家</w:t>
      </w:r>
      <w:bookmarkStart w:id="67" w:name="_Toc5652"/>
      <w:r>
        <w:rPr>
          <w:rFonts w:hint="eastAsia" w:ascii="宋体" w:hAnsi="宋体" w:cs="宋体"/>
          <w:szCs w:val="21"/>
        </w:rPr>
        <w:t>或符合《财政部关于政府采购竞争性磋商采购方式管理暂行办法有关问题的补充通知</w:t>
      </w:r>
      <w:bookmarkEnd w:id="67"/>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7"/>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7"/>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7"/>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4"/>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68" w:name="_Toc5841"/>
      <w:bookmarkStart w:id="69" w:name="_Toc477423248"/>
      <w:bookmarkStart w:id="70" w:name="_Toc19608"/>
      <w:bookmarkStart w:id="71" w:name="_Toc490161265"/>
      <w:bookmarkStart w:id="72" w:name="_Toc487805908"/>
      <w:r>
        <w:rPr>
          <w:rFonts w:hint="eastAsia" w:ascii="宋体" w:hAnsi="宋体" w:eastAsia="宋体" w:cs="宋体"/>
          <w:sz w:val="21"/>
          <w:szCs w:val="21"/>
        </w:rPr>
        <w:t>六、成交和合同</w:t>
      </w:r>
      <w:bookmarkEnd w:id="68"/>
      <w:bookmarkEnd w:id="69"/>
      <w:bookmarkEnd w:id="70"/>
      <w:bookmarkEnd w:id="71"/>
      <w:bookmarkEnd w:id="72"/>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0" w:leftChars="0" w:firstLine="425" w:firstLineChars="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64"/>
    <w:bookmarkEnd w:id="65"/>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签订合同及合同的执行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采购人与成交供应商应当在成交通知书发出之日起30日内（供应商须知前附表另有规定者从其规定），签订政府采购合同。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磋商文件及修改文件、成交供应商的响应文件、补充或修改的文件及澄清或承诺文件等，均为双方签订合同的组成部分，并与合同一并作为本磋商所列采购项目的互补性法律文件，与合同具有同等法律效力；</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成交供应商应在采购合同签订之日起</w:t>
      </w:r>
      <w:r>
        <w:rPr>
          <w:rFonts w:hint="eastAsia" w:ascii="宋体" w:hAnsi="宋体" w:cs="宋体"/>
          <w:szCs w:val="21"/>
          <w:lang w:eastAsia="zh-CN"/>
        </w:rPr>
        <w:t>七</w:t>
      </w:r>
      <w:r>
        <w:rPr>
          <w:rFonts w:hint="eastAsia" w:ascii="宋体" w:hAnsi="宋体" w:cs="宋体"/>
          <w:szCs w:val="21"/>
        </w:rPr>
        <w:t>个工作日内将合同报武陟县</w:t>
      </w:r>
      <w:r>
        <w:rPr>
          <w:rFonts w:hint="eastAsia" w:ascii="宋体" w:hAnsi="宋体" w:cs="宋体"/>
          <w:szCs w:val="21"/>
          <w:lang w:eastAsia="zh-CN"/>
        </w:rPr>
        <w:t>财政综合服务中心</w:t>
      </w:r>
      <w:r>
        <w:rPr>
          <w:rFonts w:hint="eastAsia" w:ascii="宋体" w:hAnsi="宋体" w:cs="宋体"/>
          <w:szCs w:val="21"/>
        </w:rPr>
        <w:t>政府采购</w:t>
      </w:r>
      <w:r>
        <w:rPr>
          <w:rFonts w:hint="eastAsia" w:ascii="宋体" w:hAnsi="宋体" w:cs="宋体"/>
          <w:szCs w:val="21"/>
          <w:lang w:eastAsia="zh-CN"/>
        </w:rPr>
        <w:t>股</w:t>
      </w:r>
      <w:r>
        <w:rPr>
          <w:rFonts w:hint="eastAsia" w:ascii="宋体" w:hAnsi="宋体" w:cs="宋体"/>
          <w:szCs w:val="21"/>
        </w:rPr>
        <w:t>备案；</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合同双方如违约，将按《中华人民共和国民法典》、《中华人民共和国政府采购法》及有关法律法规中的规定执行。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根据《政府采购促进中小企业发展管理办法》规定，成交供应商为小微企业的不得将合同分包给大中型企业，成交供应商为中型企业的不得将合同分包给大型企业。</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color w:val="auto"/>
          <w:szCs w:val="21"/>
        </w:rPr>
        <w:fldChar w:fldCharType="begin"/>
      </w:r>
      <w:r>
        <w:rPr>
          <w:rFonts w:hint="eastAsia" w:ascii="宋体" w:hAnsi="宋体" w:cs="宋体"/>
          <w:color w:val="auto"/>
          <w:szCs w:val="21"/>
        </w:rPr>
        <w:instrText xml:space="preserve">HYPERLINK "http://download.ccgp.gov.cn/2018/zhiyihanfanben.zip"</w:instrText>
      </w:r>
      <w:r>
        <w:rPr>
          <w:rFonts w:hint="eastAsia" w:ascii="宋体" w:hAnsi="宋体" w:cs="宋体"/>
          <w:color w:val="auto"/>
          <w:szCs w:val="21"/>
        </w:rPr>
        <w:fldChar w:fldCharType="separate"/>
      </w:r>
      <w:r>
        <w:rPr>
          <w:rFonts w:hint="eastAsia" w:ascii="宋体" w:hAnsi="宋体" w:cs="宋体"/>
          <w:color w:val="auto"/>
          <w:szCs w:val="21"/>
        </w:rPr>
        <w:t>政府采购供应商质疑函范本</w:t>
      </w:r>
      <w:r>
        <w:rPr>
          <w:rFonts w:hint="eastAsia" w:ascii="宋体" w:hAnsi="宋体" w:cs="宋体"/>
          <w:color w:val="auto"/>
          <w:szCs w:val="21"/>
        </w:rPr>
        <w:fldChar w:fldCharType="end"/>
      </w:r>
      <w:r>
        <w:rPr>
          <w:rFonts w:hint="eastAsia" w:ascii="宋体" w:hAnsi="宋体" w:cs="宋体"/>
          <w:color w:val="auto"/>
          <w:szCs w:val="21"/>
        </w:rPr>
        <w:t>”，并附相关证明材料。否则，采购人或采购代理机构不予受理, 质疑文件及相关证明材料一式</w:t>
      </w:r>
      <w:r>
        <w:rPr>
          <w:rFonts w:hint="eastAsia" w:ascii="宋体" w:hAnsi="宋体" w:cs="宋体"/>
          <w:color w:val="auto"/>
          <w:szCs w:val="21"/>
          <w:lang w:eastAsia="zh-CN"/>
        </w:rPr>
        <w:t>两</w:t>
      </w:r>
      <w:r>
        <w:rPr>
          <w:rFonts w:hint="eastAsia" w:ascii="宋体" w:hAnsi="宋体" w:cs="宋体"/>
          <w:color w:val="auto"/>
          <w:szCs w:val="21"/>
        </w:rPr>
        <w:t>份，采购</w:t>
      </w:r>
      <w:r>
        <w:rPr>
          <w:rFonts w:hint="eastAsia" w:ascii="宋体" w:hAnsi="宋体" w:cs="宋体"/>
          <w:szCs w:val="21"/>
        </w:rPr>
        <w:t>人、采购代理机构各执一份。</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质疑供应商对采购人或采购代理机构的答复不满意以及采购人或采购代理机构未在规定的时间内做出答复的，可以在答复期满后15个工作日内向同级财政部门投诉。</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供应商应以书面方式将质疑函分别送至采购人、采购代理机构；</w:t>
      </w:r>
    </w:p>
    <w:p>
      <w:pPr>
        <w:spacing w:line="440" w:lineRule="exact"/>
        <w:ind w:left="284"/>
        <w:rPr>
          <w:rFonts w:hint="eastAsia" w:ascii="宋体" w:hAnsi="宋体" w:eastAsia="宋体" w:cs="宋体"/>
          <w:szCs w:val="21"/>
          <w:lang w:eastAsia="zh-CN"/>
        </w:rPr>
      </w:pPr>
      <w:r>
        <w:rPr>
          <w:rFonts w:hint="eastAsia" w:ascii="宋体" w:hAnsi="宋体" w:eastAsia="宋体" w:cs="宋体"/>
          <w:szCs w:val="21"/>
        </w:rPr>
        <w:t>采购人名称：</w:t>
      </w:r>
      <w:r>
        <w:rPr>
          <w:rFonts w:hint="eastAsia" w:ascii="宋体" w:hAnsi="宋体" w:eastAsia="宋体" w:cs="宋体"/>
          <w:szCs w:val="21"/>
          <w:lang w:eastAsia="zh-CN"/>
        </w:rPr>
        <w:t>武陟县水利局</w:t>
      </w:r>
      <w:r>
        <w:rPr>
          <w:rFonts w:hint="eastAsia" w:ascii="宋体" w:hAnsi="宋体" w:eastAsia="宋体" w:cs="宋体"/>
          <w:szCs w:val="21"/>
        </w:rPr>
        <w:t xml:space="preserve">     </w:t>
      </w:r>
    </w:p>
    <w:p>
      <w:pPr>
        <w:spacing w:line="440" w:lineRule="exact"/>
        <w:ind w:left="284"/>
        <w:rPr>
          <w:rFonts w:hint="eastAsia" w:ascii="宋体" w:hAnsi="宋体" w:eastAsia="宋体" w:cs="宋体"/>
          <w:szCs w:val="21"/>
        </w:rPr>
      </w:pPr>
      <w:r>
        <w:rPr>
          <w:rFonts w:hint="eastAsia" w:ascii="宋体" w:hAnsi="宋体" w:eastAsia="宋体" w:cs="宋体"/>
          <w:szCs w:val="21"/>
        </w:rPr>
        <w:t>地点：武陟县</w:t>
      </w:r>
      <w:r>
        <w:rPr>
          <w:rFonts w:hint="eastAsia" w:ascii="宋体" w:hAnsi="宋体" w:eastAsia="宋体" w:cs="宋体"/>
          <w:szCs w:val="21"/>
          <w:lang w:val="en-US" w:eastAsia="zh-CN"/>
        </w:rPr>
        <w:t>红旗路</w:t>
      </w:r>
    </w:p>
    <w:p>
      <w:pPr>
        <w:spacing w:line="440" w:lineRule="exact"/>
        <w:ind w:left="284"/>
        <w:rPr>
          <w:rFonts w:hint="default" w:ascii="宋体" w:hAnsi="宋体" w:eastAsia="宋体" w:cs="宋体"/>
          <w:szCs w:val="21"/>
          <w:lang w:val="en-US" w:eastAsia="zh-CN"/>
        </w:rPr>
      </w:pPr>
      <w:r>
        <w:rPr>
          <w:rFonts w:hint="eastAsia" w:ascii="宋体" w:hAnsi="宋体" w:eastAsia="宋体" w:cs="宋体"/>
          <w:szCs w:val="21"/>
        </w:rPr>
        <w:t>联系人：</w:t>
      </w:r>
      <w:r>
        <w:rPr>
          <w:rFonts w:hint="eastAsia" w:ascii="宋体" w:hAnsi="宋体" w:cs="宋体"/>
          <w:szCs w:val="21"/>
          <w:lang w:val="en-US" w:eastAsia="zh-CN"/>
        </w:rPr>
        <w:t>张敏</w:t>
      </w:r>
    </w:p>
    <w:p>
      <w:pPr>
        <w:spacing w:line="440" w:lineRule="exact"/>
        <w:ind w:left="284"/>
        <w:rPr>
          <w:rFonts w:hint="eastAsia" w:ascii="宋体" w:hAnsi="宋体" w:eastAsia="宋体" w:cs="宋体"/>
          <w:szCs w:val="21"/>
          <w:lang w:val="en-US" w:eastAsia="zh-CN"/>
        </w:rPr>
      </w:pPr>
      <w:r>
        <w:rPr>
          <w:rFonts w:hint="eastAsia" w:ascii="宋体" w:hAnsi="宋体" w:eastAsia="宋体" w:cs="宋体"/>
          <w:szCs w:val="21"/>
        </w:rPr>
        <w:t>联系电话：</w:t>
      </w:r>
      <w:r>
        <w:rPr>
          <w:rFonts w:hint="eastAsia" w:ascii="宋体" w:hAnsi="宋体" w:eastAsia="宋体" w:cs="宋体"/>
          <w:szCs w:val="21"/>
          <w:lang w:val="en-US" w:eastAsia="zh-CN"/>
        </w:rPr>
        <w:t>0391-7296255</w:t>
      </w:r>
    </w:p>
    <w:p>
      <w:pPr>
        <w:spacing w:line="440" w:lineRule="exact"/>
        <w:ind w:left="284"/>
        <w:rPr>
          <w:rFonts w:hint="eastAsia" w:ascii="宋体" w:hAnsi="宋体" w:eastAsia="宋体" w:cs="宋体"/>
          <w:szCs w:val="21"/>
          <w:lang w:val="en-US" w:eastAsia="zh-CN"/>
        </w:rPr>
      </w:pPr>
      <w:r>
        <w:rPr>
          <w:rFonts w:hint="eastAsia" w:ascii="宋体" w:hAnsi="宋体" w:eastAsia="宋体" w:cs="宋体"/>
          <w:szCs w:val="21"/>
        </w:rPr>
        <w:t>采购代理机构名称：</w:t>
      </w:r>
      <w:r>
        <w:rPr>
          <w:rFonts w:hint="eastAsia" w:ascii="宋体" w:hAnsi="宋体" w:eastAsia="宋体" w:cs="宋体"/>
          <w:szCs w:val="21"/>
          <w:lang w:val="en-US" w:eastAsia="zh-CN"/>
        </w:rPr>
        <w:t>河南汇征工程管理有限公司</w:t>
      </w:r>
    </w:p>
    <w:p>
      <w:pPr>
        <w:spacing w:line="440" w:lineRule="exact"/>
        <w:ind w:left="284"/>
        <w:rPr>
          <w:rFonts w:hint="default" w:ascii="宋体" w:hAnsi="宋体" w:eastAsia="宋体" w:cs="宋体"/>
          <w:szCs w:val="21"/>
          <w:lang w:val="en-US" w:eastAsia="zh-CN"/>
        </w:rPr>
      </w:pPr>
      <w:r>
        <w:rPr>
          <w:rFonts w:hint="eastAsia" w:ascii="宋体" w:hAnsi="宋体" w:eastAsia="宋体" w:cs="宋体"/>
          <w:szCs w:val="21"/>
        </w:rPr>
        <w:t>地点：</w:t>
      </w:r>
      <w:r>
        <w:rPr>
          <w:rFonts w:hint="eastAsia" w:ascii="宋体" w:hAnsi="宋体" w:eastAsia="宋体" w:cs="宋体"/>
          <w:szCs w:val="21"/>
          <w:lang w:val="en-US" w:eastAsia="zh-CN"/>
        </w:rPr>
        <w:t>河南省郑州市中原区汝河路82号院1号楼办公楼1楼西</w:t>
      </w:r>
      <w:r>
        <w:rPr>
          <w:rFonts w:hint="eastAsia" w:ascii="宋体" w:hAnsi="宋体" w:eastAsia="宋体" w:cs="宋体"/>
          <w:szCs w:val="21"/>
        </w:rPr>
        <w:t xml:space="preserve">     </w:t>
      </w:r>
    </w:p>
    <w:p>
      <w:pPr>
        <w:spacing w:line="440" w:lineRule="exact"/>
        <w:ind w:left="284"/>
        <w:rPr>
          <w:rFonts w:hint="eastAsia" w:ascii="宋体" w:hAnsi="宋体" w:cs="宋体"/>
          <w:szCs w:val="21"/>
          <w:lang w:val="en-US" w:eastAsia="zh-CN"/>
        </w:rPr>
      </w:pPr>
      <w:r>
        <w:rPr>
          <w:rFonts w:hint="eastAsia" w:ascii="宋体" w:hAnsi="宋体" w:eastAsia="宋体" w:cs="宋体"/>
          <w:szCs w:val="21"/>
        </w:rPr>
        <w:t>联系人：</w:t>
      </w:r>
      <w:r>
        <w:rPr>
          <w:rFonts w:hint="eastAsia" w:ascii="宋体" w:hAnsi="宋体" w:eastAsia="宋体" w:cs="宋体"/>
          <w:szCs w:val="21"/>
          <w:lang w:val="en-US" w:eastAsia="zh-CN"/>
        </w:rPr>
        <w:t>刘</w:t>
      </w:r>
      <w:r>
        <w:rPr>
          <w:rFonts w:hint="eastAsia" w:ascii="宋体" w:hAnsi="宋体" w:cs="宋体"/>
          <w:szCs w:val="21"/>
          <w:lang w:val="en-US" w:eastAsia="zh-CN"/>
        </w:rPr>
        <w:t>京玉</w:t>
      </w:r>
    </w:p>
    <w:p>
      <w:pPr>
        <w:spacing w:line="440" w:lineRule="exact"/>
        <w:ind w:left="284"/>
        <w:rPr>
          <w:rFonts w:hint="default" w:ascii="宋体" w:hAnsi="宋体" w:eastAsia="宋体" w:cs="宋体"/>
          <w:szCs w:val="21"/>
          <w:lang w:val="en-US" w:eastAsia="zh-CN"/>
        </w:rPr>
      </w:pPr>
      <w:r>
        <w:rPr>
          <w:rFonts w:hint="eastAsia" w:ascii="宋体" w:hAnsi="宋体" w:eastAsia="宋体" w:cs="宋体"/>
          <w:szCs w:val="21"/>
        </w:rPr>
        <w:t>联系电话：</w:t>
      </w:r>
      <w:r>
        <w:rPr>
          <w:rFonts w:hint="eastAsia" w:ascii="宋体" w:hAnsi="宋体" w:eastAsia="宋体" w:cs="宋体"/>
          <w:szCs w:val="21"/>
          <w:lang w:val="en-US" w:eastAsia="zh-CN"/>
        </w:rPr>
        <w:t>18839105539</w:t>
      </w:r>
    </w:p>
    <w:p>
      <w:pPr>
        <w:numPr>
          <w:ilvl w:val="0"/>
          <w:numId w:val="4"/>
        </w:numPr>
        <w:spacing w:line="440" w:lineRule="exact"/>
        <w:ind w:left="284" w:leftChars="0" w:hanging="284" w:firstLineChars="0"/>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eastAsia="宋体" w:cs="宋体"/>
          <w:lang w:val="en-US" w:eastAsia="zh-CN"/>
        </w:rPr>
      </w:pPr>
      <w:r>
        <w:rPr>
          <w:rFonts w:hint="eastAsia" w:ascii="宋体" w:hAnsi="宋体" w:cs="宋体"/>
        </w:rPr>
        <w:t>贷款渠道和提供贷款的金融机构，可在河南省政府采购网“河南省政府采购合同融资平台”查询联系</w:t>
      </w:r>
      <w:r>
        <w:rPr>
          <w:rFonts w:hint="eastAsia" w:ascii="宋体" w:hAnsi="宋体" w:cs="宋体"/>
          <w:lang w:eastAsia="zh-CN"/>
        </w:rPr>
        <w:t>。</w:t>
      </w:r>
    </w:p>
    <w:p>
      <w:pPr>
        <w:rPr>
          <w:rFonts w:hint="eastAsia" w:ascii="宋体" w:hAnsi="宋体" w:cs="宋体"/>
        </w:rPr>
      </w:pPr>
      <w:r>
        <w:rPr>
          <w:rFonts w:hint="eastAsia" w:ascii="宋体" w:hAnsi="宋体" w:cs="宋体"/>
        </w:rPr>
        <w:br w:type="page"/>
      </w:r>
    </w:p>
    <w:p>
      <w:pPr>
        <w:pStyle w:val="35"/>
        <w:numPr>
          <w:ilvl w:val="0"/>
          <w:numId w:val="1"/>
        </w:numPr>
        <w:spacing w:before="0" w:after="0" w:line="360" w:lineRule="auto"/>
        <w:ind w:firstLine="0"/>
        <w:rPr>
          <w:rFonts w:hint="eastAsia" w:ascii="宋体" w:hAnsi="宋体" w:cs="宋体"/>
        </w:rPr>
      </w:pPr>
      <w:bookmarkStart w:id="73" w:name="_Toc11289"/>
      <w:bookmarkStart w:id="74" w:name="_Toc2742"/>
      <w:bookmarkStart w:id="75" w:name="_Toc8874"/>
      <w:bookmarkStart w:id="76" w:name="_Toc374512417"/>
      <w:bookmarkStart w:id="77" w:name="_Toc477423249"/>
      <w:bookmarkStart w:id="78" w:name="_Toc373230030"/>
      <w:r>
        <w:rPr>
          <w:rFonts w:hint="eastAsia" w:ascii="宋体" w:hAnsi="宋体" w:cs="宋体"/>
        </w:rPr>
        <w:t>评审方法</w:t>
      </w:r>
      <w:bookmarkEnd w:id="73"/>
      <w:r>
        <w:rPr>
          <w:rFonts w:hint="eastAsia" w:ascii="宋体" w:hAnsi="宋体" w:cs="宋体"/>
        </w:rPr>
        <w:t>和评审标准</w:t>
      </w:r>
      <w:bookmarkEnd w:id="74"/>
      <w:bookmarkEnd w:id="75"/>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二、评审标准（评分因素共计</w:t>
      </w:r>
      <w:r>
        <w:rPr>
          <w:rFonts w:hint="eastAsia" w:ascii="宋体" w:hAnsi="宋体" w:cs="宋体"/>
          <w:b/>
          <w:bCs/>
          <w:szCs w:val="21"/>
          <w:lang w:val="en-US" w:eastAsia="zh-CN"/>
        </w:rPr>
        <w:t>100分</w:t>
      </w:r>
      <w:r>
        <w:rPr>
          <w:rFonts w:hint="eastAsia" w:ascii="宋体" w:hAnsi="宋体" w:cs="宋体"/>
          <w:b/>
          <w:bCs/>
          <w:szCs w:val="21"/>
          <w:lang w:eastAsia="zh-CN"/>
        </w:rPr>
        <w:t>）</w:t>
      </w:r>
    </w:p>
    <w:bookmarkEnd w:id="76"/>
    <w:bookmarkEnd w:id="77"/>
    <w:bookmarkEnd w:id="78"/>
    <w:tbl>
      <w:tblPr>
        <w:tblStyle w:val="38"/>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2156"/>
        <w:gridCol w:w="5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486" w:type="dxa"/>
            <w:noWrap w:val="0"/>
            <w:vAlign w:val="top"/>
          </w:tcPr>
          <w:p>
            <w:pPr>
              <w:pStyle w:val="84"/>
              <w:spacing w:line="360" w:lineRule="auto"/>
              <w:jc w:val="center"/>
              <w:rPr>
                <w:rFonts w:hint="eastAsia" w:ascii="宋体" w:hAnsi="宋体" w:cs="宋体"/>
                <w:bCs/>
                <w:spacing w:val="6"/>
                <w:sz w:val="21"/>
                <w:szCs w:val="21"/>
              </w:rPr>
            </w:pPr>
            <w:bookmarkStart w:id="79" w:name="_Toc487805909"/>
            <w:bookmarkStart w:id="80" w:name="_Toc14171"/>
            <w:r>
              <w:rPr>
                <w:rFonts w:hint="eastAsia" w:ascii="宋体" w:hAnsi="宋体" w:cs="宋体"/>
                <w:b/>
                <w:bCs/>
                <w:sz w:val="21"/>
                <w:szCs w:val="21"/>
              </w:rPr>
              <w:t>条款号</w:t>
            </w:r>
          </w:p>
        </w:tc>
        <w:tc>
          <w:tcPr>
            <w:tcW w:w="2156" w:type="dxa"/>
            <w:noWrap w:val="0"/>
            <w:vAlign w:val="top"/>
          </w:tcPr>
          <w:p>
            <w:pPr>
              <w:pStyle w:val="84"/>
              <w:spacing w:line="360" w:lineRule="auto"/>
              <w:jc w:val="center"/>
              <w:rPr>
                <w:rFonts w:hint="eastAsia" w:ascii="宋体" w:hAnsi="宋体" w:cs="宋体"/>
                <w:bCs/>
                <w:spacing w:val="6"/>
                <w:sz w:val="21"/>
                <w:szCs w:val="21"/>
              </w:rPr>
            </w:pPr>
            <w:r>
              <w:rPr>
                <w:rFonts w:hint="eastAsia" w:ascii="宋体" w:hAnsi="宋体" w:cs="宋体"/>
                <w:b/>
                <w:bCs/>
                <w:spacing w:val="1"/>
                <w:sz w:val="21"/>
                <w:szCs w:val="21"/>
              </w:rPr>
              <w:t>评分因素</w:t>
            </w:r>
          </w:p>
        </w:tc>
        <w:tc>
          <w:tcPr>
            <w:tcW w:w="5797" w:type="dxa"/>
            <w:noWrap w:val="0"/>
            <w:vAlign w:val="top"/>
          </w:tcPr>
          <w:p>
            <w:pPr>
              <w:pStyle w:val="84"/>
              <w:spacing w:line="360" w:lineRule="auto"/>
              <w:jc w:val="center"/>
              <w:rPr>
                <w:rFonts w:hint="eastAsia" w:ascii="宋体" w:hAnsi="宋体" w:cs="宋体"/>
                <w:bCs/>
                <w:spacing w:val="6"/>
                <w:sz w:val="21"/>
                <w:szCs w:val="21"/>
              </w:rPr>
            </w:pPr>
            <w:r>
              <w:rPr>
                <w:rFonts w:hint="eastAsia" w:ascii="宋体" w:hAnsi="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86" w:type="dxa"/>
            <w:noWrap w:val="0"/>
            <w:vAlign w:val="center"/>
          </w:tcPr>
          <w:p>
            <w:pPr>
              <w:pStyle w:val="84"/>
              <w:spacing w:line="360" w:lineRule="auto"/>
              <w:jc w:val="center"/>
              <w:rPr>
                <w:rFonts w:hint="default" w:ascii="宋体" w:hAnsi="宋体" w:eastAsia="宋体" w:cs="宋体"/>
                <w:bCs/>
                <w:spacing w:val="6"/>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报价部分（30分）</w:t>
            </w:r>
          </w:p>
        </w:tc>
        <w:tc>
          <w:tcPr>
            <w:tcW w:w="2156" w:type="dxa"/>
            <w:noWrap w:val="0"/>
            <w:vAlign w:val="center"/>
          </w:tcPr>
          <w:p>
            <w:pPr>
              <w:pStyle w:val="84"/>
              <w:spacing w:line="360" w:lineRule="auto"/>
              <w:jc w:val="center"/>
              <w:rPr>
                <w:rFonts w:hint="eastAsia" w:ascii="宋体" w:hAnsi="宋体" w:cs="宋体"/>
                <w:bCs/>
                <w:spacing w:val="6"/>
                <w:sz w:val="21"/>
                <w:szCs w:val="21"/>
              </w:rPr>
            </w:pPr>
            <w:r>
              <w:rPr>
                <w:rFonts w:hint="eastAsia" w:ascii="宋体" w:hAnsi="宋体" w:cs="宋体"/>
                <w:sz w:val="21"/>
                <w:szCs w:val="21"/>
              </w:rPr>
              <w:t>报价（</w:t>
            </w:r>
            <w:r>
              <w:rPr>
                <w:rFonts w:hint="eastAsia" w:ascii="宋体" w:hAnsi="宋体" w:cs="宋体"/>
                <w:sz w:val="21"/>
                <w:szCs w:val="21"/>
                <w:lang w:val="en-US" w:eastAsia="zh-CN"/>
              </w:rPr>
              <w:t>30</w:t>
            </w:r>
            <w:r>
              <w:rPr>
                <w:rFonts w:hint="eastAsia" w:ascii="宋体" w:hAnsi="宋体" w:cs="宋体"/>
                <w:sz w:val="21"/>
                <w:szCs w:val="21"/>
              </w:rPr>
              <w:t>分）</w:t>
            </w:r>
          </w:p>
        </w:tc>
        <w:tc>
          <w:tcPr>
            <w:tcW w:w="5797" w:type="dxa"/>
            <w:noWrap w:val="0"/>
            <w:vAlign w:val="top"/>
          </w:tcPr>
          <w:p>
            <w:pPr>
              <w:pStyle w:val="84"/>
              <w:spacing w:line="360" w:lineRule="auto"/>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满足磋商文件要求且最后报价最低的供应商的价格为磋商基准价，其价格分为满分。其他供应商的价格分统一按照下列公式计算：</w:t>
            </w:r>
          </w:p>
          <w:p>
            <w:pPr>
              <w:pStyle w:val="84"/>
              <w:spacing w:line="360" w:lineRule="auto"/>
              <w:rPr>
                <w:rFonts w:hint="eastAsia" w:ascii="宋体" w:hAnsi="宋体" w:cs="宋体"/>
                <w:bCs/>
                <w:spacing w:val="6"/>
                <w:sz w:val="21"/>
                <w:szCs w:val="21"/>
              </w:rPr>
            </w:pPr>
            <w:r>
              <w:rPr>
                <w:rFonts w:hint="eastAsia" w:ascii="宋体" w:hAnsi="宋体" w:eastAsia="宋体" w:cs="宋体"/>
                <w:i w:val="0"/>
                <w:iCs w:val="0"/>
                <w:caps w:val="0"/>
                <w:color w:val="2B2B2B"/>
                <w:spacing w:val="0"/>
                <w:sz w:val="21"/>
                <w:szCs w:val="21"/>
                <w:shd w:val="clear" w:fill="FFFFFF"/>
              </w:rPr>
              <w:t>磋商报价得分=（磋商基准价/最后磋商报价）×价格权值×100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86" w:type="dxa"/>
            <w:vMerge w:val="restart"/>
            <w:noWrap w:val="0"/>
            <w:vAlign w:val="center"/>
          </w:tcPr>
          <w:p>
            <w:pPr>
              <w:jc w:val="center"/>
              <w:rPr>
                <w:rFonts w:hint="eastAsia" w:ascii="宋体" w:hAnsi="宋体" w:cs="宋体"/>
                <w:bCs/>
                <w:color w:val="auto"/>
                <w:spacing w:val="6"/>
                <w:szCs w:val="21"/>
                <w:highlight w:val="none"/>
              </w:rPr>
            </w:pPr>
            <w:r>
              <w:rPr>
                <w:rFonts w:hint="eastAsia" w:ascii="宋体" w:hAnsi="宋体" w:cs="宋体"/>
                <w:sz w:val="21"/>
                <w:szCs w:val="21"/>
                <w:lang w:val="en-US" w:eastAsia="zh-CN"/>
              </w:rPr>
              <w:t>2</w:t>
            </w:r>
            <w:r>
              <w:rPr>
                <w:rFonts w:hint="eastAsia" w:ascii="宋体" w:hAnsi="宋体" w:cs="宋体"/>
                <w:bCs/>
                <w:color w:val="auto"/>
                <w:spacing w:val="6"/>
                <w:szCs w:val="21"/>
                <w:highlight w:val="none"/>
              </w:rPr>
              <w:t>技术部分</w:t>
            </w:r>
          </w:p>
          <w:p>
            <w:pPr>
              <w:pStyle w:val="84"/>
              <w:spacing w:line="360" w:lineRule="auto"/>
              <w:jc w:val="center"/>
              <w:rPr>
                <w:rFonts w:hint="eastAsia" w:ascii="宋体" w:hAnsi="宋体" w:cs="宋体"/>
                <w:sz w:val="21"/>
                <w:szCs w:val="21"/>
                <w:lang w:val="en-US" w:eastAsia="zh-CN"/>
              </w:rPr>
            </w:pPr>
            <w:r>
              <w:rPr>
                <w:rFonts w:hint="eastAsia" w:ascii="宋体" w:hAnsi="宋体" w:cs="宋体"/>
                <w:bCs/>
                <w:color w:val="auto"/>
                <w:spacing w:val="6"/>
                <w:szCs w:val="21"/>
                <w:highlight w:val="none"/>
              </w:rPr>
              <w:t>（</w:t>
            </w:r>
            <w:r>
              <w:rPr>
                <w:rFonts w:hint="eastAsia" w:ascii="宋体" w:hAnsi="宋体" w:cs="宋体"/>
                <w:bCs/>
                <w:color w:val="auto"/>
                <w:spacing w:val="6"/>
                <w:szCs w:val="21"/>
                <w:highlight w:val="none"/>
                <w:lang w:val="en-US" w:eastAsia="zh-CN"/>
              </w:rPr>
              <w:t>45</w:t>
            </w:r>
            <w:r>
              <w:rPr>
                <w:rFonts w:hint="eastAsia" w:ascii="宋体" w:hAnsi="宋体" w:cs="宋体"/>
                <w:bCs/>
                <w:color w:val="auto"/>
                <w:spacing w:val="6"/>
                <w:szCs w:val="21"/>
                <w:highlight w:val="none"/>
              </w:rPr>
              <w:t>分）</w:t>
            </w:r>
          </w:p>
        </w:tc>
        <w:tc>
          <w:tcPr>
            <w:tcW w:w="2156" w:type="dxa"/>
            <w:noWrap w:val="0"/>
            <w:vAlign w:val="center"/>
          </w:tcPr>
          <w:p>
            <w:pPr>
              <w:jc w:val="center"/>
              <w:rPr>
                <w:rFonts w:hint="eastAsia" w:ascii="宋体" w:hAnsi="宋体" w:cs="宋体"/>
                <w:bCs/>
                <w:color w:val="auto"/>
                <w:spacing w:val="6"/>
                <w:szCs w:val="21"/>
                <w:highlight w:val="none"/>
              </w:rPr>
            </w:pPr>
            <w:r>
              <w:rPr>
                <w:rFonts w:hint="eastAsia" w:ascii="宋体" w:hAnsi="宋体" w:cs="宋体"/>
                <w:bCs/>
                <w:color w:val="auto"/>
                <w:spacing w:val="6"/>
                <w:szCs w:val="21"/>
                <w:highlight w:val="none"/>
              </w:rPr>
              <w:t>产品供货、安装、 调试方案</w:t>
            </w:r>
          </w:p>
          <w:p>
            <w:pPr>
              <w:jc w:val="center"/>
              <w:rPr>
                <w:rFonts w:hint="eastAsia" w:ascii="宋体" w:hAnsi="宋体" w:cs="宋体"/>
                <w:sz w:val="21"/>
                <w:szCs w:val="21"/>
              </w:rPr>
            </w:pPr>
            <w:r>
              <w:rPr>
                <w:rFonts w:hint="eastAsia" w:ascii="宋体" w:hAnsi="宋体" w:cs="宋体"/>
                <w:bCs/>
                <w:color w:val="auto"/>
                <w:spacing w:val="6"/>
                <w:szCs w:val="21"/>
                <w:highlight w:val="none"/>
              </w:rPr>
              <w:t>（</w:t>
            </w:r>
            <w:r>
              <w:rPr>
                <w:rFonts w:hint="eastAsia" w:ascii="宋体" w:hAnsi="宋体" w:cs="宋体"/>
                <w:bCs/>
                <w:color w:val="auto"/>
                <w:spacing w:val="6"/>
                <w:szCs w:val="21"/>
                <w:highlight w:val="none"/>
                <w:lang w:val="en-US" w:eastAsia="zh-CN"/>
              </w:rPr>
              <w:t>7</w:t>
            </w:r>
            <w:r>
              <w:rPr>
                <w:rFonts w:hint="eastAsia" w:ascii="宋体" w:hAnsi="宋体" w:cs="宋体"/>
                <w:bCs/>
                <w:color w:val="auto"/>
                <w:spacing w:val="6"/>
                <w:szCs w:val="21"/>
                <w:highlight w:val="none"/>
              </w:rPr>
              <w:t>分）</w:t>
            </w:r>
          </w:p>
        </w:tc>
        <w:tc>
          <w:tcPr>
            <w:tcW w:w="5797" w:type="dxa"/>
            <w:noWrap w:val="0"/>
            <w:vAlign w:val="center"/>
          </w:tcPr>
          <w:p>
            <w:pPr>
              <w:rPr>
                <w:rFonts w:hint="eastAsia" w:ascii="宋体" w:hAnsi="宋体"/>
                <w:color w:val="0000FF"/>
                <w:sz w:val="21"/>
                <w:szCs w:val="21"/>
                <w:shd w:val="clear" w:fill="FFFF00"/>
                <w:lang w:eastAsia="zh-CN"/>
              </w:rPr>
            </w:pPr>
            <w:r>
              <w:rPr>
                <w:rFonts w:hint="eastAsia" w:ascii="宋体" w:hAnsi="宋体" w:eastAsia="宋体" w:cs="宋体"/>
                <w:szCs w:val="21"/>
                <w:highlight w:val="none"/>
                <w:lang w:val="en-US" w:eastAsia="zh-CN"/>
              </w:rPr>
              <w:t>产品供货、安装、调试</w:t>
            </w:r>
            <w:r>
              <w:rPr>
                <w:rFonts w:hint="eastAsia" w:ascii="宋体" w:hAnsi="宋体" w:eastAsia="宋体" w:cs="宋体"/>
                <w:szCs w:val="21"/>
                <w:highlight w:val="none"/>
              </w:rPr>
              <w:t>方案</w:t>
            </w:r>
            <w:r>
              <w:rPr>
                <w:rFonts w:hint="eastAsia" w:ascii="宋体" w:hAnsi="宋体" w:eastAsia="宋体" w:cs="宋体"/>
                <w:szCs w:val="21"/>
                <w:highlight w:val="none"/>
                <w:lang w:val="en-US" w:eastAsia="zh-CN"/>
              </w:rPr>
              <w:t>交货时间明确，产品质量符合国家标准，安装、调试方案科学合理,方案明确、细致,技术路线清晰,针对性强</w:t>
            </w:r>
            <w:r>
              <w:rPr>
                <w:rFonts w:hint="eastAsia" w:ascii="宋体" w:hAnsi="宋体" w:eastAsia="宋体" w:cs="宋体"/>
                <w:szCs w:val="21"/>
                <w:highlight w:val="none"/>
              </w:rPr>
              <w:t>；对</w:t>
            </w:r>
            <w:r>
              <w:rPr>
                <w:rFonts w:hint="eastAsia" w:ascii="宋体" w:hAnsi="宋体" w:eastAsia="宋体" w:cs="宋体"/>
                <w:szCs w:val="21"/>
                <w:highlight w:val="none"/>
                <w:lang w:val="en-US" w:eastAsia="zh-CN"/>
              </w:rPr>
              <w:t>安装、调试</w:t>
            </w:r>
            <w:r>
              <w:rPr>
                <w:rFonts w:hint="eastAsia" w:ascii="宋体" w:hAnsi="宋体" w:eastAsia="宋体" w:cs="宋体"/>
                <w:szCs w:val="21"/>
                <w:highlight w:val="none"/>
              </w:rPr>
              <w:t>难点有先进和合理的建议。</w:t>
            </w:r>
            <w:r>
              <w:rPr>
                <w:rFonts w:hint="eastAsia" w:ascii="宋体" w:hAnsi="宋体" w:cs="宋体"/>
                <w:szCs w:val="21"/>
                <w:highlight w:val="none"/>
                <w:lang w:eastAsia="zh-CN"/>
              </w:rPr>
              <w:t>详细、合理</w:t>
            </w:r>
            <w:r>
              <w:rPr>
                <w:rFonts w:hint="eastAsia" w:ascii="宋体" w:hAnsi="宋体" w:eastAsia="宋体" w:cs="宋体"/>
                <w:szCs w:val="21"/>
                <w:highlight w:val="none"/>
                <w:lang w:val="en-US" w:eastAsia="zh-CN"/>
              </w:rPr>
              <w:t>得7分</w:t>
            </w:r>
            <w:r>
              <w:rPr>
                <w:rFonts w:hint="eastAsia" w:ascii="宋体" w:hAnsi="宋体" w:cs="宋体"/>
                <w:szCs w:val="21"/>
                <w:highlight w:val="none"/>
                <w:lang w:val="en-US" w:eastAsia="zh-CN"/>
              </w:rPr>
              <w:t>，合理得5分，基本合理得3分</w:t>
            </w:r>
            <w:r>
              <w:rPr>
                <w:rFonts w:hint="eastAsia" w:ascii="宋体" w:hAnsi="宋体" w:eastAsia="宋体" w:cs="宋体"/>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86" w:type="dxa"/>
            <w:vMerge w:val="continue"/>
            <w:noWrap w:val="0"/>
            <w:vAlign w:val="center"/>
          </w:tcPr>
          <w:p>
            <w:pPr>
              <w:pStyle w:val="84"/>
              <w:spacing w:line="360" w:lineRule="auto"/>
              <w:jc w:val="center"/>
              <w:rPr>
                <w:rFonts w:hint="default" w:ascii="宋体" w:hAnsi="宋体" w:cs="宋体"/>
                <w:sz w:val="21"/>
                <w:szCs w:val="21"/>
                <w:lang w:val="en-US" w:eastAsia="zh-CN"/>
              </w:rPr>
            </w:pPr>
          </w:p>
        </w:tc>
        <w:tc>
          <w:tcPr>
            <w:tcW w:w="2156" w:type="dxa"/>
            <w:noWrap w:val="0"/>
            <w:vAlign w:val="center"/>
          </w:tcPr>
          <w:p>
            <w:pPr>
              <w:pStyle w:val="107"/>
              <w:spacing w:line="273" w:lineRule="auto"/>
              <w:ind w:left="110" w:leftChars="0" w:right="103" w:rightChars="0"/>
              <w:jc w:val="center"/>
              <w:rPr>
                <w:rFonts w:hint="eastAsia" w:ascii="宋体" w:hAnsi="宋体" w:cs="宋体"/>
                <w:sz w:val="21"/>
                <w:szCs w:val="21"/>
              </w:rPr>
            </w:pPr>
            <w:r>
              <w:rPr>
                <w:rFonts w:ascii="宋体" w:hAnsi="宋体" w:eastAsia="宋体" w:cs="宋体"/>
                <w:color w:val="auto"/>
                <w:w w:val="100"/>
                <w:sz w:val="21"/>
                <w:szCs w:val="21"/>
                <w:highlight w:val="none"/>
              </w:rPr>
              <w:t>确保</w:t>
            </w:r>
            <w:r>
              <w:rPr>
                <w:rFonts w:ascii="宋体" w:hAnsi="宋体" w:eastAsia="宋体" w:cs="宋体"/>
                <w:color w:val="auto"/>
                <w:spacing w:val="-3"/>
                <w:w w:val="100"/>
                <w:sz w:val="21"/>
                <w:szCs w:val="21"/>
                <w:highlight w:val="none"/>
              </w:rPr>
              <w:t>产</w:t>
            </w:r>
            <w:r>
              <w:rPr>
                <w:rFonts w:ascii="宋体" w:hAnsi="宋体" w:eastAsia="宋体" w:cs="宋体"/>
                <w:color w:val="auto"/>
                <w:w w:val="100"/>
                <w:sz w:val="21"/>
                <w:szCs w:val="21"/>
                <w:highlight w:val="none"/>
              </w:rPr>
              <w:t>品</w:t>
            </w:r>
            <w:r>
              <w:rPr>
                <w:rFonts w:ascii="宋体" w:hAnsi="宋体" w:eastAsia="宋体" w:cs="宋体"/>
                <w:color w:val="auto"/>
                <w:spacing w:val="-3"/>
                <w:w w:val="100"/>
                <w:sz w:val="21"/>
                <w:szCs w:val="21"/>
                <w:highlight w:val="none"/>
              </w:rPr>
              <w:t>质</w:t>
            </w:r>
            <w:r>
              <w:rPr>
                <w:rFonts w:ascii="宋体" w:hAnsi="宋体" w:eastAsia="宋体" w:cs="宋体"/>
                <w:color w:val="auto"/>
                <w:w w:val="100"/>
                <w:sz w:val="21"/>
                <w:szCs w:val="21"/>
                <w:highlight w:val="none"/>
              </w:rPr>
              <w:t>量的技术</w:t>
            </w:r>
            <w:r>
              <w:rPr>
                <w:rFonts w:ascii="宋体" w:hAnsi="宋体" w:eastAsia="宋体" w:cs="宋体"/>
                <w:color w:val="auto"/>
                <w:spacing w:val="-3"/>
                <w:w w:val="100"/>
                <w:sz w:val="21"/>
                <w:szCs w:val="21"/>
                <w:highlight w:val="none"/>
              </w:rPr>
              <w:t>组</w:t>
            </w:r>
            <w:r>
              <w:rPr>
                <w:rFonts w:ascii="宋体" w:hAnsi="宋体" w:eastAsia="宋体" w:cs="宋体"/>
                <w:color w:val="auto"/>
                <w:w w:val="100"/>
                <w:sz w:val="21"/>
                <w:szCs w:val="21"/>
                <w:highlight w:val="none"/>
              </w:rPr>
              <w:t>织</w:t>
            </w:r>
            <w:r>
              <w:rPr>
                <w:rFonts w:ascii="宋体" w:hAnsi="宋体" w:eastAsia="宋体" w:cs="宋体"/>
                <w:color w:val="auto"/>
                <w:spacing w:val="-3"/>
                <w:w w:val="100"/>
                <w:sz w:val="21"/>
                <w:szCs w:val="21"/>
                <w:highlight w:val="none"/>
              </w:rPr>
              <w:t>措</w:t>
            </w:r>
            <w:r>
              <w:rPr>
                <w:rFonts w:ascii="宋体" w:hAnsi="宋体" w:eastAsia="宋体" w:cs="宋体"/>
                <w:color w:val="auto"/>
                <w:w w:val="100"/>
                <w:sz w:val="21"/>
                <w:szCs w:val="21"/>
                <w:highlight w:val="none"/>
              </w:rPr>
              <w:t>施</w:t>
            </w:r>
            <w:r>
              <w:rPr>
                <w:rFonts w:hint="eastAsia" w:ascii="宋体" w:hAnsi="宋体" w:eastAsia="宋体" w:cs="宋体"/>
                <w:color w:val="auto"/>
                <w:w w:val="100"/>
                <w:sz w:val="21"/>
                <w:szCs w:val="21"/>
                <w:highlight w:val="none"/>
                <w:lang w:eastAsia="zh-CN"/>
              </w:rPr>
              <w:t>（</w:t>
            </w:r>
            <w:r>
              <w:rPr>
                <w:rFonts w:hint="eastAsia" w:ascii="宋体" w:hAnsi="宋体" w:cs="宋体"/>
                <w:color w:val="auto"/>
                <w:w w:val="100"/>
                <w:sz w:val="21"/>
                <w:szCs w:val="21"/>
                <w:highlight w:val="none"/>
                <w:lang w:val="en-US" w:eastAsia="zh-CN"/>
              </w:rPr>
              <w:t>7</w:t>
            </w:r>
            <w:r>
              <w:rPr>
                <w:rFonts w:hint="eastAsia" w:ascii="宋体" w:hAnsi="宋体" w:eastAsia="宋体" w:cs="宋体"/>
                <w:color w:val="auto"/>
                <w:w w:val="100"/>
                <w:sz w:val="21"/>
                <w:szCs w:val="21"/>
                <w:highlight w:val="none"/>
                <w:lang w:val="en-US" w:eastAsia="zh-CN"/>
              </w:rPr>
              <w:t>分）</w:t>
            </w:r>
          </w:p>
        </w:tc>
        <w:tc>
          <w:tcPr>
            <w:tcW w:w="5797" w:type="dxa"/>
            <w:noWrap w:val="0"/>
            <w:vAlign w:val="center"/>
          </w:tcPr>
          <w:p>
            <w:pPr>
              <w:rPr>
                <w:rFonts w:hint="eastAsia" w:ascii="宋体" w:hAnsi="宋体" w:eastAsia="宋体" w:cs="宋体"/>
                <w:szCs w:val="21"/>
                <w:highlight w:val="none"/>
                <w:lang w:eastAsia="zh-CN"/>
              </w:rPr>
            </w:pPr>
            <w:r>
              <w:rPr>
                <w:rFonts w:hint="eastAsia" w:ascii="宋体" w:hAnsi="宋体" w:eastAsia="宋体" w:cs="宋体"/>
                <w:szCs w:val="21"/>
                <w:highlight w:val="none"/>
              </w:rPr>
              <w:t>组织机构形式合理，有完善的指挥系统、质量监控系统、联络协调系统，对项目提出先进、可行、具体的保证措施。质量保证措施完整得力、经济、安全、切实可行。</w:t>
            </w:r>
            <w:r>
              <w:rPr>
                <w:rFonts w:hint="eastAsia" w:ascii="宋体" w:hAnsi="宋体" w:cs="宋体"/>
                <w:szCs w:val="21"/>
                <w:highlight w:val="none"/>
                <w:lang w:eastAsia="zh-CN"/>
              </w:rPr>
              <w:t>详细、合理</w:t>
            </w:r>
            <w:r>
              <w:rPr>
                <w:rFonts w:hint="eastAsia" w:ascii="宋体" w:hAnsi="宋体" w:eastAsia="宋体" w:cs="宋体"/>
                <w:szCs w:val="21"/>
                <w:highlight w:val="none"/>
                <w:lang w:val="en-US" w:eastAsia="zh-CN"/>
              </w:rPr>
              <w:t>得7分</w:t>
            </w:r>
            <w:r>
              <w:rPr>
                <w:rFonts w:hint="eastAsia" w:ascii="宋体" w:hAnsi="宋体" w:cs="宋体"/>
                <w:szCs w:val="21"/>
                <w:highlight w:val="none"/>
                <w:lang w:val="en-US" w:eastAsia="zh-CN"/>
              </w:rPr>
              <w:t>，合理得5分，基本合理得3分</w:t>
            </w:r>
            <w:r>
              <w:rPr>
                <w:rFonts w:hint="eastAsia" w:ascii="宋体" w:hAnsi="宋体" w:eastAsia="宋体" w:cs="宋体"/>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86" w:type="dxa"/>
            <w:vMerge w:val="continue"/>
            <w:noWrap w:val="0"/>
            <w:vAlign w:val="center"/>
          </w:tcPr>
          <w:p>
            <w:pPr>
              <w:pStyle w:val="84"/>
              <w:spacing w:line="360" w:lineRule="auto"/>
              <w:jc w:val="center"/>
              <w:rPr>
                <w:rFonts w:hint="default" w:ascii="宋体" w:hAnsi="宋体" w:cs="宋体"/>
                <w:sz w:val="21"/>
                <w:szCs w:val="21"/>
                <w:lang w:val="en-US" w:eastAsia="zh-CN"/>
              </w:rPr>
            </w:pPr>
          </w:p>
        </w:tc>
        <w:tc>
          <w:tcPr>
            <w:tcW w:w="2156" w:type="dxa"/>
            <w:noWrap w:val="0"/>
            <w:vAlign w:val="center"/>
          </w:tcPr>
          <w:p>
            <w:pPr>
              <w:pStyle w:val="107"/>
              <w:spacing w:line="273" w:lineRule="auto"/>
              <w:ind w:left="110" w:leftChars="0" w:right="103" w:rightChars="0"/>
              <w:jc w:val="center"/>
              <w:rPr>
                <w:rFonts w:hint="eastAsia" w:ascii="宋体" w:hAnsi="宋体" w:cs="宋体"/>
                <w:sz w:val="21"/>
                <w:szCs w:val="21"/>
              </w:rPr>
            </w:pPr>
            <w:r>
              <w:rPr>
                <w:rFonts w:ascii="宋体" w:hAnsi="宋体" w:eastAsia="宋体" w:cs="宋体"/>
                <w:color w:val="auto"/>
                <w:w w:val="100"/>
                <w:sz w:val="21"/>
                <w:szCs w:val="21"/>
                <w:highlight w:val="none"/>
              </w:rPr>
              <w:t>安全</w:t>
            </w:r>
            <w:r>
              <w:rPr>
                <w:rFonts w:ascii="宋体" w:hAnsi="宋体" w:eastAsia="宋体" w:cs="宋体"/>
                <w:color w:val="auto"/>
                <w:spacing w:val="-3"/>
                <w:w w:val="100"/>
                <w:sz w:val="21"/>
                <w:szCs w:val="21"/>
                <w:highlight w:val="none"/>
              </w:rPr>
              <w:t>文</w:t>
            </w:r>
            <w:r>
              <w:rPr>
                <w:rFonts w:ascii="宋体" w:hAnsi="宋体" w:eastAsia="宋体" w:cs="宋体"/>
                <w:color w:val="auto"/>
                <w:w w:val="100"/>
                <w:sz w:val="21"/>
                <w:szCs w:val="21"/>
                <w:highlight w:val="none"/>
              </w:rPr>
              <w:t>明</w:t>
            </w:r>
            <w:r>
              <w:rPr>
                <w:rFonts w:ascii="宋体" w:hAnsi="宋体" w:eastAsia="宋体" w:cs="宋体"/>
                <w:color w:val="auto"/>
                <w:spacing w:val="-3"/>
                <w:w w:val="100"/>
                <w:sz w:val="21"/>
                <w:szCs w:val="21"/>
                <w:highlight w:val="none"/>
              </w:rPr>
              <w:t>生</w:t>
            </w:r>
            <w:r>
              <w:rPr>
                <w:rFonts w:ascii="宋体" w:hAnsi="宋体" w:eastAsia="宋体" w:cs="宋体"/>
                <w:color w:val="auto"/>
                <w:spacing w:val="-1"/>
                <w:w w:val="100"/>
                <w:sz w:val="21"/>
                <w:szCs w:val="21"/>
                <w:highlight w:val="none"/>
              </w:rPr>
              <w:t>产</w:t>
            </w:r>
            <w:r>
              <w:rPr>
                <w:rFonts w:ascii="宋体" w:hAnsi="宋体" w:eastAsia="宋体" w:cs="宋体"/>
                <w:color w:val="auto"/>
                <w:w w:val="100"/>
                <w:sz w:val="21"/>
                <w:szCs w:val="21"/>
                <w:highlight w:val="none"/>
              </w:rPr>
              <w:t>管理体</w:t>
            </w:r>
            <w:r>
              <w:rPr>
                <w:rFonts w:ascii="宋体" w:hAnsi="宋体" w:eastAsia="宋体" w:cs="宋体"/>
                <w:color w:val="auto"/>
                <w:spacing w:val="-3"/>
                <w:w w:val="100"/>
                <w:sz w:val="21"/>
                <w:szCs w:val="21"/>
                <w:highlight w:val="none"/>
              </w:rPr>
              <w:t>系</w:t>
            </w:r>
            <w:r>
              <w:rPr>
                <w:rFonts w:ascii="宋体" w:hAnsi="宋体" w:eastAsia="宋体" w:cs="宋体"/>
                <w:color w:val="auto"/>
                <w:w w:val="100"/>
                <w:sz w:val="21"/>
                <w:szCs w:val="21"/>
                <w:highlight w:val="none"/>
              </w:rPr>
              <w:t>与</w:t>
            </w:r>
            <w:r>
              <w:rPr>
                <w:rFonts w:ascii="宋体" w:hAnsi="宋体" w:eastAsia="宋体" w:cs="宋体"/>
                <w:color w:val="auto"/>
                <w:spacing w:val="-3"/>
                <w:w w:val="100"/>
                <w:sz w:val="21"/>
                <w:szCs w:val="21"/>
                <w:highlight w:val="none"/>
              </w:rPr>
              <w:t>措</w:t>
            </w:r>
            <w:r>
              <w:rPr>
                <w:rFonts w:ascii="宋体" w:hAnsi="宋体" w:eastAsia="宋体" w:cs="宋体"/>
                <w:color w:val="auto"/>
                <w:w w:val="100"/>
                <w:sz w:val="21"/>
                <w:szCs w:val="21"/>
                <w:highlight w:val="none"/>
              </w:rPr>
              <w:t>施</w:t>
            </w:r>
            <w:r>
              <w:rPr>
                <w:rFonts w:hint="eastAsia" w:ascii="宋体" w:hAnsi="宋体" w:eastAsia="宋体" w:cs="宋体"/>
                <w:color w:val="auto"/>
                <w:w w:val="100"/>
                <w:sz w:val="21"/>
                <w:szCs w:val="21"/>
                <w:highlight w:val="none"/>
                <w:lang w:eastAsia="zh-CN"/>
              </w:rPr>
              <w:t>（</w:t>
            </w:r>
            <w:r>
              <w:rPr>
                <w:rFonts w:hint="eastAsia" w:ascii="宋体" w:hAnsi="宋体" w:cs="宋体"/>
                <w:color w:val="auto"/>
                <w:w w:val="100"/>
                <w:sz w:val="21"/>
                <w:szCs w:val="21"/>
                <w:highlight w:val="none"/>
                <w:lang w:val="en-US" w:eastAsia="zh-CN"/>
              </w:rPr>
              <w:t>7</w:t>
            </w:r>
            <w:r>
              <w:rPr>
                <w:rFonts w:hint="eastAsia" w:ascii="宋体" w:hAnsi="宋体" w:eastAsia="宋体" w:cs="宋体"/>
                <w:color w:val="auto"/>
                <w:w w:val="100"/>
                <w:sz w:val="21"/>
                <w:szCs w:val="21"/>
                <w:highlight w:val="none"/>
                <w:lang w:val="en-US" w:eastAsia="zh-CN"/>
              </w:rPr>
              <w:t>分）</w:t>
            </w:r>
          </w:p>
        </w:tc>
        <w:tc>
          <w:tcPr>
            <w:tcW w:w="5797" w:type="dxa"/>
            <w:noWrap w:val="0"/>
            <w:vAlign w:val="center"/>
          </w:tcPr>
          <w:p>
            <w:pPr>
              <w:numPr>
                <w:ilvl w:val="0"/>
                <w:numId w:val="0"/>
              </w:numPr>
              <w:rPr>
                <w:rFonts w:hint="eastAsia" w:ascii="宋体" w:hAnsi="宋体"/>
                <w:color w:val="0000FF"/>
                <w:sz w:val="21"/>
                <w:szCs w:val="21"/>
                <w:shd w:val="clear" w:fill="FFFF00"/>
                <w:lang w:eastAsia="zh-CN"/>
              </w:rPr>
            </w:pPr>
            <w:r>
              <w:rPr>
                <w:rFonts w:hint="eastAsia" w:ascii="宋体" w:hAnsi="宋体" w:eastAsia="宋体" w:cs="宋体"/>
                <w:szCs w:val="21"/>
                <w:highlight w:val="none"/>
              </w:rPr>
              <w:t>安全生产保障体系健全，安全管理制度完善，安全管理目标具体</w:t>
            </w:r>
            <w:r>
              <w:rPr>
                <w:rFonts w:hint="eastAsia" w:ascii="宋体" w:hAnsi="宋体" w:eastAsia="宋体" w:cs="宋体"/>
                <w:szCs w:val="21"/>
                <w:highlight w:val="none"/>
                <w:lang w:eastAsia="zh-CN"/>
              </w:rPr>
              <w:t>，</w:t>
            </w:r>
            <w:r>
              <w:rPr>
                <w:rFonts w:hint="eastAsia" w:ascii="宋体" w:hAnsi="宋体" w:eastAsia="宋体" w:cs="宋体"/>
                <w:szCs w:val="21"/>
                <w:highlight w:val="none"/>
              </w:rPr>
              <w:t>全员安全责任制明确，现场安全管理组织机构、人员配备满足国家规定要求。安全技术方案措施科学合理、先进可行。</w:t>
            </w:r>
            <w:r>
              <w:rPr>
                <w:rFonts w:hint="eastAsia" w:ascii="宋体" w:hAnsi="宋体" w:cs="宋体"/>
                <w:szCs w:val="21"/>
                <w:highlight w:val="none"/>
                <w:lang w:eastAsia="zh-CN"/>
              </w:rPr>
              <w:t>详细、合理</w:t>
            </w:r>
            <w:r>
              <w:rPr>
                <w:rFonts w:hint="eastAsia" w:ascii="宋体" w:hAnsi="宋体" w:eastAsia="宋体" w:cs="宋体"/>
                <w:szCs w:val="21"/>
                <w:highlight w:val="none"/>
                <w:lang w:val="en-US" w:eastAsia="zh-CN"/>
              </w:rPr>
              <w:t>得7分</w:t>
            </w:r>
            <w:r>
              <w:rPr>
                <w:rFonts w:hint="eastAsia" w:ascii="宋体" w:hAnsi="宋体" w:cs="宋体"/>
                <w:szCs w:val="21"/>
                <w:highlight w:val="none"/>
                <w:lang w:val="en-US" w:eastAsia="zh-CN"/>
              </w:rPr>
              <w:t>，合理得5分，基本合理得3分</w:t>
            </w:r>
            <w:r>
              <w:rPr>
                <w:rFonts w:hint="eastAsia" w:ascii="宋体" w:hAnsi="宋体" w:eastAsia="宋体" w:cs="宋体"/>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86" w:type="dxa"/>
            <w:vMerge w:val="continue"/>
            <w:noWrap w:val="0"/>
            <w:vAlign w:val="center"/>
          </w:tcPr>
          <w:p>
            <w:pPr>
              <w:pStyle w:val="84"/>
              <w:spacing w:line="360" w:lineRule="auto"/>
              <w:jc w:val="center"/>
              <w:rPr>
                <w:rFonts w:hint="default" w:ascii="宋体" w:hAnsi="宋体" w:cs="宋体"/>
                <w:sz w:val="21"/>
                <w:szCs w:val="21"/>
                <w:lang w:val="en-US" w:eastAsia="zh-CN"/>
              </w:rPr>
            </w:pPr>
          </w:p>
        </w:tc>
        <w:tc>
          <w:tcPr>
            <w:tcW w:w="2156" w:type="dxa"/>
            <w:noWrap w:val="0"/>
            <w:vAlign w:val="center"/>
          </w:tcPr>
          <w:p>
            <w:pPr>
              <w:pStyle w:val="107"/>
              <w:spacing w:line="273" w:lineRule="auto"/>
              <w:ind w:left="110" w:right="103"/>
              <w:jc w:val="center"/>
              <w:rPr>
                <w:rFonts w:ascii="宋体" w:hAnsi="宋体" w:eastAsia="宋体" w:cs="宋体"/>
                <w:color w:val="auto"/>
                <w:sz w:val="21"/>
                <w:szCs w:val="21"/>
              </w:rPr>
            </w:pPr>
            <w:r>
              <w:rPr>
                <w:rFonts w:ascii="宋体" w:hAnsi="宋体" w:eastAsia="宋体" w:cs="宋体"/>
                <w:color w:val="auto"/>
                <w:spacing w:val="-1"/>
                <w:sz w:val="21"/>
                <w:szCs w:val="21"/>
              </w:rPr>
              <w:t>确保供货期的技</w:t>
            </w:r>
            <w:r>
              <w:rPr>
                <w:rFonts w:ascii="宋体" w:hAnsi="宋体" w:eastAsia="宋体" w:cs="宋体"/>
                <w:color w:val="auto"/>
                <w:spacing w:val="-103"/>
                <w:sz w:val="21"/>
                <w:szCs w:val="21"/>
              </w:rPr>
              <w:t xml:space="preserve"> </w:t>
            </w:r>
            <w:r>
              <w:rPr>
                <w:rFonts w:ascii="宋体" w:hAnsi="宋体" w:eastAsia="宋体" w:cs="宋体"/>
                <w:color w:val="auto"/>
                <w:sz w:val="21"/>
                <w:szCs w:val="21"/>
              </w:rPr>
              <w:t>术组织措施</w:t>
            </w:r>
          </w:p>
          <w:p>
            <w:pPr>
              <w:jc w:val="center"/>
              <w:rPr>
                <w:rFonts w:hint="eastAsia" w:ascii="宋体" w:hAnsi="宋体" w:cs="宋体"/>
                <w:sz w:val="21"/>
                <w:szCs w:val="21"/>
              </w:rPr>
            </w:pPr>
            <w:r>
              <w:rPr>
                <w:rFonts w:ascii="宋体" w:hAnsi="宋体" w:eastAsia="宋体" w:cs="宋体"/>
                <w:color w:val="auto"/>
                <w:sz w:val="21"/>
                <w:szCs w:val="21"/>
              </w:rPr>
              <w:t>（</w:t>
            </w:r>
            <w:r>
              <w:rPr>
                <w:rFonts w:hint="eastAsia" w:ascii="宋体" w:hAnsi="宋体" w:cs="宋体"/>
                <w:color w:val="auto"/>
                <w:sz w:val="21"/>
                <w:szCs w:val="21"/>
                <w:lang w:val="en-US" w:eastAsia="zh-CN"/>
              </w:rPr>
              <w:t>7</w:t>
            </w:r>
            <w:r>
              <w:rPr>
                <w:rFonts w:ascii="宋体" w:hAnsi="宋体" w:eastAsia="宋体" w:cs="宋体"/>
                <w:color w:val="auto"/>
                <w:sz w:val="21"/>
                <w:szCs w:val="21"/>
              </w:rPr>
              <w:t xml:space="preserve">分） </w:t>
            </w:r>
          </w:p>
        </w:tc>
        <w:tc>
          <w:tcPr>
            <w:tcW w:w="5797" w:type="dxa"/>
            <w:noWrap w:val="0"/>
            <w:vAlign w:val="center"/>
          </w:tcPr>
          <w:p>
            <w:pPr>
              <w:numPr>
                <w:ilvl w:val="0"/>
                <w:numId w:val="0"/>
              </w:numPr>
              <w:rPr>
                <w:rFonts w:hint="default" w:ascii="宋体" w:hAnsi="宋体"/>
                <w:color w:val="0000FF"/>
                <w:sz w:val="21"/>
                <w:szCs w:val="21"/>
                <w:shd w:val="clear" w:fill="FFFF00"/>
                <w:lang w:val="en-US" w:eastAsia="zh-CN"/>
              </w:rPr>
            </w:pPr>
            <w:r>
              <w:rPr>
                <w:rFonts w:hint="eastAsia" w:ascii="宋体" w:hAnsi="宋体" w:eastAsia="宋体" w:cs="宋体"/>
                <w:szCs w:val="21"/>
                <w:highlight w:val="none"/>
                <w:lang w:val="en-US" w:eastAsia="zh-CN"/>
              </w:rPr>
              <w:t>供货</w:t>
            </w:r>
            <w:r>
              <w:rPr>
                <w:rFonts w:hint="eastAsia" w:ascii="宋体" w:hAnsi="宋体" w:eastAsia="宋体" w:cs="宋体"/>
                <w:szCs w:val="21"/>
                <w:highlight w:val="none"/>
              </w:rPr>
              <w:t>期承诺满足招标文件要求，工期保证措施</w:t>
            </w:r>
            <w:r>
              <w:rPr>
                <w:rFonts w:hint="eastAsia" w:ascii="宋体" w:hAnsi="宋体" w:eastAsia="宋体" w:cs="宋体"/>
                <w:szCs w:val="21"/>
                <w:highlight w:val="none"/>
                <w:lang w:val="en-US" w:eastAsia="zh-CN"/>
              </w:rPr>
              <w:t>科学、</w:t>
            </w:r>
            <w:r>
              <w:rPr>
                <w:rFonts w:hint="eastAsia" w:ascii="宋体" w:hAnsi="宋体" w:eastAsia="宋体" w:cs="宋体"/>
                <w:szCs w:val="21"/>
                <w:highlight w:val="none"/>
              </w:rPr>
              <w:t>合理、可行，有具体的违约责任承诺</w:t>
            </w:r>
            <w:r>
              <w:rPr>
                <w:rFonts w:hint="eastAsia" w:ascii="宋体" w:hAnsi="宋体" w:eastAsia="宋体" w:cs="宋体"/>
                <w:szCs w:val="21"/>
                <w:highlight w:val="none"/>
                <w:lang w:eastAsia="zh-CN"/>
              </w:rPr>
              <w:t>。</w:t>
            </w:r>
            <w:r>
              <w:rPr>
                <w:rFonts w:hint="eastAsia" w:ascii="宋体" w:hAnsi="宋体" w:cs="宋体"/>
                <w:szCs w:val="21"/>
                <w:highlight w:val="none"/>
                <w:lang w:eastAsia="zh-CN"/>
              </w:rPr>
              <w:t>详细、合理</w:t>
            </w:r>
            <w:r>
              <w:rPr>
                <w:rFonts w:hint="eastAsia" w:ascii="宋体" w:hAnsi="宋体" w:eastAsia="宋体" w:cs="宋体"/>
                <w:szCs w:val="21"/>
                <w:highlight w:val="none"/>
                <w:lang w:val="en-US" w:eastAsia="zh-CN"/>
              </w:rPr>
              <w:t>得7分</w:t>
            </w:r>
            <w:r>
              <w:rPr>
                <w:rFonts w:hint="eastAsia" w:ascii="宋体" w:hAnsi="宋体" w:cs="宋体"/>
                <w:szCs w:val="21"/>
                <w:highlight w:val="none"/>
                <w:lang w:val="en-US" w:eastAsia="zh-CN"/>
              </w:rPr>
              <w:t>，合理得5分，基本合理得3分</w:t>
            </w:r>
            <w:r>
              <w:rPr>
                <w:rFonts w:hint="eastAsia" w:ascii="宋体" w:hAnsi="宋体" w:eastAsia="宋体" w:cs="宋体"/>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86" w:type="dxa"/>
            <w:vMerge w:val="continue"/>
            <w:noWrap w:val="0"/>
            <w:vAlign w:val="center"/>
          </w:tcPr>
          <w:p>
            <w:pPr>
              <w:pStyle w:val="84"/>
              <w:spacing w:line="360" w:lineRule="auto"/>
              <w:jc w:val="center"/>
              <w:rPr>
                <w:rFonts w:hint="default" w:ascii="宋体" w:hAnsi="宋体" w:cs="宋体"/>
                <w:sz w:val="21"/>
                <w:szCs w:val="21"/>
                <w:lang w:val="en-US" w:eastAsia="zh-CN"/>
              </w:rPr>
            </w:pPr>
          </w:p>
        </w:tc>
        <w:tc>
          <w:tcPr>
            <w:tcW w:w="2156" w:type="dxa"/>
            <w:noWrap w:val="0"/>
            <w:vAlign w:val="center"/>
          </w:tcPr>
          <w:p>
            <w:pPr>
              <w:pStyle w:val="107"/>
              <w:spacing w:line="273" w:lineRule="auto"/>
              <w:ind w:left="110" w:right="103"/>
              <w:jc w:val="center"/>
              <w:rPr>
                <w:rFonts w:ascii="宋体" w:hAnsi="宋体" w:eastAsia="宋体" w:cs="宋体"/>
                <w:color w:val="auto"/>
                <w:sz w:val="21"/>
                <w:szCs w:val="21"/>
              </w:rPr>
            </w:pPr>
            <w:r>
              <w:rPr>
                <w:rFonts w:ascii="宋体" w:hAnsi="宋体" w:eastAsia="宋体" w:cs="宋体"/>
                <w:color w:val="auto"/>
                <w:spacing w:val="-1"/>
                <w:sz w:val="21"/>
                <w:szCs w:val="21"/>
              </w:rPr>
              <w:t>环境保护管理体</w:t>
            </w:r>
            <w:r>
              <w:rPr>
                <w:rFonts w:ascii="宋体" w:hAnsi="宋体" w:eastAsia="宋体" w:cs="宋体"/>
                <w:color w:val="auto"/>
                <w:spacing w:val="-103"/>
                <w:sz w:val="21"/>
                <w:szCs w:val="21"/>
              </w:rPr>
              <w:t xml:space="preserve"> </w:t>
            </w:r>
            <w:r>
              <w:rPr>
                <w:rFonts w:ascii="宋体" w:hAnsi="宋体" w:eastAsia="宋体" w:cs="宋体"/>
                <w:color w:val="auto"/>
                <w:sz w:val="21"/>
                <w:szCs w:val="21"/>
              </w:rPr>
              <w:t>系与措施</w:t>
            </w:r>
          </w:p>
          <w:p>
            <w:pPr>
              <w:jc w:val="center"/>
              <w:rPr>
                <w:rFonts w:hint="eastAsia" w:ascii="宋体" w:hAnsi="宋体" w:cs="宋体"/>
                <w:sz w:val="21"/>
                <w:szCs w:val="21"/>
              </w:rPr>
            </w:pPr>
            <w:r>
              <w:rPr>
                <w:rFonts w:ascii="宋体" w:hAnsi="宋体" w:eastAsia="宋体" w:cs="宋体"/>
                <w:color w:val="auto"/>
                <w:sz w:val="21"/>
                <w:szCs w:val="21"/>
              </w:rPr>
              <w:t>（</w:t>
            </w:r>
            <w:r>
              <w:rPr>
                <w:rFonts w:hint="eastAsia" w:ascii="宋体" w:hAnsi="宋体" w:cs="宋体"/>
                <w:color w:val="auto"/>
                <w:sz w:val="21"/>
                <w:szCs w:val="21"/>
                <w:lang w:val="en-US" w:eastAsia="zh-CN"/>
              </w:rPr>
              <w:t>7</w:t>
            </w:r>
            <w:r>
              <w:rPr>
                <w:rFonts w:ascii="宋体" w:hAnsi="宋体" w:eastAsia="宋体" w:cs="宋体"/>
                <w:color w:val="auto"/>
                <w:sz w:val="21"/>
                <w:szCs w:val="21"/>
              </w:rPr>
              <w:t>分）</w:t>
            </w:r>
          </w:p>
        </w:tc>
        <w:tc>
          <w:tcPr>
            <w:tcW w:w="5797" w:type="dxa"/>
            <w:noWrap w:val="0"/>
            <w:vAlign w:val="center"/>
          </w:tcPr>
          <w:p>
            <w:pPr>
              <w:numPr>
                <w:ilvl w:val="0"/>
                <w:numId w:val="0"/>
              </w:numPr>
              <w:rPr>
                <w:rFonts w:hint="eastAsia" w:ascii="宋体" w:hAnsi="宋体"/>
                <w:color w:val="0000FF"/>
                <w:sz w:val="21"/>
                <w:szCs w:val="21"/>
                <w:shd w:val="clear" w:fill="FFFF00"/>
                <w:lang w:eastAsia="zh-CN"/>
              </w:rPr>
            </w:pPr>
            <w:r>
              <w:rPr>
                <w:rFonts w:hint="eastAsia" w:ascii="宋体" w:hAnsi="宋体" w:eastAsia="宋体" w:cs="宋体"/>
                <w:szCs w:val="21"/>
                <w:highlight w:val="none"/>
              </w:rPr>
              <w:t>创安全文明标准化目标明确，有针对项目实际情况，科学可行的创建计划和符合相关标准、规范、规程的创建保证措施和安全文明措施费用投入使用计划，现场</w:t>
            </w:r>
            <w:r>
              <w:rPr>
                <w:rFonts w:hint="eastAsia" w:ascii="宋体" w:hAnsi="宋体" w:eastAsia="宋体" w:cs="宋体"/>
                <w:szCs w:val="21"/>
                <w:highlight w:val="none"/>
                <w:lang w:val="en-US" w:eastAsia="zh-CN"/>
              </w:rPr>
              <w:t>区域</w:t>
            </w:r>
            <w:r>
              <w:rPr>
                <w:rFonts w:hint="eastAsia" w:ascii="宋体" w:hAnsi="宋体" w:eastAsia="宋体" w:cs="宋体"/>
                <w:szCs w:val="21"/>
                <w:highlight w:val="none"/>
              </w:rPr>
              <w:t>设置科学规范，符合有关文明施工、健康卫生的规定。</w:t>
            </w:r>
            <w:r>
              <w:rPr>
                <w:rFonts w:hint="eastAsia" w:ascii="宋体" w:hAnsi="宋体" w:eastAsia="宋体" w:cs="宋体"/>
                <w:szCs w:val="21"/>
                <w:highlight w:val="none"/>
                <w:lang w:val="en-US" w:eastAsia="zh-CN"/>
              </w:rPr>
              <w:t>扬尘污染防治</w:t>
            </w:r>
            <w:r>
              <w:rPr>
                <w:rFonts w:hint="eastAsia" w:ascii="宋体" w:hAnsi="宋体" w:eastAsia="宋体" w:cs="宋体"/>
                <w:szCs w:val="21"/>
                <w:highlight w:val="none"/>
              </w:rPr>
              <w:t>方案</w:t>
            </w:r>
            <w:r>
              <w:rPr>
                <w:rFonts w:hint="eastAsia" w:ascii="宋体" w:hAnsi="宋体" w:eastAsia="宋体" w:cs="宋体"/>
                <w:szCs w:val="21"/>
                <w:highlight w:val="none"/>
                <w:lang w:val="en-US" w:eastAsia="zh-CN"/>
              </w:rPr>
              <w:t>详细、</w:t>
            </w:r>
            <w:r>
              <w:rPr>
                <w:rFonts w:hint="eastAsia" w:ascii="宋体" w:hAnsi="宋体" w:eastAsia="宋体" w:cs="宋体"/>
                <w:szCs w:val="21"/>
                <w:highlight w:val="none"/>
              </w:rPr>
              <w:t>科学、先进。</w:t>
            </w:r>
            <w:r>
              <w:rPr>
                <w:rFonts w:hint="eastAsia" w:ascii="宋体" w:hAnsi="宋体" w:cs="宋体"/>
                <w:szCs w:val="21"/>
                <w:highlight w:val="none"/>
                <w:lang w:eastAsia="zh-CN"/>
              </w:rPr>
              <w:t>详细、合理</w:t>
            </w:r>
            <w:r>
              <w:rPr>
                <w:rFonts w:hint="eastAsia" w:ascii="宋体" w:hAnsi="宋体" w:eastAsia="宋体" w:cs="宋体"/>
                <w:szCs w:val="21"/>
                <w:highlight w:val="none"/>
                <w:lang w:val="en-US" w:eastAsia="zh-CN"/>
              </w:rPr>
              <w:t>得7分</w:t>
            </w:r>
            <w:r>
              <w:rPr>
                <w:rFonts w:hint="eastAsia" w:ascii="宋体" w:hAnsi="宋体" w:cs="宋体"/>
                <w:szCs w:val="21"/>
                <w:highlight w:val="none"/>
                <w:lang w:val="en-US" w:eastAsia="zh-CN"/>
              </w:rPr>
              <w:t>，合理得5分，基本合理得3分</w:t>
            </w:r>
            <w:r>
              <w:rPr>
                <w:rFonts w:hint="eastAsia" w:ascii="宋体" w:hAnsi="宋体" w:eastAsia="宋体" w:cs="宋体"/>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86" w:type="dxa"/>
            <w:vMerge w:val="continue"/>
            <w:noWrap w:val="0"/>
            <w:vAlign w:val="center"/>
          </w:tcPr>
          <w:p>
            <w:pPr>
              <w:pStyle w:val="84"/>
              <w:spacing w:line="360" w:lineRule="auto"/>
              <w:jc w:val="center"/>
              <w:rPr>
                <w:rFonts w:hint="default" w:ascii="宋体" w:hAnsi="宋体" w:cs="宋体"/>
                <w:sz w:val="21"/>
                <w:szCs w:val="21"/>
                <w:lang w:val="en-US" w:eastAsia="zh-CN"/>
              </w:rPr>
            </w:pPr>
          </w:p>
        </w:tc>
        <w:tc>
          <w:tcPr>
            <w:tcW w:w="2156" w:type="dxa"/>
            <w:noWrap w:val="0"/>
            <w:vAlign w:val="center"/>
          </w:tcPr>
          <w:p>
            <w:pPr>
              <w:pStyle w:val="107"/>
              <w:spacing w:line="262" w:lineRule="exact"/>
              <w:ind w:left="4" w:right="0"/>
              <w:jc w:val="center"/>
              <w:rPr>
                <w:rFonts w:ascii="宋体" w:hAnsi="宋体" w:eastAsia="宋体" w:cs="宋体"/>
                <w:color w:val="auto"/>
                <w:sz w:val="21"/>
                <w:szCs w:val="21"/>
              </w:rPr>
            </w:pPr>
            <w:r>
              <w:rPr>
                <w:rFonts w:ascii="宋体" w:hAnsi="宋体" w:eastAsia="宋体" w:cs="宋体"/>
                <w:color w:val="auto"/>
                <w:sz w:val="21"/>
                <w:szCs w:val="21"/>
              </w:rPr>
              <w:t>资源配备计划</w:t>
            </w:r>
          </w:p>
          <w:p>
            <w:pPr>
              <w:jc w:val="center"/>
              <w:rPr>
                <w:rFonts w:hint="eastAsia" w:ascii="宋体" w:hAnsi="宋体" w:cs="宋体"/>
                <w:sz w:val="21"/>
                <w:szCs w:val="21"/>
              </w:rPr>
            </w:pPr>
            <w:r>
              <w:rPr>
                <w:rFonts w:ascii="宋体" w:hAnsi="宋体" w:eastAsia="宋体" w:cs="宋体"/>
                <w:color w:val="auto"/>
                <w:sz w:val="21"/>
                <w:szCs w:val="21"/>
              </w:rPr>
              <w:t>（</w:t>
            </w:r>
            <w:r>
              <w:rPr>
                <w:rFonts w:hint="eastAsia" w:ascii="宋体" w:hAnsi="宋体" w:cs="宋体"/>
                <w:color w:val="auto"/>
                <w:sz w:val="21"/>
                <w:szCs w:val="21"/>
                <w:lang w:val="en-US" w:eastAsia="zh-CN"/>
              </w:rPr>
              <w:t>5</w:t>
            </w:r>
            <w:r>
              <w:rPr>
                <w:rFonts w:ascii="宋体" w:hAnsi="宋体" w:eastAsia="宋体" w:cs="宋体"/>
                <w:color w:val="auto"/>
                <w:sz w:val="21"/>
                <w:szCs w:val="21"/>
              </w:rPr>
              <w:t xml:space="preserve">分） </w:t>
            </w:r>
          </w:p>
        </w:tc>
        <w:tc>
          <w:tcPr>
            <w:tcW w:w="5797" w:type="dxa"/>
            <w:noWrap w:val="0"/>
            <w:vAlign w:val="center"/>
          </w:tcPr>
          <w:p>
            <w:pPr>
              <w:rPr>
                <w:rFonts w:hint="eastAsia" w:ascii="宋体" w:hAnsi="宋体"/>
                <w:sz w:val="21"/>
                <w:szCs w:val="21"/>
                <w:shd w:val="clear" w:fill="FFFF00"/>
                <w:lang w:eastAsia="zh-CN"/>
              </w:rPr>
            </w:pPr>
            <w:r>
              <w:rPr>
                <w:rFonts w:ascii="宋体" w:hAnsi="宋体" w:eastAsia="宋体" w:cs="宋体"/>
                <w:color w:val="auto"/>
                <w:sz w:val="21"/>
                <w:szCs w:val="21"/>
              </w:rPr>
              <w:t>根据配备计划是否合理、科学等方面进行对比，</w:t>
            </w:r>
            <w:r>
              <w:rPr>
                <w:rFonts w:hint="eastAsia" w:ascii="宋体" w:hAnsi="宋体" w:cs="宋体"/>
                <w:color w:val="auto"/>
                <w:w w:val="100"/>
                <w:sz w:val="21"/>
                <w:szCs w:val="21"/>
                <w:highlight w:val="none"/>
                <w:lang w:val="en-US" w:eastAsia="zh-CN"/>
              </w:rPr>
              <w:t>详细、合理得5分，合理得3分，基本合理得1分。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86" w:type="dxa"/>
            <w:vMerge w:val="continue"/>
            <w:noWrap w:val="0"/>
            <w:vAlign w:val="center"/>
          </w:tcPr>
          <w:p>
            <w:pPr>
              <w:pStyle w:val="84"/>
              <w:spacing w:line="360" w:lineRule="auto"/>
              <w:jc w:val="center"/>
              <w:rPr>
                <w:rFonts w:hint="default" w:ascii="宋体" w:hAnsi="宋体" w:cs="宋体"/>
                <w:sz w:val="21"/>
                <w:szCs w:val="21"/>
                <w:lang w:val="en-US" w:eastAsia="zh-CN"/>
              </w:rPr>
            </w:pPr>
          </w:p>
        </w:tc>
        <w:tc>
          <w:tcPr>
            <w:tcW w:w="2156" w:type="dxa"/>
            <w:noWrap w:val="0"/>
            <w:vAlign w:val="center"/>
          </w:tcPr>
          <w:p>
            <w:pPr>
              <w:pStyle w:val="107"/>
              <w:spacing w:line="273" w:lineRule="auto"/>
              <w:ind w:left="110" w:leftChars="0" w:right="103" w:rightChars="0"/>
              <w:jc w:val="both"/>
              <w:rPr>
                <w:rFonts w:hint="eastAsia" w:ascii="宋体" w:hAnsi="宋体" w:cs="宋体"/>
                <w:sz w:val="21"/>
                <w:szCs w:val="21"/>
              </w:rPr>
            </w:pPr>
            <w:r>
              <w:rPr>
                <w:rFonts w:ascii="宋体" w:hAnsi="宋体" w:eastAsia="宋体" w:cs="宋体"/>
                <w:color w:val="auto"/>
                <w:sz w:val="21"/>
                <w:szCs w:val="21"/>
              </w:rPr>
              <w:t>计划开、竣工日</w:t>
            </w:r>
            <w:r>
              <w:rPr>
                <w:rFonts w:ascii="宋体" w:hAnsi="宋体" w:eastAsia="宋体" w:cs="宋体"/>
                <w:color w:val="auto"/>
                <w:spacing w:val="-103"/>
                <w:sz w:val="21"/>
                <w:szCs w:val="21"/>
              </w:rPr>
              <w:t xml:space="preserve"> </w:t>
            </w:r>
            <w:r>
              <w:rPr>
                <w:rFonts w:ascii="宋体" w:hAnsi="宋体" w:eastAsia="宋体" w:cs="宋体"/>
                <w:color w:val="auto"/>
                <w:sz w:val="21"/>
                <w:szCs w:val="21"/>
              </w:rPr>
              <w:t>期及施工进度网</w:t>
            </w:r>
            <w:r>
              <w:rPr>
                <w:rFonts w:ascii="宋体" w:hAnsi="宋体" w:eastAsia="宋体" w:cs="宋体"/>
                <w:color w:val="auto"/>
                <w:spacing w:val="-103"/>
                <w:sz w:val="21"/>
                <w:szCs w:val="21"/>
              </w:rPr>
              <w:t xml:space="preserve"> </w:t>
            </w:r>
            <w:r>
              <w:rPr>
                <w:rFonts w:ascii="宋体" w:hAnsi="宋体" w:eastAsia="宋体" w:cs="宋体"/>
                <w:color w:val="auto"/>
                <w:sz w:val="21"/>
                <w:szCs w:val="21"/>
              </w:rPr>
              <w:t>络图或横道图（</w:t>
            </w:r>
            <w:r>
              <w:rPr>
                <w:rFonts w:hint="eastAsia" w:ascii="宋体" w:hAnsi="宋体" w:cs="宋体"/>
                <w:color w:val="auto"/>
                <w:sz w:val="21"/>
                <w:szCs w:val="21"/>
                <w:lang w:val="en-US" w:eastAsia="zh-CN"/>
              </w:rPr>
              <w:t>5</w:t>
            </w:r>
            <w:r>
              <w:rPr>
                <w:rFonts w:ascii="宋体" w:hAnsi="宋体" w:eastAsia="宋体" w:cs="宋体"/>
                <w:color w:val="auto"/>
                <w:sz w:val="21"/>
                <w:szCs w:val="21"/>
              </w:rPr>
              <w:t xml:space="preserve">分） </w:t>
            </w:r>
          </w:p>
        </w:tc>
        <w:tc>
          <w:tcPr>
            <w:tcW w:w="5797" w:type="dxa"/>
            <w:noWrap w:val="0"/>
            <w:vAlign w:val="center"/>
          </w:tcPr>
          <w:p>
            <w:pPr>
              <w:rPr>
                <w:rFonts w:hint="eastAsia" w:ascii="宋体" w:hAnsi="宋体"/>
                <w:sz w:val="21"/>
                <w:szCs w:val="21"/>
                <w:shd w:val="clear" w:fill="FFFF00"/>
                <w:lang w:eastAsia="zh-CN"/>
              </w:rPr>
            </w:pPr>
            <w:r>
              <w:rPr>
                <w:rFonts w:ascii="宋体" w:hAnsi="宋体" w:eastAsia="宋体" w:cs="宋体"/>
                <w:color w:val="auto"/>
                <w:sz w:val="21"/>
                <w:szCs w:val="21"/>
              </w:rPr>
              <w:t>根据施工进度计划是否合理、科学等方面进行对比，</w:t>
            </w:r>
            <w:r>
              <w:rPr>
                <w:rFonts w:hint="eastAsia" w:ascii="宋体" w:hAnsi="宋体" w:cs="宋体"/>
                <w:color w:val="auto"/>
                <w:w w:val="100"/>
                <w:sz w:val="21"/>
                <w:szCs w:val="21"/>
                <w:highlight w:val="none"/>
                <w:lang w:val="en-US" w:eastAsia="zh-CN"/>
              </w:rPr>
              <w:t>详细、合理得5分，合理得3分，基本合理得1分。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0" w:hRule="atLeast"/>
        </w:trPr>
        <w:tc>
          <w:tcPr>
            <w:tcW w:w="1486" w:type="dxa"/>
            <w:vMerge w:val="restart"/>
            <w:noWrap w:val="0"/>
            <w:vAlign w:val="center"/>
          </w:tcPr>
          <w:p>
            <w:pPr>
              <w:jc w:val="center"/>
              <w:rPr>
                <w:rFonts w:hint="eastAsia" w:ascii="宋体" w:hAnsi="宋体" w:cs="宋体"/>
                <w:bCs/>
                <w:color w:val="auto"/>
                <w:spacing w:val="6"/>
                <w:szCs w:val="21"/>
                <w:highlight w:val="none"/>
              </w:rPr>
            </w:pPr>
            <w:r>
              <w:rPr>
                <w:rFonts w:hint="eastAsia" w:ascii="宋体" w:hAnsi="宋体" w:cs="宋体"/>
                <w:sz w:val="21"/>
                <w:szCs w:val="21"/>
                <w:lang w:val="en-US" w:eastAsia="zh-CN"/>
              </w:rPr>
              <w:t>3</w:t>
            </w:r>
            <w:r>
              <w:rPr>
                <w:rFonts w:hint="eastAsia" w:ascii="宋体" w:hAnsi="宋体" w:cs="宋体"/>
                <w:bCs/>
                <w:color w:val="auto"/>
                <w:spacing w:val="6"/>
                <w:szCs w:val="21"/>
                <w:highlight w:val="none"/>
                <w:lang w:val="en-US" w:eastAsia="zh-CN"/>
              </w:rPr>
              <w:t>综合</w:t>
            </w:r>
            <w:r>
              <w:rPr>
                <w:rFonts w:hint="eastAsia" w:ascii="宋体" w:hAnsi="宋体" w:cs="宋体"/>
                <w:bCs/>
                <w:color w:val="auto"/>
                <w:spacing w:val="6"/>
                <w:szCs w:val="21"/>
                <w:highlight w:val="none"/>
              </w:rPr>
              <w:t>部分</w:t>
            </w:r>
          </w:p>
          <w:p>
            <w:pPr>
              <w:pStyle w:val="84"/>
              <w:spacing w:line="360" w:lineRule="auto"/>
              <w:jc w:val="center"/>
              <w:rPr>
                <w:rFonts w:hint="default" w:ascii="宋体" w:hAnsi="宋体" w:cs="宋体"/>
                <w:sz w:val="21"/>
                <w:szCs w:val="21"/>
                <w:lang w:val="en-US" w:eastAsia="zh-CN"/>
              </w:rPr>
            </w:pPr>
            <w:r>
              <w:rPr>
                <w:rFonts w:hint="eastAsia" w:ascii="宋体" w:hAnsi="宋体" w:cs="宋体"/>
                <w:bCs/>
                <w:color w:val="auto"/>
                <w:spacing w:val="6"/>
                <w:szCs w:val="21"/>
                <w:highlight w:val="none"/>
              </w:rPr>
              <w:t>（</w:t>
            </w:r>
            <w:r>
              <w:rPr>
                <w:rFonts w:hint="eastAsia" w:ascii="宋体" w:hAnsi="宋体" w:cs="宋体"/>
                <w:bCs/>
                <w:color w:val="auto"/>
                <w:spacing w:val="6"/>
                <w:szCs w:val="21"/>
                <w:highlight w:val="none"/>
                <w:lang w:val="en-US" w:eastAsia="zh-CN"/>
              </w:rPr>
              <w:t>25</w:t>
            </w:r>
            <w:r>
              <w:rPr>
                <w:rFonts w:hint="eastAsia" w:ascii="宋体" w:hAnsi="宋体" w:cs="宋体"/>
                <w:bCs/>
                <w:color w:val="auto"/>
                <w:spacing w:val="6"/>
                <w:szCs w:val="21"/>
                <w:highlight w:val="none"/>
              </w:rPr>
              <w:t>分）</w:t>
            </w:r>
          </w:p>
        </w:tc>
        <w:tc>
          <w:tcPr>
            <w:tcW w:w="2156" w:type="dxa"/>
            <w:noWrap w:val="0"/>
            <w:vAlign w:val="center"/>
          </w:tcPr>
          <w:p>
            <w:pPr>
              <w:numPr>
                <w:ilvl w:val="0"/>
                <w:numId w:val="0"/>
              </w:num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1.企业业绩</w:t>
            </w:r>
          </w:p>
          <w:p>
            <w:pPr>
              <w:numPr>
                <w:ilvl w:val="0"/>
                <w:numId w:val="0"/>
              </w:numPr>
              <w:jc w:val="righ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w:t>
            </w:r>
            <w:r>
              <w:rPr>
                <w:rFonts w:hint="default" w:ascii="宋体" w:hAnsi="宋体" w:cs="宋体"/>
                <w:color w:val="auto"/>
                <w:sz w:val="21"/>
                <w:szCs w:val="21"/>
                <w:highlight w:val="none"/>
                <w:lang w:val="en" w:eastAsia="zh-CN"/>
              </w:rPr>
              <w:t>6</w:t>
            </w:r>
            <w:r>
              <w:rPr>
                <w:rFonts w:hint="eastAsia" w:ascii="宋体" w:hAnsi="宋体" w:cs="宋体"/>
                <w:color w:val="auto"/>
                <w:sz w:val="21"/>
                <w:szCs w:val="21"/>
                <w:highlight w:val="none"/>
                <w:lang w:val="en-US" w:eastAsia="zh-CN"/>
              </w:rPr>
              <w:t>分）</w:t>
            </w:r>
          </w:p>
        </w:tc>
        <w:tc>
          <w:tcPr>
            <w:tcW w:w="5797" w:type="dxa"/>
            <w:noWrap w:val="0"/>
            <w:vAlign w:val="center"/>
          </w:tcPr>
          <w:p>
            <w:pPr>
              <w:keepNext w:val="0"/>
              <w:keepLines w:val="0"/>
              <w:widowControl/>
              <w:suppressLineNumbers w:val="0"/>
              <w:ind w:firstLine="420" w:firstLineChars="200"/>
              <w:jc w:val="left"/>
              <w:rPr>
                <w:rFonts w:hint="default" w:ascii="宋体" w:hAnsi="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供应商具有 2020 年 1 月 1 日以来（以合同签订时间为准）</w:t>
            </w:r>
            <w:r>
              <w:rPr>
                <w:rFonts w:hint="eastAsia" w:ascii="宋体" w:hAnsi="宋体" w:cs="宋体"/>
                <w:color w:val="auto"/>
                <w:kern w:val="0"/>
                <w:sz w:val="21"/>
                <w:szCs w:val="21"/>
                <w:highlight w:val="none"/>
                <w:lang w:val="en-US" w:eastAsia="zh-CN" w:bidi="ar"/>
              </w:rPr>
              <w:t>类似</w:t>
            </w:r>
            <w:r>
              <w:rPr>
                <w:rFonts w:hint="eastAsia" w:ascii="宋体" w:hAnsi="宋体" w:eastAsia="宋体" w:cs="宋体"/>
                <w:color w:val="auto"/>
                <w:kern w:val="0"/>
                <w:sz w:val="21"/>
                <w:szCs w:val="21"/>
                <w:highlight w:val="none"/>
                <w:lang w:val="en-US" w:eastAsia="zh-CN" w:bidi="ar"/>
              </w:rPr>
              <w:t xml:space="preserve">业绩，每提供一项得 2 分，本项最高得 </w:t>
            </w:r>
            <w:r>
              <w:rPr>
                <w:rFonts w:hint="eastAsia" w:ascii="宋体" w:hAnsi="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 xml:space="preserve"> 分。(</w:t>
            </w:r>
            <w:r>
              <w:rPr>
                <w:rFonts w:hint="eastAsia" w:ascii="宋体" w:hAnsi="宋体" w:cs="宋体"/>
                <w:color w:val="auto"/>
                <w:kern w:val="0"/>
                <w:sz w:val="21"/>
                <w:szCs w:val="21"/>
                <w:highlight w:val="none"/>
                <w:lang w:val="en-US" w:eastAsia="zh-CN" w:bidi="ar"/>
              </w:rPr>
              <w:t>响应文件中</w:t>
            </w:r>
            <w:r>
              <w:rPr>
                <w:rFonts w:hint="eastAsia" w:ascii="宋体" w:hAnsi="宋体" w:eastAsia="宋体" w:cs="宋体"/>
                <w:color w:val="auto"/>
                <w:kern w:val="0"/>
                <w:sz w:val="21"/>
                <w:szCs w:val="21"/>
                <w:highlight w:val="none"/>
                <w:lang w:val="en-US" w:eastAsia="zh-CN" w:bidi="ar"/>
              </w:rPr>
              <w:t>需提供中标或成交网页截图、中标或成交通知书、合同和竣工验收报告或竣工验收备案表扫描件</w:t>
            </w:r>
            <w:r>
              <w:rPr>
                <w:rFonts w:hint="eastAsia" w:ascii="宋体" w:hAnsi="宋体" w:cs="宋体"/>
                <w:color w:val="auto"/>
                <w:kern w:val="0"/>
                <w:sz w:val="21"/>
                <w:szCs w:val="21"/>
                <w:highlight w:val="none"/>
                <w:lang w:val="en-US" w:eastAsia="zh-CN" w:bidi="ar"/>
              </w:rPr>
              <w:t>或复印件</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b/>
                <w:bCs/>
                <w:color w:val="auto"/>
                <w:kern w:val="0"/>
                <w:sz w:val="21"/>
                <w:szCs w:val="21"/>
                <w:highlight w:val="none"/>
                <w:lang w:val="en-US" w:eastAsia="zh-CN" w:bidi="ar"/>
              </w:rPr>
              <w:t>。</w:t>
            </w:r>
          </w:p>
          <w:p>
            <w:pPr>
              <w:spacing w:line="360" w:lineRule="auto"/>
              <w:rPr>
                <w:rFonts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1486" w:type="dxa"/>
            <w:vMerge w:val="continue"/>
            <w:noWrap w:val="0"/>
            <w:vAlign w:val="center"/>
          </w:tcPr>
          <w:p>
            <w:pPr>
              <w:pStyle w:val="84"/>
              <w:spacing w:line="360" w:lineRule="auto"/>
              <w:jc w:val="center"/>
              <w:rPr>
                <w:rFonts w:hint="eastAsia" w:ascii="宋体" w:hAnsi="宋体" w:cs="宋体"/>
                <w:bCs/>
                <w:color w:val="auto"/>
                <w:spacing w:val="6"/>
                <w:szCs w:val="21"/>
                <w:highlight w:val="none"/>
              </w:rPr>
            </w:pPr>
          </w:p>
        </w:tc>
        <w:tc>
          <w:tcPr>
            <w:tcW w:w="2156" w:type="dxa"/>
            <w:noWrap w:val="0"/>
            <w:vAlign w:val="center"/>
          </w:tcPr>
          <w:p>
            <w:pPr>
              <w:numPr>
                <w:ilvl w:val="0"/>
                <w:numId w:val="0"/>
              </w:num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2.三体系认证</w:t>
            </w:r>
          </w:p>
          <w:p>
            <w:pPr>
              <w:numPr>
                <w:ilvl w:val="0"/>
                <w:numId w:val="0"/>
              </w:numPr>
              <w:jc w:val="righ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（6分）</w:t>
            </w:r>
          </w:p>
        </w:tc>
        <w:tc>
          <w:tcPr>
            <w:tcW w:w="5797" w:type="dxa"/>
            <w:noWrap w:val="0"/>
            <w:vAlign w:val="center"/>
          </w:tcPr>
          <w:p>
            <w:pPr>
              <w:spacing w:line="360" w:lineRule="auto"/>
              <w:rPr>
                <w:rFonts w:ascii="宋体" w:hAnsi="宋体" w:eastAsia="宋体" w:cs="宋体"/>
                <w:color w:val="auto"/>
                <w:sz w:val="21"/>
                <w:szCs w:val="21"/>
                <w:highlight w:val="none"/>
              </w:rPr>
            </w:pPr>
            <w:r>
              <w:rPr>
                <w:rFonts w:hint="eastAsia" w:ascii="宋体" w:hAnsi="宋体" w:cs="宋体"/>
                <w:color w:val="auto"/>
                <w:spacing w:val="-3"/>
                <w:sz w:val="21"/>
                <w:szCs w:val="21"/>
                <w:highlight w:val="none"/>
                <w:lang w:val="en-US" w:eastAsia="zh-CN"/>
              </w:rPr>
              <w:t>供应商</w:t>
            </w:r>
            <w:r>
              <w:rPr>
                <w:rFonts w:ascii="宋体" w:hAnsi="宋体" w:eastAsia="宋体" w:cs="宋体"/>
                <w:color w:val="auto"/>
                <w:spacing w:val="-3"/>
                <w:sz w:val="21"/>
                <w:szCs w:val="21"/>
                <w:highlight w:val="none"/>
              </w:rPr>
              <w:t>具有质量管理体系认证证书、环境管理体系认证证书、职</w:t>
            </w:r>
            <w:r>
              <w:rPr>
                <w:rFonts w:ascii="宋体" w:hAnsi="宋体" w:eastAsia="宋体" w:cs="宋体"/>
                <w:color w:val="auto"/>
                <w:spacing w:val="-44"/>
                <w:sz w:val="21"/>
                <w:szCs w:val="21"/>
                <w:highlight w:val="none"/>
              </w:rPr>
              <w:t xml:space="preserve"> </w:t>
            </w:r>
            <w:r>
              <w:rPr>
                <w:rFonts w:ascii="宋体" w:hAnsi="宋体" w:eastAsia="宋体" w:cs="宋体"/>
                <w:color w:val="auto"/>
                <w:sz w:val="21"/>
                <w:szCs w:val="21"/>
                <w:highlight w:val="none"/>
              </w:rPr>
              <w:t>业健康安全管理体系证书，每项</w:t>
            </w:r>
            <w:r>
              <w:rPr>
                <w:rFonts w:hint="eastAsia" w:ascii="宋体" w:hAnsi="宋体" w:cs="宋体"/>
                <w:color w:val="auto"/>
                <w:sz w:val="21"/>
                <w:szCs w:val="21"/>
                <w:highlight w:val="none"/>
                <w:lang w:val="en-US" w:eastAsia="zh-CN"/>
              </w:rPr>
              <w:t>2</w:t>
            </w:r>
            <w:r>
              <w:rPr>
                <w:rFonts w:ascii="宋体" w:hAnsi="宋体" w:eastAsia="宋体" w:cs="宋体"/>
                <w:color w:val="auto"/>
                <w:sz w:val="21"/>
                <w:szCs w:val="21"/>
                <w:highlight w:val="none"/>
              </w:rPr>
              <w:t>分，共</w:t>
            </w:r>
            <w:r>
              <w:rPr>
                <w:rFonts w:hint="eastAsia" w:ascii="宋体" w:hAnsi="宋体" w:cs="宋体"/>
                <w:color w:val="auto"/>
                <w:sz w:val="21"/>
                <w:szCs w:val="21"/>
                <w:highlight w:val="none"/>
                <w:lang w:val="en-US" w:eastAsia="zh-CN"/>
              </w:rPr>
              <w:t>6</w:t>
            </w:r>
            <w:r>
              <w:rPr>
                <w:rFonts w:ascii="宋体" w:hAnsi="宋体" w:eastAsia="宋体" w:cs="宋体"/>
                <w:color w:val="auto"/>
                <w:sz w:val="21"/>
                <w:szCs w:val="21"/>
                <w:highlight w:val="none"/>
              </w:rPr>
              <w:t>分，</w:t>
            </w:r>
            <w:r>
              <w:rPr>
                <w:rFonts w:ascii="宋体" w:hAnsi="宋体" w:eastAsia="宋体" w:cs="宋体"/>
                <w:color w:val="auto"/>
                <w:spacing w:val="-5"/>
                <w:sz w:val="21"/>
                <w:szCs w:val="21"/>
                <w:highlight w:val="none"/>
              </w:rPr>
              <w:t>没有</w:t>
            </w:r>
            <w:r>
              <w:rPr>
                <w:rFonts w:ascii="宋体" w:hAnsi="宋体" w:eastAsia="宋体" w:cs="宋体"/>
                <w:color w:val="auto"/>
                <w:sz w:val="21"/>
                <w:szCs w:val="21"/>
                <w:highlight w:val="none"/>
              </w:rPr>
              <w:t>不得分。</w:t>
            </w:r>
            <w:r>
              <w:rPr>
                <w:rFonts w:hint="eastAsia" w:ascii="宋体" w:hAnsi="宋体" w:cs="宋体"/>
                <w:b/>
                <w:bCs/>
                <w:color w:val="auto"/>
                <w:sz w:val="21"/>
                <w:szCs w:val="21"/>
                <w:highlight w:val="none"/>
                <w:lang w:eastAsia="zh-CN"/>
              </w:rPr>
              <w:t>响应</w:t>
            </w:r>
            <w:r>
              <w:rPr>
                <w:rFonts w:ascii="宋体" w:hAnsi="宋体" w:eastAsia="宋体" w:cs="宋体"/>
                <w:b/>
                <w:bCs/>
                <w:color w:val="auto"/>
                <w:sz w:val="21"/>
                <w:szCs w:val="21"/>
                <w:highlight w:val="none"/>
              </w:rPr>
              <w:t>文件需提供扫描件</w:t>
            </w:r>
            <w:r>
              <w:rPr>
                <w:rFonts w:hint="eastAsia" w:ascii="宋体" w:hAnsi="宋体" w:cs="宋体"/>
                <w:color w:val="auto"/>
                <w:kern w:val="0"/>
                <w:sz w:val="21"/>
                <w:szCs w:val="21"/>
                <w:highlight w:val="none"/>
                <w:lang w:val="en-US" w:eastAsia="zh-CN" w:bidi="ar"/>
              </w:rPr>
              <w:t>或复印件</w:t>
            </w:r>
            <w:r>
              <w:rPr>
                <w:rFonts w:hint="eastAsia" w:ascii="宋体" w:hAnsi="宋体" w:eastAsia="宋体" w:cs="宋体"/>
                <w:b/>
                <w:bCs/>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trPr>
        <w:tc>
          <w:tcPr>
            <w:tcW w:w="1486" w:type="dxa"/>
            <w:vMerge w:val="continue"/>
            <w:noWrap w:val="0"/>
            <w:vAlign w:val="center"/>
          </w:tcPr>
          <w:p>
            <w:pPr>
              <w:pStyle w:val="84"/>
              <w:spacing w:line="360" w:lineRule="auto"/>
              <w:jc w:val="center"/>
              <w:rPr>
                <w:rFonts w:hint="eastAsia" w:ascii="宋体" w:hAnsi="宋体" w:cs="宋体"/>
                <w:bCs/>
                <w:color w:val="auto"/>
                <w:spacing w:val="6"/>
                <w:szCs w:val="21"/>
                <w:highlight w:val="none"/>
              </w:rPr>
            </w:pPr>
          </w:p>
        </w:tc>
        <w:tc>
          <w:tcPr>
            <w:tcW w:w="2156" w:type="dxa"/>
            <w:noWrap w:val="0"/>
            <w:vAlign w:val="center"/>
          </w:tcPr>
          <w:p>
            <w:pPr>
              <w:numPr>
                <w:ilvl w:val="0"/>
                <w:numId w:val="0"/>
              </w:numPr>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3.节水产品</w:t>
            </w:r>
          </w:p>
          <w:p>
            <w:pPr>
              <w:numPr>
                <w:ilvl w:val="0"/>
                <w:numId w:val="0"/>
              </w:numPr>
              <w:jc w:val="righ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（2分）</w:t>
            </w:r>
          </w:p>
        </w:tc>
        <w:tc>
          <w:tcPr>
            <w:tcW w:w="5797" w:type="dxa"/>
            <w:noWrap w:val="0"/>
            <w:vAlign w:val="center"/>
          </w:tcPr>
          <w:p>
            <w:pPr>
              <w:pStyle w:val="107"/>
              <w:numPr>
                <w:ilvl w:val="0"/>
                <w:numId w:val="0"/>
              </w:numPr>
              <w:spacing w:before="15" w:line="223" w:lineRule="auto"/>
              <w:ind w:right="93" w:rightChars="0"/>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所投核心产品（水泵）有节水证书的得2分，没有不得分。</w:t>
            </w:r>
          </w:p>
          <w:p>
            <w:pPr>
              <w:pStyle w:val="107"/>
              <w:numPr>
                <w:ilvl w:val="0"/>
                <w:numId w:val="0"/>
              </w:numPr>
              <w:spacing w:before="15" w:line="223" w:lineRule="auto"/>
              <w:ind w:right="93" w:rightChars="0" w:firstLine="420"/>
              <w:jc w:val="left"/>
              <w:rPr>
                <w:rFonts w:hint="default" w:ascii="宋体" w:hAnsi="宋体" w:eastAsia="宋体" w:cs="宋体"/>
                <w:color w:val="auto"/>
                <w:sz w:val="21"/>
                <w:szCs w:val="21"/>
                <w:highlight w:val="none"/>
                <w:lang w:val="en-US" w:eastAsia="zh-CN"/>
              </w:rPr>
            </w:pPr>
          </w:p>
          <w:p>
            <w:pPr>
              <w:spacing w:line="360" w:lineRule="auto"/>
              <w:rPr>
                <w:rFonts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1486" w:type="dxa"/>
            <w:vMerge w:val="continue"/>
            <w:noWrap w:val="0"/>
            <w:vAlign w:val="center"/>
          </w:tcPr>
          <w:p>
            <w:pPr>
              <w:pStyle w:val="84"/>
              <w:spacing w:line="360" w:lineRule="auto"/>
              <w:jc w:val="center"/>
              <w:rPr>
                <w:rFonts w:hint="eastAsia" w:ascii="宋体" w:hAnsi="宋体" w:cs="宋体"/>
                <w:bCs/>
                <w:color w:val="auto"/>
                <w:spacing w:val="6"/>
                <w:szCs w:val="21"/>
                <w:highlight w:val="none"/>
              </w:rPr>
            </w:pPr>
          </w:p>
        </w:tc>
        <w:tc>
          <w:tcPr>
            <w:tcW w:w="2156" w:type="dxa"/>
            <w:noWrap w:val="0"/>
            <w:vAlign w:val="center"/>
          </w:tcPr>
          <w:p>
            <w:pPr>
              <w:pStyle w:val="107"/>
              <w:numPr>
                <w:ilvl w:val="0"/>
                <w:numId w:val="0"/>
              </w:numPr>
              <w:spacing w:line="272" w:lineRule="exact"/>
              <w:ind w:right="0" w:rightChars="0"/>
              <w:jc w:val="left"/>
              <w:rPr>
                <w:rFonts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ascii="宋体" w:hAnsi="宋体" w:eastAsia="宋体" w:cs="宋体"/>
                <w:color w:val="auto"/>
                <w:sz w:val="21"/>
                <w:szCs w:val="21"/>
                <w:highlight w:val="none"/>
              </w:rPr>
              <w:t>售后服务</w:t>
            </w:r>
          </w:p>
          <w:p>
            <w:pPr>
              <w:pStyle w:val="107"/>
              <w:numPr>
                <w:ilvl w:val="0"/>
                <w:numId w:val="0"/>
              </w:numPr>
              <w:spacing w:line="272" w:lineRule="exact"/>
              <w:ind w:right="0" w:rightChars="0"/>
              <w:jc w:val="right"/>
              <w:rPr>
                <w:rFonts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（11分）</w:t>
            </w:r>
          </w:p>
          <w:p>
            <w:pPr>
              <w:jc w:val="left"/>
              <w:rPr>
                <w:rFonts w:hint="eastAsia" w:ascii="宋体" w:hAnsi="宋体" w:eastAsia="宋体" w:cs="宋体"/>
                <w:color w:val="auto"/>
                <w:sz w:val="21"/>
                <w:szCs w:val="21"/>
                <w:highlight w:val="none"/>
                <w:lang w:val="en-US" w:eastAsia="zh-CN"/>
              </w:rPr>
            </w:pPr>
          </w:p>
        </w:tc>
        <w:tc>
          <w:tcPr>
            <w:tcW w:w="5797" w:type="dxa"/>
            <w:noWrap w:val="0"/>
            <w:vAlign w:val="center"/>
          </w:tcPr>
          <w:p>
            <w:pPr>
              <w:pStyle w:val="107"/>
              <w:spacing w:line="273" w:lineRule="exact"/>
              <w:ind w:right="0"/>
              <w:jc w:val="both"/>
              <w:rPr>
                <w:rFonts w:hint="default" w:ascii="宋体" w:hAnsi="宋体" w:eastAsia="宋体" w:cs="宋体"/>
                <w:color w:val="auto"/>
                <w:sz w:val="21"/>
                <w:szCs w:val="21"/>
                <w:highlight w:val="none"/>
                <w:lang w:val="en-US" w:eastAsia="zh-CN"/>
              </w:rPr>
            </w:pPr>
            <w:r>
              <w:rPr>
                <w:rFonts w:ascii="宋体" w:hAnsi="宋体" w:eastAsia="宋体" w:cs="宋体"/>
                <w:color w:val="auto"/>
                <w:sz w:val="21"/>
                <w:szCs w:val="21"/>
                <w:highlight w:val="none"/>
              </w:rPr>
              <w:t>①、人员培训计划安装服务承诺</w:t>
            </w:r>
            <w:r>
              <w:rPr>
                <w:rFonts w:hint="eastAsia" w:ascii="宋体" w:hAnsi="宋体" w:eastAsia="宋体" w:cs="宋体"/>
                <w:color w:val="auto"/>
                <w:sz w:val="21"/>
                <w:szCs w:val="21"/>
                <w:highlight w:val="none"/>
                <w:lang w:eastAsia="zh-CN"/>
              </w:rPr>
              <w:t>，</w:t>
            </w:r>
            <w:r>
              <w:rPr>
                <w:rFonts w:ascii="宋体" w:hAnsi="宋体" w:eastAsia="宋体" w:cs="宋体"/>
                <w:color w:val="auto"/>
                <w:sz w:val="21"/>
                <w:szCs w:val="21"/>
                <w:highlight w:val="none"/>
              </w:rPr>
              <w:t>承诺</w:t>
            </w:r>
            <w:r>
              <w:rPr>
                <w:rFonts w:hint="eastAsia" w:ascii="宋体" w:hAnsi="宋体" w:eastAsia="宋体" w:cs="宋体"/>
                <w:color w:val="auto"/>
                <w:sz w:val="21"/>
                <w:szCs w:val="21"/>
                <w:highlight w:val="none"/>
                <w:lang w:eastAsia="zh-CN"/>
              </w:rPr>
              <w:t>详细的得</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分，</w:t>
            </w:r>
            <w:r>
              <w:rPr>
                <w:rFonts w:ascii="宋体" w:hAnsi="宋体" w:eastAsia="宋体" w:cs="宋体"/>
                <w:color w:val="auto"/>
                <w:sz w:val="21"/>
                <w:szCs w:val="21"/>
                <w:highlight w:val="none"/>
              </w:rPr>
              <w:t>承诺</w:t>
            </w:r>
            <w:r>
              <w:rPr>
                <w:rFonts w:hint="eastAsia" w:ascii="宋体" w:hAnsi="宋体" w:eastAsia="宋体" w:cs="宋体"/>
                <w:color w:val="auto"/>
                <w:sz w:val="21"/>
                <w:szCs w:val="21"/>
                <w:highlight w:val="none"/>
                <w:lang w:val="en-US" w:eastAsia="zh-CN"/>
              </w:rPr>
              <w:t>一般的得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分，</w:t>
            </w:r>
            <w:r>
              <w:rPr>
                <w:rFonts w:ascii="宋体" w:hAnsi="宋体" w:eastAsia="宋体" w:cs="宋体"/>
                <w:color w:val="auto"/>
                <w:sz w:val="21"/>
                <w:szCs w:val="21"/>
                <w:highlight w:val="none"/>
              </w:rPr>
              <w:t>承诺</w:t>
            </w:r>
            <w:r>
              <w:rPr>
                <w:rFonts w:hint="eastAsia" w:ascii="宋体" w:hAnsi="宋体" w:eastAsia="宋体" w:cs="宋体"/>
                <w:color w:val="auto"/>
                <w:sz w:val="21"/>
                <w:szCs w:val="21"/>
                <w:highlight w:val="none"/>
                <w:lang w:val="en-US" w:eastAsia="zh-CN"/>
              </w:rPr>
              <w:t>差的得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分。</w:t>
            </w:r>
          </w:p>
          <w:p>
            <w:pPr>
              <w:pStyle w:val="107"/>
              <w:spacing w:line="271" w:lineRule="exact"/>
              <w:ind w:right="0"/>
              <w:jc w:val="both"/>
              <w:rPr>
                <w:rFonts w:ascii="宋体" w:hAnsi="宋体" w:eastAsia="宋体" w:cs="宋体"/>
                <w:color w:val="auto"/>
                <w:sz w:val="21"/>
                <w:szCs w:val="21"/>
                <w:highlight w:val="none"/>
              </w:rPr>
            </w:pPr>
            <w:r>
              <w:rPr>
                <w:rFonts w:ascii="宋体" w:hAnsi="宋体" w:eastAsia="宋体" w:cs="宋体"/>
                <w:color w:val="auto"/>
                <w:sz w:val="21"/>
                <w:szCs w:val="21"/>
                <w:highlight w:val="none"/>
              </w:rPr>
              <w:t xml:space="preserve">②、质保期内外服务承诺 </w:t>
            </w:r>
            <w:r>
              <w:rPr>
                <w:rFonts w:hint="eastAsia" w:ascii="宋体" w:hAnsi="宋体" w:eastAsia="宋体" w:cs="宋体"/>
                <w:color w:val="auto"/>
                <w:sz w:val="21"/>
                <w:szCs w:val="21"/>
                <w:highlight w:val="none"/>
                <w:lang w:eastAsia="zh-CN"/>
              </w:rPr>
              <w:t>，</w:t>
            </w:r>
            <w:r>
              <w:rPr>
                <w:rFonts w:ascii="宋体" w:hAnsi="宋体" w:eastAsia="宋体" w:cs="宋体"/>
                <w:color w:val="auto"/>
                <w:sz w:val="21"/>
                <w:szCs w:val="21"/>
                <w:highlight w:val="none"/>
              </w:rPr>
              <w:t>承诺</w:t>
            </w:r>
            <w:r>
              <w:rPr>
                <w:rFonts w:hint="eastAsia" w:ascii="宋体" w:hAnsi="宋体" w:eastAsia="宋体" w:cs="宋体"/>
                <w:color w:val="auto"/>
                <w:sz w:val="21"/>
                <w:szCs w:val="21"/>
                <w:highlight w:val="none"/>
                <w:lang w:eastAsia="zh-CN"/>
              </w:rPr>
              <w:t>详细的得</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分，</w:t>
            </w:r>
            <w:r>
              <w:rPr>
                <w:rFonts w:ascii="宋体" w:hAnsi="宋体" w:eastAsia="宋体" w:cs="宋体"/>
                <w:color w:val="auto"/>
                <w:sz w:val="21"/>
                <w:szCs w:val="21"/>
                <w:highlight w:val="none"/>
              </w:rPr>
              <w:t>承诺</w:t>
            </w:r>
            <w:r>
              <w:rPr>
                <w:rFonts w:hint="eastAsia" w:ascii="宋体" w:hAnsi="宋体" w:eastAsia="宋体" w:cs="宋体"/>
                <w:color w:val="auto"/>
                <w:sz w:val="21"/>
                <w:szCs w:val="21"/>
                <w:highlight w:val="none"/>
                <w:lang w:val="en-US" w:eastAsia="zh-CN"/>
              </w:rPr>
              <w:t>一般的得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分，</w:t>
            </w:r>
            <w:r>
              <w:rPr>
                <w:rFonts w:ascii="宋体" w:hAnsi="宋体" w:eastAsia="宋体" w:cs="宋体"/>
                <w:color w:val="auto"/>
                <w:sz w:val="21"/>
                <w:szCs w:val="21"/>
                <w:highlight w:val="none"/>
              </w:rPr>
              <w:t>承诺</w:t>
            </w:r>
            <w:r>
              <w:rPr>
                <w:rFonts w:hint="eastAsia" w:ascii="宋体" w:hAnsi="宋体" w:eastAsia="宋体" w:cs="宋体"/>
                <w:color w:val="auto"/>
                <w:sz w:val="21"/>
                <w:szCs w:val="21"/>
                <w:highlight w:val="none"/>
                <w:lang w:val="en-US" w:eastAsia="zh-CN"/>
              </w:rPr>
              <w:t>差的得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分</w:t>
            </w:r>
            <w:r>
              <w:rPr>
                <w:rFonts w:hint="eastAsia" w:ascii="宋体" w:hAnsi="宋体" w:cs="宋体"/>
                <w:color w:val="auto"/>
                <w:sz w:val="21"/>
                <w:szCs w:val="21"/>
                <w:highlight w:val="none"/>
                <w:lang w:val="en-US" w:eastAsia="zh-CN"/>
              </w:rPr>
              <w:t>。</w:t>
            </w:r>
          </w:p>
          <w:p>
            <w:pPr>
              <w:spacing w:line="360" w:lineRule="auto"/>
              <w:rPr>
                <w:rFonts w:ascii="宋体" w:hAnsi="宋体" w:eastAsia="宋体" w:cs="宋体"/>
                <w:color w:val="auto"/>
                <w:sz w:val="21"/>
                <w:szCs w:val="21"/>
                <w:highlight w:val="none"/>
              </w:rPr>
            </w:pPr>
            <w:r>
              <w:rPr>
                <w:rFonts w:ascii="宋体" w:hAnsi="宋体" w:eastAsia="宋体" w:cs="宋体"/>
                <w:color w:val="auto"/>
                <w:sz w:val="21"/>
                <w:szCs w:val="21"/>
                <w:highlight w:val="none"/>
              </w:rPr>
              <w:t>③、其他实质性优惠承诺：</w:t>
            </w:r>
            <w:r>
              <w:rPr>
                <w:rFonts w:ascii="宋体" w:hAnsi="宋体" w:eastAsia="宋体" w:cs="宋体"/>
                <w:color w:val="auto"/>
                <w:spacing w:val="-3"/>
                <w:sz w:val="21"/>
                <w:szCs w:val="21"/>
                <w:highlight w:val="none"/>
              </w:rPr>
              <w:t>保修期</w:t>
            </w:r>
            <w:r>
              <w:rPr>
                <w:rFonts w:hint="eastAsia" w:ascii="宋体" w:hAnsi="宋体" w:cs="宋体"/>
                <w:color w:val="auto"/>
                <w:spacing w:val="-3"/>
                <w:sz w:val="21"/>
                <w:szCs w:val="21"/>
                <w:highlight w:val="none"/>
                <w:lang w:eastAsia="zh-CN"/>
              </w:rPr>
              <w:t>内</w:t>
            </w:r>
            <w:r>
              <w:rPr>
                <w:rFonts w:ascii="宋体" w:hAnsi="宋体" w:eastAsia="宋体" w:cs="宋体"/>
                <w:color w:val="auto"/>
                <w:sz w:val="21"/>
                <w:szCs w:val="21"/>
                <w:highlight w:val="none"/>
              </w:rPr>
              <w:t>技术支持</w:t>
            </w:r>
            <w:r>
              <w:rPr>
                <w:rFonts w:hint="eastAsia" w:ascii="宋体" w:hAnsi="宋体" w:cs="宋体"/>
                <w:color w:val="auto"/>
                <w:sz w:val="21"/>
                <w:szCs w:val="21"/>
                <w:highlight w:val="none"/>
                <w:lang w:eastAsia="zh-CN"/>
              </w:rPr>
              <w:t>、</w:t>
            </w:r>
            <w:r>
              <w:rPr>
                <w:rFonts w:ascii="宋体" w:hAnsi="宋体" w:eastAsia="宋体" w:cs="宋体"/>
                <w:color w:val="auto"/>
                <w:sz w:val="21"/>
                <w:szCs w:val="21"/>
                <w:highlight w:val="none"/>
              </w:rPr>
              <w:t>措施计划和承诺</w:t>
            </w:r>
            <w:r>
              <w:rPr>
                <w:rFonts w:hint="eastAsia" w:ascii="宋体" w:hAnsi="宋体" w:eastAsia="宋体" w:cs="宋体"/>
                <w:color w:val="auto"/>
                <w:sz w:val="21"/>
                <w:szCs w:val="21"/>
                <w:highlight w:val="none"/>
                <w:lang w:eastAsia="zh-CN"/>
              </w:rPr>
              <w:t>方案详细完整的得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sz w:val="21"/>
                <w:szCs w:val="21"/>
                <w:highlight w:val="none"/>
                <w:lang w:eastAsia="zh-CN"/>
              </w:rPr>
              <w:t>方案</w:t>
            </w:r>
            <w:r>
              <w:rPr>
                <w:rFonts w:hint="eastAsia" w:ascii="宋体" w:hAnsi="宋体" w:eastAsia="宋体" w:cs="宋体"/>
                <w:color w:val="auto"/>
                <w:sz w:val="21"/>
                <w:szCs w:val="21"/>
                <w:highlight w:val="none"/>
                <w:lang w:val="en-US" w:eastAsia="zh-CN"/>
              </w:rPr>
              <w:t>一般的得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分</w:t>
            </w:r>
            <w:r>
              <w:rPr>
                <w:rFonts w:hint="eastAsia" w:ascii="宋体" w:hAnsi="宋体" w:cs="宋体"/>
                <w:color w:val="auto"/>
                <w:sz w:val="21"/>
                <w:szCs w:val="21"/>
                <w:highlight w:val="none"/>
                <w:lang w:val="en-US" w:eastAsia="zh-CN"/>
              </w:rPr>
              <w:t>。</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注：</w:t>
      </w:r>
      <w:r>
        <w:rPr>
          <w:rFonts w:hint="eastAsia" w:ascii="宋体" w:hAnsi="宋体" w:cs="宋体"/>
          <w:b/>
          <w:bCs/>
          <w:szCs w:val="21"/>
          <w:lang w:val="en-US" w:eastAsia="zh-CN"/>
        </w:rPr>
        <w:t>1.</w:t>
      </w:r>
      <w:r>
        <w:rPr>
          <w:rFonts w:hint="eastAsia" w:ascii="宋体" w:hAnsi="宋体" w:cs="宋体"/>
          <w:b/>
          <w:bCs/>
          <w:szCs w:val="21"/>
        </w:rPr>
        <w:t>评分办法中要求的证明材料均需按要求附响应文件中，否则不得分。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bookmarkEnd w:id="79"/>
    <w:bookmarkEnd w:id="80"/>
    <w:p>
      <w:pPr>
        <w:rPr>
          <w:rFonts w:hint="eastAsia"/>
        </w:rPr>
        <w:sectPr>
          <w:footerReference r:id="rId10" w:type="default"/>
          <w:pgSz w:w="11906" w:h="16838"/>
          <w:pgMar w:top="1134" w:right="1134" w:bottom="1134" w:left="1474" w:header="851" w:footer="510" w:gutter="0"/>
          <w:cols w:space="720" w:num="1"/>
          <w:docGrid w:type="lines" w:linePitch="312" w:charSpace="0"/>
        </w:sectPr>
      </w:pPr>
      <w:bookmarkStart w:id="81" w:name="_Toc113459850"/>
      <w:bookmarkStart w:id="82" w:name="_Toc7461"/>
    </w:p>
    <w:p>
      <w:pPr>
        <w:pStyle w:val="35"/>
        <w:numPr>
          <w:ilvl w:val="0"/>
          <w:numId w:val="1"/>
        </w:numPr>
        <w:spacing w:before="0" w:after="0" w:line="360" w:lineRule="auto"/>
        <w:ind w:firstLine="0"/>
        <w:rPr>
          <w:rFonts w:hint="eastAsia" w:ascii="宋体" w:hAnsi="宋体" w:cs="宋体"/>
        </w:rPr>
      </w:pPr>
      <w:bookmarkStart w:id="83" w:name="_Toc20277"/>
      <w:r>
        <w:rPr>
          <w:rFonts w:hint="eastAsia" w:ascii="宋体" w:hAnsi="宋体" w:cs="宋体"/>
        </w:rPr>
        <w:t>拟签订的合同</w:t>
      </w:r>
      <w:bookmarkStart w:id="84" w:name="_Toc214329890"/>
      <w:bookmarkStart w:id="85" w:name="_Toc374512418"/>
      <w:bookmarkStart w:id="86" w:name="_Toc218418181"/>
      <w:bookmarkStart w:id="87" w:name="_Toc373230031"/>
      <w:bookmarkStart w:id="88" w:name="_Toc153880771"/>
      <w:r>
        <w:rPr>
          <w:rFonts w:hint="eastAsia" w:ascii="宋体" w:hAnsi="宋体" w:cs="宋体"/>
        </w:rPr>
        <w:t>文本</w:t>
      </w:r>
      <w:bookmarkEnd w:id="81"/>
      <w:bookmarkEnd w:id="83"/>
    </w:p>
    <w:p>
      <w:pPr>
        <w:jc w:val="center"/>
        <w:rPr>
          <w:rFonts w:hint="eastAsia" w:ascii="宋体" w:hAnsi="宋体"/>
          <w:sz w:val="28"/>
          <w:szCs w:val="24"/>
        </w:rPr>
      </w:pPr>
      <w:r>
        <w:rPr>
          <w:rFonts w:hint="eastAsia" w:ascii="宋体" w:hAnsi="宋体"/>
          <w:sz w:val="28"/>
          <w:szCs w:val="24"/>
        </w:rPr>
        <w:t>（仅供参考）</w:t>
      </w:r>
    </w:p>
    <w:p>
      <w:pPr>
        <w:pStyle w:val="84"/>
        <w:spacing w:line="360" w:lineRule="auto"/>
        <w:rPr>
          <w:rFonts w:hint="eastAsia" w:ascii="宋体" w:hAnsi="宋体" w:cs="宋体"/>
          <w:sz w:val="21"/>
          <w:szCs w:val="21"/>
        </w:rPr>
      </w:pPr>
      <w:r>
        <w:rPr>
          <w:rFonts w:hint="eastAsia" w:ascii="宋体" w:hAnsi="宋体" w:cs="宋体"/>
          <w:sz w:val="21"/>
          <w:szCs w:val="21"/>
        </w:rPr>
        <w:t>采购方（甲方）：</w:t>
      </w:r>
    </w:p>
    <w:p>
      <w:pPr>
        <w:pStyle w:val="84"/>
        <w:spacing w:line="360" w:lineRule="auto"/>
        <w:rPr>
          <w:rFonts w:hint="eastAsia" w:ascii="宋体" w:hAnsi="宋体" w:cs="宋体"/>
          <w:sz w:val="21"/>
          <w:szCs w:val="21"/>
        </w:rPr>
      </w:pPr>
      <w:r>
        <w:rPr>
          <w:rFonts w:hint="eastAsia" w:ascii="宋体" w:hAnsi="宋体" w:cs="宋体"/>
          <w:sz w:val="21"/>
          <w:szCs w:val="21"/>
        </w:rPr>
        <w:t>供货方（乙方）：</w:t>
      </w:r>
    </w:p>
    <w:p>
      <w:pPr>
        <w:pStyle w:val="84"/>
        <w:spacing w:line="360" w:lineRule="auto"/>
        <w:rPr>
          <w:rFonts w:hint="eastAsia" w:ascii="宋体" w:hAnsi="宋体" w:cs="宋体"/>
          <w:sz w:val="21"/>
          <w:szCs w:val="21"/>
        </w:rPr>
      </w:pPr>
      <w:r>
        <w:rPr>
          <w:rFonts w:hint="eastAsia" w:ascii="宋体" w:hAnsi="宋体" w:cs="宋体"/>
          <w:sz w:val="21"/>
          <w:szCs w:val="21"/>
        </w:rPr>
        <w:t xml:space="preserve">签订地点： </w:t>
      </w:r>
    </w:p>
    <w:p>
      <w:pPr>
        <w:pStyle w:val="84"/>
        <w:spacing w:line="360" w:lineRule="auto"/>
        <w:rPr>
          <w:rFonts w:hint="eastAsia" w:ascii="宋体" w:hAnsi="宋体" w:cs="宋体"/>
          <w:sz w:val="21"/>
          <w:szCs w:val="21"/>
        </w:rPr>
      </w:pPr>
      <w:r>
        <w:rPr>
          <w:rFonts w:hint="eastAsia" w:ascii="宋体" w:hAnsi="宋体" w:cs="宋体"/>
          <w:sz w:val="21"/>
          <w:szCs w:val="21"/>
        </w:rPr>
        <w:t>合同编号：</w:t>
      </w:r>
    </w:p>
    <w:p>
      <w:pPr>
        <w:pStyle w:val="84"/>
        <w:spacing w:line="360" w:lineRule="auto"/>
        <w:ind w:firstLine="420" w:firstLineChars="200"/>
        <w:rPr>
          <w:rFonts w:hint="eastAsia" w:ascii="宋体" w:hAnsi="宋体" w:cs="宋体"/>
          <w:sz w:val="21"/>
          <w:szCs w:val="21"/>
        </w:rPr>
      </w:pPr>
      <w:r>
        <w:rPr>
          <w:rFonts w:hint="eastAsia" w:ascii="宋体" w:hAnsi="宋体" w:cs="宋体"/>
          <w:sz w:val="21"/>
          <w:szCs w:val="21"/>
        </w:rPr>
        <w:t>参考《中华人民共和国政府采购法》《中华人民共和国</w:t>
      </w:r>
      <w:r>
        <w:rPr>
          <w:rFonts w:hint="eastAsia" w:ascii="宋体" w:hAnsi="宋体" w:cs="宋体"/>
          <w:sz w:val="21"/>
          <w:szCs w:val="21"/>
          <w:lang w:eastAsia="zh-CN"/>
        </w:rPr>
        <w:t>民法典</w:t>
      </w:r>
      <w:r>
        <w:rPr>
          <w:rFonts w:hint="eastAsia" w:ascii="宋体" w:hAnsi="宋体" w:cs="宋体"/>
          <w:sz w:val="21"/>
          <w:szCs w:val="21"/>
        </w:rPr>
        <w:t>》及有关法律法规，为维护双方的合法权益，甲、乙双方在平等互利、诚实信用的基础上，经友好协商，签订本合同，双方共同遵守执行。</w:t>
      </w:r>
    </w:p>
    <w:p>
      <w:pPr>
        <w:tabs>
          <w:tab w:val="left" w:pos="0"/>
          <w:tab w:val="left" w:pos="1620"/>
        </w:tabs>
        <w:spacing w:line="360" w:lineRule="auto"/>
        <w:rPr>
          <w:rFonts w:hint="eastAsia" w:ascii="宋体" w:hAnsi="宋体" w:cs="宋体"/>
          <w:b/>
          <w:szCs w:val="21"/>
          <w:u w:val="single"/>
        </w:rPr>
      </w:pPr>
      <w:r>
        <w:rPr>
          <w:rFonts w:hint="eastAsia" w:ascii="宋体" w:hAnsi="宋体" w:cs="宋体"/>
          <w:szCs w:val="21"/>
        </w:rPr>
        <w:t xml:space="preserve">  </w:t>
      </w:r>
      <w:r>
        <w:rPr>
          <w:rFonts w:hint="eastAsia" w:ascii="宋体" w:hAnsi="宋体" w:cs="宋体"/>
          <w:b/>
          <w:szCs w:val="21"/>
        </w:rPr>
        <w:t xml:space="preserve">  </w:t>
      </w:r>
      <w:r>
        <w:rPr>
          <w:rFonts w:hint="eastAsia" w:ascii="宋体" w:hAnsi="宋体" w:cs="宋体"/>
          <w:szCs w:val="21"/>
        </w:rPr>
        <w:t xml:space="preserve"> 一、合同授予</w:t>
      </w:r>
    </w:p>
    <w:p>
      <w:pPr>
        <w:pStyle w:val="84"/>
        <w:spacing w:line="360" w:lineRule="auto"/>
        <w:rPr>
          <w:rFonts w:hint="eastAsia" w:ascii="宋体" w:hAnsi="宋体" w:cs="宋体"/>
          <w:sz w:val="21"/>
          <w:szCs w:val="21"/>
        </w:rPr>
      </w:pPr>
      <w:r>
        <w:rPr>
          <w:rFonts w:hint="eastAsia" w:ascii="宋体" w:hAnsi="宋体" w:cs="宋体"/>
          <w:sz w:val="21"/>
          <w:szCs w:val="21"/>
          <w:u w:val="single"/>
        </w:rPr>
        <w:t xml:space="preserve">                         </w:t>
      </w:r>
      <w:r>
        <w:rPr>
          <w:rFonts w:hint="eastAsia" w:ascii="宋体" w:hAnsi="宋体" w:cs="宋体"/>
          <w:sz w:val="21"/>
          <w:szCs w:val="21"/>
        </w:rPr>
        <w:t xml:space="preserve">  (项目编号: </w:t>
      </w:r>
      <w:r>
        <w:rPr>
          <w:rFonts w:hint="eastAsia" w:ascii="宋体" w:hAnsi="宋体" w:cs="宋体"/>
          <w:sz w:val="21"/>
          <w:szCs w:val="21"/>
          <w:u w:val="single"/>
        </w:rPr>
        <w:t xml:space="preserve">            </w:t>
      </w:r>
      <w:r>
        <w:rPr>
          <w:rFonts w:hint="eastAsia" w:ascii="宋体" w:hAnsi="宋体" w:cs="宋体"/>
          <w:sz w:val="21"/>
          <w:szCs w:val="21"/>
        </w:rPr>
        <w:t xml:space="preserve"> )甲方为采购方，经批准，用竞争性磋商方式采购，经本项目磋商小组认真评审，决定将采购合同授予乙方。</w:t>
      </w:r>
    </w:p>
    <w:p>
      <w:pPr>
        <w:pStyle w:val="84"/>
        <w:spacing w:line="360" w:lineRule="auto"/>
        <w:rPr>
          <w:rFonts w:hint="eastAsia" w:ascii="宋体" w:hAnsi="宋体" w:cs="宋体"/>
          <w:sz w:val="21"/>
          <w:szCs w:val="21"/>
        </w:rPr>
      </w:pPr>
      <w:r>
        <w:rPr>
          <w:rFonts w:hint="eastAsia" w:ascii="宋体" w:hAnsi="宋体" w:cs="宋体"/>
          <w:sz w:val="21"/>
          <w:szCs w:val="21"/>
        </w:rPr>
        <w:t xml:space="preserve">    二、合同文件组成</w:t>
      </w:r>
    </w:p>
    <w:p>
      <w:pPr>
        <w:pStyle w:val="84"/>
        <w:spacing w:line="360" w:lineRule="auto"/>
        <w:rPr>
          <w:rFonts w:hint="eastAsia" w:ascii="宋体" w:hAnsi="宋体" w:cs="宋体"/>
          <w:sz w:val="21"/>
          <w:szCs w:val="21"/>
        </w:rPr>
      </w:pPr>
      <w:r>
        <w:rPr>
          <w:rFonts w:hint="eastAsia" w:ascii="宋体" w:hAnsi="宋体" w:cs="宋体"/>
          <w:sz w:val="21"/>
          <w:szCs w:val="21"/>
        </w:rPr>
        <w:t xml:space="preserve">    1.本合同条款；2.成交通知书；3.乙方响应文件；4.竞争性磋商文件；5.其它相关文件。</w:t>
      </w:r>
    </w:p>
    <w:p>
      <w:pPr>
        <w:pStyle w:val="84"/>
        <w:spacing w:line="360" w:lineRule="auto"/>
        <w:rPr>
          <w:rFonts w:hint="eastAsia" w:ascii="宋体" w:hAnsi="宋体" w:cs="宋体"/>
          <w:sz w:val="21"/>
          <w:szCs w:val="21"/>
        </w:rPr>
      </w:pPr>
      <w:r>
        <w:rPr>
          <w:rFonts w:hint="eastAsia" w:ascii="宋体" w:hAnsi="宋体" w:cs="宋体"/>
          <w:sz w:val="21"/>
          <w:szCs w:val="21"/>
        </w:rPr>
        <w:t xml:space="preserve">    上述所指合同文件应认为是互相补充和解释的，如有不一致之处，以其所列内容顺序为准。</w:t>
      </w:r>
    </w:p>
    <w:p>
      <w:pPr>
        <w:pStyle w:val="84"/>
        <w:spacing w:line="360" w:lineRule="auto"/>
        <w:rPr>
          <w:rFonts w:hint="eastAsia" w:ascii="宋体" w:hAnsi="宋体" w:cs="宋体"/>
          <w:sz w:val="21"/>
          <w:szCs w:val="21"/>
        </w:rPr>
      </w:pPr>
      <w:bookmarkStart w:id="89" w:name="_Toc29101"/>
      <w:bookmarkStart w:id="90" w:name="_Toc25826"/>
      <w:r>
        <w:rPr>
          <w:rFonts w:hint="eastAsia" w:ascii="宋体" w:hAnsi="宋体" w:cs="宋体"/>
          <w:sz w:val="21"/>
          <w:szCs w:val="21"/>
        </w:rPr>
        <w:t xml:space="preserve">    三、合同</w:t>
      </w:r>
      <w:bookmarkEnd w:id="89"/>
      <w:bookmarkEnd w:id="90"/>
      <w:r>
        <w:rPr>
          <w:rFonts w:hint="eastAsia" w:ascii="宋体" w:hAnsi="宋体" w:cs="宋体"/>
          <w:sz w:val="21"/>
          <w:szCs w:val="21"/>
        </w:rPr>
        <w:t>采购产品名称、规格型号、数量、单价和总价</w:t>
      </w:r>
    </w:p>
    <w:tbl>
      <w:tblPr>
        <w:tblStyle w:val="3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7"/>
        <w:gridCol w:w="1505"/>
        <w:gridCol w:w="1504"/>
        <w:gridCol w:w="752"/>
        <w:gridCol w:w="752"/>
        <w:gridCol w:w="1203"/>
        <w:gridCol w:w="1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1467"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产品名称</w:t>
            </w:r>
          </w:p>
        </w:tc>
        <w:tc>
          <w:tcPr>
            <w:tcW w:w="1505"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规格型号</w:t>
            </w:r>
          </w:p>
        </w:tc>
        <w:tc>
          <w:tcPr>
            <w:tcW w:w="1504"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产地、生产商</w:t>
            </w:r>
          </w:p>
        </w:tc>
        <w:tc>
          <w:tcPr>
            <w:tcW w:w="752"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单位</w:t>
            </w:r>
          </w:p>
        </w:tc>
        <w:tc>
          <w:tcPr>
            <w:tcW w:w="752"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数量</w:t>
            </w:r>
          </w:p>
        </w:tc>
        <w:tc>
          <w:tcPr>
            <w:tcW w:w="1203"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单价</w:t>
            </w:r>
          </w:p>
        </w:tc>
        <w:tc>
          <w:tcPr>
            <w:tcW w:w="1693"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合价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noWrap w:val="0"/>
            <w:vAlign w:val="top"/>
          </w:tcPr>
          <w:p>
            <w:pPr>
              <w:pStyle w:val="84"/>
              <w:spacing w:line="360" w:lineRule="auto"/>
              <w:rPr>
                <w:rFonts w:hint="eastAsia" w:ascii="宋体" w:hAnsi="宋体" w:cs="宋体"/>
                <w:sz w:val="21"/>
                <w:szCs w:val="21"/>
              </w:rPr>
            </w:pPr>
          </w:p>
        </w:tc>
        <w:tc>
          <w:tcPr>
            <w:tcW w:w="1505" w:type="dxa"/>
            <w:noWrap w:val="0"/>
            <w:vAlign w:val="top"/>
          </w:tcPr>
          <w:p>
            <w:pPr>
              <w:pStyle w:val="84"/>
              <w:spacing w:line="360" w:lineRule="auto"/>
              <w:rPr>
                <w:rFonts w:hint="eastAsia" w:ascii="宋体" w:hAnsi="宋体" w:cs="宋体"/>
                <w:sz w:val="21"/>
                <w:szCs w:val="21"/>
              </w:rPr>
            </w:pPr>
          </w:p>
        </w:tc>
        <w:tc>
          <w:tcPr>
            <w:tcW w:w="1504" w:type="dxa"/>
            <w:noWrap w:val="0"/>
            <w:vAlign w:val="top"/>
          </w:tcPr>
          <w:p>
            <w:pPr>
              <w:pStyle w:val="84"/>
              <w:spacing w:line="360" w:lineRule="auto"/>
              <w:rPr>
                <w:rFonts w:hint="eastAsia" w:ascii="宋体" w:hAnsi="宋体" w:cs="宋体"/>
                <w:sz w:val="21"/>
                <w:szCs w:val="21"/>
              </w:rPr>
            </w:pPr>
          </w:p>
        </w:tc>
        <w:tc>
          <w:tcPr>
            <w:tcW w:w="752" w:type="dxa"/>
            <w:noWrap w:val="0"/>
            <w:vAlign w:val="top"/>
          </w:tcPr>
          <w:p>
            <w:pPr>
              <w:pStyle w:val="84"/>
              <w:spacing w:line="360" w:lineRule="auto"/>
              <w:rPr>
                <w:rFonts w:hint="eastAsia" w:ascii="宋体" w:hAnsi="宋体" w:cs="宋体"/>
                <w:sz w:val="21"/>
                <w:szCs w:val="21"/>
              </w:rPr>
            </w:pPr>
          </w:p>
        </w:tc>
        <w:tc>
          <w:tcPr>
            <w:tcW w:w="752" w:type="dxa"/>
            <w:noWrap w:val="0"/>
            <w:vAlign w:val="top"/>
          </w:tcPr>
          <w:p>
            <w:pPr>
              <w:pStyle w:val="84"/>
              <w:spacing w:line="360" w:lineRule="auto"/>
              <w:rPr>
                <w:rFonts w:hint="eastAsia" w:ascii="宋体" w:hAnsi="宋体" w:cs="宋体"/>
                <w:sz w:val="21"/>
                <w:szCs w:val="21"/>
              </w:rPr>
            </w:pPr>
          </w:p>
        </w:tc>
        <w:tc>
          <w:tcPr>
            <w:tcW w:w="1203" w:type="dxa"/>
            <w:noWrap w:val="0"/>
            <w:vAlign w:val="top"/>
          </w:tcPr>
          <w:p>
            <w:pPr>
              <w:pStyle w:val="84"/>
              <w:spacing w:line="360" w:lineRule="auto"/>
              <w:rPr>
                <w:rFonts w:hint="eastAsia" w:ascii="宋体" w:hAnsi="宋体" w:cs="宋体"/>
                <w:sz w:val="21"/>
                <w:szCs w:val="21"/>
              </w:rPr>
            </w:pPr>
          </w:p>
        </w:tc>
        <w:tc>
          <w:tcPr>
            <w:tcW w:w="1693" w:type="dxa"/>
            <w:noWrap w:val="0"/>
            <w:vAlign w:val="top"/>
          </w:tcPr>
          <w:p>
            <w:pPr>
              <w:pStyle w:val="84"/>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467" w:type="dxa"/>
            <w:noWrap w:val="0"/>
            <w:vAlign w:val="top"/>
          </w:tcPr>
          <w:p>
            <w:pPr>
              <w:pStyle w:val="84"/>
              <w:spacing w:line="360" w:lineRule="auto"/>
              <w:rPr>
                <w:rFonts w:hint="eastAsia" w:ascii="宋体" w:hAnsi="宋体" w:cs="宋体"/>
                <w:sz w:val="21"/>
                <w:szCs w:val="21"/>
              </w:rPr>
            </w:pPr>
          </w:p>
        </w:tc>
        <w:tc>
          <w:tcPr>
            <w:tcW w:w="1505" w:type="dxa"/>
            <w:noWrap w:val="0"/>
            <w:vAlign w:val="top"/>
          </w:tcPr>
          <w:p>
            <w:pPr>
              <w:pStyle w:val="84"/>
              <w:spacing w:line="360" w:lineRule="auto"/>
              <w:rPr>
                <w:rFonts w:hint="eastAsia" w:ascii="宋体" w:hAnsi="宋体" w:cs="宋体"/>
                <w:sz w:val="21"/>
                <w:szCs w:val="21"/>
              </w:rPr>
            </w:pPr>
          </w:p>
        </w:tc>
        <w:tc>
          <w:tcPr>
            <w:tcW w:w="1504" w:type="dxa"/>
            <w:noWrap w:val="0"/>
            <w:vAlign w:val="top"/>
          </w:tcPr>
          <w:p>
            <w:pPr>
              <w:pStyle w:val="84"/>
              <w:spacing w:line="360" w:lineRule="auto"/>
              <w:rPr>
                <w:rFonts w:hint="eastAsia" w:ascii="宋体" w:hAnsi="宋体" w:cs="宋体"/>
                <w:sz w:val="21"/>
                <w:szCs w:val="21"/>
              </w:rPr>
            </w:pPr>
          </w:p>
        </w:tc>
        <w:tc>
          <w:tcPr>
            <w:tcW w:w="752" w:type="dxa"/>
            <w:noWrap w:val="0"/>
            <w:vAlign w:val="top"/>
          </w:tcPr>
          <w:p>
            <w:pPr>
              <w:pStyle w:val="84"/>
              <w:spacing w:line="360" w:lineRule="auto"/>
              <w:rPr>
                <w:rFonts w:hint="eastAsia" w:ascii="宋体" w:hAnsi="宋体" w:cs="宋体"/>
                <w:sz w:val="21"/>
                <w:szCs w:val="21"/>
              </w:rPr>
            </w:pPr>
          </w:p>
        </w:tc>
        <w:tc>
          <w:tcPr>
            <w:tcW w:w="752" w:type="dxa"/>
            <w:noWrap w:val="0"/>
            <w:vAlign w:val="top"/>
          </w:tcPr>
          <w:p>
            <w:pPr>
              <w:pStyle w:val="84"/>
              <w:spacing w:line="360" w:lineRule="auto"/>
              <w:rPr>
                <w:rFonts w:hint="eastAsia" w:ascii="宋体" w:hAnsi="宋体" w:cs="宋体"/>
                <w:sz w:val="21"/>
                <w:szCs w:val="21"/>
              </w:rPr>
            </w:pPr>
          </w:p>
        </w:tc>
        <w:tc>
          <w:tcPr>
            <w:tcW w:w="1203" w:type="dxa"/>
            <w:noWrap w:val="0"/>
            <w:vAlign w:val="top"/>
          </w:tcPr>
          <w:p>
            <w:pPr>
              <w:pStyle w:val="84"/>
              <w:spacing w:line="360" w:lineRule="auto"/>
              <w:rPr>
                <w:rFonts w:hint="eastAsia" w:ascii="宋体" w:hAnsi="宋体" w:cs="宋体"/>
                <w:sz w:val="21"/>
                <w:szCs w:val="21"/>
              </w:rPr>
            </w:pPr>
          </w:p>
        </w:tc>
        <w:tc>
          <w:tcPr>
            <w:tcW w:w="1693" w:type="dxa"/>
            <w:noWrap w:val="0"/>
            <w:vAlign w:val="top"/>
          </w:tcPr>
          <w:p>
            <w:pPr>
              <w:pStyle w:val="84"/>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2972" w:type="dxa"/>
            <w:gridSpan w:val="2"/>
            <w:noWrap w:val="0"/>
            <w:vAlign w:val="top"/>
          </w:tcPr>
          <w:p>
            <w:pPr>
              <w:pStyle w:val="84"/>
              <w:spacing w:line="360" w:lineRule="auto"/>
              <w:rPr>
                <w:rFonts w:hint="eastAsia" w:ascii="宋体" w:hAnsi="宋体" w:cs="宋体"/>
                <w:sz w:val="21"/>
                <w:szCs w:val="21"/>
              </w:rPr>
            </w:pPr>
            <w:r>
              <w:rPr>
                <w:rFonts w:hint="eastAsia" w:ascii="宋体" w:hAnsi="宋体" w:cs="宋体"/>
                <w:sz w:val="21"/>
                <w:szCs w:val="21"/>
              </w:rPr>
              <w:t>总合计：</w:t>
            </w:r>
          </w:p>
        </w:tc>
        <w:tc>
          <w:tcPr>
            <w:tcW w:w="5904" w:type="dxa"/>
            <w:gridSpan w:val="5"/>
            <w:noWrap w:val="0"/>
            <w:vAlign w:val="top"/>
          </w:tcPr>
          <w:p>
            <w:pPr>
              <w:pStyle w:val="84"/>
              <w:spacing w:line="360" w:lineRule="auto"/>
              <w:rPr>
                <w:rFonts w:hint="eastAsia" w:ascii="宋体" w:hAnsi="宋体" w:cs="宋体"/>
                <w:sz w:val="21"/>
                <w:szCs w:val="21"/>
              </w:rPr>
            </w:pPr>
            <w:r>
              <w:rPr>
                <w:rFonts w:hint="eastAsia" w:ascii="宋体" w:hAnsi="宋体" w:cs="宋体"/>
                <w:sz w:val="21"/>
                <w:szCs w:val="21"/>
              </w:rPr>
              <w:t>人民币大写：                 万元；小写：      万元</w:t>
            </w:r>
          </w:p>
        </w:tc>
      </w:tr>
    </w:tbl>
    <w:p>
      <w:pPr>
        <w:pStyle w:val="84"/>
        <w:spacing w:line="360" w:lineRule="auto"/>
        <w:rPr>
          <w:rFonts w:hint="eastAsia" w:ascii="宋体" w:hAnsi="宋体" w:cs="宋体"/>
          <w:sz w:val="21"/>
          <w:szCs w:val="21"/>
        </w:rPr>
      </w:pPr>
      <w:r>
        <w:rPr>
          <w:rFonts w:hint="eastAsia" w:ascii="宋体" w:hAnsi="宋体" w:cs="宋体"/>
          <w:sz w:val="21"/>
          <w:szCs w:val="21"/>
        </w:rPr>
        <w:t>合同金额（小写）：</w:t>
      </w:r>
      <w:r>
        <w:rPr>
          <w:rFonts w:hint="eastAsia" w:ascii="宋体" w:hAnsi="宋体" w:cs="宋体"/>
          <w:sz w:val="21"/>
          <w:szCs w:val="21"/>
          <w:u w:val="single"/>
        </w:rPr>
        <w:t xml:space="preserve">                 </w:t>
      </w:r>
      <w:r>
        <w:rPr>
          <w:rFonts w:hint="eastAsia" w:ascii="宋体" w:hAnsi="宋体" w:cs="宋体"/>
          <w:sz w:val="21"/>
          <w:szCs w:val="21"/>
        </w:rPr>
        <w:t>元(人民币)；（大写）：</w:t>
      </w:r>
      <w:r>
        <w:rPr>
          <w:rFonts w:hint="eastAsia" w:ascii="宋体" w:hAnsi="宋体" w:cs="宋体"/>
          <w:sz w:val="21"/>
          <w:szCs w:val="21"/>
          <w:u w:val="single"/>
        </w:rPr>
        <w:t xml:space="preserve">                </w:t>
      </w:r>
      <w:r>
        <w:rPr>
          <w:rFonts w:hint="eastAsia" w:ascii="宋体" w:hAnsi="宋体" w:cs="宋体"/>
          <w:sz w:val="21"/>
          <w:szCs w:val="21"/>
        </w:rPr>
        <w:t>元(人民币)。</w:t>
      </w:r>
    </w:p>
    <w:p>
      <w:pPr>
        <w:pStyle w:val="84"/>
        <w:spacing w:line="360" w:lineRule="auto"/>
        <w:rPr>
          <w:rFonts w:hint="eastAsia" w:ascii="宋体" w:hAnsi="宋体" w:cs="宋体"/>
          <w:sz w:val="21"/>
          <w:szCs w:val="21"/>
        </w:rPr>
      </w:pPr>
      <w:r>
        <w:rPr>
          <w:rFonts w:hint="eastAsia" w:ascii="宋体" w:hAnsi="宋体" w:cs="宋体"/>
          <w:sz w:val="21"/>
          <w:szCs w:val="21"/>
        </w:rPr>
        <w:t>备注：合同总价包含装卸、运输、保险、税费和售后服务（保修期内备件、安装、调试、培训费用等）所需费用。</w:t>
      </w:r>
    </w:p>
    <w:p>
      <w:pPr>
        <w:pStyle w:val="84"/>
        <w:spacing w:line="360" w:lineRule="auto"/>
        <w:rPr>
          <w:rFonts w:hint="eastAsia" w:ascii="宋体" w:hAnsi="宋体" w:cs="宋体"/>
          <w:sz w:val="21"/>
          <w:szCs w:val="21"/>
        </w:rPr>
      </w:pPr>
      <w:bookmarkStart w:id="91" w:name="_Toc26868"/>
      <w:bookmarkStart w:id="92" w:name="_Toc1244"/>
      <w:bookmarkStart w:id="93" w:name="_Toc4048"/>
      <w:bookmarkStart w:id="94" w:name="_Toc19306"/>
      <w:r>
        <w:rPr>
          <w:rFonts w:hint="eastAsia" w:ascii="宋体" w:hAnsi="宋体" w:cs="宋体"/>
          <w:sz w:val="21"/>
          <w:szCs w:val="21"/>
        </w:rPr>
        <w:t>四、 产品的要求和技术标准</w:t>
      </w:r>
      <w:bookmarkEnd w:id="91"/>
      <w:bookmarkEnd w:id="92"/>
    </w:p>
    <w:p>
      <w:pPr>
        <w:pStyle w:val="84"/>
        <w:spacing w:line="360" w:lineRule="auto"/>
        <w:rPr>
          <w:rFonts w:hint="eastAsia" w:ascii="宋体" w:hAnsi="宋体" w:cs="宋体"/>
          <w:sz w:val="21"/>
          <w:szCs w:val="21"/>
        </w:rPr>
      </w:pPr>
      <w:r>
        <w:rPr>
          <w:rFonts w:hint="eastAsia" w:ascii="宋体" w:hAnsi="宋体" w:cs="宋体"/>
          <w:sz w:val="21"/>
          <w:szCs w:val="21"/>
        </w:rPr>
        <w:t xml:space="preserve">1、质量要求和技术标准按招标文件和乙方响应文件执行 。  </w:t>
      </w:r>
    </w:p>
    <w:p>
      <w:pPr>
        <w:pStyle w:val="84"/>
        <w:spacing w:line="360" w:lineRule="auto"/>
        <w:rPr>
          <w:rFonts w:hint="eastAsia" w:ascii="宋体" w:hAnsi="宋体" w:cs="宋体"/>
          <w:sz w:val="21"/>
          <w:szCs w:val="21"/>
        </w:rPr>
      </w:pPr>
      <w:r>
        <w:rPr>
          <w:rFonts w:hint="eastAsia" w:ascii="宋体" w:hAnsi="宋体" w:cs="宋体"/>
          <w:sz w:val="21"/>
          <w:szCs w:val="21"/>
        </w:rPr>
        <w:t xml:space="preserve">2、乙方提供货物产品应是货物厂家授权许可，应保证需方不受到第三方关于侵权的指控，并承担由于提供供货而引起的一切法律责任、费用和后果。      </w:t>
      </w:r>
    </w:p>
    <w:p>
      <w:pPr>
        <w:pStyle w:val="84"/>
        <w:spacing w:line="360" w:lineRule="auto"/>
        <w:rPr>
          <w:rFonts w:hint="eastAsia" w:ascii="宋体" w:hAnsi="宋体" w:cs="宋体"/>
          <w:sz w:val="21"/>
          <w:szCs w:val="21"/>
        </w:rPr>
      </w:pPr>
      <w:r>
        <w:rPr>
          <w:rFonts w:hint="eastAsia" w:ascii="宋体" w:hAnsi="宋体" w:cs="宋体"/>
          <w:sz w:val="21"/>
          <w:szCs w:val="21"/>
        </w:rPr>
        <w:t>五、交货期限</w:t>
      </w:r>
      <w:bookmarkEnd w:id="93"/>
      <w:bookmarkEnd w:id="94"/>
    </w:p>
    <w:p>
      <w:pPr>
        <w:pStyle w:val="84"/>
        <w:spacing w:line="360" w:lineRule="auto"/>
        <w:rPr>
          <w:rFonts w:hint="eastAsia" w:ascii="宋体" w:hAnsi="宋体" w:cs="宋体"/>
          <w:sz w:val="21"/>
          <w:szCs w:val="21"/>
        </w:rPr>
      </w:pPr>
      <w:r>
        <w:rPr>
          <w:rFonts w:hint="eastAsia" w:ascii="宋体" w:hAnsi="宋体" w:cs="宋体"/>
          <w:sz w:val="21"/>
          <w:szCs w:val="21"/>
        </w:rPr>
        <w:t>1、合同履行期限及地点和方式：</w:t>
      </w:r>
    </w:p>
    <w:p>
      <w:pPr>
        <w:pStyle w:val="84"/>
        <w:spacing w:line="360" w:lineRule="auto"/>
        <w:rPr>
          <w:rFonts w:hint="eastAsia" w:ascii="宋体" w:hAnsi="宋体" w:cs="宋体"/>
          <w:color w:val="000000"/>
          <w:sz w:val="21"/>
          <w:szCs w:val="21"/>
        </w:rPr>
      </w:pPr>
      <w:r>
        <w:rPr>
          <w:rFonts w:hint="eastAsia" w:ascii="宋体" w:hAnsi="宋体" w:cs="宋体"/>
          <w:color w:val="000000"/>
          <w:sz w:val="21"/>
          <w:szCs w:val="21"/>
        </w:rPr>
        <w:t>合同履行期限：</w:t>
      </w:r>
      <w:r>
        <w:rPr>
          <w:rFonts w:hint="eastAsia" w:ascii="宋体" w:hAnsi="宋体" w:cs="宋体"/>
          <w:color w:val="000000"/>
          <w:sz w:val="21"/>
          <w:szCs w:val="21"/>
          <w:u w:val="single"/>
        </w:rPr>
        <w:t xml:space="preserve">       </w:t>
      </w:r>
      <w:r>
        <w:rPr>
          <w:rFonts w:hint="eastAsia" w:ascii="宋体" w:hAnsi="宋体" w:cs="宋体"/>
          <w:color w:val="000000"/>
          <w:sz w:val="21"/>
          <w:szCs w:val="21"/>
        </w:rPr>
        <w:t>日历天</w:t>
      </w:r>
    </w:p>
    <w:p>
      <w:pPr>
        <w:pStyle w:val="84"/>
        <w:spacing w:line="360" w:lineRule="auto"/>
        <w:rPr>
          <w:rFonts w:hint="eastAsia" w:ascii="宋体" w:hAnsi="宋体" w:cs="宋体"/>
          <w:color w:val="000000"/>
          <w:sz w:val="21"/>
          <w:szCs w:val="21"/>
        </w:rPr>
      </w:pPr>
      <w:r>
        <w:rPr>
          <w:rFonts w:hint="eastAsia" w:ascii="宋体" w:hAnsi="宋体" w:cs="宋体"/>
          <w:color w:val="000000"/>
          <w:sz w:val="21"/>
          <w:szCs w:val="21"/>
        </w:rPr>
        <w:t>2、供货安装地点：____________</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pPr>
        <w:pStyle w:val="84"/>
        <w:spacing w:line="360" w:lineRule="auto"/>
        <w:rPr>
          <w:rFonts w:hint="eastAsia" w:ascii="宋体" w:hAnsi="宋体" w:cs="宋体"/>
          <w:sz w:val="21"/>
          <w:szCs w:val="21"/>
        </w:rPr>
      </w:pPr>
      <w:r>
        <w:rPr>
          <w:rFonts w:hint="eastAsia" w:ascii="宋体" w:hAnsi="宋体" w:cs="宋体"/>
          <w:sz w:val="21"/>
          <w:szCs w:val="21"/>
        </w:rPr>
        <w:t xml:space="preserve">3、质量标准：________________                      </w:t>
      </w:r>
    </w:p>
    <w:p>
      <w:pPr>
        <w:pStyle w:val="84"/>
        <w:spacing w:line="360" w:lineRule="auto"/>
        <w:rPr>
          <w:rFonts w:hint="eastAsia" w:ascii="宋体" w:hAnsi="宋体" w:cs="宋体"/>
          <w:color w:val="000000"/>
          <w:sz w:val="21"/>
          <w:szCs w:val="21"/>
        </w:rPr>
      </w:pPr>
      <w:r>
        <w:rPr>
          <w:rFonts w:hint="eastAsia" w:ascii="宋体" w:hAnsi="宋体" w:cs="宋体"/>
          <w:color w:val="000000"/>
          <w:sz w:val="21"/>
          <w:szCs w:val="21"/>
        </w:rPr>
        <w:t>4、安全使用寿命期：</w:t>
      </w:r>
      <w:r>
        <w:rPr>
          <w:rFonts w:hint="eastAsia" w:ascii="宋体" w:hAnsi="宋体" w:cs="宋体"/>
          <w:i/>
          <w:iCs/>
          <w:color w:val="000000"/>
          <w:sz w:val="21"/>
          <w:szCs w:val="21"/>
          <w:u w:val="single"/>
        </w:rPr>
        <w:t xml:space="preserve">               </w:t>
      </w:r>
      <w:r>
        <w:rPr>
          <w:rFonts w:hint="eastAsia" w:ascii="宋体" w:hAnsi="宋体" w:cs="宋体"/>
          <w:color w:val="000000"/>
          <w:sz w:val="21"/>
          <w:szCs w:val="21"/>
        </w:rPr>
        <w:t xml:space="preserve"> ，质量保证期：______________   </w:t>
      </w:r>
    </w:p>
    <w:p>
      <w:pPr>
        <w:pStyle w:val="84"/>
        <w:spacing w:line="360" w:lineRule="auto"/>
        <w:rPr>
          <w:rFonts w:hint="eastAsia" w:ascii="宋体" w:hAnsi="宋体" w:cs="宋体"/>
          <w:sz w:val="21"/>
          <w:szCs w:val="21"/>
        </w:rPr>
      </w:pPr>
      <w:r>
        <w:rPr>
          <w:rFonts w:hint="eastAsia" w:ascii="宋体" w:hAnsi="宋体" w:cs="宋体"/>
          <w:sz w:val="21"/>
          <w:szCs w:val="21"/>
        </w:rPr>
        <w:t xml:space="preserve">5、乙方负责送货，供货地为甲方指定地点。供货上门到采购方所产生的装卸、运输、保险、税金和售后服务等所需费用由供货方承担。 </w:t>
      </w:r>
    </w:p>
    <w:p>
      <w:pPr>
        <w:pStyle w:val="84"/>
        <w:spacing w:line="360" w:lineRule="auto"/>
        <w:rPr>
          <w:rFonts w:hint="eastAsia" w:ascii="宋体" w:hAnsi="宋体" w:cs="宋体"/>
          <w:sz w:val="21"/>
          <w:szCs w:val="21"/>
        </w:rPr>
      </w:pPr>
      <w:r>
        <w:rPr>
          <w:rFonts w:hint="eastAsia" w:ascii="宋体" w:hAnsi="宋体" w:cs="宋体"/>
          <w:sz w:val="21"/>
          <w:szCs w:val="21"/>
        </w:rPr>
        <w:t>6、运输过程中的任何安全事故均由乙方负责。</w:t>
      </w:r>
    </w:p>
    <w:p>
      <w:pPr>
        <w:pStyle w:val="84"/>
        <w:spacing w:line="360" w:lineRule="auto"/>
        <w:rPr>
          <w:rFonts w:hint="eastAsia" w:ascii="宋体" w:hAnsi="宋体" w:cs="宋体"/>
          <w:sz w:val="21"/>
          <w:szCs w:val="21"/>
        </w:rPr>
      </w:pPr>
      <w:r>
        <w:rPr>
          <w:rFonts w:hint="eastAsia" w:ascii="宋体" w:hAnsi="宋体" w:cs="宋体"/>
          <w:sz w:val="21"/>
          <w:szCs w:val="21"/>
        </w:rPr>
        <w:t>7、若因乙方运输装卸原因，造成产品损坏，损失由乙方承担。</w:t>
      </w:r>
    </w:p>
    <w:p>
      <w:pPr>
        <w:pStyle w:val="84"/>
        <w:spacing w:line="360" w:lineRule="auto"/>
        <w:rPr>
          <w:rFonts w:hint="eastAsia" w:ascii="宋体" w:hAnsi="宋体" w:cs="宋体"/>
          <w:sz w:val="21"/>
          <w:szCs w:val="21"/>
        </w:rPr>
      </w:pPr>
      <w:r>
        <w:rPr>
          <w:rFonts w:hint="eastAsia" w:ascii="宋体" w:hAnsi="宋体" w:cs="宋体"/>
          <w:sz w:val="21"/>
          <w:szCs w:val="21"/>
        </w:rPr>
        <w:t>8、质保期按合同（8.1条款）约定内容执行，在质保期限内货物非甲方原因所出现的所有质量问题，均由乙方承担。</w:t>
      </w:r>
    </w:p>
    <w:p>
      <w:pPr>
        <w:pStyle w:val="84"/>
        <w:spacing w:line="360" w:lineRule="auto"/>
        <w:rPr>
          <w:rFonts w:hint="eastAsia" w:ascii="宋体" w:hAnsi="宋体" w:cs="宋体"/>
          <w:sz w:val="21"/>
          <w:szCs w:val="21"/>
        </w:rPr>
      </w:pPr>
      <w:bookmarkStart w:id="95" w:name="_Toc12544"/>
      <w:bookmarkStart w:id="96" w:name="_Toc28825"/>
      <w:r>
        <w:rPr>
          <w:rFonts w:hint="eastAsia" w:ascii="宋体" w:hAnsi="宋体" w:cs="宋体"/>
          <w:sz w:val="21"/>
          <w:szCs w:val="21"/>
        </w:rPr>
        <w:t>六、供货实施细节</w:t>
      </w:r>
      <w:bookmarkEnd w:id="95"/>
      <w:bookmarkEnd w:id="96"/>
    </w:p>
    <w:p>
      <w:pPr>
        <w:pStyle w:val="84"/>
        <w:spacing w:line="360" w:lineRule="auto"/>
        <w:rPr>
          <w:rFonts w:hint="eastAsia" w:ascii="宋体" w:hAnsi="宋体" w:cs="宋体"/>
          <w:sz w:val="21"/>
          <w:szCs w:val="21"/>
        </w:rPr>
      </w:pPr>
      <w:r>
        <w:rPr>
          <w:rFonts w:hint="eastAsia" w:ascii="宋体" w:hAnsi="宋体" w:cs="宋体"/>
          <w:sz w:val="21"/>
          <w:szCs w:val="21"/>
        </w:rPr>
        <w:t>1、供货方式：该项目的货物供货事宜，由供货商负责直接供货。</w:t>
      </w:r>
    </w:p>
    <w:p>
      <w:pPr>
        <w:pStyle w:val="84"/>
        <w:spacing w:line="360" w:lineRule="auto"/>
        <w:rPr>
          <w:rFonts w:hint="eastAsia" w:ascii="宋体" w:hAnsi="宋体" w:cs="宋体"/>
          <w:sz w:val="21"/>
          <w:szCs w:val="21"/>
        </w:rPr>
      </w:pPr>
      <w:r>
        <w:rPr>
          <w:rFonts w:hint="eastAsia" w:ascii="宋体" w:hAnsi="宋体" w:cs="宋体"/>
          <w:sz w:val="21"/>
          <w:szCs w:val="21"/>
        </w:rPr>
        <w:t xml:space="preserve">2、乙方工作:负责组织供货的实施并承担供货后果、售后服务。按照合同产品的要求，并向甲方提供正式的供货销售发票。    </w:t>
      </w:r>
    </w:p>
    <w:p>
      <w:pPr>
        <w:pStyle w:val="84"/>
        <w:spacing w:line="360" w:lineRule="auto"/>
        <w:rPr>
          <w:rFonts w:hint="eastAsia" w:ascii="宋体" w:hAnsi="宋体" w:cs="宋体"/>
          <w:sz w:val="21"/>
          <w:szCs w:val="21"/>
        </w:rPr>
      </w:pPr>
      <w:r>
        <w:rPr>
          <w:rFonts w:hint="eastAsia" w:ascii="宋体" w:hAnsi="宋体" w:cs="宋体"/>
          <w:sz w:val="21"/>
          <w:szCs w:val="21"/>
        </w:rPr>
        <w:t xml:space="preserve">3、甲方工作：负责协助乙方进行产品验收。    </w:t>
      </w:r>
    </w:p>
    <w:p>
      <w:pPr>
        <w:pStyle w:val="84"/>
        <w:spacing w:line="360" w:lineRule="auto"/>
        <w:rPr>
          <w:rFonts w:hint="eastAsia" w:ascii="宋体" w:hAnsi="宋体" w:cs="宋体"/>
          <w:sz w:val="21"/>
          <w:szCs w:val="21"/>
        </w:rPr>
      </w:pPr>
      <w:bookmarkStart w:id="97" w:name="_Toc15807"/>
      <w:bookmarkStart w:id="98" w:name="_Toc14384"/>
      <w:r>
        <w:rPr>
          <w:rFonts w:hint="eastAsia" w:ascii="宋体" w:hAnsi="宋体" w:cs="宋体"/>
          <w:sz w:val="21"/>
          <w:szCs w:val="21"/>
        </w:rPr>
        <w:t>七、验收及货款支付方式：</w:t>
      </w:r>
      <w:r>
        <w:rPr>
          <w:rFonts w:hint="eastAsia" w:ascii="宋体" w:hAnsi="宋体" w:cs="宋体"/>
          <w:sz w:val="21"/>
          <w:szCs w:val="21"/>
          <w:u w:val="single"/>
        </w:rPr>
        <w:t xml:space="preserve">                          。  </w:t>
      </w:r>
      <w:bookmarkStart w:id="99" w:name="_Toc3750"/>
      <w:bookmarkStart w:id="100" w:name="_Toc22377"/>
      <w:r>
        <w:rPr>
          <w:rFonts w:hint="eastAsia" w:ascii="宋体" w:hAnsi="宋体" w:cs="宋体"/>
          <w:sz w:val="21"/>
          <w:szCs w:val="21"/>
        </w:rPr>
        <w:t xml:space="preserve">   </w:t>
      </w:r>
    </w:p>
    <w:bookmarkEnd w:id="99"/>
    <w:bookmarkEnd w:id="100"/>
    <w:p>
      <w:pPr>
        <w:pStyle w:val="84"/>
        <w:spacing w:line="360" w:lineRule="auto"/>
        <w:rPr>
          <w:rFonts w:hint="eastAsia" w:ascii="宋体" w:hAnsi="宋体" w:cs="宋体"/>
          <w:sz w:val="21"/>
          <w:szCs w:val="21"/>
        </w:rPr>
      </w:pPr>
      <w:r>
        <w:rPr>
          <w:rFonts w:hint="eastAsia" w:ascii="宋体" w:hAnsi="宋体" w:cs="宋体"/>
          <w:sz w:val="21"/>
          <w:szCs w:val="21"/>
        </w:rPr>
        <w:t>八、违约责任：</w:t>
      </w:r>
      <w:bookmarkEnd w:id="97"/>
      <w:bookmarkEnd w:id="98"/>
    </w:p>
    <w:p>
      <w:pPr>
        <w:pStyle w:val="84"/>
        <w:spacing w:line="360" w:lineRule="auto"/>
        <w:rPr>
          <w:rFonts w:hint="eastAsia" w:ascii="宋体" w:hAnsi="宋体" w:cs="宋体"/>
          <w:sz w:val="21"/>
          <w:szCs w:val="21"/>
        </w:rPr>
      </w:pPr>
      <w:r>
        <w:rPr>
          <w:rFonts w:hint="eastAsia" w:ascii="宋体" w:hAnsi="宋体" w:cs="宋体"/>
          <w:sz w:val="21"/>
          <w:szCs w:val="21"/>
        </w:rPr>
        <w:t>1、乙方所交付的货物品种、型号、规格不符合合同规定的，甲方有权拒收。</w:t>
      </w:r>
    </w:p>
    <w:p>
      <w:pPr>
        <w:pStyle w:val="84"/>
        <w:spacing w:line="360" w:lineRule="auto"/>
        <w:rPr>
          <w:rFonts w:hint="eastAsia" w:ascii="宋体" w:hAnsi="宋体" w:cs="宋体"/>
          <w:sz w:val="21"/>
          <w:szCs w:val="21"/>
        </w:rPr>
      </w:pPr>
      <w:r>
        <w:rPr>
          <w:rFonts w:hint="eastAsia" w:ascii="宋体" w:hAnsi="宋体" w:cs="宋体"/>
          <w:sz w:val="21"/>
          <w:szCs w:val="21"/>
        </w:rPr>
        <w:t>2.、若甲方未按约定时间支付乙方设备款，甲方除支付乙方设备款外还需按每延迟一日支付未付款额</w:t>
      </w:r>
      <w:r>
        <w:rPr>
          <w:rFonts w:hint="eastAsia" w:ascii="宋体" w:hAnsi="宋体" w:cs="宋体"/>
          <w:sz w:val="21"/>
          <w:szCs w:val="21"/>
          <w:u w:val="single"/>
        </w:rPr>
        <w:t xml:space="preserve">  /    </w:t>
      </w:r>
      <w:r>
        <w:rPr>
          <w:rFonts w:hint="eastAsia" w:ascii="宋体" w:hAnsi="宋体" w:cs="宋体"/>
          <w:sz w:val="21"/>
          <w:szCs w:val="21"/>
        </w:rPr>
        <w:t>的违约金，但累计总额不超过欠款总额的</w:t>
      </w:r>
      <w:r>
        <w:rPr>
          <w:rFonts w:hint="eastAsia" w:ascii="宋体" w:hAnsi="宋体" w:cs="宋体"/>
          <w:sz w:val="21"/>
          <w:szCs w:val="21"/>
          <w:u w:val="single"/>
        </w:rPr>
        <w:t xml:space="preserve">  /  </w:t>
      </w:r>
      <w:r>
        <w:rPr>
          <w:rFonts w:hint="eastAsia" w:ascii="宋体" w:hAnsi="宋体" w:cs="宋体"/>
          <w:sz w:val="21"/>
          <w:szCs w:val="21"/>
        </w:rPr>
        <w:t>。</w:t>
      </w:r>
    </w:p>
    <w:p>
      <w:pPr>
        <w:pStyle w:val="84"/>
        <w:spacing w:line="360" w:lineRule="auto"/>
        <w:rPr>
          <w:rFonts w:hint="eastAsia" w:ascii="宋体" w:hAnsi="宋体" w:cs="宋体"/>
          <w:sz w:val="21"/>
          <w:szCs w:val="21"/>
        </w:rPr>
      </w:pPr>
      <w:r>
        <w:rPr>
          <w:rFonts w:hint="eastAsia" w:ascii="宋体" w:hAnsi="宋体" w:cs="宋体"/>
          <w:sz w:val="21"/>
          <w:szCs w:val="21"/>
        </w:rPr>
        <w:t>3、乙方逾期交付货物的，每逾期一天，乙方向甲方支付</w:t>
      </w:r>
      <w:r>
        <w:rPr>
          <w:rFonts w:hint="eastAsia" w:ascii="宋体" w:hAnsi="宋体" w:cs="宋体"/>
          <w:sz w:val="21"/>
          <w:szCs w:val="21"/>
          <w:u w:val="single"/>
        </w:rPr>
        <w:t xml:space="preserve">      </w:t>
      </w:r>
      <w:r>
        <w:rPr>
          <w:rFonts w:hint="eastAsia" w:ascii="宋体" w:hAnsi="宋体" w:cs="宋体"/>
          <w:sz w:val="21"/>
          <w:szCs w:val="21"/>
        </w:rPr>
        <w:t>滞纳金，但累计总额不超过合同总额的</w:t>
      </w:r>
      <w:r>
        <w:rPr>
          <w:rFonts w:hint="eastAsia" w:ascii="宋体" w:hAnsi="宋体" w:cs="宋体"/>
          <w:sz w:val="21"/>
          <w:szCs w:val="21"/>
          <w:u w:val="single"/>
        </w:rPr>
        <w:t xml:space="preserve">      </w:t>
      </w:r>
      <w:r>
        <w:rPr>
          <w:rFonts w:hint="eastAsia" w:ascii="宋体" w:hAnsi="宋体" w:cs="宋体"/>
          <w:sz w:val="21"/>
          <w:szCs w:val="21"/>
        </w:rPr>
        <w:t>。</w:t>
      </w:r>
    </w:p>
    <w:p>
      <w:pPr>
        <w:pStyle w:val="84"/>
        <w:spacing w:line="360" w:lineRule="auto"/>
        <w:rPr>
          <w:rFonts w:hint="eastAsia" w:ascii="宋体" w:hAnsi="宋体" w:cs="宋体"/>
          <w:sz w:val="21"/>
          <w:szCs w:val="21"/>
        </w:rPr>
      </w:pPr>
      <w:r>
        <w:rPr>
          <w:rFonts w:hint="eastAsia" w:ascii="宋体" w:hAnsi="宋体" w:cs="宋体"/>
          <w:sz w:val="21"/>
          <w:szCs w:val="21"/>
        </w:rPr>
        <w:t>4、乙方未按本合同的规定提供伴随服务、售后服务的，给甲方造成损失的，乙方应承担赔偿责任。</w:t>
      </w:r>
    </w:p>
    <w:p>
      <w:pPr>
        <w:pStyle w:val="84"/>
        <w:spacing w:line="360" w:lineRule="auto"/>
        <w:rPr>
          <w:rFonts w:hint="eastAsia" w:ascii="宋体" w:hAnsi="宋体" w:cs="宋体"/>
          <w:sz w:val="21"/>
          <w:szCs w:val="21"/>
        </w:rPr>
      </w:pPr>
      <w:bookmarkStart w:id="101" w:name="_Toc22445"/>
      <w:bookmarkStart w:id="102" w:name="_Toc22257"/>
      <w:r>
        <w:rPr>
          <w:rFonts w:hint="eastAsia" w:ascii="宋体" w:hAnsi="宋体" w:cs="宋体"/>
          <w:sz w:val="21"/>
          <w:szCs w:val="21"/>
        </w:rPr>
        <w:t>5、如出现违约责任，双方协商解决或按《</w:t>
      </w:r>
      <w:r>
        <w:rPr>
          <w:rFonts w:hint="eastAsia" w:ascii="宋体" w:hAnsi="宋体" w:cs="宋体"/>
          <w:sz w:val="21"/>
          <w:szCs w:val="21"/>
          <w:lang w:val="en-US" w:eastAsia="zh-CN"/>
        </w:rPr>
        <w:t>中华人民共和国</w:t>
      </w:r>
      <w:r>
        <w:rPr>
          <w:rFonts w:hint="eastAsia" w:ascii="宋体" w:hAnsi="宋体" w:cs="宋体"/>
          <w:sz w:val="21"/>
          <w:szCs w:val="21"/>
          <w:lang w:eastAsia="zh-CN"/>
        </w:rPr>
        <w:t>民法典</w:t>
      </w:r>
      <w:r>
        <w:rPr>
          <w:rFonts w:hint="eastAsia" w:ascii="宋体" w:hAnsi="宋体" w:cs="宋体"/>
          <w:sz w:val="21"/>
          <w:szCs w:val="21"/>
        </w:rPr>
        <w:t>》执行。</w:t>
      </w:r>
    </w:p>
    <w:p>
      <w:pPr>
        <w:pStyle w:val="84"/>
        <w:spacing w:line="360" w:lineRule="auto"/>
        <w:rPr>
          <w:rFonts w:hint="eastAsia" w:ascii="宋体" w:hAnsi="宋体" w:cs="宋体"/>
          <w:sz w:val="21"/>
          <w:szCs w:val="21"/>
        </w:rPr>
      </w:pPr>
      <w:r>
        <w:rPr>
          <w:rFonts w:hint="eastAsia" w:ascii="宋体" w:hAnsi="宋体" w:cs="宋体"/>
          <w:sz w:val="21"/>
          <w:szCs w:val="21"/>
        </w:rPr>
        <w:t>十、质保期</w:t>
      </w:r>
    </w:p>
    <w:p>
      <w:pPr>
        <w:pStyle w:val="84"/>
        <w:spacing w:line="360" w:lineRule="auto"/>
        <w:rPr>
          <w:rFonts w:hint="eastAsia" w:ascii="宋体" w:hAnsi="宋体" w:cs="宋体"/>
          <w:sz w:val="21"/>
          <w:szCs w:val="21"/>
        </w:rPr>
      </w:pPr>
      <w:r>
        <w:rPr>
          <w:rFonts w:hint="eastAsia" w:ascii="宋体" w:hAnsi="宋体" w:cs="宋体"/>
          <w:sz w:val="21"/>
          <w:szCs w:val="21"/>
        </w:rPr>
        <w:t>1、本合同约定保修期限从合同签订之日起计算。</w:t>
      </w:r>
    </w:p>
    <w:p>
      <w:pPr>
        <w:pStyle w:val="84"/>
        <w:spacing w:line="360" w:lineRule="auto"/>
        <w:rPr>
          <w:rFonts w:hint="eastAsia" w:ascii="宋体" w:hAnsi="宋体" w:cs="宋体"/>
          <w:sz w:val="21"/>
          <w:szCs w:val="21"/>
        </w:rPr>
      </w:pPr>
      <w:r>
        <w:rPr>
          <w:rFonts w:hint="eastAsia" w:ascii="宋体" w:hAnsi="宋体" w:cs="宋体"/>
          <w:sz w:val="21"/>
          <w:szCs w:val="21"/>
        </w:rPr>
        <w:t>2、如在质保期内发生质量问题，乙方需在接到甲方通知后24小时内进行响应并实施维修解决问题。</w:t>
      </w:r>
    </w:p>
    <w:p>
      <w:pPr>
        <w:pStyle w:val="84"/>
        <w:spacing w:line="360" w:lineRule="auto"/>
        <w:rPr>
          <w:rFonts w:hint="eastAsia" w:ascii="宋体" w:hAnsi="宋体" w:cs="宋体"/>
          <w:sz w:val="21"/>
          <w:szCs w:val="21"/>
        </w:rPr>
      </w:pPr>
      <w:r>
        <w:rPr>
          <w:rFonts w:hint="eastAsia" w:ascii="宋体" w:hAnsi="宋体" w:cs="宋体"/>
          <w:sz w:val="21"/>
          <w:szCs w:val="21"/>
        </w:rPr>
        <w:t>3、质保期内，乙方每个月回访甲方一次，解决甲方提出的问题（如有），并提供必要的质保服务和指导。</w:t>
      </w:r>
    </w:p>
    <w:p>
      <w:pPr>
        <w:pStyle w:val="84"/>
        <w:spacing w:line="360" w:lineRule="auto"/>
        <w:rPr>
          <w:rFonts w:hint="eastAsia" w:ascii="宋体" w:hAnsi="宋体" w:cs="宋体"/>
          <w:sz w:val="21"/>
          <w:szCs w:val="21"/>
        </w:rPr>
      </w:pPr>
      <w:r>
        <w:rPr>
          <w:rFonts w:hint="eastAsia" w:ascii="宋体" w:hAnsi="宋体" w:cs="宋体"/>
          <w:sz w:val="21"/>
          <w:szCs w:val="21"/>
        </w:rPr>
        <w:t>4、在质保期内，乙方应对出现的质量及安全问题负责处理解决并承担一切费用。</w:t>
      </w:r>
    </w:p>
    <w:bookmarkEnd w:id="101"/>
    <w:bookmarkEnd w:id="102"/>
    <w:p>
      <w:pPr>
        <w:pStyle w:val="84"/>
        <w:spacing w:line="360" w:lineRule="auto"/>
        <w:rPr>
          <w:rFonts w:hint="eastAsia" w:ascii="宋体" w:hAnsi="宋体" w:cs="宋体"/>
          <w:sz w:val="21"/>
          <w:szCs w:val="21"/>
        </w:rPr>
      </w:pPr>
      <w:r>
        <w:rPr>
          <w:rFonts w:hint="eastAsia" w:ascii="宋体" w:hAnsi="宋体" w:cs="宋体"/>
          <w:sz w:val="21"/>
          <w:szCs w:val="21"/>
        </w:rPr>
        <w:t>5、乙方的质保和服务范围按照按国家相关行业标准执行。</w:t>
      </w:r>
    </w:p>
    <w:p>
      <w:pPr>
        <w:pStyle w:val="84"/>
        <w:spacing w:line="360" w:lineRule="auto"/>
        <w:rPr>
          <w:rFonts w:hint="eastAsia" w:ascii="宋体" w:hAnsi="宋体" w:cs="宋体"/>
          <w:sz w:val="21"/>
          <w:szCs w:val="21"/>
        </w:rPr>
      </w:pPr>
      <w:r>
        <w:rPr>
          <w:rFonts w:hint="eastAsia" w:ascii="宋体" w:hAnsi="宋体" w:cs="宋体"/>
          <w:sz w:val="21"/>
          <w:szCs w:val="21"/>
        </w:rPr>
        <w:t xml:space="preserve">十一、 解决合同纠纷的方式 </w:t>
      </w:r>
    </w:p>
    <w:p>
      <w:pPr>
        <w:pStyle w:val="84"/>
        <w:spacing w:line="360" w:lineRule="auto"/>
        <w:ind w:firstLine="420" w:firstLineChars="200"/>
        <w:rPr>
          <w:rFonts w:hint="eastAsia" w:ascii="宋体" w:hAnsi="宋体" w:cs="宋体"/>
          <w:sz w:val="21"/>
          <w:szCs w:val="21"/>
        </w:rPr>
      </w:pPr>
      <w:r>
        <w:rPr>
          <w:rFonts w:hint="eastAsia" w:ascii="宋体" w:hAnsi="宋体" w:cs="宋体"/>
          <w:sz w:val="21"/>
          <w:szCs w:val="21"/>
        </w:rPr>
        <w:t>履行本合同所发生的一切争议，双方应及时协商解决。如经协商未能达成协议，任何一方均有权向甲方所在地人民法院提起诉讼。</w:t>
      </w:r>
    </w:p>
    <w:p>
      <w:pPr>
        <w:pStyle w:val="84"/>
        <w:spacing w:line="360" w:lineRule="auto"/>
        <w:rPr>
          <w:rFonts w:hint="eastAsia" w:ascii="宋体" w:hAnsi="宋体" w:cs="宋体"/>
          <w:sz w:val="21"/>
          <w:szCs w:val="21"/>
        </w:rPr>
      </w:pPr>
      <w:bookmarkStart w:id="103" w:name="_Toc22020"/>
      <w:bookmarkStart w:id="104" w:name="_Toc24387"/>
      <w:r>
        <w:rPr>
          <w:rFonts w:hint="eastAsia" w:ascii="宋体" w:hAnsi="宋体" w:cs="宋体"/>
          <w:sz w:val="21"/>
          <w:szCs w:val="21"/>
        </w:rPr>
        <w:t>十二、</w:t>
      </w:r>
      <w:bookmarkEnd w:id="103"/>
      <w:bookmarkEnd w:id="104"/>
      <w:r>
        <w:rPr>
          <w:rFonts w:hint="eastAsia" w:ascii="宋体" w:hAnsi="宋体" w:cs="宋体"/>
          <w:sz w:val="21"/>
          <w:szCs w:val="21"/>
        </w:rPr>
        <w:t>未尽事宜的处理</w:t>
      </w:r>
    </w:p>
    <w:p>
      <w:pPr>
        <w:pStyle w:val="84"/>
        <w:spacing w:line="360" w:lineRule="auto"/>
        <w:ind w:firstLine="420" w:firstLineChars="200"/>
        <w:rPr>
          <w:rFonts w:hint="eastAsia" w:ascii="宋体" w:hAnsi="宋体" w:cs="宋体"/>
          <w:sz w:val="21"/>
          <w:szCs w:val="21"/>
        </w:rPr>
      </w:pPr>
      <w:r>
        <w:rPr>
          <w:rFonts w:hint="eastAsia" w:ascii="宋体" w:hAnsi="宋体" w:cs="宋体"/>
          <w:sz w:val="21"/>
          <w:szCs w:val="21"/>
        </w:rPr>
        <w:t>合同如有未尽事宜，按照法律、法规的规定执行。法律、法规未作规定的，须经双方共同协商达成书面补充协议或条款，作为本合同的附件， 其与本合同具有同等法律效力。</w:t>
      </w:r>
    </w:p>
    <w:p>
      <w:pPr>
        <w:pStyle w:val="84"/>
        <w:spacing w:line="360" w:lineRule="auto"/>
        <w:rPr>
          <w:rFonts w:hint="eastAsia" w:ascii="宋体" w:hAnsi="宋体" w:cs="宋体"/>
          <w:sz w:val="21"/>
          <w:szCs w:val="21"/>
        </w:rPr>
      </w:pPr>
      <w:bookmarkStart w:id="105" w:name="_Toc13434"/>
      <w:bookmarkStart w:id="106" w:name="_Toc7630"/>
      <w:r>
        <w:rPr>
          <w:rFonts w:hint="eastAsia" w:ascii="宋体" w:hAnsi="宋体" w:cs="宋体"/>
          <w:sz w:val="21"/>
          <w:szCs w:val="21"/>
        </w:rPr>
        <w:t>十三、本合同一式</w:t>
      </w:r>
      <w:r>
        <w:rPr>
          <w:rFonts w:hint="eastAsia" w:ascii="宋体" w:hAnsi="宋体" w:cs="宋体"/>
          <w:sz w:val="21"/>
          <w:szCs w:val="21"/>
          <w:u w:val="single"/>
        </w:rPr>
        <w:t xml:space="preserve">    </w:t>
      </w:r>
      <w:r>
        <w:rPr>
          <w:rFonts w:hint="eastAsia" w:ascii="宋体" w:hAnsi="宋体" w:cs="宋体"/>
          <w:sz w:val="21"/>
          <w:szCs w:val="21"/>
        </w:rPr>
        <w:t>份，甲方执</w:t>
      </w:r>
      <w:r>
        <w:rPr>
          <w:rFonts w:hint="eastAsia" w:ascii="宋体" w:hAnsi="宋体" w:cs="宋体"/>
          <w:sz w:val="21"/>
          <w:szCs w:val="21"/>
          <w:u w:val="single"/>
        </w:rPr>
        <w:t xml:space="preserve">     </w:t>
      </w:r>
      <w:r>
        <w:rPr>
          <w:rFonts w:hint="eastAsia" w:ascii="宋体" w:hAnsi="宋体" w:cs="宋体"/>
          <w:sz w:val="21"/>
          <w:szCs w:val="21"/>
        </w:rPr>
        <w:t>份，乙方执</w:t>
      </w:r>
      <w:r>
        <w:rPr>
          <w:rFonts w:hint="eastAsia" w:ascii="宋体" w:hAnsi="宋体" w:cs="宋体"/>
          <w:sz w:val="21"/>
          <w:szCs w:val="21"/>
          <w:u w:val="single"/>
        </w:rPr>
        <w:t xml:space="preserve">    </w:t>
      </w:r>
      <w:r>
        <w:rPr>
          <w:rFonts w:hint="eastAsia" w:ascii="宋体" w:hAnsi="宋体" w:cs="宋体"/>
          <w:sz w:val="21"/>
          <w:szCs w:val="21"/>
        </w:rPr>
        <w:t>份，具有同等法律效力。</w:t>
      </w:r>
      <w:bookmarkEnd w:id="105"/>
      <w:bookmarkEnd w:id="106"/>
    </w:p>
    <w:p>
      <w:pPr>
        <w:pStyle w:val="84"/>
        <w:spacing w:line="360" w:lineRule="auto"/>
        <w:rPr>
          <w:rFonts w:hint="eastAsia" w:ascii="宋体" w:hAnsi="宋体" w:cs="宋体"/>
          <w:sz w:val="21"/>
          <w:szCs w:val="21"/>
        </w:rPr>
      </w:pPr>
      <w:r>
        <w:rPr>
          <w:rFonts w:hint="eastAsia" w:ascii="宋体" w:hAnsi="宋体" w:cs="宋体"/>
          <w:sz w:val="21"/>
          <w:szCs w:val="21"/>
        </w:rPr>
        <w:t>十四、合同的生效和失效</w:t>
      </w:r>
    </w:p>
    <w:p>
      <w:pPr>
        <w:pStyle w:val="84"/>
        <w:spacing w:line="360" w:lineRule="auto"/>
        <w:rPr>
          <w:rFonts w:hint="eastAsia" w:ascii="宋体" w:hAnsi="宋体" w:cs="宋体"/>
          <w:sz w:val="21"/>
          <w:szCs w:val="21"/>
        </w:rPr>
      </w:pPr>
      <w:r>
        <w:rPr>
          <w:rFonts w:hint="eastAsia" w:ascii="宋体" w:hAnsi="宋体" w:cs="宋体"/>
          <w:sz w:val="21"/>
          <w:szCs w:val="21"/>
        </w:rPr>
        <w:t>本合同经甲乙双方授权代表签字并加盖单位公章之日起生效，自合同履行完毕自行失效。</w:t>
      </w:r>
    </w:p>
    <w:p>
      <w:pPr>
        <w:pStyle w:val="84"/>
        <w:spacing w:line="360" w:lineRule="auto"/>
        <w:rPr>
          <w:rFonts w:hint="eastAsia" w:ascii="宋体" w:hAnsi="宋体" w:cs="宋体"/>
          <w:sz w:val="21"/>
          <w:szCs w:val="21"/>
        </w:rPr>
      </w:pPr>
      <w:r>
        <w:rPr>
          <w:rFonts w:hint="eastAsia" w:ascii="宋体" w:hAnsi="宋体" w:cs="宋体"/>
          <w:sz w:val="21"/>
          <w:szCs w:val="21"/>
        </w:rPr>
        <w:t xml:space="preserve">    </w:t>
      </w:r>
    </w:p>
    <w:p>
      <w:pPr>
        <w:pStyle w:val="84"/>
        <w:spacing w:line="360" w:lineRule="auto"/>
        <w:rPr>
          <w:rFonts w:hint="eastAsia" w:ascii="宋体" w:hAnsi="宋体" w:cs="宋体"/>
          <w:sz w:val="21"/>
          <w:szCs w:val="21"/>
        </w:rPr>
      </w:pPr>
      <w:r>
        <w:rPr>
          <w:rFonts w:hint="eastAsia" w:ascii="宋体" w:hAnsi="宋体" w:cs="宋体"/>
          <w:sz w:val="21"/>
          <w:szCs w:val="21"/>
        </w:rPr>
        <w:t>甲方单位（盖章）：                       乙方单位（盖章）：</w:t>
      </w:r>
    </w:p>
    <w:p>
      <w:pPr>
        <w:pStyle w:val="84"/>
        <w:spacing w:line="360" w:lineRule="auto"/>
        <w:rPr>
          <w:rFonts w:hint="eastAsia" w:ascii="宋体" w:hAnsi="宋体" w:cs="宋体"/>
          <w:sz w:val="21"/>
          <w:szCs w:val="21"/>
        </w:rPr>
      </w:pPr>
      <w:r>
        <w:rPr>
          <w:rFonts w:hint="eastAsia" w:ascii="宋体" w:hAnsi="宋体" w:cs="宋体"/>
          <w:sz w:val="21"/>
          <w:szCs w:val="21"/>
        </w:rPr>
        <w:t>甲方代表签字：                           乙方代表签字：</w:t>
      </w:r>
    </w:p>
    <w:p>
      <w:pPr>
        <w:pStyle w:val="84"/>
        <w:spacing w:line="360" w:lineRule="auto"/>
        <w:rPr>
          <w:rFonts w:hint="eastAsia" w:ascii="宋体" w:hAnsi="宋体" w:cs="宋体"/>
          <w:sz w:val="21"/>
          <w:szCs w:val="21"/>
        </w:rPr>
      </w:pPr>
      <w:r>
        <w:rPr>
          <w:rFonts w:hint="eastAsia" w:ascii="宋体" w:hAnsi="宋体" w:cs="宋体"/>
          <w:sz w:val="21"/>
          <w:szCs w:val="21"/>
        </w:rPr>
        <w:t>地址：                                   地址：</w:t>
      </w:r>
    </w:p>
    <w:p>
      <w:pPr>
        <w:pStyle w:val="23"/>
        <w:spacing w:line="440" w:lineRule="exact"/>
        <w:rPr>
          <w:rFonts w:hint="eastAsia" w:cs="宋体"/>
          <w:sz w:val="21"/>
          <w:szCs w:val="21"/>
        </w:rPr>
      </w:pPr>
      <w:r>
        <w:rPr>
          <w:rFonts w:hint="eastAsia" w:cs="宋体"/>
          <w:sz w:val="21"/>
          <w:szCs w:val="21"/>
        </w:rPr>
        <w:t>日期：   年   月  日                     日期：   年   月  日</w:t>
      </w: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bookmarkEnd w:id="84"/>
    <w:bookmarkEnd w:id="85"/>
    <w:bookmarkEnd w:id="86"/>
    <w:bookmarkEnd w:id="87"/>
    <w:bookmarkEnd w:id="88"/>
    <w:p>
      <w:pPr>
        <w:pStyle w:val="35"/>
        <w:numPr>
          <w:ilvl w:val="0"/>
          <w:numId w:val="1"/>
        </w:numPr>
        <w:spacing w:before="0" w:after="0" w:line="360" w:lineRule="auto"/>
        <w:ind w:firstLine="0"/>
        <w:rPr>
          <w:rFonts w:hint="eastAsia" w:ascii="宋体" w:hAnsi="宋体" w:cs="宋体"/>
        </w:rPr>
      </w:pPr>
      <w:bookmarkStart w:id="107" w:name="_Toc14453"/>
      <w:r>
        <w:rPr>
          <w:rFonts w:hint="eastAsia" w:ascii="宋体" w:hAnsi="宋体" w:cs="宋体"/>
        </w:rPr>
        <w:t>采购需求</w:t>
      </w:r>
      <w:bookmarkEnd w:id="82"/>
      <w:bookmarkEnd w:id="107"/>
    </w:p>
    <w:p>
      <w:pPr>
        <w:widowControl/>
        <w:adjustRightInd w:val="0"/>
        <w:spacing w:line="360" w:lineRule="auto"/>
        <w:rPr>
          <w:rFonts w:ascii="宋体" w:hAnsi="宋体"/>
          <w:b/>
          <w:kern w:val="0"/>
          <w:sz w:val="21"/>
          <w:szCs w:val="21"/>
        </w:rPr>
      </w:pPr>
      <w:bookmarkStart w:id="108" w:name="_Toc20594"/>
      <w:bookmarkStart w:id="109" w:name="_Toc374512420"/>
      <w:bookmarkStart w:id="110" w:name="_Toc477423251"/>
      <w:bookmarkStart w:id="111" w:name="_Toc373230032"/>
      <w:bookmarkStart w:id="112" w:name="_Toc11229"/>
      <w:bookmarkStart w:id="113" w:name="_Toc487805927"/>
      <w:bookmarkStart w:id="114" w:name="_Toc4426"/>
      <w:r>
        <w:rPr>
          <w:rFonts w:hint="eastAsia" w:ascii="宋体" w:hAnsi="宋体"/>
          <w:b/>
          <w:kern w:val="0"/>
          <w:sz w:val="21"/>
          <w:szCs w:val="21"/>
        </w:rPr>
        <w:t>一、</w:t>
      </w:r>
      <w:r>
        <w:rPr>
          <w:rFonts w:ascii="宋体" w:hAnsi="宋体"/>
          <w:b/>
          <w:kern w:val="0"/>
          <w:sz w:val="21"/>
          <w:szCs w:val="21"/>
        </w:rPr>
        <w:t>相关说明</w:t>
      </w:r>
    </w:p>
    <w:p>
      <w:pPr>
        <w:widowControl/>
        <w:numPr>
          <w:ilvl w:val="2"/>
          <w:numId w:val="8"/>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8"/>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w:t>
      </w:r>
      <w:r>
        <w:rPr>
          <w:rFonts w:ascii="宋体" w:hAnsi="宋体"/>
          <w:kern w:val="0"/>
          <w:sz w:val="21"/>
          <w:szCs w:val="21"/>
          <w:highlight w:val="none"/>
        </w:rPr>
        <w:t>为交钥匙项</w:t>
      </w:r>
      <w:r>
        <w:rPr>
          <w:rFonts w:ascii="宋体" w:hAnsi="宋体"/>
          <w:kern w:val="0"/>
          <w:sz w:val="21"/>
          <w:szCs w:val="21"/>
        </w:rPr>
        <w:t>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0"/>
        </w:numPr>
        <w:spacing w:line="360" w:lineRule="auto"/>
        <w:ind w:left="0" w:leftChars="0" w:firstLine="420" w:firstLineChars="200"/>
        <w:rPr>
          <w:rFonts w:hint="eastAsia" w:ascii="宋体" w:hAnsi="宋体"/>
          <w:kern w:val="0"/>
          <w:sz w:val="21"/>
          <w:szCs w:val="21"/>
        </w:rPr>
      </w:pPr>
      <w:r>
        <w:rPr>
          <w:rFonts w:hint="default" w:ascii="宋体" w:hAnsi="宋体" w:eastAsia="宋体" w:cs="宋体"/>
          <w:color w:val="auto"/>
          <w:kern w:val="2"/>
          <w:sz w:val="21"/>
          <w:szCs w:val="21"/>
          <w:lang w:val="en-US" w:eastAsia="zh-CN" w:bidi="ar-SA"/>
        </w:rPr>
        <w:t>1.</w:t>
      </w:r>
      <w:r>
        <w:rPr>
          <w:rFonts w:hint="eastAsia" w:ascii="宋体" w:hAnsi="宋体"/>
          <w:kern w:val="0"/>
          <w:sz w:val="21"/>
          <w:szCs w:val="21"/>
        </w:rPr>
        <w:t>合同履行期限：</w:t>
      </w:r>
      <w:r>
        <w:rPr>
          <w:rFonts w:hint="eastAsia" w:ascii="宋体" w:hAnsi="宋体"/>
          <w:kern w:val="0"/>
          <w:sz w:val="21"/>
          <w:szCs w:val="21"/>
          <w:lang w:val="en-US" w:eastAsia="zh-CN"/>
        </w:rPr>
        <w:t>30</w:t>
      </w:r>
      <w:r>
        <w:rPr>
          <w:rFonts w:hint="eastAsia" w:ascii="宋体" w:hAnsi="宋体"/>
          <w:kern w:val="0"/>
          <w:sz w:val="21"/>
          <w:szCs w:val="21"/>
        </w:rPr>
        <w:t>日历天</w:t>
      </w:r>
    </w:p>
    <w:p>
      <w:pPr>
        <w:numPr>
          <w:ilvl w:val="2"/>
          <w:numId w:val="0"/>
        </w:numPr>
        <w:spacing w:line="360" w:lineRule="auto"/>
        <w:ind w:left="0" w:leftChars="0" w:firstLine="420" w:firstLineChars="200"/>
        <w:rPr>
          <w:rFonts w:hint="default" w:ascii="宋体" w:hAnsi="宋体"/>
          <w:color w:val="0000FF"/>
          <w:kern w:val="0"/>
          <w:sz w:val="21"/>
          <w:szCs w:val="21"/>
          <w:lang w:val="en-US" w:eastAsia="zh-CN"/>
        </w:rPr>
      </w:pPr>
      <w:r>
        <w:rPr>
          <w:rFonts w:hint="default" w:ascii="宋体" w:hAnsi="宋体" w:eastAsia="宋体" w:cs="宋体"/>
          <w:color w:val="auto"/>
          <w:kern w:val="2"/>
          <w:sz w:val="21"/>
          <w:szCs w:val="21"/>
          <w:lang w:val="en-US" w:eastAsia="zh-CN" w:bidi="ar-SA"/>
        </w:rPr>
        <w:t>2.</w:t>
      </w:r>
      <w:r>
        <w:rPr>
          <w:rFonts w:hint="eastAsia" w:ascii="宋体" w:hAnsi="宋体"/>
          <w:kern w:val="0"/>
          <w:sz w:val="21"/>
          <w:szCs w:val="21"/>
          <w:lang w:val="en-US" w:eastAsia="zh-CN"/>
        </w:rPr>
        <w:t>供货（服务</w:t>
      </w:r>
      <w:r>
        <w:rPr>
          <w:rFonts w:hint="eastAsia" w:ascii="宋体" w:hAnsi="宋体"/>
          <w:color w:val="auto"/>
          <w:kern w:val="0"/>
          <w:sz w:val="21"/>
          <w:szCs w:val="21"/>
          <w:lang w:val="en-US" w:eastAsia="zh-CN"/>
        </w:rPr>
        <w:t>）地点：武陟县区域内</w:t>
      </w:r>
    </w:p>
    <w:p>
      <w:pPr>
        <w:numPr>
          <w:ilvl w:val="2"/>
          <w:numId w:val="0"/>
        </w:numPr>
        <w:spacing w:line="360" w:lineRule="auto"/>
        <w:ind w:left="0" w:leftChars="0" w:firstLine="420" w:firstLineChars="200"/>
        <w:rPr>
          <w:rFonts w:hint="default" w:ascii="宋体" w:hAnsi="宋体"/>
          <w:kern w:val="0"/>
          <w:sz w:val="21"/>
          <w:szCs w:val="21"/>
          <w:lang w:val="en-US" w:eastAsia="zh-CN"/>
        </w:rPr>
      </w:pPr>
      <w:r>
        <w:rPr>
          <w:rFonts w:hint="default" w:ascii="宋体" w:hAnsi="宋体" w:eastAsia="宋体" w:cs="宋体"/>
          <w:color w:val="auto"/>
          <w:kern w:val="2"/>
          <w:sz w:val="21"/>
          <w:szCs w:val="21"/>
          <w:lang w:val="en-US" w:eastAsia="zh-CN" w:bidi="ar-SA"/>
        </w:rPr>
        <w:t>3.</w:t>
      </w:r>
      <w:r>
        <w:rPr>
          <w:rFonts w:hint="eastAsia" w:ascii="宋体" w:hAnsi="宋体"/>
          <w:kern w:val="0"/>
          <w:sz w:val="21"/>
          <w:szCs w:val="21"/>
          <w:lang w:val="en-US" w:eastAsia="zh-CN"/>
        </w:rPr>
        <w:t>质量标准：合格</w:t>
      </w:r>
    </w:p>
    <w:p>
      <w:pPr>
        <w:numPr>
          <w:ilvl w:val="2"/>
          <w:numId w:val="0"/>
        </w:numPr>
        <w:spacing w:line="360" w:lineRule="auto"/>
        <w:ind w:left="0" w:leftChars="0" w:firstLine="420" w:firstLineChars="200"/>
        <w:rPr>
          <w:rFonts w:hint="eastAsia" w:ascii="宋体" w:hAnsi="宋体"/>
          <w:kern w:val="0"/>
          <w:sz w:val="21"/>
          <w:szCs w:val="21"/>
          <w:lang w:val="en-US" w:eastAsia="zh-CN"/>
        </w:rPr>
      </w:pPr>
      <w:r>
        <w:rPr>
          <w:rFonts w:hint="default" w:ascii="宋体" w:hAnsi="宋体" w:eastAsia="宋体" w:cs="宋体"/>
          <w:color w:val="auto"/>
          <w:kern w:val="2"/>
          <w:sz w:val="21"/>
          <w:szCs w:val="21"/>
          <w:lang w:val="en-US" w:eastAsia="zh-CN" w:bidi="ar-SA"/>
        </w:rPr>
        <w:t>4.</w:t>
      </w:r>
      <w:r>
        <w:rPr>
          <w:rFonts w:hint="eastAsia" w:ascii="宋体" w:hAnsi="宋体"/>
          <w:kern w:val="0"/>
          <w:sz w:val="21"/>
          <w:szCs w:val="21"/>
          <w:lang w:val="en-US" w:eastAsia="zh-CN"/>
        </w:rPr>
        <w:t>质量保证期：1年</w:t>
      </w:r>
    </w:p>
    <w:p>
      <w:pPr>
        <w:autoSpaceDE w:val="0"/>
        <w:autoSpaceDN w:val="0"/>
        <w:spacing w:line="500" w:lineRule="exact"/>
        <w:ind w:firstLine="420" w:firstLineChars="200"/>
        <w:rPr>
          <w:rFonts w:hint="eastAsia" w:ascii="宋体" w:hAnsi="宋体"/>
          <w:kern w:val="0"/>
          <w:sz w:val="21"/>
          <w:szCs w:val="21"/>
          <w:highlight w:val="none"/>
        </w:rPr>
      </w:pPr>
      <w:r>
        <w:rPr>
          <w:rFonts w:hint="eastAsia" w:ascii="宋体" w:hAnsi="宋体" w:cs="宋体"/>
          <w:color w:val="auto"/>
          <w:kern w:val="2"/>
          <w:sz w:val="21"/>
          <w:szCs w:val="21"/>
          <w:lang w:val="en-US" w:eastAsia="zh-CN" w:bidi="ar-SA"/>
        </w:rPr>
        <w:t>5</w:t>
      </w:r>
      <w:r>
        <w:rPr>
          <w:rFonts w:hint="default" w:ascii="宋体" w:hAnsi="宋体" w:eastAsia="宋体" w:cs="宋体"/>
          <w:color w:val="auto"/>
          <w:kern w:val="2"/>
          <w:sz w:val="21"/>
          <w:szCs w:val="21"/>
          <w:lang w:val="en-US" w:eastAsia="zh-CN" w:bidi="ar-SA"/>
        </w:rPr>
        <w:t>.</w:t>
      </w:r>
      <w:r>
        <w:rPr>
          <w:rFonts w:hint="eastAsia" w:ascii="宋体" w:hAnsi="宋体"/>
          <w:kern w:val="0"/>
          <w:sz w:val="21"/>
          <w:szCs w:val="21"/>
          <w:lang w:val="en-US" w:eastAsia="zh-CN"/>
        </w:rPr>
        <w:t>付款方式：</w:t>
      </w:r>
      <w:r>
        <w:rPr>
          <w:rFonts w:hint="eastAsia" w:ascii="宋体" w:hAnsi="宋体"/>
          <w:color w:val="auto"/>
          <w:kern w:val="0"/>
          <w:sz w:val="21"/>
          <w:szCs w:val="21"/>
          <w:highlight w:val="none"/>
        </w:rPr>
        <w:t>工程完工、验</w:t>
      </w:r>
      <w:r>
        <w:rPr>
          <w:rFonts w:hint="eastAsia" w:ascii="宋体" w:hAnsi="宋体"/>
          <w:color w:val="auto"/>
          <w:kern w:val="0"/>
          <w:sz w:val="21"/>
          <w:szCs w:val="21"/>
          <w:highlight w:val="none"/>
          <w:lang w:val="en-US" w:eastAsia="zh-CN"/>
        </w:rPr>
        <w:t>收</w:t>
      </w:r>
      <w:r>
        <w:rPr>
          <w:rFonts w:hint="eastAsia" w:ascii="宋体" w:hAnsi="宋体"/>
          <w:color w:val="auto"/>
          <w:kern w:val="0"/>
          <w:sz w:val="21"/>
          <w:szCs w:val="21"/>
          <w:highlight w:val="none"/>
        </w:rPr>
        <w:t>合格后，</w:t>
      </w:r>
      <w:r>
        <w:rPr>
          <w:rFonts w:hint="eastAsia" w:ascii="宋体" w:hAnsi="宋体"/>
          <w:color w:val="auto"/>
          <w:kern w:val="0"/>
          <w:sz w:val="21"/>
          <w:szCs w:val="21"/>
          <w:highlight w:val="none"/>
          <w:lang w:val="en-US" w:eastAsia="zh-CN"/>
        </w:rPr>
        <w:t>甲方</w:t>
      </w:r>
      <w:r>
        <w:rPr>
          <w:rFonts w:hint="eastAsia" w:ascii="宋体" w:hAnsi="宋体"/>
          <w:color w:val="auto"/>
          <w:kern w:val="0"/>
          <w:sz w:val="21"/>
          <w:szCs w:val="21"/>
          <w:highlight w:val="none"/>
        </w:rPr>
        <w:t>向乙方支付</w:t>
      </w:r>
      <w:r>
        <w:rPr>
          <w:rFonts w:hint="eastAsia" w:ascii="宋体" w:hAnsi="宋体"/>
          <w:color w:val="auto"/>
          <w:kern w:val="0"/>
          <w:sz w:val="21"/>
          <w:szCs w:val="21"/>
          <w:highlight w:val="none"/>
          <w:lang w:val="en-US" w:eastAsia="zh-CN"/>
        </w:rPr>
        <w:t>至</w:t>
      </w:r>
      <w:r>
        <w:rPr>
          <w:rFonts w:hint="eastAsia" w:ascii="宋体" w:hAnsi="宋体"/>
          <w:color w:val="auto"/>
          <w:kern w:val="0"/>
          <w:sz w:val="21"/>
          <w:szCs w:val="21"/>
          <w:highlight w:val="none"/>
        </w:rPr>
        <w:t>项目款的9</w:t>
      </w:r>
      <w:r>
        <w:rPr>
          <w:rFonts w:hint="eastAsia" w:ascii="宋体" w:hAnsi="宋体"/>
          <w:color w:val="auto"/>
          <w:kern w:val="0"/>
          <w:sz w:val="21"/>
          <w:szCs w:val="21"/>
          <w:highlight w:val="none"/>
          <w:lang w:val="en-US" w:eastAsia="zh-CN"/>
        </w:rPr>
        <w:t>0</w:t>
      </w:r>
      <w:r>
        <w:rPr>
          <w:rFonts w:hint="eastAsia" w:ascii="宋体" w:hAnsi="宋体"/>
          <w:color w:val="auto"/>
          <w:kern w:val="0"/>
          <w:sz w:val="21"/>
          <w:szCs w:val="21"/>
          <w:highlight w:val="none"/>
        </w:rPr>
        <w:t>%，剩余</w:t>
      </w:r>
      <w:r>
        <w:rPr>
          <w:rFonts w:hint="eastAsia" w:ascii="宋体" w:hAnsi="宋体"/>
          <w:color w:val="auto"/>
          <w:kern w:val="0"/>
          <w:sz w:val="21"/>
          <w:szCs w:val="21"/>
          <w:highlight w:val="none"/>
          <w:lang w:val="en-US" w:eastAsia="zh-CN"/>
        </w:rPr>
        <w:t>10</w:t>
      </w:r>
      <w:r>
        <w:rPr>
          <w:rFonts w:hint="eastAsia" w:ascii="宋体" w:hAnsi="宋体"/>
          <w:color w:val="auto"/>
          <w:kern w:val="0"/>
          <w:sz w:val="21"/>
          <w:szCs w:val="21"/>
          <w:highlight w:val="none"/>
        </w:rPr>
        <w:t>%一年</w:t>
      </w:r>
      <w:r>
        <w:rPr>
          <w:rFonts w:hint="eastAsia" w:ascii="宋体" w:hAnsi="宋体"/>
          <w:color w:val="auto"/>
          <w:kern w:val="0"/>
          <w:sz w:val="21"/>
          <w:szCs w:val="21"/>
          <w:highlight w:val="none"/>
          <w:lang w:val="en-US" w:eastAsia="zh-CN"/>
        </w:rPr>
        <w:t>后支付</w:t>
      </w:r>
      <w:r>
        <w:rPr>
          <w:rFonts w:hint="eastAsia" w:ascii="宋体" w:hAnsi="宋体"/>
          <w:color w:val="auto"/>
          <w:kern w:val="0"/>
          <w:sz w:val="21"/>
          <w:szCs w:val="21"/>
          <w:highlight w:val="none"/>
        </w:rPr>
        <w:t>。</w:t>
      </w:r>
    </w:p>
    <w:p>
      <w:pPr>
        <w:pStyle w:val="37"/>
        <w:rPr>
          <w:rFonts w:hint="eastAsia" w:ascii="宋体" w:hAnsi="宋体"/>
          <w:b/>
          <w:bCs/>
          <w:kern w:val="0"/>
          <w:sz w:val="21"/>
          <w:szCs w:val="21"/>
          <w:lang w:eastAsia="zh-CN" w:bidi="ar"/>
        </w:rPr>
      </w:pPr>
      <w:r>
        <w:rPr>
          <w:rFonts w:hint="eastAsia" w:ascii="宋体" w:hAnsi="宋体"/>
          <w:b/>
          <w:bCs/>
          <w:kern w:val="0"/>
          <w:sz w:val="21"/>
          <w:szCs w:val="21"/>
          <w:lang w:eastAsia="zh-CN" w:bidi="ar"/>
        </w:rPr>
        <w:t>三、其他要求：</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1.售后服务：中标人提供设备保修电话服务；可以提供应急维修调配服务，在接到正式通知后2个小时内响应，24小时内到达现场进行检修。</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2.商品包装要求：</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2.1适用范围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本标准规定了商品使用的塑料、纸质、木质等包装材料的环保要求。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2.2商品包装环保要求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2.2.1.商品包装层数不得超过 3 层，空隙率不大于 40%；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2.2.2.商品包装尽可能使用单一材质的包装材料，如因功能需求必需使用不同材质，不同材质间应便于分离；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2.2.3.商品包装中铅、汞、镉、六价铬的总含量应不大于100mg/kg；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2.2.4.商品包装印刷使用的油墨中挥发性有机化合物(VOCs)含量应不大于 5%（以重量计）；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2.2.5.塑料材质商品包装上呈现的印刷颜色不得超过6色；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2.2.6.纸质商品包装应使用75%以上的可再生纤维原料生产； </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2.2.7.木质商品包装的原料应来源于可持续性森林。 </w:t>
      </w:r>
    </w:p>
    <w:p>
      <w:pPr>
        <w:pStyle w:val="37"/>
        <w:rPr>
          <w:rFonts w:hint="eastAsia"/>
          <w:sz w:val="24"/>
          <w:szCs w:val="22"/>
        </w:rPr>
      </w:pPr>
    </w:p>
    <w:p>
      <w:pPr>
        <w:widowControl/>
        <w:adjustRightInd w:val="0"/>
        <w:spacing w:line="360" w:lineRule="auto"/>
        <w:rPr>
          <w:rFonts w:hint="eastAsia" w:ascii="宋体" w:hAnsi="宋体"/>
          <w:b/>
          <w:kern w:val="0"/>
          <w:sz w:val="21"/>
          <w:szCs w:val="21"/>
        </w:rPr>
      </w:pPr>
      <w:r>
        <w:rPr>
          <w:rFonts w:hint="eastAsia" w:ascii="宋体" w:hAnsi="宋体"/>
          <w:b/>
          <w:kern w:val="0"/>
          <w:sz w:val="21"/>
          <w:szCs w:val="21"/>
          <w:lang w:eastAsia="zh-CN"/>
        </w:rPr>
        <w:t>四</w:t>
      </w:r>
      <w:r>
        <w:rPr>
          <w:rFonts w:hint="eastAsia" w:ascii="宋体" w:hAnsi="宋体"/>
          <w:b/>
          <w:kern w:val="0"/>
          <w:sz w:val="21"/>
          <w:szCs w:val="21"/>
        </w:rPr>
        <w:t>、采购内容及技术要求</w:t>
      </w:r>
    </w:p>
    <w:p>
      <w:pPr>
        <w:autoSpaceDE w:val="0"/>
        <w:autoSpaceDN w:val="0"/>
        <w:spacing w:line="500" w:lineRule="exact"/>
        <w:ind w:firstLine="420" w:firstLineChars="200"/>
        <w:rPr>
          <w:rFonts w:hint="eastAsia" w:ascii="宋体" w:hAnsi="宋体"/>
          <w:kern w:val="0"/>
          <w:sz w:val="21"/>
          <w:szCs w:val="21"/>
        </w:rPr>
      </w:pPr>
      <w:r>
        <w:rPr>
          <w:rFonts w:hint="eastAsia" w:ascii="宋体" w:hAnsi="宋体"/>
          <w:kern w:val="0"/>
          <w:sz w:val="21"/>
          <w:szCs w:val="21"/>
        </w:rPr>
        <w:t xml:space="preserve">1.本项目的核心产品为： </w:t>
      </w:r>
      <w:r>
        <w:rPr>
          <w:rFonts w:hint="eastAsia" w:ascii="宋体" w:hAnsi="宋体"/>
          <w:kern w:val="0"/>
          <w:sz w:val="21"/>
          <w:szCs w:val="21"/>
          <w:u w:val="single"/>
          <w:lang w:val="en-US" w:eastAsia="zh-CN"/>
        </w:rPr>
        <w:t xml:space="preserve"> 潜水泵 </w:t>
      </w:r>
      <w:r>
        <w:rPr>
          <w:rFonts w:hint="eastAsia" w:ascii="宋体" w:hAnsi="宋体"/>
          <w:kern w:val="0"/>
          <w:sz w:val="21"/>
          <w:szCs w:val="21"/>
          <w:lang w:val="en-US" w:eastAsia="zh-CN"/>
        </w:rPr>
        <w:t xml:space="preserve">  </w:t>
      </w:r>
      <w:r>
        <w:rPr>
          <w:rFonts w:hint="eastAsia" w:ascii="宋体" w:hAnsi="宋体"/>
          <w:kern w:val="0"/>
          <w:sz w:val="21"/>
          <w:szCs w:val="21"/>
        </w:rPr>
        <w:t>货物采购项目必须设定一个核心产品</w:t>
      </w:r>
    </w:p>
    <w:tbl>
      <w:tblPr>
        <w:tblStyle w:val="38"/>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064"/>
        <w:gridCol w:w="3277"/>
        <w:gridCol w:w="1274"/>
        <w:gridCol w:w="1221"/>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序号</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rPr>
            </w:pPr>
            <w:r>
              <w:rPr>
                <w:rFonts w:hint="eastAsia" w:ascii="宋体" w:hAnsi="宋体"/>
                <w:b/>
                <w:color w:val="000000"/>
                <w:kern w:val="0"/>
                <w:sz w:val="21"/>
                <w:szCs w:val="21"/>
                <w:lang w:eastAsia="zh-CN"/>
              </w:rPr>
              <w:t>标的</w:t>
            </w:r>
            <w:r>
              <w:rPr>
                <w:rFonts w:hint="eastAsia" w:ascii="宋体" w:hAnsi="宋体"/>
                <w:b/>
                <w:color w:val="000000"/>
                <w:kern w:val="0"/>
                <w:sz w:val="21"/>
                <w:szCs w:val="21"/>
              </w:rPr>
              <w:t>名称</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主要技术参数、性能、配置等要求</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数量/单位</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所属行业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color w:val="000000"/>
                <w:kern w:val="0"/>
                <w:sz w:val="21"/>
                <w:szCs w:val="21"/>
              </w:rPr>
            </w:pPr>
            <w:r>
              <w:rPr>
                <w:rFonts w:hint="eastAsia" w:ascii="宋体" w:hAnsi="宋体"/>
                <w:b w:val="0"/>
                <w:bCs w:val="0"/>
                <w:color w:val="auto"/>
                <w:sz w:val="21"/>
                <w:szCs w:val="21"/>
                <w:lang w:val="en-US" w:eastAsia="zh-CN"/>
              </w:rPr>
              <w:t>宣传牌</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olor w:val="000000"/>
                <w:kern w:val="0"/>
                <w:sz w:val="21"/>
                <w:szCs w:val="21"/>
              </w:rPr>
            </w:pPr>
            <w:r>
              <w:rPr>
                <w:rFonts w:hint="eastAsia" w:ascii="宋体" w:hAnsi="宋体" w:eastAsia="宋体" w:cs="宋体"/>
                <w:color w:val="auto"/>
                <w:kern w:val="0"/>
                <w:sz w:val="21"/>
                <w:szCs w:val="21"/>
                <w:lang w:val="en-US" w:eastAsia="zh-CN" w:bidi="ar"/>
              </w:rPr>
              <w:t>宣传制度牌：尺寸60cm×90cm，边框采用铝合金材质。</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kern w:val="0"/>
                <w:sz w:val="21"/>
                <w:szCs w:val="21"/>
              </w:rPr>
            </w:pPr>
            <w:r>
              <w:rPr>
                <w:rFonts w:hint="eastAsia" w:ascii="宋体" w:hAnsi="宋体" w:cs="宋体"/>
                <w:color w:val="auto"/>
                <w:kern w:val="0"/>
                <w:sz w:val="21"/>
                <w:szCs w:val="21"/>
                <w:lang w:val="en-US" w:eastAsia="zh-CN" w:bidi="ar"/>
              </w:rPr>
              <w:t>20/套</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rPr>
                <w:rFonts w:hint="eastAsia" w:ascii="宋体" w:hAnsi="宋体"/>
                <w:bCs/>
                <w:color w:val="000000"/>
                <w:kern w:val="0"/>
                <w:sz w:val="21"/>
                <w:szCs w:val="21"/>
              </w:rPr>
            </w:pPr>
            <w:r>
              <w:rPr>
                <w:rFonts w:hint="eastAsia" w:ascii="宋体" w:hAnsi="宋体" w:cs="宋体"/>
                <w:color w:val="auto"/>
                <w:kern w:val="0"/>
                <w:sz w:val="21"/>
                <w:szCs w:val="21"/>
                <w:lang w:val="en-US" w:eastAsia="zh-CN" w:bidi="ar"/>
              </w:rPr>
              <w:t xml:space="preserve">一套包含四个制度牌。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2</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color w:val="000000"/>
                <w:kern w:val="0"/>
                <w:sz w:val="21"/>
                <w:szCs w:val="21"/>
              </w:rPr>
            </w:pPr>
            <w:r>
              <w:rPr>
                <w:rFonts w:hint="eastAsia" w:ascii="宋体" w:hAnsi="宋体"/>
                <w:b w:val="0"/>
                <w:bCs w:val="0"/>
                <w:color w:val="auto"/>
                <w:sz w:val="21"/>
                <w:szCs w:val="21"/>
                <w:lang w:val="en-US" w:eastAsia="zh-CN"/>
              </w:rPr>
              <w:t>条幅</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rPr>
                <w:rFonts w:hint="default" w:ascii="宋体" w:hAnsi="宋体"/>
                <w:color w:val="000000"/>
                <w:kern w:val="0"/>
                <w:sz w:val="21"/>
                <w:szCs w:val="21"/>
                <w:lang w:val="en-US"/>
              </w:rPr>
            </w:pPr>
            <w:r>
              <w:rPr>
                <w:rFonts w:hint="eastAsia" w:ascii="宋体" w:hAnsi="宋体" w:eastAsia="宋体" w:cs="宋体"/>
                <w:color w:val="auto"/>
                <w:kern w:val="0"/>
                <w:sz w:val="21"/>
                <w:szCs w:val="21"/>
                <w:lang w:val="en-US" w:eastAsia="zh-CN" w:bidi="ar"/>
              </w:rPr>
              <w:t>宣传条幅</w:t>
            </w:r>
            <w:r>
              <w:rPr>
                <w:rFonts w:hint="eastAsia" w:ascii="宋体" w:hAnsi="宋体" w:cs="宋体"/>
                <w:color w:val="auto"/>
                <w:kern w:val="0"/>
                <w:sz w:val="21"/>
                <w:szCs w:val="21"/>
                <w:lang w:val="en-US" w:eastAsia="zh-CN" w:bidi="ar"/>
              </w:rPr>
              <w:t>：每条长8米。</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kern w:val="0"/>
                <w:sz w:val="21"/>
                <w:szCs w:val="21"/>
              </w:rPr>
            </w:pPr>
            <w:r>
              <w:rPr>
                <w:rFonts w:hint="eastAsia" w:ascii="宋体" w:hAnsi="宋体" w:cs="宋体"/>
                <w:color w:val="auto"/>
                <w:kern w:val="0"/>
                <w:sz w:val="21"/>
                <w:szCs w:val="21"/>
                <w:lang w:val="en-US" w:eastAsia="zh-CN" w:bidi="ar"/>
              </w:rPr>
              <w:t>72/条</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bCs/>
                <w:color w:val="000000"/>
                <w:kern w:val="0"/>
                <w:sz w:val="21"/>
                <w:szCs w:val="21"/>
              </w:rPr>
            </w:pPr>
            <w:r>
              <w:rPr>
                <w:rFonts w:hint="eastAsia" w:ascii="宋体" w:hAnsi="宋体"/>
                <w:bCs/>
                <w:color w:val="000000"/>
                <w:kern w:val="0"/>
                <w:sz w:val="21"/>
                <w:szCs w:val="21"/>
              </w:rPr>
              <w:t>条幅材料为条幅布，条幅带扣眼或吊耳。安装到指定位置或村。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3</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color w:val="000000"/>
                <w:kern w:val="0"/>
                <w:sz w:val="21"/>
                <w:szCs w:val="21"/>
              </w:rPr>
            </w:pPr>
            <w:r>
              <w:rPr>
                <w:rFonts w:hint="eastAsia" w:ascii="宋体" w:hAnsi="宋体" w:eastAsia="宋体" w:cs="宋体"/>
                <w:color w:val="auto"/>
                <w:kern w:val="0"/>
                <w:sz w:val="21"/>
                <w:szCs w:val="21"/>
                <w:lang w:val="en-US" w:eastAsia="zh-CN" w:bidi="ar"/>
              </w:rPr>
              <w:t>宣传栏</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rPr>
                <w:rFonts w:hint="eastAsia" w:ascii="宋体" w:hAnsi="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宣传栏</w:t>
            </w:r>
            <w:r>
              <w:rPr>
                <w:rFonts w:hint="eastAsia" w:ascii="宋体" w:hAnsi="宋体" w:cs="宋体"/>
                <w:color w:val="auto"/>
                <w:kern w:val="0"/>
                <w:sz w:val="21"/>
                <w:szCs w:val="21"/>
                <w:lang w:val="en-US" w:eastAsia="zh-CN" w:bidi="ar"/>
              </w:rPr>
              <w:t>：外观尺寸315cm×260cm；画面尺寸120cm×240cm。</w:t>
            </w:r>
          </w:p>
          <w:p>
            <w:pPr>
              <w:widowControl/>
              <w:shd w:val="clear" w:color="auto" w:fill="auto"/>
              <w:adjustRightInd w:val="0"/>
              <w:spacing w:line="360" w:lineRule="auto"/>
              <w:rPr>
                <w:rFonts w:hint="eastAsia" w:ascii="宋体" w:hAnsi="宋体"/>
                <w:color w:val="000000"/>
                <w:kern w:val="0"/>
                <w:sz w:val="21"/>
                <w:szCs w:val="21"/>
              </w:rPr>
            </w:pPr>
            <w:r>
              <w:rPr>
                <w:rFonts w:hint="eastAsia" w:ascii="宋体" w:hAnsi="宋体" w:cs="宋体"/>
                <w:color w:val="auto"/>
                <w:kern w:val="0"/>
                <w:sz w:val="21"/>
                <w:szCs w:val="21"/>
                <w:lang w:val="en-US" w:eastAsia="zh-CN" w:bidi="ar"/>
              </w:rPr>
              <w:t>画面位置采用5mm钢化玻璃、液压杆开启方式。</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kern w:val="0"/>
                <w:sz w:val="21"/>
                <w:szCs w:val="21"/>
              </w:rPr>
            </w:pPr>
            <w:r>
              <w:rPr>
                <w:rFonts w:hint="eastAsia" w:ascii="宋体" w:hAnsi="宋体" w:cs="宋体"/>
                <w:color w:val="auto"/>
                <w:kern w:val="0"/>
                <w:sz w:val="21"/>
                <w:szCs w:val="21"/>
                <w:lang w:val="en-US" w:eastAsia="zh-CN" w:bidi="ar"/>
              </w:rPr>
              <w:t>6/套</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bCs/>
                <w:color w:val="000000"/>
                <w:kern w:val="0"/>
                <w:sz w:val="21"/>
                <w:szCs w:val="21"/>
              </w:rPr>
            </w:pPr>
            <w:r>
              <w:rPr>
                <w:rFonts w:hint="eastAsia" w:ascii="宋体" w:hAnsi="宋体" w:cs="宋体"/>
                <w:color w:val="auto"/>
                <w:kern w:val="0"/>
                <w:sz w:val="21"/>
                <w:szCs w:val="21"/>
                <w:lang w:val="en-US" w:eastAsia="zh-CN" w:bidi="ar"/>
              </w:rPr>
              <w:t>①120×120×1.5mm国际热镀锌方管等离子切割焊接。②Q235-1.2mm开平钢板激光切割。③1.2mm无纹镀锌板激光切割、折弯、焊接、打磨。④化学除磷，所有表面除油，钣金原子灰修补打磨。⑤氟碳环氧底漆高温喷涂2遍，氟碳中涂密封底漆高温喷涂一遍，氟碳汽车面漆高温喷涂2遍，标准清漆高温喷涂1遍。⑥文字高密pvc烤漆字机械电脑雕刻，刻绘模具粘贴或丝网印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4</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color w:val="000000"/>
                <w:kern w:val="0"/>
                <w:sz w:val="21"/>
                <w:szCs w:val="21"/>
              </w:rPr>
            </w:pPr>
            <w:r>
              <w:rPr>
                <w:rFonts w:hint="eastAsia" w:ascii="宋体" w:hAnsi="宋体" w:eastAsia="宋体" w:cs="宋体"/>
                <w:color w:val="auto"/>
                <w:kern w:val="0"/>
                <w:sz w:val="21"/>
                <w:szCs w:val="21"/>
                <w:lang w:val="en-US" w:eastAsia="zh-CN" w:bidi="ar"/>
              </w:rPr>
              <w:t>喷灌机</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rPr>
                <w:rFonts w:hint="eastAsia" w:ascii="宋体" w:hAnsi="宋体"/>
                <w:color w:val="000000"/>
                <w:kern w:val="0"/>
                <w:sz w:val="21"/>
                <w:szCs w:val="21"/>
              </w:rPr>
            </w:pPr>
            <w:r>
              <w:rPr>
                <w:rFonts w:hint="eastAsia" w:ascii="宋体" w:hAnsi="宋体" w:cs="宋体"/>
                <w:color w:val="auto"/>
                <w:kern w:val="0"/>
                <w:sz w:val="21"/>
                <w:szCs w:val="21"/>
                <w:lang w:val="en-US" w:eastAsia="zh-CN" w:bidi="ar"/>
              </w:rPr>
              <w:t>PE管直径75mm；长度300m。</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kern w:val="0"/>
                <w:sz w:val="21"/>
                <w:szCs w:val="21"/>
              </w:rPr>
            </w:pPr>
            <w:r>
              <w:rPr>
                <w:rFonts w:hint="eastAsia" w:ascii="宋体" w:hAnsi="宋体" w:cs="宋体"/>
                <w:color w:val="auto"/>
                <w:kern w:val="0"/>
                <w:sz w:val="21"/>
                <w:szCs w:val="21"/>
                <w:lang w:val="en-US" w:eastAsia="zh-CN" w:bidi="ar"/>
              </w:rPr>
              <w:t>12/套</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1、设备底盘、旋转平台、喷水行架均采用热镀锌钢件。</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2、设备卷盘采用链式传动。</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3、设备自带锚桩和千斤顶等，使设备可以固定，并在作业时保持稳定。</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4、设备自带直径75mmPE管，长度300m。</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5、设备保修期为1年。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5</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color w:val="000000"/>
                <w:kern w:val="0"/>
                <w:sz w:val="21"/>
                <w:szCs w:val="21"/>
              </w:rPr>
            </w:pPr>
            <w:r>
              <w:rPr>
                <w:rFonts w:hint="eastAsia" w:ascii="宋体" w:hAnsi="宋体" w:eastAsia="宋体" w:cs="宋体"/>
                <w:b/>
                <w:bCs/>
                <w:color w:val="auto"/>
                <w:sz w:val="24"/>
                <w:szCs w:val="24"/>
                <w:lang w:val="en-US" w:eastAsia="zh-CN"/>
              </w:rPr>
              <w:t>*</w:t>
            </w:r>
            <w:r>
              <w:rPr>
                <w:rFonts w:hint="eastAsia" w:ascii="宋体" w:hAnsi="宋体" w:eastAsia="宋体" w:cs="宋体"/>
                <w:color w:val="auto"/>
                <w:kern w:val="0"/>
                <w:sz w:val="21"/>
                <w:szCs w:val="21"/>
                <w:lang w:val="en-US" w:eastAsia="zh-CN" w:bidi="ar"/>
              </w:rPr>
              <w:t>潜水泵</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rPr>
                <w:rFonts w:hint="eastAsia" w:ascii="宋体" w:hAnsi="宋体"/>
                <w:color w:val="000000"/>
                <w:kern w:val="0"/>
                <w:sz w:val="21"/>
                <w:szCs w:val="21"/>
              </w:rPr>
            </w:pPr>
            <w:r>
              <w:rPr>
                <w:rFonts w:hint="eastAsia" w:ascii="宋体" w:hAnsi="宋体" w:eastAsia="宋体" w:cs="宋体"/>
                <w:color w:val="auto"/>
                <w:kern w:val="0"/>
                <w:sz w:val="21"/>
                <w:szCs w:val="21"/>
                <w:lang w:val="en-US" w:eastAsia="zh-CN" w:bidi="ar"/>
              </w:rPr>
              <w:t>200QJ32-52-7.5kw</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kern w:val="0"/>
                <w:sz w:val="21"/>
                <w:szCs w:val="21"/>
              </w:rPr>
            </w:pPr>
            <w:r>
              <w:rPr>
                <w:rFonts w:hint="eastAsia" w:ascii="宋体" w:hAnsi="宋体" w:cs="宋体"/>
                <w:color w:val="auto"/>
                <w:kern w:val="0"/>
                <w:sz w:val="21"/>
                <w:szCs w:val="21"/>
                <w:lang w:val="en-US" w:eastAsia="zh-CN" w:bidi="ar"/>
              </w:rPr>
              <w:t>30/台</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1、潜水泵电机功率为7.5KW。</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2、水泵扬程为52m。</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3、水泵出水量为32m3/h。</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bCs/>
                <w:color w:val="000000"/>
                <w:kern w:val="0"/>
                <w:sz w:val="21"/>
                <w:szCs w:val="21"/>
              </w:rPr>
            </w:pPr>
            <w:r>
              <w:rPr>
                <w:rFonts w:hint="eastAsia" w:ascii="宋体" w:hAnsi="宋体" w:cs="宋体"/>
                <w:color w:val="auto"/>
                <w:kern w:val="0"/>
                <w:sz w:val="21"/>
                <w:szCs w:val="21"/>
                <w:lang w:val="en-US" w:eastAsia="zh-CN" w:bidi="ar"/>
              </w:rPr>
              <w:t>4、水泵保修期为1年。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lang w:val="en-US" w:eastAsia="zh-CN"/>
              </w:rPr>
            </w:pPr>
            <w:r>
              <w:rPr>
                <w:rFonts w:hint="eastAsia" w:ascii="宋体" w:hAnsi="宋体"/>
                <w:color w:val="000000"/>
                <w:kern w:val="0"/>
                <w:sz w:val="21"/>
                <w:szCs w:val="21"/>
                <w:lang w:val="en-US" w:eastAsia="zh-CN"/>
              </w:rPr>
              <w:t>6</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color w:val="000000"/>
                <w:kern w:val="0"/>
                <w:sz w:val="21"/>
                <w:szCs w:val="21"/>
              </w:rPr>
            </w:pPr>
            <w:r>
              <w:rPr>
                <w:rFonts w:hint="eastAsia" w:ascii="宋体" w:hAnsi="宋体" w:eastAsia="宋体" w:cs="宋体"/>
                <w:b/>
                <w:bCs/>
                <w:color w:val="auto"/>
                <w:sz w:val="24"/>
                <w:szCs w:val="24"/>
                <w:lang w:val="en-US" w:eastAsia="zh-CN"/>
              </w:rPr>
              <w:t>*</w:t>
            </w:r>
            <w:r>
              <w:rPr>
                <w:rFonts w:hint="eastAsia" w:ascii="宋体" w:hAnsi="宋体" w:eastAsia="宋体" w:cs="宋体"/>
                <w:color w:val="auto"/>
                <w:kern w:val="0"/>
                <w:sz w:val="21"/>
                <w:szCs w:val="21"/>
                <w:lang w:val="en-US" w:eastAsia="zh-CN" w:bidi="ar"/>
              </w:rPr>
              <w:t>潜水泵</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pStyle w:val="2"/>
              <w:rPr>
                <w:rFonts w:hint="eastAsia" w:ascii="宋体" w:hAnsi="宋体"/>
                <w:color w:val="000000"/>
                <w:kern w:val="0"/>
                <w:sz w:val="21"/>
                <w:szCs w:val="21"/>
              </w:rPr>
            </w:pPr>
            <w:r>
              <w:rPr>
                <w:rFonts w:hint="default" w:ascii="宋体" w:hAnsi="宋体" w:eastAsia="宋体" w:cs="宋体"/>
                <w:color w:val="auto"/>
                <w:kern w:val="0"/>
                <w:sz w:val="21"/>
                <w:szCs w:val="21"/>
                <w:lang w:val="en-US" w:eastAsia="zh-CN" w:bidi="ar"/>
              </w:rPr>
              <w:t>200QJ20-65-7.5kw</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kern w:val="0"/>
                <w:sz w:val="21"/>
                <w:szCs w:val="21"/>
              </w:rPr>
            </w:pPr>
            <w:r>
              <w:rPr>
                <w:rFonts w:hint="eastAsia" w:ascii="宋体" w:hAnsi="宋体" w:cs="宋体"/>
                <w:color w:val="auto"/>
                <w:kern w:val="0"/>
                <w:sz w:val="21"/>
                <w:szCs w:val="21"/>
                <w:lang w:val="en-US" w:eastAsia="zh-CN" w:bidi="ar"/>
              </w:rPr>
              <w:t>40/台</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1、潜水泵电机功率为7.5KW。</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2、水泵扬程为65m。</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3、水泵出水量为20m3/h。</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bCs/>
                <w:color w:val="000000"/>
                <w:kern w:val="0"/>
                <w:sz w:val="21"/>
                <w:szCs w:val="21"/>
              </w:rPr>
            </w:pPr>
            <w:r>
              <w:rPr>
                <w:rFonts w:hint="eastAsia" w:ascii="宋体" w:hAnsi="宋体" w:cs="宋体"/>
                <w:color w:val="auto"/>
                <w:kern w:val="0"/>
                <w:sz w:val="21"/>
                <w:szCs w:val="21"/>
                <w:lang w:val="en-US" w:eastAsia="zh-CN" w:bidi="ar"/>
              </w:rPr>
              <w:t>4、水泵保修期为1年。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7</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color w:val="000000"/>
                <w:kern w:val="0"/>
                <w:sz w:val="21"/>
                <w:szCs w:val="21"/>
              </w:rPr>
            </w:pPr>
            <w:r>
              <w:rPr>
                <w:rFonts w:hint="default" w:ascii="宋体" w:hAnsi="宋体" w:eastAsia="宋体" w:cs="宋体"/>
                <w:color w:val="auto"/>
                <w:kern w:val="0"/>
                <w:sz w:val="21"/>
                <w:szCs w:val="21"/>
                <w:lang w:val="en-US" w:eastAsia="zh-CN" w:bidi="ar"/>
              </w:rPr>
              <w:t>水电双计量设施</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pStyle w:val="2"/>
              <w:rPr>
                <w:rFonts w:hint="eastAsia" w:ascii="宋体" w:hAnsi="宋体"/>
                <w:color w:val="000000"/>
                <w:kern w:val="0"/>
                <w:sz w:val="21"/>
                <w:szCs w:val="21"/>
              </w:rPr>
            </w:pPr>
            <w:r>
              <w:rPr>
                <w:rFonts w:hint="eastAsia" w:ascii="宋体" w:hAnsi="宋体" w:cs="宋体"/>
                <w:color w:val="auto"/>
                <w:kern w:val="0"/>
                <w:sz w:val="21"/>
                <w:szCs w:val="21"/>
                <w:lang w:val="en-US" w:eastAsia="zh-CN" w:bidi="ar"/>
              </w:rPr>
              <w:t>包含充值管理设备及配套IC卡、超声波流量计、GPRS传输模块、水电双计控制器等；</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kern w:val="0"/>
                <w:sz w:val="21"/>
                <w:szCs w:val="21"/>
              </w:rPr>
            </w:pPr>
            <w:r>
              <w:rPr>
                <w:rFonts w:hint="eastAsia" w:ascii="宋体" w:hAnsi="宋体" w:cs="宋体"/>
                <w:color w:val="auto"/>
                <w:kern w:val="0"/>
                <w:sz w:val="21"/>
                <w:szCs w:val="21"/>
                <w:lang w:val="en-US" w:eastAsia="zh-CN" w:bidi="ar"/>
              </w:rPr>
              <w:t>50/套</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bCs/>
                <w:color w:val="000000"/>
                <w:kern w:val="0"/>
                <w:sz w:val="21"/>
                <w:szCs w:val="21"/>
              </w:rPr>
            </w:pPr>
            <w:r>
              <w:rPr>
                <w:rFonts w:hint="eastAsia" w:ascii="宋体" w:hAnsi="宋体"/>
                <w:bCs/>
                <w:color w:val="000000"/>
                <w:kern w:val="0"/>
                <w:sz w:val="21"/>
                <w:szCs w:val="21"/>
              </w:rPr>
              <w:t>1、包含充值管理设备及配套IC卡、超声波流量计、GPRS传输模块、水电双计控制器等；包含项目区内所有计量设施安装调试费，与省水价改革平台对接。</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bCs/>
                <w:color w:val="000000"/>
                <w:kern w:val="0"/>
                <w:sz w:val="21"/>
                <w:szCs w:val="21"/>
              </w:rPr>
            </w:pPr>
            <w:r>
              <w:rPr>
                <w:rFonts w:hint="eastAsia" w:ascii="宋体" w:hAnsi="宋体"/>
                <w:bCs/>
                <w:color w:val="000000"/>
                <w:kern w:val="0"/>
                <w:sz w:val="21"/>
                <w:szCs w:val="21"/>
              </w:rPr>
              <w:t>2 、流量计防水等级为IP68，通信接口RS485，双行显示包括9位累积量，4位瞬时流量及各种工作状态提示符号及单位，内置锂电池（3.9V，19Ah）使用寿命6年。</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bCs/>
                <w:color w:val="000000"/>
                <w:kern w:val="0"/>
                <w:sz w:val="21"/>
                <w:szCs w:val="21"/>
              </w:rPr>
            </w:pPr>
            <w:r>
              <w:rPr>
                <w:rFonts w:hint="eastAsia" w:ascii="宋体" w:hAnsi="宋体"/>
                <w:bCs/>
                <w:color w:val="000000"/>
                <w:kern w:val="0"/>
                <w:sz w:val="21"/>
                <w:szCs w:val="21"/>
              </w:rPr>
              <w:t>3、物联网控制器（联网版）（含集成控制器模组（主板）通讯模块、供电模组、显示屏、指示灯、独立防拆式外壳）金属安装挂件流量卡（含五年流量费）。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8</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color w:val="000000"/>
                <w:kern w:val="0"/>
                <w:sz w:val="21"/>
                <w:szCs w:val="21"/>
              </w:rPr>
            </w:pPr>
            <w:r>
              <w:rPr>
                <w:rFonts w:hint="default" w:ascii="宋体" w:hAnsi="宋体" w:cs="宋体"/>
                <w:color w:val="auto"/>
                <w:kern w:val="0"/>
                <w:sz w:val="21"/>
                <w:szCs w:val="21"/>
                <w:lang w:val="en-US" w:eastAsia="zh-CN" w:bidi="ar"/>
              </w:rPr>
              <w:t>玻璃钢井房</w:t>
            </w:r>
          </w:p>
        </w:tc>
        <w:tc>
          <w:tcPr>
            <w:tcW w:w="3277" w:type="dxa"/>
            <w:tcBorders>
              <w:top w:val="single" w:color="auto" w:sz="4" w:space="0"/>
              <w:left w:val="single" w:color="auto" w:sz="4" w:space="0"/>
              <w:bottom w:val="single" w:color="auto" w:sz="4" w:space="0"/>
              <w:right w:val="single" w:color="auto" w:sz="4" w:space="0"/>
            </w:tcBorders>
            <w:noWrap w:val="0"/>
            <w:vAlign w:val="center"/>
          </w:tcPr>
          <w:p>
            <w:pPr>
              <w:pStyle w:val="2"/>
              <w:rPr>
                <w:rFonts w:hint="eastAsia" w:ascii="宋体" w:hAnsi="宋体"/>
                <w:color w:val="000000"/>
                <w:kern w:val="0"/>
                <w:sz w:val="21"/>
                <w:szCs w:val="21"/>
              </w:rPr>
            </w:pPr>
            <w:r>
              <w:rPr>
                <w:rFonts w:hint="default" w:ascii="宋体" w:hAnsi="宋体" w:cs="宋体"/>
                <w:color w:val="auto"/>
                <w:kern w:val="0"/>
                <w:sz w:val="21"/>
                <w:szCs w:val="21"/>
                <w:lang w:val="en-US" w:eastAsia="zh-CN" w:bidi="ar"/>
              </w:rPr>
              <w:t>玻璃钢井房</w:t>
            </w:r>
            <w:r>
              <w:rPr>
                <w:rFonts w:hint="eastAsia" w:ascii="宋体" w:hAnsi="宋体" w:cs="宋体"/>
                <w:color w:val="auto"/>
                <w:kern w:val="0"/>
                <w:sz w:val="21"/>
                <w:szCs w:val="21"/>
                <w:lang w:val="en-US" w:eastAsia="zh-CN" w:bidi="ar"/>
              </w:rPr>
              <w:t>:长×宽×高：860mm×860mm×1750mm。</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widowControl/>
              <w:shd w:val="clear" w:color="auto" w:fill="auto"/>
              <w:adjustRightInd w:val="0"/>
              <w:spacing w:line="360" w:lineRule="auto"/>
              <w:jc w:val="center"/>
              <w:rPr>
                <w:rFonts w:hint="eastAsia" w:ascii="宋体" w:hAnsi="宋体"/>
                <w:kern w:val="0"/>
                <w:sz w:val="21"/>
                <w:szCs w:val="21"/>
              </w:rPr>
            </w:pPr>
            <w:r>
              <w:rPr>
                <w:rFonts w:hint="eastAsia" w:ascii="宋体" w:hAnsi="宋体" w:cs="宋体"/>
                <w:color w:val="auto"/>
                <w:kern w:val="0"/>
                <w:sz w:val="21"/>
                <w:szCs w:val="21"/>
                <w:lang w:val="en-US" w:eastAsia="zh-CN" w:bidi="ar"/>
              </w:rPr>
              <w:t>50/套</w:t>
            </w:r>
          </w:p>
        </w:tc>
        <w:tc>
          <w:tcPr>
            <w:tcW w:w="12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c>
          <w:tcPr>
            <w:tcW w:w="228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1、玻璃钢井房外箱体采用新型材料玻璃钢树脂模压成型。玻璃钢井房分三种不同面板8块和1块井房顶组成，井房面板厚度为6mm，规格860mm×750mm、860mm×750mm，井房重量=81.1±0.5kg。</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2、玻璃钢井房分为顶部、中部、下部三部分。井房顶部为红色可移动式斜瓦状顶，宽度为1002mm，高度250mm。内部四角均有两枚固定螺栓，安装顶部时，用螺母固定。中、下部各由四块玻璃钢面板拼接而成，中部高度为750mm，下部高度750mm。被背立面上门板上可以看到门锁、断路器窗口、观察窗、电表窗依次排列开孔，井房面板全部为菱形模块。</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3、井房中层为防水箱，井房两个侧面均有长490mm，宽403mm 的示意区可用来喷绘项目名称或警示语等。</w:t>
            </w:r>
          </w:p>
          <w:p>
            <w:pPr>
              <w:keepNext w:val="0"/>
              <w:keepLines w:val="0"/>
              <w:pageBreakBefore w:val="0"/>
              <w:widowControl/>
              <w:shd w:val="clear" w:color="auto" w:fill="auto"/>
              <w:kinsoku/>
              <w:wordWrap/>
              <w:overflowPunct/>
              <w:topLinePunct w:val="0"/>
              <w:autoSpaceDE/>
              <w:autoSpaceDN/>
              <w:bidi w:val="0"/>
              <w:adjustRightInd w:val="0"/>
              <w:snapToGrid/>
              <w:spacing w:line="240" w:lineRule="exact"/>
              <w:textAlignment w:val="auto"/>
              <w:rPr>
                <w:rFonts w:hint="eastAsia" w:ascii="宋体" w:hAnsi="宋体"/>
                <w:bCs/>
                <w:color w:val="000000"/>
                <w:kern w:val="0"/>
                <w:sz w:val="21"/>
                <w:szCs w:val="21"/>
              </w:rPr>
            </w:pPr>
            <w:r>
              <w:rPr>
                <w:rFonts w:hint="eastAsia" w:ascii="宋体" w:hAnsi="宋体" w:cs="宋体"/>
                <w:color w:val="auto"/>
                <w:kern w:val="0"/>
                <w:sz w:val="21"/>
                <w:szCs w:val="21"/>
                <w:lang w:val="en-US" w:eastAsia="zh-CN" w:bidi="ar"/>
              </w:rPr>
              <w:t>4、正门观察窗旁及两个侧门面板上标志均为15cm×15cm凸体标志。</w:t>
            </w:r>
          </w:p>
        </w:tc>
      </w:tr>
    </w:tbl>
    <w:p>
      <w:pPr>
        <w:spacing w:line="360" w:lineRule="auto"/>
        <w:rPr>
          <w:rFonts w:hint="eastAsia" w:ascii="宋体" w:hAnsi="宋体" w:cs="宋体"/>
          <w:sz w:val="24"/>
          <w:szCs w:val="24"/>
        </w:rPr>
      </w:pPr>
    </w:p>
    <w:bookmarkEnd w:id="108"/>
    <w:bookmarkEnd w:id="109"/>
    <w:bookmarkEnd w:id="110"/>
    <w:bookmarkEnd w:id="111"/>
    <w:bookmarkEnd w:id="112"/>
    <w:bookmarkEnd w:id="113"/>
    <w:bookmarkEnd w:id="114"/>
    <w:p>
      <w:pPr>
        <w:pStyle w:val="37"/>
        <w:rPr>
          <w:rFonts w:hint="eastAsia"/>
        </w:rPr>
      </w:pPr>
    </w:p>
    <w:p>
      <w:pPr>
        <w:rPr>
          <w:rFonts w:hint="eastAsia"/>
        </w:rPr>
      </w:pPr>
    </w:p>
    <w:p>
      <w:pPr>
        <w:pStyle w:val="35"/>
        <w:spacing w:before="0" w:after="0" w:line="360" w:lineRule="auto"/>
        <w:jc w:val="center"/>
        <w:rPr>
          <w:rFonts w:hint="eastAsia" w:ascii="宋体" w:hAnsi="宋体" w:cs="宋体"/>
        </w:rPr>
      </w:pPr>
    </w:p>
    <w:p>
      <w:pPr>
        <w:pStyle w:val="35"/>
        <w:spacing w:before="0" w:after="0" w:line="360" w:lineRule="auto"/>
        <w:jc w:val="center"/>
        <w:rPr>
          <w:rFonts w:hint="eastAsia" w:ascii="宋体" w:hAnsi="宋体" w:cs="宋体"/>
        </w:rPr>
      </w:pPr>
    </w:p>
    <w:p>
      <w:pPr>
        <w:pStyle w:val="35"/>
        <w:spacing w:before="0" w:after="0" w:line="360" w:lineRule="auto"/>
        <w:jc w:val="center"/>
        <w:rPr>
          <w:rFonts w:hint="eastAsia" w:ascii="宋体" w:hAnsi="宋体" w:cs="宋体"/>
        </w:rPr>
      </w:pPr>
      <w:bookmarkStart w:id="115" w:name="_Toc11885"/>
      <w:r>
        <w:rPr>
          <w:rFonts w:hint="eastAsia" w:ascii="宋体" w:hAnsi="宋体" w:cs="宋体"/>
        </w:rPr>
        <w:t>第六章 响应文件格式</w:t>
      </w:r>
      <w:bookmarkEnd w:id="115"/>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jc w:val="center"/>
        <w:rPr>
          <w:rFonts w:hint="eastAsia"/>
        </w:rPr>
        <w:sectPr>
          <w:pgSz w:w="11906" w:h="16838"/>
          <w:pgMar w:top="1134" w:right="1134" w:bottom="1134" w:left="1474" w:header="851" w:footer="510" w:gutter="0"/>
          <w:cols w:space="720" w:num="1"/>
          <w:docGrid w:type="lines" w:linePitch="312" w:charSpace="0"/>
        </w:sectPr>
      </w:pPr>
    </w:p>
    <w:p>
      <w:pPr>
        <w:spacing w:line="460" w:lineRule="exact"/>
        <w:jc w:val="center"/>
        <w:rPr>
          <w:rFonts w:hint="eastAsia" w:ascii="宋体" w:hAnsi="宋体" w:cs="宋体"/>
          <w:sz w:val="32"/>
        </w:rPr>
      </w:pP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7"/>
        <w:rPr>
          <w:rFonts w:hint="eastAsia"/>
        </w:rPr>
      </w:pPr>
    </w:p>
    <w:p>
      <w:pPr>
        <w:pStyle w:val="37"/>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pStyle w:val="37"/>
        <w:rPr>
          <w:rFonts w:hint="eastAsia"/>
        </w:rPr>
      </w:pPr>
    </w:p>
    <w:p>
      <w:pPr>
        <w:pStyle w:val="37"/>
        <w:rPr>
          <w:rFonts w:hint="eastAsia"/>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7"/>
        <w:rPr>
          <w:rFonts w:hint="eastAsia"/>
        </w:rPr>
      </w:pPr>
    </w:p>
    <w:p>
      <w:pPr>
        <w:spacing w:line="460" w:lineRule="exact"/>
        <w:rPr>
          <w:rFonts w:hint="eastAsia" w:ascii="宋体" w:hAnsi="宋体" w:cs="宋体"/>
          <w:sz w:val="32"/>
          <w:szCs w:val="32"/>
        </w:rPr>
      </w:pPr>
    </w:p>
    <w:p>
      <w:pPr>
        <w:pStyle w:val="37"/>
        <w:rPr>
          <w:rFonts w:hint="eastAsia"/>
        </w:rPr>
      </w:pPr>
      <w:bookmarkStart w:id="116" w:name="_Toc23451"/>
      <w:bookmarkStart w:id="117" w:name="_Toc12304"/>
      <w:bookmarkStart w:id="118" w:name="_Toc530584396"/>
      <w:bookmarkStart w:id="119" w:name="_Toc22461"/>
      <w:bookmarkStart w:id="120" w:name="_Toc26310"/>
      <w:bookmarkStart w:id="121" w:name="_Toc373230035"/>
      <w:bookmarkStart w:id="122" w:name="_Toc3023"/>
      <w:bookmarkStart w:id="123" w:name="_Toc408816353"/>
      <w:bookmarkStart w:id="124" w:name="_Toc477423253"/>
      <w:bookmarkStart w:id="125" w:name="_Toc374512423"/>
      <w:bookmarkStart w:id="126" w:name="_Toc490161460"/>
      <w:bookmarkStart w:id="127" w:name="_Toc487805929"/>
    </w:p>
    <w:p>
      <w:pPr>
        <w:pStyle w:val="3"/>
        <w:numPr>
          <w:ilvl w:val="0"/>
          <w:numId w:val="9"/>
        </w:numPr>
        <w:spacing w:before="0" w:after="0" w:line="360" w:lineRule="auto"/>
        <w:rPr>
          <w:rFonts w:hint="eastAsia" w:ascii="宋体" w:hAnsi="宋体" w:cs="宋体"/>
          <w:sz w:val="32"/>
          <w:szCs w:val="32"/>
        </w:rPr>
      </w:pPr>
      <w:bookmarkStart w:id="128" w:name="_Toc30088"/>
      <w:r>
        <w:rPr>
          <w:rFonts w:hint="eastAsia" w:ascii="宋体" w:hAnsi="宋体" w:cs="宋体"/>
          <w:sz w:val="32"/>
          <w:szCs w:val="32"/>
        </w:rPr>
        <w:t>磋商承诺函</w:t>
      </w:r>
      <w:bookmarkEnd w:id="116"/>
      <w:bookmarkEnd w:id="117"/>
      <w:bookmarkEnd w:id="118"/>
      <w:bookmarkEnd w:id="119"/>
      <w:bookmarkEnd w:id="128"/>
    </w:p>
    <w:p>
      <w:pPr>
        <w:keepNext w:val="0"/>
        <w:keepLines w:val="0"/>
        <w:pageBreakBefore w:val="0"/>
        <w:kinsoku/>
        <w:wordWrap/>
        <w:overflowPunct/>
        <w:topLinePunct w:val="0"/>
        <w:autoSpaceDE/>
        <w:autoSpaceDN/>
        <w:bidi w:val="0"/>
        <w:snapToGrid/>
        <w:spacing w:line="440" w:lineRule="exact"/>
        <w:ind w:firstLine="420" w:firstLineChars="200"/>
        <w:rPr>
          <w:rFonts w:hint="eastAsia" w:asciiTheme="minorEastAsia" w:hAnsiTheme="minorEastAsia" w:eastAsiaTheme="minorEastAsia" w:cstheme="minorEastAsia"/>
        </w:rPr>
      </w:pPr>
      <w:r>
        <w:rPr>
          <w:lang w:val="en-US" w:eastAsia="zh-CN"/>
        </w:rPr>
        <w:t>我</w:t>
      </w:r>
      <w:r>
        <w:rPr>
          <w:rFonts w:hint="eastAsia" w:asciiTheme="minorEastAsia" w:hAnsiTheme="minorEastAsia" w:eastAsiaTheme="minorEastAsia" w:cstheme="minorEastAsia"/>
          <w:lang w:val="en-US" w:eastAsia="zh-CN"/>
        </w:rPr>
        <w:t>方参与贵方组织的</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none"/>
          <w:lang w:val="en-US" w:eastAsia="zh-CN"/>
        </w:rPr>
        <w:t>项目</w:t>
      </w:r>
      <w:r>
        <w:rPr>
          <w:rFonts w:hint="eastAsia" w:asciiTheme="minorEastAsia" w:hAnsiTheme="minorEastAsia" w:eastAsiaTheme="minorEastAsia" w:cstheme="minorEastAsia"/>
          <w:szCs w:val="21"/>
          <w:highlight w:val="none"/>
          <w:u w:val="none"/>
          <w:lang w:val="en-US" w:eastAsia="zh-CN"/>
        </w:rPr>
        <w:t>(</w:t>
      </w:r>
      <w:r>
        <w:rPr>
          <w:rFonts w:hint="eastAsia" w:asciiTheme="minorEastAsia" w:hAnsiTheme="minorEastAsia" w:eastAsiaTheme="minorEastAsia" w:cstheme="minorEastAsia"/>
          <w:szCs w:val="21"/>
          <w:lang w:eastAsia="zh-CN"/>
        </w:rPr>
        <w:t>项目</w:t>
      </w:r>
      <w:r>
        <w:rPr>
          <w:rFonts w:hint="eastAsia" w:asciiTheme="minorEastAsia" w:hAnsiTheme="minorEastAsia" w:eastAsiaTheme="minorEastAsia" w:cstheme="minorEastAsia"/>
          <w:szCs w:val="21"/>
        </w:rPr>
        <w:t>编号：</w:t>
      </w:r>
      <w:r>
        <w:rPr>
          <w:rFonts w:hint="eastAsia" w:asciiTheme="minorEastAsia" w:hAnsiTheme="minorEastAsia" w:eastAsiaTheme="minorEastAsia" w:cstheme="minorEastAsia"/>
          <w:color w:val="auto"/>
          <w:szCs w:val="21"/>
          <w:u w:val="single"/>
          <w:lang w:val="en-US" w:eastAsia="zh-CN"/>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lang w:val="en-US" w:eastAsia="zh-CN"/>
        </w:rPr>
        <w:t xml:space="preserve">采购活动。对此，我方承诺如下：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1.我方完全理解并认可本项目竞争性磋商文件内容和接受由贵方对响应文件进行集中解密，发生争议时不会以对上述内容存在误解为由，行使法律上的抗辩权。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2.我方对所提交的响应文件及相关资料的真实性、准确性和完整性负责，愿意向贵方提供任何与本次谈判有关的数据、技术资料和相关证明材料。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3.我方针对本项目的磋商有效期为</w:t>
      </w:r>
      <w:r>
        <w:rPr>
          <w:rFonts w:hint="eastAsia" w:ascii="宋体" w:hAnsi="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天，在此期间，我方在响应文件中作出的所有响应均有效，随时准备接受你方发出的成交通知书。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完全接受和满足本项目竞争性磋商文件中的规定，如对竞争性磋商文件有异议，已经在响应文件提交截止时间前依法进行维权，不存在对竞争性磋商文件有异议的同时又参加谈判以求侥幸成交或者为实现其他非法目的的行为。</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6.采购人若需按规定允许比例追加与合同标的相同的货物、工程或者服务的，在不改变合同其他条款的前提下，我方愿意签订补充合同，按相同或更优惠的折扣率保证供应或提供服务。</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8.参加本次采购活动，不存在与单位负责人为同一人或者存在直接控股、管理关系的其他供应商参与同一合同项下的政府采购活动的行为。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9.参加本次采购活动，不存在为采购项目提供整体设计、规范编制或者项目管理、监理、检测等服务的行为。</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10.参加本次采购活动，不存在和其他供应商在同一合同项下的采购项目中，同时委托同一个自然人、同一家庭的人员、同一单位的人员作为代理人的行为。</w:t>
      </w:r>
    </w:p>
    <w:p>
      <w:pPr>
        <w:keepNext w:val="0"/>
        <w:keepLines w:val="0"/>
        <w:pageBreakBefore w:val="0"/>
        <w:numPr>
          <w:ilvl w:val="0"/>
          <w:numId w:val="0"/>
        </w:numPr>
        <w:kinsoku/>
        <w:wordWrap/>
        <w:overflowPunct/>
        <w:topLinePunct w:val="0"/>
        <w:autoSpaceDE/>
        <w:autoSpaceDN/>
        <w:bidi w:val="0"/>
        <w:adjustRightInd w:val="0"/>
        <w:snapToGrid/>
        <w:spacing w:line="440" w:lineRule="exact"/>
        <w:ind w:firstLine="420" w:firstLineChars="200"/>
        <w:jc w:val="left"/>
        <w:textAlignment w:val="baseline"/>
        <w:rPr>
          <w:rFonts w:hint="eastAsia" w:asciiTheme="minorEastAsia" w:hAnsiTheme="minorEastAsia" w:eastAsiaTheme="minorEastAsia" w:cstheme="minorEastAsia"/>
          <w:szCs w:val="21"/>
        </w:rPr>
      </w:pP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 xml:space="preserve">如果我方违反上述承诺，或承诺内容不属实，我方愿意承担一切不利的法律后果。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与本</w:t>
      </w:r>
      <w:r>
        <w:rPr>
          <w:rFonts w:hint="eastAsia" w:asciiTheme="minorEastAsia" w:hAnsiTheme="minorEastAsia" w:cstheme="minorEastAsia"/>
          <w:color w:val="000000"/>
          <w:kern w:val="0"/>
          <w:sz w:val="21"/>
          <w:szCs w:val="21"/>
          <w:lang w:val="en-US" w:eastAsia="zh-CN" w:bidi="ar"/>
        </w:rPr>
        <w:t>谈判</w:t>
      </w:r>
      <w:r>
        <w:rPr>
          <w:rFonts w:hint="eastAsia" w:asciiTheme="minorEastAsia" w:hAnsiTheme="minorEastAsia" w:eastAsiaTheme="minorEastAsia" w:cstheme="minorEastAsia"/>
          <w:color w:val="000000"/>
          <w:kern w:val="0"/>
          <w:sz w:val="21"/>
          <w:szCs w:val="21"/>
          <w:lang w:val="en-US" w:eastAsia="zh-CN" w:bidi="ar"/>
        </w:rPr>
        <w:t xml:space="preserve">有关的联系方式：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 xml:space="preserve">地址：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 xml:space="preserve">邮编：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 xml:space="preserve">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cstheme="minorEastAsia"/>
          <w:color w:val="000000"/>
          <w:kern w:val="0"/>
          <w:sz w:val="21"/>
          <w:szCs w:val="21"/>
          <w:lang w:val="en-US" w:eastAsia="zh-CN" w:bidi="ar"/>
        </w:rPr>
        <w:t>供应商</w:t>
      </w:r>
      <w:r>
        <w:rPr>
          <w:rFonts w:hint="eastAsia" w:asciiTheme="minorEastAsia" w:hAnsiTheme="minorEastAsia" w:eastAsiaTheme="minorEastAsia" w:cstheme="minorEastAsia"/>
          <w:color w:val="000000"/>
          <w:kern w:val="0"/>
          <w:sz w:val="21"/>
          <w:szCs w:val="21"/>
          <w:lang w:val="en-US" w:eastAsia="zh-CN" w:bidi="ar"/>
        </w:rPr>
        <w:t xml:space="preserve">代表姓名：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cstheme="minorEastAsia"/>
          <w:color w:val="000000"/>
          <w:kern w:val="0"/>
          <w:sz w:val="21"/>
          <w:szCs w:val="21"/>
          <w:lang w:val="en-US" w:eastAsia="zh-CN" w:bidi="ar"/>
        </w:rPr>
        <w:t>供应商</w:t>
      </w:r>
      <w:r>
        <w:rPr>
          <w:rFonts w:hint="eastAsia" w:asciiTheme="minorEastAsia" w:hAnsiTheme="minorEastAsia" w:eastAsiaTheme="minorEastAsia" w:cstheme="minorEastAsia"/>
          <w:color w:val="000000"/>
          <w:kern w:val="0"/>
          <w:sz w:val="21"/>
          <w:szCs w:val="21"/>
          <w:lang w:val="en-US" w:eastAsia="zh-CN" w:bidi="ar"/>
        </w:rPr>
        <w:t xml:space="preserve">代表联系电话：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cstheme="minorEastAsia"/>
          <w:color w:val="000000"/>
          <w:kern w:val="0"/>
          <w:sz w:val="21"/>
          <w:szCs w:val="21"/>
          <w:lang w:val="en-US" w:eastAsia="zh-CN" w:bidi="ar"/>
        </w:rPr>
        <w:t>供应商</w:t>
      </w:r>
      <w:r>
        <w:rPr>
          <w:rFonts w:hint="eastAsia" w:asciiTheme="minorEastAsia" w:hAnsiTheme="minorEastAsia" w:eastAsiaTheme="minorEastAsia" w:cstheme="minorEastAsia"/>
          <w:color w:val="000000"/>
          <w:kern w:val="0"/>
          <w:sz w:val="21"/>
          <w:szCs w:val="21"/>
          <w:lang w:val="en-US" w:eastAsia="zh-CN" w:bidi="ar"/>
        </w:rPr>
        <w:t xml:space="preserve">代表电子邮箱: </w:t>
      </w:r>
    </w:p>
    <w:p>
      <w:pPr>
        <w:keepNext w:val="0"/>
        <w:keepLines w:val="0"/>
        <w:pageBreakBefore w:val="0"/>
        <w:kinsoku/>
        <w:wordWrap/>
        <w:overflowPunct/>
        <w:topLinePunct w:val="0"/>
        <w:autoSpaceDE/>
        <w:autoSpaceDN/>
        <w:bidi w:val="0"/>
        <w:adjustRightInd w:val="0"/>
        <w:snapToGrid/>
        <w:spacing w:line="440" w:lineRule="exact"/>
        <w:ind w:firstLine="1785" w:firstLineChars="850"/>
        <w:jc w:val="left"/>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r>
        <w:rPr>
          <w:rFonts w:hint="eastAsia" w:asciiTheme="minorEastAsia" w:hAnsiTheme="minorEastAsia" w:cstheme="minorEastAsia"/>
          <w:szCs w:val="21"/>
          <w:lang w:val="en-US" w:eastAsia="zh-CN"/>
        </w:rPr>
        <w:t>供应商</w:t>
      </w:r>
      <w:r>
        <w:rPr>
          <w:rFonts w:hint="eastAsia" w:asciiTheme="minorEastAsia" w:hAnsiTheme="minorEastAsia" w:eastAsiaTheme="minorEastAsia" w:cstheme="minorEastAsia"/>
          <w:szCs w:val="21"/>
          <w:lang w:val="en-US" w:eastAsia="zh-CN"/>
        </w:rPr>
        <w:t xml:space="preserve">代表（签字或名章）： </w:t>
      </w:r>
    </w:p>
    <w:p>
      <w:pPr>
        <w:keepNext w:val="0"/>
        <w:keepLines w:val="0"/>
        <w:pageBreakBefore w:val="0"/>
        <w:kinsoku/>
        <w:wordWrap/>
        <w:overflowPunct/>
        <w:topLinePunct w:val="0"/>
        <w:autoSpaceDE/>
        <w:autoSpaceDN/>
        <w:bidi w:val="0"/>
        <w:adjustRightInd w:val="0"/>
        <w:snapToGrid/>
        <w:spacing w:line="440" w:lineRule="exact"/>
        <w:ind w:firstLine="3780" w:firstLineChars="1800"/>
        <w:jc w:val="left"/>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法定代表人（签字或名章）： </w:t>
      </w:r>
    </w:p>
    <w:p>
      <w:pPr>
        <w:keepNext w:val="0"/>
        <w:keepLines w:val="0"/>
        <w:pageBreakBefore w:val="0"/>
        <w:kinsoku/>
        <w:wordWrap/>
        <w:overflowPunct/>
        <w:topLinePunct w:val="0"/>
        <w:autoSpaceDE/>
        <w:autoSpaceDN/>
        <w:bidi w:val="0"/>
        <w:adjustRightInd w:val="0"/>
        <w:snapToGrid/>
        <w:spacing w:line="440" w:lineRule="exact"/>
        <w:ind w:firstLine="3780" w:firstLineChars="1800"/>
        <w:jc w:val="left"/>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供应商名称（全称并加盖公章）：</w:t>
      </w:r>
    </w:p>
    <w:p>
      <w:pPr>
        <w:keepNext w:val="0"/>
        <w:keepLines w:val="0"/>
        <w:pageBreakBefore w:val="0"/>
        <w:kinsoku/>
        <w:wordWrap/>
        <w:overflowPunct/>
        <w:topLinePunct w:val="0"/>
        <w:autoSpaceDE/>
        <w:autoSpaceDN/>
        <w:bidi w:val="0"/>
        <w:adjustRightInd w:val="0"/>
        <w:snapToGrid/>
        <w:spacing w:line="440" w:lineRule="exact"/>
        <w:ind w:firstLine="1785" w:firstLineChars="850"/>
        <w:jc w:val="left"/>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日     期：</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w:t>
      </w: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lang w:eastAsia="zh-CN"/>
        </w:rPr>
      </w:pPr>
      <w:r>
        <w:rPr>
          <w:rFonts w:hint="eastAsia"/>
          <w:lang w:eastAsia="zh-CN"/>
        </w:rPr>
        <w:tab/>
      </w: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rPr>
      </w:pPr>
    </w:p>
    <w:p>
      <w:pPr>
        <w:pStyle w:val="3"/>
        <w:numPr>
          <w:ilvl w:val="0"/>
          <w:numId w:val="9"/>
        </w:numPr>
        <w:spacing w:before="0" w:after="0" w:line="360" w:lineRule="auto"/>
        <w:rPr>
          <w:rFonts w:hint="eastAsia" w:ascii="宋体" w:hAnsi="宋体" w:cs="宋体"/>
          <w:sz w:val="32"/>
          <w:szCs w:val="32"/>
        </w:rPr>
      </w:pPr>
      <w:bookmarkStart w:id="129" w:name="_Toc438"/>
      <w:bookmarkStart w:id="130" w:name="_Toc13659"/>
      <w:bookmarkStart w:id="131" w:name="_Toc10911"/>
      <w:bookmarkStart w:id="132" w:name="_Toc32512"/>
      <w:r>
        <w:rPr>
          <w:rFonts w:hint="eastAsia" w:ascii="宋体" w:hAnsi="宋体" w:cs="宋体"/>
          <w:sz w:val="32"/>
          <w:szCs w:val="32"/>
        </w:rPr>
        <w:t>承诺书</w:t>
      </w:r>
      <w:bookmarkEnd w:id="129"/>
      <w:bookmarkEnd w:id="130"/>
      <w:bookmarkEnd w:id="131"/>
      <w:bookmarkEnd w:id="132"/>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5</w:t>
      </w:r>
      <w:r>
        <w:rPr>
          <w:rFonts w:hint="eastAsia" w:ascii="宋体" w:hAnsi="宋体" w:cs="宋体"/>
          <w:sz w:val="24"/>
          <w:szCs w:val="24"/>
          <w:lang w:eastAsia="zh-CN"/>
        </w:rPr>
        <w:t>）磋商文件及相关法律法规规定的其他情形</w:t>
      </w:r>
      <w:r>
        <w:rPr>
          <w:rFonts w:hint="eastAsia" w:ascii="宋体" w:hAnsi="宋体" w:cs="宋体"/>
          <w:sz w:val="24"/>
          <w:szCs w:val="24"/>
        </w:rPr>
        <w:t>。</w:t>
      </w: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20"/>
    <w:bookmarkEnd w:id="121"/>
    <w:bookmarkEnd w:id="122"/>
    <w:bookmarkEnd w:id="123"/>
    <w:bookmarkEnd w:id="124"/>
    <w:bookmarkEnd w:id="125"/>
    <w:bookmarkEnd w:id="126"/>
    <w:bookmarkEnd w:id="127"/>
    <w:p>
      <w:pPr>
        <w:pStyle w:val="3"/>
        <w:numPr>
          <w:ilvl w:val="0"/>
          <w:numId w:val="9"/>
        </w:numPr>
        <w:spacing w:before="0" w:after="0" w:line="360" w:lineRule="auto"/>
        <w:rPr>
          <w:rFonts w:hint="eastAsia" w:ascii="宋体" w:hAnsi="宋体" w:cs="宋体"/>
          <w:sz w:val="32"/>
          <w:szCs w:val="32"/>
        </w:rPr>
      </w:pPr>
      <w:bookmarkStart w:id="133" w:name="_Toc7123"/>
      <w:bookmarkStart w:id="134" w:name="_Toc29369"/>
      <w:bookmarkStart w:id="135" w:name="_Toc6638"/>
      <w:bookmarkStart w:id="136" w:name="_Toc484"/>
      <w:bookmarkStart w:id="137" w:name="_Toc476045982"/>
      <w:bookmarkStart w:id="138" w:name="_Toc475955188"/>
      <w:bookmarkStart w:id="139" w:name="_Toc364490445"/>
      <w:bookmarkStart w:id="140" w:name="_Toc27591"/>
      <w:bookmarkStart w:id="141" w:name="_Toc453513319"/>
      <w:bookmarkStart w:id="142" w:name="_Toc408816355"/>
      <w:bookmarkStart w:id="143" w:name="_Toc477423254"/>
      <w:bookmarkStart w:id="144" w:name="_Toc374512425"/>
      <w:bookmarkStart w:id="145" w:name="_Toc373230037"/>
      <w:r>
        <w:rPr>
          <w:rFonts w:hint="eastAsia" w:ascii="宋体" w:hAnsi="宋体" w:cs="宋体"/>
          <w:sz w:val="32"/>
          <w:szCs w:val="32"/>
        </w:rPr>
        <w:t>供应商基本情况表</w:t>
      </w:r>
      <w:bookmarkEnd w:id="133"/>
      <w:bookmarkEnd w:id="134"/>
      <w:bookmarkEnd w:id="135"/>
      <w:bookmarkEnd w:id="136"/>
    </w:p>
    <w:tbl>
      <w:tblPr>
        <w:tblStyle w:val="38"/>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设立登记证书</w:t>
            </w:r>
            <w:r>
              <w:rPr>
                <w:rFonts w:hint="eastAsia" w:ascii="宋体" w:hAnsi="宋体" w:cs="宋体"/>
                <w:sz w:val="24"/>
                <w:lang w:eastAsia="zh-CN"/>
              </w:rPr>
              <w:t>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1" w:type="default"/>
          <w:pgSz w:w="11906" w:h="16838"/>
          <w:pgMar w:top="1134" w:right="1134" w:bottom="1134" w:left="1474" w:header="851" w:footer="510" w:gutter="0"/>
          <w:cols w:space="720" w:num="1"/>
          <w:docGrid w:type="lines" w:linePitch="312" w:charSpace="0"/>
        </w:sectPr>
      </w:pPr>
    </w:p>
    <w:p>
      <w:pPr>
        <w:pStyle w:val="3"/>
        <w:numPr>
          <w:ilvl w:val="0"/>
          <w:numId w:val="9"/>
        </w:numPr>
        <w:spacing w:before="0" w:after="0" w:line="360" w:lineRule="auto"/>
        <w:rPr>
          <w:rFonts w:hint="eastAsia" w:ascii="宋体" w:hAnsi="宋体" w:cs="宋体"/>
          <w:sz w:val="32"/>
          <w:szCs w:val="32"/>
        </w:rPr>
      </w:pPr>
      <w:bookmarkStart w:id="146" w:name="_Toc20355"/>
      <w:bookmarkStart w:id="147" w:name="_Toc31769"/>
      <w:bookmarkStart w:id="148" w:name="_Toc18368"/>
      <w:bookmarkStart w:id="149" w:name="_Toc530584397"/>
      <w:bookmarkStart w:id="150" w:name="_Toc19916"/>
      <w:r>
        <w:rPr>
          <w:rFonts w:hint="eastAsia" w:ascii="宋体" w:hAnsi="宋体" w:cs="宋体"/>
          <w:sz w:val="32"/>
          <w:szCs w:val="32"/>
        </w:rPr>
        <w:t>第一轮报价表</w:t>
      </w:r>
      <w:bookmarkEnd w:id="146"/>
      <w:bookmarkEnd w:id="147"/>
      <w:bookmarkEnd w:id="148"/>
      <w:bookmarkEnd w:id="149"/>
      <w:bookmarkEnd w:id="150"/>
    </w:p>
    <w:tbl>
      <w:tblPr>
        <w:tblStyle w:val="38"/>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Cs w:val="21"/>
        </w:rPr>
        <w:t xml:space="preserve">                                                 </w:t>
      </w:r>
      <w:r>
        <w:rPr>
          <w:rFonts w:hint="eastAsia" w:ascii="宋体" w:hAnsi="宋体" w:cs="宋体"/>
          <w:sz w:val="24"/>
        </w:rPr>
        <w:t xml:space="preserve">  年    月   日</w:t>
      </w:r>
    </w:p>
    <w:p>
      <w:pPr>
        <w:spacing w:line="360" w:lineRule="auto"/>
        <w:rPr>
          <w:rFonts w:hint="eastAsia" w:ascii="宋体" w:hAnsi="宋体" w:cs="宋体"/>
          <w:sz w:val="24"/>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3"/>
        <w:numPr>
          <w:ilvl w:val="0"/>
          <w:numId w:val="9"/>
        </w:numPr>
        <w:spacing w:before="0" w:after="0" w:line="360" w:lineRule="auto"/>
        <w:rPr>
          <w:rFonts w:hint="eastAsia" w:ascii="宋体" w:hAnsi="宋体" w:cs="宋体"/>
          <w:sz w:val="32"/>
          <w:szCs w:val="32"/>
        </w:rPr>
      </w:pPr>
      <w:bookmarkStart w:id="151" w:name="_Toc8227"/>
      <w:bookmarkStart w:id="152" w:name="_Toc23602"/>
      <w:bookmarkStart w:id="153" w:name="_Toc29326"/>
      <w:bookmarkStart w:id="154" w:name="_Toc16334"/>
      <w:r>
        <w:rPr>
          <w:rFonts w:hint="eastAsia" w:ascii="宋体" w:hAnsi="宋体" w:cs="宋体"/>
          <w:sz w:val="32"/>
          <w:szCs w:val="32"/>
        </w:rPr>
        <w:t>报价明细表</w:t>
      </w:r>
      <w:bookmarkEnd w:id="151"/>
      <w:bookmarkEnd w:id="152"/>
      <w:bookmarkEnd w:id="153"/>
      <w:bookmarkEnd w:id="154"/>
    </w:p>
    <w:p>
      <w:pPr>
        <w:spacing w:line="360" w:lineRule="auto"/>
        <w:ind w:firstLine="210" w:firstLineChars="100"/>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927"/>
        <w:gridCol w:w="1040"/>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927" w:type="dxa"/>
            <w:noWrap w:val="0"/>
            <w:vAlign w:val="center"/>
          </w:tcPr>
          <w:p>
            <w:pPr>
              <w:spacing w:line="240" w:lineRule="atLeast"/>
              <w:jc w:val="center"/>
              <w:rPr>
                <w:rFonts w:hint="eastAsia" w:ascii="宋体" w:hAnsi="宋体" w:cs="宋体"/>
                <w:szCs w:val="21"/>
                <w:lang w:eastAsia="zh-CN"/>
              </w:rPr>
            </w:pPr>
            <w:r>
              <w:rPr>
                <w:rFonts w:hint="eastAsia" w:ascii="宋体" w:hAnsi="宋体" w:cs="宋体"/>
                <w:szCs w:val="21"/>
                <w:lang w:eastAsia="zh-CN"/>
              </w:rPr>
              <w:t>标的</w:t>
            </w:r>
          </w:p>
          <w:p>
            <w:pPr>
              <w:spacing w:line="240" w:lineRule="atLeast"/>
              <w:jc w:val="center"/>
              <w:rPr>
                <w:rFonts w:hint="eastAsia" w:ascii="宋体" w:hAnsi="宋体" w:cs="宋体"/>
                <w:szCs w:val="21"/>
              </w:rPr>
            </w:pPr>
            <w:r>
              <w:rPr>
                <w:rFonts w:hint="eastAsia" w:ascii="宋体" w:hAnsi="宋体" w:cs="宋体"/>
                <w:szCs w:val="21"/>
              </w:rPr>
              <w:t>名称</w:t>
            </w:r>
          </w:p>
        </w:tc>
        <w:tc>
          <w:tcPr>
            <w:tcW w:w="1040"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eastAsia="宋体" w:cs="宋体"/>
                <w:szCs w:val="21"/>
                <w:lang w:eastAsia="zh-CN"/>
              </w:rPr>
            </w:pPr>
            <w:r>
              <w:rPr>
                <w:rFonts w:hint="eastAsia" w:ascii="宋体" w:hAnsi="宋体" w:cs="宋体"/>
                <w:szCs w:val="21"/>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9022" w:type="dxa"/>
            <w:gridSpan w:val="9"/>
            <w:noWrap w:val="0"/>
            <w:vAlign w:val="center"/>
          </w:tcPr>
          <w:p>
            <w:pPr>
              <w:spacing w:line="360" w:lineRule="auto"/>
              <w:rPr>
                <w:rFonts w:hint="eastAsia" w:ascii="宋体" w:hAnsi="宋体" w:cs="宋体"/>
                <w:szCs w:val="21"/>
              </w:rPr>
            </w:pPr>
            <w:r>
              <w:rPr>
                <w:rFonts w:hint="eastAsia" w:ascii="宋体" w:hAnsi="宋体" w:cs="宋体"/>
                <w:szCs w:val="21"/>
              </w:rPr>
              <w:t>总</w:t>
            </w:r>
            <w:r>
              <w:rPr>
                <w:rFonts w:hint="eastAsia" w:ascii="宋体" w:hAnsi="宋体" w:cs="宋体"/>
                <w:szCs w:val="21"/>
                <w:lang w:eastAsia="zh-CN"/>
              </w:rPr>
              <w:t>报</w:t>
            </w:r>
            <w:r>
              <w:rPr>
                <w:rFonts w:hint="eastAsia" w:ascii="宋体" w:hAnsi="宋体" w:cs="宋体"/>
                <w:szCs w:val="21"/>
              </w:rPr>
              <w:t>价（大写）：                               （小写）：</w:t>
            </w:r>
          </w:p>
        </w:tc>
      </w:tr>
    </w:tbl>
    <w:p>
      <w:pPr>
        <w:spacing w:line="360" w:lineRule="auto"/>
        <w:ind w:firstLine="420" w:firstLineChars="200"/>
        <w:rPr>
          <w:rFonts w:hint="eastAsia" w:ascii="宋体" w:hAnsi="宋体"/>
          <w:sz w:val="21"/>
          <w:szCs w:val="21"/>
        </w:rPr>
      </w:pPr>
    </w:p>
    <w:p>
      <w:pPr>
        <w:spacing w:before="190" w:beforeLines="50" w:after="190" w:afterLines="50" w:line="480" w:lineRule="auto"/>
        <w:jc w:val="center"/>
        <w:rPr>
          <w:rFonts w:hint="eastAsia" w:ascii="宋体" w:hAnsi="宋体"/>
          <w:sz w:val="21"/>
          <w:szCs w:val="21"/>
        </w:rPr>
      </w:pPr>
      <w:r>
        <w:rPr>
          <w:rFonts w:hint="eastAsia" w:ascii="宋体" w:hAnsi="宋体"/>
          <w:sz w:val="21"/>
          <w:szCs w:val="21"/>
          <w:lang w:val="en-US" w:eastAsia="zh-CN"/>
        </w:rPr>
        <w:t xml:space="preserve">          </w:t>
      </w:r>
      <w:r>
        <w:rPr>
          <w:rFonts w:hint="eastAsia" w:ascii="宋体" w:hAnsi="宋体"/>
          <w:sz w:val="21"/>
          <w:szCs w:val="21"/>
          <w:lang w:eastAsia="zh-CN"/>
        </w:rPr>
        <w:t>供应商</w:t>
      </w:r>
      <w:r>
        <w:rPr>
          <w:rFonts w:hint="eastAsia" w:ascii="宋体" w:hAnsi="宋体"/>
          <w:sz w:val="21"/>
          <w:szCs w:val="21"/>
        </w:rPr>
        <w:t>名称（全称并加盖公章）：</w:t>
      </w:r>
    </w:p>
    <w:p>
      <w:pPr>
        <w:spacing w:before="190" w:beforeLines="50" w:after="190" w:afterLines="50" w:line="480" w:lineRule="auto"/>
        <w:jc w:val="center"/>
        <w:rPr>
          <w:rFonts w:hint="eastAsia" w:ascii="宋体" w:hAnsi="宋体"/>
          <w:sz w:val="21"/>
          <w:szCs w:val="21"/>
        </w:rPr>
      </w:pPr>
      <w:r>
        <w:rPr>
          <w:rFonts w:hint="eastAsia" w:ascii="宋体" w:hAnsi="宋体"/>
          <w:sz w:val="21"/>
          <w:szCs w:val="21"/>
        </w:rPr>
        <w:t>法定代表人或其委托代理人（</w:t>
      </w:r>
      <w:r>
        <w:rPr>
          <w:rFonts w:hint="eastAsia" w:ascii="宋体" w:hAnsi="宋体"/>
          <w:sz w:val="21"/>
          <w:szCs w:val="21"/>
          <w:lang w:eastAsia="zh-CN"/>
        </w:rPr>
        <w:t>签名</w:t>
      </w:r>
      <w:r>
        <w:rPr>
          <w:rFonts w:hint="eastAsia" w:ascii="宋体" w:hAnsi="宋体"/>
          <w:sz w:val="21"/>
          <w:szCs w:val="21"/>
        </w:rPr>
        <w:t>或盖章）：</w:t>
      </w:r>
    </w:p>
    <w:p>
      <w:pPr>
        <w:spacing w:before="190" w:beforeLines="50" w:after="190" w:afterLines="50" w:line="480" w:lineRule="auto"/>
        <w:jc w:val="left"/>
        <w:rPr>
          <w:rFonts w:hint="eastAsia" w:ascii="宋体" w:hAnsi="宋体"/>
          <w:sz w:val="21"/>
          <w:szCs w:val="21"/>
        </w:rPr>
      </w:pP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年   月   日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rPr>
      </w:pPr>
    </w:p>
    <w:p>
      <w:pPr>
        <w:pStyle w:val="12"/>
        <w:rPr>
          <w:rFonts w:hint="eastAsia" w:ascii="宋体" w:hAnsi="宋体" w:cs="宋体"/>
          <w:b/>
        </w:rPr>
      </w:pPr>
    </w:p>
    <w:p>
      <w:pPr>
        <w:pStyle w:val="52"/>
        <w:rPr>
          <w:rFonts w:hint="eastAsia" w:hAnsi="宋体"/>
          <w:b/>
        </w:rPr>
      </w:pPr>
    </w:p>
    <w:p>
      <w:pPr>
        <w:spacing w:line="360" w:lineRule="auto"/>
        <w:rPr>
          <w:rFonts w:hint="eastAsia" w:ascii="宋体" w:hAnsi="宋体" w:cs="宋体"/>
        </w:rPr>
      </w:pPr>
      <w:bookmarkStart w:id="155" w:name="_Toc11308"/>
      <w:bookmarkStart w:id="156" w:name="_Toc30567"/>
      <w:bookmarkStart w:id="157" w:name="_Toc15225"/>
    </w:p>
    <w:p>
      <w:pPr>
        <w:pStyle w:val="56"/>
        <w:rPr>
          <w:rFonts w:hint="eastAsia" w:ascii="宋体" w:hAnsi="宋体" w:cs="宋体"/>
        </w:rPr>
      </w:pPr>
    </w:p>
    <w:p>
      <w:pPr>
        <w:rPr>
          <w:rFonts w:hint="eastAsia" w:ascii="宋体" w:hAnsi="宋体" w:cs="宋体"/>
        </w:rPr>
      </w:pPr>
      <w:r>
        <w:rPr>
          <w:rFonts w:hint="eastAsia" w:ascii="宋体" w:hAnsi="宋体" w:cs="宋体"/>
        </w:rPr>
        <w:br w:type="page"/>
      </w:r>
    </w:p>
    <w:p>
      <w:pPr>
        <w:pStyle w:val="3"/>
        <w:numPr>
          <w:ilvl w:val="0"/>
          <w:numId w:val="9"/>
        </w:numPr>
        <w:spacing w:before="0" w:after="0" w:line="360" w:lineRule="auto"/>
        <w:rPr>
          <w:rFonts w:hint="eastAsia" w:ascii="宋体" w:hAnsi="宋体" w:cs="宋体"/>
          <w:sz w:val="32"/>
          <w:szCs w:val="32"/>
        </w:rPr>
      </w:pPr>
      <w:bookmarkStart w:id="158" w:name="_Toc7898"/>
      <w:r>
        <w:rPr>
          <w:rFonts w:hint="eastAsia" w:ascii="宋体" w:hAnsi="宋体" w:cs="宋体"/>
          <w:sz w:val="32"/>
          <w:szCs w:val="32"/>
        </w:rPr>
        <w:t>技术响应表</w:t>
      </w:r>
      <w:bookmarkEnd w:id="155"/>
      <w:bookmarkEnd w:id="156"/>
      <w:bookmarkEnd w:id="158"/>
    </w:p>
    <w:bookmarkEnd w:id="157"/>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3849"/>
        <w:gridCol w:w="1163"/>
        <w:gridCol w:w="313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0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84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sz w:val="21"/>
                <w:szCs w:val="21"/>
                <w:lang w:eastAsia="zh-CN"/>
              </w:rPr>
            </w:pPr>
            <w:r>
              <w:rPr>
                <w:rFonts w:hint="eastAsia" w:ascii="宋体" w:hAnsi="宋体"/>
                <w:sz w:val="21"/>
                <w:szCs w:val="21"/>
                <w:lang w:eastAsia="zh-CN"/>
              </w:rPr>
              <w:t>磋商文件要求</w:t>
            </w:r>
          </w:p>
        </w:tc>
        <w:tc>
          <w:tcPr>
            <w:tcW w:w="116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137"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lang w:eastAsia="zh-CN"/>
              </w:rPr>
              <w:t>供应商</w:t>
            </w:r>
            <w:r>
              <w:rPr>
                <w:rFonts w:hint="eastAsia" w:ascii="宋体" w:hAnsi="宋体"/>
                <w:sz w:val="21"/>
                <w:szCs w:val="21"/>
              </w:rPr>
              <w:t>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92"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rPr>
          <w:rFonts w:hint="eastAsia" w:ascii="宋体" w:hAnsi="宋体" w:cs="宋体"/>
          <w:color w:val="000000"/>
          <w:szCs w:val="21"/>
        </w:rPr>
      </w:pPr>
    </w:p>
    <w:p>
      <w:pPr>
        <w:rPr>
          <w:rFonts w:hint="eastAsia" w:ascii="宋体" w:hAnsi="宋体" w:cs="宋体"/>
          <w:color w:val="000000"/>
          <w:szCs w:val="21"/>
        </w:rPr>
      </w:pPr>
    </w:p>
    <w:p>
      <w:pPr>
        <w:rPr>
          <w:rFonts w:hint="eastAsia" w:ascii="宋体" w:hAnsi="宋体" w:cs="宋体"/>
          <w:color w:val="000000"/>
          <w:szCs w:val="21"/>
        </w:rPr>
      </w:pPr>
    </w:p>
    <w:p>
      <w:pPr>
        <w:widowControl/>
        <w:adjustRightInd w:val="0"/>
        <w:spacing w:line="360" w:lineRule="auto"/>
        <w:rPr>
          <w:rFonts w:hint="eastAsia" w:ascii="宋体" w:hAnsi="宋体" w:cs="宋体"/>
          <w:color w:val="000000"/>
          <w:szCs w:val="21"/>
          <w:lang w:eastAsia="zh-CN"/>
        </w:rPr>
      </w:pPr>
      <w:r>
        <w:rPr>
          <w:rFonts w:hint="eastAsia" w:ascii="宋体" w:hAnsi="宋体" w:cs="宋体"/>
          <w:color w:val="000000"/>
          <w:szCs w:val="21"/>
        </w:rPr>
        <w:t>注：</w:t>
      </w:r>
      <w:r>
        <w:rPr>
          <w:rFonts w:hint="eastAsia" w:ascii="宋体" w:hAnsi="宋体" w:cs="宋体"/>
          <w:color w:val="000000"/>
          <w:szCs w:val="21"/>
          <w:lang w:eastAsia="zh-CN"/>
        </w:rPr>
        <w:t>本表“磋商文件要求”中填写磋商文件第五章中“四、采购内容及技术要求”的内容。</w:t>
      </w:r>
    </w:p>
    <w:p>
      <w:pPr>
        <w:rPr>
          <w:rFonts w:hint="eastAsia" w:ascii="宋体" w:hAnsi="宋体" w:cs="宋体"/>
          <w:color w:val="000000"/>
          <w:szCs w:val="21"/>
        </w:rPr>
      </w:pP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w:t>
      </w:r>
      <w:r>
        <w:rPr>
          <w:rFonts w:hint="eastAsia" w:ascii="宋体" w:hAnsi="宋体" w:cs="宋体"/>
          <w:sz w:val="24"/>
          <w:lang w:eastAsia="zh-CN"/>
        </w:rPr>
        <w:t>签名或盖章</w:t>
      </w:r>
      <w:r>
        <w:rPr>
          <w:rFonts w:hint="eastAsia" w:ascii="宋体" w:hAnsi="宋体" w:cs="宋体"/>
          <w:sz w:val="24"/>
        </w:rPr>
        <w:t>）：</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7"/>
        <w:rPr>
          <w:rFonts w:hint="eastAsia" w:ascii="宋体" w:hAnsi="宋体" w:cs="宋体"/>
        </w:rPr>
      </w:pPr>
    </w:p>
    <w:p>
      <w:pPr>
        <w:rPr>
          <w:rFonts w:hint="eastAsia"/>
        </w:rPr>
      </w:pPr>
    </w:p>
    <w:p>
      <w:pPr>
        <w:pStyle w:val="3"/>
        <w:numPr>
          <w:ilvl w:val="0"/>
          <w:numId w:val="9"/>
        </w:numPr>
        <w:spacing w:before="0" w:after="0" w:line="360" w:lineRule="auto"/>
        <w:rPr>
          <w:rFonts w:hint="eastAsia" w:ascii="宋体" w:hAnsi="宋体" w:cs="宋体"/>
          <w:sz w:val="32"/>
          <w:szCs w:val="32"/>
        </w:rPr>
      </w:pPr>
      <w:bookmarkStart w:id="159" w:name="_Toc24554"/>
      <w:bookmarkStart w:id="160" w:name="_Toc31901"/>
      <w:bookmarkStart w:id="161" w:name="_Toc10884"/>
      <w:r>
        <w:rPr>
          <w:rFonts w:hint="eastAsia" w:ascii="宋体" w:hAnsi="宋体" w:cs="宋体"/>
          <w:sz w:val="32"/>
          <w:szCs w:val="32"/>
        </w:rPr>
        <w:t>商务响应表</w:t>
      </w:r>
      <w:bookmarkEnd w:id="159"/>
      <w:bookmarkEnd w:id="160"/>
      <w:bookmarkEnd w:id="161"/>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rPr>
      </w:pPr>
      <w:r>
        <w:rPr>
          <w:rFonts w:hint="eastAsia" w:ascii="宋体" w:hAnsi="宋体" w:cs="宋体"/>
          <w:szCs w:val="21"/>
        </w:rPr>
        <w:t xml:space="preserve">  </w:t>
      </w:r>
    </w:p>
    <w:p>
      <w:pPr>
        <w:spacing w:line="360" w:lineRule="auto"/>
        <w:ind w:firstLine="420" w:firstLineChars="200"/>
        <w:jc w:val="center"/>
        <w:rPr>
          <w:rFonts w:hint="eastAsia" w:ascii="宋体" w:hAnsi="宋体" w:cs="宋体"/>
          <w:sz w:val="24"/>
        </w:rPr>
      </w:pPr>
      <w:r>
        <w:rPr>
          <w:rFonts w:hint="eastAsia" w:ascii="宋体" w:hAnsi="宋体" w:cs="宋体"/>
          <w:szCs w:val="21"/>
          <w:lang w:val="en-US" w:eastAsia="zh-CN"/>
        </w:rPr>
        <w:t xml:space="preserve">                                                  </w:t>
      </w:r>
      <w:r>
        <w:rPr>
          <w:rFonts w:hint="eastAsia" w:ascii="宋体" w:hAnsi="宋体" w:cs="宋体"/>
          <w:sz w:val="24"/>
          <w:lang w:val="en-US" w:eastAsia="zh-CN"/>
        </w:rPr>
        <w:t xml:space="preserve"> </w:t>
      </w:r>
      <w:r>
        <w:rPr>
          <w:rFonts w:hint="eastAsia" w:ascii="宋体" w:hAnsi="宋体" w:cs="宋体"/>
          <w:sz w:val="24"/>
        </w:rPr>
        <w:t xml:space="preserve"> 年  月  日</w:t>
      </w:r>
    </w:p>
    <w:bookmarkEnd w:id="137"/>
    <w:bookmarkEnd w:id="138"/>
    <w:bookmarkEnd w:id="139"/>
    <w:bookmarkEnd w:id="140"/>
    <w:bookmarkEnd w:id="141"/>
    <w:bookmarkEnd w:id="142"/>
    <w:bookmarkEnd w:id="143"/>
    <w:p>
      <w:pPr>
        <w:pStyle w:val="3"/>
        <w:keepNext/>
        <w:keepLines/>
        <w:widowControl w:val="0"/>
        <w:numPr>
          <w:ilvl w:val="0"/>
          <w:numId w:val="0"/>
        </w:numPr>
        <w:spacing w:before="0" w:beforeLines="0" w:after="0" w:afterLines="0" w:line="360" w:lineRule="auto"/>
        <w:jc w:val="center"/>
        <w:outlineLvl w:val="0"/>
        <w:rPr>
          <w:rFonts w:hint="eastAsia" w:ascii="宋体" w:hAnsi="宋体" w:cs="宋体"/>
          <w:sz w:val="32"/>
          <w:szCs w:val="32"/>
        </w:rPr>
      </w:pPr>
      <w:bookmarkStart w:id="162" w:name="_bookmark278"/>
      <w:bookmarkEnd w:id="162"/>
      <w:bookmarkStart w:id="163" w:name="18.4.4_信息采集费用概算明细表"/>
      <w:bookmarkEnd w:id="163"/>
      <w:bookmarkStart w:id="164" w:name="_Toc8927"/>
      <w:bookmarkStart w:id="165" w:name="_Toc6508"/>
    </w:p>
    <w:p>
      <w:pPr>
        <w:pStyle w:val="3"/>
        <w:numPr>
          <w:ilvl w:val="0"/>
          <w:numId w:val="0"/>
        </w:numPr>
        <w:spacing w:before="0" w:after="0" w:line="360" w:lineRule="auto"/>
        <w:jc w:val="both"/>
        <w:rPr>
          <w:rFonts w:hint="eastAsia" w:ascii="宋体" w:hAnsi="宋体" w:cs="宋体"/>
          <w:sz w:val="32"/>
          <w:szCs w:val="32"/>
        </w:rPr>
      </w:pPr>
    </w:p>
    <w:p>
      <w:pPr>
        <w:rPr>
          <w:rFonts w:hint="eastAsia"/>
        </w:rPr>
      </w:pPr>
    </w:p>
    <w:p>
      <w:pPr>
        <w:pStyle w:val="3"/>
        <w:numPr>
          <w:ilvl w:val="0"/>
          <w:numId w:val="9"/>
        </w:numPr>
        <w:spacing w:before="0" w:after="0" w:line="360" w:lineRule="auto"/>
        <w:rPr>
          <w:rFonts w:hint="eastAsia" w:ascii="宋体" w:hAnsi="宋体" w:cs="宋体"/>
          <w:sz w:val="32"/>
          <w:szCs w:val="32"/>
        </w:rPr>
      </w:pPr>
      <w:bookmarkStart w:id="166" w:name="_Toc20938"/>
      <w:r>
        <w:rPr>
          <w:rFonts w:hint="eastAsia" w:ascii="宋体" w:hAnsi="宋体" w:cs="宋体"/>
          <w:sz w:val="32"/>
          <w:szCs w:val="32"/>
        </w:rPr>
        <w:t>资格证明材料</w:t>
      </w:r>
      <w:bookmarkEnd w:id="164"/>
      <w:bookmarkEnd w:id="165"/>
      <w:bookmarkEnd w:id="166"/>
    </w:p>
    <w:p>
      <w:pPr>
        <w:numPr>
          <w:ilvl w:val="0"/>
          <w:numId w:val="10"/>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武陟县政府采购供应商资格信用承诺函（详见格式）；</w:t>
      </w:r>
    </w:p>
    <w:p>
      <w:pPr>
        <w:numPr>
          <w:ilvl w:val="0"/>
          <w:numId w:val="10"/>
        </w:numPr>
        <w:spacing w:line="360" w:lineRule="auto"/>
        <w:ind w:firstLine="480" w:firstLineChars="200"/>
        <w:jc w:val="left"/>
        <w:rPr>
          <w:rFonts w:hint="eastAsia" w:ascii="宋体" w:hAnsi="宋体" w:cs="宋体"/>
          <w:sz w:val="24"/>
          <w:szCs w:val="24"/>
          <w:lang w:val="en-US" w:eastAsia="zh-CN"/>
        </w:rPr>
      </w:pPr>
      <w:r>
        <w:rPr>
          <w:rFonts w:hint="eastAsia" w:ascii="宋体" w:hAnsi="宋体" w:cs="宋体"/>
          <w:sz w:val="24"/>
          <w:szCs w:val="24"/>
        </w:rPr>
        <w:t>提供中小企业声明函(详见格式)</w:t>
      </w:r>
      <w:r>
        <w:rPr>
          <w:rFonts w:hint="eastAsia" w:ascii="宋体" w:hAnsi="宋体" w:cs="宋体"/>
          <w:sz w:val="24"/>
          <w:szCs w:val="24"/>
          <w:lang w:eastAsia="zh-CN"/>
        </w:rPr>
        <w:t>。</w:t>
      </w:r>
    </w:p>
    <w:p>
      <w:pPr>
        <w:numPr>
          <w:ilvl w:val="0"/>
          <w:numId w:val="10"/>
        </w:numPr>
        <w:spacing w:line="360" w:lineRule="auto"/>
        <w:ind w:firstLine="480" w:firstLineChars="200"/>
        <w:jc w:val="left"/>
        <w:rPr>
          <w:rFonts w:hint="eastAsia"/>
        </w:rPr>
      </w:pPr>
      <w:r>
        <w:rPr>
          <w:rFonts w:hint="eastAsia" w:ascii="宋体" w:hAnsi="宋体" w:cs="宋体"/>
          <w:sz w:val="24"/>
          <w:szCs w:val="24"/>
        </w:rPr>
        <w:t>供应商及其法定代表人、委托代理人均无行贿犯罪记录（提供无行贿犯罪记录承诺书，详见格式）；</w:t>
      </w:r>
    </w:p>
    <w:p>
      <w:pPr>
        <w:numPr>
          <w:ilvl w:val="0"/>
          <w:numId w:val="10"/>
        </w:numPr>
        <w:shd w:val="clea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提供经中国人民银行备案的第三方征信机构出具的有效期内的（未注明有效期的，自信用报告出具之日起有效期不得超过</w:t>
      </w:r>
      <w:r>
        <w:rPr>
          <w:rFonts w:hint="eastAsia" w:ascii="宋体" w:hAnsi="宋体" w:cs="宋体"/>
          <w:sz w:val="24"/>
          <w:szCs w:val="24"/>
          <w:lang w:eastAsia="zh-CN"/>
        </w:rPr>
        <w:t>两</w:t>
      </w:r>
      <w:r>
        <w:rPr>
          <w:rFonts w:hint="eastAsia" w:ascii="宋体" w:hAnsi="宋体" w:cs="宋体"/>
          <w:sz w:val="24"/>
          <w:szCs w:val="24"/>
        </w:rPr>
        <w:t>年，如2018年10月1日出具的信用报告，信用报告上未体现有效期的，有效期截止2020年9月30日）信用报告，且信用等级达到A级及以上；并提供出具该信用报告的第三方征信机构在中国人民银行备案的证明材料</w:t>
      </w:r>
      <w:r>
        <w:rPr>
          <w:rFonts w:hint="eastAsia" w:ascii="宋体" w:hAnsi="宋体" w:cs="宋体"/>
          <w:sz w:val="24"/>
          <w:szCs w:val="24"/>
          <w:lang w:val="en-US" w:eastAsia="zh-CN"/>
        </w:rPr>
        <w:t>；</w:t>
      </w:r>
    </w:p>
    <w:p>
      <w:pPr>
        <w:keepNext w:val="0"/>
        <w:keepLines w:val="0"/>
        <w:pageBreakBefore w:val="0"/>
        <w:widowControl w:val="0"/>
        <w:numPr>
          <w:ilvl w:val="0"/>
          <w:numId w:val="10"/>
        </w:numPr>
        <w:tabs>
          <w:tab w:val="left" w:pos="492"/>
          <w:tab w:val="left" w:pos="839"/>
          <w:tab w:val="clear" w:pos="312"/>
        </w:tabs>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cs="宋体"/>
          <w:color w:val="auto"/>
          <w:sz w:val="24"/>
          <w:szCs w:val="24"/>
        </w:rPr>
      </w:pPr>
      <w:r>
        <w:rPr>
          <w:rFonts w:hint="eastAsia" w:ascii="宋体" w:hAnsi="宋体" w:cs="宋体"/>
          <w:sz w:val="24"/>
          <w:szCs w:val="24"/>
        </w:rPr>
        <w:t>不得被列入失信被执行人、重大税收违法失信主体、政府采购严重违法失信行为</w:t>
      </w:r>
      <w:r>
        <w:rPr>
          <w:rFonts w:hint="eastAsia" w:ascii="宋体" w:hAnsi="宋体" w:cs="宋体"/>
          <w:color w:val="auto"/>
          <w:sz w:val="24"/>
          <w:szCs w:val="24"/>
        </w:rPr>
        <w:t>记录名单（以采购人、采购代理机构在响应文件提交截止时间当日的查询结果为准，该条资料响应文件中无需提供）；</w:t>
      </w:r>
    </w:p>
    <w:p>
      <w:pPr>
        <w:keepNext w:val="0"/>
        <w:keepLines w:val="0"/>
        <w:pageBreakBefore w:val="0"/>
        <w:widowControl w:val="0"/>
        <w:numPr>
          <w:ilvl w:val="0"/>
          <w:numId w:val="10"/>
        </w:numPr>
        <w:tabs>
          <w:tab w:val="left" w:pos="492"/>
          <w:tab w:val="left" w:pos="839"/>
          <w:tab w:val="clear" w:pos="312"/>
        </w:tabs>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资质要求：供应商须具备水利工程专业承包三级及以上资质，具备有效期内的安全生产许可证副本（响应文件中提供扫描件或复印件）。</w:t>
      </w:r>
    </w:p>
    <w:p>
      <w:pPr>
        <w:numPr>
          <w:ilvl w:val="0"/>
          <w:numId w:val="0"/>
        </w:numPr>
        <w:shd w:val="clear"/>
        <w:spacing w:line="360" w:lineRule="auto"/>
        <w:jc w:val="both"/>
        <w:rPr>
          <w:rFonts w:hint="eastAsia" w:ascii="宋体" w:hAnsi="宋体" w:cs="宋体"/>
          <w:sz w:val="24"/>
          <w:szCs w:val="24"/>
        </w:rPr>
      </w:pPr>
    </w:p>
    <w:p>
      <w:pPr>
        <w:pStyle w:val="52"/>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tabs>
          <w:tab w:val="center" w:pos="4649"/>
        </w:tabs>
        <w:jc w:val="center"/>
        <w:rPr>
          <w:rFonts w:hint="eastAsia"/>
          <w:b/>
          <w:sz w:val="28"/>
        </w:rPr>
      </w:pPr>
      <w:bookmarkStart w:id="167" w:name="_Toc8011"/>
      <w:bookmarkStart w:id="168" w:name="_Toc114940421"/>
      <w:bookmarkStart w:id="169" w:name="_Toc31392"/>
    </w:p>
    <w:p>
      <w:pPr>
        <w:pStyle w:val="37"/>
        <w:rPr>
          <w:rFonts w:hint="eastAsia"/>
          <w:b/>
          <w:sz w:val="28"/>
        </w:rPr>
      </w:pPr>
    </w:p>
    <w:p>
      <w:pPr>
        <w:rPr>
          <w:rFonts w:hint="eastAsia"/>
          <w:b/>
          <w:sz w:val="28"/>
        </w:rPr>
      </w:pPr>
    </w:p>
    <w:p>
      <w:pPr>
        <w:tabs>
          <w:tab w:val="center" w:pos="4649"/>
        </w:tabs>
        <w:jc w:val="both"/>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r>
        <w:rPr>
          <w:rFonts w:hint="eastAsia"/>
          <w:b/>
          <w:sz w:val="28"/>
        </w:rPr>
        <w:t>武陟县政府采购供应商资格信用承诺函</w:t>
      </w:r>
      <w:bookmarkEnd w:id="167"/>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68"/>
      <w:bookmarkEnd w:id="169"/>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4"/>
        <w:jc w:val="center"/>
        <w:rPr>
          <w:rFonts w:hint="eastAsia" w:ascii="宋体" w:hAnsi="宋体" w:eastAsia="宋体" w:cs="宋体"/>
          <w:sz w:val="28"/>
          <w:szCs w:val="28"/>
        </w:rPr>
      </w:pPr>
    </w:p>
    <w:p>
      <w:pPr>
        <w:pStyle w:val="4"/>
        <w:jc w:val="center"/>
        <w:rPr>
          <w:rFonts w:hint="eastAsia" w:ascii="宋体" w:hAnsi="宋体" w:eastAsia="宋体" w:cs="宋体"/>
          <w:sz w:val="28"/>
          <w:szCs w:val="28"/>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ind w:right="560"/>
        <w:jc w:val="both"/>
        <w:rPr>
          <w:rFonts w:hint="eastAsia"/>
          <w:b/>
          <w:kern w:val="44"/>
          <w:sz w:val="32"/>
          <w:szCs w:val="32"/>
        </w:rPr>
      </w:pPr>
    </w:p>
    <w:p>
      <w:pPr>
        <w:pStyle w:val="33"/>
        <w:ind w:right="560"/>
        <w:jc w:val="center"/>
        <w:rPr>
          <w:rFonts w:hint="eastAsia"/>
          <w:b/>
          <w:kern w:val="44"/>
          <w:sz w:val="32"/>
          <w:szCs w:val="32"/>
        </w:rPr>
      </w:pPr>
      <w:r>
        <w:rPr>
          <w:rFonts w:hint="eastAsia"/>
          <w:b/>
          <w:kern w:val="44"/>
          <w:sz w:val="32"/>
          <w:szCs w:val="32"/>
        </w:rPr>
        <w:t>中小企业声明函（货物）</w:t>
      </w:r>
    </w:p>
    <w:p>
      <w:pPr>
        <w:spacing w:line="360" w:lineRule="auto"/>
        <w:ind w:firstLine="420" w:firstLineChars="200"/>
        <w:rPr>
          <w:rFonts w:hint="eastAsia" w:ascii="宋体" w:hAnsi="宋体" w:cs="宋体"/>
          <w:szCs w:val="21"/>
        </w:rPr>
      </w:pPr>
      <w:r>
        <w:rPr>
          <w:rFonts w:hint="eastAsia" w:ascii="宋体" w:hAnsi="宋体" w:cs="宋体"/>
          <w:szCs w:val="21"/>
        </w:rPr>
        <w:t>本公司（联合体）郑重声明，根据《政府采购促进中小企业发展管理办法》 (财库（2020) 46号）的规定，本公司（联合体）参加</w:t>
      </w:r>
      <w:r>
        <w:rPr>
          <w:rFonts w:hint="eastAsia" w:ascii="宋体" w:hAnsi="宋体" w:cs="宋体"/>
          <w:szCs w:val="21"/>
          <w:u w:val="single"/>
        </w:rPr>
        <w:t>（单位名称）</w:t>
      </w:r>
      <w:r>
        <w:rPr>
          <w:rFonts w:hint="eastAsia" w:ascii="宋体" w:hAnsi="宋体" w:cs="宋体"/>
          <w:szCs w:val="21"/>
        </w:rPr>
        <w:t>的</w:t>
      </w:r>
      <w:r>
        <w:rPr>
          <w:rFonts w:hint="eastAsia" w:ascii="宋体" w:hAnsi="宋体" w:cs="宋体"/>
          <w:szCs w:val="21"/>
          <w:u w:val="single"/>
        </w:rPr>
        <w:t>（项目名称）</w:t>
      </w:r>
      <w:r>
        <w:rPr>
          <w:rFonts w:hint="eastAsia" w:ascii="宋体" w:hAnsi="宋体" w:cs="宋体"/>
          <w:szCs w:val="21"/>
        </w:rPr>
        <w:t>采购活动，提供的货物全部由符合政策要求的中小企业制造。相关企业（含联合体中的中小企业、签订分包意向协议的中小企业）的具体情况如下：</w:t>
      </w:r>
    </w:p>
    <w:p>
      <w:pPr>
        <w:spacing w:line="360" w:lineRule="auto"/>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 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(标的名称）</w:t>
      </w:r>
      <w:r>
        <w:rPr>
          <w:rFonts w:hint="eastAsia" w:ascii="宋体" w:hAnsi="宋体" w:cs="宋体"/>
          <w:szCs w:val="21"/>
        </w:rPr>
        <w:t>，属于</w:t>
      </w:r>
      <w:r>
        <w:rPr>
          <w:rFonts w:hint="eastAsia" w:ascii="宋体" w:hAnsi="宋体" w:cs="宋体"/>
          <w:szCs w:val="21"/>
          <w:u w:val="single"/>
        </w:rPr>
        <w:t>（采购文件中明确的所属行业）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widowControl/>
        <w:spacing w:line="580" w:lineRule="atLeast"/>
        <w:ind w:firstLine="420" w:firstLineChars="200"/>
        <w:rPr>
          <w:rFonts w:hint="eastAsia" w:ascii="宋体" w:hAnsi="宋体" w:cs="宋体"/>
        </w:rPr>
      </w:pPr>
      <w:r>
        <w:rPr>
          <w:rFonts w:hint="default" w:ascii="Arial" w:hAnsi="Arial" w:cs="Arial"/>
        </w:rPr>
        <w:t>……</w:t>
      </w:r>
    </w:p>
    <w:p>
      <w:pPr>
        <w:spacing w:line="360" w:lineRule="auto"/>
        <w:ind w:firstLine="420" w:firstLineChars="200"/>
        <w:rPr>
          <w:rFonts w:hint="eastAsia" w:ascii="宋体" w:hAnsi="宋体" w:cs="宋体"/>
          <w:szCs w:val="21"/>
        </w:rPr>
      </w:pPr>
      <w:r>
        <w:rPr>
          <w:rFonts w:hint="eastAsia" w:ascii="宋体" w:hAnsi="宋体" w:cs="宋体"/>
          <w:szCs w:val="21"/>
        </w:rPr>
        <w:t>以上企业，不属于大企业的分支机构，不存在控股股东为大企业的情形，也不存在与大企业的负责人为同一人的情形。</w:t>
      </w:r>
    </w:p>
    <w:p>
      <w:pPr>
        <w:spacing w:line="360" w:lineRule="auto"/>
        <w:ind w:firstLine="420" w:firstLineChars="200"/>
        <w:rPr>
          <w:rFonts w:hint="eastAsia" w:ascii="宋体" w:hAnsi="宋体" w:cs="宋体"/>
          <w:szCs w:val="21"/>
        </w:rPr>
      </w:pPr>
      <w:r>
        <w:rPr>
          <w:rFonts w:hint="eastAsia" w:ascii="宋体" w:hAnsi="宋体" w:cs="宋体"/>
          <w:szCs w:val="21"/>
        </w:rPr>
        <w:t>本企业对上述声明内容的真实性负责。如有虚假，将依法承担相应责任。</w:t>
      </w:r>
    </w:p>
    <w:p>
      <w:pPr>
        <w:spacing w:line="360" w:lineRule="auto"/>
        <w:ind w:firstLine="5040" w:firstLineChars="2400"/>
        <w:rPr>
          <w:rFonts w:hint="eastAsia" w:ascii="宋体" w:hAnsi="宋体" w:cs="宋体"/>
          <w:szCs w:val="21"/>
        </w:rPr>
      </w:pPr>
      <w:r>
        <w:rPr>
          <w:rFonts w:hint="eastAsia" w:ascii="宋体" w:hAnsi="宋体" w:cs="宋体"/>
          <w:szCs w:val="21"/>
        </w:rPr>
        <w:t>企业名称（盖章）：</w:t>
      </w:r>
    </w:p>
    <w:p>
      <w:pPr>
        <w:spacing w:line="360" w:lineRule="auto"/>
        <w:jc w:val="center"/>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日期：</w:t>
      </w:r>
    </w:p>
    <w:p>
      <w:pPr>
        <w:spacing w:line="360" w:lineRule="auto"/>
        <w:rPr>
          <w:rFonts w:hint="eastAsia" w:ascii="宋体" w:hAnsi="宋体" w:cs="宋体"/>
          <w:szCs w:val="21"/>
        </w:rPr>
      </w:pPr>
      <w:r>
        <w:rPr>
          <w:rFonts w:hint="eastAsia" w:ascii="宋体" w:hAnsi="宋体" w:cs="宋体"/>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3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widowControl/>
        <w:spacing w:line="580" w:lineRule="atLeast"/>
        <w:rPr>
          <w:rFonts w:hint="eastAsia" w:ascii="宋体" w:hAnsi="宋体" w:cs="宋体"/>
        </w:rPr>
      </w:pPr>
    </w:p>
    <w:p>
      <w:pPr>
        <w:widowControl/>
        <w:spacing w:line="580" w:lineRule="atLeast"/>
        <w:rPr>
          <w:rFonts w:hint="eastAsia" w:ascii="宋体" w:hAnsi="宋体" w:cs="宋体"/>
        </w:rPr>
      </w:pPr>
    </w:p>
    <w:p>
      <w:pPr>
        <w:pStyle w:val="33"/>
        <w:spacing w:before="0" w:beforeAutospacing="0" w:after="0" w:afterAutospacing="0"/>
        <w:ind w:right="560"/>
        <w:jc w:val="center"/>
        <w:rPr>
          <w:b/>
          <w:bCs/>
          <w:sz w:val="32"/>
          <w:szCs w:val="32"/>
        </w:rPr>
      </w:pPr>
    </w:p>
    <w:p>
      <w:pPr>
        <w:pStyle w:val="33"/>
        <w:spacing w:before="0" w:beforeAutospacing="0" w:after="0" w:afterAutospacing="0"/>
        <w:ind w:right="560"/>
        <w:jc w:val="center"/>
        <w:rPr>
          <w:b/>
          <w:bCs/>
          <w:sz w:val="32"/>
          <w:szCs w:val="32"/>
        </w:rPr>
      </w:pPr>
    </w:p>
    <w:p>
      <w:pPr>
        <w:pStyle w:val="33"/>
        <w:spacing w:before="0" w:beforeAutospacing="0" w:after="0" w:afterAutospacing="0"/>
        <w:ind w:right="560"/>
        <w:jc w:val="center"/>
        <w:rPr>
          <w:b/>
          <w:bCs/>
          <w:sz w:val="32"/>
          <w:szCs w:val="32"/>
        </w:rPr>
      </w:pPr>
    </w:p>
    <w:p>
      <w:pPr>
        <w:pStyle w:val="33"/>
        <w:spacing w:before="0" w:beforeAutospacing="0" w:after="0" w:afterAutospacing="0"/>
        <w:ind w:right="560"/>
        <w:jc w:val="center"/>
        <w:rPr>
          <w:b/>
          <w:bCs/>
          <w:sz w:val="32"/>
          <w:szCs w:val="32"/>
        </w:rPr>
      </w:pPr>
    </w:p>
    <w:bookmarkEnd w:id="144"/>
    <w:bookmarkEnd w:id="145"/>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70" w:name="_Toc490161471"/>
      <w:bookmarkStart w:id="171" w:name="_Toc15846"/>
      <w:bookmarkStart w:id="172" w:name="_Toc487805932"/>
      <w:bookmarkStart w:id="173" w:name="_Toc428454062"/>
      <w:bookmarkStart w:id="174" w:name="_Toc5506"/>
      <w:bookmarkStart w:id="175" w:name="_Toc477423256"/>
      <w:bookmarkStart w:id="176" w:name="_Toc428525390"/>
      <w:bookmarkStart w:id="177" w:name="_Toc406663316"/>
      <w:bookmarkStart w:id="178" w:name="_Toc23619"/>
      <w:bookmarkStart w:id="179" w:name="_Toc408816356"/>
      <w:bookmarkStart w:id="180" w:name="_Toc374512433"/>
      <w:bookmarkStart w:id="181" w:name="_Toc364490446"/>
      <w:bookmarkStart w:id="182" w:name="_Toc25878"/>
      <w:bookmarkStart w:id="183" w:name="_Toc214329904"/>
      <w:bookmarkStart w:id="184" w:name="_Toc373230045"/>
      <w:r>
        <w:rPr>
          <w:rFonts w:hint="eastAsia"/>
          <w:b/>
          <w:sz w:val="28"/>
        </w:rPr>
        <w:t xml:space="preserve"> </w:t>
      </w:r>
    </w:p>
    <w:p>
      <w:pPr>
        <w:pStyle w:val="3"/>
        <w:numPr>
          <w:ilvl w:val="0"/>
          <w:numId w:val="9"/>
        </w:numPr>
        <w:spacing w:before="0" w:after="0" w:line="360" w:lineRule="auto"/>
        <w:rPr>
          <w:rFonts w:hint="eastAsia" w:ascii="宋体" w:hAnsi="宋体" w:cs="宋体"/>
          <w:sz w:val="32"/>
          <w:szCs w:val="32"/>
        </w:rPr>
      </w:pPr>
      <w:bookmarkStart w:id="185" w:name="_Toc18775"/>
      <w:r>
        <w:rPr>
          <w:rFonts w:hint="eastAsia" w:ascii="宋体" w:hAnsi="宋体" w:cs="宋体"/>
          <w:sz w:val="32"/>
          <w:szCs w:val="32"/>
        </w:rPr>
        <w:t>法定代表人身份证明或授权委托书</w:t>
      </w:r>
      <w:bookmarkEnd w:id="170"/>
      <w:bookmarkEnd w:id="171"/>
      <w:bookmarkEnd w:id="172"/>
      <w:bookmarkEnd w:id="173"/>
      <w:bookmarkEnd w:id="174"/>
      <w:bookmarkEnd w:id="175"/>
      <w:bookmarkEnd w:id="176"/>
      <w:bookmarkEnd w:id="177"/>
      <w:bookmarkEnd w:id="178"/>
      <w:bookmarkEnd w:id="185"/>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2"/>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w:t>
      </w:r>
      <w:r>
        <w:rPr>
          <w:rFonts w:hint="eastAsia" w:ascii="宋体" w:hAnsi="宋体" w:cs="宋体"/>
          <w:sz w:val="24"/>
        </w:rPr>
        <w:t>设立登记证书</w:t>
      </w:r>
      <w:r>
        <w:rPr>
          <w:rFonts w:hint="eastAsia" w:ascii="宋体" w:hAnsi="宋体" w:cs="宋体"/>
          <w:sz w:val="24"/>
          <w:lang w:eastAsia="zh-CN"/>
        </w:rPr>
        <w:t>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keepNext w:val="0"/>
        <w:keepLines w:val="0"/>
        <w:pageBreakBefore w:val="0"/>
        <w:widowControl w:val="0"/>
        <w:kinsoku/>
        <w:wordWrap w:val="0"/>
        <w:overflowPunct/>
        <w:topLinePunct w:val="0"/>
        <w:autoSpaceDE/>
        <w:autoSpaceDN/>
        <w:bidi w:val="0"/>
        <w:adjustRightInd/>
        <w:snapToGrid/>
        <w:spacing w:line="360" w:lineRule="auto"/>
        <w:ind w:left="420" w:leftChars="200" w:firstLine="420" w:firstLineChars="200"/>
        <w:jc w:val="left"/>
        <w:textAlignment w:val="auto"/>
        <w:rPr>
          <w:rFonts w:hint="eastAsia" w:ascii="宋体" w:hAnsi="宋体" w:cs="宋体"/>
          <w:szCs w:val="21"/>
        </w:rPr>
      </w:pPr>
      <w:bookmarkStart w:id="186" w:name="_Toc475955191"/>
      <w:bookmarkStart w:id="187" w:name="_Toc15453"/>
      <w:bookmarkStart w:id="188" w:name="_Toc490161472"/>
      <w:bookmarkStart w:id="189" w:name="_Toc487805933"/>
      <w:bookmarkStart w:id="190" w:name="_Toc477423257"/>
      <w:bookmarkStart w:id="191" w:name="_Toc476045985"/>
      <w:bookmarkStart w:id="192" w:name="_Toc428525391"/>
      <w:bookmarkStart w:id="193" w:name="_Toc428454066"/>
      <w:r>
        <w:rPr>
          <w:rFonts w:hint="eastAsia" w:ascii="宋体" w:hAnsi="宋体" w:cs="宋体"/>
          <w:szCs w:val="21"/>
        </w:rPr>
        <w:t>本授权委托声明：我</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u w:val="single"/>
        </w:rPr>
        <w:t>　</w:t>
      </w:r>
      <w:r>
        <w:rPr>
          <w:rFonts w:hint="eastAsia" w:ascii="宋体" w:hAnsi="宋体" w:cs="宋体"/>
          <w:szCs w:val="21"/>
        </w:rPr>
        <w:t>（姓名）系</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（供应商名称）的法定代表人，现授权委托</w:t>
      </w:r>
      <w:r>
        <w:rPr>
          <w:rFonts w:hint="eastAsia" w:ascii="宋体" w:hAnsi="宋体" w:cs="宋体"/>
          <w:szCs w:val="21"/>
          <w:u w:val="single"/>
          <w:lang w:val="en-US" w:eastAsia="zh-CN"/>
        </w:rPr>
        <w:t xml:space="preserve">           </w:t>
      </w:r>
      <w:r>
        <w:rPr>
          <w:rFonts w:hint="eastAsia" w:ascii="宋体" w:hAnsi="宋体" w:cs="宋体"/>
          <w:szCs w:val="21"/>
        </w:rPr>
        <w:t>（单位名称）的</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（姓名）为我单位代理人，以本单位的名义参加</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（项目名称）</w:t>
      </w:r>
      <w:r>
        <w:rPr>
          <w:rFonts w:hint="eastAsia" w:ascii="宋体" w:hAnsi="宋体" w:cs="宋体"/>
          <w:szCs w:val="21"/>
        </w:rPr>
        <w:t>（</w:t>
      </w:r>
      <w:r>
        <w:rPr>
          <w:rFonts w:hint="eastAsia" w:ascii="宋体" w:hAnsi="宋体" w:cs="宋体"/>
          <w:szCs w:val="21"/>
          <w:lang w:eastAsia="zh-CN"/>
        </w:rPr>
        <w:t>项目</w:t>
      </w:r>
      <w:r>
        <w:rPr>
          <w:rFonts w:hint="eastAsia" w:ascii="宋体" w:hAnsi="宋体" w:cs="宋体"/>
          <w:szCs w:val="21"/>
        </w:rPr>
        <w:t>编号：</w:t>
      </w:r>
      <w:r>
        <w:rPr>
          <w:rFonts w:hint="eastAsia" w:ascii="宋体" w:hAnsi="宋体" w:cs="宋体"/>
          <w:color w:val="auto"/>
          <w:szCs w:val="21"/>
          <w:u w:val="single"/>
          <w:lang w:val="en-US" w:eastAsia="zh-CN"/>
        </w:rPr>
        <w:t xml:space="preserve">        </w:t>
      </w:r>
      <w:r>
        <w:rPr>
          <w:rFonts w:hint="eastAsia" w:ascii="宋体" w:hAnsi="宋体" w:cs="宋体"/>
          <w:szCs w:val="21"/>
        </w:rPr>
        <w:t>）的采购活动。代理人在谈判、评审、合同谈判过程中所签署的一切文件和处理与之有关的一切事务，我均予以承认。</w:t>
      </w:r>
    </w:p>
    <w:p>
      <w:pPr>
        <w:keepNext w:val="0"/>
        <w:keepLines w:val="0"/>
        <w:pageBreakBefore w:val="0"/>
        <w:widowControl w:val="0"/>
        <w:kinsoku/>
        <w:wordWrap w:val="0"/>
        <w:overflowPunct/>
        <w:topLinePunct w:val="0"/>
        <w:autoSpaceDE/>
        <w:autoSpaceDN/>
        <w:bidi w:val="0"/>
        <w:adjustRightInd/>
        <w:snapToGrid/>
        <w:spacing w:line="360" w:lineRule="auto"/>
        <w:ind w:firstLine="840" w:firstLineChars="400"/>
        <w:textAlignment w:val="auto"/>
        <w:rPr>
          <w:rFonts w:hint="eastAsia" w:ascii="宋体" w:hAnsi="宋体" w:cs="宋体"/>
          <w:szCs w:val="21"/>
        </w:rPr>
      </w:pPr>
      <w:r>
        <w:rPr>
          <w:rFonts w:hint="eastAsia" w:ascii="宋体" w:hAnsi="宋体" w:cs="宋体"/>
          <w:szCs w:val="21"/>
        </w:rPr>
        <w:t>代理人无转委托权，特此声明。</w:t>
      </w:r>
    </w:p>
    <w:p>
      <w:pPr>
        <w:spacing w:line="360" w:lineRule="auto"/>
        <w:ind w:firstLine="352" w:firstLineChars="168"/>
        <w:rPr>
          <w:rFonts w:hint="eastAsia" w:ascii="宋体" w:hAnsi="宋体" w:cs="宋体"/>
          <w:szCs w:val="21"/>
        </w:rPr>
      </w:pPr>
    </w:p>
    <w:p>
      <w:pPr>
        <w:spacing w:line="360" w:lineRule="auto"/>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供应商名称（全称并加盖公章）：</w:t>
      </w:r>
    </w:p>
    <w:p>
      <w:pPr>
        <w:spacing w:line="360" w:lineRule="auto"/>
        <w:rPr>
          <w:rFonts w:hint="eastAsia" w:ascii="宋体" w:hAnsi="宋体" w:cs="宋体"/>
          <w:szCs w:val="21"/>
          <w:u w:val="single"/>
        </w:rPr>
      </w:pPr>
      <w:r>
        <w:rPr>
          <w:rFonts w:hint="eastAsia" w:ascii="宋体" w:hAnsi="宋体" w:cs="宋体"/>
          <w:szCs w:val="21"/>
        </w:rPr>
        <w:t xml:space="preserve">                             法定代表人（签名或盖章）：</w:t>
      </w:r>
    </w:p>
    <w:p>
      <w:pPr>
        <w:spacing w:line="360" w:lineRule="auto"/>
        <w:rPr>
          <w:rFonts w:hint="eastAsia" w:ascii="宋体" w:hAnsi="宋体" w:cs="宋体"/>
          <w:szCs w:val="21"/>
          <w:u w:val="single"/>
        </w:rPr>
      </w:pPr>
      <w:r>
        <w:rPr>
          <w:rFonts w:hint="eastAsia" w:ascii="宋体" w:hAnsi="宋体" w:cs="宋体"/>
          <w:szCs w:val="21"/>
        </w:rPr>
        <w:t xml:space="preserve">                             委托代理人（签名或盖章）：</w:t>
      </w:r>
    </w:p>
    <w:p>
      <w:pPr>
        <w:spacing w:line="360" w:lineRule="auto"/>
        <w:ind w:firstLine="4830" w:firstLineChars="230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4"/>
        <w:ind w:firstLine="964" w:firstLineChars="400"/>
        <w:rPr>
          <w:rFonts w:hint="eastAsia" w:ascii="宋体" w:hAnsi="宋体" w:cs="宋体"/>
        </w:rPr>
        <w:sectPr>
          <w:headerReference r:id="rId13" w:type="first"/>
          <w:footerReference r:id="rId15" w:type="first"/>
          <w:headerReference r:id="rId12" w:type="default"/>
          <w:footerReference r:id="rId14"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86"/>
      <w:bookmarkEnd w:id="187"/>
      <w:bookmarkEnd w:id="188"/>
      <w:bookmarkEnd w:id="189"/>
      <w:bookmarkEnd w:id="190"/>
      <w:bookmarkEnd w:id="191"/>
      <w:bookmarkStart w:id="194" w:name="_Toc487805935"/>
      <w:bookmarkStart w:id="195" w:name="_Toc490161474"/>
      <w:bookmarkStart w:id="196" w:name="_Toc477423259"/>
      <w:bookmarkStart w:id="197" w:name="_Toc17258"/>
      <w:r>
        <w:rPr>
          <w:rFonts w:hint="eastAsia" w:ascii="宋体" w:hAnsi="宋体" w:cs="宋体"/>
          <w:b/>
        </w:rPr>
        <w:t>此项。</w:t>
      </w:r>
    </w:p>
    <w:p>
      <w:pPr>
        <w:pStyle w:val="3"/>
        <w:numPr>
          <w:ilvl w:val="0"/>
          <w:numId w:val="9"/>
        </w:numPr>
        <w:spacing w:before="0" w:after="0" w:line="360" w:lineRule="auto"/>
        <w:rPr>
          <w:rFonts w:hint="eastAsia" w:ascii="宋体" w:hAnsi="宋体" w:cs="宋体"/>
          <w:sz w:val="32"/>
          <w:szCs w:val="32"/>
        </w:rPr>
      </w:pPr>
      <w:bookmarkStart w:id="198" w:name="_Toc529865893"/>
      <w:bookmarkStart w:id="199" w:name="_Toc30207"/>
      <w:bookmarkStart w:id="200" w:name="_Toc12027"/>
      <w:bookmarkStart w:id="201" w:name="_Toc5526"/>
      <w:r>
        <w:rPr>
          <w:rFonts w:hint="eastAsia" w:ascii="宋体" w:hAnsi="宋体" w:cs="宋体"/>
          <w:sz w:val="32"/>
          <w:szCs w:val="32"/>
        </w:rPr>
        <w:t>残疾人福利性单位声明函</w:t>
      </w:r>
      <w:bookmarkEnd w:id="198"/>
      <w:bookmarkEnd w:id="199"/>
      <w:bookmarkEnd w:id="200"/>
      <w:bookmarkEnd w:id="201"/>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37"/>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3"/>
        <w:rPr>
          <w:rFonts w:hint="eastAsia" w:cs="宋体"/>
        </w:rPr>
      </w:pPr>
    </w:p>
    <w:bookmarkEnd w:id="194"/>
    <w:bookmarkEnd w:id="195"/>
    <w:bookmarkEnd w:id="196"/>
    <w:bookmarkEnd w:id="197"/>
    <w:p>
      <w:pPr>
        <w:pStyle w:val="3"/>
        <w:numPr>
          <w:ilvl w:val="0"/>
          <w:numId w:val="9"/>
        </w:numPr>
        <w:spacing w:before="0" w:after="0" w:line="360" w:lineRule="auto"/>
        <w:rPr>
          <w:rFonts w:hint="eastAsia" w:ascii="宋体" w:hAnsi="宋体" w:cs="宋体"/>
          <w:sz w:val="32"/>
          <w:szCs w:val="32"/>
        </w:rPr>
      </w:pPr>
      <w:bookmarkStart w:id="202" w:name="_Toc25545"/>
      <w:bookmarkStart w:id="203" w:name="_Toc477423260"/>
      <w:bookmarkStart w:id="204" w:name="_Toc1654"/>
      <w:bookmarkStart w:id="205" w:name="_Toc19062"/>
      <w:bookmarkStart w:id="206" w:name="_Toc490161475"/>
      <w:bookmarkStart w:id="207" w:name="_Toc487805936"/>
      <w:bookmarkStart w:id="208" w:name="_Toc7213"/>
      <w:r>
        <w:rPr>
          <w:rFonts w:hint="eastAsia" w:ascii="宋体" w:hAnsi="宋体" w:cs="宋体"/>
          <w:sz w:val="32"/>
          <w:szCs w:val="32"/>
        </w:rPr>
        <w:t>反商业贿赂承诺书</w:t>
      </w:r>
      <w:bookmarkEnd w:id="202"/>
      <w:bookmarkEnd w:id="203"/>
      <w:bookmarkEnd w:id="204"/>
      <w:bookmarkEnd w:id="205"/>
      <w:bookmarkEnd w:id="206"/>
      <w:bookmarkEnd w:id="207"/>
      <w:bookmarkEnd w:id="208"/>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79"/>
    <w:bookmarkEnd w:id="180"/>
    <w:bookmarkEnd w:id="181"/>
    <w:bookmarkEnd w:id="182"/>
    <w:bookmarkEnd w:id="183"/>
    <w:bookmarkEnd w:id="184"/>
    <w:bookmarkEnd w:id="192"/>
    <w:bookmarkEnd w:id="193"/>
    <w:p>
      <w:pPr>
        <w:spacing w:line="460" w:lineRule="exact"/>
        <w:rPr>
          <w:rFonts w:hint="eastAsia" w:ascii="宋体" w:hAnsi="宋体" w:cs="宋体"/>
          <w:sz w:val="24"/>
          <w:szCs w:val="24"/>
        </w:rPr>
      </w:pPr>
      <w:bookmarkStart w:id="209" w:name="_Toc490161482"/>
      <w:bookmarkStart w:id="210" w:name="_Toc365712853"/>
      <w:bookmarkStart w:id="211" w:name="_Toc364962592"/>
      <w:bookmarkStart w:id="212" w:name="_Toc18166"/>
      <w:bookmarkStart w:id="213" w:name="_Toc475955200"/>
      <w:bookmarkStart w:id="214" w:name="_Toc19579"/>
      <w:bookmarkStart w:id="215" w:name="_Toc477423265"/>
      <w:bookmarkStart w:id="216" w:name="_Toc19463"/>
      <w:bookmarkStart w:id="217" w:name="_Toc476045994"/>
      <w:bookmarkStart w:id="218" w:name="_Toc450037734"/>
      <w:bookmarkStart w:id="219" w:name="_Toc406663323"/>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3"/>
        <w:numPr>
          <w:ilvl w:val="0"/>
          <w:numId w:val="9"/>
        </w:numPr>
        <w:spacing w:before="0" w:after="0" w:line="360" w:lineRule="auto"/>
        <w:rPr>
          <w:rFonts w:hint="eastAsia" w:ascii="宋体" w:hAnsi="宋体" w:cs="宋体"/>
          <w:sz w:val="32"/>
          <w:szCs w:val="32"/>
        </w:rPr>
      </w:pPr>
      <w:bookmarkStart w:id="220" w:name="_Toc30232"/>
      <w:r>
        <w:rPr>
          <w:rFonts w:hint="eastAsia" w:ascii="宋体" w:hAnsi="宋体" w:cs="宋体"/>
          <w:sz w:val="32"/>
          <w:szCs w:val="32"/>
        </w:rPr>
        <w:t>竞争性磋商文件要求的以及供应商认为应该提供的其他材料</w:t>
      </w:r>
      <w:bookmarkEnd w:id="209"/>
      <w:bookmarkEnd w:id="210"/>
      <w:bookmarkEnd w:id="211"/>
      <w:bookmarkEnd w:id="212"/>
      <w:bookmarkEnd w:id="213"/>
      <w:bookmarkEnd w:id="214"/>
      <w:bookmarkEnd w:id="215"/>
      <w:bookmarkEnd w:id="216"/>
      <w:bookmarkEnd w:id="217"/>
      <w:bookmarkEnd w:id="218"/>
      <w:bookmarkEnd w:id="219"/>
      <w:bookmarkEnd w:id="220"/>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4"/>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t>第二轮报价表</w:t>
      </w:r>
    </w:p>
    <w:p>
      <w:pPr>
        <w:rPr>
          <w:rFonts w:hint="eastAsia"/>
        </w:rPr>
      </w:pPr>
    </w:p>
    <w:p>
      <w:pPr>
        <w:spacing w:line="360" w:lineRule="auto"/>
        <w:rPr>
          <w:rFonts w:hint="eastAsia" w:ascii="宋体" w:hAnsi="宋体" w:cs="宋体"/>
          <w:color w:val="FF0000"/>
          <w:szCs w:val="21"/>
        </w:rPr>
      </w:pPr>
      <w:r>
        <w:rPr>
          <w:rFonts w:hint="eastAsia" w:ascii="宋体" w:hAnsi="宋体" w:cs="宋体"/>
          <w:szCs w:val="21"/>
        </w:rPr>
        <w:t>项目名称：                                    项目编号：</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927"/>
        <w:gridCol w:w="1040"/>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927" w:type="dxa"/>
            <w:noWrap w:val="0"/>
            <w:vAlign w:val="center"/>
          </w:tcPr>
          <w:p>
            <w:pPr>
              <w:spacing w:line="240" w:lineRule="atLeast"/>
              <w:jc w:val="center"/>
              <w:rPr>
                <w:rFonts w:hint="eastAsia" w:ascii="宋体" w:hAnsi="宋体" w:cs="宋体"/>
                <w:szCs w:val="21"/>
                <w:lang w:eastAsia="zh-CN"/>
              </w:rPr>
            </w:pPr>
            <w:r>
              <w:rPr>
                <w:rFonts w:hint="eastAsia" w:ascii="宋体" w:hAnsi="宋体" w:cs="宋体"/>
                <w:szCs w:val="21"/>
                <w:lang w:eastAsia="zh-CN"/>
              </w:rPr>
              <w:t>标的</w:t>
            </w:r>
          </w:p>
          <w:p>
            <w:pPr>
              <w:spacing w:line="240" w:lineRule="atLeast"/>
              <w:jc w:val="center"/>
              <w:rPr>
                <w:rFonts w:hint="eastAsia" w:ascii="宋体" w:hAnsi="宋体" w:cs="宋体"/>
                <w:szCs w:val="21"/>
              </w:rPr>
            </w:pPr>
            <w:r>
              <w:rPr>
                <w:rFonts w:hint="eastAsia" w:ascii="宋体" w:hAnsi="宋体" w:cs="宋体"/>
                <w:szCs w:val="21"/>
              </w:rPr>
              <w:t>名称</w:t>
            </w:r>
          </w:p>
        </w:tc>
        <w:tc>
          <w:tcPr>
            <w:tcW w:w="1040"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eastAsia="宋体" w:cs="宋体"/>
                <w:szCs w:val="21"/>
                <w:lang w:eastAsia="zh-CN"/>
              </w:rPr>
            </w:pPr>
            <w:r>
              <w:rPr>
                <w:rFonts w:hint="eastAsia" w:ascii="宋体" w:hAnsi="宋体" w:cs="宋体"/>
                <w:szCs w:val="21"/>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9022" w:type="dxa"/>
            <w:gridSpan w:val="9"/>
            <w:noWrap w:val="0"/>
            <w:vAlign w:val="center"/>
          </w:tcPr>
          <w:p>
            <w:pPr>
              <w:spacing w:line="360" w:lineRule="auto"/>
              <w:rPr>
                <w:rFonts w:hint="eastAsia" w:ascii="宋体" w:hAnsi="宋体" w:cs="宋体"/>
                <w:szCs w:val="21"/>
              </w:rPr>
            </w:pPr>
            <w:r>
              <w:rPr>
                <w:rFonts w:hint="eastAsia" w:ascii="宋体" w:hAnsi="宋体" w:cs="宋体"/>
                <w:szCs w:val="21"/>
              </w:rPr>
              <w:t>总</w:t>
            </w:r>
            <w:r>
              <w:rPr>
                <w:rFonts w:hint="eastAsia" w:ascii="宋体" w:hAnsi="宋体" w:cs="宋体"/>
                <w:szCs w:val="21"/>
                <w:lang w:eastAsia="zh-CN"/>
              </w:rPr>
              <w:t>报</w:t>
            </w:r>
            <w:r>
              <w:rPr>
                <w:rFonts w:hint="eastAsia" w:ascii="宋体" w:hAnsi="宋体" w:cs="宋体"/>
                <w:szCs w:val="21"/>
              </w:rPr>
              <w:t>价（大写）：                               （小写）：</w:t>
            </w:r>
          </w:p>
        </w:tc>
      </w:tr>
    </w:tbl>
    <w:p>
      <w:pPr>
        <w:rPr>
          <w:rFonts w:hint="eastAsia"/>
        </w:rPr>
      </w:pPr>
    </w:p>
    <w:p>
      <w:pPr>
        <w:rPr>
          <w:rFonts w:hint="eastAsia"/>
        </w:rPr>
      </w:pPr>
    </w:p>
    <w:p>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pPr>
        <w:rPr>
          <w:rFonts w:hint="eastAsia" w:ascii="宋体" w:hAnsi="宋体" w:cs="宋体"/>
          <w:szCs w:val="21"/>
        </w:rPr>
      </w:pPr>
      <w:r>
        <w:rPr>
          <w:rFonts w:hint="eastAsia" w:ascii="宋体" w:hAnsi="宋体" w:cs="宋体"/>
          <w:szCs w:val="21"/>
        </w:rPr>
        <w:t xml:space="preserve">                                                   年    月   日</w:t>
      </w:r>
    </w:p>
    <w:p>
      <w:pPr>
        <w:pStyle w:val="23"/>
        <w:rPr>
          <w:rFonts w:hint="eastAsia" w:cs="宋体"/>
          <w:sz w:val="28"/>
          <w:szCs w:val="24"/>
        </w:rPr>
      </w:pPr>
    </w:p>
    <w:p>
      <w:pPr>
        <w:spacing w:line="440" w:lineRule="exact"/>
        <w:ind w:left="420"/>
        <w:rPr>
          <w:rFonts w:hint="eastAsia"/>
          <w:b/>
          <w:bCs/>
          <w:szCs w:val="21"/>
        </w:rPr>
      </w:pPr>
      <w:r>
        <w:rPr>
          <w:rFonts w:hint="eastAsia"/>
          <w:b/>
          <w:bCs/>
          <w:szCs w:val="21"/>
        </w:rPr>
        <w:t>注：1.</w:t>
      </w:r>
      <w:r>
        <w:rPr>
          <w:rFonts w:hint="eastAsia" w:ascii="Times New Roman" w:hAnsi="Times New Roman" w:eastAsia="宋体" w:cs="Times New Roman"/>
          <w:b/>
          <w:bCs/>
          <w:color w:val="FF0000"/>
          <w:szCs w:val="21"/>
        </w:rPr>
        <w:t>本表不能装在响应文件内</w:t>
      </w:r>
      <w:r>
        <w:rPr>
          <w:rFonts w:hint="eastAsia"/>
          <w:b/>
          <w:bCs/>
          <w:color w:val="FF0000"/>
          <w:szCs w:val="21"/>
        </w:rPr>
        <w:t>，</w:t>
      </w:r>
      <w:r>
        <w:rPr>
          <w:rFonts w:hint="eastAsia"/>
          <w:b/>
          <w:bCs/>
          <w:szCs w:val="21"/>
        </w:rPr>
        <w:t>应单独制作并在二次报价时作为附件（PDF格式）上传。磋商小组对已通过资格性、符合性审查的供应商发起二轮（最后报价）邀请后，</w:t>
      </w:r>
      <w:r>
        <w:rPr>
          <w:rFonts w:hint="eastAsia"/>
          <w:b/>
          <w:bCs/>
        </w:rPr>
        <w:t>供应商在规定时间内通过焦作市公共资源交易平台进行二轮报价（最后报价），未在规定时间内提交二轮报价（最后报价）的视为放弃本次磋商</w:t>
      </w:r>
      <w:r>
        <w:rPr>
          <w:rFonts w:hint="eastAsia"/>
          <w:b/>
          <w:bCs/>
          <w:szCs w:val="21"/>
        </w:rPr>
        <w:t xml:space="preserve">。  </w:t>
      </w:r>
    </w:p>
    <w:p>
      <w:pPr>
        <w:spacing w:line="440" w:lineRule="exact"/>
        <w:ind w:left="420" w:firstLine="420" w:firstLineChars="200"/>
        <w:rPr>
          <w:rFonts w:ascii="宋体" w:hAnsi="宋体" w:cs="宋体"/>
          <w:b/>
          <w:bCs/>
          <w:szCs w:val="21"/>
        </w:rPr>
      </w:pPr>
      <w:r>
        <w:rPr>
          <w:rFonts w:hint="eastAsia"/>
          <w:b/>
          <w:bCs/>
          <w:szCs w:val="21"/>
        </w:rPr>
        <w:t>2.</w:t>
      </w:r>
      <w:r>
        <w:rPr>
          <w:rFonts w:ascii="宋体" w:hAnsi="宋体" w:cs="宋体"/>
          <w:b/>
          <w:bCs/>
          <w:szCs w:val="21"/>
        </w:rPr>
        <w:t>报价出现不一致的，按照下列规定修正：</w:t>
      </w:r>
    </w:p>
    <w:p>
      <w:pPr>
        <w:spacing w:line="440" w:lineRule="exact"/>
        <w:ind w:firstLine="420" w:firstLineChars="200"/>
        <w:rPr>
          <w:rFonts w:hint="eastAsia" w:ascii="宋体" w:hAnsi="宋体" w:cs="宋体"/>
          <w:b/>
          <w:bCs/>
          <w:szCs w:val="21"/>
        </w:rPr>
      </w:pPr>
      <w:r>
        <w:rPr>
          <w:rFonts w:ascii="宋体" w:hAnsi="宋体" w:cs="宋体"/>
          <w:b/>
          <w:bCs/>
          <w:szCs w:val="21"/>
        </w:rPr>
        <w:t>（</w:t>
      </w:r>
      <w:r>
        <w:rPr>
          <w:rFonts w:hint="eastAsia" w:ascii="宋体" w:hAnsi="宋体" w:cs="宋体"/>
          <w:b/>
          <w:bCs/>
          <w:szCs w:val="21"/>
        </w:rPr>
        <w:t>1</w:t>
      </w:r>
      <w:r>
        <w:rPr>
          <w:rFonts w:ascii="宋体" w:hAnsi="宋体" w:cs="宋体"/>
          <w:b/>
          <w:bCs/>
          <w:szCs w:val="21"/>
        </w:rPr>
        <w:t>）</w:t>
      </w:r>
      <w:r>
        <w:rPr>
          <w:rFonts w:hint="eastAsia" w:ascii="宋体" w:hAnsi="宋体" w:cs="宋体"/>
          <w:b/>
          <w:bCs/>
          <w:color w:val="auto"/>
          <w:szCs w:val="21"/>
        </w:rPr>
        <w:t>本表总报价和电子投标系统表</w:t>
      </w:r>
      <w:r>
        <w:rPr>
          <w:rFonts w:hint="eastAsia" w:ascii="宋体" w:hAnsi="宋体" w:cs="宋体"/>
          <w:b/>
          <w:bCs/>
          <w:color w:val="auto"/>
          <w:szCs w:val="21"/>
          <w:lang w:eastAsia="zh-CN"/>
        </w:rPr>
        <w:t>二轮报价表中</w:t>
      </w:r>
      <w:r>
        <w:rPr>
          <w:rFonts w:hint="eastAsia" w:ascii="宋体" w:hAnsi="宋体" w:cs="宋体"/>
          <w:b/>
          <w:bCs/>
          <w:color w:val="auto"/>
          <w:szCs w:val="21"/>
        </w:rPr>
        <w:t>的总报价不一致的，以本表为准；</w:t>
      </w:r>
    </w:p>
    <w:p>
      <w:pPr>
        <w:spacing w:line="440" w:lineRule="exact"/>
        <w:ind w:firstLine="420"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大写金额和小写金额不一致的，以大写金额为准；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3</w:t>
      </w:r>
      <w:r>
        <w:rPr>
          <w:rFonts w:ascii="宋体" w:hAnsi="宋体" w:cs="宋体"/>
          <w:b/>
          <w:bCs/>
          <w:szCs w:val="21"/>
        </w:rPr>
        <w:t>）单价金额小数点或者百分比有明显错位的，以总价为准；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4</w:t>
      </w:r>
      <w:r>
        <w:rPr>
          <w:rFonts w:ascii="宋体" w:hAnsi="宋体" w:cs="宋体"/>
          <w:b/>
          <w:bCs/>
          <w:szCs w:val="21"/>
        </w:rPr>
        <w:t>）总价金额与按单价汇总金额不一致的，以单价金额计算结果为准。</w:t>
      </w:r>
    </w:p>
    <w:p>
      <w:pPr>
        <w:spacing w:line="440" w:lineRule="exact"/>
        <w:ind w:firstLine="424" w:firstLineChars="202"/>
        <w:rPr>
          <w:rFonts w:hint="eastAsia" w:ascii="宋体" w:hAnsi="宋体" w:cs="宋体"/>
          <w:b/>
          <w:bCs/>
          <w:szCs w:val="21"/>
        </w:rPr>
      </w:pPr>
      <w:r>
        <w:rPr>
          <w:rFonts w:ascii="宋体" w:hAnsi="宋体" w:cs="宋体"/>
          <w:b/>
          <w:bCs/>
          <w:szCs w:val="21"/>
        </w:rPr>
        <w:t>同时出现两种以上不一致的，按照前款规定的顺序修正。</w:t>
      </w:r>
    </w:p>
    <w:p>
      <w:pPr>
        <w:pStyle w:val="23"/>
        <w:rPr>
          <w:rFonts w:hint="eastAsia" w:cs="宋体"/>
          <w:sz w:val="28"/>
          <w:szCs w:val="24"/>
        </w:rPr>
      </w:pPr>
    </w:p>
    <w:sectPr>
      <w:headerReference r:id="rId17" w:type="first"/>
      <w:footerReference r:id="rId19" w:type="first"/>
      <w:headerReference r:id="rId16" w:type="default"/>
      <w:footerReference r:id="rId18"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微软雅黑"/>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A1469"/>
    <w:multiLevelType w:val="singleLevel"/>
    <w:tmpl w:val="938A1469"/>
    <w:lvl w:ilvl="0" w:tentative="0">
      <w:start w:val="1"/>
      <w:numFmt w:val="decimal"/>
      <w:lvlText w:val="%1."/>
      <w:lvlJc w:val="left"/>
      <w:pPr>
        <w:tabs>
          <w:tab w:val="left" w:pos="312"/>
        </w:tabs>
      </w:p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FC78CB60"/>
    <w:multiLevelType w:val="multilevel"/>
    <w:tmpl w:val="FC78CB60"/>
    <w:lvl w:ilvl="0" w:tentative="0">
      <w:start w:val="1"/>
      <w:numFmt w:val="decimal"/>
      <w:lvlText w:val="%1."/>
      <w:lvlJc w:val="left"/>
      <w:pPr>
        <w:ind w:left="284" w:hanging="284"/>
      </w:pPr>
      <w:rPr>
        <w:rFonts w:hint="default" w:ascii="宋体" w:hAnsi="宋体" w:eastAsia="宋体"/>
        <w:b/>
      </w:rPr>
    </w:lvl>
    <w:lvl w:ilvl="1" w:tentative="0">
      <w:start w:val="1"/>
      <w:numFmt w:val="decimal"/>
      <w:suff w:val="space"/>
      <w:lvlText w:val="%1.%2"/>
      <w:lvlJc w:val="left"/>
      <w:pPr>
        <w:ind w:left="0" w:leftChars="0" w:firstLine="425" w:firstLineChars="0"/>
      </w:pPr>
      <w:rPr>
        <w:rFonts w:hint="default" w:ascii="宋体" w:hAnsi="宋体" w:eastAsia="宋体"/>
        <w:b w:val="0"/>
        <w:color w:val="auto"/>
      </w:rPr>
    </w:lvl>
    <w:lvl w:ilvl="2" w:tentative="0">
      <w:start w:val="1"/>
      <w:numFmt w:val="decimal"/>
      <w:suff w:val="nothing"/>
      <w:lvlText w:val="%1.%2.%3"/>
      <w:lvlJc w:val="left"/>
      <w:pPr>
        <w:tabs>
          <w:tab w:val="left" w:pos="420"/>
        </w:tabs>
        <w:ind w:left="0" w:leftChars="0" w:firstLine="0" w:firstLineChars="0"/>
      </w:pPr>
      <w:rPr>
        <w:rFonts w:hint="default"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4">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5">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000001B"/>
    <w:multiLevelType w:val="singleLevel"/>
    <w:tmpl w:val="0000001B"/>
    <w:lvl w:ilvl="0" w:tentative="0">
      <w:start w:val="1"/>
      <w:numFmt w:val="decimal"/>
      <w:suff w:val="nothing"/>
      <w:lvlText w:val="%1."/>
      <w:lvlJc w:val="left"/>
    </w:lvl>
  </w:abstractNum>
  <w:abstractNum w:abstractNumId="7">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702A8FD2"/>
    <w:multiLevelType w:val="singleLevel"/>
    <w:tmpl w:val="702A8FD2"/>
    <w:lvl w:ilvl="0" w:tentative="0">
      <w:start w:val="5"/>
      <w:numFmt w:val="decimal"/>
      <w:suff w:val="nothing"/>
      <w:lvlText w:val="%1、"/>
      <w:lvlJc w:val="left"/>
    </w:lvl>
  </w:abstractNum>
  <w:num w:numId="1">
    <w:abstractNumId w:val="4"/>
  </w:num>
  <w:num w:numId="2">
    <w:abstractNumId w:val="9"/>
  </w:num>
  <w:num w:numId="3">
    <w:abstractNumId w:val="8"/>
  </w:num>
  <w:num w:numId="4">
    <w:abstractNumId w:val="2"/>
  </w:num>
  <w:num w:numId="5">
    <w:abstractNumId w:val="1"/>
  </w:num>
  <w:num w:numId="6">
    <w:abstractNumId w:val="5"/>
  </w:num>
  <w:num w:numId="7">
    <w:abstractNumId w:val="3"/>
  </w:num>
  <w:num w:numId="8">
    <w:abstractNumId w:val="7"/>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5ZTNkODkzZTIyNzJiNTMwMTZlN2JlNDdkM2UyODI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973B44"/>
    <w:rsid w:val="01BD7A4F"/>
    <w:rsid w:val="01F62F61"/>
    <w:rsid w:val="0200793B"/>
    <w:rsid w:val="022D22A4"/>
    <w:rsid w:val="02B250DA"/>
    <w:rsid w:val="02B32C00"/>
    <w:rsid w:val="02EB23E7"/>
    <w:rsid w:val="02F964C1"/>
    <w:rsid w:val="030F6088"/>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5D830A9"/>
    <w:rsid w:val="064365F2"/>
    <w:rsid w:val="064E27D6"/>
    <w:rsid w:val="066514D0"/>
    <w:rsid w:val="067726AC"/>
    <w:rsid w:val="06C8536A"/>
    <w:rsid w:val="07414C7E"/>
    <w:rsid w:val="074D3623"/>
    <w:rsid w:val="07A31BDC"/>
    <w:rsid w:val="07AF7E3A"/>
    <w:rsid w:val="07E560A1"/>
    <w:rsid w:val="07EB6D02"/>
    <w:rsid w:val="07FC3AF7"/>
    <w:rsid w:val="08420CAE"/>
    <w:rsid w:val="086C7AD9"/>
    <w:rsid w:val="087E3197"/>
    <w:rsid w:val="08B03961"/>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526DA6"/>
    <w:rsid w:val="0A7D7D7B"/>
    <w:rsid w:val="0A8E027A"/>
    <w:rsid w:val="0A953C3F"/>
    <w:rsid w:val="0AB55D93"/>
    <w:rsid w:val="0ABA2D7D"/>
    <w:rsid w:val="0AF52007"/>
    <w:rsid w:val="0AFD0EBC"/>
    <w:rsid w:val="0B0C55A3"/>
    <w:rsid w:val="0B4A5E65"/>
    <w:rsid w:val="0B6A792F"/>
    <w:rsid w:val="0BB26A70"/>
    <w:rsid w:val="0BB27EF8"/>
    <w:rsid w:val="0BC67500"/>
    <w:rsid w:val="0C195E4B"/>
    <w:rsid w:val="0C2506CA"/>
    <w:rsid w:val="0C6A432F"/>
    <w:rsid w:val="0CE55CFE"/>
    <w:rsid w:val="0D111CE0"/>
    <w:rsid w:val="0D32353D"/>
    <w:rsid w:val="0D7D4536"/>
    <w:rsid w:val="0DAF0B93"/>
    <w:rsid w:val="0DC3773A"/>
    <w:rsid w:val="0DF612D3"/>
    <w:rsid w:val="0E031C4F"/>
    <w:rsid w:val="0E0620AA"/>
    <w:rsid w:val="0E552513"/>
    <w:rsid w:val="0E5C239D"/>
    <w:rsid w:val="0E63197E"/>
    <w:rsid w:val="0F044A03"/>
    <w:rsid w:val="0F1B6A2C"/>
    <w:rsid w:val="0F223D21"/>
    <w:rsid w:val="0F2F360E"/>
    <w:rsid w:val="0F3A297B"/>
    <w:rsid w:val="0F472AC9"/>
    <w:rsid w:val="0F5372FC"/>
    <w:rsid w:val="0F6C35CE"/>
    <w:rsid w:val="0FBD0C1A"/>
    <w:rsid w:val="0FC30926"/>
    <w:rsid w:val="0FF07241"/>
    <w:rsid w:val="1022110A"/>
    <w:rsid w:val="103939A5"/>
    <w:rsid w:val="104135F9"/>
    <w:rsid w:val="10437371"/>
    <w:rsid w:val="105703DF"/>
    <w:rsid w:val="10F845FF"/>
    <w:rsid w:val="112706F4"/>
    <w:rsid w:val="113263C3"/>
    <w:rsid w:val="11457848"/>
    <w:rsid w:val="115815BB"/>
    <w:rsid w:val="115D4462"/>
    <w:rsid w:val="115F08E1"/>
    <w:rsid w:val="117417AC"/>
    <w:rsid w:val="117B4B6D"/>
    <w:rsid w:val="118F65E6"/>
    <w:rsid w:val="11F3777D"/>
    <w:rsid w:val="128D141F"/>
    <w:rsid w:val="12920EF5"/>
    <w:rsid w:val="12A871D7"/>
    <w:rsid w:val="135B70C7"/>
    <w:rsid w:val="13710699"/>
    <w:rsid w:val="13D44784"/>
    <w:rsid w:val="140F0849"/>
    <w:rsid w:val="143304C3"/>
    <w:rsid w:val="143C2A55"/>
    <w:rsid w:val="14411E19"/>
    <w:rsid w:val="14582C4C"/>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A25EFE"/>
    <w:rsid w:val="15F2599B"/>
    <w:rsid w:val="15F80BFE"/>
    <w:rsid w:val="161F0EEC"/>
    <w:rsid w:val="16286B1E"/>
    <w:rsid w:val="16420C4F"/>
    <w:rsid w:val="16486627"/>
    <w:rsid w:val="16502CDA"/>
    <w:rsid w:val="16557669"/>
    <w:rsid w:val="16BA216A"/>
    <w:rsid w:val="16C72E02"/>
    <w:rsid w:val="16E66CA8"/>
    <w:rsid w:val="17033CFE"/>
    <w:rsid w:val="170B4961"/>
    <w:rsid w:val="172612B9"/>
    <w:rsid w:val="17714319"/>
    <w:rsid w:val="179901BE"/>
    <w:rsid w:val="17A96653"/>
    <w:rsid w:val="17B46264"/>
    <w:rsid w:val="17F51340"/>
    <w:rsid w:val="18177ED1"/>
    <w:rsid w:val="182C43CC"/>
    <w:rsid w:val="18673E19"/>
    <w:rsid w:val="18837C5C"/>
    <w:rsid w:val="188A3311"/>
    <w:rsid w:val="18C354F3"/>
    <w:rsid w:val="190B3991"/>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55376"/>
    <w:rsid w:val="1B0C692E"/>
    <w:rsid w:val="1BBE6686"/>
    <w:rsid w:val="1BC33A5C"/>
    <w:rsid w:val="1BFF5B9A"/>
    <w:rsid w:val="1C24274C"/>
    <w:rsid w:val="1C395ACC"/>
    <w:rsid w:val="1C5260F7"/>
    <w:rsid w:val="1C626DD1"/>
    <w:rsid w:val="1C654B13"/>
    <w:rsid w:val="1D210BFD"/>
    <w:rsid w:val="1D2B3667"/>
    <w:rsid w:val="1D4B5AB7"/>
    <w:rsid w:val="1D500A65"/>
    <w:rsid w:val="1D540C49"/>
    <w:rsid w:val="1D617689"/>
    <w:rsid w:val="1D8D377B"/>
    <w:rsid w:val="1DB655BE"/>
    <w:rsid w:val="1DD1296B"/>
    <w:rsid w:val="1DED3012"/>
    <w:rsid w:val="1E0C1856"/>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01993"/>
    <w:rsid w:val="1FEA5EA1"/>
    <w:rsid w:val="203C7A5B"/>
    <w:rsid w:val="20602C7A"/>
    <w:rsid w:val="20C148C6"/>
    <w:rsid w:val="20CC0EB9"/>
    <w:rsid w:val="20E26732"/>
    <w:rsid w:val="215C2350"/>
    <w:rsid w:val="217952E8"/>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447230"/>
    <w:rsid w:val="23616034"/>
    <w:rsid w:val="23647A1C"/>
    <w:rsid w:val="23706277"/>
    <w:rsid w:val="2382348F"/>
    <w:rsid w:val="23B73C18"/>
    <w:rsid w:val="247B58A0"/>
    <w:rsid w:val="248024EA"/>
    <w:rsid w:val="24855D52"/>
    <w:rsid w:val="248F6BD1"/>
    <w:rsid w:val="24B108F5"/>
    <w:rsid w:val="24D81875"/>
    <w:rsid w:val="24E24F53"/>
    <w:rsid w:val="24E94533"/>
    <w:rsid w:val="250F386E"/>
    <w:rsid w:val="25152EF2"/>
    <w:rsid w:val="25356324"/>
    <w:rsid w:val="253B22C4"/>
    <w:rsid w:val="25706CBA"/>
    <w:rsid w:val="25900E53"/>
    <w:rsid w:val="25AE3087"/>
    <w:rsid w:val="25B85CB3"/>
    <w:rsid w:val="26011794"/>
    <w:rsid w:val="26094761"/>
    <w:rsid w:val="266C2062"/>
    <w:rsid w:val="26751DF6"/>
    <w:rsid w:val="26A92FFB"/>
    <w:rsid w:val="26C02369"/>
    <w:rsid w:val="26CB02AF"/>
    <w:rsid w:val="26DD1E76"/>
    <w:rsid w:val="27145658"/>
    <w:rsid w:val="27283ECE"/>
    <w:rsid w:val="27286E69"/>
    <w:rsid w:val="2733425E"/>
    <w:rsid w:val="27441EF5"/>
    <w:rsid w:val="27E6053F"/>
    <w:rsid w:val="28016BEB"/>
    <w:rsid w:val="280264C3"/>
    <w:rsid w:val="280726C2"/>
    <w:rsid w:val="280E153D"/>
    <w:rsid w:val="285F68BA"/>
    <w:rsid w:val="2863671A"/>
    <w:rsid w:val="288B136F"/>
    <w:rsid w:val="28AB7D51"/>
    <w:rsid w:val="28B01ACD"/>
    <w:rsid w:val="28DE4AA3"/>
    <w:rsid w:val="28E15521"/>
    <w:rsid w:val="28FE4325"/>
    <w:rsid w:val="29026462"/>
    <w:rsid w:val="290D481D"/>
    <w:rsid w:val="291E02EB"/>
    <w:rsid w:val="29731ED1"/>
    <w:rsid w:val="29787C34"/>
    <w:rsid w:val="2984058B"/>
    <w:rsid w:val="29BB0FD5"/>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C57C52"/>
    <w:rsid w:val="2BF11F1F"/>
    <w:rsid w:val="2C003885"/>
    <w:rsid w:val="2C2E3173"/>
    <w:rsid w:val="2C526E91"/>
    <w:rsid w:val="2C867239"/>
    <w:rsid w:val="2CD930DF"/>
    <w:rsid w:val="2D4F3B24"/>
    <w:rsid w:val="2D524754"/>
    <w:rsid w:val="2D573CA4"/>
    <w:rsid w:val="2D9E61E0"/>
    <w:rsid w:val="2DE53D06"/>
    <w:rsid w:val="2E0C4DEE"/>
    <w:rsid w:val="2E291D46"/>
    <w:rsid w:val="2E4D7E0F"/>
    <w:rsid w:val="2E71113D"/>
    <w:rsid w:val="2EF35FAE"/>
    <w:rsid w:val="2EF7784D"/>
    <w:rsid w:val="2F227824"/>
    <w:rsid w:val="2F4440CA"/>
    <w:rsid w:val="2F49150D"/>
    <w:rsid w:val="2F542EF1"/>
    <w:rsid w:val="2F5C1DA5"/>
    <w:rsid w:val="2F653786"/>
    <w:rsid w:val="302B7E84"/>
    <w:rsid w:val="3043740F"/>
    <w:rsid w:val="304C5976"/>
    <w:rsid w:val="30660E93"/>
    <w:rsid w:val="30C73495"/>
    <w:rsid w:val="30DF11B1"/>
    <w:rsid w:val="30EB38AE"/>
    <w:rsid w:val="31501496"/>
    <w:rsid w:val="319F3B14"/>
    <w:rsid w:val="3200110E"/>
    <w:rsid w:val="32450C5C"/>
    <w:rsid w:val="328518BA"/>
    <w:rsid w:val="32A51AEC"/>
    <w:rsid w:val="32B855C8"/>
    <w:rsid w:val="32D700C1"/>
    <w:rsid w:val="331570B9"/>
    <w:rsid w:val="332B6F4B"/>
    <w:rsid w:val="33A36954"/>
    <w:rsid w:val="33B71CA0"/>
    <w:rsid w:val="33C148CD"/>
    <w:rsid w:val="33E84297"/>
    <w:rsid w:val="33F85841"/>
    <w:rsid w:val="33FB26D9"/>
    <w:rsid w:val="3402116D"/>
    <w:rsid w:val="340257AD"/>
    <w:rsid w:val="34034EE6"/>
    <w:rsid w:val="3417273F"/>
    <w:rsid w:val="342033A2"/>
    <w:rsid w:val="343B467F"/>
    <w:rsid w:val="347600C7"/>
    <w:rsid w:val="34FF3EF1"/>
    <w:rsid w:val="35216B3A"/>
    <w:rsid w:val="353D01A2"/>
    <w:rsid w:val="3542559A"/>
    <w:rsid w:val="357240D1"/>
    <w:rsid w:val="35E46F67"/>
    <w:rsid w:val="36172D69"/>
    <w:rsid w:val="3621378E"/>
    <w:rsid w:val="36252EF1"/>
    <w:rsid w:val="36392432"/>
    <w:rsid w:val="365A2ACD"/>
    <w:rsid w:val="36CA1CEB"/>
    <w:rsid w:val="36EA579E"/>
    <w:rsid w:val="36F34D9D"/>
    <w:rsid w:val="37215DAE"/>
    <w:rsid w:val="37385662"/>
    <w:rsid w:val="374401BC"/>
    <w:rsid w:val="37621F23"/>
    <w:rsid w:val="3768578B"/>
    <w:rsid w:val="376F6900"/>
    <w:rsid w:val="377834F5"/>
    <w:rsid w:val="379B4086"/>
    <w:rsid w:val="37AA6032"/>
    <w:rsid w:val="37C54090"/>
    <w:rsid w:val="384E0062"/>
    <w:rsid w:val="386677F1"/>
    <w:rsid w:val="38706B58"/>
    <w:rsid w:val="387A22ED"/>
    <w:rsid w:val="390E705C"/>
    <w:rsid w:val="39404C40"/>
    <w:rsid w:val="395922F3"/>
    <w:rsid w:val="395A7356"/>
    <w:rsid w:val="3962445C"/>
    <w:rsid w:val="39893797"/>
    <w:rsid w:val="39A1607B"/>
    <w:rsid w:val="3A1D743F"/>
    <w:rsid w:val="3A534510"/>
    <w:rsid w:val="3A6B4003"/>
    <w:rsid w:val="3A924EA9"/>
    <w:rsid w:val="3AB331C1"/>
    <w:rsid w:val="3AD06540"/>
    <w:rsid w:val="3ADF038D"/>
    <w:rsid w:val="3AE37655"/>
    <w:rsid w:val="3B223EA3"/>
    <w:rsid w:val="3B68689B"/>
    <w:rsid w:val="3B80362A"/>
    <w:rsid w:val="3B845814"/>
    <w:rsid w:val="3B9D79CE"/>
    <w:rsid w:val="3BCC3E0F"/>
    <w:rsid w:val="3C2A559E"/>
    <w:rsid w:val="3C4B567C"/>
    <w:rsid w:val="3C545E01"/>
    <w:rsid w:val="3C7626F9"/>
    <w:rsid w:val="3C7D2064"/>
    <w:rsid w:val="3C8666B4"/>
    <w:rsid w:val="3CAF5C0A"/>
    <w:rsid w:val="3D51730D"/>
    <w:rsid w:val="3D8250CD"/>
    <w:rsid w:val="3D83546E"/>
    <w:rsid w:val="3DB35286"/>
    <w:rsid w:val="3E114C4C"/>
    <w:rsid w:val="3E2D328B"/>
    <w:rsid w:val="3E655A64"/>
    <w:rsid w:val="3E895FE7"/>
    <w:rsid w:val="3E8A4C21"/>
    <w:rsid w:val="3E9958B1"/>
    <w:rsid w:val="3E9A303C"/>
    <w:rsid w:val="3EC50A89"/>
    <w:rsid w:val="3EC82FB3"/>
    <w:rsid w:val="3EE045C9"/>
    <w:rsid w:val="3EE719AC"/>
    <w:rsid w:val="3EEA2F2A"/>
    <w:rsid w:val="3F304C30"/>
    <w:rsid w:val="3F406FEE"/>
    <w:rsid w:val="3F6833D1"/>
    <w:rsid w:val="3F941354"/>
    <w:rsid w:val="3FAE708C"/>
    <w:rsid w:val="3FDA1030"/>
    <w:rsid w:val="3FF12C3A"/>
    <w:rsid w:val="400A54C8"/>
    <w:rsid w:val="40386761"/>
    <w:rsid w:val="409725E8"/>
    <w:rsid w:val="40A215BE"/>
    <w:rsid w:val="40C050F3"/>
    <w:rsid w:val="40FA4E7B"/>
    <w:rsid w:val="411424C6"/>
    <w:rsid w:val="41201CCA"/>
    <w:rsid w:val="41271358"/>
    <w:rsid w:val="415D3E87"/>
    <w:rsid w:val="417B430D"/>
    <w:rsid w:val="41C602D1"/>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89726A"/>
    <w:rsid w:val="45A8769B"/>
    <w:rsid w:val="45A924E1"/>
    <w:rsid w:val="45B46AD3"/>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92F5B"/>
    <w:rsid w:val="48FB2CF7"/>
    <w:rsid w:val="49107A31"/>
    <w:rsid w:val="49372EB2"/>
    <w:rsid w:val="493C25D4"/>
    <w:rsid w:val="494D658F"/>
    <w:rsid w:val="494E5146"/>
    <w:rsid w:val="49BE748D"/>
    <w:rsid w:val="49EC6243"/>
    <w:rsid w:val="49FB621D"/>
    <w:rsid w:val="4A011398"/>
    <w:rsid w:val="4A05080D"/>
    <w:rsid w:val="4A091ED0"/>
    <w:rsid w:val="4A7D10F6"/>
    <w:rsid w:val="4ABF170F"/>
    <w:rsid w:val="4B243594"/>
    <w:rsid w:val="4B52754A"/>
    <w:rsid w:val="4B6F5345"/>
    <w:rsid w:val="4B8F7BC6"/>
    <w:rsid w:val="4BBA394F"/>
    <w:rsid w:val="4BFD6A13"/>
    <w:rsid w:val="4C2757BD"/>
    <w:rsid w:val="4C3C07ED"/>
    <w:rsid w:val="4C7B4A9E"/>
    <w:rsid w:val="4CC7434F"/>
    <w:rsid w:val="4CD945DE"/>
    <w:rsid w:val="4D03307E"/>
    <w:rsid w:val="4D603F9A"/>
    <w:rsid w:val="4D91713A"/>
    <w:rsid w:val="4DD21759"/>
    <w:rsid w:val="4DF72F6D"/>
    <w:rsid w:val="4E0A47AA"/>
    <w:rsid w:val="4E2F0959"/>
    <w:rsid w:val="4E847CBD"/>
    <w:rsid w:val="4E8E2ED5"/>
    <w:rsid w:val="4ED70257"/>
    <w:rsid w:val="4EF243B2"/>
    <w:rsid w:val="4F3A0C9E"/>
    <w:rsid w:val="4F873249"/>
    <w:rsid w:val="4FEB08B0"/>
    <w:rsid w:val="500951DA"/>
    <w:rsid w:val="501A1D50"/>
    <w:rsid w:val="502D711A"/>
    <w:rsid w:val="503075AA"/>
    <w:rsid w:val="50410780"/>
    <w:rsid w:val="504D156B"/>
    <w:rsid w:val="504E4BC6"/>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8F27420"/>
    <w:rsid w:val="59446509"/>
    <w:rsid w:val="594C53EE"/>
    <w:rsid w:val="59834C5E"/>
    <w:rsid w:val="598F6750"/>
    <w:rsid w:val="59A8341F"/>
    <w:rsid w:val="59B537F0"/>
    <w:rsid w:val="59C503C4"/>
    <w:rsid w:val="5A1F7AD4"/>
    <w:rsid w:val="5A3F7093"/>
    <w:rsid w:val="5AC468CD"/>
    <w:rsid w:val="5AE71154"/>
    <w:rsid w:val="5B0729AE"/>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857AA1"/>
    <w:rsid w:val="5DB744C7"/>
    <w:rsid w:val="5DD0153B"/>
    <w:rsid w:val="5E0A4982"/>
    <w:rsid w:val="5E3C1BCE"/>
    <w:rsid w:val="5E3F564C"/>
    <w:rsid w:val="5E4E07C9"/>
    <w:rsid w:val="5E682CE6"/>
    <w:rsid w:val="5EE45C2E"/>
    <w:rsid w:val="5FB3249C"/>
    <w:rsid w:val="5FE11ED3"/>
    <w:rsid w:val="602816AC"/>
    <w:rsid w:val="60341B58"/>
    <w:rsid w:val="6079112D"/>
    <w:rsid w:val="608E20E7"/>
    <w:rsid w:val="60942A5D"/>
    <w:rsid w:val="609B1E7E"/>
    <w:rsid w:val="60B46A9C"/>
    <w:rsid w:val="6155520D"/>
    <w:rsid w:val="615D7134"/>
    <w:rsid w:val="6189617B"/>
    <w:rsid w:val="619244A7"/>
    <w:rsid w:val="61E6537B"/>
    <w:rsid w:val="62632F8F"/>
    <w:rsid w:val="629D6E17"/>
    <w:rsid w:val="62D96C8E"/>
    <w:rsid w:val="630533C6"/>
    <w:rsid w:val="634174F0"/>
    <w:rsid w:val="6371143E"/>
    <w:rsid w:val="6396158E"/>
    <w:rsid w:val="6397045F"/>
    <w:rsid w:val="63B76FCF"/>
    <w:rsid w:val="63BA7BAA"/>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2111DD"/>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6812DA"/>
    <w:rsid w:val="69796E11"/>
    <w:rsid w:val="69A73B89"/>
    <w:rsid w:val="6A181E8D"/>
    <w:rsid w:val="6A325601"/>
    <w:rsid w:val="6A3B177D"/>
    <w:rsid w:val="6A3B3D8A"/>
    <w:rsid w:val="6A5657ED"/>
    <w:rsid w:val="6A616079"/>
    <w:rsid w:val="6A617C95"/>
    <w:rsid w:val="6A640D8F"/>
    <w:rsid w:val="6A753740"/>
    <w:rsid w:val="6AB37DC4"/>
    <w:rsid w:val="6AEC6501"/>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6164B5"/>
    <w:rsid w:val="6E62222D"/>
    <w:rsid w:val="6E7361E8"/>
    <w:rsid w:val="6E9B3503"/>
    <w:rsid w:val="6EB44070"/>
    <w:rsid w:val="6EB92620"/>
    <w:rsid w:val="6EE8439B"/>
    <w:rsid w:val="6EEB648C"/>
    <w:rsid w:val="6EF1592B"/>
    <w:rsid w:val="6F3112FC"/>
    <w:rsid w:val="6F394D3C"/>
    <w:rsid w:val="6F3D38C2"/>
    <w:rsid w:val="6F4D6A39"/>
    <w:rsid w:val="6F7E4E45"/>
    <w:rsid w:val="6FA0512D"/>
    <w:rsid w:val="6FB36BC5"/>
    <w:rsid w:val="6FD24C25"/>
    <w:rsid w:val="6FF6546C"/>
    <w:rsid w:val="7000682B"/>
    <w:rsid w:val="70010C88"/>
    <w:rsid w:val="700F0B54"/>
    <w:rsid w:val="70426C52"/>
    <w:rsid w:val="70983CE4"/>
    <w:rsid w:val="70DC62C7"/>
    <w:rsid w:val="70F95013"/>
    <w:rsid w:val="712263AB"/>
    <w:rsid w:val="71376F72"/>
    <w:rsid w:val="7145658E"/>
    <w:rsid w:val="715220E5"/>
    <w:rsid w:val="718B37D7"/>
    <w:rsid w:val="71E04ECC"/>
    <w:rsid w:val="72313A8F"/>
    <w:rsid w:val="72381B7C"/>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780BAC"/>
    <w:rsid w:val="749F723D"/>
    <w:rsid w:val="74A7099A"/>
    <w:rsid w:val="74D177C5"/>
    <w:rsid w:val="74E05C60"/>
    <w:rsid w:val="74E9081C"/>
    <w:rsid w:val="751C3136"/>
    <w:rsid w:val="75257396"/>
    <w:rsid w:val="754206C3"/>
    <w:rsid w:val="754B12D3"/>
    <w:rsid w:val="75932BDF"/>
    <w:rsid w:val="75941572"/>
    <w:rsid w:val="75F220E9"/>
    <w:rsid w:val="76256605"/>
    <w:rsid w:val="76371099"/>
    <w:rsid w:val="765E4228"/>
    <w:rsid w:val="7693567A"/>
    <w:rsid w:val="76EE28B0"/>
    <w:rsid w:val="7718515B"/>
    <w:rsid w:val="771F3406"/>
    <w:rsid w:val="775B7B9D"/>
    <w:rsid w:val="778036C3"/>
    <w:rsid w:val="77A6276C"/>
    <w:rsid w:val="77DD178E"/>
    <w:rsid w:val="781E1591"/>
    <w:rsid w:val="78342545"/>
    <w:rsid w:val="784E0C98"/>
    <w:rsid w:val="78647DA9"/>
    <w:rsid w:val="7886509A"/>
    <w:rsid w:val="7889049B"/>
    <w:rsid w:val="788A4695"/>
    <w:rsid w:val="78A77D5C"/>
    <w:rsid w:val="78B44DDC"/>
    <w:rsid w:val="78ED57C7"/>
    <w:rsid w:val="790F4D60"/>
    <w:rsid w:val="791800B8"/>
    <w:rsid w:val="79354FFF"/>
    <w:rsid w:val="7941364C"/>
    <w:rsid w:val="794B2AAD"/>
    <w:rsid w:val="794D6A8B"/>
    <w:rsid w:val="79534C4C"/>
    <w:rsid w:val="79595528"/>
    <w:rsid w:val="7984574E"/>
    <w:rsid w:val="79C8388C"/>
    <w:rsid w:val="79D3028B"/>
    <w:rsid w:val="79E104AA"/>
    <w:rsid w:val="79E26483"/>
    <w:rsid w:val="79EB517C"/>
    <w:rsid w:val="79EC750C"/>
    <w:rsid w:val="7A0A5C53"/>
    <w:rsid w:val="7A0E0CCB"/>
    <w:rsid w:val="7A253455"/>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CF94903"/>
    <w:rsid w:val="7D252DA4"/>
    <w:rsid w:val="7D6041D6"/>
    <w:rsid w:val="7D697134"/>
    <w:rsid w:val="7DB62B87"/>
    <w:rsid w:val="7DCC76C3"/>
    <w:rsid w:val="7DFB04BA"/>
    <w:rsid w:val="7E0E1A8A"/>
    <w:rsid w:val="7E300756"/>
    <w:rsid w:val="7E682F48"/>
    <w:rsid w:val="7E6A6EBA"/>
    <w:rsid w:val="7E7A45CB"/>
    <w:rsid w:val="7E845EE8"/>
    <w:rsid w:val="7F0562FB"/>
    <w:rsid w:val="7F0A03FD"/>
    <w:rsid w:val="7F855D7C"/>
    <w:rsid w:val="7FD67122"/>
    <w:rsid w:val="7FF072AE"/>
    <w:rsid w:val="FB2C4F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link w:val="58"/>
    <w:autoRedefine/>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59"/>
    <w:autoRedefine/>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6">
    <w:name w:val="heading 4"/>
    <w:basedOn w:val="1"/>
    <w:next w:val="1"/>
    <w:autoRedefine/>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0">
    <w:name w:val="Default Paragraph Font"/>
    <w:autoRedefine/>
    <w:qFormat/>
    <w:uiPriority w:val="0"/>
    <w:rPr>
      <w:rFonts w:ascii="宋体" w:hAnsi="宋体" w:eastAsia="宋体"/>
      <w:kern w:val="2"/>
      <w:sz w:val="28"/>
      <w:szCs w:val="24"/>
      <w:lang w:val="en-US" w:eastAsia="zh-CN" w:bidi="ar-SA"/>
    </w:rPr>
  </w:style>
  <w:style w:type="table" w:default="1" w:styleId="38">
    <w:name w:val="Normal Table"/>
    <w:autoRedefine/>
    <w:semiHidden/>
    <w:qFormat/>
    <w:uiPriority w:val="0"/>
    <w:tblPr>
      <w:tblCellMar>
        <w:top w:w="0" w:type="dxa"/>
        <w:left w:w="108" w:type="dxa"/>
        <w:bottom w:w="0" w:type="dxa"/>
        <w:right w:w="108" w:type="dxa"/>
      </w:tblCellMar>
    </w:tblPr>
  </w:style>
  <w:style w:type="paragraph" w:customStyle="1" w:styleId="2">
    <w:name w:val="No Spacing1"/>
    <w:basedOn w:val="1"/>
    <w:autoRedefine/>
    <w:qFormat/>
    <w:uiPriority w:val="0"/>
    <w:pPr>
      <w:spacing w:after="0" w:afterLines="0" w:line="400" w:lineRule="exact"/>
    </w:pPr>
    <w:rPr>
      <w:rFonts w:ascii="Calibri" w:hAnsi="Calibri" w:eastAsia="宋体" w:cs="黑体"/>
      <w:sz w:val="24"/>
      <w:lang w:val="en-US" w:eastAsia="zh-CN" w:bidi="ar-SA"/>
    </w:rPr>
  </w:style>
  <w:style w:type="paragraph" w:styleId="7">
    <w:name w:val="toc 7"/>
    <w:basedOn w:val="1"/>
    <w:next w:val="1"/>
    <w:autoRedefine/>
    <w:qFormat/>
    <w:uiPriority w:val="0"/>
    <w:pPr>
      <w:ind w:left="2520" w:leftChars="1200"/>
    </w:pPr>
  </w:style>
  <w:style w:type="paragraph" w:styleId="8">
    <w:name w:val="Normal Indent"/>
    <w:basedOn w:val="1"/>
    <w:link w:val="60"/>
    <w:autoRedefine/>
    <w:qFormat/>
    <w:uiPriority w:val="0"/>
    <w:pPr>
      <w:autoSpaceDE w:val="0"/>
      <w:autoSpaceDN w:val="0"/>
      <w:adjustRightInd w:val="0"/>
      <w:ind w:firstLine="420"/>
      <w:jc w:val="left"/>
    </w:pPr>
    <w:rPr>
      <w:rFonts w:ascii="宋体"/>
      <w:kern w:val="0"/>
      <w:sz w:val="24"/>
    </w:rPr>
  </w:style>
  <w:style w:type="paragraph" w:styleId="9">
    <w:name w:val="Document Map"/>
    <w:basedOn w:val="1"/>
    <w:autoRedefine/>
    <w:qFormat/>
    <w:uiPriority w:val="0"/>
    <w:pPr>
      <w:shd w:val="clear" w:color="auto" w:fill="000080"/>
    </w:pPr>
  </w:style>
  <w:style w:type="paragraph" w:styleId="10">
    <w:name w:val="annotation text"/>
    <w:basedOn w:val="1"/>
    <w:autoRedefine/>
    <w:qFormat/>
    <w:uiPriority w:val="0"/>
    <w:pPr>
      <w:jc w:val="left"/>
    </w:pPr>
  </w:style>
  <w:style w:type="paragraph" w:styleId="11">
    <w:name w:val="Body Text 3"/>
    <w:basedOn w:val="1"/>
    <w:autoRedefine/>
    <w:qFormat/>
    <w:uiPriority w:val="0"/>
    <w:rPr>
      <w:rFonts w:eastAsia="楷体_GB2312"/>
      <w:sz w:val="28"/>
    </w:rPr>
  </w:style>
  <w:style w:type="paragraph" w:styleId="12">
    <w:name w:val="Body Text"/>
    <w:basedOn w:val="1"/>
    <w:next w:val="13"/>
    <w:autoRedefine/>
    <w:qFormat/>
    <w:uiPriority w:val="0"/>
    <w:pPr>
      <w:spacing w:after="120" w:afterLines="0"/>
    </w:pPr>
  </w:style>
  <w:style w:type="paragraph" w:styleId="13">
    <w:name w:val="Body Text 2"/>
    <w:basedOn w:val="1"/>
    <w:autoRedefine/>
    <w:qFormat/>
    <w:uiPriority w:val="0"/>
    <w:pPr>
      <w:spacing w:after="120" w:afterLines="0" w:line="480" w:lineRule="auto"/>
    </w:pPr>
  </w:style>
  <w:style w:type="paragraph" w:styleId="14">
    <w:name w:val="Body Text Indent"/>
    <w:basedOn w:val="1"/>
    <w:next w:val="15"/>
    <w:link w:val="57"/>
    <w:autoRedefine/>
    <w:qFormat/>
    <w:uiPriority w:val="0"/>
    <w:rPr>
      <w:kern w:val="0"/>
    </w:rPr>
  </w:style>
  <w:style w:type="paragraph" w:styleId="15">
    <w:name w:val="envelope return"/>
    <w:basedOn w:val="1"/>
    <w:autoRedefine/>
    <w:qFormat/>
    <w:uiPriority w:val="0"/>
    <w:pPr>
      <w:snapToGrid w:val="0"/>
    </w:pPr>
    <w:rPr>
      <w:rFonts w:ascii="Arial" w:hAnsi="Arial"/>
    </w:rPr>
  </w:style>
  <w:style w:type="paragraph" w:styleId="16">
    <w:name w:val="Block Text"/>
    <w:basedOn w:val="1"/>
    <w:autoRedefine/>
    <w:unhideWhenUsed/>
    <w:qFormat/>
    <w:uiPriority w:val="99"/>
    <w:pPr>
      <w:spacing w:after="120"/>
      <w:ind w:left="1440" w:leftChars="700" w:right="1440" w:rightChars="700"/>
    </w:pPr>
  </w:style>
  <w:style w:type="paragraph" w:styleId="17">
    <w:name w:val="toc 5"/>
    <w:basedOn w:val="1"/>
    <w:next w:val="1"/>
    <w:autoRedefine/>
    <w:qFormat/>
    <w:uiPriority w:val="0"/>
    <w:pPr>
      <w:ind w:left="1680" w:leftChars="800"/>
    </w:pPr>
  </w:style>
  <w:style w:type="paragraph" w:styleId="18">
    <w:name w:val="toc 3"/>
    <w:basedOn w:val="1"/>
    <w:next w:val="1"/>
    <w:autoRedefine/>
    <w:qFormat/>
    <w:uiPriority w:val="0"/>
    <w:pPr>
      <w:ind w:left="840" w:leftChars="400"/>
    </w:pPr>
  </w:style>
  <w:style w:type="paragraph" w:styleId="19">
    <w:name w:val="Plain Text"/>
    <w:basedOn w:val="1"/>
    <w:link w:val="61"/>
    <w:autoRedefine/>
    <w:qFormat/>
    <w:uiPriority w:val="0"/>
    <w:rPr>
      <w:rFonts w:hAnsi="Courier New" w:eastAsia="幼圆"/>
      <w:kern w:val="0"/>
    </w:rPr>
  </w:style>
  <w:style w:type="paragraph" w:styleId="20">
    <w:name w:val="toc 8"/>
    <w:basedOn w:val="1"/>
    <w:next w:val="1"/>
    <w:autoRedefine/>
    <w:qFormat/>
    <w:uiPriority w:val="0"/>
    <w:pPr>
      <w:ind w:left="2940" w:leftChars="1400"/>
    </w:pPr>
  </w:style>
  <w:style w:type="paragraph" w:styleId="21">
    <w:name w:val="Date"/>
    <w:basedOn w:val="1"/>
    <w:next w:val="1"/>
    <w:autoRedefine/>
    <w:qFormat/>
    <w:uiPriority w:val="0"/>
    <w:pPr>
      <w:ind w:left="100" w:leftChars="2500"/>
    </w:pPr>
    <w:rPr>
      <w:rFonts w:ascii="宋体" w:hAnsi="宋体"/>
      <w:sz w:val="28"/>
    </w:rPr>
  </w:style>
  <w:style w:type="paragraph" w:styleId="22">
    <w:name w:val="Body Text Indent 2"/>
    <w:basedOn w:val="1"/>
    <w:autoRedefine/>
    <w:qFormat/>
    <w:uiPriority w:val="0"/>
    <w:pPr>
      <w:ind w:firstLine="405" w:firstLineChars="193"/>
    </w:pPr>
    <w:rPr>
      <w:rFonts w:ascii="宋体" w:hAnsi="宋体"/>
    </w:rPr>
  </w:style>
  <w:style w:type="paragraph" w:styleId="23">
    <w:name w:val="Balloon Text"/>
    <w:basedOn w:val="1"/>
    <w:link w:val="62"/>
    <w:autoRedefine/>
    <w:qFormat/>
    <w:uiPriority w:val="0"/>
    <w:rPr>
      <w:rFonts w:ascii="宋体" w:hAnsi="宋体"/>
      <w:sz w:val="18"/>
      <w:szCs w:val="18"/>
    </w:rPr>
  </w:style>
  <w:style w:type="paragraph" w:styleId="24">
    <w:name w:val="footer"/>
    <w:basedOn w:val="1"/>
    <w:autoRedefine/>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5">
    <w:name w:val="header"/>
    <w:basedOn w:val="1"/>
    <w:next w:val="24"/>
    <w:autoRedefine/>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6">
    <w:name w:val="toc 1"/>
    <w:basedOn w:val="1"/>
    <w:next w:val="1"/>
    <w:autoRedefine/>
    <w:qFormat/>
    <w:uiPriority w:val="39"/>
  </w:style>
  <w:style w:type="paragraph" w:styleId="27">
    <w:name w:val="toc 4"/>
    <w:basedOn w:val="1"/>
    <w:next w:val="1"/>
    <w:autoRedefine/>
    <w:qFormat/>
    <w:uiPriority w:val="0"/>
    <w:pPr>
      <w:ind w:left="1260" w:leftChars="600"/>
    </w:pPr>
  </w:style>
  <w:style w:type="paragraph" w:styleId="28">
    <w:name w:val="toc 6"/>
    <w:basedOn w:val="1"/>
    <w:next w:val="1"/>
    <w:autoRedefine/>
    <w:qFormat/>
    <w:uiPriority w:val="0"/>
    <w:pPr>
      <w:ind w:left="2100" w:leftChars="1000"/>
    </w:pPr>
  </w:style>
  <w:style w:type="paragraph" w:styleId="29">
    <w:name w:val="Body Text Indent 3"/>
    <w:basedOn w:val="1"/>
    <w:autoRedefine/>
    <w:qFormat/>
    <w:uiPriority w:val="0"/>
    <w:pPr>
      <w:ind w:firstLine="420" w:firstLineChars="200"/>
    </w:pPr>
    <w:rPr>
      <w:rFonts w:ascii="宋体" w:hAnsi="宋体"/>
    </w:rPr>
  </w:style>
  <w:style w:type="paragraph" w:styleId="30">
    <w:name w:val="toc 2"/>
    <w:basedOn w:val="1"/>
    <w:next w:val="1"/>
    <w:autoRedefine/>
    <w:qFormat/>
    <w:uiPriority w:val="0"/>
    <w:pPr>
      <w:ind w:left="420" w:leftChars="200"/>
    </w:pPr>
  </w:style>
  <w:style w:type="paragraph" w:styleId="31">
    <w:name w:val="toc 9"/>
    <w:basedOn w:val="1"/>
    <w:next w:val="1"/>
    <w:autoRedefine/>
    <w:qFormat/>
    <w:uiPriority w:val="0"/>
    <w:pPr>
      <w:ind w:left="3360" w:leftChars="1600"/>
    </w:pPr>
  </w:style>
  <w:style w:type="paragraph" w:styleId="32">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paragraph" w:styleId="34">
    <w:name w:val="index 1"/>
    <w:basedOn w:val="1"/>
    <w:next w:val="1"/>
    <w:autoRedefine/>
    <w:qFormat/>
    <w:uiPriority w:val="0"/>
    <w:rPr>
      <w:szCs w:val="20"/>
    </w:rPr>
  </w:style>
  <w:style w:type="paragraph" w:styleId="35">
    <w:name w:val="Title"/>
    <w:basedOn w:val="1"/>
    <w:next w:val="1"/>
    <w:autoRedefine/>
    <w:qFormat/>
    <w:uiPriority w:val="0"/>
    <w:pPr>
      <w:spacing w:before="240" w:beforeLines="0" w:after="60" w:afterLines="0"/>
      <w:jc w:val="center"/>
      <w:outlineLvl w:val="0"/>
    </w:pPr>
    <w:rPr>
      <w:rFonts w:ascii="Arial" w:hAnsi="Arial" w:eastAsia="宋体" w:cs="Arial"/>
      <w:b/>
      <w:bCs/>
      <w:sz w:val="32"/>
      <w:szCs w:val="32"/>
    </w:rPr>
  </w:style>
  <w:style w:type="paragraph" w:styleId="36">
    <w:name w:val="Body Text First Indent"/>
    <w:basedOn w:val="12"/>
    <w:next w:val="37"/>
    <w:autoRedefine/>
    <w:qFormat/>
    <w:uiPriority w:val="0"/>
  </w:style>
  <w:style w:type="paragraph" w:styleId="37">
    <w:name w:val="Body Text First Indent 2"/>
    <w:basedOn w:val="14"/>
    <w:next w:val="1"/>
    <w:autoRedefine/>
    <w:qFormat/>
    <w:uiPriority w:val="0"/>
    <w:pPr>
      <w:numPr>
        <w:ilvl w:val="0"/>
        <w:numId w:val="0"/>
      </w:numPr>
      <w:spacing w:after="120" w:afterLines="0"/>
    </w:pPr>
  </w:style>
  <w:style w:type="table" w:styleId="39">
    <w:name w:val="Table Grid"/>
    <w:basedOn w:val="3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autoRedefine/>
    <w:qFormat/>
    <w:uiPriority w:val="0"/>
    <w:rPr>
      <w:lang w:val="en-US" w:eastAsia="zh-CN" w:bidi="ar-SA"/>
    </w:rPr>
  </w:style>
  <w:style w:type="character" w:styleId="42">
    <w:name w:val="FollowedHyperlink"/>
    <w:autoRedefine/>
    <w:qFormat/>
    <w:uiPriority w:val="0"/>
    <w:rPr>
      <w:rFonts w:ascii="宋体" w:hAnsi="宋体" w:eastAsia="宋体"/>
      <w:color w:val="333333"/>
      <w:kern w:val="2"/>
      <w:sz w:val="18"/>
      <w:szCs w:val="18"/>
      <w:u w:val="none"/>
      <w:lang w:val="en-US" w:eastAsia="zh-CN" w:bidi="ar-SA"/>
    </w:rPr>
  </w:style>
  <w:style w:type="character" w:styleId="43">
    <w:name w:val="HTML Definition"/>
    <w:autoRedefine/>
    <w:qFormat/>
    <w:uiPriority w:val="0"/>
    <w:rPr>
      <w:lang w:val="en-US" w:eastAsia="zh-CN" w:bidi="ar-SA"/>
    </w:rPr>
  </w:style>
  <w:style w:type="character" w:styleId="44">
    <w:name w:val="HTML Typewriter"/>
    <w:autoRedefine/>
    <w:qFormat/>
    <w:uiPriority w:val="0"/>
    <w:rPr>
      <w:rFonts w:hint="default" w:ascii="monospace" w:hAnsi="monospace" w:eastAsia="monospace" w:cs="monospace"/>
      <w:sz w:val="20"/>
      <w:lang w:val="en-US" w:eastAsia="zh-CN" w:bidi="ar-SA"/>
    </w:rPr>
  </w:style>
  <w:style w:type="character" w:styleId="45">
    <w:name w:val="HTML Acronym"/>
    <w:autoRedefine/>
    <w:qFormat/>
    <w:uiPriority w:val="0"/>
    <w:rPr>
      <w:lang w:val="en-US" w:eastAsia="zh-CN" w:bidi="ar-SA"/>
    </w:rPr>
  </w:style>
  <w:style w:type="character" w:styleId="46">
    <w:name w:val="HTML Variable"/>
    <w:autoRedefine/>
    <w:qFormat/>
    <w:uiPriority w:val="0"/>
    <w:rPr>
      <w:lang w:val="en-US" w:eastAsia="zh-CN" w:bidi="ar-SA"/>
    </w:rPr>
  </w:style>
  <w:style w:type="character" w:styleId="47">
    <w:name w:val="Hyperlink"/>
    <w:autoRedefine/>
    <w:qFormat/>
    <w:uiPriority w:val="99"/>
    <w:rPr>
      <w:rFonts w:ascii="宋体" w:hAnsi="宋体" w:eastAsia="宋体"/>
      <w:color w:val="0000FF"/>
      <w:kern w:val="2"/>
      <w:sz w:val="28"/>
      <w:szCs w:val="24"/>
      <w:u w:val="single"/>
      <w:lang w:val="en-US" w:eastAsia="zh-CN" w:bidi="ar-SA"/>
    </w:rPr>
  </w:style>
  <w:style w:type="character" w:styleId="48">
    <w:name w:val="HTML Code"/>
    <w:autoRedefine/>
    <w:qFormat/>
    <w:uiPriority w:val="0"/>
    <w:rPr>
      <w:rFonts w:ascii="monospace" w:hAnsi="monospace" w:eastAsia="monospace" w:cs="monospace"/>
      <w:sz w:val="20"/>
      <w:lang w:val="en-US" w:eastAsia="zh-CN" w:bidi="ar-SA"/>
    </w:rPr>
  </w:style>
  <w:style w:type="character" w:styleId="49">
    <w:name w:val="HTML Cite"/>
    <w:autoRedefine/>
    <w:qFormat/>
    <w:uiPriority w:val="0"/>
    <w:rPr>
      <w:lang w:val="en-US" w:eastAsia="zh-CN" w:bidi="ar-SA"/>
    </w:rPr>
  </w:style>
  <w:style w:type="character" w:styleId="50">
    <w:name w:val="HTML Keyboard"/>
    <w:autoRedefine/>
    <w:qFormat/>
    <w:uiPriority w:val="0"/>
    <w:rPr>
      <w:rFonts w:hint="default" w:ascii="monospace" w:hAnsi="monospace" w:eastAsia="monospace" w:cs="monospace"/>
      <w:sz w:val="20"/>
      <w:lang w:val="en-US" w:eastAsia="zh-CN" w:bidi="ar-SA"/>
    </w:rPr>
  </w:style>
  <w:style w:type="character" w:styleId="51">
    <w:name w:val="HTML Sample"/>
    <w:autoRedefine/>
    <w:qFormat/>
    <w:uiPriority w:val="0"/>
    <w:rPr>
      <w:rFonts w:hint="default" w:ascii="monospace" w:hAnsi="monospace" w:eastAsia="monospace" w:cs="monospace"/>
      <w:lang w:val="en-US" w:eastAsia="zh-CN" w:bidi="ar-SA"/>
    </w:rPr>
  </w:style>
  <w:style w:type="paragraph" w:customStyle="1" w:styleId="52">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3">
    <w:name w:val="Char Char10 Char Char Char Char"/>
    <w:basedOn w:val="1"/>
    <w:next w:val="54"/>
    <w:autoRedefine/>
    <w:qFormat/>
    <w:uiPriority w:val="0"/>
  </w:style>
  <w:style w:type="paragraph" w:customStyle="1" w:styleId="54">
    <w:name w:val="xl87"/>
    <w:basedOn w:val="1"/>
    <w:next w:val="55"/>
    <w:autoRedefine/>
    <w:qFormat/>
    <w:uiPriority w:val="0"/>
    <w:pPr>
      <w:widowControl/>
      <w:shd w:val="clear" w:color="FFFFFF" w:fill="FFFFFF"/>
      <w:spacing w:before="280" w:beforeLines="0" w:after="280" w:afterLines="0"/>
      <w:jc w:val="right"/>
    </w:pPr>
    <w:rPr>
      <w:rFonts w:ascii="宋体"/>
      <w:sz w:val="24"/>
    </w:rPr>
  </w:style>
  <w:style w:type="paragraph" w:customStyle="1" w:styleId="55">
    <w:name w:val="xl72"/>
    <w:basedOn w:val="1"/>
    <w:next w:val="21"/>
    <w:autoRedefine/>
    <w:qFormat/>
    <w:uiPriority w:val="0"/>
    <w:pPr>
      <w:widowControl/>
      <w:shd w:val="clear" w:color="FFFFFF" w:fill="FFFFFF"/>
      <w:spacing w:before="280" w:beforeLines="0" w:after="280" w:afterLines="0"/>
      <w:jc w:val="right"/>
    </w:pPr>
    <w:rPr>
      <w:rFonts w:ascii="宋体"/>
      <w:sz w:val="24"/>
    </w:rPr>
  </w:style>
  <w:style w:type="paragraph" w:customStyle="1" w:styleId="56">
    <w:name w:val="表格文字"/>
    <w:basedOn w:val="1"/>
    <w:next w:val="12"/>
    <w:autoRedefine/>
    <w:qFormat/>
    <w:uiPriority w:val="0"/>
    <w:pPr>
      <w:adjustRightInd w:val="0"/>
      <w:spacing w:line="420" w:lineRule="atLeast"/>
      <w:jc w:val="left"/>
      <w:textAlignment w:val="baseline"/>
    </w:pPr>
    <w:rPr>
      <w:kern w:val="0"/>
      <w:szCs w:val="20"/>
    </w:rPr>
  </w:style>
  <w:style w:type="character" w:customStyle="1" w:styleId="57">
    <w:name w:val="正文文本缩进 Char"/>
    <w:link w:val="14"/>
    <w:autoRedefine/>
    <w:qFormat/>
    <w:uiPriority w:val="0"/>
    <w:rPr>
      <w:sz w:val="21"/>
      <w:lang w:val="en-US" w:eastAsia="zh-CN" w:bidi="ar-SA"/>
    </w:rPr>
  </w:style>
  <w:style w:type="character" w:customStyle="1" w:styleId="58">
    <w:name w:val="标题 2 Char"/>
    <w:link w:val="4"/>
    <w:autoRedefine/>
    <w:qFormat/>
    <w:uiPriority w:val="0"/>
    <w:rPr>
      <w:rFonts w:ascii="Arial" w:hAnsi="Arial" w:eastAsia="黑体"/>
      <w:b/>
      <w:bCs/>
      <w:kern w:val="2"/>
      <w:sz w:val="32"/>
      <w:szCs w:val="32"/>
      <w:lang w:val="en-US" w:eastAsia="zh-CN" w:bidi="ar-SA"/>
    </w:rPr>
  </w:style>
  <w:style w:type="character" w:customStyle="1" w:styleId="59">
    <w:name w:val="标题 3 Char"/>
    <w:link w:val="5"/>
    <w:autoRedefine/>
    <w:qFormat/>
    <w:uiPriority w:val="0"/>
    <w:rPr>
      <w:rFonts w:ascii="宋体" w:hAnsi="宋体" w:eastAsia="幼圆"/>
      <w:b/>
      <w:bCs/>
      <w:kern w:val="2"/>
      <w:sz w:val="32"/>
      <w:szCs w:val="32"/>
      <w:lang w:val="en-US" w:eastAsia="zh-CN" w:bidi="ar-SA"/>
    </w:rPr>
  </w:style>
  <w:style w:type="character" w:customStyle="1" w:styleId="60">
    <w:name w:val="正文缩进 Char"/>
    <w:link w:val="8"/>
    <w:autoRedefine/>
    <w:qFormat/>
    <w:uiPriority w:val="0"/>
    <w:rPr>
      <w:rFonts w:ascii="宋体"/>
      <w:sz w:val="24"/>
    </w:rPr>
  </w:style>
  <w:style w:type="character" w:customStyle="1" w:styleId="61">
    <w:name w:val="纯文本 Char"/>
    <w:link w:val="19"/>
    <w:autoRedefine/>
    <w:qFormat/>
    <w:uiPriority w:val="0"/>
    <w:rPr>
      <w:rFonts w:hAnsi="Courier New" w:eastAsia="幼圆"/>
      <w:sz w:val="21"/>
      <w:lang w:val="en-US" w:eastAsia="zh-CN" w:bidi="ar-SA"/>
    </w:rPr>
  </w:style>
  <w:style w:type="character" w:customStyle="1" w:styleId="62">
    <w:name w:val="批注框文本 Char"/>
    <w:link w:val="23"/>
    <w:autoRedefine/>
    <w:qFormat/>
    <w:uiPriority w:val="0"/>
    <w:rPr>
      <w:rFonts w:ascii="宋体" w:hAnsi="宋体" w:eastAsia="宋体"/>
      <w:kern w:val="2"/>
      <w:sz w:val="18"/>
      <w:szCs w:val="18"/>
      <w:lang w:val="en-US" w:eastAsia="zh-CN" w:bidi="ar-SA"/>
    </w:rPr>
  </w:style>
  <w:style w:type="character" w:customStyle="1" w:styleId="63">
    <w:name w:val="页眉 Char Char"/>
    <w:autoRedefine/>
    <w:qFormat/>
    <w:uiPriority w:val="0"/>
    <w:rPr>
      <w:rFonts w:ascii="宋体" w:hAnsi="宋体" w:eastAsia="宋体"/>
      <w:kern w:val="2"/>
      <w:sz w:val="18"/>
      <w:szCs w:val="18"/>
      <w:lang w:val="en-US" w:eastAsia="zh-CN" w:bidi="ar-SA"/>
    </w:rPr>
  </w:style>
  <w:style w:type="character" w:customStyle="1" w:styleId="64">
    <w:name w:val="页脚 Char Char"/>
    <w:autoRedefine/>
    <w:qFormat/>
    <w:uiPriority w:val="0"/>
    <w:rPr>
      <w:rFonts w:ascii="宋体" w:hAnsi="宋体" w:eastAsia="宋体"/>
      <w:kern w:val="2"/>
      <w:sz w:val="18"/>
      <w:szCs w:val="18"/>
      <w:lang w:val="en-US" w:eastAsia="zh-CN" w:bidi="ar-SA"/>
    </w:rPr>
  </w:style>
  <w:style w:type="character" w:customStyle="1" w:styleId="65">
    <w:name w:val="ca-21"/>
    <w:autoRedefine/>
    <w:qFormat/>
    <w:uiPriority w:val="0"/>
    <w:rPr>
      <w:rFonts w:hint="eastAsia" w:ascii="仿宋_GB2312" w:eastAsia="仿宋_GB2312"/>
      <w:sz w:val="32"/>
      <w:szCs w:val="32"/>
    </w:rPr>
  </w:style>
  <w:style w:type="character" w:customStyle="1" w:styleId="66">
    <w:name w:val="ca-31"/>
    <w:autoRedefine/>
    <w:qFormat/>
    <w:uiPriority w:val="0"/>
    <w:rPr>
      <w:rFonts w:hint="eastAsia" w:ascii="仿宋_GB2312" w:eastAsia="仿宋_GB2312"/>
      <w:b/>
      <w:bCs/>
      <w:spacing w:val="-20"/>
      <w:sz w:val="32"/>
      <w:szCs w:val="32"/>
    </w:rPr>
  </w:style>
  <w:style w:type="character" w:customStyle="1" w:styleId="67">
    <w:name w:val="UserStyle_17"/>
    <w:autoRedefine/>
    <w:qFormat/>
    <w:uiPriority w:val="0"/>
    <w:rPr>
      <w:rFonts w:ascii="Times New Roman" w:hAnsi="Times New Roman" w:eastAsia="宋体" w:cs="Times New Roman"/>
      <w:kern w:val="2"/>
      <w:sz w:val="21"/>
      <w:szCs w:val="24"/>
      <w:lang w:val="en-US" w:eastAsia="zh-CN" w:bidi="ar-SA"/>
    </w:rPr>
  </w:style>
  <w:style w:type="character" w:customStyle="1" w:styleId="68">
    <w:name w:val="ca-11"/>
    <w:autoRedefine/>
    <w:qFormat/>
    <w:uiPriority w:val="0"/>
    <w:rPr>
      <w:rFonts w:hint="default" w:ascii="Times New Roman" w:hAnsi="Times New Roman" w:cs="Times New Roman"/>
      <w:sz w:val="32"/>
      <w:szCs w:val="32"/>
    </w:rPr>
  </w:style>
  <w:style w:type="character" w:customStyle="1" w:styleId="69">
    <w:name w:val="font11"/>
    <w:autoRedefine/>
    <w:qFormat/>
    <w:uiPriority w:val="0"/>
    <w:rPr>
      <w:rFonts w:hint="eastAsia" w:ascii="宋体" w:hAnsi="宋体" w:eastAsia="宋体" w:cs="宋体"/>
      <w:color w:val="000000"/>
      <w:sz w:val="20"/>
      <w:szCs w:val="20"/>
      <w:u w:val="none"/>
    </w:rPr>
  </w:style>
  <w:style w:type="character" w:customStyle="1" w:styleId="70">
    <w:name w:val="Char Char Char"/>
    <w:autoRedefine/>
    <w:qFormat/>
    <w:uiPriority w:val="0"/>
    <w:rPr>
      <w:rFonts w:ascii="Arial" w:hAnsi="Arial" w:eastAsia="黑体"/>
      <w:b/>
      <w:bCs/>
      <w:kern w:val="2"/>
      <w:sz w:val="32"/>
      <w:szCs w:val="32"/>
      <w:lang w:val="en-US" w:eastAsia="zh-CN" w:bidi="ar-SA"/>
    </w:rPr>
  </w:style>
  <w:style w:type="character" w:customStyle="1" w:styleId="71">
    <w:name w:val="ca-121"/>
    <w:autoRedefine/>
    <w:qFormat/>
    <w:uiPriority w:val="0"/>
    <w:rPr>
      <w:rFonts w:hint="eastAsia" w:ascii="仿宋_GB2312" w:eastAsia="仿宋_GB2312"/>
      <w:color w:val="000000"/>
      <w:sz w:val="21"/>
      <w:szCs w:val="21"/>
    </w:rPr>
  </w:style>
  <w:style w:type="paragraph" w:customStyle="1" w:styleId="72">
    <w:name w:val="样式 正文文字 + 小四 段后: 0 磅 行距: 1.5 倍行距"/>
    <w:basedOn w:val="12"/>
    <w:autoRedefine/>
    <w:qFormat/>
    <w:uiPriority w:val="0"/>
    <w:pPr>
      <w:spacing w:after="0" w:afterLines="0" w:line="360" w:lineRule="auto"/>
      <w:ind w:firstLine="480" w:firstLineChars="200"/>
    </w:pPr>
    <w:rPr>
      <w:rFonts w:cs="宋体"/>
      <w:sz w:val="24"/>
      <w:szCs w:val="20"/>
    </w:rPr>
  </w:style>
  <w:style w:type="paragraph" w:customStyle="1" w:styleId="73">
    <w:name w:val="pa-58"/>
    <w:basedOn w:val="1"/>
    <w:autoRedefine/>
    <w:qFormat/>
    <w:uiPriority w:val="0"/>
    <w:pPr>
      <w:widowControl/>
      <w:spacing w:line="240" w:lineRule="atLeast"/>
      <w:ind w:firstLine="460"/>
    </w:pPr>
    <w:rPr>
      <w:rFonts w:ascii="宋体" w:hAnsi="宋体" w:cs="宋体"/>
      <w:kern w:val="0"/>
      <w:sz w:val="24"/>
    </w:rPr>
  </w:style>
  <w:style w:type="paragraph" w:customStyle="1" w:styleId="74">
    <w:name w:val="xl26"/>
    <w:basedOn w:val="1"/>
    <w:autoRedefine/>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5">
    <w:name w:val="普通(网站)1"/>
    <w:basedOn w:val="1"/>
    <w:autoRedefine/>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6">
    <w:name w:val="pa-6"/>
    <w:basedOn w:val="1"/>
    <w:autoRedefine/>
    <w:qFormat/>
    <w:uiPriority w:val="0"/>
    <w:pPr>
      <w:widowControl/>
      <w:spacing w:line="360" w:lineRule="atLeast"/>
    </w:pPr>
    <w:rPr>
      <w:rFonts w:ascii="宋体" w:hAnsi="宋体" w:cs="宋体"/>
      <w:kern w:val="0"/>
      <w:sz w:val="24"/>
    </w:rPr>
  </w:style>
  <w:style w:type="paragraph" w:customStyle="1" w:styleId="77">
    <w:name w:val="pa-2"/>
    <w:basedOn w:val="1"/>
    <w:autoRedefine/>
    <w:qFormat/>
    <w:uiPriority w:val="0"/>
    <w:pPr>
      <w:widowControl/>
      <w:spacing w:line="360" w:lineRule="atLeast"/>
    </w:pPr>
    <w:rPr>
      <w:rFonts w:ascii="宋体" w:hAnsi="宋体" w:cs="宋体"/>
      <w:kern w:val="0"/>
      <w:sz w:val="24"/>
    </w:rPr>
  </w:style>
  <w:style w:type="paragraph" w:customStyle="1" w:styleId="78">
    <w:name w:val="Heading 1"/>
    <w:basedOn w:val="1"/>
    <w:autoRedefine/>
    <w:qFormat/>
    <w:uiPriority w:val="0"/>
    <w:pPr>
      <w:outlineLvl w:val="1"/>
    </w:pPr>
    <w:rPr>
      <w:rFonts w:ascii="黑体" w:hAnsi="黑体" w:eastAsia="黑体"/>
      <w:b/>
      <w:bCs/>
      <w:sz w:val="44"/>
      <w:szCs w:val="44"/>
    </w:rPr>
  </w:style>
  <w:style w:type="paragraph" w:customStyle="1" w:styleId="79">
    <w:name w:val="UserStyle_0"/>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0">
    <w:name w:val="正文（首行缩进一字）"/>
    <w:basedOn w:val="1"/>
    <w:autoRedefine/>
    <w:qFormat/>
    <w:uiPriority w:val="0"/>
  </w:style>
  <w:style w:type="paragraph" w:customStyle="1" w:styleId="81">
    <w:name w:val="pa-53"/>
    <w:basedOn w:val="1"/>
    <w:autoRedefine/>
    <w:qFormat/>
    <w:uiPriority w:val="0"/>
    <w:pPr>
      <w:widowControl/>
      <w:spacing w:line="240" w:lineRule="atLeast"/>
    </w:pPr>
    <w:rPr>
      <w:rFonts w:ascii="宋体" w:hAnsi="宋体" w:cs="宋体"/>
      <w:kern w:val="0"/>
      <w:sz w:val="24"/>
    </w:rPr>
  </w:style>
  <w:style w:type="paragraph" w:customStyle="1" w:styleId="82">
    <w:name w:val="列出段落1"/>
    <w:basedOn w:val="1"/>
    <w:autoRedefine/>
    <w:qFormat/>
    <w:uiPriority w:val="0"/>
    <w:pPr>
      <w:ind w:firstLine="420" w:firstLineChars="200"/>
    </w:pPr>
    <w:rPr>
      <w:rFonts w:ascii="Times New Roman" w:hAnsi="Times New Roman" w:eastAsia="宋体" w:cs="Times New Roman"/>
    </w:rPr>
  </w:style>
  <w:style w:type="paragraph" w:customStyle="1" w:styleId="83">
    <w:name w:val="标题 11"/>
    <w:basedOn w:val="1"/>
    <w:autoRedefine/>
    <w:qFormat/>
    <w:uiPriority w:val="0"/>
    <w:pPr>
      <w:jc w:val="left"/>
      <w:outlineLvl w:val="1"/>
    </w:pPr>
    <w:rPr>
      <w:rFonts w:ascii="黑体" w:hAnsi="黑体" w:eastAsia="黑体" w:cs="Times New Roman"/>
      <w:b/>
      <w:bCs/>
      <w:kern w:val="0"/>
      <w:sz w:val="44"/>
      <w:szCs w:val="44"/>
      <w:lang w:eastAsia="en-US"/>
    </w:rPr>
  </w:style>
  <w:style w:type="paragraph" w:customStyle="1" w:styleId="84">
    <w:name w:val="无间隔1"/>
    <w:basedOn w:val="1"/>
    <w:autoRedefine/>
    <w:qFormat/>
    <w:uiPriority w:val="0"/>
    <w:pPr>
      <w:spacing w:line="400" w:lineRule="exact"/>
    </w:pPr>
    <w:rPr>
      <w:rFonts w:eastAsia="宋体"/>
      <w:sz w:val="24"/>
    </w:rPr>
  </w:style>
  <w:style w:type="paragraph" w:customStyle="1" w:styleId="85">
    <w:name w:val="TOC Heading1"/>
    <w:next w:val="1"/>
    <w:autoRedefine/>
    <w:qFormat/>
    <w:uiPriority w:val="0"/>
    <w:pPr>
      <w:wordWrap w:val="0"/>
    </w:pPr>
    <w:rPr>
      <w:rFonts w:ascii="Calibri" w:hAnsi="Calibri" w:eastAsia="宋体" w:cs="Times New Roman"/>
      <w:sz w:val="32"/>
      <w:szCs w:val="22"/>
      <w:lang w:val="en-US" w:eastAsia="zh-CN" w:bidi="ar-SA"/>
    </w:rPr>
  </w:style>
  <w:style w:type="paragraph" w:customStyle="1" w:styleId="86">
    <w:name w:val="目录 31"/>
    <w:basedOn w:val="1"/>
    <w:autoRedefine/>
    <w:qFormat/>
    <w:uiPriority w:val="0"/>
    <w:pPr>
      <w:spacing w:before="35" w:beforeLines="0"/>
      <w:ind w:left="330"/>
      <w:jc w:val="left"/>
    </w:pPr>
    <w:rPr>
      <w:rFonts w:ascii="宋体" w:hAnsi="宋体" w:cs="Times New Roman"/>
      <w:b/>
      <w:bCs/>
      <w:kern w:val="0"/>
      <w:sz w:val="20"/>
      <w:lang w:eastAsia="en-US"/>
    </w:rPr>
  </w:style>
  <w:style w:type="paragraph" w:customStyle="1" w:styleId="87">
    <w:name w:val="标题 21"/>
    <w:basedOn w:val="1"/>
    <w:autoRedefine/>
    <w:qFormat/>
    <w:uiPriority w:val="0"/>
    <w:pPr>
      <w:ind w:left="117"/>
      <w:jc w:val="left"/>
      <w:outlineLvl w:val="2"/>
    </w:pPr>
    <w:rPr>
      <w:rFonts w:ascii="黑体" w:hAnsi="黑体" w:eastAsia="黑体" w:cs="Times New Roman"/>
      <w:b/>
      <w:bCs/>
      <w:kern w:val="0"/>
      <w:sz w:val="32"/>
      <w:szCs w:val="32"/>
      <w:lang w:eastAsia="en-US"/>
    </w:rPr>
  </w:style>
  <w:style w:type="paragraph" w:customStyle="1" w:styleId="88">
    <w:name w:val="pa-62"/>
    <w:basedOn w:val="1"/>
    <w:autoRedefine/>
    <w:qFormat/>
    <w:uiPriority w:val="0"/>
    <w:pPr>
      <w:widowControl/>
      <w:spacing w:line="240" w:lineRule="atLeast"/>
    </w:pPr>
    <w:rPr>
      <w:rFonts w:ascii="宋体" w:hAnsi="宋体" w:cs="宋体"/>
      <w:kern w:val="0"/>
      <w:sz w:val="24"/>
    </w:rPr>
  </w:style>
  <w:style w:type="paragraph" w:customStyle="1" w:styleId="89">
    <w:name w:val="_Style 80"/>
    <w:autoRedefine/>
    <w:qFormat/>
    <w:uiPriority w:val="0"/>
    <w:rPr>
      <w:rFonts w:ascii="Times New Roman" w:hAnsi="Times New Roman" w:eastAsia="宋体" w:cs="Times New Roman"/>
      <w:kern w:val="2"/>
      <w:sz w:val="21"/>
      <w:lang w:val="en-US" w:eastAsia="zh-CN" w:bidi="ar-SA"/>
    </w:rPr>
  </w:style>
  <w:style w:type="paragraph" w:customStyle="1" w:styleId="90">
    <w:name w:val="p0"/>
    <w:basedOn w:val="1"/>
    <w:autoRedefine/>
    <w:qFormat/>
    <w:uiPriority w:val="0"/>
    <w:pPr>
      <w:widowControl/>
    </w:pPr>
    <w:rPr>
      <w:kern w:val="0"/>
      <w:szCs w:val="21"/>
    </w:rPr>
  </w:style>
  <w:style w:type="paragraph" w:customStyle="1" w:styleId="91">
    <w:name w:val="彩色列表1"/>
    <w:basedOn w:val="1"/>
    <w:autoRedefine/>
    <w:qFormat/>
    <w:uiPriority w:val="0"/>
    <w:pPr>
      <w:jc w:val="left"/>
    </w:pPr>
    <w:rPr>
      <w:rFonts w:ascii="Calibri" w:hAnsi="Calibri" w:eastAsia="宋体" w:cs="Times New Roman"/>
      <w:kern w:val="0"/>
      <w:sz w:val="22"/>
      <w:szCs w:val="22"/>
      <w:lang w:eastAsia="en-US"/>
    </w:rPr>
  </w:style>
  <w:style w:type="paragraph" w:customStyle="1" w:styleId="92">
    <w:name w:val="目录 51"/>
    <w:basedOn w:val="1"/>
    <w:autoRedefine/>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3">
    <w:name w:val="目录 11"/>
    <w:basedOn w:val="1"/>
    <w:autoRedefine/>
    <w:qFormat/>
    <w:uiPriority w:val="0"/>
    <w:pPr>
      <w:spacing w:before="155" w:beforeLines="0"/>
      <w:jc w:val="left"/>
    </w:pPr>
    <w:rPr>
      <w:rFonts w:ascii="黑体" w:hAnsi="黑体" w:eastAsia="黑体" w:cs="Times New Roman"/>
      <w:b/>
      <w:bCs/>
      <w:kern w:val="0"/>
      <w:sz w:val="20"/>
      <w:lang w:eastAsia="en-US"/>
    </w:rPr>
  </w:style>
  <w:style w:type="paragraph" w:customStyle="1" w:styleId="94">
    <w:name w:val="目录 21"/>
    <w:basedOn w:val="1"/>
    <w:autoRedefine/>
    <w:qFormat/>
    <w:uiPriority w:val="0"/>
    <w:pPr>
      <w:spacing w:before="35" w:beforeLines="0"/>
      <w:ind w:left="126"/>
      <w:jc w:val="left"/>
    </w:pPr>
    <w:rPr>
      <w:rFonts w:ascii="宋体" w:hAnsi="宋体" w:cs="Times New Roman"/>
      <w:b/>
      <w:bCs/>
      <w:kern w:val="0"/>
      <w:sz w:val="20"/>
      <w:lang w:eastAsia="en-US"/>
    </w:rPr>
  </w:style>
  <w:style w:type="paragraph" w:customStyle="1" w:styleId="95">
    <w:name w:val="样式1"/>
    <w:basedOn w:val="1"/>
    <w:autoRedefine/>
    <w:qFormat/>
    <w:uiPriority w:val="0"/>
    <w:pPr>
      <w:tabs>
        <w:tab w:val="left" w:pos="709"/>
      </w:tabs>
      <w:adjustRightInd w:val="0"/>
      <w:ind w:left="709" w:hanging="709"/>
      <w:textAlignment w:val="baseline"/>
    </w:pPr>
    <w:rPr>
      <w:rFonts w:ascii="宋体" w:hAnsi="宋体"/>
      <w:kern w:val="0"/>
      <w:szCs w:val="24"/>
    </w:rPr>
  </w:style>
  <w:style w:type="paragraph" w:styleId="96">
    <w:name w:val="No Spacing"/>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7">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8">
    <w:name w:val="pa-56"/>
    <w:basedOn w:val="1"/>
    <w:autoRedefine/>
    <w:qFormat/>
    <w:uiPriority w:val="0"/>
    <w:pPr>
      <w:widowControl/>
      <w:spacing w:line="240" w:lineRule="atLeast"/>
    </w:pPr>
    <w:rPr>
      <w:rFonts w:ascii="宋体" w:hAnsi="宋体" w:cs="宋体"/>
      <w:kern w:val="0"/>
      <w:sz w:val="24"/>
    </w:rPr>
  </w:style>
  <w:style w:type="paragraph" w:customStyle="1" w:styleId="99">
    <w:name w:val=" Char Char Char"/>
    <w:basedOn w:val="1"/>
    <w:autoRedefine/>
    <w:qFormat/>
    <w:uiPriority w:val="0"/>
    <w:rPr>
      <w:rFonts w:ascii="Tahoma" w:hAnsi="Tahoma"/>
      <w:sz w:val="24"/>
      <w:szCs w:val="20"/>
    </w:rPr>
  </w:style>
  <w:style w:type="paragraph" w:customStyle="1" w:styleId="100">
    <w:name w:val="pa-4"/>
    <w:basedOn w:val="1"/>
    <w:autoRedefine/>
    <w:qFormat/>
    <w:uiPriority w:val="0"/>
    <w:pPr>
      <w:widowControl/>
      <w:spacing w:line="360" w:lineRule="atLeast"/>
      <w:ind w:firstLine="960"/>
    </w:pPr>
    <w:rPr>
      <w:rFonts w:ascii="宋体" w:hAnsi="宋体" w:cs="宋体"/>
      <w:kern w:val="0"/>
      <w:sz w:val="24"/>
    </w:rPr>
  </w:style>
  <w:style w:type="paragraph" w:customStyle="1" w:styleId="101">
    <w:name w:val="UserStyle_35"/>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2">
    <w:name w:val="目录 41"/>
    <w:basedOn w:val="1"/>
    <w:autoRedefine/>
    <w:qFormat/>
    <w:uiPriority w:val="0"/>
    <w:pPr>
      <w:spacing w:before="23" w:beforeLines="0"/>
      <w:ind w:left="540"/>
      <w:jc w:val="left"/>
    </w:pPr>
    <w:rPr>
      <w:rFonts w:ascii="黑体" w:hAnsi="黑体" w:eastAsia="黑体" w:cs="Times New Roman"/>
      <w:i/>
      <w:kern w:val="0"/>
      <w:szCs w:val="21"/>
      <w:lang w:eastAsia="en-US"/>
    </w:rPr>
  </w:style>
  <w:style w:type="paragraph" w:customStyle="1" w:styleId="103">
    <w:name w:val="_Style 2"/>
    <w:basedOn w:val="1"/>
    <w:autoRedefine/>
    <w:qFormat/>
    <w:uiPriority w:val="0"/>
    <w:pPr>
      <w:ind w:firstLine="420" w:firstLineChars="200"/>
    </w:pPr>
    <w:rPr>
      <w:kern w:val="0"/>
      <w:sz w:val="20"/>
      <w:szCs w:val="24"/>
    </w:rPr>
  </w:style>
  <w:style w:type="paragraph" w:customStyle="1" w:styleId="104">
    <w:name w:val="彩色底纹 - 强调文字颜色 61"/>
    <w:basedOn w:val="3"/>
    <w:next w:val="1"/>
    <w:autoRedefine/>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5">
    <w:name w:val="样式2"/>
    <w:basedOn w:val="4"/>
    <w:autoRedefine/>
    <w:qFormat/>
    <w:uiPriority w:val="0"/>
    <w:pPr>
      <w:spacing w:line="413" w:lineRule="auto"/>
      <w:jc w:val="left"/>
    </w:pPr>
    <w:rPr>
      <w:rFonts w:ascii="华文中宋" w:hAnsi="华文中宋" w:eastAsia="宋体"/>
      <w:bCs w:val="0"/>
      <w:color w:val="000000"/>
      <w:szCs w:val="20"/>
    </w:rPr>
  </w:style>
  <w:style w:type="paragraph" w:customStyle="1" w:styleId="106">
    <w:name w:val="pa-57"/>
    <w:basedOn w:val="1"/>
    <w:autoRedefine/>
    <w:qFormat/>
    <w:uiPriority w:val="0"/>
    <w:pPr>
      <w:widowControl/>
      <w:spacing w:line="240" w:lineRule="atLeast"/>
      <w:ind w:firstLine="480"/>
    </w:pPr>
    <w:rPr>
      <w:rFonts w:ascii="宋体" w:hAnsi="宋体" w:cs="宋体"/>
      <w:kern w:val="0"/>
      <w:sz w:val="24"/>
    </w:rPr>
  </w:style>
  <w:style w:type="paragraph" w:customStyle="1" w:styleId="107">
    <w:name w:val="Table Paragraph"/>
    <w:basedOn w:val="1"/>
    <w:autoRedefine/>
    <w:qFormat/>
    <w:uiPriority w:val="0"/>
    <w:pPr>
      <w:jc w:val="left"/>
    </w:pPr>
    <w:rPr>
      <w:rFonts w:ascii="Calibri" w:hAnsi="Calibri" w:eastAsia="宋体" w:cs="Times New Roman"/>
      <w:kern w:val="0"/>
      <w:sz w:val="22"/>
      <w:szCs w:val="22"/>
      <w:lang w:eastAsia="en-US"/>
    </w:rPr>
  </w:style>
  <w:style w:type="paragraph" w:styleId="108">
    <w:name w:val="List Paragraph"/>
    <w:basedOn w:val="1"/>
    <w:autoRedefine/>
    <w:qFormat/>
    <w:uiPriority w:val="34"/>
    <w:pPr>
      <w:ind w:firstLine="420" w:firstLineChars="200"/>
    </w:pPr>
    <w:rPr>
      <w:rFonts w:ascii="Calibri" w:hAnsi="Calibri"/>
      <w:szCs w:val="22"/>
    </w:rPr>
  </w:style>
  <w:style w:type="paragraph" w:customStyle="1" w:styleId="109">
    <w:name w:val="标题 31"/>
    <w:basedOn w:val="1"/>
    <w:autoRedefine/>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0">
    <w:name w:val="pa-59"/>
    <w:basedOn w:val="1"/>
    <w:autoRedefine/>
    <w:qFormat/>
    <w:uiPriority w:val="0"/>
    <w:pPr>
      <w:widowControl/>
      <w:spacing w:line="240" w:lineRule="atLeast"/>
      <w:ind w:firstLine="640"/>
    </w:pPr>
    <w:rPr>
      <w:rFonts w:ascii="宋体" w:hAnsi="宋体" w:cs="宋体"/>
      <w:kern w:val="0"/>
      <w:sz w:val="24"/>
    </w:rPr>
  </w:style>
  <w:style w:type="paragraph" w:customStyle="1" w:styleId="111">
    <w:name w:val="WPSOffice手动目录 1"/>
    <w:autoRedefine/>
    <w:qFormat/>
    <w:uiPriority w:val="0"/>
    <w:rPr>
      <w:rFonts w:ascii="Times New Roman" w:hAnsi="Times New Roman" w:eastAsia="宋体" w:cs="Times New Roman"/>
      <w:lang w:val="en-US" w:eastAsia="zh-CN" w:bidi="ar-SA"/>
    </w:rPr>
  </w:style>
  <w:style w:type="paragraph" w:customStyle="1" w:styleId="112">
    <w:name w:val="Heading 2"/>
    <w:basedOn w:val="1"/>
    <w:autoRedefine/>
    <w:qFormat/>
    <w:uiPriority w:val="0"/>
    <w:pPr>
      <w:ind w:left="117"/>
      <w:outlineLvl w:val="2"/>
    </w:pPr>
    <w:rPr>
      <w:rFonts w:ascii="黑体" w:hAnsi="黑体" w:eastAsia="黑体"/>
      <w:b/>
      <w:bCs/>
      <w:sz w:val="32"/>
      <w:szCs w:val="32"/>
    </w:rPr>
  </w:style>
  <w:style w:type="paragraph" w:customStyle="1" w:styleId="113">
    <w:name w:val="List Paragraph1"/>
    <w:basedOn w:val="1"/>
    <w:autoRedefine/>
    <w:qFormat/>
    <w:uiPriority w:val="0"/>
  </w:style>
  <w:style w:type="paragraph" w:customStyle="1" w:styleId="114">
    <w:name w:val="Char Char Char Char"/>
    <w:basedOn w:val="1"/>
    <w:autoRedefine/>
    <w:qFormat/>
    <w:uiPriority w:val="0"/>
    <w:rPr>
      <w:rFonts w:ascii="Tahoma" w:hAnsi="Tahoma"/>
      <w:sz w:val="24"/>
      <w:szCs w:val="20"/>
    </w:rPr>
  </w:style>
  <w:style w:type="paragraph" w:customStyle="1" w:styleId="115">
    <w:name w:val="Char"/>
    <w:basedOn w:val="1"/>
    <w:autoRedefine/>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6">
    <w:name w:val="pa-7"/>
    <w:basedOn w:val="1"/>
    <w:autoRedefine/>
    <w:qFormat/>
    <w:uiPriority w:val="0"/>
    <w:pPr>
      <w:widowControl/>
      <w:spacing w:line="360" w:lineRule="atLeast"/>
      <w:ind w:firstLine="800"/>
    </w:pPr>
    <w:rPr>
      <w:rFonts w:ascii="宋体" w:hAnsi="宋体" w:cs="宋体"/>
      <w:kern w:val="0"/>
      <w:sz w:val="24"/>
    </w:rPr>
  </w:style>
  <w:style w:type="paragraph" w:customStyle="1" w:styleId="117">
    <w:name w:val="Heading 3"/>
    <w:basedOn w:val="1"/>
    <w:autoRedefine/>
    <w:qFormat/>
    <w:uiPriority w:val="0"/>
    <w:pPr>
      <w:spacing w:before="35" w:beforeLines="0"/>
      <w:ind w:left="828"/>
      <w:outlineLvl w:val="3"/>
    </w:pPr>
    <w:rPr>
      <w:rFonts w:ascii="宋体" w:hAnsi="宋体" w:eastAsia="宋体"/>
      <w:b/>
      <w:bCs/>
      <w:sz w:val="24"/>
      <w:szCs w:val="24"/>
    </w:rPr>
  </w:style>
  <w:style w:type="paragraph" w:customStyle="1" w:styleId="118">
    <w:name w:val=" Char"/>
    <w:basedOn w:val="1"/>
    <w:autoRedefine/>
    <w:qFormat/>
    <w:uiPriority w:val="0"/>
    <w:pPr>
      <w:ind w:left="567" w:hanging="283"/>
    </w:pPr>
    <w:rPr>
      <w:rFonts w:ascii="宋体" w:hAnsi="宋体" w:eastAsia="宋体"/>
      <w:kern w:val="2"/>
      <w:sz w:val="28"/>
      <w:szCs w:val="24"/>
      <w:lang w:val="en-US" w:eastAsia="zh-CN" w:bidi="ar-SA"/>
    </w:rPr>
  </w:style>
  <w:style w:type="paragraph" w:customStyle="1" w:styleId="119">
    <w:name w:val="正文_0"/>
    <w:autoRedefine/>
    <w:qFormat/>
    <w:uiPriority w:val="0"/>
    <w:rPr>
      <w:rFonts w:ascii="Times New Roman" w:hAnsi="Times New Roman" w:eastAsia="宋体" w:cs="Times New Roman"/>
      <w:sz w:val="21"/>
      <w:lang w:val="en-US" w:eastAsia="zh-CN" w:bidi="ar-SA"/>
    </w:rPr>
  </w:style>
  <w:style w:type="paragraph" w:customStyle="1" w:styleId="120">
    <w:name w:val="0"/>
    <w:basedOn w:val="1"/>
    <w:autoRedefine/>
    <w:qFormat/>
    <w:uiPriority w:val="0"/>
    <w:pPr>
      <w:widowControl/>
      <w:snapToGrid w:val="0"/>
      <w:spacing w:line="408" w:lineRule="auto"/>
      <w:ind w:left="1"/>
      <w:textAlignment w:val="bottom"/>
    </w:pPr>
    <w:rPr>
      <w:color w:val="000000"/>
      <w:kern w:val="0"/>
      <w:szCs w:val="21"/>
    </w:rPr>
  </w:style>
  <w:style w:type="paragraph" w:customStyle="1" w:styleId="121">
    <w:name w:val="pa-55"/>
    <w:basedOn w:val="1"/>
    <w:autoRedefine/>
    <w:qFormat/>
    <w:uiPriority w:val="0"/>
    <w:pPr>
      <w:widowControl/>
      <w:spacing w:line="240" w:lineRule="atLeast"/>
      <w:ind w:firstLine="420"/>
    </w:pPr>
    <w:rPr>
      <w:rFonts w:ascii="宋体" w:hAnsi="宋体" w:cs="宋体"/>
      <w:kern w:val="0"/>
      <w:sz w:val="24"/>
    </w:rPr>
  </w:style>
  <w:style w:type="paragraph" w:customStyle="1" w:styleId="122">
    <w:name w:val="pa-1"/>
    <w:basedOn w:val="1"/>
    <w:autoRedefine/>
    <w:qFormat/>
    <w:uiPriority w:val="0"/>
    <w:pPr>
      <w:widowControl/>
      <w:spacing w:line="360" w:lineRule="atLeast"/>
      <w:ind w:firstLine="640"/>
    </w:pPr>
    <w:rPr>
      <w:rFonts w:ascii="宋体" w:hAnsi="宋体" w:cs="宋体"/>
      <w:kern w:val="0"/>
      <w:sz w:val="24"/>
    </w:rPr>
  </w:style>
  <w:style w:type="table" w:customStyle="1" w:styleId="123">
    <w:name w:val="Table Normal"/>
    <w:autoRedefine/>
    <w:semiHidden/>
    <w:unhideWhenUsed/>
    <w:qFormat/>
    <w:uiPriority w:val="0"/>
    <w:tblPr>
      <w:tblCellMar>
        <w:top w:w="0" w:type="dxa"/>
        <w:left w:w="0" w:type="dxa"/>
        <w:bottom w:w="0" w:type="dxa"/>
        <w:right w:w="0" w:type="dxa"/>
      </w:tblCellMar>
    </w:tblPr>
  </w:style>
  <w:style w:type="paragraph" w:customStyle="1" w:styleId="124">
    <w:name w:val="Basistekst Batenburg"/>
    <w:basedOn w:val="125"/>
    <w:autoRedefine/>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5">
    <w:name w:val="Zsysbasis Batenburg"/>
    <w:next w:val="124"/>
    <w:autoRedefine/>
    <w:qFormat/>
    <w:uiPriority w:val="0"/>
    <w:pPr>
      <w:spacing w:line="300" w:lineRule="atLeast"/>
    </w:pPr>
    <w:rPr>
      <w:rFonts w:ascii="Calibri" w:hAnsi="Calibri" w:eastAsia="宋体" w:cs="Times New Roman"/>
      <w:sz w:val="22"/>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22627</Words>
  <Characters>23483</Characters>
  <Lines>235</Lines>
  <Paragraphs>66</Paragraphs>
  <TotalTime>4</TotalTime>
  <ScaleCrop>false</ScaleCrop>
  <LinksUpToDate>false</LinksUpToDate>
  <CharactersWithSpaces>27053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2019-03-11T20:08:00Z</dcterms:created>
  <dc:creator>Agent_1</dc:creator>
  <cp:lastModifiedBy>子非鱼</cp:lastModifiedBy>
  <cp:lastPrinted>2023-10-31T15:47:00Z</cp:lastPrinted>
  <dcterms:modified xsi:type="dcterms:W3CDTF">2024-01-29T01:57:34Z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C52699B21A0A4A61B3DC7F57A07D4C28_13</vt:lpwstr>
  </property>
</Properties>
</file>