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b/>
          <w:bCs/>
          <w:sz w:val="52"/>
          <w:szCs w:val="52"/>
          <w:lang w:val="en-US" w:eastAsia="zh-CN"/>
        </w:rPr>
      </w:pPr>
      <w:bookmarkStart w:id="0" w:name="_Toc115021824"/>
      <w:bookmarkStart w:id="1" w:name="_Toc29289"/>
      <w:r>
        <w:rPr>
          <w:rFonts w:hint="eastAsia" w:ascii="宋体" w:hAnsi="宋体"/>
          <w:b/>
          <w:bCs/>
          <w:sz w:val="52"/>
          <w:szCs w:val="52"/>
          <w:lang w:val="en-US" w:eastAsia="zh-CN"/>
        </w:rPr>
        <w:t>武陟县城市管理局2024年城区亮化</w:t>
      </w:r>
    </w:p>
    <w:p>
      <w:pPr>
        <w:jc w:val="center"/>
        <w:outlineLvl w:val="0"/>
        <w:rPr>
          <w:rFonts w:hint="eastAsia" w:ascii="黑体" w:hAnsi="黑体" w:eastAsia="黑体" w:cs="黑体"/>
          <w:b/>
          <w:sz w:val="72"/>
          <w:szCs w:val="72"/>
        </w:rPr>
      </w:pPr>
      <w:r>
        <w:rPr>
          <w:rFonts w:hint="eastAsia" w:ascii="宋体" w:hAnsi="宋体"/>
          <w:b/>
          <w:bCs/>
          <w:sz w:val="52"/>
          <w:szCs w:val="52"/>
          <w:lang w:val="en-US" w:eastAsia="zh-CN"/>
        </w:rPr>
        <w:t>采购项目</w:t>
      </w: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jc w:val="center"/>
        <w:outlineLvl w:val="0"/>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0"/>
      <w:bookmarkEnd w:id="1"/>
    </w:p>
    <w:p>
      <w:pPr>
        <w:jc w:val="center"/>
        <w:rPr>
          <w:rFonts w:hint="default" w:ascii="宋体" w:hAnsi="宋体" w:eastAsia="宋体"/>
          <w:szCs w:val="21"/>
          <w:lang w:val="en-US" w:eastAsia="zh-CN"/>
        </w:rPr>
      </w:pPr>
      <w:r>
        <w:rPr>
          <w:rFonts w:hint="eastAsia" w:ascii="宋体" w:hAnsi="宋体" w:cs="宋体"/>
          <w:sz w:val="28"/>
          <w:szCs w:val="28"/>
        </w:rPr>
        <w:t>项目编号：</w:t>
      </w:r>
      <w:r>
        <w:rPr>
          <w:rFonts w:hint="eastAsia" w:ascii="宋体" w:hAnsi="宋体" w:cs="宋体"/>
          <w:sz w:val="28"/>
          <w:szCs w:val="28"/>
          <w:lang w:val="en-US" w:eastAsia="zh-CN"/>
        </w:rPr>
        <w:t>2024-01-50</w:t>
      </w:r>
    </w:p>
    <w:p>
      <w:pPr>
        <w:pStyle w:val="57"/>
        <w:rPr>
          <w:rFonts w:hint="eastAsia"/>
          <w:lang w:eastAsia="zh-CN"/>
        </w:rPr>
      </w:pPr>
    </w:p>
    <w:p>
      <w:pPr>
        <w:pStyle w:val="37"/>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7"/>
        <w:rPr>
          <w:rFonts w:hint="eastAsia"/>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人：武陟县城市管理局</w:t>
      </w:r>
    </w:p>
    <w:p>
      <w:pPr>
        <w:rPr>
          <w:rFonts w:hint="default" w:ascii="宋体" w:hAnsi="宋体" w:eastAsia="宋体" w:cs="宋体"/>
          <w:b/>
          <w:bCs/>
          <w:sz w:val="44"/>
          <w:szCs w:val="32"/>
          <w:lang w:val="en-US"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cs="宋体"/>
          <w:b/>
          <w:bCs/>
          <w:sz w:val="32"/>
          <w:lang w:val="en-US" w:eastAsia="zh-CN"/>
        </w:rPr>
        <w:t>河南众成工程管理有限公司</w:t>
      </w:r>
    </w:p>
    <w:p>
      <w:pPr>
        <w:pStyle w:val="26"/>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6"/>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_Toc7320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_Toc7320 \h </w:instrText>
      </w:r>
      <w:r>
        <w:fldChar w:fldCharType="separate"/>
      </w:r>
      <w:r>
        <w:t>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_Toc15530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_Toc15530 \h </w:instrText>
      </w:r>
      <w:r>
        <w:fldChar w:fldCharType="separate"/>
      </w:r>
      <w:r>
        <w:t>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_Toc3621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_Toc3621 \h </w:instrText>
      </w:r>
      <w:r>
        <w:fldChar w:fldCharType="separate"/>
      </w:r>
      <w:r>
        <w:t>20</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_Toc15626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_Toc15626 \h </w:instrText>
      </w:r>
      <w:r>
        <w:fldChar w:fldCharType="separate"/>
      </w:r>
      <w:r>
        <w:t>23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_Toc23819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_Toc23819 \h </w:instrText>
      </w:r>
      <w:r>
        <w:fldChar w:fldCharType="separate"/>
      </w:r>
      <w:r>
        <w:t>25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_Toc29422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_Toc29422 \h </w:instrText>
      </w:r>
      <w:r>
        <w:fldChar w:fldCharType="separate"/>
      </w:r>
      <w:r>
        <w:t>27</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_Toc7109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fldChar w:fldCharType="begin"/>
      </w:r>
      <w:r>
        <w:instrText xml:space="preserve"> PAGEREF _Toc7109 \h </w:instrText>
      </w:r>
      <w:r>
        <w:fldChar w:fldCharType="separate"/>
      </w:r>
      <w:r>
        <w:t>30</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_Toc15663 </w:instrText>
      </w:r>
      <w:r>
        <w:rPr>
          <w:rFonts w:hint="eastAsia" w:ascii="宋体" w:hAnsi="宋体" w:cs="宋体"/>
          <w:bCs/>
          <w:caps/>
          <w:szCs w:val="24"/>
          <w:lang w:val="zh-CN"/>
        </w:rPr>
        <w:fldChar w:fldCharType="separate"/>
      </w:r>
      <w:r>
        <w:rPr>
          <w:rFonts w:hint="eastAsia" w:ascii="宋体" w:hAnsi="宋体" w:cs="宋体"/>
          <w:szCs w:val="32"/>
        </w:rPr>
        <w:t>2. 承诺书</w:t>
      </w:r>
      <w:r>
        <w:tab/>
      </w:r>
      <w:r>
        <w:fldChar w:fldCharType="begin"/>
      </w:r>
      <w:r>
        <w:instrText xml:space="preserve"> PAGEREF _Toc15663 \h </w:instrText>
      </w:r>
      <w:r>
        <w:fldChar w:fldCharType="separate"/>
      </w:r>
      <w:r>
        <w:t>32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_Toc13008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_Toc13008 \h </w:instrText>
      </w:r>
      <w:r>
        <w:fldChar w:fldCharType="separate"/>
      </w:r>
      <w:r>
        <w:t>33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_Toc31547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_Toc31547 \h </w:instrText>
      </w:r>
      <w:r>
        <w:fldChar w:fldCharType="separate"/>
      </w:r>
      <w:r>
        <w:t>34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_Toc16709 </w:instrText>
      </w:r>
      <w:r>
        <w:rPr>
          <w:rFonts w:hint="eastAsia" w:ascii="宋体" w:hAnsi="宋体" w:cs="宋体"/>
          <w:bCs/>
          <w:caps/>
          <w:szCs w:val="24"/>
          <w:lang w:val="zh-CN"/>
        </w:rPr>
        <w:fldChar w:fldCharType="separate"/>
      </w:r>
      <w:r>
        <w:rPr>
          <w:rFonts w:hint="eastAsia" w:ascii="宋体" w:hAnsi="宋体" w:cs="宋体"/>
          <w:szCs w:val="32"/>
        </w:rPr>
        <w:t>5. 报价明细表</w:t>
      </w:r>
      <w:r>
        <w:tab/>
      </w:r>
      <w:r>
        <w:fldChar w:fldCharType="begin"/>
      </w:r>
      <w:r>
        <w:instrText xml:space="preserve"> PAGEREF _Toc16709 \h </w:instrText>
      </w:r>
      <w:r>
        <w:fldChar w:fldCharType="separate"/>
      </w:r>
      <w:r>
        <w:t>35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_Toc32699 </w:instrText>
      </w:r>
      <w:r>
        <w:rPr>
          <w:rFonts w:hint="eastAsia" w:ascii="宋体" w:hAnsi="宋体" w:cs="宋体"/>
          <w:bCs/>
          <w:caps/>
          <w:szCs w:val="24"/>
          <w:lang w:val="zh-CN"/>
        </w:rPr>
        <w:fldChar w:fldCharType="separate"/>
      </w:r>
      <w:r>
        <w:rPr>
          <w:rFonts w:hint="eastAsia" w:ascii="宋体" w:hAnsi="宋体" w:cs="宋体"/>
          <w:szCs w:val="32"/>
        </w:rPr>
        <w:t>6. 技术响应表</w:t>
      </w:r>
      <w:r>
        <w:tab/>
      </w:r>
      <w:r>
        <w:fldChar w:fldCharType="begin"/>
      </w:r>
      <w:r>
        <w:instrText xml:space="preserve"> PAGEREF _Toc32699 \h </w:instrText>
      </w:r>
      <w:r>
        <w:fldChar w:fldCharType="separate"/>
      </w:r>
      <w:r>
        <w:t>36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_Toc1864 </w:instrText>
      </w:r>
      <w:r>
        <w:rPr>
          <w:rFonts w:hint="eastAsia" w:ascii="宋体" w:hAnsi="宋体" w:cs="宋体"/>
          <w:bCs/>
          <w:caps/>
          <w:szCs w:val="24"/>
          <w:lang w:val="zh-CN"/>
        </w:rPr>
        <w:fldChar w:fldCharType="separate"/>
      </w:r>
      <w:r>
        <w:rPr>
          <w:rFonts w:hint="eastAsia" w:ascii="宋体" w:hAnsi="宋体" w:cs="宋体"/>
          <w:szCs w:val="32"/>
        </w:rPr>
        <w:t>7. 商务响应表</w:t>
      </w:r>
      <w:r>
        <w:tab/>
      </w:r>
      <w:r>
        <w:fldChar w:fldCharType="begin"/>
      </w:r>
      <w:r>
        <w:instrText xml:space="preserve"> PAGEREF _Toc1864 \h </w:instrText>
      </w:r>
      <w:r>
        <w:fldChar w:fldCharType="separate"/>
      </w:r>
      <w:r>
        <w:t>37</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_Toc2497 </w:instrText>
      </w:r>
      <w:r>
        <w:rPr>
          <w:rFonts w:hint="eastAsia" w:ascii="宋体" w:hAnsi="宋体" w:cs="宋体"/>
          <w:bCs/>
          <w:caps/>
          <w:szCs w:val="24"/>
          <w:lang w:val="zh-CN"/>
        </w:rPr>
        <w:fldChar w:fldCharType="separate"/>
      </w:r>
      <w:r>
        <w:rPr>
          <w:rFonts w:hint="eastAsia" w:ascii="宋体" w:hAnsi="宋体" w:cs="宋体"/>
          <w:szCs w:val="32"/>
        </w:rPr>
        <w:t>8. 资格证明材料</w:t>
      </w:r>
      <w:r>
        <w:tab/>
      </w:r>
      <w:r>
        <w:fldChar w:fldCharType="begin"/>
      </w:r>
      <w:r>
        <w:instrText xml:space="preserve"> PAGEREF _Toc2497 \h </w:instrText>
      </w:r>
      <w:r>
        <w:fldChar w:fldCharType="separate"/>
      </w:r>
      <w:r>
        <w:t>38</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_Toc20773 </w:instrText>
      </w:r>
      <w:r>
        <w:rPr>
          <w:rFonts w:hint="eastAsia" w:ascii="宋体" w:hAnsi="宋体" w:cs="宋体"/>
          <w:bCs/>
          <w:caps/>
          <w:szCs w:val="24"/>
          <w:lang w:val="zh-CN"/>
        </w:rPr>
        <w:fldChar w:fldCharType="separate"/>
      </w:r>
      <w:r>
        <w:rPr>
          <w:rFonts w:hint="eastAsia" w:ascii="宋体" w:hAnsi="宋体" w:cs="宋体"/>
          <w:szCs w:val="32"/>
        </w:rPr>
        <w:t>9. 法定代表人身份证明或授权委托书</w:t>
      </w:r>
      <w:r>
        <w:tab/>
      </w:r>
      <w:r>
        <w:fldChar w:fldCharType="begin"/>
      </w:r>
      <w:r>
        <w:instrText xml:space="preserve"> PAGEREF _Toc20773 \h </w:instrText>
      </w:r>
      <w:r>
        <w:fldChar w:fldCharType="separate"/>
      </w:r>
      <w:r>
        <w:t>42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 </w:instrText>
      </w:r>
      <w:r>
        <w:rPr>
          <w:rFonts w:hint="eastAsia" w:ascii="宋体" w:hAnsi="宋体" w:cs="宋体"/>
          <w:bCs/>
          <w:caps/>
          <w:szCs w:val="24"/>
          <w:lang w:val="zh-CN"/>
        </w:rPr>
        <w:fldChar w:fldCharType="separate"/>
      </w:r>
      <w:r>
        <w:rPr>
          <w:rFonts w:hint="eastAsia" w:ascii="宋体" w:hAnsi="宋体" w:cs="宋体"/>
          <w:szCs w:val="32"/>
        </w:rPr>
        <w:t>10. 残疾人福利性单位声明函</w:t>
      </w:r>
      <w:r>
        <w:tab/>
      </w:r>
      <w:r>
        <w:fldChar w:fldCharType="begin"/>
      </w:r>
      <w:r>
        <w:instrText xml:space="preserve"> PAGEREF _Toc2 \h </w:instrText>
      </w:r>
      <w:r>
        <w:fldChar w:fldCharType="separate"/>
      </w:r>
      <w:r>
        <w:t>44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_Toc20485 </w:instrText>
      </w:r>
      <w:r>
        <w:rPr>
          <w:rFonts w:hint="eastAsia" w:ascii="宋体" w:hAnsi="宋体" w:cs="宋体"/>
          <w:bCs/>
          <w:caps/>
          <w:szCs w:val="24"/>
          <w:lang w:val="zh-CN"/>
        </w:rPr>
        <w:fldChar w:fldCharType="separate"/>
      </w:r>
      <w:r>
        <w:rPr>
          <w:rFonts w:hint="eastAsia" w:ascii="宋体" w:hAnsi="宋体" w:cs="宋体"/>
          <w:szCs w:val="32"/>
        </w:rPr>
        <w:t>11. 反商业贿赂承诺书</w:t>
      </w:r>
      <w:r>
        <w:tab/>
      </w:r>
      <w:r>
        <w:fldChar w:fldCharType="begin"/>
      </w:r>
      <w:r>
        <w:instrText xml:space="preserve"> PAGEREF _Toc20485 \h </w:instrText>
      </w:r>
      <w:r>
        <w:fldChar w:fldCharType="separate"/>
      </w:r>
      <w:r>
        <w:t>45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_Toc18203 </w:instrText>
      </w:r>
      <w:r>
        <w:rPr>
          <w:rFonts w:hint="eastAsia" w:ascii="宋体" w:hAnsi="宋体" w:cs="宋体"/>
          <w:bCs/>
          <w:caps/>
          <w:szCs w:val="24"/>
          <w:lang w:val="zh-CN"/>
        </w:rPr>
        <w:fldChar w:fldCharType="separate"/>
      </w:r>
      <w:r>
        <w:rPr>
          <w:rFonts w:hint="eastAsia" w:ascii="宋体" w:hAnsi="宋体" w:cs="宋体"/>
          <w:szCs w:val="32"/>
        </w:rPr>
        <w:t>12. 竞争性磋商文件要求的以及供应商认为应该提供的其他材料</w:t>
      </w:r>
      <w:r>
        <w:tab/>
      </w:r>
      <w:r>
        <w:fldChar w:fldCharType="begin"/>
      </w:r>
      <w:r>
        <w:instrText xml:space="preserve"> PAGEREF _Toc18203 \h </w:instrText>
      </w:r>
      <w:r>
        <w:fldChar w:fldCharType="separate"/>
      </w:r>
      <w:r>
        <w:t>46</w:t>
      </w:r>
      <w:r>
        <w:fldChar w:fldCharType="end"/>
      </w:r>
      <w:r>
        <w:rPr>
          <w:rFonts w:hint="eastAsia" w:ascii="宋体" w:hAnsi="宋体" w:cs="宋体"/>
          <w:bCs/>
          <w:caps/>
          <w:szCs w:val="24"/>
          <w:lang w:val="zh-CN"/>
        </w:rPr>
        <w:fldChar w:fldCharType="end"/>
      </w:r>
    </w:p>
    <w:p>
      <w:pPr>
        <w:pStyle w:val="26"/>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85"/>
        <w:jc w:val="center"/>
        <w:rPr>
          <w:rFonts w:hint="eastAsia" w:ascii="宋体" w:hAnsi="宋体" w:cs="宋体"/>
          <w:b/>
          <w:color w:val="FF0000"/>
          <w:sz w:val="28"/>
          <w:szCs w:val="28"/>
        </w:rPr>
      </w:pPr>
    </w:p>
    <w:p>
      <w:pPr>
        <w:pStyle w:val="85"/>
        <w:rPr>
          <w:rFonts w:hint="eastAsia" w:ascii="宋体" w:hAnsi="宋体" w:cs="宋体"/>
          <w:color w:val="FF0000"/>
        </w:rPr>
      </w:pPr>
      <w:r>
        <w:rPr>
          <w:rFonts w:hint="eastAsia" w:ascii="宋体" w:hAnsi="宋体" w:cs="宋体"/>
          <w:color w:val="FF0000"/>
        </w:rPr>
        <w:t> </w:t>
      </w:r>
    </w:p>
    <w:p>
      <w:pPr>
        <w:pStyle w:val="85"/>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bCs w:val="0"/>
        </w:rPr>
      </w:pPr>
      <w:bookmarkStart w:id="2" w:name="_Toc30568"/>
      <w:bookmarkStart w:id="3" w:name="_Toc7320"/>
      <w:r>
        <w:rPr>
          <w:rFonts w:hint="eastAsia" w:ascii="宋体" w:hAnsi="宋体" w:cs="宋体"/>
          <w:bCs w:val="0"/>
        </w:rPr>
        <w:t>竞争性磋商公告</w:t>
      </w:r>
      <w:bookmarkEnd w:id="2"/>
      <w:bookmarkEnd w:id="3"/>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rPr>
      </w:pPr>
      <w:r>
        <w:rPr>
          <w:rFonts w:hint="eastAsia" w:ascii="宋体" w:hAnsi="宋体" w:cs="宋体"/>
          <w:b/>
          <w:bCs/>
          <w:sz w:val="28"/>
          <w:szCs w:val="28"/>
          <w:lang w:val="en-US" w:eastAsia="zh-CN"/>
        </w:rPr>
        <w:t>武陟县城市管理局2024年城区亮化采购项目</w:t>
      </w:r>
      <w:r>
        <w:rPr>
          <w:rFonts w:hint="eastAsia" w:ascii="宋体" w:hAnsi="宋体" w:cs="宋体"/>
          <w:b/>
          <w:bCs/>
          <w:sz w:val="28"/>
          <w:szCs w:val="28"/>
        </w:rPr>
        <w:t>竞争性磋商公告</w:t>
      </w:r>
      <w:bookmarkStart w:id="4" w:name="_Toc15614"/>
      <w:bookmarkStart w:id="5" w:name="_Toc477423242"/>
      <w:bookmarkStart w:id="6" w:name="_Toc408816341"/>
      <w:bookmarkStart w:id="7" w:name="_Toc374512408"/>
      <w:bookmarkStart w:id="8" w:name="_Toc373230021"/>
      <w:bookmarkStart w:id="9" w:name="_Toc22562"/>
    </w:p>
    <w:p>
      <w:pPr>
        <w:pStyle w:val="37"/>
        <w:rPr>
          <w:rFonts w:hint="eastAsia"/>
        </w:rPr>
      </w:pP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color w:val="auto"/>
          <w:sz w:val="24"/>
          <w:szCs w:val="24"/>
          <w:lang w:eastAsia="zh-CN"/>
        </w:rPr>
        <w:t>武陟县城市管理局2024年城区亮化采购项目</w:t>
      </w:r>
      <w:r>
        <w:rPr>
          <w:rFonts w:hint="eastAsia" w:ascii="宋体" w:hAnsi="宋体" w:eastAsia="宋体" w:cs="宋体"/>
          <w:color w:val="auto"/>
          <w:sz w:val="24"/>
          <w:szCs w:val="24"/>
          <w:lang w:val="en-US" w:eastAsia="zh-CN"/>
        </w:rPr>
        <w:t>的潜在</w:t>
      </w:r>
      <w:r>
        <w:rPr>
          <w:rFonts w:hint="eastAsia" w:ascii="宋体" w:hAnsi="宋体" w:cs="宋体"/>
          <w:color w:val="auto"/>
          <w:sz w:val="24"/>
          <w:szCs w:val="24"/>
          <w:lang w:val="en-US" w:eastAsia="zh-CN"/>
        </w:rPr>
        <w:t>投标人</w:t>
      </w:r>
      <w:r>
        <w:rPr>
          <w:rFonts w:hint="eastAsia" w:ascii="宋体" w:hAnsi="宋体" w:eastAsia="宋体" w:cs="宋体"/>
          <w:color w:val="auto"/>
          <w:sz w:val="24"/>
          <w:szCs w:val="24"/>
          <w:lang w:val="en-US" w:eastAsia="zh-CN"/>
        </w:rPr>
        <w:t>应在焦作市公共资源交易中心网站获取</w:t>
      </w:r>
      <w:r>
        <w:rPr>
          <w:rFonts w:hint="eastAsia" w:ascii="宋体" w:hAnsi="宋体" w:cs="宋体"/>
          <w:color w:val="auto"/>
          <w:sz w:val="24"/>
          <w:szCs w:val="24"/>
          <w:lang w:val="en-US" w:eastAsia="zh-CN"/>
        </w:rPr>
        <w:t>招标文件</w:t>
      </w:r>
      <w:r>
        <w:rPr>
          <w:rFonts w:hint="eastAsia" w:ascii="宋体" w:hAnsi="宋体" w:eastAsia="宋体" w:cs="宋体"/>
          <w:color w:val="auto"/>
          <w:sz w:val="24"/>
          <w:szCs w:val="24"/>
          <w:lang w:val="en-US" w:eastAsia="zh-CN"/>
        </w:rPr>
        <w:t>，并于</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日09时00分（北京</w:t>
      </w:r>
      <w:r>
        <w:rPr>
          <w:rFonts w:hint="eastAsia" w:ascii="宋体" w:hAnsi="宋体" w:eastAsia="宋体" w:cs="宋体"/>
          <w:sz w:val="24"/>
          <w:szCs w:val="24"/>
          <w:lang w:val="en-US" w:eastAsia="zh-CN"/>
        </w:rPr>
        <w:t>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2024-01-50</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val="en-US" w:eastAsia="zh-CN"/>
        </w:rPr>
        <w:t>武陟县城市管理局2024年城区亮化采购项目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采购方式：竞争性磋商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预算金额：</w:t>
      </w:r>
      <w:r>
        <w:rPr>
          <w:rFonts w:hint="eastAsia" w:ascii="宋体" w:hAnsi="宋体" w:cs="宋体"/>
          <w:sz w:val="24"/>
          <w:szCs w:val="24"/>
          <w:highlight w:val="none"/>
          <w:lang w:val="en-US" w:eastAsia="zh-CN"/>
        </w:rPr>
        <w:t>1100000.00</w:t>
      </w:r>
    </w:p>
    <w:p>
      <w:pPr>
        <w:pStyle w:val="37"/>
        <w:keepNext w:val="0"/>
        <w:keepLines w:val="0"/>
        <w:pageBreakBefore w:val="0"/>
        <w:kinsoku/>
        <w:wordWrap/>
        <w:overflowPunct/>
        <w:topLinePunct w:val="0"/>
        <w:autoSpaceDE/>
        <w:autoSpaceDN/>
        <w:bidi w:val="0"/>
        <w:adjustRightInd/>
        <w:snapToGrid/>
        <w:spacing w:line="440" w:lineRule="exact"/>
        <w:textAlignment w:val="auto"/>
        <w:rPr>
          <w:rFonts w:hint="default"/>
          <w:highlight w:val="none"/>
          <w:lang w:val="en-US"/>
        </w:rPr>
      </w:pPr>
      <w:r>
        <w:rPr>
          <w:rFonts w:hint="eastAsia" w:ascii="宋体" w:hAnsi="宋体" w:cs="宋体"/>
          <w:sz w:val="24"/>
          <w:szCs w:val="24"/>
          <w:highlight w:val="none"/>
          <w:lang w:val="en-US" w:eastAsia="zh-CN"/>
        </w:rPr>
        <w:t xml:space="preserve">       最高限价：1100000.00</w:t>
      </w:r>
    </w:p>
    <w:tbl>
      <w:tblPr>
        <w:tblStyle w:val="124"/>
        <w:tblpPr w:leftFromText="180" w:rightFromText="180" w:vertAnchor="text" w:horzAnchor="page" w:tblpX="1454" w:tblpY="14"/>
        <w:tblOverlap w:val="never"/>
        <w:tblW w:w="919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3421"/>
        <w:gridCol w:w="1662"/>
        <w:gridCol w:w="20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w:t>
            </w:r>
            <w:r>
              <w:rPr>
                <w:rFonts w:hint="eastAsia" w:ascii="宋体" w:hAnsi="宋体" w:eastAsia="宋体" w:cs="宋体"/>
                <w:spacing w:val="-2"/>
                <w:sz w:val="24"/>
                <w:szCs w:val="24"/>
              </w:rPr>
              <w:t>号</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包</w:t>
            </w:r>
            <w:r>
              <w:rPr>
                <w:rFonts w:hint="eastAsia" w:ascii="宋体" w:hAnsi="宋体" w:eastAsia="宋体" w:cs="宋体"/>
                <w:spacing w:val="1"/>
                <w:sz w:val="24"/>
                <w:szCs w:val="24"/>
              </w:rPr>
              <w:t>名称</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包预算(元)</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包最高限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2024-01-50</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lang w:eastAsia="zh-CN"/>
              </w:rPr>
            </w:pPr>
            <w:r>
              <w:rPr>
                <w:rFonts w:hint="eastAsia" w:ascii="宋体" w:hAnsi="宋体" w:cs="宋体"/>
                <w:sz w:val="24"/>
                <w:szCs w:val="24"/>
                <w:lang w:eastAsia="zh-CN"/>
              </w:rPr>
              <w:t>武陟县城市管理局2024年城区亮化采购项目</w:t>
            </w:r>
          </w:p>
        </w:tc>
        <w:tc>
          <w:tcPr>
            <w:tcW w:w="1662"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1100000.00</w:t>
            </w:r>
          </w:p>
        </w:tc>
        <w:tc>
          <w:tcPr>
            <w:tcW w:w="2061"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rPr>
            </w:pPr>
            <w:r>
              <w:rPr>
                <w:rFonts w:hint="eastAsia" w:ascii="宋体" w:hAnsi="宋体" w:cs="宋体"/>
                <w:sz w:val="24"/>
                <w:szCs w:val="24"/>
                <w:lang w:val="en-US" w:eastAsia="zh-CN"/>
              </w:rPr>
              <w:t>1100000.00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采购需求(包括但不限于标的的名称、数量、简要技术需求或服务要求等)</w:t>
      </w:r>
      <w:r>
        <w:rPr>
          <w:rFonts w:hint="eastAsia" w:ascii="宋体" w:hAnsi="宋体" w:cs="宋体"/>
          <w:color w:val="auto"/>
          <w:sz w:val="24"/>
          <w:szCs w:val="24"/>
          <w:lang w:eastAsia="zh-CN"/>
        </w:rPr>
        <w:t>：对兴华路 (红旗路至黄河大道) 140 串灯笼进行更换黄河大道 160 串中国结进行加装，对兴华路、红旗路、东大街及和平路部分路段、路口行道树安装灯绳、灯笼、灯带、发光字、马尾灯烟花灯亮化，武方路高速口、嘉应观高速口、小徐岗高速口、劲牛花坛进行安装发光字、烟花灯、灯绳、灯网、射灯、彩灯、玉树亮化</w:t>
      </w:r>
      <w:r>
        <w:rPr>
          <w:rFonts w:hint="eastAsia" w:ascii="宋体" w:hAnsi="宋体" w:cs="宋体"/>
          <w:color w:val="auto"/>
          <w:sz w:val="24"/>
          <w:szCs w:val="24"/>
          <w:lang w:val="en-US" w:eastAsia="zh-CN"/>
        </w:rPr>
        <w:t>等</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(详见《河南省政府采购网》本公告附件)。</w:t>
      </w:r>
    </w:p>
    <w:p>
      <w:pPr>
        <w:pStyle w:val="37"/>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合同履行期限：</w:t>
      </w:r>
      <w:r>
        <w:rPr>
          <w:rFonts w:hint="eastAsia" w:ascii="宋体" w:hAnsi="宋体" w:cs="宋体"/>
          <w:color w:val="auto"/>
          <w:sz w:val="24"/>
          <w:szCs w:val="24"/>
          <w:lang w:val="en-US" w:eastAsia="zh-CN"/>
        </w:rPr>
        <w:t>15日历天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7、本项目是否接受联合体</w:t>
      </w:r>
      <w:r>
        <w:rPr>
          <w:rFonts w:hint="eastAsia" w:ascii="宋体" w:hAnsi="宋体" w:cs="宋体"/>
          <w:color w:val="auto"/>
          <w:sz w:val="24"/>
          <w:szCs w:val="24"/>
          <w:lang w:val="en-US" w:eastAsia="zh-CN"/>
        </w:rPr>
        <w:t>投标</w:t>
      </w:r>
      <w:r>
        <w:rPr>
          <w:rFonts w:hint="eastAsia" w:ascii="宋体" w:hAnsi="宋体" w:eastAsia="宋体" w:cs="宋体"/>
          <w:color w:val="auto"/>
          <w:sz w:val="24"/>
          <w:szCs w:val="24"/>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8、是否接受进口产品：否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9、是否专门面向中小企业：是</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申请人资格要求：</w:t>
      </w:r>
    </w:p>
    <w:p>
      <w:pPr>
        <w:keepNext w:val="0"/>
        <w:keepLines w:val="0"/>
        <w:pageBreakBefore w:val="0"/>
        <w:numPr>
          <w:ilvl w:val="0"/>
          <w:numId w:val="0"/>
        </w:numPr>
        <w:tabs>
          <w:tab w:val="left" w:pos="492"/>
          <w:tab w:val="left" w:pos="839"/>
        </w:tabs>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r>
        <w:rPr>
          <w:rFonts w:hint="eastAsia" w:ascii="宋体" w:hAnsi="宋体" w:cs="宋体"/>
          <w:sz w:val="24"/>
          <w:szCs w:val="24"/>
          <w:lang w:val="en-US" w:eastAsia="zh-CN"/>
        </w:rPr>
        <w:t>所投货物的制造商应为中小微企业或监狱企业或残疾人福利性单位；</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2</w:t>
      </w:r>
      <w:r>
        <w:rPr>
          <w:rFonts w:hint="eastAsia" w:ascii="宋体" w:hAnsi="宋体" w:eastAsia="宋体" w:cs="宋体"/>
          <w:sz w:val="24"/>
          <w:szCs w:val="24"/>
        </w:rPr>
        <w:t>经中国人民银行备案的第三方征信机构出具的有效期内的信用报告，信用等级达到A级及以上，并提供出具该信用报告的第三方征信机构在中国人民银行备案的证明材料；</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3</w:t>
      </w:r>
      <w:r>
        <w:rPr>
          <w:rFonts w:hint="eastAsia" w:ascii="宋体" w:hAnsi="宋体" w:eastAsia="宋体" w:cs="宋体"/>
          <w:sz w:val="24"/>
          <w:szCs w:val="24"/>
        </w:rPr>
        <w:t>不得被列入失信被执行人、重大</w:t>
      </w:r>
      <w:r>
        <w:rPr>
          <w:rFonts w:hint="eastAsia" w:ascii="宋体" w:hAnsi="宋体" w:eastAsia="宋体" w:cs="宋体"/>
          <w:color w:val="auto"/>
          <w:sz w:val="24"/>
          <w:szCs w:val="24"/>
        </w:rPr>
        <w:t>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三、</w:t>
      </w:r>
      <w:r>
        <w:rPr>
          <w:rFonts w:hint="eastAsia" w:ascii="宋体" w:hAnsi="宋体" w:eastAsia="宋体" w:cs="宋体"/>
          <w:b/>
          <w:bCs/>
          <w:color w:val="auto"/>
          <w:sz w:val="24"/>
          <w:szCs w:val="24"/>
        </w:rPr>
        <w:t>获取</w:t>
      </w:r>
      <w:r>
        <w:rPr>
          <w:rFonts w:hint="eastAsia" w:ascii="宋体" w:hAnsi="宋体" w:eastAsia="宋体" w:cs="宋体"/>
          <w:b/>
          <w:bCs/>
          <w:color w:val="auto"/>
          <w:sz w:val="24"/>
          <w:szCs w:val="24"/>
          <w:lang w:eastAsia="zh-CN"/>
        </w:rPr>
        <w:t>采购</w:t>
      </w:r>
      <w:r>
        <w:rPr>
          <w:rFonts w:hint="eastAsia" w:ascii="宋体" w:hAnsi="宋体" w:eastAsia="宋体" w:cs="宋体"/>
          <w:b/>
          <w:bCs/>
          <w:color w:val="auto"/>
          <w:sz w:val="24"/>
          <w:szCs w:val="24"/>
        </w:rPr>
        <w:t>文件</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时间：</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日至</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日，每天上午 0</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:00 至 12:00， 下午 12:00 至 23:</w:t>
      </w:r>
      <w:r>
        <w:rPr>
          <w:rFonts w:hint="eastAsia" w:ascii="宋体" w:hAnsi="宋体" w:cs="宋体"/>
          <w:color w:val="auto"/>
          <w:sz w:val="24"/>
          <w:szCs w:val="24"/>
          <w:lang w:val="en-US" w:eastAsia="zh-CN"/>
        </w:rPr>
        <w:t>59</w:t>
      </w:r>
      <w:r>
        <w:rPr>
          <w:rFonts w:hint="eastAsia" w:ascii="宋体" w:hAnsi="宋体" w:eastAsia="宋体" w:cs="宋体"/>
          <w:color w:val="auto"/>
          <w:sz w:val="24"/>
          <w:szCs w:val="24"/>
        </w:rPr>
        <w:t xml:space="preserve"> (北京时间，法定节假日除外。)</w:t>
      </w:r>
      <w:r>
        <w:rPr>
          <w:rFonts w:hint="eastAsia" w:ascii="宋体" w:hAnsi="宋体" w:cs="宋体"/>
          <w:color w:val="auto"/>
          <w:sz w:val="24"/>
          <w:szCs w:val="24"/>
          <w:lang w:eastAsia="zh-CN"/>
        </w:rPr>
        <w:t>；</w:t>
      </w:r>
    </w:p>
    <w:p>
      <w:pPr>
        <w:keepNext w:val="0"/>
        <w:keepLines w:val="0"/>
        <w:pageBreakBefore w:val="0"/>
        <w:numPr>
          <w:ilvl w:val="0"/>
          <w:numId w:val="2"/>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r>
        <w:rPr>
          <w:rFonts w:hint="eastAsia" w:ascii="宋体" w:hAnsi="宋体" w:cs="宋体"/>
          <w:sz w:val="24"/>
          <w:szCs w:val="24"/>
          <w:lang w:eastAsia="zh-CN"/>
        </w:rPr>
        <w:t>；</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方式：本项目采用网上获取</w:t>
      </w:r>
      <w:r>
        <w:rPr>
          <w:rFonts w:hint="eastAsia" w:ascii="宋体" w:hAnsi="宋体" w:cs="宋体"/>
          <w:sz w:val="24"/>
          <w:szCs w:val="24"/>
          <w:lang w:eastAsia="zh-CN"/>
        </w:rPr>
        <w:t>竞争性</w:t>
      </w:r>
      <w:r>
        <w:rPr>
          <w:rFonts w:hint="eastAsia" w:ascii="宋体" w:hAnsi="宋体" w:eastAsia="宋体" w:cs="宋体"/>
          <w:sz w:val="24"/>
          <w:szCs w:val="24"/>
        </w:rPr>
        <w:t>磋商文件，凡有意参加本项目磋商活动者，请登陆焦作市公共资源交</w:t>
      </w:r>
      <w:r>
        <w:rPr>
          <w:rFonts w:hint="eastAsia" w:ascii="宋体" w:hAnsi="宋体" w:eastAsia="宋体" w:cs="宋体"/>
          <w:color w:val="auto"/>
          <w:sz w:val="24"/>
          <w:szCs w:val="24"/>
        </w:rPr>
        <w:t>易中心网站</w:t>
      </w:r>
      <w:r>
        <w:rPr>
          <w:rFonts w:hint="eastAsia" w:ascii="宋体" w:hAnsi="宋体" w:eastAsia="宋体" w:cs="宋体"/>
          <w:color w:val="auto"/>
          <w:sz w:val="24"/>
          <w:szCs w:val="24"/>
          <w:lang w:val="en-US" w:eastAsia="zh-CN"/>
        </w:rPr>
        <w:t>-交易平台“交易主体登录”栏目下载磋商文件</w:t>
      </w:r>
      <w:r>
        <w:rPr>
          <w:rFonts w:hint="eastAsia" w:ascii="宋体" w:hAnsi="宋体" w:cs="宋体"/>
          <w:color w:val="auto"/>
          <w:sz w:val="24"/>
          <w:szCs w:val="24"/>
          <w:lang w:eastAsia="zh-CN"/>
        </w:rPr>
        <w:t>；</w:t>
      </w:r>
    </w:p>
    <w:p>
      <w:pPr>
        <w:pStyle w:val="37"/>
        <w:keepNext w:val="0"/>
        <w:keepLines w:val="0"/>
        <w:pageBreakBefore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四、</w:t>
      </w:r>
      <w:r>
        <w:rPr>
          <w:rFonts w:hint="eastAsia" w:ascii="宋体" w:hAnsi="宋体" w:cs="宋体"/>
          <w:b/>
          <w:bCs/>
          <w:color w:val="auto"/>
          <w:sz w:val="24"/>
          <w:szCs w:val="24"/>
          <w:lang w:eastAsia="zh-CN"/>
        </w:rPr>
        <w:t>响应</w:t>
      </w:r>
      <w:r>
        <w:rPr>
          <w:rFonts w:hint="eastAsia" w:ascii="宋体" w:hAnsi="宋体" w:eastAsia="宋体" w:cs="宋体"/>
          <w:b/>
          <w:bCs/>
          <w:color w:val="auto"/>
          <w:sz w:val="24"/>
          <w:szCs w:val="24"/>
          <w:lang w:eastAsia="zh-CN"/>
        </w:rPr>
        <w:t>文件提交：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1.截止时间：</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年</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none"/>
        </w:rPr>
        <w:t>09</w:t>
      </w:r>
      <w:r>
        <w:rPr>
          <w:rFonts w:hint="eastAsia" w:ascii="宋体" w:hAnsi="宋体" w:eastAsia="宋体" w:cs="宋体"/>
          <w:color w:val="auto"/>
          <w:sz w:val="24"/>
          <w:szCs w:val="24"/>
        </w:rPr>
        <w:t>点</w:t>
      </w:r>
      <w:r>
        <w:rPr>
          <w:rFonts w:hint="eastAsia" w:ascii="宋体" w:hAnsi="宋体" w:eastAsia="宋体" w:cs="宋体"/>
          <w:color w:val="auto"/>
          <w:sz w:val="24"/>
          <w:szCs w:val="24"/>
          <w:u w:val="none"/>
        </w:rPr>
        <w:t>00</w:t>
      </w:r>
      <w:r>
        <w:rPr>
          <w:rFonts w:hint="eastAsia" w:ascii="宋体" w:hAnsi="宋体" w:eastAsia="宋体" w:cs="宋体"/>
          <w:color w:val="auto"/>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五、响应文件</w:t>
      </w:r>
      <w:r>
        <w:rPr>
          <w:rFonts w:hint="eastAsia" w:ascii="宋体" w:hAnsi="宋体" w:eastAsia="宋体" w:cs="宋体"/>
          <w:b/>
          <w:bCs/>
          <w:color w:val="auto"/>
          <w:sz w:val="24"/>
          <w:szCs w:val="24"/>
        </w:rPr>
        <w:t>开启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1.时间：</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年</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rPr>
        <w:t>日09时00分（北京时间）；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2.地点：武陟县公共资源交易中心二楼开标</w:t>
      </w:r>
      <w:r>
        <w:rPr>
          <w:rFonts w:hint="eastAsia" w:ascii="宋体" w:hAnsi="宋体" w:cs="宋体"/>
          <w:color w:val="auto"/>
          <w:sz w:val="24"/>
          <w:szCs w:val="24"/>
          <w:u w:val="none"/>
          <w:lang w:val="en-US" w:eastAsia="zh-CN"/>
        </w:rPr>
        <w:t>三</w:t>
      </w:r>
      <w:r>
        <w:rPr>
          <w:rFonts w:hint="eastAsia" w:ascii="宋体" w:hAnsi="宋体" w:eastAsia="宋体" w:cs="宋体"/>
          <w:color w:val="auto"/>
          <w:sz w:val="24"/>
          <w:szCs w:val="24"/>
        </w:rPr>
        <w:t>厅。</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eastAsia="zh-CN"/>
        </w:rPr>
        <w:t>六、发布</w:t>
      </w:r>
      <w:r>
        <w:rPr>
          <w:rFonts w:hint="eastAsia" w:ascii="宋体" w:hAnsi="宋体" w:eastAsia="宋体" w:cs="宋体"/>
          <w:b/>
          <w:bCs/>
          <w:color w:val="auto"/>
          <w:sz w:val="24"/>
          <w:szCs w:val="24"/>
        </w:rPr>
        <w:t>公告</w:t>
      </w:r>
      <w:r>
        <w:rPr>
          <w:rFonts w:hint="eastAsia" w:ascii="宋体" w:hAnsi="宋体" w:eastAsia="宋体" w:cs="宋体"/>
          <w:b/>
          <w:bCs/>
          <w:color w:val="auto"/>
          <w:sz w:val="24"/>
          <w:szCs w:val="24"/>
          <w:lang w:eastAsia="zh-CN"/>
        </w:rPr>
        <w:t>的媒介及</w:t>
      </w:r>
      <w:r>
        <w:rPr>
          <w:rFonts w:hint="eastAsia" w:ascii="宋体" w:hAnsi="宋体" w:cs="宋体"/>
          <w:b/>
          <w:bCs/>
          <w:color w:val="auto"/>
          <w:sz w:val="24"/>
          <w:szCs w:val="24"/>
          <w:lang w:eastAsia="zh-CN"/>
        </w:rPr>
        <w:t>招标</w:t>
      </w:r>
      <w:r>
        <w:rPr>
          <w:rFonts w:hint="eastAsia" w:ascii="宋体" w:hAnsi="宋体" w:eastAsia="宋体" w:cs="宋体"/>
          <w:b/>
          <w:bCs/>
          <w:color w:val="auto"/>
          <w:sz w:val="24"/>
          <w:szCs w:val="24"/>
          <w:lang w:eastAsia="zh-CN"/>
        </w:rPr>
        <w:t>公告</w:t>
      </w:r>
      <w:r>
        <w:rPr>
          <w:rFonts w:hint="eastAsia" w:ascii="宋体" w:hAnsi="宋体" w:eastAsia="宋体" w:cs="宋体"/>
          <w:b/>
          <w:bCs/>
          <w:color w:val="auto"/>
          <w:sz w:val="24"/>
          <w:szCs w:val="24"/>
        </w:rPr>
        <w:t>期限：</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lang w:eastAsia="zh-CN"/>
        </w:rPr>
        <w:t>本次</w:t>
      </w:r>
      <w:r>
        <w:rPr>
          <w:rFonts w:hint="eastAsia" w:ascii="宋体" w:hAnsi="宋体" w:cs="宋体"/>
          <w:color w:val="auto"/>
          <w:sz w:val="24"/>
          <w:szCs w:val="24"/>
          <w:lang w:eastAsia="zh-CN"/>
        </w:rPr>
        <w:t>招标</w:t>
      </w:r>
      <w:r>
        <w:rPr>
          <w:rFonts w:hint="eastAsia" w:ascii="宋体" w:hAnsi="宋体" w:eastAsia="宋体" w:cs="宋体"/>
          <w:color w:val="auto"/>
          <w:sz w:val="24"/>
          <w:szCs w:val="24"/>
        </w:rPr>
        <w:t>公告</w:t>
      </w:r>
      <w:r>
        <w:rPr>
          <w:rFonts w:hint="eastAsia" w:ascii="宋体" w:hAnsi="宋体" w:eastAsia="宋体" w:cs="宋体"/>
          <w:color w:val="auto"/>
          <w:sz w:val="24"/>
          <w:szCs w:val="24"/>
          <w:lang w:eastAsia="zh-CN"/>
        </w:rPr>
        <w:t>在</w:t>
      </w:r>
      <w:r>
        <w:rPr>
          <w:rFonts w:hint="eastAsia" w:ascii="宋体" w:hAnsi="宋体" w:eastAsia="宋体" w:cs="宋体"/>
          <w:color w:val="auto"/>
          <w:sz w:val="24"/>
          <w:szCs w:val="24"/>
        </w:rPr>
        <w:t>《河南省政府采购网》、《焦作市公共资源交易中心网》、《武陟县公共资源交易中心网》</w:t>
      </w:r>
      <w:r>
        <w:rPr>
          <w:rFonts w:hint="eastAsia" w:ascii="宋体" w:hAnsi="宋体" w:eastAsia="宋体" w:cs="宋体"/>
          <w:color w:val="auto"/>
          <w:sz w:val="24"/>
          <w:szCs w:val="24"/>
          <w:lang w:eastAsia="zh-CN"/>
        </w:rPr>
        <w:t>上发布</w:t>
      </w:r>
      <w:r>
        <w:rPr>
          <w:rFonts w:hint="eastAsia" w:ascii="宋体" w:hAnsi="宋体" w:cs="宋体"/>
          <w:color w:val="auto"/>
          <w:sz w:val="24"/>
          <w:szCs w:val="24"/>
          <w:lang w:eastAsia="zh-CN"/>
        </w:rPr>
        <w:t>。招标</w:t>
      </w:r>
      <w:r>
        <w:rPr>
          <w:rFonts w:hint="eastAsia" w:ascii="宋体" w:hAnsi="宋体" w:eastAsia="宋体" w:cs="宋体"/>
          <w:color w:val="auto"/>
          <w:sz w:val="24"/>
          <w:szCs w:val="24"/>
          <w:lang w:eastAsia="zh-CN"/>
        </w:rPr>
        <w:t>公告期限为</w:t>
      </w:r>
      <w:r>
        <w:rPr>
          <w:rFonts w:hint="eastAsia" w:ascii="宋体" w:hAnsi="宋体" w:cs="宋体"/>
          <w:color w:val="auto"/>
          <w:sz w:val="24"/>
          <w:szCs w:val="24"/>
          <w:lang w:eastAsia="zh-CN"/>
        </w:rPr>
        <w:t>三</w:t>
      </w:r>
      <w:r>
        <w:rPr>
          <w:rFonts w:hint="eastAsia" w:ascii="宋体" w:hAnsi="宋体" w:eastAsia="宋体" w:cs="宋体"/>
          <w:color w:val="auto"/>
          <w:sz w:val="24"/>
          <w:szCs w:val="24"/>
        </w:rPr>
        <w:t>个</w:t>
      </w:r>
      <w:r>
        <w:rPr>
          <w:rFonts w:hint="eastAsia" w:ascii="宋体" w:hAnsi="宋体" w:eastAsia="宋体" w:cs="宋体"/>
          <w:sz w:val="24"/>
          <w:szCs w:val="24"/>
        </w:rPr>
        <w:t>工作日。</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七、</w:t>
      </w:r>
      <w:r>
        <w:rPr>
          <w:rFonts w:hint="eastAsia" w:ascii="宋体" w:hAnsi="宋体" w:eastAsia="宋体" w:cs="宋体"/>
          <w:b/>
          <w:bCs/>
          <w:sz w:val="24"/>
          <w:szCs w:val="24"/>
          <w:lang w:eastAsia="zh-CN"/>
        </w:rPr>
        <w:t>其他补充事宜：</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 xml:space="preserve">、请各供应商提前办理 CA 数字证书，并学习电子响应性文件制作。加密的电子响应性文件须使用 CA 数字证书上传。为防止网络拥堵等不可控因素影响加密的电子响应性文件上传，请各供应商提前上传，因未能及时上传导致投标失败的责任由供应商自行承担。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2、按要求进行网上获取并下载竞争性磋商文件,凡未在规定时间内获取竞争性磋商文件者视为无效投标。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获取竞争性磋商文件后，请下载并安装最新版本投标文件制作工具，制作电子响应性文件，在响应性文件提交截止时间前，上传加密的响应性文件。供应商未在响应性文件提交截止时间前完成上传的，视为逾期送达，焦作市电子招投标交易平台将拒绝接收。</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5、本项目采用远程不见面交易的模式，磋商当日，供应商无需到现场参加磋商会议，应在提交响应性文件截止时间前，登录“不见面开标大厅系统”，在线准时参加磋商活动，在规定时间内进行文件解密。各潜在供应商因加密电子响应性文件未能成功上传，其投标将被拒绝。供应商需在响应文件提交截止时间后 30 分钟内完成解密，否则造成的一切后果由供应商自行负责。除电子响应性文件外，磋商时不再接受任何纸质文件、资料等。 </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w:t>
      </w:r>
      <w:r>
        <w:rPr>
          <w:rFonts w:hint="eastAsia" w:ascii="宋体" w:hAnsi="宋体" w:cs="宋体"/>
          <w:b/>
          <w:bCs/>
          <w:sz w:val="24"/>
          <w:szCs w:val="24"/>
          <w:lang w:eastAsia="zh-CN"/>
        </w:rPr>
        <w:t>招标</w:t>
      </w:r>
      <w:r>
        <w:rPr>
          <w:rFonts w:hint="eastAsia" w:ascii="宋体" w:hAnsi="宋体" w:eastAsia="宋体" w:cs="宋体"/>
          <w:b/>
          <w:bCs/>
          <w:sz w:val="24"/>
          <w:szCs w:val="24"/>
        </w:rPr>
        <w:t>提出询问，请按</w:t>
      </w:r>
      <w:r>
        <w:rPr>
          <w:rFonts w:hint="eastAsia" w:ascii="宋体" w:hAnsi="宋体" w:cs="宋体"/>
          <w:b/>
          <w:bCs/>
          <w:sz w:val="24"/>
          <w:szCs w:val="24"/>
          <w:lang w:eastAsia="zh-CN"/>
        </w:rPr>
        <w:t>照</w:t>
      </w:r>
      <w:r>
        <w:rPr>
          <w:rFonts w:hint="eastAsia" w:ascii="宋体" w:hAnsi="宋体" w:eastAsia="宋体" w:cs="宋体"/>
          <w:b/>
          <w:bCs/>
          <w:sz w:val="24"/>
          <w:szCs w:val="24"/>
        </w:rPr>
        <w:t>以下方式联系</w:t>
      </w:r>
    </w:p>
    <w:p>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val="en-US" w:eastAsia="zh-CN"/>
        </w:rPr>
        <w:t>武陟县城市管理局</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地 址：</w:t>
      </w:r>
      <w:r>
        <w:rPr>
          <w:rFonts w:hint="eastAsia" w:ascii="宋体" w:hAnsi="宋体" w:cs="宋体"/>
          <w:sz w:val="24"/>
          <w:szCs w:val="24"/>
          <w:highlight w:val="none"/>
          <w:lang w:val="en-US" w:eastAsia="zh-CN"/>
        </w:rPr>
        <w:t>武陟县工业路14号楼</w:t>
      </w:r>
    </w:p>
    <w:p>
      <w:pPr>
        <w:pStyle w:val="37"/>
        <w:keepNext w:val="0"/>
        <w:keepLines w:val="0"/>
        <w:pageBreakBefore w:val="0"/>
        <w:widowControl w:val="0"/>
        <w:kinsoku/>
        <w:wordWrap/>
        <w:overflowPunct/>
        <w:topLinePunct w:val="0"/>
        <w:autoSpaceDE/>
        <w:autoSpaceDN/>
        <w:bidi w:val="0"/>
        <w:adjustRightInd/>
        <w:snapToGrid/>
        <w:spacing w:after="0" w:afterLines="0" w:line="440" w:lineRule="exact"/>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val="en-US" w:eastAsia="zh-CN"/>
        </w:rPr>
        <w:t>许建国</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jc w:val="left"/>
        <w:textAlignment w:val="auto"/>
        <w:rPr>
          <w:rFonts w:hint="default" w:ascii="宋体" w:hAnsi="宋体" w:eastAsia="宋体" w:cs="宋体"/>
          <w:sz w:val="24"/>
          <w:szCs w:val="24"/>
          <w:shd w:val="clear" w:color="auto" w:fill="FFFFFF"/>
          <w:lang w:val="en-US" w:eastAsia="zh-CN"/>
        </w:rPr>
      </w:pPr>
      <w:r>
        <w:rPr>
          <w:rFonts w:hint="eastAsia" w:ascii="宋体" w:hAnsi="宋体" w:eastAsia="宋体" w:cs="宋体"/>
          <w:sz w:val="24"/>
          <w:szCs w:val="24"/>
          <w:shd w:val="clear" w:color="auto" w:fill="FFFFFF"/>
        </w:rPr>
        <w:t>联系方式：</w:t>
      </w:r>
      <w:r>
        <w:rPr>
          <w:rFonts w:hint="eastAsia" w:ascii="宋体" w:hAnsi="宋体" w:cs="宋体"/>
          <w:sz w:val="24"/>
          <w:szCs w:val="24"/>
          <w:shd w:val="clear" w:color="auto" w:fill="FFFFFF"/>
          <w:lang w:val="en-US" w:eastAsia="zh-CN"/>
        </w:rPr>
        <w:t>13839115801</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2.采购代理机构信息</w:t>
      </w:r>
      <w:r>
        <w:rPr>
          <w:rFonts w:hint="eastAsia" w:ascii="宋体" w:hAnsi="宋体" w:cs="宋体"/>
          <w:sz w:val="24"/>
          <w:szCs w:val="24"/>
          <w:lang w:eastAsia="zh-CN"/>
        </w:rPr>
        <w:t>（如有）</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val="en-US" w:eastAsia="zh-CN"/>
        </w:rPr>
        <w:t>河南众成工程管理有限公司</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 址：郑州市金水区青年路145号6号楼14层1408号</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val="en-US" w:eastAsia="zh-CN"/>
        </w:rPr>
        <w:t>逯安琪</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19"/>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项目联系人：</w:t>
      </w:r>
      <w:r>
        <w:rPr>
          <w:rFonts w:hint="eastAsia" w:ascii="宋体" w:hAnsi="宋体" w:cs="宋体"/>
          <w:sz w:val="24"/>
          <w:szCs w:val="24"/>
          <w:highlight w:val="none"/>
          <w:lang w:val="en-US" w:eastAsia="zh-CN"/>
        </w:rPr>
        <w:t>许建国</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eastAsia="zh-CN"/>
        </w:rPr>
        <w:t>联系方式</w:t>
      </w:r>
      <w:r>
        <w:rPr>
          <w:rFonts w:hint="eastAsia" w:ascii="宋体" w:hAnsi="宋体" w:eastAsia="宋体" w:cs="宋体"/>
          <w:sz w:val="24"/>
          <w:szCs w:val="24"/>
        </w:rPr>
        <w:t>：</w:t>
      </w:r>
      <w:r>
        <w:rPr>
          <w:rFonts w:hint="eastAsia" w:ascii="宋体" w:hAnsi="宋体" w:cs="宋体"/>
          <w:sz w:val="24"/>
          <w:szCs w:val="24"/>
          <w:shd w:val="clear" w:color="auto" w:fill="FFFFFF"/>
          <w:lang w:val="en-US" w:eastAsia="zh-CN"/>
        </w:rPr>
        <w:t>13839115801</w:t>
      </w:r>
      <w:r>
        <w:rPr>
          <w:rFonts w:hint="eastAsia" w:ascii="宋体" w:hAnsi="宋体" w:eastAsia="宋体" w:cs="宋体"/>
          <w:sz w:val="24"/>
          <w:szCs w:val="24"/>
        </w:rPr>
        <w:t xml:space="preserve"> </w:t>
      </w:r>
    </w:p>
    <w:p>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pPr>
        <w:pStyle w:val="35"/>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0" w:name="_Toc29694"/>
      <w:bookmarkStart w:id="11" w:name="_Toc15530"/>
      <w:r>
        <w:rPr>
          <w:rFonts w:hint="eastAsia" w:ascii="宋体" w:hAnsi="宋体" w:cs="宋体"/>
        </w:rPr>
        <w:t>供应商须知</w:t>
      </w:r>
      <w:bookmarkEnd w:id="4"/>
      <w:bookmarkEnd w:id="10"/>
      <w:bookmarkEnd w:id="11"/>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8"/>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武陟县城市管理局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rPr>
                <w:rFonts w:hint="default" w:ascii="宋体" w:hAnsi="宋体" w:cs="宋体"/>
                <w:color w:val="auto"/>
                <w:kern w:val="0"/>
                <w:szCs w:val="21"/>
                <w:lang w:val="en-US"/>
              </w:rPr>
            </w:pPr>
            <w:r>
              <w:rPr>
                <w:rFonts w:hint="eastAsia" w:ascii="宋体" w:hAnsi="宋体" w:cs="宋体"/>
                <w:color w:val="auto"/>
                <w:kern w:val="0"/>
                <w:szCs w:val="21"/>
                <w:lang w:val="en-US" w:eastAsia="zh-CN"/>
              </w:rPr>
              <w:t>河南众成工程管理有限公司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项目名称</w:t>
            </w:r>
          </w:p>
        </w:tc>
        <w:tc>
          <w:tcPr>
            <w:tcW w:w="6563" w:type="dxa"/>
            <w:noWrap w:val="0"/>
            <w:vAlign w:val="center"/>
          </w:tcPr>
          <w:p>
            <w:pPr>
              <w:rPr>
                <w:rFonts w:hint="eastAsia"/>
                <w:color w:val="auto"/>
                <w:lang w:eastAsia="zh-CN"/>
              </w:rPr>
            </w:pPr>
            <w:r>
              <w:rPr>
                <w:rFonts w:hint="eastAsia"/>
                <w:color w:val="auto"/>
                <w:lang w:eastAsia="zh-CN"/>
              </w:rPr>
              <w:t>武陟县城市管理局2024年城区亮化采购项目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default" w:ascii="宋体" w:hAnsi="宋体" w:eastAsia="宋体" w:cs="宋体"/>
                <w:kern w:val="0"/>
                <w:szCs w:val="21"/>
                <w:lang w:val="en-US" w:eastAsia="zh-CN"/>
              </w:rPr>
            </w:pPr>
            <w:r>
              <w:rPr>
                <w:rFonts w:hint="eastAsia" w:ascii="宋体" w:hAnsi="宋体" w:cs="宋体"/>
                <w:kern w:val="0"/>
                <w:szCs w:val="21"/>
                <w:lang w:val="en-US" w:eastAsia="zh-CN"/>
              </w:rPr>
              <w:t>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2131" w:type="dxa"/>
            <w:noWrap w:val="0"/>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报价范围</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s="宋体"/>
                <w:color w:val="auto"/>
                <w:kern w:val="0"/>
                <w:szCs w:val="21"/>
                <w:lang w:val="en-US" w:eastAsia="zh-CN"/>
              </w:rPr>
              <w:t xml:space="preserve">供应商所报总价应包括其履行本项目合同（如果成交）所需的所有费用，包括但不限于所投入的全部人工成本、管理费、利润和税金等。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szCs w:val="21"/>
              </w:rPr>
              <w:t>项目属性</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olor w:val="auto"/>
                <w:szCs w:val="21"/>
              </w:rPr>
              <w:t>货物</w:t>
            </w:r>
            <w:r>
              <w:rPr>
                <w:rFonts w:hint="eastAsia" w:hAnsi="宋体"/>
                <w:color w:val="auto"/>
                <w:szCs w:val="21"/>
              </w:rPr>
              <w:sym w:font="Wingdings" w:char="F0FE"/>
            </w:r>
            <w:r>
              <w:rPr>
                <w:rFonts w:hint="eastAsia" w:hAnsi="宋体"/>
                <w:color w:val="auto"/>
                <w:szCs w:val="21"/>
              </w:rPr>
              <w:t xml:space="preserve">      </w:t>
            </w:r>
            <w:r>
              <w:rPr>
                <w:rFonts w:hint="eastAsia" w:ascii="宋体" w:hAnsi="宋体"/>
                <w:color w:val="auto"/>
                <w:szCs w:val="21"/>
              </w:rPr>
              <w:t>服务</w:t>
            </w:r>
            <w:r>
              <w:rPr>
                <w:rFonts w:hint="eastAsia" w:hAnsi="宋体"/>
                <w:color w:val="auto"/>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r>
              <w:rPr>
                <w:rFonts w:hint="eastAsia" w:ascii="宋体" w:hAnsi="宋体" w:cs="宋体"/>
                <w:kern w:val="0"/>
                <w:szCs w:val="21"/>
                <w:lang w:eastAsia="zh-CN"/>
              </w:rPr>
              <w:t>（</w:t>
            </w:r>
            <w:r>
              <w:rPr>
                <w:rFonts w:hint="eastAsia" w:ascii="宋体" w:hAnsi="宋体" w:cs="宋体"/>
                <w:kern w:val="0"/>
                <w:szCs w:val="21"/>
                <w:lang w:val="en-US" w:eastAsia="zh-CN"/>
              </w:rPr>
              <w:t>有效期短于该规定期限的投标无效）</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color w:val="auto"/>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color w:val="auto"/>
                <w:szCs w:val="21"/>
                <w:lang w:val="en-US" w:eastAsia="zh-CN"/>
              </w:rPr>
              <w:t>2</w:t>
            </w:r>
            <w:r>
              <w:rPr>
                <w:rFonts w:hint="eastAsia" w:ascii="宋体" w:hAnsi="宋体" w:cs="宋体"/>
                <w:color w:val="auto"/>
                <w:szCs w:val="21"/>
                <w:lang w:eastAsia="zh-CN"/>
              </w:rPr>
              <w:t>万</w:t>
            </w:r>
            <w:r>
              <w:rPr>
                <w:rFonts w:hint="eastAsia" w:ascii="宋体" w:hAnsi="宋体" w:cs="宋体"/>
                <w:color w:val="auto"/>
                <w:szCs w:val="21"/>
              </w:rPr>
              <w:t>元</w:t>
            </w:r>
            <w:r>
              <w:rPr>
                <w:rFonts w:hint="eastAsia" w:ascii="宋体" w:hAnsi="宋体" w:cs="宋体"/>
                <w:b/>
                <w:bCs/>
                <w:color w:val="auto"/>
                <w:szCs w:val="21"/>
              </w:rPr>
              <w:t>（暂不缴纳）</w:t>
            </w:r>
          </w:p>
          <w:p>
            <w:pPr>
              <w:spacing w:line="400" w:lineRule="exact"/>
              <w:rPr>
                <w:rFonts w:hint="eastAsia" w:ascii="宋体" w:hAnsi="宋体" w:cs="宋体"/>
                <w:szCs w:val="21"/>
              </w:rPr>
            </w:pPr>
            <w:r>
              <w:rPr>
                <w:rFonts w:hint="eastAsia" w:ascii="宋体" w:hAnsi="宋体" w:cs="宋体"/>
                <w:color w:val="auto"/>
                <w:szCs w:val="21"/>
              </w:rPr>
              <w:t>2.供应商有下列情形之一的</w:t>
            </w:r>
            <w:r>
              <w:rPr>
                <w:rFonts w:hint="eastAsia" w:ascii="宋体" w:hAnsi="宋体" w:cs="宋体"/>
                <w:szCs w:val="21"/>
              </w:rPr>
              <w:t>，采购人将追索</w:t>
            </w:r>
            <w:r>
              <w:rPr>
                <w:rFonts w:hint="eastAsia" w:ascii="宋体" w:hAnsi="宋体" w:cs="宋体"/>
                <w:kern w:val="0"/>
                <w:szCs w:val="21"/>
              </w:rPr>
              <w:t>磋商</w:t>
            </w:r>
            <w:r>
              <w:rPr>
                <w:rFonts w:hint="eastAsia" w:ascii="宋体" w:hAnsi="宋体" w:cs="宋体"/>
                <w:szCs w:val="21"/>
              </w:rPr>
              <w:t>保</w:t>
            </w:r>
            <w:r>
              <w:rPr>
                <w:rFonts w:hint="eastAsia" w:ascii="宋体" w:hAnsi="宋体" w:cs="宋体"/>
                <w:color w:val="auto"/>
                <w:szCs w:val="21"/>
              </w:rPr>
              <w:t>证金人民币</w:t>
            </w:r>
            <w:r>
              <w:rPr>
                <w:rFonts w:hint="eastAsia" w:ascii="宋体" w:hAnsi="宋体" w:cs="宋体"/>
                <w:b/>
                <w:bCs/>
                <w:color w:val="auto"/>
                <w:kern w:val="0"/>
                <w:szCs w:val="21"/>
                <w:lang w:val="en-US" w:eastAsia="zh-CN"/>
              </w:rPr>
              <w:t>2</w:t>
            </w:r>
            <w:r>
              <w:rPr>
                <w:rFonts w:hint="eastAsia" w:ascii="宋体" w:hAnsi="宋体" w:cs="宋体"/>
                <w:b/>
                <w:bCs/>
                <w:color w:val="auto"/>
                <w:kern w:val="0"/>
                <w:szCs w:val="21"/>
                <w:lang w:eastAsia="zh-CN"/>
              </w:rPr>
              <w:t>万元</w:t>
            </w:r>
            <w:r>
              <w:rPr>
                <w:rFonts w:hint="eastAsia" w:ascii="宋体" w:hAnsi="宋体" w:cs="宋体"/>
                <w:color w:val="auto"/>
                <w:szCs w:val="21"/>
              </w:rPr>
              <w:t>，</w:t>
            </w:r>
            <w:r>
              <w:rPr>
                <w:rFonts w:hint="eastAsia" w:ascii="宋体" w:hAnsi="宋体" w:cs="宋体"/>
                <w:b/>
                <w:bCs/>
                <w:color w:val="auto"/>
                <w:szCs w:val="21"/>
              </w:rPr>
              <w:t>并予以没收</w:t>
            </w:r>
            <w:r>
              <w:rPr>
                <w:rFonts w:hint="eastAsia" w:ascii="宋体" w:hAnsi="宋体" w:cs="宋体"/>
                <w:color w:val="auto"/>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00" w:lineRule="exact"/>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5</w:t>
            </w:r>
            <w:r>
              <w:rPr>
                <w:rFonts w:hint="eastAsia" w:ascii="宋体" w:hAnsi="宋体" w:cs="宋体"/>
                <w:szCs w:val="21"/>
                <w:lang w:eastAsia="zh-CN"/>
              </w:rPr>
              <w:t>）磋商文件及相关法律法规规定的其他情形</w:t>
            </w:r>
            <w:r>
              <w:rPr>
                <w:rFonts w:hint="eastAsia" w:ascii="宋体" w:hAnsi="宋体" w:cs="宋体"/>
                <w:szCs w:val="21"/>
              </w:rPr>
              <w:t>。</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8"/>
              <w:spacing w:before="1" w:line="440" w:lineRule="exact"/>
              <w:ind w:left="108"/>
              <w:jc w:val="center"/>
              <w:rPr>
                <w:rFonts w:hint="eastAsia" w:ascii="宋体" w:hAnsi="宋体" w:cs="宋体"/>
                <w:color w:val="auto"/>
                <w:kern w:val="0"/>
                <w:szCs w:val="21"/>
              </w:rPr>
            </w:pPr>
            <w:r>
              <w:rPr>
                <w:rFonts w:hint="eastAsia" w:ascii="宋体" w:hAnsi="宋体" w:cs="宋体"/>
                <w:color w:val="auto"/>
                <w:sz w:val="21"/>
                <w:szCs w:val="21"/>
              </w:rPr>
              <w:t>响应文件的递交</w:t>
            </w:r>
          </w:p>
        </w:tc>
        <w:tc>
          <w:tcPr>
            <w:tcW w:w="6563" w:type="dxa"/>
            <w:noWrap w:val="0"/>
            <w:vAlign w:val="center"/>
          </w:tcPr>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 xml:space="preserve">1、本项目为不见面开标，加密电子响应性文件须在响应性文件提交截 止时间前通过“焦作市公共资源交易中心”网站-交易平台加密上传。除电子响应性文件外，磋商时不再接受任何纸质文件、资料等。 </w:t>
            </w:r>
          </w:p>
          <w:p>
            <w:pPr>
              <w:keepNext w:val="0"/>
              <w:keepLines w:val="0"/>
              <w:widowControl/>
              <w:suppressLineNumbers w:val="0"/>
              <w:jc w:val="left"/>
              <w:rPr>
                <w:rFonts w:hint="eastAsia" w:ascii="宋体" w:hAnsi="宋体" w:cs="宋体"/>
                <w:color w:val="auto"/>
                <w:kern w:val="0"/>
                <w:szCs w:val="21"/>
              </w:rPr>
            </w:pPr>
            <w:r>
              <w:rPr>
                <w:rFonts w:hint="eastAsia" w:ascii="宋体" w:hAnsi="宋体" w:eastAsia="宋体" w:cs="宋体"/>
                <w:color w:val="auto"/>
                <w:kern w:val="0"/>
                <w:sz w:val="21"/>
                <w:szCs w:val="21"/>
                <w:lang w:val="en-US" w:eastAsia="zh-CN" w:bidi="ar"/>
              </w:rPr>
              <w:t>2、未在响应性文件提交截止时间前完成上传加密电子响应性文件的视为逾期送达。逾期上传或未按规定方式上传加密的电子响应性文件</w:t>
            </w:r>
            <w:r>
              <w:rPr>
                <w:rFonts w:hint="eastAsia" w:ascii="宋体" w:hAnsi="宋体" w:cs="宋体"/>
                <w:color w:val="auto"/>
                <w:kern w:val="0"/>
                <w:sz w:val="21"/>
                <w:szCs w:val="21"/>
                <w:lang w:val="en-US" w:eastAsia="zh-CN" w:bidi="ar"/>
              </w:rPr>
              <w:t>的</w:t>
            </w:r>
            <w:r>
              <w:rPr>
                <w:rFonts w:hint="eastAsia" w:ascii="宋体" w:hAnsi="宋体" w:eastAsia="宋体" w:cs="宋体"/>
                <w:color w:val="auto"/>
                <w:kern w:val="0"/>
                <w:sz w:val="21"/>
                <w:szCs w:val="21"/>
                <w:lang w:val="en-US" w:eastAsia="zh-CN" w:bidi="ar"/>
              </w:rPr>
              <w:t xml:space="preserve">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37"/>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）由磋商小组采用综合评分法对提交最后报价的供应商的响应文件和最后报价进行综合评分并出具评审报告。</w:t>
            </w:r>
          </w:p>
          <w:p>
            <w:pPr>
              <w:pStyle w:val="14"/>
              <w:spacing w:line="400" w:lineRule="exact"/>
              <w:ind w:firstLine="422" w:firstLineChars="200"/>
              <w:rPr>
                <w:rFonts w:hint="eastAsia"/>
                <w:b/>
                <w:bCs/>
                <w:kern w:val="2"/>
                <w:szCs w:val="21"/>
              </w:rPr>
            </w:pPr>
            <w:r>
              <w:rPr>
                <w:rFonts w:hint="eastAsia"/>
                <w:b/>
                <w:bCs/>
                <w:kern w:val="2"/>
                <w:szCs w:val="21"/>
              </w:rPr>
              <w:t>备注：1.</w:t>
            </w:r>
            <w:r>
              <w:rPr>
                <w:rFonts w:hint="eastAsia" w:ascii="宋体" w:hAnsi="宋体" w:eastAsia="宋体" w:cs="宋体"/>
                <w:b/>
                <w:bCs/>
                <w:kern w:val="0"/>
                <w:sz w:val="21"/>
                <w:szCs w:val="21"/>
                <w:lang w:eastAsia="zh-CN"/>
              </w:rPr>
              <w:t>多包项目的，</w:t>
            </w:r>
            <w:r>
              <w:rPr>
                <w:rFonts w:hint="eastAsia" w:ascii="宋体" w:hAnsi="宋体" w:cs="宋体"/>
                <w:b/>
                <w:bCs/>
                <w:kern w:val="0"/>
                <w:sz w:val="21"/>
                <w:szCs w:val="21"/>
                <w:lang w:eastAsia="zh-CN"/>
              </w:rPr>
              <w:t>磋商</w:t>
            </w:r>
            <w:r>
              <w:rPr>
                <w:rFonts w:hint="eastAsia" w:ascii="宋体" w:hAnsi="宋体" w:eastAsia="宋体" w:cs="宋体"/>
                <w:b/>
                <w:bCs/>
                <w:kern w:val="0"/>
                <w:sz w:val="21"/>
                <w:szCs w:val="21"/>
                <w:lang w:eastAsia="zh-CN"/>
              </w:rPr>
              <w:t>会议将按包的顺序依次进行，请各</w:t>
            </w:r>
            <w:r>
              <w:rPr>
                <w:rFonts w:hint="eastAsia" w:ascii="宋体" w:hAnsi="宋体" w:cs="宋体"/>
                <w:b/>
                <w:bCs/>
                <w:kern w:val="0"/>
                <w:sz w:val="21"/>
                <w:szCs w:val="21"/>
                <w:lang w:eastAsia="zh-CN"/>
              </w:rPr>
              <w:t>供应商</w:t>
            </w:r>
            <w:r>
              <w:rPr>
                <w:rFonts w:hint="eastAsia" w:ascii="宋体" w:hAnsi="宋体" w:eastAsia="宋体" w:cs="宋体"/>
                <w:b/>
                <w:bCs/>
                <w:kern w:val="0"/>
                <w:sz w:val="21"/>
                <w:szCs w:val="21"/>
                <w:lang w:eastAsia="zh-CN"/>
              </w:rPr>
              <w:t>时刻关注焦作市不见面开标大厅系统。</w:t>
            </w:r>
          </w:p>
          <w:p>
            <w:pPr>
              <w:pStyle w:val="14"/>
              <w:spacing w:line="400" w:lineRule="exact"/>
              <w:ind w:firstLine="422" w:firstLineChars="200"/>
              <w:rPr>
                <w:rFonts w:hint="eastAsia" w:ascii="宋体" w:hAnsi="宋体" w:cs="宋体"/>
                <w:kern w:val="2"/>
                <w:szCs w:val="21"/>
              </w:rPr>
            </w:pPr>
            <w:r>
              <w:rPr>
                <w:rFonts w:hint="eastAsia"/>
                <w:b/>
                <w:bCs/>
                <w:kern w:val="2"/>
                <w:szCs w:val="21"/>
                <w:lang w:val="en-US" w:eastAsia="zh-CN"/>
              </w:rPr>
              <w:t>2.</w:t>
            </w:r>
            <w:r>
              <w:rPr>
                <w:rFonts w:hint="eastAsia"/>
                <w:b/>
                <w:bCs/>
                <w:kern w:val="2"/>
                <w:szCs w:val="21"/>
              </w:rPr>
              <w:t>供应商在规定时间内需通过焦作市公共资源交易平台进行二轮报价（最后报价），未在规定时间内提交二轮报价（最后报价）的视为放弃本次磋商。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14</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磋商小组的组成</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rPr>
              <w:t>由采购人代表和评审专家共3人及以上单数组成，其中评审专家人数不得少于磋商小组成员总数的2/3。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6</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eastAsia="zh-CN"/>
              </w:rPr>
            </w:pPr>
            <w:r>
              <w:rPr>
                <w:rFonts w:hint="eastAsia" w:ascii="宋体" w:hAnsi="宋体"/>
                <w:bCs/>
                <w:color w:val="auto"/>
                <w:sz w:val="21"/>
                <w:szCs w:val="21"/>
              </w:rPr>
              <w:t>在货物采购项目中，货物由中小企业制造，即货物由中小企业生产且使用该中小企业商号或者注册商标</w:t>
            </w:r>
            <w:r>
              <w:rPr>
                <w:rFonts w:hint="eastAsia" w:ascii="宋体" w:hAnsi="宋体"/>
                <w:bCs/>
                <w:color w:val="auto"/>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w:t>
            </w:r>
            <w:r>
              <w:rPr>
                <w:rFonts w:hint="eastAsia" w:ascii="宋体" w:hAnsi="宋体"/>
                <w:bCs/>
                <w:color w:val="auto"/>
                <w:sz w:val="21"/>
                <w:szCs w:val="21"/>
              </w:rPr>
              <w:t>提供的货物既有中小企业制造货物，也有大型企业制造货物的，不享受本</w:t>
            </w:r>
            <w:r>
              <w:rPr>
                <w:rFonts w:hint="eastAsia" w:ascii="宋体" w:hAnsi="宋体"/>
                <w:bCs/>
                <w:color w:val="auto"/>
                <w:sz w:val="21"/>
                <w:szCs w:val="21"/>
                <w:lang w:eastAsia="zh-CN"/>
              </w:rPr>
              <w:t>竞争性磋商文件</w:t>
            </w:r>
            <w:r>
              <w:rPr>
                <w:rFonts w:hint="eastAsia" w:ascii="宋体" w:hAnsi="宋体"/>
                <w:bCs/>
                <w:color w:val="auto"/>
                <w:sz w:val="21"/>
                <w:szCs w:val="21"/>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供应商应当按照竞争性磋商文件的规定出具《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440" w:lineRule="exact"/>
              <w:ind w:firstLine="424" w:firstLineChars="202"/>
              <w:jc w:val="left"/>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是否属于中小企业，监狱企业和残疾人福利性单位视同小型、微型企业。不属于中小企业、监狱企业或残疾人福利性单位的拒绝参与本项目</w:t>
            </w:r>
            <w:r>
              <w:rPr>
                <w:rFonts w:hint="eastAsia" w:ascii="宋体" w:hAnsi="宋体"/>
                <w:b/>
                <w:bCs w:val="0"/>
                <w:sz w:val="21"/>
                <w:szCs w:val="21"/>
                <w:lang w:eastAsia="zh-CN"/>
              </w:rPr>
              <w:t>磋商</w:t>
            </w:r>
            <w:r>
              <w:rPr>
                <w:rFonts w:hint="eastAsia" w:ascii="宋体" w:hAnsi="宋体" w:eastAsia="宋体"/>
                <w:b/>
                <w:bCs w:val="0"/>
                <w:sz w:val="21"/>
                <w:szCs w:val="21"/>
                <w:lang w:eastAsia="zh-CN"/>
              </w:rPr>
              <w:t>。</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eastAsia="宋体"/>
                <w:color w:val="auto"/>
                <w:lang w:eastAsia="zh-CN"/>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其他必要内容</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1.本项目中如涉及商品包装和快递包装的，其包装需求标准应不低于《关于印发&lt;商 品包装政府采购需求标准（试行）&gt;、&lt;快递包装政府采购需求标准（试行）&gt;的通 知》（财办库〔2020〕123 号）规定的包装要求，</w:t>
            </w:r>
            <w:r>
              <w:rPr>
                <w:rFonts w:hint="eastAsia" w:ascii="宋体" w:hAnsi="宋体" w:cs="宋体"/>
                <w:color w:val="auto"/>
                <w:kern w:val="0"/>
                <w:szCs w:val="21"/>
                <w:lang w:val="en-US" w:eastAsia="zh-CN"/>
              </w:rPr>
              <w:t>其他包装需求详见采购文件</w:t>
            </w:r>
            <w:r>
              <w:rPr>
                <w:rFonts w:hint="eastAsia" w:ascii="宋体" w:hAnsi="宋体" w:cs="宋体"/>
                <w:kern w:val="0"/>
                <w:szCs w:val="21"/>
                <w:lang w:val="en-US" w:eastAsia="zh-CN"/>
              </w:rPr>
              <w:t xml:space="preserve">。采购人、中标/成交人双方签订合同及验收环节，应包含上述包装要求的条款。 </w:t>
            </w:r>
          </w:p>
          <w:p>
            <w:pPr>
              <w:spacing w:line="360" w:lineRule="auto"/>
              <w:ind w:firstLine="420" w:firstLineChars="200"/>
              <w:rPr>
                <w:rFonts w:hint="eastAsia" w:ascii="宋体" w:hAnsi="宋体" w:cs="宋体"/>
                <w:kern w:val="0"/>
                <w:szCs w:val="21"/>
                <w:lang w:val="en-US" w:eastAsia="zh-CN"/>
              </w:rPr>
            </w:pPr>
            <w:r>
              <w:rPr>
                <w:rFonts w:hint="eastAsia" w:ascii="宋体" w:hAnsi="宋体" w:cs="宋体"/>
                <w:kern w:val="0"/>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rPr>
                <w:rFonts w:hint="eastAsia" w:ascii="宋体" w:hAnsi="宋体" w:cs="宋体"/>
                <w:kern w:val="0"/>
                <w:szCs w:val="21"/>
              </w:rPr>
            </w:pPr>
            <w:r>
              <w:rPr>
                <w:rFonts w:hint="eastAsia" w:ascii="宋体" w:hAnsi="宋体" w:cs="宋体"/>
                <w:kern w:val="0"/>
                <w:szCs w:val="21"/>
              </w:rPr>
              <w:t>本竞争性磋商文件解释权归采购人或其委托的采购代理机构</w:t>
            </w:r>
            <w:r>
              <w:rPr>
                <w:rFonts w:hint="eastAsia" w:ascii="宋体" w:hAnsi="宋体" w:cs="宋体"/>
                <w:kern w:val="0"/>
                <w:szCs w:val="21"/>
                <w:lang w:eastAsia="zh-CN"/>
              </w:rPr>
              <w:t>，</w:t>
            </w:r>
            <w:r>
              <w:rPr>
                <w:rFonts w:hint="eastAsia" w:ascii="宋体" w:hAnsi="宋体" w:cs="宋体"/>
                <w:kern w:val="0"/>
                <w:szCs w:val="21"/>
              </w:rPr>
              <w:t>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w:t>
            </w:r>
          </w:p>
          <w:p>
            <w:pPr>
              <w:spacing w:line="460" w:lineRule="exact"/>
              <w:jc w:val="center"/>
              <w:rPr>
                <w:rFonts w:hint="eastAsia" w:ascii="宋体" w:hAnsi="宋体" w:cs="宋体"/>
                <w:kern w:val="0"/>
                <w:szCs w:val="21"/>
              </w:rPr>
            </w:pPr>
            <w:r>
              <w:rPr>
                <w:rFonts w:hint="eastAsia" w:ascii="宋体" w:hAnsi="宋体" w:cs="宋体"/>
                <w:kern w:val="0"/>
                <w:szCs w:val="21"/>
              </w:rPr>
              <w:t>服务费</w:t>
            </w:r>
          </w:p>
        </w:tc>
        <w:tc>
          <w:tcPr>
            <w:tcW w:w="6563" w:type="dxa"/>
            <w:noWrap w:val="0"/>
            <w:vAlign w:val="center"/>
          </w:tcPr>
          <w:p>
            <w:pPr>
              <w:spacing w:line="360" w:lineRule="auto"/>
              <w:rPr>
                <w:rFonts w:hint="eastAsia" w:ascii="宋体" w:hAnsi="宋体" w:cs="宋体"/>
                <w:color w:val="auto"/>
                <w:szCs w:val="21"/>
              </w:rPr>
            </w:pPr>
            <w:r>
              <w:rPr>
                <w:rFonts w:hint="eastAsia" w:ascii="宋体" w:hAnsi="宋体" w:cs="宋体"/>
                <w:szCs w:val="21"/>
              </w:rPr>
              <w:t>本</w:t>
            </w:r>
            <w:r>
              <w:rPr>
                <w:rFonts w:hint="eastAsia" w:ascii="宋体" w:hAnsi="宋体" w:cs="宋体"/>
                <w:color w:val="auto"/>
                <w:szCs w:val="21"/>
              </w:rPr>
              <w:t>项目收取代理服务费：</w:t>
            </w:r>
          </w:p>
          <w:p>
            <w:pPr>
              <w:spacing w:line="360" w:lineRule="auto"/>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rPr>
              <w:t>代理服务费用</w:t>
            </w:r>
            <w:r>
              <w:rPr>
                <w:rFonts w:hint="eastAsia" w:ascii="宋体" w:hAnsi="宋体" w:cs="宋体"/>
                <w:color w:val="auto"/>
                <w:szCs w:val="21"/>
                <w:lang w:eastAsia="zh-CN"/>
              </w:rPr>
              <w:t>：参照豫招协[2023]002号《河南省招标代理服务收费指导意见》中的标准收取，向采购代理机构交纳代理服务费。</w:t>
            </w:r>
          </w:p>
          <w:p>
            <w:pPr>
              <w:spacing w:line="360" w:lineRule="auto"/>
              <w:rPr>
                <w:rFonts w:hint="eastAsia" w:ascii="宋体" w:hAnsi="宋体" w:eastAsia="宋体" w:cs="宋体"/>
                <w:szCs w:val="21"/>
                <w:lang w:val="en-US" w:eastAsia="zh-CN"/>
              </w:rPr>
            </w:pPr>
            <w:r>
              <w:rPr>
                <w:rFonts w:hint="eastAsia" w:ascii="宋体" w:hAnsi="宋体" w:cs="宋体"/>
                <w:szCs w:val="21"/>
                <w:lang w:val="en-US" w:eastAsia="zh-CN"/>
              </w:rPr>
              <w:t>2.</w:t>
            </w:r>
            <w:r>
              <w:rPr>
                <w:rFonts w:hint="eastAsia" w:ascii="宋体" w:hAnsi="宋体" w:cs="宋体"/>
                <w:szCs w:val="21"/>
              </w:rPr>
              <w:t>支付方式：</w:t>
            </w:r>
            <w:r>
              <w:rPr>
                <w:rFonts w:hint="eastAsia" w:ascii="宋体" w:hAnsi="宋体" w:cs="宋体"/>
                <w:szCs w:val="21"/>
                <w:lang w:eastAsia="zh-CN"/>
              </w:rPr>
              <w:t>现金或转账。</w:t>
            </w:r>
          </w:p>
          <w:p>
            <w:pPr>
              <w:spacing w:line="360" w:lineRule="auto"/>
              <w:rPr>
                <w:rFonts w:hint="eastAsia" w:eastAsia="宋体"/>
                <w:lang w:eastAsia="zh-CN"/>
              </w:rPr>
            </w:pPr>
            <w:r>
              <w:rPr>
                <w:rFonts w:hint="eastAsia" w:ascii="宋体" w:hAnsi="宋体" w:cs="宋体"/>
                <w:szCs w:val="21"/>
              </w:rPr>
              <w:t>3.采购代理机构代理服务费由</w:t>
            </w:r>
            <w:r>
              <w:rPr>
                <w:rFonts w:hint="eastAsia" w:ascii="宋体" w:hAnsi="宋体" w:cs="宋体"/>
                <w:szCs w:val="21"/>
                <w:lang w:val="en-US" w:eastAsia="zh-CN"/>
              </w:rPr>
              <w:t>成交供应商</w:t>
            </w:r>
            <w:r>
              <w:rPr>
                <w:rFonts w:hint="eastAsia" w:ascii="宋体" w:hAnsi="宋体" w:cs="宋体"/>
                <w:szCs w:val="21"/>
              </w:rPr>
              <w:t>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75" w:type="dxa"/>
            <w:gridSpan w:val="3"/>
            <w:noWrap w:val="0"/>
            <w:vAlign w:val="center"/>
          </w:tcPr>
          <w:p>
            <w:pPr>
              <w:jc w:val="center"/>
              <w:rPr>
                <w:rFonts w:ascii="宋体" w:hAnsi="宋体" w:cs="宋体"/>
                <w:b/>
                <w:sz w:val="32"/>
              </w:rPr>
            </w:pPr>
            <w:bookmarkStart w:id="12" w:name="_Toc461962050"/>
            <w:r>
              <w:rPr>
                <w:rFonts w:hint="eastAsia" w:ascii="宋体" w:hAnsi="宋体" w:cs="宋体"/>
                <w:b/>
                <w:sz w:val="32"/>
              </w:rPr>
              <w:t>采购代理机构代理费用的收取标准</w:t>
            </w:r>
          </w:p>
          <w:p>
            <w:pPr>
              <w:autoSpaceDN w:val="0"/>
              <w:spacing w:before="75" w:after="75" w:line="360" w:lineRule="auto"/>
              <w:jc w:val="center"/>
              <w:rPr>
                <w:rFonts w:ascii="宋体" w:hAnsi="宋体" w:cs="宋体"/>
                <w:b/>
                <w:sz w:val="32"/>
              </w:rPr>
            </w:pPr>
            <w:r>
              <w:rPr>
                <w:rFonts w:hint="eastAsia" w:ascii="宋体" w:hAnsi="宋体" w:cs="宋体"/>
                <w:b/>
                <w:sz w:val="32"/>
              </w:rPr>
              <w:drawing>
                <wp:inline distT="0" distB="0" distL="114300" distR="114300">
                  <wp:extent cx="5601335" cy="3116580"/>
                  <wp:effectExtent l="0" t="0" r="12065" b="7620"/>
                  <wp:docPr id="1" name="图片 1"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河南省招标代理服务收费计算标准.png河南省招标代理服务收费计算标准"/>
                          <pic:cNvPicPr>
                            <a:picLocks noChangeAspect="1"/>
                          </pic:cNvPicPr>
                        </pic:nvPicPr>
                        <pic:blipFill>
                          <a:blip r:embed="rId21"/>
                          <a:stretch>
                            <a:fillRect/>
                          </a:stretch>
                        </pic:blipFill>
                        <pic:spPr>
                          <a:xfrm>
                            <a:off x="0" y="0"/>
                            <a:ext cx="5601335" cy="3116580"/>
                          </a:xfrm>
                          <a:prstGeom prst="rect">
                            <a:avLst/>
                          </a:prstGeom>
                          <a:noFill/>
                          <a:ln>
                            <a:noFill/>
                          </a:ln>
                        </pic:spPr>
                      </pic:pic>
                    </a:graphicData>
                  </a:graphic>
                </wp:inline>
              </w:drawing>
            </w:r>
          </w:p>
          <w:p>
            <w:pPr>
              <w:autoSpaceDN w:val="0"/>
              <w:spacing w:before="75" w:after="75" w:line="360" w:lineRule="auto"/>
              <w:rPr>
                <w:rFonts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ascii="宋体" w:hAnsi="宋体" w:cs="宋体"/>
                <w:szCs w:val="21"/>
              </w:rPr>
            </w:pPr>
            <w:r>
              <w:rPr>
                <w:rFonts w:hint="eastAsia" w:ascii="宋体" w:hAnsi="宋体" w:cs="宋体"/>
                <w:szCs w:val="21"/>
              </w:rPr>
              <w:t>100万元×1.7%=1.7万元</w:t>
            </w:r>
          </w:p>
          <w:p>
            <w:pPr>
              <w:autoSpaceDN w:val="0"/>
              <w:spacing w:before="75" w:after="75" w:line="360" w:lineRule="auto"/>
              <w:rPr>
                <w:rFonts w:ascii="宋体" w:hAnsi="宋体" w:cs="宋体"/>
                <w:szCs w:val="21"/>
              </w:rPr>
            </w:pPr>
            <w:r>
              <w:rPr>
                <w:rFonts w:hint="eastAsia" w:ascii="宋体" w:hAnsi="宋体" w:cs="宋体"/>
                <w:szCs w:val="21"/>
              </w:rPr>
              <w:t>（500-100）万元×1.2%=4.8万元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合计收费=1.7+4.8=6.5万元</w:t>
            </w:r>
          </w:p>
        </w:tc>
      </w:tr>
      <w:bookmarkEnd w:id="5"/>
      <w:bookmarkEnd w:id="6"/>
      <w:bookmarkEnd w:id="7"/>
      <w:bookmarkEnd w:id="8"/>
      <w:bookmarkEnd w:id="9"/>
    </w:tbl>
    <w:p>
      <w:pPr>
        <w:rPr>
          <w:rFonts w:hint="eastAsia" w:ascii="宋体" w:hAnsi="宋体" w:cs="宋体"/>
          <w:b/>
          <w:sz w:val="32"/>
        </w:rPr>
      </w:pPr>
    </w:p>
    <w:bookmarkEnd w:id="12"/>
    <w:p>
      <w:pPr>
        <w:pStyle w:val="4"/>
        <w:spacing w:before="0" w:after="0" w:line="240" w:lineRule="auto"/>
        <w:jc w:val="center"/>
        <w:rPr>
          <w:rFonts w:hint="eastAsia" w:ascii="宋体" w:hAnsi="宋体" w:eastAsia="宋体" w:cs="宋体"/>
        </w:rPr>
      </w:pPr>
      <w:bookmarkStart w:id="13" w:name="_Toc373230023"/>
      <w:bookmarkStart w:id="14" w:name="_Toc490161260"/>
      <w:bookmarkStart w:id="15" w:name="_Toc26492"/>
      <w:bookmarkStart w:id="16" w:name="_Toc487805903"/>
      <w:bookmarkStart w:id="17" w:name="_Toc374512410"/>
      <w:bookmarkStart w:id="18" w:name="_Toc477423243"/>
      <w:bookmarkStart w:id="19" w:name="_Toc461962051"/>
      <w:bookmarkStart w:id="20" w:name="_Toc2200"/>
      <w:r>
        <w:rPr>
          <w:rFonts w:hint="eastAsia" w:ascii="宋体" w:hAnsi="宋体" w:eastAsia="宋体" w:cs="宋体"/>
        </w:rPr>
        <w:t>一、总则</w:t>
      </w:r>
      <w:bookmarkEnd w:id="13"/>
      <w:bookmarkEnd w:id="14"/>
      <w:bookmarkEnd w:id="15"/>
      <w:bookmarkEnd w:id="16"/>
      <w:bookmarkEnd w:id="17"/>
      <w:bookmarkEnd w:id="18"/>
      <w:bookmarkEnd w:id="19"/>
      <w:bookmarkEnd w:id="20"/>
    </w:p>
    <w:p>
      <w:pPr>
        <w:numPr>
          <w:ilvl w:val="0"/>
          <w:numId w:val="4"/>
        </w:numPr>
        <w:tabs>
          <w:tab w:val="left" w:pos="424"/>
        </w:tabs>
        <w:spacing w:line="440" w:lineRule="exact"/>
        <w:ind w:left="284" w:leftChars="0" w:hanging="284" w:firstLineChars="0"/>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本磋商文件仅适用于竞争性磋商</w:t>
      </w:r>
      <w:r>
        <w:rPr>
          <w:rFonts w:hint="eastAsia" w:ascii="宋体" w:hAnsi="宋体" w:cs="宋体"/>
          <w:szCs w:val="21"/>
          <w:lang w:eastAsia="zh-CN"/>
        </w:rPr>
        <w:t>文件中第一章竞争性磋商公告</w:t>
      </w:r>
      <w:r>
        <w:rPr>
          <w:rFonts w:hint="eastAsia" w:ascii="宋体" w:hAnsi="宋体" w:cs="宋体"/>
          <w:szCs w:val="21"/>
        </w:rPr>
        <w:t>所述的项目。</w:t>
      </w:r>
    </w:p>
    <w:p>
      <w:pPr>
        <w:numPr>
          <w:ilvl w:val="0"/>
          <w:numId w:val="4"/>
        </w:numPr>
        <w:tabs>
          <w:tab w:val="left" w:pos="424"/>
        </w:tabs>
        <w:spacing w:line="440" w:lineRule="exact"/>
        <w:ind w:left="284" w:leftChars="0" w:hanging="284" w:firstLineChars="0"/>
        <w:rPr>
          <w:rFonts w:hint="eastAsia" w:ascii="宋体" w:hAnsi="宋体" w:cs="宋体"/>
          <w:b/>
          <w:bCs/>
          <w:szCs w:val="21"/>
        </w:rPr>
      </w:pPr>
      <w:r>
        <w:rPr>
          <w:rFonts w:hint="eastAsia" w:ascii="宋体" w:hAnsi="宋体" w:cs="宋体"/>
          <w:b/>
          <w:szCs w:val="21"/>
        </w:rPr>
        <w:t>定义</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 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“供应商”是指响应磋商、参加磋商竞争的法人、其他组织或者自然人</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合格的供应商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符合《中华人民共和国政府采购法》第二十二条规定的条件。</w:t>
      </w:r>
    </w:p>
    <w:p>
      <w:pPr>
        <w:pStyle w:val="80"/>
        <w:spacing w:line="440" w:lineRule="exact"/>
        <w:ind w:firstLine="420" w:firstLineChars="200"/>
        <w:rPr>
          <w:rFonts w:hint="eastAsia"/>
          <w:sz w:val="21"/>
          <w:szCs w:val="21"/>
        </w:rPr>
      </w:pPr>
      <w:r>
        <w:rPr>
          <w:rFonts w:hint="eastAsia"/>
          <w:sz w:val="21"/>
          <w:szCs w:val="21"/>
        </w:rPr>
        <w:t>3.1.1具有有效的“设立登记证书”；</w:t>
      </w:r>
    </w:p>
    <w:p>
      <w:pPr>
        <w:pStyle w:val="80"/>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80"/>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80"/>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80"/>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80"/>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w:t>
      </w:r>
      <w:r>
        <w:rPr>
          <w:rFonts w:hint="eastAsia" w:hAnsi="宋体" w:cs="宋体"/>
          <w:bCs/>
          <w:color w:val="auto"/>
          <w:kern w:val="2"/>
          <w:sz w:val="21"/>
          <w:szCs w:val="21"/>
          <w:lang w:val="en-US" w:eastAsia="zh-CN"/>
        </w:rPr>
        <w:t>2</w:t>
      </w:r>
      <w:r>
        <w:rPr>
          <w:rFonts w:hint="eastAsia" w:hAnsi="宋体" w:cs="宋体"/>
          <w:bCs/>
          <w:color w:val="auto"/>
          <w:kern w:val="2"/>
          <w:sz w:val="21"/>
          <w:szCs w:val="21"/>
        </w:rPr>
        <w:t>年度财务审计报告（新成立企业不足一年的，提供最近一个月的财务报表。）或其基本开户银行出具的资信证明。</w:t>
      </w:r>
    </w:p>
    <w:p>
      <w:pPr>
        <w:pStyle w:val="80"/>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80"/>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80"/>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80"/>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符合本磋商文件规定的资格要求及项目要求的其它条件，并按照要求提供相关证明材料。</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供应商应遵守国家法律、法规和有关政府采购的规定。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已按竞争性磋商公告要求获取竞争性磋商文件的。</w:t>
      </w:r>
    </w:p>
    <w:p>
      <w:pPr>
        <w:numPr>
          <w:ilvl w:val="1"/>
          <w:numId w:val="4"/>
        </w:numPr>
        <w:spacing w:line="440" w:lineRule="exact"/>
        <w:ind w:left="0" w:leftChars="0" w:firstLine="425" w:firstLineChars="0"/>
        <w:rPr>
          <w:rFonts w:hint="eastAsia" w:ascii="宋体" w:hAnsi="宋体" w:cs="宋体"/>
          <w:b/>
          <w:bCs/>
          <w:szCs w:val="21"/>
        </w:rPr>
      </w:pPr>
      <w:r>
        <w:rPr>
          <w:rFonts w:hint="eastAsia" w:ascii="宋体" w:hAnsi="宋体" w:cs="宋体"/>
          <w:b/>
          <w:bCs/>
          <w:szCs w:val="21"/>
        </w:rPr>
        <w:t>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numPr>
          <w:ilvl w:val="1"/>
          <w:numId w:val="4"/>
        </w:numPr>
        <w:spacing w:line="440" w:lineRule="exact"/>
        <w:ind w:left="0" w:leftChars="0" w:firstLine="425" w:firstLineChars="0"/>
        <w:rPr>
          <w:rFonts w:hint="eastAsia" w:ascii="宋体" w:hAnsi="宋体" w:cs="宋体"/>
          <w:b w:val="0"/>
          <w:bCs w:val="0"/>
          <w:szCs w:val="21"/>
        </w:rPr>
      </w:pPr>
      <w:r>
        <w:rPr>
          <w:rFonts w:hint="eastAsia" w:ascii="宋体" w:hAnsi="宋体" w:cs="宋体"/>
          <w:b w:val="0"/>
          <w:bCs w:val="0"/>
          <w:szCs w:val="21"/>
        </w:rPr>
        <w:t>单位负责人为同一人或者存在直接控股、管理关系的不同供应商，不得参加同一合同项下的政府采购活动。</w:t>
      </w:r>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需要落实的政府采购政策：见供应商须知前附表</w:t>
      </w:r>
    </w:p>
    <w:p>
      <w:pPr>
        <w:pStyle w:val="4"/>
        <w:spacing w:line="440" w:lineRule="exact"/>
        <w:jc w:val="center"/>
        <w:rPr>
          <w:rFonts w:hint="eastAsia" w:ascii="宋体" w:hAnsi="宋体" w:eastAsia="宋体" w:cs="宋体"/>
          <w:sz w:val="21"/>
          <w:szCs w:val="21"/>
        </w:rPr>
      </w:pPr>
      <w:bookmarkStart w:id="21" w:name="_Toc477423244"/>
      <w:bookmarkStart w:id="22" w:name="_Toc12084"/>
      <w:bookmarkStart w:id="23" w:name="_Toc490161261"/>
      <w:bookmarkStart w:id="24" w:name="_Toc487805904"/>
      <w:bookmarkStart w:id="25" w:name="_Toc374512411"/>
      <w:bookmarkStart w:id="26" w:name="_Toc461962052"/>
      <w:bookmarkStart w:id="27" w:name="_Toc23018"/>
      <w:bookmarkStart w:id="28" w:name="_Toc373230024"/>
      <w:r>
        <w:rPr>
          <w:rFonts w:hint="eastAsia" w:ascii="宋体" w:hAnsi="宋体" w:eastAsia="宋体" w:cs="宋体"/>
          <w:sz w:val="21"/>
          <w:szCs w:val="21"/>
        </w:rPr>
        <w:t>二、磋商文件</w:t>
      </w:r>
      <w:bookmarkEnd w:id="21"/>
      <w:bookmarkEnd w:id="22"/>
      <w:bookmarkEnd w:id="23"/>
      <w:bookmarkEnd w:id="24"/>
      <w:bookmarkEnd w:id="25"/>
      <w:bookmarkEnd w:id="26"/>
      <w:bookmarkEnd w:id="27"/>
      <w:bookmarkEnd w:id="28"/>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磋商文件的组成</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磋商文件的澄清或修改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4"/>
        </w:numPr>
        <w:spacing w:line="440" w:lineRule="exact"/>
        <w:ind w:left="284" w:leftChars="0" w:hanging="284" w:firstLineChars="0"/>
        <w:rPr>
          <w:rFonts w:ascii="宋体" w:hAnsi="宋体" w:cs="宋体"/>
          <w:b/>
          <w:szCs w:val="21"/>
        </w:rPr>
      </w:pPr>
      <w:r>
        <w:rPr>
          <w:rFonts w:hint="eastAsia" w:ascii="宋体" w:hAnsi="宋体" w:cs="宋体"/>
          <w:b/>
          <w:szCs w:val="21"/>
        </w:rPr>
        <w:t>磋商文件的约束力</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供应商一旦获取了本磋商文件并参加磋商，即被认为对本磋商文件中的所有条件和规定均无异议。</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lang w:val="en-US" w:eastAsia="zh-CN"/>
        </w:rPr>
        <w:t>供应商如认为本</w:t>
      </w:r>
      <w:r>
        <w:rPr>
          <w:rFonts w:hint="eastAsia" w:ascii="宋体" w:hAnsi="宋体" w:cs="宋体"/>
          <w:szCs w:val="21"/>
        </w:rPr>
        <w:t>磋商</w:t>
      </w:r>
      <w:r>
        <w:rPr>
          <w:rFonts w:hint="eastAsia" w:ascii="宋体" w:hAnsi="宋体" w:cs="宋体"/>
          <w:szCs w:val="21"/>
          <w:lang w:val="en-US" w:eastAsia="zh-CN"/>
        </w:rPr>
        <w:t>文件含有倾向性或排斥潜在供应商的条款而使自己的权益受到损害的，请以书面形式向采购人或采购代理机构提出，否则，将视为对本磋商文件要求无任何异议，并不得因此在响应文件提交截</w:t>
      </w:r>
      <w:r>
        <w:rPr>
          <w:rFonts w:hint="eastAsia" w:ascii="宋体" w:hAnsi="宋体" w:cs="宋体"/>
          <w:szCs w:val="21"/>
        </w:rPr>
        <w:t>止时间</w:t>
      </w:r>
      <w:r>
        <w:rPr>
          <w:rFonts w:hint="eastAsia" w:ascii="宋体" w:hAnsi="宋体" w:cs="宋体"/>
          <w:szCs w:val="21"/>
          <w:lang w:val="en-US" w:eastAsia="zh-CN"/>
        </w:rPr>
        <w:t xml:space="preserve">后提出任何异议。 </w:t>
      </w:r>
    </w:p>
    <w:p>
      <w:pPr>
        <w:pStyle w:val="4"/>
        <w:numPr>
          <w:ilvl w:val="0"/>
          <w:numId w:val="5"/>
        </w:numPr>
        <w:spacing w:line="440" w:lineRule="exact"/>
        <w:jc w:val="center"/>
        <w:rPr>
          <w:rFonts w:hint="eastAsia" w:ascii="宋体" w:hAnsi="宋体" w:eastAsia="宋体" w:cs="宋体"/>
          <w:sz w:val="21"/>
          <w:szCs w:val="21"/>
        </w:rPr>
      </w:pPr>
      <w:bookmarkStart w:id="29" w:name="_Toc461962053"/>
      <w:bookmarkStart w:id="30" w:name="_Toc26181"/>
      <w:bookmarkStart w:id="31" w:name="_Toc477423245"/>
      <w:bookmarkStart w:id="32" w:name="_Toc490161262"/>
      <w:bookmarkStart w:id="33" w:name="_Toc374512412"/>
      <w:bookmarkStart w:id="34" w:name="_Toc487805905"/>
      <w:bookmarkStart w:id="35" w:name="_Toc373230025"/>
      <w:bookmarkStart w:id="36" w:name="_Toc6048"/>
      <w:r>
        <w:rPr>
          <w:rFonts w:hint="eastAsia" w:ascii="宋体" w:hAnsi="宋体" w:eastAsia="宋体" w:cs="宋体"/>
          <w:sz w:val="21"/>
          <w:szCs w:val="21"/>
        </w:rPr>
        <w:t>响应文件的编制</w:t>
      </w:r>
      <w:bookmarkEnd w:id="29"/>
      <w:bookmarkEnd w:id="30"/>
      <w:bookmarkEnd w:id="31"/>
      <w:bookmarkEnd w:id="32"/>
      <w:bookmarkEnd w:id="33"/>
      <w:bookmarkEnd w:id="34"/>
      <w:bookmarkEnd w:id="35"/>
      <w:bookmarkEnd w:id="36"/>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要求</w:t>
      </w:r>
    </w:p>
    <w:p>
      <w:pPr>
        <w:numPr>
          <w:ilvl w:val="1"/>
          <w:numId w:val="4"/>
        </w:numPr>
        <w:spacing w:line="440" w:lineRule="exact"/>
        <w:ind w:left="0" w:leftChars="0" w:firstLine="425" w:firstLineChars="0"/>
        <w:rPr>
          <w:rFonts w:hint="eastAsia" w:ascii="宋体" w:hAnsi="宋体" w:cs="宋体"/>
          <w:szCs w:val="21"/>
          <w:lang w:eastAsia="zh-CN"/>
        </w:rPr>
      </w:pPr>
      <w:r>
        <w:rPr>
          <w:rFonts w:hint="eastAsia" w:ascii="宋体" w:hAnsi="宋体" w:cs="宋体"/>
          <w:szCs w:val="21"/>
        </w:rPr>
        <w:t>供应商应仔细阅读、并充分理解磋商文件的所有内容，按照磋商文件的要求编制、提交响应文件。</w:t>
      </w:r>
      <w:r>
        <w:rPr>
          <w:rFonts w:hint="eastAsia" w:ascii="宋体" w:hAnsi="宋体" w:cs="宋体"/>
          <w:szCs w:val="21"/>
          <w:lang w:eastAsia="zh-CN"/>
        </w:rPr>
        <w:tab/>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供应商与采购人、采购代理机构的任何口头协议均不影响磋商文件、响应文件的任何条款和内容。</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响应文件的语言及度量衡单位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响应文件的组成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报价</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报价范围：见投标人须知前附表。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响应性文件中的报价并非最后报价，在磋商结束后由供应商在规定时间内提交最后报价，磋商小组根据供应商的综合得分确定成交供应商，成交供应商其最后的报价为成交价。</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磋商货币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磋商保证金:见供应商须知前附表。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响应文件的编制、签署、盖章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16.1.3</w:t>
      </w:r>
      <w:r>
        <w:rPr>
          <w:rFonts w:hint="eastAsia" w:hAnsi="宋体"/>
          <w:szCs w:val="21"/>
        </w:rPr>
        <w:t>加密电子响应文件未按本竞争性磋商文件中响应文件格式要求加盖电子签章的视为无效文件。</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供应商应完整地填写竞争性磋商文件中规定的所有内容。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供应商必须保证响应文件所提供的全部资料真实可靠。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如果因为供应商响应文件填报的内容不详，或没有提供磋商文件中所要求的全部资料及数据，由此造成的后果，其责任由供应商自行承担。</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本竞争性磋商文件所表述（指定）的公章是指法人（供应商）行政公章，不包括专用章，并应与电子签章保持一致。</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电报、电话、传真等形式的响应概不接受。</w:t>
      </w:r>
    </w:p>
    <w:p>
      <w:pPr>
        <w:pStyle w:val="4"/>
        <w:spacing w:line="440" w:lineRule="exact"/>
        <w:jc w:val="center"/>
        <w:rPr>
          <w:rFonts w:hint="eastAsia" w:ascii="宋体" w:hAnsi="宋体" w:eastAsia="宋体" w:cs="宋体"/>
          <w:sz w:val="21"/>
          <w:szCs w:val="21"/>
        </w:rPr>
      </w:pPr>
      <w:bookmarkStart w:id="37" w:name="_Toc461962054"/>
      <w:bookmarkStart w:id="38" w:name="_Toc373230026"/>
      <w:bookmarkStart w:id="39" w:name="_Toc487805906"/>
      <w:bookmarkStart w:id="40" w:name="_Toc374512413"/>
      <w:bookmarkStart w:id="41" w:name="_Toc477423246"/>
      <w:bookmarkStart w:id="42" w:name="_Toc27919"/>
      <w:bookmarkStart w:id="43" w:name="_Toc10798"/>
      <w:bookmarkStart w:id="44" w:name="_Toc490161263"/>
      <w:r>
        <w:rPr>
          <w:rFonts w:hint="eastAsia" w:ascii="宋体" w:hAnsi="宋体" w:eastAsia="宋体" w:cs="宋体"/>
          <w:sz w:val="21"/>
          <w:szCs w:val="21"/>
        </w:rPr>
        <w:t>四、响应文件的提交</w:t>
      </w:r>
      <w:bookmarkEnd w:id="37"/>
      <w:bookmarkEnd w:id="38"/>
      <w:bookmarkEnd w:id="39"/>
      <w:bookmarkEnd w:id="40"/>
      <w:bookmarkEnd w:id="41"/>
      <w:bookmarkEnd w:id="42"/>
      <w:bookmarkEnd w:id="43"/>
      <w:bookmarkEnd w:id="44"/>
    </w:p>
    <w:p>
      <w:pPr>
        <w:numPr>
          <w:ilvl w:val="0"/>
          <w:numId w:val="4"/>
        </w:numPr>
        <w:spacing w:line="440" w:lineRule="exact"/>
        <w:ind w:left="284" w:leftChars="0" w:hanging="284" w:firstLineChars="0"/>
        <w:rPr>
          <w:rFonts w:hint="eastAsia" w:ascii="宋体" w:hAnsi="宋体" w:cs="宋体"/>
          <w:szCs w:val="21"/>
        </w:rPr>
      </w:pPr>
      <w:r>
        <w:rPr>
          <w:rFonts w:hint="eastAsia" w:ascii="宋体" w:hAnsi="宋体" w:cs="宋体"/>
          <w:b/>
          <w:szCs w:val="21"/>
        </w:rPr>
        <w:t>响应文件的提交：</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所有响应文件必须在本磋商文件中规定的响应文件截止时间之前提前上传响应文件，并在响应文件开启截止时间前登录不见面开标大厅，按要求解密响应文件，不能按时上传、解密者视为自动放弃磋商；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采购人拒绝接收在响应文件递交截止时间后上传的响应文件。</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响应文件提交的截止时间</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响应文件的修改与撤回</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供应商在响应文件递交截止时间后不得修改、撤回响应文件。</w:t>
      </w:r>
    </w:p>
    <w:p>
      <w:pPr>
        <w:pStyle w:val="4"/>
        <w:spacing w:line="440" w:lineRule="exact"/>
        <w:jc w:val="center"/>
        <w:rPr>
          <w:rFonts w:hint="eastAsia" w:ascii="宋体" w:hAnsi="宋体" w:eastAsia="宋体" w:cs="宋体"/>
          <w:sz w:val="21"/>
          <w:szCs w:val="21"/>
        </w:rPr>
      </w:pPr>
      <w:bookmarkStart w:id="45" w:name="_Toc217235123"/>
      <w:bookmarkStart w:id="46" w:name="_Toc461962055"/>
      <w:bookmarkStart w:id="47" w:name="_Toc373230027"/>
      <w:bookmarkStart w:id="48" w:name="_Toc374512414"/>
      <w:bookmarkStart w:id="49" w:name="_Toc490161264"/>
      <w:bookmarkStart w:id="50" w:name="_Toc477423247"/>
      <w:bookmarkStart w:id="51" w:name="_Toc9653"/>
      <w:bookmarkStart w:id="52" w:name="_Toc487805907"/>
      <w:bookmarkStart w:id="53" w:name="_Toc6236"/>
      <w:r>
        <w:rPr>
          <w:rFonts w:hint="eastAsia" w:ascii="宋体" w:hAnsi="宋体" w:eastAsia="宋体" w:cs="宋体"/>
          <w:sz w:val="21"/>
          <w:szCs w:val="21"/>
        </w:rPr>
        <w:t>五、磋商</w:t>
      </w:r>
      <w:bookmarkEnd w:id="45"/>
      <w:bookmarkEnd w:id="46"/>
      <w:bookmarkEnd w:id="47"/>
      <w:bookmarkEnd w:id="48"/>
      <w:r>
        <w:rPr>
          <w:rFonts w:hint="eastAsia" w:ascii="宋体" w:hAnsi="宋体" w:eastAsia="宋体" w:cs="宋体"/>
          <w:sz w:val="21"/>
          <w:szCs w:val="21"/>
        </w:rPr>
        <w:t>和评审</w:t>
      </w:r>
      <w:bookmarkEnd w:id="49"/>
      <w:bookmarkEnd w:id="50"/>
      <w:bookmarkEnd w:id="51"/>
      <w:bookmarkEnd w:id="52"/>
      <w:bookmarkEnd w:id="53"/>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4"/>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供应商逾期上传电子响应文件的；</w:t>
      </w:r>
    </w:p>
    <w:p>
      <w:pPr>
        <w:numPr>
          <w:ilvl w:val="1"/>
          <w:numId w:val="4"/>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供应商未按规定的时间内解密响应文件的；</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磋商小组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w:t>
      </w:r>
      <w:r>
        <w:rPr>
          <w:rFonts w:hint="eastAsia" w:ascii="宋体" w:hAnsi="宋体" w:cs="宋体"/>
          <w:szCs w:val="21"/>
          <w:lang w:eastAsia="zh-CN"/>
        </w:rPr>
        <w:t>的组成：详见供应商须知前附表；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r>
        <w:rPr>
          <w:rFonts w:hint="eastAsia" w:ascii="宋体" w:hAnsi="宋体" w:cs="宋体"/>
          <w:szCs w:val="21"/>
          <w:lang w:eastAsia="zh-CN"/>
        </w:rPr>
        <w:t>；</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cs="宋体"/>
          <w:color w:val="auto"/>
          <w:szCs w:val="21"/>
          <w:lang w:val="en-US" w:eastAsia="zh-CN"/>
        </w:rPr>
        <w:t>响应</w:t>
      </w:r>
      <w:r>
        <w:rPr>
          <w:rFonts w:hint="eastAsia" w:ascii="宋体" w:hAnsi="宋体" w:eastAsia="宋体" w:cs="宋体"/>
          <w:color w:val="auto"/>
          <w:szCs w:val="21"/>
          <w:lang w:val="en-US" w:eastAsia="zh-CN"/>
        </w:rPr>
        <w:t xml:space="preserve">文件制作机器码一致的；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szCs w:val="21"/>
          <w:lang w:eastAsia="zh-CN"/>
        </w:rPr>
        <w:t>（</w:t>
      </w:r>
      <w:r>
        <w:rPr>
          <w:rFonts w:hint="eastAsia" w:ascii="宋体" w:hAnsi="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w:t>
      </w:r>
      <w:r>
        <w:rPr>
          <w:rFonts w:hint="eastAsia" w:ascii="宋体" w:hAnsi="宋体" w:eastAsia="宋体" w:cs="宋体"/>
          <w:color w:val="auto"/>
          <w:szCs w:val="21"/>
        </w:rPr>
        <w:t>目</w:t>
      </w:r>
      <w:r>
        <w:rPr>
          <w:rFonts w:hint="eastAsia" w:ascii="宋体" w:hAnsi="宋体" w:eastAsia="宋体" w:cs="宋体"/>
          <w:b/>
          <w:bCs/>
          <w:color w:val="auto"/>
          <w:szCs w:val="21"/>
          <w:lang w:eastAsia="zh-CN"/>
        </w:rPr>
        <w:t>最高限价</w:t>
      </w:r>
      <w:r>
        <w:rPr>
          <w:rFonts w:hint="eastAsia" w:ascii="宋体" w:hAnsi="宋体" w:eastAsia="宋体" w:cs="宋体"/>
          <w:color w:val="auto"/>
          <w:szCs w:val="21"/>
        </w:rPr>
        <w:t>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3</w:t>
      </w:r>
      <w:r>
        <w:rPr>
          <w:rFonts w:hint="eastAsia" w:ascii="宋体" w:hAnsi="宋体" w:eastAsia="宋体" w:cs="宋体"/>
          <w:color w:val="auto"/>
          <w:szCs w:val="21"/>
          <w:lang w:eastAsia="zh-CN"/>
        </w:rPr>
        <w:t>）</w:t>
      </w:r>
      <w:r>
        <w:rPr>
          <w:rFonts w:hint="eastAsia" w:ascii="宋体" w:hAnsi="宋体" w:eastAsia="宋体" w:cs="宋体"/>
          <w:color w:val="auto"/>
          <w:szCs w:val="21"/>
        </w:rPr>
        <w:t>响应文件未按磋商文件要求签字、盖章的</w:t>
      </w:r>
      <w:r>
        <w:rPr>
          <w:rFonts w:hint="eastAsia" w:ascii="宋体" w:hAnsi="宋体" w:eastAsia="宋体" w:cs="宋体"/>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5</w:t>
      </w:r>
      <w:r>
        <w:rPr>
          <w:rFonts w:hint="eastAsia" w:ascii="宋体" w:hAnsi="宋体" w:eastAsia="宋体" w:cs="宋体"/>
          <w:color w:val="auto"/>
          <w:szCs w:val="21"/>
          <w:lang w:eastAsia="zh-CN"/>
        </w:rPr>
        <w:t>）</w:t>
      </w:r>
      <w:r>
        <w:rPr>
          <w:rFonts w:hint="eastAsia" w:ascii="宋体" w:hAnsi="宋体" w:eastAsia="宋体" w:cs="宋体"/>
          <w:color w:val="auto"/>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6</w:t>
      </w:r>
      <w:r>
        <w:rPr>
          <w:rFonts w:hint="eastAsia" w:ascii="宋体" w:hAnsi="宋体" w:eastAsia="宋体" w:cs="宋体"/>
          <w:color w:val="auto"/>
          <w:szCs w:val="21"/>
          <w:lang w:eastAsia="zh-CN"/>
        </w:rPr>
        <w:t>）不响应磋商文件第五章采购需求中技术要求的；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9</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逾期上传响应文件的；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在规定的响应文件递交截止时间之前，提交合格的撤回通知的；</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响应文件的澄清</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color w:val="auto"/>
          <w:szCs w:val="21"/>
          <w:lang w:eastAsia="zh-CN"/>
        </w:rPr>
        <w:t>第一轮</w:t>
      </w:r>
      <w:r>
        <w:rPr>
          <w:rFonts w:hint="eastAsia" w:ascii="宋体" w:hAnsi="宋体" w:cs="宋体"/>
          <w:color w:val="auto"/>
          <w:szCs w:val="21"/>
        </w:rPr>
        <w:t>报价出现</w:t>
      </w:r>
      <w:r>
        <w:rPr>
          <w:rFonts w:hint="eastAsia" w:ascii="宋体" w:hAnsi="宋体" w:cs="宋体"/>
          <w:szCs w:val="21"/>
        </w:rPr>
        <w:t>不一致的，按照下列规定修正：</w:t>
      </w:r>
    </w:p>
    <w:p>
      <w:pPr>
        <w:numPr>
          <w:ilvl w:val="0"/>
          <w:numId w:val="6"/>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6"/>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6"/>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4"/>
        </w:numPr>
        <w:spacing w:line="440" w:lineRule="exact"/>
        <w:ind w:left="284" w:leftChars="0" w:hanging="284" w:firstLineChars="0"/>
        <w:rPr>
          <w:rFonts w:hint="eastAsia" w:ascii="宋体" w:hAnsi="宋体" w:cs="宋体"/>
          <w:b/>
          <w:szCs w:val="21"/>
        </w:rPr>
      </w:pPr>
      <w:bookmarkStart w:id="54" w:name="_Toc373230028"/>
      <w:bookmarkStart w:id="55" w:name="_Toc374512415"/>
      <w:r>
        <w:rPr>
          <w:rFonts w:hint="eastAsia" w:ascii="宋体" w:hAnsi="宋体" w:cs="宋体"/>
          <w:b/>
          <w:szCs w:val="21"/>
        </w:rPr>
        <w:t>评审方法</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56" w:name="_Toc32423"/>
      <w:r>
        <w:rPr>
          <w:rFonts w:hint="eastAsia" w:ascii="宋体" w:hAnsi="宋体" w:cs="宋体"/>
          <w:szCs w:val="21"/>
        </w:rPr>
        <w:t>《政府采购竞争性磋商采购方式管理暂行办法</w:t>
      </w:r>
      <w:bookmarkEnd w:id="56"/>
      <w:r>
        <w:rPr>
          <w:rFonts w:hint="eastAsia" w:ascii="宋体" w:hAnsi="宋体" w:cs="宋体"/>
          <w:szCs w:val="21"/>
        </w:rPr>
        <w:t>》第三条第四项情形的，提交最后报价的供应商可以为2家</w:t>
      </w:r>
      <w:bookmarkStart w:id="57" w:name="_Toc5652"/>
      <w:r>
        <w:rPr>
          <w:rFonts w:hint="eastAsia" w:ascii="宋体" w:hAnsi="宋体" w:cs="宋体"/>
          <w:szCs w:val="21"/>
        </w:rPr>
        <w:t>或符合《财政部关于政府采购竞争性磋商采购方式管理暂行办法有关问题的补充通知</w:t>
      </w:r>
      <w:bookmarkEnd w:id="57"/>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比较与评价</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评审标准：见本文件第三章；</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保密及其他注意事项</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7"/>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7"/>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7"/>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4"/>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58" w:name="_Toc477423248"/>
      <w:bookmarkStart w:id="59" w:name="_Toc490161265"/>
      <w:bookmarkStart w:id="60" w:name="_Toc5841"/>
      <w:bookmarkStart w:id="61" w:name="_Toc487805908"/>
      <w:bookmarkStart w:id="62" w:name="_Toc19608"/>
      <w:r>
        <w:rPr>
          <w:rFonts w:hint="eastAsia" w:ascii="宋体" w:hAnsi="宋体" w:eastAsia="宋体" w:cs="宋体"/>
          <w:sz w:val="21"/>
          <w:szCs w:val="21"/>
        </w:rPr>
        <w:t>六、成交和合同</w:t>
      </w:r>
      <w:bookmarkEnd w:id="58"/>
      <w:bookmarkEnd w:id="59"/>
      <w:bookmarkEnd w:id="60"/>
      <w:bookmarkEnd w:id="61"/>
      <w:bookmarkEnd w:id="62"/>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成交通知</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成交通知书将作为签订合同的依据。</w:t>
      </w:r>
    </w:p>
    <w:p>
      <w:pPr>
        <w:numPr>
          <w:ilvl w:val="1"/>
          <w:numId w:val="4"/>
        </w:numPr>
        <w:spacing w:line="440" w:lineRule="exact"/>
        <w:ind w:left="0" w:leftChars="0" w:firstLine="425" w:firstLineChars="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54"/>
    <w:bookmarkEnd w:id="55"/>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签订合同及合同的执行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采购人与成交供应商应当在成交通知书发出之日起30日内（供应商须知前附表另有规定者从其规定），签订政府采购合同。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磋商文件及修改文件、成交供应商的响应文件、补充或修改的文件及澄清或承诺文件等，均为双方签订合同的组成部分，并与合同一并作为本磋商所列采购项目的互补性法律文件，与合同具有同等法律效力；</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成交供应商应在采购合同签订之日起</w:t>
      </w:r>
      <w:r>
        <w:rPr>
          <w:rFonts w:hint="eastAsia" w:ascii="宋体" w:hAnsi="宋体" w:cs="宋体"/>
          <w:szCs w:val="21"/>
          <w:lang w:eastAsia="zh-CN"/>
        </w:rPr>
        <w:t>七</w:t>
      </w:r>
      <w:r>
        <w:rPr>
          <w:rFonts w:hint="eastAsia" w:ascii="宋体" w:hAnsi="宋体" w:cs="宋体"/>
          <w:szCs w:val="21"/>
        </w:rPr>
        <w:t>个工作日内将合同报武陟县</w:t>
      </w:r>
      <w:r>
        <w:rPr>
          <w:rFonts w:hint="eastAsia" w:ascii="宋体" w:hAnsi="宋体" w:cs="宋体"/>
          <w:szCs w:val="21"/>
          <w:lang w:eastAsia="zh-CN"/>
        </w:rPr>
        <w:t>财政综合服务中心</w:t>
      </w:r>
      <w:r>
        <w:rPr>
          <w:rFonts w:hint="eastAsia" w:ascii="宋体" w:hAnsi="宋体" w:cs="宋体"/>
          <w:szCs w:val="21"/>
        </w:rPr>
        <w:t>政府采购</w:t>
      </w:r>
      <w:r>
        <w:rPr>
          <w:rFonts w:hint="eastAsia" w:ascii="宋体" w:hAnsi="宋体" w:cs="宋体"/>
          <w:szCs w:val="21"/>
          <w:lang w:eastAsia="zh-CN"/>
        </w:rPr>
        <w:t>股</w:t>
      </w:r>
      <w:r>
        <w:rPr>
          <w:rFonts w:hint="eastAsia" w:ascii="宋体" w:hAnsi="宋体" w:cs="宋体"/>
          <w:szCs w:val="21"/>
        </w:rPr>
        <w:t>备案；</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合同双方如违约，将按《中华人民共和国民法典》、《中华人民共和国政府采购法》及有关法律法规中的规定执行。</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根据《政府采购促进中小企业发展管理办法》规定，成交供应商为小微企业的不得将合同分包给大中型企业，成交供应商为中型企业的不得将合同分包给大型企业。</w:t>
      </w:r>
    </w:p>
    <w:p>
      <w:pPr>
        <w:numPr>
          <w:ilvl w:val="0"/>
          <w:numId w:val="4"/>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color w:val="auto"/>
          <w:szCs w:val="21"/>
        </w:rPr>
        <w:fldChar w:fldCharType="begin"/>
      </w:r>
      <w:r>
        <w:rPr>
          <w:rFonts w:hint="eastAsia" w:ascii="宋体" w:hAnsi="宋体" w:cs="宋体"/>
          <w:color w:val="auto"/>
          <w:szCs w:val="21"/>
        </w:rPr>
        <w:instrText xml:space="preserve">HYPERLINK "http://download.ccgp.gov.cn/2018/zhiyihanfanben.zip"</w:instrText>
      </w:r>
      <w:r>
        <w:rPr>
          <w:rFonts w:hint="eastAsia" w:ascii="宋体" w:hAnsi="宋体" w:cs="宋体"/>
          <w:color w:val="auto"/>
          <w:szCs w:val="21"/>
        </w:rPr>
        <w:fldChar w:fldCharType="separate"/>
      </w:r>
      <w:r>
        <w:rPr>
          <w:rFonts w:hint="eastAsia" w:ascii="宋体" w:hAnsi="宋体" w:cs="宋体"/>
          <w:color w:val="auto"/>
          <w:szCs w:val="21"/>
        </w:rPr>
        <w:t>政府采购供应商质疑函范本</w:t>
      </w:r>
      <w:r>
        <w:rPr>
          <w:rFonts w:hint="eastAsia" w:ascii="宋体" w:hAnsi="宋体" w:cs="宋体"/>
          <w:color w:val="auto"/>
          <w:szCs w:val="21"/>
        </w:rPr>
        <w:fldChar w:fldCharType="end"/>
      </w:r>
      <w:r>
        <w:rPr>
          <w:rFonts w:hint="eastAsia" w:ascii="宋体" w:hAnsi="宋体" w:cs="宋体"/>
          <w:color w:val="auto"/>
          <w:szCs w:val="21"/>
        </w:rPr>
        <w:t>”，并附相关证明材料。否则，采购人或采购代理机构不予受理, 质疑文件及相关证明材料一式</w:t>
      </w:r>
      <w:r>
        <w:rPr>
          <w:rFonts w:hint="eastAsia" w:ascii="宋体" w:hAnsi="宋体" w:cs="宋体"/>
          <w:color w:val="auto"/>
          <w:szCs w:val="21"/>
          <w:lang w:eastAsia="zh-CN"/>
        </w:rPr>
        <w:t>两</w:t>
      </w:r>
      <w:r>
        <w:rPr>
          <w:rFonts w:hint="eastAsia" w:ascii="宋体" w:hAnsi="宋体" w:cs="宋体"/>
          <w:color w:val="auto"/>
          <w:szCs w:val="21"/>
        </w:rPr>
        <w:t>份，采购</w:t>
      </w:r>
      <w:r>
        <w:rPr>
          <w:rFonts w:hint="eastAsia" w:ascii="宋体" w:hAnsi="宋体" w:cs="宋体"/>
          <w:szCs w:val="21"/>
        </w:rPr>
        <w:t>人、采购代理机构各执一份。</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质疑供应商对采购人或采购代理机构的答复不满意以及采购人或采购代理机构未在规定的时间内做出答复的，可以在答复期满后15个工作日内向同级财政部门投诉。</w:t>
      </w:r>
    </w:p>
    <w:p>
      <w:pPr>
        <w:numPr>
          <w:ilvl w:val="1"/>
          <w:numId w:val="4"/>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供应商应以书面方式将质疑函分别送至采购人、采购代理机构；</w:t>
      </w:r>
    </w:p>
    <w:p>
      <w:pPr>
        <w:spacing w:line="440" w:lineRule="exact"/>
        <w:ind w:left="284"/>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采购人名称：</w:t>
      </w:r>
      <w:r>
        <w:rPr>
          <w:rFonts w:hint="eastAsia" w:ascii="宋体" w:hAnsi="宋体" w:cs="宋体"/>
          <w:color w:val="auto"/>
          <w:szCs w:val="21"/>
          <w:highlight w:val="none"/>
          <w:lang w:val="en-US" w:eastAsia="zh-CN"/>
        </w:rPr>
        <w:t>武陟县城市管理局</w:t>
      </w:r>
      <w:r>
        <w:rPr>
          <w:rFonts w:hint="eastAsia" w:ascii="宋体" w:hAnsi="宋体" w:cs="宋体"/>
          <w:color w:val="auto"/>
          <w:szCs w:val="21"/>
          <w:highlight w:val="none"/>
          <w:lang w:val="en-US" w:eastAsia="zh-CN"/>
        </w:rPr>
        <w:tab/>
      </w:r>
    </w:p>
    <w:p>
      <w:pPr>
        <w:spacing w:line="440" w:lineRule="exact"/>
        <w:ind w:left="284" w:firstLine="210" w:firstLineChars="1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地点：</w:t>
      </w:r>
      <w:r>
        <w:rPr>
          <w:rFonts w:hint="eastAsia" w:ascii="宋体" w:hAnsi="宋体" w:cs="宋体"/>
          <w:color w:val="auto"/>
          <w:szCs w:val="21"/>
          <w:highlight w:val="none"/>
          <w:lang w:val="en-US" w:eastAsia="zh-CN"/>
        </w:rPr>
        <w:t>武陟县工业路14号楼</w:t>
      </w:r>
    </w:p>
    <w:p>
      <w:pPr>
        <w:spacing w:line="440" w:lineRule="exact"/>
        <w:ind w:left="283" w:leftChars="135" w:firstLine="210" w:firstLineChars="1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许建国</w:t>
      </w:r>
    </w:p>
    <w:p>
      <w:pPr>
        <w:spacing w:line="440" w:lineRule="exact"/>
        <w:ind w:left="283" w:leftChars="135" w:firstLine="210" w:firstLineChars="1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联系电话：</w:t>
      </w:r>
      <w:r>
        <w:rPr>
          <w:rFonts w:hint="eastAsia" w:ascii="宋体" w:hAnsi="宋体" w:cs="宋体"/>
          <w:color w:val="auto"/>
          <w:szCs w:val="21"/>
          <w:highlight w:val="none"/>
          <w:lang w:val="en-US" w:eastAsia="zh-CN"/>
        </w:rPr>
        <w:t>13839115801</w:t>
      </w:r>
    </w:p>
    <w:p>
      <w:pPr>
        <w:spacing w:line="440" w:lineRule="exact"/>
        <w:ind w:left="284"/>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采购代理机构名称：</w:t>
      </w:r>
      <w:r>
        <w:rPr>
          <w:rFonts w:hint="eastAsia" w:ascii="宋体" w:hAnsi="宋体" w:cs="宋体"/>
          <w:color w:val="auto"/>
          <w:szCs w:val="21"/>
          <w:highlight w:val="none"/>
          <w:lang w:val="en-US" w:eastAsia="zh-CN"/>
        </w:rPr>
        <w:t>河南众成工程管理有限公司</w:t>
      </w:r>
    </w:p>
    <w:p>
      <w:pPr>
        <w:spacing w:line="440" w:lineRule="exact"/>
        <w:ind w:left="284" w:firstLine="210" w:firstLineChars="1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地点：郑州市金水区青年路145号6号楼14层1408号</w:t>
      </w:r>
    </w:p>
    <w:p>
      <w:pPr>
        <w:spacing w:line="440" w:lineRule="exact"/>
        <w:ind w:left="284" w:firstLine="210" w:firstLineChars="1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逯安琪</w:t>
      </w:r>
    </w:p>
    <w:p>
      <w:pPr>
        <w:spacing w:line="440" w:lineRule="exact"/>
        <w:ind w:left="284" w:firstLine="211" w:firstLineChars="100"/>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rPr>
        <w:t>联系电话：</w:t>
      </w:r>
      <w:r>
        <w:rPr>
          <w:rFonts w:hint="eastAsia" w:ascii="宋体" w:hAnsi="宋体" w:cs="宋体"/>
          <w:b/>
          <w:bCs/>
          <w:color w:val="auto"/>
          <w:szCs w:val="21"/>
          <w:highlight w:val="none"/>
          <w:lang w:val="en-US" w:eastAsia="zh-CN"/>
        </w:rPr>
        <w:t>15139167846</w:t>
      </w:r>
    </w:p>
    <w:p>
      <w:pPr>
        <w:numPr>
          <w:ilvl w:val="0"/>
          <w:numId w:val="4"/>
        </w:numPr>
        <w:spacing w:line="440" w:lineRule="exact"/>
        <w:ind w:left="284" w:leftChars="0" w:hanging="284" w:firstLineChars="0"/>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rPr>
          <w:rFonts w:hint="eastAsia" w:ascii="宋体" w:hAnsi="宋体" w:cs="宋体"/>
        </w:rPr>
      </w:pPr>
      <w:bookmarkStart w:id="63" w:name="_Toc11289"/>
      <w:bookmarkStart w:id="64" w:name="_Toc8874"/>
      <w:bookmarkStart w:id="65" w:name="_Toc3621"/>
      <w:bookmarkStart w:id="66" w:name="_Toc477423249"/>
      <w:bookmarkStart w:id="67" w:name="_Toc373230030"/>
      <w:bookmarkStart w:id="68" w:name="_Toc374512417"/>
      <w:r>
        <w:rPr>
          <w:rFonts w:hint="eastAsia" w:ascii="宋体" w:hAnsi="宋体" w:cs="宋体"/>
        </w:rPr>
        <w:br w:type="page"/>
      </w:r>
    </w:p>
    <w:p>
      <w:pPr>
        <w:pStyle w:val="35"/>
        <w:numPr>
          <w:ilvl w:val="0"/>
          <w:numId w:val="1"/>
        </w:numPr>
        <w:spacing w:before="0" w:after="0" w:line="360" w:lineRule="auto"/>
        <w:ind w:firstLine="0"/>
        <w:rPr>
          <w:rFonts w:hint="eastAsia" w:ascii="宋体" w:hAnsi="宋体" w:cs="宋体"/>
        </w:rPr>
      </w:pPr>
      <w:r>
        <w:rPr>
          <w:rFonts w:hint="eastAsia" w:ascii="宋体" w:hAnsi="宋体" w:cs="宋体"/>
        </w:rPr>
        <w:t>评审方法</w:t>
      </w:r>
      <w:bookmarkEnd w:id="63"/>
      <w:r>
        <w:rPr>
          <w:rFonts w:hint="eastAsia" w:ascii="宋体" w:hAnsi="宋体" w:cs="宋体"/>
        </w:rPr>
        <w:t>和评审标准</w:t>
      </w:r>
      <w:bookmarkEnd w:id="64"/>
      <w:bookmarkEnd w:id="65"/>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二、评审标准（评分因素共计</w:t>
      </w:r>
      <w:r>
        <w:rPr>
          <w:rFonts w:hint="eastAsia" w:ascii="宋体" w:hAnsi="宋体" w:cs="宋体"/>
          <w:b/>
          <w:bCs/>
          <w:szCs w:val="21"/>
          <w:lang w:val="en-US" w:eastAsia="zh-CN"/>
        </w:rPr>
        <w:t>100分</w:t>
      </w:r>
      <w:r>
        <w:rPr>
          <w:rFonts w:hint="eastAsia" w:ascii="宋体" w:hAnsi="宋体" w:cs="宋体"/>
          <w:b/>
          <w:bCs/>
          <w:szCs w:val="21"/>
          <w:lang w:eastAsia="zh-CN"/>
        </w:rPr>
        <w:t>）</w:t>
      </w:r>
    </w:p>
    <w:bookmarkEnd w:id="66"/>
    <w:bookmarkEnd w:id="67"/>
    <w:bookmarkEnd w:id="68"/>
    <w:tbl>
      <w:tblPr>
        <w:tblStyle w:val="38"/>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13"/>
        <w:gridCol w:w="1665"/>
        <w:gridCol w:w="5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 w:type="dxa"/>
            <w:noWrap w:val="0"/>
            <w:vAlign w:val="top"/>
          </w:tcPr>
          <w:p>
            <w:pPr>
              <w:pStyle w:val="85"/>
              <w:spacing w:line="360" w:lineRule="auto"/>
              <w:jc w:val="center"/>
              <w:rPr>
                <w:rFonts w:hint="eastAsia" w:ascii="宋体" w:hAnsi="宋体" w:cs="宋体"/>
                <w:bCs/>
                <w:spacing w:val="6"/>
                <w:sz w:val="21"/>
                <w:szCs w:val="21"/>
              </w:rPr>
            </w:pPr>
            <w:bookmarkStart w:id="69" w:name="_Toc14171"/>
            <w:bookmarkStart w:id="70" w:name="_Toc487805909"/>
            <w:r>
              <w:rPr>
                <w:rFonts w:hint="eastAsia" w:ascii="宋体" w:hAnsi="宋体" w:cs="宋体"/>
                <w:b/>
                <w:bCs/>
                <w:sz w:val="21"/>
                <w:szCs w:val="21"/>
              </w:rPr>
              <w:t>条款号</w:t>
            </w:r>
          </w:p>
        </w:tc>
        <w:tc>
          <w:tcPr>
            <w:tcW w:w="1113" w:type="dxa"/>
            <w:noWrap w:val="0"/>
            <w:vAlign w:val="top"/>
          </w:tcPr>
          <w:p>
            <w:pPr>
              <w:pStyle w:val="85"/>
              <w:spacing w:line="360" w:lineRule="auto"/>
              <w:jc w:val="center"/>
              <w:rPr>
                <w:rFonts w:hint="eastAsia" w:ascii="宋体" w:hAnsi="宋体" w:cs="宋体"/>
                <w:bCs/>
                <w:spacing w:val="6"/>
                <w:sz w:val="21"/>
                <w:szCs w:val="21"/>
              </w:rPr>
            </w:pPr>
            <w:r>
              <w:rPr>
                <w:rFonts w:hint="eastAsia" w:ascii="宋体" w:hAnsi="宋体" w:cs="宋体"/>
                <w:b/>
                <w:bCs/>
                <w:spacing w:val="1"/>
                <w:sz w:val="21"/>
                <w:szCs w:val="21"/>
              </w:rPr>
              <w:t>评分因素</w:t>
            </w:r>
          </w:p>
        </w:tc>
        <w:tc>
          <w:tcPr>
            <w:tcW w:w="7423" w:type="dxa"/>
            <w:gridSpan w:val="2"/>
            <w:noWrap w:val="0"/>
            <w:vAlign w:val="top"/>
          </w:tcPr>
          <w:p>
            <w:pPr>
              <w:pStyle w:val="85"/>
              <w:spacing w:line="360" w:lineRule="auto"/>
              <w:jc w:val="center"/>
              <w:rPr>
                <w:rFonts w:hint="eastAsia" w:ascii="宋体" w:hAnsi="宋体" w:cs="宋体"/>
                <w:bCs/>
                <w:spacing w:val="6"/>
                <w:sz w:val="21"/>
                <w:szCs w:val="21"/>
              </w:rPr>
            </w:pPr>
            <w:r>
              <w:rPr>
                <w:rFonts w:hint="eastAsia" w:ascii="宋体" w:hAnsi="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noWrap w:val="0"/>
            <w:vAlign w:val="center"/>
          </w:tcPr>
          <w:p>
            <w:pPr>
              <w:pStyle w:val="85"/>
              <w:spacing w:line="360" w:lineRule="auto"/>
              <w:jc w:val="center"/>
              <w:rPr>
                <w:rFonts w:hint="eastAsia" w:ascii="宋体" w:hAnsi="宋体" w:cs="宋体"/>
                <w:bCs/>
                <w:spacing w:val="6"/>
                <w:sz w:val="21"/>
                <w:szCs w:val="21"/>
              </w:rPr>
            </w:pPr>
            <w:r>
              <w:rPr>
                <w:rFonts w:hint="eastAsia" w:ascii="宋体" w:hAnsi="宋体" w:cs="宋体"/>
                <w:sz w:val="21"/>
                <w:szCs w:val="21"/>
              </w:rPr>
              <w:t>1</w:t>
            </w:r>
          </w:p>
        </w:tc>
        <w:tc>
          <w:tcPr>
            <w:tcW w:w="1113" w:type="dxa"/>
            <w:noWrap w:val="0"/>
            <w:vAlign w:val="center"/>
          </w:tcPr>
          <w:p>
            <w:pPr>
              <w:pStyle w:val="85"/>
              <w:spacing w:line="360" w:lineRule="auto"/>
              <w:jc w:val="center"/>
              <w:rPr>
                <w:rFonts w:hint="eastAsia" w:ascii="宋体" w:hAnsi="宋体" w:cs="宋体"/>
                <w:sz w:val="21"/>
                <w:szCs w:val="21"/>
              </w:rPr>
            </w:pPr>
            <w:r>
              <w:rPr>
                <w:rFonts w:hint="eastAsia" w:ascii="宋体" w:hAnsi="宋体" w:cs="宋体"/>
                <w:sz w:val="21"/>
                <w:szCs w:val="21"/>
              </w:rPr>
              <w:t>报价</w:t>
            </w:r>
          </w:p>
          <w:p>
            <w:pPr>
              <w:pStyle w:val="85"/>
              <w:spacing w:line="360" w:lineRule="auto"/>
              <w:jc w:val="center"/>
              <w:rPr>
                <w:rFonts w:hint="eastAsia" w:ascii="宋体" w:hAnsi="宋体" w:cs="宋体"/>
                <w:bCs/>
                <w:spacing w:val="6"/>
                <w:sz w:val="21"/>
                <w:szCs w:val="21"/>
              </w:rPr>
            </w:pPr>
            <w:r>
              <w:rPr>
                <w:rFonts w:hint="eastAsia" w:ascii="宋体" w:hAnsi="宋体" w:cs="宋体"/>
                <w:sz w:val="21"/>
                <w:szCs w:val="21"/>
              </w:rPr>
              <w:t>（</w:t>
            </w:r>
            <w:r>
              <w:rPr>
                <w:rFonts w:hint="eastAsia" w:ascii="宋体" w:hAnsi="宋体" w:cs="宋体"/>
                <w:sz w:val="21"/>
                <w:szCs w:val="21"/>
                <w:lang w:val="en-US" w:eastAsia="zh-CN"/>
              </w:rPr>
              <w:t>30</w:t>
            </w:r>
            <w:r>
              <w:rPr>
                <w:rFonts w:hint="eastAsia" w:ascii="宋体" w:hAnsi="宋体" w:cs="宋体"/>
                <w:sz w:val="21"/>
                <w:szCs w:val="21"/>
              </w:rPr>
              <w:t>分）</w:t>
            </w:r>
          </w:p>
        </w:tc>
        <w:tc>
          <w:tcPr>
            <w:tcW w:w="7423" w:type="dxa"/>
            <w:gridSpan w:val="2"/>
            <w:noWrap w:val="0"/>
            <w:vAlign w:val="top"/>
          </w:tcPr>
          <w:p>
            <w:pPr>
              <w:spacing w:line="500" w:lineRule="exact"/>
              <w:ind w:firstLine="420" w:firstLineChars="200"/>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满足磋商文件要求且最后报价最低的供应商的价格为磋商基准价，其价格分为满分。其他供应商的价格分统一按照下列公式计算：</w:t>
            </w:r>
          </w:p>
          <w:p>
            <w:pPr>
              <w:pStyle w:val="85"/>
              <w:spacing w:line="360" w:lineRule="auto"/>
              <w:rPr>
                <w:rFonts w:hint="eastAsia" w:ascii="宋体" w:hAnsi="宋体" w:cs="宋体"/>
                <w:bCs/>
                <w:spacing w:val="6"/>
                <w:sz w:val="21"/>
                <w:szCs w:val="21"/>
              </w:rPr>
            </w:pPr>
            <w:r>
              <w:rPr>
                <w:rFonts w:hint="eastAsia" w:ascii="宋体" w:hAnsi="宋体" w:eastAsia="宋体" w:cs="宋体"/>
                <w:i w:val="0"/>
                <w:iCs w:val="0"/>
                <w:caps w:val="0"/>
                <w:color w:val="2B2B2B"/>
                <w:spacing w:val="0"/>
                <w:sz w:val="21"/>
                <w:szCs w:val="21"/>
                <w:shd w:val="clear" w:fill="FFFFFF"/>
              </w:rPr>
              <w:t>磋商报价得分=（磋商基准价/最后磋商报价）×价格权值×100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pStyle w:val="85"/>
              <w:spacing w:line="360" w:lineRule="auto"/>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2</w:t>
            </w:r>
          </w:p>
        </w:tc>
        <w:tc>
          <w:tcPr>
            <w:tcW w:w="1113" w:type="dxa"/>
            <w:vMerge w:val="restart"/>
            <w:noWrap w:val="0"/>
            <w:vAlign w:val="center"/>
          </w:tcPr>
          <w:p>
            <w:pPr>
              <w:keepNext w:val="0"/>
              <w:keepLines w:val="0"/>
              <w:widowControl/>
              <w:suppressLineNumbers w:val="0"/>
              <w:spacing w:before="0" w:beforeAutospacing="0" w:after="0" w:afterAutospacing="0" w:line="560" w:lineRule="exact"/>
              <w:ind w:left="0" w:right="0"/>
              <w:rPr>
                <w:rFonts w:hint="default"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技术部分（50分）</w:t>
            </w:r>
          </w:p>
          <w:p>
            <w:pPr>
              <w:pStyle w:val="85"/>
              <w:spacing w:line="360" w:lineRule="auto"/>
              <w:jc w:val="center"/>
              <w:rPr>
                <w:rFonts w:hint="eastAsia" w:ascii="宋体" w:hAnsi="宋体" w:cs="宋体"/>
                <w:sz w:val="21"/>
                <w:szCs w:val="21"/>
              </w:rPr>
            </w:pPr>
          </w:p>
        </w:tc>
        <w:tc>
          <w:tcPr>
            <w:tcW w:w="1665" w:type="dxa"/>
            <w:noWrap w:val="0"/>
            <w:vAlign w:val="center"/>
          </w:tcPr>
          <w:p>
            <w:pPr>
              <w:keepNext w:val="0"/>
              <w:keepLines w:val="0"/>
              <w:suppressLineNumbers w:val="0"/>
              <w:autoSpaceDE w:val="0"/>
              <w:autoSpaceDN w:val="0"/>
              <w:adjustRightInd w:val="0"/>
              <w:spacing w:before="0" w:beforeAutospacing="0" w:after="0" w:afterAutospacing="0" w:line="560" w:lineRule="exact"/>
              <w:ind w:left="0" w:leftChars="0" w:right="0" w:rightChars="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供货方案（10）</w:t>
            </w:r>
          </w:p>
        </w:tc>
        <w:tc>
          <w:tcPr>
            <w:tcW w:w="5758" w:type="dxa"/>
            <w:noWrap w:val="0"/>
            <w:vAlign w:val="center"/>
          </w:tcPr>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有详细的供货方案，且具有详细可行的实施计划和明确的工作流程，措施完整，优于采购需求的，得10分。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有较详细的供货方案，且具有较为详细可行的实施计划和的工作流程，措施较完整，满足采购需求方案优秀的得8分。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有较详细的供货方案，但实施计划和的工作流程良好，基本满足采购需求方案良好的得6分。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有供货方案，但实施计划和的工作流程一般，基本满足采购需求方案一般的得4分。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供货方案不完整，实施计划和工作流程不可行，不得分。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903" w:type="dxa"/>
            <w:vMerge w:val="continue"/>
            <w:noWrap w:val="0"/>
            <w:vAlign w:val="center"/>
          </w:tcPr>
          <w:p>
            <w:pPr>
              <w:pStyle w:val="85"/>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85"/>
              <w:spacing w:line="360" w:lineRule="auto"/>
              <w:jc w:val="center"/>
              <w:rPr>
                <w:rFonts w:hint="eastAsia" w:ascii="宋体" w:hAnsi="宋体" w:cs="宋体"/>
                <w:sz w:val="21"/>
                <w:szCs w:val="21"/>
              </w:rPr>
            </w:pPr>
          </w:p>
        </w:tc>
        <w:tc>
          <w:tcPr>
            <w:tcW w:w="1665" w:type="dxa"/>
            <w:noWrap w:val="0"/>
            <w:vAlign w:val="center"/>
          </w:tcPr>
          <w:p>
            <w:pPr>
              <w:keepNext w:val="0"/>
              <w:keepLines w:val="0"/>
              <w:suppressLineNumbers w:val="0"/>
              <w:autoSpaceDE w:val="0"/>
              <w:autoSpaceDN w:val="0"/>
              <w:adjustRightInd w:val="0"/>
              <w:spacing w:before="0" w:beforeAutospacing="0" w:after="0" w:afterAutospacing="0" w:line="560" w:lineRule="exact"/>
              <w:ind w:left="0" w:leftChars="0" w:right="0" w:rightChars="0"/>
              <w:rPr>
                <w:rFonts w:hint="eastAsia" w:ascii="宋体" w:hAnsi="宋体" w:eastAsia="宋体" w:cs="宋体"/>
                <w:kern w:val="2"/>
                <w:sz w:val="21"/>
                <w:szCs w:val="21"/>
                <w:lang w:val="zh-CN" w:eastAsia="zh-CN" w:bidi="ar-SA"/>
              </w:rPr>
            </w:pPr>
            <w:r>
              <w:rPr>
                <w:rFonts w:hint="eastAsia" w:ascii="宋体" w:hAnsi="宋体" w:cs="宋体"/>
                <w:szCs w:val="21"/>
                <w:lang w:val="en-US" w:eastAsia="zh-CN"/>
              </w:rPr>
              <w:t>安装、调试方案（10分）</w:t>
            </w:r>
          </w:p>
        </w:tc>
        <w:tc>
          <w:tcPr>
            <w:tcW w:w="5758" w:type="dxa"/>
            <w:noWrap w:val="0"/>
            <w:vAlign w:val="center"/>
          </w:tcPr>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设备安装调试、试运行测试、运行维护等内容描述完善、详细的，得10分。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设备安装调试、试运行测试、运行维护等内容描述较完善、详细，满足采购需求方案优秀的得8分。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设备安装调试、试运行测试、运行维护等内容描述基本完善、详细，基本满足采购需求方案良好的得6分。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设备安装调试、试运行测试、运行维护等内容描述基本完善、详细，基本满足采购需求方案一般的得4分。</w:t>
            </w:r>
          </w:p>
          <w:p>
            <w:pPr>
              <w:keepNext w:val="0"/>
              <w:keepLines w:val="0"/>
              <w:suppressLineNumbers w:val="0"/>
              <w:autoSpaceDE w:val="0"/>
              <w:autoSpaceDN w:val="0"/>
              <w:adjustRightInd w:val="0"/>
              <w:spacing w:before="0" w:beforeAutospacing="0" w:after="0" w:afterAutospacing="0" w:line="560" w:lineRule="exact"/>
              <w:ind w:left="0" w:leftChars="0" w:right="0" w:rightChars="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设备安装调试、试运行测试、运行维护等内容描述不完善、详细的，不得分。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5"/>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85"/>
              <w:spacing w:line="360" w:lineRule="auto"/>
              <w:jc w:val="center"/>
              <w:rPr>
                <w:rFonts w:hint="eastAsia" w:ascii="宋体" w:hAnsi="宋体" w:cs="宋体"/>
                <w:sz w:val="21"/>
                <w:szCs w:val="21"/>
              </w:rPr>
            </w:pPr>
          </w:p>
        </w:tc>
        <w:tc>
          <w:tcPr>
            <w:tcW w:w="1665" w:type="dxa"/>
            <w:noWrap w:val="0"/>
            <w:vAlign w:val="center"/>
          </w:tcPr>
          <w:p>
            <w:pPr>
              <w:keepNext w:val="0"/>
              <w:keepLines w:val="0"/>
              <w:suppressLineNumbers w:val="0"/>
              <w:autoSpaceDE w:val="0"/>
              <w:autoSpaceDN w:val="0"/>
              <w:adjustRightInd w:val="0"/>
              <w:spacing w:before="0" w:beforeAutospacing="0" w:after="0" w:afterAutospacing="0" w:line="560" w:lineRule="exact"/>
              <w:ind w:left="0" w:leftChars="0" w:right="0" w:rightChars="0"/>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设备制造工艺、稳定性：10分</w:t>
            </w:r>
          </w:p>
        </w:tc>
        <w:tc>
          <w:tcPr>
            <w:tcW w:w="5758" w:type="dxa"/>
            <w:noWrap w:val="0"/>
            <w:vAlign w:val="center"/>
          </w:tcPr>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根据项目特性结合各投标设备制造工艺、稳定性等进行打分：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投标产品制造工艺、稳定性好，安全性（操作维修安全等）高的得10分；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投标产品制造工艺、稳定性较好，安全性（操作维修安全等）较高的得8分；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投标产品制造工艺、稳定性、安全性（操作维修安全等）良好的得6分。</w:t>
            </w:r>
          </w:p>
          <w:p>
            <w:pPr>
              <w:keepNext w:val="0"/>
              <w:keepLines w:val="0"/>
              <w:suppressLineNumbers w:val="0"/>
              <w:autoSpaceDE w:val="0"/>
              <w:autoSpaceDN w:val="0"/>
              <w:adjustRightInd w:val="0"/>
              <w:spacing w:before="0" w:beforeAutospacing="0" w:after="0" w:afterAutospacing="0" w:line="560" w:lineRule="exact"/>
              <w:ind w:left="0" w:right="0"/>
              <w:rPr>
                <w:rFonts w:hint="eastAsia" w:ascii="宋体" w:hAnsi="宋体" w:cs="宋体"/>
                <w:szCs w:val="21"/>
                <w:lang w:val="en-US" w:eastAsia="zh-CN"/>
              </w:rPr>
            </w:pPr>
            <w:r>
              <w:rPr>
                <w:rFonts w:hint="eastAsia" w:ascii="宋体" w:hAnsi="宋体" w:cs="宋体"/>
                <w:szCs w:val="21"/>
                <w:lang w:val="en-US" w:eastAsia="zh-CN"/>
              </w:rPr>
              <w:t>投标产品制造工艺、稳定性、安全性（操作维修安全等）一般的得4分。</w:t>
            </w:r>
          </w:p>
          <w:p>
            <w:pPr>
              <w:keepNext w:val="0"/>
              <w:keepLines w:val="0"/>
              <w:suppressLineNumbers w:val="0"/>
              <w:autoSpaceDE w:val="0"/>
              <w:autoSpaceDN w:val="0"/>
              <w:adjustRightInd w:val="0"/>
              <w:spacing w:before="0" w:beforeAutospacing="0" w:after="0" w:afterAutospacing="0" w:line="560" w:lineRule="exact"/>
              <w:ind w:left="0" w:leftChars="0" w:right="0" w:rightChars="0"/>
              <w:rPr>
                <w:rFonts w:hint="default" w:ascii="宋体" w:hAnsi="宋体" w:eastAsia="宋体" w:cs="宋体"/>
                <w:kern w:val="2"/>
                <w:sz w:val="21"/>
                <w:szCs w:val="21"/>
                <w:lang w:val="en-US" w:eastAsia="zh-CN" w:bidi="ar-SA"/>
              </w:rPr>
            </w:pPr>
            <w:r>
              <w:rPr>
                <w:rFonts w:hint="eastAsia" w:ascii="宋体" w:hAnsi="宋体" w:cs="宋体"/>
                <w:szCs w:val="21"/>
                <w:lang w:val="en-US" w:eastAsia="zh-CN"/>
              </w:rPr>
              <w:t>投标产品制造工艺、稳定性、安全性（操作维修安全等）差的不得分。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5"/>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85"/>
              <w:spacing w:line="360" w:lineRule="auto"/>
              <w:jc w:val="center"/>
              <w:rPr>
                <w:rFonts w:hint="eastAsia" w:ascii="宋体" w:hAnsi="宋体" w:cs="宋体"/>
                <w:sz w:val="21"/>
                <w:szCs w:val="21"/>
              </w:rPr>
            </w:pPr>
          </w:p>
        </w:tc>
        <w:tc>
          <w:tcPr>
            <w:tcW w:w="1665" w:type="dxa"/>
            <w:noWrap w:val="0"/>
            <w:vAlign w:val="center"/>
          </w:tcPr>
          <w:p>
            <w:pPr>
              <w:pStyle w:val="13"/>
              <w:keepNext w:val="0"/>
              <w:keepLines w:val="0"/>
              <w:suppressLineNumbers w:val="0"/>
              <w:snapToGrid w:val="0"/>
              <w:spacing w:before="0" w:beforeAutospacing="0" w:after="0" w:afterAutospacing="0" w:line="360" w:lineRule="auto"/>
              <w:ind w:left="0" w:leftChars="0" w:right="0" w:rightChars="0"/>
              <w:jc w:val="both"/>
              <w:rPr>
                <w:rFonts w:hint="eastAsia" w:ascii="宋体" w:hAnsi="宋体" w:eastAsia="宋体" w:cs="宋体"/>
                <w:color w:val="auto"/>
                <w:kern w:val="2"/>
                <w:sz w:val="21"/>
                <w:szCs w:val="21"/>
                <w:lang w:val="zh-CN" w:eastAsia="zh-CN" w:bidi="ar-SA"/>
              </w:rPr>
            </w:pPr>
            <w:r>
              <w:rPr>
                <w:rFonts w:hint="eastAsia" w:ascii="宋体" w:hAnsi="宋体" w:eastAsia="宋体" w:cs="宋体"/>
                <w:color w:val="auto"/>
                <w:kern w:val="2"/>
                <w:sz w:val="21"/>
                <w:szCs w:val="21"/>
                <w:lang w:val="en-US" w:eastAsia="zh-CN" w:bidi="ar-SA"/>
              </w:rPr>
              <w:t>项目</w:t>
            </w:r>
            <w:r>
              <w:rPr>
                <w:rFonts w:hint="default" w:ascii="宋体" w:hAnsi="宋体" w:eastAsia="宋体" w:cs="宋体"/>
                <w:color w:val="auto"/>
                <w:kern w:val="2"/>
                <w:sz w:val="21"/>
                <w:szCs w:val="21"/>
                <w:lang w:val="zh-CN" w:eastAsia="zh-CN" w:bidi="ar-SA"/>
              </w:rPr>
              <w:t>实施现场安全</w:t>
            </w:r>
            <w:r>
              <w:rPr>
                <w:rFonts w:hint="eastAsia" w:ascii="宋体" w:hAnsi="宋体" w:eastAsia="宋体" w:cs="宋体"/>
                <w:color w:val="auto"/>
                <w:kern w:val="2"/>
                <w:sz w:val="21"/>
                <w:szCs w:val="21"/>
                <w:lang w:val="zh-CN" w:eastAsia="zh-CN" w:bidi="ar-SA"/>
              </w:rPr>
              <w:t>（</w:t>
            </w:r>
            <w:r>
              <w:rPr>
                <w:rFonts w:hint="eastAsia" w:ascii="宋体" w:hAnsi="宋体" w:eastAsia="宋体" w:cs="宋体"/>
                <w:color w:val="auto"/>
                <w:kern w:val="2"/>
                <w:sz w:val="21"/>
                <w:szCs w:val="21"/>
                <w:lang w:val="en-US" w:eastAsia="zh-CN" w:bidi="ar-SA"/>
              </w:rPr>
              <w:t>10分</w:t>
            </w:r>
            <w:r>
              <w:rPr>
                <w:rFonts w:hint="eastAsia" w:ascii="宋体" w:hAnsi="宋体" w:eastAsia="宋体" w:cs="宋体"/>
                <w:color w:val="auto"/>
                <w:kern w:val="2"/>
                <w:sz w:val="21"/>
                <w:szCs w:val="21"/>
                <w:lang w:val="zh-CN" w:eastAsia="zh-CN" w:bidi="ar-SA"/>
              </w:rPr>
              <w:t>）</w:t>
            </w:r>
          </w:p>
        </w:tc>
        <w:tc>
          <w:tcPr>
            <w:tcW w:w="5758" w:type="dxa"/>
            <w:noWrap w:val="0"/>
            <w:vAlign w:val="center"/>
          </w:tcPr>
          <w:p>
            <w:pPr>
              <w:pStyle w:val="13"/>
              <w:keepNext w:val="0"/>
              <w:keepLines w:val="0"/>
              <w:suppressLineNumbers w:val="0"/>
              <w:snapToGrid w:val="0"/>
              <w:spacing w:before="0" w:beforeAutospacing="0" w:after="0" w:afterAutospacing="0" w:line="36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针对安全实施制定详细的安全保障方案，</w:t>
            </w:r>
            <w:r>
              <w:rPr>
                <w:rFonts w:hint="eastAsia" w:hAnsi="宋体" w:cs="宋体"/>
                <w:color w:val="auto"/>
                <w:kern w:val="2"/>
                <w:sz w:val="21"/>
                <w:szCs w:val="21"/>
                <w:lang w:val="en-US" w:eastAsia="zh-CN" w:bidi="ar-SA"/>
              </w:rPr>
              <w:t>安全保障方案描述详细，可行性高的得10分，</w:t>
            </w:r>
            <w:r>
              <w:rPr>
                <w:rFonts w:hint="eastAsia" w:ascii="宋体" w:hAnsi="宋体" w:eastAsia="宋体" w:cs="宋体"/>
                <w:color w:val="auto"/>
                <w:kern w:val="2"/>
                <w:sz w:val="21"/>
                <w:szCs w:val="21"/>
                <w:lang w:val="en-US" w:eastAsia="zh-CN" w:bidi="ar-SA"/>
              </w:rPr>
              <w:t>安全保障方案优秀得</w:t>
            </w:r>
            <w:r>
              <w:rPr>
                <w:rFonts w:hint="eastAsia" w:hAnsi="宋体" w:cs="宋体"/>
                <w:color w:val="auto"/>
                <w:kern w:val="2"/>
                <w:sz w:val="21"/>
                <w:szCs w:val="21"/>
                <w:lang w:val="en-US" w:eastAsia="zh-CN" w:bidi="ar-SA"/>
              </w:rPr>
              <w:t>8</w:t>
            </w:r>
            <w:r>
              <w:rPr>
                <w:rFonts w:hint="eastAsia" w:ascii="宋体" w:hAnsi="宋体" w:eastAsia="宋体" w:cs="宋体"/>
                <w:color w:val="auto"/>
                <w:kern w:val="2"/>
                <w:sz w:val="21"/>
                <w:szCs w:val="21"/>
                <w:lang w:val="en-US" w:eastAsia="zh-CN" w:bidi="ar-SA"/>
              </w:rPr>
              <w:t>分，安全保障方案良好得6分，安全保障方案一般得</w:t>
            </w:r>
            <w:r>
              <w:rPr>
                <w:rFonts w:hint="eastAsia" w:hAnsi="宋体" w:cs="宋体"/>
                <w:color w:val="auto"/>
                <w:kern w:val="2"/>
                <w:sz w:val="21"/>
                <w:szCs w:val="21"/>
                <w:lang w:val="en-US" w:eastAsia="zh-CN" w:bidi="ar-SA"/>
              </w:rPr>
              <w:t>4</w:t>
            </w:r>
            <w:r>
              <w:rPr>
                <w:rFonts w:hint="eastAsia" w:ascii="宋体" w:hAnsi="宋体" w:eastAsia="宋体" w:cs="宋体"/>
                <w:color w:val="auto"/>
                <w:kern w:val="2"/>
                <w:sz w:val="21"/>
                <w:szCs w:val="21"/>
                <w:lang w:val="en-US" w:eastAsia="zh-CN" w:bidi="ar-SA"/>
              </w:rPr>
              <w:t>分，安全保障</w:t>
            </w:r>
            <w:r>
              <w:rPr>
                <w:rFonts w:hint="eastAsia" w:hAnsi="宋体" w:cs="宋体"/>
                <w:color w:val="auto"/>
                <w:kern w:val="2"/>
                <w:sz w:val="21"/>
                <w:szCs w:val="21"/>
                <w:lang w:val="en-US" w:eastAsia="zh-CN" w:bidi="ar-SA"/>
              </w:rPr>
              <w:t>方案有缺陷基本可行得2分，</w:t>
            </w:r>
            <w:r>
              <w:rPr>
                <w:rFonts w:hint="eastAsia" w:ascii="宋体" w:hAnsi="宋体" w:eastAsia="宋体" w:cs="宋体"/>
                <w:color w:val="auto"/>
                <w:kern w:val="2"/>
                <w:sz w:val="21"/>
                <w:szCs w:val="21"/>
                <w:lang w:val="en-US" w:eastAsia="zh-CN" w:bidi="ar-SA"/>
              </w:rPr>
              <w:t>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5"/>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85"/>
              <w:spacing w:line="360" w:lineRule="auto"/>
              <w:jc w:val="center"/>
              <w:rPr>
                <w:rFonts w:hint="eastAsia" w:ascii="宋体" w:hAnsi="宋体" w:cs="宋体"/>
                <w:sz w:val="21"/>
                <w:szCs w:val="21"/>
              </w:rPr>
            </w:pPr>
          </w:p>
        </w:tc>
        <w:tc>
          <w:tcPr>
            <w:tcW w:w="1665" w:type="dxa"/>
            <w:noWrap w:val="0"/>
            <w:vAlign w:val="center"/>
          </w:tcPr>
          <w:p>
            <w:pPr>
              <w:pStyle w:val="13"/>
              <w:keepNext w:val="0"/>
              <w:keepLines w:val="0"/>
              <w:suppressLineNumbers w:val="0"/>
              <w:snapToGrid w:val="0"/>
              <w:spacing w:before="0" w:beforeAutospacing="0" w:after="0" w:afterAutospacing="0" w:line="360" w:lineRule="auto"/>
              <w:ind w:left="0" w:leftChars="0" w:right="0" w:rightChars="0"/>
              <w:jc w:val="both"/>
              <w:rPr>
                <w:rFonts w:hint="eastAsia" w:ascii="宋体" w:hAnsi="宋体" w:eastAsia="宋体" w:cs="宋体"/>
                <w:color w:val="FF0000"/>
                <w:kern w:val="2"/>
                <w:sz w:val="21"/>
                <w:szCs w:val="21"/>
                <w:lang w:val="zh-CN" w:eastAsia="zh-CN" w:bidi="ar-SA"/>
              </w:rPr>
            </w:pPr>
            <w:r>
              <w:rPr>
                <w:rFonts w:hint="default" w:hAnsi="宋体" w:cs="宋体"/>
                <w:color w:val="auto"/>
                <w:kern w:val="2"/>
                <w:sz w:val="21"/>
                <w:szCs w:val="21"/>
              </w:rPr>
              <w:t>优惠服务承诺（</w:t>
            </w:r>
            <w:r>
              <w:rPr>
                <w:rFonts w:hint="eastAsia" w:hAnsi="宋体" w:cs="宋体"/>
                <w:color w:val="auto"/>
                <w:kern w:val="2"/>
                <w:sz w:val="21"/>
                <w:szCs w:val="21"/>
                <w:lang w:val="en-US" w:eastAsia="zh-CN"/>
              </w:rPr>
              <w:t>10</w:t>
            </w:r>
            <w:r>
              <w:rPr>
                <w:rFonts w:hint="default" w:hAnsi="宋体" w:cs="宋体"/>
                <w:color w:val="auto"/>
                <w:kern w:val="2"/>
                <w:sz w:val="21"/>
                <w:szCs w:val="21"/>
              </w:rPr>
              <w:t>分）</w:t>
            </w:r>
          </w:p>
        </w:tc>
        <w:tc>
          <w:tcPr>
            <w:tcW w:w="5758" w:type="dxa"/>
            <w:noWrap w:val="0"/>
            <w:vAlign w:val="center"/>
          </w:tcPr>
          <w:p>
            <w:pPr>
              <w:pStyle w:val="13"/>
              <w:keepNext w:val="0"/>
              <w:keepLines w:val="0"/>
              <w:suppressLineNumbers w:val="0"/>
              <w:snapToGrid w:val="0"/>
              <w:spacing w:before="0" w:beforeAutospacing="0" w:after="0" w:afterAutospacing="0" w:line="360" w:lineRule="auto"/>
              <w:ind w:left="0" w:leftChars="0" w:right="0" w:rightChars="0"/>
              <w:jc w:val="both"/>
              <w:rPr>
                <w:rFonts w:hint="eastAsia" w:ascii="宋体" w:hAnsi="宋体" w:eastAsia="宋体" w:cs="宋体"/>
                <w:color w:val="FF0000"/>
                <w:kern w:val="2"/>
                <w:sz w:val="21"/>
                <w:szCs w:val="21"/>
                <w:lang w:val="en-US" w:eastAsia="zh-CN" w:bidi="ar-SA"/>
              </w:rPr>
            </w:pPr>
            <w:r>
              <w:rPr>
                <w:rFonts w:hint="eastAsia" w:hAnsi="宋体" w:cs="宋体"/>
                <w:color w:val="auto"/>
                <w:kern w:val="2"/>
                <w:sz w:val="21"/>
                <w:szCs w:val="21"/>
                <w:lang w:eastAsia="zh-CN"/>
              </w:rPr>
              <w:t>供应商</w:t>
            </w:r>
            <w:r>
              <w:rPr>
                <w:rFonts w:hint="default" w:hAnsi="宋体" w:cs="宋体"/>
                <w:color w:val="auto"/>
                <w:kern w:val="2"/>
                <w:sz w:val="21"/>
                <w:szCs w:val="21"/>
              </w:rPr>
              <w:t>针对本项目提供优惠服务承诺方案，</w:t>
            </w:r>
            <w:r>
              <w:rPr>
                <w:rFonts w:hint="eastAsia" w:hAnsi="宋体" w:cs="宋体"/>
                <w:color w:val="auto"/>
                <w:kern w:val="2"/>
                <w:sz w:val="21"/>
                <w:szCs w:val="21"/>
                <w:lang w:val="en-US" w:eastAsia="zh-CN"/>
              </w:rPr>
              <w:t>优惠承诺和高质量服务的得10分，</w:t>
            </w:r>
            <w:r>
              <w:rPr>
                <w:rFonts w:hint="default" w:hAnsi="宋体" w:cs="宋体"/>
                <w:color w:val="auto"/>
                <w:kern w:val="2"/>
                <w:sz w:val="21"/>
                <w:szCs w:val="21"/>
              </w:rPr>
              <w:t>优惠服务承诺方案优秀得</w:t>
            </w:r>
            <w:r>
              <w:rPr>
                <w:rFonts w:hint="eastAsia" w:hAnsi="宋体" w:cs="宋体"/>
                <w:color w:val="auto"/>
                <w:kern w:val="2"/>
                <w:sz w:val="21"/>
                <w:szCs w:val="21"/>
                <w:lang w:val="en-US" w:eastAsia="zh-CN"/>
              </w:rPr>
              <w:t>8</w:t>
            </w:r>
            <w:r>
              <w:rPr>
                <w:rFonts w:hint="default" w:hAnsi="宋体" w:cs="宋体"/>
                <w:color w:val="auto"/>
                <w:kern w:val="2"/>
                <w:sz w:val="21"/>
                <w:szCs w:val="21"/>
              </w:rPr>
              <w:t>分，优惠服务承诺方案良好得</w:t>
            </w:r>
            <w:r>
              <w:rPr>
                <w:rFonts w:hint="eastAsia" w:hAnsi="宋体" w:cs="宋体"/>
                <w:color w:val="auto"/>
                <w:kern w:val="2"/>
                <w:sz w:val="21"/>
                <w:szCs w:val="21"/>
                <w:lang w:val="en-US" w:eastAsia="zh-CN"/>
              </w:rPr>
              <w:t>6</w:t>
            </w:r>
            <w:r>
              <w:rPr>
                <w:rFonts w:hint="default" w:hAnsi="宋体" w:cs="宋体"/>
                <w:color w:val="auto"/>
                <w:kern w:val="2"/>
                <w:sz w:val="21"/>
                <w:szCs w:val="21"/>
              </w:rPr>
              <w:t>分，优惠服务承诺方案一般得</w:t>
            </w:r>
            <w:r>
              <w:rPr>
                <w:rFonts w:hint="eastAsia" w:hAnsi="宋体" w:cs="宋体"/>
                <w:color w:val="auto"/>
                <w:kern w:val="2"/>
                <w:sz w:val="21"/>
                <w:szCs w:val="21"/>
                <w:lang w:val="en-US" w:eastAsia="zh-CN"/>
              </w:rPr>
              <w:t>4</w:t>
            </w:r>
            <w:r>
              <w:rPr>
                <w:rFonts w:hint="default" w:hAnsi="宋体" w:cs="宋体"/>
                <w:color w:val="auto"/>
                <w:kern w:val="2"/>
                <w:sz w:val="21"/>
                <w:szCs w:val="21"/>
              </w:rPr>
              <w:t>分，优惠服务承诺</w:t>
            </w:r>
            <w:r>
              <w:rPr>
                <w:rFonts w:hint="eastAsia" w:hAnsi="宋体" w:cs="宋体"/>
                <w:color w:val="auto"/>
                <w:kern w:val="2"/>
                <w:sz w:val="21"/>
                <w:szCs w:val="21"/>
                <w:lang w:val="en-US" w:eastAsia="zh-CN"/>
              </w:rPr>
              <w:t>方案描述不全面缺陷的得2分，</w:t>
            </w:r>
            <w:r>
              <w:rPr>
                <w:rFonts w:hint="default" w:hAnsi="宋体" w:cs="宋体"/>
                <w:color w:val="auto"/>
                <w:kern w:val="2"/>
                <w:sz w:val="21"/>
                <w:szCs w:val="21"/>
              </w:rPr>
              <w:t>不提供不得分</w:t>
            </w:r>
            <w:r>
              <w:rPr>
                <w:rFonts w:hint="eastAsia" w:hAnsi="宋体" w:cs="宋体"/>
                <w:color w:val="auto"/>
                <w:kern w:val="2"/>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pStyle w:val="85"/>
              <w:spacing w:line="360" w:lineRule="auto"/>
              <w:jc w:val="center"/>
              <w:rPr>
                <w:rFonts w:hint="default" w:ascii="宋体" w:hAnsi="宋体" w:cs="宋体"/>
                <w:sz w:val="21"/>
                <w:szCs w:val="21"/>
                <w:lang w:val="en-US" w:eastAsia="zh-CN"/>
              </w:rPr>
            </w:pPr>
          </w:p>
        </w:tc>
        <w:tc>
          <w:tcPr>
            <w:tcW w:w="1113" w:type="dxa"/>
            <w:vMerge w:val="restart"/>
            <w:noWrap w:val="0"/>
            <w:vAlign w:val="center"/>
          </w:tcPr>
          <w:p>
            <w:pPr>
              <w:pStyle w:val="85"/>
              <w:spacing w:line="360" w:lineRule="auto"/>
              <w:jc w:val="center"/>
              <w:rPr>
                <w:rFonts w:hint="eastAsia" w:ascii="宋体" w:hAnsi="宋体" w:cs="宋体"/>
                <w:sz w:val="21"/>
                <w:szCs w:val="21"/>
              </w:rPr>
            </w:pPr>
            <w:r>
              <w:rPr>
                <w:rFonts w:hint="eastAsia" w:ascii="宋体" w:hAnsi="宋体" w:eastAsia="宋体" w:cs="宋体"/>
                <w:color w:val="auto"/>
                <w:kern w:val="2"/>
                <w:sz w:val="21"/>
                <w:szCs w:val="21"/>
                <w:lang w:val="en-US" w:eastAsia="zh-CN" w:bidi="ar-SA"/>
              </w:rPr>
              <w:t>综合部分（20分）</w:t>
            </w:r>
          </w:p>
        </w:tc>
        <w:tc>
          <w:tcPr>
            <w:tcW w:w="1665" w:type="dxa"/>
            <w:noWrap w:val="0"/>
            <w:vAlign w:val="center"/>
          </w:tcPr>
          <w:p>
            <w:pPr>
              <w:pStyle w:val="13"/>
              <w:keepNext w:val="0"/>
              <w:keepLines w:val="0"/>
              <w:suppressLineNumbers w:val="0"/>
              <w:snapToGrid w:val="0"/>
              <w:spacing w:before="0" w:beforeAutospacing="0" w:after="0" w:afterAutospacing="0" w:line="360" w:lineRule="auto"/>
              <w:ind w:left="0" w:right="0"/>
              <w:jc w:val="both"/>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售后及质保服务（</w:t>
            </w:r>
            <w:r>
              <w:rPr>
                <w:rFonts w:hint="eastAsia" w:ascii="宋体" w:hAnsi="宋体" w:eastAsia="宋体" w:cs="宋体"/>
                <w:color w:val="auto"/>
                <w:kern w:val="2"/>
                <w:sz w:val="21"/>
                <w:szCs w:val="21"/>
                <w:lang w:val="en-US" w:eastAsia="zh-CN" w:bidi="ar-SA"/>
              </w:rPr>
              <w:t>11</w:t>
            </w:r>
            <w:r>
              <w:rPr>
                <w:rFonts w:hint="default" w:ascii="宋体" w:hAnsi="宋体" w:eastAsia="宋体" w:cs="宋体"/>
                <w:color w:val="auto"/>
                <w:kern w:val="2"/>
                <w:sz w:val="21"/>
                <w:szCs w:val="21"/>
                <w:lang w:val="en-US" w:eastAsia="zh-CN" w:bidi="ar-SA"/>
              </w:rPr>
              <w:t>分）</w:t>
            </w:r>
          </w:p>
        </w:tc>
        <w:tc>
          <w:tcPr>
            <w:tcW w:w="5758" w:type="dxa"/>
            <w:noWrap w:val="0"/>
            <w:vAlign w:val="center"/>
          </w:tcPr>
          <w:p>
            <w:pPr>
              <w:pStyle w:val="13"/>
              <w:keepNext w:val="0"/>
              <w:keepLines w:val="0"/>
              <w:suppressLineNumbers w:val="0"/>
              <w:snapToGrid w:val="0"/>
              <w:spacing w:before="0" w:beforeAutospacing="0" w:after="0" w:afterAutospacing="0" w:line="36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供应商</w:t>
            </w:r>
            <w:r>
              <w:rPr>
                <w:rFonts w:hint="default" w:ascii="宋体" w:hAnsi="宋体" w:eastAsia="宋体" w:cs="宋体"/>
                <w:color w:val="auto"/>
                <w:kern w:val="2"/>
                <w:sz w:val="21"/>
                <w:szCs w:val="21"/>
                <w:lang w:val="en-US" w:eastAsia="zh-CN" w:bidi="ar-SA"/>
              </w:rPr>
              <w:t>有完整、详细的售后及质保承诺及方案</w:t>
            </w:r>
            <w:r>
              <w:rPr>
                <w:rFonts w:hint="eastAsia" w:hAnsi="宋体" w:cs="宋体"/>
                <w:color w:val="auto"/>
                <w:kern w:val="2"/>
                <w:sz w:val="21"/>
                <w:szCs w:val="21"/>
                <w:lang w:val="en-US" w:eastAsia="zh-CN" w:bidi="ar-SA"/>
              </w:rPr>
              <w:t>的得11分，售后质保方案</w:t>
            </w:r>
            <w:r>
              <w:rPr>
                <w:rFonts w:hint="default" w:ascii="宋体" w:hAnsi="宋体" w:eastAsia="宋体" w:cs="宋体"/>
                <w:color w:val="auto"/>
                <w:kern w:val="2"/>
                <w:sz w:val="21"/>
                <w:szCs w:val="21"/>
                <w:lang w:val="en-US" w:eastAsia="zh-CN" w:bidi="ar-SA"/>
              </w:rPr>
              <w:t>方案优秀得</w:t>
            </w:r>
            <w:r>
              <w:rPr>
                <w:rFonts w:hint="eastAsia" w:hAnsi="宋体" w:cs="宋体"/>
                <w:color w:val="auto"/>
                <w:kern w:val="2"/>
                <w:sz w:val="21"/>
                <w:szCs w:val="21"/>
                <w:lang w:val="en-US" w:eastAsia="zh-CN" w:bidi="ar-SA"/>
              </w:rPr>
              <w:t>8</w:t>
            </w:r>
            <w:r>
              <w:rPr>
                <w:rFonts w:hint="default" w:ascii="宋体" w:hAnsi="宋体" w:eastAsia="宋体" w:cs="宋体"/>
                <w:color w:val="auto"/>
                <w:kern w:val="2"/>
                <w:sz w:val="21"/>
                <w:szCs w:val="21"/>
                <w:lang w:val="en-US" w:eastAsia="zh-CN" w:bidi="ar-SA"/>
              </w:rPr>
              <w:t>分，</w:t>
            </w:r>
            <w:r>
              <w:rPr>
                <w:rFonts w:hint="eastAsia" w:hAnsi="宋体" w:cs="宋体"/>
                <w:color w:val="auto"/>
                <w:kern w:val="2"/>
                <w:sz w:val="21"/>
                <w:szCs w:val="21"/>
                <w:lang w:val="en-US" w:eastAsia="zh-CN" w:bidi="ar-SA"/>
              </w:rPr>
              <w:t>售后质保方案</w:t>
            </w:r>
            <w:r>
              <w:rPr>
                <w:rFonts w:hint="default" w:ascii="宋体" w:hAnsi="宋体" w:eastAsia="宋体" w:cs="宋体"/>
                <w:color w:val="auto"/>
                <w:kern w:val="2"/>
                <w:sz w:val="21"/>
                <w:szCs w:val="21"/>
                <w:lang w:val="en-US" w:eastAsia="zh-CN" w:bidi="ar-SA"/>
              </w:rPr>
              <w:t>方案良好得</w:t>
            </w:r>
            <w:r>
              <w:rPr>
                <w:rFonts w:hint="eastAsia" w:hAnsi="宋体" w:cs="宋体"/>
                <w:color w:val="auto"/>
                <w:kern w:val="2"/>
                <w:sz w:val="21"/>
                <w:szCs w:val="21"/>
                <w:lang w:val="en-US" w:eastAsia="zh-CN" w:bidi="ar-SA"/>
              </w:rPr>
              <w:t>6</w:t>
            </w:r>
            <w:r>
              <w:rPr>
                <w:rFonts w:hint="default" w:ascii="宋体" w:hAnsi="宋体" w:eastAsia="宋体" w:cs="宋体"/>
                <w:color w:val="auto"/>
                <w:kern w:val="2"/>
                <w:sz w:val="21"/>
                <w:szCs w:val="21"/>
                <w:lang w:val="en-US" w:eastAsia="zh-CN" w:bidi="ar-SA"/>
              </w:rPr>
              <w:t>分，</w:t>
            </w:r>
            <w:r>
              <w:rPr>
                <w:rFonts w:hint="eastAsia" w:hAnsi="宋体" w:cs="宋体"/>
                <w:color w:val="auto"/>
                <w:kern w:val="2"/>
                <w:sz w:val="21"/>
                <w:szCs w:val="21"/>
                <w:lang w:val="en-US" w:eastAsia="zh-CN" w:bidi="ar-SA"/>
              </w:rPr>
              <w:t>售后质保方案</w:t>
            </w:r>
            <w:r>
              <w:rPr>
                <w:rFonts w:hint="default" w:ascii="宋体" w:hAnsi="宋体" w:eastAsia="宋体" w:cs="宋体"/>
                <w:color w:val="auto"/>
                <w:kern w:val="2"/>
                <w:sz w:val="21"/>
                <w:szCs w:val="21"/>
                <w:lang w:val="en-US" w:eastAsia="zh-CN" w:bidi="ar-SA"/>
              </w:rPr>
              <w:t>方案一般得</w:t>
            </w:r>
            <w:r>
              <w:rPr>
                <w:rFonts w:hint="eastAsia" w:hAnsi="宋体" w:cs="宋体"/>
                <w:color w:val="auto"/>
                <w:kern w:val="2"/>
                <w:sz w:val="21"/>
                <w:szCs w:val="21"/>
                <w:lang w:val="en-US" w:eastAsia="zh-CN" w:bidi="ar-SA"/>
              </w:rPr>
              <w:t>4</w:t>
            </w:r>
            <w:r>
              <w:rPr>
                <w:rFonts w:hint="default" w:ascii="宋体" w:hAnsi="宋体" w:eastAsia="宋体" w:cs="宋体"/>
                <w:color w:val="auto"/>
                <w:kern w:val="2"/>
                <w:sz w:val="21"/>
                <w:szCs w:val="21"/>
                <w:lang w:val="en-US" w:eastAsia="zh-CN" w:bidi="ar-SA"/>
              </w:rPr>
              <w:t>分，</w:t>
            </w:r>
            <w:r>
              <w:rPr>
                <w:rFonts w:hint="eastAsia" w:hAnsi="宋体" w:cs="宋体"/>
                <w:color w:val="auto"/>
                <w:kern w:val="2"/>
                <w:sz w:val="21"/>
                <w:szCs w:val="21"/>
                <w:lang w:val="en-US" w:eastAsia="zh-CN" w:bidi="ar-SA"/>
              </w:rPr>
              <w:t>售后质保方案描述不全面有缺陷的得2分，</w:t>
            </w:r>
            <w:r>
              <w:rPr>
                <w:rFonts w:hint="default" w:ascii="宋体" w:hAnsi="宋体" w:eastAsia="宋体" w:cs="宋体"/>
                <w:color w:val="auto"/>
                <w:kern w:val="2"/>
                <w:sz w:val="21"/>
                <w:szCs w:val="21"/>
                <w:lang w:val="en-US" w:eastAsia="zh-CN" w:bidi="ar-SA"/>
              </w:rPr>
              <w:t>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5"/>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85"/>
              <w:spacing w:line="360" w:lineRule="auto"/>
              <w:jc w:val="center"/>
              <w:rPr>
                <w:rFonts w:hint="eastAsia" w:ascii="宋体" w:hAnsi="宋体" w:cs="宋体"/>
                <w:sz w:val="21"/>
                <w:szCs w:val="21"/>
              </w:rPr>
            </w:pPr>
          </w:p>
        </w:tc>
        <w:tc>
          <w:tcPr>
            <w:tcW w:w="1665" w:type="dxa"/>
            <w:noWrap w:val="0"/>
            <w:vAlign w:val="center"/>
          </w:tcPr>
          <w:p>
            <w:pPr>
              <w:pStyle w:val="13"/>
              <w:keepNext w:val="0"/>
              <w:keepLines w:val="0"/>
              <w:suppressLineNumbers w:val="0"/>
              <w:snapToGrid w:val="0"/>
              <w:spacing w:before="0" w:beforeAutospacing="0" w:after="0" w:afterAutospacing="0" w:line="360" w:lineRule="auto"/>
              <w:ind w:left="0" w:leftChars="0" w:right="0" w:rightChars="0"/>
              <w:jc w:val="both"/>
              <w:rPr>
                <w:rFonts w:hint="eastAsia" w:ascii="宋体" w:hAnsi="宋体" w:eastAsia="宋体" w:cs="宋体"/>
                <w:color w:val="auto"/>
                <w:kern w:val="2"/>
                <w:sz w:val="21"/>
                <w:szCs w:val="21"/>
                <w:lang w:val="en-US" w:eastAsia="zh-CN" w:bidi="ar-SA"/>
              </w:rPr>
            </w:pPr>
            <w:r>
              <w:rPr>
                <w:rFonts w:hint="default" w:ascii="宋体" w:hAnsi="宋体" w:eastAsia="宋体" w:cs="宋体"/>
                <w:color w:val="auto"/>
                <w:kern w:val="2"/>
                <w:sz w:val="21"/>
                <w:szCs w:val="21"/>
                <w:lang w:val="en-US" w:eastAsia="zh-CN" w:bidi="ar-SA"/>
              </w:rPr>
              <w:t>企业业绩（</w:t>
            </w:r>
            <w:r>
              <w:rPr>
                <w:rFonts w:hint="eastAsia" w:ascii="宋体" w:hAnsi="宋体" w:eastAsia="宋体" w:cs="宋体"/>
                <w:color w:val="auto"/>
                <w:kern w:val="2"/>
                <w:sz w:val="21"/>
                <w:szCs w:val="21"/>
                <w:lang w:val="en-US" w:eastAsia="zh-CN" w:bidi="ar-SA"/>
              </w:rPr>
              <w:t>4</w:t>
            </w:r>
            <w:r>
              <w:rPr>
                <w:rFonts w:hint="default" w:ascii="宋体" w:hAnsi="宋体" w:eastAsia="宋体" w:cs="宋体"/>
                <w:color w:val="auto"/>
                <w:kern w:val="2"/>
                <w:sz w:val="21"/>
                <w:szCs w:val="21"/>
                <w:lang w:val="en-US" w:eastAsia="zh-CN" w:bidi="ar-SA"/>
              </w:rPr>
              <w:t>分）</w:t>
            </w:r>
          </w:p>
        </w:tc>
        <w:tc>
          <w:tcPr>
            <w:tcW w:w="5758" w:type="dxa"/>
            <w:noWrap w:val="0"/>
            <w:vAlign w:val="center"/>
          </w:tcPr>
          <w:p>
            <w:pPr>
              <w:pStyle w:val="10"/>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供应商</w:t>
            </w:r>
            <w:r>
              <w:rPr>
                <w:rFonts w:hint="eastAsia" w:ascii="宋体" w:hAnsi="宋体" w:eastAsia="宋体" w:cs="宋体"/>
                <w:color w:val="auto"/>
                <w:kern w:val="2"/>
                <w:sz w:val="21"/>
                <w:szCs w:val="21"/>
                <w:lang w:val="en-US" w:eastAsia="zh-CN" w:bidi="ar-SA"/>
              </w:rPr>
              <w:t>须提供2021年1月1日以来承担过类似项目业绩的每提供一份得2分，最多得4分，不提供不得分；</w:t>
            </w:r>
            <w:r>
              <w:rPr>
                <w:rFonts w:hint="eastAsia" w:ascii="宋体" w:hAnsi="宋体" w:cs="宋体"/>
                <w:b/>
                <w:bCs/>
              </w:rPr>
              <w:t>（</w:t>
            </w:r>
            <w:r>
              <w:rPr>
                <w:rFonts w:hint="eastAsia" w:ascii="宋体" w:hAnsi="宋体" w:cs="宋体"/>
                <w:b/>
                <w:bCs/>
                <w:szCs w:val="21"/>
              </w:rPr>
              <w:t>响应文件中提供合同</w:t>
            </w:r>
            <w:r>
              <w:rPr>
                <w:rFonts w:hint="eastAsia" w:ascii="宋体" w:hAnsi="宋体" w:cs="宋体"/>
                <w:b/>
                <w:bCs/>
              </w:rPr>
              <w:t>的复印件或扫描件，并加盖供应商公章。）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85"/>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85"/>
              <w:spacing w:line="360" w:lineRule="auto"/>
              <w:jc w:val="center"/>
              <w:rPr>
                <w:rFonts w:hint="eastAsia" w:ascii="宋体" w:hAnsi="宋体" w:cs="宋体"/>
                <w:sz w:val="21"/>
                <w:szCs w:val="21"/>
              </w:rPr>
            </w:pPr>
          </w:p>
        </w:tc>
        <w:tc>
          <w:tcPr>
            <w:tcW w:w="1665" w:type="dxa"/>
            <w:noWrap w:val="0"/>
            <w:vAlign w:val="center"/>
          </w:tcPr>
          <w:p>
            <w:pPr>
              <w:pStyle w:val="13"/>
              <w:keepNext w:val="0"/>
              <w:keepLines w:val="0"/>
              <w:suppressLineNumbers w:val="0"/>
              <w:snapToGrid w:val="0"/>
              <w:spacing w:before="0" w:beforeAutospacing="0" w:after="0" w:afterAutospacing="0" w:line="360" w:lineRule="auto"/>
              <w:ind w:left="0" w:leftChars="0" w:right="0" w:rightChars="0"/>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供货安装期：5 分</w:t>
            </w:r>
          </w:p>
        </w:tc>
        <w:tc>
          <w:tcPr>
            <w:tcW w:w="5758" w:type="dxa"/>
            <w:noWrap w:val="0"/>
            <w:vAlign w:val="center"/>
          </w:tcPr>
          <w:p>
            <w:pPr>
              <w:pStyle w:val="10"/>
              <w:keepNext w:val="0"/>
              <w:keepLines w:val="0"/>
              <w:suppressLineNumbers w:val="0"/>
              <w:spacing w:before="0" w:beforeAutospacing="0" w:after="0" w:afterAutospacing="0"/>
              <w:ind w:left="0" w:leftChars="0" w:right="0" w:rightChars="0"/>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供应商</w:t>
            </w:r>
            <w:r>
              <w:rPr>
                <w:rFonts w:hint="eastAsia" w:ascii="宋体" w:hAnsi="宋体" w:eastAsia="宋体" w:cs="宋体"/>
                <w:color w:val="auto"/>
                <w:kern w:val="2"/>
                <w:sz w:val="21"/>
                <w:szCs w:val="21"/>
                <w:lang w:val="en-US" w:eastAsia="zh-CN" w:bidi="ar-SA"/>
              </w:rPr>
              <w:t>优于</w:t>
            </w:r>
            <w:r>
              <w:rPr>
                <w:rFonts w:hint="eastAsia" w:ascii="宋体" w:hAnsi="宋体" w:cs="宋体"/>
                <w:color w:val="auto"/>
                <w:kern w:val="2"/>
                <w:sz w:val="21"/>
                <w:szCs w:val="21"/>
                <w:lang w:val="en-US" w:eastAsia="zh-CN" w:bidi="ar-SA"/>
              </w:rPr>
              <w:t>竞争性磋商</w:t>
            </w:r>
            <w:r>
              <w:rPr>
                <w:rFonts w:hint="eastAsia" w:ascii="宋体" w:hAnsi="宋体" w:eastAsia="宋体" w:cs="宋体"/>
                <w:color w:val="auto"/>
                <w:kern w:val="2"/>
                <w:sz w:val="21"/>
                <w:szCs w:val="21"/>
                <w:lang w:val="en-US" w:eastAsia="zh-CN" w:bidi="ar-SA"/>
              </w:rPr>
              <w:t>文件要求的按照响应情况每提前1天加 1 分，最多加 5分。注：提前时间不足1天的，不加分</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注：</w:t>
      </w:r>
      <w:r>
        <w:rPr>
          <w:rFonts w:hint="eastAsia" w:ascii="宋体" w:hAnsi="宋体" w:cs="宋体"/>
          <w:b/>
          <w:bCs/>
          <w:szCs w:val="21"/>
          <w:lang w:val="en-US" w:eastAsia="zh-CN"/>
        </w:rPr>
        <w:t>1.</w:t>
      </w:r>
      <w:r>
        <w:rPr>
          <w:rFonts w:hint="eastAsia" w:ascii="宋体" w:hAnsi="宋体" w:cs="宋体"/>
          <w:b/>
          <w:bCs/>
          <w:szCs w:val="21"/>
        </w:rPr>
        <w:t>评分办法中要求的证明材料均需按要求附响应文件中，否则不得分。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pStyle w:val="37"/>
        <w:rPr>
          <w:rFonts w:hint="eastAsia" w:ascii="宋体" w:hAnsi="宋体" w:cs="宋体"/>
          <w:szCs w:val="21"/>
        </w:rPr>
      </w:pPr>
    </w:p>
    <w:bookmarkEnd w:id="69"/>
    <w:bookmarkEnd w:id="70"/>
    <w:p>
      <w:pPr>
        <w:rPr>
          <w:rFonts w:hint="eastAsia"/>
        </w:rPr>
        <w:sectPr>
          <w:footerReference r:id="rId10" w:type="default"/>
          <w:pgSz w:w="11906" w:h="16838"/>
          <w:pgMar w:top="1134" w:right="1134" w:bottom="1134" w:left="1474" w:header="851" w:footer="510" w:gutter="0"/>
          <w:cols w:space="720" w:num="1"/>
          <w:docGrid w:type="lines" w:linePitch="312" w:charSpace="0"/>
        </w:sectPr>
      </w:pPr>
      <w:bookmarkStart w:id="71" w:name="_Toc113459850"/>
      <w:bookmarkStart w:id="72" w:name="_Toc7461"/>
    </w:p>
    <w:p>
      <w:pPr>
        <w:pStyle w:val="35"/>
        <w:numPr>
          <w:ilvl w:val="0"/>
          <w:numId w:val="1"/>
        </w:numPr>
        <w:spacing w:before="0" w:after="0" w:line="360" w:lineRule="auto"/>
        <w:ind w:firstLine="0"/>
        <w:rPr>
          <w:rFonts w:hint="eastAsia" w:ascii="宋体" w:hAnsi="宋体" w:cs="宋体"/>
        </w:rPr>
      </w:pPr>
      <w:bookmarkStart w:id="73" w:name="_Toc15626"/>
      <w:r>
        <w:rPr>
          <w:rFonts w:hint="eastAsia" w:ascii="宋体" w:hAnsi="宋体" w:cs="宋体"/>
        </w:rPr>
        <w:t>拟签订的合同</w:t>
      </w:r>
      <w:bookmarkStart w:id="74" w:name="_Toc218418181"/>
      <w:bookmarkStart w:id="75" w:name="_Toc214329890"/>
      <w:bookmarkStart w:id="76" w:name="_Toc153880771"/>
      <w:bookmarkStart w:id="77" w:name="_Toc373230031"/>
      <w:bookmarkStart w:id="78" w:name="_Toc374512418"/>
      <w:r>
        <w:rPr>
          <w:rFonts w:hint="eastAsia" w:ascii="宋体" w:hAnsi="宋体" w:cs="宋体"/>
        </w:rPr>
        <w:t>文本</w:t>
      </w:r>
      <w:bookmarkEnd w:id="71"/>
      <w:bookmarkEnd w:id="73"/>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甲方：（采购单位）</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乙方：（供应商 ）</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甲、乙双方持采购人、采购代理公司签发的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采购项目成交通知书，根据采购文件、响应性文件的内容，并经双方协商一致，达成以下合同条款：</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一、本合同所指货物为此次采购的货物（注明品名、规格、数量、单价等技术要求），合同总价款为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二、货物质量要求及乙方对质量负责条件和期限：</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乙方提供的货物达到乙方响应文件及澄清中的技术标准。（售后服务要求按采购文件及响应性文件相应条款制订）</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三、交货时间、地点、方式、验收：</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乙方应于202</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年 月 日前按甲方要求在</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（甲方指定地点）将货物运送达到验收条件。货物运送产生的费用由乙方负责。由甲方组织相关人员进行验收。</w:t>
      </w:r>
    </w:p>
    <w:p>
      <w:pPr>
        <w:numPr>
          <w:ilvl w:val="0"/>
          <w:numId w:val="8"/>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付款方式：</w:t>
      </w:r>
      <w:r>
        <w:rPr>
          <w:rFonts w:hint="eastAsia" w:ascii="宋体" w:hAnsi="宋体" w:cs="宋体"/>
          <w:bCs/>
        </w:rPr>
        <w:t>项目完工后由发包人组织验收，验收合格后，向乙方首付合同款的9</w:t>
      </w:r>
      <w:r>
        <w:rPr>
          <w:rFonts w:hint="eastAsia" w:ascii="宋体" w:hAnsi="宋体" w:cs="宋体"/>
          <w:bCs/>
          <w:lang w:val="en-US" w:eastAsia="zh-CN"/>
        </w:rPr>
        <w:t>7</w:t>
      </w:r>
      <w:r>
        <w:rPr>
          <w:rFonts w:hint="eastAsia" w:ascii="宋体" w:hAnsi="宋体" w:cs="宋体"/>
          <w:bCs/>
        </w:rPr>
        <w:t>%，质保期为一年，质保期内安装灯具若出现质量及安全问题，属于供货方责任的，由供货方无偿维修赔偿，一年期满无质量问题支付剩余</w:t>
      </w:r>
      <w:r>
        <w:rPr>
          <w:rFonts w:hint="eastAsia" w:ascii="宋体" w:hAnsi="宋体" w:cs="宋体"/>
          <w:bCs/>
          <w:lang w:val="en-US" w:eastAsia="zh-CN"/>
        </w:rPr>
        <w:t>3</w:t>
      </w:r>
      <w:r>
        <w:rPr>
          <w:rFonts w:hint="eastAsia" w:ascii="宋体" w:hAnsi="宋体" w:cs="宋体"/>
          <w:bCs/>
        </w:rPr>
        <w:t>%合同款。</w:t>
      </w:r>
    </w:p>
    <w:p>
      <w:pPr>
        <w:numPr>
          <w:ilvl w:val="0"/>
          <w:numId w:val="8"/>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违约责任：甲方无正当理由拒收货物、拒付货款的，向乙方偿付拒收拒付部分货物款总额的________违约金。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乙方不能交付货物的，乙方向甲方支付未交付部分货物款总额____违约金。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若因中标人原因不能按期按质供货的，将扣除中标人2万元的违约金，同时每超过一天另扣除合同金额的千分之一。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六、因货物的质量问题发生争议，由甲方所在地市级技术监督单位进行质量鉴定。</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七、甲乙双方应严格遵守投标要求和供应商须知，如有违反，按投标要求和供应商须知规定予以处理。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八、采购文件及其修改补充、投标文件及其修改补充澄清均为本合同的组成部分。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十、合同生效及其它：</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甲方：</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地址：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                   法定代表人：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                   委托代理人：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电话：</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开户银行：</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银行账号：</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银行账号：</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签约时间：                     签约地点：</w:t>
      </w:r>
    </w:p>
    <w:p>
      <w:pPr>
        <w:adjustRightInd w:val="0"/>
        <w:spacing w:line="360" w:lineRule="auto"/>
        <w:ind w:firstLine="422" w:firstLineChars="200"/>
        <w:textAlignment w:val="baseline"/>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重要提示：以上合同文本作为签订合同的重要依据，涉及付款方式、供应商名称等实质性内容不得变更。</w:t>
      </w: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bookmarkEnd w:id="74"/>
    <w:bookmarkEnd w:id="75"/>
    <w:bookmarkEnd w:id="76"/>
    <w:bookmarkEnd w:id="77"/>
    <w:bookmarkEnd w:id="78"/>
    <w:p>
      <w:pPr>
        <w:pStyle w:val="35"/>
        <w:numPr>
          <w:ilvl w:val="0"/>
          <w:numId w:val="1"/>
        </w:numPr>
        <w:spacing w:before="0" w:after="0" w:line="360" w:lineRule="auto"/>
        <w:ind w:firstLine="0"/>
        <w:rPr>
          <w:rFonts w:hint="eastAsia" w:ascii="宋体" w:hAnsi="宋体" w:cs="宋体"/>
        </w:rPr>
      </w:pPr>
      <w:bookmarkStart w:id="79" w:name="_Toc23819"/>
      <w:r>
        <w:rPr>
          <w:rFonts w:hint="eastAsia" w:ascii="宋体" w:hAnsi="宋体" w:cs="宋体"/>
        </w:rPr>
        <w:t>采购需求</w:t>
      </w:r>
      <w:bookmarkEnd w:id="72"/>
      <w:bookmarkEnd w:id="79"/>
    </w:p>
    <w:p>
      <w:pPr>
        <w:widowControl/>
        <w:adjustRightInd w:val="0"/>
        <w:spacing w:line="360" w:lineRule="auto"/>
        <w:rPr>
          <w:rFonts w:ascii="宋体" w:hAnsi="宋体"/>
          <w:b/>
          <w:kern w:val="0"/>
          <w:sz w:val="21"/>
          <w:szCs w:val="21"/>
        </w:rPr>
      </w:pPr>
      <w:bookmarkStart w:id="80" w:name="_Toc20594"/>
      <w:bookmarkStart w:id="81" w:name="_Toc4426"/>
      <w:bookmarkStart w:id="82" w:name="_Toc487805927"/>
      <w:bookmarkStart w:id="83" w:name="_Toc11229"/>
      <w:bookmarkStart w:id="84" w:name="_Toc374512420"/>
      <w:bookmarkStart w:id="85" w:name="_Toc477423251"/>
      <w:bookmarkStart w:id="86" w:name="_Toc373230032"/>
      <w:r>
        <w:rPr>
          <w:rFonts w:hint="eastAsia" w:ascii="宋体" w:hAnsi="宋体"/>
          <w:b/>
          <w:kern w:val="0"/>
          <w:sz w:val="21"/>
          <w:szCs w:val="21"/>
        </w:rPr>
        <w:t>一、</w:t>
      </w:r>
      <w:r>
        <w:rPr>
          <w:rFonts w:ascii="宋体" w:hAnsi="宋体"/>
          <w:b/>
          <w:kern w:val="0"/>
          <w:sz w:val="21"/>
          <w:szCs w:val="21"/>
        </w:rPr>
        <w:t>相关说明</w:t>
      </w:r>
    </w:p>
    <w:p>
      <w:pPr>
        <w:widowControl/>
        <w:numPr>
          <w:ilvl w:val="2"/>
          <w:numId w:val="9"/>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9"/>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0"/>
        </w:numPr>
        <w:spacing w:line="360" w:lineRule="auto"/>
        <w:ind w:left="0" w:leftChars="0" w:firstLine="420" w:firstLineChars="200"/>
        <w:rPr>
          <w:rFonts w:hint="default" w:ascii="宋体" w:hAnsi="宋体" w:eastAsia="宋体"/>
          <w:color w:val="auto"/>
          <w:sz w:val="21"/>
          <w:szCs w:val="21"/>
          <w:lang w:val="en-US" w:eastAsia="zh-CN"/>
        </w:rPr>
      </w:pPr>
      <w:r>
        <w:rPr>
          <w:rFonts w:hint="default" w:ascii="宋体" w:hAnsi="宋体" w:eastAsia="宋体" w:cs="宋体"/>
          <w:color w:val="auto"/>
          <w:kern w:val="2"/>
          <w:sz w:val="21"/>
          <w:szCs w:val="21"/>
          <w:lang w:val="en-US" w:eastAsia="zh-CN" w:bidi="ar-SA"/>
        </w:rPr>
        <w:t>1.</w:t>
      </w:r>
      <w:r>
        <w:rPr>
          <w:rFonts w:hint="eastAsia" w:ascii="宋体" w:hAnsi="宋体"/>
          <w:color w:val="auto"/>
          <w:sz w:val="21"/>
          <w:szCs w:val="21"/>
        </w:rPr>
        <w:t>合同履行期限：</w:t>
      </w:r>
      <w:r>
        <w:rPr>
          <w:rFonts w:hint="eastAsia" w:ascii="宋体" w:hAnsi="宋体"/>
          <w:color w:val="auto"/>
          <w:sz w:val="21"/>
          <w:szCs w:val="21"/>
          <w:lang w:val="en-US" w:eastAsia="zh-CN"/>
        </w:rPr>
        <w:t>15日历天</w:t>
      </w:r>
    </w:p>
    <w:p>
      <w:pPr>
        <w:numPr>
          <w:ilvl w:val="2"/>
          <w:numId w:val="0"/>
        </w:numPr>
        <w:spacing w:line="360" w:lineRule="auto"/>
        <w:ind w:left="0" w:leftChars="0" w:firstLine="420" w:firstLineChars="200"/>
        <w:rPr>
          <w:rFonts w:hint="default" w:ascii="宋体" w:hAnsi="宋体" w:eastAsia="宋体"/>
          <w:color w:val="auto"/>
          <w:sz w:val="21"/>
          <w:szCs w:val="21"/>
          <w:lang w:val="en-US" w:eastAsia="zh-CN"/>
        </w:rPr>
      </w:pPr>
      <w:r>
        <w:rPr>
          <w:rFonts w:hint="default" w:ascii="宋体" w:hAnsi="宋体" w:eastAsia="宋体" w:cs="宋体"/>
          <w:color w:val="auto"/>
          <w:kern w:val="2"/>
          <w:sz w:val="21"/>
          <w:szCs w:val="21"/>
          <w:lang w:val="en-US" w:eastAsia="zh-CN" w:bidi="ar-SA"/>
        </w:rPr>
        <w:t>2.</w:t>
      </w:r>
      <w:r>
        <w:rPr>
          <w:rFonts w:hint="eastAsia" w:ascii="宋体" w:hAnsi="宋体"/>
          <w:color w:val="auto"/>
          <w:sz w:val="21"/>
          <w:szCs w:val="21"/>
        </w:rPr>
        <w:t>供货地点：</w:t>
      </w:r>
      <w:r>
        <w:rPr>
          <w:rFonts w:hint="eastAsia" w:ascii="宋体" w:hAnsi="宋体"/>
          <w:color w:val="auto"/>
          <w:sz w:val="21"/>
          <w:szCs w:val="21"/>
          <w:lang w:val="en-US" w:eastAsia="zh-CN"/>
        </w:rPr>
        <w:t>武陟县区域内</w:t>
      </w:r>
    </w:p>
    <w:p>
      <w:pPr>
        <w:numPr>
          <w:ilvl w:val="2"/>
          <w:numId w:val="0"/>
        </w:numPr>
        <w:spacing w:line="360" w:lineRule="auto"/>
        <w:ind w:left="0" w:leftChars="0" w:firstLine="420" w:firstLineChars="200"/>
        <w:rPr>
          <w:rFonts w:hint="eastAsia" w:ascii="宋体" w:hAnsi="宋体" w:eastAsia="宋体"/>
          <w:color w:val="auto"/>
          <w:sz w:val="21"/>
          <w:szCs w:val="21"/>
          <w:lang w:val="en-US" w:eastAsia="zh-CN"/>
        </w:rPr>
      </w:pPr>
      <w:r>
        <w:rPr>
          <w:rFonts w:hint="default" w:ascii="宋体" w:hAnsi="宋体" w:eastAsia="宋体" w:cs="宋体"/>
          <w:color w:val="auto"/>
          <w:kern w:val="2"/>
          <w:sz w:val="21"/>
          <w:szCs w:val="21"/>
          <w:lang w:val="en-US" w:eastAsia="zh-CN" w:bidi="ar-SA"/>
        </w:rPr>
        <w:t>3.</w:t>
      </w:r>
      <w:r>
        <w:rPr>
          <w:rFonts w:hint="eastAsia" w:ascii="宋体" w:hAnsi="宋体"/>
          <w:color w:val="auto"/>
          <w:sz w:val="21"/>
          <w:szCs w:val="21"/>
        </w:rPr>
        <w:t>质量标准：</w:t>
      </w:r>
      <w:r>
        <w:rPr>
          <w:rFonts w:hint="eastAsia" w:ascii="宋体" w:hAnsi="宋体"/>
          <w:color w:val="auto"/>
          <w:sz w:val="21"/>
          <w:szCs w:val="21"/>
          <w:lang w:val="en-US" w:eastAsia="zh-CN"/>
        </w:rPr>
        <w:t>合格，符合国家及行业规范要求</w:t>
      </w:r>
    </w:p>
    <w:p>
      <w:pPr>
        <w:numPr>
          <w:ilvl w:val="2"/>
          <w:numId w:val="0"/>
        </w:numPr>
        <w:spacing w:line="360" w:lineRule="auto"/>
        <w:ind w:left="0" w:leftChars="0" w:firstLine="420" w:firstLineChars="200"/>
        <w:rPr>
          <w:rFonts w:hint="default" w:ascii="宋体" w:hAnsi="宋体" w:eastAsia="宋体"/>
          <w:color w:val="auto"/>
          <w:sz w:val="21"/>
          <w:szCs w:val="21"/>
          <w:lang w:val="en-US" w:eastAsia="zh-CN"/>
        </w:rPr>
      </w:pPr>
      <w:r>
        <w:rPr>
          <w:rFonts w:hint="default" w:ascii="宋体" w:hAnsi="宋体" w:eastAsia="宋体" w:cs="宋体"/>
          <w:color w:val="auto"/>
          <w:kern w:val="2"/>
          <w:sz w:val="21"/>
          <w:szCs w:val="21"/>
          <w:lang w:val="en-US" w:eastAsia="zh-CN" w:bidi="ar-SA"/>
        </w:rPr>
        <w:t>4.</w:t>
      </w:r>
      <w:r>
        <w:rPr>
          <w:rFonts w:hint="eastAsia" w:ascii="宋体" w:hAnsi="宋体"/>
          <w:color w:val="auto"/>
          <w:sz w:val="21"/>
          <w:szCs w:val="21"/>
        </w:rPr>
        <w:t>质量保证期：</w:t>
      </w:r>
      <w:r>
        <w:rPr>
          <w:rFonts w:hint="eastAsia" w:ascii="宋体" w:hAnsi="宋体"/>
          <w:color w:val="auto"/>
          <w:sz w:val="21"/>
          <w:szCs w:val="21"/>
          <w:lang w:val="en-US" w:eastAsia="zh-CN"/>
        </w:rPr>
        <w:t>1年</w:t>
      </w:r>
    </w:p>
    <w:p>
      <w:pPr>
        <w:numPr>
          <w:ilvl w:val="2"/>
          <w:numId w:val="0"/>
        </w:numPr>
        <w:spacing w:line="360" w:lineRule="auto"/>
        <w:ind w:left="0" w:leftChars="0" w:firstLine="420" w:firstLineChars="200"/>
        <w:rPr>
          <w:rFonts w:hint="eastAsia" w:ascii="宋体" w:hAnsi="宋体" w:eastAsia="宋体"/>
          <w:kern w:val="0"/>
          <w:sz w:val="21"/>
          <w:szCs w:val="21"/>
          <w:lang w:eastAsia="zh-CN"/>
        </w:rPr>
      </w:pPr>
      <w:r>
        <w:rPr>
          <w:rFonts w:hint="eastAsia" w:ascii="宋体" w:hAnsi="宋体" w:cs="宋体"/>
          <w:color w:val="auto"/>
          <w:kern w:val="2"/>
          <w:sz w:val="21"/>
          <w:szCs w:val="21"/>
          <w:lang w:val="en-US" w:eastAsia="zh-CN" w:bidi="ar-SA"/>
        </w:rPr>
        <w:t>5</w:t>
      </w:r>
      <w:r>
        <w:rPr>
          <w:rFonts w:hint="default" w:ascii="宋体" w:hAnsi="宋体" w:eastAsia="宋体" w:cs="宋体"/>
          <w:color w:val="auto"/>
          <w:kern w:val="2"/>
          <w:sz w:val="21"/>
          <w:szCs w:val="21"/>
          <w:lang w:val="en-US" w:eastAsia="zh-CN" w:bidi="ar-SA"/>
        </w:rPr>
        <w:t>.</w:t>
      </w:r>
      <w:r>
        <w:rPr>
          <w:rFonts w:hint="eastAsia" w:ascii="宋体" w:hAnsi="宋体"/>
          <w:color w:val="auto"/>
          <w:sz w:val="21"/>
          <w:szCs w:val="21"/>
        </w:rPr>
        <w:t>付款方式：</w:t>
      </w:r>
      <w:r>
        <w:rPr>
          <w:rFonts w:hint="eastAsia" w:ascii="宋体" w:hAnsi="宋体" w:eastAsia="宋体"/>
          <w:color w:val="auto"/>
          <w:kern w:val="0"/>
          <w:sz w:val="21"/>
          <w:szCs w:val="21"/>
        </w:rPr>
        <w:t>项目完工后由发包人组织验收，验收合格后，向乙方首付合同款的9</w:t>
      </w:r>
      <w:r>
        <w:rPr>
          <w:rFonts w:hint="eastAsia" w:ascii="宋体" w:hAnsi="宋体"/>
          <w:color w:val="auto"/>
          <w:kern w:val="0"/>
          <w:sz w:val="21"/>
          <w:szCs w:val="21"/>
          <w:lang w:val="en-US" w:eastAsia="zh-CN"/>
        </w:rPr>
        <w:t>7</w:t>
      </w:r>
      <w:r>
        <w:rPr>
          <w:rFonts w:hint="eastAsia" w:ascii="宋体" w:hAnsi="宋体" w:eastAsia="宋体"/>
          <w:color w:val="auto"/>
          <w:kern w:val="0"/>
          <w:sz w:val="21"/>
          <w:szCs w:val="21"/>
        </w:rPr>
        <w:t>%，质保期为一年，质保期内安装灯具若出现质量及</w:t>
      </w:r>
      <w:r>
        <w:rPr>
          <w:rFonts w:hint="eastAsia" w:ascii="宋体" w:hAnsi="宋体" w:eastAsia="宋体"/>
          <w:kern w:val="0"/>
          <w:sz w:val="21"/>
          <w:szCs w:val="21"/>
        </w:rPr>
        <w:t>安全问题，属于供货方责任的，由供货方无偿维修赔偿，一年期满无质量问题支付剩余</w:t>
      </w:r>
      <w:r>
        <w:rPr>
          <w:rFonts w:hint="eastAsia" w:ascii="宋体" w:hAnsi="宋体"/>
          <w:kern w:val="0"/>
          <w:sz w:val="21"/>
          <w:szCs w:val="21"/>
          <w:lang w:val="en-US" w:eastAsia="zh-CN"/>
        </w:rPr>
        <w:t>3</w:t>
      </w:r>
      <w:r>
        <w:rPr>
          <w:rFonts w:hint="eastAsia" w:ascii="宋体" w:hAnsi="宋体" w:eastAsia="宋体"/>
          <w:kern w:val="0"/>
          <w:sz w:val="21"/>
          <w:szCs w:val="21"/>
        </w:rPr>
        <w:t>%合同款</w:t>
      </w:r>
      <w:r>
        <w:rPr>
          <w:rFonts w:hint="eastAsia" w:ascii="宋体" w:hAnsi="宋体" w:eastAsia="宋体"/>
          <w:kern w:val="0"/>
          <w:sz w:val="21"/>
          <w:szCs w:val="21"/>
          <w:lang w:eastAsia="zh-CN"/>
        </w:rPr>
        <w:t>。</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lang w:val="en-US" w:eastAsia="zh-CN"/>
        </w:rPr>
        <w:t>三</w:t>
      </w:r>
      <w:r>
        <w:rPr>
          <w:rFonts w:hint="eastAsia" w:ascii="宋体" w:hAnsi="宋体"/>
          <w:b/>
          <w:kern w:val="0"/>
          <w:sz w:val="21"/>
          <w:szCs w:val="21"/>
        </w:rPr>
        <w:t>、采购内容及技术要求</w:t>
      </w:r>
    </w:p>
    <w:p>
      <w:pPr>
        <w:spacing w:line="360" w:lineRule="auto"/>
        <w:jc w:val="left"/>
        <w:rPr>
          <w:rFonts w:hint="eastAsia" w:ascii="宋体" w:hAnsi="宋体"/>
          <w:color w:val="auto"/>
          <w:sz w:val="21"/>
          <w:szCs w:val="21"/>
        </w:rPr>
      </w:pPr>
      <w:r>
        <w:rPr>
          <w:rFonts w:hint="eastAsia" w:ascii="宋体" w:hAnsi="宋体"/>
          <w:color w:val="auto"/>
          <w:sz w:val="21"/>
          <w:szCs w:val="21"/>
        </w:rPr>
        <w:t>1.本项目的核心产品为：</w:t>
      </w:r>
      <w:r>
        <w:rPr>
          <w:rFonts w:hint="eastAsia" w:ascii="宋体" w:hAnsi="宋体" w:eastAsia="宋体"/>
          <w:color w:val="000000"/>
          <w:kern w:val="0"/>
          <w:sz w:val="21"/>
          <w:szCs w:val="21"/>
          <w:lang w:val="en-US" w:eastAsia="zh-CN"/>
        </w:rPr>
        <w:t>中国结</w:t>
      </w:r>
    </w:p>
    <w:tbl>
      <w:tblPr>
        <w:tblStyle w:val="38"/>
        <w:tblW w:w="101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296"/>
        <w:gridCol w:w="4224"/>
        <w:gridCol w:w="1193"/>
        <w:gridCol w:w="1164"/>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序号</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rPr>
            </w:pPr>
            <w:r>
              <w:rPr>
                <w:rFonts w:hint="eastAsia" w:ascii="宋体" w:hAnsi="宋体"/>
                <w:b/>
                <w:color w:val="000000"/>
                <w:kern w:val="0"/>
                <w:sz w:val="21"/>
                <w:szCs w:val="21"/>
                <w:lang w:eastAsia="zh-CN"/>
              </w:rPr>
              <w:t>标的</w:t>
            </w:r>
            <w:r>
              <w:rPr>
                <w:rFonts w:hint="eastAsia" w:ascii="宋体" w:hAnsi="宋体"/>
                <w:b/>
                <w:color w:val="000000"/>
                <w:kern w:val="0"/>
                <w:sz w:val="21"/>
                <w:szCs w:val="21"/>
              </w:rPr>
              <w:t>名称</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主要技术参数、性能、配置等要求</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lang w:val="en-US" w:eastAsia="zh-CN"/>
              </w:rPr>
              <w:t>数量</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桃中桃彩灯</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规格要求：35</w:t>
            </w:r>
            <w:r>
              <w:rPr>
                <w:rFonts w:hint="eastAsia" w:ascii="宋体" w:hAnsi="宋体"/>
                <w:color w:val="000000"/>
                <w:kern w:val="0"/>
                <w:sz w:val="21"/>
                <w:szCs w:val="21"/>
                <w:lang w:val="en-US" w:eastAsia="zh-CN"/>
              </w:rPr>
              <w:t>c</w:t>
            </w:r>
            <w:r>
              <w:rPr>
                <w:rFonts w:hint="eastAsia" w:ascii="宋体" w:hAnsi="宋体" w:eastAsia="宋体"/>
                <w:color w:val="000000"/>
                <w:kern w:val="0"/>
                <w:sz w:val="21"/>
                <w:szCs w:val="21"/>
                <w:lang w:val="en-US" w:eastAsia="zh-CN"/>
              </w:rPr>
              <w:t>m*20</w:t>
            </w:r>
            <w:r>
              <w:rPr>
                <w:rFonts w:hint="eastAsia" w:ascii="宋体" w:hAnsi="宋体"/>
                <w:color w:val="000000"/>
                <w:kern w:val="0"/>
                <w:sz w:val="21"/>
                <w:szCs w:val="21"/>
                <w:lang w:val="en-US" w:eastAsia="zh-CN"/>
              </w:rPr>
              <w:t>c</w:t>
            </w:r>
            <w:r>
              <w:rPr>
                <w:rFonts w:hint="eastAsia" w:ascii="宋体" w:hAnsi="宋体" w:eastAsia="宋体"/>
                <w:color w:val="000000"/>
                <w:kern w:val="0"/>
                <w:sz w:val="21"/>
                <w:szCs w:val="21"/>
                <w:lang w:val="en-US" w:eastAsia="zh-CN"/>
              </w:rPr>
              <w:t>m材质：PVC</w:t>
            </w:r>
          </w:p>
          <w:p>
            <w:pPr>
              <w:widowControl/>
              <w:spacing w:line="400" w:lineRule="exact"/>
              <w:jc w:val="left"/>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 xml:space="preserve">功率：5W：AC220V </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342</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2</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网灯暖</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规格：2m*3m 功率：AC220V光源：LED灯组</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79</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3</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烟花灯</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光源：LED功率：5W-AC220V色温：3000K</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19</w:t>
            </w:r>
            <w:r>
              <w:rPr>
                <w:rFonts w:hint="eastAsia" w:ascii="宋体" w:hAnsi="宋体"/>
                <w:color w:val="000000"/>
                <w:kern w:val="0"/>
                <w:sz w:val="21"/>
                <w:szCs w:val="21"/>
                <w:lang w:val="en-US" w:eastAsia="zh-CN"/>
              </w:rPr>
              <w:t>72</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4</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灯串暖黄</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颜色：暖黄 功率：5W-AC220V色温：3000K</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串</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18</w:t>
            </w:r>
            <w:r>
              <w:rPr>
                <w:rFonts w:hint="eastAsia" w:ascii="宋体" w:hAnsi="宋体"/>
                <w:color w:val="000000"/>
                <w:kern w:val="0"/>
                <w:sz w:val="21"/>
                <w:szCs w:val="21"/>
                <w:lang w:val="en-US" w:eastAsia="zh-CN"/>
              </w:rPr>
              <w:t>98</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5</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灯串接头</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 xml:space="preserve">接口类型：公母插 </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条</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935</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lang w:val="en-US" w:eastAsia="zh-CN"/>
              </w:rPr>
            </w:pPr>
            <w:r>
              <w:rPr>
                <w:rFonts w:hint="eastAsia" w:ascii="宋体" w:hAnsi="宋体"/>
                <w:color w:val="000000"/>
                <w:kern w:val="0"/>
                <w:sz w:val="21"/>
                <w:szCs w:val="21"/>
                <w:lang w:val="en-US" w:eastAsia="zh-CN"/>
              </w:rPr>
              <w:t>6</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灯笼</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 xml:space="preserve">规格：直径30cm 材质：亚克力 </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功率：4W-AC220V</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光源：高亮LED</w:t>
            </w:r>
          </w:p>
          <w:p>
            <w:pPr>
              <w:widowControl/>
              <w:spacing w:line="400" w:lineRule="exact"/>
              <w:jc w:val="left"/>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外壳颜色:中国红</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5284</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7</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3连串灯笼</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 xml:space="preserve">3连串灯笼规格：60cm*3个 </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 xml:space="preserve">材质：亚克力 </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支架材质:热镀锌管(20*40MM方管)</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功率：LED光源/30W*2</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灯笼颜色:中国红</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上盖颜色:米黄色</w:t>
            </w:r>
          </w:p>
          <w:p>
            <w:pPr>
              <w:widowControl/>
              <w:spacing w:line="400" w:lineRule="exact"/>
              <w:jc w:val="left"/>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下盖颜色:米黄色</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140</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8</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中国结</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中国结尺寸:宽800mm高985mm</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整体尺寸:宽885mm*高2100mm</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外壳材质:ABS+PET防褪色塑料</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外壳颜色:中国红</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支架材质:镀锌管(20*40)+酸洗烤漆</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支架颜色:黄色</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光源:LED防水模组</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电源:防水恒压电源</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串</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160</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9</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电线</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LRVS2x1.5</w:t>
            </w:r>
          </w:p>
          <w:p>
            <w:pPr>
              <w:widowControl/>
              <w:spacing w:line="400" w:lineRule="exact"/>
              <w:jc w:val="left"/>
              <w:rPr>
                <w:rFonts w:hint="eastAsia" w:ascii="宋体" w:hAnsi="宋体" w:eastAsia="宋体"/>
                <w:color w:val="000000"/>
                <w:kern w:val="0"/>
                <w:sz w:val="21"/>
                <w:szCs w:val="21"/>
                <w:lang w:val="en-US" w:eastAsia="zh-CN"/>
              </w:rPr>
            </w:pP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米</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18600</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10</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电线</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LRVVB2x2.5</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米</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23400</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11</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发光字</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规格：1m*1m  材质：亚克力 光源:LED</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8</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12</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4连串灯笼</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规格：单个灯笼直径15cm</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 xml:space="preserve">材质：亚克力 </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功率：4W-AC220V</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光源：高亮LED外壳颜色:中国红</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40</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13</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Times New Roman"/>
                <w:color w:val="000000"/>
                <w:kern w:val="0"/>
                <w:sz w:val="21"/>
                <w:szCs w:val="21"/>
                <w:lang w:val="en-US" w:eastAsia="zh-CN" w:bidi="ar-SA"/>
              </w:rPr>
            </w:pPr>
            <w:r>
              <w:rPr>
                <w:rFonts w:hint="eastAsia" w:ascii="宋体" w:hAnsi="宋体" w:eastAsia="宋体"/>
                <w:color w:val="000000"/>
                <w:kern w:val="0"/>
                <w:sz w:val="21"/>
                <w:szCs w:val="21"/>
                <w:lang w:val="en-US" w:eastAsia="zh-CN"/>
              </w:rPr>
              <w:t>灯串彩色</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s="Times New Roman"/>
                <w:color w:val="000000"/>
                <w:kern w:val="0"/>
                <w:sz w:val="21"/>
                <w:szCs w:val="21"/>
                <w:lang w:val="en-US" w:eastAsia="zh-CN" w:bidi="ar-SA"/>
              </w:rPr>
            </w:pPr>
            <w:r>
              <w:rPr>
                <w:rFonts w:hint="eastAsia" w:ascii="宋体" w:hAnsi="宋体" w:eastAsia="宋体"/>
                <w:color w:val="000000"/>
                <w:kern w:val="0"/>
                <w:sz w:val="21"/>
                <w:szCs w:val="21"/>
                <w:lang w:val="en-US" w:eastAsia="zh-CN"/>
              </w:rPr>
              <w:t>颜色：彩色 功率：5W-AC220V色温：3000K</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Times New Roman"/>
                <w:color w:val="000000"/>
                <w:kern w:val="0"/>
                <w:sz w:val="21"/>
                <w:szCs w:val="21"/>
                <w:lang w:val="en-US" w:eastAsia="zh-CN" w:bidi="ar-SA"/>
              </w:rPr>
            </w:pPr>
            <w:r>
              <w:rPr>
                <w:rFonts w:hint="eastAsia" w:ascii="宋体" w:hAnsi="宋体" w:eastAsia="宋体"/>
                <w:color w:val="000000"/>
                <w:kern w:val="0"/>
                <w:sz w:val="21"/>
                <w:szCs w:val="21"/>
                <w:lang w:val="en-US" w:eastAsia="zh-CN"/>
              </w:rPr>
              <w:t>串</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s="Times New Roman"/>
                <w:color w:val="000000"/>
                <w:kern w:val="0"/>
                <w:sz w:val="21"/>
                <w:szCs w:val="21"/>
                <w:lang w:val="en-US" w:eastAsia="zh-CN" w:bidi="ar-SA"/>
              </w:rPr>
            </w:pPr>
            <w:r>
              <w:rPr>
                <w:rFonts w:hint="eastAsia" w:ascii="宋体" w:hAnsi="宋体" w:eastAsia="宋体"/>
                <w:color w:val="000000"/>
                <w:kern w:val="0"/>
                <w:sz w:val="21"/>
                <w:szCs w:val="21"/>
                <w:lang w:val="en-US" w:eastAsia="zh-CN"/>
              </w:rPr>
              <w:t>240</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14</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rPr>
              <w:t>马尾灯</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default"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规格要求：</w:t>
            </w:r>
            <w:r>
              <w:rPr>
                <w:rFonts w:hint="eastAsia" w:ascii="宋体" w:hAnsi="宋体"/>
                <w:color w:val="000000"/>
                <w:kern w:val="0"/>
                <w:sz w:val="21"/>
                <w:szCs w:val="21"/>
                <w:lang w:val="en-US" w:eastAsia="zh-CN"/>
              </w:rPr>
              <w:t xml:space="preserve">2.5m   </w:t>
            </w:r>
            <w:r>
              <w:rPr>
                <w:rFonts w:hint="eastAsia" w:ascii="宋体" w:hAnsi="宋体" w:eastAsia="宋体"/>
                <w:color w:val="000000"/>
                <w:kern w:val="0"/>
                <w:sz w:val="21"/>
                <w:szCs w:val="21"/>
                <w:lang w:val="en-US" w:eastAsia="zh-CN"/>
              </w:rPr>
              <w:t>光源：LED灯组</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 xml:space="preserve">功率：5W：AC220V </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串</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584</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15</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rPr>
              <w:t>藤球灯</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规格要求：</w:t>
            </w:r>
            <w:r>
              <w:rPr>
                <w:rFonts w:hint="eastAsia" w:ascii="宋体" w:hAnsi="宋体"/>
                <w:color w:val="000000"/>
                <w:kern w:val="0"/>
                <w:sz w:val="21"/>
                <w:szCs w:val="21"/>
                <w:lang w:val="en-US" w:eastAsia="zh-CN"/>
              </w:rPr>
              <w:t xml:space="preserve">30cm*30cm </w:t>
            </w:r>
            <w:r>
              <w:rPr>
                <w:rFonts w:hint="eastAsia" w:ascii="宋体" w:hAnsi="宋体" w:eastAsia="宋体"/>
                <w:color w:val="000000"/>
                <w:kern w:val="0"/>
                <w:sz w:val="21"/>
                <w:szCs w:val="21"/>
                <w:lang w:val="en-US" w:eastAsia="zh-CN"/>
              </w:rPr>
              <w:t>材质：PVC</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功率：5W：AC220V 光源：LED灯组</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198</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16</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rPr>
              <w:t>冰条灯</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规格要求：</w:t>
            </w:r>
            <w:r>
              <w:rPr>
                <w:rFonts w:hint="eastAsia" w:ascii="宋体" w:hAnsi="宋体"/>
                <w:color w:val="000000"/>
                <w:kern w:val="0"/>
                <w:sz w:val="21"/>
                <w:szCs w:val="21"/>
                <w:lang w:val="en-US" w:eastAsia="zh-CN"/>
              </w:rPr>
              <w:t xml:space="preserve">4m彩灯，速度可控   </w:t>
            </w:r>
          </w:p>
          <w:p>
            <w:pPr>
              <w:widowControl/>
              <w:spacing w:line="400" w:lineRule="exact"/>
              <w:jc w:val="left"/>
              <w:rPr>
                <w:rFonts w:hint="eastAsia" w:ascii="宋体" w:hAnsi="宋体" w:eastAsia="宋体"/>
                <w:color w:val="000000"/>
                <w:kern w:val="0"/>
                <w:sz w:val="21"/>
                <w:szCs w:val="21"/>
                <w:lang w:val="en-US" w:eastAsia="zh-CN"/>
              </w:rPr>
            </w:pPr>
            <w:r>
              <w:rPr>
                <w:rFonts w:hint="eastAsia" w:ascii="宋体" w:hAnsi="宋体" w:eastAsia="宋体"/>
                <w:color w:val="000000"/>
                <w:kern w:val="0"/>
                <w:sz w:val="21"/>
                <w:szCs w:val="21"/>
                <w:lang w:val="en-US" w:eastAsia="zh-CN"/>
              </w:rPr>
              <w:t>功率：5W：AC220V 光源：LED灯组</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48</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串</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Cs/>
                <w:color w:val="000000"/>
                <w:kern w:val="0"/>
                <w:sz w:val="21"/>
                <w:szCs w:val="21"/>
                <w:lang w:val="en-US" w:eastAsia="zh-CN"/>
              </w:rPr>
            </w:pPr>
            <w:r>
              <w:rPr>
                <w:rFonts w:hint="eastAsia" w:ascii="宋体" w:hAnsi="宋体"/>
                <w:bCs/>
                <w:color w:val="000000"/>
                <w:kern w:val="0"/>
                <w:sz w:val="21"/>
                <w:szCs w:val="21"/>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17</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Times New Roman"/>
                <w:color w:val="000000"/>
                <w:kern w:val="0"/>
                <w:sz w:val="21"/>
                <w:szCs w:val="21"/>
                <w:lang w:val="en-US" w:eastAsia="zh-CN" w:bidi="ar-SA"/>
              </w:rPr>
            </w:pPr>
            <w:r>
              <w:rPr>
                <w:rFonts w:hint="eastAsia" w:ascii="宋体" w:hAnsi="宋体" w:eastAsia="宋体"/>
                <w:color w:val="000000"/>
                <w:kern w:val="0"/>
                <w:sz w:val="21"/>
                <w:szCs w:val="21"/>
                <w:lang w:val="en-US" w:eastAsia="zh-CN"/>
              </w:rPr>
              <w:t>发光字</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eastAsia="宋体" w:cs="Times New Roman"/>
                <w:color w:val="000000"/>
                <w:kern w:val="0"/>
                <w:sz w:val="21"/>
                <w:szCs w:val="21"/>
                <w:lang w:val="en-US" w:eastAsia="zh-CN" w:bidi="ar-SA"/>
              </w:rPr>
            </w:pPr>
            <w:r>
              <w:rPr>
                <w:rFonts w:hint="eastAsia" w:ascii="宋体" w:hAnsi="宋体" w:eastAsia="宋体"/>
                <w:color w:val="000000"/>
                <w:kern w:val="0"/>
                <w:sz w:val="21"/>
                <w:szCs w:val="21"/>
                <w:lang w:val="en-US" w:eastAsia="zh-CN"/>
              </w:rPr>
              <w:t>规格：1m*1m  材质：亚克力 光源:LED</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Times New Roman"/>
                <w:color w:val="000000"/>
                <w:kern w:val="0"/>
                <w:sz w:val="21"/>
                <w:szCs w:val="21"/>
                <w:lang w:val="en-US" w:eastAsia="zh-CN" w:bidi="ar-SA"/>
              </w:rPr>
            </w:pPr>
            <w:r>
              <w:rPr>
                <w:rFonts w:hint="eastAsia" w:ascii="宋体" w:hAnsi="宋体"/>
                <w:color w:val="000000"/>
                <w:kern w:val="0"/>
                <w:sz w:val="21"/>
                <w:szCs w:val="21"/>
                <w:lang w:val="en-US" w:eastAsia="zh-CN"/>
              </w:rPr>
              <w:t>个</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Times New Roman"/>
                <w:color w:val="000000"/>
                <w:kern w:val="0"/>
                <w:sz w:val="21"/>
                <w:szCs w:val="21"/>
                <w:lang w:val="en-US" w:eastAsia="zh-CN" w:bidi="ar-SA"/>
              </w:rPr>
            </w:pPr>
            <w:r>
              <w:rPr>
                <w:rFonts w:hint="eastAsia" w:ascii="宋体" w:hAnsi="宋体"/>
                <w:color w:val="000000"/>
                <w:kern w:val="0"/>
                <w:sz w:val="21"/>
                <w:szCs w:val="21"/>
                <w:lang w:val="en-US" w:eastAsia="zh-CN"/>
              </w:rPr>
              <w:t>8</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s="Times New Roman"/>
                <w:bCs/>
                <w:color w:val="000000"/>
                <w:kern w:val="0"/>
                <w:sz w:val="21"/>
                <w:szCs w:val="21"/>
                <w:lang w:val="en-US" w:eastAsia="zh-CN" w:bidi="ar-SA"/>
              </w:rPr>
            </w:pPr>
            <w:r>
              <w:rPr>
                <w:rFonts w:hint="eastAsia" w:ascii="宋体" w:hAnsi="宋体"/>
                <w:bCs/>
                <w:color w:val="000000"/>
                <w:kern w:val="0"/>
                <w:sz w:val="21"/>
                <w:szCs w:val="21"/>
                <w:lang w:val="en-US" w:eastAsia="zh-CN"/>
              </w:rPr>
              <w:t>制造业</w:t>
            </w:r>
          </w:p>
        </w:tc>
      </w:tr>
    </w:tbl>
    <w:p>
      <w:pPr>
        <w:spacing w:line="360" w:lineRule="auto"/>
        <w:rPr>
          <w:rFonts w:hint="eastAsia" w:ascii="宋体" w:hAnsi="宋体" w:cs="宋体"/>
          <w:b/>
          <w:bCs/>
          <w:sz w:val="24"/>
          <w:szCs w:val="24"/>
        </w:rPr>
      </w:pPr>
      <w:bookmarkStart w:id="193" w:name="_GoBack"/>
      <w:bookmarkEnd w:id="193"/>
    </w:p>
    <w:bookmarkEnd w:id="80"/>
    <w:bookmarkEnd w:id="81"/>
    <w:bookmarkEnd w:id="82"/>
    <w:bookmarkEnd w:id="83"/>
    <w:bookmarkEnd w:id="84"/>
    <w:bookmarkEnd w:id="85"/>
    <w:bookmarkEnd w:id="86"/>
    <w:p>
      <w:pPr>
        <w:pStyle w:val="37"/>
        <w:rPr>
          <w:rFonts w:hint="eastAsia"/>
        </w:rPr>
      </w:pPr>
    </w:p>
    <w:p>
      <w:pPr>
        <w:rPr>
          <w:rFonts w:hint="eastAsia"/>
        </w:rPr>
      </w:pPr>
    </w:p>
    <w:p>
      <w:pPr>
        <w:pStyle w:val="37"/>
        <w:rPr>
          <w:rFonts w:hint="eastAsia"/>
        </w:rPr>
      </w:pPr>
    </w:p>
    <w:p>
      <w:pPr>
        <w:rPr>
          <w:rFonts w:hint="eastAsia"/>
        </w:rPr>
      </w:pPr>
    </w:p>
    <w:p>
      <w:pPr>
        <w:pStyle w:val="37"/>
        <w:rPr>
          <w:rFonts w:hint="eastAsia"/>
        </w:rPr>
      </w:pPr>
    </w:p>
    <w:p>
      <w:pPr>
        <w:rPr>
          <w:rFonts w:hint="eastAsia" w:ascii="宋体" w:hAnsi="宋体" w:cs="宋体"/>
        </w:rPr>
      </w:pPr>
      <w:bookmarkStart w:id="87" w:name="_Toc29422"/>
      <w:r>
        <w:rPr>
          <w:rFonts w:hint="eastAsia" w:ascii="宋体" w:hAnsi="宋体" w:cs="宋体"/>
        </w:rPr>
        <w:br w:type="page"/>
      </w:r>
    </w:p>
    <w:p>
      <w:pPr>
        <w:pStyle w:val="35"/>
        <w:spacing w:before="0" w:after="0" w:line="360" w:lineRule="auto"/>
        <w:ind w:firstLine="2891" w:firstLineChars="900"/>
        <w:jc w:val="both"/>
        <w:rPr>
          <w:rFonts w:hint="eastAsia" w:ascii="宋体" w:hAnsi="宋体" w:cs="宋体"/>
        </w:rPr>
      </w:pPr>
      <w:r>
        <w:rPr>
          <w:rFonts w:hint="eastAsia" w:ascii="宋体" w:hAnsi="宋体" w:cs="宋体"/>
        </w:rPr>
        <w:t>第六章 响应文件格式</w:t>
      </w:r>
      <w:bookmarkEnd w:id="87"/>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pStyle w:val="37"/>
        <w:rPr>
          <w:rFonts w:hint="eastAsia" w:ascii="宋体" w:hAnsi="宋体" w:cs="宋体"/>
          <w:sz w:val="32"/>
          <w:szCs w:val="32"/>
        </w:rPr>
      </w:pPr>
    </w:p>
    <w:p>
      <w:pPr>
        <w:rPr>
          <w:rFonts w:hint="eastAsia" w:ascii="宋体" w:hAnsi="宋体" w:cs="宋体"/>
          <w:sz w:val="32"/>
          <w:szCs w:val="32"/>
        </w:rPr>
      </w:pPr>
    </w:p>
    <w:p>
      <w:pPr>
        <w:rPr>
          <w:rFonts w:hint="eastAsia"/>
        </w:rPr>
        <w:sectPr>
          <w:pgSz w:w="11906" w:h="16838"/>
          <w:pgMar w:top="1134" w:right="1134" w:bottom="1134" w:left="1474" w:header="851" w:footer="510" w:gutter="0"/>
          <w:cols w:space="720" w:num="1"/>
          <w:docGrid w:type="lines" w:linePitch="312" w:charSpace="0"/>
        </w:sectPr>
      </w:pPr>
    </w:p>
    <w:p>
      <w:pPr>
        <w:pStyle w:val="37"/>
        <w:rPr>
          <w:rFonts w:hint="eastAsia"/>
        </w:rPr>
      </w:pPr>
    </w:p>
    <w:p>
      <w:pPr>
        <w:spacing w:line="460" w:lineRule="exact"/>
        <w:jc w:val="center"/>
        <w:rPr>
          <w:rFonts w:hint="eastAsia" w:ascii="宋体" w:hAnsi="宋体" w:cs="宋体"/>
          <w:sz w:val="32"/>
        </w:rPr>
      </w:pPr>
      <w:r>
        <w:rPr>
          <w:rFonts w:hint="eastAsia" w:ascii="宋体" w:hAnsi="宋体" w:cs="宋体"/>
          <w:b/>
          <w:sz w:val="44"/>
          <w:szCs w:val="44"/>
          <w:lang w:eastAsia="zh-CN"/>
        </w:rPr>
        <w:t>武陟县城市管理局2024年城区亮化采购项目</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7"/>
        <w:rPr>
          <w:rFonts w:hint="eastAsia"/>
        </w:rPr>
      </w:pPr>
    </w:p>
    <w:p>
      <w:pPr>
        <w:pStyle w:val="37"/>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7"/>
        <w:rPr>
          <w:rFonts w:hint="eastAsia"/>
        </w:rPr>
      </w:pPr>
    </w:p>
    <w:p>
      <w:pPr>
        <w:spacing w:line="460" w:lineRule="exact"/>
        <w:rPr>
          <w:rFonts w:hint="eastAsia" w:ascii="宋体" w:hAnsi="宋体" w:cs="宋体"/>
          <w:sz w:val="32"/>
          <w:szCs w:val="32"/>
        </w:rPr>
      </w:pPr>
    </w:p>
    <w:p>
      <w:pPr>
        <w:pStyle w:val="37"/>
        <w:rPr>
          <w:rFonts w:hint="eastAsia"/>
        </w:rPr>
      </w:pPr>
      <w:bookmarkStart w:id="88" w:name="_Toc530584396"/>
      <w:bookmarkStart w:id="89" w:name="_Toc12304"/>
      <w:bookmarkStart w:id="90" w:name="_Toc23451"/>
      <w:bookmarkStart w:id="91" w:name="_Toc22461"/>
      <w:bookmarkStart w:id="92" w:name="_Toc477423253"/>
      <w:bookmarkStart w:id="93" w:name="_Toc26310"/>
      <w:bookmarkStart w:id="94" w:name="_Toc374512423"/>
      <w:bookmarkStart w:id="95" w:name="_Toc373230035"/>
      <w:bookmarkStart w:id="96" w:name="_Toc408816353"/>
      <w:bookmarkStart w:id="97" w:name="_Toc490161460"/>
      <w:bookmarkStart w:id="98" w:name="_Toc3023"/>
      <w:bookmarkStart w:id="99" w:name="_Toc487805929"/>
    </w:p>
    <w:p>
      <w:pPr>
        <w:pStyle w:val="3"/>
        <w:numPr>
          <w:ilvl w:val="0"/>
          <w:numId w:val="10"/>
        </w:numPr>
        <w:spacing w:before="0" w:after="0" w:line="360" w:lineRule="auto"/>
        <w:rPr>
          <w:rFonts w:hint="eastAsia" w:ascii="宋体" w:hAnsi="宋体" w:cs="宋体"/>
          <w:sz w:val="32"/>
          <w:szCs w:val="32"/>
        </w:rPr>
      </w:pPr>
      <w:bookmarkStart w:id="100" w:name="_Toc7109"/>
      <w:r>
        <w:rPr>
          <w:rFonts w:hint="eastAsia" w:ascii="宋体" w:hAnsi="宋体" w:cs="宋体"/>
          <w:sz w:val="32"/>
          <w:szCs w:val="32"/>
        </w:rPr>
        <w:t>磋商承诺函</w:t>
      </w:r>
      <w:bookmarkEnd w:id="88"/>
      <w:bookmarkEnd w:id="89"/>
      <w:bookmarkEnd w:id="90"/>
      <w:bookmarkEnd w:id="91"/>
      <w:bookmarkEnd w:id="100"/>
    </w:p>
    <w:p>
      <w:pPr>
        <w:keepNext w:val="0"/>
        <w:keepLines w:val="0"/>
        <w:pageBreakBefore w:val="0"/>
        <w:kinsoku/>
        <w:wordWrap/>
        <w:overflowPunct/>
        <w:topLinePunct w:val="0"/>
        <w:autoSpaceDE/>
        <w:autoSpaceDN/>
        <w:bidi w:val="0"/>
        <w:snapToGrid/>
        <w:spacing w:line="440" w:lineRule="exact"/>
        <w:ind w:firstLine="420" w:firstLineChars="200"/>
        <w:rPr>
          <w:rFonts w:hint="eastAsia" w:asciiTheme="minorEastAsia" w:hAnsiTheme="minorEastAsia" w:eastAsiaTheme="minorEastAsia" w:cstheme="minorEastAsia"/>
        </w:rPr>
      </w:pPr>
      <w:r>
        <w:rPr>
          <w:lang w:val="en-US" w:eastAsia="zh-CN"/>
        </w:rPr>
        <w:t>我</w:t>
      </w:r>
      <w:r>
        <w:rPr>
          <w:rFonts w:hint="eastAsia" w:asciiTheme="minorEastAsia" w:hAnsiTheme="minorEastAsia" w:eastAsiaTheme="minorEastAsia" w:cstheme="minorEastAsia"/>
          <w:lang w:val="en-US" w:eastAsia="zh-CN"/>
        </w:rPr>
        <w:t>方参与贵方组织的</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none"/>
          <w:lang w:val="en-US" w:eastAsia="zh-CN"/>
        </w:rPr>
        <w:t>项目</w:t>
      </w:r>
      <w:r>
        <w:rPr>
          <w:rFonts w:hint="eastAsia" w:asciiTheme="minorEastAsia" w:hAnsiTheme="minorEastAsia" w:eastAsiaTheme="minorEastAsia" w:cstheme="minorEastAsia"/>
          <w:szCs w:val="21"/>
          <w:highlight w:val="none"/>
          <w:u w:val="none"/>
          <w:lang w:val="en-US" w:eastAsia="zh-CN"/>
        </w:rPr>
        <w:t>(</w:t>
      </w:r>
      <w:r>
        <w:rPr>
          <w:rFonts w:hint="eastAsia" w:asciiTheme="minorEastAsia" w:hAnsiTheme="minorEastAsia" w:eastAsiaTheme="minorEastAsia" w:cstheme="minorEastAsia"/>
          <w:szCs w:val="21"/>
          <w:lang w:eastAsia="zh-CN"/>
        </w:rPr>
        <w:t>项目</w:t>
      </w:r>
      <w:r>
        <w:rPr>
          <w:rFonts w:hint="eastAsia" w:asciiTheme="minorEastAsia" w:hAnsiTheme="minorEastAsia" w:eastAsiaTheme="minorEastAsia" w:cstheme="minorEastAsia"/>
          <w:szCs w:val="21"/>
        </w:rPr>
        <w:t>编号：</w:t>
      </w:r>
      <w:r>
        <w:rPr>
          <w:rFonts w:hint="eastAsia" w:asciiTheme="minorEastAsia" w:hAnsiTheme="minorEastAsia" w:eastAsiaTheme="minorEastAsia" w:cstheme="minorEastAsia"/>
          <w:color w:val="auto"/>
          <w:szCs w:val="21"/>
          <w:u w:val="single"/>
          <w:lang w:val="en-US" w:eastAsia="zh-CN"/>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lang w:val="en-US" w:eastAsia="zh-CN"/>
        </w:rPr>
        <w:t xml:space="preserve">采购活动。对此，我方承诺如下：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1.我方完全理解并认可本项目竞争性磋商文件内容和接受由贵方对响应文件进行集中解密，发生争议时不会以对上述内容存在误解为由，行使法律上的抗辩权。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2.我方对所提交的响应文件及相关资料的真实性、准确性和完整性负责，愿意向贵方提供任何与本次谈判有关的数据、技术资料和相关证明材料。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3.我方针对本项目的磋商有效期为</w:t>
      </w:r>
      <w:r>
        <w:rPr>
          <w:rFonts w:hint="eastAsia" w:ascii="宋体" w:hAnsi="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天，在此期间，我方在响应文件中作出的所有响应均有效，随时准备接受你方发出的成交通知书。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完全接受和满足本项目竞争性磋商文件中的规定，如对竞争性磋商文件有异议，已经在响应文件提交截止时间前依法进行维权，不存在对竞争性磋商文件有异议的同时又参加谈判以求侥幸成交或者为实现其他非法目的的行为。</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6.采购人若需按规定允许比例追加与合同标的相同的货物、工程或者服务的，在不改变合同其他条款的前提下，我方愿意签订补充合同，按相同或更优惠的折扣率保证供应或提供服务。</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8.参加本次采购活动，不存在与单位负责人为同一人或者存在直接控股、管理关系的其他供应商参与同一合同项下的政府采购活动的行为。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9.参加本次采购活动，不存在为采购项目提供整体设计、规范编制或者项目管理、监理、检测等服务的行为。</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10.参加本次采购活动，不存在和其他供应商在同一合同项下的采购项目中，同时委托同一个自然人、同一家庭的人员、同一单位的人员作为代理人的行为。</w:t>
      </w:r>
    </w:p>
    <w:p>
      <w:pPr>
        <w:keepNext w:val="0"/>
        <w:keepLines w:val="0"/>
        <w:pageBreakBefore w:val="0"/>
        <w:numPr>
          <w:ilvl w:val="0"/>
          <w:numId w:val="0"/>
        </w:numPr>
        <w:kinsoku/>
        <w:wordWrap/>
        <w:overflowPunct/>
        <w:topLinePunct w:val="0"/>
        <w:autoSpaceDE/>
        <w:autoSpaceDN/>
        <w:bidi w:val="0"/>
        <w:adjustRightInd w:val="0"/>
        <w:snapToGrid/>
        <w:spacing w:line="440" w:lineRule="exact"/>
        <w:ind w:firstLine="420" w:firstLineChars="200"/>
        <w:jc w:val="left"/>
        <w:textAlignment w:val="baseline"/>
        <w:rPr>
          <w:rFonts w:hint="eastAsia" w:asciiTheme="minorEastAsia" w:hAnsiTheme="minorEastAsia" w:eastAsiaTheme="minorEastAsia" w:cstheme="minorEastAsia"/>
          <w:szCs w:val="21"/>
        </w:rPr>
      </w:pPr>
    </w:p>
    <w:p>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 xml:space="preserve">如果我方违反上述承诺，或承诺内容不属实，我方愿意承担一切不利的法律后果。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与本</w:t>
      </w:r>
      <w:r>
        <w:rPr>
          <w:rFonts w:hint="eastAsia" w:asciiTheme="minorEastAsia" w:hAnsiTheme="minorEastAsia" w:cstheme="minorEastAsia"/>
          <w:color w:val="000000"/>
          <w:kern w:val="0"/>
          <w:sz w:val="21"/>
          <w:szCs w:val="21"/>
          <w:lang w:val="en-US" w:eastAsia="zh-CN" w:bidi="ar"/>
        </w:rPr>
        <w:t>谈判</w:t>
      </w:r>
      <w:r>
        <w:rPr>
          <w:rFonts w:hint="eastAsia" w:asciiTheme="minorEastAsia" w:hAnsiTheme="minorEastAsia" w:eastAsiaTheme="minorEastAsia" w:cstheme="minorEastAsia"/>
          <w:color w:val="000000"/>
          <w:kern w:val="0"/>
          <w:sz w:val="21"/>
          <w:szCs w:val="21"/>
          <w:lang w:val="en-US" w:eastAsia="zh-CN" w:bidi="ar"/>
        </w:rPr>
        <w:t xml:space="preserve">有关的联系方式：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 xml:space="preserve">地址：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 xml:space="preserve">邮编：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color w:val="000000"/>
          <w:kern w:val="0"/>
          <w:sz w:val="21"/>
          <w:szCs w:val="21"/>
          <w:lang w:val="en-US" w:eastAsia="zh-CN" w:bidi="ar"/>
        </w:rPr>
        <w:t xml:space="preserve">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cstheme="minorEastAsia"/>
          <w:color w:val="000000"/>
          <w:kern w:val="0"/>
          <w:sz w:val="21"/>
          <w:szCs w:val="21"/>
          <w:lang w:val="en-US" w:eastAsia="zh-CN" w:bidi="ar"/>
        </w:rPr>
        <w:t>供应商</w:t>
      </w:r>
      <w:r>
        <w:rPr>
          <w:rFonts w:hint="eastAsia" w:asciiTheme="minorEastAsia" w:hAnsiTheme="minorEastAsia" w:eastAsiaTheme="minorEastAsia" w:cstheme="minorEastAsia"/>
          <w:color w:val="000000"/>
          <w:kern w:val="0"/>
          <w:sz w:val="21"/>
          <w:szCs w:val="21"/>
          <w:lang w:val="en-US" w:eastAsia="zh-CN" w:bidi="ar"/>
        </w:rPr>
        <w:t xml:space="preserve">代表姓名：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cstheme="minorEastAsia"/>
          <w:color w:val="000000"/>
          <w:kern w:val="0"/>
          <w:sz w:val="21"/>
          <w:szCs w:val="21"/>
          <w:lang w:val="en-US" w:eastAsia="zh-CN" w:bidi="ar"/>
        </w:rPr>
        <w:t>供应商</w:t>
      </w:r>
      <w:r>
        <w:rPr>
          <w:rFonts w:hint="eastAsia" w:asciiTheme="minorEastAsia" w:hAnsiTheme="minorEastAsia" w:eastAsiaTheme="minorEastAsia" w:cstheme="minorEastAsia"/>
          <w:color w:val="000000"/>
          <w:kern w:val="0"/>
          <w:sz w:val="21"/>
          <w:szCs w:val="21"/>
          <w:lang w:val="en-US" w:eastAsia="zh-CN" w:bidi="ar"/>
        </w:rPr>
        <w:t xml:space="preserve">代表联系电话： </w:t>
      </w:r>
    </w:p>
    <w:p>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Theme="minorEastAsia" w:hAnsiTheme="minorEastAsia" w:eastAsiaTheme="minorEastAsia" w:cstheme="minorEastAsia"/>
        </w:rPr>
      </w:pPr>
      <w:r>
        <w:rPr>
          <w:rFonts w:hint="eastAsia" w:asciiTheme="minorEastAsia" w:hAnsiTheme="minorEastAsia" w:cstheme="minorEastAsia"/>
          <w:color w:val="000000"/>
          <w:kern w:val="0"/>
          <w:sz w:val="21"/>
          <w:szCs w:val="21"/>
          <w:lang w:val="en-US" w:eastAsia="zh-CN" w:bidi="ar"/>
        </w:rPr>
        <w:t>供应商</w:t>
      </w:r>
      <w:r>
        <w:rPr>
          <w:rFonts w:hint="eastAsia" w:asciiTheme="minorEastAsia" w:hAnsiTheme="minorEastAsia" w:eastAsiaTheme="minorEastAsia" w:cstheme="minorEastAsia"/>
          <w:color w:val="000000"/>
          <w:kern w:val="0"/>
          <w:sz w:val="21"/>
          <w:szCs w:val="21"/>
          <w:lang w:val="en-US" w:eastAsia="zh-CN" w:bidi="ar"/>
        </w:rPr>
        <w:t xml:space="preserve">代表电子邮箱: </w:t>
      </w:r>
    </w:p>
    <w:p>
      <w:pPr>
        <w:keepNext w:val="0"/>
        <w:keepLines w:val="0"/>
        <w:pageBreakBefore w:val="0"/>
        <w:kinsoku/>
        <w:wordWrap/>
        <w:overflowPunct/>
        <w:topLinePunct w:val="0"/>
        <w:autoSpaceDE/>
        <w:autoSpaceDN/>
        <w:bidi w:val="0"/>
        <w:adjustRightInd w:val="0"/>
        <w:snapToGrid/>
        <w:spacing w:line="440" w:lineRule="exact"/>
        <w:ind w:firstLine="1785" w:firstLineChars="850"/>
        <w:jc w:val="left"/>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r>
        <w:rPr>
          <w:rFonts w:hint="eastAsia" w:asciiTheme="minorEastAsia" w:hAnsiTheme="minorEastAsia" w:cstheme="minorEastAsia"/>
          <w:szCs w:val="21"/>
          <w:lang w:val="en-US" w:eastAsia="zh-CN"/>
        </w:rPr>
        <w:t>供应商</w:t>
      </w:r>
      <w:r>
        <w:rPr>
          <w:rFonts w:hint="eastAsia" w:asciiTheme="minorEastAsia" w:hAnsiTheme="minorEastAsia" w:eastAsiaTheme="minorEastAsia" w:cstheme="minorEastAsia"/>
          <w:szCs w:val="21"/>
          <w:lang w:val="en-US" w:eastAsia="zh-CN"/>
        </w:rPr>
        <w:t xml:space="preserve">代表（签字或名章）： </w:t>
      </w:r>
    </w:p>
    <w:p>
      <w:pPr>
        <w:keepNext w:val="0"/>
        <w:keepLines w:val="0"/>
        <w:pageBreakBefore w:val="0"/>
        <w:kinsoku/>
        <w:wordWrap/>
        <w:overflowPunct/>
        <w:topLinePunct w:val="0"/>
        <w:autoSpaceDE/>
        <w:autoSpaceDN/>
        <w:bidi w:val="0"/>
        <w:adjustRightInd w:val="0"/>
        <w:snapToGrid/>
        <w:spacing w:line="440" w:lineRule="exact"/>
        <w:ind w:firstLine="3780" w:firstLineChars="1800"/>
        <w:jc w:val="left"/>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法定代表人（签字或名章）： </w:t>
      </w:r>
    </w:p>
    <w:p>
      <w:pPr>
        <w:keepNext w:val="0"/>
        <w:keepLines w:val="0"/>
        <w:pageBreakBefore w:val="0"/>
        <w:kinsoku/>
        <w:wordWrap/>
        <w:overflowPunct/>
        <w:topLinePunct w:val="0"/>
        <w:autoSpaceDE/>
        <w:autoSpaceDN/>
        <w:bidi w:val="0"/>
        <w:adjustRightInd w:val="0"/>
        <w:snapToGrid/>
        <w:spacing w:line="440" w:lineRule="exact"/>
        <w:ind w:firstLine="3780" w:firstLineChars="1800"/>
        <w:jc w:val="left"/>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供应商名称（全称并加盖公章）：</w:t>
      </w:r>
    </w:p>
    <w:p>
      <w:pPr>
        <w:keepNext w:val="0"/>
        <w:keepLines w:val="0"/>
        <w:pageBreakBefore w:val="0"/>
        <w:kinsoku/>
        <w:wordWrap/>
        <w:overflowPunct/>
        <w:topLinePunct w:val="0"/>
        <w:autoSpaceDE/>
        <w:autoSpaceDN/>
        <w:bidi w:val="0"/>
        <w:adjustRightInd w:val="0"/>
        <w:snapToGrid/>
        <w:spacing w:line="440" w:lineRule="exact"/>
        <w:ind w:firstLine="1785" w:firstLineChars="850"/>
        <w:jc w:val="left"/>
        <w:textAlignment w:val="baseline"/>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日     期：</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w:t>
      </w: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lang w:eastAsia="zh-CN"/>
        </w:rPr>
      </w:pPr>
      <w:r>
        <w:rPr>
          <w:rFonts w:hint="eastAsia"/>
          <w:lang w:eastAsia="zh-CN"/>
        </w:rPr>
        <w:tab/>
      </w: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lang w:eastAsia="zh-CN"/>
        </w:rPr>
      </w:pPr>
    </w:p>
    <w:p>
      <w:pPr>
        <w:bidi w:val="0"/>
        <w:rPr>
          <w:rFonts w:hint="eastAsia"/>
        </w:rPr>
      </w:pPr>
    </w:p>
    <w:p>
      <w:pPr>
        <w:pStyle w:val="3"/>
        <w:numPr>
          <w:ilvl w:val="0"/>
          <w:numId w:val="10"/>
        </w:numPr>
        <w:spacing w:before="0" w:after="0" w:line="360" w:lineRule="auto"/>
        <w:rPr>
          <w:rFonts w:hint="eastAsia" w:ascii="宋体" w:hAnsi="宋体" w:cs="宋体"/>
          <w:sz w:val="32"/>
          <w:szCs w:val="32"/>
        </w:rPr>
      </w:pPr>
      <w:bookmarkStart w:id="101" w:name="_Toc32512"/>
      <w:bookmarkStart w:id="102" w:name="_Toc13659"/>
      <w:bookmarkStart w:id="103" w:name="_Toc15663"/>
      <w:bookmarkStart w:id="104" w:name="_Toc438"/>
      <w:r>
        <w:rPr>
          <w:rFonts w:hint="eastAsia" w:ascii="宋体" w:hAnsi="宋体" w:cs="宋体"/>
          <w:sz w:val="32"/>
          <w:szCs w:val="32"/>
        </w:rPr>
        <w:t>承诺书</w:t>
      </w:r>
      <w:bookmarkEnd w:id="101"/>
      <w:bookmarkEnd w:id="102"/>
      <w:bookmarkEnd w:id="103"/>
      <w:bookmarkEnd w:id="104"/>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5</w:t>
      </w:r>
      <w:r>
        <w:rPr>
          <w:rFonts w:hint="eastAsia" w:ascii="宋体" w:hAnsi="宋体" w:cs="宋体"/>
          <w:sz w:val="24"/>
          <w:szCs w:val="24"/>
          <w:lang w:eastAsia="zh-CN"/>
        </w:rPr>
        <w:t>）磋商文件及相关法律法规规定的其他情形</w:t>
      </w:r>
      <w:r>
        <w:rPr>
          <w:rFonts w:hint="eastAsia" w:ascii="宋体" w:hAnsi="宋体" w:cs="宋体"/>
          <w:sz w:val="24"/>
          <w:szCs w:val="24"/>
        </w:rPr>
        <w:t>。</w:t>
      </w: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7"/>
        <w:rPr>
          <w:rFonts w:hint="eastAsia"/>
        </w:rPr>
      </w:pPr>
    </w:p>
    <w:p>
      <w:pPr>
        <w:pStyle w:val="57"/>
        <w:rPr>
          <w:rFonts w:hint="eastAsia"/>
        </w:rPr>
      </w:pPr>
    </w:p>
    <w:p>
      <w:pPr>
        <w:pStyle w:val="57"/>
        <w:rPr>
          <w:rFonts w:hint="eastAsia"/>
        </w:rPr>
      </w:pPr>
    </w:p>
    <w:p>
      <w:pPr>
        <w:pStyle w:val="57"/>
        <w:rPr>
          <w:rFonts w:hint="eastAsia"/>
        </w:rPr>
      </w:pPr>
    </w:p>
    <w:p>
      <w:pPr>
        <w:pStyle w:val="57"/>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92"/>
    <w:bookmarkEnd w:id="93"/>
    <w:bookmarkEnd w:id="94"/>
    <w:bookmarkEnd w:id="95"/>
    <w:bookmarkEnd w:id="96"/>
    <w:bookmarkEnd w:id="97"/>
    <w:bookmarkEnd w:id="98"/>
    <w:bookmarkEnd w:id="99"/>
    <w:p>
      <w:pPr>
        <w:pStyle w:val="3"/>
        <w:numPr>
          <w:ilvl w:val="0"/>
          <w:numId w:val="10"/>
        </w:numPr>
        <w:spacing w:before="0" w:after="0" w:line="360" w:lineRule="auto"/>
        <w:rPr>
          <w:rFonts w:hint="eastAsia" w:ascii="宋体" w:hAnsi="宋体" w:cs="宋体"/>
          <w:sz w:val="32"/>
          <w:szCs w:val="32"/>
        </w:rPr>
      </w:pPr>
      <w:bookmarkStart w:id="105" w:name="_Toc13008"/>
      <w:bookmarkStart w:id="106" w:name="_Toc484"/>
      <w:bookmarkStart w:id="107" w:name="_Toc29369"/>
      <w:bookmarkStart w:id="108" w:name="_Toc6638"/>
      <w:bookmarkStart w:id="109" w:name="_Toc475955188"/>
      <w:bookmarkStart w:id="110" w:name="_Toc364490445"/>
      <w:bookmarkStart w:id="111" w:name="_Toc453513319"/>
      <w:bookmarkStart w:id="112" w:name="_Toc27591"/>
      <w:bookmarkStart w:id="113" w:name="_Toc408816355"/>
      <w:bookmarkStart w:id="114" w:name="_Toc477423254"/>
      <w:bookmarkStart w:id="115" w:name="_Toc476045982"/>
      <w:bookmarkStart w:id="116" w:name="_Toc373230037"/>
      <w:bookmarkStart w:id="117" w:name="_Toc374512425"/>
      <w:r>
        <w:rPr>
          <w:rFonts w:hint="eastAsia" w:ascii="宋体" w:hAnsi="宋体" w:cs="宋体"/>
          <w:sz w:val="32"/>
          <w:szCs w:val="32"/>
        </w:rPr>
        <w:t>供应商基本情况表</w:t>
      </w:r>
      <w:bookmarkEnd w:id="105"/>
      <w:bookmarkEnd w:id="106"/>
      <w:bookmarkEnd w:id="107"/>
      <w:bookmarkEnd w:id="108"/>
    </w:p>
    <w:tbl>
      <w:tblPr>
        <w:tblStyle w:val="38"/>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设立登记证书</w:t>
            </w:r>
            <w:r>
              <w:rPr>
                <w:rFonts w:hint="eastAsia" w:ascii="宋体" w:hAnsi="宋体" w:cs="宋体"/>
                <w:sz w:val="24"/>
                <w:lang w:eastAsia="zh-CN"/>
              </w:rPr>
              <w:t>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1" w:type="default"/>
          <w:pgSz w:w="11906" w:h="16838"/>
          <w:pgMar w:top="1134" w:right="1134" w:bottom="1134" w:left="1474" w:header="851" w:footer="510" w:gutter="0"/>
          <w:cols w:space="720" w:num="1"/>
          <w:docGrid w:type="lines" w:linePitch="312" w:charSpace="0"/>
        </w:sectPr>
      </w:pPr>
    </w:p>
    <w:p>
      <w:pPr>
        <w:pStyle w:val="3"/>
        <w:numPr>
          <w:ilvl w:val="0"/>
          <w:numId w:val="10"/>
        </w:numPr>
        <w:spacing w:before="0" w:after="0" w:line="360" w:lineRule="auto"/>
        <w:rPr>
          <w:rFonts w:hint="eastAsia" w:ascii="宋体" w:hAnsi="宋体" w:cs="宋体"/>
          <w:sz w:val="32"/>
          <w:szCs w:val="32"/>
        </w:rPr>
      </w:pPr>
      <w:bookmarkStart w:id="118" w:name="_Toc31547"/>
      <w:bookmarkStart w:id="119" w:name="_Toc19916"/>
      <w:bookmarkStart w:id="120" w:name="_Toc530584397"/>
      <w:bookmarkStart w:id="121" w:name="_Toc31769"/>
      <w:bookmarkStart w:id="122" w:name="_Toc20355"/>
      <w:r>
        <w:rPr>
          <w:rFonts w:hint="eastAsia" w:ascii="宋体" w:hAnsi="宋体" w:cs="宋体"/>
          <w:sz w:val="32"/>
          <w:szCs w:val="32"/>
        </w:rPr>
        <w:t>第一轮报价表</w:t>
      </w:r>
      <w:bookmarkEnd w:id="118"/>
      <w:bookmarkEnd w:id="119"/>
      <w:bookmarkEnd w:id="120"/>
      <w:bookmarkEnd w:id="121"/>
      <w:bookmarkEnd w:id="122"/>
    </w:p>
    <w:tbl>
      <w:tblPr>
        <w:tblStyle w:val="38"/>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 w:val="24"/>
                <w:szCs w:val="24"/>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3"/>
        <w:numPr>
          <w:ilvl w:val="0"/>
          <w:numId w:val="10"/>
        </w:numPr>
        <w:spacing w:before="0" w:after="0" w:line="360" w:lineRule="auto"/>
        <w:rPr>
          <w:rFonts w:hint="eastAsia" w:ascii="宋体" w:hAnsi="宋体" w:cs="宋体"/>
          <w:sz w:val="32"/>
          <w:szCs w:val="32"/>
        </w:rPr>
      </w:pPr>
      <w:bookmarkStart w:id="123" w:name="_Toc8227"/>
      <w:bookmarkStart w:id="124" w:name="_Toc23602"/>
      <w:bookmarkStart w:id="125" w:name="_Toc16334"/>
      <w:bookmarkStart w:id="126" w:name="_Toc16709"/>
      <w:r>
        <w:rPr>
          <w:rFonts w:hint="eastAsia" w:ascii="宋体" w:hAnsi="宋体" w:cs="宋体"/>
          <w:sz w:val="32"/>
          <w:szCs w:val="32"/>
        </w:rPr>
        <w:t>报价明细表</w:t>
      </w:r>
      <w:bookmarkEnd w:id="123"/>
      <w:bookmarkEnd w:id="124"/>
      <w:bookmarkEnd w:id="125"/>
      <w:bookmarkEnd w:id="126"/>
    </w:p>
    <w:p>
      <w:pPr>
        <w:spacing w:line="360" w:lineRule="auto"/>
        <w:ind w:firstLine="210" w:firstLineChars="100"/>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927"/>
        <w:gridCol w:w="1040"/>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927" w:type="dxa"/>
            <w:noWrap w:val="0"/>
            <w:vAlign w:val="center"/>
          </w:tcPr>
          <w:p>
            <w:pPr>
              <w:spacing w:line="240" w:lineRule="atLeast"/>
              <w:jc w:val="center"/>
              <w:rPr>
                <w:rFonts w:hint="eastAsia" w:ascii="宋体" w:hAnsi="宋体" w:cs="宋体"/>
                <w:szCs w:val="21"/>
                <w:lang w:eastAsia="zh-CN"/>
              </w:rPr>
            </w:pPr>
            <w:r>
              <w:rPr>
                <w:rFonts w:hint="eastAsia" w:ascii="宋体" w:hAnsi="宋体" w:cs="宋体"/>
                <w:szCs w:val="21"/>
                <w:lang w:eastAsia="zh-CN"/>
              </w:rPr>
              <w:t>标的</w:t>
            </w:r>
          </w:p>
          <w:p>
            <w:pPr>
              <w:spacing w:line="240" w:lineRule="atLeast"/>
              <w:jc w:val="center"/>
              <w:rPr>
                <w:rFonts w:hint="eastAsia" w:ascii="宋体" w:hAnsi="宋体" w:cs="宋体"/>
                <w:szCs w:val="21"/>
              </w:rPr>
            </w:pPr>
            <w:r>
              <w:rPr>
                <w:rFonts w:hint="eastAsia" w:ascii="宋体" w:hAnsi="宋体" w:cs="宋体"/>
                <w:szCs w:val="21"/>
              </w:rPr>
              <w:t>名称</w:t>
            </w:r>
          </w:p>
        </w:tc>
        <w:tc>
          <w:tcPr>
            <w:tcW w:w="1040"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eastAsia="宋体" w:cs="宋体"/>
                <w:szCs w:val="21"/>
                <w:lang w:eastAsia="zh-CN"/>
              </w:rPr>
            </w:pPr>
            <w:r>
              <w:rPr>
                <w:rFonts w:hint="eastAsia" w:ascii="宋体" w:hAnsi="宋体" w:cs="宋体"/>
                <w:szCs w:val="21"/>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9022" w:type="dxa"/>
            <w:gridSpan w:val="9"/>
            <w:noWrap w:val="0"/>
            <w:vAlign w:val="center"/>
          </w:tcPr>
          <w:p>
            <w:pPr>
              <w:spacing w:line="360" w:lineRule="auto"/>
              <w:rPr>
                <w:rFonts w:hint="eastAsia" w:ascii="宋体" w:hAnsi="宋体" w:cs="宋体"/>
                <w:szCs w:val="21"/>
              </w:rPr>
            </w:pPr>
            <w:r>
              <w:rPr>
                <w:rFonts w:hint="eastAsia" w:ascii="宋体" w:hAnsi="宋体" w:cs="宋体"/>
                <w:szCs w:val="21"/>
              </w:rPr>
              <w:t>总</w:t>
            </w:r>
            <w:r>
              <w:rPr>
                <w:rFonts w:hint="eastAsia" w:ascii="宋体" w:hAnsi="宋体" w:cs="宋体"/>
                <w:szCs w:val="21"/>
                <w:lang w:eastAsia="zh-CN"/>
              </w:rPr>
              <w:t>报</w:t>
            </w:r>
            <w:r>
              <w:rPr>
                <w:rFonts w:hint="eastAsia" w:ascii="宋体" w:hAnsi="宋体" w:cs="宋体"/>
                <w:szCs w:val="21"/>
              </w:rPr>
              <w:t>价（大写）：                               （小写）：</w:t>
            </w:r>
          </w:p>
        </w:tc>
      </w:tr>
    </w:tbl>
    <w:p>
      <w:pPr>
        <w:spacing w:line="360" w:lineRule="auto"/>
        <w:ind w:firstLine="420" w:firstLineChars="200"/>
        <w:rPr>
          <w:rFonts w:hint="eastAsia" w:ascii="宋体" w:hAnsi="宋体"/>
          <w:sz w:val="21"/>
          <w:szCs w:val="21"/>
        </w:rPr>
      </w:pP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w:t>
      </w:r>
      <w:r>
        <w:rPr>
          <w:rFonts w:hint="eastAsia" w:ascii="宋体" w:hAnsi="宋体"/>
          <w:sz w:val="21"/>
          <w:szCs w:val="21"/>
          <w:lang w:eastAsia="zh-CN"/>
        </w:rPr>
        <w:t>供应商</w:t>
      </w:r>
      <w:r>
        <w:rPr>
          <w:rFonts w:hint="eastAsia" w:ascii="宋体" w:hAnsi="宋体"/>
          <w:sz w:val="21"/>
          <w:szCs w:val="21"/>
        </w:rPr>
        <w:t>名称（全称并加盖公章）：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w:t>
      </w:r>
      <w:r>
        <w:rPr>
          <w:rFonts w:hint="eastAsia" w:ascii="宋体" w:hAnsi="宋体"/>
          <w:sz w:val="21"/>
          <w:szCs w:val="21"/>
          <w:lang w:eastAsia="zh-CN"/>
        </w:rPr>
        <w:t>签名</w:t>
      </w:r>
      <w:r>
        <w:rPr>
          <w:rFonts w:hint="eastAsia" w:ascii="宋体" w:hAnsi="宋体"/>
          <w:sz w:val="21"/>
          <w:szCs w:val="21"/>
        </w:rPr>
        <w:t>或盖章）：</w:t>
      </w:r>
    </w:p>
    <w:p>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年   月   日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rPr>
          <w:rFonts w:hint="eastAsia" w:ascii="宋体" w:hAnsi="宋体" w:cs="宋体"/>
          <w:b/>
        </w:rPr>
      </w:pPr>
    </w:p>
    <w:p>
      <w:pPr>
        <w:pStyle w:val="12"/>
        <w:rPr>
          <w:rFonts w:hint="eastAsia" w:ascii="宋体" w:hAnsi="宋体" w:cs="宋体"/>
          <w:b/>
        </w:rPr>
      </w:pPr>
    </w:p>
    <w:p>
      <w:pPr>
        <w:pStyle w:val="13"/>
        <w:rPr>
          <w:rFonts w:hint="eastAsia" w:hAnsi="宋体"/>
          <w:b/>
        </w:rPr>
      </w:pPr>
    </w:p>
    <w:p>
      <w:pPr>
        <w:spacing w:line="360" w:lineRule="auto"/>
        <w:rPr>
          <w:rFonts w:hint="eastAsia" w:ascii="宋体" w:hAnsi="宋体" w:cs="宋体"/>
        </w:rPr>
      </w:pPr>
      <w:bookmarkStart w:id="127" w:name="_Toc30567"/>
      <w:bookmarkStart w:id="128" w:name="_Toc11308"/>
      <w:bookmarkStart w:id="129" w:name="_Toc15225"/>
    </w:p>
    <w:p>
      <w:pPr>
        <w:pStyle w:val="56"/>
        <w:rPr>
          <w:rFonts w:hint="eastAsia" w:ascii="宋体" w:hAnsi="宋体" w:cs="宋体"/>
        </w:rPr>
      </w:pPr>
    </w:p>
    <w:p>
      <w:pPr>
        <w:rPr>
          <w:rFonts w:hint="eastAsia" w:ascii="宋体" w:hAnsi="宋体" w:cs="宋体"/>
        </w:rPr>
      </w:pPr>
      <w:r>
        <w:rPr>
          <w:rFonts w:hint="eastAsia" w:ascii="宋体" w:hAnsi="宋体" w:cs="宋体"/>
        </w:rPr>
        <w:br w:type="page"/>
      </w:r>
    </w:p>
    <w:p>
      <w:pPr>
        <w:pStyle w:val="3"/>
        <w:numPr>
          <w:ilvl w:val="0"/>
          <w:numId w:val="10"/>
        </w:numPr>
        <w:spacing w:before="0" w:after="0" w:line="360" w:lineRule="auto"/>
        <w:rPr>
          <w:rFonts w:hint="eastAsia" w:ascii="宋体" w:hAnsi="宋体" w:cs="宋体"/>
          <w:sz w:val="32"/>
          <w:szCs w:val="32"/>
        </w:rPr>
      </w:pPr>
      <w:bookmarkStart w:id="130" w:name="_Toc32699"/>
      <w:r>
        <w:rPr>
          <w:rFonts w:hint="eastAsia" w:ascii="宋体" w:hAnsi="宋体" w:cs="宋体"/>
          <w:sz w:val="32"/>
          <w:szCs w:val="32"/>
        </w:rPr>
        <w:t>技术响应表</w:t>
      </w:r>
      <w:bookmarkEnd w:id="127"/>
      <w:bookmarkEnd w:id="128"/>
      <w:bookmarkEnd w:id="130"/>
    </w:p>
    <w:bookmarkEnd w:id="129"/>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3849"/>
        <w:gridCol w:w="1163"/>
        <w:gridCol w:w="313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70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序号</w:t>
            </w:r>
          </w:p>
        </w:tc>
        <w:tc>
          <w:tcPr>
            <w:tcW w:w="3849"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eastAsia="宋体"/>
                <w:sz w:val="21"/>
                <w:szCs w:val="21"/>
                <w:lang w:eastAsia="zh-CN"/>
              </w:rPr>
            </w:pPr>
            <w:r>
              <w:rPr>
                <w:rFonts w:hint="eastAsia" w:ascii="宋体" w:hAnsi="宋体"/>
                <w:sz w:val="21"/>
                <w:szCs w:val="21"/>
                <w:lang w:eastAsia="zh-CN"/>
              </w:rPr>
              <w:t>磋商文件要求</w:t>
            </w:r>
          </w:p>
        </w:tc>
        <w:tc>
          <w:tcPr>
            <w:tcW w:w="116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rPr>
              <w:t>是否响应</w:t>
            </w:r>
          </w:p>
        </w:tc>
        <w:tc>
          <w:tcPr>
            <w:tcW w:w="3137"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rPr>
            </w:pPr>
            <w:r>
              <w:rPr>
                <w:rFonts w:hint="eastAsia" w:ascii="宋体" w:hAnsi="宋体"/>
                <w:sz w:val="21"/>
                <w:szCs w:val="21"/>
                <w:lang w:eastAsia="zh-CN"/>
              </w:rPr>
              <w:t>供应商</w:t>
            </w:r>
            <w:r>
              <w:rPr>
                <w:rFonts w:hint="eastAsia" w:ascii="宋体" w:hAnsi="宋体"/>
                <w:sz w:val="21"/>
                <w:szCs w:val="21"/>
              </w:rPr>
              <w:t>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81"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92" w:hRule="exact"/>
          <w:jc w:val="center"/>
        </w:trPr>
        <w:tc>
          <w:tcPr>
            <w:tcW w:w="70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84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rPr>
            </w:pPr>
          </w:p>
        </w:tc>
        <w:tc>
          <w:tcPr>
            <w:tcW w:w="116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c>
          <w:tcPr>
            <w:tcW w:w="31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rPr>
            </w:pPr>
          </w:p>
        </w:tc>
      </w:tr>
    </w:tbl>
    <w:p>
      <w:pPr>
        <w:rPr>
          <w:rFonts w:hint="eastAsia" w:ascii="宋体" w:hAnsi="宋体" w:cs="宋体"/>
          <w:color w:val="000000"/>
          <w:szCs w:val="21"/>
        </w:rPr>
      </w:pPr>
    </w:p>
    <w:p>
      <w:pPr>
        <w:rPr>
          <w:rFonts w:hint="eastAsia" w:ascii="宋体" w:hAnsi="宋体" w:cs="宋体"/>
          <w:color w:val="000000"/>
          <w:szCs w:val="21"/>
        </w:rPr>
      </w:pPr>
    </w:p>
    <w:p>
      <w:pPr>
        <w:rPr>
          <w:rFonts w:hint="eastAsia" w:ascii="宋体" w:hAnsi="宋体" w:cs="宋体"/>
          <w:color w:val="000000"/>
          <w:szCs w:val="21"/>
        </w:rPr>
      </w:pPr>
    </w:p>
    <w:p>
      <w:pPr>
        <w:widowControl/>
        <w:adjustRightInd w:val="0"/>
        <w:spacing w:line="360" w:lineRule="auto"/>
        <w:rPr>
          <w:rFonts w:hint="eastAsia" w:ascii="宋体" w:hAnsi="宋体" w:cs="宋体"/>
          <w:color w:val="000000"/>
          <w:szCs w:val="21"/>
          <w:lang w:eastAsia="zh-CN"/>
        </w:rPr>
      </w:pPr>
      <w:r>
        <w:rPr>
          <w:rFonts w:hint="eastAsia" w:ascii="宋体" w:hAnsi="宋体" w:cs="宋体"/>
          <w:color w:val="000000"/>
          <w:szCs w:val="21"/>
        </w:rPr>
        <w:t>注：</w:t>
      </w:r>
      <w:r>
        <w:rPr>
          <w:rFonts w:hint="eastAsia" w:ascii="宋体" w:hAnsi="宋体" w:cs="宋体"/>
          <w:color w:val="000000"/>
          <w:szCs w:val="21"/>
          <w:lang w:eastAsia="zh-CN"/>
        </w:rPr>
        <w:t>本表“磋商文件要求”中填写磋商文件第五章中“四、采购内容及技术要求”的内容。</w:t>
      </w:r>
    </w:p>
    <w:p>
      <w:pPr>
        <w:rPr>
          <w:rFonts w:hint="eastAsia" w:ascii="宋体" w:hAnsi="宋体" w:cs="宋体"/>
          <w:color w:val="000000"/>
          <w:szCs w:val="21"/>
        </w:rPr>
      </w:pP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w:t>
      </w:r>
      <w:r>
        <w:rPr>
          <w:rFonts w:hint="eastAsia" w:ascii="宋体" w:hAnsi="宋体" w:cs="宋体"/>
          <w:sz w:val="24"/>
          <w:lang w:eastAsia="zh-CN"/>
        </w:rPr>
        <w:t>签名或盖章</w:t>
      </w:r>
      <w:r>
        <w:rPr>
          <w:rFonts w:hint="eastAsia" w:ascii="宋体" w:hAnsi="宋体" w:cs="宋体"/>
          <w:sz w:val="24"/>
        </w:rPr>
        <w:t>）：</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7"/>
        <w:rPr>
          <w:rFonts w:hint="eastAsia" w:ascii="宋体" w:hAnsi="宋体" w:cs="宋体"/>
        </w:rPr>
      </w:pPr>
    </w:p>
    <w:p>
      <w:pPr>
        <w:rPr>
          <w:rFonts w:hint="eastAsia"/>
        </w:rPr>
      </w:pPr>
    </w:p>
    <w:p>
      <w:pPr>
        <w:pStyle w:val="3"/>
        <w:numPr>
          <w:ilvl w:val="0"/>
          <w:numId w:val="10"/>
        </w:numPr>
        <w:spacing w:before="0" w:after="0" w:line="360" w:lineRule="auto"/>
        <w:rPr>
          <w:rFonts w:hint="eastAsia" w:ascii="宋体" w:hAnsi="宋体" w:cs="宋体"/>
          <w:sz w:val="32"/>
          <w:szCs w:val="32"/>
        </w:rPr>
      </w:pPr>
      <w:bookmarkStart w:id="131" w:name="_Toc31901"/>
      <w:bookmarkStart w:id="132" w:name="_Toc24554"/>
      <w:bookmarkStart w:id="133" w:name="_Toc1864"/>
      <w:r>
        <w:rPr>
          <w:rFonts w:hint="eastAsia" w:ascii="宋体" w:hAnsi="宋体" w:cs="宋体"/>
          <w:sz w:val="32"/>
          <w:szCs w:val="32"/>
        </w:rPr>
        <w:t>商务响应表</w:t>
      </w:r>
      <w:bookmarkEnd w:id="131"/>
      <w:bookmarkEnd w:id="132"/>
      <w:bookmarkEnd w:id="133"/>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8"/>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37"/>
        <w:rPr>
          <w:rFonts w:hint="eastAsia" w:ascii="宋体" w:hAnsi="宋体" w:cs="宋体"/>
          <w:szCs w:val="21"/>
        </w:rPr>
      </w:pPr>
    </w:p>
    <w:p>
      <w:pPr>
        <w:rPr>
          <w:rFonts w:hint="eastAsia" w:ascii="宋体" w:hAnsi="宋体" w:cs="宋体"/>
          <w:szCs w:val="21"/>
        </w:rPr>
      </w:pPr>
    </w:p>
    <w:p>
      <w:pPr>
        <w:pStyle w:val="37"/>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bookmarkEnd w:id="109"/>
    <w:bookmarkEnd w:id="110"/>
    <w:bookmarkEnd w:id="111"/>
    <w:bookmarkEnd w:id="112"/>
    <w:bookmarkEnd w:id="113"/>
    <w:bookmarkEnd w:id="114"/>
    <w:bookmarkEnd w:id="115"/>
    <w:p>
      <w:pPr>
        <w:pStyle w:val="3"/>
        <w:numPr>
          <w:ilvl w:val="0"/>
          <w:numId w:val="10"/>
        </w:numPr>
        <w:spacing w:before="0" w:after="0" w:line="360" w:lineRule="auto"/>
        <w:rPr>
          <w:rFonts w:hint="eastAsia" w:ascii="宋体" w:hAnsi="宋体" w:cs="宋体"/>
          <w:sz w:val="32"/>
          <w:szCs w:val="32"/>
        </w:rPr>
      </w:pPr>
      <w:bookmarkStart w:id="134" w:name="_bookmark278"/>
      <w:bookmarkEnd w:id="134"/>
      <w:bookmarkStart w:id="135" w:name="18.4.4_信息采集费用概算明细表"/>
      <w:bookmarkEnd w:id="135"/>
      <w:bookmarkStart w:id="136" w:name="_Toc6508"/>
      <w:bookmarkStart w:id="137" w:name="_Toc2497"/>
      <w:bookmarkStart w:id="138" w:name="_Toc8927"/>
      <w:r>
        <w:rPr>
          <w:rFonts w:hint="eastAsia" w:ascii="宋体" w:hAnsi="宋体" w:cs="宋体"/>
          <w:sz w:val="32"/>
          <w:szCs w:val="32"/>
        </w:rPr>
        <w:t>资格证明材料</w:t>
      </w:r>
      <w:bookmarkEnd w:id="136"/>
      <w:bookmarkEnd w:id="137"/>
      <w:bookmarkEnd w:id="138"/>
    </w:p>
    <w:p>
      <w:pPr>
        <w:numPr>
          <w:ilvl w:val="0"/>
          <w:numId w:val="0"/>
        </w:numPr>
        <w:spacing w:line="360" w:lineRule="auto"/>
        <w:ind w:firstLine="480" w:firstLineChars="200"/>
        <w:jc w:val="left"/>
        <w:rPr>
          <w:rFonts w:hint="eastAsia" w:ascii="宋体" w:hAnsi="宋体" w:cs="宋体"/>
          <w:sz w:val="24"/>
          <w:szCs w:val="24"/>
        </w:rPr>
      </w:pPr>
      <w:r>
        <w:rPr>
          <w:rFonts w:hint="eastAsia" w:ascii="宋体" w:hAnsi="宋体" w:eastAsia="宋体" w:cs="宋体"/>
          <w:kern w:val="2"/>
          <w:sz w:val="24"/>
          <w:szCs w:val="24"/>
          <w:lang w:val="en-US" w:eastAsia="zh-CN" w:bidi="ar-SA"/>
        </w:rPr>
        <w:t>1.</w:t>
      </w:r>
      <w:r>
        <w:rPr>
          <w:rFonts w:hint="eastAsia" w:ascii="宋体" w:hAnsi="宋体" w:cs="宋体"/>
          <w:sz w:val="24"/>
          <w:szCs w:val="24"/>
        </w:rPr>
        <w:t>武陟县政府采购供应商资格信用承诺函（详见格式）；</w:t>
      </w:r>
    </w:p>
    <w:p>
      <w:pPr>
        <w:numPr>
          <w:ilvl w:val="0"/>
          <w:numId w:val="0"/>
        </w:numPr>
        <w:spacing w:line="360" w:lineRule="auto"/>
        <w:ind w:firstLine="480" w:firstLineChars="200"/>
        <w:jc w:val="left"/>
        <w:rPr>
          <w:rFonts w:hint="eastAsia" w:ascii="宋体" w:hAnsi="宋体" w:cs="宋体"/>
          <w:sz w:val="24"/>
          <w:szCs w:val="24"/>
          <w:lang w:val="en-US" w:eastAsia="zh-CN"/>
        </w:rPr>
      </w:pPr>
      <w:r>
        <w:rPr>
          <w:rFonts w:hint="default" w:ascii="宋体" w:hAnsi="宋体" w:eastAsia="宋体" w:cs="宋体"/>
          <w:kern w:val="2"/>
          <w:sz w:val="24"/>
          <w:szCs w:val="24"/>
          <w:lang w:val="en-US" w:eastAsia="zh-CN" w:bidi="ar-SA"/>
        </w:rPr>
        <w:t>2.</w:t>
      </w:r>
      <w:r>
        <w:rPr>
          <w:rFonts w:hint="eastAsia" w:ascii="宋体" w:hAnsi="宋体" w:cs="宋体"/>
          <w:sz w:val="24"/>
          <w:szCs w:val="24"/>
          <w:lang w:val="en-US" w:eastAsia="zh-CN"/>
        </w:rPr>
        <w:t>提供中小企业声明函（详见格式）；</w:t>
      </w:r>
    </w:p>
    <w:p>
      <w:pPr>
        <w:numPr>
          <w:ilvl w:val="0"/>
          <w:numId w:val="0"/>
        </w:numPr>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3.供应商及其法定代表人、委托代理人均无行贿犯罪记录（提供无行贿犯罪记录承诺书，详见格式）；</w:t>
      </w:r>
    </w:p>
    <w:p>
      <w:pPr>
        <w:numPr>
          <w:ilvl w:val="0"/>
          <w:numId w:val="0"/>
        </w:numPr>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提供经中国人民银行备案的第三方征信机构出具的有效期内的（未注明有效期的，自信用报告出具之日起有效期不得超过两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0"/>
          <w:numId w:val="0"/>
        </w:numPr>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p>
    <w:p>
      <w:pPr>
        <w:pStyle w:val="13"/>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tabs>
          <w:tab w:val="center" w:pos="4649"/>
        </w:tabs>
        <w:jc w:val="center"/>
        <w:rPr>
          <w:rFonts w:hint="eastAsia"/>
          <w:b/>
          <w:sz w:val="28"/>
        </w:rPr>
      </w:pPr>
      <w:bookmarkStart w:id="139" w:name="_Toc8011"/>
      <w:bookmarkStart w:id="140" w:name="_Toc31392"/>
      <w:bookmarkStart w:id="141" w:name="_Toc114940421"/>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r>
        <w:rPr>
          <w:rFonts w:hint="eastAsia"/>
          <w:b/>
          <w:sz w:val="28"/>
        </w:rPr>
        <w:t>武陟县政府采购供应商资格信用承诺函</w:t>
      </w:r>
      <w:bookmarkEnd w:id="139"/>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40"/>
      <w:bookmarkEnd w:id="141"/>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4"/>
        <w:jc w:val="center"/>
        <w:rPr>
          <w:rFonts w:hint="eastAsia" w:ascii="宋体" w:hAnsi="宋体" w:eastAsia="宋体" w:cs="宋体"/>
          <w:sz w:val="28"/>
          <w:szCs w:val="28"/>
        </w:rPr>
      </w:pPr>
    </w:p>
    <w:p>
      <w:pPr>
        <w:pStyle w:val="4"/>
        <w:jc w:val="center"/>
        <w:rPr>
          <w:rFonts w:hint="eastAsia" w:ascii="宋体" w:hAnsi="宋体" w:eastAsia="宋体" w:cs="宋体"/>
          <w:sz w:val="28"/>
          <w:szCs w:val="28"/>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spacing w:before="0" w:beforeAutospacing="0" w:after="0" w:afterAutospacing="0"/>
        <w:ind w:right="560"/>
        <w:jc w:val="center"/>
        <w:rPr>
          <w:rFonts w:hint="eastAsia"/>
          <w:b/>
          <w:bCs/>
          <w:sz w:val="32"/>
          <w:szCs w:val="32"/>
        </w:rPr>
      </w:pPr>
    </w:p>
    <w:p>
      <w:pPr>
        <w:pStyle w:val="33"/>
        <w:ind w:right="560"/>
        <w:jc w:val="both"/>
        <w:rPr>
          <w:rFonts w:hint="eastAsia"/>
          <w:b/>
          <w:kern w:val="44"/>
          <w:sz w:val="32"/>
          <w:szCs w:val="32"/>
        </w:rPr>
      </w:pPr>
    </w:p>
    <w:p>
      <w:pPr>
        <w:pStyle w:val="33"/>
        <w:ind w:right="560"/>
        <w:jc w:val="center"/>
        <w:rPr>
          <w:rFonts w:hint="eastAsia"/>
          <w:b/>
          <w:kern w:val="44"/>
          <w:sz w:val="32"/>
          <w:szCs w:val="32"/>
        </w:rPr>
      </w:pPr>
      <w:r>
        <w:rPr>
          <w:rFonts w:hint="eastAsia"/>
          <w:b/>
          <w:kern w:val="44"/>
          <w:sz w:val="32"/>
          <w:szCs w:val="32"/>
        </w:rPr>
        <w:t>中小企业声明函（货物）</w:t>
      </w:r>
    </w:p>
    <w:p>
      <w:pPr>
        <w:spacing w:line="360" w:lineRule="auto"/>
        <w:ind w:firstLine="420" w:firstLineChars="200"/>
        <w:rPr>
          <w:rFonts w:hint="eastAsia" w:ascii="宋体" w:hAnsi="宋体" w:cs="宋体"/>
          <w:szCs w:val="21"/>
        </w:rPr>
      </w:pPr>
      <w:r>
        <w:rPr>
          <w:rFonts w:hint="eastAsia" w:ascii="宋体" w:hAnsi="宋体" w:cs="宋体"/>
          <w:szCs w:val="21"/>
        </w:rPr>
        <w:t>本公司（联合体）郑重声明，根据《政府采购促进中小企业发展管理办法》 (财库（2020) 46号）的规定，本公司（联合体）参加</w:t>
      </w:r>
      <w:r>
        <w:rPr>
          <w:rFonts w:hint="eastAsia" w:ascii="宋体" w:hAnsi="宋体" w:cs="宋体"/>
          <w:szCs w:val="21"/>
          <w:u w:val="single"/>
        </w:rPr>
        <w:t>（单位名称）</w:t>
      </w:r>
      <w:r>
        <w:rPr>
          <w:rFonts w:hint="eastAsia" w:ascii="宋体" w:hAnsi="宋体" w:cs="宋体"/>
          <w:szCs w:val="21"/>
        </w:rPr>
        <w:t>的</w:t>
      </w:r>
      <w:r>
        <w:rPr>
          <w:rFonts w:hint="eastAsia" w:ascii="宋体" w:hAnsi="宋体" w:cs="宋体"/>
          <w:szCs w:val="21"/>
          <w:u w:val="single"/>
        </w:rPr>
        <w:t>（项目名称）</w:t>
      </w:r>
      <w:r>
        <w:rPr>
          <w:rFonts w:hint="eastAsia" w:ascii="宋体" w:hAnsi="宋体" w:cs="宋体"/>
          <w:szCs w:val="21"/>
        </w:rPr>
        <w:t>采购活动，提供的货物全部由符合政策要求的中小企业制造。相关企业（含联合体中的中小企业、签订分包意向协议的中小企业）的具体情况如下：</w:t>
      </w:r>
    </w:p>
    <w:p>
      <w:pPr>
        <w:spacing w:line="360" w:lineRule="auto"/>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u w:val="single"/>
        </w:rPr>
        <w:t xml:space="preserve"> 桃中桃彩灯</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 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u w:val="single"/>
        </w:rPr>
        <w:t xml:space="preserve"> 网灯暖</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u w:val="single"/>
        </w:rPr>
        <w:t xml:space="preserve"> 烟花灯</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w:t>
      </w:r>
      <w:r>
        <w:rPr>
          <w:rFonts w:hint="eastAsia" w:ascii="宋体" w:hAnsi="宋体" w:cs="宋体"/>
          <w:szCs w:val="21"/>
          <w:u w:val="single"/>
        </w:rPr>
        <w:t>灯串暖黄</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5</w:t>
      </w:r>
      <w:r>
        <w:rPr>
          <w:rFonts w:hint="eastAsia" w:ascii="宋体" w:hAnsi="宋体" w:cs="宋体"/>
          <w:szCs w:val="21"/>
        </w:rPr>
        <w:t>.</w:t>
      </w:r>
      <w:r>
        <w:rPr>
          <w:rFonts w:hint="eastAsia" w:ascii="宋体" w:hAnsi="宋体" w:cs="宋体"/>
          <w:szCs w:val="21"/>
          <w:u w:val="single"/>
        </w:rPr>
        <w:t>灯串接头</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6</w:t>
      </w:r>
      <w:r>
        <w:rPr>
          <w:rFonts w:hint="eastAsia" w:ascii="宋体" w:hAnsi="宋体" w:cs="宋体"/>
          <w:szCs w:val="21"/>
        </w:rPr>
        <w:t>.</w:t>
      </w:r>
      <w:r>
        <w:rPr>
          <w:rFonts w:hint="eastAsia" w:ascii="宋体" w:hAnsi="宋体" w:cs="宋体"/>
          <w:szCs w:val="21"/>
          <w:u w:val="single"/>
        </w:rPr>
        <w:t xml:space="preserve"> 灯笼</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u w:val="single"/>
        </w:rPr>
        <w:t xml:space="preserve"> 3连串灯笼</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8</w:t>
      </w:r>
      <w:r>
        <w:rPr>
          <w:rFonts w:hint="eastAsia" w:ascii="宋体" w:hAnsi="宋体" w:cs="宋体"/>
          <w:szCs w:val="21"/>
        </w:rPr>
        <w:t>.</w:t>
      </w:r>
      <w:r>
        <w:rPr>
          <w:rFonts w:hint="eastAsia" w:ascii="宋体" w:hAnsi="宋体" w:cs="宋体"/>
          <w:szCs w:val="21"/>
          <w:u w:val="single"/>
        </w:rPr>
        <w:t xml:space="preserve"> 中国结</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9</w:t>
      </w:r>
      <w:r>
        <w:rPr>
          <w:rFonts w:hint="eastAsia" w:ascii="宋体" w:hAnsi="宋体" w:cs="宋体"/>
          <w:szCs w:val="21"/>
        </w:rPr>
        <w:t>.</w:t>
      </w:r>
      <w:r>
        <w:rPr>
          <w:rFonts w:hint="eastAsia" w:ascii="宋体" w:hAnsi="宋体" w:cs="宋体"/>
          <w:szCs w:val="21"/>
          <w:u w:val="single"/>
        </w:rPr>
        <w:t xml:space="preserve"> 电线</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10</w:t>
      </w:r>
      <w:r>
        <w:rPr>
          <w:rFonts w:hint="eastAsia" w:ascii="宋体" w:hAnsi="宋体" w:cs="宋体"/>
          <w:szCs w:val="21"/>
        </w:rPr>
        <w:t>.</w:t>
      </w:r>
      <w:r>
        <w:rPr>
          <w:rFonts w:hint="eastAsia" w:ascii="宋体" w:hAnsi="宋体" w:cs="宋体"/>
          <w:szCs w:val="21"/>
          <w:u w:val="single"/>
        </w:rPr>
        <w:t xml:space="preserve"> 电线</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11</w:t>
      </w:r>
      <w:r>
        <w:rPr>
          <w:rFonts w:hint="eastAsia" w:ascii="宋体" w:hAnsi="宋体" w:cs="宋体"/>
          <w:szCs w:val="21"/>
        </w:rPr>
        <w:t>.</w:t>
      </w:r>
      <w:r>
        <w:rPr>
          <w:rFonts w:hint="eastAsia" w:ascii="宋体" w:hAnsi="宋体" w:cs="宋体"/>
          <w:szCs w:val="21"/>
          <w:u w:val="single"/>
        </w:rPr>
        <w:t>发光字</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12</w:t>
      </w:r>
      <w:r>
        <w:rPr>
          <w:rFonts w:hint="eastAsia" w:ascii="宋体" w:hAnsi="宋体" w:cs="宋体"/>
          <w:szCs w:val="21"/>
        </w:rPr>
        <w:t>.</w:t>
      </w:r>
      <w:r>
        <w:rPr>
          <w:rFonts w:hint="eastAsia" w:ascii="宋体" w:hAnsi="宋体" w:cs="宋体"/>
          <w:szCs w:val="21"/>
          <w:u w:val="single"/>
        </w:rPr>
        <w:t>4连串灯笼</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lang w:val="en-US" w:eastAsia="zh-CN"/>
        </w:rPr>
        <w:t>13</w:t>
      </w:r>
      <w:r>
        <w:rPr>
          <w:rFonts w:hint="eastAsia" w:ascii="宋体" w:hAnsi="宋体" w:cs="宋体"/>
          <w:szCs w:val="21"/>
        </w:rPr>
        <w:t>.</w:t>
      </w:r>
      <w:r>
        <w:rPr>
          <w:rFonts w:hint="eastAsia" w:ascii="宋体" w:hAnsi="宋体" w:cs="宋体"/>
          <w:szCs w:val="21"/>
          <w:u w:val="single"/>
        </w:rPr>
        <w:t>灯串彩色</w:t>
      </w:r>
      <w:r>
        <w:rPr>
          <w:rFonts w:hint="eastAsia" w:ascii="宋体" w:hAnsi="宋体" w:cs="宋体"/>
          <w:szCs w:val="21"/>
        </w:rPr>
        <w:t>，属于</w:t>
      </w:r>
      <w:r>
        <w:rPr>
          <w:rFonts w:hint="eastAsia" w:ascii="宋体" w:hAnsi="宋体" w:cs="宋体"/>
          <w:szCs w:val="21"/>
          <w:u w:val="single"/>
        </w:rPr>
        <w:t>制造业</w:t>
      </w:r>
      <w:r>
        <w:rPr>
          <w:rFonts w:hint="eastAsia" w:ascii="宋体" w:hAnsi="宋体" w:cs="宋体"/>
          <w:szCs w:val="21"/>
        </w:rPr>
        <w:t>行业；制造商为</w:t>
      </w:r>
      <w:r>
        <w:rPr>
          <w:rFonts w:hint="eastAsia" w:ascii="宋体" w:hAnsi="宋体" w:cs="宋体"/>
          <w:szCs w:val="21"/>
          <w:u w:val="single"/>
        </w:rPr>
        <w:t>（企业名称）</w:t>
      </w:r>
      <w:r>
        <w:rPr>
          <w:rFonts w:hint="eastAsia" w:ascii="宋体" w:hAnsi="宋体" w:cs="宋体"/>
          <w:szCs w:val="21"/>
        </w:rPr>
        <w:t>， 从业人员＿人，营业收入为＿万元，资产总额为＿万元，属于</w:t>
      </w:r>
      <w:r>
        <w:rPr>
          <w:rFonts w:hint="eastAsia" w:ascii="宋体" w:hAnsi="宋体" w:cs="宋体"/>
          <w:szCs w:val="21"/>
          <w:u w:val="single"/>
        </w:rPr>
        <w:t>（中型企业小型企业、微型企业）</w:t>
      </w:r>
      <w:r>
        <w:rPr>
          <w:rFonts w:hint="eastAsia" w:ascii="宋体" w:hAnsi="宋体" w:cs="宋体"/>
          <w:szCs w:val="21"/>
        </w:rPr>
        <w:t>；</w:t>
      </w:r>
    </w:p>
    <w:p>
      <w:pPr>
        <w:spacing w:line="360" w:lineRule="auto"/>
        <w:ind w:firstLine="420" w:firstLineChars="200"/>
        <w:rPr>
          <w:rFonts w:hint="eastAsia" w:ascii="宋体" w:hAnsi="宋体" w:cs="宋体"/>
          <w:szCs w:val="21"/>
        </w:rPr>
      </w:pPr>
      <w:r>
        <w:rPr>
          <w:rFonts w:hint="eastAsia" w:ascii="宋体" w:hAnsi="宋体" w:cs="宋体"/>
          <w:szCs w:val="21"/>
        </w:rPr>
        <w:t>以上企业，不属于大企业的分支机构，不存在控股股东为大企业的情形，也不存在与大企业的负责人为同一人的情形。</w:t>
      </w:r>
    </w:p>
    <w:p>
      <w:pPr>
        <w:spacing w:line="360" w:lineRule="auto"/>
        <w:ind w:firstLine="420" w:firstLineChars="200"/>
        <w:rPr>
          <w:rFonts w:hint="eastAsia" w:ascii="宋体" w:hAnsi="宋体" w:cs="宋体"/>
          <w:szCs w:val="21"/>
        </w:rPr>
      </w:pPr>
      <w:r>
        <w:rPr>
          <w:rFonts w:hint="eastAsia" w:ascii="宋体" w:hAnsi="宋体" w:cs="宋体"/>
          <w:szCs w:val="21"/>
        </w:rPr>
        <w:t>本企业对上述声明内容的真实性负责。如有虚假，将依法承担相应责任。</w:t>
      </w:r>
    </w:p>
    <w:p>
      <w:pPr>
        <w:spacing w:line="360" w:lineRule="auto"/>
        <w:ind w:firstLine="5040" w:firstLineChars="2400"/>
        <w:rPr>
          <w:rFonts w:hint="eastAsia" w:ascii="宋体" w:hAnsi="宋体" w:cs="宋体"/>
          <w:szCs w:val="21"/>
        </w:rPr>
      </w:pPr>
      <w:r>
        <w:rPr>
          <w:rFonts w:hint="eastAsia" w:ascii="宋体" w:hAnsi="宋体" w:cs="宋体"/>
          <w:szCs w:val="21"/>
        </w:rPr>
        <w:t>企业名称（盖章）：</w:t>
      </w:r>
    </w:p>
    <w:p>
      <w:pPr>
        <w:spacing w:line="360" w:lineRule="auto"/>
        <w:jc w:val="center"/>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日期：</w:t>
      </w:r>
    </w:p>
    <w:p>
      <w:pPr>
        <w:spacing w:line="360" w:lineRule="auto"/>
        <w:rPr>
          <w:rFonts w:hint="eastAsia" w:ascii="宋体" w:hAnsi="宋体" w:cs="宋体"/>
          <w:szCs w:val="21"/>
        </w:rPr>
      </w:pPr>
      <w:r>
        <w:rPr>
          <w:rFonts w:hint="eastAsia" w:ascii="宋体" w:hAnsi="宋体" w:cs="宋体"/>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37"/>
        <w:keepNext w:val="0"/>
        <w:keepLines w:val="0"/>
        <w:pageBreakBefore w:val="0"/>
        <w:widowControl w:val="0"/>
        <w:kinsoku/>
        <w:wordWrap/>
        <w:overflowPunct/>
        <w:topLinePunct w:val="0"/>
        <w:autoSpaceDE/>
        <w:autoSpaceDN/>
        <w:bidi w:val="0"/>
        <w:adjustRightInd/>
        <w:snapToGrid/>
        <w:spacing w:after="0" w:afterLines="0" w:line="360" w:lineRule="auto"/>
        <w:ind w:left="0" w:leftChars="0"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widowControl/>
        <w:spacing w:line="580" w:lineRule="atLeast"/>
        <w:rPr>
          <w:rFonts w:hint="eastAsia" w:ascii="宋体" w:hAnsi="宋体" w:cs="宋体"/>
        </w:rPr>
      </w:pPr>
    </w:p>
    <w:p>
      <w:pPr>
        <w:widowControl/>
        <w:spacing w:line="580" w:lineRule="atLeast"/>
        <w:rPr>
          <w:rFonts w:hint="eastAsia" w:ascii="宋体" w:hAnsi="宋体" w:cs="宋体"/>
        </w:rPr>
      </w:pPr>
    </w:p>
    <w:p>
      <w:pPr>
        <w:pStyle w:val="33"/>
        <w:spacing w:before="0" w:beforeAutospacing="0" w:after="0" w:afterAutospacing="0"/>
        <w:ind w:right="560"/>
        <w:jc w:val="center"/>
        <w:rPr>
          <w:b/>
          <w:bCs/>
          <w:sz w:val="32"/>
          <w:szCs w:val="32"/>
        </w:rPr>
      </w:pPr>
    </w:p>
    <w:p>
      <w:pPr>
        <w:pStyle w:val="33"/>
        <w:spacing w:before="0" w:beforeAutospacing="0" w:after="0" w:afterAutospacing="0"/>
        <w:ind w:right="560"/>
        <w:jc w:val="center"/>
        <w:rPr>
          <w:b/>
          <w:bCs/>
          <w:sz w:val="32"/>
          <w:szCs w:val="32"/>
        </w:rPr>
      </w:pPr>
    </w:p>
    <w:p>
      <w:pPr>
        <w:pStyle w:val="33"/>
        <w:spacing w:before="0" w:beforeAutospacing="0" w:after="0" w:afterAutospacing="0"/>
        <w:ind w:right="560"/>
        <w:jc w:val="center"/>
        <w:rPr>
          <w:b/>
          <w:bCs/>
          <w:sz w:val="32"/>
          <w:szCs w:val="32"/>
        </w:rPr>
      </w:pPr>
    </w:p>
    <w:p>
      <w:pPr>
        <w:pStyle w:val="33"/>
        <w:spacing w:before="0" w:beforeAutospacing="0" w:after="0" w:afterAutospacing="0"/>
        <w:ind w:right="560"/>
        <w:jc w:val="center"/>
        <w:rPr>
          <w:b/>
          <w:bCs/>
          <w:sz w:val="32"/>
          <w:szCs w:val="32"/>
        </w:rPr>
      </w:pPr>
    </w:p>
    <w:p>
      <w:pPr>
        <w:widowControl/>
        <w:spacing w:line="580" w:lineRule="atLeast"/>
        <w:jc w:val="center"/>
        <w:rPr>
          <w:rFonts w:hint="eastAsia" w:ascii="宋体" w:hAnsi="宋体" w:cs="宋体"/>
          <w:b/>
          <w:bCs/>
          <w:sz w:val="32"/>
          <w:szCs w:val="32"/>
        </w:rPr>
      </w:pPr>
    </w:p>
    <w:bookmarkEnd w:id="116"/>
    <w:bookmarkEnd w:id="117"/>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42" w:name="_Toc5506"/>
      <w:bookmarkStart w:id="143" w:name="_Toc406663316"/>
      <w:bookmarkStart w:id="144" w:name="_Toc487805932"/>
      <w:bookmarkStart w:id="145" w:name="_Toc490161471"/>
      <w:bookmarkStart w:id="146" w:name="_Toc15846"/>
      <w:bookmarkStart w:id="147" w:name="_Toc23619"/>
      <w:bookmarkStart w:id="148" w:name="_Toc477423256"/>
      <w:bookmarkStart w:id="149" w:name="_Toc428454062"/>
      <w:bookmarkStart w:id="150" w:name="_Toc428525390"/>
      <w:bookmarkStart w:id="151" w:name="_Toc214329904"/>
      <w:bookmarkStart w:id="152" w:name="_Toc364490446"/>
      <w:bookmarkStart w:id="153" w:name="_Toc408816356"/>
      <w:bookmarkStart w:id="154" w:name="_Toc25878"/>
      <w:bookmarkStart w:id="155" w:name="_Toc373230045"/>
      <w:bookmarkStart w:id="156" w:name="_Toc374512433"/>
    </w:p>
    <w:p>
      <w:pPr>
        <w:pStyle w:val="3"/>
        <w:numPr>
          <w:ilvl w:val="0"/>
          <w:numId w:val="10"/>
        </w:numPr>
        <w:spacing w:before="0" w:after="0" w:line="360" w:lineRule="auto"/>
        <w:rPr>
          <w:rFonts w:hint="eastAsia" w:ascii="宋体" w:hAnsi="宋体" w:cs="宋体"/>
          <w:sz w:val="32"/>
          <w:szCs w:val="32"/>
        </w:rPr>
      </w:pPr>
      <w:bookmarkStart w:id="157" w:name="_Toc20773"/>
      <w:r>
        <w:rPr>
          <w:rFonts w:hint="eastAsia" w:ascii="宋体" w:hAnsi="宋体" w:cs="宋体"/>
          <w:sz w:val="32"/>
          <w:szCs w:val="32"/>
        </w:rPr>
        <w:t>法定代表人身份证明或授权委托书</w:t>
      </w:r>
      <w:bookmarkEnd w:id="142"/>
      <w:bookmarkEnd w:id="143"/>
      <w:bookmarkEnd w:id="144"/>
      <w:bookmarkEnd w:id="145"/>
      <w:bookmarkEnd w:id="146"/>
      <w:bookmarkEnd w:id="147"/>
      <w:bookmarkEnd w:id="148"/>
      <w:bookmarkEnd w:id="149"/>
      <w:bookmarkEnd w:id="150"/>
      <w:bookmarkEnd w:id="157"/>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7"/>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w:t>
      </w:r>
      <w:r>
        <w:rPr>
          <w:rFonts w:hint="eastAsia" w:ascii="宋体" w:hAnsi="宋体" w:cs="宋体"/>
          <w:sz w:val="24"/>
        </w:rPr>
        <w:t>设立登记证书</w:t>
      </w:r>
      <w:r>
        <w:rPr>
          <w:rFonts w:hint="eastAsia" w:ascii="宋体" w:hAnsi="宋体" w:cs="宋体"/>
          <w:sz w:val="24"/>
          <w:lang w:eastAsia="zh-CN"/>
        </w:rPr>
        <w:t>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keepNext w:val="0"/>
        <w:keepLines w:val="0"/>
        <w:pageBreakBefore w:val="0"/>
        <w:widowControl w:val="0"/>
        <w:kinsoku/>
        <w:wordWrap w:val="0"/>
        <w:overflowPunct/>
        <w:topLinePunct w:val="0"/>
        <w:autoSpaceDE/>
        <w:autoSpaceDN/>
        <w:bidi w:val="0"/>
        <w:adjustRightInd/>
        <w:snapToGrid/>
        <w:spacing w:line="360" w:lineRule="auto"/>
        <w:ind w:left="420" w:leftChars="200" w:firstLine="420" w:firstLineChars="200"/>
        <w:jc w:val="left"/>
        <w:textAlignment w:val="auto"/>
        <w:rPr>
          <w:rFonts w:hint="eastAsia" w:ascii="宋体" w:hAnsi="宋体" w:cs="宋体"/>
          <w:szCs w:val="21"/>
        </w:rPr>
      </w:pPr>
      <w:bookmarkStart w:id="158" w:name="_Toc15453"/>
      <w:bookmarkStart w:id="159" w:name="_Toc476045985"/>
      <w:bookmarkStart w:id="160" w:name="_Toc477423257"/>
      <w:bookmarkStart w:id="161" w:name="_Toc487805933"/>
      <w:bookmarkStart w:id="162" w:name="_Toc490161472"/>
      <w:bookmarkStart w:id="163" w:name="_Toc475955191"/>
      <w:bookmarkStart w:id="164" w:name="_Toc428454066"/>
      <w:bookmarkStart w:id="165" w:name="_Toc428525391"/>
      <w:r>
        <w:rPr>
          <w:rFonts w:hint="eastAsia" w:ascii="宋体" w:hAnsi="宋体" w:cs="宋体"/>
          <w:szCs w:val="21"/>
        </w:rPr>
        <w:t>本授权委托声明：我</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u w:val="single"/>
        </w:rPr>
        <w:t>　</w:t>
      </w:r>
      <w:r>
        <w:rPr>
          <w:rFonts w:hint="eastAsia" w:ascii="宋体" w:hAnsi="宋体" w:cs="宋体"/>
          <w:szCs w:val="21"/>
        </w:rPr>
        <w:t>（姓名）系</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（供应商名称）的法定代表人，现授权委托</w:t>
      </w:r>
      <w:r>
        <w:rPr>
          <w:rFonts w:hint="eastAsia" w:ascii="宋体" w:hAnsi="宋体" w:cs="宋体"/>
          <w:szCs w:val="21"/>
          <w:u w:val="single"/>
          <w:lang w:val="en-US" w:eastAsia="zh-CN"/>
        </w:rPr>
        <w:t xml:space="preserve">           </w:t>
      </w:r>
      <w:r>
        <w:rPr>
          <w:rFonts w:hint="eastAsia" w:ascii="宋体" w:hAnsi="宋体" w:cs="宋体"/>
          <w:szCs w:val="21"/>
        </w:rPr>
        <w:t>（单位名称）的</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（姓名）为我单位代理人，以本单位的名义参加</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（项目名称）</w:t>
      </w:r>
      <w:r>
        <w:rPr>
          <w:rFonts w:hint="eastAsia" w:ascii="宋体" w:hAnsi="宋体" w:cs="宋体"/>
          <w:szCs w:val="21"/>
        </w:rPr>
        <w:t>（</w:t>
      </w:r>
      <w:r>
        <w:rPr>
          <w:rFonts w:hint="eastAsia" w:ascii="宋体" w:hAnsi="宋体" w:cs="宋体"/>
          <w:szCs w:val="21"/>
          <w:lang w:eastAsia="zh-CN"/>
        </w:rPr>
        <w:t>项目</w:t>
      </w:r>
      <w:r>
        <w:rPr>
          <w:rFonts w:hint="eastAsia" w:ascii="宋体" w:hAnsi="宋体" w:cs="宋体"/>
          <w:szCs w:val="21"/>
        </w:rPr>
        <w:t>编号：</w:t>
      </w:r>
      <w:r>
        <w:rPr>
          <w:rFonts w:hint="eastAsia" w:ascii="宋体" w:hAnsi="宋体" w:cs="宋体"/>
          <w:color w:val="auto"/>
          <w:szCs w:val="21"/>
          <w:u w:val="single"/>
          <w:lang w:val="en-US" w:eastAsia="zh-CN"/>
        </w:rPr>
        <w:t xml:space="preserve">        </w:t>
      </w:r>
      <w:r>
        <w:rPr>
          <w:rFonts w:hint="eastAsia" w:ascii="宋体" w:hAnsi="宋体" w:cs="宋体"/>
          <w:szCs w:val="21"/>
        </w:rPr>
        <w:t>）的采购活动。代理人在谈判、评审、合同谈判过程中所签署的一切文件和处理与之有关的一切事务，我均予以承认。</w:t>
      </w:r>
    </w:p>
    <w:p>
      <w:pPr>
        <w:keepNext w:val="0"/>
        <w:keepLines w:val="0"/>
        <w:pageBreakBefore w:val="0"/>
        <w:widowControl w:val="0"/>
        <w:kinsoku/>
        <w:wordWrap w:val="0"/>
        <w:overflowPunct/>
        <w:topLinePunct w:val="0"/>
        <w:autoSpaceDE/>
        <w:autoSpaceDN/>
        <w:bidi w:val="0"/>
        <w:adjustRightInd/>
        <w:snapToGrid/>
        <w:spacing w:line="360" w:lineRule="auto"/>
        <w:ind w:firstLine="840" w:firstLineChars="400"/>
        <w:textAlignment w:val="auto"/>
        <w:rPr>
          <w:rFonts w:hint="eastAsia" w:ascii="宋体" w:hAnsi="宋体" w:cs="宋体"/>
          <w:szCs w:val="21"/>
        </w:rPr>
      </w:pPr>
      <w:r>
        <w:rPr>
          <w:rFonts w:hint="eastAsia" w:ascii="宋体" w:hAnsi="宋体" w:cs="宋体"/>
          <w:szCs w:val="21"/>
        </w:rPr>
        <w:t>代理人无转委托权，特此声明。</w:t>
      </w:r>
    </w:p>
    <w:p>
      <w:pPr>
        <w:spacing w:line="360" w:lineRule="auto"/>
        <w:ind w:firstLine="352" w:firstLineChars="168"/>
        <w:rPr>
          <w:rFonts w:hint="eastAsia" w:ascii="宋体" w:hAnsi="宋体" w:cs="宋体"/>
          <w:szCs w:val="21"/>
        </w:rPr>
      </w:pPr>
    </w:p>
    <w:p>
      <w:pPr>
        <w:spacing w:line="360" w:lineRule="auto"/>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供应商名称（全称并加盖公章）：</w:t>
      </w:r>
    </w:p>
    <w:p>
      <w:pPr>
        <w:spacing w:line="360" w:lineRule="auto"/>
        <w:rPr>
          <w:rFonts w:hint="eastAsia" w:ascii="宋体" w:hAnsi="宋体" w:cs="宋体"/>
          <w:szCs w:val="21"/>
          <w:u w:val="single"/>
        </w:rPr>
      </w:pPr>
      <w:r>
        <w:rPr>
          <w:rFonts w:hint="eastAsia" w:ascii="宋体" w:hAnsi="宋体" w:cs="宋体"/>
          <w:szCs w:val="21"/>
        </w:rPr>
        <w:t xml:space="preserve">                             法定代表人（签名或盖章）：</w:t>
      </w:r>
    </w:p>
    <w:p>
      <w:pPr>
        <w:spacing w:line="360" w:lineRule="auto"/>
        <w:rPr>
          <w:rFonts w:hint="eastAsia" w:ascii="宋体" w:hAnsi="宋体" w:cs="宋体"/>
          <w:szCs w:val="21"/>
          <w:u w:val="single"/>
        </w:rPr>
      </w:pPr>
      <w:r>
        <w:rPr>
          <w:rFonts w:hint="eastAsia" w:ascii="宋体" w:hAnsi="宋体" w:cs="宋体"/>
          <w:szCs w:val="21"/>
        </w:rPr>
        <w:t xml:space="preserve">                             委托代理人（签名或盖章）：</w:t>
      </w:r>
    </w:p>
    <w:p>
      <w:pPr>
        <w:spacing w:line="360" w:lineRule="auto"/>
        <w:ind w:firstLine="4830" w:firstLineChars="230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5"/>
        <w:ind w:firstLine="964" w:firstLineChars="400"/>
        <w:rPr>
          <w:rFonts w:hint="eastAsia" w:ascii="宋体" w:hAnsi="宋体" w:cs="宋体"/>
        </w:rPr>
        <w:sectPr>
          <w:headerReference r:id="rId13" w:type="first"/>
          <w:footerReference r:id="rId15" w:type="first"/>
          <w:headerReference r:id="rId12" w:type="default"/>
          <w:footerReference r:id="rId14"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58"/>
      <w:bookmarkEnd w:id="159"/>
      <w:bookmarkEnd w:id="160"/>
      <w:bookmarkEnd w:id="161"/>
      <w:bookmarkEnd w:id="162"/>
      <w:bookmarkEnd w:id="163"/>
      <w:bookmarkStart w:id="166" w:name="_Toc477423259"/>
      <w:bookmarkStart w:id="167" w:name="_Toc17258"/>
      <w:bookmarkStart w:id="168" w:name="_Toc490161474"/>
      <w:bookmarkStart w:id="169" w:name="_Toc487805935"/>
      <w:r>
        <w:rPr>
          <w:rFonts w:hint="eastAsia" w:ascii="宋体" w:hAnsi="宋体" w:cs="宋体"/>
          <w:b/>
        </w:rPr>
        <w:t>此项。</w:t>
      </w:r>
    </w:p>
    <w:p>
      <w:pPr>
        <w:pStyle w:val="3"/>
        <w:numPr>
          <w:ilvl w:val="0"/>
          <w:numId w:val="10"/>
        </w:numPr>
        <w:spacing w:before="0" w:after="0" w:line="360" w:lineRule="auto"/>
        <w:rPr>
          <w:rFonts w:hint="eastAsia" w:ascii="宋体" w:hAnsi="宋体" w:cs="宋体"/>
          <w:sz w:val="32"/>
          <w:szCs w:val="32"/>
        </w:rPr>
      </w:pPr>
      <w:bookmarkStart w:id="170" w:name="_Toc5526"/>
      <w:bookmarkStart w:id="171" w:name="_Toc12027"/>
      <w:bookmarkStart w:id="172" w:name="_Toc529865893"/>
      <w:bookmarkStart w:id="173" w:name="_Toc2"/>
      <w:r>
        <w:rPr>
          <w:rFonts w:hint="eastAsia" w:ascii="宋体" w:hAnsi="宋体" w:cs="宋体"/>
          <w:sz w:val="32"/>
          <w:szCs w:val="32"/>
        </w:rPr>
        <w:t>残疾人福利性单位声明函</w:t>
      </w:r>
      <w:bookmarkEnd w:id="170"/>
      <w:bookmarkEnd w:id="171"/>
      <w:bookmarkEnd w:id="172"/>
      <w:bookmarkEnd w:id="173"/>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37"/>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23"/>
        <w:rPr>
          <w:rFonts w:hint="eastAsia" w:cs="宋体"/>
        </w:rPr>
      </w:pPr>
    </w:p>
    <w:bookmarkEnd w:id="166"/>
    <w:bookmarkEnd w:id="167"/>
    <w:bookmarkEnd w:id="168"/>
    <w:bookmarkEnd w:id="169"/>
    <w:p>
      <w:pPr>
        <w:pStyle w:val="3"/>
        <w:numPr>
          <w:ilvl w:val="0"/>
          <w:numId w:val="10"/>
        </w:numPr>
        <w:spacing w:before="0" w:after="0" w:line="360" w:lineRule="auto"/>
        <w:rPr>
          <w:rFonts w:hint="eastAsia" w:ascii="宋体" w:hAnsi="宋体" w:cs="宋体"/>
          <w:sz w:val="32"/>
          <w:szCs w:val="32"/>
        </w:rPr>
      </w:pPr>
      <w:bookmarkStart w:id="174" w:name="_Toc19062"/>
      <w:bookmarkStart w:id="175" w:name="_Toc7213"/>
      <w:bookmarkStart w:id="176" w:name="_Toc20485"/>
      <w:bookmarkStart w:id="177" w:name="_Toc487805936"/>
      <w:bookmarkStart w:id="178" w:name="_Toc477423260"/>
      <w:bookmarkStart w:id="179" w:name="_Toc490161475"/>
      <w:bookmarkStart w:id="180" w:name="_Toc1654"/>
      <w:r>
        <w:rPr>
          <w:rFonts w:hint="eastAsia" w:ascii="宋体" w:hAnsi="宋体" w:cs="宋体"/>
          <w:sz w:val="32"/>
          <w:szCs w:val="32"/>
        </w:rPr>
        <w:t>反商业贿赂承诺书</w:t>
      </w:r>
      <w:bookmarkEnd w:id="174"/>
      <w:bookmarkEnd w:id="175"/>
      <w:bookmarkEnd w:id="176"/>
      <w:bookmarkEnd w:id="177"/>
      <w:bookmarkEnd w:id="178"/>
      <w:bookmarkEnd w:id="179"/>
      <w:bookmarkEnd w:id="180"/>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51"/>
    <w:bookmarkEnd w:id="152"/>
    <w:bookmarkEnd w:id="153"/>
    <w:bookmarkEnd w:id="154"/>
    <w:bookmarkEnd w:id="155"/>
    <w:bookmarkEnd w:id="156"/>
    <w:bookmarkEnd w:id="164"/>
    <w:bookmarkEnd w:id="165"/>
    <w:p>
      <w:pPr>
        <w:spacing w:line="460" w:lineRule="exact"/>
        <w:rPr>
          <w:rFonts w:hint="eastAsia" w:ascii="宋体" w:hAnsi="宋体" w:cs="宋体"/>
          <w:sz w:val="24"/>
          <w:szCs w:val="24"/>
        </w:rPr>
      </w:pPr>
      <w:bookmarkStart w:id="181" w:name="_Toc365712853"/>
      <w:bookmarkStart w:id="182" w:name="_Toc19579"/>
      <w:bookmarkStart w:id="183" w:name="_Toc475955200"/>
      <w:bookmarkStart w:id="184" w:name="_Toc476045994"/>
      <w:bookmarkStart w:id="185" w:name="_Toc406663323"/>
      <w:bookmarkStart w:id="186" w:name="_Toc477423265"/>
      <w:bookmarkStart w:id="187" w:name="_Toc18166"/>
      <w:bookmarkStart w:id="188" w:name="_Toc364962592"/>
      <w:bookmarkStart w:id="189" w:name="_Toc450037734"/>
      <w:bookmarkStart w:id="190" w:name="_Toc19463"/>
      <w:bookmarkStart w:id="191" w:name="_Toc490161482"/>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3"/>
        <w:numPr>
          <w:ilvl w:val="0"/>
          <w:numId w:val="10"/>
        </w:numPr>
        <w:spacing w:before="0" w:after="0" w:line="360" w:lineRule="auto"/>
        <w:rPr>
          <w:rFonts w:hint="eastAsia" w:ascii="宋体" w:hAnsi="宋体" w:cs="宋体"/>
          <w:sz w:val="32"/>
          <w:szCs w:val="32"/>
        </w:rPr>
      </w:pPr>
      <w:bookmarkStart w:id="192" w:name="_Toc18203"/>
      <w:r>
        <w:rPr>
          <w:rFonts w:hint="eastAsia" w:ascii="宋体" w:hAnsi="宋体" w:cs="宋体"/>
          <w:sz w:val="32"/>
          <w:szCs w:val="32"/>
        </w:rPr>
        <w:t>竞争性磋商文件要求的以及供应商认为应该提供的其他材料</w:t>
      </w:r>
      <w:bookmarkEnd w:id="181"/>
      <w:bookmarkEnd w:id="182"/>
      <w:bookmarkEnd w:id="183"/>
      <w:bookmarkEnd w:id="184"/>
      <w:bookmarkEnd w:id="185"/>
      <w:bookmarkEnd w:id="186"/>
      <w:bookmarkEnd w:id="187"/>
      <w:bookmarkEnd w:id="188"/>
      <w:bookmarkEnd w:id="189"/>
      <w:bookmarkEnd w:id="190"/>
      <w:bookmarkEnd w:id="191"/>
      <w:bookmarkEnd w:id="192"/>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23"/>
        <w:rPr>
          <w:rFonts w:hint="eastAsia" w:cs="宋体"/>
          <w:sz w:val="28"/>
          <w:szCs w:val="24"/>
        </w:rPr>
      </w:pPr>
    </w:p>
    <w:p>
      <w:pPr>
        <w:pStyle w:val="4"/>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t>第二轮报价表</w:t>
      </w:r>
    </w:p>
    <w:p>
      <w:pPr>
        <w:rPr>
          <w:rFonts w:hint="eastAsia"/>
        </w:rPr>
      </w:pPr>
    </w:p>
    <w:p>
      <w:pPr>
        <w:spacing w:line="360" w:lineRule="auto"/>
        <w:rPr>
          <w:rFonts w:hint="eastAsia" w:ascii="宋体" w:hAnsi="宋体" w:cs="宋体"/>
          <w:color w:val="FF0000"/>
          <w:szCs w:val="21"/>
        </w:rPr>
      </w:pPr>
      <w:r>
        <w:rPr>
          <w:rFonts w:hint="eastAsia" w:ascii="宋体" w:hAnsi="宋体" w:cs="宋体"/>
          <w:szCs w:val="21"/>
        </w:rPr>
        <w:t>项目名称：                                    项目编号：</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927"/>
        <w:gridCol w:w="1040"/>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927" w:type="dxa"/>
            <w:noWrap w:val="0"/>
            <w:vAlign w:val="center"/>
          </w:tcPr>
          <w:p>
            <w:pPr>
              <w:spacing w:line="240" w:lineRule="atLeast"/>
              <w:jc w:val="center"/>
              <w:rPr>
                <w:rFonts w:hint="eastAsia" w:ascii="宋体" w:hAnsi="宋体" w:cs="宋体"/>
                <w:szCs w:val="21"/>
                <w:lang w:eastAsia="zh-CN"/>
              </w:rPr>
            </w:pPr>
            <w:r>
              <w:rPr>
                <w:rFonts w:hint="eastAsia" w:ascii="宋体" w:hAnsi="宋体" w:cs="宋体"/>
                <w:szCs w:val="21"/>
                <w:lang w:eastAsia="zh-CN"/>
              </w:rPr>
              <w:t>标的</w:t>
            </w:r>
          </w:p>
          <w:p>
            <w:pPr>
              <w:spacing w:line="240" w:lineRule="atLeast"/>
              <w:jc w:val="center"/>
              <w:rPr>
                <w:rFonts w:hint="eastAsia" w:ascii="宋体" w:hAnsi="宋体" w:cs="宋体"/>
                <w:szCs w:val="21"/>
              </w:rPr>
            </w:pPr>
            <w:r>
              <w:rPr>
                <w:rFonts w:hint="eastAsia" w:ascii="宋体" w:hAnsi="宋体" w:cs="宋体"/>
                <w:szCs w:val="21"/>
              </w:rPr>
              <w:t>名称</w:t>
            </w:r>
          </w:p>
        </w:tc>
        <w:tc>
          <w:tcPr>
            <w:tcW w:w="1040"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21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07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制造企业名称</w:t>
            </w:r>
          </w:p>
        </w:tc>
        <w:tc>
          <w:tcPr>
            <w:tcW w:w="908"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9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5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059" w:type="dxa"/>
            <w:noWrap w:val="0"/>
            <w:vAlign w:val="center"/>
          </w:tcPr>
          <w:p>
            <w:pPr>
              <w:spacing w:line="240" w:lineRule="atLeast"/>
              <w:jc w:val="center"/>
              <w:rPr>
                <w:rFonts w:hint="eastAsia" w:ascii="宋体" w:hAnsi="宋体" w:eastAsia="宋体" w:cs="宋体"/>
                <w:szCs w:val="21"/>
                <w:lang w:eastAsia="zh-CN"/>
              </w:rPr>
            </w:pPr>
            <w:r>
              <w:rPr>
                <w:rFonts w:hint="eastAsia" w:ascii="宋体" w:hAnsi="宋体" w:cs="宋体"/>
                <w:szCs w:val="21"/>
                <w:lang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noWrap w:val="0"/>
            <w:vAlign w:val="center"/>
          </w:tcPr>
          <w:p>
            <w:pPr>
              <w:spacing w:line="360" w:lineRule="auto"/>
              <w:jc w:val="center"/>
              <w:rPr>
                <w:rFonts w:hint="eastAsia" w:ascii="宋体" w:hAnsi="宋体" w:cs="宋体"/>
                <w:szCs w:val="21"/>
              </w:rPr>
            </w:pPr>
            <w:r>
              <w:rPr>
                <w:rFonts w:hint="eastAsia" w:ascii="宋体" w:hAnsi="宋体" w:cs="宋体"/>
                <w:szCs w:val="21"/>
              </w:rPr>
              <w:t>…</w:t>
            </w:r>
          </w:p>
        </w:tc>
        <w:tc>
          <w:tcPr>
            <w:tcW w:w="927" w:type="dxa"/>
            <w:noWrap w:val="0"/>
            <w:vAlign w:val="center"/>
          </w:tcPr>
          <w:p>
            <w:pPr>
              <w:spacing w:line="360" w:lineRule="auto"/>
              <w:jc w:val="center"/>
              <w:rPr>
                <w:rFonts w:hint="eastAsia" w:ascii="宋体" w:hAnsi="宋体" w:cs="宋体"/>
                <w:szCs w:val="21"/>
              </w:rPr>
            </w:pPr>
          </w:p>
        </w:tc>
        <w:tc>
          <w:tcPr>
            <w:tcW w:w="1040" w:type="dxa"/>
            <w:noWrap w:val="0"/>
            <w:vAlign w:val="center"/>
          </w:tcPr>
          <w:p>
            <w:pPr>
              <w:spacing w:line="360" w:lineRule="auto"/>
              <w:jc w:val="center"/>
              <w:rPr>
                <w:rFonts w:hint="eastAsia" w:ascii="宋体" w:hAnsi="宋体" w:cs="宋体"/>
                <w:szCs w:val="21"/>
              </w:rPr>
            </w:pPr>
          </w:p>
        </w:tc>
        <w:tc>
          <w:tcPr>
            <w:tcW w:w="1211" w:type="dxa"/>
            <w:noWrap w:val="0"/>
            <w:vAlign w:val="center"/>
          </w:tcPr>
          <w:p>
            <w:pPr>
              <w:spacing w:line="360" w:lineRule="auto"/>
              <w:jc w:val="center"/>
              <w:rPr>
                <w:rFonts w:hint="eastAsia" w:ascii="宋体" w:hAnsi="宋体" w:cs="宋体"/>
                <w:szCs w:val="21"/>
              </w:rPr>
            </w:pPr>
          </w:p>
        </w:tc>
        <w:tc>
          <w:tcPr>
            <w:tcW w:w="1078" w:type="dxa"/>
            <w:noWrap w:val="0"/>
            <w:vAlign w:val="center"/>
          </w:tcPr>
          <w:p>
            <w:pPr>
              <w:spacing w:line="360" w:lineRule="auto"/>
              <w:jc w:val="center"/>
              <w:rPr>
                <w:rFonts w:hint="eastAsia" w:ascii="宋体" w:hAnsi="宋体" w:cs="宋体"/>
                <w:szCs w:val="21"/>
              </w:rPr>
            </w:pPr>
          </w:p>
        </w:tc>
        <w:tc>
          <w:tcPr>
            <w:tcW w:w="908" w:type="dxa"/>
            <w:noWrap w:val="0"/>
            <w:vAlign w:val="center"/>
          </w:tcPr>
          <w:p>
            <w:pPr>
              <w:spacing w:line="360" w:lineRule="auto"/>
              <w:jc w:val="center"/>
              <w:rPr>
                <w:rFonts w:hint="eastAsia" w:ascii="宋体" w:hAnsi="宋体" w:cs="宋体"/>
                <w:szCs w:val="21"/>
              </w:rPr>
            </w:pPr>
          </w:p>
        </w:tc>
        <w:tc>
          <w:tcPr>
            <w:tcW w:w="984"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c>
          <w:tcPr>
            <w:tcW w:w="1059"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9022" w:type="dxa"/>
            <w:gridSpan w:val="9"/>
            <w:noWrap w:val="0"/>
            <w:vAlign w:val="center"/>
          </w:tcPr>
          <w:p>
            <w:pPr>
              <w:spacing w:line="360" w:lineRule="auto"/>
              <w:rPr>
                <w:rFonts w:hint="eastAsia" w:ascii="宋体" w:hAnsi="宋体" w:cs="宋体"/>
                <w:szCs w:val="21"/>
              </w:rPr>
            </w:pPr>
            <w:r>
              <w:rPr>
                <w:rFonts w:hint="eastAsia" w:ascii="宋体" w:hAnsi="宋体" w:cs="宋体"/>
                <w:szCs w:val="21"/>
              </w:rPr>
              <w:t>总</w:t>
            </w:r>
            <w:r>
              <w:rPr>
                <w:rFonts w:hint="eastAsia" w:ascii="宋体" w:hAnsi="宋体" w:cs="宋体"/>
                <w:szCs w:val="21"/>
                <w:lang w:eastAsia="zh-CN"/>
              </w:rPr>
              <w:t>报</w:t>
            </w:r>
            <w:r>
              <w:rPr>
                <w:rFonts w:hint="eastAsia" w:ascii="宋体" w:hAnsi="宋体" w:cs="宋体"/>
                <w:szCs w:val="21"/>
              </w:rPr>
              <w:t>价（大写）：                               （小写）：</w:t>
            </w:r>
          </w:p>
        </w:tc>
      </w:tr>
    </w:tbl>
    <w:p>
      <w:pPr>
        <w:rPr>
          <w:rFonts w:hint="eastAsia"/>
        </w:rPr>
      </w:pPr>
    </w:p>
    <w:p>
      <w:pPr>
        <w:rPr>
          <w:rFonts w:hint="eastAsia"/>
        </w:rPr>
      </w:pPr>
    </w:p>
    <w:p>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pPr>
        <w:rPr>
          <w:rFonts w:hint="eastAsia" w:ascii="宋体" w:hAnsi="宋体" w:cs="宋体"/>
          <w:szCs w:val="21"/>
        </w:rPr>
      </w:pPr>
      <w:r>
        <w:rPr>
          <w:rFonts w:hint="eastAsia" w:ascii="宋体" w:hAnsi="宋体" w:cs="宋体"/>
          <w:szCs w:val="21"/>
        </w:rPr>
        <w:t xml:space="preserve">                                                   年    月   日</w:t>
      </w:r>
    </w:p>
    <w:p>
      <w:pPr>
        <w:pStyle w:val="23"/>
        <w:rPr>
          <w:rFonts w:hint="eastAsia" w:cs="宋体"/>
          <w:color w:val="auto"/>
          <w:sz w:val="28"/>
          <w:szCs w:val="24"/>
        </w:rPr>
      </w:pPr>
    </w:p>
    <w:p>
      <w:pPr>
        <w:spacing w:line="440" w:lineRule="exact"/>
        <w:ind w:left="420"/>
        <w:rPr>
          <w:rFonts w:hint="eastAsia"/>
          <w:b/>
          <w:bCs/>
          <w:szCs w:val="21"/>
        </w:rPr>
      </w:pPr>
      <w:r>
        <w:rPr>
          <w:rFonts w:hint="eastAsia"/>
          <w:b/>
          <w:bCs/>
          <w:color w:val="auto"/>
          <w:szCs w:val="21"/>
        </w:rPr>
        <w:t>注：</w:t>
      </w:r>
      <w:r>
        <w:rPr>
          <w:rFonts w:hint="eastAsia"/>
          <w:b/>
          <w:bCs/>
          <w:color w:val="FF0000"/>
          <w:szCs w:val="21"/>
        </w:rPr>
        <w:t>1.本表不能装在响应文件内</w:t>
      </w:r>
      <w:r>
        <w:rPr>
          <w:rFonts w:hint="eastAsia"/>
          <w:b/>
          <w:bCs/>
          <w:color w:val="auto"/>
          <w:szCs w:val="21"/>
        </w:rPr>
        <w:t>，应单独制作并在二次报价时作为附件（PDF格式）上传。磋商小组对已通过资格性、符合性审查</w:t>
      </w:r>
      <w:r>
        <w:rPr>
          <w:rFonts w:hint="eastAsia"/>
          <w:b/>
          <w:bCs/>
          <w:szCs w:val="21"/>
        </w:rPr>
        <w:t>的供应商发起二轮（最后报价）邀请后，</w:t>
      </w:r>
      <w:r>
        <w:rPr>
          <w:rFonts w:hint="eastAsia"/>
          <w:b/>
          <w:bCs/>
        </w:rPr>
        <w:t>供应商在规定时间内通过焦作市公共资源交易平台进行二轮报价（最后报价），未在规定时间内提交二轮报价（最后报价）的视为放弃本次磋商</w:t>
      </w:r>
      <w:r>
        <w:rPr>
          <w:rFonts w:hint="eastAsia"/>
          <w:b/>
          <w:bCs/>
          <w:szCs w:val="21"/>
        </w:rPr>
        <w:t xml:space="preserve">。  </w:t>
      </w:r>
    </w:p>
    <w:p>
      <w:pPr>
        <w:spacing w:line="440" w:lineRule="exact"/>
        <w:ind w:left="420" w:firstLine="420" w:firstLineChars="200"/>
        <w:rPr>
          <w:rFonts w:ascii="宋体" w:hAnsi="宋体" w:cs="宋体"/>
          <w:b/>
          <w:bCs/>
          <w:szCs w:val="21"/>
        </w:rPr>
      </w:pPr>
      <w:r>
        <w:rPr>
          <w:rFonts w:hint="eastAsia"/>
          <w:b/>
          <w:bCs/>
          <w:szCs w:val="21"/>
        </w:rPr>
        <w:t>2.</w:t>
      </w:r>
      <w:r>
        <w:rPr>
          <w:rFonts w:ascii="宋体" w:hAnsi="宋体" w:cs="宋体"/>
          <w:b/>
          <w:bCs/>
          <w:szCs w:val="21"/>
        </w:rPr>
        <w:t>报价出现不一致的，按照下列规定修正：</w:t>
      </w:r>
    </w:p>
    <w:p>
      <w:pPr>
        <w:spacing w:line="440" w:lineRule="exact"/>
        <w:ind w:firstLine="420" w:firstLineChars="200"/>
        <w:rPr>
          <w:rFonts w:hint="eastAsia" w:ascii="宋体" w:hAnsi="宋体" w:cs="宋体"/>
          <w:b/>
          <w:bCs/>
          <w:szCs w:val="21"/>
        </w:rPr>
      </w:pPr>
      <w:r>
        <w:rPr>
          <w:rFonts w:ascii="宋体" w:hAnsi="宋体" w:cs="宋体"/>
          <w:b/>
          <w:bCs/>
          <w:szCs w:val="21"/>
        </w:rPr>
        <w:t>（</w:t>
      </w:r>
      <w:r>
        <w:rPr>
          <w:rFonts w:hint="eastAsia" w:ascii="宋体" w:hAnsi="宋体" w:cs="宋体"/>
          <w:b/>
          <w:bCs/>
          <w:szCs w:val="21"/>
        </w:rPr>
        <w:t>1</w:t>
      </w:r>
      <w:r>
        <w:rPr>
          <w:rFonts w:ascii="宋体" w:hAnsi="宋体" w:cs="宋体"/>
          <w:b/>
          <w:bCs/>
          <w:szCs w:val="21"/>
        </w:rPr>
        <w:t>）</w:t>
      </w:r>
      <w:r>
        <w:rPr>
          <w:rFonts w:hint="eastAsia" w:ascii="宋体" w:hAnsi="宋体" w:cs="宋体"/>
          <w:b/>
          <w:bCs/>
          <w:color w:val="auto"/>
          <w:szCs w:val="21"/>
        </w:rPr>
        <w:t>本表总报价和电子投标系统表</w:t>
      </w:r>
      <w:r>
        <w:rPr>
          <w:rFonts w:hint="eastAsia" w:ascii="宋体" w:hAnsi="宋体" w:cs="宋体"/>
          <w:b/>
          <w:bCs/>
          <w:color w:val="auto"/>
          <w:szCs w:val="21"/>
          <w:lang w:eastAsia="zh-CN"/>
        </w:rPr>
        <w:t>二轮报价表中</w:t>
      </w:r>
      <w:r>
        <w:rPr>
          <w:rFonts w:hint="eastAsia" w:ascii="宋体" w:hAnsi="宋体" w:cs="宋体"/>
          <w:b/>
          <w:bCs/>
          <w:color w:val="auto"/>
          <w:szCs w:val="21"/>
        </w:rPr>
        <w:t>的总报价不一致的，以本表为准；</w:t>
      </w:r>
    </w:p>
    <w:p>
      <w:pPr>
        <w:spacing w:line="440" w:lineRule="exact"/>
        <w:ind w:firstLine="420"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大写金额和小写金额不一致的，以大写金额为准；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3</w:t>
      </w:r>
      <w:r>
        <w:rPr>
          <w:rFonts w:ascii="宋体" w:hAnsi="宋体" w:cs="宋体"/>
          <w:b/>
          <w:bCs/>
          <w:szCs w:val="21"/>
        </w:rPr>
        <w:t>）单价金额小数点或者百分比有明显错位的，以总价为准；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4</w:t>
      </w:r>
      <w:r>
        <w:rPr>
          <w:rFonts w:ascii="宋体" w:hAnsi="宋体" w:cs="宋体"/>
          <w:b/>
          <w:bCs/>
          <w:szCs w:val="21"/>
        </w:rPr>
        <w:t>）总价金额与按单价汇总金额不一致的，以单价金额计算结果为准。</w:t>
      </w:r>
    </w:p>
    <w:p>
      <w:pPr>
        <w:spacing w:line="440" w:lineRule="exact"/>
        <w:ind w:firstLine="424" w:firstLineChars="202"/>
        <w:rPr>
          <w:rFonts w:hint="eastAsia" w:ascii="宋体" w:hAnsi="宋体" w:cs="宋体"/>
          <w:b/>
          <w:bCs/>
          <w:szCs w:val="21"/>
        </w:rPr>
      </w:pPr>
      <w:r>
        <w:rPr>
          <w:rFonts w:ascii="宋体" w:hAnsi="宋体" w:cs="宋体"/>
          <w:b/>
          <w:bCs/>
          <w:szCs w:val="21"/>
        </w:rPr>
        <w:t>同时出现两种以上不一致的，按照前款规定的顺序修正。</w:t>
      </w:r>
    </w:p>
    <w:p>
      <w:pPr>
        <w:pStyle w:val="23"/>
        <w:rPr>
          <w:rFonts w:hint="eastAsia" w:cs="宋体"/>
          <w:sz w:val="28"/>
          <w:szCs w:val="24"/>
        </w:rPr>
      </w:pPr>
    </w:p>
    <w:sectPr>
      <w:headerReference r:id="rId17" w:type="first"/>
      <w:footerReference r:id="rId19" w:type="first"/>
      <w:headerReference r:id="rId16" w:type="default"/>
      <w:footerReference r:id="rId18"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F6615"/>
    <w:multiLevelType w:val="singleLevel"/>
    <w:tmpl w:val="9EDF6615"/>
    <w:lvl w:ilvl="0" w:tentative="0">
      <w:start w:val="3"/>
      <w:numFmt w:val="chineseCounting"/>
      <w:suff w:val="nothing"/>
      <w:lvlText w:val="%1、"/>
      <w:lvlJc w:val="left"/>
      <w:rPr>
        <w:rFonts w:hint="eastAsia"/>
      </w:rPr>
    </w:lvl>
  </w:abstractNum>
  <w:abstractNum w:abstractNumId="1">
    <w:nsid w:val="FC78CB60"/>
    <w:multiLevelType w:val="multilevel"/>
    <w:tmpl w:val="FC78CB60"/>
    <w:lvl w:ilvl="0" w:tentative="0">
      <w:start w:val="1"/>
      <w:numFmt w:val="decimal"/>
      <w:lvlText w:val="%1."/>
      <w:lvlJc w:val="left"/>
      <w:pPr>
        <w:ind w:left="284" w:hanging="284"/>
      </w:pPr>
      <w:rPr>
        <w:rFonts w:hint="default" w:ascii="宋体" w:hAnsi="宋体" w:eastAsia="宋体"/>
        <w:b/>
      </w:rPr>
    </w:lvl>
    <w:lvl w:ilvl="1" w:tentative="0">
      <w:start w:val="1"/>
      <w:numFmt w:val="decimal"/>
      <w:suff w:val="space"/>
      <w:lvlText w:val="%1.%2"/>
      <w:lvlJc w:val="left"/>
      <w:pPr>
        <w:ind w:left="0" w:leftChars="0" w:firstLine="425" w:firstLineChars="0"/>
      </w:pPr>
      <w:rPr>
        <w:rFonts w:hint="default" w:ascii="宋体" w:hAnsi="宋体" w:eastAsia="宋体"/>
        <w:b w:val="0"/>
        <w:color w:val="auto"/>
      </w:rPr>
    </w:lvl>
    <w:lvl w:ilvl="2" w:tentative="0">
      <w:start w:val="1"/>
      <w:numFmt w:val="decimal"/>
      <w:suff w:val="nothing"/>
      <w:lvlText w:val="%1.%2.%3"/>
      <w:lvlJc w:val="left"/>
      <w:pPr>
        <w:tabs>
          <w:tab w:val="left" w:pos="420"/>
        </w:tabs>
        <w:ind w:left="0" w:leftChars="0" w:firstLine="0" w:firstLineChars="0"/>
      </w:pPr>
      <w:rPr>
        <w:rFonts w:hint="default"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3">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4">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0000001B"/>
    <w:multiLevelType w:val="singleLevel"/>
    <w:tmpl w:val="0000001B"/>
    <w:lvl w:ilvl="0" w:tentative="0">
      <w:start w:val="1"/>
      <w:numFmt w:val="decimal"/>
      <w:suff w:val="nothing"/>
      <w:lvlText w:val="%1."/>
      <w:lvlJc w:val="left"/>
    </w:lvl>
  </w:abstractNum>
  <w:abstractNum w:abstractNumId="6">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2BC1AA50"/>
    <w:multiLevelType w:val="singleLevel"/>
    <w:tmpl w:val="2BC1AA50"/>
    <w:lvl w:ilvl="0" w:tentative="0">
      <w:start w:val="2"/>
      <w:numFmt w:val="decimal"/>
      <w:suff w:val="nothing"/>
      <w:lvlText w:val="（%1）"/>
      <w:lvlJc w:val="left"/>
    </w:lvl>
  </w:abstractNum>
  <w:abstractNum w:abstractNumId="9">
    <w:nsid w:val="768FB672"/>
    <w:multiLevelType w:val="singleLevel"/>
    <w:tmpl w:val="768FB672"/>
    <w:lvl w:ilvl="0" w:tentative="0">
      <w:start w:val="4"/>
      <w:numFmt w:val="chineseCounting"/>
      <w:suff w:val="nothing"/>
      <w:lvlText w:val="%1、"/>
      <w:lvlJc w:val="left"/>
      <w:pPr>
        <w:ind w:left="-60"/>
      </w:pPr>
      <w:rPr>
        <w:rFonts w:hint="eastAsia"/>
      </w:rPr>
    </w:lvl>
  </w:abstractNum>
  <w:num w:numId="1">
    <w:abstractNumId w:val="3"/>
  </w:num>
  <w:num w:numId="2">
    <w:abstractNumId w:val="7"/>
  </w:num>
  <w:num w:numId="3">
    <w:abstractNumId w:val="8"/>
  </w:num>
  <w:num w:numId="4">
    <w:abstractNumId w:val="1"/>
  </w:num>
  <w:num w:numId="5">
    <w:abstractNumId w:val="0"/>
  </w:num>
  <w:num w:numId="6">
    <w:abstractNumId w:val="4"/>
  </w:num>
  <w:num w:numId="7">
    <w:abstractNumId w:val="2"/>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A55EF0"/>
    <w:rsid w:val="02B250DA"/>
    <w:rsid w:val="02B32C00"/>
    <w:rsid w:val="02EB23E7"/>
    <w:rsid w:val="02F964C1"/>
    <w:rsid w:val="030F6088"/>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5D830A9"/>
    <w:rsid w:val="064365F2"/>
    <w:rsid w:val="064E27D6"/>
    <w:rsid w:val="066514D0"/>
    <w:rsid w:val="067726AC"/>
    <w:rsid w:val="06C8536A"/>
    <w:rsid w:val="07414C7E"/>
    <w:rsid w:val="074D3623"/>
    <w:rsid w:val="0793573B"/>
    <w:rsid w:val="07AF7E3A"/>
    <w:rsid w:val="07E560A1"/>
    <w:rsid w:val="07EB6D02"/>
    <w:rsid w:val="07FC3AF7"/>
    <w:rsid w:val="08420CAE"/>
    <w:rsid w:val="086C7AD9"/>
    <w:rsid w:val="087E3197"/>
    <w:rsid w:val="08C94A81"/>
    <w:rsid w:val="08E753B1"/>
    <w:rsid w:val="09032B5D"/>
    <w:rsid w:val="091B1C08"/>
    <w:rsid w:val="091C32AD"/>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526DA6"/>
    <w:rsid w:val="0A7D7D7B"/>
    <w:rsid w:val="0AB55D93"/>
    <w:rsid w:val="0ABA2D7D"/>
    <w:rsid w:val="0AF52007"/>
    <w:rsid w:val="0AFD0EBC"/>
    <w:rsid w:val="0B0C55A3"/>
    <w:rsid w:val="0B4A5E65"/>
    <w:rsid w:val="0B6A792F"/>
    <w:rsid w:val="0BA53A2D"/>
    <w:rsid w:val="0BB26A70"/>
    <w:rsid w:val="0BB27EF8"/>
    <w:rsid w:val="0BC67500"/>
    <w:rsid w:val="0C195E4B"/>
    <w:rsid w:val="0C2506CA"/>
    <w:rsid w:val="0C6A432F"/>
    <w:rsid w:val="0CC11738"/>
    <w:rsid w:val="0CDE4AEC"/>
    <w:rsid w:val="0CE55CFE"/>
    <w:rsid w:val="0D111CE0"/>
    <w:rsid w:val="0D32353D"/>
    <w:rsid w:val="0D7D4536"/>
    <w:rsid w:val="0DAF0B93"/>
    <w:rsid w:val="0DF612D3"/>
    <w:rsid w:val="0E031C4F"/>
    <w:rsid w:val="0E0620AA"/>
    <w:rsid w:val="0E552513"/>
    <w:rsid w:val="0E5C239D"/>
    <w:rsid w:val="0E63197E"/>
    <w:rsid w:val="0F044A03"/>
    <w:rsid w:val="0F1B6A2C"/>
    <w:rsid w:val="0F223D21"/>
    <w:rsid w:val="0F2F360E"/>
    <w:rsid w:val="0F3A297B"/>
    <w:rsid w:val="0F5372FC"/>
    <w:rsid w:val="0F6C35CE"/>
    <w:rsid w:val="0FBD0C1A"/>
    <w:rsid w:val="0FC30926"/>
    <w:rsid w:val="0FF07241"/>
    <w:rsid w:val="1022110A"/>
    <w:rsid w:val="103939A5"/>
    <w:rsid w:val="104135F9"/>
    <w:rsid w:val="10437371"/>
    <w:rsid w:val="105703DF"/>
    <w:rsid w:val="106F40C5"/>
    <w:rsid w:val="10F845FF"/>
    <w:rsid w:val="112706F4"/>
    <w:rsid w:val="113263C3"/>
    <w:rsid w:val="11457848"/>
    <w:rsid w:val="115815BB"/>
    <w:rsid w:val="115D4462"/>
    <w:rsid w:val="115F08E1"/>
    <w:rsid w:val="117417AC"/>
    <w:rsid w:val="117B4B6D"/>
    <w:rsid w:val="118F65E6"/>
    <w:rsid w:val="11F3777D"/>
    <w:rsid w:val="128D141F"/>
    <w:rsid w:val="12920EF5"/>
    <w:rsid w:val="12A871D7"/>
    <w:rsid w:val="135B70C7"/>
    <w:rsid w:val="13710699"/>
    <w:rsid w:val="13D44784"/>
    <w:rsid w:val="142F394A"/>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95889"/>
    <w:rsid w:val="156C736A"/>
    <w:rsid w:val="15826DAB"/>
    <w:rsid w:val="158703BA"/>
    <w:rsid w:val="15927A8F"/>
    <w:rsid w:val="1594241D"/>
    <w:rsid w:val="15A25EFE"/>
    <w:rsid w:val="15F2599B"/>
    <w:rsid w:val="15F80BFE"/>
    <w:rsid w:val="161F0EEC"/>
    <w:rsid w:val="16286B1E"/>
    <w:rsid w:val="16420C4F"/>
    <w:rsid w:val="16486627"/>
    <w:rsid w:val="16502CDA"/>
    <w:rsid w:val="16557669"/>
    <w:rsid w:val="16BA216A"/>
    <w:rsid w:val="16C72E02"/>
    <w:rsid w:val="16E66CA8"/>
    <w:rsid w:val="17033CFE"/>
    <w:rsid w:val="170B4961"/>
    <w:rsid w:val="172612B9"/>
    <w:rsid w:val="17714319"/>
    <w:rsid w:val="179901BE"/>
    <w:rsid w:val="17A96653"/>
    <w:rsid w:val="17B46264"/>
    <w:rsid w:val="17F51340"/>
    <w:rsid w:val="18177ED1"/>
    <w:rsid w:val="18673E19"/>
    <w:rsid w:val="18837C5C"/>
    <w:rsid w:val="188A3311"/>
    <w:rsid w:val="18C354F3"/>
    <w:rsid w:val="190B3991"/>
    <w:rsid w:val="19267830"/>
    <w:rsid w:val="19355CC5"/>
    <w:rsid w:val="19362169"/>
    <w:rsid w:val="19397563"/>
    <w:rsid w:val="193D01D8"/>
    <w:rsid w:val="19587403"/>
    <w:rsid w:val="199B0BC1"/>
    <w:rsid w:val="19C93D85"/>
    <w:rsid w:val="1A0A0E60"/>
    <w:rsid w:val="1A0B7134"/>
    <w:rsid w:val="1A2279A0"/>
    <w:rsid w:val="1A241393"/>
    <w:rsid w:val="1A393BF0"/>
    <w:rsid w:val="1A66082C"/>
    <w:rsid w:val="1AA67A69"/>
    <w:rsid w:val="1AE55376"/>
    <w:rsid w:val="1B0C692E"/>
    <w:rsid w:val="1B881401"/>
    <w:rsid w:val="1BBE6686"/>
    <w:rsid w:val="1BC33A5C"/>
    <w:rsid w:val="1C24274C"/>
    <w:rsid w:val="1C395ACC"/>
    <w:rsid w:val="1C5260F7"/>
    <w:rsid w:val="1C626DD1"/>
    <w:rsid w:val="1C654B13"/>
    <w:rsid w:val="1D210BFD"/>
    <w:rsid w:val="1D2B3667"/>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01993"/>
    <w:rsid w:val="1FEA5EA1"/>
    <w:rsid w:val="203C7A5B"/>
    <w:rsid w:val="20602C7A"/>
    <w:rsid w:val="20B530D7"/>
    <w:rsid w:val="20C148C6"/>
    <w:rsid w:val="20E26732"/>
    <w:rsid w:val="215C2350"/>
    <w:rsid w:val="217952E8"/>
    <w:rsid w:val="21C34257"/>
    <w:rsid w:val="21CB5418"/>
    <w:rsid w:val="21F4496F"/>
    <w:rsid w:val="221950B9"/>
    <w:rsid w:val="222D7E81"/>
    <w:rsid w:val="22433DD5"/>
    <w:rsid w:val="22821F7B"/>
    <w:rsid w:val="22A40E2A"/>
    <w:rsid w:val="22CB4C39"/>
    <w:rsid w:val="22DA1DB7"/>
    <w:rsid w:val="22E55B06"/>
    <w:rsid w:val="22E70030"/>
    <w:rsid w:val="22F52960"/>
    <w:rsid w:val="22FA2B18"/>
    <w:rsid w:val="23211167"/>
    <w:rsid w:val="23250B58"/>
    <w:rsid w:val="23447230"/>
    <w:rsid w:val="23616034"/>
    <w:rsid w:val="23647A1C"/>
    <w:rsid w:val="23706277"/>
    <w:rsid w:val="23801532"/>
    <w:rsid w:val="2382348F"/>
    <w:rsid w:val="23B73C18"/>
    <w:rsid w:val="23DC56BB"/>
    <w:rsid w:val="247B58A0"/>
    <w:rsid w:val="24855D52"/>
    <w:rsid w:val="248F6BD1"/>
    <w:rsid w:val="24B108F5"/>
    <w:rsid w:val="24D81875"/>
    <w:rsid w:val="24E24F53"/>
    <w:rsid w:val="24E94533"/>
    <w:rsid w:val="250F386E"/>
    <w:rsid w:val="25356324"/>
    <w:rsid w:val="253B22C4"/>
    <w:rsid w:val="25706CBA"/>
    <w:rsid w:val="25900E53"/>
    <w:rsid w:val="25AE3087"/>
    <w:rsid w:val="25B85CB3"/>
    <w:rsid w:val="26011794"/>
    <w:rsid w:val="26094761"/>
    <w:rsid w:val="26751DF6"/>
    <w:rsid w:val="26A92FFB"/>
    <w:rsid w:val="26C02369"/>
    <w:rsid w:val="26CB02AF"/>
    <w:rsid w:val="26DD1E76"/>
    <w:rsid w:val="27145658"/>
    <w:rsid w:val="27283ECE"/>
    <w:rsid w:val="27286E69"/>
    <w:rsid w:val="2733425E"/>
    <w:rsid w:val="27441EF5"/>
    <w:rsid w:val="27E6053F"/>
    <w:rsid w:val="28016BEB"/>
    <w:rsid w:val="280264C3"/>
    <w:rsid w:val="280726C2"/>
    <w:rsid w:val="280E153D"/>
    <w:rsid w:val="28357507"/>
    <w:rsid w:val="285F68BA"/>
    <w:rsid w:val="2863671A"/>
    <w:rsid w:val="288B136F"/>
    <w:rsid w:val="28AB7D51"/>
    <w:rsid w:val="28B01ACD"/>
    <w:rsid w:val="28DE4AA3"/>
    <w:rsid w:val="28E15521"/>
    <w:rsid w:val="28FE4325"/>
    <w:rsid w:val="29026462"/>
    <w:rsid w:val="291E02EB"/>
    <w:rsid w:val="29731ED1"/>
    <w:rsid w:val="29787C34"/>
    <w:rsid w:val="2984058B"/>
    <w:rsid w:val="29BB0FD5"/>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454771"/>
    <w:rsid w:val="2B5B15BB"/>
    <w:rsid w:val="2B6B095B"/>
    <w:rsid w:val="2BC57C52"/>
    <w:rsid w:val="2BF11F1F"/>
    <w:rsid w:val="2C003885"/>
    <w:rsid w:val="2C2E3173"/>
    <w:rsid w:val="2C526E91"/>
    <w:rsid w:val="2C867239"/>
    <w:rsid w:val="2CD930DF"/>
    <w:rsid w:val="2D524754"/>
    <w:rsid w:val="2D573CA4"/>
    <w:rsid w:val="2D9E61E0"/>
    <w:rsid w:val="2DE53D06"/>
    <w:rsid w:val="2E0C4DEE"/>
    <w:rsid w:val="2E291D46"/>
    <w:rsid w:val="2E4D7E0F"/>
    <w:rsid w:val="2E516CA5"/>
    <w:rsid w:val="2E580034"/>
    <w:rsid w:val="2E71113D"/>
    <w:rsid w:val="2EF35FAE"/>
    <w:rsid w:val="2EF7784D"/>
    <w:rsid w:val="2F227824"/>
    <w:rsid w:val="2F4440CA"/>
    <w:rsid w:val="2F49150D"/>
    <w:rsid w:val="2F542EF1"/>
    <w:rsid w:val="2F5C1DA5"/>
    <w:rsid w:val="2F653786"/>
    <w:rsid w:val="302B7E84"/>
    <w:rsid w:val="3043740F"/>
    <w:rsid w:val="304C5976"/>
    <w:rsid w:val="30660E93"/>
    <w:rsid w:val="30B575EE"/>
    <w:rsid w:val="30C73495"/>
    <w:rsid w:val="30DF11B1"/>
    <w:rsid w:val="30EB38AE"/>
    <w:rsid w:val="319F3B14"/>
    <w:rsid w:val="3200110E"/>
    <w:rsid w:val="32450C5C"/>
    <w:rsid w:val="328518BA"/>
    <w:rsid w:val="32B855C8"/>
    <w:rsid w:val="32D700C1"/>
    <w:rsid w:val="331570B9"/>
    <w:rsid w:val="332B6F4B"/>
    <w:rsid w:val="33A36954"/>
    <w:rsid w:val="33B71CA0"/>
    <w:rsid w:val="33C148CD"/>
    <w:rsid w:val="33DA14EB"/>
    <w:rsid w:val="33E84297"/>
    <w:rsid w:val="33F85841"/>
    <w:rsid w:val="3402116D"/>
    <w:rsid w:val="340257AD"/>
    <w:rsid w:val="34034EE6"/>
    <w:rsid w:val="3417273F"/>
    <w:rsid w:val="342033A2"/>
    <w:rsid w:val="343B467F"/>
    <w:rsid w:val="347600C7"/>
    <w:rsid w:val="34FF3EF1"/>
    <w:rsid w:val="351176B1"/>
    <w:rsid w:val="35216B3A"/>
    <w:rsid w:val="353D01A2"/>
    <w:rsid w:val="3542559A"/>
    <w:rsid w:val="357240D1"/>
    <w:rsid w:val="35E46F67"/>
    <w:rsid w:val="36172D69"/>
    <w:rsid w:val="3621378E"/>
    <w:rsid w:val="36252EF1"/>
    <w:rsid w:val="36392432"/>
    <w:rsid w:val="365A2ACD"/>
    <w:rsid w:val="36CA1CEB"/>
    <w:rsid w:val="36F34D9D"/>
    <w:rsid w:val="37215DAE"/>
    <w:rsid w:val="37385662"/>
    <w:rsid w:val="374401BC"/>
    <w:rsid w:val="37621F23"/>
    <w:rsid w:val="3768578B"/>
    <w:rsid w:val="376F6900"/>
    <w:rsid w:val="377834F5"/>
    <w:rsid w:val="379B4086"/>
    <w:rsid w:val="37AA6032"/>
    <w:rsid w:val="37C54090"/>
    <w:rsid w:val="37D42E21"/>
    <w:rsid w:val="384E0062"/>
    <w:rsid w:val="386677F1"/>
    <w:rsid w:val="38706B58"/>
    <w:rsid w:val="387A22ED"/>
    <w:rsid w:val="390E705C"/>
    <w:rsid w:val="39404C40"/>
    <w:rsid w:val="395922F3"/>
    <w:rsid w:val="395A7356"/>
    <w:rsid w:val="3962445C"/>
    <w:rsid w:val="39893797"/>
    <w:rsid w:val="39A1607B"/>
    <w:rsid w:val="39E168C3"/>
    <w:rsid w:val="3A1D743F"/>
    <w:rsid w:val="3A534510"/>
    <w:rsid w:val="3A6B4003"/>
    <w:rsid w:val="3A8A3C6B"/>
    <w:rsid w:val="3A924EA9"/>
    <w:rsid w:val="3AB331C1"/>
    <w:rsid w:val="3AD06540"/>
    <w:rsid w:val="3ADF038D"/>
    <w:rsid w:val="3AE37655"/>
    <w:rsid w:val="3AEB0FDC"/>
    <w:rsid w:val="3B223EA3"/>
    <w:rsid w:val="3B68689B"/>
    <w:rsid w:val="3B845814"/>
    <w:rsid w:val="3B9D79CE"/>
    <w:rsid w:val="3BCC3E0F"/>
    <w:rsid w:val="3C2A559E"/>
    <w:rsid w:val="3C4B567C"/>
    <w:rsid w:val="3C545E01"/>
    <w:rsid w:val="3C7626F9"/>
    <w:rsid w:val="3C7D2064"/>
    <w:rsid w:val="3C8666B4"/>
    <w:rsid w:val="3CAF5C0A"/>
    <w:rsid w:val="3D51730D"/>
    <w:rsid w:val="3D8250CD"/>
    <w:rsid w:val="3D83546E"/>
    <w:rsid w:val="3DB35286"/>
    <w:rsid w:val="3E114C4C"/>
    <w:rsid w:val="3E2D328B"/>
    <w:rsid w:val="3E655A64"/>
    <w:rsid w:val="3E895FE7"/>
    <w:rsid w:val="3E8A4C21"/>
    <w:rsid w:val="3E9958B1"/>
    <w:rsid w:val="3EC50A89"/>
    <w:rsid w:val="3EC82FB3"/>
    <w:rsid w:val="3EE045C9"/>
    <w:rsid w:val="3EE719AC"/>
    <w:rsid w:val="3EEA2F2A"/>
    <w:rsid w:val="3F406FEE"/>
    <w:rsid w:val="3F4660C1"/>
    <w:rsid w:val="3F6833D1"/>
    <w:rsid w:val="3F941354"/>
    <w:rsid w:val="3FAE708C"/>
    <w:rsid w:val="3FDA1030"/>
    <w:rsid w:val="3FF12C3A"/>
    <w:rsid w:val="400A54C8"/>
    <w:rsid w:val="40386761"/>
    <w:rsid w:val="409725E8"/>
    <w:rsid w:val="40A215BE"/>
    <w:rsid w:val="40C050F3"/>
    <w:rsid w:val="40C31C84"/>
    <w:rsid w:val="40FA4E7B"/>
    <w:rsid w:val="411424C6"/>
    <w:rsid w:val="41201CCA"/>
    <w:rsid w:val="41271358"/>
    <w:rsid w:val="414803DC"/>
    <w:rsid w:val="415D3E87"/>
    <w:rsid w:val="417B430D"/>
    <w:rsid w:val="41D028AB"/>
    <w:rsid w:val="41DF489C"/>
    <w:rsid w:val="41E41EB2"/>
    <w:rsid w:val="42106AA5"/>
    <w:rsid w:val="42442C17"/>
    <w:rsid w:val="425816DC"/>
    <w:rsid w:val="426E40F0"/>
    <w:rsid w:val="42762427"/>
    <w:rsid w:val="43184112"/>
    <w:rsid w:val="433E1A96"/>
    <w:rsid w:val="43664B49"/>
    <w:rsid w:val="43C7383A"/>
    <w:rsid w:val="43D917BF"/>
    <w:rsid w:val="4412230A"/>
    <w:rsid w:val="44390EDF"/>
    <w:rsid w:val="44623562"/>
    <w:rsid w:val="447514E8"/>
    <w:rsid w:val="447F1515"/>
    <w:rsid w:val="44971580"/>
    <w:rsid w:val="449D27EC"/>
    <w:rsid w:val="44A07CD1"/>
    <w:rsid w:val="4519546F"/>
    <w:rsid w:val="45291D8C"/>
    <w:rsid w:val="4589726A"/>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92F5B"/>
    <w:rsid w:val="48FB2CF7"/>
    <w:rsid w:val="49107A31"/>
    <w:rsid w:val="49372EB2"/>
    <w:rsid w:val="493C25D4"/>
    <w:rsid w:val="494D658F"/>
    <w:rsid w:val="494E5146"/>
    <w:rsid w:val="49BE748D"/>
    <w:rsid w:val="49FB621D"/>
    <w:rsid w:val="4A011398"/>
    <w:rsid w:val="4A05080D"/>
    <w:rsid w:val="4A091ED0"/>
    <w:rsid w:val="4A7D10F6"/>
    <w:rsid w:val="4AA30431"/>
    <w:rsid w:val="4ABF170F"/>
    <w:rsid w:val="4B243594"/>
    <w:rsid w:val="4B52754A"/>
    <w:rsid w:val="4B6F5345"/>
    <w:rsid w:val="4B8F7BC6"/>
    <w:rsid w:val="4BBA394F"/>
    <w:rsid w:val="4BCE73A0"/>
    <w:rsid w:val="4BFD6A13"/>
    <w:rsid w:val="4C2757BD"/>
    <w:rsid w:val="4C3C07ED"/>
    <w:rsid w:val="4C7B4A9E"/>
    <w:rsid w:val="4C9C6BC1"/>
    <w:rsid w:val="4CC7434F"/>
    <w:rsid w:val="4CD945DE"/>
    <w:rsid w:val="4D03307E"/>
    <w:rsid w:val="4D91713A"/>
    <w:rsid w:val="4DD21759"/>
    <w:rsid w:val="4DF72F6D"/>
    <w:rsid w:val="4E0A47AA"/>
    <w:rsid w:val="4E2F0959"/>
    <w:rsid w:val="4E847CBD"/>
    <w:rsid w:val="4E8E2ED5"/>
    <w:rsid w:val="4ED70257"/>
    <w:rsid w:val="4EF243B2"/>
    <w:rsid w:val="4F3A0C9E"/>
    <w:rsid w:val="4F4E12B3"/>
    <w:rsid w:val="4F873249"/>
    <w:rsid w:val="4FEB08B0"/>
    <w:rsid w:val="500951DA"/>
    <w:rsid w:val="501A1D50"/>
    <w:rsid w:val="502D711A"/>
    <w:rsid w:val="503075AA"/>
    <w:rsid w:val="50410780"/>
    <w:rsid w:val="504D156B"/>
    <w:rsid w:val="50524154"/>
    <w:rsid w:val="50BE7306"/>
    <w:rsid w:val="5112712D"/>
    <w:rsid w:val="5119144D"/>
    <w:rsid w:val="513A1AEF"/>
    <w:rsid w:val="51B750E9"/>
    <w:rsid w:val="51BB2E7F"/>
    <w:rsid w:val="5217598C"/>
    <w:rsid w:val="521D69F0"/>
    <w:rsid w:val="522C218B"/>
    <w:rsid w:val="523429E2"/>
    <w:rsid w:val="524C5D58"/>
    <w:rsid w:val="529E11CC"/>
    <w:rsid w:val="530C3041"/>
    <w:rsid w:val="531E71EE"/>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377899"/>
    <w:rsid w:val="57460AC2"/>
    <w:rsid w:val="579D4B86"/>
    <w:rsid w:val="57ED3822"/>
    <w:rsid w:val="581326DD"/>
    <w:rsid w:val="58366D88"/>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729AE"/>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3C1BCE"/>
    <w:rsid w:val="5E3F564C"/>
    <w:rsid w:val="5E4E07C9"/>
    <w:rsid w:val="5E682CE6"/>
    <w:rsid w:val="5EE45C2E"/>
    <w:rsid w:val="5F1D67DD"/>
    <w:rsid w:val="5FB3249C"/>
    <w:rsid w:val="5FE11ED3"/>
    <w:rsid w:val="602816AC"/>
    <w:rsid w:val="6079112D"/>
    <w:rsid w:val="608E20E7"/>
    <w:rsid w:val="60942A5D"/>
    <w:rsid w:val="609B1E7E"/>
    <w:rsid w:val="60B46A9C"/>
    <w:rsid w:val="60B8658C"/>
    <w:rsid w:val="6155520D"/>
    <w:rsid w:val="615D7134"/>
    <w:rsid w:val="6189617B"/>
    <w:rsid w:val="619244A7"/>
    <w:rsid w:val="61E6537B"/>
    <w:rsid w:val="62632F8F"/>
    <w:rsid w:val="629D6E17"/>
    <w:rsid w:val="62D96C8E"/>
    <w:rsid w:val="630533C6"/>
    <w:rsid w:val="634174F0"/>
    <w:rsid w:val="6371143E"/>
    <w:rsid w:val="6396158E"/>
    <w:rsid w:val="6397045F"/>
    <w:rsid w:val="63B76FCF"/>
    <w:rsid w:val="63BA7BAA"/>
    <w:rsid w:val="63BF5E84"/>
    <w:rsid w:val="63C870C0"/>
    <w:rsid w:val="63CB2219"/>
    <w:rsid w:val="63F5294F"/>
    <w:rsid w:val="64354398"/>
    <w:rsid w:val="64774C22"/>
    <w:rsid w:val="64C075F5"/>
    <w:rsid w:val="64E35BA2"/>
    <w:rsid w:val="64E42046"/>
    <w:rsid w:val="64EA1700"/>
    <w:rsid w:val="651D4188"/>
    <w:rsid w:val="652F4185"/>
    <w:rsid w:val="6530119C"/>
    <w:rsid w:val="65353E6F"/>
    <w:rsid w:val="65546448"/>
    <w:rsid w:val="65766A16"/>
    <w:rsid w:val="658729D1"/>
    <w:rsid w:val="65901886"/>
    <w:rsid w:val="65953E0C"/>
    <w:rsid w:val="665C34CD"/>
    <w:rsid w:val="666D296A"/>
    <w:rsid w:val="66A17AC3"/>
    <w:rsid w:val="66B62179"/>
    <w:rsid w:val="66DB3E09"/>
    <w:rsid w:val="670E33AA"/>
    <w:rsid w:val="672111DD"/>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6812DA"/>
    <w:rsid w:val="69796E11"/>
    <w:rsid w:val="69A73B89"/>
    <w:rsid w:val="69E40554"/>
    <w:rsid w:val="6A181E8D"/>
    <w:rsid w:val="6A325601"/>
    <w:rsid w:val="6A3B177D"/>
    <w:rsid w:val="6A3B3D8A"/>
    <w:rsid w:val="6A5657ED"/>
    <w:rsid w:val="6A616079"/>
    <w:rsid w:val="6A617C95"/>
    <w:rsid w:val="6A640D8F"/>
    <w:rsid w:val="6A753740"/>
    <w:rsid w:val="6AB37DC4"/>
    <w:rsid w:val="6AEC6501"/>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28602E"/>
    <w:rsid w:val="6E47692C"/>
    <w:rsid w:val="6E6164B5"/>
    <w:rsid w:val="6E62222D"/>
    <w:rsid w:val="6E7361E8"/>
    <w:rsid w:val="6EB44070"/>
    <w:rsid w:val="6EB92620"/>
    <w:rsid w:val="6EE8439B"/>
    <w:rsid w:val="6EEB648C"/>
    <w:rsid w:val="6EF1592B"/>
    <w:rsid w:val="6F3112FC"/>
    <w:rsid w:val="6F394D3C"/>
    <w:rsid w:val="6F3D38C2"/>
    <w:rsid w:val="6F4D6A39"/>
    <w:rsid w:val="6F7E4E45"/>
    <w:rsid w:val="6FB36BC5"/>
    <w:rsid w:val="6FD24C25"/>
    <w:rsid w:val="6FF6546C"/>
    <w:rsid w:val="7000682B"/>
    <w:rsid w:val="70010C88"/>
    <w:rsid w:val="700F0B54"/>
    <w:rsid w:val="70426C52"/>
    <w:rsid w:val="707E6791"/>
    <w:rsid w:val="70983CE4"/>
    <w:rsid w:val="70DC62C7"/>
    <w:rsid w:val="712263AB"/>
    <w:rsid w:val="71376F72"/>
    <w:rsid w:val="7145658E"/>
    <w:rsid w:val="715220E5"/>
    <w:rsid w:val="718B37D7"/>
    <w:rsid w:val="71E04ECC"/>
    <w:rsid w:val="72313A8F"/>
    <w:rsid w:val="72381B7C"/>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780BAC"/>
    <w:rsid w:val="749F723D"/>
    <w:rsid w:val="74A7099A"/>
    <w:rsid w:val="74D177C5"/>
    <w:rsid w:val="74E9081C"/>
    <w:rsid w:val="751C3136"/>
    <w:rsid w:val="75257396"/>
    <w:rsid w:val="754206C3"/>
    <w:rsid w:val="754B12D3"/>
    <w:rsid w:val="75941572"/>
    <w:rsid w:val="75F220E9"/>
    <w:rsid w:val="76256605"/>
    <w:rsid w:val="76371099"/>
    <w:rsid w:val="765E4228"/>
    <w:rsid w:val="7693567A"/>
    <w:rsid w:val="76EE28B0"/>
    <w:rsid w:val="7718515B"/>
    <w:rsid w:val="775B7B9D"/>
    <w:rsid w:val="778036C3"/>
    <w:rsid w:val="77A6276C"/>
    <w:rsid w:val="77DD178E"/>
    <w:rsid w:val="781E1591"/>
    <w:rsid w:val="78342545"/>
    <w:rsid w:val="784E0C98"/>
    <w:rsid w:val="78647DA9"/>
    <w:rsid w:val="786A33E2"/>
    <w:rsid w:val="7889049B"/>
    <w:rsid w:val="788A4695"/>
    <w:rsid w:val="78A77D5C"/>
    <w:rsid w:val="78B44DDC"/>
    <w:rsid w:val="78ED57C7"/>
    <w:rsid w:val="790F4D60"/>
    <w:rsid w:val="791800B8"/>
    <w:rsid w:val="79354FFF"/>
    <w:rsid w:val="7941364C"/>
    <w:rsid w:val="794B2AAD"/>
    <w:rsid w:val="794D6A8B"/>
    <w:rsid w:val="79534C4C"/>
    <w:rsid w:val="7984574E"/>
    <w:rsid w:val="79C8388C"/>
    <w:rsid w:val="79D3028B"/>
    <w:rsid w:val="79D52F39"/>
    <w:rsid w:val="79E104AA"/>
    <w:rsid w:val="79EB517C"/>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74748A"/>
    <w:rsid w:val="7BB265A2"/>
    <w:rsid w:val="7BB65001"/>
    <w:rsid w:val="7BDC361F"/>
    <w:rsid w:val="7C083123"/>
    <w:rsid w:val="7C4F5666"/>
    <w:rsid w:val="7C5036C5"/>
    <w:rsid w:val="7C5F74F0"/>
    <w:rsid w:val="7C6F4E89"/>
    <w:rsid w:val="7CAB04C7"/>
    <w:rsid w:val="7CAB71AA"/>
    <w:rsid w:val="7CDE5E54"/>
    <w:rsid w:val="7CDF5EAD"/>
    <w:rsid w:val="7CF94903"/>
    <w:rsid w:val="7D252DA4"/>
    <w:rsid w:val="7D6041D6"/>
    <w:rsid w:val="7D617417"/>
    <w:rsid w:val="7D697134"/>
    <w:rsid w:val="7DCC76C3"/>
    <w:rsid w:val="7DFB04BA"/>
    <w:rsid w:val="7E0E1A8A"/>
    <w:rsid w:val="7E300756"/>
    <w:rsid w:val="7E682F48"/>
    <w:rsid w:val="7E6A6EBA"/>
    <w:rsid w:val="7E7A45CB"/>
    <w:rsid w:val="7E845EE8"/>
    <w:rsid w:val="7F0562FB"/>
    <w:rsid w:val="7F0A03FD"/>
    <w:rsid w:val="7F855D7C"/>
    <w:rsid w:val="7FD67122"/>
    <w:rsid w:val="7FF072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link w:val="59"/>
    <w:autoRedefine/>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60"/>
    <w:autoRedefine/>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6">
    <w:name w:val="heading 4"/>
    <w:basedOn w:val="1"/>
    <w:next w:val="1"/>
    <w:autoRedefine/>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40">
    <w:name w:val="Default Paragraph Font"/>
    <w:autoRedefine/>
    <w:qFormat/>
    <w:uiPriority w:val="0"/>
    <w:rPr>
      <w:rFonts w:ascii="宋体" w:hAnsi="宋体" w:eastAsia="宋体"/>
      <w:kern w:val="2"/>
      <w:sz w:val="28"/>
      <w:szCs w:val="24"/>
      <w:lang w:val="en-US" w:eastAsia="zh-CN" w:bidi="ar-SA"/>
    </w:rPr>
  </w:style>
  <w:style w:type="table" w:default="1" w:styleId="38">
    <w:name w:val="Normal Table"/>
    <w:autoRedefine/>
    <w:semiHidden/>
    <w:qFormat/>
    <w:uiPriority w:val="0"/>
    <w:tblPr>
      <w:tblCellMar>
        <w:top w:w="0" w:type="dxa"/>
        <w:left w:w="108" w:type="dxa"/>
        <w:bottom w:w="0" w:type="dxa"/>
        <w:right w:w="108" w:type="dxa"/>
      </w:tblCellMar>
    </w:tblPr>
  </w:style>
  <w:style w:type="paragraph" w:styleId="2">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7">
    <w:name w:val="toc 7"/>
    <w:basedOn w:val="1"/>
    <w:next w:val="1"/>
    <w:autoRedefine/>
    <w:qFormat/>
    <w:uiPriority w:val="0"/>
    <w:pPr>
      <w:ind w:left="2520" w:leftChars="1200"/>
    </w:pPr>
  </w:style>
  <w:style w:type="paragraph" w:styleId="8">
    <w:name w:val="Normal Indent"/>
    <w:basedOn w:val="1"/>
    <w:link w:val="61"/>
    <w:autoRedefine/>
    <w:qFormat/>
    <w:uiPriority w:val="0"/>
    <w:pPr>
      <w:autoSpaceDE w:val="0"/>
      <w:autoSpaceDN w:val="0"/>
      <w:adjustRightInd w:val="0"/>
      <w:ind w:firstLine="420"/>
      <w:jc w:val="left"/>
    </w:pPr>
    <w:rPr>
      <w:rFonts w:ascii="宋体"/>
      <w:kern w:val="0"/>
      <w:sz w:val="24"/>
    </w:rPr>
  </w:style>
  <w:style w:type="paragraph" w:styleId="9">
    <w:name w:val="Document Map"/>
    <w:basedOn w:val="1"/>
    <w:autoRedefine/>
    <w:qFormat/>
    <w:uiPriority w:val="0"/>
    <w:pPr>
      <w:shd w:val="clear" w:color="auto" w:fill="000080"/>
    </w:pPr>
  </w:style>
  <w:style w:type="paragraph" w:styleId="10">
    <w:name w:val="annotation text"/>
    <w:basedOn w:val="1"/>
    <w:autoRedefine/>
    <w:qFormat/>
    <w:uiPriority w:val="0"/>
    <w:pPr>
      <w:jc w:val="left"/>
    </w:pPr>
  </w:style>
  <w:style w:type="paragraph" w:styleId="11">
    <w:name w:val="Body Text 3"/>
    <w:basedOn w:val="1"/>
    <w:autoRedefine/>
    <w:qFormat/>
    <w:uiPriority w:val="0"/>
    <w:rPr>
      <w:rFonts w:eastAsia="楷体_GB2312"/>
      <w:sz w:val="28"/>
    </w:rPr>
  </w:style>
  <w:style w:type="paragraph" w:styleId="12">
    <w:name w:val="Body Text"/>
    <w:basedOn w:val="1"/>
    <w:next w:val="13"/>
    <w:autoRedefine/>
    <w:qFormat/>
    <w:uiPriority w:val="0"/>
    <w:pPr>
      <w:spacing w:after="120" w:afterLines="0"/>
    </w:pPr>
  </w:style>
  <w:style w:type="paragraph" w:customStyle="1" w:styleId="13">
    <w:name w:val="Default"/>
    <w:next w:val="12"/>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Body Text Indent"/>
    <w:basedOn w:val="1"/>
    <w:next w:val="15"/>
    <w:link w:val="58"/>
    <w:autoRedefine/>
    <w:qFormat/>
    <w:uiPriority w:val="0"/>
    <w:rPr>
      <w:kern w:val="0"/>
    </w:rPr>
  </w:style>
  <w:style w:type="paragraph" w:styleId="15">
    <w:name w:val="envelope return"/>
    <w:basedOn w:val="1"/>
    <w:autoRedefine/>
    <w:qFormat/>
    <w:uiPriority w:val="0"/>
    <w:pPr>
      <w:snapToGrid w:val="0"/>
    </w:pPr>
    <w:rPr>
      <w:rFonts w:ascii="Arial" w:hAnsi="Arial"/>
    </w:rPr>
  </w:style>
  <w:style w:type="paragraph" w:styleId="16">
    <w:name w:val="Block Text"/>
    <w:basedOn w:val="1"/>
    <w:autoRedefine/>
    <w:unhideWhenUsed/>
    <w:qFormat/>
    <w:uiPriority w:val="99"/>
    <w:pPr>
      <w:spacing w:after="120"/>
      <w:ind w:left="1440" w:leftChars="700" w:right="1440" w:rightChars="700"/>
    </w:pPr>
  </w:style>
  <w:style w:type="paragraph" w:styleId="17">
    <w:name w:val="toc 5"/>
    <w:basedOn w:val="1"/>
    <w:next w:val="1"/>
    <w:autoRedefine/>
    <w:qFormat/>
    <w:uiPriority w:val="0"/>
    <w:pPr>
      <w:ind w:left="1680" w:leftChars="800"/>
    </w:pPr>
  </w:style>
  <w:style w:type="paragraph" w:styleId="18">
    <w:name w:val="toc 3"/>
    <w:basedOn w:val="1"/>
    <w:next w:val="1"/>
    <w:autoRedefine/>
    <w:qFormat/>
    <w:uiPriority w:val="0"/>
    <w:pPr>
      <w:ind w:left="840" w:leftChars="400"/>
    </w:pPr>
  </w:style>
  <w:style w:type="paragraph" w:styleId="19">
    <w:name w:val="Plain Text"/>
    <w:basedOn w:val="1"/>
    <w:next w:val="12"/>
    <w:link w:val="62"/>
    <w:autoRedefine/>
    <w:qFormat/>
    <w:uiPriority w:val="0"/>
    <w:rPr>
      <w:rFonts w:hAnsi="Courier New" w:eastAsia="幼圆"/>
      <w:kern w:val="0"/>
    </w:rPr>
  </w:style>
  <w:style w:type="paragraph" w:styleId="20">
    <w:name w:val="toc 8"/>
    <w:basedOn w:val="1"/>
    <w:next w:val="1"/>
    <w:autoRedefine/>
    <w:qFormat/>
    <w:uiPriority w:val="0"/>
    <w:pPr>
      <w:ind w:left="2940" w:leftChars="1400"/>
    </w:pPr>
  </w:style>
  <w:style w:type="paragraph" w:styleId="21">
    <w:name w:val="Date"/>
    <w:basedOn w:val="1"/>
    <w:next w:val="1"/>
    <w:autoRedefine/>
    <w:qFormat/>
    <w:uiPriority w:val="0"/>
    <w:pPr>
      <w:ind w:left="100" w:leftChars="2500"/>
    </w:pPr>
    <w:rPr>
      <w:rFonts w:ascii="宋体" w:hAnsi="宋体"/>
      <w:sz w:val="28"/>
    </w:rPr>
  </w:style>
  <w:style w:type="paragraph" w:styleId="22">
    <w:name w:val="Body Text Indent 2"/>
    <w:basedOn w:val="1"/>
    <w:autoRedefine/>
    <w:qFormat/>
    <w:uiPriority w:val="0"/>
    <w:pPr>
      <w:ind w:firstLine="405" w:firstLineChars="193"/>
    </w:pPr>
    <w:rPr>
      <w:rFonts w:ascii="宋体" w:hAnsi="宋体"/>
    </w:rPr>
  </w:style>
  <w:style w:type="paragraph" w:styleId="23">
    <w:name w:val="Balloon Text"/>
    <w:basedOn w:val="1"/>
    <w:link w:val="63"/>
    <w:autoRedefine/>
    <w:qFormat/>
    <w:uiPriority w:val="0"/>
    <w:rPr>
      <w:rFonts w:ascii="宋体" w:hAnsi="宋体"/>
      <w:sz w:val="18"/>
      <w:szCs w:val="18"/>
    </w:rPr>
  </w:style>
  <w:style w:type="paragraph" w:styleId="24">
    <w:name w:val="footer"/>
    <w:basedOn w:val="1"/>
    <w:autoRedefine/>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5">
    <w:name w:val="header"/>
    <w:basedOn w:val="1"/>
    <w:next w:val="24"/>
    <w:autoRedefine/>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6">
    <w:name w:val="toc 1"/>
    <w:basedOn w:val="1"/>
    <w:next w:val="1"/>
    <w:autoRedefine/>
    <w:qFormat/>
    <w:uiPriority w:val="39"/>
  </w:style>
  <w:style w:type="paragraph" w:styleId="27">
    <w:name w:val="toc 4"/>
    <w:basedOn w:val="1"/>
    <w:next w:val="1"/>
    <w:autoRedefine/>
    <w:qFormat/>
    <w:uiPriority w:val="0"/>
    <w:pPr>
      <w:ind w:left="1260" w:leftChars="600"/>
    </w:pPr>
  </w:style>
  <w:style w:type="paragraph" w:styleId="28">
    <w:name w:val="toc 6"/>
    <w:basedOn w:val="1"/>
    <w:next w:val="1"/>
    <w:autoRedefine/>
    <w:qFormat/>
    <w:uiPriority w:val="0"/>
    <w:pPr>
      <w:ind w:left="2100" w:leftChars="1000"/>
    </w:pPr>
  </w:style>
  <w:style w:type="paragraph" w:styleId="29">
    <w:name w:val="Body Text Indent 3"/>
    <w:basedOn w:val="1"/>
    <w:autoRedefine/>
    <w:qFormat/>
    <w:uiPriority w:val="0"/>
    <w:pPr>
      <w:ind w:firstLine="420" w:firstLineChars="200"/>
    </w:pPr>
    <w:rPr>
      <w:rFonts w:ascii="宋体" w:hAnsi="宋体"/>
    </w:rPr>
  </w:style>
  <w:style w:type="paragraph" w:styleId="30">
    <w:name w:val="toc 2"/>
    <w:basedOn w:val="1"/>
    <w:next w:val="1"/>
    <w:autoRedefine/>
    <w:qFormat/>
    <w:uiPriority w:val="0"/>
    <w:pPr>
      <w:ind w:left="420" w:leftChars="200"/>
    </w:pPr>
  </w:style>
  <w:style w:type="paragraph" w:styleId="31">
    <w:name w:val="toc 9"/>
    <w:basedOn w:val="1"/>
    <w:next w:val="1"/>
    <w:autoRedefine/>
    <w:qFormat/>
    <w:uiPriority w:val="0"/>
    <w:pPr>
      <w:ind w:left="3360" w:leftChars="1600"/>
    </w:pPr>
  </w:style>
  <w:style w:type="paragraph" w:styleId="32">
    <w:name w:val="Body Text 2"/>
    <w:basedOn w:val="1"/>
    <w:autoRedefine/>
    <w:qFormat/>
    <w:uiPriority w:val="0"/>
    <w:pPr>
      <w:spacing w:after="120" w:afterLines="0" w:line="480" w:lineRule="auto"/>
    </w:pPr>
  </w:style>
  <w:style w:type="paragraph" w:styleId="3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paragraph" w:styleId="34">
    <w:name w:val="index 1"/>
    <w:basedOn w:val="1"/>
    <w:next w:val="1"/>
    <w:autoRedefine/>
    <w:qFormat/>
    <w:uiPriority w:val="0"/>
    <w:rPr>
      <w:szCs w:val="20"/>
    </w:rPr>
  </w:style>
  <w:style w:type="paragraph" w:styleId="35">
    <w:name w:val="Title"/>
    <w:basedOn w:val="1"/>
    <w:next w:val="1"/>
    <w:autoRedefine/>
    <w:qFormat/>
    <w:uiPriority w:val="0"/>
    <w:pPr>
      <w:spacing w:before="240" w:beforeLines="0" w:after="60" w:afterLines="0"/>
      <w:jc w:val="center"/>
      <w:outlineLvl w:val="0"/>
    </w:pPr>
    <w:rPr>
      <w:rFonts w:ascii="Arial" w:hAnsi="Arial" w:eastAsia="宋体" w:cs="Arial"/>
      <w:b/>
      <w:bCs/>
      <w:sz w:val="32"/>
      <w:szCs w:val="32"/>
    </w:rPr>
  </w:style>
  <w:style w:type="paragraph" w:styleId="36">
    <w:name w:val="Body Text First Indent"/>
    <w:basedOn w:val="12"/>
    <w:next w:val="37"/>
    <w:autoRedefine/>
    <w:qFormat/>
    <w:uiPriority w:val="0"/>
  </w:style>
  <w:style w:type="paragraph" w:styleId="37">
    <w:name w:val="Body Text First Indent 2"/>
    <w:basedOn w:val="14"/>
    <w:next w:val="1"/>
    <w:autoRedefine/>
    <w:qFormat/>
    <w:uiPriority w:val="0"/>
    <w:pPr>
      <w:numPr>
        <w:ilvl w:val="0"/>
        <w:numId w:val="0"/>
      </w:numPr>
      <w:spacing w:after="120" w:afterLines="0"/>
    </w:pPr>
  </w:style>
  <w:style w:type="table" w:styleId="39">
    <w:name w:val="Table Grid"/>
    <w:basedOn w:val="3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basedOn w:val="40"/>
    <w:autoRedefine/>
    <w:qFormat/>
    <w:uiPriority w:val="0"/>
    <w:rPr>
      <w:b/>
    </w:rPr>
  </w:style>
  <w:style w:type="character" w:styleId="42">
    <w:name w:val="page number"/>
    <w:qFormat/>
    <w:uiPriority w:val="0"/>
    <w:rPr>
      <w:lang w:val="en-US" w:eastAsia="zh-CN" w:bidi="ar-SA"/>
    </w:rPr>
  </w:style>
  <w:style w:type="character" w:styleId="43">
    <w:name w:val="FollowedHyperlink"/>
    <w:autoRedefine/>
    <w:qFormat/>
    <w:uiPriority w:val="0"/>
    <w:rPr>
      <w:rFonts w:ascii="宋体" w:hAnsi="宋体" w:eastAsia="宋体"/>
      <w:color w:val="333333"/>
      <w:kern w:val="2"/>
      <w:sz w:val="18"/>
      <w:szCs w:val="18"/>
      <w:u w:val="none"/>
      <w:lang w:val="en-US" w:eastAsia="zh-CN" w:bidi="ar-SA"/>
    </w:rPr>
  </w:style>
  <w:style w:type="character" w:styleId="44">
    <w:name w:val="HTML Definition"/>
    <w:autoRedefine/>
    <w:qFormat/>
    <w:uiPriority w:val="0"/>
    <w:rPr>
      <w:lang w:val="en-US" w:eastAsia="zh-CN" w:bidi="ar-SA"/>
    </w:rPr>
  </w:style>
  <w:style w:type="character" w:styleId="45">
    <w:name w:val="HTML Typewriter"/>
    <w:autoRedefine/>
    <w:qFormat/>
    <w:uiPriority w:val="0"/>
    <w:rPr>
      <w:rFonts w:hint="default" w:ascii="monospace" w:hAnsi="monospace" w:eastAsia="monospace" w:cs="monospace"/>
      <w:sz w:val="20"/>
      <w:lang w:val="en-US" w:eastAsia="zh-CN" w:bidi="ar-SA"/>
    </w:rPr>
  </w:style>
  <w:style w:type="character" w:styleId="46">
    <w:name w:val="HTML Acronym"/>
    <w:autoRedefine/>
    <w:qFormat/>
    <w:uiPriority w:val="0"/>
    <w:rPr>
      <w:lang w:val="en-US" w:eastAsia="zh-CN" w:bidi="ar-SA"/>
    </w:rPr>
  </w:style>
  <w:style w:type="character" w:styleId="47">
    <w:name w:val="HTML Variable"/>
    <w:autoRedefine/>
    <w:qFormat/>
    <w:uiPriority w:val="0"/>
    <w:rPr>
      <w:lang w:val="en-US" w:eastAsia="zh-CN" w:bidi="ar-SA"/>
    </w:rPr>
  </w:style>
  <w:style w:type="character" w:styleId="48">
    <w:name w:val="Hyperlink"/>
    <w:autoRedefine/>
    <w:qFormat/>
    <w:uiPriority w:val="99"/>
    <w:rPr>
      <w:rFonts w:ascii="宋体" w:hAnsi="宋体" w:eastAsia="宋体"/>
      <w:color w:val="0000FF"/>
      <w:kern w:val="2"/>
      <w:sz w:val="28"/>
      <w:szCs w:val="24"/>
      <w:u w:val="single"/>
      <w:lang w:val="en-US" w:eastAsia="zh-CN" w:bidi="ar-SA"/>
    </w:rPr>
  </w:style>
  <w:style w:type="character" w:styleId="49">
    <w:name w:val="HTML Code"/>
    <w:autoRedefine/>
    <w:qFormat/>
    <w:uiPriority w:val="0"/>
    <w:rPr>
      <w:rFonts w:ascii="monospace" w:hAnsi="monospace" w:eastAsia="monospace" w:cs="monospace"/>
      <w:sz w:val="20"/>
      <w:lang w:val="en-US" w:eastAsia="zh-CN" w:bidi="ar-SA"/>
    </w:rPr>
  </w:style>
  <w:style w:type="character" w:styleId="50">
    <w:name w:val="HTML Cite"/>
    <w:autoRedefine/>
    <w:qFormat/>
    <w:uiPriority w:val="0"/>
    <w:rPr>
      <w:lang w:val="en-US" w:eastAsia="zh-CN" w:bidi="ar-SA"/>
    </w:rPr>
  </w:style>
  <w:style w:type="character" w:styleId="51">
    <w:name w:val="HTML Keyboard"/>
    <w:autoRedefine/>
    <w:qFormat/>
    <w:uiPriority w:val="0"/>
    <w:rPr>
      <w:rFonts w:hint="default" w:ascii="monospace" w:hAnsi="monospace" w:eastAsia="monospace" w:cs="monospace"/>
      <w:sz w:val="20"/>
      <w:lang w:val="en-US" w:eastAsia="zh-CN" w:bidi="ar-SA"/>
    </w:rPr>
  </w:style>
  <w:style w:type="character" w:styleId="52">
    <w:name w:val="HTML Sample"/>
    <w:autoRedefine/>
    <w:qFormat/>
    <w:uiPriority w:val="0"/>
    <w:rPr>
      <w:rFonts w:hint="default" w:ascii="monospace" w:hAnsi="monospace" w:eastAsia="monospace" w:cs="monospace"/>
      <w:lang w:val="en-US" w:eastAsia="zh-CN" w:bidi="ar-SA"/>
    </w:rPr>
  </w:style>
  <w:style w:type="paragraph" w:customStyle="1" w:styleId="53">
    <w:name w:val="Char Char10 Char Char Char Char"/>
    <w:basedOn w:val="1"/>
    <w:next w:val="54"/>
    <w:autoRedefine/>
    <w:qFormat/>
    <w:uiPriority w:val="0"/>
  </w:style>
  <w:style w:type="paragraph" w:customStyle="1" w:styleId="54">
    <w:name w:val="xl87"/>
    <w:basedOn w:val="1"/>
    <w:next w:val="55"/>
    <w:autoRedefine/>
    <w:qFormat/>
    <w:uiPriority w:val="0"/>
    <w:pPr>
      <w:widowControl/>
      <w:shd w:val="clear" w:color="FFFFFF" w:fill="FFFFFF"/>
      <w:spacing w:before="280" w:beforeLines="0" w:after="280" w:afterLines="0"/>
      <w:jc w:val="right"/>
    </w:pPr>
    <w:rPr>
      <w:rFonts w:ascii="宋体"/>
      <w:sz w:val="24"/>
    </w:rPr>
  </w:style>
  <w:style w:type="paragraph" w:customStyle="1" w:styleId="55">
    <w:name w:val="xl72"/>
    <w:basedOn w:val="1"/>
    <w:next w:val="21"/>
    <w:autoRedefine/>
    <w:qFormat/>
    <w:uiPriority w:val="0"/>
    <w:pPr>
      <w:widowControl/>
      <w:shd w:val="clear" w:color="FFFFFF" w:fill="FFFFFF"/>
      <w:spacing w:before="280" w:beforeLines="0" w:after="280" w:afterLines="0"/>
      <w:jc w:val="right"/>
    </w:pPr>
    <w:rPr>
      <w:rFonts w:ascii="宋体"/>
      <w:sz w:val="24"/>
    </w:rPr>
  </w:style>
  <w:style w:type="paragraph" w:customStyle="1" w:styleId="56">
    <w:name w:val="表格文字"/>
    <w:basedOn w:val="1"/>
    <w:next w:val="12"/>
    <w:autoRedefine/>
    <w:qFormat/>
    <w:uiPriority w:val="0"/>
    <w:pPr>
      <w:adjustRightInd w:val="0"/>
      <w:spacing w:line="420" w:lineRule="atLeast"/>
      <w:jc w:val="left"/>
      <w:textAlignment w:val="baseline"/>
    </w:pPr>
    <w:rPr>
      <w:kern w:val="0"/>
      <w:szCs w:val="20"/>
    </w:rPr>
  </w:style>
  <w:style w:type="paragraph" w:customStyle="1" w:styleId="57">
    <w:name w:val="No Spacing1"/>
    <w:basedOn w:val="1"/>
    <w:autoRedefine/>
    <w:qFormat/>
    <w:uiPriority w:val="0"/>
    <w:pPr>
      <w:spacing w:after="0" w:afterLines="0" w:line="400" w:lineRule="exact"/>
    </w:pPr>
    <w:rPr>
      <w:rFonts w:ascii="Calibri" w:hAnsi="Calibri" w:eastAsia="宋体" w:cs="黑体"/>
      <w:sz w:val="24"/>
      <w:lang w:val="en-US" w:eastAsia="zh-CN" w:bidi="ar-SA"/>
    </w:rPr>
  </w:style>
  <w:style w:type="character" w:customStyle="1" w:styleId="58">
    <w:name w:val="正文文本缩进 Char"/>
    <w:link w:val="14"/>
    <w:autoRedefine/>
    <w:qFormat/>
    <w:uiPriority w:val="0"/>
    <w:rPr>
      <w:sz w:val="21"/>
      <w:lang w:val="en-US" w:eastAsia="zh-CN" w:bidi="ar-SA"/>
    </w:rPr>
  </w:style>
  <w:style w:type="character" w:customStyle="1" w:styleId="59">
    <w:name w:val="标题 2 Char"/>
    <w:link w:val="4"/>
    <w:autoRedefine/>
    <w:qFormat/>
    <w:uiPriority w:val="0"/>
    <w:rPr>
      <w:rFonts w:ascii="Arial" w:hAnsi="Arial" w:eastAsia="黑体"/>
      <w:b/>
      <w:bCs/>
      <w:kern w:val="2"/>
      <w:sz w:val="32"/>
      <w:szCs w:val="32"/>
      <w:lang w:val="en-US" w:eastAsia="zh-CN" w:bidi="ar-SA"/>
    </w:rPr>
  </w:style>
  <w:style w:type="character" w:customStyle="1" w:styleId="60">
    <w:name w:val="标题 3 Char"/>
    <w:link w:val="5"/>
    <w:qFormat/>
    <w:uiPriority w:val="0"/>
    <w:rPr>
      <w:rFonts w:ascii="宋体" w:hAnsi="宋体" w:eastAsia="幼圆"/>
      <w:b/>
      <w:bCs/>
      <w:kern w:val="2"/>
      <w:sz w:val="32"/>
      <w:szCs w:val="32"/>
      <w:lang w:val="en-US" w:eastAsia="zh-CN" w:bidi="ar-SA"/>
    </w:rPr>
  </w:style>
  <w:style w:type="character" w:customStyle="1" w:styleId="61">
    <w:name w:val="正文缩进 Char"/>
    <w:link w:val="8"/>
    <w:autoRedefine/>
    <w:qFormat/>
    <w:uiPriority w:val="0"/>
    <w:rPr>
      <w:rFonts w:ascii="宋体"/>
      <w:sz w:val="24"/>
    </w:rPr>
  </w:style>
  <w:style w:type="character" w:customStyle="1" w:styleId="62">
    <w:name w:val="纯文本 Char"/>
    <w:link w:val="19"/>
    <w:autoRedefine/>
    <w:qFormat/>
    <w:uiPriority w:val="0"/>
    <w:rPr>
      <w:rFonts w:hAnsi="Courier New" w:eastAsia="幼圆"/>
      <w:sz w:val="21"/>
      <w:lang w:val="en-US" w:eastAsia="zh-CN" w:bidi="ar-SA"/>
    </w:rPr>
  </w:style>
  <w:style w:type="character" w:customStyle="1" w:styleId="63">
    <w:name w:val="批注框文本 Char"/>
    <w:link w:val="23"/>
    <w:autoRedefine/>
    <w:qFormat/>
    <w:uiPriority w:val="0"/>
    <w:rPr>
      <w:rFonts w:ascii="宋体" w:hAnsi="宋体" w:eastAsia="宋体"/>
      <w:kern w:val="2"/>
      <w:sz w:val="18"/>
      <w:szCs w:val="18"/>
      <w:lang w:val="en-US" w:eastAsia="zh-CN" w:bidi="ar-SA"/>
    </w:rPr>
  </w:style>
  <w:style w:type="character" w:customStyle="1" w:styleId="64">
    <w:name w:val="页眉 Char Char"/>
    <w:autoRedefine/>
    <w:qFormat/>
    <w:uiPriority w:val="0"/>
    <w:rPr>
      <w:rFonts w:ascii="宋体" w:hAnsi="宋体" w:eastAsia="宋体"/>
      <w:kern w:val="2"/>
      <w:sz w:val="18"/>
      <w:szCs w:val="18"/>
      <w:lang w:val="en-US" w:eastAsia="zh-CN" w:bidi="ar-SA"/>
    </w:rPr>
  </w:style>
  <w:style w:type="character" w:customStyle="1" w:styleId="65">
    <w:name w:val="页脚 Char Char"/>
    <w:autoRedefine/>
    <w:qFormat/>
    <w:uiPriority w:val="0"/>
    <w:rPr>
      <w:rFonts w:ascii="宋体" w:hAnsi="宋体" w:eastAsia="宋体"/>
      <w:kern w:val="2"/>
      <w:sz w:val="18"/>
      <w:szCs w:val="18"/>
      <w:lang w:val="en-US" w:eastAsia="zh-CN" w:bidi="ar-SA"/>
    </w:rPr>
  </w:style>
  <w:style w:type="character" w:customStyle="1" w:styleId="66">
    <w:name w:val="ca-21"/>
    <w:autoRedefine/>
    <w:qFormat/>
    <w:uiPriority w:val="0"/>
    <w:rPr>
      <w:rFonts w:hint="eastAsia" w:ascii="仿宋_GB2312" w:eastAsia="仿宋_GB2312"/>
      <w:sz w:val="32"/>
      <w:szCs w:val="32"/>
    </w:rPr>
  </w:style>
  <w:style w:type="character" w:customStyle="1" w:styleId="67">
    <w:name w:val="ca-31"/>
    <w:autoRedefine/>
    <w:qFormat/>
    <w:uiPriority w:val="0"/>
    <w:rPr>
      <w:rFonts w:hint="eastAsia" w:ascii="仿宋_GB2312" w:eastAsia="仿宋_GB2312"/>
      <w:b/>
      <w:bCs/>
      <w:spacing w:val="-20"/>
      <w:sz w:val="32"/>
      <w:szCs w:val="32"/>
    </w:rPr>
  </w:style>
  <w:style w:type="character" w:customStyle="1" w:styleId="68">
    <w:name w:val="UserStyle_17"/>
    <w:autoRedefine/>
    <w:qFormat/>
    <w:uiPriority w:val="0"/>
    <w:rPr>
      <w:rFonts w:ascii="Times New Roman" w:hAnsi="Times New Roman" w:eastAsia="宋体" w:cs="Times New Roman"/>
      <w:kern w:val="2"/>
      <w:sz w:val="21"/>
      <w:szCs w:val="24"/>
      <w:lang w:val="en-US" w:eastAsia="zh-CN" w:bidi="ar-SA"/>
    </w:rPr>
  </w:style>
  <w:style w:type="character" w:customStyle="1" w:styleId="69">
    <w:name w:val="ca-11"/>
    <w:autoRedefine/>
    <w:qFormat/>
    <w:uiPriority w:val="0"/>
    <w:rPr>
      <w:rFonts w:hint="default" w:ascii="Times New Roman" w:hAnsi="Times New Roman" w:cs="Times New Roman"/>
      <w:sz w:val="32"/>
      <w:szCs w:val="32"/>
    </w:rPr>
  </w:style>
  <w:style w:type="character" w:customStyle="1" w:styleId="70">
    <w:name w:val="font11"/>
    <w:autoRedefine/>
    <w:qFormat/>
    <w:uiPriority w:val="0"/>
    <w:rPr>
      <w:rFonts w:hint="eastAsia" w:ascii="宋体" w:hAnsi="宋体" w:eastAsia="宋体" w:cs="宋体"/>
      <w:color w:val="000000"/>
      <w:sz w:val="20"/>
      <w:szCs w:val="20"/>
      <w:u w:val="none"/>
    </w:rPr>
  </w:style>
  <w:style w:type="character" w:customStyle="1" w:styleId="71">
    <w:name w:val="Char Char Char"/>
    <w:autoRedefine/>
    <w:qFormat/>
    <w:uiPriority w:val="0"/>
    <w:rPr>
      <w:rFonts w:ascii="Arial" w:hAnsi="Arial" w:eastAsia="黑体"/>
      <w:b/>
      <w:bCs/>
      <w:kern w:val="2"/>
      <w:sz w:val="32"/>
      <w:szCs w:val="32"/>
      <w:lang w:val="en-US" w:eastAsia="zh-CN" w:bidi="ar-SA"/>
    </w:rPr>
  </w:style>
  <w:style w:type="character" w:customStyle="1" w:styleId="72">
    <w:name w:val="ca-121"/>
    <w:autoRedefine/>
    <w:qFormat/>
    <w:uiPriority w:val="0"/>
    <w:rPr>
      <w:rFonts w:hint="eastAsia" w:ascii="仿宋_GB2312" w:eastAsia="仿宋_GB2312"/>
      <w:color w:val="000000"/>
      <w:sz w:val="21"/>
      <w:szCs w:val="21"/>
    </w:rPr>
  </w:style>
  <w:style w:type="paragraph" w:customStyle="1" w:styleId="73">
    <w:name w:val="样式 正文文字 + 小四 段后: 0 磅 行距: 1.5 倍行距"/>
    <w:basedOn w:val="12"/>
    <w:autoRedefine/>
    <w:qFormat/>
    <w:uiPriority w:val="0"/>
    <w:pPr>
      <w:spacing w:after="0" w:afterLines="0" w:line="360" w:lineRule="auto"/>
      <w:ind w:firstLine="480" w:firstLineChars="200"/>
    </w:pPr>
    <w:rPr>
      <w:rFonts w:cs="宋体"/>
      <w:sz w:val="24"/>
      <w:szCs w:val="20"/>
    </w:rPr>
  </w:style>
  <w:style w:type="paragraph" w:customStyle="1" w:styleId="74">
    <w:name w:val="pa-58"/>
    <w:basedOn w:val="1"/>
    <w:autoRedefine/>
    <w:qFormat/>
    <w:uiPriority w:val="0"/>
    <w:pPr>
      <w:widowControl/>
      <w:spacing w:line="240" w:lineRule="atLeast"/>
      <w:ind w:firstLine="460"/>
    </w:pPr>
    <w:rPr>
      <w:rFonts w:ascii="宋体" w:hAnsi="宋体" w:cs="宋体"/>
      <w:kern w:val="0"/>
      <w:sz w:val="24"/>
    </w:rPr>
  </w:style>
  <w:style w:type="paragraph" w:customStyle="1" w:styleId="75">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6">
    <w:name w:val="普通(网站)1"/>
    <w:basedOn w:val="1"/>
    <w:autoRedefine/>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7">
    <w:name w:val="pa-6"/>
    <w:basedOn w:val="1"/>
    <w:autoRedefine/>
    <w:qFormat/>
    <w:uiPriority w:val="0"/>
    <w:pPr>
      <w:widowControl/>
      <w:spacing w:line="360" w:lineRule="atLeast"/>
    </w:pPr>
    <w:rPr>
      <w:rFonts w:ascii="宋体" w:hAnsi="宋体" w:cs="宋体"/>
      <w:kern w:val="0"/>
      <w:sz w:val="24"/>
    </w:rPr>
  </w:style>
  <w:style w:type="paragraph" w:customStyle="1" w:styleId="78">
    <w:name w:val="pa-2"/>
    <w:basedOn w:val="1"/>
    <w:autoRedefine/>
    <w:qFormat/>
    <w:uiPriority w:val="0"/>
    <w:pPr>
      <w:widowControl/>
      <w:spacing w:line="360" w:lineRule="atLeast"/>
    </w:pPr>
    <w:rPr>
      <w:rFonts w:ascii="宋体" w:hAnsi="宋体" w:cs="宋体"/>
      <w:kern w:val="0"/>
      <w:sz w:val="24"/>
    </w:rPr>
  </w:style>
  <w:style w:type="paragraph" w:customStyle="1" w:styleId="79">
    <w:name w:val="Heading 1"/>
    <w:basedOn w:val="1"/>
    <w:autoRedefine/>
    <w:qFormat/>
    <w:uiPriority w:val="0"/>
    <w:pPr>
      <w:outlineLvl w:val="1"/>
    </w:pPr>
    <w:rPr>
      <w:rFonts w:ascii="黑体" w:hAnsi="黑体" w:eastAsia="黑体"/>
      <w:b/>
      <w:bCs/>
      <w:sz w:val="44"/>
      <w:szCs w:val="44"/>
    </w:rPr>
  </w:style>
  <w:style w:type="paragraph" w:customStyle="1" w:styleId="80">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1">
    <w:name w:val="正文（首行缩进一字）"/>
    <w:basedOn w:val="1"/>
    <w:autoRedefine/>
    <w:qFormat/>
    <w:uiPriority w:val="0"/>
  </w:style>
  <w:style w:type="paragraph" w:customStyle="1" w:styleId="82">
    <w:name w:val="pa-53"/>
    <w:basedOn w:val="1"/>
    <w:autoRedefine/>
    <w:qFormat/>
    <w:uiPriority w:val="0"/>
    <w:pPr>
      <w:widowControl/>
      <w:spacing w:line="240" w:lineRule="atLeast"/>
    </w:pPr>
    <w:rPr>
      <w:rFonts w:ascii="宋体" w:hAnsi="宋体" w:cs="宋体"/>
      <w:kern w:val="0"/>
      <w:sz w:val="24"/>
    </w:rPr>
  </w:style>
  <w:style w:type="paragraph" w:customStyle="1" w:styleId="83">
    <w:name w:val="列出段落1"/>
    <w:basedOn w:val="1"/>
    <w:autoRedefine/>
    <w:qFormat/>
    <w:uiPriority w:val="0"/>
    <w:pPr>
      <w:ind w:firstLine="420" w:firstLineChars="200"/>
    </w:pPr>
    <w:rPr>
      <w:rFonts w:ascii="Times New Roman" w:hAnsi="Times New Roman" w:eastAsia="宋体" w:cs="Times New Roman"/>
    </w:rPr>
  </w:style>
  <w:style w:type="paragraph" w:customStyle="1" w:styleId="84">
    <w:name w:val="标题 11"/>
    <w:basedOn w:val="1"/>
    <w:autoRedefine/>
    <w:qFormat/>
    <w:uiPriority w:val="0"/>
    <w:pPr>
      <w:jc w:val="left"/>
      <w:outlineLvl w:val="1"/>
    </w:pPr>
    <w:rPr>
      <w:rFonts w:ascii="黑体" w:hAnsi="黑体" w:eastAsia="黑体" w:cs="Times New Roman"/>
      <w:b/>
      <w:bCs/>
      <w:kern w:val="0"/>
      <w:sz w:val="44"/>
      <w:szCs w:val="44"/>
      <w:lang w:eastAsia="en-US"/>
    </w:rPr>
  </w:style>
  <w:style w:type="paragraph" w:customStyle="1" w:styleId="85">
    <w:name w:val="无间隔1"/>
    <w:basedOn w:val="1"/>
    <w:autoRedefine/>
    <w:qFormat/>
    <w:uiPriority w:val="0"/>
    <w:pPr>
      <w:spacing w:line="400" w:lineRule="exact"/>
    </w:pPr>
    <w:rPr>
      <w:rFonts w:eastAsia="宋体"/>
      <w:sz w:val="24"/>
    </w:rPr>
  </w:style>
  <w:style w:type="paragraph" w:customStyle="1" w:styleId="86">
    <w:name w:val="TOC Heading1"/>
    <w:next w:val="1"/>
    <w:autoRedefine/>
    <w:qFormat/>
    <w:uiPriority w:val="0"/>
    <w:pPr>
      <w:wordWrap w:val="0"/>
    </w:pPr>
    <w:rPr>
      <w:rFonts w:ascii="Calibri" w:hAnsi="Calibri" w:eastAsia="宋体" w:cs="Times New Roman"/>
      <w:sz w:val="32"/>
      <w:szCs w:val="22"/>
      <w:lang w:val="en-US" w:eastAsia="zh-CN" w:bidi="ar-SA"/>
    </w:rPr>
  </w:style>
  <w:style w:type="paragraph" w:customStyle="1" w:styleId="87">
    <w:name w:val="目录 31"/>
    <w:basedOn w:val="1"/>
    <w:autoRedefine/>
    <w:qFormat/>
    <w:uiPriority w:val="0"/>
    <w:pPr>
      <w:spacing w:before="35" w:beforeLines="0"/>
      <w:ind w:left="330"/>
      <w:jc w:val="left"/>
    </w:pPr>
    <w:rPr>
      <w:rFonts w:ascii="宋体" w:hAnsi="宋体" w:cs="Times New Roman"/>
      <w:b/>
      <w:bCs/>
      <w:kern w:val="0"/>
      <w:sz w:val="20"/>
      <w:lang w:eastAsia="en-US"/>
    </w:rPr>
  </w:style>
  <w:style w:type="paragraph" w:customStyle="1" w:styleId="88">
    <w:name w:val="标题 21"/>
    <w:basedOn w:val="1"/>
    <w:autoRedefine/>
    <w:qFormat/>
    <w:uiPriority w:val="0"/>
    <w:pPr>
      <w:ind w:left="117"/>
      <w:jc w:val="left"/>
      <w:outlineLvl w:val="2"/>
    </w:pPr>
    <w:rPr>
      <w:rFonts w:ascii="黑体" w:hAnsi="黑体" w:eastAsia="黑体" w:cs="Times New Roman"/>
      <w:b/>
      <w:bCs/>
      <w:kern w:val="0"/>
      <w:sz w:val="32"/>
      <w:szCs w:val="32"/>
      <w:lang w:eastAsia="en-US"/>
    </w:rPr>
  </w:style>
  <w:style w:type="paragraph" w:customStyle="1" w:styleId="89">
    <w:name w:val="pa-62"/>
    <w:basedOn w:val="1"/>
    <w:qFormat/>
    <w:uiPriority w:val="0"/>
    <w:pPr>
      <w:widowControl/>
      <w:spacing w:line="240" w:lineRule="atLeast"/>
    </w:pPr>
    <w:rPr>
      <w:rFonts w:ascii="宋体" w:hAnsi="宋体" w:cs="宋体"/>
      <w:kern w:val="0"/>
      <w:sz w:val="24"/>
    </w:rPr>
  </w:style>
  <w:style w:type="paragraph" w:customStyle="1" w:styleId="90">
    <w:name w:val="_Style 80"/>
    <w:autoRedefine/>
    <w:qFormat/>
    <w:uiPriority w:val="0"/>
    <w:rPr>
      <w:rFonts w:ascii="Times New Roman" w:hAnsi="Times New Roman" w:eastAsia="宋体" w:cs="Times New Roman"/>
      <w:kern w:val="2"/>
      <w:sz w:val="21"/>
      <w:lang w:val="en-US" w:eastAsia="zh-CN" w:bidi="ar-SA"/>
    </w:rPr>
  </w:style>
  <w:style w:type="paragraph" w:customStyle="1" w:styleId="91">
    <w:name w:val="p0"/>
    <w:basedOn w:val="1"/>
    <w:autoRedefine/>
    <w:qFormat/>
    <w:uiPriority w:val="0"/>
    <w:pPr>
      <w:widowControl/>
    </w:pPr>
    <w:rPr>
      <w:kern w:val="0"/>
      <w:szCs w:val="21"/>
    </w:rPr>
  </w:style>
  <w:style w:type="paragraph" w:customStyle="1" w:styleId="92">
    <w:name w:val="彩色列表1"/>
    <w:basedOn w:val="1"/>
    <w:autoRedefine/>
    <w:qFormat/>
    <w:uiPriority w:val="0"/>
    <w:pPr>
      <w:jc w:val="left"/>
    </w:pPr>
    <w:rPr>
      <w:rFonts w:ascii="Calibri" w:hAnsi="Calibri" w:eastAsia="宋体" w:cs="Times New Roman"/>
      <w:kern w:val="0"/>
      <w:sz w:val="22"/>
      <w:szCs w:val="22"/>
      <w:lang w:eastAsia="en-US"/>
    </w:rPr>
  </w:style>
  <w:style w:type="paragraph" w:customStyle="1" w:styleId="93">
    <w:name w:val="目录 51"/>
    <w:basedOn w:val="1"/>
    <w:autoRedefine/>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4">
    <w:name w:val="目录 11"/>
    <w:basedOn w:val="1"/>
    <w:autoRedefine/>
    <w:qFormat/>
    <w:uiPriority w:val="0"/>
    <w:pPr>
      <w:spacing w:before="155" w:beforeLines="0"/>
      <w:jc w:val="left"/>
    </w:pPr>
    <w:rPr>
      <w:rFonts w:ascii="黑体" w:hAnsi="黑体" w:eastAsia="黑体" w:cs="Times New Roman"/>
      <w:b/>
      <w:bCs/>
      <w:kern w:val="0"/>
      <w:sz w:val="20"/>
      <w:lang w:eastAsia="en-US"/>
    </w:rPr>
  </w:style>
  <w:style w:type="paragraph" w:customStyle="1" w:styleId="95">
    <w:name w:val="目录 21"/>
    <w:basedOn w:val="1"/>
    <w:autoRedefine/>
    <w:qFormat/>
    <w:uiPriority w:val="0"/>
    <w:pPr>
      <w:spacing w:before="35" w:beforeLines="0"/>
      <w:ind w:left="126"/>
      <w:jc w:val="left"/>
    </w:pPr>
    <w:rPr>
      <w:rFonts w:ascii="宋体" w:hAnsi="宋体" w:cs="Times New Roman"/>
      <w:b/>
      <w:bCs/>
      <w:kern w:val="0"/>
      <w:sz w:val="20"/>
      <w:lang w:eastAsia="en-US"/>
    </w:rPr>
  </w:style>
  <w:style w:type="paragraph" w:customStyle="1" w:styleId="96">
    <w:name w:val="样式1"/>
    <w:basedOn w:val="1"/>
    <w:autoRedefine/>
    <w:qFormat/>
    <w:uiPriority w:val="0"/>
    <w:pPr>
      <w:tabs>
        <w:tab w:val="left" w:pos="709"/>
      </w:tabs>
      <w:adjustRightInd w:val="0"/>
      <w:ind w:left="709" w:hanging="709"/>
      <w:textAlignment w:val="baseline"/>
    </w:pPr>
    <w:rPr>
      <w:rFonts w:ascii="宋体" w:hAnsi="宋体"/>
      <w:kern w:val="0"/>
      <w:szCs w:val="24"/>
    </w:rPr>
  </w:style>
  <w:style w:type="paragraph" w:styleId="97">
    <w:name w:val="No Spacing"/>
    <w:autoRedefi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8">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9">
    <w:name w:val="pa-56"/>
    <w:basedOn w:val="1"/>
    <w:autoRedefine/>
    <w:qFormat/>
    <w:uiPriority w:val="0"/>
    <w:pPr>
      <w:widowControl/>
      <w:spacing w:line="240" w:lineRule="atLeast"/>
    </w:pPr>
    <w:rPr>
      <w:rFonts w:ascii="宋体" w:hAnsi="宋体" w:cs="宋体"/>
      <w:kern w:val="0"/>
      <w:sz w:val="24"/>
    </w:rPr>
  </w:style>
  <w:style w:type="paragraph" w:customStyle="1" w:styleId="100">
    <w:name w:val=" Char Char Char"/>
    <w:basedOn w:val="1"/>
    <w:autoRedefine/>
    <w:qFormat/>
    <w:uiPriority w:val="0"/>
    <w:rPr>
      <w:rFonts w:ascii="Tahoma" w:hAnsi="Tahoma"/>
      <w:sz w:val="24"/>
      <w:szCs w:val="20"/>
    </w:rPr>
  </w:style>
  <w:style w:type="paragraph" w:customStyle="1" w:styleId="101">
    <w:name w:val="pa-4"/>
    <w:basedOn w:val="1"/>
    <w:autoRedefine/>
    <w:qFormat/>
    <w:uiPriority w:val="0"/>
    <w:pPr>
      <w:widowControl/>
      <w:spacing w:line="360" w:lineRule="atLeast"/>
      <w:ind w:firstLine="960"/>
    </w:pPr>
    <w:rPr>
      <w:rFonts w:ascii="宋体" w:hAnsi="宋体" w:cs="宋体"/>
      <w:kern w:val="0"/>
      <w:sz w:val="24"/>
    </w:rPr>
  </w:style>
  <w:style w:type="paragraph" w:customStyle="1" w:styleId="102">
    <w:name w:val="UserStyle_35"/>
    <w:autoRedefine/>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3">
    <w:name w:val="目录 41"/>
    <w:basedOn w:val="1"/>
    <w:autoRedefine/>
    <w:qFormat/>
    <w:uiPriority w:val="0"/>
    <w:pPr>
      <w:spacing w:before="23" w:beforeLines="0"/>
      <w:ind w:left="540"/>
      <w:jc w:val="left"/>
    </w:pPr>
    <w:rPr>
      <w:rFonts w:ascii="黑体" w:hAnsi="黑体" w:eastAsia="黑体" w:cs="Times New Roman"/>
      <w:i/>
      <w:kern w:val="0"/>
      <w:szCs w:val="21"/>
      <w:lang w:eastAsia="en-US"/>
    </w:rPr>
  </w:style>
  <w:style w:type="paragraph" w:customStyle="1" w:styleId="104">
    <w:name w:val="_Style 2"/>
    <w:basedOn w:val="1"/>
    <w:autoRedefine/>
    <w:qFormat/>
    <w:uiPriority w:val="0"/>
    <w:pPr>
      <w:ind w:firstLine="420" w:firstLineChars="200"/>
    </w:pPr>
    <w:rPr>
      <w:kern w:val="0"/>
      <w:sz w:val="20"/>
      <w:szCs w:val="24"/>
    </w:rPr>
  </w:style>
  <w:style w:type="paragraph" w:customStyle="1" w:styleId="105">
    <w:name w:val="彩色底纹 - 强调文字颜色 61"/>
    <w:basedOn w:val="3"/>
    <w:next w:val="1"/>
    <w:autoRedefine/>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6">
    <w:name w:val="样式2"/>
    <w:basedOn w:val="4"/>
    <w:autoRedefine/>
    <w:qFormat/>
    <w:uiPriority w:val="0"/>
    <w:pPr>
      <w:spacing w:line="413" w:lineRule="auto"/>
      <w:jc w:val="left"/>
    </w:pPr>
    <w:rPr>
      <w:rFonts w:ascii="华文中宋" w:hAnsi="华文中宋" w:eastAsia="宋体"/>
      <w:bCs w:val="0"/>
      <w:color w:val="000000"/>
      <w:szCs w:val="20"/>
    </w:rPr>
  </w:style>
  <w:style w:type="paragraph" w:customStyle="1" w:styleId="107">
    <w:name w:val="pa-57"/>
    <w:basedOn w:val="1"/>
    <w:autoRedefine/>
    <w:qFormat/>
    <w:uiPriority w:val="0"/>
    <w:pPr>
      <w:widowControl/>
      <w:spacing w:line="240" w:lineRule="atLeast"/>
      <w:ind w:firstLine="480"/>
    </w:pPr>
    <w:rPr>
      <w:rFonts w:ascii="宋体" w:hAnsi="宋体" w:cs="宋体"/>
      <w:kern w:val="0"/>
      <w:sz w:val="24"/>
    </w:rPr>
  </w:style>
  <w:style w:type="paragraph" w:customStyle="1" w:styleId="108">
    <w:name w:val="Table Paragraph"/>
    <w:basedOn w:val="1"/>
    <w:autoRedefine/>
    <w:qFormat/>
    <w:uiPriority w:val="0"/>
    <w:pPr>
      <w:jc w:val="left"/>
    </w:pPr>
    <w:rPr>
      <w:rFonts w:ascii="Calibri" w:hAnsi="Calibri" w:eastAsia="宋体" w:cs="Times New Roman"/>
      <w:kern w:val="0"/>
      <w:sz w:val="22"/>
      <w:szCs w:val="22"/>
      <w:lang w:eastAsia="en-US"/>
    </w:rPr>
  </w:style>
  <w:style w:type="paragraph" w:styleId="109">
    <w:name w:val="List Paragraph"/>
    <w:basedOn w:val="1"/>
    <w:autoRedefine/>
    <w:qFormat/>
    <w:uiPriority w:val="34"/>
    <w:pPr>
      <w:ind w:firstLine="420" w:firstLineChars="200"/>
    </w:pPr>
    <w:rPr>
      <w:rFonts w:ascii="Calibri" w:hAnsi="Calibri"/>
      <w:szCs w:val="22"/>
    </w:rPr>
  </w:style>
  <w:style w:type="paragraph" w:customStyle="1" w:styleId="110">
    <w:name w:val="标题 31"/>
    <w:basedOn w:val="1"/>
    <w:autoRedefine/>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1">
    <w:name w:val="pa-59"/>
    <w:basedOn w:val="1"/>
    <w:autoRedefine/>
    <w:qFormat/>
    <w:uiPriority w:val="0"/>
    <w:pPr>
      <w:widowControl/>
      <w:spacing w:line="240" w:lineRule="atLeast"/>
      <w:ind w:firstLine="640"/>
    </w:pPr>
    <w:rPr>
      <w:rFonts w:ascii="宋体" w:hAnsi="宋体" w:cs="宋体"/>
      <w:kern w:val="0"/>
      <w:sz w:val="24"/>
    </w:rPr>
  </w:style>
  <w:style w:type="paragraph" w:customStyle="1" w:styleId="112">
    <w:name w:val="WPSOffice手动目录 1"/>
    <w:autoRedefine/>
    <w:qFormat/>
    <w:uiPriority w:val="0"/>
    <w:rPr>
      <w:rFonts w:ascii="Times New Roman" w:hAnsi="Times New Roman" w:eastAsia="宋体" w:cs="Times New Roman"/>
      <w:lang w:val="en-US" w:eastAsia="zh-CN" w:bidi="ar-SA"/>
    </w:rPr>
  </w:style>
  <w:style w:type="paragraph" w:customStyle="1" w:styleId="113">
    <w:name w:val="Heading 2"/>
    <w:basedOn w:val="1"/>
    <w:autoRedefine/>
    <w:qFormat/>
    <w:uiPriority w:val="0"/>
    <w:pPr>
      <w:ind w:left="117"/>
      <w:outlineLvl w:val="2"/>
    </w:pPr>
    <w:rPr>
      <w:rFonts w:ascii="黑体" w:hAnsi="黑体" w:eastAsia="黑体"/>
      <w:b/>
      <w:bCs/>
      <w:sz w:val="32"/>
      <w:szCs w:val="32"/>
    </w:rPr>
  </w:style>
  <w:style w:type="paragraph" w:customStyle="1" w:styleId="114">
    <w:name w:val="List Paragraph1"/>
    <w:basedOn w:val="1"/>
    <w:autoRedefine/>
    <w:qFormat/>
    <w:uiPriority w:val="0"/>
  </w:style>
  <w:style w:type="paragraph" w:customStyle="1" w:styleId="115">
    <w:name w:val="Char Char Char Char"/>
    <w:basedOn w:val="1"/>
    <w:autoRedefine/>
    <w:qFormat/>
    <w:uiPriority w:val="0"/>
    <w:rPr>
      <w:rFonts w:ascii="Tahoma" w:hAnsi="Tahoma"/>
      <w:sz w:val="24"/>
      <w:szCs w:val="20"/>
    </w:rPr>
  </w:style>
  <w:style w:type="paragraph" w:customStyle="1" w:styleId="116">
    <w:name w:val="Char"/>
    <w:basedOn w:val="1"/>
    <w:autoRedefine/>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7">
    <w:name w:val="pa-7"/>
    <w:basedOn w:val="1"/>
    <w:autoRedefine/>
    <w:qFormat/>
    <w:uiPriority w:val="0"/>
    <w:pPr>
      <w:widowControl/>
      <w:spacing w:line="360" w:lineRule="atLeast"/>
      <w:ind w:firstLine="800"/>
    </w:pPr>
    <w:rPr>
      <w:rFonts w:ascii="宋体" w:hAnsi="宋体" w:cs="宋体"/>
      <w:kern w:val="0"/>
      <w:sz w:val="24"/>
    </w:rPr>
  </w:style>
  <w:style w:type="paragraph" w:customStyle="1" w:styleId="118">
    <w:name w:val="Heading 3"/>
    <w:basedOn w:val="1"/>
    <w:autoRedefine/>
    <w:qFormat/>
    <w:uiPriority w:val="0"/>
    <w:pPr>
      <w:spacing w:before="35" w:beforeLines="0"/>
      <w:ind w:left="828"/>
      <w:outlineLvl w:val="3"/>
    </w:pPr>
    <w:rPr>
      <w:rFonts w:ascii="宋体" w:hAnsi="宋体" w:eastAsia="宋体"/>
      <w:b/>
      <w:bCs/>
      <w:sz w:val="24"/>
      <w:szCs w:val="24"/>
    </w:rPr>
  </w:style>
  <w:style w:type="paragraph" w:customStyle="1" w:styleId="119">
    <w:name w:val=" Char"/>
    <w:basedOn w:val="1"/>
    <w:autoRedefine/>
    <w:qFormat/>
    <w:uiPriority w:val="0"/>
    <w:pPr>
      <w:ind w:left="567" w:hanging="283"/>
    </w:pPr>
    <w:rPr>
      <w:rFonts w:ascii="宋体" w:hAnsi="宋体" w:eastAsia="宋体"/>
      <w:kern w:val="2"/>
      <w:sz w:val="28"/>
      <w:szCs w:val="24"/>
      <w:lang w:val="en-US" w:eastAsia="zh-CN" w:bidi="ar-SA"/>
    </w:rPr>
  </w:style>
  <w:style w:type="paragraph" w:customStyle="1" w:styleId="120">
    <w:name w:val="正文_0"/>
    <w:autoRedefine/>
    <w:qFormat/>
    <w:uiPriority w:val="0"/>
    <w:rPr>
      <w:rFonts w:ascii="Times New Roman" w:hAnsi="Times New Roman" w:eastAsia="宋体" w:cs="Times New Roman"/>
      <w:sz w:val="21"/>
      <w:lang w:val="en-US" w:eastAsia="zh-CN" w:bidi="ar-SA"/>
    </w:rPr>
  </w:style>
  <w:style w:type="paragraph" w:customStyle="1" w:styleId="121">
    <w:name w:val="0"/>
    <w:basedOn w:val="1"/>
    <w:autoRedefine/>
    <w:qFormat/>
    <w:uiPriority w:val="0"/>
    <w:pPr>
      <w:widowControl/>
      <w:snapToGrid w:val="0"/>
      <w:spacing w:line="408" w:lineRule="auto"/>
      <w:ind w:left="1"/>
      <w:textAlignment w:val="bottom"/>
    </w:pPr>
    <w:rPr>
      <w:color w:val="000000"/>
      <w:kern w:val="0"/>
      <w:szCs w:val="21"/>
    </w:rPr>
  </w:style>
  <w:style w:type="paragraph" w:customStyle="1" w:styleId="122">
    <w:name w:val="pa-55"/>
    <w:basedOn w:val="1"/>
    <w:autoRedefine/>
    <w:qFormat/>
    <w:uiPriority w:val="0"/>
    <w:pPr>
      <w:widowControl/>
      <w:spacing w:line="240" w:lineRule="atLeast"/>
      <w:ind w:firstLine="420"/>
    </w:pPr>
    <w:rPr>
      <w:rFonts w:ascii="宋体" w:hAnsi="宋体" w:cs="宋体"/>
      <w:kern w:val="0"/>
      <w:sz w:val="24"/>
    </w:rPr>
  </w:style>
  <w:style w:type="paragraph" w:customStyle="1" w:styleId="123">
    <w:name w:val="pa-1"/>
    <w:basedOn w:val="1"/>
    <w:autoRedefine/>
    <w:qFormat/>
    <w:uiPriority w:val="0"/>
    <w:pPr>
      <w:widowControl/>
      <w:spacing w:line="360" w:lineRule="atLeast"/>
      <w:ind w:firstLine="640"/>
    </w:pPr>
    <w:rPr>
      <w:rFonts w:ascii="宋体" w:hAnsi="宋体" w:cs="宋体"/>
      <w:kern w:val="0"/>
      <w:sz w:val="24"/>
    </w:rPr>
  </w:style>
  <w:style w:type="table" w:customStyle="1" w:styleId="124">
    <w:name w:val="Table Normal"/>
    <w:autoRedefine/>
    <w:semiHidden/>
    <w:unhideWhenUsed/>
    <w:qFormat/>
    <w:uiPriority w:val="0"/>
    <w:tblPr>
      <w:tblCellMar>
        <w:top w:w="0" w:type="dxa"/>
        <w:left w:w="0" w:type="dxa"/>
        <w:bottom w:w="0" w:type="dxa"/>
        <w:right w:w="0" w:type="dxa"/>
      </w:tblCellMar>
    </w:tblPr>
  </w:style>
  <w:style w:type="paragraph" w:customStyle="1" w:styleId="125">
    <w:name w:val="Basistekst Batenburg"/>
    <w:basedOn w:val="126"/>
    <w:autoRedefine/>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6">
    <w:name w:val="Zsysbasis Batenburg"/>
    <w:next w:val="125"/>
    <w:autoRedefine/>
    <w:qFormat/>
    <w:uiPriority w:val="0"/>
    <w:pPr>
      <w:spacing w:line="300" w:lineRule="atLeast"/>
    </w:pPr>
    <w:rPr>
      <w:rFonts w:ascii="Calibri" w:hAnsi="Calibri" w:eastAsia="宋体" w:cs="Times New Roman"/>
      <w:sz w:val="22"/>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27962</Words>
  <Characters>29112</Characters>
  <Lines>235</Lines>
  <Paragraphs>66</Paragraphs>
  <TotalTime>0</TotalTime>
  <ScaleCrop>false</ScaleCrop>
  <LinksUpToDate>false</LinksUpToDate>
  <CharactersWithSpaces>32561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APPLE</cp:lastModifiedBy>
  <cp:lastPrinted>2023-10-31T07:47:00Z</cp:lastPrinted>
  <dcterms:modified xsi:type="dcterms:W3CDTF">2024-03-01T01:33:41Z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A36695D2C29F47C2B7AD2F27E0519FD1</vt:lpwstr>
  </property>
</Properties>
</file>