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hint="eastAsia" w:ascii="宋体" w:hAnsi="宋体" w:cs="宋体"/>
          <w:sz w:val="32"/>
          <w:szCs w:val="32"/>
        </w:rPr>
      </w:pPr>
      <w:r>
        <w:rPr>
          <w:rFonts w:hint="eastAsia" w:ascii="宋体" w:hAnsi="宋体" w:cs="宋体"/>
          <w:sz w:val="32"/>
          <w:szCs w:val="32"/>
        </w:rPr>
        <w:t>第四章  采购需求</w:t>
      </w:r>
    </w:p>
    <w:p>
      <w:pPr>
        <w:widowControl/>
        <w:adjustRightInd w:val="0"/>
        <w:spacing w:line="360" w:lineRule="auto"/>
        <w:rPr>
          <w:rFonts w:ascii="宋体" w:hAnsi="宋体"/>
          <w:b/>
          <w:kern w:val="0"/>
          <w:sz w:val="21"/>
          <w:szCs w:val="21"/>
        </w:rPr>
      </w:pPr>
      <w:bookmarkStart w:id="0" w:name="_Toc4426"/>
      <w:bookmarkStart w:id="1" w:name="_Toc374512420"/>
      <w:bookmarkStart w:id="2" w:name="_Toc373230032"/>
      <w:r>
        <w:rPr>
          <w:rFonts w:hint="eastAsia" w:ascii="宋体" w:hAnsi="宋体" w:cs="宋体"/>
          <w:b/>
          <w:sz w:val="21"/>
          <w:szCs w:val="21"/>
        </w:rPr>
        <w:t>一、</w:t>
      </w:r>
      <w:r>
        <w:rPr>
          <w:rFonts w:ascii="宋体" w:hAnsi="宋体"/>
          <w:b/>
          <w:kern w:val="0"/>
          <w:sz w:val="21"/>
          <w:szCs w:val="21"/>
        </w:rPr>
        <w:t>相关说明</w:t>
      </w:r>
    </w:p>
    <w:p>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hint="eastAsia" w:ascii="宋体" w:hAnsi="宋体"/>
          <w:kern w:val="0"/>
          <w:sz w:val="21"/>
          <w:szCs w:val="21"/>
        </w:rPr>
        <w:t>本次采购内容如果要求的某些技术标准低于国家标准，均以最新的国家标准为准。</w:t>
      </w:r>
      <w:r>
        <w:rPr>
          <w:rFonts w:hint="eastAsia" w:ascii="宋体" w:hAnsi="宋体"/>
          <w:kern w:val="0"/>
          <w:sz w:val="21"/>
          <w:szCs w:val="21"/>
          <w:lang w:eastAsia="zh-CN"/>
        </w:rPr>
        <w:t>采购</w:t>
      </w:r>
      <w:r>
        <w:rPr>
          <w:rFonts w:hint="eastAsia" w:ascii="宋体" w:hAnsi="宋体"/>
          <w:kern w:val="0"/>
          <w:sz w:val="21"/>
          <w:szCs w:val="21"/>
        </w:rPr>
        <w:t>技术要求中未明确的技术标准也均不得低于国家标准；</w:t>
      </w:r>
    </w:p>
    <w:p>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ascii="宋体" w:hAnsi="宋体"/>
          <w:kern w:val="0"/>
          <w:sz w:val="21"/>
          <w:szCs w:val="21"/>
        </w:rPr>
        <w:t>本采购项目为交钥匙项目，</w:t>
      </w:r>
      <w:r>
        <w:rPr>
          <w:rFonts w:hint="eastAsia" w:ascii="宋体" w:hAnsi="宋体"/>
          <w:kern w:val="0"/>
          <w:sz w:val="21"/>
          <w:szCs w:val="21"/>
        </w:rPr>
        <w:t>验收合格前</w:t>
      </w:r>
      <w:r>
        <w:rPr>
          <w:rFonts w:ascii="宋体" w:hAnsi="宋体"/>
          <w:kern w:val="0"/>
          <w:sz w:val="21"/>
          <w:szCs w:val="21"/>
        </w:rPr>
        <w:t>所需的一切费用</w:t>
      </w:r>
      <w:r>
        <w:rPr>
          <w:rFonts w:hint="eastAsia" w:ascii="宋体" w:hAnsi="宋体"/>
          <w:kern w:val="0"/>
          <w:sz w:val="21"/>
          <w:szCs w:val="21"/>
        </w:rPr>
        <w:t>均</w:t>
      </w:r>
      <w:r>
        <w:rPr>
          <w:rFonts w:ascii="宋体" w:hAnsi="宋体"/>
          <w:kern w:val="0"/>
          <w:sz w:val="21"/>
          <w:szCs w:val="21"/>
        </w:rPr>
        <w:t>包含在报价之中，采购人不</w:t>
      </w:r>
      <w:r>
        <w:rPr>
          <w:rFonts w:hint="eastAsia" w:ascii="宋体" w:hAnsi="宋体"/>
          <w:kern w:val="0"/>
          <w:sz w:val="21"/>
          <w:szCs w:val="21"/>
        </w:rPr>
        <w:t>承担成交价格以外的</w:t>
      </w:r>
      <w:r>
        <w:rPr>
          <w:rFonts w:ascii="宋体" w:hAnsi="宋体"/>
          <w:kern w:val="0"/>
          <w:sz w:val="21"/>
          <w:szCs w:val="21"/>
        </w:rPr>
        <w:t>任何费用。</w:t>
      </w:r>
    </w:p>
    <w:p>
      <w:pPr>
        <w:spacing w:line="360" w:lineRule="auto"/>
        <w:rPr>
          <w:rFonts w:hint="eastAsia" w:ascii="宋体" w:hAnsi="宋体" w:cs="宋体"/>
          <w:b/>
          <w:sz w:val="21"/>
          <w:szCs w:val="21"/>
        </w:rPr>
      </w:pPr>
      <w:r>
        <w:rPr>
          <w:rFonts w:hint="eastAsia" w:ascii="宋体" w:hAnsi="宋体" w:cs="宋体"/>
          <w:b/>
          <w:sz w:val="21"/>
          <w:szCs w:val="21"/>
          <w:lang w:val="en-US" w:eastAsia="zh-CN"/>
        </w:rPr>
        <w:t>二、</w:t>
      </w:r>
      <w:r>
        <w:rPr>
          <w:rFonts w:hint="eastAsia" w:ascii="宋体" w:hAnsi="宋体" w:cs="宋体"/>
          <w:b/>
          <w:sz w:val="21"/>
          <w:szCs w:val="21"/>
        </w:rPr>
        <w:t>商务要求</w:t>
      </w:r>
    </w:p>
    <w:p>
      <w:pPr>
        <w:numPr>
          <w:ilvl w:val="2"/>
          <w:numId w:val="0"/>
        </w:numPr>
        <w:spacing w:line="360" w:lineRule="auto"/>
        <w:ind w:left="0" w:leftChars="0" w:firstLine="420" w:firstLineChars="200"/>
        <w:rPr>
          <w:rFonts w:hint="eastAsia" w:ascii="宋体" w:hAnsi="宋体" w:eastAsia="宋体"/>
          <w:color w:val="auto"/>
          <w:sz w:val="21"/>
          <w:szCs w:val="21"/>
          <w:lang w:eastAsia="zh-CN"/>
        </w:rPr>
      </w:pPr>
      <w:r>
        <w:rPr>
          <w:rFonts w:hint="default" w:ascii="宋体" w:hAnsi="宋体" w:eastAsia="宋体" w:cs="宋体"/>
          <w:color w:val="auto"/>
          <w:kern w:val="2"/>
          <w:sz w:val="21"/>
          <w:szCs w:val="21"/>
          <w:lang w:val="en-US" w:eastAsia="zh-CN" w:bidi="ar-SA"/>
        </w:rPr>
        <w:t>1.</w:t>
      </w:r>
      <w:r>
        <w:rPr>
          <w:rFonts w:hint="eastAsia" w:ascii="宋体" w:hAnsi="宋体"/>
          <w:color w:val="auto"/>
          <w:sz w:val="21"/>
          <w:szCs w:val="21"/>
        </w:rPr>
        <w:t>合同履行期限：</w:t>
      </w:r>
      <w:r>
        <w:rPr>
          <w:rFonts w:hint="eastAsia" w:ascii="宋体" w:hAnsi="宋体"/>
          <w:color w:val="auto"/>
          <w:sz w:val="21"/>
          <w:szCs w:val="21"/>
          <w:lang w:eastAsia="zh-CN"/>
        </w:rPr>
        <w:t>30日历天；</w:t>
      </w:r>
      <w:bookmarkStart w:id="3" w:name="_GoBack"/>
      <w:bookmarkEnd w:id="3"/>
    </w:p>
    <w:p>
      <w:pPr>
        <w:numPr>
          <w:ilvl w:val="2"/>
          <w:numId w:val="0"/>
        </w:numPr>
        <w:spacing w:line="360" w:lineRule="auto"/>
        <w:ind w:left="0" w:leftChars="0" w:firstLine="420" w:firstLineChars="200"/>
        <w:rPr>
          <w:rFonts w:hint="eastAsia" w:ascii="宋体" w:hAnsi="宋体" w:eastAsia="宋体"/>
          <w:color w:val="auto"/>
          <w:sz w:val="21"/>
          <w:szCs w:val="21"/>
          <w:lang w:eastAsia="zh-CN"/>
        </w:rPr>
      </w:pPr>
      <w:r>
        <w:rPr>
          <w:rFonts w:hint="default" w:ascii="宋体" w:hAnsi="宋体" w:eastAsia="宋体" w:cs="宋体"/>
          <w:color w:val="auto"/>
          <w:kern w:val="2"/>
          <w:sz w:val="21"/>
          <w:szCs w:val="21"/>
          <w:lang w:val="en-US" w:eastAsia="zh-CN" w:bidi="ar-SA"/>
        </w:rPr>
        <w:t>2.</w:t>
      </w:r>
      <w:r>
        <w:rPr>
          <w:rFonts w:hint="eastAsia" w:ascii="宋体" w:hAnsi="宋体"/>
          <w:color w:val="auto"/>
          <w:sz w:val="21"/>
          <w:szCs w:val="21"/>
        </w:rPr>
        <w:t>供货</w:t>
      </w:r>
      <w:r>
        <w:rPr>
          <w:rFonts w:hint="eastAsia" w:ascii="宋体" w:hAnsi="宋体"/>
          <w:color w:val="auto"/>
          <w:sz w:val="21"/>
          <w:szCs w:val="21"/>
          <w:lang w:eastAsia="zh-CN"/>
        </w:rPr>
        <w:t>（服务）</w:t>
      </w:r>
      <w:r>
        <w:rPr>
          <w:rFonts w:hint="eastAsia" w:ascii="宋体" w:hAnsi="宋体"/>
          <w:color w:val="auto"/>
          <w:sz w:val="21"/>
          <w:szCs w:val="21"/>
        </w:rPr>
        <w:t>地点：武陟县公安局</w:t>
      </w:r>
      <w:r>
        <w:rPr>
          <w:rFonts w:hint="eastAsia" w:ascii="宋体" w:hAnsi="宋体"/>
          <w:color w:val="auto"/>
          <w:sz w:val="21"/>
          <w:szCs w:val="21"/>
          <w:lang w:eastAsia="zh-CN"/>
        </w:rPr>
        <w:t>；</w:t>
      </w:r>
    </w:p>
    <w:p>
      <w:pPr>
        <w:numPr>
          <w:ilvl w:val="2"/>
          <w:numId w:val="0"/>
        </w:numPr>
        <w:spacing w:line="360" w:lineRule="auto"/>
        <w:ind w:left="0" w:leftChars="0" w:firstLine="420" w:firstLineChars="200"/>
        <w:rPr>
          <w:rFonts w:hint="eastAsia" w:ascii="宋体" w:hAnsi="宋体" w:eastAsia="宋体"/>
          <w:color w:val="auto"/>
          <w:sz w:val="21"/>
          <w:szCs w:val="21"/>
          <w:lang w:eastAsia="zh-CN"/>
        </w:rPr>
      </w:pPr>
      <w:r>
        <w:rPr>
          <w:rFonts w:hint="default" w:ascii="宋体" w:hAnsi="宋体" w:eastAsia="宋体" w:cs="宋体"/>
          <w:color w:val="auto"/>
          <w:kern w:val="2"/>
          <w:sz w:val="21"/>
          <w:szCs w:val="21"/>
          <w:lang w:val="en-US" w:eastAsia="zh-CN" w:bidi="ar-SA"/>
        </w:rPr>
        <w:t>3.</w:t>
      </w:r>
      <w:r>
        <w:rPr>
          <w:rFonts w:hint="eastAsia" w:ascii="宋体" w:hAnsi="宋体"/>
          <w:color w:val="auto"/>
          <w:sz w:val="21"/>
          <w:szCs w:val="21"/>
        </w:rPr>
        <w:t>质量标准：符合或高于国家现行标准</w:t>
      </w:r>
      <w:r>
        <w:rPr>
          <w:rFonts w:hint="eastAsia" w:ascii="宋体" w:hAnsi="宋体"/>
          <w:color w:val="auto"/>
          <w:sz w:val="21"/>
          <w:szCs w:val="21"/>
          <w:lang w:eastAsia="zh-CN"/>
        </w:rPr>
        <w:t>；</w:t>
      </w:r>
    </w:p>
    <w:p>
      <w:pPr>
        <w:numPr>
          <w:ilvl w:val="2"/>
          <w:numId w:val="0"/>
        </w:numPr>
        <w:spacing w:line="360" w:lineRule="auto"/>
        <w:ind w:left="0" w:leftChars="0" w:firstLine="420" w:firstLineChars="200"/>
        <w:rPr>
          <w:rFonts w:hint="eastAsia" w:ascii="宋体" w:hAnsi="宋体" w:eastAsia="宋体" w:cs="Times New Roman"/>
          <w:color w:val="auto"/>
          <w:sz w:val="21"/>
          <w:szCs w:val="21"/>
          <w:lang w:eastAsia="zh-CN"/>
        </w:rPr>
      </w:pPr>
      <w:r>
        <w:rPr>
          <w:rFonts w:hint="eastAsia" w:ascii="宋体" w:hAnsi="宋体" w:eastAsia="宋体" w:cs="宋体"/>
          <w:color w:val="auto"/>
          <w:kern w:val="2"/>
          <w:sz w:val="21"/>
          <w:szCs w:val="21"/>
          <w:lang w:val="en-US" w:eastAsia="zh-CN" w:bidi="ar-SA"/>
        </w:rPr>
        <w:t>4</w:t>
      </w:r>
      <w:r>
        <w:rPr>
          <w:rFonts w:hint="default" w:ascii="宋体" w:hAnsi="宋体" w:eastAsia="宋体" w:cs="宋体"/>
          <w:color w:val="auto"/>
          <w:kern w:val="2"/>
          <w:sz w:val="21"/>
          <w:szCs w:val="21"/>
          <w:lang w:val="en-US" w:eastAsia="zh-CN" w:bidi="ar-SA"/>
        </w:rPr>
        <w:t>.</w:t>
      </w:r>
      <w:r>
        <w:rPr>
          <w:rFonts w:hint="eastAsia" w:ascii="宋体" w:hAnsi="宋体"/>
          <w:color w:val="auto"/>
          <w:sz w:val="21"/>
          <w:szCs w:val="21"/>
        </w:rPr>
        <w:t>付款方式：</w:t>
      </w:r>
      <w:r>
        <w:rPr>
          <w:rFonts w:hint="eastAsia" w:ascii="宋体" w:hAnsi="宋体" w:eastAsia="宋体" w:cs="Times New Roman"/>
          <w:color w:val="auto"/>
          <w:sz w:val="21"/>
          <w:szCs w:val="21"/>
        </w:rPr>
        <w:t>设备安装调试完毕验收合格后一次性支付合同总价款</w:t>
      </w:r>
      <w:r>
        <w:rPr>
          <w:rFonts w:hint="eastAsia" w:ascii="宋体" w:hAnsi="宋体" w:eastAsia="宋体" w:cs="Times New Roman"/>
          <w:color w:val="auto"/>
          <w:sz w:val="21"/>
          <w:szCs w:val="21"/>
          <w:lang w:eastAsia="zh-CN"/>
        </w:rPr>
        <w:t>。</w:t>
      </w:r>
    </w:p>
    <w:p>
      <w:pPr>
        <w:pStyle w:val="2"/>
        <w:rPr>
          <w:rFonts w:hint="eastAsia" w:ascii="宋体" w:hAnsi="宋体"/>
          <w:b/>
          <w:bCs/>
          <w:kern w:val="0"/>
          <w:sz w:val="21"/>
          <w:szCs w:val="21"/>
          <w:lang w:eastAsia="zh-CN" w:bidi="ar"/>
        </w:rPr>
      </w:pPr>
      <w:r>
        <w:rPr>
          <w:rFonts w:hint="eastAsia" w:ascii="宋体" w:hAnsi="宋体" w:eastAsia="宋体" w:cs="Times New Roman"/>
          <w:color w:val="auto"/>
          <w:szCs w:val="21"/>
          <w:lang w:val="en-US" w:eastAsia="zh-CN"/>
        </w:rPr>
        <w:t xml:space="preserve"> </w:t>
      </w:r>
      <w:r>
        <w:rPr>
          <w:rFonts w:hint="eastAsia" w:ascii="宋体" w:hAnsi="宋体"/>
          <w:b/>
          <w:bCs/>
          <w:kern w:val="0"/>
          <w:sz w:val="21"/>
          <w:szCs w:val="21"/>
          <w:lang w:eastAsia="zh-CN" w:bidi="ar"/>
        </w:rPr>
        <w:t>三、其他要求：</w:t>
      </w:r>
    </w:p>
    <w:p>
      <w:pPr>
        <w:spacing w:line="440" w:lineRule="exact"/>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）履约验收时间：设备安装调试完毕后一周内。</w:t>
      </w:r>
    </w:p>
    <w:p>
      <w:pPr>
        <w:spacing w:line="440" w:lineRule="exact"/>
        <w:ind w:firstLine="420" w:firstLineChars="20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）履约验收方式：现场验收</w:t>
      </w:r>
      <w:r>
        <w:rPr>
          <w:rFonts w:hint="eastAsia" w:ascii="Times New Roman" w:hAnsi="Times New Roman" w:eastAsia="宋体" w:cs="Times New Roman"/>
          <w:color w:val="auto"/>
          <w:sz w:val="21"/>
          <w:szCs w:val="21"/>
          <w:lang w:eastAsia="zh-CN"/>
        </w:rPr>
        <w:t>。</w:t>
      </w:r>
    </w:p>
    <w:p>
      <w:pPr>
        <w:spacing w:line="440" w:lineRule="exact"/>
        <w:ind w:firstLine="420" w:firstLineChars="20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）履约验收程序：根据采购人规定程序进行验收</w:t>
      </w:r>
      <w:r>
        <w:rPr>
          <w:rFonts w:hint="eastAsia" w:ascii="Times New Roman" w:hAnsi="Times New Roman" w:eastAsia="宋体" w:cs="Times New Roman"/>
          <w:color w:val="auto"/>
          <w:sz w:val="21"/>
          <w:szCs w:val="21"/>
          <w:lang w:eastAsia="zh-CN"/>
        </w:rPr>
        <w:t>。</w:t>
      </w:r>
    </w:p>
    <w:p>
      <w:pPr>
        <w:spacing w:line="440" w:lineRule="exact"/>
        <w:ind w:firstLine="420" w:firstLineChars="20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）履约验收内容：本次采购项目所包含的全部内容</w:t>
      </w:r>
      <w:r>
        <w:rPr>
          <w:rFonts w:hint="eastAsia" w:ascii="Times New Roman" w:hAnsi="Times New Roman" w:eastAsia="宋体" w:cs="Times New Roman"/>
          <w:color w:val="auto"/>
          <w:sz w:val="21"/>
          <w:szCs w:val="21"/>
          <w:lang w:eastAsia="zh-CN"/>
        </w:rPr>
        <w:t>。</w:t>
      </w:r>
    </w:p>
    <w:p>
      <w:pPr>
        <w:spacing w:line="440" w:lineRule="exact"/>
        <w:ind w:firstLine="420" w:firstLineChars="20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）履约验收标准：按招标文件规定执行或按照采购人规定标准执行</w:t>
      </w:r>
      <w:r>
        <w:rPr>
          <w:rFonts w:hint="eastAsia" w:ascii="Times New Roman" w:hAnsi="Times New Roman" w:eastAsia="宋体" w:cs="Times New Roman"/>
          <w:color w:val="auto"/>
          <w:sz w:val="21"/>
          <w:szCs w:val="21"/>
          <w:lang w:eastAsia="zh-CN"/>
        </w:rPr>
        <w:t>。</w:t>
      </w:r>
    </w:p>
    <w:p>
      <w:pPr>
        <w:spacing w:line="360" w:lineRule="auto"/>
        <w:rPr>
          <w:rFonts w:hint="eastAsia" w:ascii="宋体" w:hAnsi="宋体" w:cs="宋体"/>
          <w:b/>
          <w:sz w:val="21"/>
          <w:szCs w:val="21"/>
        </w:rPr>
      </w:pPr>
      <w:r>
        <w:rPr>
          <w:rFonts w:hint="eastAsia" w:ascii="宋体" w:hAnsi="宋体" w:cs="宋体"/>
          <w:b/>
          <w:sz w:val="21"/>
          <w:szCs w:val="21"/>
          <w:lang w:eastAsia="zh-CN"/>
        </w:rPr>
        <w:t>四</w:t>
      </w:r>
      <w:r>
        <w:rPr>
          <w:rFonts w:hint="eastAsia" w:ascii="宋体" w:hAnsi="宋体" w:cs="宋体"/>
          <w:b/>
          <w:sz w:val="21"/>
          <w:szCs w:val="21"/>
        </w:rPr>
        <w:t>、采购内容及技术要求</w:t>
      </w:r>
    </w:p>
    <w:p>
      <w:pPr>
        <w:spacing w:line="440" w:lineRule="exact"/>
        <w:ind w:firstLine="420" w:firstLineChars="200"/>
        <w:rPr>
          <w:rFonts w:hint="eastAsia"/>
          <w:b/>
          <w:bCs/>
          <w:color w:val="auto"/>
          <w:sz w:val="21"/>
          <w:szCs w:val="21"/>
        </w:rPr>
      </w:pPr>
      <w:r>
        <w:rPr>
          <w:rFonts w:hint="eastAsia"/>
          <w:color w:val="auto"/>
          <w:sz w:val="21"/>
          <w:szCs w:val="21"/>
        </w:rPr>
        <w:t>本项目采购内容、数量及其有关技术要求如下：</w:t>
      </w:r>
      <w:r>
        <w:rPr>
          <w:rFonts w:hint="eastAsia"/>
          <w:b/>
          <w:bCs/>
          <w:color w:val="auto"/>
          <w:sz w:val="21"/>
          <w:szCs w:val="21"/>
          <w:u w:val="single"/>
        </w:rPr>
        <w:t xml:space="preserve">                     </w:t>
      </w:r>
    </w:p>
    <w:bookmarkEnd w:id="0"/>
    <w:bookmarkEnd w:id="1"/>
    <w:bookmarkEnd w:id="2"/>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767"/>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83" w:type="pct"/>
            <w:noWrap w:val="0"/>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3900" w:type="pct"/>
            <w:noWrap w:val="0"/>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技术要求</w:t>
            </w:r>
          </w:p>
        </w:tc>
        <w:tc>
          <w:tcPr>
            <w:tcW w:w="716" w:type="pct"/>
            <w:noWrap w:val="0"/>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83" w:type="pc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r>
              <w:rPr>
                <w:rFonts w:hint="eastAsia"/>
                <w:vertAlign w:val="baseline"/>
                <w:lang w:val="en-US" w:eastAsia="zh-CN"/>
              </w:rPr>
              <w:t>武陟县公安局工痕足迹设备升级改造项目</w:t>
            </w:r>
          </w:p>
        </w:tc>
        <w:tc>
          <w:tcPr>
            <w:tcW w:w="390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主设备一：生物力学特征分析系统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1.系统可提供静态、动态、稳定性足底压力测试；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2.设备通过USB 接口连接电脑进行数据传输，无需外接电源；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3.单次测试可记录和保存至少40组步态数据，并可任意调用每一组数据；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4.压力感应类型：压阻式传感元件；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压力测量板为一体式高度设计，外轮廓尺寸最大厚度≤20mm，最大长度≤1810mm，最大宽度≤510mm可以嵌入地板或硬质地面中使用，与地面完全一平，没有任何高出地面的突起。（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6.传感器宽度≥500 mm,传感器长度≥1800mm；（需提供本项目名称水印的软件功能截图）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7.压力测量板最大采样频率≥500Hz,最大测力范围≥100N/cm2；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8.精度：士5%，磁滞性：≤3%；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9.压力测量板采样频率可调，用户可根据测试需要自定义采样频率设置16、50、100、200、300、400、500 Hz；（需提供本项目名称水印的软件功能截图）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10.压力测量数据每个平方厘米不低于4个，压力数据点总数：≥36000；（需提供本项目名称水印的软件功能截图）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11.系统支持视频摄像同步使用，支持视频解析软件功能；支持红外动作捕捉系统传输同步输入/输出；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12.采集设备支持多规格定焦镜头、变焦镜头；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13.支持多种采样频率，最大可在1624*1240下达50fps；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14.支持自动或手动调节增益和曝光时间，支持手动调节LUT和Gamma校正；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15.工作站CPU：不低于Intel i7；显存不小于6G ；内存不小于16G；固态硬盘不小于512G；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16.支持数据实时传输和存储；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17.可拓展接多路视频信号；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18.系统利用人工智能图像识别技术，可以在不贴marker或穿戴传感器的情况下，可对空间内运动人体进行自动识别；</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19.系统支持平衡分析功能，支持单脚/双脚、光脚/穿鞋等多种测试条件的平衡测定，可自动计算获得包括重心椭圆面积、椭圆倾角、椭圆离心度等指标；（需提供本项目名称水印的软件功能截图）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20.系统支持身体姿态分析与人体形态学姿态分析测量；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21.人员信息管理、测试数据管理；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22.支持数据导出、报告打印功能；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23.动态测量分析：自动识别左脚步态和右脚步态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24.每个步态的时间、足印长度、接触面积、平均压力、最大压力、足角度；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25.提供压力分布的图像，压力、压强、冲量曲线和动态变化的影像回放；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26.每个步态的压力中心轨迹、整体步态的压力中心左右脚各自步态的内外侧受力比例、前后侧受力比例、后跟内外侧受力比例；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27.系统支持左右足步态着地期、支撑期、蹬伸期、离地期，时间与百分比在同一窗口对比显示；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28.系统支持左右足在初始着地期、承重反应期、支撑相中期、支撑相末期、摆动前期在同一窗口比对显示，并有标准值对比；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29.足底8个区域自动分区与10个区域自动分区2种分区模式且可以自主切换，以及各自的受力曲线等指标；（需提供本项目名称水印的软件功能截图）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30.系统自动给出受试者的足弓指数，直接判断受试者是高足弓，正常足弓，扁平足弓，并以报告的形式可以打印；（需提供本项目名称水印的软件功能截图）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31.支持显示和导出每个传感元件探测的压力数值至Excel；（需提供本项目名称水印的软件功能截图）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32.每侧每个步态的压力时间曲线及分区曲线的数据导出；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系统可以对步态周期自动划分及计算每阶段时间、最大负荷百分比、接触面积和移动速度，自动生成足底最大压强点及冲量点的数值及位置报告，并对每个足印的最大压强及冲量点的前三个区域做位置与数值的标注；（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34.系统提供步态分析运动学参数:步态线、步长、步宽、足偏角、步频、步数、压力线；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35.系统提供步态周期支撑相、双支撑相、摆动相时间数据及曲线；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36.系统提供动力学参数：足底压力分布，重心分布，压力分区等；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系统提供前掌平均压强峰值、后跟平均压强峰值、全脚平均压强峰值、前掌平均压强冲量、后跟平均压强冲量、全脚平均压强冲量、前掌相对平均压强峰值、后跟相对平均压强峰值、前掌相对平均压强冲量、后跟相对平均压强冲量、左脚相对平均压强峰值、右脚相对平均压强峰值、左脚相对平均压强冲量、右脚相对平均压强冲量；（需提供本项目名称水印的软件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主设备二：智能足迹勘查系统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外形尺寸：长*宽*高：≤290mm*161mm*261mm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2.手机拍摄杆伸展尺寸：长*宽*高：≤695mm*161mm*337mm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3.重量：≤3.5kg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4.掠射光源功率：≥50w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5.漫反射光源功率：≥15w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6.勘察光源功率：≥10w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7.掠射光源光通量：≤5600Lm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8.勘察光源光通量:≤1000Lm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9.漫反射光源光通量：≤1600Lm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10.掠射光源色温≥7000K</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11.漫反射光源色温≥7000K</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12.勘察光源色温≥7000K</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13.勘察光源峰值波长：450nm、530nm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14.勘察光源波长半宽≥20nm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15.漫反射光源发散角：X方向≥50°*Y方向≥50°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16.勘察光源发散角≥20°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17.掠射光源发散角：X方向≥50°*Y方向≥15°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18.0.5m处漫反射光源光斑大小：500mm*350mm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19.0.5m处掠射光源光斑大小：500mm*150mm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20.0.5m处勘察光源光斑大小≥φ140mm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21.光源寿命：≥50000小时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22.勘察光源光斑均匀度：≥85%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23.漫反射光源续航时间≥连续使用5h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24.勘察光源续航时间≥连续使用6h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25.掠射光源续航时间≥连续使用1.5h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26.电池容量≥6800mA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27.充电时间≤3h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28.电量显示：库仑计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29.电源充电器：16.8V；3A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30.交流电源：AC220V；50HZ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31.后端升降：可升降0-30mm，改变输出光角度。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32.通讯方式：蓝牙4.0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33.防水防尘等级：IP44</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34.足迹显现：疑难、灰尘足迹极速显现、极速反馈；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35.功能交互：足迹增强，可为算法提供必要的掠射与漫反射光源作为输入，完成现场足迹背景减弱功能</w:t>
            </w:r>
            <w:r>
              <w:rPr>
                <w:rFonts w:hint="eastAsia" w:ascii="宋体" w:hAnsi="宋体" w:cs="宋体"/>
                <w:sz w:val="21"/>
                <w:szCs w:val="21"/>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36.数据</w:t>
            </w:r>
            <w:r>
              <w:rPr>
                <w:rFonts w:hint="eastAsia" w:ascii="宋体" w:hAnsi="宋体" w:cs="宋体"/>
                <w:sz w:val="21"/>
                <w:szCs w:val="21"/>
                <w:lang w:val="en-US" w:eastAsia="zh-CN"/>
              </w:rPr>
              <w:t>查询</w:t>
            </w:r>
            <w:r>
              <w:rPr>
                <w:rFonts w:hint="eastAsia" w:ascii="宋体" w:hAnsi="宋体" w:eastAsia="宋体" w:cs="宋体"/>
                <w:sz w:val="21"/>
                <w:szCs w:val="21"/>
                <w:lang w:val="en-US" w:eastAsia="zh-CN"/>
              </w:rPr>
              <w:t>：为保证设备正常运行，采集足迹数据</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河南省公安厅足迹系统无缝</w:t>
            </w:r>
            <w:r>
              <w:rPr>
                <w:rFonts w:hint="eastAsia" w:ascii="宋体" w:hAnsi="宋体" w:cs="宋体"/>
                <w:sz w:val="21"/>
                <w:szCs w:val="21"/>
                <w:lang w:val="en-US" w:eastAsia="zh-CN"/>
              </w:rPr>
              <w:t>对接</w:t>
            </w:r>
            <w:r>
              <w:rPr>
                <w:rFonts w:hint="eastAsia" w:ascii="宋体" w:hAnsi="宋体" w:eastAsia="宋体" w:cs="宋体"/>
                <w:sz w:val="21"/>
                <w:szCs w:val="21"/>
                <w:lang w:val="en-US" w:eastAsia="zh-CN"/>
              </w:rPr>
              <w:t>，完成</w:t>
            </w:r>
            <w:r>
              <w:rPr>
                <w:rFonts w:hint="eastAsia" w:ascii="宋体" w:hAnsi="宋体" w:cs="宋体"/>
                <w:sz w:val="21"/>
                <w:szCs w:val="21"/>
                <w:lang w:val="en-US" w:eastAsia="zh-CN"/>
              </w:rPr>
              <w:t>查询应用</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需提供与河南省公安厅足迹系统无缝对接承诺</w:t>
            </w:r>
            <w:r>
              <w:rPr>
                <w:rFonts w:hint="eastAsia" w:ascii="宋体" w:hAnsi="宋体" w:cs="宋体"/>
                <w:sz w:val="21"/>
                <w:szCs w:val="21"/>
                <w:lang w:val="en-US" w:eastAsia="zh-CN"/>
              </w:rPr>
              <w:t>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37.</w:t>
            </w:r>
            <w:r>
              <w:rPr>
                <w:rFonts w:hint="eastAsia" w:ascii="宋体" w:hAnsi="宋体" w:cs="宋体"/>
                <w:sz w:val="21"/>
                <w:szCs w:val="21"/>
                <w:lang w:val="en-US" w:eastAsia="zh-CN"/>
              </w:rPr>
              <w:t>配备移动端APP与主设备二自动连接，可以在案件现场快速进行足迹查询与分析，自动去除足迹背景，提高足迹数据查询的准确率。在移动端APP上</w:t>
            </w:r>
            <w:r>
              <w:rPr>
                <w:rFonts w:hint="eastAsia" w:ascii="宋体" w:hAnsi="宋体" w:eastAsia="宋体" w:cs="宋体"/>
                <w:vertAlign w:val="baseline"/>
                <w:lang w:val="en-US" w:eastAsia="zh-CN"/>
              </w:rPr>
              <w:t>查询:包含查询鞋样本，包含图片，材质，尺寸，价格等基本信息</w:t>
            </w:r>
            <w:r>
              <w:rPr>
                <w:rFonts w:hint="eastAsia" w:ascii="宋体" w:hAnsi="宋体" w:cs="宋体"/>
                <w:vertAlign w:val="baseline"/>
                <w:lang w:val="en-US" w:eastAsia="zh-CN"/>
              </w:rPr>
              <w:t>。</w:t>
            </w:r>
            <w:r>
              <w:rPr>
                <w:rFonts w:hint="eastAsia" w:ascii="宋体" w:hAnsi="宋体" w:eastAsia="宋体" w:cs="宋体"/>
                <w:sz w:val="21"/>
                <w:szCs w:val="21"/>
                <w:highlight w:val="none"/>
                <w:lang w:eastAsia="zh-CN"/>
              </w:rPr>
              <w:t>（需提供本项目名称水印的</w:t>
            </w:r>
            <w:r>
              <w:rPr>
                <w:rFonts w:hint="eastAsia" w:ascii="宋体" w:hAnsi="宋体" w:cs="宋体"/>
                <w:sz w:val="21"/>
                <w:szCs w:val="21"/>
                <w:highlight w:val="none"/>
                <w:lang w:val="en-US" w:eastAsia="zh-CN"/>
              </w:rPr>
              <w:t>APP</w:t>
            </w:r>
            <w:r>
              <w:rPr>
                <w:rFonts w:hint="eastAsia" w:ascii="宋体" w:hAnsi="宋体" w:eastAsia="宋体" w:cs="宋体"/>
                <w:sz w:val="21"/>
                <w:szCs w:val="21"/>
                <w:highlight w:val="none"/>
                <w:lang w:eastAsia="zh-CN"/>
              </w:rPr>
              <w:t>功能截图）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38.查询方式:提供自动查询及委托查询两种查询方式</w:t>
            </w:r>
            <w:r>
              <w:rPr>
                <w:rFonts w:hint="eastAsia" w:ascii="宋体" w:hAnsi="宋体" w:cs="宋体"/>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主设备</w:t>
            </w:r>
            <w:r>
              <w:rPr>
                <w:rFonts w:hint="eastAsia" w:ascii="宋体" w:hAnsi="宋体" w:cs="宋体"/>
                <w:sz w:val="21"/>
                <w:szCs w:val="21"/>
                <w:vertAlign w:val="baseline"/>
                <w:lang w:val="en-US" w:eastAsia="zh-CN"/>
              </w:rPr>
              <w:t>三</w:t>
            </w:r>
            <w:r>
              <w:rPr>
                <w:rFonts w:hint="eastAsia" w:ascii="宋体" w:hAnsi="宋体" w:eastAsia="宋体" w:cs="宋体"/>
                <w:sz w:val="21"/>
                <w:szCs w:val="21"/>
                <w:vertAlign w:val="baseline"/>
                <w:lang w:val="en-US" w:eastAsia="zh-CN"/>
              </w:rPr>
              <w:t>：实验室改造及工具检验台</w:t>
            </w:r>
          </w:p>
          <w:p>
            <w:pPr>
              <w:pStyle w:val="13"/>
              <w:numPr>
                <w:ilvl w:val="0"/>
                <w:numId w:val="0"/>
              </w:numPr>
              <w:jc w:val="both"/>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凸起平面足迹步道</w:t>
            </w:r>
            <w:r>
              <w:rPr>
                <w:rFonts w:hint="eastAsia" w:hAnsi="宋体" w:cs="宋体"/>
                <w:color w:val="auto"/>
                <w:kern w:val="2"/>
                <w:sz w:val="21"/>
                <w:szCs w:val="21"/>
                <w:highlight w:val="none"/>
                <w:lang w:val="en-US" w:eastAsia="zh-CN" w:bidi="ar-SA"/>
              </w:rPr>
              <w:t>：多种模拟客体（如细沙客体、皮革客体、木地板客体等）；</w:t>
            </w:r>
          </w:p>
          <w:p>
            <w:pPr>
              <w:pStyle w:val="14"/>
              <w:widowControl w:val="0"/>
              <w:numPr>
                <w:ilvl w:val="0"/>
                <w:numId w:val="0"/>
              </w:numPr>
              <w:ind w:left="0" w:leftChars="0" w:firstLine="0" w:firstLineChars="0"/>
              <w:jc w:val="both"/>
              <w:rPr>
                <w:rFonts w:hint="eastAsia"/>
                <w:kern w:val="2"/>
                <w:sz w:val="21"/>
                <w:lang w:val="en-US" w:eastAsia="zh-CN" w:bidi="ar-SA"/>
              </w:rPr>
            </w:pPr>
            <w:r>
              <w:rPr>
                <w:rFonts w:hint="eastAsia"/>
                <w:lang w:val="en-US" w:eastAsia="zh-CN"/>
              </w:rPr>
              <w:t>2.实验室整体装修：包含科研区域地面处理、设备配套强弱电铺设及定制工具检验台。</w:t>
            </w:r>
          </w:p>
        </w:tc>
        <w:tc>
          <w:tcPr>
            <w:tcW w:w="716" w:type="pct"/>
            <w:noWrap w:val="0"/>
            <w:vAlign w:val="top"/>
          </w:tcPr>
          <w:p>
            <w:pPr>
              <w:pStyle w:val="14"/>
              <w:widowControl w:val="0"/>
              <w:numPr>
                <w:ilvl w:val="0"/>
                <w:numId w:val="0"/>
              </w:numPr>
              <w:jc w:val="both"/>
              <w:rPr>
                <w:rFonts w:hint="eastAsia" w:ascii="宋体" w:hAnsi="宋体" w:eastAsia="宋体" w:cs="宋体"/>
                <w:sz w:val="21"/>
                <w:szCs w:val="21"/>
                <w:lang w:val="en-US" w:eastAsia="zh-CN"/>
              </w:rPr>
            </w:pPr>
          </w:p>
          <w:p>
            <w:pPr>
              <w:pStyle w:val="7"/>
              <w:ind w:left="0" w:leftChars="0" w:firstLine="0" w:firstLineChars="0"/>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一套</w:t>
            </w:r>
          </w:p>
        </w:tc>
      </w:tr>
    </w:tbl>
    <w:p>
      <w:pPr>
        <w:rPr>
          <w:rFonts w:hint="eastAsia" w:ascii="宋体" w:hAnsi="宋体" w:cs="宋体"/>
          <w:sz w:val="32"/>
          <w:szCs w:val="32"/>
        </w:rPr>
      </w:pPr>
    </w:p>
    <w:p>
      <w:pPr>
        <w:pStyle w:val="2"/>
        <w:rPr>
          <w:rFonts w:hint="eastAsia" w:ascii="宋体" w:hAnsi="宋体" w:cs="宋体"/>
          <w:sz w:val="32"/>
          <w:szCs w:val="32"/>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NThkNzM0OTQzNzMwYTQ1YzljYjcyY2I4NzM1NTgifQ=="/>
  </w:docVars>
  <w:rsids>
    <w:rsidRoot w:val="62EA6D3C"/>
    <w:rsid w:val="0480564E"/>
    <w:rsid w:val="0814129B"/>
    <w:rsid w:val="10C8509E"/>
    <w:rsid w:val="31DE58DC"/>
    <w:rsid w:val="39A147F1"/>
    <w:rsid w:val="3C5E539B"/>
    <w:rsid w:val="48DC7713"/>
    <w:rsid w:val="564C46D4"/>
    <w:rsid w:val="62EA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500" w:beforeLines="0" w:after="500" w:afterLines="0" w:line="578" w:lineRule="auto"/>
      <w:jc w:val="center"/>
      <w:outlineLvl w:val="0"/>
    </w:pPr>
    <w:rPr>
      <w:b/>
      <w:bCs/>
      <w:kern w:val="44"/>
      <w:sz w:val="44"/>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numPr>
        <w:ilvl w:val="0"/>
        <w:numId w:val="0"/>
      </w:numPr>
      <w:spacing w:after="120" w:afterLines="0"/>
    </w:pPr>
  </w:style>
  <w:style w:type="paragraph" w:styleId="3">
    <w:name w:val="Body Text Indent"/>
    <w:basedOn w:val="1"/>
    <w:uiPriority w:val="0"/>
  </w:style>
  <w:style w:type="paragraph" w:styleId="6">
    <w:name w:val="Body Text"/>
    <w:basedOn w:val="1"/>
    <w:uiPriority w:val="0"/>
    <w:pPr>
      <w:spacing w:after="120" w:afterLines="0" w:afterAutospacing="0"/>
    </w:pPr>
  </w:style>
  <w:style w:type="paragraph" w:styleId="7">
    <w:name w:val="Date"/>
    <w:basedOn w:val="1"/>
    <w:next w:val="1"/>
    <w:qFormat/>
    <w:uiPriority w:val="0"/>
    <w:pPr>
      <w:ind w:left="100" w:leftChars="2500"/>
    </w:pPr>
    <w:rPr>
      <w:rFonts w:ascii="宋体" w:hAnsi="宋体"/>
      <w:sz w:val="28"/>
    </w:rPr>
  </w:style>
  <w:style w:type="paragraph" w:styleId="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Char Char10 Char Char Char Char"/>
    <w:basedOn w:val="1"/>
    <w:next w:val="15"/>
    <w:qFormat/>
    <w:uiPriority w:val="0"/>
  </w:style>
  <w:style w:type="paragraph" w:customStyle="1" w:styleId="15">
    <w:name w:val="xl87"/>
    <w:basedOn w:val="1"/>
    <w:next w:val="16"/>
    <w:qFormat/>
    <w:uiPriority w:val="0"/>
    <w:pPr>
      <w:widowControl/>
      <w:shd w:val="clear" w:color="FFFFFF" w:fill="FFFFFF"/>
      <w:spacing w:before="280" w:after="280"/>
      <w:jc w:val="right"/>
    </w:pPr>
    <w:rPr>
      <w:rFonts w:ascii="宋体"/>
      <w:sz w:val="24"/>
    </w:rPr>
  </w:style>
  <w:style w:type="paragraph" w:customStyle="1" w:styleId="16">
    <w:name w:val="xl72"/>
    <w:basedOn w:val="1"/>
    <w:next w:val="7"/>
    <w:qFormat/>
    <w:uiPriority w:val="0"/>
    <w:pPr>
      <w:widowControl/>
      <w:shd w:val="clear" w:color="FFFFFF" w:fill="FFFFFF"/>
      <w:spacing w:before="280" w:after="280"/>
      <w:jc w:val="right"/>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2024-07-04T01:54:00Z</dcterms:created>
  <dc:creator>Administrator</dc:creator>
  <cp:lastModifiedBy>Administrator</cp:lastModifiedBy>
  <dcterms:modified xsi:type="dcterms:W3CDTF">2024-07-04T01:55:10Z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A0C08E78809F464BB35076A7BA1D885E_11</vt:lpwstr>
  </property>
</Properties>
</file>