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1"/>
        </w:numPr>
        <w:spacing w:line="360" w:lineRule="auto"/>
        <w:ind w:firstLine="0"/>
        <w:rPr>
          <w:rFonts w:ascii="宋体" w:hAnsi="宋体" w:cs="宋体"/>
        </w:rPr>
      </w:pPr>
      <w:bookmarkStart w:id="0" w:name="_Toc29730"/>
      <w:r>
        <w:rPr>
          <w:rFonts w:hint="eastAsia" w:ascii="宋体" w:hAnsi="宋体" w:cs="宋体"/>
        </w:rPr>
        <w:t>采购需求</w:t>
      </w:r>
      <w:bookmarkEnd w:id="0"/>
    </w:p>
    <w:p>
      <w:pPr>
        <w:widowControl/>
        <w:adjustRightInd w:val="0"/>
        <w:spacing w:line="360" w:lineRule="auto"/>
        <w:rPr>
          <w:rFonts w:ascii="宋体" w:hAnsi="宋体"/>
          <w:b/>
          <w:kern w:val="0"/>
          <w:szCs w:val="21"/>
        </w:rPr>
      </w:pPr>
      <w:bookmarkStart w:id="1" w:name="_Toc374512420"/>
      <w:bookmarkStart w:id="2" w:name="_Toc487805927"/>
      <w:bookmarkStart w:id="3" w:name="_Toc477423251"/>
      <w:bookmarkStart w:id="4" w:name="_Toc373230032"/>
      <w:bookmarkStart w:id="5" w:name="_Toc4426"/>
      <w:bookmarkStart w:id="6" w:name="_Toc20594"/>
      <w:bookmarkStart w:id="7" w:name="_Toc11229"/>
      <w:r>
        <w:rPr>
          <w:rFonts w:hint="eastAsia" w:ascii="宋体" w:hAnsi="宋体"/>
          <w:b/>
          <w:kern w:val="0"/>
          <w:szCs w:val="21"/>
        </w:rPr>
        <w:t>一、</w:t>
      </w:r>
      <w:r>
        <w:rPr>
          <w:rFonts w:ascii="宋体" w:hAnsi="宋体"/>
          <w:b/>
          <w:kern w:val="0"/>
          <w:szCs w:val="21"/>
        </w:rPr>
        <w:t>相关说明</w:t>
      </w:r>
    </w:p>
    <w:p>
      <w:pPr>
        <w:widowControl/>
        <w:numPr>
          <w:ilvl w:val="2"/>
          <w:numId w:val="2"/>
        </w:numPr>
        <w:adjustRightInd w:val="0"/>
        <w:spacing w:line="360" w:lineRule="auto"/>
        <w:ind w:firstLine="420" w:firstLineChars="200"/>
        <w:jc w:val="lef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本次采购内容如果要求的某些技术标准低于国家标准，均以最新的国家标准为准。采购技术要求中未明确的技术标准也均不得低于国家标准；</w:t>
      </w:r>
    </w:p>
    <w:p>
      <w:pPr>
        <w:widowControl/>
        <w:numPr>
          <w:ilvl w:val="2"/>
          <w:numId w:val="2"/>
        </w:numPr>
        <w:adjustRightInd w:val="0"/>
        <w:spacing w:line="360" w:lineRule="auto"/>
        <w:ind w:firstLine="420" w:firstLineChars="20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本采购项目为交钥匙项目，</w:t>
      </w:r>
      <w:r>
        <w:rPr>
          <w:rFonts w:hint="eastAsia" w:ascii="宋体" w:hAnsi="宋体"/>
          <w:kern w:val="0"/>
          <w:szCs w:val="21"/>
        </w:rPr>
        <w:t>验收合格前</w:t>
      </w:r>
      <w:r>
        <w:rPr>
          <w:rFonts w:ascii="宋体" w:hAnsi="宋体"/>
          <w:kern w:val="0"/>
          <w:szCs w:val="21"/>
        </w:rPr>
        <w:t>所需的一切费用</w:t>
      </w:r>
      <w:r>
        <w:rPr>
          <w:rFonts w:hint="eastAsia" w:ascii="宋体" w:hAnsi="宋体"/>
          <w:kern w:val="0"/>
          <w:szCs w:val="21"/>
        </w:rPr>
        <w:t>均</w:t>
      </w:r>
      <w:r>
        <w:rPr>
          <w:rFonts w:ascii="宋体" w:hAnsi="宋体"/>
          <w:kern w:val="0"/>
          <w:szCs w:val="21"/>
        </w:rPr>
        <w:t>包含在报价之中，采购人不</w:t>
      </w:r>
      <w:r>
        <w:rPr>
          <w:rFonts w:hint="eastAsia" w:ascii="宋体" w:hAnsi="宋体"/>
          <w:kern w:val="0"/>
          <w:szCs w:val="21"/>
        </w:rPr>
        <w:t>承担成交价格以外的</w:t>
      </w:r>
      <w:r>
        <w:rPr>
          <w:rFonts w:ascii="宋体" w:hAnsi="宋体"/>
          <w:kern w:val="0"/>
          <w:szCs w:val="21"/>
        </w:rPr>
        <w:t>任何费用。</w:t>
      </w:r>
    </w:p>
    <w:p>
      <w:pPr>
        <w:widowControl/>
        <w:adjustRightInd w:val="0"/>
        <w:spacing w:line="360" w:lineRule="auto"/>
        <w:rPr>
          <w:rFonts w:ascii="宋体" w:hAnsi="宋体"/>
          <w:b/>
          <w:kern w:val="0"/>
          <w:szCs w:val="21"/>
        </w:rPr>
      </w:pPr>
      <w:r>
        <w:rPr>
          <w:rFonts w:hint="eastAsia" w:ascii="宋体" w:hAnsi="宋体"/>
          <w:b/>
          <w:kern w:val="0"/>
          <w:szCs w:val="21"/>
        </w:rPr>
        <w:t xml:space="preserve">二、商务要求： </w:t>
      </w:r>
    </w:p>
    <w:p>
      <w:pPr>
        <w:numPr>
          <w:ilvl w:val="2"/>
          <w:numId w:val="0"/>
        </w:num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 w:cs="宋体"/>
          <w:szCs w:val="21"/>
        </w:rPr>
        <w:t>1.</w:t>
      </w:r>
      <w:r>
        <w:rPr>
          <w:rFonts w:hint="eastAsia" w:ascii="宋体" w:hAnsi="宋体"/>
          <w:szCs w:val="21"/>
        </w:rPr>
        <w:t>合同履行期限：一年</w:t>
      </w:r>
    </w:p>
    <w:p>
      <w:pPr>
        <w:numPr>
          <w:ilvl w:val="2"/>
          <w:numId w:val="0"/>
        </w:num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 w:cs="宋体"/>
          <w:szCs w:val="21"/>
        </w:rPr>
        <w:t>2.</w:t>
      </w:r>
      <w:r>
        <w:rPr>
          <w:rFonts w:hint="eastAsia" w:ascii="宋体" w:hAnsi="宋体"/>
          <w:szCs w:val="21"/>
        </w:rPr>
        <w:t>供货（服务）地点：武陟县县域内</w:t>
      </w:r>
    </w:p>
    <w:p>
      <w:pPr>
        <w:numPr>
          <w:ilvl w:val="2"/>
          <w:numId w:val="0"/>
        </w:num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 w:cs="宋体"/>
          <w:szCs w:val="21"/>
        </w:rPr>
        <w:t>3.</w:t>
      </w:r>
      <w:r>
        <w:rPr>
          <w:rFonts w:hint="eastAsia" w:ascii="宋体" w:hAnsi="宋体"/>
          <w:szCs w:val="21"/>
        </w:rPr>
        <w:t>质量标准：合格，满足采购人要求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szCs w:val="21"/>
        </w:rPr>
        <w:t>4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付款方式：</w:t>
      </w:r>
      <w:r>
        <w:rPr>
          <w:rFonts w:hint="eastAsia" w:ascii="宋体" w:hAnsi="宋体" w:cs="宋体"/>
          <w:color w:val="000000"/>
          <w:szCs w:val="21"/>
          <w:u w:val="single"/>
        </w:rPr>
        <w:t>签订合同后预付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>50</w:t>
      </w:r>
      <w:r>
        <w:rPr>
          <w:rFonts w:hint="eastAsia" w:ascii="宋体" w:hAnsi="宋体" w:cs="宋体"/>
          <w:color w:val="000000"/>
          <w:szCs w:val="21"/>
          <w:u w:val="single"/>
        </w:rPr>
        <w:t>%，技术服务完成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>90%</w:t>
      </w:r>
      <w:r>
        <w:rPr>
          <w:rFonts w:hint="eastAsia" w:ascii="宋体" w:hAnsi="宋体" w:cs="宋体"/>
          <w:color w:val="000000"/>
          <w:szCs w:val="21"/>
          <w:u w:val="single"/>
        </w:rPr>
        <w:t>后</w:t>
      </w:r>
      <w:r>
        <w:rPr>
          <w:rFonts w:hint="eastAsia" w:ascii="宋体" w:hAnsi="宋体" w:cs="宋体"/>
          <w:color w:val="000000"/>
          <w:szCs w:val="21"/>
          <w:u w:val="single"/>
          <w:lang w:eastAsia="zh-CN"/>
        </w:rPr>
        <w:t>支付剩余的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>40%，技术服务全部完成后</w:t>
      </w:r>
      <w:r>
        <w:rPr>
          <w:rFonts w:hint="eastAsia" w:ascii="宋体" w:hAnsi="宋体" w:cs="宋体"/>
          <w:color w:val="000000"/>
          <w:szCs w:val="21"/>
          <w:u w:val="single"/>
          <w:lang w:eastAsia="zh-CN"/>
        </w:rPr>
        <w:t>支付</w:t>
      </w:r>
      <w:r>
        <w:rPr>
          <w:rFonts w:hint="eastAsia" w:ascii="宋体" w:hAnsi="宋体" w:cs="宋体"/>
          <w:color w:val="000000"/>
          <w:szCs w:val="21"/>
          <w:u w:val="single"/>
        </w:rPr>
        <w:t>剩余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>10</w:t>
      </w:r>
      <w:r>
        <w:rPr>
          <w:rFonts w:hint="eastAsia" w:ascii="宋体" w:hAnsi="宋体" w:cs="宋体"/>
          <w:color w:val="000000"/>
          <w:szCs w:val="21"/>
          <w:u w:val="single"/>
        </w:rPr>
        <w:t>%</w:t>
      </w:r>
      <w:r>
        <w:rPr>
          <w:rFonts w:hint="eastAsia" w:ascii="宋体" w:hAnsi="宋体" w:cs="宋体"/>
          <w:color w:val="000000"/>
          <w:szCs w:val="21"/>
        </w:rPr>
        <w:t>。</w:t>
      </w:r>
    </w:p>
    <w:p>
      <w:pPr>
        <w:widowControl/>
        <w:adjustRightInd w:val="0"/>
        <w:spacing w:line="360" w:lineRule="auto"/>
        <w:rPr>
          <w:rFonts w:ascii="宋体" w:hAnsi="宋体"/>
          <w:b/>
          <w:kern w:val="0"/>
          <w:szCs w:val="21"/>
        </w:rPr>
      </w:pPr>
      <w:r>
        <w:rPr>
          <w:rFonts w:hint="eastAsia" w:ascii="宋体" w:hAnsi="宋体"/>
          <w:b/>
          <w:kern w:val="0"/>
          <w:szCs w:val="21"/>
        </w:rPr>
        <w:t>三、其它要求：</w:t>
      </w:r>
    </w:p>
    <w:p>
      <w:pPr>
        <w:widowControl/>
        <w:numPr>
          <w:ilvl w:val="2"/>
          <w:numId w:val="3"/>
        </w:numPr>
        <w:adjustRightInd w:val="0"/>
        <w:spacing w:line="360" w:lineRule="auto"/>
        <w:ind w:firstLine="420" w:firstLineChars="200"/>
        <w:jc w:val="left"/>
      </w:pPr>
      <w:r>
        <w:rPr>
          <w:rFonts w:hint="eastAsia" w:ascii="宋体" w:hAnsi="宋体"/>
          <w:kern w:val="0"/>
          <w:szCs w:val="21"/>
        </w:rPr>
        <w:t>该项目中的所有检验检测项，供应商具备相关检验检测资质的自行检验检测，不具备检验检测资质的需委托具有相关</w:t>
      </w:r>
      <w:r>
        <w:rPr>
          <w:rFonts w:hint="eastAsia" w:ascii="宋体" w:hAnsi="宋体"/>
          <w:kern w:val="0"/>
          <w:szCs w:val="21"/>
          <w:lang w:val="en-US" w:eastAsia="zh-CN"/>
        </w:rPr>
        <w:t>检</w:t>
      </w:r>
      <w:r>
        <w:rPr>
          <w:rFonts w:hint="eastAsia" w:ascii="宋体" w:hAnsi="宋体"/>
          <w:kern w:val="0"/>
          <w:szCs w:val="21"/>
        </w:rPr>
        <w:t>验检测资质的第三方机构进行检验检测。（供应商需在响应文件中作出承诺，格式详见响应文件）</w:t>
      </w:r>
    </w:p>
    <w:p>
      <w:pPr>
        <w:widowControl/>
        <w:adjustRightInd w:val="0"/>
        <w:spacing w:line="360" w:lineRule="auto"/>
        <w:rPr>
          <w:rFonts w:ascii="宋体" w:hAnsi="宋体"/>
          <w:b/>
          <w:kern w:val="0"/>
          <w:szCs w:val="21"/>
        </w:rPr>
      </w:pPr>
      <w:r>
        <w:rPr>
          <w:rFonts w:hint="eastAsia" w:ascii="宋体" w:hAnsi="宋体"/>
          <w:b/>
          <w:kern w:val="0"/>
          <w:szCs w:val="21"/>
        </w:rPr>
        <w:t>四、采购内容及技术要求</w:t>
      </w:r>
    </w:p>
    <w:p>
      <w:pPr>
        <w:pStyle w:val="2"/>
      </w:pPr>
      <w:r>
        <w:rPr>
          <w:rFonts w:hint="eastAsia"/>
        </w:rPr>
        <w:t>所属行业：其他未列明行业</w:t>
      </w:r>
    </w:p>
    <w:tbl>
      <w:tblPr>
        <w:tblStyle w:val="4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854"/>
        <w:gridCol w:w="3876"/>
        <w:gridCol w:w="20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标的名称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kern w:val="0"/>
                <w:sz w:val="24"/>
              </w:rPr>
              <w:t>服务内容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kern w:val="0"/>
                <w:sz w:val="24"/>
              </w:rPr>
              <w:t>数量/单位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cs="仿宋"/>
                <w:kern w:val="0"/>
                <w:sz w:val="24"/>
              </w:rPr>
              <w:t>1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部、省级专家指导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邀请部、省级专家到武陟指导绿色种养循环农业试点项目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根据项目需求、进展组织指导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cs="仿宋"/>
                <w:kern w:val="0"/>
                <w:sz w:val="24"/>
              </w:rPr>
              <w:t>2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宣传报道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省级及以上主要媒体报道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2项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</w:trPr>
        <w:tc>
          <w:tcPr>
            <w:tcW w:w="41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cs="仿宋"/>
                <w:kern w:val="0"/>
                <w:sz w:val="24"/>
              </w:rPr>
              <w:t>3</w:t>
            </w:r>
          </w:p>
        </w:tc>
        <w:tc>
          <w:tcPr>
            <w:tcW w:w="10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项目组织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协助召开项目相关会议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根据项目需求、进展组织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4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组织项目技术培训会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项目区所有乡镇各一次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</w:trPr>
        <w:tc>
          <w:tcPr>
            <w:tcW w:w="4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巡回现场技术指导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覆盖所有项目村，根据项目需求、进展组织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4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项目实施过程中现场会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根据项目需求、进展组织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4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组织项目验收（粪污来源、粪肥还田）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2项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宣传资料印发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3000份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标识牌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109个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cs="仿宋"/>
                <w:kern w:val="0"/>
                <w:sz w:val="24"/>
              </w:rPr>
              <w:t>4</w:t>
            </w:r>
          </w:p>
        </w:tc>
        <w:tc>
          <w:tcPr>
            <w:tcW w:w="10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效果监测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试验方案编制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1项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监测点检测管理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1项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监测点试验示范报告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1项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41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cs="仿宋"/>
                <w:kern w:val="0"/>
                <w:sz w:val="24"/>
              </w:rPr>
              <w:t>5</w:t>
            </w:r>
          </w:p>
        </w:tc>
        <w:tc>
          <w:tcPr>
            <w:tcW w:w="10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土壤样品采集与检测</w:t>
            </w:r>
          </w:p>
        </w:tc>
        <w:tc>
          <w:tcPr>
            <w:tcW w:w="22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检测：土壤有机质含量、全氮、碱解氮、全磷、有效磷、全钾、速效钾、pH、土壤阳离子交换量、土壤容重、土壤镉、铅、铬、砷、汞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基础土样：3</w:t>
            </w:r>
            <w:r>
              <w:rPr>
                <w:rFonts w:ascii="仿宋" w:hAnsi="仿宋" w:cs="仿宋"/>
                <w:kern w:val="0"/>
                <w:sz w:val="24"/>
              </w:rPr>
              <w:t>5</w:t>
            </w:r>
            <w:r>
              <w:rPr>
                <w:rFonts w:ascii="仿宋" w:hAnsi="仿宋" w:eastAsia="仿宋" w:cs="仿宋"/>
                <w:kern w:val="0"/>
                <w:sz w:val="24"/>
              </w:rPr>
              <w:t>个样品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</w:trPr>
        <w:tc>
          <w:tcPr>
            <w:tcW w:w="4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成熟期土样：10</w:t>
            </w:r>
            <w:r>
              <w:rPr>
                <w:rFonts w:ascii="仿宋" w:hAnsi="仿宋" w:cs="仿宋"/>
                <w:kern w:val="0"/>
                <w:sz w:val="24"/>
              </w:rPr>
              <w:t>9</w:t>
            </w:r>
            <w:r>
              <w:rPr>
                <w:rFonts w:ascii="仿宋" w:hAnsi="仿宋" w:eastAsia="仿宋" w:cs="仿宋"/>
                <w:kern w:val="0"/>
                <w:sz w:val="24"/>
              </w:rPr>
              <w:t>个样品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cs="仿宋"/>
                <w:kern w:val="0"/>
                <w:sz w:val="24"/>
              </w:rPr>
              <w:t>6</w:t>
            </w:r>
          </w:p>
        </w:tc>
        <w:tc>
          <w:tcPr>
            <w:tcW w:w="10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试验示范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试验方案编制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1*3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</w:trPr>
        <w:tc>
          <w:tcPr>
            <w:tcW w:w="4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试验田建设与田间管理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3个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试验示范报告撰写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1项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cs="仿宋"/>
                <w:kern w:val="0"/>
                <w:sz w:val="24"/>
              </w:rPr>
              <w:t>7</w:t>
            </w:r>
          </w:p>
        </w:tc>
        <w:tc>
          <w:tcPr>
            <w:tcW w:w="10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样品采集与农产品检测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单株产重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10</w:t>
            </w:r>
            <w:r>
              <w:rPr>
                <w:rFonts w:ascii="仿宋" w:hAnsi="仿宋" w:cs="仿宋"/>
                <w:kern w:val="0"/>
                <w:sz w:val="24"/>
              </w:rPr>
              <w:t>9</w:t>
            </w:r>
            <w:r>
              <w:rPr>
                <w:rFonts w:ascii="仿宋" w:hAnsi="仿宋" w:eastAsia="仿宋" w:cs="仿宋"/>
                <w:kern w:val="0"/>
                <w:sz w:val="24"/>
              </w:rPr>
              <w:t>个地块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平均株高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10</w:t>
            </w:r>
            <w:r>
              <w:rPr>
                <w:rFonts w:ascii="仿宋" w:hAnsi="仿宋" w:cs="仿宋"/>
                <w:kern w:val="0"/>
                <w:sz w:val="24"/>
              </w:rPr>
              <w:t>9</w:t>
            </w:r>
            <w:r>
              <w:rPr>
                <w:rFonts w:ascii="仿宋" w:hAnsi="仿宋" w:eastAsia="仿宋" w:cs="仿宋"/>
                <w:kern w:val="0"/>
                <w:sz w:val="24"/>
              </w:rPr>
              <w:t>个地块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单株籽粒数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10</w:t>
            </w:r>
            <w:r>
              <w:rPr>
                <w:rFonts w:ascii="仿宋" w:hAnsi="仿宋" w:cs="仿宋"/>
                <w:kern w:val="0"/>
                <w:sz w:val="24"/>
              </w:rPr>
              <w:t>9</w:t>
            </w:r>
            <w:r>
              <w:rPr>
                <w:rFonts w:ascii="仿宋" w:hAnsi="仿宋" w:eastAsia="仿宋" w:cs="仿宋"/>
                <w:kern w:val="0"/>
                <w:sz w:val="24"/>
              </w:rPr>
              <w:t>个地块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产量测算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10</w:t>
            </w:r>
            <w:r>
              <w:rPr>
                <w:rFonts w:ascii="仿宋" w:hAnsi="仿宋" w:cs="仿宋"/>
                <w:kern w:val="0"/>
                <w:sz w:val="24"/>
              </w:rPr>
              <w:t>9</w:t>
            </w:r>
            <w:r>
              <w:rPr>
                <w:rFonts w:ascii="仿宋" w:hAnsi="仿宋" w:eastAsia="仿宋" w:cs="仿宋"/>
                <w:kern w:val="0"/>
                <w:sz w:val="24"/>
              </w:rPr>
              <w:t>个地块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植株检测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10</w:t>
            </w:r>
            <w:r>
              <w:rPr>
                <w:rFonts w:ascii="仿宋" w:hAnsi="仿宋" w:cs="仿宋"/>
                <w:kern w:val="0"/>
                <w:sz w:val="24"/>
              </w:rPr>
              <w:t>9</w:t>
            </w:r>
            <w:r>
              <w:rPr>
                <w:rFonts w:ascii="仿宋" w:hAnsi="仿宋" w:eastAsia="仿宋" w:cs="仿宋"/>
                <w:kern w:val="0"/>
                <w:sz w:val="24"/>
              </w:rPr>
              <w:t>个样品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籽粒检测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10</w:t>
            </w:r>
            <w:r>
              <w:rPr>
                <w:rFonts w:ascii="仿宋" w:hAnsi="仿宋" w:cs="仿宋"/>
                <w:kern w:val="0"/>
                <w:sz w:val="24"/>
              </w:rPr>
              <w:t>9</w:t>
            </w:r>
            <w:r>
              <w:rPr>
                <w:rFonts w:ascii="仿宋" w:hAnsi="仿宋" w:eastAsia="仿宋" w:cs="仿宋"/>
                <w:kern w:val="0"/>
                <w:sz w:val="24"/>
              </w:rPr>
              <w:t>个样品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</w:trPr>
        <w:tc>
          <w:tcPr>
            <w:tcW w:w="41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cs="仿宋"/>
                <w:kern w:val="0"/>
                <w:sz w:val="24"/>
              </w:rPr>
              <w:t>8</w:t>
            </w:r>
          </w:p>
        </w:tc>
        <w:tc>
          <w:tcPr>
            <w:tcW w:w="10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粪肥质量监督检测</w:t>
            </w:r>
          </w:p>
        </w:tc>
        <w:tc>
          <w:tcPr>
            <w:tcW w:w="22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粪肥收集登记核查，根据粪肥实施主体情况及粪肥还田计划，按主体批量 进行粪肥样品的抽测（粪肥采样、粪肥检测）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基础检测：48个样品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</w:trPr>
        <w:tc>
          <w:tcPr>
            <w:tcW w:w="4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实施过程中监督抽检：10个样品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cs="仿宋"/>
                <w:kern w:val="0"/>
                <w:sz w:val="24"/>
              </w:rPr>
              <w:t>9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粪肥还田记录跟踪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实施过程中进行还田记录跟踪填写，确保粪肥还田质量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1项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cs="仿宋"/>
                <w:kern w:val="0"/>
                <w:sz w:val="24"/>
              </w:rPr>
              <w:t>10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农资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试验田和监测点试验材料的购置（含种子和化肥）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1项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cs="仿宋"/>
                <w:kern w:val="0"/>
                <w:sz w:val="24"/>
              </w:rPr>
              <w:t>11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土地使用费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试验田和监测点土地使用费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1项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exact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cs="仿宋"/>
                <w:kern w:val="0"/>
                <w:sz w:val="24"/>
              </w:rPr>
              <w:t>12</w:t>
            </w:r>
          </w:p>
        </w:tc>
        <w:tc>
          <w:tcPr>
            <w:tcW w:w="10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项目材料</w:t>
            </w:r>
          </w:p>
        </w:tc>
        <w:tc>
          <w:tcPr>
            <w:tcW w:w="2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项目年度总结报告、年度评审报告、三年总结报告、项目典型案例材料、项目方案材料等上报材料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1项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exact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kern w:val="0"/>
                <w:sz w:val="24"/>
              </w:rPr>
              <w:t>备注说明：包括但不限于以上内容，整个技术服务需满足河南省农业农村厅豫农文（2021）265号、豫农文〔2022〕275号和豫农文〔2023〕292号文件、河南省农业农村厅《关于印发2024年度河南省绿色种养循环农业试点实施方案的通知》</w:t>
            </w:r>
            <w:r>
              <w:rPr>
                <w:rFonts w:ascii="仿宋" w:hAnsi="仿宋" w:cs="仿宋"/>
                <w:b/>
                <w:bCs/>
                <w:kern w:val="0"/>
                <w:sz w:val="24"/>
              </w:rPr>
              <w:t>等文件</w:t>
            </w:r>
            <w:r>
              <w:rPr>
                <w:rFonts w:ascii="仿宋" w:hAnsi="仿宋" w:eastAsia="仿宋" w:cs="仿宋"/>
                <w:b/>
                <w:bCs/>
                <w:kern w:val="0"/>
                <w:sz w:val="24"/>
              </w:rPr>
              <w:t>要求.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</w:tbl>
    <w:p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F"/>
    <w:multiLevelType w:val="multilevel"/>
    <w:tmpl w:val="0000000F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  <w:b/>
        <w:bCs/>
      </w:rPr>
    </w:lvl>
    <w:lvl w:ilvl="1" w:tentative="0">
      <w:start w:val="1"/>
      <w:numFmt w:val="chineseCounting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abstractNum w:abstractNumId="1">
    <w:nsid w:val="00000030"/>
    <w:multiLevelType w:val="multilevel"/>
    <w:tmpl w:val="00000030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8DC0BC6"/>
    <w:multiLevelType w:val="multilevel"/>
    <w:tmpl w:val="28DC0BC6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1YmM0ZjQwMmQzMmZiZjIzOWRiMTBkOWY2MTQzODgifQ=="/>
  </w:docVars>
  <w:rsids>
    <w:rsidRoot w:val="00000000"/>
    <w:rsid w:val="7AD0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Arial" w:hAnsi="Arial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2024-07-23T10:59:20Z</dcterms:created>
  <dc:creator>Administrator</dc:creator>
  <cp:lastModifiedBy>Administrator</cp:lastModifiedBy>
  <dcterms:modified xsi:type="dcterms:W3CDTF">2024-07-23T10:59:48Z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D88E0B5A152B4F329183C61DAF7B3046_12</vt:lpwstr>
  </property>
</Properties>
</file>