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22BB7">
      <w:pPr>
        <w:pStyle w:val="2"/>
        <w:spacing w:before="0" w:after="0"/>
        <w:jc w:val="center"/>
        <w:rPr>
          <w:rFonts w:hint="eastAsia" w:ascii="宋体" w:hAnsi="宋体" w:eastAsia="宋体" w:cs="宋体"/>
          <w:color w:val="000000"/>
          <w:sz w:val="32"/>
          <w:szCs w:val="32"/>
        </w:rPr>
      </w:pPr>
      <w:bookmarkStart w:id="0" w:name="_Toc16322"/>
      <w:r>
        <w:rPr>
          <w:rFonts w:hint="eastAsia" w:ascii="宋体" w:hAnsi="宋体" w:eastAsia="宋体" w:cs="宋体"/>
          <w:color w:val="000000"/>
          <w:sz w:val="32"/>
          <w:szCs w:val="32"/>
        </w:rPr>
        <w:t>第四章  采购需求</w:t>
      </w:r>
      <w:bookmarkEnd w:id="0"/>
    </w:p>
    <w:p w14:paraId="6806D5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textAlignment w:val="auto"/>
        <w:rPr>
          <w:rFonts w:hint="eastAsia" w:ascii="宋体" w:hAnsi="宋体" w:eastAsia="宋体" w:cs="宋体"/>
          <w:b/>
          <w:color w:val="000000"/>
          <w:kern w:val="0"/>
          <w:sz w:val="21"/>
          <w:szCs w:val="21"/>
        </w:rPr>
      </w:pPr>
      <w:bookmarkStart w:id="1" w:name="_Toc4426"/>
      <w:bookmarkStart w:id="2" w:name="_Toc373230032"/>
      <w:bookmarkStart w:id="3" w:name="_Toc374512420"/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</w:rPr>
        <w:t>相关说明</w:t>
      </w:r>
    </w:p>
    <w:p w14:paraId="09FC5980">
      <w:pPr>
        <w:keepNext w:val="0"/>
        <w:keepLines w:val="0"/>
        <w:pageBreakBefore w:val="0"/>
        <w:widowControl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20" w:firstLineChars="200"/>
        <w:jc w:val="left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本次采购内容如果要求的某些技术标准低于国家标准，均以最新的国家标准为准。</w:t>
      </w:r>
      <w:r>
        <w:rPr>
          <w:rFonts w:hint="eastAsia" w:ascii="宋体" w:hAnsi="宋体"/>
          <w:color w:val="000000"/>
          <w:kern w:val="0"/>
          <w:sz w:val="21"/>
          <w:szCs w:val="21"/>
          <w:lang w:eastAsia="zh-CN"/>
        </w:rPr>
        <w:t>采购</w:t>
      </w:r>
      <w:r>
        <w:rPr>
          <w:rFonts w:hint="eastAsia" w:ascii="宋体" w:hAnsi="宋体"/>
          <w:color w:val="000000"/>
          <w:kern w:val="0"/>
          <w:sz w:val="21"/>
          <w:szCs w:val="21"/>
        </w:rPr>
        <w:t>技术要求中未明确的技术标准也均不得低于国家标准；</w:t>
      </w:r>
    </w:p>
    <w:p w14:paraId="5F2A9FFD">
      <w:pPr>
        <w:keepNext w:val="0"/>
        <w:keepLines w:val="0"/>
        <w:pageBreakBefore w:val="0"/>
        <w:widowControl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20" w:firstLineChars="200"/>
        <w:jc w:val="left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color w:val="000000"/>
          <w:kern w:val="0"/>
          <w:sz w:val="21"/>
          <w:szCs w:val="21"/>
        </w:rPr>
        <w:t>验收合格前</w:t>
      </w:r>
      <w:r>
        <w:rPr>
          <w:rFonts w:ascii="宋体" w:hAnsi="宋体"/>
          <w:color w:val="000000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color w:val="000000"/>
          <w:kern w:val="0"/>
          <w:sz w:val="21"/>
          <w:szCs w:val="21"/>
        </w:rPr>
        <w:t>均</w:t>
      </w:r>
      <w:r>
        <w:rPr>
          <w:rFonts w:ascii="宋体" w:hAnsi="宋体"/>
          <w:color w:val="000000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color w:val="000000"/>
          <w:kern w:val="0"/>
          <w:sz w:val="21"/>
          <w:szCs w:val="21"/>
        </w:rPr>
        <w:t>承担成交价格以外的</w:t>
      </w:r>
      <w:r>
        <w:rPr>
          <w:rFonts w:ascii="宋体" w:hAnsi="宋体"/>
          <w:color w:val="000000"/>
          <w:kern w:val="0"/>
          <w:sz w:val="21"/>
          <w:szCs w:val="21"/>
        </w:rPr>
        <w:t>任何费用。</w:t>
      </w:r>
    </w:p>
    <w:p w14:paraId="755B70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textAlignment w:val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商务要求</w:t>
      </w:r>
    </w:p>
    <w:p w14:paraId="17F9D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1.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合同履行期限</w:t>
      </w:r>
      <w:r>
        <w:rPr>
          <w:rFonts w:hint="eastAsia" w:ascii="宋体" w:hAnsi="宋体" w:eastAsia="宋体" w:cs="宋体"/>
          <w:color w:val="000000"/>
          <w:szCs w:val="21"/>
        </w:rPr>
        <w:t>：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30日历天</w:t>
      </w:r>
    </w:p>
    <w:p w14:paraId="4CBB0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2.供货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（服务）</w:t>
      </w:r>
      <w:r>
        <w:rPr>
          <w:rFonts w:hint="eastAsia" w:ascii="宋体" w:hAnsi="宋体" w:eastAsia="宋体" w:cs="宋体"/>
          <w:color w:val="000000"/>
          <w:szCs w:val="21"/>
        </w:rPr>
        <w:t>地点：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采购人指定地点</w:t>
      </w:r>
    </w:p>
    <w:p w14:paraId="1C3F9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3.质量标准：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符合国家相关合格标准并满足采购人要求</w:t>
      </w:r>
      <w:bookmarkStart w:id="4" w:name="_GoBack"/>
      <w:bookmarkEnd w:id="4"/>
    </w:p>
    <w:p w14:paraId="22C57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4.质量保证期：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1年</w:t>
      </w:r>
    </w:p>
    <w:p w14:paraId="0B07BD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付款方式：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签订合同后预付合同总价的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%，</w:t>
      </w:r>
      <w:r>
        <w:rPr>
          <w:rFonts w:hint="default" w:ascii="宋体" w:hAnsi="宋体" w:eastAsia="宋体" w:cs="宋体"/>
          <w:color w:val="000000"/>
          <w:szCs w:val="21"/>
          <w:highlight w:val="none"/>
          <w:lang w:eastAsia="zh-CN"/>
        </w:rPr>
        <w:t>设备全部进场后付至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合同总价的</w:t>
      </w:r>
      <w:r>
        <w:rPr>
          <w:rFonts w:hint="default" w:ascii="宋体" w:hAnsi="宋体" w:eastAsia="宋体" w:cs="宋体"/>
          <w:color w:val="000000"/>
          <w:szCs w:val="21"/>
          <w:highlight w:val="none"/>
          <w:lang w:eastAsia="zh-CN"/>
        </w:rPr>
        <w:t>90%，安装调试运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行</w:t>
      </w:r>
      <w:r>
        <w:rPr>
          <w:rFonts w:hint="default" w:ascii="宋体" w:hAnsi="宋体" w:eastAsia="宋体" w:cs="宋体"/>
          <w:color w:val="000000"/>
          <w:szCs w:val="21"/>
          <w:highlight w:val="none"/>
          <w:lang w:eastAsia="zh-CN"/>
        </w:rPr>
        <w:t>正常后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支付尾款。</w:t>
      </w:r>
    </w:p>
    <w:p w14:paraId="305BC6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  <w:highlight w:val="none"/>
          <w:lang w:val="en-US" w:eastAsia="zh-CN"/>
        </w:rPr>
        <w:t>三、其他要求：</w:t>
      </w:r>
    </w:p>
    <w:p w14:paraId="38E85F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0" w:firstLineChars="200"/>
        <w:textAlignment w:val="auto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cs="宋体"/>
          <w:color w:val="000000"/>
          <w:szCs w:val="21"/>
          <w:highlight w:val="none"/>
        </w:rPr>
        <w:t>质量保证及售后服务</w:t>
      </w:r>
    </w:p>
    <w:p w14:paraId="24F2BF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（1）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成交人</w:t>
      </w:r>
      <w:r>
        <w:rPr>
          <w:rFonts w:hint="eastAsia" w:ascii="宋体" w:hAnsi="宋体" w:cs="宋体"/>
          <w:color w:val="000000"/>
          <w:szCs w:val="21"/>
          <w:highlight w:val="none"/>
        </w:rPr>
        <w:t>应按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竞争性谈判</w:t>
      </w:r>
      <w:r>
        <w:rPr>
          <w:rFonts w:hint="eastAsia" w:ascii="宋体" w:hAnsi="宋体" w:cs="宋体"/>
          <w:color w:val="000000"/>
          <w:szCs w:val="21"/>
          <w:highlight w:val="none"/>
        </w:rPr>
        <w:t>文件规定的货物性能、技术要求、质量标准向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采购人</w:t>
      </w:r>
      <w:r>
        <w:rPr>
          <w:rFonts w:hint="eastAsia" w:ascii="宋体" w:hAnsi="宋体" w:cs="宋体"/>
          <w:color w:val="000000"/>
          <w:szCs w:val="21"/>
          <w:highlight w:val="none"/>
        </w:rPr>
        <w:t>提供未经使用的全新产品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；</w:t>
      </w:r>
    </w:p>
    <w:p w14:paraId="1F67BD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（2）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成交人</w:t>
      </w:r>
      <w:r>
        <w:rPr>
          <w:rFonts w:hint="eastAsia" w:ascii="宋体" w:hAnsi="宋体" w:cs="宋体"/>
          <w:color w:val="000000"/>
          <w:szCs w:val="21"/>
          <w:highlight w:val="none"/>
        </w:rPr>
        <w:t>提供的货物在质保期内因货物本身的质量问题发生故障，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成交人</w:t>
      </w:r>
      <w:r>
        <w:rPr>
          <w:rFonts w:hint="eastAsia" w:ascii="宋体" w:hAnsi="宋体" w:cs="宋体"/>
          <w:color w:val="000000"/>
          <w:szCs w:val="21"/>
          <w:highlight w:val="none"/>
        </w:rPr>
        <w:t>应负责免费更换。</w:t>
      </w:r>
    </w:p>
    <w:p w14:paraId="58AE32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0" w:firstLineChars="200"/>
        <w:textAlignment w:val="auto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货物</w:t>
      </w:r>
      <w:r>
        <w:rPr>
          <w:rFonts w:hint="eastAsia" w:ascii="宋体" w:hAnsi="宋体" w:cs="宋体"/>
          <w:color w:val="000000"/>
          <w:szCs w:val="21"/>
          <w:highlight w:val="none"/>
        </w:rPr>
        <w:t>验收</w:t>
      </w:r>
    </w:p>
    <w:p w14:paraId="4FB64F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0" w:firstLineChars="200"/>
        <w:textAlignment w:val="auto"/>
        <w:rPr>
          <w:rFonts w:hint="default"/>
          <w:b/>
          <w:bCs/>
          <w:color w:val="000000"/>
          <w:lang w:val="en-US"/>
        </w:rPr>
      </w:pP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成交人</w:t>
      </w:r>
      <w:r>
        <w:rPr>
          <w:rFonts w:hint="eastAsia" w:ascii="宋体" w:hAnsi="宋体" w:cs="宋体"/>
          <w:color w:val="000000"/>
          <w:szCs w:val="21"/>
          <w:highlight w:val="none"/>
        </w:rPr>
        <w:t>所交货物的各种质量指标不得低于该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响应</w:t>
      </w:r>
      <w:r>
        <w:rPr>
          <w:rFonts w:hint="eastAsia" w:ascii="宋体" w:hAnsi="宋体" w:cs="宋体"/>
          <w:color w:val="000000"/>
          <w:szCs w:val="21"/>
          <w:highlight w:val="none"/>
        </w:rPr>
        <w:t>文件中所提供的质量指标要求，售后服务质量要求按照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竞争性谈判</w:t>
      </w:r>
      <w:r>
        <w:rPr>
          <w:rFonts w:hint="eastAsia" w:ascii="宋体" w:hAnsi="宋体" w:cs="宋体"/>
          <w:color w:val="000000"/>
          <w:szCs w:val="21"/>
          <w:highlight w:val="none"/>
        </w:rPr>
        <w:t>文件和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响应</w:t>
      </w:r>
      <w:r>
        <w:rPr>
          <w:rFonts w:hint="eastAsia" w:ascii="宋体" w:hAnsi="宋体" w:cs="宋体"/>
          <w:color w:val="000000"/>
          <w:szCs w:val="21"/>
          <w:highlight w:val="none"/>
        </w:rPr>
        <w:t>文件的内容执行。交货时，如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质量验收</w:t>
      </w:r>
      <w:r>
        <w:rPr>
          <w:rFonts w:hint="eastAsia" w:ascii="宋体" w:hAnsi="宋体" w:cs="宋体"/>
          <w:color w:val="000000"/>
          <w:szCs w:val="21"/>
          <w:highlight w:val="none"/>
        </w:rPr>
        <w:t>不合格，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成交人</w:t>
      </w:r>
      <w:r>
        <w:rPr>
          <w:rFonts w:hint="eastAsia" w:ascii="宋体" w:hAnsi="宋体" w:cs="宋体"/>
          <w:color w:val="000000"/>
          <w:szCs w:val="21"/>
          <w:highlight w:val="none"/>
        </w:rPr>
        <w:t>负责赔偿</w:t>
      </w:r>
      <w:r>
        <w:rPr>
          <w:rFonts w:hint="eastAsia" w:ascii="宋体" w:hAnsi="宋体" w:cs="宋体"/>
          <w:color w:val="000000"/>
          <w:szCs w:val="21"/>
          <w:highlight w:val="none"/>
          <w:lang w:eastAsia="zh-CN"/>
        </w:rPr>
        <w:t>采购人</w:t>
      </w:r>
      <w:r>
        <w:rPr>
          <w:rFonts w:hint="eastAsia" w:ascii="宋体" w:hAnsi="宋体" w:cs="宋体"/>
          <w:color w:val="000000"/>
          <w:szCs w:val="21"/>
          <w:highlight w:val="none"/>
        </w:rPr>
        <w:t>一切损失。</w:t>
      </w:r>
    </w:p>
    <w:p w14:paraId="6E741A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textAlignment w:val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、采购内容及技术要求</w:t>
      </w:r>
    </w:p>
    <w:p w14:paraId="1CFECD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本项目采购内容、数量及其有关技术要求如下：</w:t>
      </w:r>
    </w:p>
    <w:p w14:paraId="4C3FDA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本采购项目的核心产品为：标准化现代化养殖设备</w:t>
      </w:r>
    </w:p>
    <w:tbl>
      <w:tblPr>
        <w:tblStyle w:val="6"/>
        <w:tblW w:w="9635" w:type="dxa"/>
        <w:tblInd w:w="-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737"/>
        <w:gridCol w:w="750"/>
        <w:gridCol w:w="713"/>
        <w:gridCol w:w="4150"/>
        <w:gridCol w:w="787"/>
        <w:gridCol w:w="750"/>
        <w:gridCol w:w="1101"/>
      </w:tblGrid>
      <w:tr w14:paraId="34EC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C1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AD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56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C7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主要技术参数、性能、配置等要求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5B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CE4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08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所属行业</w:t>
            </w:r>
          </w:p>
        </w:tc>
      </w:tr>
      <w:tr w14:paraId="26CCA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CF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5EDA9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0F5A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6868E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4A3D5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06D55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28045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1D6C6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一</w:t>
            </w:r>
          </w:p>
        </w:tc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AC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0E7AB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18BFB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4A29C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6A5F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标准化现代化养殖设备</w:t>
            </w:r>
          </w:p>
        </w:tc>
        <w:tc>
          <w:tcPr>
            <w:tcW w:w="75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79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61178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1DE6E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2F707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52A58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62B2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笼架系统及上水系统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AE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笼具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A1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 xml:space="preserve">鹌鹑舍尺寸：长90m*宽13m*高3.8m。 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51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组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C2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E9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制造业</w:t>
            </w:r>
          </w:p>
        </w:tc>
      </w:tr>
      <w:tr w14:paraId="1F317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0D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08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CC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77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11A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1、单组笼具规格：笼长1200mm*笼深650mm*笼高190mm，层距390mm，笼门2扇，丝径≧2.3mm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。</w:t>
            </w:r>
          </w:p>
          <w:p w14:paraId="40B80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2、笼具要求为6列6层H型笼，笼网采用275克锌铝合金丝、顶网、底网加密，丝径≧2.3mm。</w:t>
            </w:r>
          </w:p>
        </w:tc>
        <w:tc>
          <w:tcPr>
            <w:tcW w:w="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FA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33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7F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5546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E5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80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F2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架子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494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主架采用275克锌铝镁合金材质、数控工艺、厚度≧2.0mm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ED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9F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5D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F09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EA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3D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82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9D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料槽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00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201不锈钢材质、厚度≧0.8mm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5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80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3060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AC1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1B4B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6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8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F0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C9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44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水线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95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调压器具有冲洗球阀，手柄，操作方便；带水位显示，可实现调压和冲洗功能，大流量出水设计，出水口内径25mm。</w:t>
            </w:r>
          </w:p>
          <w:p w14:paraId="62D0B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方孔锥阀防滴漏饮水器，含吊杯；方形水管，外径22mm*22mm，不透光，对折不弯。</w:t>
            </w:r>
          </w:p>
          <w:p w14:paraId="66D53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3、前端供水包含:过滤器，二级减压阀，国标25给水管；末端集中排污具备多项功能：集中排污，日常冲洗无需单独操作，带直排功能，可拆卸式水位显示管。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DB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03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736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D5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F97F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EE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66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9B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4D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小组件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D4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锌铝合金笼钉、接头、紧固件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7A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03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C1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FC68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04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D3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4E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19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减压阀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DA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精准控压，具有反冲系统功能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B0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B7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D5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D4DD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C4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2B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74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5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升降挡鸟板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67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275克锌铝镁材质、厚度≧0.8mm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CD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7C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3060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B68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14DA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64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0B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D0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BC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首尾架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61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275克锌铝镁、数控冲剪折、无焊接、厚度≧2.0mm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D3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A7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7C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7671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C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75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74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喂料系统</w:t>
            </w: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66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喂料机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BC9C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采用锌铝镁合金材料，主架板厚≧2.0mm,数控工艺组装而成，无焊接，配带料槽扫、笼网扫，节约人力，无牵引喂料。</w:t>
            </w:r>
          </w:p>
          <w:p w14:paraId="27252C2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2.料斗板厚≧1.0mm，材料采用275克锌铝镁板材。</w:t>
            </w:r>
          </w:p>
          <w:p w14:paraId="3654992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3.电机采用24V低压无牵引设计，更安全更耐用。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59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4D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0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AC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制造业</w:t>
            </w:r>
          </w:p>
        </w:tc>
      </w:tr>
      <w:tr w14:paraId="13D24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5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3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0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7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料线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07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横向、斜向均采用125PE耐磨管、弹簧绞龙，1.5KW齿轮减速机。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1B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93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F3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AF88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D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38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BB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自动清粪系统</w:t>
            </w: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57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清粪主机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49AF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主板厚度2.8mm,1.5KW齿轮减速机，主轴采用履胶设计。</w:t>
            </w:r>
          </w:p>
          <w:p w14:paraId="13C95E1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齿轮式减速机、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锌铝镁加厚外框，耐磨橡胶驱动，主机防跑偏设计，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连动清粪板设计，方便夹粪清除。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61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69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0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21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制造业</w:t>
            </w:r>
          </w:p>
        </w:tc>
      </w:tr>
      <w:tr w14:paraId="654C3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A9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E7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9B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8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清粪带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8D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采用≧1.2mm厚PP材料，抗老化，抗拉长、爬焊熔接技术（非点焊），接口处不开裂。</w:t>
            </w:r>
          </w:p>
        </w:tc>
        <w:tc>
          <w:tcPr>
            <w:tcW w:w="78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03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5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C2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5EF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01CC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74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03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A3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1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护板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18A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275克锌铝镁、≧1.2mm厚、数控工艺</w:t>
            </w:r>
          </w:p>
        </w:tc>
        <w:tc>
          <w:tcPr>
            <w:tcW w:w="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0FB43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9B51B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29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6A48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F6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08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E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5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托杆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D5DF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275克锌铝镁、≧1.0mm厚、数控工艺</w:t>
            </w:r>
          </w:p>
        </w:tc>
        <w:tc>
          <w:tcPr>
            <w:tcW w:w="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FDA9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0A348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E0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ACB0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3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4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3C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71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横向输粪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95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外框2.0mm厚锌铝镁合金材质，采用≧4mm加厚PVC输送带，纯铜线1.5KW齿轮减速电机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A4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0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5A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8686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BF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10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B7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自动捡蛋系统</w:t>
            </w: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61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捡蛋主机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EF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外框板厚2.0mm,电机采用0.37KW双曲面电机，具有除软蛋功能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EC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6E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0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86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制造业</w:t>
            </w:r>
          </w:p>
        </w:tc>
      </w:tr>
      <w:tr w14:paraId="16018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6A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71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CA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E3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蛋带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3F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10cm宽 ABS材质、抗老化、抗拉长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44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F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6700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BA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87D2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B5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4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62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8F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蛋卡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E6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ABS材质，易卡蛋。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46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7D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2420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75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AC8B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38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D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98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34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横向输蛋系统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154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PVC输蛋线、免维护减速机、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运行平稳、不易破蛋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12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4D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EC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0985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77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9C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210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环控系统</w:t>
            </w: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F1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风机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4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1.38米*1.38米外框、超大风量、锌铝镁材质、不锈钢扇叶、推拉式百叶窗、耐磨皮带 、1.1千瓦国标电机。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33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8E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10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36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制造业</w:t>
            </w:r>
          </w:p>
        </w:tc>
      </w:tr>
      <w:tr w14:paraId="466A0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C1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D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7C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15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水帘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5534"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1.湿帘纸：厚度15mm，优质湿帘纸；</w:t>
            </w:r>
          </w:p>
          <w:p w14:paraId="4003DA18"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2.铝合金外框：壁厚1.5mm，表面氧化处理。</w:t>
            </w:r>
          </w:p>
          <w:p w14:paraId="62F56591"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3.含双面防鼠网、挡水板设计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0D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平方米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E9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01F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5B43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BA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FD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FD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6A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3E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不锈钢外壳、纯铜线国标电机、≧0.75千瓦功率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4F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0C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00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E4DF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D4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5F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EB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8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导流窗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7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铝合金外框、纳米防腐板、D型密封条、不透光不漏风。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D5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01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0E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EF5A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04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80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C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5C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侧风窗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734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1.2米*0.36米、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ABS材质、大通风量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DB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9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9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1D3F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E7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0D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13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F8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遮光罩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EC2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275锌铝镁材质，板厚≧0.8mm，防腐耐用。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3CEDC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4E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597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DC5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FE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DA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27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BD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电动推拉杆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BC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通风窗专用、电压220V、电位计反馈信号、有效行程600M。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63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AF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47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7E1E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5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BB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C6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7D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F0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智能环控及设备集控柜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6BA6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控系统：具有风机轮转功能，可自动切换风机，降低风机故障，通风更均匀；湿帘逐渐打湿功能，防温度骤降，避免鹌鹑群冷应激；根据温度变化，线性增加或减少通风量，柔性平缓通风，鹌鹑群更舒适；根据二氧化碳浓度自动补偿通风量；自动调整目标负压，调整小窗角度；自动计算最小通风量；手远程监控、多重本地报警模式。                                            2.加装自动应急备用环控。</w:t>
            </w:r>
          </w:p>
          <w:p w14:paraId="17EAB7A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3.含电压检测显示表。</w:t>
            </w:r>
          </w:p>
          <w:p w14:paraId="4011D06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4.PLC智能控制触摸屏，可以控制并诊断出设备(配电箱主电源、风机、喂料机、捡蛋机、上料绞龙、环控电源)故障，并形成文字反馈在屏幕上，并具备声控报警和拨打电话、短信通知功能。</w:t>
            </w:r>
          </w:p>
          <w:p w14:paraId="1F2705D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5.加装变频器，可精准控制风机转速，节能节源。                           </w:t>
            </w:r>
          </w:p>
          <w:p w14:paraId="6AD62D6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6.电动机保护器，可切断风机控制回路和风机电源回路，防止接触器粘合时发生触电事故。 </w:t>
            </w:r>
          </w:p>
          <w:p w14:paraId="2DB6B38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7.配备应急开关，无需自行接线，送电即用。                       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9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10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7AF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70B6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3F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2C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4E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  <w:p w14:paraId="05EAB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  <w:p w14:paraId="0D8D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  <w:p w14:paraId="1F607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  <w:p w14:paraId="5660F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照明系统</w:t>
            </w: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20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拉线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299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锌铝合金丝，直径3.5mm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0C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EB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</w:t>
            </w:r>
          </w:p>
        </w:tc>
        <w:tc>
          <w:tcPr>
            <w:tcW w:w="110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61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制造业</w:t>
            </w:r>
          </w:p>
        </w:tc>
      </w:tr>
      <w:tr w14:paraId="125AD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89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7B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82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98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导线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9CC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螺纹灯口、整体防水连接、含信号线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5E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FA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A1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247F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83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AE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29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6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灯泡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A9DD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IP67防水等级，寿命5万小时以上,功率6W。     </w:t>
            </w:r>
          </w:p>
          <w:p w14:paraId="3BB4897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2.170度配光设计、高透光率的光学透镜设计，大角度的配光曲线、采用高低灯布局，保证上下层笼具均可得到均匀光照。                </w:t>
            </w:r>
          </w:p>
          <w:p w14:paraId="67519AC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3.48VDC安全电压，0-100%可调光、全范围调光无频闪、防电磁干扰。        </w:t>
            </w:r>
          </w:p>
          <w:p w14:paraId="1B3E528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4.加密布局2米一个，保证光照充足。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3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D9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EE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258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CB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8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C3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1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控制器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B792D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手自动调光模式，模拟日升日落精准调光。     </w:t>
            </w:r>
          </w:p>
          <w:p w14:paraId="1D31DDA9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全日龄光照控制程序。     </w:t>
            </w:r>
          </w:p>
          <w:p w14:paraId="1FDC290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外置USB接口，方便数据导入导出，便于规模化鹌鹑场数据管理。                        </w:t>
            </w:r>
          </w:p>
          <w:p w14:paraId="05D4965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4.防浪涌设计，保护电源模块、增加寿命和稳定性。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57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01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52E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2BBE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55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75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26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其它</w:t>
            </w: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9C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登高梯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B5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不锈钢材质，平台高度1.5米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2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E7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0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44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制造业</w:t>
            </w:r>
          </w:p>
        </w:tc>
      </w:tr>
      <w:tr w14:paraId="68DA8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41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72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3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68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15吨料塔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32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1.立柱镀锌板厚度3.0mm,含电子计重、10米提料线。  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shd w:val="clear" w:color="auto" w:fill="auto"/>
                <w:lang w:bidi="ar"/>
              </w:rPr>
              <w:t>围栏采用1.2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shd w:val="clear" w:color="auto" w:fill="auto"/>
                <w:lang w:bidi="ar"/>
              </w:rPr>
              <w:t>厚275克高锌板材压制而成，直径2.75米，高度6.5米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shd w:val="clear" w:color="auto" w:fill="auto"/>
                <w:lang w:eastAsia="zh-CN" w:bidi="ar"/>
              </w:rPr>
              <w:t>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49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08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2BA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6A74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EE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2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C4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16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加药器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50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shd w:val="clear" w:color="auto" w:fill="auto"/>
                <w:lang w:bidi="ar"/>
              </w:rPr>
              <w:t>加药器尺寸：450*150*150mm,比例0.4%-4%，流量50L/min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shd w:val="clear" w:color="auto" w:fill="auto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shd w:val="clear" w:color="auto" w:fill="auto"/>
                <w:lang w:bidi="ar"/>
              </w:rPr>
              <w:t>含过滤器等附件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shd w:val="clear" w:color="auto" w:fill="auto"/>
                <w:lang w:eastAsia="zh-CN" w:bidi="ar"/>
              </w:rPr>
              <w:t>。</w:t>
            </w:r>
          </w:p>
        </w:tc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9E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85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4D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2FF372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</w:pPr>
    </w:p>
    <w:p w14:paraId="50584B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BB65AF9">
      <w:pPr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448FF95E">
      <w:pPr>
        <w:bidi w:val="0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 w14:paraId="1B16F2E7">
      <w:pPr>
        <w:bidi w:val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bookmarkEnd w:id="1"/>
    <w:bookmarkEnd w:id="2"/>
    <w:bookmarkEnd w:id="3"/>
    <w:p w14:paraId="10003CEB">
      <w:pPr>
        <w:pStyle w:val="5"/>
        <w:rPr>
          <w:rFonts w:hint="eastAsia" w:ascii="宋体" w:hAnsi="宋体" w:eastAsia="宋体" w:cs="宋体"/>
          <w:color w:val="000000"/>
          <w:sz w:val="32"/>
          <w:szCs w:val="32"/>
        </w:rPr>
      </w:pPr>
    </w:p>
    <w:p w14:paraId="1E617B05">
      <w:pPr>
        <w:rPr>
          <w:rFonts w:hint="eastAsia" w:ascii="宋体" w:hAnsi="宋体" w:eastAsia="宋体" w:cs="宋体"/>
          <w:color w:val="000000"/>
          <w:sz w:val="32"/>
          <w:szCs w:val="32"/>
        </w:rPr>
      </w:pPr>
    </w:p>
    <w:p w14:paraId="5CECF077">
      <w:pPr>
        <w:rPr>
          <w:rFonts w:hint="eastAsia" w:ascii="宋体" w:hAnsi="宋体" w:eastAsia="宋体" w:cs="宋体"/>
          <w:color w:val="000000"/>
          <w:sz w:val="32"/>
          <w:szCs w:val="32"/>
        </w:rPr>
      </w:pPr>
    </w:p>
    <w:p w14:paraId="1E6F2EB5">
      <w:pPr>
        <w:rPr>
          <w:rFonts w:hint="eastAsia" w:ascii="宋体" w:hAnsi="宋体" w:eastAsia="宋体" w:cs="宋体"/>
          <w:color w:val="000000"/>
          <w:sz w:val="32"/>
          <w:szCs w:val="32"/>
        </w:rPr>
      </w:pPr>
    </w:p>
    <w:p w14:paraId="7C62DC70">
      <w:pPr>
        <w:rPr>
          <w:rFonts w:hint="eastAsia" w:ascii="宋体" w:hAnsi="宋体" w:eastAsia="宋体" w:cs="宋体"/>
          <w:color w:val="000000"/>
          <w:sz w:val="32"/>
          <w:szCs w:val="32"/>
        </w:rPr>
      </w:pPr>
    </w:p>
    <w:p w14:paraId="35F37905">
      <w:pPr>
        <w:rPr>
          <w:rFonts w:hint="eastAsia" w:ascii="宋体" w:hAnsi="宋体" w:eastAsia="宋体" w:cs="宋体"/>
          <w:color w:val="000000"/>
          <w:sz w:val="32"/>
          <w:szCs w:val="32"/>
        </w:rPr>
      </w:pPr>
    </w:p>
    <w:p w14:paraId="145C88EA">
      <w:pPr>
        <w:rPr>
          <w:rFonts w:hint="eastAsia" w:ascii="宋体" w:hAnsi="宋体" w:eastAsia="宋体" w:cs="宋体"/>
          <w:color w:val="000000"/>
          <w:sz w:val="32"/>
          <w:szCs w:val="32"/>
        </w:rPr>
      </w:pPr>
    </w:p>
    <w:p w14:paraId="33FFD9CF">
      <w:pPr>
        <w:rPr>
          <w:rFonts w:hint="eastAsia" w:ascii="宋体" w:hAnsi="宋体" w:eastAsia="宋体" w:cs="宋体"/>
          <w:color w:val="000000"/>
          <w:sz w:val="32"/>
          <w:szCs w:val="32"/>
        </w:rPr>
      </w:pPr>
    </w:p>
    <w:p w14:paraId="5C9DE9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6AE068"/>
    <w:multiLevelType w:val="singleLevel"/>
    <w:tmpl w:val="9D6AE0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6602BA"/>
    <w:multiLevelType w:val="singleLevel"/>
    <w:tmpl w:val="E16602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86F5976"/>
    <w:multiLevelType w:val="singleLevel"/>
    <w:tmpl w:val="F86F59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CE24D43"/>
    <w:multiLevelType w:val="singleLevel"/>
    <w:tmpl w:val="FCE24D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60D388F"/>
    <w:multiLevelType w:val="singleLevel"/>
    <w:tmpl w:val="560D38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4YjgzYmQ5NDU3YWIyNDUwYTM0OWQzYjFjNjdmNWEifQ=="/>
  </w:docVars>
  <w:rsids>
    <w:rsidRoot w:val="00000000"/>
    <w:rsid w:val="7C40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uiPriority w:val="0"/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uiPriority w:val="0"/>
    <w:pPr>
      <w:numPr>
        <w:ilvl w:val="0"/>
        <w:numId w:val="0"/>
      </w:num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2024-07-31T03:05:52Z</dcterms:created>
  <dc:creator>Administrator</dc:creator>
  <cp:lastModifiedBy>T&amp;T欧韩驿站</cp:lastModifiedBy>
  <dcterms:modified xsi:type="dcterms:W3CDTF">2024-07-31T03:06:28Z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08505302A60A43B4BE0019D415948C3E_12</vt:lpwstr>
  </property>
</Properties>
</file>